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D457B" w14:textId="77777777" w:rsidR="00D722D2" w:rsidRDefault="00D722D2" w:rsidP="00D722D2">
      <w:pPr>
        <w:autoSpaceDE w:val="0"/>
        <w:autoSpaceDN w:val="0"/>
        <w:adjustRightInd w:val="0"/>
        <w:spacing w:after="0" w:line="240" w:lineRule="auto"/>
        <w:contextualSpacing/>
        <w:jc w:val="both"/>
        <w:rPr>
          <w:rFonts w:ascii="Verdana" w:eastAsia="Calibri" w:hAnsi="Verdana" w:cs="Arial"/>
          <w:b/>
          <w:bCs/>
          <w:lang w:val="es-ES" w:eastAsia="es-ES"/>
        </w:rPr>
      </w:pPr>
      <w:r w:rsidRPr="009C283C">
        <w:rPr>
          <w:rFonts w:ascii="Verdana" w:eastAsia="Calibri" w:hAnsi="Verdana" w:cs="Arial"/>
          <w:b/>
          <w:bCs/>
          <w:lang w:val="es-ES" w:eastAsia="es-ES"/>
        </w:rPr>
        <w:t>ENTIDADES EXCEPTUADAS – Régimen especial – Derecho privado</w:t>
      </w:r>
    </w:p>
    <w:p w14:paraId="11CF321E" w14:textId="77777777" w:rsidR="00D722D2" w:rsidRDefault="00D722D2" w:rsidP="00D722D2">
      <w:pPr>
        <w:autoSpaceDE w:val="0"/>
        <w:autoSpaceDN w:val="0"/>
        <w:adjustRightInd w:val="0"/>
        <w:spacing w:after="0" w:line="240" w:lineRule="auto"/>
        <w:contextualSpacing/>
        <w:jc w:val="both"/>
        <w:rPr>
          <w:rFonts w:ascii="Verdana" w:eastAsia="Verdana" w:hAnsi="Verdana" w:cs="Verdana"/>
          <w:lang w:val="es-ES"/>
        </w:rPr>
      </w:pPr>
    </w:p>
    <w:p w14:paraId="54C2565F" w14:textId="77777777" w:rsidR="00D722D2" w:rsidRPr="009C283C" w:rsidRDefault="00D722D2" w:rsidP="00D722D2">
      <w:pPr>
        <w:autoSpaceDE w:val="0"/>
        <w:autoSpaceDN w:val="0"/>
        <w:adjustRightInd w:val="0"/>
        <w:spacing w:after="0" w:line="240" w:lineRule="auto"/>
        <w:contextualSpacing/>
        <w:jc w:val="both"/>
        <w:rPr>
          <w:rFonts w:ascii="Verdana" w:eastAsia="Verdana" w:hAnsi="Verdana" w:cs="Verdana"/>
          <w:sz w:val="20"/>
          <w:szCs w:val="20"/>
          <w:lang w:val="es-ES"/>
        </w:rPr>
      </w:pPr>
      <w:r w:rsidRPr="009C283C">
        <w:rPr>
          <w:rFonts w:ascii="Verdana" w:eastAsia="Verdana" w:hAnsi="Verdana" w:cs="Verdana"/>
          <w:sz w:val="20"/>
          <w:szCs w:val="20"/>
          <w:lang w:val="es-ES"/>
        </w:rPr>
        <w:t>El ordenamiento jurídico colombiano contempla como categoría única la noción de contratos estatales, pero acepta la posibilidad de que tengan regímenes jurídicos diferenciados.</w:t>
      </w:r>
      <w:r w:rsidRPr="009C283C">
        <w:rPr>
          <w:rFonts w:ascii="Verdana" w:eastAsia="Verdana" w:hAnsi="Verdana" w:cs="Verdana"/>
          <w:spacing w:val="-5"/>
          <w:sz w:val="20"/>
          <w:szCs w:val="20"/>
          <w:lang w:val="es-ES"/>
        </w:rPr>
        <w:t xml:space="preserve"> </w:t>
      </w:r>
      <w:r w:rsidRPr="009C283C">
        <w:rPr>
          <w:rFonts w:ascii="Verdana" w:eastAsia="Verdana" w:hAnsi="Verdana" w:cs="Verdana"/>
          <w:sz w:val="20"/>
          <w:szCs w:val="20"/>
          <w:lang w:val="es-ES"/>
        </w:rPr>
        <w:t>En</w:t>
      </w:r>
      <w:r w:rsidRPr="009C283C">
        <w:rPr>
          <w:rFonts w:ascii="Verdana" w:eastAsia="Verdana" w:hAnsi="Verdana" w:cs="Verdana"/>
          <w:spacing w:val="-10"/>
          <w:sz w:val="20"/>
          <w:szCs w:val="20"/>
          <w:lang w:val="es-ES"/>
        </w:rPr>
        <w:t xml:space="preserve"> </w:t>
      </w:r>
      <w:r w:rsidRPr="009C283C">
        <w:rPr>
          <w:rFonts w:ascii="Verdana" w:eastAsia="Verdana" w:hAnsi="Verdana" w:cs="Verdana"/>
          <w:sz w:val="20"/>
          <w:szCs w:val="20"/>
          <w:lang w:val="es-ES"/>
        </w:rPr>
        <w:t>consecuencia, los contratos</w:t>
      </w:r>
      <w:r w:rsidRPr="009C283C">
        <w:rPr>
          <w:rFonts w:ascii="Verdana" w:eastAsia="Verdana" w:hAnsi="Verdana" w:cs="Verdana"/>
          <w:spacing w:val="-7"/>
          <w:sz w:val="20"/>
          <w:szCs w:val="20"/>
          <w:lang w:val="es-ES"/>
        </w:rPr>
        <w:t xml:space="preserve"> </w:t>
      </w:r>
      <w:r w:rsidRPr="009C283C">
        <w:rPr>
          <w:rFonts w:ascii="Verdana" w:eastAsia="Verdana" w:hAnsi="Verdana" w:cs="Verdana"/>
          <w:sz w:val="20"/>
          <w:szCs w:val="20"/>
          <w:lang w:val="es-ES"/>
        </w:rPr>
        <w:t>estatales</w:t>
      </w:r>
      <w:r w:rsidRPr="009C283C">
        <w:rPr>
          <w:rFonts w:ascii="Verdana" w:eastAsia="Verdana" w:hAnsi="Verdana" w:cs="Verdana"/>
          <w:spacing w:val="-8"/>
          <w:sz w:val="20"/>
          <w:szCs w:val="20"/>
          <w:lang w:val="es-ES"/>
        </w:rPr>
        <w:t xml:space="preserve"> pueden estar </w:t>
      </w:r>
      <w:r w:rsidRPr="009C283C">
        <w:rPr>
          <w:rFonts w:ascii="Verdana" w:eastAsia="Verdana" w:hAnsi="Verdana" w:cs="Verdana"/>
          <w:sz w:val="20"/>
          <w:szCs w:val="20"/>
          <w:lang w:val="es-ES"/>
        </w:rPr>
        <w:t>sometidos al Estatuto General de Contratación de la Administración Pública –en adelante EGCAP- (Ley 80 de 1993, 1150 de 2007 y disposiciones complementarias), o estar sujetos a</w:t>
      </w:r>
      <w:r w:rsidRPr="009C283C">
        <w:rPr>
          <w:rFonts w:ascii="Verdana" w:eastAsia="Verdana" w:hAnsi="Verdana" w:cs="Verdana"/>
          <w:spacing w:val="-15"/>
          <w:sz w:val="20"/>
          <w:szCs w:val="20"/>
          <w:lang w:val="es-ES"/>
        </w:rPr>
        <w:t xml:space="preserve"> </w:t>
      </w:r>
      <w:r w:rsidRPr="009C283C">
        <w:rPr>
          <w:rFonts w:ascii="Verdana" w:eastAsia="Verdana" w:hAnsi="Verdana" w:cs="Verdana"/>
          <w:sz w:val="20"/>
          <w:szCs w:val="20"/>
          <w:lang w:val="es-ES"/>
        </w:rPr>
        <w:t>reglas</w:t>
      </w:r>
      <w:r w:rsidRPr="009C283C">
        <w:rPr>
          <w:rFonts w:ascii="Verdana" w:eastAsia="Verdana" w:hAnsi="Verdana" w:cs="Verdana"/>
          <w:spacing w:val="-13"/>
          <w:sz w:val="20"/>
          <w:szCs w:val="20"/>
          <w:lang w:val="es-ES"/>
        </w:rPr>
        <w:t xml:space="preserve"> </w:t>
      </w:r>
      <w:r w:rsidRPr="009C283C">
        <w:rPr>
          <w:rFonts w:ascii="Verdana" w:eastAsia="Verdana" w:hAnsi="Verdana" w:cs="Verdana"/>
          <w:sz w:val="20"/>
          <w:szCs w:val="20"/>
          <w:lang w:val="es-ES"/>
        </w:rPr>
        <w:t>especiales</w:t>
      </w:r>
      <w:r w:rsidRPr="009C283C">
        <w:rPr>
          <w:rFonts w:ascii="Verdana" w:eastAsia="Verdana" w:hAnsi="Verdana" w:cs="Verdana"/>
          <w:spacing w:val="-12"/>
          <w:sz w:val="20"/>
          <w:szCs w:val="20"/>
          <w:lang w:val="es-ES"/>
        </w:rPr>
        <w:t xml:space="preserve"> </w:t>
      </w:r>
      <w:r w:rsidRPr="009C283C">
        <w:rPr>
          <w:rFonts w:ascii="Verdana" w:eastAsia="Verdana" w:hAnsi="Verdana" w:cs="Verdana"/>
          <w:sz w:val="20"/>
          <w:szCs w:val="20"/>
          <w:lang w:val="es-ES"/>
        </w:rPr>
        <w:t>o</w:t>
      </w:r>
      <w:r w:rsidRPr="009C283C">
        <w:rPr>
          <w:rFonts w:ascii="Verdana" w:eastAsia="Verdana" w:hAnsi="Verdana" w:cs="Verdana"/>
          <w:spacing w:val="-15"/>
          <w:sz w:val="20"/>
          <w:szCs w:val="20"/>
          <w:lang w:val="es-ES"/>
        </w:rPr>
        <w:t xml:space="preserve"> </w:t>
      </w:r>
      <w:r w:rsidRPr="009C283C">
        <w:rPr>
          <w:rFonts w:ascii="Verdana" w:eastAsia="Verdana" w:hAnsi="Verdana" w:cs="Verdana"/>
          <w:sz w:val="20"/>
          <w:szCs w:val="20"/>
          <w:lang w:val="es-ES"/>
        </w:rPr>
        <w:t>regímenes</w:t>
      </w:r>
      <w:r w:rsidRPr="009C283C">
        <w:rPr>
          <w:rFonts w:ascii="Verdana" w:eastAsia="Verdana" w:hAnsi="Verdana" w:cs="Verdana"/>
          <w:spacing w:val="-12"/>
          <w:sz w:val="20"/>
          <w:szCs w:val="20"/>
          <w:lang w:val="es-ES"/>
        </w:rPr>
        <w:t xml:space="preserve"> </w:t>
      </w:r>
      <w:r w:rsidRPr="009C283C">
        <w:rPr>
          <w:rFonts w:ascii="Verdana" w:eastAsia="Verdana" w:hAnsi="Verdana" w:cs="Verdana"/>
          <w:sz w:val="20"/>
          <w:szCs w:val="20"/>
          <w:lang w:val="es-ES"/>
        </w:rPr>
        <w:t>exceptuados, usualmente sometidos al derecho privado.</w:t>
      </w:r>
    </w:p>
    <w:p w14:paraId="3E784EEB" w14:textId="77777777" w:rsidR="00D722D2" w:rsidRPr="009C283C" w:rsidRDefault="00D722D2" w:rsidP="00D722D2">
      <w:pPr>
        <w:widowControl w:val="0"/>
        <w:autoSpaceDE w:val="0"/>
        <w:autoSpaceDN w:val="0"/>
        <w:spacing w:after="0" w:line="240" w:lineRule="auto"/>
        <w:contextualSpacing/>
        <w:jc w:val="both"/>
        <w:rPr>
          <w:rFonts w:ascii="Verdana" w:eastAsia="Verdana" w:hAnsi="Verdana" w:cs="Verdana"/>
          <w:sz w:val="20"/>
          <w:szCs w:val="20"/>
          <w:lang w:val="es-ES"/>
        </w:rPr>
      </w:pPr>
    </w:p>
    <w:p w14:paraId="28786BC8" w14:textId="77777777" w:rsidR="00D722D2" w:rsidRPr="009C283C" w:rsidRDefault="00D722D2" w:rsidP="00D722D2">
      <w:pPr>
        <w:widowControl w:val="0"/>
        <w:autoSpaceDE w:val="0"/>
        <w:autoSpaceDN w:val="0"/>
        <w:spacing w:after="0" w:line="240" w:lineRule="auto"/>
        <w:contextualSpacing/>
        <w:jc w:val="both"/>
        <w:rPr>
          <w:rFonts w:ascii="Verdana" w:eastAsia="Verdana" w:hAnsi="Verdana" w:cs="Verdana"/>
          <w:sz w:val="20"/>
          <w:szCs w:val="20"/>
          <w:lang w:val="es-ES"/>
        </w:rPr>
      </w:pPr>
      <w:r w:rsidRPr="009C283C">
        <w:rPr>
          <w:rFonts w:ascii="Verdana" w:eastAsia="Verdana" w:hAnsi="Verdana" w:cs="Verdana"/>
          <w:sz w:val="20"/>
          <w:szCs w:val="20"/>
          <w:lang w:val="es-ES"/>
        </w:rPr>
        <w:t>[…] el</w:t>
      </w:r>
      <w:r w:rsidRPr="009C283C">
        <w:rPr>
          <w:rFonts w:ascii="Verdana" w:eastAsia="Verdana" w:hAnsi="Verdana" w:cs="Verdana"/>
          <w:spacing w:val="-6"/>
          <w:sz w:val="20"/>
          <w:szCs w:val="20"/>
          <w:lang w:val="es-ES"/>
        </w:rPr>
        <w:t xml:space="preserve"> </w:t>
      </w:r>
      <w:r w:rsidRPr="009C283C">
        <w:rPr>
          <w:rFonts w:ascii="Verdana" w:eastAsia="Verdana" w:hAnsi="Verdana" w:cs="Verdana"/>
          <w:sz w:val="20"/>
          <w:szCs w:val="20"/>
          <w:lang w:val="es-ES"/>
        </w:rPr>
        <w:t>Consejo</w:t>
      </w:r>
      <w:r w:rsidRPr="009C283C">
        <w:rPr>
          <w:rFonts w:ascii="Verdana" w:eastAsia="Verdana" w:hAnsi="Verdana" w:cs="Verdana"/>
          <w:spacing w:val="-4"/>
          <w:sz w:val="20"/>
          <w:szCs w:val="20"/>
          <w:lang w:val="es-ES"/>
        </w:rPr>
        <w:t xml:space="preserve"> </w:t>
      </w:r>
      <w:r w:rsidRPr="009C283C">
        <w:rPr>
          <w:rFonts w:ascii="Verdana" w:eastAsia="Verdana" w:hAnsi="Verdana" w:cs="Verdana"/>
          <w:sz w:val="20"/>
          <w:szCs w:val="20"/>
          <w:lang w:val="es-ES"/>
        </w:rPr>
        <w:t>de</w:t>
      </w:r>
      <w:r w:rsidRPr="009C283C">
        <w:rPr>
          <w:rFonts w:ascii="Verdana" w:eastAsia="Verdana" w:hAnsi="Verdana" w:cs="Verdana"/>
          <w:spacing w:val="-6"/>
          <w:sz w:val="20"/>
          <w:szCs w:val="20"/>
          <w:lang w:val="es-ES"/>
        </w:rPr>
        <w:t xml:space="preserve"> </w:t>
      </w:r>
      <w:r w:rsidRPr="009C283C">
        <w:rPr>
          <w:rFonts w:ascii="Verdana" w:eastAsia="Verdana" w:hAnsi="Verdana" w:cs="Verdana"/>
          <w:sz w:val="20"/>
          <w:szCs w:val="20"/>
          <w:lang w:val="es-ES"/>
        </w:rPr>
        <w:t>Estado</w:t>
      </w:r>
      <w:r w:rsidRPr="009C283C">
        <w:rPr>
          <w:rFonts w:ascii="Verdana" w:eastAsia="Verdana" w:hAnsi="Verdana" w:cs="Verdana"/>
          <w:spacing w:val="-5"/>
          <w:sz w:val="20"/>
          <w:szCs w:val="20"/>
          <w:lang w:val="es-ES"/>
        </w:rPr>
        <w:t xml:space="preserve"> </w:t>
      </w:r>
      <w:r w:rsidRPr="009C283C">
        <w:rPr>
          <w:rFonts w:ascii="Verdana" w:eastAsia="Verdana" w:hAnsi="Verdana" w:cs="Verdana"/>
          <w:sz w:val="20"/>
          <w:szCs w:val="20"/>
          <w:lang w:val="es-ES"/>
        </w:rPr>
        <w:t>identificó</w:t>
      </w:r>
      <w:r w:rsidRPr="009C283C">
        <w:rPr>
          <w:rFonts w:ascii="Verdana" w:eastAsia="Verdana" w:hAnsi="Verdana" w:cs="Verdana"/>
          <w:spacing w:val="-4"/>
          <w:sz w:val="20"/>
          <w:szCs w:val="20"/>
          <w:lang w:val="es-ES"/>
        </w:rPr>
        <w:t xml:space="preserve"> </w:t>
      </w:r>
      <w:r w:rsidRPr="009C283C">
        <w:rPr>
          <w:rFonts w:ascii="Verdana" w:eastAsia="Verdana" w:hAnsi="Verdana" w:cs="Verdana"/>
          <w:sz w:val="20"/>
          <w:szCs w:val="20"/>
          <w:lang w:val="es-ES"/>
        </w:rPr>
        <w:t>la</w:t>
      </w:r>
      <w:r w:rsidRPr="009C283C">
        <w:rPr>
          <w:rFonts w:ascii="Verdana" w:eastAsia="Verdana" w:hAnsi="Verdana" w:cs="Verdana"/>
          <w:spacing w:val="-6"/>
          <w:sz w:val="20"/>
          <w:szCs w:val="20"/>
          <w:lang w:val="es-ES"/>
        </w:rPr>
        <w:t xml:space="preserve"> </w:t>
      </w:r>
      <w:r w:rsidRPr="009C283C">
        <w:rPr>
          <w:rFonts w:ascii="Verdana" w:eastAsia="Verdana" w:hAnsi="Verdana" w:cs="Verdana"/>
          <w:sz w:val="20"/>
          <w:szCs w:val="20"/>
          <w:lang w:val="es-ES"/>
        </w:rPr>
        <w:t>existencia</w:t>
      </w:r>
      <w:r w:rsidRPr="009C283C">
        <w:rPr>
          <w:rFonts w:ascii="Verdana" w:eastAsia="Verdana" w:hAnsi="Verdana" w:cs="Verdana"/>
          <w:spacing w:val="-4"/>
          <w:sz w:val="20"/>
          <w:szCs w:val="20"/>
          <w:lang w:val="es-ES"/>
        </w:rPr>
        <w:t xml:space="preserve"> </w:t>
      </w:r>
      <w:r w:rsidRPr="009C283C">
        <w:rPr>
          <w:rFonts w:ascii="Verdana" w:eastAsia="Verdana" w:hAnsi="Verdana" w:cs="Verdana"/>
          <w:sz w:val="20"/>
          <w:szCs w:val="20"/>
          <w:lang w:val="es-ES"/>
        </w:rPr>
        <w:t>del contrato estatal como</w:t>
      </w:r>
      <w:r w:rsidRPr="009C283C">
        <w:rPr>
          <w:rFonts w:ascii="Verdana" w:eastAsia="Verdana" w:hAnsi="Verdana" w:cs="Verdana"/>
          <w:spacing w:val="-6"/>
          <w:sz w:val="20"/>
          <w:szCs w:val="20"/>
          <w:lang w:val="es-ES"/>
        </w:rPr>
        <w:t xml:space="preserve"> </w:t>
      </w:r>
      <w:r w:rsidRPr="009C283C">
        <w:rPr>
          <w:rFonts w:ascii="Verdana" w:eastAsia="Verdana" w:hAnsi="Verdana" w:cs="Verdana"/>
          <w:sz w:val="20"/>
          <w:szCs w:val="20"/>
          <w:lang w:val="es-ES"/>
        </w:rPr>
        <w:t>un</w:t>
      </w:r>
      <w:r w:rsidRPr="009C283C">
        <w:rPr>
          <w:rFonts w:ascii="Verdana" w:eastAsia="Verdana" w:hAnsi="Verdana" w:cs="Verdana"/>
          <w:spacing w:val="-6"/>
          <w:sz w:val="20"/>
          <w:szCs w:val="20"/>
          <w:lang w:val="es-ES"/>
        </w:rPr>
        <w:t xml:space="preserve"> </w:t>
      </w:r>
      <w:r w:rsidRPr="009C283C">
        <w:rPr>
          <w:rFonts w:ascii="Verdana" w:eastAsia="Verdana" w:hAnsi="Verdana" w:cs="Verdana"/>
          <w:sz w:val="20"/>
          <w:szCs w:val="20"/>
          <w:lang w:val="es-ES"/>
        </w:rPr>
        <w:t>único</w:t>
      </w:r>
      <w:r w:rsidRPr="009C283C">
        <w:rPr>
          <w:rFonts w:ascii="Verdana" w:eastAsia="Verdana" w:hAnsi="Verdana" w:cs="Verdana"/>
          <w:spacing w:val="-5"/>
          <w:sz w:val="20"/>
          <w:szCs w:val="20"/>
          <w:lang w:val="es-ES"/>
        </w:rPr>
        <w:t xml:space="preserve"> </w:t>
      </w:r>
      <w:r w:rsidRPr="009C283C">
        <w:rPr>
          <w:rFonts w:ascii="Verdana" w:eastAsia="Verdana" w:hAnsi="Verdana" w:cs="Verdana"/>
          <w:sz w:val="20"/>
          <w:szCs w:val="20"/>
          <w:lang w:val="es-ES"/>
        </w:rPr>
        <w:t>tipo</w:t>
      </w:r>
      <w:r w:rsidRPr="009C283C">
        <w:rPr>
          <w:rFonts w:ascii="Verdana" w:eastAsia="Verdana" w:hAnsi="Verdana" w:cs="Verdana"/>
          <w:spacing w:val="-5"/>
          <w:sz w:val="20"/>
          <w:szCs w:val="20"/>
          <w:lang w:val="es-ES"/>
        </w:rPr>
        <w:t xml:space="preserve"> </w:t>
      </w:r>
      <w:r w:rsidRPr="009C283C">
        <w:rPr>
          <w:rFonts w:ascii="Verdana" w:eastAsia="Verdana" w:hAnsi="Verdana" w:cs="Verdana"/>
          <w:sz w:val="20"/>
          <w:szCs w:val="20"/>
          <w:lang w:val="es-ES"/>
        </w:rPr>
        <w:t>de</w:t>
      </w:r>
      <w:r w:rsidRPr="009C283C">
        <w:rPr>
          <w:rFonts w:ascii="Verdana" w:eastAsia="Verdana" w:hAnsi="Verdana" w:cs="Verdana"/>
          <w:spacing w:val="-6"/>
          <w:sz w:val="20"/>
          <w:szCs w:val="20"/>
          <w:lang w:val="es-ES"/>
        </w:rPr>
        <w:t xml:space="preserve"> </w:t>
      </w:r>
      <w:r w:rsidRPr="009C283C">
        <w:rPr>
          <w:rFonts w:ascii="Verdana" w:eastAsia="Verdana" w:hAnsi="Verdana" w:cs="Verdana"/>
          <w:sz w:val="20"/>
          <w:szCs w:val="20"/>
          <w:lang w:val="es-ES"/>
        </w:rPr>
        <w:t>contrato que cuenta con dos grandes categorías: (i) el contrato estatal con un régimen jurídico de derecho público-administrativo y (</w:t>
      </w:r>
      <w:proofErr w:type="spellStart"/>
      <w:r w:rsidRPr="009C283C">
        <w:rPr>
          <w:rFonts w:ascii="Verdana" w:eastAsia="Verdana" w:hAnsi="Verdana" w:cs="Verdana"/>
          <w:sz w:val="20"/>
          <w:szCs w:val="20"/>
          <w:lang w:val="es-ES"/>
        </w:rPr>
        <w:t>ii</w:t>
      </w:r>
      <w:proofErr w:type="spellEnd"/>
      <w:r w:rsidRPr="009C283C">
        <w:rPr>
          <w:rFonts w:ascii="Verdana" w:eastAsia="Verdana" w:hAnsi="Verdana" w:cs="Verdana"/>
          <w:sz w:val="20"/>
          <w:szCs w:val="20"/>
          <w:lang w:val="es-ES"/>
        </w:rPr>
        <w:t>) el contrato estatal con un régimen jurídico especial que, por regla general, será el derecho privado.</w:t>
      </w:r>
    </w:p>
    <w:p w14:paraId="2ECBAC67" w14:textId="77777777" w:rsidR="00D722D2" w:rsidRPr="009C283C" w:rsidRDefault="00D722D2" w:rsidP="00D722D2">
      <w:pPr>
        <w:autoSpaceDE w:val="0"/>
        <w:autoSpaceDN w:val="0"/>
        <w:adjustRightInd w:val="0"/>
        <w:spacing w:after="0" w:line="240" w:lineRule="auto"/>
        <w:contextualSpacing/>
        <w:jc w:val="both"/>
        <w:rPr>
          <w:rFonts w:ascii="Verdana" w:eastAsia="Calibri" w:hAnsi="Verdana" w:cs="Arial"/>
          <w:b/>
          <w:bCs/>
          <w:lang w:val="es-ES" w:eastAsia="es-ES"/>
        </w:rPr>
      </w:pPr>
    </w:p>
    <w:p w14:paraId="56A1AF9A" w14:textId="77777777" w:rsidR="00D722D2" w:rsidRPr="009C283C" w:rsidRDefault="00D722D2" w:rsidP="00D722D2">
      <w:pPr>
        <w:autoSpaceDE w:val="0"/>
        <w:autoSpaceDN w:val="0"/>
        <w:adjustRightInd w:val="0"/>
        <w:spacing w:after="0" w:line="240" w:lineRule="auto"/>
        <w:contextualSpacing/>
        <w:jc w:val="both"/>
        <w:rPr>
          <w:rFonts w:ascii="Verdana" w:eastAsia="Calibri" w:hAnsi="Verdana" w:cs="Arial"/>
          <w:b/>
          <w:bCs/>
          <w:lang w:val="es-ES" w:eastAsia="es-ES"/>
        </w:rPr>
      </w:pPr>
      <w:r w:rsidRPr="009C283C">
        <w:rPr>
          <w:rFonts w:ascii="Verdana" w:eastAsia="Calibri" w:hAnsi="Verdana" w:cs="Arial"/>
          <w:b/>
          <w:bCs/>
          <w:lang w:val="es-ES" w:eastAsia="es-ES"/>
        </w:rPr>
        <w:t>RÉGIMEN DE CONTRATACIÓN – Fondo Adaptación – Régimen especial – Vigencia.</w:t>
      </w:r>
    </w:p>
    <w:p w14:paraId="13DA8C07" w14:textId="77777777" w:rsidR="00D722D2" w:rsidRDefault="00D722D2" w:rsidP="00D722D2">
      <w:pPr>
        <w:spacing w:after="0" w:line="240" w:lineRule="auto"/>
        <w:contextualSpacing/>
        <w:jc w:val="both"/>
        <w:rPr>
          <w:rFonts w:ascii="Verdana" w:eastAsia="Calibri" w:hAnsi="Verdana" w:cs="Arial"/>
          <w:lang w:val="es-ES"/>
        </w:rPr>
      </w:pPr>
    </w:p>
    <w:p w14:paraId="423A9D4B" w14:textId="731B1225" w:rsidR="00D722D2" w:rsidRPr="009C283C" w:rsidRDefault="00D722D2" w:rsidP="00D722D2">
      <w:pPr>
        <w:spacing w:after="0" w:line="240" w:lineRule="auto"/>
        <w:contextualSpacing/>
        <w:jc w:val="both"/>
        <w:rPr>
          <w:rFonts w:ascii="Verdana" w:eastAsia="Calibri" w:hAnsi="Verdana" w:cs="Arial"/>
          <w:sz w:val="20"/>
          <w:szCs w:val="20"/>
          <w:lang w:val="es-ES"/>
        </w:rPr>
      </w:pPr>
      <w:r w:rsidRPr="009C283C">
        <w:rPr>
          <w:rFonts w:ascii="Verdana" w:eastAsia="Calibri" w:hAnsi="Verdana" w:cs="Arial"/>
          <w:sz w:val="20"/>
          <w:szCs w:val="20"/>
          <w:lang w:val="es-ES"/>
        </w:rPr>
        <w:t xml:space="preserve">En términos generales, distintas normas dispusieron la aplicación de un régimen especial de derecho privado para la contratación del Fondo Adaptación desde la expedición del Decreto-Ley 4819 del 29 de diciembre de 2010 y hasta el 31 de diciembre de 2018, tal como lo señala la Ley 1753 de 2015. Entre el primero de enero y el 25 de mayo de 2019 su contratación se rigió por el EGCAP, al no existir norma que exceptuara su aplicación; desde esta última fecha y hasta el 31 de diciembre del mismo año, su contratación se sometió nuevamente a un régimen de derecho privado, por expresa disposición de la Ley 1955 de 2019, Plan Nacional de Desarrollo. Finalmente, a partir del primero de enero del 2020 la contratación del Fondo se sujeta en su totalidad al EGCAP. </w:t>
      </w:r>
    </w:p>
    <w:p w14:paraId="5DB11B4A" w14:textId="77777777" w:rsidR="00D722D2" w:rsidRDefault="00D722D2" w:rsidP="00D722D2">
      <w:pPr>
        <w:spacing w:after="0" w:line="240" w:lineRule="auto"/>
        <w:rPr>
          <w:rFonts w:ascii="Verdana" w:eastAsia="Geomanist Light" w:hAnsi="Verdana" w:cs="Arial"/>
          <w:color w:val="000000" w:themeColor="text1"/>
          <w:lang w:val="es-ES"/>
        </w:rPr>
      </w:pPr>
    </w:p>
    <w:p w14:paraId="5B1CDBFA" w14:textId="77777777" w:rsidR="00D722D2" w:rsidRDefault="00D722D2" w:rsidP="00C13AAF">
      <w:pPr>
        <w:spacing w:after="0" w:line="240" w:lineRule="auto"/>
        <w:rPr>
          <w:rFonts w:ascii="Verdana" w:eastAsia="Geomanist Light" w:hAnsi="Verdana" w:cs="Arial"/>
          <w:color w:val="000000" w:themeColor="text1"/>
          <w:lang w:val="es-ES"/>
        </w:rPr>
      </w:pPr>
    </w:p>
    <w:p w14:paraId="7909EF8C" w14:textId="77777777" w:rsidR="00D722D2" w:rsidRDefault="00D722D2" w:rsidP="00C13AAF">
      <w:pPr>
        <w:spacing w:after="0" w:line="240" w:lineRule="auto"/>
        <w:rPr>
          <w:rFonts w:ascii="Verdana" w:eastAsia="Geomanist Light" w:hAnsi="Verdana" w:cs="Arial"/>
          <w:color w:val="000000" w:themeColor="text1"/>
          <w:lang w:val="es-ES"/>
        </w:rPr>
      </w:pPr>
    </w:p>
    <w:p w14:paraId="3258FD02" w14:textId="77777777" w:rsidR="00D722D2" w:rsidRDefault="00D722D2" w:rsidP="00C13AAF">
      <w:pPr>
        <w:spacing w:after="0" w:line="240" w:lineRule="auto"/>
        <w:rPr>
          <w:rFonts w:ascii="Verdana" w:eastAsia="Geomanist Light" w:hAnsi="Verdana" w:cs="Arial"/>
          <w:color w:val="000000" w:themeColor="text1"/>
          <w:lang w:val="es-ES"/>
        </w:rPr>
      </w:pPr>
    </w:p>
    <w:p w14:paraId="5CDF45C2" w14:textId="77777777" w:rsidR="00D722D2" w:rsidRDefault="00D722D2" w:rsidP="00C13AAF">
      <w:pPr>
        <w:spacing w:after="0" w:line="240" w:lineRule="auto"/>
        <w:rPr>
          <w:rFonts w:ascii="Verdana" w:eastAsia="Geomanist Light" w:hAnsi="Verdana" w:cs="Arial"/>
          <w:color w:val="000000" w:themeColor="text1"/>
          <w:lang w:val="es-ES"/>
        </w:rPr>
      </w:pPr>
    </w:p>
    <w:p w14:paraId="6DFBC535" w14:textId="77777777" w:rsidR="00D722D2" w:rsidRDefault="00D722D2" w:rsidP="00C13AAF">
      <w:pPr>
        <w:spacing w:after="0" w:line="240" w:lineRule="auto"/>
        <w:rPr>
          <w:rFonts w:ascii="Verdana" w:eastAsia="Geomanist Light" w:hAnsi="Verdana" w:cs="Arial"/>
          <w:color w:val="000000" w:themeColor="text1"/>
          <w:lang w:val="es-ES"/>
        </w:rPr>
      </w:pPr>
    </w:p>
    <w:p w14:paraId="43091AFA" w14:textId="77777777" w:rsidR="00D722D2" w:rsidRDefault="00D722D2" w:rsidP="00C13AAF">
      <w:pPr>
        <w:spacing w:after="0" w:line="240" w:lineRule="auto"/>
        <w:rPr>
          <w:rFonts w:ascii="Verdana" w:eastAsia="Geomanist Light" w:hAnsi="Verdana" w:cs="Arial"/>
          <w:color w:val="000000" w:themeColor="text1"/>
          <w:lang w:val="es-ES"/>
        </w:rPr>
      </w:pPr>
    </w:p>
    <w:p w14:paraId="33402F1B" w14:textId="77777777" w:rsidR="00D722D2" w:rsidRDefault="00D722D2" w:rsidP="00C13AAF">
      <w:pPr>
        <w:spacing w:after="0" w:line="240" w:lineRule="auto"/>
        <w:rPr>
          <w:rFonts w:ascii="Verdana" w:eastAsia="Geomanist Light" w:hAnsi="Verdana" w:cs="Arial"/>
          <w:color w:val="000000" w:themeColor="text1"/>
          <w:lang w:val="es-ES"/>
        </w:rPr>
      </w:pPr>
    </w:p>
    <w:p w14:paraId="1F6537C3" w14:textId="77777777" w:rsidR="00D722D2" w:rsidRDefault="00D722D2" w:rsidP="00C13AAF">
      <w:pPr>
        <w:spacing w:after="0" w:line="240" w:lineRule="auto"/>
        <w:rPr>
          <w:rFonts w:ascii="Verdana" w:eastAsia="Geomanist Light" w:hAnsi="Verdana" w:cs="Arial"/>
          <w:color w:val="000000" w:themeColor="text1"/>
          <w:lang w:val="es-ES"/>
        </w:rPr>
      </w:pPr>
    </w:p>
    <w:p w14:paraId="1B85DF11" w14:textId="77777777" w:rsidR="00D722D2" w:rsidRDefault="00D722D2" w:rsidP="00C13AAF">
      <w:pPr>
        <w:spacing w:after="0" w:line="240" w:lineRule="auto"/>
        <w:rPr>
          <w:rFonts w:ascii="Verdana" w:eastAsia="Geomanist Light" w:hAnsi="Verdana" w:cs="Arial"/>
          <w:color w:val="000000" w:themeColor="text1"/>
          <w:lang w:val="es-ES"/>
        </w:rPr>
      </w:pPr>
    </w:p>
    <w:p w14:paraId="068689CF" w14:textId="77777777" w:rsidR="00D722D2" w:rsidRDefault="00D722D2" w:rsidP="00C13AAF">
      <w:pPr>
        <w:spacing w:after="0" w:line="240" w:lineRule="auto"/>
        <w:rPr>
          <w:rFonts w:ascii="Verdana" w:eastAsia="Geomanist Light" w:hAnsi="Verdana" w:cs="Arial"/>
          <w:color w:val="000000" w:themeColor="text1"/>
          <w:lang w:val="es-ES"/>
        </w:rPr>
      </w:pPr>
    </w:p>
    <w:p w14:paraId="2089AE3F" w14:textId="77777777" w:rsidR="00D722D2" w:rsidRDefault="00D722D2" w:rsidP="00C13AAF">
      <w:pPr>
        <w:spacing w:after="0" w:line="240" w:lineRule="auto"/>
        <w:rPr>
          <w:rFonts w:ascii="Verdana" w:eastAsia="Geomanist Light" w:hAnsi="Verdana" w:cs="Arial"/>
          <w:color w:val="000000" w:themeColor="text1"/>
          <w:lang w:val="es-ES"/>
        </w:rPr>
      </w:pPr>
    </w:p>
    <w:p w14:paraId="42604D2D" w14:textId="77777777" w:rsidR="00D722D2" w:rsidRDefault="00D722D2" w:rsidP="00C13AAF">
      <w:pPr>
        <w:spacing w:after="0" w:line="240" w:lineRule="auto"/>
        <w:rPr>
          <w:rFonts w:ascii="Verdana" w:eastAsia="Geomanist Light" w:hAnsi="Verdana" w:cs="Arial"/>
          <w:color w:val="000000" w:themeColor="text1"/>
          <w:lang w:val="es-ES"/>
        </w:rPr>
      </w:pPr>
    </w:p>
    <w:p w14:paraId="04516370" w14:textId="77777777" w:rsidR="00D722D2" w:rsidRDefault="00D722D2" w:rsidP="00C13AAF">
      <w:pPr>
        <w:spacing w:after="0" w:line="240" w:lineRule="auto"/>
        <w:rPr>
          <w:rFonts w:ascii="Verdana" w:eastAsia="Geomanist Light" w:hAnsi="Verdana" w:cs="Arial"/>
          <w:color w:val="000000" w:themeColor="text1"/>
          <w:lang w:val="es-ES"/>
        </w:rPr>
      </w:pPr>
    </w:p>
    <w:p w14:paraId="2ED54569" w14:textId="77777777" w:rsidR="00D722D2" w:rsidRDefault="00D722D2" w:rsidP="00C13AAF">
      <w:pPr>
        <w:spacing w:after="0" w:line="240" w:lineRule="auto"/>
        <w:rPr>
          <w:rFonts w:ascii="Verdana" w:eastAsia="Geomanist Light" w:hAnsi="Verdana" w:cs="Arial"/>
          <w:color w:val="000000" w:themeColor="text1"/>
          <w:lang w:val="es-ES"/>
        </w:rPr>
      </w:pPr>
    </w:p>
    <w:p w14:paraId="65003B45" w14:textId="77777777" w:rsidR="00D722D2" w:rsidRDefault="00D722D2" w:rsidP="00C13AAF">
      <w:pPr>
        <w:spacing w:after="0" w:line="240" w:lineRule="auto"/>
        <w:rPr>
          <w:rFonts w:ascii="Verdana" w:eastAsia="Geomanist Light" w:hAnsi="Verdana" w:cs="Arial"/>
          <w:color w:val="000000" w:themeColor="text1"/>
          <w:lang w:val="es-ES"/>
        </w:rPr>
      </w:pPr>
    </w:p>
    <w:p w14:paraId="670B18CE" w14:textId="77777777" w:rsidR="00D722D2" w:rsidRDefault="00D722D2" w:rsidP="00C13AAF">
      <w:pPr>
        <w:spacing w:after="0" w:line="240" w:lineRule="auto"/>
        <w:rPr>
          <w:rFonts w:ascii="Verdana" w:eastAsia="Geomanist Light" w:hAnsi="Verdana" w:cs="Arial"/>
          <w:color w:val="000000" w:themeColor="text1"/>
          <w:lang w:val="es-ES"/>
        </w:rPr>
      </w:pPr>
    </w:p>
    <w:p w14:paraId="7BD6FFB3" w14:textId="77777777" w:rsidR="00D722D2" w:rsidRDefault="00D722D2" w:rsidP="00C13AAF">
      <w:pPr>
        <w:spacing w:after="0" w:line="240" w:lineRule="auto"/>
        <w:rPr>
          <w:rFonts w:ascii="Verdana" w:eastAsia="Geomanist Light" w:hAnsi="Verdana" w:cs="Arial"/>
          <w:color w:val="000000" w:themeColor="text1"/>
          <w:lang w:val="es-ES"/>
        </w:rPr>
      </w:pPr>
    </w:p>
    <w:p w14:paraId="499381C1" w14:textId="2FC38BCD" w:rsidR="00C13AAF" w:rsidRPr="008F3EE4" w:rsidRDefault="00C13AAF" w:rsidP="00C13AAF">
      <w:pPr>
        <w:spacing w:after="0" w:line="240" w:lineRule="auto"/>
        <w:rPr>
          <w:rFonts w:ascii="Verdana" w:eastAsia="Geomanist Light" w:hAnsi="Verdana" w:cs="Arial"/>
          <w:color w:val="201F1E"/>
          <w:lang w:val="es-ES"/>
        </w:rPr>
      </w:pPr>
      <w:r w:rsidRPr="008F3EE4">
        <w:rPr>
          <w:rFonts w:ascii="Verdana" w:eastAsia="Geomanist Light" w:hAnsi="Verdana" w:cs="Arial"/>
          <w:color w:val="000000" w:themeColor="text1"/>
          <w:lang w:val="es-ES"/>
        </w:rPr>
        <w:lastRenderedPageBreak/>
        <w:t>Bogotá D.C., </w:t>
      </w:r>
      <w:r w:rsidR="00D722D2">
        <w:rPr>
          <w:rFonts w:ascii="Verdana" w:eastAsia="Geomanist Light" w:hAnsi="Verdana" w:cs="Arial"/>
          <w:color w:val="201F1E"/>
          <w:lang w:val="es-ES"/>
        </w:rPr>
        <w:t xml:space="preserve">08 de </w:t>
      </w:r>
      <w:proofErr w:type="gramStart"/>
      <w:r w:rsidR="00D722D2">
        <w:rPr>
          <w:rFonts w:ascii="Verdana" w:eastAsia="Geomanist Light" w:hAnsi="Verdana" w:cs="Arial"/>
          <w:color w:val="201F1E"/>
          <w:lang w:val="es-ES"/>
        </w:rPr>
        <w:t>Octubre</w:t>
      </w:r>
      <w:proofErr w:type="gramEnd"/>
      <w:r w:rsidR="00D722D2">
        <w:rPr>
          <w:rFonts w:ascii="Verdana" w:eastAsia="Geomanist Light" w:hAnsi="Verdana" w:cs="Arial"/>
          <w:color w:val="201F1E"/>
          <w:lang w:val="es-ES"/>
        </w:rPr>
        <w:t xml:space="preserve"> de 2025</w:t>
      </w:r>
    </w:p>
    <w:p w14:paraId="3AE5AF9E" w14:textId="432D5D43" w:rsidR="00C13AAF" w:rsidRPr="008F3EE4" w:rsidRDefault="00D722D2" w:rsidP="00C13AAF">
      <w:pPr>
        <w:spacing w:after="0" w:line="240" w:lineRule="auto"/>
        <w:jc w:val="both"/>
        <w:rPr>
          <w:rFonts w:ascii="Verdana" w:eastAsia="Calibri" w:hAnsi="Verdana" w:cs="Arial"/>
          <w:lang w:val="es-ES" w:eastAsia="es-ES"/>
        </w:rPr>
      </w:pPr>
      <w:r>
        <w:rPr>
          <w:rFonts w:ascii="Verdana" w:eastAsia="Calibri" w:hAnsi="Verdana" w:cs="Arial"/>
          <w:b/>
          <w:noProof/>
          <w:lang w:eastAsia="es-ES_tradnl"/>
        </w:rPr>
        <w:drawing>
          <wp:anchor distT="0" distB="0" distL="114300" distR="114300" simplePos="0" relativeHeight="251659264" behindDoc="0" locked="0" layoutInCell="1" allowOverlap="1" wp14:anchorId="31B30B6A" wp14:editId="4F9B27C6">
            <wp:simplePos x="0" y="0"/>
            <wp:positionH relativeFrom="column">
              <wp:posOffset>3298190</wp:posOffset>
            </wp:positionH>
            <wp:positionV relativeFrom="page">
              <wp:posOffset>1621155</wp:posOffset>
            </wp:positionV>
            <wp:extent cx="2153285" cy="580390"/>
            <wp:effectExtent l="0" t="0" r="5715" b="3810"/>
            <wp:wrapSquare wrapText="bothSides"/>
            <wp:docPr id="321436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436087" name="Picture 32143608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53285" cy="580390"/>
                    </a:xfrm>
                    <a:prstGeom prst="rect">
                      <a:avLst/>
                    </a:prstGeom>
                  </pic:spPr>
                </pic:pic>
              </a:graphicData>
            </a:graphic>
            <wp14:sizeRelH relativeFrom="page">
              <wp14:pctWidth>0</wp14:pctWidth>
            </wp14:sizeRelH>
            <wp14:sizeRelV relativeFrom="page">
              <wp14:pctHeight>0</wp14:pctHeight>
            </wp14:sizeRelV>
          </wp:anchor>
        </w:drawing>
      </w:r>
    </w:p>
    <w:p w14:paraId="188F0676" w14:textId="64ADFBB2" w:rsidR="00C13AAF" w:rsidRPr="008F3EE4" w:rsidRDefault="00C13AAF" w:rsidP="00C13AAF">
      <w:pPr>
        <w:spacing w:after="0" w:line="240" w:lineRule="auto"/>
        <w:rPr>
          <w:rFonts w:ascii="Verdana" w:eastAsia="Calibri" w:hAnsi="Verdana" w:cs="Arial"/>
          <w:lang w:val="es-ES" w:eastAsia="es-ES_tradnl"/>
        </w:rPr>
      </w:pPr>
      <w:r w:rsidRPr="008F3EE4">
        <w:rPr>
          <w:rFonts w:ascii="Verdana" w:eastAsia="Calibri" w:hAnsi="Verdana" w:cs="Arial"/>
          <w:lang w:val="es-ES" w:eastAsia="es-ES_tradnl"/>
        </w:rPr>
        <w:t>Señor</w:t>
      </w:r>
    </w:p>
    <w:p w14:paraId="41F789F9" w14:textId="1C9334EA" w:rsidR="00C13AAF" w:rsidRPr="0045528E" w:rsidRDefault="00C13AAF" w:rsidP="00C13AAF">
      <w:pPr>
        <w:spacing w:after="0" w:line="240" w:lineRule="auto"/>
        <w:rPr>
          <w:rFonts w:ascii="Verdana" w:eastAsia="Calibri" w:hAnsi="Verdana" w:cs="Arial"/>
          <w:b/>
          <w:lang w:eastAsia="es-ES_tradnl"/>
        </w:rPr>
      </w:pPr>
      <w:r w:rsidRPr="0045528E">
        <w:rPr>
          <w:rFonts w:ascii="Verdana" w:eastAsia="Calibri" w:hAnsi="Verdana" w:cs="Arial"/>
          <w:b/>
          <w:lang w:eastAsia="es-ES_tradnl"/>
        </w:rPr>
        <w:t xml:space="preserve">Cristian Camilo Torres </w:t>
      </w:r>
      <w:r>
        <w:rPr>
          <w:rFonts w:ascii="Verdana" w:eastAsia="Calibri" w:hAnsi="Verdana" w:cs="Arial"/>
          <w:b/>
          <w:lang w:eastAsia="es-ES_tradnl"/>
        </w:rPr>
        <w:t>d</w:t>
      </w:r>
      <w:r w:rsidRPr="0045528E">
        <w:rPr>
          <w:rFonts w:ascii="Verdana" w:eastAsia="Calibri" w:hAnsi="Verdana" w:cs="Arial"/>
          <w:b/>
          <w:lang w:eastAsia="es-ES_tradnl"/>
        </w:rPr>
        <w:t xml:space="preserve">e </w:t>
      </w:r>
      <w:r>
        <w:rPr>
          <w:rFonts w:ascii="Verdana" w:eastAsia="Calibri" w:hAnsi="Verdana" w:cs="Arial"/>
          <w:b/>
          <w:lang w:eastAsia="es-ES_tradnl"/>
        </w:rPr>
        <w:t>l</w:t>
      </w:r>
      <w:r w:rsidRPr="0045528E">
        <w:rPr>
          <w:rFonts w:ascii="Verdana" w:eastAsia="Calibri" w:hAnsi="Verdana" w:cs="Arial"/>
          <w:b/>
          <w:lang w:eastAsia="es-ES_tradnl"/>
        </w:rPr>
        <w:t xml:space="preserve">a Rosa </w:t>
      </w:r>
    </w:p>
    <w:p w14:paraId="5074FCA2" w14:textId="44CA8861" w:rsidR="00C13AAF" w:rsidRDefault="00C13AAF" w:rsidP="00C13AAF">
      <w:pPr>
        <w:spacing w:after="0" w:line="240" w:lineRule="auto"/>
        <w:rPr>
          <w:rFonts w:ascii="Verdana" w:eastAsia="Calibri" w:hAnsi="Verdana" w:cs="Arial"/>
          <w:lang w:eastAsia="es-ES_tradnl"/>
        </w:rPr>
      </w:pPr>
      <w:hyperlink r:id="rId11" w:history="1">
        <w:r w:rsidRPr="0045528E">
          <w:rPr>
            <w:rStyle w:val="Hipervnculo"/>
            <w:rFonts w:ascii="Verdana" w:eastAsia="Calibri" w:hAnsi="Verdana" w:cs="Arial"/>
            <w:lang w:eastAsia="es-ES_tradnl"/>
          </w:rPr>
          <w:t>notificacionestorresabogadosas@gmail.com</w:t>
        </w:r>
      </w:hyperlink>
    </w:p>
    <w:p w14:paraId="330CB143" w14:textId="3D6C7BE9" w:rsidR="00C13AAF" w:rsidRPr="008F3EE4" w:rsidRDefault="00D722D2" w:rsidP="00C13AAF">
      <w:pPr>
        <w:spacing w:after="0" w:line="240" w:lineRule="auto"/>
        <w:rPr>
          <w:rFonts w:ascii="Verdana" w:eastAsia="Calibri" w:hAnsi="Verdana" w:cs="Arial"/>
          <w:lang w:val="es-ES" w:eastAsia="es-ES_tradnl"/>
        </w:rPr>
      </w:pPr>
      <w:r>
        <w:rPr>
          <w:rFonts w:ascii="Verdana" w:eastAsia="Calibri" w:hAnsi="Verdana" w:cs="Arial"/>
          <w:b/>
          <w:bCs/>
          <w:noProof/>
          <w:lang w:val="es-ES" w:eastAsia="es-ES"/>
        </w:rPr>
        <w:drawing>
          <wp:anchor distT="0" distB="0" distL="114300" distR="114300" simplePos="0" relativeHeight="251660288" behindDoc="0" locked="0" layoutInCell="1" allowOverlap="1" wp14:anchorId="48C3D16A" wp14:editId="02084323">
            <wp:simplePos x="0" y="0"/>
            <wp:positionH relativeFrom="column">
              <wp:posOffset>3298190</wp:posOffset>
            </wp:positionH>
            <wp:positionV relativeFrom="page">
              <wp:posOffset>2202180</wp:posOffset>
            </wp:positionV>
            <wp:extent cx="2153285" cy="605790"/>
            <wp:effectExtent l="0" t="0" r="5715" b="3810"/>
            <wp:wrapSquare wrapText="bothSides"/>
            <wp:docPr id="2596480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648023" name="Picture 259648023"/>
                    <pic:cNvPicPr/>
                  </pic:nvPicPr>
                  <pic:blipFill>
                    <a:blip r:embed="rId12">
                      <a:extLst>
                        <a:ext uri="{28A0092B-C50C-407E-A947-70E740481C1C}">
                          <a14:useLocalDpi xmlns:a14="http://schemas.microsoft.com/office/drawing/2010/main" val="0"/>
                        </a:ext>
                      </a:extLst>
                    </a:blip>
                    <a:stretch>
                      <a:fillRect/>
                    </a:stretch>
                  </pic:blipFill>
                  <pic:spPr>
                    <a:xfrm>
                      <a:off x="0" y="0"/>
                      <a:ext cx="2153285" cy="605790"/>
                    </a:xfrm>
                    <a:prstGeom prst="rect">
                      <a:avLst/>
                    </a:prstGeom>
                  </pic:spPr>
                </pic:pic>
              </a:graphicData>
            </a:graphic>
            <wp14:sizeRelH relativeFrom="page">
              <wp14:pctWidth>0</wp14:pctWidth>
            </wp14:sizeRelH>
            <wp14:sizeRelV relativeFrom="page">
              <wp14:pctHeight>0</wp14:pctHeight>
            </wp14:sizeRelV>
          </wp:anchor>
        </w:drawing>
      </w:r>
      <w:r w:rsidR="00C13AAF" w:rsidRPr="008F3EE4">
        <w:rPr>
          <w:rFonts w:ascii="Verdana" w:eastAsia="Calibri" w:hAnsi="Verdana" w:cs="Arial"/>
          <w:color w:val="000000"/>
          <w:lang w:val="es-ES" w:eastAsia="es-ES_tradnl"/>
        </w:rPr>
        <w:t>Bogotá D.C.</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13AAF" w:rsidRPr="008F3EE4" w14:paraId="0C467EF5" w14:textId="77777777" w:rsidTr="000F2D28">
        <w:trPr>
          <w:trHeight w:val="480"/>
        </w:trPr>
        <w:tc>
          <w:tcPr>
            <w:tcW w:w="2689" w:type="dxa"/>
          </w:tcPr>
          <w:p w14:paraId="08F92C16" w14:textId="77777777" w:rsidR="00C13AAF" w:rsidRPr="008F3EE4" w:rsidRDefault="00C13AAF" w:rsidP="000F2D28">
            <w:pPr>
              <w:jc w:val="both"/>
              <w:rPr>
                <w:rFonts w:ascii="Verdana" w:eastAsia="Calibri" w:hAnsi="Verdana" w:cs="Arial"/>
                <w:b/>
                <w:bCs/>
                <w:color w:val="7030A0"/>
                <w:lang w:val="es-ES" w:eastAsia="es-ES_tradnl"/>
              </w:rPr>
            </w:pPr>
          </w:p>
          <w:p w14:paraId="5A1D0C2D" w14:textId="77777777" w:rsidR="00C13AAF" w:rsidRPr="008F3EE4" w:rsidRDefault="00C13AAF" w:rsidP="000F2D28">
            <w:pPr>
              <w:jc w:val="both"/>
              <w:rPr>
                <w:rFonts w:ascii="Verdana" w:eastAsia="Calibri" w:hAnsi="Verdana" w:cs="Arial"/>
                <w:b/>
                <w:bCs/>
                <w:color w:val="7030A0"/>
                <w:lang w:val="es-ES" w:eastAsia="es-ES_tradnl"/>
              </w:rPr>
            </w:pPr>
          </w:p>
        </w:tc>
        <w:tc>
          <w:tcPr>
            <w:tcW w:w="6100" w:type="dxa"/>
          </w:tcPr>
          <w:p w14:paraId="322F12B1" w14:textId="77777777" w:rsidR="005A73B6" w:rsidRDefault="005A73B6" w:rsidP="000F2D28">
            <w:pPr>
              <w:jc w:val="both"/>
              <w:rPr>
                <w:rFonts w:ascii="Verdana" w:eastAsia="Calibri" w:hAnsi="Verdana" w:cs="Arial"/>
                <w:b/>
                <w:bCs/>
                <w:lang w:val="es-ES" w:eastAsia="es-ES"/>
              </w:rPr>
            </w:pPr>
          </w:p>
          <w:p w14:paraId="0095C22A" w14:textId="4C1DE6E1" w:rsidR="00C13AAF" w:rsidRPr="008F3EE4" w:rsidRDefault="00C13AAF" w:rsidP="000F2D28">
            <w:pPr>
              <w:jc w:val="both"/>
              <w:rPr>
                <w:rFonts w:ascii="Verdana" w:eastAsia="Calibri" w:hAnsi="Verdana" w:cs="Arial"/>
                <w:b/>
                <w:bCs/>
                <w:color w:val="7030A0"/>
                <w:lang w:val="es-ES" w:eastAsia="es-ES"/>
              </w:rPr>
            </w:pPr>
            <w:r w:rsidRPr="008F3EE4">
              <w:rPr>
                <w:rFonts w:ascii="Verdana" w:eastAsia="Calibri" w:hAnsi="Verdana" w:cs="Arial"/>
                <w:b/>
                <w:bCs/>
                <w:lang w:val="es-ES" w:eastAsia="es-ES"/>
              </w:rPr>
              <w:t>Concepto C-</w:t>
            </w:r>
            <w:r>
              <w:rPr>
                <w:rFonts w:ascii="Verdana" w:eastAsia="Calibri" w:hAnsi="Verdana" w:cs="Arial"/>
                <w:b/>
                <w:bCs/>
                <w:lang w:val="es-ES" w:eastAsia="es-ES"/>
              </w:rPr>
              <w:t>1241</w:t>
            </w:r>
            <w:r w:rsidRPr="008F3EE4">
              <w:rPr>
                <w:rFonts w:ascii="Verdana" w:eastAsia="Calibri" w:hAnsi="Verdana" w:cs="Arial"/>
                <w:b/>
                <w:bCs/>
                <w:color w:val="7030A0"/>
                <w:lang w:val="es-ES" w:eastAsia="es-ES"/>
              </w:rPr>
              <w:t xml:space="preserve"> </w:t>
            </w:r>
            <w:r w:rsidRPr="008F3EE4">
              <w:rPr>
                <w:rFonts w:ascii="Verdana" w:eastAsia="Calibri" w:hAnsi="Verdana" w:cs="Arial"/>
                <w:b/>
                <w:bCs/>
                <w:lang w:val="es-ES" w:eastAsia="es-ES"/>
              </w:rPr>
              <w:t>de 2025</w:t>
            </w:r>
          </w:p>
        </w:tc>
      </w:tr>
      <w:tr w:rsidR="00C13AAF" w:rsidRPr="008F3EE4" w14:paraId="474959CF" w14:textId="77777777" w:rsidTr="000F2D28">
        <w:trPr>
          <w:trHeight w:val="884"/>
        </w:trPr>
        <w:tc>
          <w:tcPr>
            <w:tcW w:w="2689" w:type="dxa"/>
          </w:tcPr>
          <w:p w14:paraId="634176E2" w14:textId="77777777" w:rsidR="005A73B6" w:rsidRPr="008F3EE4" w:rsidRDefault="005A73B6" w:rsidP="000F2D28">
            <w:pPr>
              <w:jc w:val="both"/>
              <w:rPr>
                <w:rFonts w:ascii="Verdana" w:eastAsia="Calibri" w:hAnsi="Verdana" w:cs="Arial"/>
                <w:lang w:val="es-ES" w:eastAsia="es-ES"/>
              </w:rPr>
            </w:pPr>
          </w:p>
          <w:p w14:paraId="04D6B838" w14:textId="77777777" w:rsidR="00C13AAF" w:rsidRPr="008F3EE4" w:rsidRDefault="00C13AAF" w:rsidP="000F2D28">
            <w:pPr>
              <w:jc w:val="both"/>
              <w:rPr>
                <w:rFonts w:ascii="Verdana" w:eastAsia="Calibri" w:hAnsi="Verdana" w:cs="Arial"/>
                <w:b/>
                <w:bCs/>
                <w:lang w:val="es-ES" w:eastAsia="es-ES"/>
              </w:rPr>
            </w:pPr>
            <w:r w:rsidRPr="008F3EE4">
              <w:rPr>
                <w:rFonts w:ascii="Verdana" w:eastAsia="Calibri" w:hAnsi="Verdana" w:cs="Arial"/>
                <w:b/>
                <w:bCs/>
                <w:lang w:val="es-ES" w:eastAsia="es-ES"/>
              </w:rPr>
              <w:t xml:space="preserve">Temas:                   </w:t>
            </w:r>
          </w:p>
        </w:tc>
        <w:tc>
          <w:tcPr>
            <w:tcW w:w="6100" w:type="dxa"/>
          </w:tcPr>
          <w:p w14:paraId="36F0EF0F" w14:textId="77777777" w:rsidR="005A73B6" w:rsidRDefault="005A73B6" w:rsidP="000F2D28">
            <w:pPr>
              <w:autoSpaceDE w:val="0"/>
              <w:autoSpaceDN w:val="0"/>
              <w:adjustRightInd w:val="0"/>
              <w:contextualSpacing/>
              <w:jc w:val="both"/>
              <w:rPr>
                <w:rFonts w:ascii="Verdana" w:eastAsia="Calibri" w:hAnsi="Verdana" w:cs="Arial"/>
                <w:lang w:val="es-ES" w:eastAsia="es-ES"/>
              </w:rPr>
            </w:pPr>
          </w:p>
          <w:p w14:paraId="3011A973" w14:textId="617A969D" w:rsidR="00C13AAF" w:rsidRPr="008F3EE4" w:rsidRDefault="00C13AAF" w:rsidP="000F2D28">
            <w:pPr>
              <w:autoSpaceDE w:val="0"/>
              <w:autoSpaceDN w:val="0"/>
              <w:adjustRightInd w:val="0"/>
              <w:contextualSpacing/>
              <w:jc w:val="both"/>
              <w:rPr>
                <w:rFonts w:ascii="Verdana" w:eastAsia="Calibri" w:hAnsi="Verdana" w:cs="Arial"/>
                <w:lang w:val="es-ES" w:eastAsia="es-ES"/>
              </w:rPr>
            </w:pPr>
            <w:r w:rsidRPr="008F3EE4">
              <w:rPr>
                <w:rFonts w:ascii="Verdana" w:eastAsia="Calibri" w:hAnsi="Verdana" w:cs="Arial"/>
                <w:lang w:val="es-ES" w:eastAsia="es-ES"/>
              </w:rPr>
              <w:t>ENTIDADES EXCEPTUADAS – Régimen especial – Derecho privado / RÉGIMEN DE CONTRATACIÓN – Fondo Adaptación – Régimen especial – Vigencia.</w:t>
            </w:r>
          </w:p>
          <w:p w14:paraId="309E6304" w14:textId="77777777" w:rsidR="00C13AAF" w:rsidRPr="008F3EE4" w:rsidRDefault="00C13AAF" w:rsidP="000F2D28">
            <w:pPr>
              <w:jc w:val="both"/>
              <w:rPr>
                <w:rFonts w:ascii="Verdana" w:eastAsia="Calibri" w:hAnsi="Verdana" w:cs="Arial"/>
                <w:lang w:val="es-ES" w:eastAsia="es-ES"/>
              </w:rPr>
            </w:pPr>
          </w:p>
        </w:tc>
      </w:tr>
      <w:tr w:rsidR="00C13AAF" w:rsidRPr="008F3EE4" w14:paraId="5FE2FA74" w14:textId="77777777" w:rsidTr="000F2D28">
        <w:tc>
          <w:tcPr>
            <w:tcW w:w="2689" w:type="dxa"/>
          </w:tcPr>
          <w:p w14:paraId="64072D5E" w14:textId="77777777" w:rsidR="00C13AAF" w:rsidRPr="008F3EE4" w:rsidRDefault="00C13AAF" w:rsidP="000F2D28">
            <w:pPr>
              <w:jc w:val="both"/>
              <w:rPr>
                <w:rFonts w:ascii="Verdana" w:eastAsia="Calibri" w:hAnsi="Verdana" w:cs="Arial"/>
                <w:b/>
                <w:color w:val="000000" w:themeColor="text1"/>
                <w:lang w:val="es-ES" w:eastAsia="es-ES_tradnl"/>
              </w:rPr>
            </w:pPr>
            <w:r w:rsidRPr="008F3EE4">
              <w:rPr>
                <w:rFonts w:ascii="Verdana" w:eastAsia="Calibri" w:hAnsi="Verdana" w:cs="Arial"/>
                <w:b/>
                <w:color w:val="000000" w:themeColor="text1"/>
                <w:lang w:val="es-ES" w:eastAsia="es-ES_tradnl"/>
              </w:rPr>
              <w:t>Radicación:</w:t>
            </w:r>
            <w:r w:rsidRPr="008F3EE4">
              <w:rPr>
                <w:rFonts w:ascii="Verdana" w:eastAsia="Calibri" w:hAnsi="Verdana" w:cs="Arial"/>
                <w:color w:val="000000" w:themeColor="text1"/>
                <w:lang w:val="es-ES" w:eastAsia="es-ES_tradnl"/>
              </w:rPr>
              <w:t xml:space="preserve">               </w:t>
            </w:r>
          </w:p>
        </w:tc>
        <w:tc>
          <w:tcPr>
            <w:tcW w:w="6100" w:type="dxa"/>
          </w:tcPr>
          <w:p w14:paraId="32E69F5A" w14:textId="28AB1A8C" w:rsidR="00E40494" w:rsidRPr="00E40494" w:rsidRDefault="00C13AAF" w:rsidP="00E40494">
            <w:pPr>
              <w:jc w:val="both"/>
              <w:rPr>
                <w:rFonts w:ascii="Verdana" w:eastAsia="Calibri" w:hAnsi="Verdana" w:cs="Arial"/>
                <w:color w:val="000000" w:themeColor="text1"/>
                <w:lang w:val="es-ES" w:eastAsia="es-ES_tradnl"/>
              </w:rPr>
            </w:pPr>
            <w:r w:rsidRPr="008F3EE4">
              <w:rPr>
                <w:rFonts w:ascii="Verdana" w:eastAsia="Calibri" w:hAnsi="Verdana" w:cs="Arial"/>
                <w:color w:val="000000" w:themeColor="text1"/>
                <w:lang w:val="es-ES" w:eastAsia="es-ES_tradnl"/>
              </w:rPr>
              <w:t>Respuesta a consulta</w:t>
            </w:r>
            <w:r w:rsidR="006007E1">
              <w:rPr>
                <w:rFonts w:ascii="Verdana" w:eastAsia="Calibri" w:hAnsi="Verdana" w:cs="Arial"/>
                <w:color w:val="000000" w:themeColor="text1"/>
                <w:lang w:val="es-ES" w:eastAsia="es-ES_tradnl"/>
              </w:rPr>
              <w:t>s</w:t>
            </w:r>
            <w:r w:rsidRPr="008F3EE4">
              <w:rPr>
                <w:rFonts w:ascii="Verdana" w:eastAsia="Calibri" w:hAnsi="Verdana" w:cs="Arial"/>
                <w:color w:val="000000" w:themeColor="text1"/>
                <w:lang w:val="es-ES" w:eastAsia="es-ES_tradnl"/>
              </w:rPr>
              <w:t xml:space="preserve"> con radicado</w:t>
            </w:r>
            <w:r w:rsidR="006007E1">
              <w:rPr>
                <w:rFonts w:ascii="Verdana" w:eastAsia="Calibri" w:hAnsi="Verdana" w:cs="Arial"/>
                <w:color w:val="000000" w:themeColor="text1"/>
                <w:lang w:val="es-ES" w:eastAsia="es-ES_tradnl"/>
              </w:rPr>
              <w:t>s</w:t>
            </w:r>
            <w:r w:rsidRPr="008F3EE4">
              <w:rPr>
                <w:rFonts w:ascii="Verdana" w:eastAsia="Calibri" w:hAnsi="Verdana" w:cs="Arial"/>
                <w:color w:val="000000" w:themeColor="text1"/>
                <w:lang w:val="es-ES" w:eastAsia="es-ES_tradnl"/>
              </w:rPr>
              <w:t xml:space="preserve"> No. </w:t>
            </w:r>
            <w:r w:rsidRPr="0045528E">
              <w:rPr>
                <w:rFonts w:ascii="Verdana" w:eastAsia="Calibri" w:hAnsi="Verdana" w:cs="Arial"/>
                <w:color w:val="000000" w:themeColor="text1"/>
                <w:lang w:val="es-ES" w:eastAsia="es-ES_tradnl"/>
              </w:rPr>
              <w:t>1_2025_09_01_009379</w:t>
            </w:r>
            <w:r w:rsidR="00E40494">
              <w:rPr>
                <w:rFonts w:ascii="Verdana" w:eastAsia="Calibri" w:hAnsi="Verdana" w:cs="Arial"/>
                <w:color w:val="000000" w:themeColor="text1"/>
                <w:lang w:val="es-ES" w:eastAsia="es-ES_tradnl"/>
              </w:rPr>
              <w:t xml:space="preserve"> y </w:t>
            </w:r>
            <w:r w:rsidR="00E40494" w:rsidRPr="00E40494">
              <w:rPr>
                <w:rFonts w:ascii="Verdana" w:hAnsi="Verdana" w:cs="Calibri"/>
                <w:color w:val="000000"/>
              </w:rPr>
              <w:t xml:space="preserve">1_2025_09_03_009503 </w:t>
            </w:r>
            <w:r w:rsidR="00E40494">
              <w:rPr>
                <w:rFonts w:ascii="Verdana" w:hAnsi="Verdana" w:cs="Calibri"/>
                <w:color w:val="000000"/>
              </w:rPr>
              <w:t>(acumuladas)</w:t>
            </w:r>
          </w:p>
          <w:p w14:paraId="026460D2" w14:textId="485EF748" w:rsidR="00C13AAF" w:rsidRPr="008F3EE4" w:rsidRDefault="00C13AAF" w:rsidP="000F2D28">
            <w:pPr>
              <w:jc w:val="both"/>
              <w:rPr>
                <w:rFonts w:ascii="Verdana" w:eastAsia="Calibri" w:hAnsi="Verdana" w:cs="Arial"/>
                <w:color w:val="000000" w:themeColor="text1"/>
                <w:lang w:val="es-ES" w:eastAsia="es-ES_tradnl"/>
              </w:rPr>
            </w:pPr>
          </w:p>
        </w:tc>
      </w:tr>
    </w:tbl>
    <w:p w14:paraId="02EFAFE4" w14:textId="77777777" w:rsidR="00C13AAF" w:rsidRPr="008F3EE4" w:rsidRDefault="00C13AAF" w:rsidP="00C13AAF">
      <w:pPr>
        <w:spacing w:after="0" w:line="276" w:lineRule="auto"/>
        <w:jc w:val="both"/>
        <w:rPr>
          <w:rFonts w:ascii="Verdana" w:eastAsia="Calibri" w:hAnsi="Verdana" w:cs="Arial"/>
          <w:color w:val="000000" w:themeColor="text1"/>
          <w:lang w:val="es-ES" w:eastAsia="es-ES"/>
        </w:rPr>
      </w:pPr>
      <w:r w:rsidRPr="008F3EE4">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Torres</w:t>
      </w:r>
      <w:r w:rsidRPr="008F3EE4">
        <w:rPr>
          <w:rFonts w:ascii="Verdana" w:eastAsia="Calibri" w:hAnsi="Verdana" w:cs="Arial"/>
          <w:color w:val="000000"/>
          <w:lang w:val="es-ES" w:eastAsia="es-ES_tradnl"/>
        </w:rPr>
        <w:t>:</w:t>
      </w:r>
      <w:r w:rsidRPr="008F3EE4">
        <w:rPr>
          <w:rFonts w:ascii="Verdana" w:eastAsia="Calibri" w:hAnsi="Verdana" w:cs="Arial"/>
          <w:color w:val="000000" w:themeColor="text1"/>
          <w:lang w:val="es-ES" w:eastAsia="es-ES"/>
        </w:rPr>
        <w:t xml:space="preserve"> </w:t>
      </w:r>
    </w:p>
    <w:p w14:paraId="403B6BE9" w14:textId="77777777" w:rsidR="00C13AAF" w:rsidRPr="008F3EE4" w:rsidRDefault="00C13AAF" w:rsidP="00C13AAF">
      <w:pPr>
        <w:tabs>
          <w:tab w:val="left" w:pos="3768"/>
        </w:tabs>
        <w:spacing w:after="0" w:line="276" w:lineRule="auto"/>
        <w:jc w:val="both"/>
        <w:rPr>
          <w:rFonts w:ascii="Verdana" w:eastAsia="Calibri" w:hAnsi="Verdana" w:cs="Arial"/>
          <w:color w:val="000000" w:themeColor="text1"/>
          <w:lang w:val="es-ES" w:eastAsia="es-ES"/>
        </w:rPr>
      </w:pPr>
      <w:r w:rsidRPr="008F3EE4">
        <w:rPr>
          <w:rFonts w:ascii="Verdana" w:eastAsia="Calibri" w:hAnsi="Verdana" w:cs="Arial"/>
          <w:color w:val="000000" w:themeColor="text1"/>
          <w:lang w:val="es-ES" w:eastAsia="es-ES"/>
        </w:rPr>
        <w:tab/>
      </w:r>
    </w:p>
    <w:p w14:paraId="42A79852" w14:textId="77777777" w:rsidR="00C13AAF" w:rsidRPr="008F3EE4" w:rsidRDefault="00C13AAF" w:rsidP="00C13AAF">
      <w:pPr>
        <w:spacing w:after="0" w:line="276" w:lineRule="auto"/>
        <w:jc w:val="both"/>
        <w:rPr>
          <w:rFonts w:ascii="Verdana" w:eastAsia="Calibri" w:hAnsi="Verdana" w:cs="Arial"/>
          <w:color w:val="000000" w:themeColor="text1"/>
          <w:lang w:val="es-ES" w:eastAsia="es-ES"/>
        </w:rPr>
      </w:pPr>
      <w:r w:rsidRPr="008F3EE4">
        <w:rPr>
          <w:rFonts w:ascii="Verdana" w:eastAsia="Calibri" w:hAnsi="Verdana" w:cs="Arial"/>
          <w:color w:val="000000" w:themeColor="text1"/>
          <w:lang w:val="es-ES" w:eastAsia="es-ES"/>
        </w:rPr>
        <w:t>En ejercicio de la competencia otorgada por los artículos 3, numeral 5º, y 11, numeral 8º, del Decreto Ley 4170 de 2011,</w:t>
      </w:r>
      <w:r w:rsidRPr="008F3EE4">
        <w:rPr>
          <w:rFonts w:ascii="Verdana" w:eastAsia="Arial MT" w:hAnsi="Verdana" w:cs="Arial MT"/>
          <w:lang w:val="es-ES" w:eastAsia="es-ES"/>
        </w:rPr>
        <w:t xml:space="preserve"> </w:t>
      </w:r>
      <w:r w:rsidRPr="008F3EE4">
        <w:rPr>
          <w:rFonts w:ascii="Verdana" w:hAnsi="Verdana" w:cs="Arial"/>
          <w:lang w:val="es-ES"/>
        </w:rPr>
        <w:t xml:space="preserve">así como lo establecido en el artículo 4 de la Resolución 1707 de 2018 expedida por esta Entidad, </w:t>
      </w:r>
      <w:r w:rsidRPr="008F3EE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1º </w:t>
      </w:r>
      <w:r w:rsidRPr="008F3EE4">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septiembre de</w:t>
      </w:r>
      <w:r w:rsidRPr="008F3EE4">
        <w:rPr>
          <w:rFonts w:ascii="Verdana" w:eastAsia="Calibri" w:hAnsi="Verdana" w:cs="Arial"/>
          <w:color w:val="000000" w:themeColor="text1"/>
          <w:lang w:val="es-ES" w:eastAsia="es-ES"/>
        </w:rPr>
        <w:t xml:space="preserve"> 2025, en la cual manifiesta lo siguiente: </w:t>
      </w:r>
    </w:p>
    <w:p w14:paraId="328B67FE" w14:textId="77777777" w:rsidR="00C13AAF" w:rsidRPr="008F3EE4" w:rsidRDefault="00C13AAF" w:rsidP="00C13AAF">
      <w:pPr>
        <w:spacing w:after="0" w:line="276" w:lineRule="auto"/>
        <w:jc w:val="both"/>
        <w:rPr>
          <w:rFonts w:ascii="Verdana" w:eastAsia="Calibri" w:hAnsi="Verdana" w:cs="Arial"/>
          <w:color w:val="000000" w:themeColor="text1"/>
          <w:lang w:val="es-ES" w:eastAsia="es-ES"/>
        </w:rPr>
      </w:pPr>
    </w:p>
    <w:p w14:paraId="29214BD3" w14:textId="2E1C3970" w:rsidR="00C13AAF" w:rsidRDefault="00C13AAF" w:rsidP="00C13AAF">
      <w:pPr>
        <w:spacing w:after="0"/>
        <w:ind w:left="709" w:right="709"/>
        <w:contextualSpacing/>
        <w:jc w:val="both"/>
        <w:rPr>
          <w:rFonts w:ascii="Verdana" w:eastAsia="Century Gothic" w:hAnsi="Verdana" w:cs="Century Gothic"/>
          <w:i/>
          <w:color w:val="000000" w:themeColor="text1"/>
          <w:sz w:val="20"/>
          <w:szCs w:val="20"/>
        </w:rPr>
      </w:pPr>
      <w:r w:rsidRPr="008F3EE4">
        <w:rPr>
          <w:rFonts w:ascii="Verdana" w:eastAsia="Century Gothic" w:hAnsi="Verdana" w:cs="Century Gothic"/>
          <w:i/>
          <w:iCs/>
          <w:color w:val="000000" w:themeColor="text1"/>
          <w:sz w:val="20"/>
          <w:szCs w:val="20"/>
          <w:lang w:val="es-ES"/>
        </w:rPr>
        <w:t>“[…]</w:t>
      </w:r>
      <w:r w:rsidRPr="006D2D7E">
        <w:rPr>
          <w:rFonts w:ascii="Verdana" w:eastAsia="Century Gothic" w:hAnsi="Verdana" w:cs="Century Gothic"/>
          <w:i/>
          <w:color w:val="000000" w:themeColor="text1"/>
          <w:sz w:val="20"/>
          <w:szCs w:val="20"/>
        </w:rPr>
        <w:t xml:space="preserve">En el marco de actuaciones judiciales y administrativas recientes, se observa un conflicto de interpretaciones frente al régimen contractual aplicable al Fondo </w:t>
      </w:r>
      <w:r w:rsidR="000B0B75" w:rsidRPr="006D2D7E">
        <w:rPr>
          <w:rFonts w:ascii="Verdana" w:eastAsia="Century Gothic" w:hAnsi="Verdana" w:cs="Century Gothic"/>
          <w:i/>
          <w:color w:val="000000" w:themeColor="text1"/>
          <w:sz w:val="20"/>
          <w:szCs w:val="20"/>
        </w:rPr>
        <w:t>Adaptación</w:t>
      </w:r>
      <w:r w:rsidRPr="006D2D7E">
        <w:rPr>
          <w:rFonts w:ascii="Verdana" w:eastAsia="Century Gothic" w:hAnsi="Verdana" w:cs="Century Gothic"/>
          <w:i/>
          <w:color w:val="000000" w:themeColor="text1"/>
          <w:sz w:val="20"/>
          <w:szCs w:val="20"/>
        </w:rPr>
        <w:t xml:space="preserve"> durante los </w:t>
      </w:r>
      <w:r w:rsidR="000B0B75" w:rsidRPr="006D2D7E">
        <w:rPr>
          <w:rFonts w:ascii="Verdana" w:eastAsia="Century Gothic" w:hAnsi="Verdana" w:cs="Century Gothic"/>
          <w:i/>
          <w:color w:val="000000" w:themeColor="text1"/>
          <w:sz w:val="20"/>
          <w:szCs w:val="20"/>
        </w:rPr>
        <w:t>años</w:t>
      </w:r>
      <w:r w:rsidRPr="006D2D7E">
        <w:rPr>
          <w:rFonts w:ascii="Verdana" w:eastAsia="Century Gothic" w:hAnsi="Verdana" w:cs="Century Gothic"/>
          <w:i/>
          <w:color w:val="000000" w:themeColor="text1"/>
          <w:sz w:val="20"/>
          <w:szCs w:val="20"/>
        </w:rPr>
        <w:t xml:space="preserve"> 2010 a 2018. </w:t>
      </w:r>
      <w:r>
        <w:rPr>
          <w:rFonts w:ascii="Verdana" w:eastAsia="Century Gothic" w:hAnsi="Verdana" w:cs="Century Gothic"/>
          <w:i/>
          <w:color w:val="000000" w:themeColor="text1"/>
          <w:sz w:val="20"/>
          <w:szCs w:val="20"/>
        </w:rPr>
        <w:t xml:space="preserve"> </w:t>
      </w:r>
    </w:p>
    <w:p w14:paraId="7D669B3D" w14:textId="35B3DA2F" w:rsidR="00C13AAF" w:rsidRDefault="00C13AAF" w:rsidP="00C13AAF">
      <w:pPr>
        <w:spacing w:after="0"/>
        <w:ind w:left="709" w:right="709"/>
        <w:contextualSpacing/>
        <w:jc w:val="both"/>
        <w:rPr>
          <w:rFonts w:ascii="Verdana" w:eastAsia="Century Gothic" w:hAnsi="Verdana" w:cs="Century Gothic"/>
          <w:i/>
          <w:color w:val="000000" w:themeColor="text1"/>
          <w:sz w:val="20"/>
          <w:szCs w:val="20"/>
        </w:rPr>
      </w:pPr>
      <w:r w:rsidRPr="006D2D7E">
        <w:rPr>
          <w:rFonts w:ascii="Verdana" w:eastAsia="Century Gothic" w:hAnsi="Verdana" w:cs="Century Gothic"/>
          <w:i/>
          <w:color w:val="000000" w:themeColor="text1"/>
          <w:sz w:val="20"/>
          <w:szCs w:val="20"/>
        </w:rPr>
        <w:t xml:space="preserve">Por una parte, algunas autoridades han interpretado que para contratar proyectos de vivienda de </w:t>
      </w:r>
      <w:r w:rsidR="000B0B75" w:rsidRPr="006D2D7E">
        <w:rPr>
          <w:rFonts w:ascii="Verdana" w:eastAsia="Century Gothic" w:hAnsi="Verdana" w:cs="Century Gothic"/>
          <w:i/>
          <w:color w:val="000000" w:themeColor="text1"/>
          <w:sz w:val="20"/>
          <w:szCs w:val="20"/>
        </w:rPr>
        <w:t>interés</w:t>
      </w:r>
      <w:r w:rsidRPr="006D2D7E">
        <w:rPr>
          <w:rFonts w:ascii="Verdana" w:eastAsia="Century Gothic" w:hAnsi="Verdana" w:cs="Century Gothic"/>
          <w:i/>
          <w:color w:val="000000" w:themeColor="text1"/>
          <w:sz w:val="20"/>
          <w:szCs w:val="20"/>
        </w:rPr>
        <w:t xml:space="preserve"> prioritario el Fondo </w:t>
      </w:r>
      <w:r w:rsidR="000B0B75" w:rsidRPr="006D2D7E">
        <w:rPr>
          <w:rFonts w:ascii="Verdana" w:eastAsia="Century Gothic" w:hAnsi="Verdana" w:cs="Century Gothic"/>
          <w:i/>
          <w:color w:val="000000" w:themeColor="text1"/>
          <w:sz w:val="20"/>
          <w:szCs w:val="20"/>
        </w:rPr>
        <w:t>debía</w:t>
      </w:r>
      <w:r w:rsidRPr="006D2D7E">
        <w:rPr>
          <w:rFonts w:ascii="Verdana" w:eastAsia="Century Gothic" w:hAnsi="Verdana" w:cs="Century Gothic"/>
          <w:i/>
          <w:color w:val="000000" w:themeColor="text1"/>
          <w:sz w:val="20"/>
          <w:szCs w:val="20"/>
        </w:rPr>
        <w:t xml:space="preserve"> exigir pluralidad de oferentes, procedimientos de </w:t>
      </w:r>
      <w:r w:rsidR="000B0B75" w:rsidRPr="006D2D7E">
        <w:rPr>
          <w:rFonts w:ascii="Verdana" w:eastAsia="Century Gothic" w:hAnsi="Verdana" w:cs="Century Gothic"/>
          <w:i/>
          <w:color w:val="000000" w:themeColor="text1"/>
          <w:sz w:val="20"/>
          <w:szCs w:val="20"/>
        </w:rPr>
        <w:t>invitación</w:t>
      </w:r>
      <w:r w:rsidRPr="006D2D7E">
        <w:rPr>
          <w:rFonts w:ascii="Verdana" w:eastAsia="Century Gothic" w:hAnsi="Verdana" w:cs="Century Gothic"/>
          <w:i/>
          <w:color w:val="000000" w:themeColor="text1"/>
          <w:sz w:val="20"/>
          <w:szCs w:val="20"/>
        </w:rPr>
        <w:t xml:space="preserve"> cerrada y </w:t>
      </w:r>
      <w:r w:rsidR="000B0B75" w:rsidRPr="006D2D7E">
        <w:rPr>
          <w:rFonts w:ascii="Verdana" w:eastAsia="Century Gothic" w:hAnsi="Verdana" w:cs="Century Gothic"/>
          <w:i/>
          <w:color w:val="000000" w:themeColor="text1"/>
          <w:sz w:val="20"/>
          <w:szCs w:val="20"/>
        </w:rPr>
        <w:t>trámites</w:t>
      </w:r>
      <w:r w:rsidRPr="006D2D7E">
        <w:rPr>
          <w:rFonts w:ascii="Verdana" w:eastAsia="Century Gothic" w:hAnsi="Verdana" w:cs="Century Gothic"/>
          <w:i/>
          <w:color w:val="000000" w:themeColor="text1"/>
          <w:sz w:val="20"/>
          <w:szCs w:val="20"/>
        </w:rPr>
        <w:t xml:space="preserve"> propios del régimen ordinario, </w:t>
      </w:r>
      <w:r w:rsidR="000B0B75" w:rsidRPr="006D2D7E">
        <w:rPr>
          <w:rFonts w:ascii="Verdana" w:eastAsia="Century Gothic" w:hAnsi="Verdana" w:cs="Century Gothic"/>
          <w:i/>
          <w:color w:val="000000" w:themeColor="text1"/>
          <w:sz w:val="20"/>
          <w:szCs w:val="20"/>
        </w:rPr>
        <w:t>asimilándolos</w:t>
      </w:r>
      <w:r w:rsidRPr="006D2D7E">
        <w:rPr>
          <w:rFonts w:ascii="Verdana" w:eastAsia="Century Gothic" w:hAnsi="Verdana" w:cs="Century Gothic"/>
          <w:i/>
          <w:color w:val="000000" w:themeColor="text1"/>
          <w:sz w:val="20"/>
          <w:szCs w:val="20"/>
        </w:rPr>
        <w:t xml:space="preserve"> a la </w:t>
      </w:r>
      <w:r w:rsidR="000B0B75" w:rsidRPr="006D2D7E">
        <w:rPr>
          <w:rFonts w:ascii="Verdana" w:eastAsia="Century Gothic" w:hAnsi="Verdana" w:cs="Century Gothic"/>
          <w:i/>
          <w:color w:val="000000" w:themeColor="text1"/>
          <w:sz w:val="20"/>
          <w:szCs w:val="20"/>
        </w:rPr>
        <w:t>contratación</w:t>
      </w:r>
      <w:r w:rsidRPr="006D2D7E">
        <w:rPr>
          <w:rFonts w:ascii="Verdana" w:eastAsia="Century Gothic" w:hAnsi="Verdana" w:cs="Century Gothic"/>
          <w:i/>
          <w:color w:val="000000" w:themeColor="text1"/>
          <w:sz w:val="20"/>
          <w:szCs w:val="20"/>
        </w:rPr>
        <w:t xml:space="preserve"> de la Ley 80 de 1993 y la Ley 1150 de 2007</w:t>
      </w:r>
      <w:r>
        <w:rPr>
          <w:rFonts w:ascii="Verdana" w:eastAsia="Century Gothic" w:hAnsi="Verdana" w:cs="Century Gothic"/>
          <w:i/>
          <w:color w:val="000000" w:themeColor="text1"/>
          <w:sz w:val="20"/>
          <w:szCs w:val="20"/>
        </w:rPr>
        <w:t>.</w:t>
      </w:r>
      <w:r w:rsidRPr="006D2D7E">
        <w:rPr>
          <w:rFonts w:ascii="Verdana" w:eastAsia="Century Gothic" w:hAnsi="Verdana" w:cs="Century Gothic"/>
          <w:i/>
          <w:color w:val="000000" w:themeColor="text1"/>
          <w:sz w:val="20"/>
          <w:szCs w:val="20"/>
        </w:rPr>
        <w:t xml:space="preserve"> </w:t>
      </w:r>
    </w:p>
    <w:p w14:paraId="645E7F33" w14:textId="7FA59CAA"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r w:rsidRPr="006D2D7E">
        <w:rPr>
          <w:rFonts w:ascii="Verdana" w:eastAsia="Century Gothic" w:hAnsi="Verdana" w:cs="Century Gothic"/>
          <w:i/>
          <w:color w:val="000000" w:themeColor="text1"/>
          <w:sz w:val="20"/>
          <w:szCs w:val="20"/>
        </w:rPr>
        <w:t xml:space="preserve">Por otra parte, la normatividad especial del Fondo, integrada por el Decreto Legislativo 4819 de 2010 (art. 7o), la Ley 1737 de 2014 (art. 79) y el Decreto 203 de 2015, dispuso que la contratación del Fondo se </w:t>
      </w:r>
      <w:r w:rsidR="000B0B75" w:rsidRPr="006D2D7E">
        <w:rPr>
          <w:rFonts w:ascii="Verdana" w:eastAsia="Century Gothic" w:hAnsi="Verdana" w:cs="Century Gothic"/>
          <w:i/>
          <w:color w:val="000000" w:themeColor="text1"/>
          <w:sz w:val="20"/>
          <w:szCs w:val="20"/>
        </w:rPr>
        <w:t>regía</w:t>
      </w:r>
      <w:r w:rsidRPr="006D2D7E">
        <w:rPr>
          <w:rFonts w:ascii="Verdana" w:eastAsia="Century Gothic" w:hAnsi="Verdana" w:cs="Century Gothic"/>
          <w:i/>
          <w:color w:val="000000" w:themeColor="text1"/>
          <w:sz w:val="20"/>
          <w:szCs w:val="20"/>
        </w:rPr>
        <w:t xml:space="preserve"> por derecho privado, bajo modalidades específicas, y autorizó expresamente la contratación directa en proyectos de vivienda de </w:t>
      </w:r>
      <w:r w:rsidR="000B0B75" w:rsidRPr="006D2D7E">
        <w:rPr>
          <w:rFonts w:ascii="Verdana" w:eastAsia="Century Gothic" w:hAnsi="Verdana" w:cs="Century Gothic"/>
          <w:i/>
          <w:color w:val="000000" w:themeColor="text1"/>
          <w:sz w:val="20"/>
          <w:szCs w:val="20"/>
        </w:rPr>
        <w:t>interés</w:t>
      </w:r>
      <w:r w:rsidRPr="006D2D7E">
        <w:rPr>
          <w:rFonts w:ascii="Verdana" w:eastAsia="Century Gothic" w:hAnsi="Verdana" w:cs="Century Gothic"/>
          <w:i/>
          <w:color w:val="000000" w:themeColor="text1"/>
          <w:sz w:val="20"/>
          <w:szCs w:val="20"/>
        </w:rPr>
        <w:t xml:space="preserve"> prioritario, sin </w:t>
      </w:r>
      <w:r w:rsidR="000B0B75" w:rsidRPr="006D2D7E">
        <w:rPr>
          <w:rFonts w:ascii="Verdana" w:eastAsia="Century Gothic" w:hAnsi="Verdana" w:cs="Century Gothic"/>
          <w:i/>
          <w:color w:val="000000" w:themeColor="text1"/>
          <w:sz w:val="20"/>
          <w:szCs w:val="20"/>
        </w:rPr>
        <w:t>límite</w:t>
      </w:r>
      <w:r w:rsidRPr="006D2D7E">
        <w:rPr>
          <w:rFonts w:ascii="Verdana" w:eastAsia="Century Gothic" w:hAnsi="Verdana" w:cs="Century Gothic"/>
          <w:i/>
          <w:color w:val="000000" w:themeColor="text1"/>
          <w:sz w:val="20"/>
          <w:szCs w:val="20"/>
        </w:rPr>
        <w:t xml:space="preserve"> de cuantía. </w:t>
      </w:r>
    </w:p>
    <w:p w14:paraId="1842B41A" w14:textId="77777777"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p>
    <w:p w14:paraId="5204047D" w14:textId="77777777"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r w:rsidRPr="006D2D7E">
        <w:rPr>
          <w:rFonts w:ascii="Verdana" w:eastAsia="Century Gothic" w:hAnsi="Verdana" w:cs="Century Gothic"/>
          <w:i/>
          <w:color w:val="000000" w:themeColor="text1"/>
          <w:sz w:val="20"/>
          <w:szCs w:val="20"/>
        </w:rPr>
        <w:t xml:space="preserve">El choque de interpretaciones genera las siguientes interrogantes de alcance general: </w:t>
      </w:r>
    </w:p>
    <w:p w14:paraId="7F2D0E57" w14:textId="453FB175"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1.</w:t>
      </w:r>
      <w:r w:rsidRPr="006D2D7E">
        <w:rPr>
          <w:rFonts w:ascii="Verdana" w:eastAsia="Century Gothic" w:hAnsi="Verdana" w:cs="Century Gothic"/>
          <w:i/>
          <w:color w:val="000000" w:themeColor="text1"/>
          <w:sz w:val="20"/>
          <w:szCs w:val="20"/>
        </w:rPr>
        <w:t>¿</w:t>
      </w:r>
      <w:proofErr w:type="gramEnd"/>
      <w:r w:rsidRPr="006D2D7E">
        <w:rPr>
          <w:rFonts w:ascii="Verdana" w:eastAsia="Century Gothic" w:hAnsi="Verdana" w:cs="Century Gothic"/>
          <w:i/>
          <w:color w:val="000000" w:themeColor="text1"/>
          <w:sz w:val="20"/>
          <w:szCs w:val="20"/>
        </w:rPr>
        <w:t xml:space="preserve">Cuál fue el régimen contractual aplicable para los recursos de </w:t>
      </w:r>
      <w:r w:rsidR="00D722D2" w:rsidRPr="006D2D7E">
        <w:rPr>
          <w:rFonts w:ascii="Verdana" w:eastAsia="Century Gothic" w:hAnsi="Verdana" w:cs="Century Gothic"/>
          <w:i/>
          <w:color w:val="000000" w:themeColor="text1"/>
          <w:sz w:val="20"/>
          <w:szCs w:val="20"/>
        </w:rPr>
        <w:t>inversión</w:t>
      </w:r>
      <w:r w:rsidRPr="006D2D7E">
        <w:rPr>
          <w:rFonts w:ascii="Verdana" w:eastAsia="Century Gothic" w:hAnsi="Verdana" w:cs="Century Gothic"/>
          <w:i/>
          <w:color w:val="000000" w:themeColor="text1"/>
          <w:sz w:val="20"/>
          <w:szCs w:val="20"/>
        </w:rPr>
        <w:t xml:space="preserve"> </w:t>
      </w:r>
    </w:p>
    <w:p w14:paraId="7E8C2520" w14:textId="6975EAA0"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r w:rsidRPr="006D2D7E">
        <w:rPr>
          <w:rFonts w:ascii="Verdana" w:eastAsia="Century Gothic" w:hAnsi="Verdana" w:cs="Century Gothic"/>
          <w:i/>
          <w:color w:val="000000" w:themeColor="text1"/>
          <w:sz w:val="20"/>
          <w:szCs w:val="20"/>
        </w:rPr>
        <w:t xml:space="preserve">del Fondo </w:t>
      </w:r>
      <w:r w:rsidR="00D722D2" w:rsidRPr="006D2D7E">
        <w:rPr>
          <w:rFonts w:ascii="Verdana" w:eastAsia="Century Gothic" w:hAnsi="Verdana" w:cs="Century Gothic"/>
          <w:i/>
          <w:color w:val="000000" w:themeColor="text1"/>
          <w:sz w:val="20"/>
          <w:szCs w:val="20"/>
        </w:rPr>
        <w:t>Adaptación</w:t>
      </w:r>
      <w:r w:rsidRPr="006D2D7E">
        <w:rPr>
          <w:rFonts w:ascii="Verdana" w:eastAsia="Century Gothic" w:hAnsi="Verdana" w:cs="Century Gothic"/>
          <w:i/>
          <w:color w:val="000000" w:themeColor="text1"/>
          <w:sz w:val="20"/>
          <w:szCs w:val="20"/>
        </w:rPr>
        <w:t xml:space="preserve"> entre 2015 y 2018 y qué normas lo definieron? </w:t>
      </w:r>
    </w:p>
    <w:p w14:paraId="617930D6" w14:textId="77777777"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2.</w:t>
      </w:r>
      <w:r w:rsidRPr="006D2D7E">
        <w:rPr>
          <w:rFonts w:ascii="Verdana" w:eastAsia="Century Gothic" w:hAnsi="Verdana" w:cs="Century Gothic"/>
          <w:i/>
          <w:color w:val="000000" w:themeColor="text1"/>
          <w:sz w:val="20"/>
          <w:szCs w:val="20"/>
        </w:rPr>
        <w:t>¿</w:t>
      </w:r>
      <w:proofErr w:type="gramEnd"/>
      <w:r w:rsidRPr="006D2D7E">
        <w:rPr>
          <w:rFonts w:ascii="Verdana" w:eastAsia="Century Gothic" w:hAnsi="Verdana" w:cs="Century Gothic"/>
          <w:i/>
          <w:color w:val="000000" w:themeColor="text1"/>
          <w:sz w:val="20"/>
          <w:szCs w:val="20"/>
        </w:rPr>
        <w:t xml:space="preserve">Cuáles fueron las modalidades de contratación previstas en dicho régimen especial? </w:t>
      </w:r>
    </w:p>
    <w:p w14:paraId="01537775" w14:textId="5CAB3B1E"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3. </w:t>
      </w:r>
      <w:r w:rsidRPr="006D2D7E">
        <w:rPr>
          <w:rFonts w:ascii="Verdana" w:eastAsia="Century Gothic" w:hAnsi="Verdana" w:cs="Century Gothic"/>
          <w:i/>
          <w:color w:val="000000" w:themeColor="text1"/>
          <w:sz w:val="20"/>
          <w:szCs w:val="20"/>
        </w:rPr>
        <w:t xml:space="preserve">¿La contratación directa de proyectos de vivienda de </w:t>
      </w:r>
      <w:r w:rsidR="00D722D2" w:rsidRPr="006D2D7E">
        <w:rPr>
          <w:rFonts w:ascii="Verdana" w:eastAsia="Century Gothic" w:hAnsi="Verdana" w:cs="Century Gothic"/>
          <w:i/>
          <w:color w:val="000000" w:themeColor="text1"/>
          <w:sz w:val="20"/>
          <w:szCs w:val="20"/>
        </w:rPr>
        <w:t>interés</w:t>
      </w:r>
      <w:r w:rsidRPr="006D2D7E">
        <w:rPr>
          <w:rFonts w:ascii="Verdana" w:eastAsia="Century Gothic" w:hAnsi="Verdana" w:cs="Century Gothic"/>
          <w:i/>
          <w:color w:val="000000" w:themeColor="text1"/>
          <w:sz w:val="20"/>
          <w:szCs w:val="20"/>
        </w:rPr>
        <w:t xml:space="preserve"> prioritario,</w:t>
      </w:r>
      <w:r>
        <w:rPr>
          <w:rFonts w:ascii="Verdana" w:eastAsia="Century Gothic" w:hAnsi="Verdana" w:cs="Century Gothic"/>
          <w:i/>
          <w:color w:val="000000" w:themeColor="text1"/>
          <w:sz w:val="20"/>
          <w:szCs w:val="20"/>
        </w:rPr>
        <w:t xml:space="preserve"> </w:t>
      </w:r>
      <w:r w:rsidRPr="006D2D7E">
        <w:rPr>
          <w:rFonts w:ascii="Verdana" w:eastAsia="Century Gothic" w:hAnsi="Verdana" w:cs="Century Gothic"/>
          <w:i/>
          <w:color w:val="000000" w:themeColor="text1"/>
          <w:sz w:val="20"/>
          <w:szCs w:val="20"/>
        </w:rPr>
        <w:t xml:space="preserve">prevista en el artículo 2 del Decreto 203 de 2015, era legal y viable sin </w:t>
      </w:r>
      <w:r>
        <w:rPr>
          <w:rFonts w:ascii="Verdana" w:eastAsia="Century Gothic" w:hAnsi="Verdana" w:cs="Century Gothic"/>
          <w:i/>
          <w:color w:val="000000" w:themeColor="text1"/>
          <w:sz w:val="20"/>
          <w:szCs w:val="20"/>
        </w:rPr>
        <w:t xml:space="preserve">  </w:t>
      </w:r>
      <w:r w:rsidR="00D722D2" w:rsidRPr="006D2D7E">
        <w:rPr>
          <w:rFonts w:ascii="Verdana" w:eastAsia="Century Gothic" w:hAnsi="Verdana" w:cs="Century Gothic"/>
          <w:i/>
          <w:color w:val="000000" w:themeColor="text1"/>
          <w:sz w:val="20"/>
          <w:szCs w:val="20"/>
        </w:rPr>
        <w:t>restricción</w:t>
      </w:r>
      <w:r w:rsidRPr="006D2D7E">
        <w:rPr>
          <w:rFonts w:ascii="Verdana" w:eastAsia="Century Gothic" w:hAnsi="Verdana" w:cs="Century Gothic"/>
          <w:i/>
          <w:color w:val="000000" w:themeColor="text1"/>
          <w:sz w:val="20"/>
          <w:szCs w:val="20"/>
        </w:rPr>
        <w:t xml:space="preserve"> de cuantía? </w:t>
      </w:r>
    </w:p>
    <w:p w14:paraId="7A1A84B0" w14:textId="396342D8" w:rsidR="00C13AAF" w:rsidRPr="006D2D7E" w:rsidRDefault="00C13AAF" w:rsidP="00C13AAF">
      <w:pPr>
        <w:spacing w:after="0"/>
        <w:ind w:left="709"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4. </w:t>
      </w:r>
      <w:r w:rsidRPr="006D2D7E">
        <w:rPr>
          <w:rFonts w:ascii="Verdana" w:eastAsia="Century Gothic" w:hAnsi="Verdana" w:cs="Century Gothic"/>
          <w:i/>
          <w:color w:val="000000" w:themeColor="text1"/>
          <w:sz w:val="20"/>
          <w:szCs w:val="20"/>
        </w:rPr>
        <w:t xml:space="preserve">¿Los manuales de contratación del Fondo (Resoluciones 095 y 836 </w:t>
      </w:r>
      <w:proofErr w:type="gramStart"/>
      <w:r w:rsidRPr="006D2D7E">
        <w:rPr>
          <w:rFonts w:ascii="Verdana" w:eastAsia="Century Gothic" w:hAnsi="Verdana" w:cs="Century Gothic"/>
          <w:i/>
          <w:color w:val="000000" w:themeColor="text1"/>
          <w:sz w:val="20"/>
          <w:szCs w:val="20"/>
        </w:rPr>
        <w:t xml:space="preserve">de </w:t>
      </w:r>
      <w:r>
        <w:rPr>
          <w:rFonts w:ascii="Verdana" w:eastAsia="Century Gothic" w:hAnsi="Verdana" w:cs="Century Gothic"/>
          <w:i/>
          <w:color w:val="000000" w:themeColor="text1"/>
          <w:sz w:val="20"/>
          <w:szCs w:val="20"/>
        </w:rPr>
        <w:t xml:space="preserve"> </w:t>
      </w:r>
      <w:r w:rsidRPr="006D2D7E">
        <w:rPr>
          <w:rFonts w:ascii="Verdana" w:eastAsia="Century Gothic" w:hAnsi="Verdana" w:cs="Century Gothic"/>
          <w:i/>
          <w:color w:val="000000" w:themeColor="text1"/>
          <w:sz w:val="20"/>
          <w:szCs w:val="20"/>
        </w:rPr>
        <w:t>2015</w:t>
      </w:r>
      <w:proofErr w:type="gramEnd"/>
      <w:r w:rsidRPr="006D2D7E">
        <w:rPr>
          <w:rFonts w:ascii="Verdana" w:eastAsia="Century Gothic" w:hAnsi="Verdana" w:cs="Century Gothic"/>
          <w:i/>
          <w:color w:val="000000" w:themeColor="text1"/>
          <w:sz w:val="20"/>
          <w:szCs w:val="20"/>
        </w:rPr>
        <w:t xml:space="preserve">) fueron instrumentos </w:t>
      </w:r>
      <w:r w:rsidR="00D722D2" w:rsidRPr="006D2D7E">
        <w:rPr>
          <w:rFonts w:ascii="Verdana" w:eastAsia="Century Gothic" w:hAnsi="Verdana" w:cs="Century Gothic"/>
          <w:i/>
          <w:color w:val="000000" w:themeColor="text1"/>
          <w:sz w:val="20"/>
          <w:szCs w:val="20"/>
        </w:rPr>
        <w:t>legítimos</w:t>
      </w:r>
      <w:r w:rsidRPr="006D2D7E">
        <w:rPr>
          <w:rFonts w:ascii="Verdana" w:eastAsia="Century Gothic" w:hAnsi="Verdana" w:cs="Century Gothic"/>
          <w:i/>
          <w:color w:val="000000" w:themeColor="text1"/>
          <w:sz w:val="20"/>
          <w:szCs w:val="20"/>
        </w:rPr>
        <w:t xml:space="preserve"> y coherentes con las </w:t>
      </w:r>
      <w:proofErr w:type="gramStart"/>
      <w:r w:rsidRPr="006D2D7E">
        <w:rPr>
          <w:rFonts w:ascii="Verdana" w:eastAsia="Century Gothic" w:hAnsi="Verdana" w:cs="Century Gothic"/>
          <w:i/>
          <w:color w:val="000000" w:themeColor="text1"/>
          <w:sz w:val="20"/>
          <w:szCs w:val="20"/>
        </w:rPr>
        <w:t xml:space="preserve">disposiciones </w:t>
      </w:r>
      <w:r>
        <w:rPr>
          <w:rFonts w:ascii="Verdana" w:eastAsia="Century Gothic" w:hAnsi="Verdana" w:cs="Century Gothic"/>
          <w:i/>
          <w:color w:val="000000" w:themeColor="text1"/>
          <w:sz w:val="20"/>
          <w:szCs w:val="20"/>
        </w:rPr>
        <w:t xml:space="preserve"> </w:t>
      </w:r>
      <w:r w:rsidRPr="006D2D7E">
        <w:rPr>
          <w:rFonts w:ascii="Verdana" w:eastAsia="Century Gothic" w:hAnsi="Verdana" w:cs="Century Gothic"/>
          <w:i/>
          <w:color w:val="000000" w:themeColor="text1"/>
          <w:sz w:val="20"/>
          <w:szCs w:val="20"/>
        </w:rPr>
        <w:t>normativas</w:t>
      </w:r>
      <w:proofErr w:type="gramEnd"/>
      <w:r w:rsidRPr="006D2D7E">
        <w:rPr>
          <w:rFonts w:ascii="Verdana" w:eastAsia="Century Gothic" w:hAnsi="Verdana" w:cs="Century Gothic"/>
          <w:i/>
          <w:color w:val="000000" w:themeColor="text1"/>
          <w:sz w:val="20"/>
          <w:szCs w:val="20"/>
        </w:rPr>
        <w:t xml:space="preserve"> superiores que reglamentaban la contratación de la entidad? </w:t>
      </w:r>
    </w:p>
    <w:p w14:paraId="66615530" w14:textId="77777777" w:rsidR="00C13AAF" w:rsidRPr="008F3EE4" w:rsidRDefault="00C13AAF" w:rsidP="00C13AAF">
      <w:pPr>
        <w:spacing w:after="0"/>
        <w:ind w:left="709" w:right="709"/>
        <w:contextualSpacing/>
        <w:jc w:val="both"/>
        <w:rPr>
          <w:rFonts w:ascii="Verdana" w:eastAsia="Century Gothic" w:hAnsi="Verdana" w:cs="Century Gothic"/>
          <w:i/>
          <w:iCs/>
          <w:color w:val="000000" w:themeColor="text1"/>
          <w:sz w:val="20"/>
          <w:szCs w:val="20"/>
          <w:lang w:val="es-ES"/>
        </w:rPr>
      </w:pPr>
      <w:r w:rsidRPr="008F3EE4">
        <w:rPr>
          <w:rFonts w:ascii="Verdana" w:eastAsia="Century Gothic" w:hAnsi="Verdana" w:cs="Century Gothic"/>
          <w:i/>
          <w:iCs/>
          <w:color w:val="000000" w:themeColor="text1"/>
          <w:sz w:val="20"/>
          <w:szCs w:val="20"/>
          <w:lang w:val="es-ES"/>
        </w:rPr>
        <w:t xml:space="preserve"> […]”</w:t>
      </w:r>
    </w:p>
    <w:p w14:paraId="3F0E048E" w14:textId="77777777" w:rsidR="00C13AAF" w:rsidRPr="008F3EE4" w:rsidRDefault="00C13AAF" w:rsidP="00C13AAF">
      <w:pPr>
        <w:spacing w:after="0" w:line="276" w:lineRule="auto"/>
        <w:contextualSpacing/>
        <w:jc w:val="both"/>
        <w:rPr>
          <w:rFonts w:ascii="Verdana" w:eastAsia="Calibri" w:hAnsi="Verdana" w:cs="Arial"/>
          <w:color w:val="000000"/>
          <w:lang w:val="es-ES" w:eastAsia="es-ES"/>
        </w:rPr>
      </w:pPr>
    </w:p>
    <w:p w14:paraId="17D18791" w14:textId="77777777" w:rsidR="00C13AAF" w:rsidRPr="008F3EE4" w:rsidRDefault="00C13AAF" w:rsidP="00C13AAF">
      <w:pPr>
        <w:spacing w:after="120" w:line="276" w:lineRule="auto"/>
        <w:ind w:firstLine="709"/>
        <w:jc w:val="both"/>
        <w:rPr>
          <w:rFonts w:ascii="Verdana" w:eastAsia="Calibri" w:hAnsi="Verdana" w:cs="Arial"/>
          <w:color w:val="000000"/>
          <w:szCs w:val="24"/>
          <w:lang w:val="es-ES" w:eastAsia="es-ES_tradnl"/>
        </w:rPr>
      </w:pPr>
      <w:r w:rsidRPr="008F3EE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F3EE4">
        <w:rPr>
          <w:rFonts w:ascii="Verdana" w:eastAsia="Calibri" w:hAnsi="Verdana" w:cs="Arial"/>
          <w:color w:val="000000"/>
          <w:szCs w:val="24"/>
          <w:lang w:val="es-ES" w:eastAsia="es-ES_tradnl"/>
        </w:rPr>
        <w:tab/>
      </w:r>
    </w:p>
    <w:p w14:paraId="5C4A8032" w14:textId="77777777" w:rsidR="00C13AAF" w:rsidRPr="008F3EE4" w:rsidRDefault="00C13AAF" w:rsidP="00C13AAF">
      <w:pPr>
        <w:spacing w:after="0" w:line="276" w:lineRule="auto"/>
        <w:ind w:firstLine="709"/>
        <w:jc w:val="both"/>
        <w:rPr>
          <w:rFonts w:ascii="Verdana" w:eastAsia="Calibri" w:hAnsi="Verdana" w:cs="Arial"/>
          <w:color w:val="000000"/>
          <w:lang w:val="es-ES" w:eastAsia="es-ES"/>
        </w:rPr>
      </w:pPr>
      <w:r w:rsidRPr="008F3EE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w:t>
      </w:r>
      <w:r w:rsidRPr="008F3EE4">
        <w:rPr>
          <w:rFonts w:ascii="Verdana" w:eastAsia="Calibri" w:hAnsi="Verdana" w:cs="Arial"/>
          <w:color w:val="7030A0"/>
          <w:lang w:val="es-ES" w:eastAsia="es-ES"/>
        </w:rPr>
        <w:t xml:space="preserve"> </w:t>
      </w:r>
      <w:r w:rsidRPr="008F3EE4">
        <w:rPr>
          <w:rFonts w:ascii="Verdana" w:eastAsia="Calibri" w:hAnsi="Verdana" w:cs="Arial"/>
          <w:color w:val="000000"/>
          <w:lang w:val="es-ES" w:eastAsia="es-ES"/>
        </w:rPr>
        <w:t>jurídico</w:t>
      </w:r>
      <w:r w:rsidRPr="008F3EE4">
        <w:rPr>
          <w:rFonts w:ascii="Verdana" w:eastAsia="Calibri" w:hAnsi="Verdana" w:cs="Arial"/>
          <w:color w:val="7030A0"/>
          <w:lang w:val="es-ES" w:eastAsia="es-ES"/>
        </w:rPr>
        <w:t xml:space="preserve"> </w:t>
      </w:r>
      <w:r w:rsidRPr="008F3EE4">
        <w:rPr>
          <w:rFonts w:ascii="Verdana" w:eastAsia="Calibri" w:hAnsi="Verdana" w:cs="Arial"/>
          <w:color w:val="000000"/>
          <w:lang w:val="es-ES" w:eastAsia="es-ES"/>
        </w:rPr>
        <w:t xml:space="preserve">de su consulta. </w:t>
      </w:r>
    </w:p>
    <w:p w14:paraId="3124D2AF" w14:textId="77777777" w:rsidR="00C13AAF" w:rsidRPr="008F3EE4" w:rsidRDefault="00C13AAF" w:rsidP="00C13AAF">
      <w:pPr>
        <w:spacing w:after="0" w:line="276" w:lineRule="auto"/>
        <w:ind w:firstLine="709"/>
        <w:jc w:val="both"/>
        <w:rPr>
          <w:rFonts w:ascii="Verdana" w:eastAsia="Calibri" w:hAnsi="Verdana" w:cs="Arial"/>
          <w:color w:val="000000"/>
          <w:lang w:val="es-ES" w:eastAsia="es-ES"/>
        </w:rPr>
      </w:pPr>
    </w:p>
    <w:p w14:paraId="6CB35937" w14:textId="77777777" w:rsidR="00C13AAF" w:rsidRPr="008F3EE4" w:rsidRDefault="00C13AAF" w:rsidP="00C13AA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F3EE4">
        <w:rPr>
          <w:rFonts w:ascii="Verdana" w:eastAsia="Century Gothic" w:hAnsi="Verdana" w:cs="Century Gothic"/>
          <w:b/>
          <w:bCs/>
        </w:rPr>
        <w:t>Problema planteado:</w:t>
      </w:r>
    </w:p>
    <w:p w14:paraId="3772846C" w14:textId="77777777" w:rsidR="00C13AAF" w:rsidRPr="008F3EE4" w:rsidRDefault="00C13AAF" w:rsidP="00C13AAF">
      <w:pPr>
        <w:tabs>
          <w:tab w:val="left" w:pos="426"/>
        </w:tabs>
        <w:spacing w:after="0" w:line="276" w:lineRule="auto"/>
        <w:jc w:val="both"/>
        <w:rPr>
          <w:rFonts w:ascii="Verdana" w:eastAsia="Century Gothic" w:hAnsi="Verdana" w:cs="Century Gothic"/>
          <w:lang w:val="es-ES"/>
        </w:rPr>
      </w:pPr>
    </w:p>
    <w:p w14:paraId="3F4EFD60" w14:textId="77777777" w:rsidR="00C13AAF" w:rsidRPr="008F3EE4" w:rsidRDefault="00C13AAF" w:rsidP="00C13AAF">
      <w:pPr>
        <w:spacing w:after="0" w:line="276" w:lineRule="auto"/>
        <w:jc w:val="both"/>
        <w:rPr>
          <w:rFonts w:ascii="Verdana" w:eastAsia="Century Gothic" w:hAnsi="Verdana" w:cs="Century Gothic"/>
          <w:lang w:val="es-ES"/>
        </w:rPr>
      </w:pPr>
      <w:r w:rsidRPr="008F3EE4">
        <w:rPr>
          <w:rFonts w:ascii="Verdana" w:eastAsia="Century Gothic" w:hAnsi="Verdana" w:cs="Century Gothic"/>
          <w:lang w:val="es-ES"/>
        </w:rPr>
        <w:t>De acuerdo con el contenido de su solicitud, esta Agencia resolverá el siguiente problema jurídico: ¿Cuál ha sido el marco normativo del régimen de contratación del Fondo Adaptación?</w:t>
      </w:r>
    </w:p>
    <w:p w14:paraId="545B130E" w14:textId="77777777" w:rsidR="00C13AAF" w:rsidRPr="008F3EE4" w:rsidRDefault="00C13AAF" w:rsidP="00C13AAF">
      <w:pPr>
        <w:spacing w:after="0" w:line="276" w:lineRule="auto"/>
        <w:jc w:val="both"/>
        <w:rPr>
          <w:rFonts w:ascii="Verdana" w:eastAsia="Calibri" w:hAnsi="Verdana" w:cs="Arial"/>
          <w:color w:val="7030A0"/>
          <w:lang w:val="es-ES"/>
        </w:rPr>
      </w:pPr>
    </w:p>
    <w:p w14:paraId="44F6EF5B" w14:textId="77777777" w:rsidR="00C13AAF" w:rsidRPr="008F3EE4" w:rsidRDefault="00C13AAF" w:rsidP="00C13A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3EE4">
        <w:rPr>
          <w:rFonts w:ascii="Verdana" w:eastAsia="Century Gothic" w:hAnsi="Verdana" w:cs="Century Gothic"/>
          <w:b/>
          <w:bCs/>
        </w:rPr>
        <w:t>Respuesta:</w:t>
      </w:r>
    </w:p>
    <w:p w14:paraId="504945C8" w14:textId="77777777" w:rsidR="00C13AAF" w:rsidRPr="008F3EE4" w:rsidRDefault="00C13AAF" w:rsidP="00C13AA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3AAF" w:rsidRPr="008F3EE4" w14:paraId="64B9CABE" w14:textId="77777777" w:rsidTr="000F2D28">
        <w:tc>
          <w:tcPr>
            <w:tcW w:w="8828" w:type="dxa"/>
          </w:tcPr>
          <w:p w14:paraId="2606EDB0" w14:textId="77777777" w:rsidR="00C13AAF" w:rsidRPr="008F3EE4" w:rsidRDefault="00C13AAF" w:rsidP="000F2D28">
            <w:pPr>
              <w:spacing w:before="120" w:after="120" w:line="276" w:lineRule="auto"/>
              <w:jc w:val="both"/>
              <w:rPr>
                <w:rFonts w:ascii="Verdana" w:eastAsia="Calibri" w:hAnsi="Verdana" w:cs="Arial"/>
                <w:lang w:val="es-ES"/>
              </w:rPr>
            </w:pPr>
            <w:r w:rsidRPr="008F3EE4">
              <w:rPr>
                <w:rFonts w:ascii="Verdana" w:eastAsia="Calibri" w:hAnsi="Verdana" w:cs="Arial"/>
                <w:lang w:val="es-ES"/>
              </w:rPr>
              <w:t>El régimen del Fondo Adaptación ha variado con el tiempo en virtud de disposiciones de carácter legal que han establecido la aplicación del derecho privado o del E</w:t>
            </w:r>
            <w:r>
              <w:rPr>
                <w:rFonts w:ascii="Verdana" w:eastAsia="Calibri" w:hAnsi="Verdana" w:cs="Arial"/>
                <w:lang w:val="es-ES"/>
              </w:rPr>
              <w:t xml:space="preserve">statuto </w:t>
            </w:r>
            <w:r w:rsidRPr="008F3EE4">
              <w:rPr>
                <w:rFonts w:ascii="Verdana" w:eastAsia="Calibri" w:hAnsi="Verdana" w:cs="Arial"/>
                <w:lang w:val="es-ES"/>
              </w:rPr>
              <w:t>G</w:t>
            </w:r>
            <w:r>
              <w:rPr>
                <w:rFonts w:ascii="Verdana" w:eastAsia="Calibri" w:hAnsi="Verdana" w:cs="Arial"/>
                <w:lang w:val="es-ES"/>
              </w:rPr>
              <w:t xml:space="preserve">eneral de </w:t>
            </w:r>
            <w:r w:rsidRPr="008F3EE4">
              <w:rPr>
                <w:rFonts w:ascii="Verdana" w:eastAsia="Calibri" w:hAnsi="Verdana" w:cs="Arial"/>
                <w:lang w:val="es-ES"/>
              </w:rPr>
              <w:t>C</w:t>
            </w:r>
            <w:r>
              <w:rPr>
                <w:rFonts w:ascii="Verdana" w:eastAsia="Calibri" w:hAnsi="Verdana" w:cs="Arial"/>
                <w:lang w:val="es-ES"/>
              </w:rPr>
              <w:t xml:space="preserve">ontratación de la </w:t>
            </w:r>
            <w:r w:rsidRPr="008F3EE4">
              <w:rPr>
                <w:rFonts w:ascii="Verdana" w:eastAsia="Calibri" w:hAnsi="Verdana" w:cs="Arial"/>
                <w:lang w:val="es-ES"/>
              </w:rPr>
              <w:t>A</w:t>
            </w:r>
            <w:r>
              <w:rPr>
                <w:rFonts w:ascii="Verdana" w:eastAsia="Calibri" w:hAnsi="Verdana" w:cs="Arial"/>
                <w:lang w:val="es-ES"/>
              </w:rPr>
              <w:t xml:space="preserve">dministración </w:t>
            </w:r>
            <w:r w:rsidRPr="008F3EE4">
              <w:rPr>
                <w:rFonts w:ascii="Verdana" w:eastAsia="Calibri" w:hAnsi="Verdana" w:cs="Arial"/>
                <w:lang w:val="es-ES"/>
              </w:rPr>
              <w:t>P</w:t>
            </w:r>
            <w:r>
              <w:rPr>
                <w:rFonts w:ascii="Verdana" w:eastAsia="Calibri" w:hAnsi="Verdana" w:cs="Arial"/>
                <w:lang w:val="es-ES"/>
              </w:rPr>
              <w:t>ública (EGCAP)</w:t>
            </w:r>
            <w:r w:rsidRPr="008F3EE4">
              <w:rPr>
                <w:rFonts w:ascii="Verdana" w:eastAsia="Calibri" w:hAnsi="Verdana" w:cs="Arial"/>
                <w:lang w:val="es-ES"/>
              </w:rPr>
              <w:t>.</w:t>
            </w:r>
          </w:p>
          <w:p w14:paraId="72D93F38" w14:textId="103A4081" w:rsidR="00C13AAF" w:rsidRPr="008F3EE4" w:rsidRDefault="00C13AAF" w:rsidP="000F2D28">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En términos generales, distintas normas dispusieron la aplicación de un régimen especial de derecho privado para </w:t>
            </w:r>
            <w:r>
              <w:rPr>
                <w:rFonts w:ascii="Verdana" w:eastAsia="Calibri" w:hAnsi="Verdana" w:cs="Arial"/>
                <w:lang w:val="es-ES"/>
              </w:rPr>
              <w:t xml:space="preserve">la </w:t>
            </w:r>
            <w:r w:rsidRPr="008F3EE4">
              <w:rPr>
                <w:rFonts w:ascii="Verdana" w:eastAsia="Calibri" w:hAnsi="Verdana" w:cs="Arial"/>
                <w:lang w:val="es-ES"/>
              </w:rPr>
              <w:t xml:space="preserve">contratación del Fondo Adaptación desde la expedición del Decreto-Ley 4819 del 29 de diciembre de 2010 hasta el 31 de diciembre de 2018, tal como lo </w:t>
            </w:r>
            <w:r>
              <w:rPr>
                <w:rFonts w:ascii="Verdana" w:eastAsia="Calibri" w:hAnsi="Verdana" w:cs="Arial"/>
                <w:lang w:val="es-ES"/>
              </w:rPr>
              <w:t xml:space="preserve">señala </w:t>
            </w:r>
            <w:r w:rsidRPr="008F3EE4">
              <w:rPr>
                <w:rFonts w:ascii="Verdana" w:eastAsia="Calibri" w:hAnsi="Verdana" w:cs="Arial"/>
                <w:lang w:val="es-ES"/>
              </w:rPr>
              <w:t xml:space="preserve">la Ley 1753 de 2015. Entre el </w:t>
            </w:r>
            <w:r w:rsidR="00D60488">
              <w:rPr>
                <w:rFonts w:ascii="Verdana" w:eastAsia="Calibri" w:hAnsi="Verdana" w:cs="Arial"/>
                <w:lang w:val="es-ES"/>
              </w:rPr>
              <w:t>1</w:t>
            </w:r>
            <w:r w:rsidRPr="008F3EE4">
              <w:rPr>
                <w:rFonts w:ascii="Verdana" w:eastAsia="Calibri" w:hAnsi="Verdana" w:cs="Arial"/>
                <w:lang w:val="es-ES"/>
              </w:rPr>
              <w:t xml:space="preserve"> de enero y el 25 de mayo de 2019 su contratación se rigió por el EGCAP, al no existir norma que exceptuara su aplicación; desde esta última fecha y hasta el 31 de diciembre del mismo año, su contratación se sometió nuevamente a un régimen de derecho privado, por expresa disposición de la Ley 1955 de 2019, </w:t>
            </w:r>
            <w:r>
              <w:rPr>
                <w:rFonts w:ascii="Verdana" w:eastAsia="Calibri" w:hAnsi="Verdana" w:cs="Arial"/>
                <w:lang w:val="es-ES"/>
              </w:rPr>
              <w:t xml:space="preserve">Ley del </w:t>
            </w:r>
            <w:r w:rsidRPr="008F3EE4">
              <w:rPr>
                <w:rFonts w:ascii="Verdana" w:eastAsia="Calibri" w:hAnsi="Verdana" w:cs="Arial"/>
                <w:lang w:val="es-ES"/>
              </w:rPr>
              <w:t xml:space="preserve">Plan Nacional de Desarrollo. Finalmente, a partir del primero de enero del 2020 la contratación del Fondo se sujeta en su totalidad al EGCAP. </w:t>
            </w:r>
          </w:p>
          <w:p w14:paraId="135B2FB9" w14:textId="77777777" w:rsidR="00C13AAF" w:rsidRPr="008F3EE4" w:rsidRDefault="00C13AAF" w:rsidP="000F2D28">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Sin embargo, </w:t>
            </w:r>
            <w:r>
              <w:rPr>
                <w:rFonts w:ascii="Verdana" w:eastAsia="Calibri" w:hAnsi="Verdana" w:cs="Arial"/>
                <w:lang w:val="es-ES"/>
              </w:rPr>
              <w:t xml:space="preserve">es importante resaltar que </w:t>
            </w:r>
            <w:r w:rsidRPr="008F3EE4">
              <w:rPr>
                <w:rFonts w:ascii="Verdana" w:eastAsia="Calibri" w:hAnsi="Verdana" w:cs="Arial"/>
                <w:lang w:val="es-ES"/>
              </w:rPr>
              <w:t xml:space="preserve">este concepto hace un recuento de la normativa del régimen de contratación </w:t>
            </w:r>
            <w:r>
              <w:rPr>
                <w:rFonts w:ascii="Verdana" w:eastAsia="Calibri" w:hAnsi="Verdana" w:cs="Arial"/>
                <w:lang w:val="es-ES"/>
              </w:rPr>
              <w:t xml:space="preserve">y las modalidades de selección aplicables a la contratación </w:t>
            </w:r>
            <w:r w:rsidRPr="008F3EE4">
              <w:rPr>
                <w:rFonts w:ascii="Verdana" w:eastAsia="Calibri" w:hAnsi="Verdana" w:cs="Arial"/>
                <w:lang w:val="es-ES"/>
              </w:rPr>
              <w:t xml:space="preserve">del Fondo Adaptación. Dado que este ha sido modificado por numerosas disposiciones, es indispensable que los interesados consideren en su análisis los periodos específicos de vigencia de </w:t>
            </w:r>
            <w:r>
              <w:rPr>
                <w:rFonts w:ascii="Verdana" w:eastAsia="Calibri" w:hAnsi="Verdana" w:cs="Arial"/>
                <w:lang w:val="es-ES"/>
              </w:rPr>
              <w:t>cada norma</w:t>
            </w:r>
            <w:r w:rsidRPr="008F3EE4">
              <w:rPr>
                <w:rFonts w:ascii="Verdana" w:eastAsia="Calibri" w:hAnsi="Verdana" w:cs="Arial"/>
                <w:lang w:val="es-ES"/>
              </w:rPr>
              <w:t>, así como los supuestos de hecho a los cuales se refiere para habilitar la aplicación del derecho privado y las condiciones de las modalidades específicas de selección del régimen especial que son aplicables en determinado momento.</w:t>
            </w:r>
          </w:p>
          <w:p w14:paraId="2C4280BC" w14:textId="77777777" w:rsidR="00C13AAF" w:rsidRPr="008F3EE4" w:rsidRDefault="00C13AAF" w:rsidP="000F2D28">
            <w:pPr>
              <w:spacing w:before="120" w:line="276" w:lineRule="auto"/>
              <w:ind w:firstLine="709"/>
              <w:jc w:val="both"/>
              <w:rPr>
                <w:rFonts w:ascii="Verdana" w:hAnsi="Verdana" w:cs="Arial"/>
                <w:color w:val="000000" w:themeColor="text1"/>
                <w:lang w:val="es-ES"/>
              </w:rPr>
            </w:pPr>
            <w:r w:rsidRPr="008F3EE4">
              <w:rPr>
                <w:rFonts w:ascii="Verdana" w:eastAsia="Calibri" w:hAnsi="Verdana" w:cs="Arial"/>
                <w:lang w:val="es-ES"/>
              </w:rPr>
              <w:t xml:space="preserve">Al margen de lo anterior, esta Agencia </w:t>
            </w:r>
            <w:r w:rsidRPr="008F3EE4">
              <w:rPr>
                <w:rFonts w:ascii="Verdana" w:eastAsia="Arial" w:hAnsi="Verdana" w:cs="Arial"/>
                <w:lang w:val="es-ES"/>
              </w:rPr>
              <w:t xml:space="preserve">advierte que el análisis sobre la aplicación de la normativa expuesta a un contrato específico celebrado por el Fondo Adaptación 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w:t>
            </w:r>
            <w:r w:rsidRPr="008F3EE4">
              <w:rPr>
                <w:rFonts w:ascii="Verdana" w:eastAsia="Arial" w:hAnsi="Verdana" w:cs="Arial"/>
                <w:lang w:val="es-ES"/>
              </w:rPr>
              <w:lastRenderedPageBreak/>
              <w:t xml:space="preserve">situaciones particulares corresponde a los interesados en adoptar la decisión y, en caso de conflicto, a las autoridades judiciales, fiscales y disciplinarias.  </w:t>
            </w:r>
          </w:p>
          <w:p w14:paraId="0E516C70" w14:textId="77777777" w:rsidR="00C13AAF" w:rsidRPr="002A25D6" w:rsidRDefault="00C13AAF" w:rsidP="000F2D28">
            <w:pPr>
              <w:spacing w:before="120" w:line="276" w:lineRule="auto"/>
              <w:ind w:firstLine="709"/>
              <w:jc w:val="both"/>
              <w:rPr>
                <w:rFonts w:ascii="Verdana" w:eastAsia="Arial" w:hAnsi="Verdana" w:cs="Arial"/>
                <w:lang w:val="es-ES"/>
              </w:rPr>
            </w:pPr>
            <w:r w:rsidRPr="008F3EE4">
              <w:rPr>
                <w:rFonts w:ascii="Verdana" w:eastAsia="Arial" w:hAnsi="Verdana" w:cs="Arial"/>
                <w:bCs/>
                <w:lang w:val="es-ES"/>
              </w:rPr>
              <w:t xml:space="preserve">De esta manera, al tratarse de un análisis </w:t>
            </w:r>
            <w:r>
              <w:rPr>
                <w:rFonts w:ascii="Verdana" w:eastAsia="Arial" w:hAnsi="Verdana" w:cs="Arial"/>
                <w:bCs/>
                <w:lang w:val="es-ES"/>
              </w:rPr>
              <w:t xml:space="preserve">de </w:t>
            </w:r>
            <w:r w:rsidRPr="008F3EE4">
              <w:rPr>
                <w:rFonts w:ascii="Verdana" w:eastAsia="Arial" w:hAnsi="Verdana" w:cs="Arial"/>
                <w:bCs/>
                <w:lang w:val="es-ES"/>
              </w:rPr>
              <w:t>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solución de casos particulares corresponde a la entidad que debe adoptar la decisión correspondiente para atender</w:t>
            </w:r>
            <w:r>
              <w:rPr>
                <w:rFonts w:ascii="Verdana" w:eastAsia="Arial" w:hAnsi="Verdana" w:cs="Arial"/>
                <w:bCs/>
                <w:lang w:val="es-ES"/>
              </w:rPr>
              <w:t xml:space="preserve"> sus necesidades</w:t>
            </w:r>
            <w:r w:rsidRPr="008F3EE4">
              <w:rPr>
                <w:rFonts w:ascii="Verdana" w:eastAsia="Arial" w:hAnsi="Verdana" w:cs="Arial"/>
                <w:bCs/>
                <w:lang w:val="es-ES"/>
              </w:rPr>
              <w:t>.</w:t>
            </w:r>
          </w:p>
        </w:tc>
      </w:tr>
    </w:tbl>
    <w:p w14:paraId="46A3D4DB" w14:textId="77777777" w:rsidR="00C13AAF" w:rsidRPr="008F3EE4" w:rsidRDefault="00C13AAF" w:rsidP="00C13AAF">
      <w:pPr>
        <w:tabs>
          <w:tab w:val="left" w:pos="142"/>
          <w:tab w:val="left" w:pos="284"/>
        </w:tabs>
        <w:spacing w:after="0" w:line="276" w:lineRule="auto"/>
        <w:jc w:val="both"/>
        <w:rPr>
          <w:rFonts w:ascii="Verdana" w:eastAsia="Century Gothic" w:hAnsi="Verdana" w:cs="Century Gothic"/>
          <w:b/>
          <w:bCs/>
          <w:lang w:val="es-ES"/>
        </w:rPr>
      </w:pPr>
    </w:p>
    <w:p w14:paraId="1629BCBD" w14:textId="77777777" w:rsidR="00C13AAF" w:rsidRPr="008F3EE4" w:rsidRDefault="00C13AAF" w:rsidP="00C13A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3EE4">
        <w:rPr>
          <w:rFonts w:ascii="Verdana" w:eastAsia="Century Gothic" w:hAnsi="Verdana" w:cs="Century Gothic"/>
          <w:b/>
          <w:bCs/>
        </w:rPr>
        <w:t>Razones de la respuesta:</w:t>
      </w:r>
    </w:p>
    <w:p w14:paraId="5A3A56B5" w14:textId="77777777" w:rsidR="00C13AAF" w:rsidRPr="008F3EE4" w:rsidRDefault="00C13AAF" w:rsidP="00C13AAF">
      <w:pPr>
        <w:spacing w:after="0" w:line="276" w:lineRule="auto"/>
        <w:jc w:val="both"/>
        <w:rPr>
          <w:rFonts w:ascii="Verdana" w:eastAsia="Calibri" w:hAnsi="Verdana" w:cs="Arial"/>
          <w:color w:val="7030A0"/>
          <w:lang w:val="es-ES"/>
        </w:rPr>
      </w:pPr>
    </w:p>
    <w:p w14:paraId="0B1D3280" w14:textId="77777777" w:rsidR="00C13AAF" w:rsidRPr="008F3EE4" w:rsidRDefault="00C13AAF" w:rsidP="00C13AAF">
      <w:pPr>
        <w:spacing w:after="0" w:line="276" w:lineRule="auto"/>
        <w:jc w:val="both"/>
        <w:rPr>
          <w:rFonts w:ascii="Verdana" w:eastAsia="Calibri" w:hAnsi="Verdana" w:cs="Arial"/>
          <w:lang w:val="es-ES"/>
        </w:rPr>
      </w:pPr>
      <w:r w:rsidRPr="008F3EE4">
        <w:rPr>
          <w:rFonts w:ascii="Verdana" w:eastAsia="Calibri" w:hAnsi="Verdana" w:cs="Arial"/>
          <w:lang w:val="es-ES"/>
        </w:rPr>
        <w:t xml:space="preserve">Lo anterior se sustenta en las siguientes consideraciones: </w:t>
      </w:r>
    </w:p>
    <w:p w14:paraId="7A271CAE" w14:textId="77777777" w:rsidR="00C13AAF" w:rsidRPr="008F3EE4" w:rsidRDefault="00C13AAF" w:rsidP="00C13AAF">
      <w:pPr>
        <w:spacing w:after="0" w:line="276" w:lineRule="auto"/>
        <w:jc w:val="both"/>
        <w:rPr>
          <w:rFonts w:ascii="Verdana" w:eastAsia="Calibri" w:hAnsi="Verdana" w:cs="Arial"/>
          <w:lang w:val="es-ES"/>
        </w:rPr>
      </w:pPr>
    </w:p>
    <w:p w14:paraId="49844AA7" w14:textId="77777777" w:rsidR="00C13AAF" w:rsidRPr="008F3EE4" w:rsidRDefault="00C13AAF" w:rsidP="00C13AAF">
      <w:pPr>
        <w:widowControl w:val="0"/>
        <w:autoSpaceDE w:val="0"/>
        <w:autoSpaceDN w:val="0"/>
        <w:spacing w:after="0" w:line="276" w:lineRule="auto"/>
        <w:ind w:right="81"/>
        <w:jc w:val="both"/>
        <w:rPr>
          <w:rFonts w:ascii="Verdana" w:eastAsia="Verdana" w:hAnsi="Verdana" w:cs="Verdana"/>
          <w:lang w:val="es-ES"/>
        </w:rPr>
      </w:pPr>
      <w:bookmarkStart w:id="0" w:name="_Hlk35882939"/>
      <w:r w:rsidRPr="008F3EE4">
        <w:rPr>
          <w:rFonts w:ascii="Verdana" w:eastAsia="Calibri" w:hAnsi="Verdana" w:cs="Arial"/>
          <w:lang w:val="es-ES"/>
        </w:rPr>
        <w:t xml:space="preserve">i) </w:t>
      </w:r>
      <w:bookmarkEnd w:id="0"/>
      <w:r w:rsidRPr="008F3EE4">
        <w:rPr>
          <w:rFonts w:ascii="Verdana" w:eastAsia="Verdana" w:hAnsi="Verdana" w:cs="Verdana"/>
          <w:lang w:val="es-ES"/>
        </w:rPr>
        <w:t>El ordenamiento jurídico colombiano contempla como categoría única la noción de contratos estatales, pero acepta la posibilidad de que tengan regímenes jurídicos diferenciados.</w:t>
      </w:r>
      <w:r w:rsidRPr="008F3EE4">
        <w:rPr>
          <w:rFonts w:ascii="Verdana" w:eastAsia="Verdana" w:hAnsi="Verdana" w:cs="Verdana"/>
          <w:spacing w:val="-5"/>
          <w:lang w:val="es-ES"/>
        </w:rPr>
        <w:t xml:space="preserve"> </w:t>
      </w:r>
      <w:r w:rsidRPr="008F3EE4">
        <w:rPr>
          <w:rFonts w:ascii="Verdana" w:eastAsia="Verdana" w:hAnsi="Verdana" w:cs="Verdana"/>
          <w:lang w:val="es-ES"/>
        </w:rPr>
        <w:t>En</w:t>
      </w:r>
      <w:r w:rsidRPr="008F3EE4">
        <w:rPr>
          <w:rFonts w:ascii="Verdana" w:eastAsia="Verdana" w:hAnsi="Verdana" w:cs="Verdana"/>
          <w:spacing w:val="-10"/>
          <w:lang w:val="es-ES"/>
        </w:rPr>
        <w:t xml:space="preserve"> </w:t>
      </w:r>
      <w:r w:rsidRPr="008F3EE4">
        <w:rPr>
          <w:rFonts w:ascii="Verdana" w:eastAsia="Verdana" w:hAnsi="Verdana" w:cs="Verdana"/>
          <w:lang w:val="es-ES"/>
        </w:rPr>
        <w:t>consecuencia, los contratos</w:t>
      </w:r>
      <w:r w:rsidRPr="008F3EE4">
        <w:rPr>
          <w:rFonts w:ascii="Verdana" w:eastAsia="Verdana" w:hAnsi="Verdana" w:cs="Verdana"/>
          <w:spacing w:val="-7"/>
          <w:lang w:val="es-ES"/>
        </w:rPr>
        <w:t xml:space="preserve"> </w:t>
      </w:r>
      <w:r w:rsidRPr="008F3EE4">
        <w:rPr>
          <w:rFonts w:ascii="Verdana" w:eastAsia="Verdana" w:hAnsi="Verdana" w:cs="Verdana"/>
          <w:lang w:val="es-ES"/>
        </w:rPr>
        <w:t>estatales</w:t>
      </w:r>
      <w:r w:rsidRPr="008F3EE4">
        <w:rPr>
          <w:rFonts w:ascii="Verdana" w:eastAsia="Verdana" w:hAnsi="Verdana" w:cs="Verdana"/>
          <w:spacing w:val="-8"/>
          <w:lang w:val="es-ES"/>
        </w:rPr>
        <w:t xml:space="preserve"> pueden estar </w:t>
      </w:r>
      <w:r w:rsidRPr="008F3EE4">
        <w:rPr>
          <w:rFonts w:ascii="Verdana" w:eastAsia="Verdana" w:hAnsi="Verdana" w:cs="Verdana"/>
          <w:lang w:val="es-ES"/>
        </w:rPr>
        <w:t>sometidos al Estatuto General de Contratación de la Administración Pública –en adelante EGCAP- (Ley 80 de 1993, 1150 de 2007 y disposiciones complementarias), o estar sujetos a</w:t>
      </w:r>
      <w:r w:rsidRPr="008F3EE4">
        <w:rPr>
          <w:rFonts w:ascii="Verdana" w:eastAsia="Verdana" w:hAnsi="Verdana" w:cs="Verdana"/>
          <w:spacing w:val="-15"/>
          <w:lang w:val="es-ES"/>
        </w:rPr>
        <w:t xml:space="preserve"> </w:t>
      </w:r>
      <w:r w:rsidRPr="008F3EE4">
        <w:rPr>
          <w:rFonts w:ascii="Verdana" w:eastAsia="Verdana" w:hAnsi="Verdana" w:cs="Verdana"/>
          <w:lang w:val="es-ES"/>
        </w:rPr>
        <w:t>reglas</w:t>
      </w:r>
      <w:r w:rsidRPr="008F3EE4">
        <w:rPr>
          <w:rFonts w:ascii="Verdana" w:eastAsia="Verdana" w:hAnsi="Verdana" w:cs="Verdana"/>
          <w:spacing w:val="-13"/>
          <w:lang w:val="es-ES"/>
        </w:rPr>
        <w:t xml:space="preserve"> </w:t>
      </w:r>
      <w:r w:rsidRPr="008F3EE4">
        <w:rPr>
          <w:rFonts w:ascii="Verdana" w:eastAsia="Verdana" w:hAnsi="Verdana" w:cs="Verdana"/>
          <w:lang w:val="es-ES"/>
        </w:rPr>
        <w:t>especiales</w:t>
      </w:r>
      <w:r w:rsidRPr="008F3EE4">
        <w:rPr>
          <w:rFonts w:ascii="Verdana" w:eastAsia="Verdana" w:hAnsi="Verdana" w:cs="Verdana"/>
          <w:spacing w:val="-12"/>
          <w:lang w:val="es-ES"/>
        </w:rPr>
        <w:t xml:space="preserve"> </w:t>
      </w:r>
      <w:r w:rsidRPr="008F3EE4">
        <w:rPr>
          <w:rFonts w:ascii="Verdana" w:eastAsia="Verdana" w:hAnsi="Verdana" w:cs="Verdana"/>
          <w:lang w:val="es-ES"/>
        </w:rPr>
        <w:t>o</w:t>
      </w:r>
      <w:r w:rsidRPr="008F3EE4">
        <w:rPr>
          <w:rFonts w:ascii="Verdana" w:eastAsia="Verdana" w:hAnsi="Verdana" w:cs="Verdana"/>
          <w:spacing w:val="-15"/>
          <w:lang w:val="es-ES"/>
        </w:rPr>
        <w:t xml:space="preserve"> </w:t>
      </w:r>
      <w:r w:rsidRPr="008F3EE4">
        <w:rPr>
          <w:rFonts w:ascii="Verdana" w:eastAsia="Verdana" w:hAnsi="Verdana" w:cs="Verdana"/>
          <w:lang w:val="es-ES"/>
        </w:rPr>
        <w:t>regímenes</w:t>
      </w:r>
      <w:r w:rsidRPr="008F3EE4">
        <w:rPr>
          <w:rFonts w:ascii="Verdana" w:eastAsia="Verdana" w:hAnsi="Verdana" w:cs="Verdana"/>
          <w:spacing w:val="-12"/>
          <w:lang w:val="es-ES"/>
        </w:rPr>
        <w:t xml:space="preserve"> </w:t>
      </w:r>
      <w:r w:rsidRPr="008F3EE4">
        <w:rPr>
          <w:rFonts w:ascii="Verdana" w:eastAsia="Verdana" w:hAnsi="Verdana" w:cs="Verdana"/>
          <w:lang w:val="es-ES"/>
        </w:rPr>
        <w:t>exceptuados, usualmente sometidos al derecho privado. Sobre esta distinción</w:t>
      </w:r>
      <w:r w:rsidRPr="008F3EE4">
        <w:rPr>
          <w:rFonts w:ascii="Verdana" w:eastAsia="Verdana" w:hAnsi="Verdana" w:cs="Verdana"/>
          <w:vertAlign w:val="superscript"/>
          <w:lang w:val="es-ES"/>
        </w:rPr>
        <w:footnoteReference w:id="2"/>
      </w:r>
      <w:r w:rsidRPr="008F3EE4">
        <w:rPr>
          <w:rFonts w:ascii="Verdana" w:eastAsia="Verdana" w:hAnsi="Verdana" w:cs="Verdana"/>
          <w:lang w:val="es-ES"/>
        </w:rPr>
        <w:t xml:space="preserve"> el</w:t>
      </w:r>
      <w:r w:rsidRPr="008F3EE4">
        <w:rPr>
          <w:rFonts w:ascii="Verdana" w:eastAsia="Verdana" w:hAnsi="Verdana" w:cs="Verdana"/>
          <w:spacing w:val="-3"/>
          <w:lang w:val="es-ES"/>
        </w:rPr>
        <w:t xml:space="preserve"> </w:t>
      </w:r>
      <w:r w:rsidRPr="008F3EE4">
        <w:rPr>
          <w:rFonts w:ascii="Verdana" w:eastAsia="Verdana" w:hAnsi="Verdana" w:cs="Verdana"/>
          <w:lang w:val="es-ES"/>
        </w:rPr>
        <w:t>Consejo</w:t>
      </w:r>
      <w:r w:rsidRPr="008F3EE4">
        <w:rPr>
          <w:rFonts w:ascii="Verdana" w:eastAsia="Verdana" w:hAnsi="Verdana" w:cs="Verdana"/>
          <w:spacing w:val="-1"/>
          <w:lang w:val="es-ES"/>
        </w:rPr>
        <w:t xml:space="preserve"> </w:t>
      </w:r>
      <w:r w:rsidRPr="008F3EE4">
        <w:rPr>
          <w:rFonts w:ascii="Verdana" w:eastAsia="Verdana" w:hAnsi="Verdana" w:cs="Verdana"/>
          <w:lang w:val="es-ES"/>
        </w:rPr>
        <w:t>de</w:t>
      </w:r>
      <w:r w:rsidRPr="008F3EE4">
        <w:rPr>
          <w:rFonts w:ascii="Verdana" w:eastAsia="Verdana" w:hAnsi="Verdana" w:cs="Verdana"/>
          <w:spacing w:val="-3"/>
          <w:lang w:val="es-ES"/>
        </w:rPr>
        <w:t xml:space="preserve"> </w:t>
      </w:r>
      <w:r w:rsidRPr="008F3EE4">
        <w:rPr>
          <w:rFonts w:ascii="Verdana" w:eastAsia="Verdana" w:hAnsi="Verdana" w:cs="Verdana"/>
          <w:lang w:val="es-ES"/>
        </w:rPr>
        <w:t>Estado ha señalado que</w:t>
      </w:r>
      <w:r w:rsidRPr="008F3EE4">
        <w:rPr>
          <w:rFonts w:ascii="Verdana" w:eastAsia="Verdana" w:hAnsi="Verdana" w:cs="Verdana"/>
          <w:vertAlign w:val="superscript"/>
          <w:lang w:val="es-ES"/>
        </w:rPr>
        <w:footnoteReference w:id="3"/>
      </w:r>
      <w:r w:rsidRPr="008F3EE4">
        <w:rPr>
          <w:rFonts w:ascii="Verdana" w:eastAsia="Verdana" w:hAnsi="Verdana" w:cs="Verdana"/>
          <w:lang w:val="es-ES"/>
        </w:rPr>
        <w:t>:</w:t>
      </w:r>
    </w:p>
    <w:p w14:paraId="7330C3DA" w14:textId="77777777" w:rsidR="00C13AAF" w:rsidRPr="008F3EE4" w:rsidRDefault="00C13AAF" w:rsidP="00C13AAF">
      <w:pPr>
        <w:widowControl w:val="0"/>
        <w:autoSpaceDE w:val="0"/>
        <w:autoSpaceDN w:val="0"/>
        <w:spacing w:after="0" w:line="276" w:lineRule="auto"/>
        <w:ind w:right="620" w:firstLine="708"/>
        <w:jc w:val="both"/>
        <w:rPr>
          <w:rFonts w:ascii="Verdana" w:eastAsia="Verdana" w:hAnsi="Verdana" w:cs="Verdana"/>
          <w:lang w:val="es-ES"/>
        </w:rPr>
      </w:pPr>
    </w:p>
    <w:p w14:paraId="30D68492" w14:textId="77777777" w:rsidR="00C13AAF" w:rsidRPr="008F3EE4" w:rsidRDefault="00C13AAF" w:rsidP="00C13AAF">
      <w:pPr>
        <w:spacing w:after="0" w:line="240" w:lineRule="auto"/>
        <w:ind w:left="709" w:right="709"/>
        <w:jc w:val="both"/>
        <w:rPr>
          <w:rFonts w:ascii="Verdana" w:eastAsia="Times New Roman" w:hAnsi="Verdana" w:cs="Times New Roman"/>
          <w:sz w:val="20"/>
          <w:szCs w:val="20"/>
          <w:lang w:val="es-ES"/>
        </w:rPr>
      </w:pPr>
      <w:r w:rsidRPr="008F3EE4">
        <w:rPr>
          <w:rFonts w:ascii="Verdana" w:eastAsia="Times New Roman" w:hAnsi="Verdana" w:cs="Times New Roman"/>
          <w:sz w:val="20"/>
          <w:szCs w:val="20"/>
          <w:lang w:val="es-ES"/>
        </w:rPr>
        <w:t xml:space="preserve">“A juicio de la Sala es preciso reconocer </w:t>
      </w:r>
      <w:proofErr w:type="gramStart"/>
      <w:r w:rsidRPr="008F3EE4">
        <w:rPr>
          <w:rFonts w:ascii="Verdana" w:eastAsia="Times New Roman" w:hAnsi="Verdana" w:cs="Times New Roman"/>
          <w:sz w:val="20"/>
          <w:szCs w:val="20"/>
          <w:lang w:val="es-ES"/>
        </w:rPr>
        <w:t>que</w:t>
      </w:r>
      <w:proofErr w:type="gramEnd"/>
      <w:r w:rsidRPr="008F3EE4">
        <w:rPr>
          <w:rFonts w:ascii="Verdana" w:eastAsia="Times New Roman" w:hAnsi="Verdana" w:cs="Times New Roman"/>
          <w:sz w:val="20"/>
          <w:szCs w:val="20"/>
          <w:lang w:val="es-ES"/>
        </w:rPr>
        <w:t xml:space="preserve"> en las diversas regulaciones normativas sobre contratación de la administración pública, es posible identificar dos grandes categorías de actos contractuales:</w:t>
      </w:r>
    </w:p>
    <w:p w14:paraId="30A8B0FA" w14:textId="77777777" w:rsidR="00C13AAF" w:rsidRPr="008F3EE4" w:rsidRDefault="00C13AAF" w:rsidP="00C13AAF">
      <w:pPr>
        <w:spacing w:after="0" w:line="240" w:lineRule="auto"/>
        <w:ind w:left="709" w:right="709"/>
        <w:jc w:val="both"/>
        <w:rPr>
          <w:rFonts w:ascii="Verdana" w:eastAsia="Times New Roman" w:hAnsi="Verdana" w:cs="Times New Roman"/>
          <w:sz w:val="20"/>
          <w:szCs w:val="20"/>
          <w:lang w:val="es-ES"/>
        </w:rPr>
      </w:pPr>
      <w:r w:rsidRPr="008F3EE4">
        <w:rPr>
          <w:rFonts w:ascii="Verdana" w:eastAsia="Times New Roman" w:hAnsi="Verdana" w:cs="Times New Roman"/>
          <w:sz w:val="20"/>
          <w:szCs w:val="20"/>
          <w:lang w:val="es-ES"/>
        </w:rPr>
        <w:t>1ª</w:t>
      </w:r>
      <w:r w:rsidRPr="008F3EE4">
        <w:rPr>
          <w:rFonts w:ascii="Verdana" w:eastAsia="Times New Roman" w:hAnsi="Verdana" w:cs="Times New Roman"/>
          <w:spacing w:val="-18"/>
          <w:sz w:val="20"/>
          <w:szCs w:val="20"/>
          <w:lang w:val="es-ES"/>
        </w:rPr>
        <w:t xml:space="preserve"> </w:t>
      </w:r>
      <w:r w:rsidRPr="008F3EE4">
        <w:rPr>
          <w:rFonts w:ascii="Verdana" w:eastAsia="Times New Roman" w:hAnsi="Verdana" w:cs="Times New Roman"/>
          <w:sz w:val="20"/>
          <w:szCs w:val="20"/>
          <w:lang w:val="es-ES"/>
        </w:rPr>
        <w:t>Contratos</w:t>
      </w:r>
      <w:r w:rsidRPr="008F3EE4">
        <w:rPr>
          <w:rFonts w:ascii="Verdana" w:eastAsia="Times New Roman" w:hAnsi="Verdana" w:cs="Times New Roman"/>
          <w:spacing w:val="-18"/>
          <w:sz w:val="20"/>
          <w:szCs w:val="20"/>
          <w:lang w:val="es-ES"/>
        </w:rPr>
        <w:t xml:space="preserve"> </w:t>
      </w:r>
      <w:r w:rsidRPr="008F3EE4">
        <w:rPr>
          <w:rFonts w:ascii="Verdana" w:eastAsia="Times New Roman" w:hAnsi="Verdana" w:cs="Times New Roman"/>
          <w:sz w:val="20"/>
          <w:szCs w:val="20"/>
          <w:lang w:val="es-ES"/>
        </w:rPr>
        <w:t>estatales,</w:t>
      </w:r>
      <w:r w:rsidRPr="008F3EE4">
        <w:rPr>
          <w:rFonts w:ascii="Verdana" w:eastAsia="Times New Roman" w:hAnsi="Verdana" w:cs="Times New Roman"/>
          <w:spacing w:val="-17"/>
          <w:sz w:val="20"/>
          <w:szCs w:val="20"/>
          <w:lang w:val="es-ES"/>
        </w:rPr>
        <w:t xml:space="preserve"> </w:t>
      </w:r>
      <w:r w:rsidRPr="008F3EE4">
        <w:rPr>
          <w:rFonts w:ascii="Verdana" w:eastAsia="Times New Roman" w:hAnsi="Verdana" w:cs="Times New Roman"/>
          <w:sz w:val="20"/>
          <w:szCs w:val="20"/>
          <w:lang w:val="es-ES"/>
        </w:rPr>
        <w:t>propiamente</w:t>
      </w:r>
      <w:r w:rsidRPr="008F3EE4">
        <w:rPr>
          <w:rFonts w:ascii="Verdana" w:eastAsia="Times New Roman" w:hAnsi="Verdana" w:cs="Times New Roman"/>
          <w:spacing w:val="-18"/>
          <w:sz w:val="20"/>
          <w:szCs w:val="20"/>
          <w:lang w:val="es-ES"/>
        </w:rPr>
        <w:t xml:space="preserve"> </w:t>
      </w:r>
      <w:r w:rsidRPr="008F3EE4">
        <w:rPr>
          <w:rFonts w:ascii="Verdana" w:eastAsia="Times New Roman" w:hAnsi="Verdana" w:cs="Times New Roman"/>
          <w:sz w:val="20"/>
          <w:szCs w:val="20"/>
          <w:lang w:val="es-ES"/>
        </w:rPr>
        <w:t>dichos,</w:t>
      </w:r>
      <w:r w:rsidRPr="008F3EE4">
        <w:rPr>
          <w:rFonts w:ascii="Verdana" w:eastAsia="Times New Roman" w:hAnsi="Verdana" w:cs="Times New Roman"/>
          <w:spacing w:val="-17"/>
          <w:sz w:val="20"/>
          <w:szCs w:val="20"/>
          <w:lang w:val="es-ES"/>
        </w:rPr>
        <w:t xml:space="preserve"> </w:t>
      </w:r>
      <w:r w:rsidRPr="008F3EE4">
        <w:rPr>
          <w:rFonts w:ascii="Verdana" w:eastAsia="Times New Roman" w:hAnsi="Verdana" w:cs="Times New Roman"/>
          <w:sz w:val="20"/>
          <w:szCs w:val="20"/>
          <w:lang w:val="es-ES"/>
        </w:rPr>
        <w:t>que</w:t>
      </w:r>
      <w:r w:rsidRPr="008F3EE4">
        <w:rPr>
          <w:rFonts w:ascii="Verdana" w:eastAsia="Times New Roman" w:hAnsi="Verdana" w:cs="Times New Roman"/>
          <w:spacing w:val="-18"/>
          <w:sz w:val="20"/>
          <w:szCs w:val="20"/>
          <w:lang w:val="es-ES"/>
        </w:rPr>
        <w:t xml:space="preserve"> </w:t>
      </w:r>
      <w:r w:rsidRPr="008F3EE4">
        <w:rPr>
          <w:rFonts w:ascii="Verdana" w:eastAsia="Times New Roman" w:hAnsi="Verdana" w:cs="Times New Roman"/>
          <w:sz w:val="20"/>
          <w:szCs w:val="20"/>
          <w:lang w:val="es-ES"/>
        </w:rPr>
        <w:t>son</w:t>
      </w:r>
      <w:r w:rsidRPr="008F3EE4">
        <w:rPr>
          <w:rFonts w:ascii="Verdana" w:eastAsia="Times New Roman" w:hAnsi="Verdana" w:cs="Times New Roman"/>
          <w:spacing w:val="-18"/>
          <w:sz w:val="20"/>
          <w:szCs w:val="20"/>
          <w:lang w:val="es-ES"/>
        </w:rPr>
        <w:t xml:space="preserve"> </w:t>
      </w:r>
      <w:r w:rsidRPr="008F3EE4">
        <w:rPr>
          <w:rFonts w:ascii="Verdana" w:eastAsia="Times New Roman" w:hAnsi="Verdana" w:cs="Times New Roman"/>
          <w:sz w:val="20"/>
          <w:szCs w:val="20"/>
          <w:lang w:val="es-ES"/>
        </w:rPr>
        <w:t>aquellos</w:t>
      </w:r>
      <w:r w:rsidRPr="008F3EE4">
        <w:rPr>
          <w:rFonts w:ascii="Verdana" w:eastAsia="Times New Roman" w:hAnsi="Verdana" w:cs="Times New Roman"/>
          <w:spacing w:val="-17"/>
          <w:sz w:val="20"/>
          <w:szCs w:val="20"/>
          <w:lang w:val="es-ES"/>
        </w:rPr>
        <w:t xml:space="preserve"> </w:t>
      </w:r>
      <w:r w:rsidRPr="008F3EE4">
        <w:rPr>
          <w:rFonts w:ascii="Verdana" w:eastAsia="Times New Roman" w:hAnsi="Verdana" w:cs="Times New Roman"/>
          <w:sz w:val="20"/>
          <w:szCs w:val="20"/>
          <w:lang w:val="es-ES"/>
        </w:rPr>
        <w:t>que</w:t>
      </w:r>
      <w:r w:rsidRPr="008F3EE4">
        <w:rPr>
          <w:rFonts w:ascii="Verdana" w:eastAsia="Times New Roman" w:hAnsi="Verdana" w:cs="Times New Roman"/>
          <w:spacing w:val="-18"/>
          <w:sz w:val="20"/>
          <w:szCs w:val="20"/>
          <w:lang w:val="es-ES"/>
        </w:rPr>
        <w:t xml:space="preserve"> </w:t>
      </w:r>
      <w:r w:rsidRPr="008F3EE4">
        <w:rPr>
          <w:rFonts w:ascii="Verdana" w:eastAsia="Times New Roman" w:hAnsi="Verdana" w:cs="Times New Roman"/>
          <w:sz w:val="20"/>
          <w:szCs w:val="20"/>
          <w:lang w:val="es-ES"/>
        </w:rPr>
        <w:t>celebran las entidades públicas a que se refiere la ley 80 de 1993, y que por ende se</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regulan</w:t>
      </w:r>
      <w:r w:rsidRPr="008F3EE4">
        <w:rPr>
          <w:rFonts w:ascii="Verdana" w:eastAsia="Times New Roman" w:hAnsi="Verdana" w:cs="Times New Roman"/>
          <w:spacing w:val="-9"/>
          <w:sz w:val="20"/>
          <w:szCs w:val="20"/>
          <w:lang w:val="es-ES"/>
        </w:rPr>
        <w:t xml:space="preserve"> </w:t>
      </w:r>
      <w:r w:rsidRPr="008F3EE4">
        <w:rPr>
          <w:rFonts w:ascii="Verdana" w:eastAsia="Times New Roman" w:hAnsi="Verdana" w:cs="Times New Roman"/>
          <w:sz w:val="20"/>
          <w:szCs w:val="20"/>
          <w:lang w:val="es-ES"/>
        </w:rPr>
        <w:t>íntegramente</w:t>
      </w:r>
      <w:r w:rsidRPr="008F3EE4">
        <w:rPr>
          <w:rFonts w:ascii="Verdana" w:eastAsia="Times New Roman" w:hAnsi="Verdana" w:cs="Times New Roman"/>
          <w:spacing w:val="-8"/>
          <w:sz w:val="20"/>
          <w:szCs w:val="20"/>
          <w:lang w:val="es-ES"/>
        </w:rPr>
        <w:t xml:space="preserve"> </w:t>
      </w:r>
      <w:r w:rsidRPr="008F3EE4">
        <w:rPr>
          <w:rFonts w:ascii="Verdana" w:eastAsia="Times New Roman" w:hAnsi="Verdana" w:cs="Times New Roman"/>
          <w:sz w:val="20"/>
          <w:szCs w:val="20"/>
          <w:lang w:val="es-ES"/>
        </w:rPr>
        <w:t>por</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el</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régimen</w:t>
      </w:r>
      <w:r w:rsidRPr="008F3EE4">
        <w:rPr>
          <w:rFonts w:ascii="Verdana" w:eastAsia="Times New Roman" w:hAnsi="Verdana" w:cs="Times New Roman"/>
          <w:spacing w:val="-9"/>
          <w:sz w:val="20"/>
          <w:szCs w:val="20"/>
          <w:lang w:val="es-ES"/>
        </w:rPr>
        <w:t xml:space="preserve"> </w:t>
      </w:r>
      <w:r w:rsidRPr="008F3EE4">
        <w:rPr>
          <w:rFonts w:ascii="Verdana" w:eastAsia="Times New Roman" w:hAnsi="Verdana" w:cs="Times New Roman"/>
          <w:sz w:val="20"/>
          <w:szCs w:val="20"/>
          <w:lang w:val="es-ES"/>
        </w:rPr>
        <w:t>establecido</w:t>
      </w:r>
      <w:r w:rsidRPr="008F3EE4">
        <w:rPr>
          <w:rFonts w:ascii="Verdana" w:eastAsia="Times New Roman" w:hAnsi="Verdana" w:cs="Times New Roman"/>
          <w:spacing w:val="-7"/>
          <w:sz w:val="20"/>
          <w:szCs w:val="20"/>
          <w:lang w:val="es-ES"/>
        </w:rPr>
        <w:t xml:space="preserve"> </w:t>
      </w:r>
      <w:r w:rsidRPr="008F3EE4">
        <w:rPr>
          <w:rFonts w:ascii="Verdana" w:eastAsia="Times New Roman" w:hAnsi="Verdana" w:cs="Times New Roman"/>
          <w:sz w:val="20"/>
          <w:szCs w:val="20"/>
          <w:lang w:val="es-ES"/>
        </w:rPr>
        <w:t>en</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esta</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ley.</w:t>
      </w:r>
      <w:r w:rsidRPr="008F3EE4">
        <w:rPr>
          <w:rFonts w:ascii="Verdana" w:eastAsia="Times New Roman" w:hAnsi="Verdana" w:cs="Times New Roman"/>
          <w:spacing w:val="40"/>
          <w:sz w:val="20"/>
          <w:szCs w:val="20"/>
          <w:lang w:val="es-ES"/>
        </w:rPr>
        <w:t xml:space="preserve"> </w:t>
      </w:r>
      <w:r w:rsidRPr="008F3EE4">
        <w:rPr>
          <w:rFonts w:ascii="Verdana" w:eastAsia="Times New Roman" w:hAnsi="Verdana" w:cs="Times New Roman"/>
          <w:sz w:val="20"/>
          <w:szCs w:val="20"/>
          <w:lang w:val="es-ES"/>
        </w:rPr>
        <w:t>Por</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regla general,</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adquieren</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este</w:t>
      </w:r>
      <w:r w:rsidRPr="008F3EE4">
        <w:rPr>
          <w:rFonts w:ascii="Verdana" w:eastAsia="Times New Roman" w:hAnsi="Verdana" w:cs="Times New Roman"/>
          <w:spacing w:val="-11"/>
          <w:sz w:val="20"/>
          <w:szCs w:val="20"/>
          <w:lang w:val="es-ES"/>
        </w:rPr>
        <w:t xml:space="preserve"> </w:t>
      </w:r>
      <w:r w:rsidRPr="008F3EE4">
        <w:rPr>
          <w:rFonts w:ascii="Verdana" w:eastAsia="Times New Roman" w:hAnsi="Verdana" w:cs="Times New Roman"/>
          <w:sz w:val="20"/>
          <w:szCs w:val="20"/>
          <w:lang w:val="es-ES"/>
        </w:rPr>
        <w:t>carácter</w:t>
      </w:r>
      <w:r w:rsidRPr="008F3EE4">
        <w:rPr>
          <w:rFonts w:ascii="Verdana" w:eastAsia="Times New Roman" w:hAnsi="Verdana" w:cs="Times New Roman"/>
          <w:spacing w:val="-10"/>
          <w:sz w:val="20"/>
          <w:szCs w:val="20"/>
          <w:lang w:val="es-ES"/>
        </w:rPr>
        <w:t xml:space="preserve"> </w:t>
      </w:r>
      <w:proofErr w:type="gramStart"/>
      <w:r w:rsidRPr="008F3EE4">
        <w:rPr>
          <w:rFonts w:ascii="Verdana" w:eastAsia="Times New Roman" w:hAnsi="Verdana" w:cs="Times New Roman"/>
          <w:sz w:val="20"/>
          <w:szCs w:val="20"/>
          <w:lang w:val="es-ES"/>
        </w:rPr>
        <w:t>en</w:t>
      </w:r>
      <w:r w:rsidRPr="008F3EE4">
        <w:rPr>
          <w:rFonts w:ascii="Verdana" w:eastAsia="Times New Roman" w:hAnsi="Verdana" w:cs="Times New Roman"/>
          <w:spacing w:val="-11"/>
          <w:sz w:val="20"/>
          <w:szCs w:val="20"/>
          <w:lang w:val="es-ES"/>
        </w:rPr>
        <w:t xml:space="preserve"> </w:t>
      </w:r>
      <w:r w:rsidRPr="008F3EE4">
        <w:rPr>
          <w:rFonts w:ascii="Verdana" w:eastAsia="Times New Roman" w:hAnsi="Verdana" w:cs="Times New Roman"/>
          <w:sz w:val="20"/>
          <w:szCs w:val="20"/>
          <w:lang w:val="es-ES"/>
        </w:rPr>
        <w:t>razón</w:t>
      </w:r>
      <w:r w:rsidRPr="008F3EE4">
        <w:rPr>
          <w:rFonts w:ascii="Verdana" w:eastAsia="Times New Roman" w:hAnsi="Verdana" w:cs="Times New Roman"/>
          <w:spacing w:val="-11"/>
          <w:sz w:val="20"/>
          <w:szCs w:val="20"/>
          <w:lang w:val="es-ES"/>
        </w:rPr>
        <w:t xml:space="preserve"> </w:t>
      </w:r>
      <w:r w:rsidRPr="008F3EE4">
        <w:rPr>
          <w:rFonts w:ascii="Verdana" w:eastAsia="Times New Roman" w:hAnsi="Verdana" w:cs="Times New Roman"/>
          <w:sz w:val="20"/>
          <w:szCs w:val="20"/>
          <w:lang w:val="es-ES"/>
        </w:rPr>
        <w:t>del</w:t>
      </w:r>
      <w:proofErr w:type="gramEnd"/>
      <w:r w:rsidRPr="008F3EE4">
        <w:rPr>
          <w:rFonts w:ascii="Verdana" w:eastAsia="Times New Roman" w:hAnsi="Verdana" w:cs="Times New Roman"/>
          <w:spacing w:val="-11"/>
          <w:sz w:val="20"/>
          <w:szCs w:val="20"/>
          <w:lang w:val="es-ES"/>
        </w:rPr>
        <w:t xml:space="preserve"> </w:t>
      </w:r>
      <w:r w:rsidRPr="008F3EE4">
        <w:rPr>
          <w:rFonts w:ascii="Verdana" w:eastAsia="Times New Roman" w:hAnsi="Verdana" w:cs="Times New Roman"/>
          <w:sz w:val="20"/>
          <w:szCs w:val="20"/>
          <w:lang w:val="es-ES"/>
        </w:rPr>
        <w:t>ente</w:t>
      </w:r>
      <w:r w:rsidRPr="008F3EE4">
        <w:rPr>
          <w:rFonts w:ascii="Verdana" w:eastAsia="Times New Roman" w:hAnsi="Verdana" w:cs="Times New Roman"/>
          <w:spacing w:val="-11"/>
          <w:sz w:val="20"/>
          <w:szCs w:val="20"/>
          <w:lang w:val="es-ES"/>
        </w:rPr>
        <w:t xml:space="preserve"> </w:t>
      </w:r>
      <w:r w:rsidRPr="008F3EE4">
        <w:rPr>
          <w:rFonts w:ascii="Verdana" w:eastAsia="Times New Roman" w:hAnsi="Verdana" w:cs="Times New Roman"/>
          <w:sz w:val="20"/>
          <w:szCs w:val="20"/>
          <w:lang w:val="es-ES"/>
        </w:rPr>
        <w:t>público</w:t>
      </w:r>
      <w:r w:rsidRPr="008F3EE4">
        <w:rPr>
          <w:rFonts w:ascii="Verdana" w:eastAsia="Times New Roman" w:hAnsi="Verdana" w:cs="Times New Roman"/>
          <w:spacing w:val="-10"/>
          <w:sz w:val="20"/>
          <w:szCs w:val="20"/>
          <w:lang w:val="es-ES"/>
        </w:rPr>
        <w:t xml:space="preserve"> </w:t>
      </w:r>
      <w:r w:rsidRPr="008F3EE4">
        <w:rPr>
          <w:rFonts w:ascii="Verdana" w:eastAsia="Times New Roman" w:hAnsi="Verdana" w:cs="Times New Roman"/>
          <w:sz w:val="20"/>
          <w:szCs w:val="20"/>
          <w:lang w:val="es-ES"/>
        </w:rPr>
        <w:t>contratante,</w:t>
      </w:r>
      <w:r w:rsidRPr="008F3EE4">
        <w:rPr>
          <w:rFonts w:ascii="Verdana" w:eastAsia="Times New Roman" w:hAnsi="Verdana" w:cs="Times New Roman"/>
          <w:spacing w:val="-9"/>
          <w:sz w:val="20"/>
          <w:szCs w:val="20"/>
          <w:lang w:val="es-ES"/>
        </w:rPr>
        <w:t xml:space="preserve"> </w:t>
      </w:r>
      <w:r w:rsidRPr="008F3EE4">
        <w:rPr>
          <w:rFonts w:ascii="Verdana" w:eastAsia="Times New Roman" w:hAnsi="Verdana" w:cs="Times New Roman"/>
          <w:sz w:val="20"/>
          <w:szCs w:val="20"/>
          <w:lang w:val="es-ES"/>
        </w:rPr>
        <w:t xml:space="preserve">es decir, se definen desde el punto de vista orgánico. Las controversias que se deriven de este tipo de contratos y de los procesos de ejecución o </w:t>
      </w:r>
      <w:r w:rsidRPr="008F3EE4">
        <w:rPr>
          <w:rFonts w:ascii="Verdana" w:eastAsia="Times New Roman" w:hAnsi="Verdana" w:cs="Times New Roman"/>
          <w:sz w:val="20"/>
          <w:szCs w:val="20"/>
          <w:lang w:val="es-ES"/>
        </w:rPr>
        <w:lastRenderedPageBreak/>
        <w:t xml:space="preserve">cumplimiento serán de conocimiento de la jurisdicción contenciosa </w:t>
      </w:r>
      <w:r w:rsidRPr="008F3EE4">
        <w:rPr>
          <w:rFonts w:ascii="Verdana" w:eastAsia="Times New Roman" w:hAnsi="Verdana" w:cs="Times New Roman"/>
          <w:spacing w:val="-2"/>
          <w:sz w:val="20"/>
          <w:szCs w:val="20"/>
          <w:lang w:val="es-ES"/>
        </w:rPr>
        <w:t>administrativa.</w:t>
      </w:r>
    </w:p>
    <w:p w14:paraId="529A3BCA" w14:textId="77777777" w:rsidR="00C13AAF" w:rsidRPr="008F3EE4" w:rsidRDefault="00C13AAF" w:rsidP="00C13AAF">
      <w:pPr>
        <w:spacing w:after="0" w:line="240" w:lineRule="auto"/>
        <w:ind w:left="709" w:right="709"/>
        <w:jc w:val="both"/>
        <w:rPr>
          <w:rFonts w:ascii="Verdana" w:eastAsia="Times New Roman" w:hAnsi="Verdana" w:cs="Times New Roman"/>
          <w:sz w:val="21"/>
          <w:szCs w:val="21"/>
          <w:lang w:val="es-ES"/>
        </w:rPr>
      </w:pPr>
      <w:r w:rsidRPr="008F3EE4">
        <w:rPr>
          <w:rFonts w:ascii="Verdana" w:eastAsia="Times New Roman" w:hAnsi="Verdana" w:cs="Times New Roman"/>
          <w:sz w:val="20"/>
          <w:szCs w:val="20"/>
          <w:lang w:val="es-ES"/>
        </w:rPr>
        <w:t xml:space="preserve">2ª Contratos especiales sujetos a un régimen legal propio. Por regla general, el juez a quien compete conocer de sus controversias es el juez administrativo, debido a que su celebración y ejecución constituye una actividad reglada, es decir, es el ejercicio pleno de una función administrativa, de conformidad con el art. 82 del C.C.A. antes </w:t>
      </w:r>
      <w:proofErr w:type="gramStart"/>
      <w:r w:rsidRPr="008F3EE4">
        <w:rPr>
          <w:rFonts w:ascii="Verdana" w:eastAsia="Times New Roman" w:hAnsi="Verdana" w:cs="Times New Roman"/>
          <w:sz w:val="20"/>
          <w:szCs w:val="20"/>
          <w:lang w:val="es-ES"/>
        </w:rPr>
        <w:t>referido</w:t>
      </w:r>
      <w:r w:rsidRPr="008F3EE4">
        <w:rPr>
          <w:rFonts w:ascii="Verdana" w:eastAsia="Times New Roman" w:hAnsi="Verdana" w:cs="Times New Roman"/>
          <w:spacing w:val="-48"/>
          <w:sz w:val="20"/>
          <w:szCs w:val="20"/>
          <w:lang w:val="es-ES"/>
        </w:rPr>
        <w:t xml:space="preserve"> </w:t>
      </w:r>
      <w:r w:rsidRPr="008F3EE4">
        <w:rPr>
          <w:rFonts w:ascii="Verdana" w:eastAsia="Times New Roman" w:hAnsi="Verdana" w:cs="Times New Roman"/>
          <w:sz w:val="20"/>
          <w:szCs w:val="20"/>
          <w:lang w:val="es-ES"/>
        </w:rPr>
        <w:t>”</w:t>
      </w:r>
      <w:proofErr w:type="gramEnd"/>
      <w:r w:rsidRPr="008F3EE4">
        <w:rPr>
          <w:rFonts w:ascii="Verdana" w:eastAsia="Times New Roman" w:hAnsi="Verdana" w:cs="Times New Roman"/>
          <w:sz w:val="20"/>
          <w:szCs w:val="20"/>
          <w:vertAlign w:val="superscript"/>
          <w:lang w:val="es-ES"/>
        </w:rPr>
        <w:footnoteReference w:id="4"/>
      </w:r>
      <w:r w:rsidRPr="008F3EE4">
        <w:rPr>
          <w:rFonts w:ascii="Verdana" w:eastAsia="Times New Roman" w:hAnsi="Verdana" w:cs="Times New Roman"/>
          <w:sz w:val="20"/>
          <w:szCs w:val="20"/>
          <w:lang w:val="es-ES"/>
        </w:rPr>
        <w:t>.</w:t>
      </w:r>
    </w:p>
    <w:p w14:paraId="01F48D7A" w14:textId="77777777" w:rsidR="00C13AAF" w:rsidRPr="008F3EE4" w:rsidRDefault="00C13AAF" w:rsidP="00C13AAF">
      <w:pPr>
        <w:widowControl w:val="0"/>
        <w:autoSpaceDE w:val="0"/>
        <w:autoSpaceDN w:val="0"/>
        <w:spacing w:before="247" w:after="0" w:line="276" w:lineRule="auto"/>
        <w:ind w:firstLine="708"/>
        <w:jc w:val="both"/>
        <w:rPr>
          <w:rFonts w:ascii="Verdana" w:eastAsia="Verdana" w:hAnsi="Verdana" w:cs="Verdana"/>
          <w:lang w:val="es-ES"/>
        </w:rPr>
      </w:pPr>
      <w:r w:rsidRPr="008F3EE4">
        <w:rPr>
          <w:rFonts w:ascii="Verdana" w:eastAsia="Verdana" w:hAnsi="Verdana" w:cs="Verdana"/>
          <w:lang w:val="es-ES"/>
        </w:rPr>
        <w:t>De esta manera, el</w:t>
      </w:r>
      <w:r w:rsidRPr="008F3EE4">
        <w:rPr>
          <w:rFonts w:ascii="Verdana" w:eastAsia="Verdana" w:hAnsi="Verdana" w:cs="Verdana"/>
          <w:spacing w:val="-6"/>
          <w:lang w:val="es-ES"/>
        </w:rPr>
        <w:t xml:space="preserve"> </w:t>
      </w:r>
      <w:r w:rsidRPr="008F3EE4">
        <w:rPr>
          <w:rFonts w:ascii="Verdana" w:eastAsia="Verdana" w:hAnsi="Verdana" w:cs="Verdana"/>
          <w:lang w:val="es-ES"/>
        </w:rPr>
        <w:t>Consejo</w:t>
      </w:r>
      <w:r w:rsidRPr="008F3EE4">
        <w:rPr>
          <w:rFonts w:ascii="Verdana" w:eastAsia="Verdana" w:hAnsi="Verdana" w:cs="Verdana"/>
          <w:spacing w:val="-4"/>
          <w:lang w:val="es-ES"/>
        </w:rPr>
        <w:t xml:space="preserve"> </w:t>
      </w:r>
      <w:r w:rsidRPr="008F3EE4">
        <w:rPr>
          <w:rFonts w:ascii="Verdana" w:eastAsia="Verdana" w:hAnsi="Verdana" w:cs="Verdana"/>
          <w:lang w:val="es-ES"/>
        </w:rPr>
        <w:t>de</w:t>
      </w:r>
      <w:r w:rsidRPr="008F3EE4">
        <w:rPr>
          <w:rFonts w:ascii="Verdana" w:eastAsia="Verdana" w:hAnsi="Verdana" w:cs="Verdana"/>
          <w:spacing w:val="-6"/>
          <w:lang w:val="es-ES"/>
        </w:rPr>
        <w:t xml:space="preserve"> </w:t>
      </w:r>
      <w:r w:rsidRPr="008F3EE4">
        <w:rPr>
          <w:rFonts w:ascii="Verdana" w:eastAsia="Verdana" w:hAnsi="Verdana" w:cs="Verdana"/>
          <w:lang w:val="es-ES"/>
        </w:rPr>
        <w:t>Estado</w:t>
      </w:r>
      <w:r w:rsidRPr="008F3EE4">
        <w:rPr>
          <w:rFonts w:ascii="Verdana" w:eastAsia="Verdana" w:hAnsi="Verdana" w:cs="Verdana"/>
          <w:spacing w:val="-5"/>
          <w:lang w:val="es-ES"/>
        </w:rPr>
        <w:t xml:space="preserve"> </w:t>
      </w:r>
      <w:r w:rsidRPr="008F3EE4">
        <w:rPr>
          <w:rFonts w:ascii="Verdana" w:eastAsia="Verdana" w:hAnsi="Verdana" w:cs="Verdana"/>
          <w:lang w:val="es-ES"/>
        </w:rPr>
        <w:t>identificó</w:t>
      </w:r>
      <w:r w:rsidRPr="008F3EE4">
        <w:rPr>
          <w:rFonts w:ascii="Verdana" w:eastAsia="Verdana" w:hAnsi="Verdana" w:cs="Verdana"/>
          <w:spacing w:val="-4"/>
          <w:lang w:val="es-ES"/>
        </w:rPr>
        <w:t xml:space="preserve"> </w:t>
      </w:r>
      <w:r w:rsidRPr="008F3EE4">
        <w:rPr>
          <w:rFonts w:ascii="Verdana" w:eastAsia="Verdana" w:hAnsi="Verdana" w:cs="Verdana"/>
          <w:lang w:val="es-ES"/>
        </w:rPr>
        <w:t>la</w:t>
      </w:r>
      <w:r w:rsidRPr="008F3EE4">
        <w:rPr>
          <w:rFonts w:ascii="Verdana" w:eastAsia="Verdana" w:hAnsi="Verdana" w:cs="Verdana"/>
          <w:spacing w:val="-6"/>
          <w:lang w:val="es-ES"/>
        </w:rPr>
        <w:t xml:space="preserve"> </w:t>
      </w:r>
      <w:r w:rsidRPr="008F3EE4">
        <w:rPr>
          <w:rFonts w:ascii="Verdana" w:eastAsia="Verdana" w:hAnsi="Verdana" w:cs="Verdana"/>
          <w:lang w:val="es-ES"/>
        </w:rPr>
        <w:t>existencia</w:t>
      </w:r>
      <w:r w:rsidRPr="008F3EE4">
        <w:rPr>
          <w:rFonts w:ascii="Verdana" w:eastAsia="Verdana" w:hAnsi="Verdana" w:cs="Verdana"/>
          <w:spacing w:val="-4"/>
          <w:lang w:val="es-ES"/>
        </w:rPr>
        <w:t xml:space="preserve"> </w:t>
      </w:r>
      <w:r w:rsidRPr="008F3EE4">
        <w:rPr>
          <w:rFonts w:ascii="Verdana" w:eastAsia="Verdana" w:hAnsi="Verdana" w:cs="Verdana"/>
          <w:lang w:val="es-ES"/>
        </w:rPr>
        <w:t>del contrato estatal como</w:t>
      </w:r>
      <w:r w:rsidRPr="008F3EE4">
        <w:rPr>
          <w:rFonts w:ascii="Verdana" w:eastAsia="Verdana" w:hAnsi="Verdana" w:cs="Verdana"/>
          <w:spacing w:val="-6"/>
          <w:lang w:val="es-ES"/>
        </w:rPr>
        <w:t xml:space="preserve"> </w:t>
      </w:r>
      <w:r w:rsidRPr="008F3EE4">
        <w:rPr>
          <w:rFonts w:ascii="Verdana" w:eastAsia="Verdana" w:hAnsi="Verdana" w:cs="Verdana"/>
          <w:lang w:val="es-ES"/>
        </w:rPr>
        <w:t>un</w:t>
      </w:r>
      <w:r w:rsidRPr="008F3EE4">
        <w:rPr>
          <w:rFonts w:ascii="Verdana" w:eastAsia="Verdana" w:hAnsi="Verdana" w:cs="Verdana"/>
          <w:spacing w:val="-6"/>
          <w:lang w:val="es-ES"/>
        </w:rPr>
        <w:t xml:space="preserve"> </w:t>
      </w:r>
      <w:r w:rsidRPr="008F3EE4">
        <w:rPr>
          <w:rFonts w:ascii="Verdana" w:eastAsia="Verdana" w:hAnsi="Verdana" w:cs="Verdana"/>
          <w:lang w:val="es-ES"/>
        </w:rPr>
        <w:t>único</w:t>
      </w:r>
      <w:r w:rsidRPr="008F3EE4">
        <w:rPr>
          <w:rFonts w:ascii="Verdana" w:eastAsia="Verdana" w:hAnsi="Verdana" w:cs="Verdana"/>
          <w:spacing w:val="-5"/>
          <w:lang w:val="es-ES"/>
        </w:rPr>
        <w:t xml:space="preserve"> </w:t>
      </w:r>
      <w:r w:rsidRPr="008F3EE4">
        <w:rPr>
          <w:rFonts w:ascii="Verdana" w:eastAsia="Verdana" w:hAnsi="Verdana" w:cs="Verdana"/>
          <w:lang w:val="es-ES"/>
        </w:rPr>
        <w:t>tipo</w:t>
      </w:r>
      <w:r w:rsidRPr="008F3EE4">
        <w:rPr>
          <w:rFonts w:ascii="Verdana" w:eastAsia="Verdana" w:hAnsi="Verdana" w:cs="Verdana"/>
          <w:spacing w:val="-5"/>
          <w:lang w:val="es-ES"/>
        </w:rPr>
        <w:t xml:space="preserve"> </w:t>
      </w:r>
      <w:r w:rsidRPr="008F3EE4">
        <w:rPr>
          <w:rFonts w:ascii="Verdana" w:eastAsia="Verdana" w:hAnsi="Verdana" w:cs="Verdana"/>
          <w:lang w:val="es-ES"/>
        </w:rPr>
        <w:t>de</w:t>
      </w:r>
      <w:r w:rsidRPr="008F3EE4">
        <w:rPr>
          <w:rFonts w:ascii="Verdana" w:eastAsia="Verdana" w:hAnsi="Verdana" w:cs="Verdana"/>
          <w:spacing w:val="-6"/>
          <w:lang w:val="es-ES"/>
        </w:rPr>
        <w:t xml:space="preserve"> </w:t>
      </w:r>
      <w:r w:rsidRPr="008F3EE4">
        <w:rPr>
          <w:rFonts w:ascii="Verdana" w:eastAsia="Verdana" w:hAnsi="Verdana" w:cs="Verdana"/>
          <w:lang w:val="es-ES"/>
        </w:rPr>
        <w:t>contrato que cuenta con dos grandes categorías: (i) el contrato estatal con un régimen jurídico de derecho público-administrativo y (</w:t>
      </w:r>
      <w:proofErr w:type="spellStart"/>
      <w:r w:rsidRPr="008F3EE4">
        <w:rPr>
          <w:rFonts w:ascii="Verdana" w:eastAsia="Verdana" w:hAnsi="Verdana" w:cs="Verdana"/>
          <w:lang w:val="es-ES"/>
        </w:rPr>
        <w:t>ii</w:t>
      </w:r>
      <w:proofErr w:type="spellEnd"/>
      <w:r w:rsidRPr="008F3EE4">
        <w:rPr>
          <w:rFonts w:ascii="Verdana" w:eastAsia="Verdana" w:hAnsi="Verdana" w:cs="Verdana"/>
          <w:lang w:val="es-ES"/>
        </w:rPr>
        <w:t>) el contrato estatal con un régimen jurídico especial que, por regla general, será el derecho privado.</w:t>
      </w:r>
    </w:p>
    <w:p w14:paraId="1DE433AD" w14:textId="77777777" w:rsidR="00C13AAF" w:rsidRPr="008F3EE4" w:rsidRDefault="00C13AAF" w:rsidP="00C13AAF">
      <w:pPr>
        <w:widowControl w:val="0"/>
        <w:autoSpaceDE w:val="0"/>
        <w:autoSpaceDN w:val="0"/>
        <w:spacing w:before="120" w:after="0" w:line="276" w:lineRule="auto"/>
        <w:ind w:firstLine="708"/>
        <w:jc w:val="both"/>
        <w:rPr>
          <w:rFonts w:ascii="Verdana" w:eastAsia="Verdana" w:hAnsi="Verdana" w:cs="Verdana"/>
          <w:lang w:val="es-ES"/>
        </w:rPr>
      </w:pPr>
      <w:r w:rsidRPr="008F3EE4">
        <w:rPr>
          <w:rFonts w:ascii="Verdana" w:eastAsia="Verdana" w:hAnsi="Verdana" w:cs="Verdana"/>
          <w:lang w:val="es-ES"/>
        </w:rPr>
        <w:t>Con respecto a los regímenes especiales de contratación, se suele</w:t>
      </w:r>
      <w:r w:rsidRPr="008F3EE4">
        <w:rPr>
          <w:rFonts w:ascii="Verdana" w:eastAsia="Verdana" w:hAnsi="Verdana" w:cs="Verdana"/>
          <w:spacing w:val="-14"/>
          <w:lang w:val="es-ES"/>
        </w:rPr>
        <w:t xml:space="preserve"> </w:t>
      </w:r>
      <w:r w:rsidRPr="008F3EE4">
        <w:rPr>
          <w:rFonts w:ascii="Verdana" w:eastAsia="Verdana" w:hAnsi="Verdana" w:cs="Verdana"/>
          <w:lang w:val="es-ES"/>
        </w:rPr>
        <w:t>hacer</w:t>
      </w:r>
      <w:r w:rsidRPr="008F3EE4">
        <w:rPr>
          <w:rFonts w:ascii="Verdana" w:eastAsia="Verdana" w:hAnsi="Verdana" w:cs="Verdana"/>
          <w:spacing w:val="-14"/>
          <w:lang w:val="es-ES"/>
        </w:rPr>
        <w:t xml:space="preserve"> </w:t>
      </w:r>
      <w:r w:rsidRPr="008F3EE4">
        <w:rPr>
          <w:rFonts w:ascii="Verdana" w:eastAsia="Verdana" w:hAnsi="Verdana" w:cs="Verdana"/>
          <w:lang w:val="es-ES"/>
        </w:rPr>
        <w:t>referencia</w:t>
      </w:r>
      <w:r w:rsidRPr="008F3EE4">
        <w:rPr>
          <w:rFonts w:ascii="Verdana" w:eastAsia="Verdana" w:hAnsi="Verdana" w:cs="Verdana"/>
          <w:spacing w:val="-14"/>
          <w:lang w:val="es-ES"/>
        </w:rPr>
        <w:t xml:space="preserve"> </w:t>
      </w:r>
      <w:r w:rsidRPr="008F3EE4">
        <w:rPr>
          <w:rFonts w:ascii="Verdana" w:eastAsia="Verdana" w:hAnsi="Verdana" w:cs="Verdana"/>
          <w:lang w:val="es-ES"/>
        </w:rPr>
        <w:t>al</w:t>
      </w:r>
      <w:r w:rsidRPr="008F3EE4">
        <w:rPr>
          <w:rFonts w:ascii="Verdana" w:eastAsia="Verdana" w:hAnsi="Verdana" w:cs="Verdana"/>
          <w:spacing w:val="-15"/>
          <w:lang w:val="es-ES"/>
        </w:rPr>
        <w:t xml:space="preserve"> </w:t>
      </w:r>
      <w:r w:rsidRPr="008F3EE4">
        <w:rPr>
          <w:rFonts w:ascii="Verdana" w:eastAsia="Verdana" w:hAnsi="Verdana" w:cs="Verdana"/>
          <w:lang w:val="es-ES"/>
        </w:rPr>
        <w:t>régimen</w:t>
      </w:r>
      <w:r w:rsidRPr="008F3EE4">
        <w:rPr>
          <w:rFonts w:ascii="Verdana" w:eastAsia="Verdana" w:hAnsi="Verdana" w:cs="Verdana"/>
          <w:spacing w:val="-14"/>
          <w:lang w:val="es-ES"/>
        </w:rPr>
        <w:t xml:space="preserve"> </w:t>
      </w:r>
      <w:r w:rsidRPr="008F3EE4">
        <w:rPr>
          <w:rFonts w:ascii="Verdana" w:eastAsia="Verdana" w:hAnsi="Verdana" w:cs="Verdana"/>
          <w:lang w:val="es-ES"/>
        </w:rPr>
        <w:t>correspondiente a</w:t>
      </w:r>
      <w:r w:rsidRPr="008F3EE4">
        <w:rPr>
          <w:rFonts w:ascii="Verdana" w:eastAsia="Verdana" w:hAnsi="Verdana" w:cs="Verdana"/>
          <w:spacing w:val="-15"/>
          <w:lang w:val="es-ES"/>
        </w:rPr>
        <w:t xml:space="preserve"> </w:t>
      </w:r>
      <w:r w:rsidRPr="008F3EE4">
        <w:rPr>
          <w:rFonts w:ascii="Verdana" w:eastAsia="Verdana" w:hAnsi="Verdana" w:cs="Verdana"/>
          <w:lang w:val="es-ES"/>
        </w:rPr>
        <w:t>determinadas</w:t>
      </w:r>
      <w:r w:rsidRPr="008F3EE4">
        <w:rPr>
          <w:rFonts w:ascii="Verdana" w:eastAsia="Verdana" w:hAnsi="Verdana" w:cs="Verdana"/>
          <w:spacing w:val="-14"/>
          <w:lang w:val="es-ES"/>
        </w:rPr>
        <w:t xml:space="preserve"> </w:t>
      </w:r>
      <w:r w:rsidRPr="008F3EE4">
        <w:rPr>
          <w:rFonts w:ascii="Verdana" w:eastAsia="Verdana" w:hAnsi="Verdana" w:cs="Verdana"/>
          <w:lang w:val="es-ES"/>
        </w:rPr>
        <w:t>entidades</w:t>
      </w:r>
      <w:r w:rsidRPr="008F3EE4">
        <w:rPr>
          <w:rFonts w:ascii="Verdana" w:eastAsia="Verdana" w:hAnsi="Verdana" w:cs="Verdana"/>
          <w:spacing w:val="-14"/>
          <w:lang w:val="es-ES"/>
        </w:rPr>
        <w:t xml:space="preserve"> </w:t>
      </w:r>
      <w:r w:rsidRPr="008F3EE4">
        <w:rPr>
          <w:rFonts w:ascii="Verdana" w:eastAsia="Verdana" w:hAnsi="Verdana" w:cs="Verdana"/>
          <w:lang w:val="es-ES"/>
        </w:rPr>
        <w:t>estatales.</w:t>
      </w:r>
      <w:r w:rsidRPr="008F3EE4">
        <w:rPr>
          <w:rFonts w:ascii="Verdana" w:eastAsia="Verdana" w:hAnsi="Verdana" w:cs="Verdana"/>
          <w:spacing w:val="-14"/>
          <w:lang w:val="es-ES"/>
        </w:rPr>
        <w:t xml:space="preserve"> </w:t>
      </w:r>
      <w:r w:rsidRPr="008F3EE4">
        <w:rPr>
          <w:rFonts w:ascii="Verdana" w:eastAsia="Verdana" w:hAnsi="Verdana" w:cs="Verdana"/>
          <w:lang w:val="es-ES"/>
        </w:rPr>
        <w:t>Este es el caso de las empresas de servicios públicos domiciliarios, de conformidad con el</w:t>
      </w:r>
      <w:r w:rsidRPr="008F3EE4">
        <w:rPr>
          <w:rFonts w:ascii="Verdana" w:eastAsia="Verdana" w:hAnsi="Verdana" w:cs="Verdana"/>
          <w:spacing w:val="-9"/>
          <w:lang w:val="es-ES"/>
        </w:rPr>
        <w:t xml:space="preserve"> </w:t>
      </w:r>
      <w:r w:rsidRPr="008F3EE4">
        <w:rPr>
          <w:rFonts w:ascii="Verdana" w:eastAsia="Verdana" w:hAnsi="Verdana" w:cs="Verdana"/>
          <w:lang w:val="es-ES"/>
        </w:rPr>
        <w:t>artículo</w:t>
      </w:r>
      <w:r w:rsidRPr="008F3EE4">
        <w:rPr>
          <w:rFonts w:ascii="Verdana" w:eastAsia="Verdana" w:hAnsi="Verdana" w:cs="Verdana"/>
          <w:spacing w:val="-7"/>
          <w:lang w:val="es-ES"/>
        </w:rPr>
        <w:t xml:space="preserve"> </w:t>
      </w:r>
      <w:r w:rsidRPr="008F3EE4">
        <w:rPr>
          <w:rFonts w:ascii="Verdana" w:eastAsia="Verdana" w:hAnsi="Verdana" w:cs="Verdana"/>
          <w:lang w:val="es-ES"/>
        </w:rPr>
        <w:t>31</w:t>
      </w:r>
      <w:r w:rsidRPr="008F3EE4">
        <w:rPr>
          <w:rFonts w:ascii="Verdana" w:eastAsia="Verdana" w:hAnsi="Verdana" w:cs="Verdana"/>
          <w:spacing w:val="-9"/>
          <w:lang w:val="es-ES"/>
        </w:rPr>
        <w:t xml:space="preserve"> </w:t>
      </w:r>
      <w:r w:rsidRPr="008F3EE4">
        <w:rPr>
          <w:rFonts w:ascii="Verdana" w:eastAsia="Verdana" w:hAnsi="Verdana" w:cs="Verdana"/>
          <w:lang w:val="es-ES"/>
        </w:rPr>
        <w:t>de</w:t>
      </w:r>
      <w:r w:rsidRPr="008F3EE4">
        <w:rPr>
          <w:rFonts w:ascii="Verdana" w:eastAsia="Verdana" w:hAnsi="Verdana" w:cs="Verdana"/>
          <w:spacing w:val="-9"/>
          <w:lang w:val="es-ES"/>
        </w:rPr>
        <w:t xml:space="preserve"> </w:t>
      </w:r>
      <w:r w:rsidRPr="008F3EE4">
        <w:rPr>
          <w:rFonts w:ascii="Verdana" w:eastAsia="Verdana" w:hAnsi="Verdana" w:cs="Verdana"/>
          <w:lang w:val="es-ES"/>
        </w:rPr>
        <w:t>la</w:t>
      </w:r>
      <w:r w:rsidRPr="008F3EE4">
        <w:rPr>
          <w:rFonts w:ascii="Verdana" w:eastAsia="Verdana" w:hAnsi="Verdana" w:cs="Verdana"/>
          <w:spacing w:val="-9"/>
          <w:lang w:val="es-ES"/>
        </w:rPr>
        <w:t xml:space="preserve"> </w:t>
      </w:r>
      <w:r w:rsidRPr="008F3EE4">
        <w:rPr>
          <w:rFonts w:ascii="Verdana" w:eastAsia="Verdana" w:hAnsi="Verdana" w:cs="Verdana"/>
          <w:lang w:val="es-ES"/>
        </w:rPr>
        <w:t>Ley</w:t>
      </w:r>
      <w:r w:rsidRPr="008F3EE4">
        <w:rPr>
          <w:rFonts w:ascii="Verdana" w:eastAsia="Verdana" w:hAnsi="Verdana" w:cs="Verdana"/>
          <w:spacing w:val="-9"/>
          <w:lang w:val="es-ES"/>
        </w:rPr>
        <w:t xml:space="preserve"> </w:t>
      </w:r>
      <w:r w:rsidRPr="008F3EE4">
        <w:rPr>
          <w:rFonts w:ascii="Verdana" w:eastAsia="Verdana" w:hAnsi="Verdana" w:cs="Verdana"/>
          <w:lang w:val="es-ES"/>
        </w:rPr>
        <w:t>142</w:t>
      </w:r>
      <w:r w:rsidRPr="008F3EE4">
        <w:rPr>
          <w:rFonts w:ascii="Verdana" w:eastAsia="Verdana" w:hAnsi="Verdana" w:cs="Verdana"/>
          <w:spacing w:val="-9"/>
          <w:lang w:val="es-ES"/>
        </w:rPr>
        <w:t xml:space="preserve"> </w:t>
      </w:r>
      <w:r w:rsidRPr="008F3EE4">
        <w:rPr>
          <w:rFonts w:ascii="Verdana" w:eastAsia="Verdana" w:hAnsi="Verdana" w:cs="Verdana"/>
          <w:lang w:val="es-ES"/>
        </w:rPr>
        <w:t>de</w:t>
      </w:r>
      <w:r w:rsidRPr="008F3EE4">
        <w:rPr>
          <w:rFonts w:ascii="Verdana" w:eastAsia="Verdana" w:hAnsi="Verdana" w:cs="Verdana"/>
          <w:spacing w:val="-9"/>
          <w:lang w:val="es-ES"/>
        </w:rPr>
        <w:t xml:space="preserve"> </w:t>
      </w:r>
      <w:r w:rsidRPr="008F3EE4">
        <w:rPr>
          <w:rFonts w:ascii="Verdana" w:eastAsia="Verdana" w:hAnsi="Verdana" w:cs="Verdana"/>
          <w:lang w:val="es-ES"/>
        </w:rPr>
        <w:t>1994,</w:t>
      </w:r>
      <w:r w:rsidRPr="008F3EE4">
        <w:rPr>
          <w:rFonts w:ascii="Verdana" w:eastAsia="Verdana" w:hAnsi="Verdana" w:cs="Verdana"/>
          <w:spacing w:val="-8"/>
          <w:lang w:val="es-ES"/>
        </w:rPr>
        <w:t xml:space="preserve"> </w:t>
      </w:r>
      <w:r w:rsidRPr="008F3EE4">
        <w:rPr>
          <w:rFonts w:ascii="Verdana" w:eastAsia="Verdana" w:hAnsi="Verdana" w:cs="Verdana"/>
          <w:lang w:val="es-ES"/>
        </w:rPr>
        <w:t>de</w:t>
      </w:r>
      <w:r w:rsidRPr="008F3EE4">
        <w:rPr>
          <w:rFonts w:ascii="Verdana" w:eastAsia="Verdana" w:hAnsi="Verdana" w:cs="Verdana"/>
          <w:spacing w:val="-9"/>
          <w:lang w:val="es-ES"/>
        </w:rPr>
        <w:t xml:space="preserve"> </w:t>
      </w:r>
      <w:r w:rsidRPr="008F3EE4">
        <w:rPr>
          <w:rFonts w:ascii="Verdana" w:eastAsia="Verdana" w:hAnsi="Verdana" w:cs="Verdana"/>
          <w:lang w:val="es-ES"/>
        </w:rPr>
        <w:t>las</w:t>
      </w:r>
      <w:r w:rsidRPr="008F3EE4">
        <w:rPr>
          <w:rFonts w:ascii="Verdana" w:eastAsia="Verdana" w:hAnsi="Verdana" w:cs="Verdana"/>
          <w:spacing w:val="-9"/>
          <w:lang w:val="es-ES"/>
        </w:rPr>
        <w:t xml:space="preserve"> </w:t>
      </w:r>
      <w:r w:rsidRPr="008F3EE4">
        <w:rPr>
          <w:rFonts w:ascii="Verdana" w:eastAsia="Verdana" w:hAnsi="Verdana" w:cs="Verdana"/>
          <w:lang w:val="es-ES"/>
        </w:rPr>
        <w:t>entidades</w:t>
      </w:r>
      <w:r w:rsidRPr="008F3EE4">
        <w:rPr>
          <w:rFonts w:ascii="Verdana" w:eastAsia="Verdana" w:hAnsi="Verdana" w:cs="Verdana"/>
          <w:spacing w:val="-7"/>
          <w:lang w:val="es-ES"/>
        </w:rPr>
        <w:t xml:space="preserve"> </w:t>
      </w:r>
      <w:r w:rsidRPr="008F3EE4">
        <w:rPr>
          <w:rFonts w:ascii="Verdana" w:eastAsia="Verdana" w:hAnsi="Verdana" w:cs="Verdana"/>
          <w:lang w:val="es-ES"/>
        </w:rPr>
        <w:t>indicadas</w:t>
      </w:r>
      <w:r w:rsidRPr="008F3EE4">
        <w:rPr>
          <w:rFonts w:ascii="Verdana" w:eastAsia="Verdana" w:hAnsi="Verdana" w:cs="Verdana"/>
          <w:spacing w:val="-8"/>
          <w:lang w:val="es-ES"/>
        </w:rPr>
        <w:t xml:space="preserve"> </w:t>
      </w:r>
      <w:r w:rsidRPr="008F3EE4">
        <w:rPr>
          <w:rFonts w:ascii="Verdana" w:eastAsia="Verdana" w:hAnsi="Verdana" w:cs="Verdana"/>
          <w:lang w:val="es-ES"/>
        </w:rPr>
        <w:t>en</w:t>
      </w:r>
      <w:r w:rsidRPr="008F3EE4">
        <w:rPr>
          <w:rFonts w:ascii="Verdana" w:eastAsia="Verdana" w:hAnsi="Verdana" w:cs="Verdana"/>
          <w:spacing w:val="-9"/>
          <w:lang w:val="es-ES"/>
        </w:rPr>
        <w:t xml:space="preserve"> </w:t>
      </w:r>
      <w:r w:rsidRPr="008F3EE4">
        <w:rPr>
          <w:rFonts w:ascii="Verdana" w:eastAsia="Verdana" w:hAnsi="Verdana" w:cs="Verdana"/>
          <w:lang w:val="es-ES"/>
        </w:rPr>
        <w:t>el</w:t>
      </w:r>
      <w:r w:rsidRPr="008F3EE4">
        <w:rPr>
          <w:rFonts w:ascii="Verdana" w:eastAsia="Verdana" w:hAnsi="Verdana" w:cs="Verdana"/>
          <w:spacing w:val="-9"/>
          <w:lang w:val="es-ES"/>
        </w:rPr>
        <w:t xml:space="preserve"> </w:t>
      </w:r>
      <w:r w:rsidRPr="008F3EE4">
        <w:rPr>
          <w:rFonts w:ascii="Verdana" w:eastAsia="Verdana" w:hAnsi="Verdana" w:cs="Verdana"/>
          <w:lang w:val="es-ES"/>
        </w:rPr>
        <w:t>artículo</w:t>
      </w:r>
      <w:r w:rsidRPr="008F3EE4">
        <w:rPr>
          <w:rFonts w:ascii="Verdana" w:eastAsia="Verdana" w:hAnsi="Verdana" w:cs="Verdana"/>
          <w:spacing w:val="-7"/>
          <w:lang w:val="es-ES"/>
        </w:rPr>
        <w:t xml:space="preserve"> </w:t>
      </w:r>
      <w:r w:rsidRPr="008F3EE4">
        <w:rPr>
          <w:rFonts w:ascii="Verdana" w:eastAsia="Verdana" w:hAnsi="Verdana" w:cs="Verdana"/>
          <w:lang w:val="es-ES"/>
        </w:rPr>
        <w:t>14 de la Ley 1150 de 2007, y de las universidades estatales u oficiales, según el artículo</w:t>
      </w:r>
      <w:r w:rsidRPr="008F3EE4">
        <w:rPr>
          <w:rFonts w:ascii="Verdana" w:eastAsia="Verdana" w:hAnsi="Verdana" w:cs="Verdana"/>
          <w:spacing w:val="-11"/>
          <w:lang w:val="es-ES"/>
        </w:rPr>
        <w:t xml:space="preserve"> </w:t>
      </w:r>
      <w:r w:rsidRPr="008F3EE4">
        <w:rPr>
          <w:rFonts w:ascii="Verdana" w:eastAsia="Verdana" w:hAnsi="Verdana" w:cs="Verdana"/>
          <w:lang w:val="es-ES"/>
        </w:rPr>
        <w:t>93</w:t>
      </w:r>
      <w:r w:rsidRPr="008F3EE4">
        <w:rPr>
          <w:rFonts w:ascii="Verdana" w:eastAsia="Verdana" w:hAnsi="Verdana" w:cs="Verdana"/>
          <w:spacing w:val="-13"/>
          <w:lang w:val="es-ES"/>
        </w:rPr>
        <w:t xml:space="preserve"> </w:t>
      </w:r>
      <w:r w:rsidRPr="008F3EE4">
        <w:rPr>
          <w:rFonts w:ascii="Verdana" w:eastAsia="Verdana" w:hAnsi="Verdana" w:cs="Verdana"/>
          <w:lang w:val="es-ES"/>
        </w:rPr>
        <w:t>de</w:t>
      </w:r>
      <w:r w:rsidRPr="008F3EE4">
        <w:rPr>
          <w:rFonts w:ascii="Verdana" w:eastAsia="Verdana" w:hAnsi="Verdana" w:cs="Verdana"/>
          <w:spacing w:val="-13"/>
          <w:lang w:val="es-ES"/>
        </w:rPr>
        <w:t xml:space="preserve"> </w:t>
      </w:r>
      <w:r w:rsidRPr="008F3EE4">
        <w:rPr>
          <w:rFonts w:ascii="Verdana" w:eastAsia="Verdana" w:hAnsi="Verdana" w:cs="Verdana"/>
          <w:lang w:val="es-ES"/>
        </w:rPr>
        <w:t>la</w:t>
      </w:r>
      <w:r w:rsidRPr="008F3EE4">
        <w:rPr>
          <w:rFonts w:ascii="Verdana" w:eastAsia="Verdana" w:hAnsi="Verdana" w:cs="Verdana"/>
          <w:spacing w:val="-14"/>
          <w:lang w:val="es-ES"/>
        </w:rPr>
        <w:t xml:space="preserve"> </w:t>
      </w:r>
      <w:r w:rsidRPr="008F3EE4">
        <w:rPr>
          <w:rFonts w:ascii="Verdana" w:eastAsia="Verdana" w:hAnsi="Verdana" w:cs="Verdana"/>
          <w:lang w:val="es-ES"/>
        </w:rPr>
        <w:t>Ley</w:t>
      </w:r>
      <w:r w:rsidRPr="008F3EE4">
        <w:rPr>
          <w:rFonts w:ascii="Verdana" w:eastAsia="Verdana" w:hAnsi="Verdana" w:cs="Verdana"/>
          <w:spacing w:val="-13"/>
          <w:lang w:val="es-ES"/>
        </w:rPr>
        <w:t xml:space="preserve"> </w:t>
      </w:r>
      <w:r w:rsidRPr="008F3EE4">
        <w:rPr>
          <w:rFonts w:ascii="Verdana" w:eastAsia="Verdana" w:hAnsi="Verdana" w:cs="Verdana"/>
          <w:lang w:val="es-ES"/>
        </w:rPr>
        <w:t>30</w:t>
      </w:r>
      <w:r w:rsidRPr="008F3EE4">
        <w:rPr>
          <w:rFonts w:ascii="Verdana" w:eastAsia="Verdana" w:hAnsi="Verdana" w:cs="Verdana"/>
          <w:spacing w:val="-13"/>
          <w:lang w:val="es-ES"/>
        </w:rPr>
        <w:t xml:space="preserve"> </w:t>
      </w:r>
      <w:r w:rsidRPr="008F3EE4">
        <w:rPr>
          <w:rFonts w:ascii="Verdana" w:eastAsia="Verdana" w:hAnsi="Verdana" w:cs="Verdana"/>
          <w:lang w:val="es-ES"/>
        </w:rPr>
        <w:t>de</w:t>
      </w:r>
      <w:r w:rsidRPr="008F3EE4">
        <w:rPr>
          <w:rFonts w:ascii="Verdana" w:eastAsia="Verdana" w:hAnsi="Verdana" w:cs="Verdana"/>
          <w:spacing w:val="-13"/>
          <w:lang w:val="es-ES"/>
        </w:rPr>
        <w:t xml:space="preserve"> </w:t>
      </w:r>
      <w:r w:rsidRPr="008F3EE4">
        <w:rPr>
          <w:rFonts w:ascii="Verdana" w:eastAsia="Verdana" w:hAnsi="Verdana" w:cs="Verdana"/>
          <w:lang w:val="es-ES"/>
        </w:rPr>
        <w:t>1993,</w:t>
      </w:r>
      <w:r w:rsidRPr="008F3EE4">
        <w:rPr>
          <w:rFonts w:ascii="Verdana" w:eastAsia="Verdana" w:hAnsi="Verdana" w:cs="Verdana"/>
          <w:spacing w:val="-12"/>
          <w:lang w:val="es-ES"/>
        </w:rPr>
        <w:t xml:space="preserve"> </w:t>
      </w:r>
      <w:r w:rsidRPr="008F3EE4">
        <w:rPr>
          <w:rFonts w:ascii="Verdana" w:eastAsia="Verdana" w:hAnsi="Verdana" w:cs="Verdana"/>
          <w:lang w:val="es-ES"/>
        </w:rPr>
        <w:t>entre otras.</w:t>
      </w:r>
      <w:r w:rsidRPr="008F3EE4">
        <w:rPr>
          <w:rFonts w:ascii="Verdana" w:eastAsia="Verdana" w:hAnsi="Verdana" w:cs="Verdana"/>
          <w:spacing w:val="-13"/>
          <w:lang w:val="es-ES"/>
        </w:rPr>
        <w:t xml:space="preserve"> </w:t>
      </w:r>
      <w:r w:rsidRPr="008F3EE4">
        <w:rPr>
          <w:rFonts w:ascii="Verdana" w:eastAsia="Verdana" w:hAnsi="Verdana" w:cs="Verdana"/>
          <w:lang w:val="es-ES"/>
        </w:rPr>
        <w:t>Sin</w:t>
      </w:r>
      <w:r w:rsidRPr="008F3EE4">
        <w:rPr>
          <w:rFonts w:ascii="Verdana" w:eastAsia="Verdana" w:hAnsi="Verdana" w:cs="Verdana"/>
          <w:spacing w:val="-13"/>
          <w:lang w:val="es-ES"/>
        </w:rPr>
        <w:t xml:space="preserve"> </w:t>
      </w:r>
      <w:r w:rsidRPr="008F3EE4">
        <w:rPr>
          <w:rFonts w:ascii="Verdana" w:eastAsia="Verdana" w:hAnsi="Verdana" w:cs="Verdana"/>
          <w:lang w:val="es-ES"/>
        </w:rPr>
        <w:t>embargo,</w:t>
      </w:r>
      <w:r w:rsidRPr="008F3EE4">
        <w:rPr>
          <w:rFonts w:ascii="Verdana" w:eastAsia="Verdana" w:hAnsi="Verdana" w:cs="Verdana"/>
          <w:spacing w:val="-11"/>
          <w:lang w:val="es-ES"/>
        </w:rPr>
        <w:t xml:space="preserve"> </w:t>
      </w:r>
      <w:r w:rsidRPr="008F3EE4">
        <w:rPr>
          <w:rFonts w:ascii="Verdana" w:eastAsia="Verdana" w:hAnsi="Verdana" w:cs="Verdana"/>
          <w:lang w:val="es-ES"/>
        </w:rPr>
        <w:t xml:space="preserve">el carácter de régimen especial no responde necesariamente a un criterio orgánico, sino que tiene un </w:t>
      </w:r>
      <w:r w:rsidRPr="008F3EE4">
        <w:rPr>
          <w:rFonts w:ascii="Verdana" w:eastAsia="Verdana" w:hAnsi="Verdana" w:cs="Verdana"/>
          <w:i/>
          <w:iCs/>
          <w:lang w:val="es-ES"/>
        </w:rPr>
        <w:t>fundamento legal</w:t>
      </w:r>
      <w:r w:rsidRPr="008F3EE4">
        <w:rPr>
          <w:rFonts w:ascii="Verdana" w:eastAsia="Verdana" w:hAnsi="Verdana" w:cs="Verdana"/>
          <w:lang w:val="es-ES"/>
        </w:rPr>
        <w:t xml:space="preserve"> en consideración al especial tipo de actividades que desempeñan algunas entidades. En consecuencia, los regímenes especiales no se dan exclusivamente en atención a cierto tipo de sujetos, sino también en consideración a otros factores, como el tipo de objetos contractuales. Un ejemplo de esto es el régimen jurídico establecido en el artículo 66 de la Ley 1523 de 2012</w:t>
      </w:r>
      <w:r w:rsidRPr="008F3EE4">
        <w:rPr>
          <w:rFonts w:ascii="Verdana" w:eastAsia="Verdana" w:hAnsi="Verdana" w:cs="Verdana"/>
          <w:vertAlign w:val="superscript"/>
          <w:lang w:val="es-ES"/>
        </w:rPr>
        <w:footnoteReference w:id="5"/>
      </w:r>
      <w:r w:rsidRPr="008F3EE4">
        <w:rPr>
          <w:rFonts w:ascii="Verdana" w:eastAsia="Verdana" w:hAnsi="Verdana" w:cs="Verdana"/>
          <w:lang w:val="es-ES"/>
        </w:rPr>
        <w:t xml:space="preserve"> o en el Decreto 544 de 2020, que establece un régimen de contratación del derecho privado para los contratos que tengan por objeto la adquisición en </w:t>
      </w:r>
      <w:r w:rsidRPr="008F3EE4">
        <w:rPr>
          <w:rFonts w:ascii="Verdana" w:eastAsia="Verdana" w:hAnsi="Verdana" w:cs="Verdana"/>
          <w:lang w:val="es-ES"/>
        </w:rPr>
        <w:lastRenderedPageBreak/>
        <w:t>el mercado internacional de los elementos que allí se indican.</w:t>
      </w:r>
    </w:p>
    <w:p w14:paraId="569F29B9" w14:textId="77777777" w:rsidR="00C13AAF" w:rsidRPr="008F3EE4" w:rsidRDefault="00C13AAF" w:rsidP="00C13AAF">
      <w:pPr>
        <w:widowControl w:val="0"/>
        <w:autoSpaceDE w:val="0"/>
        <w:autoSpaceDN w:val="0"/>
        <w:spacing w:before="120" w:after="0" w:line="276" w:lineRule="auto"/>
        <w:ind w:firstLine="708"/>
        <w:jc w:val="both"/>
        <w:rPr>
          <w:rFonts w:ascii="Verdana" w:eastAsia="Verdana" w:hAnsi="Verdana" w:cs="Verdana"/>
          <w:sz w:val="24"/>
          <w:szCs w:val="24"/>
          <w:lang w:val="es-ES"/>
        </w:rPr>
      </w:pPr>
      <w:r w:rsidRPr="008F3EE4">
        <w:rPr>
          <w:rFonts w:ascii="Verdana" w:eastAsia="Verdana" w:hAnsi="Verdana" w:cs="Verdana"/>
          <w:lang w:val="es-ES"/>
        </w:rPr>
        <w:t>Con base en lo indicado, tanto los regímenes que atienden principalmente al sujeto, como aquellos relacionados con el objeto de la contratación, tienen el carácter de especiales. Por ejemplo, tanto el régimen jurídico de las Empresas Industriales y Comerciales del Estado en competencia o mercados regulados, como el régimen del artículo 66 de la Ley 1562 de 2012 son regímenes especiales a la luz del derecho de la contratación estatal. Por lo mismo, tanto uno como otro están sometidos, en principio, al derecho privado, pero con algunas particularidades propias del derecho público</w:t>
      </w:r>
      <w:r w:rsidRPr="008F3EE4">
        <w:rPr>
          <w:rFonts w:ascii="Verdana" w:eastAsia="Verdana" w:hAnsi="Verdana" w:cs="Verdana"/>
          <w:sz w:val="24"/>
          <w:szCs w:val="24"/>
          <w:lang w:val="es-ES"/>
        </w:rPr>
        <w:t>.</w:t>
      </w:r>
    </w:p>
    <w:p w14:paraId="33107FB1" w14:textId="77777777" w:rsidR="00C13AAF" w:rsidRPr="008F3EE4" w:rsidRDefault="00C13AAF" w:rsidP="00C13AAF">
      <w:pPr>
        <w:widowControl w:val="0"/>
        <w:autoSpaceDE w:val="0"/>
        <w:autoSpaceDN w:val="0"/>
        <w:spacing w:before="120" w:after="0" w:line="276" w:lineRule="auto"/>
        <w:ind w:firstLine="708"/>
        <w:jc w:val="both"/>
        <w:rPr>
          <w:rFonts w:ascii="Verdana" w:eastAsia="Verdana" w:hAnsi="Verdana" w:cs="Verdana"/>
          <w:lang w:val="es-ES"/>
        </w:rPr>
      </w:pPr>
      <w:r w:rsidRPr="008F3EE4">
        <w:rPr>
          <w:rFonts w:ascii="Verdana" w:eastAsia="Verdana" w:hAnsi="Verdana" w:cs="Verdana"/>
          <w:lang w:val="es-E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8F3EE4">
        <w:rPr>
          <w:rFonts w:ascii="Verdana" w:eastAsia="Verdana" w:hAnsi="Verdana" w:cs="Verdana"/>
          <w:lang w:val="es-ES"/>
        </w:rPr>
        <w:t>ii</w:t>
      </w:r>
      <w:proofErr w:type="spellEnd"/>
      <w:r w:rsidRPr="008F3EE4">
        <w:rPr>
          <w:rFonts w:ascii="Verdana" w:eastAsia="Verdana" w:hAnsi="Verdana" w:cs="Verdana"/>
          <w:lang w:val="es-ES"/>
        </w:rPr>
        <w:t xml:space="preserve">) flexibilizar el ejercicio de la función administrativa –como en los contratos del Banco de la República o los de ciencia y tecnología–, o </w:t>
      </w:r>
      <w:proofErr w:type="spellStart"/>
      <w:r w:rsidRPr="008F3EE4">
        <w:rPr>
          <w:rFonts w:ascii="Verdana" w:eastAsia="Verdana" w:hAnsi="Verdana" w:cs="Verdana"/>
          <w:lang w:val="es-ES"/>
        </w:rPr>
        <w:t>iii</w:t>
      </w:r>
      <w:proofErr w:type="spellEnd"/>
      <w:r w:rsidRPr="008F3EE4">
        <w:rPr>
          <w:rFonts w:ascii="Verdana" w:eastAsia="Verdana" w:hAnsi="Verdana" w:cs="Verdana"/>
          <w:lang w:val="es-ES"/>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8F3EE4">
        <w:rPr>
          <w:rFonts w:ascii="Verdana" w:eastAsia="Verdana" w:hAnsi="Verdana" w:cs="Verdana"/>
          <w:lang w:val="es-ES"/>
        </w:rPr>
        <w:t>ii</w:t>
      </w:r>
      <w:proofErr w:type="spellEnd"/>
      <w:r w:rsidRPr="008F3EE4">
        <w:rPr>
          <w:rFonts w:ascii="Verdana" w:eastAsia="Verdana" w:hAnsi="Verdana" w:cs="Verdana"/>
          <w:lang w:val="es-ES"/>
        </w:rPr>
        <w:t xml:space="preserve">) la asignación de un esquema legal especial, </w:t>
      </w:r>
      <w:proofErr w:type="spellStart"/>
      <w:r w:rsidRPr="008F3EE4">
        <w:rPr>
          <w:rFonts w:ascii="Verdana" w:eastAsia="Verdana" w:hAnsi="Verdana" w:cs="Verdana"/>
          <w:lang w:val="es-ES"/>
        </w:rPr>
        <w:t>iii</w:t>
      </w:r>
      <w:proofErr w:type="spellEnd"/>
      <w:r w:rsidRPr="008F3EE4">
        <w:rPr>
          <w:rFonts w:ascii="Verdana" w:eastAsia="Verdana" w:hAnsi="Verdana" w:cs="Verdana"/>
          <w:lang w:val="es-ES"/>
        </w:rPr>
        <w:t xml:space="preserve">) el objeto del contrato celebrado y </w:t>
      </w:r>
      <w:proofErr w:type="spellStart"/>
      <w:r w:rsidRPr="008F3EE4">
        <w:rPr>
          <w:rFonts w:ascii="Verdana" w:eastAsia="Verdana" w:hAnsi="Verdana" w:cs="Verdana"/>
          <w:lang w:val="es-ES"/>
        </w:rPr>
        <w:t>iv</w:t>
      </w:r>
      <w:proofErr w:type="spellEnd"/>
      <w:r w:rsidRPr="008F3EE4">
        <w:rPr>
          <w:rFonts w:ascii="Verdana" w:eastAsia="Verdana" w:hAnsi="Verdana" w:cs="Verdana"/>
          <w:lang w:val="es-ES"/>
        </w:rPr>
        <w:t>) la existencia de fondos que administran recursos públicos.</w:t>
      </w:r>
    </w:p>
    <w:p w14:paraId="1AFF68D8" w14:textId="77777777" w:rsidR="00C13AAF" w:rsidRPr="008F3EE4" w:rsidRDefault="00C13AAF" w:rsidP="00C13AAF">
      <w:pPr>
        <w:widowControl w:val="0"/>
        <w:autoSpaceDE w:val="0"/>
        <w:autoSpaceDN w:val="0"/>
        <w:spacing w:before="120" w:after="120" w:line="276" w:lineRule="auto"/>
        <w:ind w:firstLine="708"/>
        <w:jc w:val="both"/>
        <w:rPr>
          <w:rFonts w:ascii="Verdana" w:eastAsia="Verdana" w:hAnsi="Verdana" w:cs="Verdana"/>
          <w:lang w:val="es-ES"/>
        </w:rPr>
      </w:pPr>
      <w:r w:rsidRPr="008F3EE4">
        <w:rPr>
          <w:rFonts w:ascii="Verdana" w:eastAsia="Verdana" w:hAnsi="Verdana" w:cs="Verdana"/>
          <w:lang w:val="es-ES"/>
        </w:rPr>
        <w:t xml:space="preserve">De cualquier modo, se resalta que la determinación de un régimen especial surge </w:t>
      </w:r>
      <w:r w:rsidRPr="008F3EE4">
        <w:rPr>
          <w:rFonts w:ascii="Verdana" w:eastAsia="Verdana" w:hAnsi="Verdana" w:cs="Verdana"/>
          <w:i/>
          <w:iCs/>
          <w:lang w:val="es-ES"/>
        </w:rPr>
        <w:t>por expresa disposición legal</w:t>
      </w:r>
      <w:r w:rsidRPr="008F3EE4">
        <w:rPr>
          <w:rFonts w:ascii="Verdana" w:eastAsia="Verdana" w:hAnsi="Verdana" w:cs="Verdana"/>
          <w:lang w:val="es-ES"/>
        </w:rPr>
        <w:t>, ya sea por su naturaleza o situación de competencia, con lo cual tienen condiciones diferenciales respecto de la normativa de contratación pública. Esto quiere decir que no están sometidas al Estatuto General de Contratación de la Administración Pública y, por ende, sus procedimientos contractuales tienen una normativa propia para su desarrollo, esto es, el derecho privado. Esta circunstancia estará determinada en las normas de creación del régimen especial.</w:t>
      </w:r>
    </w:p>
    <w:p w14:paraId="5365DB24" w14:textId="77777777" w:rsidR="00C13AAF" w:rsidRPr="008F3EE4" w:rsidRDefault="00C13AAF" w:rsidP="00C13AAF">
      <w:pPr>
        <w:spacing w:after="0" w:line="276" w:lineRule="auto"/>
        <w:ind w:firstLine="709"/>
        <w:jc w:val="both"/>
        <w:rPr>
          <w:rFonts w:ascii="Verdana" w:eastAsia="Times New Roman" w:hAnsi="Verdana" w:cs="Arial"/>
          <w:bCs/>
          <w:lang w:val="es-ES"/>
        </w:rPr>
      </w:pPr>
      <w:r w:rsidRPr="008F3EE4">
        <w:rPr>
          <w:rFonts w:ascii="Verdana" w:eastAsia="Times New Roman" w:hAnsi="Verdana" w:cs="Arial"/>
          <w:bCs/>
          <w:lang w:val="es-ES"/>
        </w:rPr>
        <w:t xml:space="preserve">No obstante, las </w:t>
      </w:r>
      <w:r w:rsidRPr="008F3EE4">
        <w:rPr>
          <w:rFonts w:ascii="Verdana" w:eastAsia="Times New Roman" w:hAnsi="Verdana" w:cs="Arial"/>
          <w:bCs/>
          <w:i/>
          <w:iCs/>
          <w:lang w:val="es-ES"/>
        </w:rPr>
        <w:t>entidades del régimen exceptuado</w:t>
      </w:r>
      <w:r w:rsidRPr="008F3EE4">
        <w:rPr>
          <w:rFonts w:ascii="Verdana" w:eastAsia="Times New Roman" w:hAnsi="Verdana" w:cs="Arial"/>
          <w:bCs/>
          <w:lang w:val="es-ES"/>
        </w:rPr>
        <w:t xml:space="preserve"> no se desligan por completo de las normas de derecho público. Lo anterior, en la medida que el inciso primero del artículo 13 de la Ley 1150 de 2007 prescribe que “Las entidades estatales que por disposición legal cuenten con un régimen contractual excepcional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w:t>
      </w:r>
      <w:r w:rsidRPr="008F3EE4">
        <w:rPr>
          <w:rFonts w:ascii="Verdana" w:eastAsia="Times New Roman" w:hAnsi="Verdana" w:cs="Arial"/>
          <w:bCs/>
          <w:lang w:val="es-ES"/>
        </w:rPr>
        <w:lastRenderedPageBreak/>
        <w:t>inhabilidades e incompatibilidades previsto legalmente para la contratación estatal”.</w:t>
      </w:r>
    </w:p>
    <w:p w14:paraId="0594E885" w14:textId="77777777" w:rsidR="00C13AAF" w:rsidRPr="008F3EE4" w:rsidRDefault="00C13AAF" w:rsidP="00C13AAF">
      <w:pPr>
        <w:spacing w:after="0" w:line="276" w:lineRule="auto"/>
        <w:ind w:firstLine="709"/>
        <w:jc w:val="both"/>
        <w:rPr>
          <w:rFonts w:ascii="Verdana" w:eastAsia="Times New Roman" w:hAnsi="Verdana" w:cs="Arial"/>
          <w:bCs/>
          <w:lang w:val="es-ES"/>
        </w:rPr>
      </w:pPr>
    </w:p>
    <w:p w14:paraId="3CA8F422" w14:textId="77777777" w:rsidR="00C13AAF" w:rsidRPr="008F3EE4" w:rsidRDefault="00C13AAF" w:rsidP="00C13AAF">
      <w:pPr>
        <w:spacing w:after="120" w:line="276" w:lineRule="auto"/>
        <w:jc w:val="both"/>
        <w:rPr>
          <w:rFonts w:ascii="Verdana" w:eastAsia="Calibri" w:hAnsi="Verdana" w:cs="Arial"/>
          <w:lang w:val="es-ES"/>
        </w:rPr>
      </w:pPr>
      <w:proofErr w:type="spellStart"/>
      <w:r w:rsidRPr="008F3EE4">
        <w:rPr>
          <w:rFonts w:ascii="Verdana" w:eastAsia="Calibri" w:hAnsi="Verdana" w:cs="Arial"/>
          <w:lang w:val="es-ES"/>
        </w:rPr>
        <w:t>ii</w:t>
      </w:r>
      <w:proofErr w:type="spellEnd"/>
      <w:r w:rsidRPr="008F3EE4">
        <w:rPr>
          <w:rFonts w:ascii="Verdana" w:eastAsia="Calibri" w:hAnsi="Verdana" w:cs="Arial"/>
          <w:lang w:val="es-ES"/>
        </w:rPr>
        <w:t xml:space="preserve">) El régimen de contratación del Fondo Adaptación ha asumido el carácter de especial en algunos periodos de tiempo con ocasión a distintos cuerpos normativos que han dispuesto expresamente la aplicación del derecho privado. Mediante el Decreto 4580 del 7 de diciembre de 2010, el Gobierno Nacional declaró el estado de emergencia económica, social y ecológica como consecuencia de grave calamidad pública derivada del desastre natural producido </w:t>
      </w:r>
      <w:r>
        <w:rPr>
          <w:rFonts w:ascii="Verdana" w:eastAsia="Calibri" w:hAnsi="Verdana" w:cs="Arial"/>
          <w:lang w:val="es-ES"/>
        </w:rPr>
        <w:t xml:space="preserve">por el </w:t>
      </w:r>
      <w:r w:rsidRPr="008F3EE4">
        <w:rPr>
          <w:rFonts w:ascii="Verdana" w:eastAsia="Calibri" w:hAnsi="Verdana" w:cs="Arial"/>
          <w:lang w:val="es-ES"/>
        </w:rPr>
        <w:t>fenómeno meteorológico denominado “La Niña”. En desarrollo de esta norma, el Decreto-Ley 4819 del 29 de diciembre de 2010 creó el Fondo Adaptación con el objeto de recuperar, construir y reconstruir las zonas afectadas por dicho fenómeno. Según la norma, el Fondo tiene como finalidad la identificación, estructuración y gestión de proyectos, ejecución de procesos contractuales, así como la disposición y transferencia de recursos para la recuperación, construcción y reconstrucción de infraestructura, la rehabilitación económica de sectores agrícolas, ganaderos y pecuarios afectados por la ola invernal, y demás acciones requeridas con ocasión del fenómeno de "La Niña", para impedir definitivamente la prolongación de sus efectos.</w:t>
      </w:r>
    </w:p>
    <w:p w14:paraId="38AA9092" w14:textId="77777777" w:rsidR="00C13AAF" w:rsidRPr="008F3EE4" w:rsidRDefault="00C13AAF" w:rsidP="00C13AAF">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El Fondo Adaptación es creado como una entidad descentralizada </w:t>
      </w:r>
      <w:proofErr w:type="gramStart"/>
      <w:r w:rsidRPr="008F3EE4">
        <w:rPr>
          <w:rFonts w:ascii="Verdana" w:eastAsia="Calibri" w:hAnsi="Verdana" w:cs="Arial"/>
          <w:lang w:val="es-ES"/>
        </w:rPr>
        <w:t>del orden nacional adscrita</w:t>
      </w:r>
      <w:proofErr w:type="gramEnd"/>
      <w:r w:rsidRPr="008F3EE4">
        <w:rPr>
          <w:rFonts w:ascii="Verdana" w:eastAsia="Calibri" w:hAnsi="Verdana" w:cs="Arial"/>
          <w:lang w:val="es-ES"/>
        </w:rPr>
        <w:t xml:space="preserve"> al Ministerio de Hacienda y Crédito Público, con personería jurídica, y autonomía presupuestal y financiera. Sobre su régimen contractual, el artículo 7 del Decreto-Ley 4819 de 2010 dispuso que:</w:t>
      </w:r>
    </w:p>
    <w:p w14:paraId="0279112D"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r w:rsidRPr="008F3EE4">
        <w:rPr>
          <w:rFonts w:ascii="Verdana" w:eastAsia="Calibri" w:hAnsi="Verdana" w:cs="Arial"/>
          <w:sz w:val="20"/>
          <w:szCs w:val="20"/>
          <w:lang w:val="es-ES"/>
        </w:rPr>
        <w:t xml:space="preserve">“Los contratos que celebre el Fondo para el cumplimiento de su objeto, cualquiera sea su índole o cuantía, </w:t>
      </w:r>
      <w:r w:rsidRPr="008F3EE4">
        <w:rPr>
          <w:rFonts w:ascii="Verdana" w:eastAsia="Calibri" w:hAnsi="Verdana" w:cs="Arial"/>
          <w:i/>
          <w:iCs/>
          <w:sz w:val="20"/>
          <w:szCs w:val="20"/>
          <w:lang w:val="es-ES"/>
        </w:rPr>
        <w:t>se regirán por el derecho privado</w:t>
      </w:r>
      <w:r w:rsidRPr="008F3EE4">
        <w:rPr>
          <w:rFonts w:ascii="Verdana" w:eastAsia="Calibri" w:hAnsi="Verdana" w:cs="Arial"/>
          <w:sz w:val="20"/>
          <w:szCs w:val="20"/>
          <w:lang w:val="es-ES"/>
        </w:rPr>
        <w:t xml:space="preserve"> y estarán sujetos a las disposiciones contenidas en los artículos 209 y 267 de la Constitución Política, dando aplicación a los artículos 14 a 18 de la Ley 80 de 1993 y el artículo 13 de la Ley 1150 de 2007. El Consejo Directivo, podrá determinar las cuantías y casos en los cuales sea necesario adelantar procesos de selección que garanticen la participación pública.   </w:t>
      </w:r>
    </w:p>
    <w:p w14:paraId="7994A08B"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p>
    <w:p w14:paraId="55DFF35A"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r w:rsidRPr="008F3EE4">
        <w:rPr>
          <w:rFonts w:ascii="Verdana" w:eastAsia="Calibri" w:hAnsi="Verdana" w:cs="Arial"/>
          <w:sz w:val="20"/>
          <w:szCs w:val="20"/>
          <w:lang w:val="es-ES"/>
        </w:rPr>
        <w:t>Parágrafo. El Gobierno Nacional reglamentará todas las condiciones para la contratación del Fondo que permitan mayor eficiencia en la recuperación, construcción y reconstrucción por el fenómeno de "La Niña", garantizando el cumplimiento de los principios constitucionales y legales citados en el presente artículo”. [Énfasis propio]</w:t>
      </w:r>
    </w:p>
    <w:p w14:paraId="0B87A209" w14:textId="77777777" w:rsidR="00C13AAF" w:rsidRPr="008F3EE4" w:rsidRDefault="00C13AAF" w:rsidP="00C13AAF">
      <w:pPr>
        <w:spacing w:after="0" w:line="276" w:lineRule="auto"/>
        <w:jc w:val="both"/>
        <w:rPr>
          <w:rFonts w:ascii="Verdana" w:eastAsia="Calibri" w:hAnsi="Verdana" w:cs="Arial"/>
          <w:lang w:val="es-ES"/>
        </w:rPr>
      </w:pPr>
    </w:p>
    <w:p w14:paraId="6D5FDAAE" w14:textId="77777777" w:rsidR="00C13AAF" w:rsidRPr="008F3EE4" w:rsidRDefault="00C13AAF" w:rsidP="00C13AAF">
      <w:pPr>
        <w:spacing w:after="0" w:line="276" w:lineRule="auto"/>
        <w:ind w:firstLine="708"/>
        <w:jc w:val="both"/>
        <w:rPr>
          <w:rFonts w:ascii="Verdana" w:eastAsia="Calibri" w:hAnsi="Verdana" w:cs="Arial"/>
          <w:lang w:val="es-ES"/>
        </w:rPr>
      </w:pPr>
      <w:r w:rsidRPr="008F3EE4">
        <w:rPr>
          <w:rFonts w:ascii="Verdana" w:eastAsia="Calibri" w:hAnsi="Verdana" w:cs="Arial"/>
          <w:lang w:val="es-ES"/>
        </w:rPr>
        <w:lastRenderedPageBreak/>
        <w:t xml:space="preserve">En efecto, la norma creó un régimen especial de contratación para el Fondo Adaptación, según el cual su actividad contractual se regiría por el derecho privado y no por el Estatuto General de Contratación de la Administración Pública –en adelante EGCAP–. La Corte Constitucional analizó esta disposición y la declaró condicionalmente exequible, en el entendido de que este régimen contractual tendría vigencia hasta el </w:t>
      </w:r>
      <w:r w:rsidRPr="008F3EE4">
        <w:rPr>
          <w:rFonts w:ascii="Verdana" w:eastAsia="Calibri" w:hAnsi="Verdana" w:cs="Arial"/>
          <w:i/>
          <w:iCs/>
          <w:lang w:val="es-ES"/>
        </w:rPr>
        <w:t>31 de diciembre de 2014.</w:t>
      </w:r>
      <w:r w:rsidRPr="008F3EE4">
        <w:rPr>
          <w:rFonts w:ascii="Verdana" w:eastAsia="Calibri" w:hAnsi="Verdana" w:cs="Arial"/>
          <w:lang w:val="es-ES"/>
        </w:rPr>
        <w:t xml:space="preserve"> Dispuso que, si bien la creación de un régimen contractual especial se adecuaba a las motivaciones que fundamentaron la declaratoria del estado de emergencia y guardaba conexidad con las herramientas necesarias para hacer frente a la crisis, no evidenció razones que justificaran una extensión indefinida en el tiempo del régimen exceptuado, por lo que declaró la exequibilidad condicionada a dicha vigencia temporal</w:t>
      </w:r>
      <w:r w:rsidRPr="008F3EE4">
        <w:rPr>
          <w:rStyle w:val="Refdenotaalpie"/>
          <w:rFonts w:ascii="Verdana" w:eastAsia="Calibri" w:hAnsi="Verdana" w:cs="Arial"/>
          <w:lang w:val="es-ES"/>
        </w:rPr>
        <w:footnoteReference w:id="6"/>
      </w:r>
      <w:r w:rsidRPr="008F3EE4">
        <w:rPr>
          <w:rFonts w:ascii="Verdana" w:eastAsia="Calibri" w:hAnsi="Verdana" w:cs="Arial"/>
          <w:lang w:val="es-ES"/>
        </w:rPr>
        <w:t>.</w:t>
      </w:r>
    </w:p>
    <w:p w14:paraId="115533E2" w14:textId="77777777" w:rsidR="00C13AAF" w:rsidRPr="008F3EE4" w:rsidRDefault="00C13AAF" w:rsidP="00C13AAF">
      <w:pPr>
        <w:spacing w:before="120" w:after="120" w:line="276" w:lineRule="auto"/>
        <w:jc w:val="both"/>
        <w:rPr>
          <w:rFonts w:ascii="Verdana" w:eastAsia="Calibri" w:hAnsi="Verdana" w:cs="Arial"/>
          <w:lang w:val="es-ES"/>
        </w:rPr>
      </w:pPr>
      <w:r w:rsidRPr="008F3EE4">
        <w:rPr>
          <w:rFonts w:ascii="Verdana" w:eastAsia="Calibri" w:hAnsi="Verdana" w:cs="Arial"/>
          <w:lang w:val="es-ES"/>
        </w:rPr>
        <w:t xml:space="preserve"> </w:t>
      </w:r>
      <w:r w:rsidRPr="008F3EE4">
        <w:rPr>
          <w:rFonts w:ascii="Verdana" w:eastAsia="Calibri" w:hAnsi="Verdana" w:cs="Arial"/>
          <w:lang w:val="es-ES"/>
        </w:rPr>
        <w:tab/>
        <w:t>Por otra parte, en ejercicio de la potestad reglamentaria derivada del parágrafo del artículo 7 del Decreto-Ley 4819 de 2010, el Gobierno Nacional expidió el Decreto 2962 de 2011. Esta norma estableció las condiciones en que el Fondo adelantaría su contratación bajo el régimen de derecho privado. Entre otras cuestiones, determinó los principios que regirían los contratos celebrados por el Fondo y fijó tres procedimientos de selección: (i) la selección directa, (</w:t>
      </w:r>
      <w:proofErr w:type="spellStart"/>
      <w:r w:rsidRPr="008F3EE4">
        <w:rPr>
          <w:rFonts w:ascii="Verdana" w:eastAsia="Calibri" w:hAnsi="Verdana" w:cs="Arial"/>
          <w:lang w:val="es-ES"/>
        </w:rPr>
        <w:t>ii</w:t>
      </w:r>
      <w:proofErr w:type="spellEnd"/>
      <w:r w:rsidRPr="008F3EE4">
        <w:rPr>
          <w:rFonts w:ascii="Verdana" w:eastAsia="Calibri" w:hAnsi="Verdana" w:cs="Arial"/>
          <w:lang w:val="es-ES"/>
        </w:rPr>
        <w:t>) la convocatoria cerrada, y (</w:t>
      </w:r>
      <w:proofErr w:type="spellStart"/>
      <w:r w:rsidRPr="008F3EE4">
        <w:rPr>
          <w:rFonts w:ascii="Verdana" w:eastAsia="Calibri" w:hAnsi="Verdana" w:cs="Arial"/>
          <w:lang w:val="es-ES"/>
        </w:rPr>
        <w:t>iii</w:t>
      </w:r>
      <w:proofErr w:type="spellEnd"/>
      <w:r w:rsidRPr="008F3EE4">
        <w:rPr>
          <w:rFonts w:ascii="Verdana" w:eastAsia="Calibri" w:hAnsi="Verdana" w:cs="Arial"/>
          <w:lang w:val="es-ES"/>
        </w:rPr>
        <w:t>) la convocatoria abierta. Posteriormente, el Decreto 1241 de 2013 modificó los artículos 4 y 9 del Decreto 2962 de 2011, con lo cual estableció causales específicas para la utilización del procedimiento de contratación directa.</w:t>
      </w:r>
    </w:p>
    <w:p w14:paraId="0CB42385" w14:textId="77777777" w:rsidR="00C13AAF" w:rsidRPr="008F3EE4" w:rsidRDefault="00C13AAF" w:rsidP="00C13AAF">
      <w:pPr>
        <w:spacing w:before="120" w:after="120" w:line="276" w:lineRule="auto"/>
        <w:jc w:val="both"/>
        <w:rPr>
          <w:rFonts w:ascii="Verdana" w:eastAsia="Calibri" w:hAnsi="Verdana" w:cs="Arial"/>
          <w:i/>
          <w:iCs/>
          <w:lang w:val="es-ES"/>
        </w:rPr>
      </w:pPr>
      <w:r w:rsidRPr="008F3EE4">
        <w:rPr>
          <w:rFonts w:ascii="Verdana" w:eastAsia="Calibri" w:hAnsi="Verdana" w:cs="Arial"/>
          <w:lang w:val="es-ES"/>
        </w:rPr>
        <w:tab/>
        <w:t>En virtud de la normativa expuesta los contratos que celebrara el Fondo Adaptación para el cumplimiento de su objeto, independientemente de su cuantía o índole, se regirían por el derecho privado, por lo que no estaría su</w:t>
      </w:r>
      <w:r>
        <w:rPr>
          <w:rFonts w:ascii="Verdana" w:eastAsia="Calibri" w:hAnsi="Verdana" w:cs="Arial"/>
          <w:lang w:val="es-ES"/>
        </w:rPr>
        <w:t>j</w:t>
      </w:r>
      <w:r w:rsidRPr="008F3EE4">
        <w:rPr>
          <w:rFonts w:ascii="Verdana" w:eastAsia="Calibri" w:hAnsi="Verdana" w:cs="Arial"/>
          <w:lang w:val="es-ES"/>
        </w:rPr>
        <w:t xml:space="preserve">etos al EGCAP. De cualquier modo, el artículo 7 estableció expresamente que serían aplicables los principios de la función administrativa y de control fiscal, así como los artículos del Estatuto que se refieren a la incorporación de cláusulas excepcionales al derecho común. En todo caso, el Fondo Adaptación solo podría contratar bajo este régimen de derecho privado hasta el </w:t>
      </w:r>
      <w:r w:rsidRPr="008F3EE4">
        <w:rPr>
          <w:rFonts w:ascii="Verdana" w:eastAsia="Calibri" w:hAnsi="Verdana" w:cs="Arial"/>
          <w:i/>
          <w:iCs/>
          <w:lang w:val="es-ES"/>
        </w:rPr>
        <w:t>31 de diciembre de 2014.</w:t>
      </w:r>
    </w:p>
    <w:p w14:paraId="75C3648E" w14:textId="77777777" w:rsidR="00C13AAF" w:rsidRPr="008F3EE4" w:rsidRDefault="00C13AAF" w:rsidP="00C13AAF">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Teniendo en cuenta la vigencia temporal inicialmente establecida, la Ley 1737 del 2 de diciembre de 2014, por la cual se decreta el Presupuesto de Rentas y Recursos de Capital y Ley de Apropiaciones para la vigencia fiscal del 1º de </w:t>
      </w:r>
      <w:r w:rsidRPr="008F3EE4">
        <w:rPr>
          <w:rFonts w:ascii="Verdana" w:eastAsia="Calibri" w:hAnsi="Verdana" w:cs="Arial"/>
          <w:lang w:val="es-ES"/>
        </w:rPr>
        <w:lastRenderedPageBreak/>
        <w:t>enero al 31 de diciembre de 2015, incluyó una disposición sobre el régimen de contratación del Fondo Adaptación. El artículo 79 dispuso que “con el fin de facilitar la ejecución de los recursos destinados a superar los efectos de calamidades públicas, las apropiaciones presupuestales para desarrollar el objeto del Fondo Adaptación se contratarán según lo previsto en el artículo séptimo del Decreto número 4819 de 2010”. Con esto, extendió en el tiempo la aplicación del régimen de derecho privado que fue inicialmente establecido en el Decreto-Ley de creación del Fondo. De esta manera, la contratación que desarrollara el Fondo en el marco de la vigencia de la Ley 1737 de 2014 también estaría sujeta a dicho régimen especial de derecho privado.</w:t>
      </w:r>
    </w:p>
    <w:p w14:paraId="63F5811D" w14:textId="77777777" w:rsidR="00C13AAF" w:rsidRPr="008F3EE4" w:rsidRDefault="00C13AAF" w:rsidP="00C13AAF">
      <w:pPr>
        <w:spacing w:after="0" w:line="276" w:lineRule="auto"/>
        <w:ind w:firstLine="708"/>
        <w:jc w:val="both"/>
        <w:rPr>
          <w:rFonts w:ascii="Verdana" w:eastAsia="Calibri" w:hAnsi="Verdana" w:cs="Arial"/>
          <w:lang w:val="es-ES"/>
        </w:rPr>
      </w:pPr>
      <w:r w:rsidRPr="008F3EE4">
        <w:rPr>
          <w:rFonts w:ascii="Verdana" w:eastAsia="Calibri" w:hAnsi="Verdana" w:cs="Arial"/>
          <w:lang w:val="es-ES"/>
        </w:rPr>
        <w:t>Los Decretos 2962 de 2011 y el Decreto 1241 de 2013 fueron luego derogados por el Decreto 203 del 4 de febrero de 2015. Este último fue expedido con el fin de “reglamentar el régimen especial de contratación del Fondo Adaptación para la ejecución de los recursos destinados a la recuperación, construcción y reconstrucción de las zonas afectadas por el Fenómeno de La Niña […]”. De esta manera, el artículo 1º estableció que:</w:t>
      </w:r>
    </w:p>
    <w:p w14:paraId="5C67142B"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p>
    <w:p w14:paraId="797D9F44"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r w:rsidRPr="008F3EE4">
        <w:rPr>
          <w:rFonts w:ascii="Verdana" w:eastAsia="Calibri" w:hAnsi="Verdana" w:cs="Arial"/>
          <w:sz w:val="20"/>
          <w:szCs w:val="20"/>
          <w:lang w:val="es-ES"/>
        </w:rPr>
        <w:t>“Los contratos que celebre el Fondo Adaptación para la ejecución de los recursos destinados a la recuperación, construcción y reconstrucción, de las zonas afectadas por el fenómeno de La Niña, y aquellos necesarios para la ejecución de estas actividades, se regirán por el derecho privado y estarán sujetos a las disposiciones contenidas en los artículos 209 y 267 de la Constitución Política y en su desarrollo se dará aplicación a los artículos 14 a 18 de la Ley 80 de 1993 y el artículo 13 de la Ley 1150 de 2007. </w:t>
      </w:r>
    </w:p>
    <w:p w14:paraId="6353F840" w14:textId="77777777" w:rsidR="00C13AAF" w:rsidRPr="008F3EE4" w:rsidRDefault="00C13AAF" w:rsidP="00C13AAF">
      <w:pPr>
        <w:spacing w:after="0" w:line="240" w:lineRule="auto"/>
        <w:ind w:left="709" w:right="709"/>
        <w:jc w:val="both"/>
        <w:rPr>
          <w:rFonts w:ascii="Verdana" w:eastAsia="Calibri" w:hAnsi="Verdana" w:cs="Arial"/>
          <w:sz w:val="16"/>
          <w:szCs w:val="16"/>
          <w:lang w:val="es-ES"/>
        </w:rPr>
      </w:pPr>
      <w:r w:rsidRPr="008F3EE4">
        <w:rPr>
          <w:rFonts w:ascii="Verdana" w:eastAsia="Calibri" w:hAnsi="Verdana" w:cs="Arial"/>
          <w:sz w:val="20"/>
          <w:szCs w:val="20"/>
          <w:lang w:val="es-ES"/>
        </w:rPr>
        <w:t>Los demás contratos estarán sometidos al Estatuto General de Contratación de la Administración Pública, contenido en las Leyes 80 de 1993 y 1150 de 2007 y las normas que los modifiquen o adicionen”. </w:t>
      </w:r>
    </w:p>
    <w:p w14:paraId="27679587" w14:textId="77777777" w:rsidR="00C13AAF" w:rsidRPr="008F3EE4" w:rsidRDefault="00C13AAF" w:rsidP="00C13AAF">
      <w:pPr>
        <w:spacing w:after="0" w:line="276" w:lineRule="auto"/>
        <w:jc w:val="both"/>
        <w:rPr>
          <w:rFonts w:ascii="Verdana" w:eastAsia="Calibri" w:hAnsi="Verdana" w:cs="Arial"/>
          <w:lang w:val="es-ES"/>
        </w:rPr>
      </w:pPr>
      <w:r w:rsidRPr="008F3EE4">
        <w:rPr>
          <w:rFonts w:ascii="Verdana" w:eastAsia="Calibri" w:hAnsi="Verdana" w:cs="Arial"/>
          <w:lang w:val="es-ES"/>
        </w:rPr>
        <w:tab/>
      </w:r>
    </w:p>
    <w:p w14:paraId="4BE0338F" w14:textId="77777777" w:rsidR="00C13AAF" w:rsidRPr="008F3EE4" w:rsidRDefault="00C13AAF" w:rsidP="00C13AAF">
      <w:pPr>
        <w:spacing w:after="0" w:line="276" w:lineRule="auto"/>
        <w:jc w:val="both"/>
        <w:rPr>
          <w:rFonts w:ascii="Verdana" w:eastAsia="Calibri" w:hAnsi="Verdana" w:cs="Arial"/>
          <w:lang w:val="es-ES"/>
        </w:rPr>
      </w:pPr>
      <w:r w:rsidRPr="008F3EE4">
        <w:rPr>
          <w:rFonts w:ascii="Verdana" w:eastAsia="Calibri" w:hAnsi="Verdana" w:cs="Arial"/>
          <w:lang w:val="es-ES"/>
        </w:rPr>
        <w:tab/>
        <w:t>Con lo anterior, el Decreto 203 del 2015 estableció un régimen mixto para los procesos de contratación del Fondo Adaptación. Por un lado, los contratos que celebrara para ejecución de los recursos destinados a la recuperación, construcción y reconstrucción de las zonas afectadas por el fenómeno de La Niña, así como los contratos que ejecutaran estas actividades</w:t>
      </w:r>
      <w:r>
        <w:rPr>
          <w:rFonts w:ascii="Verdana" w:eastAsia="Calibri" w:hAnsi="Verdana" w:cs="Arial"/>
          <w:lang w:val="es-ES"/>
        </w:rPr>
        <w:t>,</w:t>
      </w:r>
      <w:r w:rsidRPr="008F3EE4">
        <w:rPr>
          <w:rFonts w:ascii="Verdana" w:eastAsia="Calibri" w:hAnsi="Verdana" w:cs="Arial"/>
          <w:lang w:val="es-ES"/>
        </w:rPr>
        <w:t xml:space="preserve"> </w:t>
      </w:r>
      <w:r w:rsidRPr="008F3EE4">
        <w:rPr>
          <w:rFonts w:ascii="Verdana" w:eastAsia="Calibri" w:hAnsi="Verdana" w:cs="Arial"/>
          <w:i/>
          <w:iCs/>
          <w:lang w:val="es-ES"/>
        </w:rPr>
        <w:t>se regirían por el derecho privado</w:t>
      </w:r>
      <w:r w:rsidRPr="008F3EE4">
        <w:rPr>
          <w:rFonts w:ascii="Verdana" w:eastAsia="Calibri" w:hAnsi="Verdana" w:cs="Arial"/>
          <w:lang w:val="es-ES"/>
        </w:rPr>
        <w:t xml:space="preserve">, sujetándose en todo caso a los principios de la función administrativa y de control fiscal, así como la aplicación de los artículos del EGCAP relativos a las cláusulas excepcionales al derecho común y  los principios establecidos en el artículo 13 de la Ley 1150 de 2017. Por otro lado, toda actividad contractual no enmarcada en las actividades expresamente dispuestas </w:t>
      </w:r>
      <w:r w:rsidRPr="008F3EE4">
        <w:rPr>
          <w:rFonts w:ascii="Verdana" w:eastAsia="Calibri" w:hAnsi="Verdana" w:cs="Arial"/>
          <w:lang w:val="es-ES"/>
        </w:rPr>
        <w:lastRenderedPageBreak/>
        <w:t>en dicho artículo se regiría por el EGCAP. En cualquier caso, ni la Ley 1737 de 20</w:t>
      </w:r>
      <w:r>
        <w:rPr>
          <w:rFonts w:ascii="Verdana" w:eastAsia="Calibri" w:hAnsi="Verdana" w:cs="Arial"/>
          <w:lang w:val="es-ES"/>
        </w:rPr>
        <w:t>1</w:t>
      </w:r>
      <w:r w:rsidRPr="008F3EE4">
        <w:rPr>
          <w:rFonts w:ascii="Verdana" w:eastAsia="Calibri" w:hAnsi="Verdana" w:cs="Arial"/>
          <w:lang w:val="es-ES"/>
        </w:rPr>
        <w:t>4 ni este Decreto reglamentario incluyeron un término de vigencia para el régimen especial de contratación del Fondo.</w:t>
      </w:r>
    </w:p>
    <w:p w14:paraId="7326D4C8" w14:textId="77777777" w:rsidR="00C13AAF" w:rsidRPr="008F3EE4" w:rsidRDefault="00C13AAF" w:rsidP="00C13AAF">
      <w:pPr>
        <w:spacing w:before="120" w:after="0" w:line="276" w:lineRule="auto"/>
        <w:jc w:val="both"/>
        <w:rPr>
          <w:rFonts w:ascii="Verdana" w:eastAsia="Calibri" w:hAnsi="Verdana" w:cs="Arial"/>
          <w:lang w:val="es-ES"/>
        </w:rPr>
      </w:pPr>
      <w:r w:rsidRPr="008F3EE4">
        <w:rPr>
          <w:rFonts w:ascii="Verdana" w:eastAsia="Calibri" w:hAnsi="Verdana" w:cs="Arial"/>
          <w:lang w:val="es-ES"/>
        </w:rPr>
        <w:tab/>
        <w:t>Adicionalmente, el Decreto 203 del 2015 estableció las modalidades de selección que debería utilizar el Fondo para escoger sus contratistas. La norma mantuvo las tres modalidades establecidas inicialmente en el Decreto 2962 de 2011, pero determinó condiciones precisas para su aplicación en función de la cuantía. Además, para la contratación directa, el artículo segundo incluyó un listado de causales específicas. De cualquier modo, el parágrafo del artículo 2.3 del Decreto señaló que el Manual de Contratación del Fondo establecería las reglas para la ejecución de cada una de dichas las modalidades de selección.</w:t>
      </w:r>
    </w:p>
    <w:p w14:paraId="33BDE2B6" w14:textId="77777777" w:rsidR="00C13AAF" w:rsidRPr="008F3EE4" w:rsidRDefault="00C13AAF" w:rsidP="00C13AAF">
      <w:pPr>
        <w:spacing w:before="120" w:after="0" w:line="276" w:lineRule="auto"/>
        <w:ind w:firstLine="708"/>
        <w:jc w:val="both"/>
        <w:rPr>
          <w:rFonts w:ascii="Verdana" w:eastAsia="Calibri" w:hAnsi="Verdana" w:cs="Arial"/>
          <w:lang w:val="es-ES"/>
        </w:rPr>
      </w:pPr>
      <w:r w:rsidRPr="008F3EE4">
        <w:rPr>
          <w:rFonts w:ascii="Verdana" w:eastAsia="Calibri" w:hAnsi="Verdana" w:cs="Arial"/>
          <w:lang w:val="es-ES"/>
        </w:rPr>
        <w:t xml:space="preserve">En virtud de lo anterior, el Fondo expidió la Resolución 836 del 27 de octubre de 2015, por medio de la cual adoptó el manual de contratación. El Manual reiteró la aplicación del régimen mixto de contratación antes señalado, de modo que dispuso los lineamientos para la contratación de aquellos procesos regidos por el derecho privado, así como de los que estarían sujetos al EGCAP, como sería el caso de los que adelantara el Fondo para su funcionamiento. </w:t>
      </w:r>
    </w:p>
    <w:p w14:paraId="16AF22E2" w14:textId="77777777" w:rsidR="00C13AAF" w:rsidRPr="008F3EE4" w:rsidRDefault="00C13AAF" w:rsidP="00C13AAF">
      <w:pPr>
        <w:spacing w:before="120" w:after="0" w:line="276" w:lineRule="auto"/>
        <w:ind w:firstLine="708"/>
        <w:jc w:val="both"/>
        <w:rPr>
          <w:rFonts w:ascii="Verdana" w:eastAsia="Calibri" w:hAnsi="Verdana" w:cs="Arial"/>
          <w:lang w:val="es-ES"/>
        </w:rPr>
      </w:pPr>
      <w:r w:rsidRPr="008F3EE4">
        <w:rPr>
          <w:rFonts w:ascii="Verdana" w:eastAsia="Calibri" w:hAnsi="Verdana" w:cs="Arial"/>
          <w:lang w:val="es-ES"/>
        </w:rPr>
        <w:t>El Decreto 203 del 2015 fue compilado posteriormente por el Decreto 1068 del 26 de mayo de 2015, por medio del cual se expidió el Decreto Único Reglamentario del Sector Hacienda y Crédito Público. En consecuencia, los artículos 2.13.1.1. y 2.13.1.2. de este último reiteraron respectivamente el régimen contractual mixto y las modalidades de selección dispuestas inicialmente en el Decreto 203 de 2015. Sin embargo, el 9 de junio de 2015 se expidió la Ley 1753 de 2015, Plan Nacional de Desarrollo 2014-2018 “Todos por un nuevo país”. Su artículo 155 introdujo nuevas disposiciones sobre la contratación del Fondo Adaptación, así:</w:t>
      </w:r>
    </w:p>
    <w:p w14:paraId="57D9E582" w14:textId="77777777" w:rsidR="00C13AAF" w:rsidRPr="008F3EE4" w:rsidRDefault="00C13AAF" w:rsidP="00C13AAF">
      <w:pPr>
        <w:spacing w:after="0" w:line="276" w:lineRule="auto"/>
        <w:ind w:firstLine="708"/>
        <w:jc w:val="both"/>
        <w:rPr>
          <w:rFonts w:ascii="Verdana" w:eastAsia="Calibri" w:hAnsi="Verdana" w:cs="Arial"/>
          <w:lang w:val="es-ES"/>
        </w:rPr>
      </w:pPr>
    </w:p>
    <w:p w14:paraId="5D4688E9"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r w:rsidRPr="008F3EE4">
        <w:rPr>
          <w:rFonts w:ascii="Verdana" w:eastAsia="Calibri" w:hAnsi="Verdana" w:cs="Arial"/>
          <w:sz w:val="20"/>
          <w:szCs w:val="20"/>
          <w:lang w:val="es-ES"/>
        </w:rPr>
        <w:t xml:space="preserve">“Los contratos para la construcción y reconstrucción necesarios para la superación de los efectos derivados de la ocurrencia de desastres naturales a cargo del Fondo Adaptación, y en general todos aquellos necesarios para la ejecución de estas actividades, se regirán por el derecho privado. Lo anterior, con plena observancia de lo dispuesto en el artículo 13 de la Ley 1150 de 2007, sin perjuicio de la facultad de incluir las cláusulas excepcionales a que se refieren los artículos 14 a 18 de la Ley 80 de 1993 y de aplicar lo dispuesto en el artículo 17 de la Ley 1150 de 2007. La excepción a la aplicación del Estatuto General de Contratación Pública para los contratos a que se refiere el presente </w:t>
      </w:r>
      <w:proofErr w:type="gramStart"/>
      <w:r w:rsidRPr="008F3EE4">
        <w:rPr>
          <w:rFonts w:ascii="Verdana" w:eastAsia="Calibri" w:hAnsi="Verdana" w:cs="Arial"/>
          <w:sz w:val="20"/>
          <w:szCs w:val="20"/>
          <w:lang w:val="es-ES"/>
        </w:rPr>
        <w:t>inciso,</w:t>
      </w:r>
      <w:proofErr w:type="gramEnd"/>
      <w:r w:rsidRPr="008F3EE4">
        <w:rPr>
          <w:rFonts w:ascii="Verdana" w:eastAsia="Calibri" w:hAnsi="Verdana" w:cs="Arial"/>
          <w:sz w:val="20"/>
          <w:szCs w:val="20"/>
          <w:lang w:val="es-ES"/>
        </w:rPr>
        <w:t xml:space="preserve"> estará vigente </w:t>
      </w:r>
      <w:r w:rsidRPr="008F3EE4">
        <w:rPr>
          <w:rFonts w:ascii="Verdana" w:eastAsia="Calibri" w:hAnsi="Verdana" w:cs="Arial"/>
          <w:b/>
          <w:bCs/>
          <w:i/>
          <w:iCs/>
          <w:sz w:val="20"/>
          <w:szCs w:val="20"/>
          <w:lang w:val="es-ES"/>
        </w:rPr>
        <w:t>hasta el 31 de diciembre de 2018</w:t>
      </w:r>
      <w:r w:rsidRPr="008F3EE4">
        <w:rPr>
          <w:rFonts w:ascii="Verdana" w:eastAsia="Calibri" w:hAnsi="Verdana" w:cs="Arial"/>
          <w:sz w:val="20"/>
          <w:szCs w:val="20"/>
          <w:lang w:val="es-ES"/>
        </w:rPr>
        <w:t xml:space="preserve"> […]”. [Énfasis propio]</w:t>
      </w:r>
    </w:p>
    <w:p w14:paraId="75FF46EE"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p>
    <w:p w14:paraId="5D511511" w14:textId="77777777" w:rsidR="00C13AAF" w:rsidRPr="008F3EE4" w:rsidRDefault="00C13AAF" w:rsidP="00C13AAF">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El artículo 155 modificó algunos aspectos del régimen contractual dispuesto antes por el Decreto 203 del 2015, compilado por el Decreto 1068 del 26 de mayo de 2015. Con respecto al objeto, los contratos que se regirían por el derecho privado a partir de la expedición de la Ley 1753 de 2015 serían aquellos que tuvieran por objeto a construcción y reconstrucción para superar los efectos derivados de desastres naturales, así como los necesarios para ejecutar esas actividades. A diferencia de lo estipulado en el Decreto 203 del 2015, el artículo 155 no se limitó a las “zonas afectadas por el fenómeno de La Niña”, sino que extendió su alcance a otro tipo de desastres naturales. Adicionalmente, la Ley 1753 de 2015 estableció un régimen exceptuado con un término de vigencia hasta el </w:t>
      </w:r>
      <w:r w:rsidRPr="008F3EE4">
        <w:rPr>
          <w:rFonts w:ascii="Verdana" w:eastAsia="Calibri" w:hAnsi="Verdana" w:cs="Arial"/>
          <w:i/>
          <w:iCs/>
          <w:lang w:val="es-ES"/>
        </w:rPr>
        <w:t>31 de diciembre de 2018</w:t>
      </w:r>
      <w:r w:rsidRPr="008F3EE4">
        <w:rPr>
          <w:rFonts w:ascii="Verdana" w:eastAsia="Calibri" w:hAnsi="Verdana" w:cs="Arial"/>
          <w:lang w:val="es-ES"/>
        </w:rPr>
        <w:t xml:space="preserve">. En efecto, la contratación del Fondo debía someterse en su totalidad al EGCAP a partir del </w:t>
      </w:r>
      <w:r w:rsidRPr="008F3EE4">
        <w:rPr>
          <w:rFonts w:ascii="Verdana" w:eastAsia="Calibri" w:hAnsi="Verdana" w:cs="Arial"/>
          <w:i/>
          <w:iCs/>
          <w:lang w:val="es-ES"/>
        </w:rPr>
        <w:t>primero de enero de 2019</w:t>
      </w:r>
      <w:r w:rsidRPr="008F3EE4">
        <w:rPr>
          <w:rFonts w:ascii="Verdana" w:eastAsia="Calibri" w:hAnsi="Verdana" w:cs="Arial"/>
          <w:lang w:val="es-ES"/>
        </w:rPr>
        <w:t xml:space="preserve">. </w:t>
      </w:r>
    </w:p>
    <w:p w14:paraId="0AA209B7" w14:textId="77777777" w:rsidR="00C13AAF" w:rsidRPr="008F3EE4" w:rsidRDefault="00C13AAF" w:rsidP="00C13AAF">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Este régimen especial de contratación establecido en el Plan Nacional de Desarrollo fue reglamentado por el Decreto 2387 del 11 de diciembre de 2015 que, a su vez, modificó la Parte 13 del Libro 2 del Decreto 1068 de 2015 y derogó el Decreto 203 del 2015. Con lo anterior, el </w:t>
      </w:r>
      <w:r>
        <w:rPr>
          <w:rFonts w:ascii="Verdana" w:eastAsia="Calibri" w:hAnsi="Verdana" w:cs="Arial"/>
          <w:lang w:val="es-ES"/>
        </w:rPr>
        <w:t>a</w:t>
      </w:r>
      <w:r w:rsidRPr="008F3EE4">
        <w:rPr>
          <w:rFonts w:ascii="Verdana" w:eastAsia="Calibri" w:hAnsi="Verdana" w:cs="Arial"/>
          <w:lang w:val="es-ES"/>
        </w:rPr>
        <w:t>rtículo 2.13.1.1., modificado por el Decreto 2387 del 2015, reiteró el régimen contractual del artículo 155 de la Ley 1753 de 2015, aclarando que los demás contratos que celebrados por el Fondo estarían sometidos al EGCAP. Con respecto a las modalidades de selección, el Artículo 2.13.1.2. estableció las condiciones para que el Fondo adelantara contratos mediante la modalidad de invitación abierta, invitación cerrada y contratación directa</w:t>
      </w:r>
      <w:r w:rsidRPr="008F3EE4">
        <w:rPr>
          <w:rStyle w:val="Refdenotaalpie"/>
          <w:rFonts w:ascii="Verdana" w:eastAsia="Calibri" w:hAnsi="Verdana" w:cs="Arial"/>
          <w:lang w:val="es-ES"/>
        </w:rPr>
        <w:footnoteReference w:id="7"/>
      </w:r>
      <w:r w:rsidRPr="008F3EE4">
        <w:rPr>
          <w:rFonts w:ascii="Verdana" w:eastAsia="Calibri" w:hAnsi="Verdana" w:cs="Arial"/>
          <w:lang w:val="es-ES"/>
        </w:rPr>
        <w:t xml:space="preserve">. </w:t>
      </w:r>
    </w:p>
    <w:p w14:paraId="055B7179" w14:textId="77777777" w:rsidR="00C13AAF" w:rsidRPr="008F3EE4" w:rsidRDefault="00C13AAF" w:rsidP="00C13AAF">
      <w:pPr>
        <w:spacing w:after="0" w:line="276" w:lineRule="auto"/>
        <w:ind w:firstLine="708"/>
        <w:jc w:val="both"/>
        <w:rPr>
          <w:rFonts w:ascii="Verdana" w:eastAsia="Calibri" w:hAnsi="Verdana" w:cs="Arial"/>
          <w:lang w:val="es-ES"/>
        </w:rPr>
      </w:pPr>
      <w:r w:rsidRPr="008F3EE4">
        <w:rPr>
          <w:rFonts w:ascii="Verdana" w:eastAsia="Calibri" w:hAnsi="Verdana" w:cs="Arial"/>
          <w:lang w:val="es-ES"/>
        </w:rPr>
        <w:lastRenderedPageBreak/>
        <w:t>Finalmente, el artículo 46 de la Ley 1955 de 2019,</w:t>
      </w:r>
      <w:r w:rsidRPr="008F3EE4">
        <w:rPr>
          <w:rFonts w:ascii="Open Sans" w:hAnsi="Open Sans" w:cs="Open Sans"/>
          <w:color w:val="4B4949"/>
          <w:sz w:val="18"/>
          <w:szCs w:val="18"/>
          <w:lang w:val="es-ES"/>
        </w:rPr>
        <w:t xml:space="preserve"> </w:t>
      </w:r>
      <w:r w:rsidRPr="008F3EE4">
        <w:rPr>
          <w:rFonts w:ascii="Verdana" w:eastAsia="Calibri" w:hAnsi="Verdana" w:cs="Arial"/>
          <w:lang w:val="es-ES"/>
        </w:rPr>
        <w:t>por la cual se expide el Plan Nacional de Desarrollo 2018-2022, “Pacto por Colombia, Pacto por la Equidad”, modificó el régimen de contratación del Fondo Adaptación que había establecido el anterior Plan Nacional de Desarrollo. El nuevo régimen especial aplicable al Fondo se estableció en los siguientes términos:</w:t>
      </w:r>
    </w:p>
    <w:p w14:paraId="201CE715" w14:textId="77777777" w:rsidR="00C13AAF" w:rsidRPr="008F3EE4" w:rsidRDefault="00C13AAF" w:rsidP="00C13AAF">
      <w:pPr>
        <w:spacing w:after="0" w:line="276" w:lineRule="auto"/>
        <w:ind w:firstLine="708"/>
        <w:jc w:val="both"/>
        <w:rPr>
          <w:rFonts w:ascii="Verdana" w:eastAsia="Calibri" w:hAnsi="Verdana" w:cs="Arial"/>
          <w:lang w:val="es-ES"/>
        </w:rPr>
      </w:pPr>
    </w:p>
    <w:p w14:paraId="0FD9C5FB" w14:textId="77777777" w:rsidR="00C13AAF" w:rsidRPr="008F3EE4" w:rsidRDefault="00C13AAF" w:rsidP="00C13AAF">
      <w:pPr>
        <w:spacing w:after="120" w:line="240" w:lineRule="auto"/>
        <w:ind w:left="709" w:right="709"/>
        <w:jc w:val="both"/>
        <w:rPr>
          <w:rFonts w:ascii="Verdana" w:eastAsia="Calibri" w:hAnsi="Verdana" w:cs="Arial"/>
          <w:sz w:val="20"/>
          <w:szCs w:val="20"/>
          <w:lang w:val="es-ES"/>
        </w:rPr>
      </w:pPr>
      <w:r w:rsidRPr="008F3EE4">
        <w:rPr>
          <w:rFonts w:ascii="Verdana" w:eastAsia="Calibri" w:hAnsi="Verdana" w:cs="Arial"/>
          <w:sz w:val="20"/>
          <w:szCs w:val="20"/>
          <w:lang w:val="es-ES"/>
        </w:rPr>
        <w:t>Modifíquese el artículo 155 de la Ley 1753 de 2015, el cual quedará así: Artículo </w:t>
      </w:r>
      <w:hyperlink r:id="rId13" w:anchor="155" w:history="1">
        <w:r w:rsidRPr="008F3EE4">
          <w:rPr>
            <w:rFonts w:ascii="Verdana" w:hAnsi="Verdana"/>
            <w:sz w:val="20"/>
            <w:szCs w:val="20"/>
            <w:lang w:val="es-ES"/>
          </w:rPr>
          <w:t>155</w:t>
        </w:r>
      </w:hyperlink>
      <w:r w:rsidRPr="008F3EE4">
        <w:rPr>
          <w:rFonts w:ascii="Verdana" w:eastAsia="Calibri" w:hAnsi="Verdana" w:cs="Arial"/>
          <w:sz w:val="20"/>
          <w:szCs w:val="20"/>
          <w:lang w:val="es-ES"/>
        </w:rPr>
        <w:t>. Del Fondo Adaptación. El Fondo Adaptación, creado mediante Decreto-Ley </w:t>
      </w:r>
      <w:hyperlink r:id="rId14" w:anchor="Inicio" w:history="1">
        <w:r w:rsidRPr="008F3EE4">
          <w:rPr>
            <w:rFonts w:ascii="Verdana" w:hAnsi="Verdana"/>
            <w:sz w:val="20"/>
            <w:szCs w:val="20"/>
            <w:lang w:val="es-ES"/>
          </w:rPr>
          <w:t>4819</w:t>
        </w:r>
      </w:hyperlink>
      <w:r w:rsidRPr="008F3EE4">
        <w:rPr>
          <w:rFonts w:ascii="Verdana" w:eastAsia="Calibri" w:hAnsi="Verdana" w:cs="Arial"/>
          <w:sz w:val="20"/>
          <w:szCs w:val="20"/>
          <w:lang w:val="es-ES"/>
        </w:rPr>
        <w:t> de 2010, hará parte del Sistema Nacional de Gestión del Riesgo de Desastres en los términos de la Ley </w:t>
      </w:r>
      <w:hyperlink r:id="rId15" w:anchor="Inicio" w:history="1">
        <w:r w:rsidRPr="008F3EE4">
          <w:rPr>
            <w:rFonts w:ascii="Verdana" w:hAnsi="Verdana"/>
            <w:sz w:val="20"/>
            <w:szCs w:val="20"/>
            <w:lang w:val="es-ES"/>
          </w:rPr>
          <w:t>1523</w:t>
        </w:r>
      </w:hyperlink>
      <w:r w:rsidRPr="008F3EE4">
        <w:rPr>
          <w:rFonts w:ascii="Verdana" w:eastAsia="Calibri" w:hAnsi="Verdana" w:cs="Arial"/>
          <w:sz w:val="20"/>
          <w:szCs w:val="20"/>
          <w:lang w:val="es-ES"/>
        </w:rPr>
        <w:t> de 2012.</w:t>
      </w:r>
    </w:p>
    <w:p w14:paraId="308CEE40" w14:textId="77777777" w:rsidR="00C13AAF" w:rsidRPr="008F3EE4" w:rsidRDefault="00C13AAF" w:rsidP="00C13AAF">
      <w:pPr>
        <w:spacing w:before="120" w:after="0" w:line="240" w:lineRule="auto"/>
        <w:ind w:left="709" w:right="709"/>
        <w:jc w:val="both"/>
        <w:rPr>
          <w:rFonts w:ascii="Verdana" w:eastAsia="Calibri" w:hAnsi="Verdana" w:cs="Arial"/>
          <w:sz w:val="20"/>
          <w:szCs w:val="20"/>
          <w:lang w:val="es-ES"/>
        </w:rPr>
      </w:pPr>
      <w:r w:rsidRPr="008F3EE4">
        <w:rPr>
          <w:rFonts w:ascii="Verdana" w:eastAsia="Calibri" w:hAnsi="Verdana" w:cs="Arial"/>
          <w:sz w:val="20"/>
          <w:szCs w:val="20"/>
          <w:lang w:val="es-ES"/>
        </w:rPr>
        <w:t xml:space="preserve">Los contratos que celebre el Fondo Adaptación para ejecutar los recursos destinados al programa de reducción de la vulnerabilidad fiscal ante desastres y riesgos </w:t>
      </w:r>
      <w:proofErr w:type="gramStart"/>
      <w:r w:rsidRPr="008F3EE4">
        <w:rPr>
          <w:rFonts w:ascii="Verdana" w:eastAsia="Calibri" w:hAnsi="Verdana" w:cs="Arial"/>
          <w:sz w:val="20"/>
          <w:szCs w:val="20"/>
          <w:lang w:val="es-ES"/>
        </w:rPr>
        <w:t>climáticos,</w:t>
      </w:r>
      <w:proofErr w:type="gramEnd"/>
      <w:r w:rsidRPr="008F3EE4">
        <w:rPr>
          <w:rFonts w:ascii="Verdana" w:eastAsia="Calibri" w:hAnsi="Verdana" w:cs="Arial"/>
          <w:sz w:val="20"/>
          <w:szCs w:val="20"/>
          <w:lang w:val="es-ES"/>
        </w:rPr>
        <w:t xml:space="preserve"> </w:t>
      </w:r>
      <w:r w:rsidRPr="008F3EE4">
        <w:rPr>
          <w:rFonts w:ascii="Verdana" w:eastAsia="Calibri" w:hAnsi="Verdana" w:cs="Arial"/>
          <w:b/>
          <w:bCs/>
          <w:sz w:val="20"/>
          <w:szCs w:val="20"/>
          <w:lang w:val="es-ES"/>
        </w:rPr>
        <w:t>se regirán por el derecho privado</w:t>
      </w:r>
      <w:r w:rsidRPr="008F3EE4">
        <w:rPr>
          <w:rFonts w:ascii="Verdana" w:eastAsia="Calibri" w:hAnsi="Verdana" w:cs="Arial"/>
          <w:sz w:val="20"/>
          <w:szCs w:val="20"/>
          <w:lang w:val="es-ES"/>
        </w:rPr>
        <w:t>. Lo anterior, con plena observancia de lo dispuesto en el artículo </w:t>
      </w:r>
      <w:hyperlink r:id="rId16" w:anchor="13" w:history="1">
        <w:r w:rsidRPr="008F3EE4">
          <w:rPr>
            <w:rFonts w:ascii="Verdana" w:hAnsi="Verdana"/>
            <w:sz w:val="20"/>
            <w:szCs w:val="20"/>
            <w:lang w:val="es-ES"/>
          </w:rPr>
          <w:t>13</w:t>
        </w:r>
      </w:hyperlink>
      <w:r w:rsidRPr="008F3EE4">
        <w:rPr>
          <w:rFonts w:ascii="Verdana" w:eastAsia="Calibri" w:hAnsi="Verdana" w:cs="Arial"/>
          <w:sz w:val="20"/>
          <w:szCs w:val="20"/>
          <w:lang w:val="es-ES"/>
        </w:rPr>
        <w:t> de la Ley 1150 de 2007, sin perjuicio de la facultad de incluir las cláusulas excepcionales a que se refieren los artículos </w:t>
      </w:r>
      <w:hyperlink r:id="rId17" w:anchor="14" w:history="1">
        <w:r w:rsidRPr="008F3EE4">
          <w:rPr>
            <w:rFonts w:ascii="Verdana" w:hAnsi="Verdana"/>
            <w:sz w:val="20"/>
            <w:szCs w:val="20"/>
            <w:lang w:val="es-ES"/>
          </w:rPr>
          <w:t>14</w:t>
        </w:r>
      </w:hyperlink>
      <w:r w:rsidRPr="008F3EE4">
        <w:rPr>
          <w:rFonts w:ascii="Verdana" w:eastAsia="Calibri" w:hAnsi="Verdana" w:cs="Arial"/>
          <w:sz w:val="20"/>
          <w:szCs w:val="20"/>
          <w:lang w:val="es-ES"/>
        </w:rPr>
        <w:t> a </w:t>
      </w:r>
      <w:hyperlink r:id="rId18" w:anchor="18" w:history="1">
        <w:r w:rsidRPr="008F3EE4">
          <w:rPr>
            <w:rFonts w:ascii="Verdana" w:hAnsi="Verdana"/>
            <w:sz w:val="20"/>
            <w:szCs w:val="20"/>
            <w:lang w:val="es-ES"/>
          </w:rPr>
          <w:t>18</w:t>
        </w:r>
      </w:hyperlink>
      <w:r w:rsidRPr="008F3EE4">
        <w:rPr>
          <w:rFonts w:ascii="Verdana" w:eastAsia="Calibri" w:hAnsi="Verdana" w:cs="Arial"/>
          <w:sz w:val="20"/>
          <w:szCs w:val="20"/>
          <w:lang w:val="es-ES"/>
        </w:rPr>
        <w:t> de la Ley 80 de 1993 y de aplicar lo dispuesto en los artículos </w:t>
      </w:r>
      <w:hyperlink r:id="rId19" w:anchor="11" w:history="1">
        <w:r w:rsidRPr="008F3EE4">
          <w:rPr>
            <w:rFonts w:ascii="Verdana" w:hAnsi="Verdana"/>
            <w:sz w:val="20"/>
            <w:szCs w:val="20"/>
            <w:lang w:val="es-ES"/>
          </w:rPr>
          <w:t>11</w:t>
        </w:r>
      </w:hyperlink>
      <w:r w:rsidRPr="008F3EE4">
        <w:rPr>
          <w:rFonts w:ascii="Verdana" w:eastAsia="Calibri" w:hAnsi="Verdana" w:cs="Arial"/>
          <w:sz w:val="20"/>
          <w:szCs w:val="20"/>
          <w:lang w:val="es-ES"/>
        </w:rPr>
        <w:t> y </w:t>
      </w:r>
      <w:hyperlink r:id="rId20" w:anchor="17" w:history="1">
        <w:r w:rsidRPr="008F3EE4">
          <w:rPr>
            <w:rFonts w:ascii="Verdana" w:hAnsi="Verdana"/>
            <w:sz w:val="20"/>
            <w:szCs w:val="20"/>
            <w:lang w:val="es-ES"/>
          </w:rPr>
          <w:t>17</w:t>
        </w:r>
      </w:hyperlink>
      <w:r w:rsidRPr="008F3EE4">
        <w:rPr>
          <w:rFonts w:ascii="Verdana" w:eastAsia="Calibri" w:hAnsi="Verdana" w:cs="Arial"/>
          <w:sz w:val="20"/>
          <w:szCs w:val="20"/>
          <w:lang w:val="es-ES"/>
        </w:rPr>
        <w:t xml:space="preserve"> de la Ley 1150 de 2007, </w:t>
      </w:r>
      <w:r w:rsidRPr="008F3EE4">
        <w:rPr>
          <w:rFonts w:ascii="Verdana" w:eastAsia="Calibri" w:hAnsi="Verdana" w:cs="Arial"/>
          <w:b/>
          <w:bCs/>
          <w:sz w:val="20"/>
          <w:szCs w:val="20"/>
          <w:lang w:val="es-ES"/>
        </w:rPr>
        <w:t>a partir del 1 de enero de 2020 los procesos contractuales que adelante el Fondo Adaptación se regirán por lo previsto por la Ley </w:t>
      </w:r>
      <w:hyperlink r:id="rId21" w:anchor="Inicio" w:history="1">
        <w:r w:rsidRPr="008F3EE4">
          <w:rPr>
            <w:rFonts w:ascii="Verdana" w:hAnsi="Verdana"/>
            <w:b/>
            <w:bCs/>
            <w:sz w:val="20"/>
            <w:szCs w:val="20"/>
            <w:lang w:val="es-ES"/>
          </w:rPr>
          <w:t>80</w:t>
        </w:r>
      </w:hyperlink>
      <w:r w:rsidRPr="008F3EE4">
        <w:rPr>
          <w:rFonts w:ascii="Verdana" w:eastAsia="Calibri" w:hAnsi="Verdana" w:cs="Arial"/>
          <w:b/>
          <w:bCs/>
          <w:sz w:val="20"/>
          <w:szCs w:val="20"/>
          <w:lang w:val="es-ES"/>
        </w:rPr>
        <w:t> de 1993 y la Ley </w:t>
      </w:r>
      <w:hyperlink r:id="rId22" w:anchor="INICIO" w:history="1">
        <w:r w:rsidRPr="008F3EE4">
          <w:rPr>
            <w:rFonts w:ascii="Verdana" w:hAnsi="Verdana"/>
            <w:b/>
            <w:bCs/>
            <w:sz w:val="20"/>
            <w:szCs w:val="20"/>
            <w:lang w:val="es-ES"/>
          </w:rPr>
          <w:t>1150</w:t>
        </w:r>
      </w:hyperlink>
      <w:r w:rsidRPr="008F3EE4">
        <w:rPr>
          <w:rFonts w:ascii="Verdana" w:eastAsia="Calibri" w:hAnsi="Verdana" w:cs="Arial"/>
          <w:b/>
          <w:bCs/>
          <w:sz w:val="20"/>
          <w:szCs w:val="20"/>
          <w:lang w:val="es-ES"/>
        </w:rPr>
        <w:t> de 2007</w:t>
      </w:r>
      <w:r w:rsidRPr="008F3EE4">
        <w:rPr>
          <w:rFonts w:ascii="Verdana" w:eastAsia="Calibri" w:hAnsi="Verdana" w:cs="Arial"/>
          <w:sz w:val="20"/>
          <w:szCs w:val="20"/>
          <w:lang w:val="es-ES"/>
        </w:rPr>
        <w:t xml:space="preserve"> […]”. [Énfasis propio]</w:t>
      </w:r>
    </w:p>
    <w:p w14:paraId="299CCC57" w14:textId="77777777" w:rsidR="00C13AAF" w:rsidRPr="008F3EE4" w:rsidRDefault="00C13AAF" w:rsidP="00C13AAF">
      <w:pPr>
        <w:spacing w:after="0" w:line="240" w:lineRule="auto"/>
        <w:ind w:left="709" w:right="709"/>
        <w:jc w:val="both"/>
        <w:rPr>
          <w:rFonts w:ascii="Verdana" w:eastAsia="Calibri" w:hAnsi="Verdana" w:cs="Arial"/>
          <w:sz w:val="20"/>
          <w:szCs w:val="20"/>
          <w:lang w:val="es-ES"/>
        </w:rPr>
      </w:pPr>
    </w:p>
    <w:p w14:paraId="7F57FD31" w14:textId="77777777" w:rsidR="00C13AAF" w:rsidRPr="008F3EE4" w:rsidRDefault="00C13AAF" w:rsidP="00C13AAF">
      <w:pPr>
        <w:spacing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De esta manera, </w:t>
      </w:r>
      <w:r>
        <w:rPr>
          <w:rFonts w:ascii="Verdana" w:eastAsia="Calibri" w:hAnsi="Verdana" w:cs="Arial"/>
          <w:lang w:val="es-ES"/>
        </w:rPr>
        <w:t>dicho</w:t>
      </w:r>
      <w:r w:rsidRPr="008F3EE4">
        <w:rPr>
          <w:rFonts w:ascii="Verdana" w:eastAsia="Calibri" w:hAnsi="Verdana" w:cs="Arial"/>
          <w:lang w:val="es-ES"/>
        </w:rPr>
        <w:t xml:space="preserve"> Plan Nacional de Desarrollo señala un nuevo supuesto de hecho para la aplicación del derecho privado a los procesos de contratación que adelante el Fondo Adaptación. Este régimen especial solo será procedente para la ejecución de recursos que se encuentren destinados al programa de reducción de la vulnerabilidad fiscal ante desastres y riesgos climáticos, aclarando que serán aplicables las normas y principios del EGCAP que ya habían sido contempladas en normas anteriores, además del artículo 11 sobre el plazo para la liquidación de los contratos de la Ley 1150 de 2007. Sin embargo, esta disposición aclara que </w:t>
      </w:r>
      <w:r w:rsidRPr="008F3EE4">
        <w:rPr>
          <w:rFonts w:ascii="Verdana" w:eastAsia="Calibri" w:hAnsi="Verdana" w:cs="Arial"/>
          <w:i/>
          <w:iCs/>
          <w:lang w:val="es-ES"/>
        </w:rPr>
        <w:t>toda</w:t>
      </w:r>
      <w:r w:rsidRPr="008F3EE4">
        <w:rPr>
          <w:rFonts w:ascii="Verdana" w:eastAsia="Calibri" w:hAnsi="Verdana" w:cs="Arial"/>
          <w:lang w:val="es-ES"/>
        </w:rPr>
        <w:t xml:space="preserve"> la contratación del Fondo Adaptación quedará sometida al EGCAP a partir del primero de enero del 2020.</w:t>
      </w:r>
      <w:r w:rsidRPr="008F3EE4">
        <w:rPr>
          <w:rFonts w:ascii="Verdana" w:eastAsia="Calibri" w:hAnsi="Verdana" w:cs="Arial"/>
          <w:sz w:val="20"/>
          <w:szCs w:val="20"/>
          <w:lang w:val="es-ES"/>
        </w:rPr>
        <w:t xml:space="preserve"> </w:t>
      </w:r>
    </w:p>
    <w:p w14:paraId="6D994DF7" w14:textId="77777777" w:rsidR="00C13AAF" w:rsidRPr="008F3EE4" w:rsidRDefault="00C13AAF" w:rsidP="00C13AAF">
      <w:pPr>
        <w:spacing w:before="120" w:after="120" w:line="276" w:lineRule="auto"/>
        <w:ind w:firstLine="708"/>
        <w:jc w:val="both"/>
        <w:rPr>
          <w:rFonts w:ascii="Verdana" w:eastAsia="Calibri" w:hAnsi="Verdana" w:cs="Arial"/>
          <w:lang w:val="es-ES"/>
        </w:rPr>
      </w:pPr>
      <w:r w:rsidRPr="008F3EE4">
        <w:rPr>
          <w:rFonts w:ascii="Verdana" w:eastAsia="Calibri" w:hAnsi="Verdana" w:cs="Arial"/>
          <w:lang w:val="es-ES"/>
        </w:rPr>
        <w:t xml:space="preserve">Con respecto a lo expuesto, es necesario aclarar que el régimen de derecho privado que contempló la Ley 1753 de 2015 estaba vigente hasta el </w:t>
      </w:r>
      <w:r w:rsidRPr="008F3EE4">
        <w:rPr>
          <w:rFonts w:ascii="Verdana" w:eastAsia="Calibri" w:hAnsi="Verdana" w:cs="Arial"/>
          <w:i/>
          <w:iCs/>
          <w:lang w:val="es-ES"/>
        </w:rPr>
        <w:t>31 de diciembre de 2018</w:t>
      </w:r>
      <w:r w:rsidRPr="008F3EE4">
        <w:rPr>
          <w:rFonts w:ascii="Verdana" w:eastAsia="Calibri" w:hAnsi="Verdana" w:cs="Arial"/>
          <w:lang w:val="es-ES"/>
        </w:rPr>
        <w:t xml:space="preserve">. Dado que la Ley 1955 de 2019 fue expedida el 25 de mayo de 2019, la contratación realizada por el Fondo Adaptación desde el primero de enero y hasta el 24 de mayo de 2019 debía someterse al EGCAP, pues ninguna norma la exceptuó de este régimen en el periodo de tiempo señalado. Así, del 25 de mayo de 2019 hasta el 31 de diciembre de 2019, su contratación se sometió al derecho privado en lo establecido por la Ley 1955 de 2019. A partir del primero de enero del 2020, todos los procesos de contratación que adelanta el Fondo se rigen por el EGCAP. Lo anterior es reiterado y desarrollado en el Manual de Contratación del Fondo que rige a la fecha. </w:t>
      </w:r>
    </w:p>
    <w:p w14:paraId="2D50DEAA" w14:textId="77777777" w:rsidR="00C13AAF" w:rsidRDefault="00C13AAF" w:rsidP="00C13AAF">
      <w:pPr>
        <w:spacing w:before="120" w:after="0" w:line="276" w:lineRule="auto"/>
        <w:ind w:firstLine="708"/>
        <w:jc w:val="both"/>
        <w:rPr>
          <w:rFonts w:ascii="Verdana" w:eastAsia="Calibri" w:hAnsi="Verdana" w:cs="Arial"/>
          <w:lang w:val="es-ES"/>
        </w:rPr>
      </w:pPr>
      <w:r w:rsidRPr="008F3EE4">
        <w:rPr>
          <w:rFonts w:ascii="Verdana" w:eastAsia="Calibri" w:hAnsi="Verdana" w:cs="Arial"/>
          <w:lang w:val="es-ES"/>
        </w:rPr>
        <w:t>En términos generales, la aplicación de un régimen especial de derecho privado a la contratación del Fondo Adaptación se mantiene desde su Decreto Ley de creación hasta el 31 de diciembre de 2018. Entre el primero de enero y el 25 de mayo de 2019 su contratación se rigió por el EGCAP; desde esta última fecha y hasta el 31 de diciembre del mismo año, su contratación se sometió nuevamente a un régimen de derecho privado, por expresa disposición del Plan Nacional de Desarrollo. Finalmente, a partir del primero de enero del 2020 la contratación del Fondo se sujeta en su totalidad al EGCAP. Sin embargo, se advierte que este concepto hace un recuento de la normativa del régimen de contratación del Fon</w:t>
      </w:r>
      <w:r>
        <w:rPr>
          <w:rFonts w:ascii="Verdana" w:eastAsia="Calibri" w:hAnsi="Verdana" w:cs="Arial"/>
          <w:lang w:val="es-ES"/>
        </w:rPr>
        <w:t>do</w:t>
      </w:r>
      <w:r w:rsidRPr="008F3EE4">
        <w:rPr>
          <w:rFonts w:ascii="Verdana" w:eastAsia="Calibri" w:hAnsi="Verdana" w:cs="Arial"/>
          <w:lang w:val="es-ES"/>
        </w:rPr>
        <w:t xml:space="preserve"> Adaptación. Dado que este régimen ha sido modificado por numerosas disposiciones, es indispensable que los interesados consideren en su análisis los periodos específicos de vigencia de la normativa, así como los supuestos de hecho a los cuales se refiere para habilitar la aplicación del derecho privado y las condiciones de las modalidades específicas de selección del régimen especial que son aplicables en determinado momento.</w:t>
      </w:r>
    </w:p>
    <w:p w14:paraId="127AE2D2" w14:textId="77777777" w:rsidR="00C13AAF" w:rsidRDefault="00C13AAF" w:rsidP="00C13AAF">
      <w:pPr>
        <w:spacing w:before="120" w:after="0" w:line="276" w:lineRule="auto"/>
        <w:ind w:firstLine="708"/>
        <w:jc w:val="both"/>
        <w:rPr>
          <w:rFonts w:ascii="Verdana" w:eastAsia="Calibri" w:hAnsi="Verdana" w:cs="Arial"/>
          <w:lang w:val="es-ES"/>
        </w:rPr>
      </w:pPr>
    </w:p>
    <w:p w14:paraId="0F5C5B92" w14:textId="77777777" w:rsidR="00C13AAF" w:rsidRDefault="00C13AAF" w:rsidP="00C13AAF">
      <w:pPr>
        <w:spacing w:after="120" w:line="276" w:lineRule="auto"/>
        <w:jc w:val="both"/>
        <w:rPr>
          <w:rFonts w:ascii="Verdana" w:eastAsia="Calibri" w:hAnsi="Verdana" w:cs="Arial"/>
          <w:lang w:val="es-ES"/>
        </w:rPr>
      </w:pPr>
      <w:proofErr w:type="spellStart"/>
      <w:r>
        <w:rPr>
          <w:rFonts w:ascii="Verdana" w:eastAsia="Calibri" w:hAnsi="Verdana" w:cs="Arial"/>
          <w:lang w:val="es-ES"/>
        </w:rPr>
        <w:t>iii</w:t>
      </w:r>
      <w:proofErr w:type="spellEnd"/>
      <w:r>
        <w:rPr>
          <w:rFonts w:ascii="Verdana" w:eastAsia="Calibri" w:hAnsi="Verdana" w:cs="Arial"/>
          <w:lang w:val="es-ES"/>
        </w:rPr>
        <w:t>) Con respecto a las modalidades de selección aplicables a la contratación del Fondo Adaptación del 2015 al 2018, las normas antes expuestas regularon este aspecto de la siguiente forma:</w:t>
      </w:r>
    </w:p>
    <w:tbl>
      <w:tblPr>
        <w:tblStyle w:val="Tablaconcuadrcula"/>
        <w:tblW w:w="9498" w:type="dxa"/>
        <w:tblInd w:w="-289" w:type="dxa"/>
        <w:tblLayout w:type="fixed"/>
        <w:tblLook w:val="04A0" w:firstRow="1" w:lastRow="0" w:firstColumn="1" w:lastColumn="0" w:noHBand="0" w:noVBand="1"/>
      </w:tblPr>
      <w:tblGrid>
        <w:gridCol w:w="1702"/>
        <w:gridCol w:w="6520"/>
        <w:gridCol w:w="1276"/>
      </w:tblGrid>
      <w:tr w:rsidR="00C13AAF" w:rsidRPr="006D2D7E" w14:paraId="4E0FF017" w14:textId="77777777" w:rsidTr="000F2D28">
        <w:tc>
          <w:tcPr>
            <w:tcW w:w="1702" w:type="dxa"/>
          </w:tcPr>
          <w:p w14:paraId="6531BC3D" w14:textId="77777777" w:rsidR="00C13AAF" w:rsidRPr="006D2D7E" w:rsidRDefault="00C13AAF" w:rsidP="000F2D28">
            <w:pPr>
              <w:snapToGrid w:val="0"/>
              <w:contextualSpacing/>
              <w:jc w:val="center"/>
              <w:rPr>
                <w:rFonts w:ascii="Verdana" w:eastAsia="Arial" w:hAnsi="Verdana" w:cs="Arial"/>
                <w:b/>
                <w:bCs/>
                <w:sz w:val="18"/>
                <w:szCs w:val="18"/>
                <w:lang w:val="es-ES"/>
              </w:rPr>
            </w:pPr>
            <w:r w:rsidRPr="006D2D7E">
              <w:rPr>
                <w:rFonts w:ascii="Verdana" w:eastAsia="Arial" w:hAnsi="Verdana" w:cs="Arial"/>
                <w:b/>
                <w:bCs/>
                <w:sz w:val="18"/>
                <w:szCs w:val="18"/>
                <w:lang w:val="es-ES"/>
              </w:rPr>
              <w:t>Norma</w:t>
            </w:r>
          </w:p>
        </w:tc>
        <w:tc>
          <w:tcPr>
            <w:tcW w:w="6520" w:type="dxa"/>
          </w:tcPr>
          <w:p w14:paraId="400F65F3" w14:textId="77777777" w:rsidR="00C13AAF" w:rsidRPr="006D2D7E" w:rsidRDefault="00C13AAF" w:rsidP="000F2D28">
            <w:pPr>
              <w:snapToGrid w:val="0"/>
              <w:contextualSpacing/>
              <w:jc w:val="center"/>
              <w:rPr>
                <w:rFonts w:ascii="Verdana" w:eastAsia="Arial" w:hAnsi="Verdana" w:cs="Arial"/>
                <w:b/>
                <w:bCs/>
                <w:sz w:val="18"/>
                <w:szCs w:val="18"/>
                <w:lang w:val="es-ES"/>
              </w:rPr>
            </w:pPr>
            <w:r w:rsidRPr="006D2D7E">
              <w:rPr>
                <w:rFonts w:ascii="Verdana" w:eastAsia="Arial" w:hAnsi="Verdana" w:cs="Arial"/>
                <w:b/>
                <w:bCs/>
                <w:sz w:val="18"/>
                <w:szCs w:val="18"/>
                <w:lang w:val="es-ES"/>
              </w:rPr>
              <w:t>Regulación</w:t>
            </w:r>
            <w:r>
              <w:rPr>
                <w:rFonts w:ascii="Verdana" w:eastAsia="Arial" w:hAnsi="Verdana" w:cs="Arial"/>
                <w:b/>
                <w:bCs/>
                <w:sz w:val="18"/>
                <w:szCs w:val="18"/>
                <w:lang w:val="es-ES"/>
              </w:rPr>
              <w:t xml:space="preserve"> sobre las modalidades de selección</w:t>
            </w:r>
          </w:p>
        </w:tc>
        <w:tc>
          <w:tcPr>
            <w:tcW w:w="1276" w:type="dxa"/>
          </w:tcPr>
          <w:p w14:paraId="29C6E36F" w14:textId="77777777" w:rsidR="00C13AAF" w:rsidRPr="006D2D7E" w:rsidRDefault="00C13AAF" w:rsidP="000F2D28">
            <w:pPr>
              <w:snapToGrid w:val="0"/>
              <w:contextualSpacing/>
              <w:jc w:val="center"/>
              <w:rPr>
                <w:rFonts w:ascii="Verdana" w:eastAsia="Arial" w:hAnsi="Verdana" w:cs="Arial"/>
                <w:b/>
                <w:bCs/>
                <w:sz w:val="18"/>
                <w:szCs w:val="18"/>
                <w:lang w:val="es-ES"/>
              </w:rPr>
            </w:pPr>
            <w:proofErr w:type="gramStart"/>
            <w:r w:rsidRPr="006D2D7E">
              <w:rPr>
                <w:rFonts w:ascii="Verdana" w:eastAsia="Arial" w:hAnsi="Verdana" w:cs="Arial"/>
                <w:b/>
                <w:bCs/>
                <w:sz w:val="18"/>
                <w:szCs w:val="18"/>
                <w:lang w:val="es-ES"/>
              </w:rPr>
              <w:t>Entrada en vigencia</w:t>
            </w:r>
            <w:proofErr w:type="gramEnd"/>
          </w:p>
        </w:tc>
      </w:tr>
      <w:tr w:rsidR="00C13AAF" w:rsidRPr="006D2D7E" w14:paraId="7A12B434" w14:textId="77777777" w:rsidTr="000F2D28">
        <w:tc>
          <w:tcPr>
            <w:tcW w:w="1702" w:type="dxa"/>
          </w:tcPr>
          <w:p w14:paraId="547A893B" w14:textId="77777777" w:rsidR="00C13AAF" w:rsidRPr="006D2D7E" w:rsidRDefault="00C13AAF" w:rsidP="000F2D28">
            <w:pPr>
              <w:snapToGrid w:val="0"/>
              <w:contextualSpacing/>
              <w:jc w:val="both"/>
              <w:rPr>
                <w:rFonts w:ascii="Verdana" w:eastAsia="Arial" w:hAnsi="Verdana" w:cs="Arial"/>
                <w:b/>
                <w:bCs/>
                <w:sz w:val="18"/>
                <w:szCs w:val="18"/>
                <w:lang w:val="es-ES"/>
              </w:rPr>
            </w:pPr>
            <w:r w:rsidRPr="006D2D7E">
              <w:rPr>
                <w:rFonts w:ascii="Verdana" w:eastAsia="Arial" w:hAnsi="Verdana" w:cs="Arial"/>
                <w:b/>
                <w:bCs/>
                <w:sz w:val="18"/>
                <w:szCs w:val="18"/>
                <w:lang w:val="es-ES"/>
              </w:rPr>
              <w:t>Decreto Ley 4819 del 2010</w:t>
            </w:r>
          </w:p>
        </w:tc>
        <w:tc>
          <w:tcPr>
            <w:tcW w:w="6520" w:type="dxa"/>
          </w:tcPr>
          <w:p w14:paraId="7BEF8554" w14:textId="77777777" w:rsidR="00C13AAF" w:rsidRPr="006D2D7E" w:rsidRDefault="00C13AAF" w:rsidP="000F2D28">
            <w:pPr>
              <w:snapToGrid w:val="0"/>
              <w:contextualSpacing/>
              <w:jc w:val="both"/>
              <w:rPr>
                <w:rFonts w:ascii="Verdana" w:eastAsia="Arial" w:hAnsi="Verdana" w:cs="Arial"/>
                <w:sz w:val="18"/>
                <w:szCs w:val="18"/>
              </w:rPr>
            </w:pPr>
            <w:r w:rsidRPr="006D2D7E">
              <w:rPr>
                <w:rFonts w:ascii="Verdana" w:eastAsia="Arial" w:hAnsi="Verdana" w:cs="Arial"/>
                <w:sz w:val="18"/>
                <w:szCs w:val="18"/>
                <w:lang w:val="es-ES"/>
              </w:rPr>
              <w:t xml:space="preserve">Artículo 7: </w:t>
            </w:r>
            <w:r>
              <w:rPr>
                <w:rFonts w:ascii="Verdana" w:eastAsia="Arial" w:hAnsi="Verdana" w:cs="Arial"/>
                <w:sz w:val="18"/>
                <w:szCs w:val="18"/>
                <w:lang w:val="es-ES"/>
              </w:rPr>
              <w:t>L</w:t>
            </w:r>
            <w:r w:rsidRPr="006D2D7E">
              <w:rPr>
                <w:rFonts w:ascii="Verdana" w:eastAsia="Arial" w:hAnsi="Verdana" w:cs="Arial"/>
                <w:sz w:val="18"/>
                <w:szCs w:val="18"/>
              </w:rPr>
              <w:t>os contratos que celebre el Fondo para el cumplimiento de su objeto, cualquiera sea su índole o cuantía, se regirán por el derecho privado y estarán sujetos a las disposiciones contenidas en los artículos </w:t>
            </w:r>
            <w:hyperlink r:id="rId23" w:anchor="209" w:history="1">
              <w:r w:rsidRPr="006D2D7E">
                <w:rPr>
                  <w:rFonts w:ascii="Verdana" w:hAnsi="Verdana"/>
                  <w:sz w:val="18"/>
                  <w:szCs w:val="18"/>
                </w:rPr>
                <w:t>209</w:t>
              </w:r>
            </w:hyperlink>
            <w:r w:rsidRPr="006D2D7E">
              <w:rPr>
                <w:rFonts w:ascii="Verdana" w:eastAsia="Arial" w:hAnsi="Verdana" w:cs="Arial"/>
                <w:sz w:val="18"/>
                <w:szCs w:val="18"/>
              </w:rPr>
              <w:t> y </w:t>
            </w:r>
            <w:hyperlink r:id="rId24" w:anchor="267" w:history="1">
              <w:r w:rsidRPr="006D2D7E">
                <w:rPr>
                  <w:rFonts w:ascii="Verdana" w:hAnsi="Verdana"/>
                  <w:sz w:val="18"/>
                  <w:szCs w:val="18"/>
                </w:rPr>
                <w:t>267</w:t>
              </w:r>
            </w:hyperlink>
            <w:r w:rsidRPr="006D2D7E">
              <w:rPr>
                <w:rFonts w:ascii="Verdana" w:eastAsia="Arial" w:hAnsi="Verdana" w:cs="Arial"/>
                <w:sz w:val="18"/>
                <w:szCs w:val="18"/>
              </w:rPr>
              <w:t> de la Constitución Política, dando aplicación a los artículos </w:t>
            </w:r>
            <w:hyperlink r:id="rId25" w:anchor="14" w:history="1">
              <w:r w:rsidRPr="006D2D7E">
                <w:rPr>
                  <w:rFonts w:ascii="Verdana" w:hAnsi="Verdana"/>
                  <w:sz w:val="18"/>
                  <w:szCs w:val="18"/>
                </w:rPr>
                <w:t>14</w:t>
              </w:r>
            </w:hyperlink>
            <w:r w:rsidRPr="006D2D7E">
              <w:rPr>
                <w:rFonts w:ascii="Verdana" w:eastAsia="Arial" w:hAnsi="Verdana" w:cs="Arial"/>
                <w:sz w:val="18"/>
                <w:szCs w:val="18"/>
              </w:rPr>
              <w:t> a </w:t>
            </w:r>
            <w:hyperlink r:id="rId26" w:anchor="18" w:history="1">
              <w:r w:rsidRPr="006D2D7E">
                <w:rPr>
                  <w:rFonts w:ascii="Verdana" w:hAnsi="Verdana"/>
                  <w:sz w:val="18"/>
                  <w:szCs w:val="18"/>
                </w:rPr>
                <w:t>18</w:t>
              </w:r>
            </w:hyperlink>
            <w:r w:rsidRPr="006D2D7E">
              <w:rPr>
                <w:rFonts w:ascii="Verdana" w:eastAsia="Arial" w:hAnsi="Verdana" w:cs="Arial"/>
                <w:sz w:val="18"/>
                <w:szCs w:val="18"/>
              </w:rPr>
              <w:t> de la Ley 80 de 1993 y el artículo </w:t>
            </w:r>
            <w:hyperlink r:id="rId27" w:anchor="13" w:history="1">
              <w:r w:rsidRPr="006D2D7E">
                <w:rPr>
                  <w:rFonts w:ascii="Verdana" w:hAnsi="Verdana"/>
                  <w:sz w:val="18"/>
                  <w:szCs w:val="18"/>
                </w:rPr>
                <w:t>13</w:t>
              </w:r>
            </w:hyperlink>
            <w:r w:rsidRPr="006D2D7E">
              <w:rPr>
                <w:rFonts w:ascii="Verdana" w:eastAsia="Arial" w:hAnsi="Verdana" w:cs="Arial"/>
                <w:sz w:val="18"/>
                <w:szCs w:val="18"/>
              </w:rPr>
              <w:t> de la Ley 1150 de 2007.</w:t>
            </w:r>
          </w:p>
          <w:p w14:paraId="2EDAF31C" w14:textId="77777777" w:rsidR="00C13AAF" w:rsidRPr="006D2D7E" w:rsidRDefault="00C13AAF" w:rsidP="000F2D28">
            <w:pPr>
              <w:snapToGrid w:val="0"/>
              <w:contextualSpacing/>
              <w:jc w:val="both"/>
              <w:rPr>
                <w:rFonts w:ascii="Verdana" w:eastAsia="Arial" w:hAnsi="Verdana" w:cs="Arial"/>
                <w:sz w:val="18"/>
                <w:szCs w:val="18"/>
                <w:lang w:val="es-ES"/>
              </w:rPr>
            </w:pPr>
            <w:r w:rsidRPr="006D2D7E">
              <w:rPr>
                <w:rFonts w:ascii="Verdana" w:eastAsia="Arial" w:hAnsi="Verdana" w:cs="Arial"/>
                <w:sz w:val="18"/>
                <w:szCs w:val="18"/>
              </w:rPr>
              <w:t>Parágrafo. El Gobierno Nacional reglamentará todas las condiciones para la contratación del Fondo que permitan mayor eficiencia en la recuperación, construcción y reconstrucción por el fenómeno de “La Niña”, garantizando el cumplimiento de los principios constitucionales y legales citados en el presente artículo.</w:t>
            </w:r>
          </w:p>
        </w:tc>
        <w:tc>
          <w:tcPr>
            <w:tcW w:w="1276" w:type="dxa"/>
          </w:tcPr>
          <w:p w14:paraId="20AD3BEF" w14:textId="77777777" w:rsidR="00C13AAF" w:rsidRPr="00E51E4F" w:rsidRDefault="00C13AAF" w:rsidP="000F2D28">
            <w:pPr>
              <w:snapToGrid w:val="0"/>
              <w:contextualSpacing/>
              <w:rPr>
                <w:rFonts w:ascii="Verdana" w:eastAsia="Arial" w:hAnsi="Verdana" w:cs="Arial"/>
                <w:b/>
                <w:bCs/>
                <w:sz w:val="18"/>
                <w:szCs w:val="18"/>
                <w:lang w:val="es-ES"/>
              </w:rPr>
            </w:pPr>
            <w:r w:rsidRPr="00E51E4F">
              <w:rPr>
                <w:rFonts w:ascii="Verdana" w:eastAsia="Arial" w:hAnsi="Verdana" w:cs="Arial"/>
                <w:b/>
                <w:bCs/>
                <w:sz w:val="18"/>
                <w:szCs w:val="18"/>
                <w:lang w:val="es-ES"/>
              </w:rPr>
              <w:t>29 de diciembre de 2010</w:t>
            </w:r>
          </w:p>
          <w:p w14:paraId="30E11398" w14:textId="77777777" w:rsidR="00C13AAF" w:rsidRPr="006D2D7E" w:rsidRDefault="00C13AAF" w:rsidP="000F2D28">
            <w:pPr>
              <w:snapToGrid w:val="0"/>
              <w:contextualSpacing/>
              <w:jc w:val="both"/>
              <w:rPr>
                <w:rFonts w:ascii="Verdana" w:eastAsia="Arial" w:hAnsi="Verdana" w:cs="Arial"/>
                <w:sz w:val="18"/>
                <w:szCs w:val="18"/>
                <w:lang w:val="es-ES"/>
              </w:rPr>
            </w:pPr>
          </w:p>
          <w:p w14:paraId="45B98AE8" w14:textId="77777777" w:rsidR="00C13AAF" w:rsidRPr="006D2D7E" w:rsidRDefault="00C13AAF" w:rsidP="000F2D28">
            <w:pPr>
              <w:snapToGrid w:val="0"/>
              <w:contextualSpacing/>
              <w:jc w:val="both"/>
              <w:rPr>
                <w:rFonts w:ascii="Verdana" w:eastAsia="Arial" w:hAnsi="Verdana" w:cs="Arial"/>
                <w:sz w:val="18"/>
                <w:szCs w:val="18"/>
                <w:lang w:val="es-ES"/>
              </w:rPr>
            </w:pPr>
            <w:r w:rsidRPr="006D2D7E">
              <w:rPr>
                <w:rFonts w:ascii="Verdana" w:eastAsia="Arial" w:hAnsi="Verdana" w:cs="Arial"/>
                <w:sz w:val="18"/>
                <w:szCs w:val="18"/>
                <w:lang w:val="es-ES"/>
              </w:rPr>
              <w:t xml:space="preserve">(vigencia </w:t>
            </w:r>
            <w:r>
              <w:rPr>
                <w:rFonts w:ascii="Verdana" w:eastAsia="Arial" w:hAnsi="Verdana" w:cs="Arial"/>
                <w:sz w:val="18"/>
                <w:szCs w:val="18"/>
                <w:lang w:val="es-ES"/>
              </w:rPr>
              <w:t xml:space="preserve">inicial </w:t>
            </w:r>
            <w:r w:rsidRPr="006D2D7E">
              <w:rPr>
                <w:rFonts w:ascii="Verdana" w:eastAsia="Arial" w:hAnsi="Verdana" w:cs="Arial"/>
                <w:sz w:val="18"/>
                <w:szCs w:val="18"/>
                <w:lang w:val="es-ES"/>
              </w:rPr>
              <w:t>hasta el 31 de diciembre de 2014)</w:t>
            </w:r>
          </w:p>
        </w:tc>
      </w:tr>
      <w:tr w:rsidR="00C13AAF" w:rsidRPr="006D2D7E" w14:paraId="59A5A2F9" w14:textId="77777777" w:rsidTr="000F2D28">
        <w:tc>
          <w:tcPr>
            <w:tcW w:w="1702" w:type="dxa"/>
          </w:tcPr>
          <w:p w14:paraId="3A982B7F" w14:textId="77777777" w:rsidR="00C13AAF" w:rsidRDefault="00C13AAF" w:rsidP="000F2D28">
            <w:pPr>
              <w:snapToGrid w:val="0"/>
              <w:contextualSpacing/>
              <w:jc w:val="both"/>
              <w:rPr>
                <w:rFonts w:ascii="Verdana" w:eastAsia="Arial" w:hAnsi="Verdana" w:cs="Arial"/>
                <w:b/>
                <w:bCs/>
                <w:sz w:val="18"/>
                <w:szCs w:val="18"/>
              </w:rPr>
            </w:pPr>
            <w:r w:rsidRPr="006D2D7E">
              <w:rPr>
                <w:rFonts w:ascii="Verdana" w:eastAsia="Arial" w:hAnsi="Verdana" w:cs="Arial"/>
                <w:b/>
                <w:bCs/>
                <w:sz w:val="18"/>
                <w:szCs w:val="18"/>
              </w:rPr>
              <w:t xml:space="preserve">Decreto 2962 </w:t>
            </w:r>
            <w:r>
              <w:rPr>
                <w:rFonts w:ascii="Verdana" w:eastAsia="Arial" w:hAnsi="Verdana" w:cs="Arial"/>
                <w:b/>
                <w:bCs/>
                <w:sz w:val="18"/>
                <w:szCs w:val="18"/>
              </w:rPr>
              <w:t xml:space="preserve">de </w:t>
            </w:r>
            <w:r w:rsidRPr="006D2D7E">
              <w:rPr>
                <w:rFonts w:ascii="Verdana" w:eastAsia="Arial" w:hAnsi="Verdana" w:cs="Arial"/>
                <w:b/>
                <w:bCs/>
                <w:sz w:val="18"/>
                <w:szCs w:val="18"/>
              </w:rPr>
              <w:t>2011</w:t>
            </w:r>
          </w:p>
          <w:p w14:paraId="7AC983AB" w14:textId="77777777" w:rsidR="00C13AAF" w:rsidRPr="006D2D7E" w:rsidRDefault="00C13AAF" w:rsidP="000F2D28">
            <w:pPr>
              <w:snapToGrid w:val="0"/>
              <w:contextualSpacing/>
              <w:jc w:val="both"/>
              <w:rPr>
                <w:rFonts w:ascii="Verdana" w:eastAsia="Arial" w:hAnsi="Verdana" w:cs="Arial"/>
                <w:b/>
                <w:bCs/>
                <w:sz w:val="18"/>
                <w:szCs w:val="18"/>
              </w:rPr>
            </w:pPr>
          </w:p>
          <w:p w14:paraId="1FCD43D7" w14:textId="77777777" w:rsidR="00C13AAF" w:rsidRPr="00E51E4F" w:rsidRDefault="00C13AAF" w:rsidP="000F2D28">
            <w:pPr>
              <w:snapToGrid w:val="0"/>
              <w:contextualSpacing/>
              <w:jc w:val="both"/>
              <w:rPr>
                <w:rFonts w:ascii="Verdana" w:eastAsia="Arial" w:hAnsi="Verdana" w:cs="Arial"/>
                <w:sz w:val="18"/>
                <w:szCs w:val="18"/>
                <w:lang w:val="es-ES"/>
              </w:rPr>
            </w:pPr>
            <w:r w:rsidRPr="00E51E4F">
              <w:rPr>
                <w:rFonts w:ascii="Verdana" w:eastAsia="Arial" w:hAnsi="Verdana" w:cs="Arial"/>
                <w:sz w:val="18"/>
                <w:szCs w:val="18"/>
              </w:rPr>
              <w:t>“Por el cual se reglamenta el artículo 7° del Decreto 4819 de 2010 y se dictan otras disposiciones”.</w:t>
            </w:r>
          </w:p>
        </w:tc>
        <w:tc>
          <w:tcPr>
            <w:tcW w:w="6520" w:type="dxa"/>
          </w:tcPr>
          <w:p w14:paraId="20B04761"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Artículo 4</w:t>
            </w:r>
            <w:proofErr w:type="gramStart"/>
            <w:r w:rsidRPr="002879ED">
              <w:rPr>
                <w:rFonts w:ascii="Verdana" w:eastAsia="Arial" w:hAnsi="Verdana" w:cs="Arial"/>
                <w:b/>
                <w:sz w:val="18"/>
                <w:szCs w:val="18"/>
              </w:rPr>
              <w:t>°.Procedimientos</w:t>
            </w:r>
            <w:proofErr w:type="gramEnd"/>
            <w:r w:rsidRPr="002879ED">
              <w:rPr>
                <w:rFonts w:ascii="Verdana" w:eastAsia="Arial" w:hAnsi="Verdana" w:cs="Arial"/>
                <w:b/>
                <w:sz w:val="18"/>
                <w:szCs w:val="18"/>
              </w:rPr>
              <w:t xml:space="preserve"> de selección.</w:t>
            </w:r>
            <w:r w:rsidRPr="002879ED">
              <w:rPr>
                <w:rFonts w:ascii="Verdana" w:eastAsia="Arial" w:hAnsi="Verdana" w:cs="Arial"/>
                <w:sz w:val="18"/>
                <w:szCs w:val="18"/>
              </w:rPr>
              <w:t> El Fondo Adaptación adelantará la contratación necesaria para el cumplimiento eficiente y eficaz de su objeto, con observancia de los principios consagrados en el artículo 1° del presente decreto y haciendo uso de los siguientes procedimientos de selección, previa invitación a contratar: </w:t>
            </w:r>
          </w:p>
          <w:p w14:paraId="25AF1787"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1. Selección Directa.</w:t>
            </w:r>
            <w:r w:rsidRPr="002879ED">
              <w:rPr>
                <w:rFonts w:ascii="Verdana" w:eastAsia="Arial" w:hAnsi="Verdana" w:cs="Arial"/>
                <w:sz w:val="18"/>
                <w:szCs w:val="18"/>
              </w:rPr>
              <w:t> Procedimiento mediante el cual se selecciona de manera directa a una persona natural o jurídica, atendiendo los precios de mercado y considerando criterios que aseguren la satisfacción de las necesidades del Fondo Adaptación y la selección objetiva. </w:t>
            </w:r>
          </w:p>
          <w:p w14:paraId="49264DDD"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2. Convocatoria Cerrada.</w:t>
            </w:r>
            <w:r w:rsidRPr="002879ED">
              <w:rPr>
                <w:rFonts w:ascii="Verdana" w:eastAsia="Arial" w:hAnsi="Verdana" w:cs="Arial"/>
                <w:sz w:val="18"/>
                <w:szCs w:val="18"/>
              </w:rPr>
              <w:t> Procedimiento en que se reciben ofertas de proponentes previamente determinados mediante estudio de mercado y en el cual se selecciona entre ellas con base en factores objetivos definidos previamente por el Fondo Adaptación en la correspondiente convocatoria. </w:t>
            </w:r>
          </w:p>
          <w:p w14:paraId="5D85FD7C"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3. Convocatoria Abierta.</w:t>
            </w:r>
            <w:r w:rsidRPr="002879ED">
              <w:rPr>
                <w:rFonts w:ascii="Verdana" w:eastAsia="Arial" w:hAnsi="Verdana" w:cs="Arial"/>
                <w:sz w:val="18"/>
                <w:szCs w:val="18"/>
              </w:rPr>
              <w:t> Procedimiento en que se reciben ofertas de cualquier proponente que cumpla con las condiciones de la respectiva necesidad que se pretende satisfacer y se selecciona entre ellas con base en factores objetivos definidos previamente por el Fondo Adaptación. </w:t>
            </w:r>
          </w:p>
          <w:p w14:paraId="785A74F4"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El procedimiento principal de selección que se utilizará por parte del Fondo Adaptación será la Convocatoria Abierta y sólo se podrán utilizar los procedimientos de Selección Directa o Convocatoria Cerrada en los casos autorizados por el Consejo Directivo, previa justificación del Gerente. </w:t>
            </w:r>
          </w:p>
          <w:p w14:paraId="4145BEF5" w14:textId="77777777" w:rsidR="00C13AAF" w:rsidRPr="006D2D7E" w:rsidRDefault="00C13AAF" w:rsidP="000F2D28">
            <w:pPr>
              <w:snapToGrid w:val="0"/>
              <w:contextualSpacing/>
              <w:jc w:val="both"/>
              <w:rPr>
                <w:rFonts w:ascii="Verdana" w:eastAsia="Arial" w:hAnsi="Verdana" w:cs="Arial"/>
                <w:sz w:val="18"/>
                <w:szCs w:val="18"/>
                <w:lang w:val="es-ES"/>
              </w:rPr>
            </w:pPr>
          </w:p>
        </w:tc>
        <w:tc>
          <w:tcPr>
            <w:tcW w:w="1276" w:type="dxa"/>
          </w:tcPr>
          <w:p w14:paraId="2BBBA2D5" w14:textId="77777777" w:rsidR="00C13AAF" w:rsidRPr="006D2D7E" w:rsidRDefault="00C13AAF" w:rsidP="000F2D28">
            <w:pPr>
              <w:snapToGrid w:val="0"/>
              <w:contextualSpacing/>
              <w:rPr>
                <w:rFonts w:ascii="Verdana" w:eastAsia="Arial" w:hAnsi="Verdana" w:cs="Arial"/>
                <w:b/>
                <w:bCs/>
                <w:sz w:val="18"/>
                <w:szCs w:val="18"/>
              </w:rPr>
            </w:pPr>
            <w:r w:rsidRPr="006D2D7E">
              <w:rPr>
                <w:rFonts w:ascii="Verdana" w:eastAsia="Arial" w:hAnsi="Verdana" w:cs="Arial"/>
                <w:b/>
                <w:bCs/>
                <w:sz w:val="18"/>
                <w:szCs w:val="18"/>
              </w:rPr>
              <w:t>18 de agosto de 2011</w:t>
            </w:r>
          </w:p>
          <w:p w14:paraId="58629973" w14:textId="77777777" w:rsidR="00C13AAF" w:rsidRPr="006D2D7E" w:rsidRDefault="00C13AAF" w:rsidP="000F2D28">
            <w:pPr>
              <w:snapToGrid w:val="0"/>
              <w:contextualSpacing/>
              <w:jc w:val="both"/>
              <w:rPr>
                <w:rFonts w:ascii="Verdana" w:eastAsia="Arial" w:hAnsi="Verdana" w:cs="Arial"/>
                <w:sz w:val="18"/>
                <w:szCs w:val="18"/>
                <w:lang w:val="es-ES"/>
              </w:rPr>
            </w:pPr>
          </w:p>
        </w:tc>
      </w:tr>
      <w:tr w:rsidR="00C13AAF" w:rsidRPr="006D2D7E" w14:paraId="003C869A" w14:textId="77777777" w:rsidTr="000F2D28">
        <w:tc>
          <w:tcPr>
            <w:tcW w:w="1702" w:type="dxa"/>
          </w:tcPr>
          <w:p w14:paraId="426A0E43" w14:textId="77777777" w:rsidR="00C13AAF" w:rsidRPr="002879ED" w:rsidRDefault="00C13AAF" w:rsidP="000F2D28">
            <w:pPr>
              <w:snapToGrid w:val="0"/>
              <w:contextualSpacing/>
              <w:jc w:val="both"/>
              <w:rPr>
                <w:rFonts w:ascii="Verdana" w:eastAsia="Arial" w:hAnsi="Verdana" w:cs="Arial"/>
                <w:b/>
                <w:sz w:val="18"/>
                <w:szCs w:val="18"/>
              </w:rPr>
            </w:pPr>
            <w:r w:rsidRPr="00E51E4F">
              <w:rPr>
                <w:rFonts w:ascii="Verdana" w:eastAsia="Arial" w:hAnsi="Verdana" w:cs="Arial"/>
                <w:b/>
                <w:sz w:val="18"/>
                <w:szCs w:val="18"/>
              </w:rPr>
              <w:t>Decreto 4808 de 2011</w:t>
            </w:r>
          </w:p>
          <w:p w14:paraId="79B1F814" w14:textId="77777777" w:rsidR="00C13AAF" w:rsidRPr="006D2D7E" w:rsidRDefault="00C13AAF" w:rsidP="000F2D28">
            <w:pPr>
              <w:snapToGrid w:val="0"/>
              <w:contextualSpacing/>
              <w:jc w:val="both"/>
              <w:rPr>
                <w:rFonts w:ascii="Verdana" w:eastAsia="Arial" w:hAnsi="Verdana" w:cs="Arial"/>
                <w:b/>
                <w:i/>
                <w:sz w:val="18"/>
                <w:szCs w:val="18"/>
              </w:rPr>
            </w:pPr>
          </w:p>
        </w:tc>
        <w:tc>
          <w:tcPr>
            <w:tcW w:w="6520" w:type="dxa"/>
          </w:tcPr>
          <w:p w14:paraId="3B870C01" w14:textId="77777777" w:rsidR="00C13AAF" w:rsidRPr="002879ED" w:rsidRDefault="00C13AAF" w:rsidP="000F2D28">
            <w:pPr>
              <w:snapToGrid w:val="0"/>
              <w:contextualSpacing/>
              <w:jc w:val="both"/>
              <w:rPr>
                <w:rFonts w:ascii="Verdana" w:eastAsia="Arial" w:hAnsi="Verdana" w:cs="Arial"/>
                <w:sz w:val="18"/>
                <w:szCs w:val="18"/>
              </w:rPr>
            </w:pPr>
            <w:proofErr w:type="gramStart"/>
            <w:r w:rsidRPr="002879ED">
              <w:rPr>
                <w:rFonts w:ascii="Verdana" w:eastAsia="Arial" w:hAnsi="Verdana" w:cs="Arial"/>
                <w:sz w:val="18"/>
                <w:szCs w:val="18"/>
              </w:rPr>
              <w:t>Artículo  1</w:t>
            </w:r>
            <w:proofErr w:type="gramEnd"/>
            <w:r w:rsidRPr="002879ED">
              <w:rPr>
                <w:rFonts w:ascii="Verdana" w:eastAsia="Arial" w:hAnsi="Verdana" w:cs="Arial"/>
                <w:sz w:val="18"/>
                <w:szCs w:val="18"/>
              </w:rPr>
              <w:t>°. Modificar el artículo 4° del Decreto 2962 de 2011, el cual quedará así:</w:t>
            </w:r>
          </w:p>
          <w:p w14:paraId="46E45C34"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Artículo 4°. </w:t>
            </w:r>
            <w:r w:rsidRPr="002879ED">
              <w:rPr>
                <w:rFonts w:ascii="Verdana" w:eastAsia="Arial" w:hAnsi="Verdana" w:cs="Arial"/>
                <w:b/>
                <w:i/>
                <w:sz w:val="18"/>
                <w:szCs w:val="18"/>
              </w:rPr>
              <w:t>Procedimientos de selección</w:t>
            </w:r>
            <w:r w:rsidRPr="002879ED">
              <w:rPr>
                <w:rFonts w:ascii="Verdana" w:eastAsia="Arial" w:hAnsi="Verdana" w:cs="Arial"/>
                <w:sz w:val="18"/>
                <w:szCs w:val="18"/>
              </w:rPr>
              <w:t xml:space="preserve">. El Fondo Adaptación adelantará la contratación necesaria para el cumplimiento eficiente y eficaz de su objeto, con observancia de los principios consagrados en </w:t>
            </w:r>
            <w:r w:rsidRPr="002879ED">
              <w:rPr>
                <w:rFonts w:ascii="Verdana" w:eastAsia="Arial" w:hAnsi="Verdana" w:cs="Arial"/>
                <w:sz w:val="18"/>
                <w:szCs w:val="18"/>
              </w:rPr>
              <w:lastRenderedPageBreak/>
              <w:t>el artículo 1° del presente decreto y haciendo uso de los siguientes procedimientos de selección:</w:t>
            </w:r>
          </w:p>
          <w:p w14:paraId="41B20890"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1. Selección Directa.</w:t>
            </w:r>
            <w:r w:rsidRPr="002879ED">
              <w:rPr>
                <w:rFonts w:ascii="Verdana" w:eastAsia="Arial" w:hAnsi="Verdana" w:cs="Arial"/>
                <w:sz w:val="18"/>
                <w:szCs w:val="18"/>
              </w:rPr>
              <w:t xml:space="preserve"> Procedimiento mediante el cual se selecciona de manera </w:t>
            </w:r>
            <w:r w:rsidRPr="002879ED">
              <w:rPr>
                <w:rFonts w:ascii="Verdana" w:eastAsia="Arial" w:hAnsi="Verdana" w:cs="Arial"/>
                <w:i/>
                <w:sz w:val="18"/>
                <w:szCs w:val="18"/>
              </w:rPr>
              <w:t>directa </w:t>
            </w:r>
            <w:r w:rsidRPr="002879ED">
              <w:rPr>
                <w:rFonts w:ascii="Verdana" w:eastAsia="Arial" w:hAnsi="Verdana" w:cs="Arial"/>
                <w:sz w:val="18"/>
                <w:szCs w:val="18"/>
              </w:rPr>
              <w:t>a una persona natural o jurídica, atendiendo los precios de mercado y considerando criterios que aseguren la satisfacción de las necesidades del Fondo Adaptación y la selección objetiva.</w:t>
            </w:r>
          </w:p>
          <w:p w14:paraId="65FF55B3"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2. Convocatoria Cerrada</w:t>
            </w:r>
            <w:r w:rsidRPr="002879ED">
              <w:rPr>
                <w:rFonts w:ascii="Verdana" w:eastAsia="Arial" w:hAnsi="Verdana" w:cs="Arial"/>
                <w:sz w:val="18"/>
                <w:szCs w:val="18"/>
              </w:rPr>
              <w:t>. Procedimiento en que se reciben ofertas de proponentes previamente determinados mediante estudio de mercado y en el cual se selecciona entre ellas con base en factores objetivos definidos previamente por el Fondo Adaptación en la correspondiente convocatoria.</w:t>
            </w:r>
          </w:p>
          <w:p w14:paraId="0F87A89E"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3. Convocatoria Abierta.</w:t>
            </w:r>
            <w:r w:rsidRPr="002879ED">
              <w:rPr>
                <w:rFonts w:ascii="Verdana" w:eastAsia="Arial" w:hAnsi="Verdana" w:cs="Arial"/>
                <w:sz w:val="18"/>
                <w:szCs w:val="18"/>
              </w:rPr>
              <w:t xml:space="preserve"> Procedimiento en que se reciben ofertas de cualquier proponente que cumpla con las condiciones de la respectiva necesidad que se pretende satisfacer y se selecciona entre ellas con base en factores objetivos definidos previamente por el Fondo Adaptación.</w:t>
            </w:r>
          </w:p>
          <w:p w14:paraId="625C8126"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 xml:space="preserve">Los principales procedimientos de selección que se utilizarán por parte del Fondo Adaptación serán la </w:t>
            </w:r>
            <w:r w:rsidRPr="002879ED">
              <w:rPr>
                <w:rFonts w:ascii="Verdana" w:eastAsia="Arial" w:hAnsi="Verdana" w:cs="Arial"/>
                <w:i/>
                <w:sz w:val="18"/>
                <w:szCs w:val="18"/>
              </w:rPr>
              <w:t>Convocatoria Abierta y la Convocatoria Cerrada</w:t>
            </w:r>
            <w:r w:rsidRPr="002879ED">
              <w:rPr>
                <w:rFonts w:ascii="Verdana" w:eastAsia="Arial" w:hAnsi="Verdana" w:cs="Arial"/>
                <w:sz w:val="18"/>
                <w:szCs w:val="18"/>
              </w:rPr>
              <w:t>.</w:t>
            </w:r>
          </w:p>
          <w:p w14:paraId="11D38126"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Parágrafo.</w:t>
            </w:r>
            <w:r w:rsidRPr="002879ED">
              <w:rPr>
                <w:rFonts w:ascii="Verdana" w:eastAsia="Arial" w:hAnsi="Verdana" w:cs="Arial"/>
                <w:sz w:val="18"/>
                <w:szCs w:val="18"/>
              </w:rPr>
              <w:t> La Selección Directa solo podrá ser autorizada por el Consejo Directivo cuando la cuantía de lo que se pretenda contratar sea igual o inferior a sesenta y seis mil salarios mínimos mensuales legales vigentes y excepcionalmente, sin importar la cuantía, cuando se trate de una situación de especial emergencia o apremio a juicio del Consejo Directivo, o cuando de los estudios previos se concluya que existe alguna de las siguientes causales:</w:t>
            </w:r>
          </w:p>
          <w:p w14:paraId="7A0E4952"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1. Contratos que se celebren en consideración a las calidades de la persona natural o jurídica que se debe contratar.</w:t>
            </w:r>
          </w:p>
          <w:p w14:paraId="111FC9AD"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2. Cuando una vez surtido el trámite del estudio de mercado, sólo resulte un proponente posible, o una vez surtido el concurso cerrado o abierto el mismo sea declarado fallido.</w:t>
            </w:r>
          </w:p>
          <w:p w14:paraId="0B88A122"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3. Compra a fabricantes, distribuidores o a representantes exclusivos de materiales, equipos, servicios o insumos a nivel nacional.</w:t>
            </w:r>
          </w:p>
          <w:p w14:paraId="139A3A12"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 Contrataciones sujetas a listas de precios unitarios adoptadas por el Fondo Adaptación.</w:t>
            </w:r>
          </w:p>
          <w:p w14:paraId="1EB2782B"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5. Contratos interadministrativos.</w:t>
            </w:r>
          </w:p>
          <w:p w14:paraId="3FB8C2DE"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6. Contratos de arrendamiento, comodato o adquisición de bienes inmuebles.</w:t>
            </w:r>
          </w:p>
          <w:p w14:paraId="2E188FCC"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7. Contratos para el desarrollo de actividades científicas o tecnológicas.</w:t>
            </w:r>
          </w:p>
          <w:p w14:paraId="7F515415" w14:textId="77777777" w:rsidR="00C13AAF" w:rsidRPr="00E51E4F"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En cualquier caso, la aplicación de la modalidad de selección directa deberá ser autorizada con anterioridad por el Consejo Directivo, previa justificación del Gerente.</w:t>
            </w:r>
          </w:p>
        </w:tc>
        <w:tc>
          <w:tcPr>
            <w:tcW w:w="1276" w:type="dxa"/>
          </w:tcPr>
          <w:p w14:paraId="6E1394B3" w14:textId="77777777" w:rsidR="00C13AAF" w:rsidRPr="00E51E4F" w:rsidRDefault="00C13AAF" w:rsidP="000F2D28">
            <w:pPr>
              <w:snapToGrid w:val="0"/>
              <w:contextualSpacing/>
              <w:rPr>
                <w:rFonts w:ascii="Verdana" w:eastAsia="Arial" w:hAnsi="Verdana" w:cs="Arial"/>
                <w:b/>
                <w:bCs/>
                <w:sz w:val="18"/>
                <w:szCs w:val="18"/>
                <w:lang w:val="es-ES"/>
              </w:rPr>
            </w:pPr>
            <w:r w:rsidRPr="00E51E4F">
              <w:rPr>
                <w:rFonts w:ascii="Verdana" w:eastAsia="Arial" w:hAnsi="Verdana" w:cs="Arial"/>
                <w:b/>
                <w:bCs/>
                <w:sz w:val="18"/>
                <w:szCs w:val="18"/>
                <w:lang w:val="es-ES"/>
              </w:rPr>
              <w:lastRenderedPageBreak/>
              <w:t>20 de diciembre de 2011</w:t>
            </w:r>
          </w:p>
        </w:tc>
      </w:tr>
      <w:tr w:rsidR="00C13AAF" w:rsidRPr="006D2D7E" w14:paraId="15235785" w14:textId="77777777" w:rsidTr="000F2D28">
        <w:tc>
          <w:tcPr>
            <w:tcW w:w="1702" w:type="dxa"/>
          </w:tcPr>
          <w:p w14:paraId="2D0460E4" w14:textId="77777777" w:rsidR="00C13AAF" w:rsidRPr="002879ED" w:rsidRDefault="00C13AAF" w:rsidP="000F2D28">
            <w:pPr>
              <w:snapToGrid w:val="0"/>
              <w:contextualSpacing/>
              <w:jc w:val="both"/>
              <w:rPr>
                <w:rFonts w:ascii="Verdana" w:eastAsia="Arial" w:hAnsi="Verdana" w:cs="Arial"/>
                <w:b/>
                <w:sz w:val="18"/>
                <w:szCs w:val="18"/>
              </w:rPr>
            </w:pPr>
            <w:r w:rsidRPr="002879ED">
              <w:rPr>
                <w:rFonts w:ascii="Verdana" w:eastAsia="Arial" w:hAnsi="Verdana" w:cs="Arial"/>
                <w:b/>
                <w:sz w:val="18"/>
                <w:szCs w:val="18"/>
              </w:rPr>
              <w:t xml:space="preserve">Decreto 1241 </w:t>
            </w:r>
            <w:r>
              <w:rPr>
                <w:rFonts w:ascii="Verdana" w:eastAsia="Arial" w:hAnsi="Verdana" w:cs="Arial"/>
                <w:b/>
                <w:sz w:val="18"/>
                <w:szCs w:val="18"/>
              </w:rPr>
              <w:t>d</w:t>
            </w:r>
            <w:r w:rsidRPr="002879ED">
              <w:rPr>
                <w:rFonts w:ascii="Verdana" w:eastAsia="Arial" w:hAnsi="Verdana" w:cs="Arial"/>
                <w:b/>
                <w:sz w:val="18"/>
                <w:szCs w:val="18"/>
              </w:rPr>
              <w:t>e 2013</w:t>
            </w:r>
          </w:p>
          <w:p w14:paraId="1C05E558" w14:textId="77777777" w:rsidR="00C13AAF" w:rsidRPr="006D2D7E" w:rsidRDefault="00C13AAF" w:rsidP="000F2D28">
            <w:pPr>
              <w:snapToGrid w:val="0"/>
              <w:contextualSpacing/>
              <w:jc w:val="both"/>
              <w:rPr>
                <w:rFonts w:ascii="Verdana" w:eastAsia="Arial" w:hAnsi="Verdana" w:cs="Arial"/>
                <w:b/>
                <w:bCs/>
                <w:i/>
                <w:iCs/>
                <w:sz w:val="18"/>
                <w:szCs w:val="18"/>
              </w:rPr>
            </w:pPr>
          </w:p>
          <w:p w14:paraId="293C3304" w14:textId="77777777" w:rsidR="00C13AAF" w:rsidRPr="00D72BB7" w:rsidRDefault="00C13AAF" w:rsidP="000F2D28">
            <w:pPr>
              <w:snapToGrid w:val="0"/>
              <w:contextualSpacing/>
              <w:jc w:val="both"/>
              <w:rPr>
                <w:rFonts w:ascii="Verdana" w:eastAsia="Arial" w:hAnsi="Verdana" w:cs="Arial"/>
                <w:sz w:val="18"/>
                <w:szCs w:val="18"/>
                <w:lang w:val="es-ES"/>
              </w:rPr>
            </w:pPr>
            <w:r>
              <w:rPr>
                <w:rFonts w:ascii="Verdana" w:eastAsia="Arial" w:hAnsi="Verdana" w:cs="Arial"/>
                <w:sz w:val="18"/>
                <w:szCs w:val="18"/>
              </w:rPr>
              <w:t>“</w:t>
            </w:r>
            <w:r w:rsidRPr="00D72BB7">
              <w:rPr>
                <w:rFonts w:ascii="Verdana" w:eastAsia="Arial" w:hAnsi="Verdana" w:cs="Arial"/>
                <w:sz w:val="18"/>
                <w:szCs w:val="18"/>
              </w:rPr>
              <w:t>Por el cual se modifican</w:t>
            </w:r>
            <w:r>
              <w:rPr>
                <w:rFonts w:ascii="Verdana" w:eastAsia="Arial" w:hAnsi="Verdana" w:cs="Arial"/>
                <w:sz w:val="18"/>
                <w:szCs w:val="18"/>
              </w:rPr>
              <w:t xml:space="preserve"> </w:t>
            </w:r>
            <w:r w:rsidRPr="00D72BB7">
              <w:rPr>
                <w:rFonts w:ascii="Verdana" w:eastAsia="Arial" w:hAnsi="Verdana" w:cs="Arial"/>
                <w:sz w:val="18"/>
                <w:szCs w:val="18"/>
              </w:rPr>
              <w:t>los</w:t>
            </w:r>
            <w:r>
              <w:rPr>
                <w:rFonts w:ascii="Verdana" w:eastAsia="Arial" w:hAnsi="Verdana" w:cs="Arial"/>
                <w:sz w:val="18"/>
                <w:szCs w:val="18"/>
              </w:rPr>
              <w:t xml:space="preserve"> </w:t>
            </w:r>
            <w:r w:rsidRPr="00D72BB7">
              <w:rPr>
                <w:rFonts w:ascii="Verdana" w:eastAsia="Arial" w:hAnsi="Verdana" w:cs="Arial"/>
                <w:sz w:val="18"/>
                <w:szCs w:val="18"/>
              </w:rPr>
              <w:t>artículos </w:t>
            </w:r>
            <w:hyperlink r:id="rId28" w:anchor="4" w:history="1">
              <w:r w:rsidRPr="00D72BB7">
                <w:rPr>
                  <w:rFonts w:ascii="Verdana" w:hAnsi="Verdana"/>
                  <w:sz w:val="18"/>
                  <w:szCs w:val="18"/>
                </w:rPr>
                <w:t>4°</w:t>
              </w:r>
            </w:hyperlink>
            <w:r w:rsidRPr="00D72BB7">
              <w:rPr>
                <w:rFonts w:ascii="Verdana" w:eastAsia="Arial" w:hAnsi="Verdana" w:cs="Arial"/>
                <w:sz w:val="18"/>
                <w:szCs w:val="18"/>
              </w:rPr>
              <w:t> y </w:t>
            </w:r>
            <w:hyperlink r:id="rId29" w:anchor="9" w:history="1">
              <w:r w:rsidRPr="00D72BB7">
                <w:rPr>
                  <w:rFonts w:ascii="Verdana" w:hAnsi="Verdana"/>
                  <w:sz w:val="18"/>
                  <w:szCs w:val="18"/>
                </w:rPr>
                <w:t>9°</w:t>
              </w:r>
            </w:hyperlink>
            <w:r w:rsidRPr="00D72BB7">
              <w:rPr>
                <w:rFonts w:ascii="Verdana" w:eastAsia="Arial" w:hAnsi="Verdana" w:cs="Arial"/>
                <w:sz w:val="18"/>
                <w:szCs w:val="18"/>
              </w:rPr>
              <w:t xml:space="preserve"> del Decreto </w:t>
            </w:r>
            <w:r w:rsidRPr="00D72BB7">
              <w:rPr>
                <w:rFonts w:ascii="Verdana" w:eastAsia="Arial" w:hAnsi="Verdana" w:cs="Arial"/>
                <w:sz w:val="18"/>
                <w:szCs w:val="18"/>
              </w:rPr>
              <w:lastRenderedPageBreak/>
              <w:t>número 2962 de 2011</w:t>
            </w:r>
            <w:r>
              <w:rPr>
                <w:rFonts w:ascii="Verdana" w:eastAsia="Arial" w:hAnsi="Verdana" w:cs="Arial"/>
                <w:sz w:val="18"/>
                <w:szCs w:val="18"/>
              </w:rPr>
              <w:t>”</w:t>
            </w:r>
          </w:p>
        </w:tc>
        <w:tc>
          <w:tcPr>
            <w:tcW w:w="6520" w:type="dxa"/>
          </w:tcPr>
          <w:p w14:paraId="057DF653" w14:textId="77777777" w:rsidR="00C13AAF" w:rsidRPr="002879ED" w:rsidRDefault="00C13AAF" w:rsidP="000F2D28">
            <w:pPr>
              <w:snapToGrid w:val="0"/>
              <w:contextualSpacing/>
              <w:jc w:val="both"/>
              <w:rPr>
                <w:rFonts w:ascii="Verdana" w:eastAsia="Arial" w:hAnsi="Verdana" w:cs="Arial"/>
                <w:sz w:val="18"/>
                <w:szCs w:val="18"/>
              </w:rPr>
            </w:pPr>
            <w:proofErr w:type="gramStart"/>
            <w:r w:rsidRPr="002879ED">
              <w:rPr>
                <w:rFonts w:ascii="Verdana" w:eastAsia="Arial" w:hAnsi="Verdana" w:cs="Arial"/>
                <w:b/>
                <w:sz w:val="18"/>
                <w:szCs w:val="18"/>
              </w:rPr>
              <w:lastRenderedPageBreak/>
              <w:t>Artículo </w:t>
            </w:r>
            <w:bookmarkStart w:id="1" w:name="1"/>
            <w:r w:rsidRPr="002879ED">
              <w:rPr>
                <w:rFonts w:ascii="Verdana" w:eastAsia="Arial" w:hAnsi="Verdana" w:cs="Arial"/>
                <w:b/>
                <w:sz w:val="18"/>
                <w:szCs w:val="18"/>
              </w:rPr>
              <w:t> </w:t>
            </w:r>
            <w:bookmarkEnd w:id="1"/>
            <w:r w:rsidRPr="002879ED">
              <w:rPr>
                <w:rFonts w:ascii="Verdana" w:eastAsia="Arial" w:hAnsi="Verdana" w:cs="Arial"/>
                <w:b/>
                <w:sz w:val="18"/>
                <w:szCs w:val="18"/>
              </w:rPr>
              <w:t>1</w:t>
            </w:r>
            <w:proofErr w:type="gramEnd"/>
            <w:r w:rsidRPr="002879ED">
              <w:rPr>
                <w:rFonts w:ascii="Verdana" w:eastAsia="Arial" w:hAnsi="Verdana" w:cs="Arial"/>
                <w:b/>
                <w:sz w:val="18"/>
                <w:szCs w:val="18"/>
              </w:rPr>
              <w:t>°.</w:t>
            </w:r>
            <w:r w:rsidRPr="002879ED">
              <w:rPr>
                <w:rFonts w:ascii="Verdana" w:eastAsia="Arial" w:hAnsi="Verdana" w:cs="Arial"/>
                <w:sz w:val="18"/>
                <w:szCs w:val="18"/>
              </w:rPr>
              <w:t> </w:t>
            </w:r>
            <w:proofErr w:type="spellStart"/>
            <w:r w:rsidRPr="002879ED">
              <w:rPr>
                <w:rFonts w:ascii="Verdana" w:eastAsia="Arial" w:hAnsi="Verdana" w:cs="Arial"/>
                <w:sz w:val="18"/>
                <w:szCs w:val="18"/>
              </w:rPr>
              <w:t>Modifícase</w:t>
            </w:r>
            <w:proofErr w:type="spellEnd"/>
            <w:r w:rsidRPr="002879ED">
              <w:rPr>
                <w:rFonts w:ascii="Verdana" w:eastAsia="Arial" w:hAnsi="Verdana" w:cs="Arial"/>
                <w:sz w:val="18"/>
                <w:szCs w:val="18"/>
              </w:rPr>
              <w:t xml:space="preserve"> el artículo 4° del Decreto número 2962 de 2011, el cual quedará así:</w:t>
            </w:r>
          </w:p>
          <w:p w14:paraId="4C5F87C6"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w:t>
            </w:r>
            <w:r w:rsidRPr="002879ED">
              <w:rPr>
                <w:rFonts w:ascii="Verdana" w:eastAsia="Arial" w:hAnsi="Verdana" w:cs="Arial"/>
                <w:b/>
                <w:sz w:val="18"/>
                <w:szCs w:val="18"/>
              </w:rPr>
              <w:t>Artículo 4°. </w:t>
            </w:r>
            <w:r w:rsidRPr="002879ED">
              <w:rPr>
                <w:rFonts w:ascii="Verdana" w:eastAsia="Arial" w:hAnsi="Verdana" w:cs="Arial"/>
                <w:b/>
                <w:i/>
                <w:sz w:val="18"/>
                <w:szCs w:val="18"/>
              </w:rPr>
              <w:t>Modalidades de selección. </w:t>
            </w:r>
            <w:r w:rsidRPr="002879ED">
              <w:rPr>
                <w:rFonts w:ascii="Verdana" w:eastAsia="Arial" w:hAnsi="Verdana" w:cs="Arial"/>
                <w:sz w:val="18"/>
                <w:szCs w:val="18"/>
              </w:rPr>
              <w:t>La selección de los contratistas del Fondo Adaptación se adelantará con arreglo a las siguientes modalidades, previa adopción de los planes y proyectos por parte del Consejo Directivo:</w:t>
            </w:r>
          </w:p>
          <w:p w14:paraId="07E8848F"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lastRenderedPageBreak/>
              <w:t>4.1. Selección Directa: </w:t>
            </w:r>
            <w:r w:rsidRPr="002879ED">
              <w:rPr>
                <w:rFonts w:ascii="Verdana" w:eastAsia="Arial" w:hAnsi="Verdana" w:cs="Arial"/>
                <w:sz w:val="18"/>
                <w:szCs w:val="18"/>
              </w:rPr>
              <w:t>Modalidad mediante la cual el Fondo Adaptación escogerá directamente al contratista, con sujeción a los precios del mercado y sin que se requiera obtener varias ofertas.</w:t>
            </w:r>
          </w:p>
          <w:p w14:paraId="7E321C51"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Procederá la contratación directa en los siguientes eventos:</w:t>
            </w:r>
          </w:p>
          <w:p w14:paraId="63753C5F"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 xml:space="preserve">4.1.1. Cuando el valor del contrato incluidas </w:t>
            </w:r>
            <w:proofErr w:type="gramStart"/>
            <w:r w:rsidRPr="002879ED">
              <w:rPr>
                <w:rFonts w:ascii="Verdana" w:eastAsia="Arial" w:hAnsi="Verdana" w:cs="Arial"/>
                <w:sz w:val="18"/>
                <w:szCs w:val="18"/>
              </w:rPr>
              <w:t>sus adiciones sea</w:t>
            </w:r>
            <w:proofErr w:type="gramEnd"/>
            <w:r w:rsidRPr="002879ED">
              <w:rPr>
                <w:rFonts w:ascii="Verdana" w:eastAsia="Arial" w:hAnsi="Verdana" w:cs="Arial"/>
                <w:sz w:val="18"/>
                <w:szCs w:val="18"/>
              </w:rPr>
              <w:t xml:space="preserve"> inferior a 20.000 smmlv.</w:t>
            </w:r>
          </w:p>
          <w:p w14:paraId="2399E68C"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4.1.2. Contratos o Convenios que se celebren con otras entidades públicas.</w:t>
            </w:r>
          </w:p>
          <w:p w14:paraId="622E6120"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4.1.3. Contratos para el desarrollo de actividades científicas o tecnológicas.</w:t>
            </w:r>
          </w:p>
          <w:p w14:paraId="2850E16B"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4.1.4. Contratos para la ejecución de actividades que solamente puedan encomendarse a determinadas personas, en consideración a sus calidades especiales.</w:t>
            </w:r>
          </w:p>
          <w:p w14:paraId="41E482B7"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4.1.5. Contratos de prestación de servicios, de consultoría y los relacionados con actividades operativas, logísticas o asistenciales.</w:t>
            </w:r>
          </w:p>
          <w:p w14:paraId="76776CD6"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4.1.6. Arrendamiento, comodato y adquisición de bienes inmuebles.</w:t>
            </w:r>
          </w:p>
          <w:p w14:paraId="5E973D16"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4.1.7. Cuando los estudios previos demuestren que solo hay una persona con capacidad para proveer el bien o servicio, por ser el titular de los derechos de propiedad industrial o de los derechos de autor o por ser, de acuerdo con la ley, su proveedor exclusivo.</w:t>
            </w:r>
          </w:p>
          <w:p w14:paraId="6B0F4BD5"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4.1.8. Cuando procediendo la convocatoria cerrada, solo hubiere un inscrito en el Registro de Proveedores del Fondo Adaptación, con capacidad para proveer el bien o servicio que se requiera.</w:t>
            </w:r>
          </w:p>
          <w:p w14:paraId="44DD1839"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4.1.9. Cuando no se presente propuesta alguna o se declare fallida la convocatoria abierta o la cerrada.</w:t>
            </w:r>
          </w:p>
          <w:p w14:paraId="70F727A2"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4.2. Convocatoria Cerrada: </w:t>
            </w:r>
            <w:r w:rsidRPr="002879ED">
              <w:rPr>
                <w:rFonts w:ascii="Verdana" w:eastAsia="Arial" w:hAnsi="Verdana" w:cs="Arial"/>
                <w:sz w:val="18"/>
                <w:szCs w:val="18"/>
              </w:rPr>
              <w:t>Modalidad mediante la cual el Fondo Adaptación formulará invitación a por lo menos siete (7) de los inscritos y calificados con el mayor puntaje en el Registro de Proveedores de la Entidad, con capacidad para proveer el bien o servicio que se requiera y, entre ellas, seleccionará objetivamente la más favorable a los fines e intereses de la Entidad.</w:t>
            </w:r>
          </w:p>
          <w:p w14:paraId="54B86564"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En el evento en que para ejecutar la actividad o suministrar el bien de que se trate, hubiere menos de siete (7) inscritos y calificados en el Registro de Proveedores del Fondo, se invitará a los allí inscritos, previa constancia escrita de tal circunstancia, expedida por el administrador de dicho Registro. En todo caso deberá existir pluralidad de oferentes para poder adelantar el proceso.</w:t>
            </w:r>
          </w:p>
          <w:p w14:paraId="41168AC4"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Procederá la convocatoria cerrada cuando el valor del contrato sea superior a 20.000 smmlv e inferior a 132.000 smmlv.</w:t>
            </w:r>
          </w:p>
          <w:p w14:paraId="18D64817" w14:textId="77777777" w:rsidR="00C13AAF" w:rsidRPr="002879ED" w:rsidRDefault="00C13AAF" w:rsidP="000F2D28">
            <w:pPr>
              <w:snapToGrid w:val="0"/>
              <w:contextualSpacing/>
              <w:jc w:val="both"/>
              <w:rPr>
                <w:rFonts w:ascii="Verdana" w:eastAsia="Arial" w:hAnsi="Verdana" w:cs="Arial"/>
                <w:sz w:val="18"/>
                <w:szCs w:val="18"/>
              </w:rPr>
            </w:pPr>
            <w:r w:rsidRPr="002879ED">
              <w:rPr>
                <w:rFonts w:ascii="Verdana" w:eastAsia="Arial" w:hAnsi="Verdana" w:cs="Arial"/>
                <w:b/>
                <w:sz w:val="18"/>
                <w:szCs w:val="18"/>
              </w:rPr>
              <w:t>4.3. Convocatoria Abierta: </w:t>
            </w:r>
            <w:r w:rsidRPr="002879ED">
              <w:rPr>
                <w:rFonts w:ascii="Verdana" w:eastAsia="Arial" w:hAnsi="Verdana" w:cs="Arial"/>
                <w:sz w:val="18"/>
                <w:szCs w:val="18"/>
              </w:rPr>
              <w:t>Modalidad mediante la cual el Fondo Adaptación formulará invitación pública para que los interesados presenten sus ofertas y, entre ellas, seleccionará objetivamente la más favorable a los fines e intereses de la Entidad.</w:t>
            </w:r>
          </w:p>
          <w:p w14:paraId="6F984763" w14:textId="77777777" w:rsidR="00C13AAF" w:rsidRPr="00D72BB7" w:rsidRDefault="00C13AAF" w:rsidP="000F2D28">
            <w:pPr>
              <w:snapToGrid w:val="0"/>
              <w:contextualSpacing/>
              <w:jc w:val="both"/>
              <w:rPr>
                <w:rFonts w:ascii="Verdana" w:eastAsia="Arial" w:hAnsi="Verdana" w:cs="Arial"/>
                <w:sz w:val="18"/>
                <w:szCs w:val="18"/>
              </w:rPr>
            </w:pPr>
            <w:r w:rsidRPr="002879ED">
              <w:rPr>
                <w:rFonts w:ascii="Verdana" w:eastAsia="Arial" w:hAnsi="Verdana" w:cs="Arial"/>
                <w:sz w:val="18"/>
                <w:szCs w:val="18"/>
              </w:rPr>
              <w:t>Se adelantará convocatoria abierta cuando no proceda la contratación directa o la convocatoria cerrada”.</w:t>
            </w:r>
          </w:p>
        </w:tc>
        <w:tc>
          <w:tcPr>
            <w:tcW w:w="1276" w:type="dxa"/>
          </w:tcPr>
          <w:p w14:paraId="3FF7812C" w14:textId="77777777" w:rsidR="00C13AAF" w:rsidRPr="00D72BB7" w:rsidRDefault="00C13AAF" w:rsidP="000F2D28">
            <w:pPr>
              <w:snapToGrid w:val="0"/>
              <w:contextualSpacing/>
              <w:jc w:val="both"/>
              <w:rPr>
                <w:rFonts w:ascii="Verdana" w:eastAsia="Arial" w:hAnsi="Verdana" w:cs="Arial"/>
                <w:b/>
                <w:bCs/>
                <w:sz w:val="18"/>
                <w:szCs w:val="18"/>
                <w:lang w:val="es-ES"/>
              </w:rPr>
            </w:pPr>
            <w:r w:rsidRPr="00D72BB7">
              <w:rPr>
                <w:rFonts w:ascii="Verdana" w:eastAsia="Arial" w:hAnsi="Verdana" w:cs="Arial"/>
                <w:b/>
                <w:bCs/>
                <w:sz w:val="18"/>
                <w:szCs w:val="18"/>
                <w:lang w:val="es-ES"/>
              </w:rPr>
              <w:lastRenderedPageBreak/>
              <w:t>14 de junio de 2013</w:t>
            </w:r>
          </w:p>
        </w:tc>
      </w:tr>
      <w:tr w:rsidR="00C13AAF" w:rsidRPr="006D2D7E" w14:paraId="49573CC5" w14:textId="77777777" w:rsidTr="000F2D28">
        <w:tc>
          <w:tcPr>
            <w:tcW w:w="1702" w:type="dxa"/>
          </w:tcPr>
          <w:p w14:paraId="07E13753" w14:textId="77777777" w:rsidR="00C13AAF" w:rsidRPr="00DB0CA5"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 xml:space="preserve">Ley 1737 </w:t>
            </w:r>
            <w:r>
              <w:rPr>
                <w:rFonts w:ascii="Verdana" w:eastAsia="Arial" w:hAnsi="Verdana" w:cs="Arial"/>
                <w:b/>
                <w:sz w:val="18"/>
                <w:szCs w:val="18"/>
              </w:rPr>
              <w:t>d</w:t>
            </w:r>
            <w:r w:rsidRPr="00DB0CA5">
              <w:rPr>
                <w:rFonts w:ascii="Verdana" w:eastAsia="Arial" w:hAnsi="Verdana" w:cs="Arial"/>
                <w:b/>
                <w:sz w:val="18"/>
                <w:szCs w:val="18"/>
              </w:rPr>
              <w:t>e 2014</w:t>
            </w:r>
          </w:p>
          <w:p w14:paraId="661432DB" w14:textId="77777777" w:rsidR="00C13AAF" w:rsidRDefault="00C13AAF" w:rsidP="000F2D28">
            <w:pPr>
              <w:snapToGrid w:val="0"/>
              <w:contextualSpacing/>
              <w:jc w:val="both"/>
              <w:rPr>
                <w:rFonts w:ascii="Verdana" w:eastAsia="Arial" w:hAnsi="Verdana" w:cs="Arial"/>
                <w:sz w:val="18"/>
                <w:szCs w:val="18"/>
              </w:rPr>
            </w:pPr>
          </w:p>
          <w:p w14:paraId="2FEFF53E" w14:textId="77777777" w:rsidR="00C13AAF" w:rsidRPr="00D72BB7" w:rsidRDefault="00C13AAF" w:rsidP="000F2D28">
            <w:pPr>
              <w:snapToGrid w:val="0"/>
              <w:contextualSpacing/>
              <w:jc w:val="both"/>
              <w:rPr>
                <w:rFonts w:ascii="Verdana" w:eastAsia="Arial" w:hAnsi="Verdana" w:cs="Arial"/>
                <w:sz w:val="18"/>
                <w:szCs w:val="18"/>
              </w:rPr>
            </w:pPr>
            <w:r w:rsidRPr="00E51E4F">
              <w:rPr>
                <w:rFonts w:ascii="Verdana" w:eastAsia="Arial" w:hAnsi="Verdana" w:cs="Arial"/>
                <w:sz w:val="18"/>
                <w:szCs w:val="18"/>
              </w:rPr>
              <w:t>“P</w:t>
            </w:r>
            <w:r w:rsidRPr="00DB0CA5">
              <w:rPr>
                <w:rFonts w:ascii="Verdana" w:eastAsia="Arial" w:hAnsi="Verdana" w:cs="Arial"/>
                <w:sz w:val="18"/>
                <w:szCs w:val="18"/>
              </w:rPr>
              <w:t xml:space="preserve">or la cual se decreta el Presupuesto de Rentas y </w:t>
            </w:r>
            <w:r w:rsidRPr="00DB0CA5">
              <w:rPr>
                <w:rFonts w:ascii="Verdana" w:eastAsia="Arial" w:hAnsi="Verdana" w:cs="Arial"/>
                <w:sz w:val="18"/>
                <w:szCs w:val="18"/>
              </w:rPr>
              <w:lastRenderedPageBreak/>
              <w:t>Recursos de Capital y Ley de Apropiaciones para la vigencia fiscal del 1° de enero al 31 de diciembre de 2015</w:t>
            </w:r>
            <w:r w:rsidRPr="00E51E4F">
              <w:rPr>
                <w:rFonts w:ascii="Verdana" w:eastAsia="Arial" w:hAnsi="Verdana" w:cs="Arial"/>
                <w:sz w:val="18"/>
                <w:szCs w:val="18"/>
              </w:rPr>
              <w:t>”</w:t>
            </w:r>
            <w:r w:rsidRPr="00DB0CA5">
              <w:rPr>
                <w:rFonts w:ascii="Verdana" w:eastAsia="Arial" w:hAnsi="Verdana" w:cs="Arial"/>
                <w:sz w:val="18"/>
                <w:szCs w:val="18"/>
              </w:rPr>
              <w:t>.</w:t>
            </w:r>
          </w:p>
        </w:tc>
        <w:tc>
          <w:tcPr>
            <w:tcW w:w="6520" w:type="dxa"/>
          </w:tcPr>
          <w:p w14:paraId="23A024C4" w14:textId="77777777" w:rsidR="00C13AAF" w:rsidRPr="006D2D7E" w:rsidRDefault="00C13AAF" w:rsidP="000F2D28">
            <w:pPr>
              <w:snapToGrid w:val="0"/>
              <w:contextualSpacing/>
              <w:jc w:val="both"/>
              <w:rPr>
                <w:rFonts w:ascii="Verdana" w:eastAsia="Arial" w:hAnsi="Verdana" w:cs="Arial"/>
                <w:sz w:val="18"/>
                <w:szCs w:val="18"/>
                <w:lang w:val="es-ES"/>
              </w:rPr>
            </w:pPr>
            <w:r w:rsidRPr="006D2D7E">
              <w:rPr>
                <w:rFonts w:ascii="Verdana" w:eastAsia="Arial" w:hAnsi="Verdana" w:cs="Arial"/>
                <w:b/>
                <w:bCs/>
                <w:sz w:val="18"/>
                <w:szCs w:val="18"/>
              </w:rPr>
              <w:lastRenderedPageBreak/>
              <w:t>Artículo 79.</w:t>
            </w:r>
            <w:r w:rsidRPr="006D2D7E">
              <w:rPr>
                <w:rFonts w:ascii="Verdana" w:eastAsia="Arial" w:hAnsi="Verdana" w:cs="Arial"/>
                <w:sz w:val="18"/>
                <w:szCs w:val="18"/>
              </w:rPr>
              <w:t xml:space="preserve"> Con el fin de facilitar la ejecución de los recursos destinados a superar los efectos de calamidades públicas, las apropiaciones presupuestales para desarrollar el objeto del Fondo Adaptación se contratarán según lo previsto en el artículo 7° del Decreto número 4819 de 2010. Asimismo, se autoriza al Ministerio de Hacienda y Crédito Público para otorgar créditos a los patrimonios autónomos que administran los recursos del Fondo Adaptación y otros </w:t>
            </w:r>
            <w:r w:rsidRPr="006D2D7E">
              <w:rPr>
                <w:rFonts w:ascii="Verdana" w:eastAsia="Arial" w:hAnsi="Verdana" w:cs="Arial"/>
                <w:sz w:val="18"/>
                <w:szCs w:val="18"/>
              </w:rPr>
              <w:lastRenderedPageBreak/>
              <w:t>patrimonios autónomos con finalidades similares. Estos créditos solo requerirán para su validez la firma del convenio de crédito. El patrimonio autónomo incluirá anualmente las partidas requeridas para el servicio de la deuda, incluyendo los costos financieros asociados a la operación. </w:t>
            </w:r>
          </w:p>
        </w:tc>
        <w:tc>
          <w:tcPr>
            <w:tcW w:w="1276" w:type="dxa"/>
          </w:tcPr>
          <w:p w14:paraId="51AF337E" w14:textId="77777777" w:rsidR="00C13AAF" w:rsidRPr="00D72BB7" w:rsidRDefault="00C13AAF" w:rsidP="000F2D28">
            <w:pPr>
              <w:snapToGrid w:val="0"/>
              <w:contextualSpacing/>
              <w:rPr>
                <w:rFonts w:ascii="Verdana" w:eastAsia="Arial" w:hAnsi="Verdana" w:cs="Arial"/>
                <w:b/>
                <w:bCs/>
                <w:sz w:val="18"/>
                <w:szCs w:val="18"/>
                <w:lang w:val="es-ES"/>
              </w:rPr>
            </w:pPr>
            <w:r w:rsidRPr="00D72BB7">
              <w:rPr>
                <w:rFonts w:ascii="Verdana" w:eastAsia="Arial" w:hAnsi="Verdana" w:cs="Arial"/>
                <w:b/>
                <w:bCs/>
                <w:sz w:val="18"/>
                <w:szCs w:val="18"/>
                <w:lang w:val="es-ES"/>
              </w:rPr>
              <w:lastRenderedPageBreak/>
              <w:t>2 de diciembre de 2014</w:t>
            </w:r>
          </w:p>
        </w:tc>
      </w:tr>
      <w:tr w:rsidR="00C13AAF" w:rsidRPr="006D2D7E" w14:paraId="0CD63752" w14:textId="77777777" w:rsidTr="000F2D28">
        <w:tc>
          <w:tcPr>
            <w:tcW w:w="1702" w:type="dxa"/>
          </w:tcPr>
          <w:p w14:paraId="32C31CCC" w14:textId="77777777" w:rsidR="00C13AAF" w:rsidRPr="00DB0CA5"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 xml:space="preserve">Decreto 203 </w:t>
            </w:r>
            <w:r>
              <w:rPr>
                <w:rFonts w:ascii="Verdana" w:eastAsia="Arial" w:hAnsi="Verdana" w:cs="Arial"/>
                <w:b/>
                <w:sz w:val="18"/>
                <w:szCs w:val="18"/>
              </w:rPr>
              <w:t>d</w:t>
            </w:r>
            <w:r w:rsidRPr="00DB0CA5">
              <w:rPr>
                <w:rFonts w:ascii="Verdana" w:eastAsia="Arial" w:hAnsi="Verdana" w:cs="Arial"/>
                <w:b/>
                <w:sz w:val="18"/>
                <w:szCs w:val="18"/>
              </w:rPr>
              <w:t>e 2015</w:t>
            </w:r>
          </w:p>
          <w:p w14:paraId="02347FAD" w14:textId="77777777" w:rsidR="00C13AAF" w:rsidRDefault="00C13AAF" w:rsidP="000F2D28">
            <w:pPr>
              <w:snapToGrid w:val="0"/>
              <w:contextualSpacing/>
              <w:jc w:val="both"/>
              <w:rPr>
                <w:rFonts w:ascii="Verdana" w:eastAsia="Arial" w:hAnsi="Verdana" w:cs="Arial"/>
                <w:sz w:val="18"/>
                <w:szCs w:val="18"/>
              </w:rPr>
            </w:pPr>
          </w:p>
          <w:p w14:paraId="3312C0DA" w14:textId="77777777" w:rsidR="00C13AAF" w:rsidRPr="00DB0CA5" w:rsidRDefault="00C13AAF" w:rsidP="000F2D28">
            <w:pPr>
              <w:snapToGrid w:val="0"/>
              <w:contextualSpacing/>
              <w:jc w:val="both"/>
              <w:rPr>
                <w:rFonts w:ascii="Verdana" w:eastAsia="Arial" w:hAnsi="Verdana" w:cs="Arial"/>
                <w:sz w:val="18"/>
                <w:szCs w:val="18"/>
              </w:rPr>
            </w:pPr>
            <w:r w:rsidRPr="00D72BB7">
              <w:rPr>
                <w:rFonts w:ascii="Verdana" w:eastAsia="Arial" w:hAnsi="Verdana" w:cs="Arial"/>
                <w:sz w:val="18"/>
                <w:szCs w:val="18"/>
              </w:rPr>
              <w:t>“P</w:t>
            </w:r>
            <w:r w:rsidRPr="00DB0CA5">
              <w:rPr>
                <w:rFonts w:ascii="Verdana" w:eastAsia="Arial" w:hAnsi="Verdana" w:cs="Arial"/>
                <w:sz w:val="18"/>
                <w:szCs w:val="18"/>
              </w:rPr>
              <w:t>or el cual se reglamenta parcialmente el artículo 79 de la Ley 1737 de 2014</w:t>
            </w:r>
            <w:r w:rsidRPr="00D72BB7">
              <w:rPr>
                <w:rFonts w:ascii="Verdana" w:eastAsia="Arial" w:hAnsi="Verdana" w:cs="Arial"/>
                <w:sz w:val="18"/>
                <w:szCs w:val="18"/>
              </w:rPr>
              <w:t>”</w:t>
            </w:r>
            <w:r w:rsidRPr="00DB0CA5">
              <w:rPr>
                <w:rFonts w:ascii="Verdana" w:eastAsia="Arial" w:hAnsi="Verdana" w:cs="Arial"/>
                <w:sz w:val="18"/>
                <w:szCs w:val="18"/>
              </w:rPr>
              <w:t>.</w:t>
            </w:r>
          </w:p>
          <w:p w14:paraId="717D3D17" w14:textId="77777777" w:rsidR="00C13AAF" w:rsidRPr="006D2D7E" w:rsidRDefault="00C13AAF" w:rsidP="000F2D28">
            <w:pPr>
              <w:snapToGrid w:val="0"/>
              <w:contextualSpacing/>
              <w:jc w:val="both"/>
              <w:rPr>
                <w:rFonts w:ascii="Verdana" w:eastAsia="Arial" w:hAnsi="Verdana" w:cs="Arial"/>
                <w:sz w:val="18"/>
                <w:szCs w:val="18"/>
                <w:lang w:val="es-ES"/>
              </w:rPr>
            </w:pPr>
          </w:p>
        </w:tc>
        <w:tc>
          <w:tcPr>
            <w:tcW w:w="6520" w:type="dxa"/>
          </w:tcPr>
          <w:p w14:paraId="6C9DA0A7" w14:textId="77777777" w:rsidR="00C13AAF" w:rsidRPr="00DB0CA5" w:rsidRDefault="00C13AAF" w:rsidP="000F2D28">
            <w:pPr>
              <w:snapToGrid w:val="0"/>
              <w:contextualSpacing/>
              <w:jc w:val="both"/>
              <w:rPr>
                <w:rFonts w:ascii="Verdana" w:eastAsia="Arial" w:hAnsi="Verdana" w:cs="Arial"/>
                <w:sz w:val="18"/>
                <w:szCs w:val="18"/>
              </w:rPr>
            </w:pPr>
            <w:bookmarkStart w:id="2" w:name="ver_30044258"/>
            <w:bookmarkEnd w:id="2"/>
            <w:r w:rsidRPr="00DB0CA5">
              <w:rPr>
                <w:rFonts w:ascii="Verdana" w:eastAsia="Arial" w:hAnsi="Verdana" w:cs="Arial"/>
                <w:b/>
                <w:sz w:val="18"/>
                <w:szCs w:val="18"/>
              </w:rPr>
              <w:t xml:space="preserve">Artículo </w:t>
            </w:r>
            <w:proofErr w:type="gramStart"/>
            <w:r w:rsidRPr="00DB0CA5">
              <w:rPr>
                <w:rFonts w:ascii="Verdana" w:eastAsia="Arial" w:hAnsi="Verdana" w:cs="Arial"/>
                <w:b/>
                <w:sz w:val="18"/>
                <w:szCs w:val="18"/>
              </w:rPr>
              <w:t>2º.</w:t>
            </w:r>
            <w:r w:rsidRPr="00DB0CA5">
              <w:rPr>
                <w:rFonts w:ascii="Verdana" w:eastAsia="Arial" w:hAnsi="Verdana" w:cs="Arial"/>
                <w:i/>
                <w:sz w:val="18"/>
                <w:szCs w:val="18"/>
              </w:rPr>
              <w:t>Modalidades</w:t>
            </w:r>
            <w:proofErr w:type="gramEnd"/>
            <w:r w:rsidRPr="00DB0CA5">
              <w:rPr>
                <w:rFonts w:ascii="Verdana" w:eastAsia="Arial" w:hAnsi="Verdana" w:cs="Arial"/>
                <w:i/>
                <w:sz w:val="18"/>
                <w:szCs w:val="18"/>
              </w:rPr>
              <w:t xml:space="preserve"> de Selección</w:t>
            </w:r>
            <w:r w:rsidRPr="00DB0CA5">
              <w:rPr>
                <w:rFonts w:ascii="Verdana" w:eastAsia="Arial" w:hAnsi="Verdana" w:cs="Arial"/>
                <w:sz w:val="18"/>
                <w:szCs w:val="18"/>
              </w:rPr>
              <w:t>. La escogencia del contratista se efectuará con arreglo a las modalidades de selección de invitación abierta, invitación cerrada y contratación directa, con base en las siguientes reglas: </w:t>
            </w:r>
          </w:p>
          <w:p w14:paraId="762905E6"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1. Invitación Abierta:</w:t>
            </w:r>
            <w:r w:rsidRPr="00DB0CA5">
              <w:rPr>
                <w:rFonts w:ascii="Verdana" w:eastAsia="Arial" w:hAnsi="Verdana" w:cs="Arial"/>
                <w:sz w:val="18"/>
                <w:szCs w:val="18"/>
              </w:rPr>
              <w:t> Modalidad de selección mediante la cual el Fondo Adaptación formulará invitación pública para que todos aquellos interesados en participar presenten sus ofertas y, entre ellas, seleccionará objetivamente la más favorable a los fines e intereses de la Entidad. </w:t>
            </w:r>
          </w:p>
          <w:p w14:paraId="1ED443AA"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Corresponde a la modalidad de selección prevista para aquellos casos en que el monto de la contratación sea igual o superior a 132.000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w:t>
            </w:r>
          </w:p>
          <w:p w14:paraId="5034950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Esta modalidad podrá estar precedida de una precalificación de interesados en invitación abierta, en las condiciones que definan los términos de referencia. </w:t>
            </w:r>
          </w:p>
          <w:p w14:paraId="0C45A681"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2. Invitación Cerrada:</w:t>
            </w:r>
            <w:r w:rsidRPr="00DB0CA5">
              <w:rPr>
                <w:rFonts w:ascii="Verdana" w:eastAsia="Arial" w:hAnsi="Verdana" w:cs="Arial"/>
                <w:sz w:val="18"/>
                <w:szCs w:val="18"/>
              </w:rPr>
              <w:t> Modalidad de selección objetiva mediante la cual el Fondo Adaptación, previa definición de los requerimientos financieros, de organización y de experiencia específica, requeridos para la ejecución del futuro contrato, adelantará un estudio de mercado y con base en sus resultados, formulará invitación a mínimo dos (2) de los oferentes que se hayan identificado y mediante la aplicación de criterios objetivos previamente determinados, seleccionará entre ellos el ofrecimiento más favorable a los intereses de la entidad. </w:t>
            </w:r>
          </w:p>
          <w:p w14:paraId="6711537D"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Esta modalidad será aplicable para los contratos cuyo valor sea superior a 1.000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xml:space="preserve"> e inferior a 132.000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w:t>
            </w:r>
          </w:p>
          <w:p w14:paraId="1EBCDE32"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w:t>
            </w:r>
          </w:p>
          <w:p w14:paraId="4EA4DA56"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3. Contratación Directa:</w:t>
            </w:r>
            <w:r w:rsidRPr="00DB0CA5">
              <w:rPr>
                <w:rFonts w:ascii="Verdana" w:eastAsia="Arial" w:hAnsi="Verdana" w:cs="Arial"/>
                <w:sz w:val="18"/>
                <w:szCs w:val="18"/>
              </w:rPr>
              <w:t> Modalidad mediante la cual el Fondo Adaptación contratará de manera directa al contratista, en los siguientes eventos: </w:t>
            </w:r>
          </w:p>
          <w:p w14:paraId="2558FB99"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a) Contratos cuya cuantía sea igual o inferior a 1.000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w:t>
            </w:r>
          </w:p>
          <w:p w14:paraId="61B8D4B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b) Contratos o Convenios que se celebren con otras entidades públicas, siempre que el objeto de la entidad contratada tenga relación directa con el objeto a contratar; </w:t>
            </w:r>
          </w:p>
          <w:p w14:paraId="0AC4D91B"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c) Contratos para el desarrollo de actividades científicas o tecnológicas; </w:t>
            </w:r>
          </w:p>
          <w:p w14:paraId="3CC9A0DF"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d) Contratos para la ejecución de actividades que puedan encomendarse a determinadas personas, en consideración a las calidades técnicas, de experiencia y amplio reconocimiento en el mercado de la persona natural o jurídica a contratar debidamente justificada; </w:t>
            </w:r>
          </w:p>
          <w:p w14:paraId="1E2D7078"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e) Contratos de prestación de servicios profesionales y los relacionados con actividades operativas, logísticas o asistenciales; </w:t>
            </w:r>
          </w:p>
          <w:p w14:paraId="50405CD2"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f) Contratos de Consultoría; </w:t>
            </w:r>
          </w:p>
          <w:p w14:paraId="5035CB17"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lastRenderedPageBreak/>
              <w:t>g) Contratos para el desarrollo de actividades de acompañamiento social o para el desarrollo de proyectos de reactivación socioeconómica en los territorios objeto de intervención; </w:t>
            </w:r>
          </w:p>
          <w:p w14:paraId="3ABD134A"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h) </w:t>
            </w:r>
            <w:r w:rsidRPr="00DB0CA5">
              <w:rPr>
                <w:rFonts w:ascii="Verdana" w:eastAsia="Arial" w:hAnsi="Verdana" w:cs="Arial"/>
                <w:i/>
                <w:sz w:val="18"/>
                <w:szCs w:val="18"/>
              </w:rPr>
              <w:t>Contratos para la adquisición de proyectos de vivienda de interés prioritario</w:t>
            </w:r>
            <w:r w:rsidRPr="00DB0CA5">
              <w:rPr>
                <w:rFonts w:ascii="Verdana" w:eastAsia="Arial" w:hAnsi="Verdana" w:cs="Arial"/>
                <w:sz w:val="18"/>
                <w:szCs w:val="18"/>
              </w:rPr>
              <w:t>; </w:t>
            </w:r>
          </w:p>
          <w:p w14:paraId="0299C0DF"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i) Contratos de arrendamiento, comodato y adquisición de bienes inmuebles; </w:t>
            </w:r>
          </w:p>
          <w:p w14:paraId="5F88ED52"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j) Cuando el estudio de mercado demuestre que solo hay una persona con capacidad para proveer el bien o servicio, por ser el titular o representante de los derechos de propiedad industrial, propiedad intelectual o de los derechos de autor o por ser, de acuerdo con la ley, su proveedor exclusivo; </w:t>
            </w:r>
          </w:p>
          <w:p w14:paraId="2305597B"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k) Cuando no se presente propuesta alguna o se declare fallida la invitación abierta o la cerrada. </w:t>
            </w:r>
          </w:p>
          <w:p w14:paraId="1F468360"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Sin perjuicio de las causales definidas en el presente numeral, en aquellos casos en que por las características del objeto a contratar se considere conveniente, se podrá adelantar un proceso de invitación abierta o cerrada según se determine. </w:t>
            </w:r>
          </w:p>
          <w:p w14:paraId="6F2ABC7C"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Parágrafo.</w:t>
            </w:r>
            <w:r w:rsidRPr="00DB0CA5">
              <w:rPr>
                <w:rFonts w:ascii="Verdana" w:eastAsia="Arial" w:hAnsi="Verdana" w:cs="Arial"/>
                <w:sz w:val="18"/>
                <w:szCs w:val="18"/>
              </w:rPr>
              <w:t xml:space="preserve"> Las reglas para la ejecución de cada una de las modalidades de selección a que se refiere el presente </w:t>
            </w:r>
            <w:proofErr w:type="gramStart"/>
            <w:r w:rsidRPr="00DB0CA5">
              <w:rPr>
                <w:rFonts w:ascii="Verdana" w:eastAsia="Arial" w:hAnsi="Verdana" w:cs="Arial"/>
                <w:sz w:val="18"/>
                <w:szCs w:val="18"/>
              </w:rPr>
              <w:t>artículo,</w:t>
            </w:r>
            <w:proofErr w:type="gramEnd"/>
            <w:r w:rsidRPr="00DB0CA5">
              <w:rPr>
                <w:rFonts w:ascii="Verdana" w:eastAsia="Arial" w:hAnsi="Verdana" w:cs="Arial"/>
                <w:sz w:val="18"/>
                <w:szCs w:val="18"/>
              </w:rPr>
              <w:t xml:space="preserve"> estarán señaladas en el Manual de Contratación que adopte el Fondo. </w:t>
            </w:r>
          </w:p>
          <w:p w14:paraId="558DCD3E" w14:textId="77777777" w:rsidR="00C13AAF" w:rsidRPr="006D2D7E" w:rsidRDefault="00C13AAF" w:rsidP="000F2D28">
            <w:pPr>
              <w:snapToGrid w:val="0"/>
              <w:contextualSpacing/>
              <w:jc w:val="both"/>
              <w:rPr>
                <w:rFonts w:ascii="Verdana" w:eastAsia="Arial" w:hAnsi="Verdana" w:cs="Arial"/>
                <w:sz w:val="18"/>
                <w:szCs w:val="18"/>
                <w:lang w:val="es-ES"/>
              </w:rPr>
            </w:pPr>
          </w:p>
        </w:tc>
        <w:tc>
          <w:tcPr>
            <w:tcW w:w="1276" w:type="dxa"/>
          </w:tcPr>
          <w:p w14:paraId="3C07A874" w14:textId="77777777" w:rsidR="00C13AAF" w:rsidRPr="00D72BB7" w:rsidRDefault="00C13AAF" w:rsidP="000F2D28">
            <w:pPr>
              <w:snapToGrid w:val="0"/>
              <w:contextualSpacing/>
              <w:rPr>
                <w:rFonts w:ascii="Verdana" w:eastAsia="Arial" w:hAnsi="Verdana" w:cs="Arial"/>
                <w:b/>
                <w:bCs/>
                <w:sz w:val="18"/>
                <w:szCs w:val="18"/>
                <w:lang w:val="es-ES"/>
              </w:rPr>
            </w:pPr>
            <w:r w:rsidRPr="00D72BB7">
              <w:rPr>
                <w:rFonts w:ascii="Verdana" w:eastAsia="Arial" w:hAnsi="Verdana" w:cs="Arial"/>
                <w:b/>
                <w:bCs/>
                <w:sz w:val="18"/>
                <w:szCs w:val="18"/>
                <w:lang w:val="es-ES"/>
              </w:rPr>
              <w:lastRenderedPageBreak/>
              <w:t>04 de febrero de 2015</w:t>
            </w:r>
          </w:p>
        </w:tc>
      </w:tr>
      <w:tr w:rsidR="00C13AAF" w:rsidRPr="006D2D7E" w14:paraId="4C31F2AC" w14:textId="77777777" w:rsidTr="000F2D28">
        <w:tc>
          <w:tcPr>
            <w:tcW w:w="1702" w:type="dxa"/>
          </w:tcPr>
          <w:p w14:paraId="1114FBB7" w14:textId="77777777" w:rsidR="00C13AAF" w:rsidRPr="00DB0CA5"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 xml:space="preserve">Decreto 1068 </w:t>
            </w:r>
            <w:r>
              <w:rPr>
                <w:rFonts w:ascii="Verdana" w:eastAsia="Arial" w:hAnsi="Verdana" w:cs="Arial"/>
                <w:b/>
                <w:sz w:val="18"/>
                <w:szCs w:val="18"/>
              </w:rPr>
              <w:t>d</w:t>
            </w:r>
            <w:r w:rsidRPr="00DB0CA5">
              <w:rPr>
                <w:rFonts w:ascii="Verdana" w:eastAsia="Arial" w:hAnsi="Verdana" w:cs="Arial"/>
                <w:b/>
                <w:sz w:val="18"/>
                <w:szCs w:val="18"/>
              </w:rPr>
              <w:t>e 2015</w:t>
            </w:r>
          </w:p>
          <w:p w14:paraId="6D09546C" w14:textId="77777777" w:rsidR="00C13AAF" w:rsidRPr="00DB0CA5" w:rsidRDefault="00C13AAF" w:rsidP="000F2D28">
            <w:pPr>
              <w:snapToGrid w:val="0"/>
              <w:contextualSpacing/>
              <w:jc w:val="both"/>
              <w:rPr>
                <w:rFonts w:ascii="Verdana" w:eastAsia="Arial" w:hAnsi="Verdana" w:cs="Arial"/>
                <w:b/>
                <w:sz w:val="18"/>
                <w:szCs w:val="18"/>
              </w:rPr>
            </w:pPr>
          </w:p>
          <w:p w14:paraId="19F8B53D" w14:textId="77777777" w:rsidR="00C13AAF" w:rsidRPr="00D72BB7" w:rsidRDefault="00C13AAF" w:rsidP="000F2D28">
            <w:pPr>
              <w:snapToGrid w:val="0"/>
              <w:contextualSpacing/>
              <w:jc w:val="both"/>
              <w:rPr>
                <w:rFonts w:ascii="Verdana" w:eastAsia="Arial" w:hAnsi="Verdana" w:cs="Arial"/>
                <w:sz w:val="18"/>
                <w:szCs w:val="18"/>
              </w:rPr>
            </w:pPr>
            <w:r w:rsidRPr="00D72BB7">
              <w:rPr>
                <w:rFonts w:ascii="Verdana" w:eastAsia="Arial" w:hAnsi="Verdana" w:cs="Arial"/>
                <w:sz w:val="18"/>
                <w:szCs w:val="18"/>
              </w:rPr>
              <w:t>“</w:t>
            </w:r>
            <w:r w:rsidRPr="00DB0CA5">
              <w:rPr>
                <w:rFonts w:ascii="Verdana" w:eastAsia="Arial" w:hAnsi="Verdana" w:cs="Arial"/>
                <w:sz w:val="18"/>
                <w:szCs w:val="18"/>
              </w:rPr>
              <w:t>por medio del cual se expide el Decreto Único Reglamentario del Sector Hacienda y Crédito Público</w:t>
            </w:r>
            <w:r w:rsidRPr="00D72BB7">
              <w:rPr>
                <w:rFonts w:ascii="Verdana" w:eastAsia="Arial" w:hAnsi="Verdana" w:cs="Arial"/>
                <w:sz w:val="18"/>
                <w:szCs w:val="18"/>
              </w:rPr>
              <w:t>”</w:t>
            </w:r>
            <w:r w:rsidRPr="00DB0CA5">
              <w:rPr>
                <w:rFonts w:ascii="Verdana" w:eastAsia="Arial" w:hAnsi="Verdana" w:cs="Arial"/>
                <w:sz w:val="18"/>
                <w:szCs w:val="18"/>
              </w:rPr>
              <w:t>.</w:t>
            </w:r>
          </w:p>
          <w:p w14:paraId="754D9E54" w14:textId="77777777" w:rsidR="00C13AAF" w:rsidRDefault="00C13AAF" w:rsidP="000F2D28">
            <w:pPr>
              <w:snapToGrid w:val="0"/>
              <w:contextualSpacing/>
              <w:jc w:val="both"/>
              <w:rPr>
                <w:rFonts w:ascii="Verdana" w:eastAsia="Arial" w:hAnsi="Verdana" w:cs="Arial"/>
                <w:b/>
                <w:sz w:val="18"/>
                <w:szCs w:val="18"/>
              </w:rPr>
            </w:pPr>
          </w:p>
          <w:p w14:paraId="3DBFED0F" w14:textId="77777777" w:rsidR="00C13AAF" w:rsidRPr="00DB0CA5" w:rsidRDefault="00C13AAF" w:rsidP="000F2D28">
            <w:pPr>
              <w:snapToGrid w:val="0"/>
              <w:contextualSpacing/>
              <w:jc w:val="both"/>
              <w:rPr>
                <w:rFonts w:ascii="Verdana" w:eastAsia="Arial" w:hAnsi="Verdana" w:cs="Arial"/>
                <w:b/>
                <w:sz w:val="18"/>
                <w:szCs w:val="18"/>
              </w:rPr>
            </w:pPr>
            <w:r w:rsidRPr="006D2D7E">
              <w:rPr>
                <w:rFonts w:ascii="Verdana" w:eastAsia="Arial" w:hAnsi="Verdana" w:cs="Arial"/>
                <w:b/>
                <w:sz w:val="18"/>
                <w:szCs w:val="18"/>
              </w:rPr>
              <w:t>Compila lo dispuesto en el Decreto 203 del 2015</w:t>
            </w:r>
          </w:p>
          <w:p w14:paraId="06F62BB3" w14:textId="77777777" w:rsidR="00C13AAF" w:rsidRPr="006D2D7E" w:rsidRDefault="00C13AAF" w:rsidP="000F2D28">
            <w:pPr>
              <w:snapToGrid w:val="0"/>
              <w:contextualSpacing/>
              <w:jc w:val="both"/>
              <w:rPr>
                <w:rFonts w:ascii="Verdana" w:eastAsia="Arial" w:hAnsi="Verdana" w:cs="Arial"/>
                <w:b/>
                <w:sz w:val="18"/>
                <w:szCs w:val="18"/>
              </w:rPr>
            </w:pPr>
          </w:p>
        </w:tc>
        <w:tc>
          <w:tcPr>
            <w:tcW w:w="6520" w:type="dxa"/>
          </w:tcPr>
          <w:p w14:paraId="2CF71DF0" w14:textId="77777777" w:rsidR="00C13AAF" w:rsidRPr="00DB0CA5"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Artículo 2.13.1.2. Modalidades de Selección. </w:t>
            </w:r>
            <w:r w:rsidRPr="00DB0CA5">
              <w:rPr>
                <w:rFonts w:ascii="Verdana" w:eastAsia="Arial" w:hAnsi="Verdana" w:cs="Arial"/>
                <w:sz w:val="18"/>
                <w:szCs w:val="18"/>
              </w:rPr>
              <w:t>La escogencia del contratista se efectuará con arreglo a las modalidades de selección de invitación abierta, invitación cerrada y contratación directa, con base en las siguientes reglas:</w:t>
            </w:r>
            <w:r w:rsidRPr="00DB0CA5">
              <w:rPr>
                <w:rFonts w:ascii="Verdana" w:eastAsia="Arial" w:hAnsi="Verdana" w:cs="Arial"/>
                <w:b/>
                <w:sz w:val="18"/>
                <w:szCs w:val="18"/>
              </w:rPr>
              <w:t> </w:t>
            </w:r>
          </w:p>
          <w:p w14:paraId="1F444499"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 xml:space="preserve">1. Invitación Abierta: </w:t>
            </w:r>
            <w:r w:rsidRPr="00DB0CA5">
              <w:rPr>
                <w:rFonts w:ascii="Verdana" w:eastAsia="Arial" w:hAnsi="Verdana" w:cs="Arial"/>
                <w:sz w:val="18"/>
                <w:szCs w:val="18"/>
              </w:rPr>
              <w:t>Modalidad de selección mediante la cual el Fondo Adaptación formulará invitación pública para que todos aquellos interesados en participar presenten sus ofertas y, entre ellas, seleccionará objetivamente la más favorable a los fines e intereses de la Entidad. </w:t>
            </w:r>
          </w:p>
          <w:p w14:paraId="1908753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Corresponde a la modalidad de selección prevista para aquellos casos en que el monto de la contratación sea igual o superior a 132.000 smmlv. Esta modalidad podrá estar precedida de una precalificación de interesados en invitación abierta, en las condiciones que definan los términos de referencia. </w:t>
            </w:r>
          </w:p>
          <w:p w14:paraId="74851AA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 xml:space="preserve">2. Invitación Cerrada: </w:t>
            </w:r>
            <w:r w:rsidRPr="00DB0CA5">
              <w:rPr>
                <w:rFonts w:ascii="Verdana" w:eastAsia="Arial" w:hAnsi="Verdana" w:cs="Arial"/>
                <w:sz w:val="18"/>
                <w:szCs w:val="18"/>
              </w:rPr>
              <w:t>Modalidad de selección objetiva mediante la cual el Fondo Adaptación, previa definición de los requerimientos financieros, de organización y de experiencia específica, requeridos para la ejecución del futuro contrato, adelantará un estudio de mercado y con base en sus resultados, formulará invitación a mínimo dos (2) de los oferentes que se hayan identificado y mediante la aplicación de criterios objetivos previamente determinados, seleccionará entre ellos el ofrecimiento más favorable a los intereses de la entidad. </w:t>
            </w:r>
          </w:p>
          <w:p w14:paraId="315BDBBF"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Esta modalidad será aplicable para los contratos cuyo valor sea superior a 1.000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xml:space="preserve"> e inferior a 132.000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w:t>
            </w:r>
          </w:p>
          <w:p w14:paraId="2C0A0408"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 xml:space="preserve">3. Contratación Directa: </w:t>
            </w:r>
            <w:r w:rsidRPr="00DB0CA5">
              <w:rPr>
                <w:rFonts w:ascii="Verdana" w:eastAsia="Arial" w:hAnsi="Verdana" w:cs="Arial"/>
                <w:sz w:val="18"/>
                <w:szCs w:val="18"/>
              </w:rPr>
              <w:t>Modalidad mediante la cual el Fondo Adaptación contratará de manera directa al contratista, en los siguientes eventos: </w:t>
            </w:r>
          </w:p>
          <w:p w14:paraId="174971FD"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a) Contratos cuya cuantía sea igual o inferior a 1.000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w:t>
            </w:r>
          </w:p>
          <w:p w14:paraId="77A6AA88"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lastRenderedPageBreak/>
              <w:t>b) Contratos o Convenios que se celebren con otras entidades públicas, siempre que el objeto de la entidad contratada tenga relación directa con el objeto a contratar; </w:t>
            </w:r>
          </w:p>
          <w:p w14:paraId="4FE92961"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c) Contratos para el desarrollo de actividades científicas o tecnológicas; </w:t>
            </w:r>
          </w:p>
          <w:p w14:paraId="3EE53F6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d) Contratos para la ejecución de actividades que puedan encomendarse a determinadas personas, en consideración a las calidades técnicas, de experiencia y amplio reconocimiento en el mercado de la persona natural o jurídica a contratar debidamente justificada; </w:t>
            </w:r>
          </w:p>
          <w:p w14:paraId="7BBD87F0"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e) Contratos de prestación de servicios profesionales y los relacionados con actividades operativas, logísticas o asistenciales; </w:t>
            </w:r>
          </w:p>
          <w:p w14:paraId="3114ED4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f) Contratos de Consultoría; </w:t>
            </w:r>
          </w:p>
          <w:p w14:paraId="0ADEEC8C"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g) Contratos para el desarrollo de actividades de acompañamiento social o para el desarrollo de proyectos de reactivación socioeconómica en los territorios objeto de intervención; </w:t>
            </w:r>
          </w:p>
          <w:p w14:paraId="25257C18" w14:textId="77777777" w:rsidR="00C13AAF" w:rsidRPr="00DB0CA5" w:rsidRDefault="00C13AAF" w:rsidP="000F2D28">
            <w:pPr>
              <w:snapToGrid w:val="0"/>
              <w:contextualSpacing/>
              <w:jc w:val="both"/>
              <w:rPr>
                <w:rFonts w:ascii="Verdana" w:eastAsia="Arial" w:hAnsi="Verdana" w:cs="Arial"/>
                <w:i/>
                <w:sz w:val="18"/>
                <w:szCs w:val="18"/>
              </w:rPr>
            </w:pPr>
            <w:r w:rsidRPr="00DB0CA5">
              <w:rPr>
                <w:rFonts w:ascii="Verdana" w:eastAsia="Arial" w:hAnsi="Verdana" w:cs="Arial"/>
                <w:i/>
                <w:sz w:val="18"/>
                <w:szCs w:val="18"/>
              </w:rPr>
              <w:t>h) Contratos para la adquisición de proyectos de vivienda de interés prioritario; </w:t>
            </w:r>
          </w:p>
          <w:p w14:paraId="2A16784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i) Contratos de arrendamiento, comodato y adquisición de bienes inmuebles; </w:t>
            </w:r>
          </w:p>
          <w:p w14:paraId="3B10907C"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j) Cuando el estudio de mercado demuestre que solo hay una persona con capacidad para proveer el bien o servicio, por ser el titular o representante de los derechos de propiedad industrial, propiedad intelectual o de los derechos de autor o por ser, de acuerdo con la ley, su proveedor exclusivo; </w:t>
            </w:r>
          </w:p>
          <w:p w14:paraId="0583BF57"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k) Cuando no se presente propuesta alguna o se declare fallida la invitación abierta o la cerrada. </w:t>
            </w:r>
          </w:p>
          <w:p w14:paraId="2A501B5D"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Sin perjuicio de las causales definidas en el presente numeral, en aquellos casos en que por las características del objeto a contratar se considere conveniente, se podrá adelantar un proceso de invitación abierta o cerrada según se determine. </w:t>
            </w:r>
          </w:p>
          <w:p w14:paraId="5E367F72" w14:textId="77777777" w:rsidR="00C13AAF" w:rsidRPr="00DB0CA5"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Parágrafo.</w:t>
            </w:r>
            <w:r w:rsidRPr="00DB0CA5">
              <w:rPr>
                <w:rFonts w:ascii="Verdana" w:eastAsia="Arial" w:hAnsi="Verdana" w:cs="Arial"/>
                <w:sz w:val="18"/>
                <w:szCs w:val="18"/>
              </w:rPr>
              <w:t xml:space="preserve"> Las reglas para la ejecución de cada una de las modalidades de selección a que se refiere el presente </w:t>
            </w:r>
            <w:proofErr w:type="gramStart"/>
            <w:r w:rsidRPr="00DB0CA5">
              <w:rPr>
                <w:rFonts w:ascii="Verdana" w:eastAsia="Arial" w:hAnsi="Verdana" w:cs="Arial"/>
                <w:sz w:val="18"/>
                <w:szCs w:val="18"/>
              </w:rPr>
              <w:t>artículo,</w:t>
            </w:r>
            <w:proofErr w:type="gramEnd"/>
            <w:r w:rsidRPr="00DB0CA5">
              <w:rPr>
                <w:rFonts w:ascii="Verdana" w:eastAsia="Arial" w:hAnsi="Verdana" w:cs="Arial"/>
                <w:b/>
                <w:sz w:val="18"/>
                <w:szCs w:val="18"/>
              </w:rPr>
              <w:t xml:space="preserve"> </w:t>
            </w:r>
            <w:r w:rsidRPr="00DB0CA5">
              <w:rPr>
                <w:rFonts w:ascii="Verdana" w:eastAsia="Arial" w:hAnsi="Verdana" w:cs="Arial"/>
                <w:sz w:val="18"/>
                <w:szCs w:val="18"/>
              </w:rPr>
              <w:t>estarán señaladas en el Manual de Contratación que adopte el Fondo.</w:t>
            </w:r>
            <w:r w:rsidRPr="00DB0CA5">
              <w:rPr>
                <w:rFonts w:ascii="Verdana" w:eastAsia="Arial" w:hAnsi="Verdana" w:cs="Arial"/>
                <w:b/>
                <w:sz w:val="18"/>
                <w:szCs w:val="18"/>
              </w:rPr>
              <w:t> </w:t>
            </w:r>
          </w:p>
          <w:p w14:paraId="6BC42F3F" w14:textId="77777777" w:rsidR="00C13AAF" w:rsidRPr="00D72BB7"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(Art.2 Decreto 203 de 2015) </w:t>
            </w:r>
          </w:p>
        </w:tc>
        <w:tc>
          <w:tcPr>
            <w:tcW w:w="1276" w:type="dxa"/>
          </w:tcPr>
          <w:p w14:paraId="6055873C" w14:textId="77777777" w:rsidR="00C13AAF" w:rsidRPr="00D72BB7" w:rsidRDefault="00C13AAF" w:rsidP="000F2D28">
            <w:pPr>
              <w:snapToGrid w:val="0"/>
              <w:contextualSpacing/>
              <w:jc w:val="both"/>
              <w:rPr>
                <w:rFonts w:ascii="Verdana" w:eastAsia="Arial" w:hAnsi="Verdana" w:cs="Arial"/>
                <w:b/>
                <w:bCs/>
                <w:sz w:val="18"/>
                <w:szCs w:val="18"/>
                <w:lang w:val="es-ES"/>
              </w:rPr>
            </w:pPr>
            <w:r w:rsidRPr="00D72BB7">
              <w:rPr>
                <w:rFonts w:ascii="Verdana" w:eastAsia="Arial" w:hAnsi="Verdana" w:cs="Arial"/>
                <w:b/>
                <w:bCs/>
                <w:sz w:val="18"/>
                <w:szCs w:val="18"/>
                <w:lang w:val="es-ES"/>
              </w:rPr>
              <w:lastRenderedPageBreak/>
              <w:t>26 de mayo de 2015</w:t>
            </w:r>
          </w:p>
        </w:tc>
      </w:tr>
      <w:tr w:rsidR="00C13AAF" w:rsidRPr="006D2D7E" w14:paraId="668AAC5A" w14:textId="77777777" w:rsidTr="000F2D28">
        <w:tc>
          <w:tcPr>
            <w:tcW w:w="1702" w:type="dxa"/>
          </w:tcPr>
          <w:p w14:paraId="33377D36" w14:textId="77777777" w:rsidR="00C13AAF" w:rsidRPr="006D2D7E" w:rsidRDefault="00C13AAF" w:rsidP="000F2D28">
            <w:pPr>
              <w:snapToGrid w:val="0"/>
              <w:contextualSpacing/>
              <w:jc w:val="both"/>
              <w:rPr>
                <w:rFonts w:ascii="Verdana" w:eastAsia="Arial" w:hAnsi="Verdana" w:cs="Arial"/>
                <w:b/>
                <w:sz w:val="18"/>
                <w:szCs w:val="18"/>
              </w:rPr>
            </w:pPr>
            <w:r w:rsidRPr="006D2D7E">
              <w:rPr>
                <w:rFonts w:ascii="Verdana" w:eastAsia="Arial" w:hAnsi="Verdana" w:cs="Arial"/>
                <w:b/>
                <w:sz w:val="18"/>
                <w:szCs w:val="18"/>
              </w:rPr>
              <w:t xml:space="preserve">Ley 1753 </w:t>
            </w:r>
            <w:r>
              <w:rPr>
                <w:rFonts w:ascii="Verdana" w:eastAsia="Arial" w:hAnsi="Verdana" w:cs="Arial"/>
                <w:b/>
                <w:sz w:val="18"/>
                <w:szCs w:val="18"/>
              </w:rPr>
              <w:t>de 2015</w:t>
            </w:r>
          </w:p>
        </w:tc>
        <w:tc>
          <w:tcPr>
            <w:tcW w:w="6520" w:type="dxa"/>
          </w:tcPr>
          <w:p w14:paraId="72CB5A7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A</w:t>
            </w:r>
            <w:r w:rsidRPr="00D72BB7">
              <w:rPr>
                <w:rFonts w:ascii="Verdana" w:eastAsia="Arial" w:hAnsi="Verdana" w:cs="Arial"/>
                <w:b/>
                <w:sz w:val="18"/>
                <w:szCs w:val="18"/>
              </w:rPr>
              <w:t>rtículo</w:t>
            </w:r>
            <w:r w:rsidRPr="00DB0CA5">
              <w:rPr>
                <w:rFonts w:ascii="Verdana" w:eastAsia="Arial" w:hAnsi="Verdana" w:cs="Arial"/>
                <w:b/>
                <w:sz w:val="18"/>
                <w:szCs w:val="18"/>
              </w:rPr>
              <w:t xml:space="preserve"> 155.</w:t>
            </w:r>
            <w:r w:rsidRPr="00DB0CA5">
              <w:rPr>
                <w:rFonts w:ascii="Verdana" w:eastAsia="Arial" w:hAnsi="Verdana" w:cs="Arial"/>
                <w:sz w:val="18"/>
                <w:szCs w:val="18"/>
              </w:rPr>
              <w:t xml:space="preserve"> El Fondo Adaptación, creado mediante Decreto-</w:t>
            </w:r>
            <w:r w:rsidRPr="00D72BB7">
              <w:rPr>
                <w:rFonts w:ascii="Verdana" w:eastAsia="Arial" w:hAnsi="Verdana" w:cs="Arial"/>
                <w:sz w:val="18"/>
                <w:szCs w:val="18"/>
              </w:rPr>
              <w:t>L</w:t>
            </w:r>
            <w:r w:rsidRPr="00DB0CA5">
              <w:rPr>
                <w:rFonts w:ascii="Verdana" w:eastAsia="Arial" w:hAnsi="Verdana" w:cs="Arial"/>
                <w:sz w:val="18"/>
                <w:szCs w:val="18"/>
              </w:rPr>
              <w:t>ey </w:t>
            </w:r>
            <w:hyperlink r:id="rId30" w:anchor="INICIO" w:history="1">
              <w:r w:rsidRPr="00DB0CA5">
                <w:rPr>
                  <w:rFonts w:ascii="Verdana" w:hAnsi="Verdana"/>
                  <w:sz w:val="18"/>
                  <w:szCs w:val="18"/>
                </w:rPr>
                <w:t>4819</w:t>
              </w:r>
            </w:hyperlink>
            <w:r w:rsidRPr="00DB0CA5">
              <w:rPr>
                <w:rFonts w:ascii="Verdana" w:eastAsia="Arial" w:hAnsi="Verdana" w:cs="Arial"/>
                <w:sz w:val="18"/>
                <w:szCs w:val="18"/>
              </w:rPr>
              <w:t> de 2010, hará parte del Sistema Nacional de Gestión del Riesgo de Desastres en los términos de la Ley </w:t>
            </w:r>
            <w:hyperlink r:id="rId31" w:anchor="INICIO" w:history="1">
              <w:r w:rsidRPr="00DB0CA5">
                <w:rPr>
                  <w:rFonts w:ascii="Verdana" w:hAnsi="Verdana"/>
                  <w:sz w:val="18"/>
                  <w:szCs w:val="18"/>
                </w:rPr>
                <w:t>1523</w:t>
              </w:r>
            </w:hyperlink>
            <w:r w:rsidRPr="00DB0CA5">
              <w:rPr>
                <w:rFonts w:ascii="Verdana" w:eastAsia="Arial" w:hAnsi="Verdana" w:cs="Arial"/>
                <w:sz w:val="18"/>
                <w:szCs w:val="18"/>
              </w:rPr>
              <w:t> de 2012.</w:t>
            </w:r>
          </w:p>
          <w:p w14:paraId="7E5A0C2C"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Los contratos para la construcción y reconstrucción necesarios para la superación de los efectos derivados de la ocurrencia de desastres naturales a cargo del Fondo Adaptación, y en general todos aquellos necesarios para la ejecución de estas actividades, se regirán por el derecho privado. Lo anterior, con plena observancia de lo dispuesto en el artículo </w:t>
            </w:r>
            <w:hyperlink r:id="rId32" w:anchor="13" w:history="1">
              <w:r w:rsidRPr="00DB0CA5">
                <w:rPr>
                  <w:rFonts w:ascii="Verdana" w:hAnsi="Verdana"/>
                  <w:sz w:val="18"/>
                  <w:szCs w:val="18"/>
                </w:rPr>
                <w:t>13</w:t>
              </w:r>
            </w:hyperlink>
            <w:r w:rsidRPr="00DB0CA5">
              <w:rPr>
                <w:rFonts w:ascii="Verdana" w:eastAsia="Arial" w:hAnsi="Verdana" w:cs="Arial"/>
                <w:sz w:val="18"/>
                <w:szCs w:val="18"/>
              </w:rPr>
              <w:t> de la Ley 1150 de 2007, sin perjuicio de la facultad de incluir las cláusulas excepcionales a que se refieren los artículos </w:t>
            </w:r>
            <w:hyperlink r:id="rId33" w:anchor="14" w:history="1">
              <w:r w:rsidRPr="00DB0CA5">
                <w:rPr>
                  <w:rFonts w:ascii="Verdana" w:hAnsi="Verdana"/>
                  <w:sz w:val="18"/>
                  <w:szCs w:val="18"/>
                </w:rPr>
                <w:t>14</w:t>
              </w:r>
            </w:hyperlink>
            <w:r w:rsidRPr="00DB0CA5">
              <w:rPr>
                <w:rFonts w:ascii="Verdana" w:eastAsia="Arial" w:hAnsi="Verdana" w:cs="Arial"/>
                <w:sz w:val="18"/>
                <w:szCs w:val="18"/>
              </w:rPr>
              <w:t> a </w:t>
            </w:r>
            <w:hyperlink r:id="rId34" w:anchor="18" w:history="1">
              <w:r w:rsidRPr="00DB0CA5">
                <w:rPr>
                  <w:rFonts w:ascii="Verdana" w:hAnsi="Verdana"/>
                  <w:sz w:val="18"/>
                  <w:szCs w:val="18"/>
                </w:rPr>
                <w:t>18</w:t>
              </w:r>
            </w:hyperlink>
            <w:r w:rsidRPr="00DB0CA5">
              <w:rPr>
                <w:rFonts w:ascii="Verdana" w:eastAsia="Arial" w:hAnsi="Verdana" w:cs="Arial"/>
                <w:sz w:val="18"/>
                <w:szCs w:val="18"/>
              </w:rPr>
              <w:t> de la Ley 80 de 1993 y de aplicar lo dispuesto en el artículo </w:t>
            </w:r>
            <w:hyperlink r:id="rId35" w:anchor="17" w:history="1">
              <w:r w:rsidRPr="00DB0CA5">
                <w:rPr>
                  <w:rFonts w:ascii="Verdana" w:hAnsi="Verdana"/>
                  <w:sz w:val="18"/>
                  <w:szCs w:val="18"/>
                </w:rPr>
                <w:t>17</w:t>
              </w:r>
            </w:hyperlink>
            <w:r w:rsidRPr="00DB0CA5">
              <w:rPr>
                <w:rFonts w:ascii="Verdana" w:eastAsia="Arial" w:hAnsi="Verdana" w:cs="Arial"/>
                <w:sz w:val="18"/>
                <w:szCs w:val="18"/>
              </w:rPr>
              <w:t xml:space="preserve"> de la Ley 1150 de 2007. La excepción a la aplicación del Estatuto General de Contratación Pública para los contratos a que se refiere el presente </w:t>
            </w:r>
            <w:proofErr w:type="gramStart"/>
            <w:r w:rsidRPr="00DB0CA5">
              <w:rPr>
                <w:rFonts w:ascii="Verdana" w:eastAsia="Arial" w:hAnsi="Verdana" w:cs="Arial"/>
                <w:sz w:val="18"/>
                <w:szCs w:val="18"/>
              </w:rPr>
              <w:t>inciso,</w:t>
            </w:r>
            <w:proofErr w:type="gramEnd"/>
            <w:r w:rsidRPr="00DB0CA5">
              <w:rPr>
                <w:rFonts w:ascii="Verdana" w:eastAsia="Arial" w:hAnsi="Verdana" w:cs="Arial"/>
                <w:sz w:val="18"/>
                <w:szCs w:val="18"/>
              </w:rPr>
              <w:t xml:space="preserve"> estará vigente hasta el 31 de diciembre de 2018.</w:t>
            </w:r>
          </w:p>
          <w:p w14:paraId="5F91F3E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El Fondo Adaptación podrá estructurar y ejecutar proyectos integrales de reducción del riesgo y adaptación al cambio climático, en el marco </w:t>
            </w:r>
            <w:r w:rsidRPr="00DB0CA5">
              <w:rPr>
                <w:rFonts w:ascii="Verdana" w:eastAsia="Arial" w:hAnsi="Verdana" w:cs="Arial"/>
                <w:sz w:val="18"/>
                <w:szCs w:val="18"/>
              </w:rPr>
              <w:lastRenderedPageBreak/>
              <w:t>del Sistema Nacional de Gestión del Riesgo de Desastres y en coordinación con los respectivos sectores, además de los que se deriven del fenómeno de la Niña 2010-2011, con el propósito de fortalecer las competencias del Sistema y contribuir a la reducción de la vulnerabilidad fiscal del Estado.</w:t>
            </w:r>
          </w:p>
          <w:p w14:paraId="7D4627B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Parágrafo.</w:t>
            </w:r>
            <w:r w:rsidRPr="00DB0CA5">
              <w:rPr>
                <w:rFonts w:ascii="Verdana" w:eastAsia="Arial" w:hAnsi="Verdana" w:cs="Arial"/>
                <w:sz w:val="18"/>
                <w:szCs w:val="18"/>
              </w:rPr>
              <w:t xml:space="preserve"> Será responsabilidad de las entidades del orden nacional y territorial beneficiarias de los proyectos a cargo del Fondo Adaptación, garantizar su sostenibilidad y la puesta en marcha de los mecanismos técnicos, financieros y operacionales necesarios para su adecuada implementación.</w:t>
            </w:r>
          </w:p>
          <w:p w14:paraId="076DEEE0" w14:textId="77777777" w:rsidR="00C13AAF" w:rsidRPr="00D72BB7" w:rsidRDefault="00C13AAF" w:rsidP="000F2D28">
            <w:pPr>
              <w:snapToGrid w:val="0"/>
              <w:contextualSpacing/>
              <w:jc w:val="both"/>
              <w:rPr>
                <w:rFonts w:ascii="Verdana" w:eastAsia="Arial" w:hAnsi="Verdana" w:cs="Arial"/>
                <w:sz w:val="18"/>
                <w:szCs w:val="18"/>
              </w:rPr>
            </w:pPr>
          </w:p>
        </w:tc>
        <w:tc>
          <w:tcPr>
            <w:tcW w:w="1276" w:type="dxa"/>
          </w:tcPr>
          <w:p w14:paraId="1F71A9C5" w14:textId="77777777" w:rsidR="00C13AAF" w:rsidRPr="00D72BB7" w:rsidRDefault="00C13AAF" w:rsidP="000F2D28">
            <w:pPr>
              <w:snapToGrid w:val="0"/>
              <w:contextualSpacing/>
              <w:jc w:val="both"/>
              <w:rPr>
                <w:rFonts w:ascii="Verdana" w:eastAsia="Arial" w:hAnsi="Verdana" w:cs="Arial"/>
                <w:b/>
                <w:bCs/>
                <w:sz w:val="18"/>
                <w:szCs w:val="18"/>
                <w:lang w:val="es-ES"/>
              </w:rPr>
            </w:pPr>
            <w:r w:rsidRPr="00D72BB7">
              <w:rPr>
                <w:rFonts w:ascii="Verdana" w:eastAsia="Arial" w:hAnsi="Verdana" w:cs="Arial"/>
                <w:b/>
                <w:bCs/>
                <w:sz w:val="18"/>
                <w:szCs w:val="18"/>
                <w:lang w:val="es-ES"/>
              </w:rPr>
              <w:lastRenderedPageBreak/>
              <w:t>9 de junio de 2015</w:t>
            </w:r>
          </w:p>
        </w:tc>
      </w:tr>
      <w:tr w:rsidR="00C13AAF" w:rsidRPr="006D2D7E" w14:paraId="76B03ECB" w14:textId="77777777" w:rsidTr="000F2D28">
        <w:tc>
          <w:tcPr>
            <w:tcW w:w="1702" w:type="dxa"/>
          </w:tcPr>
          <w:p w14:paraId="7102E4F7" w14:textId="77777777" w:rsidR="00C13AAF" w:rsidRPr="00DB0CA5" w:rsidRDefault="00C13AAF" w:rsidP="000F2D28">
            <w:pPr>
              <w:snapToGrid w:val="0"/>
              <w:contextualSpacing/>
              <w:jc w:val="both"/>
              <w:rPr>
                <w:rFonts w:ascii="Verdana" w:eastAsia="Arial" w:hAnsi="Verdana" w:cs="Arial"/>
                <w:b/>
                <w:sz w:val="18"/>
                <w:szCs w:val="18"/>
              </w:rPr>
            </w:pPr>
            <w:r>
              <w:rPr>
                <w:rFonts w:ascii="Verdana" w:eastAsia="Arial" w:hAnsi="Verdana" w:cs="Arial"/>
                <w:b/>
                <w:sz w:val="18"/>
                <w:szCs w:val="18"/>
              </w:rPr>
              <w:t>D</w:t>
            </w:r>
            <w:r w:rsidRPr="00DB0CA5">
              <w:rPr>
                <w:rFonts w:ascii="Verdana" w:eastAsia="Arial" w:hAnsi="Verdana" w:cs="Arial"/>
                <w:b/>
                <w:sz w:val="18"/>
                <w:szCs w:val="18"/>
              </w:rPr>
              <w:t>ecreto 2387 de 2015</w:t>
            </w:r>
          </w:p>
          <w:p w14:paraId="1716C3A1" w14:textId="77777777" w:rsidR="00C13AAF" w:rsidRPr="00DB0CA5"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 </w:t>
            </w:r>
          </w:p>
          <w:p w14:paraId="5F5BC08B" w14:textId="77777777" w:rsidR="00C13AAF" w:rsidRPr="006D2D7E" w:rsidRDefault="00C13AAF" w:rsidP="000F2D28">
            <w:pPr>
              <w:snapToGrid w:val="0"/>
              <w:contextualSpacing/>
              <w:jc w:val="both"/>
              <w:rPr>
                <w:rFonts w:ascii="Verdana" w:eastAsia="Arial" w:hAnsi="Verdana" w:cs="Arial"/>
                <w:b/>
                <w:i/>
                <w:sz w:val="18"/>
                <w:szCs w:val="18"/>
              </w:rPr>
            </w:pPr>
            <w:r>
              <w:rPr>
                <w:rFonts w:ascii="Verdana" w:eastAsia="Arial" w:hAnsi="Verdana" w:cs="Arial"/>
                <w:sz w:val="18"/>
                <w:szCs w:val="18"/>
              </w:rPr>
              <w:t>“</w:t>
            </w:r>
            <w:r w:rsidRPr="00DB0CA5">
              <w:rPr>
                <w:rFonts w:ascii="Verdana" w:eastAsia="Arial" w:hAnsi="Verdana" w:cs="Arial"/>
                <w:sz w:val="18"/>
                <w:szCs w:val="18"/>
              </w:rPr>
              <w:t>Por el cual se</w:t>
            </w:r>
            <w:r w:rsidRPr="00DB0CA5">
              <w:rPr>
                <w:rFonts w:ascii="Verdana" w:eastAsia="Arial" w:hAnsi="Verdana" w:cs="Arial"/>
                <w:b/>
                <w:i/>
                <w:sz w:val="18"/>
                <w:szCs w:val="18"/>
              </w:rPr>
              <w:t xml:space="preserve"> </w:t>
            </w:r>
            <w:r w:rsidRPr="00DB0CA5">
              <w:rPr>
                <w:rFonts w:ascii="Verdana" w:eastAsia="Arial" w:hAnsi="Verdana" w:cs="Arial"/>
                <w:sz w:val="18"/>
                <w:szCs w:val="18"/>
              </w:rPr>
              <w:t>modifica y adiciona el Título </w:t>
            </w:r>
            <w:r>
              <w:rPr>
                <w:rFonts w:ascii="Verdana" w:eastAsia="Arial" w:hAnsi="Verdana" w:cs="Arial"/>
                <w:sz w:val="18"/>
                <w:szCs w:val="18"/>
              </w:rPr>
              <w:t xml:space="preserve">I </w:t>
            </w:r>
            <w:r w:rsidRPr="00DB0CA5">
              <w:rPr>
                <w:rFonts w:ascii="Verdana" w:eastAsia="Arial" w:hAnsi="Verdana" w:cs="Arial"/>
                <w:sz w:val="18"/>
                <w:szCs w:val="18"/>
              </w:rPr>
              <w:t>de la Parte 13 del Libro 2 del Decreto 1068 de 2015, Decreto Único</w:t>
            </w:r>
            <w:r>
              <w:rPr>
                <w:rFonts w:ascii="Verdana" w:eastAsia="Arial" w:hAnsi="Verdana" w:cs="Arial"/>
                <w:sz w:val="18"/>
                <w:szCs w:val="18"/>
              </w:rPr>
              <w:t xml:space="preserve"> </w:t>
            </w:r>
            <w:r w:rsidRPr="00DB0CA5">
              <w:rPr>
                <w:rFonts w:ascii="Verdana" w:eastAsia="Arial" w:hAnsi="Verdana" w:cs="Arial"/>
                <w:sz w:val="18"/>
                <w:szCs w:val="18"/>
              </w:rPr>
              <w:t>Reglamentario del Sector Hacienda y Crédito Público, en lo relacionado con el régimen de contratación del Fondo Adaptación</w:t>
            </w:r>
            <w:r>
              <w:rPr>
                <w:rFonts w:ascii="Verdana" w:eastAsia="Arial" w:hAnsi="Verdana" w:cs="Arial"/>
                <w:sz w:val="18"/>
                <w:szCs w:val="18"/>
              </w:rPr>
              <w:t>”</w:t>
            </w:r>
          </w:p>
          <w:p w14:paraId="5DF67228" w14:textId="77777777" w:rsidR="00C13AAF" w:rsidRPr="00DB0CA5" w:rsidRDefault="00C13AAF" w:rsidP="000F2D28">
            <w:pPr>
              <w:snapToGrid w:val="0"/>
              <w:contextualSpacing/>
              <w:jc w:val="both"/>
              <w:rPr>
                <w:rFonts w:ascii="Verdana" w:eastAsia="Arial" w:hAnsi="Verdana" w:cs="Arial"/>
                <w:b/>
                <w:sz w:val="18"/>
                <w:szCs w:val="18"/>
              </w:rPr>
            </w:pPr>
            <w:r>
              <w:rPr>
                <w:rFonts w:ascii="Verdana" w:eastAsia="Arial" w:hAnsi="Verdana" w:cs="Arial"/>
                <w:b/>
                <w:bCs/>
                <w:sz w:val="18"/>
                <w:szCs w:val="18"/>
              </w:rPr>
              <w:t>D</w:t>
            </w:r>
            <w:r w:rsidRPr="006D2D7E">
              <w:rPr>
                <w:rFonts w:ascii="Verdana" w:eastAsia="Arial" w:hAnsi="Verdana" w:cs="Arial"/>
                <w:b/>
                <w:bCs/>
                <w:sz w:val="18"/>
                <w:szCs w:val="18"/>
              </w:rPr>
              <w:t>eroga el Decreto 203 de 2015</w:t>
            </w:r>
          </w:p>
          <w:p w14:paraId="52864451" w14:textId="77777777" w:rsidR="00C13AAF" w:rsidRPr="006D2D7E" w:rsidRDefault="00C13AAF" w:rsidP="000F2D28">
            <w:pPr>
              <w:snapToGrid w:val="0"/>
              <w:contextualSpacing/>
              <w:jc w:val="both"/>
              <w:rPr>
                <w:rFonts w:ascii="Verdana" w:eastAsia="Arial" w:hAnsi="Verdana" w:cs="Arial"/>
                <w:b/>
                <w:sz w:val="18"/>
                <w:szCs w:val="18"/>
              </w:rPr>
            </w:pPr>
          </w:p>
        </w:tc>
        <w:tc>
          <w:tcPr>
            <w:tcW w:w="6520" w:type="dxa"/>
          </w:tcPr>
          <w:p w14:paraId="03F7C4D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 Artículo 2º. </w:t>
            </w:r>
            <w:r w:rsidRPr="00DB0CA5">
              <w:rPr>
                <w:rFonts w:ascii="Verdana" w:eastAsia="Arial" w:hAnsi="Verdana" w:cs="Arial"/>
                <w:sz w:val="18"/>
                <w:szCs w:val="18"/>
              </w:rPr>
              <w:t>El artículo 2.13.1.2 del Decreto 1068 de 2015, quedará así:</w:t>
            </w:r>
          </w:p>
          <w:p w14:paraId="53468D9F"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w:t>
            </w:r>
            <w:r w:rsidRPr="00DB0CA5">
              <w:rPr>
                <w:rFonts w:ascii="Verdana" w:eastAsia="Arial" w:hAnsi="Verdana" w:cs="Arial"/>
                <w:b/>
                <w:sz w:val="18"/>
                <w:szCs w:val="18"/>
              </w:rPr>
              <w:t>Artículo 2.13.1.2. </w:t>
            </w:r>
            <w:r w:rsidRPr="00DB0CA5">
              <w:rPr>
                <w:rFonts w:ascii="Verdana" w:eastAsia="Arial" w:hAnsi="Verdana" w:cs="Arial"/>
                <w:b/>
                <w:i/>
                <w:sz w:val="18"/>
                <w:szCs w:val="18"/>
              </w:rPr>
              <w:t>Modalidades de selección.</w:t>
            </w:r>
            <w:r w:rsidRPr="00DB0CA5">
              <w:rPr>
                <w:rFonts w:ascii="Verdana" w:eastAsia="Arial" w:hAnsi="Verdana" w:cs="Arial"/>
                <w:sz w:val="18"/>
                <w:szCs w:val="18"/>
              </w:rPr>
              <w:t> La escogencia del contratista se efectuará con arreglo a las modalidades de selección de Invitación Abierta, Invitación Cerrada y Contratación Directa, con base en las siguientes reglas:</w:t>
            </w:r>
          </w:p>
          <w:p w14:paraId="54B3E4BA"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1. Invitación Abierta: </w:t>
            </w:r>
            <w:r w:rsidRPr="00DB0CA5">
              <w:rPr>
                <w:rFonts w:ascii="Verdana" w:eastAsia="Arial" w:hAnsi="Verdana" w:cs="Arial"/>
                <w:sz w:val="18"/>
                <w:szCs w:val="18"/>
              </w:rPr>
              <w:t>Modalidad de selección mediante la cual el Fondo Adaptación formulará invitación pública para que todos aquellos interesados en participar presenten sus ofertas y, entre ellas, seleccionará objetivamente la más favorable a los fines e intereses de la Entidad.</w:t>
            </w:r>
          </w:p>
          <w:p w14:paraId="145A96DA"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Corresponde a la modalidad de selección prevista para aquellos casos en que el monto de la contratación sea igual o superior a 132.000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w:t>
            </w:r>
          </w:p>
          <w:p w14:paraId="7259F685"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Esta modalidad podrá estar precedida de una precalificación de interesados, en las condiciones que definan los términos de condiciones contractuales.</w:t>
            </w:r>
          </w:p>
          <w:p w14:paraId="0053378B"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2. Invitación Cerrada: </w:t>
            </w:r>
            <w:r w:rsidRPr="00DB0CA5">
              <w:rPr>
                <w:rFonts w:ascii="Verdana" w:eastAsia="Arial" w:hAnsi="Verdana" w:cs="Arial"/>
                <w:sz w:val="18"/>
                <w:szCs w:val="18"/>
              </w:rPr>
              <w:t>Modalidad de selección objetiva mediante la cual el Fondo Adaptación, previa definición del presupuesto y de los requerimientos financieros y de experiencia requeridos para la ejecución del futuro contrato, formulará invitación a presentar oferta a mínimo dos (2) oferentes, mediante la aplicación de criterios objetivos previamente determinados, seleccionará entre ellos el ofrecimiento más favorable a los intereses de la entidad.</w:t>
            </w:r>
          </w:p>
          <w:p w14:paraId="13868047"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Esta modalidad será aplicable para los contratos cuyo valor sea superior a 1.000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 xml:space="preserve"> e inferior a 132.000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w:t>
            </w:r>
          </w:p>
          <w:p w14:paraId="29F3E0CA"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Esta modalidad podrá estar precedida de manifestaciones de interés, en las condiciones que defina la entidad.</w:t>
            </w:r>
          </w:p>
          <w:p w14:paraId="0C0361AF"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3. Contratación Directa: </w:t>
            </w:r>
            <w:r w:rsidRPr="00DB0CA5">
              <w:rPr>
                <w:rFonts w:ascii="Verdana" w:eastAsia="Arial" w:hAnsi="Verdana" w:cs="Arial"/>
                <w:sz w:val="18"/>
                <w:szCs w:val="18"/>
              </w:rPr>
              <w:t>Modalidad mediante la cual el Fondo Adaptación contratará de manera directa al contratista, en los siguientes eventos:</w:t>
            </w:r>
          </w:p>
          <w:p w14:paraId="78C73A62"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a) Contratos cuya cuantía sea igual o inferior a 1.000 </w:t>
            </w:r>
            <w:proofErr w:type="spellStart"/>
            <w:r w:rsidRPr="00DB0CA5">
              <w:rPr>
                <w:rFonts w:ascii="Verdana" w:eastAsia="Arial" w:hAnsi="Verdana" w:cs="Arial"/>
                <w:sz w:val="18"/>
                <w:szCs w:val="18"/>
              </w:rPr>
              <w:t>smlmv</w:t>
            </w:r>
            <w:proofErr w:type="spellEnd"/>
            <w:r w:rsidRPr="00DB0CA5">
              <w:rPr>
                <w:rFonts w:ascii="Verdana" w:eastAsia="Arial" w:hAnsi="Verdana" w:cs="Arial"/>
                <w:sz w:val="18"/>
                <w:szCs w:val="18"/>
              </w:rPr>
              <w:t>.</w:t>
            </w:r>
          </w:p>
          <w:p w14:paraId="0E17AA3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b) Contratos o Convenios que se celebren con otras entidades públicas, siempre que el objeto de la entidad contratada tenga relación directa con el objeto a contratar.</w:t>
            </w:r>
          </w:p>
          <w:p w14:paraId="3CE9563F"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c) Contratos para el desarrollo de actividades científicas o tecnológicas.</w:t>
            </w:r>
          </w:p>
          <w:p w14:paraId="5E9E820E"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d) Contratos para la ejecución de actividades que puedan encomendarse a determinadas personas, en consideración a las calidades técnicas, de experiencia y amplio reconocimiento en el </w:t>
            </w:r>
            <w:r w:rsidRPr="00DB0CA5">
              <w:rPr>
                <w:rFonts w:ascii="Verdana" w:eastAsia="Arial" w:hAnsi="Verdana" w:cs="Arial"/>
                <w:sz w:val="18"/>
                <w:szCs w:val="18"/>
              </w:rPr>
              <w:lastRenderedPageBreak/>
              <w:t>mercado de la persona natural o jurídica a contratar debidamente justificada.</w:t>
            </w:r>
          </w:p>
          <w:p w14:paraId="01F044C2"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e) Contratos de prestación de servicios profesionales y los relacionados con actividades operativas, logísticas o asistenciales.</w:t>
            </w:r>
          </w:p>
          <w:p w14:paraId="798A68A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f) Contratos de Consultoría.</w:t>
            </w:r>
          </w:p>
          <w:p w14:paraId="4DDD5530"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g) Contratos para el desarrollo de actividades de acompañamiento social o para el desa</w:t>
            </w:r>
            <w:r w:rsidRPr="00DB0CA5">
              <w:rPr>
                <w:rFonts w:ascii="Verdana" w:eastAsia="Arial" w:hAnsi="Verdana" w:cs="Arial"/>
                <w:sz w:val="18"/>
                <w:szCs w:val="18"/>
              </w:rPr>
              <w:softHyphen/>
              <w:t>rrollo de proyectos de reactivación socioeconómica en los territorios objeto de intervención.</w:t>
            </w:r>
          </w:p>
          <w:p w14:paraId="3F19FBB6"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 xml:space="preserve">h) </w:t>
            </w:r>
            <w:r w:rsidRPr="00DB0CA5">
              <w:rPr>
                <w:rFonts w:ascii="Verdana" w:eastAsia="Arial" w:hAnsi="Verdana" w:cs="Arial"/>
                <w:i/>
                <w:sz w:val="18"/>
                <w:szCs w:val="18"/>
              </w:rPr>
              <w:t>Contratos para proveer soluciones de vivienda.</w:t>
            </w:r>
          </w:p>
          <w:p w14:paraId="62DA56D2"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i) Contratos de arrendamiento, comodato y adquisición de bienes inmuebles.</w:t>
            </w:r>
          </w:p>
          <w:p w14:paraId="6D41B118"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j) Cuando el estudio de mercado demuestre que solo hay una persona con capacidad para proveer el bien o servicio, por ser el titular o representante de los derechos de propiedad industrial, propiedad intelectual o de los derechos de autor o por ser, de acuerdo con la ley, su proveedor exclusivo.</w:t>
            </w:r>
          </w:p>
          <w:p w14:paraId="0C33DAC3"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sz w:val="18"/>
                <w:szCs w:val="18"/>
              </w:rPr>
              <w:t>k) Cuando no se presente propuesta alguna o se declare fallida la invitación abierta o la cerrada.</w:t>
            </w:r>
          </w:p>
          <w:p w14:paraId="3C5C13D4" w14:textId="77777777" w:rsidR="00C13AAF" w:rsidRPr="00DB0CA5" w:rsidRDefault="00C13AAF" w:rsidP="000F2D28">
            <w:pPr>
              <w:snapToGrid w:val="0"/>
              <w:contextualSpacing/>
              <w:jc w:val="both"/>
              <w:rPr>
                <w:rFonts w:ascii="Verdana" w:eastAsia="Arial" w:hAnsi="Verdana" w:cs="Arial"/>
                <w:sz w:val="18"/>
                <w:szCs w:val="18"/>
              </w:rPr>
            </w:pPr>
            <w:r w:rsidRPr="00DB0CA5">
              <w:rPr>
                <w:rFonts w:ascii="Verdana" w:eastAsia="Arial" w:hAnsi="Verdana" w:cs="Arial"/>
                <w:b/>
                <w:sz w:val="18"/>
                <w:szCs w:val="18"/>
              </w:rPr>
              <w:t>Parágrafo 1°. </w:t>
            </w:r>
            <w:r w:rsidRPr="00DB0CA5">
              <w:rPr>
                <w:rFonts w:ascii="Verdana" w:eastAsia="Arial" w:hAnsi="Verdana" w:cs="Arial"/>
                <w:sz w:val="18"/>
                <w:szCs w:val="18"/>
              </w:rPr>
              <w:t>Sin perjuicio de las causales definidas en el numeral 3 del presente artículo, en aquellos casos en que por las características del objeto a contratar se considere conve</w:t>
            </w:r>
            <w:r w:rsidRPr="00DB0CA5">
              <w:rPr>
                <w:rFonts w:ascii="Verdana" w:eastAsia="Arial" w:hAnsi="Verdana" w:cs="Arial"/>
                <w:sz w:val="18"/>
                <w:szCs w:val="18"/>
              </w:rPr>
              <w:softHyphen/>
              <w:t>niente, se podrá adelantar un proceso de invitación abierta o cerrada según se determine.</w:t>
            </w:r>
          </w:p>
          <w:p w14:paraId="33716D34" w14:textId="77777777" w:rsidR="00C13AAF" w:rsidRPr="00D72BB7" w:rsidRDefault="00C13AAF" w:rsidP="000F2D28">
            <w:pPr>
              <w:snapToGrid w:val="0"/>
              <w:contextualSpacing/>
              <w:jc w:val="both"/>
              <w:rPr>
                <w:rFonts w:ascii="Verdana" w:eastAsia="Arial" w:hAnsi="Verdana" w:cs="Arial"/>
                <w:b/>
                <w:sz w:val="18"/>
                <w:szCs w:val="18"/>
              </w:rPr>
            </w:pPr>
            <w:r w:rsidRPr="00DB0CA5">
              <w:rPr>
                <w:rFonts w:ascii="Verdana" w:eastAsia="Arial" w:hAnsi="Verdana" w:cs="Arial"/>
                <w:b/>
                <w:sz w:val="18"/>
                <w:szCs w:val="18"/>
              </w:rPr>
              <w:t>Parágrafo 2º. </w:t>
            </w:r>
            <w:r w:rsidRPr="00DB0CA5">
              <w:rPr>
                <w:rFonts w:ascii="Verdana" w:eastAsia="Arial" w:hAnsi="Verdana" w:cs="Arial"/>
                <w:sz w:val="18"/>
                <w:szCs w:val="18"/>
              </w:rPr>
              <w:t xml:space="preserve">Las reglas para la ejecución de cada una de las modalidades de selección a que se refiere el presente </w:t>
            </w:r>
            <w:proofErr w:type="gramStart"/>
            <w:r w:rsidRPr="00DB0CA5">
              <w:rPr>
                <w:rFonts w:ascii="Verdana" w:eastAsia="Arial" w:hAnsi="Verdana" w:cs="Arial"/>
                <w:sz w:val="18"/>
                <w:szCs w:val="18"/>
              </w:rPr>
              <w:t>artículo,</w:t>
            </w:r>
            <w:proofErr w:type="gramEnd"/>
            <w:r w:rsidRPr="00DB0CA5">
              <w:rPr>
                <w:rFonts w:ascii="Verdana" w:eastAsia="Arial" w:hAnsi="Verdana" w:cs="Arial"/>
                <w:sz w:val="18"/>
                <w:szCs w:val="18"/>
              </w:rPr>
              <w:t xml:space="preserve"> estarán señaladas en el Manual de Contratación que adopte el Fondo.</w:t>
            </w:r>
          </w:p>
        </w:tc>
        <w:tc>
          <w:tcPr>
            <w:tcW w:w="1276" w:type="dxa"/>
          </w:tcPr>
          <w:p w14:paraId="21773EC8" w14:textId="77777777" w:rsidR="00C13AAF" w:rsidRPr="00D72BB7" w:rsidRDefault="00C13AAF" w:rsidP="000F2D28">
            <w:pPr>
              <w:snapToGrid w:val="0"/>
              <w:contextualSpacing/>
              <w:rPr>
                <w:rFonts w:ascii="Verdana" w:eastAsia="Arial" w:hAnsi="Verdana" w:cs="Arial"/>
                <w:b/>
                <w:bCs/>
                <w:sz w:val="18"/>
                <w:szCs w:val="18"/>
                <w:lang w:val="es-ES"/>
              </w:rPr>
            </w:pPr>
            <w:r w:rsidRPr="00D72BB7">
              <w:rPr>
                <w:rFonts w:ascii="Verdana" w:eastAsia="Arial" w:hAnsi="Verdana" w:cs="Arial"/>
                <w:b/>
                <w:bCs/>
                <w:sz w:val="18"/>
                <w:szCs w:val="18"/>
                <w:lang w:val="es-ES"/>
              </w:rPr>
              <w:lastRenderedPageBreak/>
              <w:t>11 de diciembre de 2015</w:t>
            </w:r>
          </w:p>
        </w:tc>
      </w:tr>
      <w:tr w:rsidR="00C13AAF" w:rsidRPr="006D2D7E" w14:paraId="66A31E88" w14:textId="77777777" w:rsidTr="000F2D28">
        <w:tc>
          <w:tcPr>
            <w:tcW w:w="1702" w:type="dxa"/>
          </w:tcPr>
          <w:p w14:paraId="6265DE2A" w14:textId="77777777" w:rsidR="00C13AAF" w:rsidRPr="006D2D7E" w:rsidRDefault="00C13AAF" w:rsidP="000F2D28">
            <w:pPr>
              <w:snapToGrid w:val="0"/>
              <w:contextualSpacing/>
              <w:jc w:val="both"/>
              <w:rPr>
                <w:rFonts w:ascii="Verdana" w:eastAsia="Arial" w:hAnsi="Verdana" w:cs="Arial"/>
                <w:b/>
                <w:sz w:val="18"/>
                <w:szCs w:val="18"/>
              </w:rPr>
            </w:pPr>
            <w:r w:rsidRPr="006D2D7E">
              <w:rPr>
                <w:rFonts w:ascii="Verdana" w:eastAsia="Arial" w:hAnsi="Verdana" w:cs="Arial"/>
                <w:b/>
                <w:bCs/>
                <w:sz w:val="18"/>
                <w:szCs w:val="18"/>
              </w:rPr>
              <w:t>Ley 1955 de 2019</w:t>
            </w:r>
          </w:p>
        </w:tc>
        <w:tc>
          <w:tcPr>
            <w:tcW w:w="6520" w:type="dxa"/>
          </w:tcPr>
          <w:p w14:paraId="7908EB2A" w14:textId="77777777" w:rsidR="00C13AAF" w:rsidRPr="006D2D7E" w:rsidRDefault="00C13AAF" w:rsidP="000F2D28">
            <w:pPr>
              <w:snapToGrid w:val="0"/>
              <w:contextualSpacing/>
              <w:jc w:val="both"/>
              <w:rPr>
                <w:rFonts w:ascii="Verdana" w:eastAsia="Arial" w:hAnsi="Verdana" w:cs="Arial"/>
                <w:sz w:val="18"/>
                <w:szCs w:val="18"/>
              </w:rPr>
            </w:pPr>
            <w:r w:rsidRPr="00D72BB7">
              <w:rPr>
                <w:rFonts w:ascii="Verdana" w:eastAsia="Arial" w:hAnsi="Verdana" w:cs="Arial"/>
                <w:b/>
                <w:sz w:val="18"/>
                <w:szCs w:val="18"/>
              </w:rPr>
              <w:t>Artículo 46.</w:t>
            </w:r>
            <w:r>
              <w:rPr>
                <w:rFonts w:ascii="Verdana" w:eastAsia="Arial" w:hAnsi="Verdana" w:cs="Arial"/>
                <w:sz w:val="18"/>
                <w:szCs w:val="18"/>
              </w:rPr>
              <w:t xml:space="preserve"> </w:t>
            </w:r>
            <w:r w:rsidRPr="006D2D7E">
              <w:rPr>
                <w:rFonts w:ascii="Verdana" w:eastAsia="Arial" w:hAnsi="Verdana" w:cs="Arial"/>
                <w:sz w:val="18"/>
                <w:szCs w:val="18"/>
              </w:rPr>
              <w:t>El Fondo Adaptación, creado mediante Decreto-Ley </w:t>
            </w:r>
            <w:hyperlink r:id="rId36" w:anchor="Inicio" w:history="1">
              <w:r w:rsidRPr="006D2D7E">
                <w:rPr>
                  <w:rFonts w:ascii="Verdana" w:hAnsi="Verdana"/>
                  <w:sz w:val="18"/>
                  <w:szCs w:val="18"/>
                </w:rPr>
                <w:t>4819</w:t>
              </w:r>
            </w:hyperlink>
            <w:r w:rsidRPr="006D2D7E">
              <w:rPr>
                <w:rFonts w:ascii="Verdana" w:eastAsia="Arial" w:hAnsi="Verdana" w:cs="Arial"/>
                <w:sz w:val="18"/>
                <w:szCs w:val="18"/>
              </w:rPr>
              <w:t> de 2010, hará parte del Sistema Nacional de Gestión del Riesgo de Desastres en los términos de la Ley </w:t>
            </w:r>
            <w:hyperlink r:id="rId37" w:anchor="Inicio" w:history="1">
              <w:r w:rsidRPr="006D2D7E">
                <w:rPr>
                  <w:rFonts w:ascii="Verdana" w:hAnsi="Verdana"/>
                  <w:sz w:val="18"/>
                  <w:szCs w:val="18"/>
                </w:rPr>
                <w:t>1523</w:t>
              </w:r>
            </w:hyperlink>
            <w:r w:rsidRPr="006D2D7E">
              <w:rPr>
                <w:rFonts w:ascii="Verdana" w:eastAsia="Arial" w:hAnsi="Verdana" w:cs="Arial"/>
                <w:sz w:val="18"/>
                <w:szCs w:val="18"/>
              </w:rPr>
              <w:t> de 2012.</w:t>
            </w:r>
          </w:p>
          <w:p w14:paraId="66329867" w14:textId="77777777" w:rsidR="00C13AAF" w:rsidRPr="006D2D7E" w:rsidRDefault="00C13AAF" w:rsidP="000F2D28">
            <w:pPr>
              <w:snapToGrid w:val="0"/>
              <w:contextualSpacing/>
              <w:jc w:val="both"/>
              <w:rPr>
                <w:rFonts w:ascii="Verdana" w:eastAsia="Arial" w:hAnsi="Verdana" w:cs="Arial"/>
                <w:sz w:val="18"/>
                <w:szCs w:val="18"/>
              </w:rPr>
            </w:pPr>
            <w:r w:rsidRPr="006D2D7E">
              <w:rPr>
                <w:rFonts w:ascii="Verdana" w:eastAsia="Arial" w:hAnsi="Verdana" w:cs="Arial"/>
                <w:sz w:val="18"/>
                <w:szCs w:val="18"/>
              </w:rPr>
              <w:t xml:space="preserve">Los contratos que celebre el Fondo Adaptación para ejecutar los recursos destinados al programa de reducción de la vulnerabilidad fiscal ante desastres y riesgos </w:t>
            </w:r>
            <w:proofErr w:type="gramStart"/>
            <w:r w:rsidRPr="006D2D7E">
              <w:rPr>
                <w:rFonts w:ascii="Verdana" w:eastAsia="Arial" w:hAnsi="Verdana" w:cs="Arial"/>
                <w:sz w:val="18"/>
                <w:szCs w:val="18"/>
              </w:rPr>
              <w:t>climáticos,</w:t>
            </w:r>
            <w:proofErr w:type="gramEnd"/>
            <w:r w:rsidRPr="006D2D7E">
              <w:rPr>
                <w:rFonts w:ascii="Verdana" w:eastAsia="Arial" w:hAnsi="Verdana" w:cs="Arial"/>
                <w:sz w:val="18"/>
                <w:szCs w:val="18"/>
              </w:rPr>
              <w:t xml:space="preserve"> se regirán por el derecho privado. Lo anterior, con plena observancia de lo dispuesto en el artículo </w:t>
            </w:r>
            <w:hyperlink r:id="rId38" w:anchor="13" w:history="1">
              <w:r w:rsidRPr="006D2D7E">
                <w:rPr>
                  <w:rFonts w:ascii="Verdana" w:hAnsi="Verdana"/>
                  <w:sz w:val="18"/>
                  <w:szCs w:val="18"/>
                </w:rPr>
                <w:t>13</w:t>
              </w:r>
            </w:hyperlink>
            <w:r w:rsidRPr="006D2D7E">
              <w:rPr>
                <w:rFonts w:ascii="Verdana" w:eastAsia="Arial" w:hAnsi="Verdana" w:cs="Arial"/>
                <w:sz w:val="18"/>
                <w:szCs w:val="18"/>
              </w:rPr>
              <w:t> de la Ley 1150 de 2007, sin perjuicio de la facultad de incluir las cláusulas excepcionales a que se refieren los artículos </w:t>
            </w:r>
            <w:hyperlink r:id="rId39" w:anchor="14" w:history="1">
              <w:r w:rsidRPr="006D2D7E">
                <w:rPr>
                  <w:rFonts w:ascii="Verdana" w:hAnsi="Verdana"/>
                  <w:sz w:val="18"/>
                  <w:szCs w:val="18"/>
                </w:rPr>
                <w:t>14</w:t>
              </w:r>
            </w:hyperlink>
            <w:r w:rsidRPr="006D2D7E">
              <w:rPr>
                <w:rFonts w:ascii="Verdana" w:eastAsia="Arial" w:hAnsi="Verdana" w:cs="Arial"/>
                <w:sz w:val="18"/>
                <w:szCs w:val="18"/>
              </w:rPr>
              <w:t> a </w:t>
            </w:r>
            <w:hyperlink r:id="rId40" w:anchor="18" w:history="1">
              <w:r w:rsidRPr="006D2D7E">
                <w:rPr>
                  <w:rFonts w:ascii="Verdana" w:hAnsi="Verdana"/>
                  <w:sz w:val="18"/>
                  <w:szCs w:val="18"/>
                </w:rPr>
                <w:t>18</w:t>
              </w:r>
            </w:hyperlink>
            <w:r w:rsidRPr="006D2D7E">
              <w:rPr>
                <w:rFonts w:ascii="Verdana" w:eastAsia="Arial" w:hAnsi="Verdana" w:cs="Arial"/>
                <w:sz w:val="18"/>
                <w:szCs w:val="18"/>
              </w:rPr>
              <w:t> de la Ley 80 de 1993 y de aplicar lo dispuesto en los artículos </w:t>
            </w:r>
            <w:hyperlink r:id="rId41" w:anchor="11" w:history="1">
              <w:r w:rsidRPr="006D2D7E">
                <w:rPr>
                  <w:rFonts w:ascii="Verdana" w:hAnsi="Verdana"/>
                  <w:sz w:val="18"/>
                  <w:szCs w:val="18"/>
                </w:rPr>
                <w:t>11</w:t>
              </w:r>
            </w:hyperlink>
            <w:r w:rsidRPr="006D2D7E">
              <w:rPr>
                <w:rFonts w:ascii="Verdana" w:eastAsia="Arial" w:hAnsi="Verdana" w:cs="Arial"/>
                <w:sz w:val="18"/>
                <w:szCs w:val="18"/>
              </w:rPr>
              <w:t> y </w:t>
            </w:r>
            <w:hyperlink r:id="rId42" w:anchor="17" w:history="1">
              <w:r w:rsidRPr="006D2D7E">
                <w:rPr>
                  <w:rFonts w:ascii="Verdana" w:hAnsi="Verdana"/>
                  <w:sz w:val="18"/>
                  <w:szCs w:val="18"/>
                </w:rPr>
                <w:t>17</w:t>
              </w:r>
            </w:hyperlink>
            <w:r w:rsidRPr="006D2D7E">
              <w:rPr>
                <w:rFonts w:ascii="Verdana" w:eastAsia="Arial" w:hAnsi="Verdana" w:cs="Arial"/>
                <w:sz w:val="18"/>
                <w:szCs w:val="18"/>
              </w:rPr>
              <w:t> de la Ley 1150 de 2007, a partir del 1 de enero de 2020 los procesos contractuales que adelante el Fondo Adaptación se regirán por lo previsto por la Ley </w:t>
            </w:r>
            <w:hyperlink r:id="rId43" w:anchor="Inicio" w:history="1">
              <w:r w:rsidRPr="006D2D7E">
                <w:rPr>
                  <w:rFonts w:ascii="Verdana" w:hAnsi="Verdana"/>
                  <w:sz w:val="18"/>
                  <w:szCs w:val="18"/>
                </w:rPr>
                <w:t>80</w:t>
              </w:r>
            </w:hyperlink>
            <w:r w:rsidRPr="006D2D7E">
              <w:rPr>
                <w:rFonts w:ascii="Verdana" w:eastAsia="Arial" w:hAnsi="Verdana" w:cs="Arial"/>
                <w:sz w:val="18"/>
                <w:szCs w:val="18"/>
              </w:rPr>
              <w:t> de 1993 y la Ley </w:t>
            </w:r>
            <w:hyperlink r:id="rId44" w:anchor="INICIO" w:history="1">
              <w:r w:rsidRPr="006D2D7E">
                <w:rPr>
                  <w:rFonts w:ascii="Verdana" w:hAnsi="Verdana"/>
                  <w:sz w:val="18"/>
                  <w:szCs w:val="18"/>
                </w:rPr>
                <w:t>1150</w:t>
              </w:r>
            </w:hyperlink>
            <w:r w:rsidRPr="006D2D7E">
              <w:rPr>
                <w:rFonts w:ascii="Verdana" w:eastAsia="Arial" w:hAnsi="Verdana" w:cs="Arial"/>
                <w:sz w:val="18"/>
                <w:szCs w:val="18"/>
              </w:rPr>
              <w:t> de 2007.</w:t>
            </w:r>
          </w:p>
          <w:p w14:paraId="3E0D81DB" w14:textId="77777777" w:rsidR="00C13AAF" w:rsidRPr="006D2D7E" w:rsidRDefault="00C13AAF" w:rsidP="000F2D28">
            <w:pPr>
              <w:snapToGrid w:val="0"/>
              <w:contextualSpacing/>
              <w:jc w:val="both"/>
              <w:rPr>
                <w:rFonts w:ascii="Verdana" w:eastAsia="Arial" w:hAnsi="Verdana" w:cs="Arial"/>
                <w:sz w:val="18"/>
                <w:szCs w:val="18"/>
              </w:rPr>
            </w:pPr>
            <w:r w:rsidRPr="006D2D7E">
              <w:rPr>
                <w:rFonts w:ascii="Verdana" w:eastAsia="Arial" w:hAnsi="Verdana" w:cs="Arial"/>
                <w:sz w:val="18"/>
                <w:szCs w:val="18"/>
              </w:rPr>
              <w:t>Con el propósito de fortalecer y contribuir a la reducción de la vulnerabilidad fiscal del Estado, el Fondo Adaptación podrá estructurar y ejecutar proyectos integrales de reducción del riesgo y adaptación al cambio climático, en el marco del Sistema Nacional de Gestión del Riesgo de Desastres o del Plan Nacional de Adaptación y de la Política Nacional de Cambio Climático, o su equivalente, en coordinación con los respectivos sectores.</w:t>
            </w:r>
          </w:p>
          <w:p w14:paraId="273B919E" w14:textId="77777777" w:rsidR="00C13AAF" w:rsidRPr="006D2D7E" w:rsidRDefault="00C13AAF" w:rsidP="000F2D28">
            <w:pPr>
              <w:snapToGrid w:val="0"/>
              <w:contextualSpacing/>
              <w:jc w:val="both"/>
              <w:rPr>
                <w:rFonts w:ascii="Verdana" w:eastAsia="Arial" w:hAnsi="Verdana" w:cs="Arial"/>
                <w:sz w:val="18"/>
                <w:szCs w:val="18"/>
              </w:rPr>
            </w:pPr>
            <w:r>
              <w:rPr>
                <w:rFonts w:ascii="Verdana" w:eastAsia="Arial" w:hAnsi="Verdana" w:cs="Arial"/>
                <w:b/>
                <w:sz w:val="18"/>
                <w:szCs w:val="18"/>
              </w:rPr>
              <w:t>P</w:t>
            </w:r>
            <w:r w:rsidRPr="006D2D7E">
              <w:rPr>
                <w:rFonts w:ascii="Verdana" w:eastAsia="Arial" w:hAnsi="Verdana" w:cs="Arial"/>
                <w:b/>
                <w:sz w:val="18"/>
                <w:szCs w:val="18"/>
              </w:rPr>
              <w:t>arágrafo.</w:t>
            </w:r>
            <w:r w:rsidRPr="006D2D7E">
              <w:rPr>
                <w:rFonts w:ascii="Verdana" w:eastAsia="Arial" w:hAnsi="Verdana" w:cs="Arial"/>
                <w:sz w:val="18"/>
                <w:szCs w:val="18"/>
              </w:rPr>
              <w:t> Será responsabilidad de las entidades del orden nacional y territorial beneficiarías de los proyectos a cargo del Fondo Adaptación, garantizar su sostenibilidad y la puesta en marcha de los mecanismos jurídicos, técnicos, financieros y operacionales necesarios para su adecuada implementación.</w:t>
            </w:r>
          </w:p>
          <w:p w14:paraId="334E12D2" w14:textId="77777777" w:rsidR="00C13AAF" w:rsidRPr="00D72BB7" w:rsidRDefault="00C13AAF" w:rsidP="000F2D28">
            <w:pPr>
              <w:snapToGrid w:val="0"/>
              <w:contextualSpacing/>
              <w:jc w:val="both"/>
              <w:rPr>
                <w:rFonts w:ascii="Verdana" w:eastAsia="Arial" w:hAnsi="Verdana" w:cs="Arial"/>
                <w:sz w:val="18"/>
                <w:szCs w:val="18"/>
              </w:rPr>
            </w:pPr>
          </w:p>
        </w:tc>
        <w:tc>
          <w:tcPr>
            <w:tcW w:w="1276" w:type="dxa"/>
          </w:tcPr>
          <w:p w14:paraId="5534D383" w14:textId="77777777" w:rsidR="00C13AAF" w:rsidRPr="000A4C65" w:rsidRDefault="00C13AAF" w:rsidP="000F2D28">
            <w:pPr>
              <w:snapToGrid w:val="0"/>
              <w:contextualSpacing/>
              <w:jc w:val="both"/>
              <w:rPr>
                <w:rFonts w:ascii="Verdana" w:eastAsia="Arial" w:hAnsi="Verdana" w:cs="Arial"/>
                <w:b/>
                <w:bCs/>
                <w:sz w:val="18"/>
                <w:szCs w:val="18"/>
                <w:lang w:val="es-ES"/>
              </w:rPr>
            </w:pPr>
            <w:r w:rsidRPr="000A4C65">
              <w:rPr>
                <w:rFonts w:ascii="Verdana" w:eastAsia="Arial" w:hAnsi="Verdana" w:cs="Arial"/>
                <w:b/>
                <w:bCs/>
                <w:sz w:val="18"/>
                <w:szCs w:val="18"/>
                <w:lang w:val="es-ES"/>
              </w:rPr>
              <w:t>25 de mayo de 2019</w:t>
            </w:r>
          </w:p>
        </w:tc>
      </w:tr>
    </w:tbl>
    <w:p w14:paraId="1AD72E5C" w14:textId="77777777" w:rsidR="00C13AAF" w:rsidRPr="008F3EE4" w:rsidRDefault="00C13AAF" w:rsidP="00C13AAF">
      <w:pPr>
        <w:spacing w:before="120" w:after="120" w:line="276" w:lineRule="auto"/>
        <w:jc w:val="both"/>
        <w:rPr>
          <w:rFonts w:ascii="Verdana" w:eastAsia="Calibri" w:hAnsi="Verdana" w:cs="Arial"/>
          <w:lang w:val="es-ES"/>
        </w:rPr>
      </w:pPr>
    </w:p>
    <w:p w14:paraId="4C1A48ED" w14:textId="77777777" w:rsidR="00C13AAF" w:rsidRDefault="00C13AAF" w:rsidP="00C13AAF">
      <w:pPr>
        <w:spacing w:before="120" w:after="0" w:line="276" w:lineRule="auto"/>
        <w:ind w:firstLine="709"/>
        <w:jc w:val="both"/>
        <w:rPr>
          <w:rFonts w:ascii="Verdana" w:eastAsia="Calibri" w:hAnsi="Verdana" w:cs="Arial"/>
          <w:lang w:val="es-ES"/>
        </w:rPr>
      </w:pPr>
      <w:r>
        <w:rPr>
          <w:rFonts w:ascii="Verdana" w:eastAsia="Calibri" w:hAnsi="Verdana" w:cs="Arial"/>
          <w:lang w:val="es-ES"/>
        </w:rPr>
        <w:t>El marco jurídico expuesto se caracterizó por mantener tres modalidades de selección: la invitación abierta, la invitación cerrada y la contratación directa que son procedentes cuando sea aplicable el régimen de contratación especial del Fondo, es decir, cuando el objeto de la contratación se enmarcara en los parámetros para ello definidos en el Decreto-Ley o Ley vigente al momento específico del proceso. Para adelantar procesos de contratación de manera directa en el marco del régimen especial, los distintos decretos reglamentarios establecieron las causales o cuantías que serían aplicables bajo su vigencia correspondiente. En el caso expuesto en su consulta, es importante resaltar que la causal de contratación directa referida a la celebración de “c</w:t>
      </w:r>
      <w:r w:rsidRPr="00DB0CA5">
        <w:rPr>
          <w:rFonts w:ascii="Verdana" w:eastAsia="Calibri" w:hAnsi="Verdana" w:cs="Arial"/>
          <w:lang w:val="es-ES"/>
        </w:rPr>
        <w:t>ontratos para la adquisición de proyectos de vivienda de interés prioritario</w:t>
      </w:r>
      <w:r w:rsidRPr="000A4C65">
        <w:rPr>
          <w:rFonts w:ascii="Verdana" w:eastAsia="Calibri" w:hAnsi="Verdana" w:cs="Arial"/>
          <w:lang w:val="es-ES"/>
        </w:rPr>
        <w:t xml:space="preserve">” fue contemplada </w:t>
      </w:r>
      <w:r>
        <w:rPr>
          <w:rFonts w:ascii="Verdana" w:eastAsia="Calibri" w:hAnsi="Verdana" w:cs="Arial"/>
          <w:lang w:val="es-ES"/>
        </w:rPr>
        <w:t xml:space="preserve">por primera vez y </w:t>
      </w:r>
      <w:r w:rsidRPr="000A4C65">
        <w:rPr>
          <w:rFonts w:ascii="Verdana" w:eastAsia="Calibri" w:hAnsi="Verdana" w:cs="Arial"/>
          <w:lang w:val="es-ES"/>
        </w:rPr>
        <w:t>de manera expresa con el Decreto 203 de 2015.</w:t>
      </w:r>
      <w:r w:rsidRPr="00DB0CA5">
        <w:rPr>
          <w:rFonts w:ascii="Verdana" w:eastAsia="Calibri" w:hAnsi="Verdana" w:cs="Arial"/>
          <w:lang w:val="es-ES"/>
        </w:rPr>
        <w:t> </w:t>
      </w:r>
      <w:r w:rsidRPr="001C0777">
        <w:rPr>
          <w:rFonts w:ascii="Verdana" w:eastAsia="Calibri" w:hAnsi="Verdana" w:cs="Arial"/>
          <w:lang w:val="es-ES"/>
        </w:rPr>
        <w:t>En este contexto, los interesados en determinar las modalidades de selección y causales aplicables a la contratación del Fondo Adaptación en un momento determinado deberán considerar el ámbito de aplicación y vigencia de cada una de las normas que han reglamentado esta materia.</w:t>
      </w:r>
    </w:p>
    <w:p w14:paraId="276C8D35" w14:textId="77777777" w:rsidR="00C13AAF" w:rsidRPr="001C0777" w:rsidRDefault="00C13AAF" w:rsidP="00C13AAF">
      <w:pPr>
        <w:spacing w:before="120" w:after="0" w:line="276" w:lineRule="auto"/>
        <w:ind w:firstLine="709"/>
        <w:jc w:val="both"/>
        <w:rPr>
          <w:rFonts w:ascii="Verdana" w:eastAsia="Calibri" w:hAnsi="Verdana" w:cs="Arial"/>
          <w:lang w:val="es-ES"/>
        </w:rPr>
      </w:pPr>
      <w:r>
        <w:rPr>
          <w:rFonts w:ascii="Verdana" w:eastAsia="Calibri" w:hAnsi="Verdana" w:cs="Arial"/>
          <w:lang w:val="es-ES"/>
        </w:rPr>
        <w:t>Por otra parte, no compete a esta Agencia referirse a la legalidad, legitimidad, viabilidad o coherencia de los manuales de contratación expedidos por el Fondo Adaptación con respecto a la normativa que ha regulado su régimen contractual. Adicionalmente,</w:t>
      </w:r>
      <w:r w:rsidRPr="008F3EE4">
        <w:rPr>
          <w:rFonts w:ascii="Verdana" w:eastAsia="Calibri" w:hAnsi="Verdana" w:cs="Arial"/>
          <w:lang w:val="es-ES"/>
        </w:rPr>
        <w:t xml:space="preserve"> esta Agencia </w:t>
      </w:r>
      <w:r w:rsidRPr="008F3EE4">
        <w:rPr>
          <w:rFonts w:ascii="Verdana" w:eastAsia="Arial" w:hAnsi="Verdana" w:cs="Arial"/>
          <w:lang w:val="es-ES"/>
        </w:rPr>
        <w:t xml:space="preserve">advierte que el análisis sobre la aplicación de la normativa expuesta a un contrato específico celebrado por el Fondo Adaptación 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  </w:t>
      </w:r>
    </w:p>
    <w:p w14:paraId="0A71ED51" w14:textId="77777777" w:rsidR="00C13AAF" w:rsidRDefault="00C13AAF" w:rsidP="00C13AAF">
      <w:pPr>
        <w:spacing w:before="120" w:after="0" w:line="276" w:lineRule="auto"/>
        <w:ind w:firstLine="709"/>
        <w:jc w:val="both"/>
        <w:rPr>
          <w:rFonts w:ascii="Verdana" w:eastAsia="Arial" w:hAnsi="Verdana" w:cs="Arial"/>
          <w:bCs/>
          <w:lang w:val="es-ES"/>
        </w:rPr>
      </w:pPr>
      <w:r w:rsidRPr="008F3EE4">
        <w:rPr>
          <w:rFonts w:ascii="Verdana" w:eastAsia="Arial" w:hAnsi="Verdana" w:cs="Arial"/>
          <w:bCs/>
          <w:lang w:val="es-ES"/>
        </w:rPr>
        <w:t xml:space="preserve">De esta manera, al tratarse de un análisis que se debe realizar en 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w:t>
      </w:r>
      <w:r w:rsidRPr="008F3EE4">
        <w:rPr>
          <w:rFonts w:ascii="Verdana" w:eastAsia="Arial" w:hAnsi="Verdana" w:cs="Arial"/>
          <w:bCs/>
          <w:lang w:val="es-ES"/>
        </w:rPr>
        <w:lastRenderedPageBreak/>
        <w:t>solución de casos particulares corresponde a la entidad que debe adoptar la decisión correspondiente para atender las necesidades de la entidad pública.</w:t>
      </w:r>
      <w:bookmarkStart w:id="3" w:name="_Hlk112856549"/>
    </w:p>
    <w:p w14:paraId="32C2D26E" w14:textId="77777777" w:rsidR="00C13AAF" w:rsidRPr="008F3EE4" w:rsidRDefault="00C13AAF" w:rsidP="00222383">
      <w:pPr>
        <w:spacing w:before="120" w:after="0" w:line="276" w:lineRule="auto"/>
        <w:jc w:val="both"/>
        <w:rPr>
          <w:rFonts w:ascii="Verdana" w:eastAsia="Arial" w:hAnsi="Verdana" w:cs="Arial"/>
          <w:lang w:val="es-ES"/>
        </w:rPr>
      </w:pPr>
    </w:p>
    <w:bookmarkEnd w:id="3"/>
    <w:p w14:paraId="2ACBEBAB" w14:textId="102B750E" w:rsidR="00C13AAF" w:rsidRPr="0065032D" w:rsidRDefault="00C13AAF" w:rsidP="0065032D">
      <w:pPr>
        <w:pStyle w:val="Prrafodelista"/>
        <w:numPr>
          <w:ilvl w:val="0"/>
          <w:numId w:val="16"/>
        </w:numPr>
        <w:tabs>
          <w:tab w:val="left" w:pos="142"/>
          <w:tab w:val="left" w:pos="284"/>
        </w:tabs>
        <w:spacing w:after="120" w:line="276" w:lineRule="auto"/>
        <w:ind w:left="0" w:firstLine="0"/>
        <w:contextualSpacing w:val="0"/>
        <w:jc w:val="both"/>
        <w:rPr>
          <w:rFonts w:ascii="Verdana" w:eastAsia="Century Gothic" w:hAnsi="Verdana" w:cs="Century Gothic"/>
          <w:b/>
          <w:bCs/>
        </w:rPr>
      </w:pPr>
      <w:r w:rsidRPr="008F3EE4">
        <w:rPr>
          <w:rFonts w:ascii="Verdana" w:eastAsia="Century Gothic" w:hAnsi="Verdana" w:cs="Century Gothic"/>
          <w:b/>
          <w:bC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3AAF" w:rsidRPr="008F3EE4" w14:paraId="6B700D74" w14:textId="77777777" w:rsidTr="000F2D28">
        <w:trPr>
          <w:trHeight w:val="870"/>
        </w:trPr>
        <w:tc>
          <w:tcPr>
            <w:tcW w:w="8647" w:type="dxa"/>
          </w:tcPr>
          <w:p w14:paraId="6C1CBFC8" w14:textId="77777777" w:rsidR="00C13AAF" w:rsidRPr="008F3EE4" w:rsidRDefault="00C13AAF" w:rsidP="0065032D">
            <w:pPr>
              <w:widowControl w:val="0"/>
              <w:numPr>
                <w:ilvl w:val="0"/>
                <w:numId w:val="17"/>
              </w:numPr>
              <w:tabs>
                <w:tab w:val="left" w:pos="817"/>
              </w:tabs>
              <w:autoSpaceDE w:val="0"/>
              <w:autoSpaceDN w:val="0"/>
              <w:spacing w:before="120" w:line="276" w:lineRule="auto"/>
              <w:ind w:left="714" w:right="101" w:hanging="357"/>
              <w:contextualSpacing/>
              <w:jc w:val="both"/>
              <w:rPr>
                <w:rFonts w:ascii="Verdana" w:eastAsia="Verdana" w:hAnsi="Verdana" w:cs="Verdana"/>
                <w:lang w:val="es-ES"/>
              </w:rPr>
            </w:pPr>
            <w:r w:rsidRPr="008F3EE4">
              <w:rPr>
                <w:rFonts w:ascii="Verdana" w:eastAsia="Verdana" w:hAnsi="Verdana" w:cs="Verdana"/>
                <w:lang w:val="es-ES"/>
              </w:rPr>
              <w:t>Constitución Política, artículos 24, 209, 267, 352.</w:t>
            </w:r>
          </w:p>
          <w:p w14:paraId="25F6527F" w14:textId="77777777" w:rsidR="00C13AAF" w:rsidRPr="008F3EE4" w:rsidRDefault="00C13AAF" w:rsidP="000F2D28">
            <w:pPr>
              <w:widowControl w:val="0"/>
              <w:numPr>
                <w:ilvl w:val="0"/>
                <w:numId w:val="17"/>
              </w:numPr>
              <w:tabs>
                <w:tab w:val="left" w:pos="817"/>
              </w:tabs>
              <w:autoSpaceDE w:val="0"/>
              <w:autoSpaceDN w:val="0"/>
              <w:spacing w:line="276" w:lineRule="auto"/>
              <w:ind w:left="714" w:right="101" w:hanging="357"/>
              <w:contextualSpacing/>
              <w:jc w:val="both"/>
              <w:rPr>
                <w:rFonts w:ascii="Verdana" w:eastAsia="Verdana" w:hAnsi="Verdana" w:cs="Verdana"/>
                <w:lang w:val="es-ES"/>
              </w:rPr>
            </w:pPr>
            <w:r w:rsidRPr="008F3EE4">
              <w:rPr>
                <w:rFonts w:ascii="Verdana" w:eastAsia="Verdana" w:hAnsi="Verdana" w:cs="Verdana"/>
                <w:lang w:val="es-ES"/>
              </w:rPr>
              <w:t>Ley 80 de 1993, artículos 14 a 18.</w:t>
            </w:r>
          </w:p>
          <w:p w14:paraId="75C788E8" w14:textId="77777777" w:rsidR="00C13AAF" w:rsidRPr="008F3EE4" w:rsidRDefault="00C13AAF" w:rsidP="000F2D28">
            <w:pPr>
              <w:widowControl w:val="0"/>
              <w:numPr>
                <w:ilvl w:val="0"/>
                <w:numId w:val="17"/>
              </w:numPr>
              <w:tabs>
                <w:tab w:val="left" w:pos="817"/>
              </w:tabs>
              <w:autoSpaceDE w:val="0"/>
              <w:autoSpaceDN w:val="0"/>
              <w:spacing w:line="276" w:lineRule="auto"/>
              <w:ind w:left="714" w:right="101" w:hanging="357"/>
              <w:contextualSpacing/>
              <w:jc w:val="both"/>
              <w:rPr>
                <w:rFonts w:ascii="Verdana" w:eastAsia="Verdana" w:hAnsi="Verdana" w:cs="Verdana"/>
                <w:lang w:val="es-ES"/>
              </w:rPr>
            </w:pPr>
            <w:r w:rsidRPr="008F3EE4">
              <w:rPr>
                <w:rFonts w:ascii="Verdana" w:eastAsia="Verdana" w:hAnsi="Verdana" w:cs="Verdana"/>
                <w:lang w:val="es-ES"/>
              </w:rPr>
              <w:t>Ley 1150 de 2007, artículo 11, 13 y 17.</w:t>
            </w:r>
          </w:p>
          <w:p w14:paraId="02DC2405" w14:textId="77777777" w:rsidR="00C13AAF" w:rsidRPr="008F3EE4" w:rsidRDefault="00C13AAF" w:rsidP="000F2D28">
            <w:pPr>
              <w:widowControl w:val="0"/>
              <w:numPr>
                <w:ilvl w:val="0"/>
                <w:numId w:val="17"/>
              </w:numPr>
              <w:tabs>
                <w:tab w:val="left" w:pos="817"/>
              </w:tabs>
              <w:autoSpaceDE w:val="0"/>
              <w:autoSpaceDN w:val="0"/>
              <w:spacing w:line="276" w:lineRule="auto"/>
              <w:ind w:left="714" w:right="101" w:hanging="357"/>
              <w:contextualSpacing/>
              <w:jc w:val="both"/>
              <w:rPr>
                <w:rFonts w:ascii="Verdana" w:eastAsia="Verdana" w:hAnsi="Verdana" w:cs="Verdana"/>
                <w:lang w:val="es-ES"/>
              </w:rPr>
            </w:pPr>
            <w:r w:rsidRPr="008F3EE4">
              <w:rPr>
                <w:rFonts w:ascii="Verdana" w:eastAsia="Verdana" w:hAnsi="Verdana" w:cs="Verdana"/>
                <w:lang w:val="es-ES"/>
              </w:rPr>
              <w:t>Ley 489 de 1998, artículos 8 y 9.</w:t>
            </w:r>
          </w:p>
          <w:p w14:paraId="525E917B"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4580 de 2010.</w:t>
            </w:r>
          </w:p>
          <w:p w14:paraId="11000856"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4819 de 2010.</w:t>
            </w:r>
          </w:p>
          <w:p w14:paraId="494C7DE5"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2962 de 2011.</w:t>
            </w:r>
          </w:p>
          <w:p w14:paraId="16868BF1"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1241 de 2013.</w:t>
            </w:r>
          </w:p>
          <w:p w14:paraId="42B3568C"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Ley 1737 de 2014, artículo 79.</w:t>
            </w:r>
          </w:p>
          <w:p w14:paraId="750C02F6"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203 de 2015.</w:t>
            </w:r>
          </w:p>
          <w:p w14:paraId="68DA89DB"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1068 de 2015, Parte 13 del Libro 2.</w:t>
            </w:r>
          </w:p>
          <w:p w14:paraId="22E78561"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Ley 1753 de 2015, artículo 155.</w:t>
            </w:r>
          </w:p>
          <w:p w14:paraId="26F4A684"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Decreto 2387 de 2015.</w:t>
            </w:r>
          </w:p>
          <w:p w14:paraId="12A4EC59"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Ley 1955 de 2019, artículo 46.</w:t>
            </w:r>
          </w:p>
          <w:p w14:paraId="5C0BD65E"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Resolución 836 del 27 de octubre de 2015 del Fondo Adaptación.</w:t>
            </w:r>
          </w:p>
          <w:p w14:paraId="4D2BAB4A" w14:textId="77777777" w:rsidR="00C13AAF" w:rsidRPr="008F3EE4" w:rsidRDefault="00C13AAF" w:rsidP="000F2D28">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8F3EE4">
              <w:rPr>
                <w:rFonts w:ascii="Verdana" w:eastAsia="Calibri" w:hAnsi="Verdana" w:cs="Arial"/>
              </w:rPr>
              <w:t>Resolución 0438 de 2019 del Fondo Adaptación.</w:t>
            </w:r>
          </w:p>
          <w:p w14:paraId="1F57193D" w14:textId="77777777" w:rsidR="00C13AAF" w:rsidRPr="008F3EE4" w:rsidRDefault="00C13AAF" w:rsidP="0065032D">
            <w:pPr>
              <w:pStyle w:val="Prrafodelista"/>
              <w:widowControl w:val="0"/>
              <w:numPr>
                <w:ilvl w:val="0"/>
                <w:numId w:val="17"/>
              </w:numPr>
              <w:autoSpaceDE w:val="0"/>
              <w:autoSpaceDN w:val="0"/>
              <w:spacing w:after="120" w:line="276" w:lineRule="auto"/>
              <w:ind w:left="714" w:hanging="357"/>
              <w:jc w:val="both"/>
              <w:rPr>
                <w:rFonts w:ascii="Verdana" w:hAnsi="Verdana" w:cs="Arial"/>
                <w:color w:val="000000" w:themeColor="text1"/>
              </w:rPr>
            </w:pPr>
            <w:r w:rsidRPr="008F3EE4">
              <w:rPr>
                <w:rFonts w:ascii="Verdana" w:eastAsia="Calibri" w:hAnsi="Verdana" w:cs="Arial"/>
              </w:rPr>
              <w:t>Resolución 182 de 2020 del Fondo Adaptación.</w:t>
            </w:r>
          </w:p>
        </w:tc>
      </w:tr>
    </w:tbl>
    <w:p w14:paraId="44C1023E" w14:textId="77777777" w:rsidR="00C13AAF" w:rsidRPr="008F3EE4" w:rsidRDefault="00C13AAF" w:rsidP="00C13AAF">
      <w:pPr>
        <w:widowControl w:val="0"/>
        <w:autoSpaceDE w:val="0"/>
        <w:autoSpaceDN w:val="0"/>
        <w:spacing w:after="0" w:line="276" w:lineRule="auto"/>
        <w:jc w:val="both"/>
        <w:rPr>
          <w:rFonts w:ascii="Verdana" w:hAnsi="Verdana" w:cs="Arial"/>
          <w:lang w:val="es-ES"/>
        </w:rPr>
      </w:pPr>
    </w:p>
    <w:p w14:paraId="3B7FDBF7" w14:textId="77777777" w:rsidR="00C13AAF" w:rsidRPr="008F3EE4" w:rsidRDefault="00C13AAF" w:rsidP="00C13A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3EE4">
        <w:rPr>
          <w:rFonts w:ascii="Verdana" w:eastAsia="Century Gothic" w:hAnsi="Verdana" w:cs="Century Gothic"/>
          <w:b/>
          <w:bCs/>
        </w:rPr>
        <w:t>Doctrina de la Agencia Nacional de Contratación Pública:</w:t>
      </w:r>
    </w:p>
    <w:p w14:paraId="33266B99" w14:textId="77777777" w:rsidR="00C13AAF" w:rsidRPr="008F3EE4" w:rsidRDefault="00C13AAF" w:rsidP="00C13AAF">
      <w:pPr>
        <w:widowControl w:val="0"/>
        <w:autoSpaceDE w:val="0"/>
        <w:autoSpaceDN w:val="0"/>
        <w:spacing w:after="0" w:line="276" w:lineRule="auto"/>
        <w:jc w:val="both"/>
        <w:rPr>
          <w:rFonts w:ascii="Verdana" w:hAnsi="Verdana" w:cs="Arial"/>
          <w:lang w:val="es-ES"/>
        </w:rPr>
      </w:pPr>
    </w:p>
    <w:p w14:paraId="63FA9064" w14:textId="77777777" w:rsidR="00C13AAF" w:rsidRPr="008F3EE4" w:rsidRDefault="00C13AAF" w:rsidP="00C13AAF">
      <w:pPr>
        <w:spacing w:after="0" w:line="276" w:lineRule="auto"/>
        <w:contextualSpacing/>
        <w:jc w:val="both"/>
        <w:rPr>
          <w:rFonts w:ascii="Verdana" w:eastAsia="Calibri" w:hAnsi="Verdana" w:cs="Arial"/>
          <w:b/>
          <w:bCs/>
          <w:lang w:val="es-ES" w:eastAsia="es-ES"/>
        </w:rPr>
      </w:pPr>
      <w:r w:rsidRPr="008F3EE4">
        <w:rPr>
          <w:rFonts w:ascii="Verdana" w:eastAsia="Calibri" w:hAnsi="Verdana" w:cs="Arial"/>
          <w:color w:val="000000" w:themeColor="text1"/>
          <w:lang w:val="es-ES" w:eastAsia="es-ES_tradnl"/>
        </w:rPr>
        <w:t xml:space="preserve">La Agencia Nacional de Contratación Pública – Colombia Compra Eficiente </w:t>
      </w:r>
      <w:r w:rsidRPr="008F3EE4">
        <w:rPr>
          <w:rFonts w:ascii="Verdana" w:eastAsia="Arial" w:hAnsi="Verdana" w:cs="Arial"/>
          <w:lang w:val="es-ES" w:eastAsia="es-ES_tradnl"/>
        </w:rPr>
        <w:t xml:space="preserve">se ha pronunciado </w:t>
      </w:r>
      <w:r w:rsidRPr="008F3EE4">
        <w:rPr>
          <w:rFonts w:ascii="Verdana" w:eastAsia="Times New Roman" w:hAnsi="Verdana" w:cs="Arial"/>
          <w:shd w:val="clear" w:color="auto" w:fill="FFFFFF"/>
          <w:lang w:val="es-ES"/>
        </w:rPr>
        <w:t xml:space="preserve">sobre el ámbito de aplicación del EGCAP y las entidades exceptuadas en los conceptos C-147 del 17 de marzo de 2020, C-157 del 17 de marzo de 2020, C-191 del 16 de marzo de 2020 y C-168 del 31 de marzo de 2020, C-158 del 3 de abril de 2020, C-717 del 21 de enero de 2022, C-004 del 22 de enero de 2024, C-459 del 18 de septiembre de 2024 y C-863 de 17 de diciembre de 2024, C-998 de 18 de diciembre 2024 y </w:t>
      </w:r>
      <w:r w:rsidRPr="008F3EE4">
        <w:rPr>
          <w:rFonts w:ascii="Verdana" w:eastAsia="Times New Roman" w:hAnsi="Verdana" w:cs="Times New Roman"/>
          <w:lang w:val="es-ES"/>
        </w:rPr>
        <w:t>C-196 del 25 de marzo de 2025,C-336 del 24 de abril de 2015,</w:t>
      </w:r>
      <w:r w:rsidRPr="008F3EE4">
        <w:rPr>
          <w:rFonts w:ascii="Verdana" w:eastAsia="Times New Roman" w:hAnsi="Verdana" w:cs="Arial"/>
          <w:shd w:val="clear" w:color="auto" w:fill="FFFFFF"/>
          <w:lang w:val="es-ES"/>
        </w:rPr>
        <w:t xml:space="preserve"> entre otros</w:t>
      </w:r>
      <w:r w:rsidRPr="008F3EE4">
        <w:rPr>
          <w:rFonts w:ascii="Verdana" w:eastAsia="Calibri" w:hAnsi="Verdana" w:cs="Arial"/>
          <w:lang w:val="es-ES"/>
        </w:rPr>
        <w:t xml:space="preserve">. </w:t>
      </w:r>
      <w:r>
        <w:rPr>
          <w:rFonts w:ascii="Verdana" w:eastAsia="Calibri" w:hAnsi="Verdana" w:cs="Arial"/>
          <w:lang w:val="es-ES"/>
        </w:rPr>
        <w:t xml:space="preserve">Sobre el régimen de contratación del Fondo Adaptación se refirió en el concepto </w:t>
      </w:r>
      <w:r w:rsidRPr="00E06CE3">
        <w:rPr>
          <w:rFonts w:ascii="Verdana" w:eastAsia="Calibri" w:hAnsi="Verdana" w:cs="Arial"/>
          <w:lang w:val="es-ES" w:eastAsia="es-ES"/>
        </w:rPr>
        <w:t>C-881</w:t>
      </w:r>
      <w:r w:rsidRPr="00E06CE3">
        <w:rPr>
          <w:rFonts w:ascii="Verdana" w:eastAsia="Calibri" w:hAnsi="Verdana" w:cs="Arial"/>
          <w:color w:val="7030A0"/>
          <w:lang w:val="es-ES" w:eastAsia="es-ES"/>
        </w:rPr>
        <w:t xml:space="preserve"> </w:t>
      </w:r>
      <w:r w:rsidRPr="00E06CE3">
        <w:rPr>
          <w:rFonts w:ascii="Verdana" w:eastAsia="Calibri" w:hAnsi="Verdana" w:cs="Arial"/>
          <w:lang w:val="es-ES" w:eastAsia="es-ES"/>
        </w:rPr>
        <w:t>de 2025.</w:t>
      </w:r>
      <w:r>
        <w:rPr>
          <w:rFonts w:ascii="Verdana" w:eastAsia="Calibri" w:hAnsi="Verdana" w:cs="Arial"/>
          <w:b/>
          <w:bCs/>
          <w:lang w:val="es-ES" w:eastAsia="es-ES"/>
        </w:rPr>
        <w:t xml:space="preserve"> </w:t>
      </w:r>
      <w:r w:rsidRPr="008F3EE4">
        <w:rPr>
          <w:rFonts w:ascii="Verdana" w:hAnsi="Verdana" w:cs="Arial"/>
          <w:color w:val="000000" w:themeColor="text1"/>
          <w:shd w:val="clear" w:color="auto" w:fill="FFFFFF"/>
          <w:lang w:val="es-ES"/>
        </w:rPr>
        <w:t xml:space="preserve">Estos </w:t>
      </w:r>
      <w:r w:rsidRPr="008F3EE4">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45" w:history="1">
        <w:r w:rsidRPr="008F3EE4">
          <w:rPr>
            <w:rStyle w:val="Hipervnculo"/>
            <w:rFonts w:ascii="Verdana" w:hAnsi="Verdana" w:cs="Arial"/>
            <w:shd w:val="clear" w:color="auto" w:fill="FFFFFF"/>
            <w:lang w:val="es-ES"/>
          </w:rPr>
          <w:t>https://relatoria.colombiacompra.gov.co/busqueda/conceptos</w:t>
        </w:r>
      </w:hyperlink>
      <w:r w:rsidRPr="008F3EE4">
        <w:rPr>
          <w:rStyle w:val="Hipervnculo"/>
          <w:rFonts w:ascii="Verdana" w:hAnsi="Verdana"/>
          <w:lang w:val="es-ES"/>
        </w:rPr>
        <w:t>.</w:t>
      </w:r>
      <w:r w:rsidRPr="008F3EE4">
        <w:rPr>
          <w:rStyle w:val="normaltextrun"/>
          <w:rFonts w:ascii="Verdana" w:hAnsi="Verdana" w:cs="Arial"/>
          <w:color w:val="000000" w:themeColor="text1"/>
          <w:shd w:val="clear" w:color="auto" w:fill="FFFFFF"/>
          <w:lang w:val="es-ES"/>
        </w:rPr>
        <w:t xml:space="preserve">  </w:t>
      </w:r>
    </w:p>
    <w:p w14:paraId="043557D2" w14:textId="77777777" w:rsidR="00C13AAF" w:rsidRPr="008F3EE4" w:rsidRDefault="00C13AAF" w:rsidP="00C13AAF">
      <w:pPr>
        <w:spacing w:after="0" w:line="276" w:lineRule="auto"/>
        <w:contextualSpacing/>
        <w:jc w:val="both"/>
        <w:rPr>
          <w:rFonts w:ascii="Verdana" w:hAnsi="Verdana"/>
          <w:lang w:val="es-ES"/>
        </w:rPr>
      </w:pPr>
      <w:r w:rsidRPr="008F3EE4">
        <w:rPr>
          <w:rFonts w:ascii="Verdana" w:hAnsi="Verdana"/>
          <w:lang w:val="es-ES"/>
        </w:rPr>
        <w:lastRenderedPageBreak/>
        <w:t>También le contamos que ya se encuentra disponible la </w:t>
      </w:r>
      <w:r w:rsidRPr="008F3EE4">
        <w:rPr>
          <w:rFonts w:ascii="Verdana" w:hAnsi="Verdana"/>
          <w:b/>
          <w:bCs/>
          <w:lang w:val="es-ES"/>
        </w:rPr>
        <w:t>Guía de lineamientos de transparencia y selección objetiva para el departamento de La Guajira – Objetivo sexto constitucional de la Sentencia T-302 del 2017. </w:t>
      </w:r>
      <w:r w:rsidRPr="008F3EE4">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F3EE4">
        <w:rPr>
          <w:rFonts w:ascii="Verdana" w:hAnsi="Verdana"/>
          <w:lang w:val="es-ES"/>
        </w:rPr>
        <w:t>Wayúu</w:t>
      </w:r>
      <w:proofErr w:type="spellEnd"/>
      <w:r w:rsidRPr="008F3EE4">
        <w:rPr>
          <w:rFonts w:ascii="Verdana" w:hAnsi="Verdana"/>
          <w:lang w:val="es-ES"/>
        </w:rPr>
        <w:t>. Puede consultar la guía en el siguiente enlace: </w:t>
      </w:r>
      <w:hyperlink r:id="rId46" w:tgtFrame="_blank" w:tooltip="Original URL: https://www.colombiacompra.gov.co/wp-content/uploads/2025/05/GUIA-DE-LINEAMIENTOS-DE-TRANSPARENCIA-Y-SELECCION-OBJETIVA-1.0.pdf. Click or tap if you trust this link." w:history="1">
        <w:r w:rsidRPr="008F3EE4">
          <w:rPr>
            <w:rStyle w:val="Hipervnculo"/>
            <w:rFonts w:ascii="Verdana" w:hAnsi="Verdana"/>
            <w:lang w:val="es-ES"/>
          </w:rPr>
          <w:t>Guía de lineamientos de transparencia y selección objetiva para el departamento de La Guajira – Objetivo sexto constitucional de la Sentencia T-302 del 2017</w:t>
        </w:r>
      </w:hyperlink>
      <w:r w:rsidRPr="008F3EE4">
        <w:rPr>
          <w:rFonts w:ascii="Verdana" w:hAnsi="Verdana"/>
          <w:u w:val="single"/>
          <w:lang w:val="es-ES"/>
        </w:rPr>
        <w:t>"</w:t>
      </w:r>
    </w:p>
    <w:p w14:paraId="0D76C019" w14:textId="77777777" w:rsidR="00C13AAF" w:rsidRPr="008F3EE4" w:rsidRDefault="00C13AAF" w:rsidP="00C13AAF">
      <w:pPr>
        <w:spacing w:after="0" w:line="276" w:lineRule="auto"/>
        <w:contextualSpacing/>
        <w:jc w:val="both"/>
        <w:rPr>
          <w:rFonts w:ascii="Verdana" w:hAnsi="Verdana"/>
          <w:lang w:val="es-ES"/>
        </w:rPr>
      </w:pPr>
    </w:p>
    <w:p w14:paraId="1FB44A63" w14:textId="77777777" w:rsidR="00C13AAF" w:rsidRPr="008F3EE4" w:rsidRDefault="00C13AAF" w:rsidP="00C13AAF">
      <w:pPr>
        <w:spacing w:after="0" w:line="276" w:lineRule="auto"/>
        <w:contextualSpacing/>
        <w:jc w:val="both"/>
        <w:rPr>
          <w:rFonts w:ascii="Verdana" w:hAnsi="Verdana"/>
          <w:lang w:val="es-ES"/>
        </w:rPr>
      </w:pPr>
      <w:r w:rsidRPr="008F3EE4">
        <w:rPr>
          <w:rFonts w:ascii="Verdana" w:hAnsi="Verdana"/>
          <w:lang w:val="es-ES"/>
        </w:rPr>
        <w:t xml:space="preserve">Por último, lo invitamos a seguirnos en las redes sociales en las cuales se difunde información institucional: </w:t>
      </w:r>
    </w:p>
    <w:p w14:paraId="6296807E" w14:textId="77777777" w:rsidR="00C13AAF" w:rsidRPr="008F3EE4" w:rsidRDefault="00C13AAF" w:rsidP="00C13AAF">
      <w:pPr>
        <w:spacing w:after="0" w:line="276" w:lineRule="auto"/>
        <w:contextualSpacing/>
        <w:jc w:val="both"/>
        <w:rPr>
          <w:rFonts w:ascii="Verdana" w:hAnsi="Verdana"/>
          <w:lang w:val="es-ES"/>
        </w:rPr>
      </w:pPr>
    </w:p>
    <w:p w14:paraId="42CC5B62" w14:textId="77777777" w:rsidR="00C13AAF" w:rsidRPr="008F3EE4" w:rsidRDefault="00C13AAF" w:rsidP="00C13AAF">
      <w:pPr>
        <w:spacing w:after="0" w:line="276" w:lineRule="auto"/>
        <w:contextualSpacing/>
        <w:jc w:val="both"/>
        <w:rPr>
          <w:rFonts w:ascii="Verdana" w:hAnsi="Verdana"/>
          <w:lang w:val="es-ES"/>
        </w:rPr>
      </w:pPr>
      <w:r w:rsidRPr="008F3EE4">
        <w:rPr>
          <w:rFonts w:ascii="Verdana" w:hAnsi="Verdana"/>
          <w:lang w:val="es-ES"/>
        </w:rPr>
        <w:t xml:space="preserve">Twitter: </w:t>
      </w:r>
      <w:r w:rsidRPr="008F3EE4">
        <w:rPr>
          <w:rStyle w:val="Hipervnculo"/>
          <w:rFonts w:ascii="Verdana" w:hAnsi="Verdana" w:cs="Arial"/>
          <w:shd w:val="clear" w:color="auto" w:fill="FFFFFF"/>
          <w:lang w:val="es-ES"/>
        </w:rPr>
        <w:t>@colombiacompra</w:t>
      </w:r>
      <w:r w:rsidRPr="008F3EE4">
        <w:rPr>
          <w:rFonts w:ascii="Verdana" w:hAnsi="Verdana"/>
          <w:color w:val="4472C4" w:themeColor="accent1"/>
          <w:lang w:val="es-ES"/>
        </w:rPr>
        <w:t xml:space="preserve"> </w:t>
      </w:r>
    </w:p>
    <w:p w14:paraId="34DA90E0" w14:textId="77777777" w:rsidR="00C13AAF" w:rsidRPr="008F3EE4" w:rsidRDefault="00C13AAF" w:rsidP="00C13AAF">
      <w:pPr>
        <w:spacing w:after="0" w:line="276" w:lineRule="auto"/>
        <w:contextualSpacing/>
        <w:jc w:val="both"/>
        <w:rPr>
          <w:rFonts w:ascii="Verdana" w:hAnsi="Verdana"/>
          <w:lang w:val="es-ES"/>
        </w:rPr>
      </w:pPr>
      <w:r w:rsidRPr="008F3EE4">
        <w:rPr>
          <w:rFonts w:ascii="Verdana" w:hAnsi="Verdana"/>
          <w:lang w:val="es-ES"/>
        </w:rPr>
        <w:t xml:space="preserve">Facebook: </w:t>
      </w:r>
      <w:proofErr w:type="spellStart"/>
      <w:r w:rsidRPr="008F3EE4">
        <w:rPr>
          <w:rStyle w:val="Hipervnculo"/>
          <w:rFonts w:ascii="Verdana" w:hAnsi="Verdana" w:cs="Arial"/>
          <w:shd w:val="clear" w:color="auto" w:fill="FFFFFF"/>
          <w:lang w:val="es-ES"/>
        </w:rPr>
        <w:t>ColombiaCompraEficiente</w:t>
      </w:r>
      <w:proofErr w:type="spellEnd"/>
    </w:p>
    <w:p w14:paraId="3FF4A5C9" w14:textId="77777777" w:rsidR="00C13AAF" w:rsidRPr="008F3EE4" w:rsidRDefault="00C13AAF" w:rsidP="00C13AAF">
      <w:pPr>
        <w:spacing w:after="0" w:line="276" w:lineRule="auto"/>
        <w:contextualSpacing/>
        <w:jc w:val="both"/>
        <w:rPr>
          <w:rFonts w:ascii="Verdana" w:hAnsi="Verdana"/>
          <w:lang w:val="es-ES"/>
        </w:rPr>
      </w:pPr>
      <w:r w:rsidRPr="008F3EE4">
        <w:rPr>
          <w:rFonts w:ascii="Verdana" w:hAnsi="Verdana"/>
          <w:lang w:val="es-ES"/>
        </w:rPr>
        <w:t xml:space="preserve">LinkedIn: </w:t>
      </w:r>
      <w:r w:rsidRPr="008F3EE4">
        <w:rPr>
          <w:rStyle w:val="Hipervnculo"/>
          <w:rFonts w:ascii="Verdana" w:hAnsi="Verdana" w:cs="Arial"/>
          <w:shd w:val="clear" w:color="auto" w:fill="FFFFFF"/>
          <w:lang w:val="es-ES"/>
        </w:rPr>
        <w:t xml:space="preserve">Agencia Nacional de Contratación Pública - Colombia Compra Eficiente </w:t>
      </w:r>
      <w:r w:rsidRPr="008F3EE4">
        <w:rPr>
          <w:rFonts w:ascii="Verdana" w:hAnsi="Verdana"/>
          <w:lang w:val="es-ES"/>
        </w:rPr>
        <w:t xml:space="preserve">Instagram: </w:t>
      </w:r>
      <w:r w:rsidRPr="008F3EE4">
        <w:rPr>
          <w:rStyle w:val="Hipervnculo"/>
          <w:rFonts w:ascii="Verdana" w:hAnsi="Verdana" w:cs="Arial"/>
          <w:shd w:val="clear" w:color="auto" w:fill="FFFFFF"/>
          <w:lang w:val="es-ES"/>
        </w:rPr>
        <w:t>@colombiacompraeficiente_cce</w:t>
      </w:r>
    </w:p>
    <w:p w14:paraId="2788E3A4" w14:textId="77777777" w:rsidR="00C13AAF" w:rsidRPr="008F3EE4" w:rsidRDefault="00C13AAF" w:rsidP="00C13AAF">
      <w:pPr>
        <w:widowControl w:val="0"/>
        <w:autoSpaceDE w:val="0"/>
        <w:autoSpaceDN w:val="0"/>
        <w:spacing w:after="0" w:line="276" w:lineRule="auto"/>
        <w:contextualSpacing/>
        <w:jc w:val="both"/>
        <w:rPr>
          <w:rFonts w:ascii="Verdana" w:hAnsi="Verdana" w:cs="Arial"/>
          <w:color w:val="000000" w:themeColor="text1"/>
          <w:lang w:val="es-ES"/>
        </w:rPr>
      </w:pPr>
    </w:p>
    <w:p w14:paraId="4991D954" w14:textId="2A0B2247" w:rsidR="00C13AAF" w:rsidRPr="008F3EE4" w:rsidRDefault="00C13AAF" w:rsidP="00C13AAF">
      <w:pPr>
        <w:widowControl w:val="0"/>
        <w:autoSpaceDE w:val="0"/>
        <w:autoSpaceDN w:val="0"/>
        <w:spacing w:after="0" w:line="276" w:lineRule="auto"/>
        <w:contextualSpacing/>
        <w:jc w:val="both"/>
        <w:rPr>
          <w:rFonts w:ascii="Verdana" w:hAnsi="Verdana" w:cs="Arial"/>
          <w:color w:val="000000" w:themeColor="text1"/>
          <w:lang w:val="es-ES"/>
        </w:rPr>
      </w:pPr>
      <w:r w:rsidRPr="008F3EE4">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2B2C777" w14:textId="5B55B985" w:rsidR="004D5B56" w:rsidRDefault="004D5B56" w:rsidP="00C13AAF">
      <w:pPr>
        <w:widowControl w:val="0"/>
        <w:autoSpaceDE w:val="0"/>
        <w:autoSpaceDN w:val="0"/>
        <w:spacing w:after="0" w:line="276" w:lineRule="auto"/>
        <w:contextualSpacing/>
        <w:jc w:val="both"/>
        <w:rPr>
          <w:rFonts w:ascii="Century Gothic" w:hAnsi="Century Gothic"/>
          <w:noProof/>
        </w:rPr>
      </w:pPr>
    </w:p>
    <w:p w14:paraId="1123AC12" w14:textId="68E68C6A" w:rsidR="00C13AAF" w:rsidRPr="008F3EE4" w:rsidRDefault="00C13AAF" w:rsidP="00C13AAF">
      <w:pPr>
        <w:spacing w:after="0" w:line="276" w:lineRule="auto"/>
        <w:rPr>
          <w:rFonts w:ascii="Verdana" w:hAnsi="Verdana" w:cs="Arial"/>
          <w:color w:val="000000" w:themeColor="text1"/>
          <w:lang w:val="es-ES" w:eastAsia="es-CO"/>
        </w:rPr>
      </w:pPr>
      <w:r w:rsidRPr="008F3EE4">
        <w:rPr>
          <w:rFonts w:ascii="Verdana" w:eastAsia="Times New Roman" w:hAnsi="Verdana" w:cs="Arial"/>
          <w:color w:val="000000" w:themeColor="text1"/>
          <w:lang w:val="es-ES" w:eastAsia="es-CO"/>
        </w:rPr>
        <w:t>Atentamente,</w:t>
      </w:r>
      <w:r w:rsidRPr="008F3EE4">
        <w:rPr>
          <w:rFonts w:ascii="Verdana" w:hAnsi="Verdana" w:cs="Arial"/>
          <w:color w:val="000000" w:themeColor="text1"/>
          <w:lang w:val="es-ES" w:eastAsia="es-CO"/>
        </w:rPr>
        <w:t xml:space="preserve"> </w:t>
      </w:r>
    </w:p>
    <w:p w14:paraId="208CEBC2" w14:textId="6FA5B81D" w:rsidR="00C13AAF" w:rsidRPr="008F3EE4" w:rsidRDefault="00560A80" w:rsidP="00C13AAF">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2336" behindDoc="0" locked="0" layoutInCell="1" allowOverlap="1" wp14:anchorId="1ACD7F7A" wp14:editId="78C928AF">
            <wp:simplePos x="0" y="0"/>
            <wp:positionH relativeFrom="column">
              <wp:posOffset>1260475</wp:posOffset>
            </wp:positionH>
            <wp:positionV relativeFrom="page">
              <wp:posOffset>6423965</wp:posOffset>
            </wp:positionV>
            <wp:extent cx="2889250" cy="107188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47">
                      <a:extLst>
                        <a:ext uri="{28A0092B-C50C-407E-A947-70E740481C1C}">
                          <a14:useLocalDpi xmlns:a14="http://schemas.microsoft.com/office/drawing/2010/main" val="0"/>
                        </a:ext>
                      </a:extLst>
                    </a:blip>
                    <a:stretch>
                      <a:fillRect/>
                    </a:stretch>
                  </pic:blipFill>
                  <pic:spPr>
                    <a:xfrm>
                      <a:off x="0" y="0"/>
                      <a:ext cx="2889250" cy="1071880"/>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3AAF" w:rsidRPr="008F3EE4" w14:paraId="6275CDEE" w14:textId="77777777" w:rsidTr="000F2D28">
        <w:trPr>
          <w:trHeight w:val="315"/>
        </w:trPr>
        <w:tc>
          <w:tcPr>
            <w:tcW w:w="893" w:type="dxa"/>
            <w:vAlign w:val="center"/>
            <w:hideMark/>
          </w:tcPr>
          <w:p w14:paraId="593D3450" w14:textId="77777777" w:rsidR="00C13AAF" w:rsidRPr="008F3EE4" w:rsidRDefault="00C13AAF" w:rsidP="000F2D28">
            <w:pPr>
              <w:contextualSpacing/>
              <w:rPr>
                <w:rFonts w:ascii="Verdana" w:hAnsi="Verdana" w:cs="Arial"/>
                <w:sz w:val="16"/>
                <w:szCs w:val="16"/>
                <w:lang w:val="es-ES" w:eastAsia="es-ES"/>
              </w:rPr>
            </w:pPr>
            <w:r w:rsidRPr="008F3EE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0CBBCE" w14:textId="0B8F3401" w:rsidR="00C13AAF" w:rsidRPr="008F3EE4" w:rsidRDefault="00C13AAF" w:rsidP="000F2D28">
            <w:pPr>
              <w:contextualSpacing/>
              <w:rPr>
                <w:rFonts w:ascii="Verdana" w:eastAsia="Arial" w:hAnsi="Verdana" w:cs="Arial"/>
                <w:color w:val="000000" w:themeColor="text1"/>
                <w:sz w:val="16"/>
                <w:szCs w:val="16"/>
                <w:lang w:val="es-ES"/>
              </w:rPr>
            </w:pPr>
            <w:r w:rsidRPr="008F3EE4">
              <w:rPr>
                <w:rFonts w:ascii="Verdana" w:eastAsia="Arial" w:hAnsi="Verdana" w:cs="Arial"/>
                <w:color w:val="000000" w:themeColor="text1"/>
                <w:sz w:val="16"/>
                <w:szCs w:val="16"/>
                <w:lang w:val="es-ES"/>
              </w:rPr>
              <w:t>Anamaría Bonilla Prieto</w:t>
            </w:r>
          </w:p>
          <w:p w14:paraId="2F8D800A" w14:textId="77777777" w:rsidR="00C13AAF" w:rsidRPr="008F3EE4" w:rsidRDefault="00C13AAF" w:rsidP="000F2D28">
            <w:pPr>
              <w:contextualSpacing/>
              <w:rPr>
                <w:rFonts w:ascii="Verdana" w:eastAsia="Arial" w:hAnsi="Verdana" w:cs="Arial"/>
                <w:sz w:val="16"/>
                <w:szCs w:val="16"/>
                <w:lang w:val="es-ES"/>
              </w:rPr>
            </w:pPr>
            <w:r w:rsidRPr="008F3EE4">
              <w:rPr>
                <w:rStyle w:val="normaltextrun"/>
                <w:rFonts w:ascii="Verdana" w:eastAsia="Arial" w:hAnsi="Verdana" w:cs="Arial"/>
                <w:color w:val="000000" w:themeColor="text1"/>
                <w:sz w:val="16"/>
                <w:szCs w:val="16"/>
                <w:lang w:val="es-ES"/>
              </w:rPr>
              <w:t xml:space="preserve">Contratista de la Subdirección </w:t>
            </w:r>
            <w:r w:rsidRPr="008F3EE4">
              <w:rPr>
                <w:rStyle w:val="normaltextrun"/>
                <w:rFonts w:ascii="Verdana" w:eastAsia="Arial" w:hAnsi="Verdana" w:cs="Arial"/>
                <w:sz w:val="16"/>
                <w:szCs w:val="16"/>
                <w:lang w:val="es-ES"/>
              </w:rPr>
              <w:t>de Gestión Contractual</w:t>
            </w:r>
          </w:p>
        </w:tc>
      </w:tr>
      <w:tr w:rsidR="00C13AAF" w:rsidRPr="008F3EE4" w14:paraId="33E8FACF" w14:textId="77777777" w:rsidTr="000F2D28">
        <w:trPr>
          <w:trHeight w:val="330"/>
        </w:trPr>
        <w:tc>
          <w:tcPr>
            <w:tcW w:w="893" w:type="dxa"/>
            <w:vAlign w:val="center"/>
            <w:hideMark/>
          </w:tcPr>
          <w:p w14:paraId="5C6A1C8B" w14:textId="77777777" w:rsidR="00C13AAF" w:rsidRPr="008F3EE4" w:rsidRDefault="00C13AAF" w:rsidP="000F2D28">
            <w:pPr>
              <w:contextualSpacing/>
              <w:rPr>
                <w:rFonts w:ascii="Verdana" w:hAnsi="Verdana" w:cs="Arial"/>
                <w:sz w:val="16"/>
                <w:szCs w:val="16"/>
                <w:lang w:val="es-ES" w:eastAsia="es-ES"/>
              </w:rPr>
            </w:pPr>
            <w:r w:rsidRPr="008F3EE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D5EEB7" w14:textId="5A734F40" w:rsidR="00C13AAF" w:rsidRPr="008F3EE4" w:rsidRDefault="00C13AAF" w:rsidP="000F2D28">
            <w:pPr>
              <w:spacing w:line="276" w:lineRule="auto"/>
              <w:contextualSpacing/>
              <w:textAlignment w:val="baseline"/>
              <w:rPr>
                <w:rFonts w:ascii="Verdana" w:eastAsia="Times New Roman" w:hAnsi="Verdana" w:cs="Arial"/>
                <w:sz w:val="16"/>
                <w:szCs w:val="16"/>
                <w:lang w:val="es-ES" w:eastAsia="es-ES_tradnl"/>
              </w:rPr>
            </w:pPr>
            <w:r w:rsidRPr="008F3EE4">
              <w:rPr>
                <w:rFonts w:ascii="Verdana" w:eastAsia="Times New Roman" w:hAnsi="Verdana" w:cs="Arial"/>
                <w:sz w:val="16"/>
                <w:szCs w:val="16"/>
                <w:lang w:val="es-ES" w:eastAsia="es-ES_tradnl"/>
              </w:rPr>
              <w:t>Alejandro Sarmiento Cantillo</w:t>
            </w:r>
          </w:p>
          <w:p w14:paraId="4333C3BD" w14:textId="77777777" w:rsidR="00C13AAF" w:rsidRPr="008F3EE4" w:rsidRDefault="00C13AAF" w:rsidP="000F2D28">
            <w:pPr>
              <w:pStyle w:val="paragraph"/>
              <w:spacing w:before="0" w:beforeAutospacing="0" w:after="0" w:afterAutospacing="0"/>
              <w:contextualSpacing/>
              <w:textAlignment w:val="baseline"/>
              <w:rPr>
                <w:rFonts w:ascii="Verdana" w:hAnsi="Verdana" w:cs="Segoe UI"/>
                <w:sz w:val="16"/>
                <w:szCs w:val="16"/>
                <w:lang w:val="es-ES"/>
              </w:rPr>
            </w:pPr>
            <w:r w:rsidRPr="008F3EE4">
              <w:rPr>
                <w:rFonts w:ascii="Verdana" w:hAnsi="Verdana" w:cs="Arial"/>
                <w:sz w:val="16"/>
                <w:szCs w:val="16"/>
                <w:lang w:val="es-ES"/>
              </w:rPr>
              <w:t xml:space="preserve">Gestor T1 – 15 </w:t>
            </w:r>
            <w:r w:rsidRPr="008F3EE4">
              <w:rPr>
                <w:rStyle w:val="normaltextrun"/>
                <w:rFonts w:ascii="Verdana" w:hAnsi="Verdana" w:cs="Arial"/>
                <w:sz w:val="16"/>
                <w:szCs w:val="16"/>
                <w:lang w:val="es-ES"/>
              </w:rPr>
              <w:t>de la Subdirección de Gestión Contractual</w:t>
            </w:r>
            <w:r w:rsidRPr="008F3EE4">
              <w:rPr>
                <w:rStyle w:val="eop"/>
                <w:rFonts w:ascii="Verdana" w:hAnsi="Verdana" w:cs="Arial"/>
                <w:sz w:val="16"/>
                <w:szCs w:val="16"/>
                <w:lang w:val="es-ES"/>
              </w:rPr>
              <w:t> </w:t>
            </w:r>
          </w:p>
        </w:tc>
      </w:tr>
      <w:tr w:rsidR="00C13AAF" w:rsidRPr="008F3EE4" w14:paraId="71171364" w14:textId="77777777" w:rsidTr="000F2D28">
        <w:trPr>
          <w:trHeight w:val="300"/>
        </w:trPr>
        <w:tc>
          <w:tcPr>
            <w:tcW w:w="893" w:type="dxa"/>
            <w:vAlign w:val="center"/>
          </w:tcPr>
          <w:p w14:paraId="0BEAA62D" w14:textId="77777777" w:rsidR="00C13AAF" w:rsidRPr="008F3EE4" w:rsidRDefault="00C13AAF" w:rsidP="000F2D28">
            <w:pPr>
              <w:contextualSpacing/>
              <w:rPr>
                <w:rFonts w:ascii="Verdana" w:hAnsi="Verdana" w:cs="Arial"/>
                <w:sz w:val="16"/>
                <w:szCs w:val="16"/>
                <w:lang w:val="es-ES" w:eastAsia="es-ES"/>
              </w:rPr>
            </w:pPr>
            <w:r w:rsidRPr="008F3EE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F5D10F" w14:textId="77777777" w:rsidR="00C13AAF" w:rsidRPr="008F3EE4" w:rsidRDefault="00C13AAF" w:rsidP="000F2D28">
            <w:pPr>
              <w:contextualSpacing/>
              <w:rPr>
                <w:rFonts w:ascii="Verdana" w:eastAsia="Calibri" w:hAnsi="Verdana" w:cs="Arial"/>
                <w:sz w:val="16"/>
                <w:szCs w:val="16"/>
                <w:lang w:val="es-ES" w:eastAsia="es-ES"/>
              </w:rPr>
            </w:pPr>
            <w:r w:rsidRPr="008F3EE4">
              <w:rPr>
                <w:rFonts w:ascii="Verdana" w:eastAsia="Calibri" w:hAnsi="Verdana" w:cs="Arial"/>
                <w:sz w:val="16"/>
                <w:szCs w:val="16"/>
                <w:lang w:val="es-ES" w:eastAsia="es-ES"/>
              </w:rPr>
              <w:t>Carolina Quintero Gacharná</w:t>
            </w:r>
          </w:p>
          <w:p w14:paraId="4861F594" w14:textId="77777777" w:rsidR="00C13AAF" w:rsidRPr="008F3EE4" w:rsidRDefault="00C13AAF" w:rsidP="000F2D28">
            <w:pPr>
              <w:contextualSpacing/>
              <w:rPr>
                <w:rFonts w:ascii="Verdana" w:eastAsia="Calibri" w:hAnsi="Verdana" w:cs="Arial"/>
                <w:sz w:val="16"/>
                <w:szCs w:val="16"/>
                <w:lang w:val="es-ES" w:eastAsia="es-ES"/>
              </w:rPr>
            </w:pPr>
            <w:r w:rsidRPr="008F3EE4">
              <w:rPr>
                <w:rFonts w:ascii="Verdana" w:eastAsia="Calibri" w:hAnsi="Verdana" w:cs="Arial"/>
                <w:sz w:val="16"/>
                <w:szCs w:val="16"/>
                <w:lang w:val="es-ES" w:eastAsia="es-ES"/>
              </w:rPr>
              <w:t>Subdirectora de Gestión Contractual ANCP – CCE</w:t>
            </w:r>
          </w:p>
        </w:tc>
      </w:tr>
    </w:tbl>
    <w:p w14:paraId="0F293BF4" w14:textId="0ABA88F6" w:rsidR="00127233" w:rsidRPr="006C605A" w:rsidRDefault="00127233" w:rsidP="000D1737"/>
    <w:sectPr w:rsidR="00127233" w:rsidRPr="006C605A" w:rsidSect="007C0C0F">
      <w:headerReference w:type="default" r:id="rId48"/>
      <w:footerReference w:type="default" r:id="rId4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443F3" w14:textId="77777777" w:rsidR="00700FA5" w:rsidRDefault="00700FA5" w:rsidP="004A1847">
      <w:pPr>
        <w:spacing w:after="0" w:line="240" w:lineRule="auto"/>
      </w:pPr>
      <w:r>
        <w:separator/>
      </w:r>
    </w:p>
  </w:endnote>
  <w:endnote w:type="continuationSeparator" w:id="0">
    <w:p w14:paraId="4EBC2D6D" w14:textId="77777777" w:rsidR="00700FA5" w:rsidRDefault="00700FA5" w:rsidP="004A1847">
      <w:pPr>
        <w:spacing w:after="0" w:line="240" w:lineRule="auto"/>
      </w:pPr>
      <w:r>
        <w:continuationSeparator/>
      </w:r>
    </w:p>
  </w:endnote>
  <w:endnote w:type="continuationNotice" w:id="1">
    <w:p w14:paraId="19B01920" w14:textId="77777777" w:rsidR="00700FA5" w:rsidRDefault="00700F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A8631" w14:textId="77777777" w:rsidR="00700FA5" w:rsidRDefault="00700FA5" w:rsidP="004A1847">
      <w:pPr>
        <w:spacing w:after="0" w:line="240" w:lineRule="auto"/>
      </w:pPr>
      <w:r>
        <w:separator/>
      </w:r>
    </w:p>
  </w:footnote>
  <w:footnote w:type="continuationSeparator" w:id="0">
    <w:p w14:paraId="67D37BF6" w14:textId="77777777" w:rsidR="00700FA5" w:rsidRDefault="00700FA5" w:rsidP="004A1847">
      <w:pPr>
        <w:spacing w:after="0" w:line="240" w:lineRule="auto"/>
      </w:pPr>
      <w:r>
        <w:continuationSeparator/>
      </w:r>
    </w:p>
  </w:footnote>
  <w:footnote w:type="continuationNotice" w:id="1">
    <w:p w14:paraId="4DA97D11" w14:textId="77777777" w:rsidR="00700FA5" w:rsidRDefault="00700FA5">
      <w:pPr>
        <w:spacing w:after="0" w:line="240" w:lineRule="auto"/>
      </w:pPr>
    </w:p>
  </w:footnote>
  <w:footnote w:id="2">
    <w:p w14:paraId="6E79036E" w14:textId="77777777" w:rsidR="00C13AAF" w:rsidRPr="004234E2" w:rsidRDefault="00C13AAF" w:rsidP="00C13AAF">
      <w:pPr>
        <w:spacing w:line="240" w:lineRule="auto"/>
        <w:ind w:right="49" w:firstLine="708"/>
        <w:contextualSpacing/>
        <w:jc w:val="both"/>
        <w:rPr>
          <w:rFonts w:ascii="Verdana" w:hAnsi="Verdana"/>
          <w:sz w:val="16"/>
          <w:szCs w:val="16"/>
        </w:rPr>
      </w:pPr>
      <w:r w:rsidRPr="004234E2">
        <w:rPr>
          <w:rStyle w:val="Refdenotaalpie"/>
          <w:rFonts w:ascii="Verdana" w:hAnsi="Verdana"/>
          <w:sz w:val="16"/>
          <w:szCs w:val="16"/>
        </w:rPr>
        <w:footnoteRef/>
      </w:r>
      <w:r w:rsidRPr="004234E2">
        <w:rPr>
          <w:rFonts w:ascii="Verdana" w:hAnsi="Verdana"/>
          <w:sz w:val="16"/>
          <w:szCs w:val="16"/>
        </w:rPr>
        <w:t>MEDINA LÓPEZ, Diego Eduardo. El derecho de los jueces: obligatoriedad del precedente constitucional, análisis de sentencias y líneas jurisprudenciales y teoría del derecho judicial. Bogotá: Legis, 2006.</w:t>
      </w:r>
    </w:p>
  </w:footnote>
  <w:footnote w:id="3">
    <w:p w14:paraId="3385945D" w14:textId="77777777" w:rsidR="00C13AAF" w:rsidRPr="004234E2" w:rsidRDefault="00C13AAF" w:rsidP="00C13AAF">
      <w:pPr>
        <w:pStyle w:val="Textonotapie"/>
        <w:ind w:firstLine="708"/>
        <w:contextualSpacing/>
        <w:jc w:val="both"/>
        <w:rPr>
          <w:rFonts w:ascii="Verdana" w:hAnsi="Verdana"/>
          <w:sz w:val="16"/>
          <w:szCs w:val="16"/>
          <w:lang w:val="es-ES"/>
        </w:rPr>
      </w:pPr>
      <w:r w:rsidRPr="004234E2">
        <w:rPr>
          <w:rStyle w:val="Refdenotaalpie"/>
          <w:rFonts w:ascii="Verdana" w:hAnsi="Verdana"/>
          <w:sz w:val="16"/>
          <w:szCs w:val="16"/>
        </w:rPr>
        <w:footnoteRef/>
      </w:r>
      <w:r w:rsidRPr="004234E2">
        <w:rPr>
          <w:rFonts w:ascii="Verdana" w:hAnsi="Verdana"/>
          <w:sz w:val="16"/>
          <w:szCs w:val="16"/>
        </w:rPr>
        <w:t>CONSEJO DE ESTADO. Sección Tercera. Auto del 20 de agosto de 1998. Exp. 14.202.</w:t>
      </w:r>
      <w:r w:rsidRPr="004234E2">
        <w:rPr>
          <w:rFonts w:ascii="Verdana" w:hAnsi="Verdana"/>
          <w:spacing w:val="40"/>
          <w:sz w:val="16"/>
          <w:szCs w:val="16"/>
        </w:rPr>
        <w:t xml:space="preserve"> </w:t>
      </w:r>
      <w:r w:rsidRPr="004234E2">
        <w:rPr>
          <w:rFonts w:ascii="Verdana" w:hAnsi="Verdana"/>
          <w:sz w:val="16"/>
          <w:szCs w:val="16"/>
        </w:rPr>
        <w:t>C.P. Juan de Dios Montes Bermúdez</w:t>
      </w:r>
    </w:p>
  </w:footnote>
  <w:footnote w:id="4">
    <w:p w14:paraId="269981F0" w14:textId="77777777" w:rsidR="00C13AAF" w:rsidRPr="004234E2" w:rsidRDefault="00C13AAF" w:rsidP="00C13AAF">
      <w:pPr>
        <w:pStyle w:val="Textonotapie"/>
        <w:ind w:firstLine="708"/>
        <w:contextualSpacing/>
        <w:jc w:val="both"/>
        <w:rPr>
          <w:rFonts w:ascii="Verdana" w:hAnsi="Verdana"/>
          <w:sz w:val="16"/>
          <w:szCs w:val="16"/>
          <w:lang w:val="es-ES"/>
        </w:rPr>
      </w:pPr>
      <w:r w:rsidRPr="004234E2">
        <w:rPr>
          <w:rStyle w:val="Refdenotaalpie"/>
          <w:rFonts w:ascii="Verdana" w:hAnsi="Verdana"/>
          <w:sz w:val="16"/>
          <w:szCs w:val="16"/>
        </w:rPr>
        <w:footnoteRef/>
      </w:r>
      <w:r w:rsidRPr="004234E2">
        <w:rPr>
          <w:rFonts w:ascii="Verdana" w:hAnsi="Verdana"/>
          <w:sz w:val="16"/>
          <w:szCs w:val="16"/>
          <w:lang w:val="es-ES"/>
        </w:rPr>
        <w:t xml:space="preserve">Referido en </w:t>
      </w:r>
      <w:r w:rsidRPr="004234E2">
        <w:rPr>
          <w:rFonts w:ascii="Verdana" w:hAnsi="Verdana"/>
          <w:sz w:val="16"/>
          <w:szCs w:val="16"/>
        </w:rPr>
        <w:t>Expósito</w:t>
      </w:r>
      <w:r w:rsidRPr="004234E2">
        <w:rPr>
          <w:rFonts w:ascii="Verdana" w:hAnsi="Verdana"/>
          <w:spacing w:val="-11"/>
          <w:sz w:val="16"/>
          <w:szCs w:val="16"/>
        </w:rPr>
        <w:t xml:space="preserve"> </w:t>
      </w:r>
      <w:r w:rsidRPr="004234E2">
        <w:rPr>
          <w:rFonts w:ascii="Verdana" w:hAnsi="Verdana"/>
          <w:sz w:val="16"/>
          <w:szCs w:val="16"/>
        </w:rPr>
        <w:t>Vélez,</w:t>
      </w:r>
      <w:r w:rsidRPr="004234E2">
        <w:rPr>
          <w:rFonts w:ascii="Verdana" w:hAnsi="Verdana"/>
          <w:spacing w:val="-11"/>
          <w:sz w:val="16"/>
          <w:szCs w:val="16"/>
        </w:rPr>
        <w:t xml:space="preserve"> </w:t>
      </w:r>
      <w:r w:rsidRPr="004234E2">
        <w:rPr>
          <w:rFonts w:ascii="Verdana" w:hAnsi="Verdana"/>
          <w:sz w:val="16"/>
          <w:szCs w:val="16"/>
        </w:rPr>
        <w:t>Juan</w:t>
      </w:r>
      <w:r w:rsidRPr="004234E2">
        <w:rPr>
          <w:rFonts w:ascii="Verdana" w:hAnsi="Verdana"/>
          <w:spacing w:val="-11"/>
          <w:sz w:val="16"/>
          <w:szCs w:val="16"/>
        </w:rPr>
        <w:t xml:space="preserve"> </w:t>
      </w:r>
      <w:r w:rsidRPr="004234E2">
        <w:rPr>
          <w:rFonts w:ascii="Verdana" w:hAnsi="Verdana"/>
          <w:sz w:val="16"/>
          <w:szCs w:val="16"/>
        </w:rPr>
        <w:t>Carlos.</w:t>
      </w:r>
      <w:r w:rsidRPr="004234E2">
        <w:rPr>
          <w:rFonts w:ascii="Verdana" w:hAnsi="Verdana"/>
          <w:spacing w:val="-10"/>
          <w:sz w:val="16"/>
          <w:szCs w:val="16"/>
        </w:rPr>
        <w:t xml:space="preserve"> </w:t>
      </w:r>
      <w:r w:rsidRPr="004234E2">
        <w:rPr>
          <w:rFonts w:ascii="Verdana" w:hAnsi="Verdana"/>
          <w:sz w:val="16"/>
          <w:szCs w:val="16"/>
        </w:rPr>
        <w:t>Definición</w:t>
      </w:r>
      <w:r w:rsidRPr="004234E2">
        <w:rPr>
          <w:rFonts w:ascii="Verdana" w:hAnsi="Verdana"/>
          <w:spacing w:val="-10"/>
          <w:sz w:val="16"/>
          <w:szCs w:val="16"/>
        </w:rPr>
        <w:t xml:space="preserve"> </w:t>
      </w:r>
      <w:r w:rsidRPr="004234E2">
        <w:rPr>
          <w:rFonts w:ascii="Verdana" w:hAnsi="Verdana"/>
          <w:sz w:val="16"/>
          <w:szCs w:val="16"/>
        </w:rPr>
        <w:t>de</w:t>
      </w:r>
      <w:r w:rsidRPr="004234E2">
        <w:rPr>
          <w:rFonts w:ascii="Verdana" w:hAnsi="Verdana"/>
          <w:spacing w:val="-12"/>
          <w:sz w:val="16"/>
          <w:szCs w:val="16"/>
        </w:rPr>
        <w:t xml:space="preserve"> </w:t>
      </w:r>
      <w:r w:rsidRPr="004234E2">
        <w:rPr>
          <w:rFonts w:ascii="Verdana" w:hAnsi="Verdana"/>
          <w:sz w:val="16"/>
          <w:szCs w:val="16"/>
        </w:rPr>
        <w:t>los</w:t>
      </w:r>
      <w:r w:rsidRPr="004234E2">
        <w:rPr>
          <w:rFonts w:ascii="Verdana" w:hAnsi="Verdana"/>
          <w:spacing w:val="-11"/>
          <w:sz w:val="16"/>
          <w:szCs w:val="16"/>
        </w:rPr>
        <w:t xml:space="preserve"> </w:t>
      </w:r>
      <w:r w:rsidRPr="004234E2">
        <w:rPr>
          <w:rFonts w:ascii="Verdana" w:hAnsi="Verdana"/>
          <w:sz w:val="16"/>
          <w:szCs w:val="16"/>
        </w:rPr>
        <w:t>Contratos</w:t>
      </w:r>
      <w:r w:rsidRPr="004234E2">
        <w:rPr>
          <w:rFonts w:ascii="Verdana" w:hAnsi="Verdana"/>
          <w:spacing w:val="-10"/>
          <w:sz w:val="16"/>
          <w:szCs w:val="16"/>
        </w:rPr>
        <w:t xml:space="preserve"> </w:t>
      </w:r>
      <w:r w:rsidRPr="004234E2">
        <w:rPr>
          <w:rFonts w:ascii="Verdana" w:hAnsi="Verdana"/>
          <w:sz w:val="16"/>
          <w:szCs w:val="16"/>
        </w:rPr>
        <w:t>Estatales.</w:t>
      </w:r>
      <w:r w:rsidRPr="004234E2">
        <w:rPr>
          <w:rFonts w:ascii="Verdana" w:hAnsi="Verdana"/>
          <w:spacing w:val="-10"/>
          <w:sz w:val="16"/>
          <w:szCs w:val="16"/>
        </w:rPr>
        <w:t xml:space="preserve"> </w:t>
      </w:r>
      <w:r w:rsidRPr="004234E2">
        <w:rPr>
          <w:rFonts w:ascii="Verdana" w:hAnsi="Verdana"/>
          <w:sz w:val="16"/>
          <w:szCs w:val="16"/>
        </w:rPr>
        <w:t>Contratos</w:t>
      </w:r>
      <w:r w:rsidRPr="004234E2">
        <w:rPr>
          <w:rFonts w:ascii="Verdana" w:hAnsi="Verdana"/>
          <w:spacing w:val="-10"/>
          <w:sz w:val="16"/>
          <w:szCs w:val="16"/>
        </w:rPr>
        <w:t xml:space="preserve"> </w:t>
      </w:r>
      <w:r w:rsidRPr="004234E2">
        <w:rPr>
          <w:rFonts w:ascii="Verdana" w:hAnsi="Verdana"/>
          <w:sz w:val="16"/>
          <w:szCs w:val="16"/>
        </w:rPr>
        <w:t>Estatales</w:t>
      </w:r>
      <w:r w:rsidRPr="004234E2">
        <w:rPr>
          <w:rFonts w:ascii="Verdana" w:hAnsi="Verdana"/>
          <w:spacing w:val="-10"/>
          <w:sz w:val="16"/>
          <w:szCs w:val="16"/>
        </w:rPr>
        <w:t xml:space="preserve"> </w:t>
      </w:r>
      <w:r w:rsidRPr="004234E2">
        <w:rPr>
          <w:rFonts w:ascii="Verdana" w:hAnsi="Verdana"/>
          <w:sz w:val="16"/>
          <w:szCs w:val="16"/>
        </w:rPr>
        <w:t>propiamente</w:t>
      </w:r>
      <w:r w:rsidRPr="004234E2">
        <w:rPr>
          <w:rFonts w:ascii="Verdana" w:hAnsi="Verdana"/>
          <w:spacing w:val="-10"/>
          <w:sz w:val="16"/>
          <w:szCs w:val="16"/>
        </w:rPr>
        <w:t xml:space="preserve"> </w:t>
      </w:r>
      <w:r w:rsidRPr="004234E2">
        <w:rPr>
          <w:rFonts w:ascii="Verdana" w:hAnsi="Verdana"/>
          <w:sz w:val="16"/>
          <w:szCs w:val="16"/>
        </w:rPr>
        <w:t>dichos y Contratos Estatales Especiales. Regulación del Contrato suscrito con entidades estatales. Jurisdicción Competente. En: Andrés Fernando Ospina Garzón. Los Grandes Fallos de la Jurisprudencia Administrativa Colombiana. Universidad Externado de Colombia, 2013.</w:t>
      </w:r>
    </w:p>
  </w:footnote>
  <w:footnote w:id="5">
    <w:p w14:paraId="6A1A98F8" w14:textId="77777777" w:rsidR="00C13AAF" w:rsidRPr="004234E2" w:rsidRDefault="00C13AAF" w:rsidP="00C13AAF">
      <w:pPr>
        <w:pStyle w:val="Textonotapie"/>
        <w:ind w:firstLine="708"/>
        <w:contextualSpacing/>
        <w:jc w:val="both"/>
        <w:rPr>
          <w:rFonts w:ascii="Verdana" w:hAnsi="Verdana"/>
          <w:sz w:val="16"/>
          <w:szCs w:val="16"/>
        </w:rPr>
      </w:pPr>
      <w:r w:rsidRPr="004234E2">
        <w:rPr>
          <w:rStyle w:val="Refdenotaalpie"/>
          <w:rFonts w:ascii="Verdana" w:hAnsi="Verdana"/>
          <w:sz w:val="16"/>
          <w:szCs w:val="16"/>
        </w:rPr>
        <w:footnoteRef/>
      </w:r>
      <w:r w:rsidRPr="004234E2">
        <w:rPr>
          <w:rFonts w:ascii="Verdana" w:hAnsi="Verdana"/>
          <w:sz w:val="16"/>
          <w:szCs w:val="16"/>
        </w:rPr>
        <w:t xml:space="preserve"> Artículo 66. Medidas especiales de contratación.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r w:rsidRPr="004234E2">
        <w:rPr>
          <w:rFonts w:ascii="Verdana" w:hAnsi="Verdana"/>
          <w:sz w:val="16"/>
          <w:szCs w:val="16"/>
          <w:u w:val="single"/>
        </w:rPr>
        <w:t>13</w:t>
      </w:r>
      <w:r w:rsidRPr="004234E2">
        <w:rPr>
          <w:rFonts w:ascii="Verdana" w:hAnsi="Verdana"/>
          <w:sz w:val="16"/>
          <w:szCs w:val="16"/>
        </w:rPr>
        <w:t xml:space="preserve"> de la Ley 1150 de 2007, y podrán contemplar cláusulas excepcionales de conformidad con lo dispuesto en los artículos </w:t>
      </w:r>
      <w:r w:rsidRPr="004234E2">
        <w:rPr>
          <w:rFonts w:ascii="Verdana" w:hAnsi="Verdana"/>
          <w:sz w:val="16"/>
          <w:szCs w:val="16"/>
          <w:u w:val="single"/>
        </w:rPr>
        <w:t>14</w:t>
      </w:r>
      <w:r w:rsidRPr="004234E2">
        <w:rPr>
          <w:rFonts w:ascii="Verdana" w:hAnsi="Verdana"/>
          <w:sz w:val="16"/>
          <w:szCs w:val="16"/>
        </w:rPr>
        <w:t xml:space="preserve"> a </w:t>
      </w:r>
      <w:r w:rsidRPr="004234E2">
        <w:rPr>
          <w:rFonts w:ascii="Verdana" w:hAnsi="Verdana"/>
          <w:sz w:val="16"/>
          <w:szCs w:val="16"/>
          <w:u w:val="single"/>
        </w:rPr>
        <w:t>18</w:t>
      </w:r>
      <w:r w:rsidRPr="004234E2">
        <w:rPr>
          <w:rFonts w:ascii="Verdana" w:hAnsi="Verdana"/>
          <w:sz w:val="16"/>
          <w:szCs w:val="16"/>
        </w:rPr>
        <w:t xml:space="preserve"> de la Ley 80 de 1993.</w:t>
      </w:r>
    </w:p>
    <w:p w14:paraId="196B588F"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 xml:space="preserve">PARÁGRAFO. Los contratos celebrados por las entidades territoriales en virtud del artículo anterior se someterán al control fiscal dispuesto para los celebrados en el marco de la declaratoria de urgencia manifiesta contemplada en los artículos </w:t>
      </w:r>
      <w:r w:rsidRPr="004234E2">
        <w:rPr>
          <w:rFonts w:ascii="Verdana" w:hAnsi="Verdana"/>
          <w:sz w:val="16"/>
          <w:szCs w:val="16"/>
          <w:u w:val="single"/>
        </w:rPr>
        <w:t>42</w:t>
      </w:r>
      <w:r w:rsidRPr="004234E2">
        <w:rPr>
          <w:rFonts w:ascii="Verdana" w:hAnsi="Verdana"/>
          <w:sz w:val="16"/>
          <w:szCs w:val="16"/>
        </w:rPr>
        <w:t xml:space="preserve"> y </w:t>
      </w:r>
      <w:r w:rsidRPr="004234E2">
        <w:rPr>
          <w:rFonts w:ascii="Verdana" w:hAnsi="Verdana"/>
          <w:sz w:val="16"/>
          <w:szCs w:val="16"/>
          <w:u w:val="single"/>
        </w:rPr>
        <w:t>43</w:t>
      </w:r>
      <w:r w:rsidRPr="004234E2">
        <w:rPr>
          <w:rFonts w:ascii="Verdana" w:hAnsi="Verdana"/>
          <w:sz w:val="16"/>
          <w:szCs w:val="16"/>
        </w:rPr>
        <w:t xml:space="preserve"> de la Ley 80 de 1993 y demás normas que la modifiquen.</w:t>
      </w:r>
    </w:p>
  </w:footnote>
  <w:footnote w:id="6">
    <w:p w14:paraId="46312018" w14:textId="77777777" w:rsidR="00C13AAF" w:rsidRPr="004234E2" w:rsidRDefault="00C13AAF" w:rsidP="00C13AAF">
      <w:pPr>
        <w:pStyle w:val="Textonotapie"/>
        <w:ind w:firstLine="708"/>
        <w:rPr>
          <w:rFonts w:ascii="Verdana" w:hAnsi="Verdana"/>
          <w:sz w:val="16"/>
          <w:szCs w:val="16"/>
          <w:lang w:val="es-ES"/>
        </w:rPr>
      </w:pPr>
      <w:r w:rsidRPr="004234E2">
        <w:rPr>
          <w:rStyle w:val="Refdenotaalpie"/>
          <w:rFonts w:ascii="Verdana" w:hAnsi="Verdana"/>
          <w:sz w:val="16"/>
          <w:szCs w:val="16"/>
        </w:rPr>
        <w:footnoteRef/>
      </w:r>
      <w:r w:rsidRPr="004234E2">
        <w:rPr>
          <w:rFonts w:ascii="Verdana" w:hAnsi="Verdana"/>
          <w:sz w:val="16"/>
          <w:szCs w:val="16"/>
        </w:rPr>
        <w:t xml:space="preserve"> </w:t>
      </w:r>
      <w:r w:rsidRPr="004234E2">
        <w:rPr>
          <w:rFonts w:ascii="Verdana" w:hAnsi="Verdana"/>
          <w:sz w:val="16"/>
          <w:szCs w:val="16"/>
          <w:lang w:val="es-ES"/>
        </w:rPr>
        <w:t xml:space="preserve">Corte Constitucional. Sentencia </w:t>
      </w:r>
      <w:r w:rsidRPr="004234E2">
        <w:rPr>
          <w:rFonts w:ascii="Verdana" w:hAnsi="Verdana"/>
          <w:sz w:val="16"/>
          <w:szCs w:val="16"/>
          <w:lang w:val="es-CO"/>
        </w:rPr>
        <w:t>C-251 de 2011. M.P. Jorge Ignacio Pretelt Chaljub.</w:t>
      </w:r>
    </w:p>
  </w:footnote>
  <w:footnote w:id="7">
    <w:p w14:paraId="65A910C2" w14:textId="77777777" w:rsidR="00C13AAF" w:rsidRPr="004234E2" w:rsidRDefault="00C13AAF" w:rsidP="00C13AAF">
      <w:pPr>
        <w:pStyle w:val="Textonotapie"/>
        <w:ind w:firstLine="708"/>
        <w:contextualSpacing/>
        <w:jc w:val="both"/>
        <w:rPr>
          <w:rFonts w:ascii="Verdana" w:hAnsi="Verdana"/>
          <w:sz w:val="16"/>
          <w:szCs w:val="16"/>
        </w:rPr>
      </w:pPr>
      <w:r w:rsidRPr="004234E2">
        <w:rPr>
          <w:rStyle w:val="Refdenotaalpie"/>
          <w:rFonts w:ascii="Verdana" w:hAnsi="Verdana"/>
          <w:sz w:val="16"/>
          <w:szCs w:val="16"/>
        </w:rPr>
        <w:footnoteRef/>
      </w:r>
      <w:r w:rsidRPr="004234E2">
        <w:rPr>
          <w:rFonts w:ascii="Verdana" w:hAnsi="Verdana"/>
          <w:sz w:val="16"/>
          <w:szCs w:val="16"/>
        </w:rPr>
        <w:t xml:space="preserve"> Decreto 2387 de 2015, Artículo 2º: El artículo</w:t>
      </w:r>
      <w:r w:rsidRPr="004234E2">
        <w:rPr>
          <w:rFonts w:ascii="Verdana" w:hAnsi="Verdana"/>
          <w:i/>
          <w:sz w:val="16"/>
          <w:szCs w:val="16"/>
        </w:rPr>
        <w:t xml:space="preserve"> 2.13.1.2 del Decreto 1068 de 2015, quedará así: </w:t>
      </w:r>
      <w:r w:rsidRPr="004234E2">
        <w:rPr>
          <w:rFonts w:ascii="Verdana" w:hAnsi="Verdana"/>
          <w:sz w:val="16"/>
          <w:szCs w:val="16"/>
        </w:rPr>
        <w:t> </w:t>
      </w:r>
    </w:p>
    <w:p w14:paraId="21F4CCBA"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“Artículo 2.13.1.2. Modalidades de selección. La escogencia del contratista se efectuará con arreglo a las modalidades de selección de Invitación Abierta, Invitación Cerrada y Contratación Directa, con base en las siguientes reglas:  </w:t>
      </w:r>
    </w:p>
    <w:p w14:paraId="475EC4C6"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 xml:space="preserve">1. Invitación Abierta: Modalidad de selección mediante la cual el Fondo Adaptación formulará invitación pública para que todos aquellos interesados en participar presenten sus ofertas y, entre ellas, seleccionará objetivamente la más favorable a los fines e intereses de la Entidad. · </w:t>
      </w:r>
    </w:p>
    <w:p w14:paraId="19AFCB88" w14:textId="77777777" w:rsidR="00C13AAF" w:rsidRPr="004234E2" w:rsidRDefault="00C13AAF" w:rsidP="00C13AAF">
      <w:pPr>
        <w:pStyle w:val="Textonotapie"/>
        <w:contextualSpacing/>
        <w:jc w:val="both"/>
        <w:rPr>
          <w:rFonts w:ascii="Verdana" w:hAnsi="Verdana"/>
          <w:sz w:val="16"/>
          <w:szCs w:val="16"/>
        </w:rPr>
      </w:pPr>
      <w:r w:rsidRPr="004234E2">
        <w:rPr>
          <w:rFonts w:ascii="Verdana" w:hAnsi="Verdana"/>
          <w:sz w:val="16"/>
          <w:szCs w:val="16"/>
        </w:rPr>
        <w:t>Corresponde a la modalidad de selección prevista para aquellos casos en que el monto de la contratación sea igual o superior a 132.000 smlmv.  </w:t>
      </w:r>
    </w:p>
    <w:p w14:paraId="081FCD97"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Esta modalidad podrá estar precedida de una precalificación de interesados, en las condiciones que definan los términos de condiciones contractuales.  </w:t>
      </w:r>
    </w:p>
    <w:p w14:paraId="471EE1A3"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2. Invitación Cerrada: Modalidad de selección objetiva mediante la cual el Fondo Adaptación, previa definición del presupuesto y de los requerimientos financieros y de experiencia requeridos para la ejecución del futuro contrato, formulará invitación a presentar oferta a mínimo dos (2) oferentes, mediante la aplicación de criterios objetivos previamente determinados, seleccionará entre ellos el ofrecimiento más favorable a los intereses de la entidad.  </w:t>
      </w:r>
    </w:p>
    <w:p w14:paraId="06C30482"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Esta modalidad será aplicable para los contratos cuyo valor sea superior a 1.000 smlmv e inferior a 132.000 smlmv.  </w:t>
      </w:r>
    </w:p>
    <w:p w14:paraId="02909DFC"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Esta modalidad podrá estar precedida de manifestaciones de interés, en las condiciones que defina la entidad.  </w:t>
      </w:r>
    </w:p>
    <w:p w14:paraId="01098D37"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3. Contratación Directa: Modalidad mediante la cual el Fondo Adaptación contratará de manera directa al contratista, en los siguientes eventos:  </w:t>
      </w:r>
    </w:p>
    <w:p w14:paraId="667B2117" w14:textId="77777777" w:rsidR="00C13AAF" w:rsidRPr="004234E2" w:rsidRDefault="00C13AAF" w:rsidP="00C13AAF">
      <w:pPr>
        <w:pStyle w:val="Textonotapie"/>
        <w:contextualSpacing/>
        <w:jc w:val="both"/>
        <w:rPr>
          <w:rFonts w:ascii="Verdana" w:hAnsi="Verdana"/>
          <w:sz w:val="16"/>
          <w:szCs w:val="16"/>
        </w:rPr>
      </w:pPr>
      <w:r w:rsidRPr="004234E2">
        <w:rPr>
          <w:rFonts w:ascii="Verdana" w:hAnsi="Verdana"/>
          <w:sz w:val="16"/>
          <w:szCs w:val="16"/>
        </w:rPr>
        <w:t>a) Contratos cuya cuantía sea igual o inferior a 1.000 smlmv.  </w:t>
      </w:r>
    </w:p>
    <w:p w14:paraId="1CB16357" w14:textId="77777777" w:rsidR="00C13AAF" w:rsidRPr="004234E2" w:rsidRDefault="00C13AAF" w:rsidP="00C13AAF">
      <w:pPr>
        <w:pStyle w:val="Textonotapie"/>
        <w:contextualSpacing/>
        <w:jc w:val="both"/>
        <w:rPr>
          <w:rFonts w:ascii="Verdana" w:hAnsi="Verdana"/>
          <w:sz w:val="16"/>
          <w:szCs w:val="16"/>
        </w:rPr>
      </w:pPr>
      <w:r w:rsidRPr="004234E2">
        <w:rPr>
          <w:rFonts w:ascii="Verdana" w:hAnsi="Verdana"/>
          <w:sz w:val="16"/>
          <w:szCs w:val="16"/>
        </w:rPr>
        <w:t>b) Contratos o Convenios que se celebren con otras entidades públicas, siempre que el objeto de la entidad contratada tenga relación directa con el objeto a contratar.  </w:t>
      </w:r>
    </w:p>
    <w:p w14:paraId="5C3CCE3B"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c) Contratos para el desarrollo de actividades científicas o tecnológicas.  </w:t>
      </w:r>
    </w:p>
    <w:p w14:paraId="23C08E2B"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d) Contratos para la ejecución de actividades que puedan encomendarse a determinadas personas, en consideración a las calidades técnicas, de experiencia y amplio reconocimiento en el mercado de la persona natural o jurídica a contratar debidamente justificada.  </w:t>
      </w:r>
    </w:p>
    <w:p w14:paraId="2D1ACE34"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e) Contratos de prestación de servicios profesionales y los relacionados con actividades operativas, logísticas o asistenciales.  </w:t>
      </w:r>
    </w:p>
    <w:p w14:paraId="78657EC6"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 xml:space="preserve">f) Contratos de Consultoría. </w:t>
      </w:r>
    </w:p>
    <w:p w14:paraId="68BD629F"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g) Contratos para el desarrollo de actividades de acompañamiento social o para el desarrollo de proyectos de reactivación socioeconómica en los territorios objeto de intervención.  </w:t>
      </w:r>
    </w:p>
    <w:p w14:paraId="447D4ECB"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h) Contratos para proveer soluciones de vivienda.  </w:t>
      </w:r>
    </w:p>
    <w:p w14:paraId="1644A434"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i) Contratos de arrendamiento, comodato y adquisición de bienes inmuebles.  </w:t>
      </w:r>
    </w:p>
    <w:p w14:paraId="625C2C4A"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j) Cuando el estudio de mercado demuestre que solo hay una persona con capacidad para proveer el bien o servicio, por ser el titular o representante de los derechos de propiedad industrial, propiedad intelectual o de los derechos de autor o por ser, de acuerdo con la ley, su proveedor exclusivo.  </w:t>
      </w:r>
    </w:p>
    <w:p w14:paraId="051C0514"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sz w:val="16"/>
          <w:szCs w:val="16"/>
        </w:rPr>
        <w:t>k) Cuando no se presente propuesta alguna o se declare fallida la invitación abierta o la cerrada.  </w:t>
      </w:r>
    </w:p>
    <w:p w14:paraId="1EFB7CDA"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b/>
          <w:sz w:val="16"/>
          <w:szCs w:val="16"/>
        </w:rPr>
        <w:t>Parágrafo 1°.</w:t>
      </w:r>
      <w:r w:rsidRPr="004234E2">
        <w:rPr>
          <w:rFonts w:ascii="Verdana" w:hAnsi="Verdana"/>
          <w:sz w:val="16"/>
          <w:szCs w:val="16"/>
        </w:rPr>
        <w:t> Sin perjuicio de las causales definidas en el numeral 3 del presente artículo, en aquellos casos en que por las características del objeto a contratar se considere conveniente, se podrá adelantar un proceso de invitación abierta o cerrada según se determine.  </w:t>
      </w:r>
    </w:p>
    <w:p w14:paraId="30F16D98" w14:textId="77777777" w:rsidR="00C13AAF" w:rsidRPr="004234E2" w:rsidRDefault="00C13AAF" w:rsidP="00C13AAF">
      <w:pPr>
        <w:pStyle w:val="Textonotapie"/>
        <w:ind w:firstLine="708"/>
        <w:contextualSpacing/>
        <w:jc w:val="both"/>
        <w:rPr>
          <w:rFonts w:ascii="Verdana" w:hAnsi="Verdana"/>
          <w:sz w:val="16"/>
          <w:szCs w:val="16"/>
        </w:rPr>
      </w:pPr>
      <w:r w:rsidRPr="004234E2">
        <w:rPr>
          <w:rFonts w:ascii="Verdana" w:hAnsi="Verdana"/>
          <w:b/>
          <w:sz w:val="16"/>
          <w:szCs w:val="16"/>
        </w:rPr>
        <w:t>Parágrafo 2º.</w:t>
      </w:r>
      <w:r w:rsidRPr="004234E2">
        <w:rPr>
          <w:rFonts w:ascii="Verdana" w:hAnsi="Verdana"/>
          <w:sz w:val="16"/>
          <w:szCs w:val="16"/>
        </w:rPr>
        <w:t> Las reglas para la ejecución de cada una de las modalidades de selección a que se refiere el presente artículo, estarán señaladas en el Manual de Contratación que adopte el Fondo. </w:t>
      </w:r>
    </w:p>
    <w:p w14:paraId="3906351D" w14:textId="77777777" w:rsidR="00C13AAF" w:rsidRPr="004234E2" w:rsidRDefault="00C13AAF" w:rsidP="00C13AAF">
      <w:pPr>
        <w:pStyle w:val="Textonotapie"/>
        <w:contextualSpacing/>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6" w:hanging="360"/>
      </w:pPr>
      <w:rPr>
        <w:rFonts w:ascii="Symbol" w:hAnsi="Symbol" w:hint="default"/>
      </w:rPr>
    </w:lvl>
    <w:lvl w:ilvl="1" w:tplc="040A0003">
      <w:start w:val="1"/>
      <w:numFmt w:val="bullet"/>
      <w:lvlText w:val="o"/>
      <w:lvlJc w:val="left"/>
      <w:pPr>
        <w:ind w:left="726" w:hanging="360"/>
      </w:pPr>
      <w:rPr>
        <w:rFonts w:ascii="Courier New" w:hAnsi="Courier New" w:cs="Courier New" w:hint="default"/>
      </w:rPr>
    </w:lvl>
    <w:lvl w:ilvl="2" w:tplc="040A0005" w:tentative="1">
      <w:start w:val="1"/>
      <w:numFmt w:val="bullet"/>
      <w:lvlText w:val=""/>
      <w:lvlJc w:val="left"/>
      <w:pPr>
        <w:ind w:left="1446" w:hanging="360"/>
      </w:pPr>
      <w:rPr>
        <w:rFonts w:ascii="Wingdings" w:hAnsi="Wingdings" w:hint="default"/>
      </w:rPr>
    </w:lvl>
    <w:lvl w:ilvl="3" w:tplc="040A0001" w:tentative="1">
      <w:start w:val="1"/>
      <w:numFmt w:val="bullet"/>
      <w:lvlText w:val=""/>
      <w:lvlJc w:val="left"/>
      <w:pPr>
        <w:ind w:left="2166" w:hanging="360"/>
      </w:pPr>
      <w:rPr>
        <w:rFonts w:ascii="Symbol" w:hAnsi="Symbol" w:hint="default"/>
      </w:rPr>
    </w:lvl>
    <w:lvl w:ilvl="4" w:tplc="040A0003" w:tentative="1">
      <w:start w:val="1"/>
      <w:numFmt w:val="bullet"/>
      <w:lvlText w:val="o"/>
      <w:lvlJc w:val="left"/>
      <w:pPr>
        <w:ind w:left="2886" w:hanging="360"/>
      </w:pPr>
      <w:rPr>
        <w:rFonts w:ascii="Courier New" w:hAnsi="Courier New" w:cs="Courier New" w:hint="default"/>
      </w:rPr>
    </w:lvl>
    <w:lvl w:ilvl="5" w:tplc="040A0005" w:tentative="1">
      <w:start w:val="1"/>
      <w:numFmt w:val="bullet"/>
      <w:lvlText w:val=""/>
      <w:lvlJc w:val="left"/>
      <w:pPr>
        <w:ind w:left="3606" w:hanging="360"/>
      </w:pPr>
      <w:rPr>
        <w:rFonts w:ascii="Wingdings" w:hAnsi="Wingdings" w:hint="default"/>
      </w:rPr>
    </w:lvl>
    <w:lvl w:ilvl="6" w:tplc="040A0001" w:tentative="1">
      <w:start w:val="1"/>
      <w:numFmt w:val="bullet"/>
      <w:lvlText w:val=""/>
      <w:lvlJc w:val="left"/>
      <w:pPr>
        <w:ind w:left="4326" w:hanging="360"/>
      </w:pPr>
      <w:rPr>
        <w:rFonts w:ascii="Symbol" w:hAnsi="Symbol" w:hint="default"/>
      </w:rPr>
    </w:lvl>
    <w:lvl w:ilvl="7" w:tplc="040A0003" w:tentative="1">
      <w:start w:val="1"/>
      <w:numFmt w:val="bullet"/>
      <w:lvlText w:val="o"/>
      <w:lvlJc w:val="left"/>
      <w:pPr>
        <w:ind w:left="5046" w:hanging="360"/>
      </w:pPr>
      <w:rPr>
        <w:rFonts w:ascii="Courier New" w:hAnsi="Courier New" w:cs="Courier New" w:hint="default"/>
      </w:rPr>
    </w:lvl>
    <w:lvl w:ilvl="8" w:tplc="040A0005" w:tentative="1">
      <w:start w:val="1"/>
      <w:numFmt w:val="bullet"/>
      <w:lvlText w:val=""/>
      <w:lvlJc w:val="left"/>
      <w:pPr>
        <w:ind w:left="5766"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0B75"/>
    <w:rsid w:val="000B19B9"/>
    <w:rsid w:val="000D0334"/>
    <w:rsid w:val="000D1737"/>
    <w:rsid w:val="000F6486"/>
    <w:rsid w:val="00125105"/>
    <w:rsid w:val="00127233"/>
    <w:rsid w:val="00150833"/>
    <w:rsid w:val="00162E02"/>
    <w:rsid w:val="00174212"/>
    <w:rsid w:val="00193FFF"/>
    <w:rsid w:val="001E4177"/>
    <w:rsid w:val="001F7DC6"/>
    <w:rsid w:val="00222383"/>
    <w:rsid w:val="002421BB"/>
    <w:rsid w:val="00256B91"/>
    <w:rsid w:val="0025796E"/>
    <w:rsid w:val="002609D9"/>
    <w:rsid w:val="00265F8C"/>
    <w:rsid w:val="002707A2"/>
    <w:rsid w:val="002951A0"/>
    <w:rsid w:val="002962BC"/>
    <w:rsid w:val="002A093D"/>
    <w:rsid w:val="002A0DD0"/>
    <w:rsid w:val="002A49AC"/>
    <w:rsid w:val="002A64FD"/>
    <w:rsid w:val="002C7A84"/>
    <w:rsid w:val="002E4FD9"/>
    <w:rsid w:val="00322A85"/>
    <w:rsid w:val="00324168"/>
    <w:rsid w:val="003448F4"/>
    <w:rsid w:val="00374E82"/>
    <w:rsid w:val="00374F5E"/>
    <w:rsid w:val="00377E3E"/>
    <w:rsid w:val="003A779E"/>
    <w:rsid w:val="003D0F4D"/>
    <w:rsid w:val="003D5B0D"/>
    <w:rsid w:val="003E0499"/>
    <w:rsid w:val="003F3941"/>
    <w:rsid w:val="00406575"/>
    <w:rsid w:val="00414C74"/>
    <w:rsid w:val="004165CC"/>
    <w:rsid w:val="0042722E"/>
    <w:rsid w:val="0044528D"/>
    <w:rsid w:val="004542A5"/>
    <w:rsid w:val="004A1847"/>
    <w:rsid w:val="004A305D"/>
    <w:rsid w:val="004A3806"/>
    <w:rsid w:val="004A6638"/>
    <w:rsid w:val="004D5B56"/>
    <w:rsid w:val="004F21C4"/>
    <w:rsid w:val="004F685F"/>
    <w:rsid w:val="005566E8"/>
    <w:rsid w:val="00560A80"/>
    <w:rsid w:val="00574867"/>
    <w:rsid w:val="00591460"/>
    <w:rsid w:val="005A3E66"/>
    <w:rsid w:val="005A73B6"/>
    <w:rsid w:val="005C3777"/>
    <w:rsid w:val="005C5CDC"/>
    <w:rsid w:val="005D476C"/>
    <w:rsid w:val="006007E1"/>
    <w:rsid w:val="006063BF"/>
    <w:rsid w:val="006219F8"/>
    <w:rsid w:val="006302F7"/>
    <w:rsid w:val="0065032D"/>
    <w:rsid w:val="00665D70"/>
    <w:rsid w:val="006900D9"/>
    <w:rsid w:val="006A760C"/>
    <w:rsid w:val="006B29A8"/>
    <w:rsid w:val="006B7BB1"/>
    <w:rsid w:val="006C605A"/>
    <w:rsid w:val="00700FA5"/>
    <w:rsid w:val="00706C16"/>
    <w:rsid w:val="00756841"/>
    <w:rsid w:val="007649AB"/>
    <w:rsid w:val="00771D0C"/>
    <w:rsid w:val="007833AC"/>
    <w:rsid w:val="007B268C"/>
    <w:rsid w:val="007B7171"/>
    <w:rsid w:val="007C0C0F"/>
    <w:rsid w:val="007C3DC2"/>
    <w:rsid w:val="007E5497"/>
    <w:rsid w:val="007F26F4"/>
    <w:rsid w:val="00806F5F"/>
    <w:rsid w:val="00816A06"/>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855B8"/>
    <w:rsid w:val="009A0DFA"/>
    <w:rsid w:val="009B25A8"/>
    <w:rsid w:val="009B2D26"/>
    <w:rsid w:val="009C71FA"/>
    <w:rsid w:val="009C72E7"/>
    <w:rsid w:val="009D3058"/>
    <w:rsid w:val="009F3A13"/>
    <w:rsid w:val="00A122D3"/>
    <w:rsid w:val="00A17F13"/>
    <w:rsid w:val="00A20739"/>
    <w:rsid w:val="00A33C78"/>
    <w:rsid w:val="00AA7422"/>
    <w:rsid w:val="00AB0ADB"/>
    <w:rsid w:val="00B00C0E"/>
    <w:rsid w:val="00B01B1A"/>
    <w:rsid w:val="00B44A47"/>
    <w:rsid w:val="00B57DCB"/>
    <w:rsid w:val="00B72CD3"/>
    <w:rsid w:val="00B72FFF"/>
    <w:rsid w:val="00B82F43"/>
    <w:rsid w:val="00BB6AEB"/>
    <w:rsid w:val="00BC3D36"/>
    <w:rsid w:val="00BD7F72"/>
    <w:rsid w:val="00C04FB3"/>
    <w:rsid w:val="00C07E34"/>
    <w:rsid w:val="00C13AAF"/>
    <w:rsid w:val="00C330EB"/>
    <w:rsid w:val="00C64858"/>
    <w:rsid w:val="00C754BE"/>
    <w:rsid w:val="00C76B1C"/>
    <w:rsid w:val="00CB6357"/>
    <w:rsid w:val="00CC1B26"/>
    <w:rsid w:val="00CD178F"/>
    <w:rsid w:val="00D3051F"/>
    <w:rsid w:val="00D32223"/>
    <w:rsid w:val="00D323BD"/>
    <w:rsid w:val="00D3467D"/>
    <w:rsid w:val="00D423A2"/>
    <w:rsid w:val="00D520D8"/>
    <w:rsid w:val="00D60488"/>
    <w:rsid w:val="00D63AC2"/>
    <w:rsid w:val="00D64B3E"/>
    <w:rsid w:val="00D722D2"/>
    <w:rsid w:val="00D7383B"/>
    <w:rsid w:val="00DA231B"/>
    <w:rsid w:val="00DC39FC"/>
    <w:rsid w:val="00DF5254"/>
    <w:rsid w:val="00E0029D"/>
    <w:rsid w:val="00E16408"/>
    <w:rsid w:val="00E20894"/>
    <w:rsid w:val="00E245AB"/>
    <w:rsid w:val="00E2764C"/>
    <w:rsid w:val="00E27F2E"/>
    <w:rsid w:val="00E40494"/>
    <w:rsid w:val="00E50AFE"/>
    <w:rsid w:val="00E75C92"/>
    <w:rsid w:val="00E771DC"/>
    <w:rsid w:val="00E8772A"/>
    <w:rsid w:val="00E90F6B"/>
    <w:rsid w:val="00E92C27"/>
    <w:rsid w:val="00EA0E3D"/>
    <w:rsid w:val="00EC38A7"/>
    <w:rsid w:val="00EE1AA8"/>
    <w:rsid w:val="00EE4267"/>
    <w:rsid w:val="00F31EDC"/>
    <w:rsid w:val="00F462B3"/>
    <w:rsid w:val="00F5664F"/>
    <w:rsid w:val="00F666C4"/>
    <w:rsid w:val="00F76AFC"/>
    <w:rsid w:val="00F85489"/>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13AA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3AA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701549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ecretariasenado.gov.co/senado/basedoc/ley_1753_2015_pr003.html" TargetMode="External"/><Relationship Id="rId18" Type="http://schemas.openxmlformats.org/officeDocument/2006/relationships/hyperlink" Target="http://www.secretariasenado.gov.co/senado/basedoc/ley_0080_1993.html" TargetMode="External"/><Relationship Id="rId26" Type="http://schemas.openxmlformats.org/officeDocument/2006/relationships/hyperlink" Target="http://www.secretariasenado.gov.co/senado/basedoc/ley_0080_1993.html" TargetMode="External"/><Relationship Id="rId39" Type="http://schemas.openxmlformats.org/officeDocument/2006/relationships/hyperlink" Target="http://www.secretariasenado.gov.co/senado/basedoc/ley_0080_1993.html" TargetMode="External"/><Relationship Id="rId21" Type="http://schemas.openxmlformats.org/officeDocument/2006/relationships/hyperlink" Target="http://www.secretariasenado.gov.co/senado/basedoc/ley_0080_1993.html" TargetMode="External"/><Relationship Id="rId34" Type="http://schemas.openxmlformats.org/officeDocument/2006/relationships/hyperlink" Target="http://www.secretariasenado.gov.co/senado/basedoc/ley_0080_1993.html" TargetMode="External"/><Relationship Id="rId42" Type="http://schemas.openxmlformats.org/officeDocument/2006/relationships/hyperlink" Target="http://www.secretariasenado.gov.co/senado/basedoc/ley_1150_2007.html" TargetMode="External"/><Relationship Id="rId47" Type="http://schemas.openxmlformats.org/officeDocument/2006/relationships/image" Target="media/image4.png"/><Relationship Id="rId50"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www.secretariasenado.gov.co/senado/basedoc/ley_1150_2007.html" TargetMode="External"/><Relationship Id="rId29" Type="http://schemas.openxmlformats.org/officeDocument/2006/relationships/hyperlink" Target="https://www.alcaldiabogota.gov.co/sisjur/normas/Norma1.jsp?dt=S&amp;i=43748" TargetMode="External"/><Relationship Id="rId11" Type="http://schemas.openxmlformats.org/officeDocument/2006/relationships/hyperlink" Target="mailto:notificacionestorresabogadosas@gmail.com" TargetMode="External"/><Relationship Id="rId24" Type="http://schemas.openxmlformats.org/officeDocument/2006/relationships/hyperlink" Target="http://www.secretariasenado.gov.co/senado/basedoc/constitucion_politica_1991_pr009.html" TargetMode="External"/><Relationship Id="rId32" Type="http://schemas.openxmlformats.org/officeDocument/2006/relationships/hyperlink" Target="http://www.secretariasenado.gov.co/senado/basedoc/ley_1150_2007.html" TargetMode="External"/><Relationship Id="rId37" Type="http://schemas.openxmlformats.org/officeDocument/2006/relationships/hyperlink" Target="http://www.secretariasenado.gov.co/senado/basedoc/ley_1523_2012.html" TargetMode="External"/><Relationship Id="rId40" Type="http://schemas.openxmlformats.org/officeDocument/2006/relationships/hyperlink" Target="http://www.secretariasenado.gov.co/senado/basedoc/ley_0080_1993.html" TargetMode="External"/><Relationship Id="rId45"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www.secretariasenado.gov.co/senado/basedoc/ley_1523_2012.html" TargetMode="External"/><Relationship Id="rId23" Type="http://schemas.openxmlformats.org/officeDocument/2006/relationships/hyperlink" Target="http://www.secretariasenado.gov.co/senado/basedoc/constitucion_politica_1991_pr006.html" TargetMode="External"/><Relationship Id="rId28" Type="http://schemas.openxmlformats.org/officeDocument/2006/relationships/hyperlink" Target="https://www.alcaldiabogota.gov.co/sisjur/normas/Norma1.jsp?dt=S&amp;i=43748" TargetMode="External"/><Relationship Id="rId36" Type="http://schemas.openxmlformats.org/officeDocument/2006/relationships/hyperlink" Target="http://www.secretariasenado.gov.co/senado/basedoc/decreto_4819_2010.html" TargetMode="External"/><Relationship Id="rId49"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www.secretariasenado.gov.co/senado/basedoc/ley_1150_2007.html" TargetMode="External"/><Relationship Id="rId31" Type="http://schemas.openxmlformats.org/officeDocument/2006/relationships/hyperlink" Target="http://www.secretariasenado.gov.co/senado/basedoc/ley_1523_2012.html" TargetMode="External"/><Relationship Id="rId44" Type="http://schemas.openxmlformats.org/officeDocument/2006/relationships/hyperlink" Target="http://www.secretariasenado.gov.co/senado/basedoc/ley_1150_2007.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retariasenado.gov.co/senado/basedoc/decreto_4819_2010.html" TargetMode="External"/><Relationship Id="rId22" Type="http://schemas.openxmlformats.org/officeDocument/2006/relationships/hyperlink" Target="http://www.secretariasenado.gov.co/senado/basedoc/ley_1150_2007.html" TargetMode="External"/><Relationship Id="rId27" Type="http://schemas.openxmlformats.org/officeDocument/2006/relationships/hyperlink" Target="http://www.secretariasenado.gov.co/senado/basedoc/ley_1150_2007.html" TargetMode="External"/><Relationship Id="rId30" Type="http://schemas.openxmlformats.org/officeDocument/2006/relationships/hyperlink" Target="http://www.secretariasenado.gov.co/senado/basedoc/decreto_4819_2010.html" TargetMode="External"/><Relationship Id="rId35" Type="http://schemas.openxmlformats.org/officeDocument/2006/relationships/hyperlink" Target="http://www.secretariasenado.gov.co/senado/basedoc/ley_1150_2007.html" TargetMode="External"/><Relationship Id="rId43" Type="http://schemas.openxmlformats.org/officeDocument/2006/relationships/hyperlink" Target="http://www.secretariasenado.gov.co/senado/basedoc/ley_0080_1993.html" TargetMode="External"/><Relationship Id="rId48" Type="http://schemas.openxmlformats.org/officeDocument/2006/relationships/header" Target="header1.xml"/><Relationship Id="rId8" Type="http://schemas.openxmlformats.org/officeDocument/2006/relationships/footnotes" Target="footnote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http://www.secretariasenado.gov.co/senado/basedoc/ley_0080_1993.html" TargetMode="External"/><Relationship Id="rId25" Type="http://schemas.openxmlformats.org/officeDocument/2006/relationships/hyperlink" Target="http://www.secretariasenado.gov.co/senado/basedoc/ley_0080_1993.html" TargetMode="External"/><Relationship Id="rId33" Type="http://schemas.openxmlformats.org/officeDocument/2006/relationships/hyperlink" Target="http://www.secretariasenado.gov.co/senado/basedoc/ley_0080_1993.html" TargetMode="External"/><Relationship Id="rId38" Type="http://schemas.openxmlformats.org/officeDocument/2006/relationships/hyperlink" Target="http://www.secretariasenado.gov.co/senado/basedoc/ley_1150_2007.html" TargetMode="External"/><Relationship Id="rId46"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20" Type="http://schemas.openxmlformats.org/officeDocument/2006/relationships/hyperlink" Target="http://www.secretariasenado.gov.co/senado/basedoc/ley_1150_2007.html" TargetMode="External"/><Relationship Id="rId41" Type="http://schemas.openxmlformats.org/officeDocument/2006/relationships/hyperlink" Target="http://www.secretariasenado.gov.co/senado/basedoc/ley_1150_2007.html" TargetMode="External"/><Relationship Id="rId1" Type="http://schemas.openxmlformats.org/officeDocument/2006/relationships/customXml" Target="../customXml/item1.xml"/><Relationship Id="rId6" Type="http://schemas.openxmlformats.org/officeDocument/2006/relationships/settings" Target="settings.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3B5B7EE-60A1-40AE-B9D0-A4DADFBD22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25</Pages>
  <Words>9932</Words>
  <Characters>54627</Characters>
  <Application>Microsoft Office Word</Application>
  <DocSecurity>0</DocSecurity>
  <Lines>455</Lines>
  <Paragraphs>128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2025-10-17T19:40:00Z</dcterms:created>
  <dcterms:modified xsi:type="dcterms:W3CDTF">2025-10-17T19:40:00Z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