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FC2F3" w14:textId="77777777" w:rsidR="00344805" w:rsidRDefault="00EA62AD" w:rsidP="00C15A62">
      <w:pPr>
        <w:spacing w:after="0" w:line="240" w:lineRule="auto"/>
        <w:jc w:val="both"/>
        <w:rPr>
          <w:rFonts w:ascii="Verdana" w:hAnsi="Verdana" w:cs="Arial"/>
          <w:b/>
          <w:bCs/>
          <w:color w:val="000000" w:themeColor="text1"/>
          <w:lang w:val="es-ES"/>
        </w:rPr>
      </w:pPr>
      <w:bookmarkStart w:id="0" w:name="_Hlk143780582"/>
      <w:bookmarkStart w:id="1" w:name="_Hlk202875225"/>
      <w:bookmarkStart w:id="2" w:name="_Hlk203032812"/>
      <w:bookmarkStart w:id="3" w:name="_Hlk204367265"/>
      <w:bookmarkStart w:id="4" w:name="_Hlk206116713"/>
      <w:r w:rsidRPr="00EA62AD">
        <w:rPr>
          <w:rFonts w:ascii="Verdana" w:hAnsi="Verdana" w:cs="Arial"/>
          <w:b/>
          <w:bCs/>
          <w:color w:val="000000" w:themeColor="text1"/>
          <w:lang w:val="es-ES"/>
        </w:rPr>
        <w:t xml:space="preserve">LIQUIDACIÓN DEL CONTRATO – Concepto </w:t>
      </w:r>
    </w:p>
    <w:p w14:paraId="497139D0" w14:textId="77777777" w:rsidR="00C15A62" w:rsidRDefault="00C15A62" w:rsidP="005E4CBD">
      <w:pPr>
        <w:spacing w:after="0" w:line="240" w:lineRule="auto"/>
        <w:jc w:val="both"/>
        <w:rPr>
          <w:rFonts w:ascii="Verdana" w:eastAsia="Calibri" w:hAnsi="Verdana" w:cs="Arial"/>
          <w:sz w:val="20"/>
          <w:szCs w:val="20"/>
          <w:lang w:val="es-ES"/>
        </w:rPr>
      </w:pPr>
    </w:p>
    <w:p w14:paraId="106F89DC" w14:textId="33D69079" w:rsidR="00344805" w:rsidRDefault="00344805" w:rsidP="00C15A62">
      <w:pPr>
        <w:spacing w:after="0" w:line="240" w:lineRule="auto"/>
        <w:jc w:val="both"/>
        <w:rPr>
          <w:rFonts w:ascii="Verdana" w:hAnsi="Verdana" w:cs="Arial"/>
          <w:b/>
          <w:bCs/>
          <w:color w:val="000000" w:themeColor="text1"/>
          <w:lang w:val="es-ES"/>
        </w:rPr>
      </w:pPr>
      <w:r w:rsidRPr="00344805">
        <w:rPr>
          <w:rFonts w:ascii="Verdana" w:eastAsia="Calibri" w:hAnsi="Verdana" w:cs="Arial"/>
          <w:sz w:val="20"/>
          <w:szCs w:val="20"/>
          <w:lang w:val="es-ES"/>
        </w:rPr>
        <w:t>La liquidación del contrato estatal es el momento en el cual, una vez concluido el contrato las partes efectúan el ajuste de cuentas para determinar el balance económico, técnico y jurídico del negocio.</w:t>
      </w:r>
    </w:p>
    <w:p w14:paraId="4BEF6649" w14:textId="77777777" w:rsidR="00C15A62" w:rsidRDefault="00C15A62" w:rsidP="005E4CBD">
      <w:pPr>
        <w:spacing w:after="0" w:line="240" w:lineRule="auto"/>
        <w:jc w:val="both"/>
        <w:rPr>
          <w:rFonts w:ascii="Verdana" w:hAnsi="Verdana" w:cs="Arial"/>
          <w:b/>
          <w:bCs/>
          <w:color w:val="000000" w:themeColor="text1"/>
          <w:lang w:val="es-ES"/>
        </w:rPr>
      </w:pPr>
    </w:p>
    <w:p w14:paraId="3C63B607" w14:textId="17C3C1D2" w:rsidR="00344805" w:rsidRDefault="00EA62AD" w:rsidP="00C15A62">
      <w:pPr>
        <w:spacing w:after="0" w:line="240" w:lineRule="auto"/>
        <w:jc w:val="both"/>
        <w:rPr>
          <w:rFonts w:ascii="Verdana" w:hAnsi="Verdana" w:cs="Arial"/>
          <w:b/>
          <w:bCs/>
          <w:color w:val="000000" w:themeColor="text1"/>
          <w:lang w:val="es-ES"/>
        </w:rPr>
      </w:pPr>
      <w:r w:rsidRPr="00EA62AD">
        <w:rPr>
          <w:rFonts w:ascii="Verdana" w:hAnsi="Verdana" w:cs="Arial"/>
          <w:b/>
          <w:bCs/>
          <w:color w:val="000000" w:themeColor="text1"/>
          <w:lang w:val="es-ES"/>
        </w:rPr>
        <w:t xml:space="preserve">LIQUIDACIÓN DEL CONTRATO – Normatividad </w:t>
      </w:r>
    </w:p>
    <w:p w14:paraId="74085BAF" w14:textId="77777777" w:rsidR="00C15A62" w:rsidRDefault="00C15A62" w:rsidP="005E4CBD">
      <w:pPr>
        <w:spacing w:after="0" w:line="240" w:lineRule="auto"/>
        <w:jc w:val="both"/>
        <w:rPr>
          <w:rFonts w:ascii="Verdana" w:eastAsia="Times New Roman" w:hAnsi="Verdana" w:cs="Arial"/>
          <w:sz w:val="20"/>
          <w:szCs w:val="20"/>
          <w:lang w:val="es-ES_tradnl" w:eastAsia="es-ES"/>
        </w:rPr>
      </w:pPr>
    </w:p>
    <w:p w14:paraId="4E7C3235" w14:textId="3A33E5EC" w:rsidR="00344805" w:rsidRDefault="00344805" w:rsidP="00C15A62">
      <w:pPr>
        <w:spacing w:after="0" w:line="240" w:lineRule="auto"/>
        <w:jc w:val="both"/>
        <w:rPr>
          <w:rFonts w:ascii="Verdana" w:hAnsi="Verdana" w:cs="Arial"/>
          <w:b/>
          <w:bCs/>
          <w:color w:val="000000" w:themeColor="text1"/>
          <w:lang w:val="es-ES"/>
        </w:rPr>
      </w:pPr>
      <w:r w:rsidRPr="00344805">
        <w:rPr>
          <w:rFonts w:ascii="Verdana" w:eastAsia="Times New Roman"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que se pasan a explicar. </w:t>
      </w:r>
    </w:p>
    <w:p w14:paraId="73010A3F" w14:textId="77777777" w:rsidR="00C15A62" w:rsidRDefault="00C15A62" w:rsidP="005E4CBD">
      <w:pPr>
        <w:spacing w:after="0" w:line="240" w:lineRule="auto"/>
        <w:jc w:val="both"/>
        <w:rPr>
          <w:rFonts w:ascii="Verdana" w:hAnsi="Verdana" w:cs="Arial"/>
          <w:b/>
          <w:bCs/>
          <w:color w:val="000000" w:themeColor="text1"/>
          <w:lang w:val="es-ES"/>
        </w:rPr>
      </w:pPr>
    </w:p>
    <w:p w14:paraId="0DF2F276" w14:textId="7FB23751" w:rsidR="00344805" w:rsidRDefault="00EA62AD" w:rsidP="00C15A62">
      <w:pPr>
        <w:spacing w:after="0" w:line="240" w:lineRule="auto"/>
        <w:jc w:val="both"/>
        <w:rPr>
          <w:rFonts w:ascii="Verdana" w:hAnsi="Verdana" w:cs="Arial"/>
          <w:b/>
          <w:bCs/>
          <w:color w:val="000000" w:themeColor="text1"/>
          <w:lang w:val="es-ES"/>
        </w:rPr>
      </w:pPr>
      <w:r w:rsidRPr="00EA62AD">
        <w:rPr>
          <w:rFonts w:ascii="Verdana" w:hAnsi="Verdana" w:cs="Arial"/>
          <w:b/>
          <w:bCs/>
          <w:color w:val="000000" w:themeColor="text1"/>
          <w:lang w:val="es-ES"/>
        </w:rPr>
        <w:t xml:space="preserve">LIQUIDACIÓN DEL CONTRATO – Bilateral – Acuerdo de voluntades – Término supletivo </w:t>
      </w:r>
    </w:p>
    <w:p w14:paraId="6F5AC3A9" w14:textId="77777777" w:rsidR="00344805" w:rsidRDefault="00344805" w:rsidP="00C15A62">
      <w:pPr>
        <w:spacing w:after="0" w:line="240" w:lineRule="auto"/>
        <w:jc w:val="both"/>
        <w:rPr>
          <w:rFonts w:ascii="Verdana" w:eastAsia="Calibri" w:hAnsi="Verdana" w:cs="Arial"/>
          <w:sz w:val="20"/>
          <w:szCs w:val="20"/>
          <w:lang w:val="es-ES"/>
        </w:rPr>
      </w:pPr>
    </w:p>
    <w:p w14:paraId="47EEC2D4" w14:textId="77777777" w:rsidR="00344805" w:rsidRDefault="00344805" w:rsidP="00C15A62">
      <w:pPr>
        <w:spacing w:after="0" w:line="240" w:lineRule="auto"/>
        <w:jc w:val="both"/>
        <w:rPr>
          <w:rFonts w:ascii="Verdana" w:hAnsi="Verdana" w:cs="Arial"/>
          <w:b/>
          <w:bCs/>
          <w:color w:val="000000" w:themeColor="text1"/>
          <w:lang w:val="es-ES"/>
        </w:rPr>
      </w:pPr>
      <w:r w:rsidRPr="00344805">
        <w:rPr>
          <w:rFonts w:ascii="Verdana" w:eastAsia="Calibri" w:hAnsi="Verdana" w:cs="Arial"/>
          <w:sz w:val="20"/>
          <w:szCs w:val="20"/>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por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49A3D3F8" w14:textId="77777777" w:rsidR="00C15A62" w:rsidRDefault="00C15A62" w:rsidP="005E4CBD">
      <w:pPr>
        <w:spacing w:after="0" w:line="240" w:lineRule="auto"/>
        <w:jc w:val="both"/>
        <w:rPr>
          <w:rFonts w:ascii="Verdana" w:eastAsia="Calibri" w:hAnsi="Verdana" w:cs="Arial"/>
          <w:sz w:val="20"/>
          <w:szCs w:val="20"/>
          <w:lang w:val="es-ES"/>
        </w:rPr>
      </w:pPr>
    </w:p>
    <w:p w14:paraId="583F0046" w14:textId="09F2FB6A" w:rsidR="00344805" w:rsidRDefault="00344805" w:rsidP="00C15A62">
      <w:pPr>
        <w:spacing w:after="0" w:line="240" w:lineRule="auto"/>
        <w:jc w:val="both"/>
        <w:rPr>
          <w:rFonts w:ascii="Verdana" w:hAnsi="Verdana" w:cs="Arial"/>
          <w:b/>
          <w:bCs/>
          <w:color w:val="000000" w:themeColor="text1"/>
          <w:lang w:val="es-ES"/>
        </w:rPr>
      </w:pPr>
      <w:r w:rsidRPr="00344805">
        <w:rPr>
          <w:rFonts w:ascii="Verdana" w:eastAsia="Calibri" w:hAnsi="Verdana" w:cs="Arial"/>
          <w:sz w:val="20"/>
          <w:szCs w:val="20"/>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344805">
        <w:rPr>
          <w:rFonts w:ascii="Verdana" w:eastAsia="Calibri" w:hAnsi="Verdana" w:cs="Arial"/>
          <w:sz w:val="20"/>
          <w:szCs w:val="20"/>
          <w:lang w:val="es-ES"/>
        </w:rPr>
        <w:t>ii</w:t>
      </w:r>
      <w:proofErr w:type="spellEnd"/>
      <w:r w:rsidRPr="00344805">
        <w:rPr>
          <w:rFonts w:ascii="Verdana" w:eastAsia="Calibri" w:hAnsi="Verdana" w:cs="Arial"/>
          <w:sz w:val="20"/>
          <w:szCs w:val="20"/>
          <w:lang w:val="es-ES"/>
        </w:rPr>
        <w:t xml:space="preserve">) la expedición del acto administrativo que ordene la terminación del contrato o </w:t>
      </w:r>
      <w:proofErr w:type="spellStart"/>
      <w:r w:rsidRPr="00344805">
        <w:rPr>
          <w:rFonts w:ascii="Verdana" w:eastAsia="Calibri" w:hAnsi="Verdana" w:cs="Arial"/>
          <w:sz w:val="20"/>
          <w:szCs w:val="20"/>
          <w:lang w:val="es-ES"/>
        </w:rPr>
        <w:t>iii</w:t>
      </w:r>
      <w:proofErr w:type="spellEnd"/>
      <w:r w:rsidRPr="00344805">
        <w:rPr>
          <w:rFonts w:ascii="Verdana" w:eastAsia="Calibri" w:hAnsi="Verdana" w:cs="Arial"/>
          <w:sz w:val="20"/>
          <w:szCs w:val="20"/>
          <w:lang w:val="es-ES"/>
        </w:rPr>
        <w:t>) la fecha del acuerdo que disponga la terminación del contrato. Ahora bien, el término de cuatro (4) meses previstos en el artículo 11 de la Ley 1150 de 2007, dado su carácter supletivo, solo resulta aplicable ante la ausencia de regulación de este en el pliego de condiciones –documento equivalente– y ante la falta de acuerdo entre las partes en torno al plazo de liquidación bilateral. Durante este término el contratista puede solicitar que se adelante el trámite de liquidación</w:t>
      </w:r>
      <w:r>
        <w:rPr>
          <w:rFonts w:ascii="Verdana" w:eastAsia="Calibri" w:hAnsi="Verdana" w:cs="Arial"/>
          <w:sz w:val="20"/>
          <w:szCs w:val="20"/>
          <w:lang w:val="es-ES"/>
        </w:rPr>
        <w:t>.</w:t>
      </w:r>
    </w:p>
    <w:p w14:paraId="1ADEFCDE" w14:textId="77777777" w:rsidR="00C15A62" w:rsidRDefault="00C15A62" w:rsidP="005E4CBD">
      <w:pPr>
        <w:spacing w:after="0" w:line="240" w:lineRule="auto"/>
        <w:jc w:val="both"/>
        <w:rPr>
          <w:rFonts w:ascii="Verdana" w:hAnsi="Verdana" w:cs="Arial"/>
          <w:b/>
          <w:bCs/>
          <w:color w:val="000000" w:themeColor="text1"/>
          <w:lang w:val="es-ES"/>
        </w:rPr>
      </w:pPr>
    </w:p>
    <w:p w14:paraId="3DB2892F" w14:textId="2D07AF5B" w:rsidR="00344805" w:rsidRPr="00344805" w:rsidRDefault="00EA62AD" w:rsidP="00C15A62">
      <w:pPr>
        <w:spacing w:after="0" w:line="240" w:lineRule="auto"/>
        <w:jc w:val="both"/>
        <w:rPr>
          <w:rFonts w:ascii="Verdana" w:hAnsi="Verdana" w:cs="Arial"/>
          <w:b/>
          <w:bCs/>
          <w:color w:val="000000" w:themeColor="text1"/>
          <w:lang w:val="es-ES"/>
        </w:rPr>
      </w:pPr>
      <w:r w:rsidRPr="00EA62AD">
        <w:rPr>
          <w:rFonts w:ascii="Verdana" w:hAnsi="Verdana" w:cs="Arial"/>
          <w:b/>
          <w:bCs/>
          <w:color w:val="000000" w:themeColor="text1"/>
          <w:lang w:val="es-ES"/>
        </w:rPr>
        <w:lastRenderedPageBreak/>
        <w:t xml:space="preserve">LIQUIDACIÓN DEL CONTRATO – Liquidación unilateral </w:t>
      </w:r>
    </w:p>
    <w:p w14:paraId="27E56B68" w14:textId="77777777" w:rsidR="00C15A62" w:rsidRDefault="00C15A62" w:rsidP="00C15A62">
      <w:pPr>
        <w:spacing w:after="0" w:line="240" w:lineRule="auto"/>
        <w:jc w:val="both"/>
        <w:rPr>
          <w:rFonts w:ascii="Verdana" w:eastAsia="Times New Roman" w:hAnsi="Verdana" w:cs="Arial"/>
          <w:sz w:val="20"/>
          <w:szCs w:val="20"/>
          <w:lang w:val="es-ES" w:eastAsia="es-ES"/>
        </w:rPr>
      </w:pPr>
    </w:p>
    <w:p w14:paraId="1E016D4C" w14:textId="6FCD2AD7" w:rsidR="00C15A62" w:rsidRDefault="00344805" w:rsidP="00C15A62">
      <w:pPr>
        <w:spacing w:after="0" w:line="240" w:lineRule="auto"/>
        <w:jc w:val="both"/>
        <w:rPr>
          <w:rFonts w:ascii="Verdana" w:hAnsi="Verdana" w:cs="Arial"/>
          <w:b/>
          <w:bCs/>
          <w:color w:val="000000" w:themeColor="text1"/>
          <w:sz w:val="20"/>
          <w:szCs w:val="20"/>
          <w:lang w:val="es-ES"/>
        </w:rPr>
      </w:pPr>
      <w:r w:rsidRPr="00344805">
        <w:rPr>
          <w:rFonts w:ascii="Verdana" w:eastAsia="Times New Roman" w:hAnsi="Verdana" w:cs="Arial"/>
          <w:sz w:val="20"/>
          <w:szCs w:val="20"/>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w:t>
      </w:r>
    </w:p>
    <w:p w14:paraId="0E71C63C" w14:textId="77777777" w:rsidR="00C15A62" w:rsidRDefault="00C15A62" w:rsidP="005E4CBD">
      <w:pPr>
        <w:spacing w:after="0" w:line="240" w:lineRule="auto"/>
        <w:jc w:val="both"/>
        <w:rPr>
          <w:rFonts w:ascii="Verdana" w:hAnsi="Verdana" w:cs="Arial"/>
          <w:b/>
          <w:bCs/>
          <w:color w:val="000000" w:themeColor="text1"/>
          <w:lang w:val="es-ES"/>
        </w:rPr>
      </w:pPr>
    </w:p>
    <w:p w14:paraId="0370AE0A" w14:textId="77979D12" w:rsidR="00EA62AD" w:rsidRPr="00C15A62" w:rsidRDefault="00EA62AD" w:rsidP="00C15A62">
      <w:pPr>
        <w:spacing w:after="0" w:line="240" w:lineRule="auto"/>
        <w:jc w:val="both"/>
        <w:rPr>
          <w:rFonts w:ascii="Verdana" w:hAnsi="Verdana" w:cs="Arial"/>
          <w:b/>
          <w:bCs/>
          <w:color w:val="000000" w:themeColor="text1"/>
          <w:sz w:val="20"/>
          <w:szCs w:val="20"/>
          <w:lang w:val="es-ES"/>
        </w:rPr>
      </w:pPr>
      <w:r w:rsidRPr="00EA62AD">
        <w:rPr>
          <w:rFonts w:ascii="Verdana" w:hAnsi="Verdana" w:cs="Arial"/>
          <w:b/>
          <w:bCs/>
          <w:color w:val="000000" w:themeColor="text1"/>
          <w:lang w:val="es-ES"/>
        </w:rPr>
        <w:t xml:space="preserve">GARANTÍA DE ÚNICA DE CUMPLIMIENTO – Definición – Fundamento normativo </w:t>
      </w:r>
    </w:p>
    <w:p w14:paraId="3C03039E" w14:textId="77777777" w:rsidR="00C15A62" w:rsidRDefault="00C15A62" w:rsidP="005E4CBD">
      <w:pPr>
        <w:spacing w:after="0" w:line="240" w:lineRule="auto"/>
        <w:jc w:val="both"/>
        <w:rPr>
          <w:rFonts w:ascii="Verdana" w:eastAsia="Times New Roman" w:hAnsi="Verdana" w:cs="Arial"/>
          <w:bCs/>
          <w:color w:val="000000"/>
          <w:sz w:val="20"/>
          <w:szCs w:val="20"/>
          <w:lang w:val="es-ES_tradnl" w:eastAsia="es-ES_tradnl"/>
        </w:rPr>
      </w:pPr>
    </w:p>
    <w:p w14:paraId="6FA99FBE" w14:textId="23E2D658" w:rsidR="00344805" w:rsidRPr="00344805" w:rsidRDefault="00C15A62" w:rsidP="005E4CBD">
      <w:pPr>
        <w:spacing w:after="0" w:line="240" w:lineRule="auto"/>
        <w:jc w:val="both"/>
        <w:rPr>
          <w:rFonts w:ascii="Verdana" w:eastAsia="Times New Roman" w:hAnsi="Verdana" w:cs="Arial"/>
          <w:bCs/>
          <w:i/>
          <w:iCs/>
          <w:color w:val="000000"/>
          <w:sz w:val="20"/>
          <w:szCs w:val="20"/>
          <w:lang w:val="es-ES_tradnl" w:eastAsia="es-ES_tradnl"/>
        </w:rPr>
      </w:pPr>
      <w:r>
        <w:rPr>
          <w:rFonts w:ascii="Verdana" w:eastAsia="Times New Roman" w:hAnsi="Verdana" w:cs="Arial"/>
          <w:bCs/>
          <w:color w:val="000000"/>
          <w:sz w:val="20"/>
          <w:szCs w:val="20"/>
          <w:lang w:val="es-ES_tradnl" w:eastAsia="es-ES_tradnl"/>
        </w:rPr>
        <w:t xml:space="preserve">[…] </w:t>
      </w:r>
      <w:r w:rsidR="00344805" w:rsidRPr="00344805">
        <w:rPr>
          <w:rFonts w:ascii="Verdana" w:eastAsia="Times New Roman" w:hAnsi="Verdana" w:cs="Arial"/>
          <w:bCs/>
          <w:color w:val="000000"/>
          <w:sz w:val="20"/>
          <w:szCs w:val="20"/>
          <w:lang w:val="es-ES_tradnl" w:eastAsia="es-ES_tradnl"/>
        </w:rPr>
        <w:t xml:space="preserve">la Guía de garantías en Procesos de Contratación emitido por esta Agencia, señala que </w:t>
      </w:r>
      <w:r w:rsidR="00344805" w:rsidRPr="00344805">
        <w:rPr>
          <w:rFonts w:ascii="Verdana" w:eastAsia="Times New Roman" w:hAnsi="Verdana" w:cs="Arial"/>
          <w:bCs/>
          <w:i/>
          <w:iCs/>
          <w:color w:val="000000"/>
          <w:sz w:val="20"/>
          <w:szCs w:val="20"/>
          <w:lang w:val="es-ES_tradnl" w:eastAsia="es-ES_tradnl"/>
        </w:rPr>
        <w:t>“Las garantías son instrumentos de cobertura de algunos Riesgos comunes en Procesos de Contratación”</w:t>
      </w:r>
      <w:r w:rsidR="00344805" w:rsidRPr="00344805">
        <w:rPr>
          <w:rFonts w:ascii="Verdana" w:eastAsia="Times New Roman" w:hAnsi="Verdana" w:cs="Arial"/>
          <w:bCs/>
          <w:i/>
          <w:iCs/>
          <w:color w:val="000000"/>
          <w:sz w:val="20"/>
          <w:szCs w:val="20"/>
          <w:lang w:val="es-ES_tradnl" w:eastAsia="es-ES_tradnl"/>
        </w:rPr>
        <w:t>.</w:t>
      </w:r>
    </w:p>
    <w:p w14:paraId="1C324E5D" w14:textId="77777777" w:rsidR="00C15A62" w:rsidRDefault="00C15A62" w:rsidP="005E4CBD">
      <w:pPr>
        <w:spacing w:after="0" w:line="240" w:lineRule="auto"/>
        <w:jc w:val="both"/>
        <w:rPr>
          <w:rFonts w:ascii="Verdana" w:eastAsia="Times New Roman" w:hAnsi="Verdana" w:cs="Arial"/>
          <w:bCs/>
          <w:i/>
          <w:iCs/>
          <w:color w:val="000000"/>
          <w:sz w:val="20"/>
          <w:szCs w:val="20"/>
          <w:lang w:val="es-ES_tradnl" w:eastAsia="es-ES_tradnl"/>
        </w:rPr>
      </w:pPr>
    </w:p>
    <w:p w14:paraId="5951C7F7" w14:textId="5045AE08" w:rsidR="00344805" w:rsidRPr="005E4CBD" w:rsidRDefault="00344805" w:rsidP="005E4CBD">
      <w:pPr>
        <w:spacing w:after="0" w:line="240" w:lineRule="auto"/>
        <w:jc w:val="both"/>
        <w:rPr>
          <w:rFonts w:ascii="Verdana" w:eastAsia="Times New Roman" w:hAnsi="Verdana" w:cs="Arial"/>
          <w:bCs/>
          <w:color w:val="000000"/>
          <w:sz w:val="20"/>
          <w:szCs w:val="20"/>
          <w:lang w:val="es-ES_tradnl" w:eastAsia="es-ES_tradnl"/>
        </w:rPr>
      </w:pPr>
      <w:r w:rsidRPr="005E4CBD">
        <w:rPr>
          <w:rFonts w:ascii="Verdana" w:eastAsia="Times New Roman" w:hAnsi="Verdana" w:cs="Arial"/>
          <w:bCs/>
          <w:color w:val="000000"/>
          <w:sz w:val="20"/>
          <w:szCs w:val="20"/>
          <w:lang w:val="es-ES_tradnl" w:eastAsia="es-ES_tradnl"/>
        </w:rPr>
        <w:t>[…]</w:t>
      </w:r>
    </w:p>
    <w:p w14:paraId="0433A875" w14:textId="77777777" w:rsidR="005E4CBD" w:rsidRDefault="005E4CBD" w:rsidP="005E4CBD">
      <w:pPr>
        <w:spacing w:after="0" w:line="240" w:lineRule="auto"/>
        <w:jc w:val="both"/>
        <w:rPr>
          <w:rFonts w:ascii="Verdana" w:eastAsia="Times New Roman" w:hAnsi="Verdana" w:cs="Arial"/>
          <w:bCs/>
          <w:color w:val="000000"/>
          <w:sz w:val="20"/>
          <w:szCs w:val="20"/>
          <w:lang w:val="es-ES_tradnl" w:eastAsia="es-ES_tradnl"/>
        </w:rPr>
      </w:pPr>
    </w:p>
    <w:p w14:paraId="7BC81E49" w14:textId="4A4C650B" w:rsidR="00344805" w:rsidRPr="00344805" w:rsidRDefault="005E4CBD" w:rsidP="005E4CBD">
      <w:pPr>
        <w:spacing w:after="0" w:line="240" w:lineRule="auto"/>
        <w:jc w:val="both"/>
        <w:rPr>
          <w:rFonts w:ascii="Verdana" w:eastAsia="Times New Roman" w:hAnsi="Verdana" w:cs="Arial"/>
          <w:bCs/>
          <w:color w:val="000000"/>
          <w:sz w:val="20"/>
          <w:szCs w:val="20"/>
          <w:lang w:val="es-ES_tradnl" w:eastAsia="es-ES_tradnl"/>
        </w:rPr>
      </w:pPr>
      <w:r>
        <w:rPr>
          <w:rFonts w:ascii="Verdana" w:eastAsia="Times New Roman" w:hAnsi="Verdana" w:cs="Arial"/>
          <w:bCs/>
          <w:color w:val="000000"/>
          <w:sz w:val="20"/>
          <w:szCs w:val="20"/>
          <w:lang w:val="es-ES_tradnl" w:eastAsia="es-ES_tradnl"/>
        </w:rPr>
        <w:t xml:space="preserve">[…] </w:t>
      </w:r>
      <w:r w:rsidR="00344805" w:rsidRPr="00344805">
        <w:rPr>
          <w:rFonts w:ascii="Verdana" w:eastAsia="Times New Roman" w:hAnsi="Verdana" w:cs="Arial"/>
          <w:bCs/>
          <w:color w:val="000000"/>
          <w:sz w:val="20"/>
          <w:szCs w:val="20"/>
          <w:lang w:val="es-ES_tradnl" w:eastAsia="es-ES_tradnl"/>
        </w:rPr>
        <w:t>según lo dispuesto en el artículo 2.2.1.2.3.1.7. del Decreto 1082 de 2015, la garantía única de cumplimiento cuenta con varios amparos, que incluyen el de buen manejo y correcta inversión del anticipo; la devolución del pago anticipado; el amparo de cumplimiento del contrato; la garantía de pago de salarios, prestaciones sociales legales e indemnizaciones laborales, entre otros.</w:t>
      </w:r>
    </w:p>
    <w:p w14:paraId="42A6CBCB" w14:textId="77777777" w:rsidR="005E4CBD" w:rsidRDefault="005E4CBD" w:rsidP="005E4CBD">
      <w:pPr>
        <w:spacing w:after="0" w:line="240" w:lineRule="auto"/>
        <w:jc w:val="both"/>
        <w:rPr>
          <w:rFonts w:ascii="Verdana" w:eastAsia="Times New Roman" w:hAnsi="Verdana" w:cs="Arial"/>
          <w:color w:val="000000" w:themeColor="text1"/>
          <w:sz w:val="20"/>
          <w:szCs w:val="20"/>
          <w:lang w:val="es-ES" w:eastAsia="es-ES"/>
        </w:rPr>
      </w:pPr>
    </w:p>
    <w:p w14:paraId="473EDEF7" w14:textId="2CF15DC3" w:rsidR="00344805" w:rsidRPr="00344805" w:rsidRDefault="00344805" w:rsidP="005E4CBD">
      <w:pPr>
        <w:spacing w:after="0" w:line="240" w:lineRule="auto"/>
        <w:jc w:val="both"/>
        <w:rPr>
          <w:rFonts w:ascii="Verdana" w:eastAsia="Times New Roman" w:hAnsi="Verdana" w:cs="Arial"/>
          <w:color w:val="000000"/>
          <w:sz w:val="20"/>
          <w:szCs w:val="20"/>
          <w:lang w:val="es-ES" w:eastAsia="es-ES"/>
        </w:rPr>
      </w:pPr>
      <w:r w:rsidRPr="00344805">
        <w:rPr>
          <w:rFonts w:ascii="Verdana" w:eastAsia="Times New Roman" w:hAnsi="Verdana" w:cs="Arial"/>
          <w:color w:val="000000" w:themeColor="text1"/>
          <w:sz w:val="20"/>
          <w:szCs w:val="20"/>
          <w:lang w:val="es-ES" w:eastAsia="es-ES"/>
        </w:rPr>
        <w:t xml:space="preserve">Por tanto, el amparo de cumplimiento es uno de los múltiples amparos que conforman la garantía única de cumplimiento. Al tenor de lo preceptuado en el artículo 2.2.1.2.3.1.7. </w:t>
      </w:r>
      <w:proofErr w:type="spellStart"/>
      <w:r w:rsidRPr="00344805">
        <w:rPr>
          <w:rFonts w:ascii="Verdana" w:eastAsia="Times New Roman" w:hAnsi="Verdana" w:cs="Arial"/>
          <w:i/>
          <w:iCs/>
          <w:color w:val="000000" w:themeColor="text1"/>
          <w:sz w:val="20"/>
          <w:szCs w:val="20"/>
          <w:lang w:val="es-ES" w:eastAsia="es-ES"/>
        </w:rPr>
        <w:t>ibídem</w:t>
      </w:r>
      <w:proofErr w:type="spellEnd"/>
      <w:r w:rsidRPr="00344805">
        <w:rPr>
          <w:rFonts w:ascii="Verdana" w:eastAsia="Times New Roman" w:hAnsi="Verdana" w:cs="Arial"/>
          <w:color w:val="000000" w:themeColor="text1"/>
          <w:sz w:val="20"/>
          <w:szCs w:val="20"/>
          <w:lang w:val="es-ES" w:eastAsia="es-ES"/>
        </w:rPr>
        <w:t xml:space="preserve"> la garantía de cumplimiento debe proteger a la entidad de los perjuicios que se puedan ocasionar con el incumplimiento, total o parcial del contrato, del cumplimiento tardío o defectuoso, de los daños por entregas parciales de la obra, cuando el contrato no prevé entregas parciales, y del valor de las multas y de la cláusula penal pecuniaria. De lo anterior se advierte que el amparo de cumplimiento tiene como objeto proteger a la entidad de los riesgos que puedan concretarse durante la etapa de ejecución del contrato y, más claramente, aquellos derivados de incumplimientos o conductas imputables al contratista. </w:t>
      </w:r>
    </w:p>
    <w:p w14:paraId="4443E57F" w14:textId="77777777" w:rsidR="00344805" w:rsidRPr="00344805" w:rsidRDefault="00344805" w:rsidP="00C15A62">
      <w:pPr>
        <w:spacing w:after="0" w:line="240" w:lineRule="auto"/>
        <w:jc w:val="both"/>
        <w:rPr>
          <w:rFonts w:ascii="Verdana" w:hAnsi="Verdana" w:cs="Arial"/>
          <w:b/>
          <w:bCs/>
          <w:color w:val="000000" w:themeColor="text1"/>
          <w:sz w:val="20"/>
          <w:szCs w:val="20"/>
          <w:lang w:val="es-ES"/>
        </w:rPr>
      </w:pPr>
    </w:p>
    <w:p w14:paraId="44401C78" w14:textId="61411A97" w:rsidR="00EA62AD" w:rsidRDefault="00EA62AD" w:rsidP="00C15A62">
      <w:pPr>
        <w:jc w:val="both"/>
        <w:rPr>
          <w:rFonts w:ascii="Verdana" w:hAnsi="Verdana" w:cs="Arial"/>
          <w:b/>
          <w:bCs/>
          <w:color w:val="000000" w:themeColor="text1"/>
          <w:lang w:val="es-ES"/>
        </w:rPr>
      </w:pPr>
      <w:r w:rsidRPr="00EA62AD">
        <w:rPr>
          <w:rFonts w:ascii="Verdana" w:hAnsi="Verdana" w:cs="Arial"/>
          <w:b/>
          <w:bCs/>
          <w:color w:val="000000" w:themeColor="text1"/>
          <w:lang w:val="es-ES"/>
        </w:rPr>
        <w:t xml:space="preserve">GARANTÍA ÚNICA DE CUMPLIMIENTO – Vigencia – Obligación del contratista mantener vigente garantía de cumplimiento </w:t>
      </w:r>
    </w:p>
    <w:p w14:paraId="2768224B" w14:textId="0EB908BF" w:rsidR="005E4CBD" w:rsidRDefault="005E4CBD" w:rsidP="00C15A62">
      <w:pPr>
        <w:jc w:val="both"/>
        <w:rPr>
          <w:rFonts w:ascii="Verdana" w:eastAsia="Times New Roman" w:hAnsi="Verdana" w:cs="Arial"/>
          <w:bCs/>
          <w:i/>
          <w:iCs/>
          <w:color w:val="000000"/>
          <w:sz w:val="20"/>
          <w:szCs w:val="20"/>
          <w:lang w:val="es-ES_tradnl" w:eastAsia="es-ES_tradnl"/>
        </w:rPr>
      </w:pPr>
      <w:r w:rsidRPr="005E4CBD">
        <w:rPr>
          <w:rFonts w:ascii="Verdana" w:eastAsia="Times New Roman" w:hAnsi="Verdana" w:cs="Arial"/>
          <w:bCs/>
          <w:color w:val="000000"/>
          <w:sz w:val="20"/>
          <w:szCs w:val="20"/>
          <w:lang w:val="es-ES_tradnl" w:eastAsia="es-ES_tradnl"/>
        </w:rPr>
        <w:t xml:space="preserve">De otra parte, en relación con la vigencia de las garantías, el artículo 2.2.1.2.3.1.12. del citado Decreto señala expresamente que </w:t>
      </w:r>
      <w:r w:rsidRPr="005E4CBD">
        <w:rPr>
          <w:rFonts w:ascii="Verdana" w:eastAsia="Times New Roman" w:hAnsi="Verdana" w:cs="Arial"/>
          <w:bCs/>
          <w:i/>
          <w:iCs/>
          <w:color w:val="000000"/>
          <w:sz w:val="20"/>
          <w:szCs w:val="20"/>
          <w:lang w:val="es-ES_tradnl" w:eastAsia="es-ES_tradnl"/>
        </w:rPr>
        <w:t>“[l]a garantía de cumplimiento del contrato debe tener una vigencia mínima hasta la liquidación del contrato</w:t>
      </w:r>
      <w:r>
        <w:rPr>
          <w:rFonts w:ascii="Verdana" w:eastAsia="Times New Roman" w:hAnsi="Verdana" w:cs="Arial"/>
          <w:bCs/>
          <w:i/>
          <w:iCs/>
          <w:color w:val="000000"/>
          <w:sz w:val="20"/>
          <w:szCs w:val="20"/>
          <w:lang w:val="es-ES_tradnl" w:eastAsia="es-ES_tradnl"/>
        </w:rPr>
        <w:t>”.</w:t>
      </w:r>
    </w:p>
    <w:p w14:paraId="00AABCF5" w14:textId="58BD767E" w:rsidR="005E4CBD" w:rsidRDefault="005E4CBD" w:rsidP="00C15A62">
      <w:pPr>
        <w:jc w:val="both"/>
        <w:rPr>
          <w:rFonts w:ascii="Verdana" w:eastAsia="Times New Roman" w:hAnsi="Verdana" w:cs="Arial"/>
          <w:bCs/>
          <w:color w:val="000000"/>
          <w:sz w:val="20"/>
          <w:szCs w:val="20"/>
          <w:lang w:val="es-ES_tradnl" w:eastAsia="es-ES_tradnl"/>
        </w:rPr>
      </w:pPr>
      <w:r>
        <w:rPr>
          <w:rFonts w:ascii="Verdana" w:eastAsia="Times New Roman" w:hAnsi="Verdana" w:cs="Arial"/>
          <w:bCs/>
          <w:color w:val="000000"/>
          <w:sz w:val="20"/>
          <w:szCs w:val="20"/>
          <w:lang w:val="es-ES_tradnl" w:eastAsia="es-ES_tradnl"/>
        </w:rPr>
        <w:t xml:space="preserve">[…] </w:t>
      </w:r>
    </w:p>
    <w:p w14:paraId="289DB652" w14:textId="77777777" w:rsidR="005E4CBD" w:rsidRPr="005E4CBD" w:rsidRDefault="005E4CBD" w:rsidP="005E4CBD">
      <w:pPr>
        <w:spacing w:after="0" w:line="240" w:lineRule="auto"/>
        <w:jc w:val="both"/>
        <w:rPr>
          <w:rFonts w:ascii="Verdana" w:eastAsia="Times New Roman" w:hAnsi="Verdana" w:cs="Arial"/>
          <w:bCs/>
          <w:color w:val="000000"/>
          <w:sz w:val="20"/>
          <w:szCs w:val="20"/>
          <w:lang w:val="es-ES_tradnl" w:eastAsia="es-ES_tradnl"/>
        </w:rPr>
      </w:pPr>
      <w:r w:rsidRPr="005E4CBD">
        <w:rPr>
          <w:rFonts w:ascii="Verdana" w:eastAsia="Times New Roman" w:hAnsi="Verdana" w:cs="Arial"/>
          <w:bCs/>
          <w:color w:val="000000"/>
          <w:sz w:val="20"/>
          <w:szCs w:val="20"/>
          <w:lang w:val="es-ES_tradnl" w:eastAsia="es-ES_tradnl"/>
        </w:rPr>
        <w:lastRenderedPageBreak/>
        <w:t xml:space="preserve">[…] </w:t>
      </w:r>
      <w:r w:rsidRPr="005E4CBD">
        <w:rPr>
          <w:rFonts w:ascii="Verdana" w:eastAsia="Times New Roman" w:hAnsi="Verdana" w:cs="Arial"/>
          <w:bCs/>
          <w:color w:val="000000"/>
          <w:sz w:val="20"/>
          <w:szCs w:val="20"/>
          <w:lang w:val="es-ES_tradnl" w:eastAsia="es-ES_tradnl"/>
        </w:rPr>
        <w:t xml:space="preserve">la vigencia de la garantía de cumplimiento, en cuanto al amparo de cumplimiento del contrato, la norma reglamentaria citada con anterioridad es clara y exige que la garantía permanezca vigente hasta la liquidación del contrato, esto es, más allá del plazo de ejecución y de vigencia del contrato estatal. Por tanto, en virtud de dicha disposición, el contratista debe cumplir con la obligación consistente en mantener la vigencia mínima del amparo de cumplimiento hasta la liquidación del contrato. </w:t>
      </w:r>
    </w:p>
    <w:p w14:paraId="593FBBEF" w14:textId="77777777" w:rsidR="005E4CBD" w:rsidRDefault="005E4CBD" w:rsidP="005E4CBD">
      <w:pPr>
        <w:spacing w:after="0" w:line="240" w:lineRule="auto"/>
        <w:jc w:val="both"/>
        <w:rPr>
          <w:rFonts w:ascii="Verdana" w:eastAsia="Times New Roman" w:hAnsi="Verdana" w:cs="Arial"/>
          <w:color w:val="000000" w:themeColor="text1"/>
          <w:sz w:val="20"/>
          <w:szCs w:val="20"/>
          <w:lang w:val="es-ES" w:eastAsia="es-ES"/>
        </w:rPr>
      </w:pPr>
    </w:p>
    <w:p w14:paraId="4568230F" w14:textId="6E7352E3" w:rsidR="005E4CBD" w:rsidRPr="005E4CBD" w:rsidRDefault="005E4CBD" w:rsidP="005E4CBD">
      <w:pPr>
        <w:spacing w:after="0" w:line="240" w:lineRule="auto"/>
        <w:jc w:val="both"/>
        <w:rPr>
          <w:rFonts w:ascii="Verdana" w:eastAsia="Times New Roman" w:hAnsi="Verdana" w:cs="Arial"/>
          <w:color w:val="000000"/>
          <w:sz w:val="20"/>
          <w:szCs w:val="20"/>
          <w:lang w:val="es-ES" w:eastAsia="es-ES"/>
        </w:rPr>
      </w:pPr>
      <w:r w:rsidRPr="005E4CBD">
        <w:rPr>
          <w:rFonts w:ascii="Verdana" w:eastAsia="Times New Roman" w:hAnsi="Verdana" w:cs="Arial"/>
          <w:color w:val="000000" w:themeColor="text1"/>
          <w:sz w:val="20"/>
          <w:szCs w:val="20"/>
          <w:lang w:val="es-ES" w:eastAsia="es-ES"/>
        </w:rPr>
        <w:t>Bajo estas consideraciones, existe la obligación por parte del contratista de mantener la vigencia de la garantía de cumplimiento, en cuanto al amparo de cumplimiento del contrato, hasta la liquidación del contrato, para lo cual se deberá tener en cuenta lo dispuesto por el artículo 11 de la Ley 1150 de 2007, según el cual la liquidación de los contratos se hará de mutuo acuerdo dentro del término fijado en los pliegos de condiciones o sus equivalentes o dentro del que acuerden las partes para el efecto o en su ausencia, el término supletivo establecido para la liquidación bilateral de 4 meses a partir de la terminación del contrato, o los 2 meses siguientes para realizar la liquidación de forma unilateral. En este sentido, ante la falta de liquidación bilateral o unilateral del contrato en dichos plazos, el contratista debe cumplir con la previsión normativa referida, en el sentido de mantener la vigencia de la garantía de cumplimiento hasta la liquidación efectiva del contrato, sin perjuicio de interponer la demanda con la pretensión de liquidarlo judicialmente.</w:t>
      </w:r>
    </w:p>
    <w:p w14:paraId="5C568757" w14:textId="77777777" w:rsidR="005E4CBD" w:rsidRDefault="005E4CBD" w:rsidP="005E4CBD">
      <w:pPr>
        <w:spacing w:after="0" w:line="240" w:lineRule="auto"/>
        <w:jc w:val="both"/>
        <w:rPr>
          <w:rFonts w:ascii="Verdana" w:eastAsia="Times New Roman" w:hAnsi="Verdana" w:cs="Arial"/>
          <w:bCs/>
          <w:color w:val="000000"/>
          <w:sz w:val="20"/>
          <w:szCs w:val="20"/>
          <w:lang w:val="es-ES_tradnl" w:eastAsia="es-ES_tradnl"/>
        </w:rPr>
      </w:pPr>
    </w:p>
    <w:p w14:paraId="4715C3ED" w14:textId="7D19A832" w:rsidR="005E4CBD" w:rsidRPr="005E4CBD" w:rsidRDefault="005E4CBD" w:rsidP="005E4CBD">
      <w:pPr>
        <w:spacing w:after="0" w:line="240" w:lineRule="auto"/>
        <w:jc w:val="both"/>
        <w:rPr>
          <w:rFonts w:ascii="Verdana" w:eastAsia="Times New Roman" w:hAnsi="Verdana" w:cs="Arial"/>
          <w:bCs/>
          <w:color w:val="000000"/>
          <w:sz w:val="20"/>
          <w:szCs w:val="20"/>
          <w:lang w:val="es-ES_tradnl" w:eastAsia="es-ES_tradnl"/>
        </w:rPr>
      </w:pPr>
      <w:r w:rsidRPr="005E4CBD">
        <w:rPr>
          <w:rFonts w:ascii="Verdana" w:eastAsia="Times New Roman" w:hAnsi="Verdana" w:cs="Arial"/>
          <w:bCs/>
          <w:color w:val="000000"/>
          <w:sz w:val="20"/>
          <w:szCs w:val="20"/>
          <w:lang w:val="es-ES_tradnl" w:eastAsia="es-ES_tradnl"/>
        </w:rPr>
        <w:t xml:space="preserve">De esta manera, si el contrato establece un plazo de liquidación de mutuo acuerdo de conformidad con lo señalado por el artículo 2.2.1.2.3.1.12. del Decreto 1082 de 2015, la entidad deberá verificar que la garantía se encuentre vigente, por lo menos, hasta dicho plazo. Si no se pacta un plazo de liquidación, se deberá tener en cuenta los términos supletivos de la liquidación bilateral y unilateral del artículo 11 de la ley 1150 de 2007. En todo caso, si por alguna razón no se logra liquidar el contrato dentro de dicho plazo, el contratista tiene el deber de mantener vigente la garantía hasta la liquidación efectiva del contrato, pues el artículo 2.2.1.2.3.1.12 del Decreto 1082 de 2015 lo dispone expresamente. </w:t>
      </w:r>
    </w:p>
    <w:p w14:paraId="66ACD341" w14:textId="77777777" w:rsidR="005E4CBD" w:rsidRDefault="005E4CBD" w:rsidP="005E4CBD">
      <w:pPr>
        <w:spacing w:after="0" w:line="240" w:lineRule="auto"/>
        <w:jc w:val="both"/>
        <w:rPr>
          <w:rFonts w:ascii="Verdana" w:eastAsia="Times New Roman" w:hAnsi="Verdana" w:cs="Arial"/>
          <w:bCs/>
          <w:color w:val="000000"/>
          <w:sz w:val="20"/>
          <w:szCs w:val="20"/>
          <w:lang w:eastAsia="es-ES_tradnl"/>
        </w:rPr>
      </w:pPr>
    </w:p>
    <w:p w14:paraId="290A2DE5" w14:textId="7E92F423" w:rsidR="005E4CBD" w:rsidRPr="005E4CBD" w:rsidRDefault="005E4CBD" w:rsidP="005E4CBD">
      <w:pPr>
        <w:spacing w:after="0" w:line="240" w:lineRule="auto"/>
        <w:jc w:val="both"/>
        <w:rPr>
          <w:rFonts w:ascii="Verdana" w:eastAsia="Times New Roman" w:hAnsi="Verdana" w:cs="Arial"/>
          <w:bCs/>
          <w:color w:val="000000"/>
          <w:sz w:val="20"/>
          <w:szCs w:val="20"/>
          <w:lang w:val="es-ES_tradnl" w:eastAsia="es-ES_tradnl"/>
        </w:rPr>
      </w:pPr>
      <w:r w:rsidRPr="005E4CBD">
        <w:rPr>
          <w:rFonts w:ascii="Verdana" w:eastAsia="Times New Roman" w:hAnsi="Verdana" w:cs="Arial"/>
          <w:bCs/>
          <w:color w:val="000000"/>
          <w:sz w:val="20"/>
          <w:szCs w:val="20"/>
          <w:lang w:eastAsia="es-ES_tradnl"/>
        </w:rPr>
        <w:t>Por último, si el contratista obligado a ampliar la garantía de cumplimiento una vez finalizado el contrato estatal y bajo el inicio de la etapa de liquidación se abstiene de su actuar, la entidad estatal, de acuerdo con lo pactado dentro del contrato estatal, y si así se contempló, podrá iniciar un proceso sancionatorio administrativo de carácter contractual contemplado en el artículo 86 de la Ley 1474 de 2011 y el artículo 17 de la Ley 1150 de 2007. Aunado a lo anterior, deberá analizar si la garantía de cumplimiento tiene vigente el amparo relativo a cumplimiento del contrato, que de conformidad con lo dispuesto en el artículo 2.2.1.2.3.1.7 el amparo de cumplimiento del contrato cubrirá a la Entidad Estatal de los perjuicios derivados del incumplimiento total o parcial del contrato, cuando el incumplimiento es imputable al contratista; el cumplimiento tardío o defectuoso del contrato, cuando el incumplimiento es imputable al contratista; los daños imputables al contratista por entregas parciales de la obra, cuando el contrato no prevé entregas parciales; y el pago del valor de las multas y de la cláusula penal pecuniaria.</w:t>
      </w:r>
    </w:p>
    <w:p w14:paraId="44D3B09C" w14:textId="068F7905" w:rsidR="005E4CBD" w:rsidRPr="005E4CBD" w:rsidRDefault="005E4CBD" w:rsidP="00C15A62">
      <w:pPr>
        <w:spacing w:after="0" w:line="240" w:lineRule="auto"/>
        <w:jc w:val="both"/>
        <w:rPr>
          <w:rFonts w:ascii="Verdana" w:hAnsi="Verdana" w:cs="Arial"/>
          <w:b/>
          <w:bCs/>
          <w:color w:val="000000" w:themeColor="text1"/>
          <w:sz w:val="20"/>
          <w:szCs w:val="20"/>
          <w:lang w:val="es-ES_tradnl"/>
        </w:rPr>
      </w:pPr>
    </w:p>
    <w:p w14:paraId="3CC32CC5" w14:textId="77777777" w:rsidR="00EA62AD" w:rsidRPr="00EA62AD" w:rsidRDefault="00EA62AD" w:rsidP="00C15A62">
      <w:pPr>
        <w:spacing w:after="0" w:line="240" w:lineRule="auto"/>
        <w:jc w:val="both"/>
        <w:rPr>
          <w:rFonts w:ascii="Verdana" w:hAnsi="Verdana"/>
          <w:lang w:val="es-ES"/>
        </w:rPr>
      </w:pPr>
    </w:p>
    <w:p w14:paraId="18D4D79E" w14:textId="175169A4" w:rsidR="000948A2" w:rsidRPr="00FF007A" w:rsidRDefault="000948A2" w:rsidP="000948A2">
      <w:pPr>
        <w:spacing w:after="0" w:line="240" w:lineRule="auto"/>
        <w:jc w:val="both"/>
        <w:rPr>
          <w:rFonts w:ascii="Verdana" w:eastAsia="Calibri" w:hAnsi="Verdana" w:cs="Arial"/>
          <w:lang w:eastAsia="es-ES"/>
        </w:rPr>
      </w:pPr>
      <w:r w:rsidRPr="00FF007A">
        <w:rPr>
          <w:rFonts w:ascii="Verdana" w:hAnsi="Verdana"/>
        </w:rPr>
        <w:lastRenderedPageBreak/>
        <w:t xml:space="preserve">Bogotá D.C., </w:t>
      </w:r>
      <w:bookmarkStart w:id="5" w:name="_Hlk197462763"/>
      <w:bookmarkStart w:id="6" w:name="_Hlk197529996"/>
      <w:r w:rsidR="00EA62AD">
        <w:rPr>
          <w:rFonts w:ascii="Verdana" w:hAnsi="Verdana"/>
        </w:rPr>
        <w:t xml:space="preserve">04 de octubre de 2025  </w:t>
      </w:r>
    </w:p>
    <w:p w14:paraId="7C992E05" w14:textId="77777777" w:rsidR="00EA62AD" w:rsidRDefault="00EA62AD" w:rsidP="000948A2">
      <w:pPr>
        <w:spacing w:after="0" w:line="240" w:lineRule="auto"/>
        <w:jc w:val="both"/>
        <w:rPr>
          <w:rFonts w:ascii="Verdana" w:eastAsia="Calibri" w:hAnsi="Verdana" w:cs="Arial"/>
          <w:lang w:eastAsia="es-ES"/>
        </w:rPr>
      </w:pPr>
    </w:p>
    <w:p w14:paraId="34A54823" w14:textId="21B5381D" w:rsidR="00EA62AD" w:rsidRDefault="00EA62AD" w:rsidP="00EA62AD">
      <w:pPr>
        <w:spacing w:after="0" w:line="240" w:lineRule="auto"/>
        <w:jc w:val="right"/>
        <w:rPr>
          <w:rFonts w:ascii="Verdana" w:eastAsia="Calibri" w:hAnsi="Verdana" w:cs="Arial"/>
          <w:lang w:eastAsia="es-ES"/>
        </w:rPr>
      </w:pPr>
      <w:r w:rsidRPr="00EA62AD">
        <w:rPr>
          <w:rFonts w:ascii="Verdana" w:eastAsia="Calibri" w:hAnsi="Verdana" w:cs="Arial"/>
          <w:lang w:eastAsia="es-ES"/>
        </w:rPr>
        <w:drawing>
          <wp:inline distT="0" distB="0" distL="0" distR="0" wp14:anchorId="40367924" wp14:editId="1473BB5D">
            <wp:extent cx="2333549" cy="699478"/>
            <wp:effectExtent l="0" t="0" r="0" b="5715"/>
            <wp:docPr id="16662502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250216" name=""/>
                    <pic:cNvPicPr/>
                  </pic:nvPicPr>
                  <pic:blipFill>
                    <a:blip r:embed="rId10"/>
                    <a:stretch>
                      <a:fillRect/>
                    </a:stretch>
                  </pic:blipFill>
                  <pic:spPr>
                    <a:xfrm>
                      <a:off x="0" y="0"/>
                      <a:ext cx="2370011" cy="710407"/>
                    </a:xfrm>
                    <a:prstGeom prst="rect">
                      <a:avLst/>
                    </a:prstGeom>
                  </pic:spPr>
                </pic:pic>
              </a:graphicData>
            </a:graphic>
          </wp:inline>
        </w:drawing>
      </w:r>
    </w:p>
    <w:p w14:paraId="38608A90" w14:textId="278A445F" w:rsidR="000948A2" w:rsidRPr="00FF007A" w:rsidRDefault="000948A2" w:rsidP="000948A2">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r>
        <w:rPr>
          <w:rFonts w:ascii="Verdana" w:eastAsia="Calibri" w:hAnsi="Verdana" w:cs="Arial"/>
          <w:lang w:eastAsia="es-ES"/>
        </w:rPr>
        <w:t>a</w:t>
      </w:r>
    </w:p>
    <w:p w14:paraId="6AB078B2" w14:textId="77777777" w:rsidR="000948A2" w:rsidRDefault="000948A2" w:rsidP="000948A2">
      <w:pPr>
        <w:spacing w:after="0" w:line="240" w:lineRule="auto"/>
        <w:jc w:val="both"/>
        <w:rPr>
          <w:rFonts w:ascii="Verdana" w:eastAsia="Calibri" w:hAnsi="Verdana" w:cs="Arial"/>
          <w:b/>
          <w:lang w:eastAsia="es-ES_tradnl"/>
        </w:rPr>
      </w:pPr>
      <w:r w:rsidRPr="0046402E">
        <w:rPr>
          <w:rFonts w:ascii="Verdana" w:eastAsia="Calibri" w:hAnsi="Verdana" w:cs="Arial"/>
          <w:b/>
          <w:lang w:eastAsia="es-ES_tradnl"/>
        </w:rPr>
        <w:t>MARIA DEL PILAR CRUZ FEO</w:t>
      </w:r>
    </w:p>
    <w:p w14:paraId="0F134252" w14:textId="77777777" w:rsidR="000948A2" w:rsidRPr="0046402E" w:rsidRDefault="000948A2" w:rsidP="000948A2">
      <w:pPr>
        <w:spacing w:after="0" w:line="240" w:lineRule="auto"/>
        <w:jc w:val="both"/>
        <w:rPr>
          <w:rFonts w:ascii="Verdana" w:eastAsia="Calibri" w:hAnsi="Verdana" w:cs="Arial"/>
          <w:bCs/>
          <w:lang w:eastAsia="es-ES_tradnl"/>
        </w:rPr>
      </w:pPr>
      <w:r w:rsidRPr="0046402E">
        <w:rPr>
          <w:rFonts w:ascii="Verdana" w:eastAsia="Calibri" w:hAnsi="Verdana" w:cs="Arial"/>
          <w:bCs/>
          <w:lang w:eastAsia="es-ES_tradnl"/>
        </w:rPr>
        <w:t>Secretaria de Infraestructura y Planeación</w:t>
      </w:r>
    </w:p>
    <w:p w14:paraId="70E40EB7" w14:textId="77777777" w:rsidR="000948A2" w:rsidRPr="0046402E" w:rsidRDefault="000948A2" w:rsidP="000948A2">
      <w:pPr>
        <w:spacing w:after="0" w:line="240" w:lineRule="auto"/>
        <w:jc w:val="both"/>
        <w:rPr>
          <w:rFonts w:ascii="Verdana" w:eastAsia="Calibri" w:hAnsi="Verdana" w:cs="Arial"/>
          <w:bCs/>
          <w:lang w:eastAsia="es-ES_tradnl"/>
        </w:rPr>
      </w:pPr>
      <w:r>
        <w:rPr>
          <w:rFonts w:ascii="Verdana" w:eastAsia="Calibri" w:hAnsi="Verdana" w:cs="Arial"/>
          <w:bCs/>
          <w:lang w:eastAsia="es-ES_tradnl"/>
        </w:rPr>
        <w:t>Alcaldía de Sasaima</w:t>
      </w:r>
    </w:p>
    <w:p w14:paraId="781574E5" w14:textId="77777777" w:rsidR="000948A2" w:rsidRPr="0046402E" w:rsidRDefault="000948A2" w:rsidP="000948A2">
      <w:pPr>
        <w:spacing w:after="0" w:line="240" w:lineRule="auto"/>
        <w:jc w:val="both"/>
        <w:rPr>
          <w:rFonts w:ascii="Verdana" w:hAnsi="Verdana"/>
        </w:rPr>
      </w:pPr>
      <w:hyperlink r:id="rId11" w:history="1">
        <w:r w:rsidRPr="0046402E">
          <w:rPr>
            <w:rStyle w:val="Hipervnculo"/>
            <w:rFonts w:ascii="Verdana" w:hAnsi="Verdana"/>
          </w:rPr>
          <w:t>planeacion@sasaima-cundinamarca.gov.co</w:t>
        </w:r>
      </w:hyperlink>
    </w:p>
    <w:p w14:paraId="6A325D1D" w14:textId="77777777" w:rsidR="000948A2" w:rsidRDefault="000948A2" w:rsidP="000948A2">
      <w:pPr>
        <w:spacing w:after="0" w:line="240" w:lineRule="auto"/>
        <w:jc w:val="both"/>
        <w:rPr>
          <w:rFonts w:ascii="Verdana" w:hAnsi="Verdana"/>
        </w:rPr>
      </w:pPr>
      <w:r>
        <w:rPr>
          <w:rFonts w:ascii="Verdana" w:hAnsi="Verdana"/>
        </w:rPr>
        <w:t>Sasaima - Cundinamarca</w:t>
      </w:r>
    </w:p>
    <w:p w14:paraId="292B1F57" w14:textId="77777777" w:rsidR="000948A2" w:rsidRPr="00FF007A" w:rsidRDefault="000948A2" w:rsidP="000948A2">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948A2" w:rsidRPr="00FF007A" w14:paraId="1125D911" w14:textId="77777777" w:rsidTr="00920B9E">
        <w:trPr>
          <w:trHeight w:val="162"/>
        </w:trPr>
        <w:tc>
          <w:tcPr>
            <w:tcW w:w="3119" w:type="dxa"/>
          </w:tcPr>
          <w:p w14:paraId="765E2578" w14:textId="77777777" w:rsidR="000948A2" w:rsidRPr="00FF007A" w:rsidRDefault="000948A2" w:rsidP="00920B9E">
            <w:pPr>
              <w:jc w:val="both"/>
              <w:rPr>
                <w:rFonts w:ascii="Verdana" w:eastAsia="Calibri" w:hAnsi="Verdana" w:cs="Arial"/>
                <w:b/>
                <w:bCs/>
                <w:color w:val="7030A0"/>
                <w:lang w:eastAsia="es-ES_tradnl"/>
              </w:rPr>
            </w:pPr>
          </w:p>
        </w:tc>
        <w:tc>
          <w:tcPr>
            <w:tcW w:w="5670" w:type="dxa"/>
          </w:tcPr>
          <w:p w14:paraId="14D056C5" w14:textId="77777777" w:rsidR="000948A2" w:rsidRPr="00FF007A" w:rsidRDefault="000948A2" w:rsidP="00920B9E">
            <w:pPr>
              <w:jc w:val="both"/>
              <w:rPr>
                <w:rFonts w:ascii="Verdana" w:eastAsia="Calibri" w:hAnsi="Verdana" w:cs="Arial"/>
                <w:b/>
                <w:bCs/>
                <w:lang w:eastAsia="es-ES"/>
              </w:rPr>
            </w:pPr>
            <w:r w:rsidRPr="00FF007A">
              <w:rPr>
                <w:rFonts w:ascii="Verdana" w:eastAsia="Calibri" w:hAnsi="Verdana" w:cs="Arial"/>
                <w:b/>
                <w:bCs/>
                <w:lang w:eastAsia="es-ES"/>
              </w:rPr>
              <w:t>Concepto C-</w:t>
            </w:r>
            <w:r>
              <w:rPr>
                <w:rFonts w:ascii="Verdana" w:eastAsia="Calibri" w:hAnsi="Verdana" w:cs="Arial"/>
                <w:b/>
                <w:bCs/>
                <w:lang w:eastAsia="es-ES"/>
              </w:rPr>
              <w:t>1243</w:t>
            </w:r>
            <w:r w:rsidRPr="00FF007A">
              <w:rPr>
                <w:rFonts w:ascii="Verdana" w:eastAsia="Calibri" w:hAnsi="Verdana" w:cs="Arial"/>
                <w:b/>
                <w:bCs/>
                <w:lang w:eastAsia="es-ES"/>
              </w:rPr>
              <w:t xml:space="preserve"> de 2025</w:t>
            </w:r>
          </w:p>
          <w:p w14:paraId="179D85E1" w14:textId="77777777" w:rsidR="000948A2" w:rsidRPr="00FF007A" w:rsidRDefault="000948A2" w:rsidP="00920B9E">
            <w:pPr>
              <w:jc w:val="both"/>
              <w:rPr>
                <w:rFonts w:ascii="Verdana" w:eastAsia="Calibri" w:hAnsi="Verdana" w:cs="Arial"/>
                <w:b/>
                <w:bCs/>
                <w:color w:val="7030A0"/>
                <w:lang w:eastAsia="es-ES"/>
              </w:rPr>
            </w:pPr>
          </w:p>
        </w:tc>
      </w:tr>
      <w:tr w:rsidR="000948A2" w:rsidRPr="00FF007A" w14:paraId="1126BD69" w14:textId="77777777" w:rsidTr="00920B9E">
        <w:trPr>
          <w:trHeight w:val="884"/>
        </w:trPr>
        <w:tc>
          <w:tcPr>
            <w:tcW w:w="3119" w:type="dxa"/>
          </w:tcPr>
          <w:p w14:paraId="740509DC" w14:textId="77777777" w:rsidR="000948A2" w:rsidRPr="00FF007A" w:rsidRDefault="000948A2" w:rsidP="00920B9E">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00582EF8" w14:textId="77777777" w:rsidR="000948A2" w:rsidRDefault="000948A2" w:rsidP="00920B9E">
            <w:pPr>
              <w:jc w:val="both"/>
              <w:rPr>
                <w:rFonts w:ascii="Verdana" w:hAnsi="Verdana" w:cs="Arial"/>
                <w:color w:val="000000" w:themeColor="text1"/>
                <w:lang w:val="es-ES"/>
              </w:rPr>
            </w:pPr>
            <w:r w:rsidRPr="00051F33">
              <w:rPr>
                <w:rFonts w:ascii="Verdana" w:hAnsi="Verdana" w:cs="Arial"/>
                <w:color w:val="000000" w:themeColor="text1"/>
                <w:lang w:val="es-ES"/>
              </w:rPr>
              <w:t xml:space="preserve">LIQUIDACIÓN DEL CONTRATO – </w:t>
            </w:r>
            <w:r>
              <w:rPr>
                <w:rFonts w:ascii="Verdana" w:hAnsi="Verdana" w:cs="Arial"/>
                <w:color w:val="000000" w:themeColor="text1"/>
                <w:lang w:val="es-ES"/>
              </w:rPr>
              <w:t xml:space="preserve">Concepto </w:t>
            </w:r>
            <w:r w:rsidRPr="00051F33">
              <w:rPr>
                <w:rFonts w:ascii="Verdana" w:hAnsi="Verdana" w:cs="Arial"/>
                <w:color w:val="000000" w:themeColor="text1"/>
                <w:lang w:val="es-ES"/>
              </w:rPr>
              <w:t>/ LIQUIDACIÓN DEL CONTRATO –</w:t>
            </w:r>
            <w:r>
              <w:rPr>
                <w:rFonts w:ascii="Verdana" w:hAnsi="Verdana" w:cs="Arial"/>
                <w:color w:val="000000" w:themeColor="text1"/>
                <w:lang w:val="es-ES"/>
              </w:rPr>
              <w:t xml:space="preserve"> Normatividad /LIQUIDACIÓN DEL CONTRATO – Bilateral – Acuerdo de voluntades – Término supletivo / LIQUIDACIÓN DEL CONTRATO – Liquidación unilateral / </w:t>
            </w:r>
            <w:r w:rsidRPr="00051F33">
              <w:rPr>
                <w:rFonts w:ascii="Verdana" w:hAnsi="Verdana" w:cs="Arial"/>
                <w:color w:val="000000" w:themeColor="text1"/>
                <w:lang w:val="es-ES"/>
              </w:rPr>
              <w:t xml:space="preserve">GARANTÍA DE ÚNICA DE CUMPLIMIENTO – Definición – Fundamento normativo / </w:t>
            </w:r>
            <w:r>
              <w:rPr>
                <w:rFonts w:ascii="Verdana" w:hAnsi="Verdana" w:cs="Arial"/>
                <w:color w:val="000000" w:themeColor="text1"/>
                <w:lang w:val="es-ES"/>
              </w:rPr>
              <w:t xml:space="preserve">GARANTÍA ÚNICA DE CUMPLIMIENTO – Vigencia – Obligación del contratista mantener vigente garantía de cumplimiento </w:t>
            </w:r>
          </w:p>
          <w:p w14:paraId="520E7EE3" w14:textId="77777777" w:rsidR="000948A2" w:rsidRPr="00051F33" w:rsidRDefault="000948A2" w:rsidP="00920B9E">
            <w:pPr>
              <w:jc w:val="both"/>
              <w:rPr>
                <w:rFonts w:ascii="Verdana" w:hAnsi="Verdana" w:cs="Arial"/>
                <w:color w:val="000000" w:themeColor="text1"/>
                <w:lang w:val="es-ES"/>
              </w:rPr>
            </w:pPr>
          </w:p>
        </w:tc>
      </w:tr>
      <w:tr w:rsidR="000948A2" w:rsidRPr="00FF007A" w14:paraId="7641C00E" w14:textId="77777777" w:rsidTr="00920B9E">
        <w:tc>
          <w:tcPr>
            <w:tcW w:w="3119" w:type="dxa"/>
          </w:tcPr>
          <w:p w14:paraId="163D1913" w14:textId="77777777" w:rsidR="000948A2" w:rsidRPr="00FF007A" w:rsidRDefault="000948A2" w:rsidP="00920B9E">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40F79CA8" w14:textId="77777777" w:rsidR="000948A2" w:rsidRPr="00FF007A" w:rsidRDefault="000948A2" w:rsidP="00920B9E">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Pr="0046402E">
              <w:rPr>
                <w:rFonts w:ascii="Verdana" w:eastAsia="Calibri" w:hAnsi="Verdana" w:cs="Arial"/>
                <w:lang w:eastAsia="es-ES_tradnl"/>
              </w:rPr>
              <w:t>1_2025_08_28_009203</w:t>
            </w:r>
          </w:p>
        </w:tc>
      </w:tr>
    </w:tbl>
    <w:p w14:paraId="5371CFEC" w14:textId="77777777" w:rsidR="000948A2" w:rsidRPr="00FF007A" w:rsidRDefault="000948A2" w:rsidP="000948A2">
      <w:pPr>
        <w:spacing w:after="0" w:line="276" w:lineRule="auto"/>
        <w:jc w:val="both"/>
        <w:rPr>
          <w:rFonts w:ascii="Verdana" w:eastAsia="Calibri" w:hAnsi="Verdana" w:cs="Arial"/>
          <w:lang w:eastAsia="es-ES_tradnl"/>
        </w:rPr>
      </w:pPr>
    </w:p>
    <w:p w14:paraId="50426DDF" w14:textId="77777777" w:rsidR="000948A2" w:rsidRPr="00FF007A" w:rsidRDefault="000948A2" w:rsidP="000948A2">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a señora María del Pilar</w:t>
      </w:r>
      <w:r w:rsidRPr="00FF007A">
        <w:rPr>
          <w:rFonts w:ascii="Verdana" w:eastAsia="Calibri" w:hAnsi="Verdana" w:cs="Arial"/>
          <w:lang w:eastAsia="es-ES"/>
        </w:rPr>
        <w:t xml:space="preserve">: </w:t>
      </w:r>
    </w:p>
    <w:p w14:paraId="1F7DD563" w14:textId="77777777" w:rsidR="000948A2" w:rsidRPr="00FF007A" w:rsidRDefault="000948A2" w:rsidP="000948A2">
      <w:pPr>
        <w:tabs>
          <w:tab w:val="left" w:pos="3768"/>
        </w:tabs>
        <w:spacing w:after="0" w:line="240" w:lineRule="auto"/>
        <w:jc w:val="both"/>
        <w:rPr>
          <w:rFonts w:ascii="Verdana" w:eastAsia="Calibri" w:hAnsi="Verdana" w:cs="Arial"/>
          <w:lang w:eastAsia="es-ES"/>
        </w:rPr>
      </w:pPr>
    </w:p>
    <w:p w14:paraId="396FF47B" w14:textId="77777777" w:rsidR="000948A2" w:rsidRPr="0046402E" w:rsidRDefault="000948A2" w:rsidP="000948A2">
      <w:pPr>
        <w:tabs>
          <w:tab w:val="left" w:pos="3768"/>
        </w:tabs>
        <w:spacing w:after="12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w:t>
      </w:r>
      <w:r w:rsidRPr="00046329">
        <w:rPr>
          <w:rFonts w:ascii="Verdana" w:eastAsia="Calibri" w:hAnsi="Verdana" w:cs="Arial"/>
          <w:lang w:eastAsia="es-ES"/>
        </w:rPr>
        <w:t xml:space="preserve">Pública – Colombia Compra Eficiente– responde su solicitud de consulta de fecha </w:t>
      </w:r>
      <w:r>
        <w:rPr>
          <w:rFonts w:ascii="Verdana" w:eastAsia="Calibri" w:hAnsi="Verdana" w:cs="Arial"/>
          <w:lang w:eastAsia="es-ES"/>
        </w:rPr>
        <w:t>28</w:t>
      </w:r>
      <w:r w:rsidRPr="00046329">
        <w:rPr>
          <w:rFonts w:ascii="Verdana" w:eastAsia="Calibri" w:hAnsi="Verdana" w:cs="Arial"/>
          <w:lang w:eastAsia="es-ES"/>
        </w:rPr>
        <w:t xml:space="preserve"> de agosto de 2025, </w:t>
      </w:r>
      <w:r w:rsidRPr="00E05649">
        <w:rPr>
          <w:rFonts w:ascii="Verdana" w:eastAsia="Calibri" w:hAnsi="Verdana" w:cs="Arial"/>
          <w:lang w:eastAsia="es-ES"/>
        </w:rPr>
        <w:t xml:space="preserve">en la cual manifiesta lo siguiente: </w:t>
      </w:r>
    </w:p>
    <w:p w14:paraId="1702F165" w14:textId="77777777" w:rsidR="000948A2" w:rsidRDefault="000948A2" w:rsidP="000948A2">
      <w:pPr>
        <w:spacing w:after="0" w:line="240" w:lineRule="auto"/>
        <w:ind w:left="709" w:right="709"/>
        <w:jc w:val="both"/>
        <w:rPr>
          <w:rFonts w:ascii="Verdana" w:eastAsia="Century Gothic" w:hAnsi="Verdana" w:cs="Century Gothic"/>
          <w:sz w:val="20"/>
          <w:szCs w:val="20"/>
        </w:rPr>
      </w:pPr>
      <w:bookmarkStart w:id="7" w:name="_Hlk192699624"/>
      <w:bookmarkStart w:id="8" w:name="_Hlk199394899"/>
      <w:r w:rsidRPr="007C7B24">
        <w:rPr>
          <w:rFonts w:ascii="Verdana" w:eastAsia="Century Gothic" w:hAnsi="Verdana" w:cs="Century Gothic"/>
          <w:sz w:val="20"/>
          <w:szCs w:val="20"/>
        </w:rPr>
        <w:t xml:space="preserve">“(…) </w:t>
      </w:r>
      <w:bookmarkEnd w:id="7"/>
      <w:bookmarkEnd w:id="8"/>
      <w:r w:rsidRPr="0046402E">
        <w:rPr>
          <w:rFonts w:ascii="Verdana" w:eastAsia="Century Gothic" w:hAnsi="Verdana" w:cs="Century Gothic"/>
          <w:sz w:val="20"/>
          <w:szCs w:val="20"/>
        </w:rPr>
        <w:t>En administraciones anteriores se suscribieron sendos Convenios Interadministrativos con diferentes secretar</w:t>
      </w:r>
      <w:proofErr w:type="gramStart"/>
      <w:r w:rsidRPr="0046402E">
        <w:rPr>
          <w:rFonts w:ascii="Verdana" w:eastAsia="Century Gothic" w:hAnsi="Verdana" w:cs="Century Gothic"/>
          <w:sz w:val="20"/>
          <w:szCs w:val="20"/>
        </w:rPr>
        <w:t>´{</w:t>
      </w:r>
      <w:proofErr w:type="spellStart"/>
      <w:proofErr w:type="gramEnd"/>
      <w:r w:rsidRPr="0046402E">
        <w:rPr>
          <w:rFonts w:ascii="Verdana" w:eastAsia="Century Gothic" w:hAnsi="Verdana" w:cs="Century Gothic"/>
          <w:sz w:val="20"/>
          <w:szCs w:val="20"/>
        </w:rPr>
        <w:t>ias</w:t>
      </w:r>
      <w:proofErr w:type="spellEnd"/>
      <w:r w:rsidRPr="0046402E">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46402E">
        <w:rPr>
          <w:rFonts w:ascii="Verdana" w:eastAsia="Century Gothic" w:hAnsi="Verdana" w:cs="Century Gothic"/>
          <w:sz w:val="20"/>
          <w:szCs w:val="20"/>
        </w:rPr>
        <w:t xml:space="preserve">del departamento de Cundinamarca, con el fin de aunar esfuerzos y sacar adelante proyectos que beneficiarían a algunos sectores de la ciudadanía de este municipio. </w:t>
      </w:r>
    </w:p>
    <w:p w14:paraId="66F379F1" w14:textId="77777777" w:rsidR="000948A2" w:rsidRDefault="000948A2" w:rsidP="000948A2">
      <w:pPr>
        <w:spacing w:after="0" w:line="240" w:lineRule="auto"/>
        <w:ind w:left="709" w:right="709"/>
        <w:jc w:val="both"/>
        <w:rPr>
          <w:rFonts w:ascii="Verdana" w:eastAsia="Century Gothic" w:hAnsi="Verdana" w:cs="Century Gothic"/>
          <w:sz w:val="20"/>
          <w:szCs w:val="20"/>
        </w:rPr>
      </w:pPr>
    </w:p>
    <w:p w14:paraId="259A12FB" w14:textId="77777777" w:rsidR="000948A2"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eastAsia="Century Gothic" w:hAnsi="Verdana" w:cs="Century Gothic"/>
          <w:sz w:val="20"/>
          <w:szCs w:val="20"/>
        </w:rPr>
        <w:lastRenderedPageBreak/>
        <w:t xml:space="preserve">En el marco de la ley 80 de 1993 y sus normas complementarias, a efectos de cumplir con las obligaciones adquiridas por el municipio dentro de los convenios suscritos, se llevó a cabo la licitación, adjudicación y suscripción de dos contratos derivados de obra. </w:t>
      </w:r>
    </w:p>
    <w:p w14:paraId="22D6E766" w14:textId="77777777" w:rsidR="000948A2" w:rsidRDefault="000948A2" w:rsidP="000948A2">
      <w:pPr>
        <w:spacing w:after="0" w:line="240" w:lineRule="auto"/>
        <w:ind w:left="709" w:right="709"/>
        <w:jc w:val="both"/>
        <w:rPr>
          <w:rFonts w:ascii="Verdana" w:eastAsia="Century Gothic" w:hAnsi="Verdana" w:cs="Century Gothic"/>
          <w:sz w:val="20"/>
          <w:szCs w:val="20"/>
        </w:rPr>
      </w:pPr>
    </w:p>
    <w:p w14:paraId="29780115" w14:textId="77777777" w:rsidR="000948A2"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eastAsia="Century Gothic" w:hAnsi="Verdana" w:cs="Century Gothic"/>
          <w:sz w:val="20"/>
          <w:szCs w:val="20"/>
        </w:rPr>
        <w:t xml:space="preserve">1.- En uno de los contratos de obra, se llevó a cabo la ejecución del 100% del contrato por lo que, se dan los presupuestos para su finalización y liquidación. Sin embargo, en la actualidad, cuando se va a llevar a cabo la liquidación de este se evidencia que la póliza de cumplimiento de contrato se encuentra vencida. </w:t>
      </w:r>
    </w:p>
    <w:p w14:paraId="7BCE51FA" w14:textId="77777777" w:rsidR="000948A2" w:rsidRDefault="000948A2" w:rsidP="000948A2">
      <w:pPr>
        <w:spacing w:after="0" w:line="240" w:lineRule="auto"/>
        <w:ind w:left="709" w:right="709"/>
        <w:jc w:val="both"/>
        <w:rPr>
          <w:rFonts w:ascii="Verdana" w:eastAsia="Century Gothic" w:hAnsi="Verdana" w:cs="Century Gothic"/>
          <w:sz w:val="20"/>
          <w:szCs w:val="20"/>
        </w:rPr>
      </w:pPr>
    </w:p>
    <w:p w14:paraId="352BCB5F" w14:textId="77777777" w:rsidR="000948A2"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eastAsia="Century Gothic" w:hAnsi="Verdana" w:cs="Century Gothic"/>
          <w:sz w:val="20"/>
          <w:szCs w:val="20"/>
        </w:rPr>
        <w:t xml:space="preserve">Al requerir al contratista para que actualice la póliza con fecha que permita culminar el trámite de la liquidación, este se niega a ampliar. </w:t>
      </w:r>
    </w:p>
    <w:p w14:paraId="6C25D68C" w14:textId="77777777" w:rsidR="000948A2" w:rsidRDefault="000948A2" w:rsidP="000948A2">
      <w:pPr>
        <w:spacing w:after="0" w:line="240" w:lineRule="auto"/>
        <w:ind w:left="709" w:right="709"/>
        <w:jc w:val="both"/>
        <w:rPr>
          <w:rFonts w:ascii="Verdana" w:eastAsia="Century Gothic" w:hAnsi="Verdana" w:cs="Century Gothic"/>
          <w:sz w:val="20"/>
          <w:szCs w:val="20"/>
        </w:rPr>
      </w:pPr>
    </w:p>
    <w:p w14:paraId="02A4AD4D" w14:textId="77777777" w:rsidR="000948A2"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eastAsia="Century Gothic" w:hAnsi="Verdana" w:cs="Century Gothic"/>
          <w:b/>
          <w:bCs/>
          <w:sz w:val="20"/>
          <w:szCs w:val="20"/>
        </w:rPr>
        <w:t>PREGUNTA:</w:t>
      </w:r>
      <w:r w:rsidRPr="0046402E">
        <w:rPr>
          <w:rFonts w:ascii="Verdana" w:eastAsia="Century Gothic" w:hAnsi="Verdana" w:cs="Century Gothic"/>
          <w:sz w:val="20"/>
          <w:szCs w:val="20"/>
        </w:rPr>
        <w:t xml:space="preserve"> ¿Es posible liquidar el contrato aun cuando dicha póliza se encuentre vencida? Se aclara que las pólizas de responsabilidad de salarios y la estabilidad de la obra se encuentran vigentes.</w:t>
      </w:r>
    </w:p>
    <w:p w14:paraId="029920F1" w14:textId="77777777" w:rsidR="000948A2" w:rsidRDefault="000948A2" w:rsidP="000948A2">
      <w:pPr>
        <w:spacing w:after="0" w:line="240" w:lineRule="auto"/>
        <w:ind w:left="709" w:right="709"/>
        <w:jc w:val="both"/>
        <w:rPr>
          <w:rFonts w:ascii="Verdana" w:eastAsia="Century Gothic" w:hAnsi="Verdana" w:cs="Century Gothic"/>
          <w:sz w:val="20"/>
          <w:szCs w:val="20"/>
        </w:rPr>
      </w:pPr>
    </w:p>
    <w:p w14:paraId="47917959" w14:textId="77777777" w:rsidR="000948A2"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eastAsia="Century Gothic" w:hAnsi="Verdana" w:cs="Century Gothic"/>
          <w:sz w:val="20"/>
          <w:szCs w:val="20"/>
        </w:rPr>
        <w:t xml:space="preserve">2.- En el otro contrato no hubo ejecución de la obra 0% y la entidad departamental decido que lo mejor es terminar y liquidar el convenio, para lo cual y por ausencia de causa se hace necesario terminar los contratos derivados de obra y de interventoría. </w:t>
      </w:r>
    </w:p>
    <w:p w14:paraId="32E913DC" w14:textId="77777777" w:rsidR="000948A2" w:rsidRDefault="000948A2" w:rsidP="000948A2">
      <w:pPr>
        <w:spacing w:after="0" w:line="240" w:lineRule="auto"/>
        <w:ind w:left="709" w:right="709"/>
        <w:jc w:val="both"/>
        <w:rPr>
          <w:rFonts w:ascii="Verdana" w:eastAsia="Century Gothic" w:hAnsi="Verdana" w:cs="Century Gothic"/>
          <w:sz w:val="20"/>
          <w:szCs w:val="20"/>
        </w:rPr>
      </w:pPr>
    </w:p>
    <w:p w14:paraId="32ABAA87" w14:textId="77777777" w:rsidR="000948A2"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eastAsia="Century Gothic" w:hAnsi="Verdana" w:cs="Century Gothic"/>
          <w:sz w:val="20"/>
          <w:szCs w:val="20"/>
        </w:rPr>
        <w:t xml:space="preserve">Al momento de revisar el expediente se observa que las pólizas de ambos contratos se encuentran vencidas. Se requiere al contratista de obra y al contratista interventor a fin de que actualicen las pólizas con el fin de proceder a la terminación bilateral y a la consecuente liquidación, estos contratistas se niegan a actualizar las pólizas aduciendo que ninguna aseguradora les amplía pólizas para liquidar el contrato. </w:t>
      </w:r>
    </w:p>
    <w:p w14:paraId="7EB9BB15" w14:textId="77777777" w:rsidR="000948A2" w:rsidRDefault="000948A2" w:rsidP="000948A2">
      <w:pPr>
        <w:spacing w:after="0" w:line="240" w:lineRule="auto"/>
        <w:ind w:left="709" w:right="709"/>
        <w:jc w:val="both"/>
        <w:rPr>
          <w:rFonts w:ascii="Verdana" w:hAnsi="Verdana"/>
          <w:sz w:val="20"/>
          <w:szCs w:val="20"/>
        </w:rPr>
      </w:pPr>
    </w:p>
    <w:p w14:paraId="364AFDC1" w14:textId="77777777" w:rsidR="000948A2" w:rsidRPr="00FF007A" w:rsidRDefault="000948A2" w:rsidP="000948A2">
      <w:pPr>
        <w:spacing w:after="0" w:line="240" w:lineRule="auto"/>
        <w:ind w:left="709" w:right="709"/>
        <w:jc w:val="both"/>
        <w:rPr>
          <w:rFonts w:ascii="Verdana" w:eastAsia="Century Gothic" w:hAnsi="Verdana" w:cs="Century Gothic"/>
          <w:sz w:val="20"/>
          <w:szCs w:val="20"/>
        </w:rPr>
      </w:pPr>
      <w:r w:rsidRPr="0046402E">
        <w:rPr>
          <w:rFonts w:ascii="Verdana" w:hAnsi="Verdana"/>
          <w:sz w:val="20"/>
          <w:szCs w:val="20"/>
        </w:rPr>
        <w:t xml:space="preserve">PREGUNTA: ¿Ante esta situación como debe proceder el municipio? </w:t>
      </w:r>
      <w:r w:rsidRPr="007C7B24">
        <w:rPr>
          <w:rFonts w:ascii="Verdana" w:hAnsi="Verdana"/>
          <w:sz w:val="20"/>
          <w:szCs w:val="20"/>
        </w:rPr>
        <w:t>(…)”.</w:t>
      </w:r>
    </w:p>
    <w:p w14:paraId="75F5A8F4" w14:textId="77777777" w:rsidR="000948A2" w:rsidRPr="00FF007A" w:rsidRDefault="000948A2" w:rsidP="000948A2">
      <w:pPr>
        <w:spacing w:after="0" w:line="240" w:lineRule="auto"/>
        <w:ind w:left="709" w:right="709"/>
        <w:jc w:val="both"/>
        <w:rPr>
          <w:rFonts w:ascii="Verdana" w:hAnsi="Verdana"/>
          <w:sz w:val="20"/>
          <w:szCs w:val="20"/>
        </w:rPr>
      </w:pPr>
    </w:p>
    <w:p w14:paraId="6C5FA2A8" w14:textId="77777777" w:rsidR="000948A2" w:rsidRPr="00FF007A" w:rsidRDefault="000948A2" w:rsidP="000948A2">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BEFF75A" w14:textId="77777777" w:rsidR="000948A2" w:rsidRPr="00983C76" w:rsidRDefault="000948A2" w:rsidP="0034797C">
      <w:pPr>
        <w:spacing w:after="0" w:line="276" w:lineRule="auto"/>
        <w:ind w:firstLine="709"/>
        <w:jc w:val="both"/>
        <w:rPr>
          <w:rFonts w:ascii="Verdana" w:eastAsia="Calibri" w:hAnsi="Verdana" w:cs="Arial"/>
          <w:color w:val="000000"/>
          <w:lang w:eastAsia="es-ES"/>
        </w:rPr>
      </w:pPr>
      <w:r w:rsidRPr="00FF007A">
        <w:rPr>
          <w:rFonts w:ascii="Verdana" w:eastAsia="Calibri" w:hAnsi="Verdana" w:cs="Arial"/>
          <w:color w:val="000000"/>
          <w:lang w:eastAsia="es-ES"/>
        </w:rPr>
        <w:lastRenderedPageBreak/>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w:t>
      </w:r>
      <w:r w:rsidRPr="00FF007A">
        <w:rPr>
          <w:rFonts w:ascii="Verdana" w:eastAsia="Calibri" w:hAnsi="Verdana" w:cs="Arial"/>
          <w:color w:val="000000"/>
          <w:lang w:eastAsia="es-ES"/>
        </w:rPr>
        <w:t xml:space="preserve"> de su consulta.  </w:t>
      </w:r>
    </w:p>
    <w:p w14:paraId="746B4389" w14:textId="77777777" w:rsidR="0034797C" w:rsidRPr="00983C76" w:rsidRDefault="0034797C" w:rsidP="00FF7915">
      <w:pPr>
        <w:spacing w:after="0" w:line="276" w:lineRule="auto"/>
        <w:ind w:firstLine="709"/>
        <w:jc w:val="both"/>
        <w:rPr>
          <w:rFonts w:ascii="Verdana" w:eastAsia="Calibri" w:hAnsi="Verdana" w:cs="Arial"/>
          <w:color w:val="000000"/>
          <w:lang w:eastAsia="es-ES"/>
        </w:rPr>
      </w:pPr>
    </w:p>
    <w:p w14:paraId="2FF0F5F6" w14:textId="77777777" w:rsidR="000948A2" w:rsidRPr="002C54E7" w:rsidRDefault="000948A2" w:rsidP="000948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C54E7">
        <w:rPr>
          <w:rFonts w:ascii="Verdana" w:eastAsia="Century Gothic" w:hAnsi="Verdana" w:cs="Century Gothic"/>
          <w:b/>
          <w:bCs/>
          <w:lang w:val="es-CO"/>
        </w:rPr>
        <w:t>Problema planteado:</w:t>
      </w:r>
    </w:p>
    <w:p w14:paraId="4A18B608" w14:textId="77777777" w:rsidR="000948A2" w:rsidRPr="002C54E7" w:rsidRDefault="000948A2" w:rsidP="00FF7915">
      <w:pPr>
        <w:spacing w:after="0" w:line="276" w:lineRule="auto"/>
        <w:jc w:val="both"/>
        <w:rPr>
          <w:rFonts w:ascii="Verdana" w:eastAsia="Calibri" w:hAnsi="Verdana" w:cs="Arial"/>
          <w:color w:val="000000"/>
          <w:lang w:eastAsia="es-ES"/>
        </w:rPr>
      </w:pPr>
    </w:p>
    <w:p w14:paraId="310C3EAD" w14:textId="682FCE63" w:rsidR="000948A2" w:rsidRPr="005779FD" w:rsidRDefault="000948A2" w:rsidP="0034797C">
      <w:pPr>
        <w:spacing w:after="0" w:line="276" w:lineRule="auto"/>
        <w:jc w:val="both"/>
        <w:rPr>
          <w:rFonts w:ascii="Verdana" w:eastAsia="Calibri" w:hAnsi="Verdana" w:cs="Arial"/>
          <w:color w:val="000000"/>
          <w:lang w:eastAsia="es-ES"/>
        </w:rPr>
      </w:pPr>
      <w:r w:rsidRPr="005779FD">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siguiente problema jurídico: </w:t>
      </w:r>
      <w:r w:rsidRPr="00FB586C">
        <w:rPr>
          <w:rFonts w:ascii="Verdana" w:eastAsia="Calibri" w:hAnsi="Verdana" w:cs="Arial"/>
          <w:color w:val="000000"/>
          <w:lang w:eastAsia="es-ES"/>
        </w:rPr>
        <w:t>¿</w:t>
      </w:r>
      <w:r>
        <w:rPr>
          <w:rFonts w:ascii="Verdana" w:eastAsia="Calibri" w:hAnsi="Verdana" w:cs="Arial"/>
          <w:color w:val="000000"/>
          <w:lang w:eastAsia="es-ES"/>
        </w:rPr>
        <w:t xml:space="preserve">Es obligación por parte del contratista del </w:t>
      </w:r>
      <w:r w:rsidR="009D6733">
        <w:rPr>
          <w:rFonts w:ascii="Verdana" w:eastAsia="Calibri" w:hAnsi="Verdana" w:cs="Arial"/>
          <w:color w:val="000000"/>
          <w:lang w:eastAsia="es-ES"/>
        </w:rPr>
        <w:t>E</w:t>
      </w:r>
      <w:r>
        <w:rPr>
          <w:rFonts w:ascii="Verdana" w:eastAsia="Calibri" w:hAnsi="Verdana" w:cs="Arial"/>
          <w:color w:val="000000"/>
          <w:lang w:eastAsia="es-ES"/>
        </w:rPr>
        <w:t xml:space="preserve">stado ampliar la garantía de cumplimiento hasta la liquidación del contrato estatal? </w:t>
      </w:r>
    </w:p>
    <w:p w14:paraId="28C1DCFC" w14:textId="77777777" w:rsidR="0034797C" w:rsidRPr="005779FD" w:rsidRDefault="0034797C" w:rsidP="00FF7915">
      <w:pPr>
        <w:spacing w:after="0" w:line="276" w:lineRule="auto"/>
        <w:jc w:val="both"/>
        <w:rPr>
          <w:rFonts w:ascii="Verdana" w:eastAsia="Calibri" w:hAnsi="Verdana" w:cs="Arial"/>
          <w:color w:val="000000"/>
          <w:lang w:eastAsia="es-ES"/>
        </w:rPr>
      </w:pPr>
    </w:p>
    <w:p w14:paraId="3DCD50A9" w14:textId="77777777" w:rsidR="000948A2" w:rsidRPr="00FF007A" w:rsidRDefault="000948A2" w:rsidP="000948A2">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089C26C2" w14:textId="77777777" w:rsidR="000948A2" w:rsidRPr="00FF007A" w:rsidRDefault="000948A2" w:rsidP="000948A2">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0948A2" w:rsidRPr="00FF007A" w14:paraId="35EDD5FF" w14:textId="77777777" w:rsidTr="0C90A87E">
        <w:tc>
          <w:tcPr>
            <w:tcW w:w="8828" w:type="dxa"/>
          </w:tcPr>
          <w:p w14:paraId="69879F44" w14:textId="6B997B60" w:rsidR="000948A2" w:rsidRPr="006144D7" w:rsidRDefault="000948A2" w:rsidP="00FF7915">
            <w:pPr>
              <w:spacing w:after="120" w:line="276" w:lineRule="auto"/>
              <w:jc w:val="both"/>
              <w:rPr>
                <w:rFonts w:ascii="Verdana" w:eastAsia="Times New Roman" w:hAnsi="Verdana" w:cs="Arial"/>
                <w:bCs/>
                <w:color w:val="000000"/>
                <w:szCs w:val="24"/>
                <w:lang w:val="es-ES_tradnl" w:eastAsia="es-ES_tradnl"/>
              </w:rPr>
            </w:pPr>
            <w:r w:rsidRPr="00F763A7">
              <w:rPr>
                <w:rFonts w:ascii="Verdana" w:eastAsia="Arial MT" w:hAnsi="Verdana" w:cs="Arial"/>
                <w:lang w:eastAsia="es-ES" w:bidi="es-ES"/>
              </w:rPr>
              <w:t>E</w:t>
            </w:r>
            <w:r w:rsidRPr="006144D7">
              <w:rPr>
                <w:rFonts w:ascii="Verdana" w:eastAsia="Times New Roman" w:hAnsi="Verdana" w:cs="Arial"/>
                <w:bCs/>
                <w:color w:val="000000"/>
                <w:szCs w:val="24"/>
                <w:lang w:val="es-ES_tradnl" w:eastAsia="es-ES_tradnl"/>
              </w:rPr>
              <w:t>n relación con la</w:t>
            </w:r>
            <w:r w:rsidRPr="00221F65">
              <w:rPr>
                <w:rFonts w:ascii="Verdana" w:eastAsia="Times New Roman" w:hAnsi="Verdana" w:cs="Arial"/>
                <w:bCs/>
                <w:color w:val="000000"/>
                <w:szCs w:val="24"/>
                <w:lang w:val="es-ES_tradnl" w:eastAsia="es-ES_tradnl"/>
              </w:rPr>
              <w:t xml:space="preserve"> vigencia de las garantías, el artículo 2.2.1.2.3.1.12. </w:t>
            </w:r>
            <w:r>
              <w:rPr>
                <w:rFonts w:ascii="Verdana" w:eastAsia="Times New Roman" w:hAnsi="Verdana" w:cs="Arial"/>
                <w:bCs/>
                <w:color w:val="000000"/>
                <w:szCs w:val="24"/>
                <w:lang w:val="es-ES_tradnl" w:eastAsia="es-ES_tradnl"/>
              </w:rPr>
              <w:t>del</w:t>
            </w:r>
            <w:r w:rsidRPr="00221F65">
              <w:rPr>
                <w:rFonts w:ascii="Verdana" w:eastAsia="Times New Roman" w:hAnsi="Verdana" w:cs="Arial"/>
                <w:bCs/>
                <w:color w:val="000000"/>
                <w:szCs w:val="24"/>
                <w:lang w:val="es-ES_tradnl" w:eastAsia="es-ES_tradnl"/>
              </w:rPr>
              <w:t xml:space="preserve"> Decreto</w:t>
            </w:r>
            <w:r>
              <w:rPr>
                <w:rFonts w:ascii="Verdana" w:eastAsia="Times New Roman" w:hAnsi="Verdana" w:cs="Arial"/>
                <w:bCs/>
                <w:color w:val="000000"/>
                <w:szCs w:val="24"/>
                <w:lang w:val="es-ES_tradnl" w:eastAsia="es-ES_tradnl"/>
              </w:rPr>
              <w:t xml:space="preserve"> 1082 de 2015</w:t>
            </w:r>
            <w:r w:rsidRPr="00221F65">
              <w:rPr>
                <w:rFonts w:ascii="Verdana" w:eastAsia="Times New Roman" w:hAnsi="Verdana" w:cs="Arial"/>
                <w:bCs/>
                <w:color w:val="000000"/>
                <w:szCs w:val="24"/>
                <w:lang w:val="es-ES_tradnl" w:eastAsia="es-ES_tradnl"/>
              </w:rPr>
              <w:t xml:space="preserve"> señala expresamente que </w:t>
            </w:r>
            <w:r w:rsidRPr="00221F65">
              <w:rPr>
                <w:rFonts w:ascii="Verdana" w:eastAsia="Times New Roman" w:hAnsi="Verdana" w:cs="Arial"/>
                <w:bCs/>
                <w:i/>
                <w:iCs/>
                <w:color w:val="000000"/>
                <w:szCs w:val="24"/>
                <w:lang w:val="es-ES_tradnl" w:eastAsia="es-ES_tradnl"/>
              </w:rPr>
              <w:t>“[l]a garantía de cumplimiento del contrato debe tener una vigencia mínima hasta la liquidación del contrato”.</w:t>
            </w:r>
            <w:r w:rsidRPr="00221F65">
              <w:rPr>
                <w:rFonts w:ascii="Verdana" w:eastAsia="Times New Roman" w:hAnsi="Verdana" w:cs="Arial"/>
                <w:bCs/>
                <w:color w:val="000000"/>
                <w:szCs w:val="24"/>
                <w:lang w:val="es-ES_tradnl" w:eastAsia="es-ES_tradnl"/>
              </w:rPr>
              <w:t xml:space="preserve"> </w:t>
            </w:r>
            <w:r>
              <w:rPr>
                <w:rFonts w:ascii="Verdana" w:eastAsia="Times New Roman" w:hAnsi="Verdana" w:cs="Arial"/>
                <w:bCs/>
                <w:color w:val="000000"/>
                <w:szCs w:val="24"/>
                <w:lang w:val="es-ES_tradnl" w:eastAsia="es-ES_tradnl"/>
              </w:rPr>
              <w:t>S</w:t>
            </w:r>
            <w:r w:rsidRPr="006144D7">
              <w:rPr>
                <w:rFonts w:ascii="Verdana" w:eastAsia="Times New Roman" w:hAnsi="Verdana" w:cs="Arial"/>
                <w:bCs/>
                <w:color w:val="000000"/>
                <w:szCs w:val="24"/>
                <w:lang w:val="es-ES_tradnl" w:eastAsia="es-ES_tradnl"/>
              </w:rPr>
              <w:t>egún lo dispuesto en el artículo 2.2.1.2.3.1.7. del</w:t>
            </w:r>
            <w:r>
              <w:rPr>
                <w:rFonts w:ascii="Verdana" w:eastAsia="Times New Roman" w:hAnsi="Verdana" w:cs="Arial"/>
                <w:bCs/>
                <w:color w:val="000000"/>
                <w:szCs w:val="24"/>
                <w:lang w:val="es-ES_tradnl" w:eastAsia="es-ES_tradnl"/>
              </w:rPr>
              <w:t xml:space="preserve"> mencionado</w:t>
            </w:r>
            <w:r w:rsidRPr="006144D7">
              <w:rPr>
                <w:rFonts w:ascii="Verdana" w:eastAsia="Times New Roman" w:hAnsi="Verdana" w:cs="Arial"/>
                <w:bCs/>
                <w:color w:val="000000"/>
                <w:szCs w:val="24"/>
                <w:lang w:val="es-ES_tradnl" w:eastAsia="es-ES_tradnl"/>
              </w:rPr>
              <w:t xml:space="preserve"> Decreto, la garantía única de cumplimiento cuenta con varios amparos, que incluyen el de buen manejo y correcta inversión del anticipo; la devolución del pago anticipado; el amparo de cumplimiento del contrato; la garantía de pago de salarios, prestaciones sociales legales e indemnizaciones laborales, entre otros.</w:t>
            </w:r>
          </w:p>
          <w:p w14:paraId="12F5D5CA" w14:textId="77777777" w:rsidR="000948A2" w:rsidRPr="006144D7" w:rsidRDefault="000948A2" w:rsidP="0C90A87E">
            <w:pPr>
              <w:spacing w:after="12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 xml:space="preserve">Por tanto, el amparo de cumplimiento es uno de los múltiples amparos que conforman la garantía única de cumplimiento. Al tenor de lo preceptuado en el artículo 2.2.1.2.3.1.7. </w:t>
            </w:r>
            <w:proofErr w:type="spellStart"/>
            <w:r w:rsidRPr="0C90A87E">
              <w:rPr>
                <w:rFonts w:ascii="Verdana" w:eastAsia="Times New Roman" w:hAnsi="Verdana" w:cs="Arial"/>
                <w:i/>
                <w:iCs/>
                <w:color w:val="000000" w:themeColor="text1"/>
                <w:lang w:val="es-ES" w:eastAsia="es-ES"/>
              </w:rPr>
              <w:t>ibídem</w:t>
            </w:r>
            <w:proofErr w:type="spellEnd"/>
            <w:r w:rsidRPr="0C90A87E">
              <w:rPr>
                <w:rFonts w:ascii="Verdana" w:eastAsia="Times New Roman" w:hAnsi="Verdana" w:cs="Arial"/>
                <w:color w:val="000000" w:themeColor="text1"/>
                <w:lang w:val="es-ES" w:eastAsia="es-ES"/>
              </w:rPr>
              <w:t xml:space="preserve"> la garantía de cumplimiento debe proteger a la entidad de los perjuicios que se puedan ocasionar con el incumplimiento, total o parcial del contrato, del cumplimiento tardío o defectuoso, de los daños por entregas parciales de la obra, cuando el contrato no prevé entregas parciales, y del valor de las multas y de la cláusula penal pecuniaria. De lo anterior se advierte que el amparo de cumplimiento tiene como objeto proteger a la entidad de los riesgos que puedan concretarse durante la etapa de ejecución del contrato y, más claramente, aquellos derivados de incumplimientos o conductas imputables al contratista. </w:t>
            </w:r>
          </w:p>
          <w:p w14:paraId="7C1750F0" w14:textId="77777777" w:rsidR="000948A2" w:rsidRPr="00221F65" w:rsidRDefault="000948A2" w:rsidP="00920B9E">
            <w:pPr>
              <w:spacing w:after="120" w:line="276" w:lineRule="auto"/>
              <w:ind w:firstLine="709"/>
              <w:jc w:val="both"/>
              <w:rPr>
                <w:rFonts w:ascii="Verdana" w:eastAsia="Times New Roman" w:hAnsi="Verdana" w:cs="Arial"/>
                <w:bCs/>
                <w:color w:val="000000"/>
                <w:szCs w:val="24"/>
                <w:lang w:val="es-ES_tradnl" w:eastAsia="es-ES_tradnl"/>
              </w:rPr>
            </w:pPr>
            <w:r w:rsidRPr="006144D7">
              <w:rPr>
                <w:rFonts w:ascii="Verdana" w:eastAsia="Times New Roman" w:hAnsi="Verdana" w:cs="Arial"/>
                <w:bCs/>
                <w:color w:val="000000"/>
                <w:szCs w:val="24"/>
                <w:lang w:val="es-ES_tradnl" w:eastAsia="es-ES_tradnl"/>
              </w:rPr>
              <w:t>De otra parte, en relación con la</w:t>
            </w:r>
            <w:r w:rsidRPr="00221F65">
              <w:rPr>
                <w:rFonts w:ascii="Verdana" w:eastAsia="Times New Roman" w:hAnsi="Verdana" w:cs="Arial"/>
                <w:bCs/>
                <w:color w:val="000000"/>
                <w:szCs w:val="24"/>
                <w:lang w:val="es-ES_tradnl" w:eastAsia="es-ES_tradnl"/>
              </w:rPr>
              <w:t xml:space="preserve"> vigencia de las garantías, el artículo 2.2.1.2.3.1.12. del citado Decreto señala expresamente que </w:t>
            </w:r>
            <w:r w:rsidRPr="00221F65">
              <w:rPr>
                <w:rFonts w:ascii="Verdana" w:eastAsia="Times New Roman" w:hAnsi="Verdana" w:cs="Arial"/>
                <w:bCs/>
                <w:i/>
                <w:iCs/>
                <w:color w:val="000000"/>
                <w:szCs w:val="24"/>
                <w:lang w:val="es-ES_tradnl" w:eastAsia="es-ES_tradnl"/>
              </w:rPr>
              <w:t xml:space="preserve">“[l]a garantía de </w:t>
            </w:r>
            <w:r w:rsidRPr="00221F65">
              <w:rPr>
                <w:rFonts w:ascii="Verdana" w:eastAsia="Times New Roman" w:hAnsi="Verdana" w:cs="Arial"/>
                <w:bCs/>
                <w:i/>
                <w:iCs/>
                <w:color w:val="000000"/>
                <w:szCs w:val="24"/>
                <w:lang w:val="es-ES_tradnl" w:eastAsia="es-ES_tradnl"/>
              </w:rPr>
              <w:lastRenderedPageBreak/>
              <w:t>cumplimiento del contrato debe tener una vigencia mínima hasta la liquidación del contrato”.</w:t>
            </w:r>
            <w:r w:rsidRPr="00221F65">
              <w:rPr>
                <w:rFonts w:ascii="Verdana" w:eastAsia="Times New Roman" w:hAnsi="Verdana" w:cs="Arial"/>
                <w:bCs/>
                <w:color w:val="000000"/>
                <w:szCs w:val="24"/>
                <w:lang w:val="es-ES_tradnl" w:eastAsia="es-ES_tradnl"/>
              </w:rPr>
              <w:t xml:space="preserve"> </w:t>
            </w:r>
          </w:p>
          <w:p w14:paraId="25890DFC" w14:textId="77777777" w:rsidR="000948A2" w:rsidRPr="00221F65" w:rsidRDefault="000948A2" w:rsidP="00920B9E">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 xml:space="preserve">Lo primero que debe ponerse de presente es que esta disposición no se refiere a la garantía única de cumplimiento en su totalidad, sino exclusivamente al amparo de cumplimiento, al que se viene haciendo referencia, lo cual explica que los artículos anteriores y subsiguientes establezcan términos diferentes para los demás amparos que conforman la garantía única de cumplimiento. </w:t>
            </w:r>
          </w:p>
          <w:p w14:paraId="13237062" w14:textId="77777777" w:rsidR="000002C9" w:rsidRDefault="000948A2" w:rsidP="0063011A">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 xml:space="preserve">De otro lado, puede afirmarse que, en términos ideales, una vez culmina el plazo de ejecución, deja de existir también, en gran medida, el riesgo de incumplimiento por parte del contratista, pues los incumplimientos del contrato suelen ocurrir durante la etapa de cumplimiento, o ejecución de las obligaciones. Lo anterior no pretende desconocer que para ciertos contratos algunas obligaciones y su exigibilidad subsisten más allá del plazo acordado para la ejecución del objeto principal, tal puede ser el caso de los aportes a la seguridad social de los trabajadores vinculados a la ejecución del objeto del contrato. </w:t>
            </w:r>
          </w:p>
          <w:p w14:paraId="15EA4DB2" w14:textId="07B3ADE9" w:rsidR="000948A2" w:rsidRPr="00221F65" w:rsidRDefault="000948A2" w:rsidP="00920B9E">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Sin perjuicio de lo anterior, el vencimiento del plazo de ejecución del contrato, cuando es suspensivo, sin que el contratista haya ejecutado sus obligaciones, también es determinante para constatar el incumplimiento del contratista. La apreciación general anterior, según lo explicado, indica que muchos de los incumplimientos pueden darse durante la ejecución del contrato, pero es posible que este también ocurra una vez vencido el plazo de ejecución.</w:t>
            </w:r>
          </w:p>
          <w:p w14:paraId="58B374A3" w14:textId="77777777" w:rsidR="000948A2" w:rsidRPr="00221F65"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 xml:space="preserve">Ahora bien, en cuanto al amparo de cumplimiento del contrato, la norma reglamentaria citada con anterioridad es clara y exige que la garantía permanezca vigente hasta la liquidación del contrato, esto es, más allá del plazo de ejecución y de vigencia del contrato estatal. Por tanto, en virtud de dicha disposición, el contratista debe cumplir con la obligación consistente en mantener la vigencia mínima del amparo de cumplimiento hasta la liquidación del contrato. </w:t>
            </w:r>
          </w:p>
          <w:p w14:paraId="778E7C49" w14:textId="77777777" w:rsidR="000948A2" w:rsidRPr="000948A2" w:rsidRDefault="000948A2" w:rsidP="0C90A87E">
            <w:pPr>
              <w:spacing w:after="12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 xml:space="preserve">Bajo estas consideraciones, existe la obligación por parte del contratista de mantener la vigencia de la garantía de cumplimiento, en cuanto al amparo de cumplimiento del contrato, hasta la liquidación del contrato, para lo cual se deberá tener en cuenta lo dispuesto por el artículo 11 de la Ley 1150 de 2007, </w:t>
            </w:r>
            <w:r w:rsidRPr="0C90A87E">
              <w:rPr>
                <w:rFonts w:ascii="Verdana" w:eastAsia="Times New Roman" w:hAnsi="Verdana" w:cs="Arial"/>
                <w:color w:val="000000" w:themeColor="text1"/>
                <w:lang w:val="es-ES" w:eastAsia="es-ES"/>
              </w:rPr>
              <w:lastRenderedPageBreak/>
              <w:t>según el cual la liquidación de los contratos se hará de mutuo acuerdo dentro del término fijado en los pliegos de condiciones o sus equivalentes o dentro del que acuerden las partes para el efecto o en su ausencia, el término supletivo establecido para la liquidación bilateral de 4 meses a partir de la terminación del contrato, o los 2 meses siguientes para realizar la liquidación de forma unilateral. En este sentido, ante la falta de liquidación bilateral o unilateral del contrato en dichos plazos, el contratista debe cumplir con la previsión normativa referida, en el sentido de mantener la vigencia de la garantía de cumplimiento hasta la liquidación efectiva del contrato, sin perjuicio de interponer la demanda con la pretensión de liquidarlo judicialmente.</w:t>
            </w:r>
          </w:p>
          <w:p w14:paraId="0C98FAD8" w14:textId="77777777" w:rsidR="000948A2"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0948A2">
              <w:rPr>
                <w:rFonts w:ascii="Verdana" w:eastAsia="Times New Roman" w:hAnsi="Verdana" w:cs="Arial"/>
                <w:bCs/>
                <w:color w:val="000000"/>
                <w:szCs w:val="24"/>
                <w:lang w:val="es-ES_tradnl" w:eastAsia="es-ES_tradnl"/>
              </w:rPr>
              <w:t>De esta manera, si el contrato establece un plazo de liquidación de mutuo acuerdo de conformidad con lo señalado por el artículo 2.2.1.2.3.1.12. del Decreto 1082 de 2015, la entidad deberá verificar que la garantía se encuentre vigente, por lo menos, hasta dicho plazo. Si no se pacta un plazo de liquidación, se deberá tener en cuenta los términos supletivos de la liquidación bilateral y unilateral del artículo 11 de la ley 1150 de 2007. En todo caso, s</w:t>
            </w:r>
            <w:r w:rsidRPr="00BB0A3F">
              <w:rPr>
                <w:rFonts w:ascii="Verdana" w:eastAsia="Times New Roman" w:hAnsi="Verdana" w:cs="Arial"/>
                <w:bCs/>
                <w:color w:val="000000"/>
                <w:szCs w:val="24"/>
                <w:lang w:val="es-ES_tradnl" w:eastAsia="es-ES_tradnl"/>
              </w:rPr>
              <w:t xml:space="preserve">i por alguna razón no se logra liquidar el contrato dentro de dicho plazo, el contratista tiene el deber de mantener vigente la garantía hasta la liquidación efectiva del contrato, pues el artículo 2.2.1.2.3.1.12 del Decreto 1082 de 2015 lo dispone expresamente. </w:t>
            </w:r>
          </w:p>
          <w:p w14:paraId="4AB25182" w14:textId="39910C7D" w:rsidR="000948A2" w:rsidRPr="00726C0F"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0948A2">
              <w:rPr>
                <w:rFonts w:ascii="Verdana" w:eastAsia="Times New Roman" w:hAnsi="Verdana" w:cs="Arial"/>
                <w:bCs/>
                <w:color w:val="000000"/>
                <w:szCs w:val="24"/>
                <w:lang w:val="es-ES_tradnl" w:eastAsia="es-ES_tradnl"/>
              </w:rPr>
              <w:t xml:space="preserve">Por último, si el contratista obligado a ampliar la garantía de cumplimiento una vez finalizado el contrato estatal y bajo el inicio de la etapa de liquidación se abstiene de su actuar, la entidad estatal, de acuerdo con lo pactado dentro del contrato estatal, y si así se contempló, podrá iniciar un proceso sancionatorio administrativo de carácter contractual contemplado en el artículo 86 de la Ley 1474 de 2011 y el artículo 17 de la Ley 1150 de 2007. Aunado a lo anterior, deberá analizar si la garantía de cumplimiento tiene vigente el amparo relativo a cumplimiento del contrato, que de conformidad con lo dispuesto en el artículo 2.2.1.2.3.1.7 el amparo de cumplimiento del contrato cubrirá a la Entidad Estatal de los perjuicios derivados del incumplimiento total o parcial del contrato, cuando el incumplimiento es imputable al contratista; el cumplimiento tardío o defectuoso del contrato, cuando el incumplimiento es imputable al contratista; los daños imputables al contratista por entregas parciales de la obra, cuando el contrato no prevé </w:t>
            </w:r>
            <w:r w:rsidRPr="000948A2">
              <w:rPr>
                <w:rFonts w:ascii="Verdana" w:eastAsia="Times New Roman" w:hAnsi="Verdana" w:cs="Arial"/>
                <w:bCs/>
                <w:color w:val="000000"/>
                <w:szCs w:val="24"/>
                <w:lang w:val="es-ES_tradnl" w:eastAsia="es-ES_tradnl"/>
              </w:rPr>
              <w:lastRenderedPageBreak/>
              <w:t>entregas parciales; y el pago del valor de las multas y de la cláusula penal pecuniaria.</w:t>
            </w:r>
          </w:p>
        </w:tc>
      </w:tr>
    </w:tbl>
    <w:p w14:paraId="00377573" w14:textId="77777777" w:rsidR="000948A2" w:rsidRPr="00FF007A" w:rsidRDefault="000948A2" w:rsidP="000948A2">
      <w:pPr>
        <w:tabs>
          <w:tab w:val="left" w:pos="142"/>
          <w:tab w:val="left" w:pos="284"/>
        </w:tabs>
        <w:spacing w:after="0" w:line="276" w:lineRule="auto"/>
        <w:jc w:val="both"/>
        <w:rPr>
          <w:rFonts w:ascii="Verdana" w:eastAsia="Century Gothic" w:hAnsi="Verdana" w:cs="Century Gothic"/>
          <w:b/>
          <w:bCs/>
        </w:rPr>
      </w:pPr>
    </w:p>
    <w:p w14:paraId="6AA18023" w14:textId="77777777" w:rsidR="000948A2" w:rsidRPr="00FF007A" w:rsidRDefault="000948A2" w:rsidP="000948A2">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50BDA3DE" w14:textId="77777777" w:rsidR="000948A2" w:rsidRPr="00FF007A" w:rsidRDefault="000948A2" w:rsidP="00FF20DB">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16446C1E" w14:textId="77777777" w:rsidR="000948A2" w:rsidRDefault="000948A2" w:rsidP="000948A2">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59F48706" w14:textId="77777777" w:rsidR="000948A2" w:rsidRDefault="000948A2" w:rsidP="00FF20DB">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14ECE000" w14:textId="77777777" w:rsidR="000948A2" w:rsidRDefault="000948A2" w:rsidP="00DB75C9">
      <w:pPr>
        <w:spacing w:after="0" w:line="276" w:lineRule="auto"/>
        <w:jc w:val="both"/>
        <w:rPr>
          <w:rFonts w:ascii="Verdana" w:eastAsia="Calibri" w:hAnsi="Verdana" w:cs="Arial"/>
          <w:lang w:val="es-ES"/>
        </w:rPr>
      </w:pPr>
      <w:bookmarkStart w:id="9" w:name="_Hlk204854194"/>
      <w:r w:rsidRPr="00E03546">
        <w:rPr>
          <w:rFonts w:ascii="Verdana" w:eastAsia="Calibri" w:hAnsi="Verdana" w:cs="Arial"/>
          <w:lang w:val="es-ES"/>
        </w:rPr>
        <w:t xml:space="preserve">La liquidación del contrato estatal </w:t>
      </w:r>
      <w:r w:rsidRPr="005115EF">
        <w:rPr>
          <w:rFonts w:ascii="Verdana" w:eastAsia="Calibri" w:hAnsi="Verdana" w:cs="Arial"/>
          <w:lang w:val="es-ES"/>
        </w:rPr>
        <w:t xml:space="preserve">es el momento en el cual, una vez concluido el contrato </w:t>
      </w:r>
      <w:r>
        <w:rPr>
          <w:rFonts w:ascii="Verdana" w:eastAsia="Calibri" w:hAnsi="Verdana" w:cs="Arial"/>
          <w:lang w:val="es-ES"/>
        </w:rPr>
        <w:t>las partes efectúan el</w:t>
      </w:r>
      <w:r w:rsidRPr="00E03546">
        <w:rPr>
          <w:rFonts w:ascii="Verdana" w:eastAsia="Calibri" w:hAnsi="Verdana" w:cs="Arial"/>
          <w:lang w:val="es-ES"/>
        </w:rPr>
        <w:t xml:space="preserve"> ajuste de cuentas </w:t>
      </w:r>
      <w:r>
        <w:rPr>
          <w:rFonts w:ascii="Verdana" w:eastAsia="Calibri" w:hAnsi="Verdana" w:cs="Arial"/>
          <w:lang w:val="es-ES"/>
        </w:rPr>
        <w:t xml:space="preserve">para determinar el </w:t>
      </w:r>
      <w:r w:rsidRPr="00E03546">
        <w:rPr>
          <w:rFonts w:ascii="Verdana" w:eastAsia="Calibri" w:hAnsi="Verdana" w:cs="Arial"/>
          <w:lang w:val="es-ES"/>
        </w:rPr>
        <w:t xml:space="preserve">balance económico, técnico y jurídico del negocio. Así lo manifestó el Consejo de Estado en la sentencia del 20 de octubre de 2014, en la que consideró, por un lado, que </w:t>
      </w:r>
      <w:r w:rsidRPr="00E03546">
        <w:rPr>
          <w:rFonts w:ascii="Verdana" w:eastAsia="Calibri" w:hAnsi="Verdana" w:cs="Arial"/>
          <w:i/>
          <w:lang w:val="es-ES"/>
        </w:rPr>
        <w:t>liquidar</w:t>
      </w:r>
      <w:r w:rsidRPr="00E03546">
        <w:rPr>
          <w:rFonts w:ascii="Verdana" w:eastAsia="Calibri" w:hAnsi="Verdana" w:cs="Arial"/>
          <w:lang w:val="es-ES"/>
        </w:rPr>
        <w:t xml:space="preserve"> supone un ajuste en relación con las cuentas y el estado de cumplimiento del contrato estatal y, por otro, que la </w:t>
      </w:r>
      <w:r w:rsidRPr="00E03546">
        <w:rPr>
          <w:rFonts w:ascii="Verdana" w:eastAsia="Calibri" w:hAnsi="Verdana" w:cs="Arial"/>
          <w:i/>
          <w:lang w:val="es-ES"/>
        </w:rPr>
        <w:t>liquidación</w:t>
      </w:r>
      <w:r w:rsidRPr="00E03546">
        <w:rPr>
          <w:rFonts w:ascii="Verdana" w:eastAsia="Calibri" w:hAnsi="Verdana" w:cs="Arial"/>
          <w:lang w:val="es-ES"/>
        </w:rPr>
        <w:t xml:space="preserve"> debe incluir el análisis de las condiciones de calidad y oportunidad en la entrega de los bienes, obras o servicios, así como el balance económico y el comportamiento financiero del negocio</w:t>
      </w:r>
      <w:r w:rsidRPr="00E03546">
        <w:rPr>
          <w:rFonts w:ascii="Verdana" w:eastAsia="Calibri" w:hAnsi="Verdana" w:cs="Arial"/>
          <w:vertAlign w:val="superscript"/>
          <w:lang w:val="es-ES"/>
        </w:rPr>
        <w:footnoteReference w:id="1"/>
      </w:r>
      <w:r w:rsidRPr="00E03546">
        <w:rPr>
          <w:rFonts w:ascii="Verdana" w:eastAsia="Calibri" w:hAnsi="Verdana" w:cs="Arial"/>
          <w:lang w:val="es-ES"/>
        </w:rPr>
        <w:t>. En tal sentido, explica:</w:t>
      </w:r>
    </w:p>
    <w:p w14:paraId="5DA63122" w14:textId="77777777" w:rsidR="00DB75C9" w:rsidRPr="005B1A5E" w:rsidRDefault="00DB75C9" w:rsidP="00FF20DB">
      <w:pPr>
        <w:spacing w:after="0" w:line="276" w:lineRule="auto"/>
        <w:jc w:val="both"/>
        <w:rPr>
          <w:rFonts w:ascii="Verdana" w:eastAsia="Times New Roman" w:hAnsi="Verdana" w:cs="Arial"/>
          <w:color w:val="000000"/>
          <w:lang w:eastAsia="es-CO"/>
        </w:rPr>
      </w:pPr>
    </w:p>
    <w:p w14:paraId="5E5A2C47" w14:textId="77777777" w:rsidR="000948A2" w:rsidRDefault="000948A2" w:rsidP="000948A2">
      <w:pPr>
        <w:spacing w:after="0" w:line="240" w:lineRule="auto"/>
        <w:ind w:left="709" w:right="616"/>
        <w:jc w:val="both"/>
        <w:rPr>
          <w:rFonts w:ascii="Verdana" w:eastAsia="Calibri" w:hAnsi="Verdana" w:cs="Arial"/>
          <w:sz w:val="20"/>
          <w:szCs w:val="20"/>
          <w:lang w:val="es-ES_tradnl"/>
        </w:rPr>
      </w:pPr>
      <w:r w:rsidRPr="00E03546">
        <w:rPr>
          <w:rFonts w:ascii="Verdana" w:eastAsia="Calibri" w:hAnsi="Verdana" w:cs="Arial"/>
          <w:sz w:val="20"/>
          <w:szCs w:val="20"/>
          <w:lang w:val="es-ES_tradnl"/>
        </w:rPr>
        <w:t>“</w:t>
      </w:r>
      <w:r>
        <w:rPr>
          <w:rFonts w:ascii="Verdana" w:eastAsia="Calibri" w:hAnsi="Verdana" w:cs="Arial"/>
          <w:sz w:val="20"/>
          <w:szCs w:val="20"/>
          <w:lang w:val="es-ES_tradnl"/>
        </w:rPr>
        <w:t>(…)</w:t>
      </w:r>
      <w:r w:rsidRPr="00E03546">
        <w:rPr>
          <w:rFonts w:ascii="Verdana" w:eastAsia="Calibri" w:hAnsi="Verdana" w:cs="Arial"/>
          <w:sz w:val="20"/>
          <w:szCs w:val="20"/>
          <w:lang w:val="es-ES_tradnl"/>
        </w:rPr>
        <w:t xml:space="preserve">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E03546">
        <w:rPr>
          <w:rFonts w:ascii="Verdana" w:eastAsia="Calibri" w:hAnsi="Verdana" w:cs="Arial"/>
          <w:sz w:val="20"/>
          <w:szCs w:val="20"/>
          <w:vertAlign w:val="superscript"/>
          <w:lang w:val="es-ES_tradnl"/>
        </w:rPr>
        <w:footnoteReference w:id="2"/>
      </w:r>
      <w:r w:rsidRPr="00E03546">
        <w:rPr>
          <w:rFonts w:ascii="Verdana" w:eastAsia="Calibri" w:hAnsi="Verdana" w:cs="Arial"/>
          <w:sz w:val="20"/>
          <w:szCs w:val="20"/>
          <w:lang w:val="es-ES_tradnl"/>
        </w:rPr>
        <w:t>.</w:t>
      </w:r>
    </w:p>
    <w:p w14:paraId="4461762F" w14:textId="77777777" w:rsidR="000948A2" w:rsidRDefault="000948A2" w:rsidP="000948A2">
      <w:pPr>
        <w:spacing w:after="0" w:line="240" w:lineRule="auto"/>
        <w:ind w:right="616"/>
        <w:jc w:val="both"/>
        <w:rPr>
          <w:rFonts w:ascii="Verdana" w:eastAsia="Calibri" w:hAnsi="Verdana" w:cs="Arial"/>
          <w:sz w:val="20"/>
          <w:szCs w:val="20"/>
          <w:lang w:val="es-ES_tradnl"/>
        </w:rPr>
      </w:pPr>
    </w:p>
    <w:p w14:paraId="69FFD378" w14:textId="77777777" w:rsidR="000948A2" w:rsidRDefault="000948A2" w:rsidP="000948A2">
      <w:pPr>
        <w:spacing w:after="120" w:line="276" w:lineRule="auto"/>
        <w:ind w:firstLine="709"/>
        <w:jc w:val="both"/>
        <w:rPr>
          <w:rFonts w:ascii="Verdana" w:eastAsia="Calibri" w:hAnsi="Verdana" w:cs="Arial"/>
          <w:lang w:val="es-ES"/>
        </w:rPr>
      </w:pPr>
      <w:r w:rsidRPr="00D40307">
        <w:rPr>
          <w:rFonts w:ascii="Verdana" w:eastAsia="Calibri" w:hAnsi="Verdana" w:cs="Arial"/>
          <w:lang w:val="es-ES"/>
        </w:rPr>
        <w:t>Así mismo</w:t>
      </w:r>
      <w:r>
        <w:rPr>
          <w:rFonts w:ascii="Verdana" w:eastAsia="Calibri" w:hAnsi="Verdana" w:cs="Arial"/>
          <w:lang w:val="es-ES"/>
        </w:rPr>
        <w:t>,</w:t>
      </w:r>
      <w:r w:rsidRPr="00D40307">
        <w:rPr>
          <w:rFonts w:ascii="Verdana" w:eastAsia="Calibri" w:hAnsi="Verdana" w:cs="Arial"/>
          <w:lang w:val="es-ES"/>
        </w:rPr>
        <w:t xml:space="preserve"> se ha</w:t>
      </w:r>
      <w:r>
        <w:rPr>
          <w:rFonts w:ascii="Verdana" w:eastAsia="Calibri" w:hAnsi="Verdana" w:cs="Arial"/>
          <w:lang w:val="es-ES"/>
        </w:rPr>
        <w:t xml:space="preserve"> sostenido por parte de la Sección Tercera del Consejo de Estado</w:t>
      </w:r>
      <w:r w:rsidRPr="00D40307">
        <w:rPr>
          <w:rFonts w:ascii="Verdana" w:eastAsia="Calibri" w:hAnsi="Verdana" w:cs="Arial"/>
          <w:lang w:val="es-ES"/>
        </w:rPr>
        <w:t xml:space="preserve"> que la liquidación del contrato </w:t>
      </w:r>
      <w:r>
        <w:rPr>
          <w:rFonts w:ascii="Verdana" w:eastAsia="Calibri" w:hAnsi="Verdana" w:cs="Arial"/>
          <w:lang w:val="es-ES"/>
        </w:rPr>
        <w:t>“</w:t>
      </w:r>
      <w:r w:rsidRPr="00D40307">
        <w:rPr>
          <w:rFonts w:ascii="Verdana" w:eastAsia="Calibri" w:hAnsi="Verdana" w:cs="Arial"/>
          <w:lang w:val="es-ES"/>
        </w:rPr>
        <w:t xml:space="preserve">no es solo un </w:t>
      </w:r>
      <w:proofErr w:type="gramStart"/>
      <w:r w:rsidRPr="00D40307">
        <w:rPr>
          <w:rFonts w:ascii="Verdana" w:eastAsia="Calibri" w:hAnsi="Verdana" w:cs="Arial"/>
          <w:lang w:val="es-ES"/>
        </w:rPr>
        <w:t>acta</w:t>
      </w:r>
      <w:proofErr w:type="gramEnd"/>
      <w:r w:rsidRPr="00D40307">
        <w:rPr>
          <w:rFonts w:ascii="Verdana" w:eastAsia="Calibri" w:hAnsi="Verdana" w:cs="Arial"/>
          <w:lang w:val="es-ES"/>
        </w:rPr>
        <w:t xml:space="preserve"> sino que representa </w:t>
      </w:r>
      <w:r w:rsidRPr="00D40307">
        <w:rPr>
          <w:rFonts w:ascii="Verdana" w:eastAsia="Calibri" w:hAnsi="Verdana" w:cs="Arial"/>
          <w:lang w:val="es-ES"/>
        </w:rPr>
        <w:lastRenderedPageBreak/>
        <w:t>un acto jurídico en el que se vierte la síntesis de una actuación mancomunada de las partes en la búsqueda del cierre total y definitivo del contrato, sobre la evidencia de lo ocurrido y la voluntad explícita que ellas tengan para superar los obstáculos y llegar a los acuerdos que eventualmente impidan un cierre de consuno. Como apenas parece obvio, la liquidación puede revelar situaciones que en criterio de las partes constituyan incumplimientos o que no eran discernibles o evidentes al momento del recibo a satisfacción, así como aquellos que puedan surgir con posterioridad</w:t>
      </w:r>
      <w:r>
        <w:rPr>
          <w:rFonts w:ascii="Verdana" w:eastAsia="Calibri" w:hAnsi="Verdana" w:cs="Arial"/>
          <w:lang w:val="es-ES"/>
        </w:rPr>
        <w:t>”</w:t>
      </w:r>
      <w:r>
        <w:rPr>
          <w:rStyle w:val="Refdenotaalpie"/>
          <w:rFonts w:ascii="Verdana" w:eastAsia="Calibri" w:hAnsi="Verdana" w:cs="Arial"/>
          <w:lang w:val="es-ES"/>
        </w:rPr>
        <w:footnoteReference w:id="3"/>
      </w:r>
      <w:r w:rsidRPr="00D40307">
        <w:rPr>
          <w:rFonts w:ascii="Verdana" w:eastAsia="Calibri" w:hAnsi="Verdana" w:cs="Arial"/>
          <w:lang w:val="es-ES"/>
        </w:rPr>
        <w:t>.</w:t>
      </w:r>
    </w:p>
    <w:p w14:paraId="1660A01A" w14:textId="77777777" w:rsidR="000948A2" w:rsidRPr="00C710A8" w:rsidRDefault="000948A2" w:rsidP="000948A2">
      <w:pPr>
        <w:spacing w:after="120" w:line="276" w:lineRule="auto"/>
        <w:ind w:firstLine="709"/>
        <w:jc w:val="both"/>
        <w:rPr>
          <w:rFonts w:ascii="Verdana" w:eastAsia="Calibri" w:hAnsi="Verdana" w:cs="Arial"/>
          <w:lang w:val="es-ES"/>
        </w:rPr>
      </w:pPr>
      <w:r w:rsidRPr="00E03546">
        <w:rPr>
          <w:rFonts w:ascii="Verdana" w:eastAsia="Times New Roman" w:hAnsi="Verdana" w:cs="Arial"/>
          <w:lang w:val="es-ES_tradnl"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w:t>
      </w:r>
      <w:r w:rsidRPr="00E03546">
        <w:rPr>
          <w:rFonts w:ascii="Verdana" w:eastAsia="Times New Roman" w:hAnsi="Verdana" w:cs="Arial"/>
          <w:vertAlign w:val="superscript"/>
          <w:lang w:val="es-ES_tradnl" w:eastAsia="es-ES"/>
        </w:rPr>
        <w:footnoteReference w:id="4"/>
      </w:r>
      <w:r w:rsidRPr="00E03546">
        <w:rPr>
          <w:rFonts w:ascii="Verdana" w:eastAsia="Times New Roman" w:hAnsi="Verdana" w:cs="Arial"/>
          <w:lang w:val="es-ES_tradnl" w:eastAsia="es-ES"/>
        </w:rPr>
        <w:t xml:space="preserve"> contiene las reglas de tipo procedimental para liquidar los contratos estatales, que se pasan a explicar. </w:t>
      </w:r>
    </w:p>
    <w:p w14:paraId="13EAC271" w14:textId="77777777" w:rsidR="000948A2" w:rsidRPr="00E03546" w:rsidRDefault="000948A2" w:rsidP="000948A2">
      <w:pPr>
        <w:spacing w:after="120" w:line="276" w:lineRule="auto"/>
        <w:ind w:firstLine="709"/>
        <w:jc w:val="both"/>
        <w:rPr>
          <w:rFonts w:ascii="Verdana" w:eastAsia="Calibri" w:hAnsi="Verdana" w:cs="Arial"/>
          <w:lang w:val="es-ES"/>
        </w:rPr>
      </w:pPr>
      <w:r w:rsidRPr="00E03546">
        <w:rPr>
          <w:rFonts w:ascii="Verdana" w:eastAsia="Calibri" w:hAnsi="Verdana" w:cs="Arial"/>
          <w:lang w:val="es-ES"/>
        </w:rPr>
        <w:lastRenderedPageBreak/>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w:t>
      </w:r>
      <w:r>
        <w:rPr>
          <w:rFonts w:ascii="Verdana" w:eastAsia="Calibri" w:hAnsi="Verdana" w:cs="Arial"/>
          <w:lang w:val="es-ES"/>
        </w:rPr>
        <w:t xml:space="preserve">por </w:t>
      </w:r>
      <w:r w:rsidRPr="00E03546">
        <w:rPr>
          <w:rFonts w:ascii="Verdana" w:eastAsia="Calibri" w:hAnsi="Verdana" w:cs="Arial"/>
          <w:lang w:val="es-ES"/>
        </w:rPr>
        <w:t xml:space="preserve">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303216FC" w14:textId="77777777" w:rsidR="000948A2" w:rsidRDefault="000948A2" w:rsidP="000948A2">
      <w:pPr>
        <w:spacing w:after="120" w:line="276" w:lineRule="auto"/>
        <w:ind w:firstLine="709"/>
        <w:jc w:val="both"/>
        <w:rPr>
          <w:rFonts w:ascii="Verdana" w:eastAsia="Calibri" w:hAnsi="Verdana" w:cs="Arial"/>
          <w:lang w:val="es-ES"/>
        </w:rPr>
      </w:pPr>
      <w:r w:rsidRPr="00E0354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03546">
        <w:rPr>
          <w:rFonts w:ascii="Verdana" w:eastAsia="Calibri" w:hAnsi="Verdana" w:cs="Arial"/>
          <w:lang w:val="es-ES"/>
        </w:rPr>
        <w:t>ii</w:t>
      </w:r>
      <w:proofErr w:type="spellEnd"/>
      <w:r w:rsidRPr="00E03546">
        <w:rPr>
          <w:rFonts w:ascii="Verdana" w:eastAsia="Calibri" w:hAnsi="Verdana" w:cs="Arial"/>
          <w:lang w:val="es-ES"/>
        </w:rPr>
        <w:t xml:space="preserve">) la expedición del acto administrativo que ordene la terminación del contrato o </w:t>
      </w:r>
      <w:proofErr w:type="spellStart"/>
      <w:r w:rsidRPr="00E03546">
        <w:rPr>
          <w:rFonts w:ascii="Verdana" w:eastAsia="Calibri" w:hAnsi="Verdana" w:cs="Arial"/>
          <w:lang w:val="es-ES"/>
        </w:rPr>
        <w:t>iii</w:t>
      </w:r>
      <w:proofErr w:type="spellEnd"/>
      <w:r w:rsidRPr="00E03546">
        <w:rPr>
          <w:rFonts w:ascii="Verdana" w:eastAsia="Calibri" w:hAnsi="Verdana" w:cs="Arial"/>
          <w:lang w:val="es-ES"/>
        </w:rPr>
        <w:t xml:space="preserve">) la fecha del acuerdo que disponga la terminación del contrato. Ahora bien, el término de cuatro (4) meses previstos en el artículo 11 de la Ley 1150 de 2007, dado su carácter supletivo, solo resulta aplicable ante la ausencia de regulación de este en el pliego de condiciones –documento equivalente– y ante la falta de acuerdo entre las partes en torno al plazo de liquidación bilateral. Durante este término el contratista puede solicitar que se adelante el trámite de liquidación. </w:t>
      </w:r>
    </w:p>
    <w:p w14:paraId="0CA8824A" w14:textId="77777777" w:rsidR="000948A2" w:rsidRPr="000A3185" w:rsidRDefault="000948A2" w:rsidP="00DB75C9">
      <w:pPr>
        <w:spacing w:after="0" w:line="276" w:lineRule="auto"/>
        <w:ind w:firstLine="709"/>
        <w:jc w:val="both"/>
        <w:rPr>
          <w:rFonts w:ascii="Verdana" w:eastAsia="Calibri" w:hAnsi="Verdana" w:cs="Arial"/>
          <w:lang w:val="es-ES"/>
        </w:rPr>
      </w:pPr>
      <w:r w:rsidRPr="00E03546">
        <w:rPr>
          <w:rFonts w:ascii="Verdana" w:eastAsia="Calibri" w:hAnsi="Verdana" w:cs="Arial"/>
          <w:lang w:val="es-ES"/>
        </w:rPr>
        <w:t>Sin embargo, es responsabilidad de la entidad estatal convocarlo para adelantar la liquidación de común acuerdo o notificarlo para que se presente a la liquidación</w:t>
      </w:r>
      <w:r w:rsidRPr="00E03546">
        <w:rPr>
          <w:rFonts w:ascii="Verdana" w:eastAsia="Calibri" w:hAnsi="Verdana" w:cs="Arial"/>
          <w:vertAlign w:val="superscript"/>
          <w:lang w:val="es-ES"/>
        </w:rPr>
        <w:footnoteReference w:id="5"/>
      </w:r>
      <w:r w:rsidRPr="00E0354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03546">
        <w:rPr>
          <w:rFonts w:ascii="Verdana" w:eastAsia="Calibri" w:hAnsi="Verdana" w:cs="Arial"/>
          <w:vertAlign w:val="superscript"/>
          <w:lang w:val="es-ES"/>
        </w:rPr>
        <w:footnoteReference w:id="6"/>
      </w:r>
      <w:r w:rsidRPr="00E03546">
        <w:rPr>
          <w:rFonts w:ascii="Verdana" w:eastAsia="Calibri" w:hAnsi="Verdana" w:cs="Arial"/>
          <w:lang w:val="es-ES"/>
        </w:rPr>
        <w:t xml:space="preserve">. Si no es posible efectuar la liquidación de manera bilateral en los términos anteriormente explicados, el </w:t>
      </w:r>
      <w:r w:rsidRPr="00E03546">
        <w:rPr>
          <w:rFonts w:ascii="Verdana" w:eastAsia="Calibri" w:hAnsi="Verdana" w:cs="Arial"/>
          <w:lang w:val="es-ES"/>
        </w:rPr>
        <w:lastRenderedPageBreak/>
        <w:t>ordenamiento jurídico prevé una habilitación competencial, de carácter subsidiario, para que la entidad estatal realice la liquidación unilateralmente. Sobre el punto, el Consejo de Estado ha señalado:</w:t>
      </w:r>
    </w:p>
    <w:p w14:paraId="56C9B949" w14:textId="77777777" w:rsidR="00DB75C9" w:rsidRPr="000A3185" w:rsidRDefault="00DB75C9" w:rsidP="00FF20DB">
      <w:pPr>
        <w:spacing w:after="0" w:line="276" w:lineRule="auto"/>
        <w:ind w:firstLine="709"/>
        <w:jc w:val="both"/>
        <w:rPr>
          <w:rFonts w:ascii="Verdana" w:eastAsia="Calibri" w:hAnsi="Verdana" w:cs="Arial"/>
          <w:lang w:val="es-ES"/>
        </w:rPr>
      </w:pPr>
    </w:p>
    <w:p w14:paraId="379B01F6" w14:textId="77777777" w:rsidR="000948A2" w:rsidRPr="00E03546" w:rsidRDefault="000948A2" w:rsidP="000948A2">
      <w:pPr>
        <w:spacing w:after="0" w:line="240" w:lineRule="auto"/>
        <w:ind w:left="709" w:right="618"/>
        <w:jc w:val="both"/>
        <w:rPr>
          <w:rFonts w:ascii="Verdana" w:eastAsia="Times New Roman" w:hAnsi="Verdana" w:cs="Arial"/>
          <w:sz w:val="20"/>
          <w:szCs w:val="20"/>
          <w:lang w:val="es-ES_tradnl" w:eastAsia="es-ES"/>
        </w:rPr>
      </w:pPr>
      <w:r w:rsidRPr="00E03546">
        <w:rPr>
          <w:rFonts w:ascii="Verdana" w:eastAsia="Times New Roman" w:hAnsi="Verdana" w:cs="Arial"/>
          <w:sz w:val="20"/>
          <w:szCs w:val="20"/>
          <w:lang w:val="es-ES_tradnl" w:eastAsia="es-ES"/>
        </w:rPr>
        <w:t>“Al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E03546">
        <w:rPr>
          <w:rFonts w:ascii="Verdana" w:eastAsia="Times New Roman" w:hAnsi="Verdana" w:cs="Arial"/>
          <w:sz w:val="20"/>
          <w:szCs w:val="20"/>
          <w:vertAlign w:val="superscript"/>
          <w:lang w:val="es-ES_tradnl" w:eastAsia="es-ES"/>
        </w:rPr>
        <w:footnoteReference w:id="7"/>
      </w:r>
      <w:r w:rsidRPr="00E03546">
        <w:rPr>
          <w:rFonts w:ascii="Verdana" w:eastAsia="Times New Roman" w:hAnsi="Verdana" w:cs="Arial"/>
          <w:sz w:val="20"/>
          <w:szCs w:val="20"/>
          <w:lang w:val="es-ES_tradnl" w:eastAsia="es-ES"/>
        </w:rPr>
        <w:t xml:space="preserve">. </w:t>
      </w:r>
    </w:p>
    <w:p w14:paraId="50A7133B" w14:textId="77777777" w:rsidR="000948A2" w:rsidRPr="00E03546" w:rsidRDefault="000948A2" w:rsidP="000948A2">
      <w:pPr>
        <w:spacing w:after="0" w:line="240" w:lineRule="auto"/>
        <w:ind w:left="709" w:right="616"/>
        <w:jc w:val="both"/>
        <w:rPr>
          <w:rFonts w:ascii="Verdana" w:eastAsia="Times New Roman" w:hAnsi="Verdana" w:cs="Arial"/>
          <w:lang w:val="es-ES_tradnl" w:eastAsia="es-ES"/>
        </w:rPr>
      </w:pPr>
    </w:p>
    <w:p w14:paraId="3499A89C" w14:textId="77777777" w:rsidR="000948A2" w:rsidRPr="00E03546" w:rsidRDefault="000948A2" w:rsidP="000948A2">
      <w:pPr>
        <w:spacing w:after="0" w:line="276" w:lineRule="auto"/>
        <w:ind w:right="-68" w:firstLine="709"/>
        <w:jc w:val="both"/>
        <w:rPr>
          <w:rFonts w:ascii="Verdana" w:eastAsia="Times New Roman" w:hAnsi="Verdana" w:cs="Arial"/>
          <w:lang w:val="es-ES" w:eastAsia="es-ES"/>
        </w:rPr>
      </w:pPr>
      <w:r w:rsidRPr="00E03546">
        <w:rPr>
          <w:rFonts w:ascii="Verdana" w:eastAsia="Times New Roman" w:hAnsi="Verdana" w:cs="Arial"/>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w:t>
      </w:r>
      <w:r w:rsidRPr="00E03546">
        <w:rPr>
          <w:rFonts w:ascii="Verdana" w:eastAsia="Times New Roman" w:hAnsi="Verdana" w:cs="Arial"/>
          <w:vertAlign w:val="superscript"/>
          <w:lang w:val="es-ES" w:eastAsia="es-ES"/>
        </w:rPr>
        <w:footnoteReference w:id="8"/>
      </w:r>
      <w:r w:rsidRPr="00E0354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05E62AEA" w14:textId="77777777" w:rsidR="000948A2" w:rsidRPr="00E03546" w:rsidRDefault="000948A2" w:rsidP="000948A2">
      <w:pPr>
        <w:spacing w:after="0" w:line="276" w:lineRule="auto"/>
        <w:ind w:left="709" w:right="760"/>
        <w:jc w:val="both"/>
        <w:rPr>
          <w:rFonts w:ascii="Verdana" w:eastAsia="Times New Roman" w:hAnsi="Verdana" w:cs="Arial"/>
          <w:sz w:val="20"/>
          <w:szCs w:val="20"/>
          <w:lang w:val="es-ES_tradnl" w:eastAsia="es-ES"/>
        </w:rPr>
      </w:pPr>
    </w:p>
    <w:p w14:paraId="6A08F5FF" w14:textId="77777777" w:rsidR="000948A2" w:rsidRPr="00E03546" w:rsidRDefault="000948A2" w:rsidP="000948A2">
      <w:pPr>
        <w:spacing w:after="0" w:line="240" w:lineRule="auto"/>
        <w:ind w:left="709" w:right="709"/>
        <w:jc w:val="both"/>
        <w:rPr>
          <w:rFonts w:ascii="Verdana" w:eastAsia="Times New Roman" w:hAnsi="Verdana" w:cs="Arial"/>
          <w:sz w:val="20"/>
          <w:szCs w:val="20"/>
          <w:lang w:val="es-ES" w:eastAsia="es-ES"/>
        </w:rPr>
      </w:pPr>
      <w:r w:rsidRPr="00E0354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03546">
        <w:rPr>
          <w:rFonts w:ascii="Verdana" w:eastAsia="Times New Roman" w:hAnsi="Verdana" w:cs="Arial"/>
          <w:sz w:val="20"/>
          <w:szCs w:val="20"/>
          <w:lang w:val="es-ES" w:eastAsia="es-ES"/>
        </w:rPr>
        <w:t>liquidatorio</w:t>
      </w:r>
      <w:proofErr w:type="spellEnd"/>
      <w:r w:rsidRPr="00E03546">
        <w:rPr>
          <w:rFonts w:ascii="Verdana" w:eastAsia="Times New Roman" w:hAnsi="Verdana" w:cs="Arial"/>
          <w:sz w:val="20"/>
          <w:szCs w:val="20"/>
          <w:lang w:val="es-ES" w:eastAsia="es-ES"/>
        </w:rPr>
        <w:t xml:space="preserve"> se logre dentro del lapso de dos años contados a partir del vencimiento del término </w:t>
      </w:r>
      <w:r w:rsidRPr="00E03546">
        <w:rPr>
          <w:rFonts w:ascii="Verdana" w:eastAsia="Times New Roman" w:hAnsi="Verdana" w:cs="Arial"/>
          <w:sz w:val="20"/>
          <w:szCs w:val="20"/>
          <w:lang w:val="es-ES" w:eastAsia="es-ES"/>
        </w:rPr>
        <w:lastRenderedPageBreak/>
        <w:t>legalmente conocido para la liquidación unilateral, pues ese es el lapso que el ordenamiento ha fijado para el ejercicio oportuno de la acción”</w:t>
      </w:r>
      <w:r w:rsidRPr="00E03546">
        <w:rPr>
          <w:rFonts w:ascii="Verdana" w:eastAsia="Times New Roman" w:hAnsi="Verdana" w:cs="Arial"/>
          <w:sz w:val="20"/>
          <w:szCs w:val="20"/>
          <w:vertAlign w:val="superscript"/>
          <w:lang w:val="es-ES" w:eastAsia="es-ES"/>
        </w:rPr>
        <w:footnoteReference w:id="9"/>
      </w:r>
      <w:r w:rsidRPr="00E03546">
        <w:rPr>
          <w:rFonts w:ascii="Verdana" w:eastAsia="Times New Roman" w:hAnsi="Verdana" w:cs="Arial"/>
          <w:sz w:val="20"/>
          <w:szCs w:val="20"/>
          <w:lang w:val="es-ES" w:eastAsia="es-ES"/>
        </w:rPr>
        <w:t>.</w:t>
      </w:r>
    </w:p>
    <w:p w14:paraId="74D2312B" w14:textId="77777777" w:rsidR="000948A2" w:rsidRPr="00E03546" w:rsidRDefault="000948A2" w:rsidP="000948A2">
      <w:pPr>
        <w:spacing w:after="0" w:line="276" w:lineRule="auto"/>
        <w:ind w:left="709" w:right="760"/>
        <w:jc w:val="both"/>
        <w:rPr>
          <w:rFonts w:ascii="Verdana" w:eastAsia="Times New Roman" w:hAnsi="Verdana" w:cs="Arial"/>
          <w:lang w:val="es-ES_tradnl" w:eastAsia="es-ES"/>
        </w:rPr>
      </w:pPr>
    </w:p>
    <w:p w14:paraId="3EB5304A" w14:textId="77777777" w:rsidR="000948A2" w:rsidRPr="00E03546" w:rsidRDefault="000948A2" w:rsidP="000948A2">
      <w:pPr>
        <w:spacing w:after="120" w:line="276" w:lineRule="auto"/>
        <w:jc w:val="both"/>
        <w:rPr>
          <w:rFonts w:ascii="Verdana" w:eastAsia="Calibri" w:hAnsi="Verdana" w:cs="Arial"/>
          <w:lang w:val="es-ES_tradnl"/>
        </w:rPr>
      </w:pPr>
      <w:r w:rsidRPr="00E03546">
        <w:rPr>
          <w:rFonts w:ascii="Verdana" w:eastAsia="Calibri" w:hAnsi="Verdana" w:cs="Arial"/>
          <w:lang w:val="es-ES_tradnl"/>
        </w:rPr>
        <w:tab/>
        <w:t>Así las cosas,</w:t>
      </w:r>
      <w:r>
        <w:rPr>
          <w:rFonts w:ascii="Verdana" w:eastAsia="Calibri" w:hAnsi="Verdana" w:cs="Arial"/>
          <w:lang w:val="es-ES_tradnl"/>
        </w:rPr>
        <w:t xml:space="preserve"> </w:t>
      </w:r>
      <w:r w:rsidRPr="00E03546">
        <w:rPr>
          <w:rFonts w:ascii="Verdana" w:eastAsia="Calibri" w:hAnsi="Verdana" w:cs="Arial"/>
          <w:lang w:val="es-ES_tradnl"/>
        </w:rPr>
        <w:t>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liquidación unilateral, pues este es el lapso que el ordenamiento ha fijado para el ejercicio oportuno de la acción”</w:t>
      </w:r>
      <w:r w:rsidRPr="00E03546">
        <w:rPr>
          <w:rFonts w:ascii="Verdana" w:eastAsia="Calibri" w:hAnsi="Verdana" w:cs="Arial"/>
          <w:vertAlign w:val="superscript"/>
          <w:lang w:val="es-ES_tradnl"/>
        </w:rPr>
        <w:footnoteReference w:id="10"/>
      </w:r>
      <w:r w:rsidRPr="00E03546">
        <w:rPr>
          <w:rFonts w:ascii="Verdana" w:eastAsia="Calibri" w:hAnsi="Verdana" w:cs="Arial"/>
          <w:lang w:val="es-ES_tradnl"/>
        </w:rPr>
        <w:t xml:space="preserve">. </w:t>
      </w:r>
    </w:p>
    <w:p w14:paraId="480A4F7D" w14:textId="77777777" w:rsidR="000948A2" w:rsidRDefault="000948A2" w:rsidP="000948A2">
      <w:pPr>
        <w:spacing w:line="276" w:lineRule="auto"/>
        <w:ind w:firstLine="709"/>
        <w:jc w:val="both"/>
        <w:rPr>
          <w:rFonts w:ascii="Verdana" w:eastAsia="Calibri" w:hAnsi="Verdana" w:cs="Arial"/>
          <w:lang w:val="es-ES"/>
        </w:rPr>
      </w:pPr>
      <w:r w:rsidRPr="00E03546">
        <w:rPr>
          <w:rFonts w:ascii="Verdana" w:eastAsia="Calibri" w:hAnsi="Verdana" w:cs="Arial"/>
          <w:lang w:val="es-ES"/>
        </w:rPr>
        <w:t xml:space="preserve">En suma, de acuerdo con el artículo 11 de la Ley 1150 de 2007, existen tres (3) tipos de liquidación: i) bilateral, </w:t>
      </w:r>
      <w:proofErr w:type="spellStart"/>
      <w:r w:rsidRPr="00E03546">
        <w:rPr>
          <w:rFonts w:ascii="Verdana" w:eastAsia="Calibri" w:hAnsi="Verdana" w:cs="Arial"/>
          <w:lang w:val="es-ES"/>
        </w:rPr>
        <w:t>ii</w:t>
      </w:r>
      <w:proofErr w:type="spellEnd"/>
      <w:r w:rsidRPr="00E03546">
        <w:rPr>
          <w:rFonts w:ascii="Verdana" w:eastAsia="Calibri" w:hAnsi="Verdana" w:cs="Arial"/>
          <w:lang w:val="es-ES"/>
        </w:rPr>
        <w:t xml:space="preserve">) unilateral y </w:t>
      </w:r>
      <w:proofErr w:type="spellStart"/>
      <w:r w:rsidRPr="00E03546">
        <w:rPr>
          <w:rFonts w:ascii="Verdana" w:eastAsia="Calibri" w:hAnsi="Verdana" w:cs="Arial"/>
          <w:lang w:val="es-ES"/>
        </w:rPr>
        <w:t>iii</w:t>
      </w:r>
      <w:proofErr w:type="spellEnd"/>
      <w:r w:rsidRPr="00E03546">
        <w:rPr>
          <w:rFonts w:ascii="Verdana" w:eastAsia="Calibri" w:hAnsi="Verdana" w:cs="Arial"/>
          <w:lang w:val="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p>
    <w:p w14:paraId="4E9848A0" w14:textId="77777777" w:rsidR="000948A2" w:rsidRDefault="000948A2" w:rsidP="000948A2">
      <w:pPr>
        <w:spacing w:after="120" w:line="276" w:lineRule="auto"/>
        <w:ind w:firstLine="709"/>
        <w:jc w:val="both"/>
        <w:rPr>
          <w:rFonts w:ascii="Verdana" w:eastAsia="Calibri" w:hAnsi="Verdana" w:cs="Arial"/>
          <w:lang w:val="es-ES"/>
        </w:rPr>
      </w:pPr>
      <w:r w:rsidRPr="000A3185">
        <w:rPr>
          <w:rFonts w:ascii="Verdana" w:eastAsia="Calibri" w:hAnsi="Verdana" w:cs="Arial"/>
          <w:lang w:val="es-ES"/>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w:t>
      </w:r>
    </w:p>
    <w:p w14:paraId="4326F046" w14:textId="77777777" w:rsidR="000948A2" w:rsidRPr="006144D7" w:rsidRDefault="000948A2" w:rsidP="000948A2">
      <w:pPr>
        <w:spacing w:after="120" w:line="276" w:lineRule="auto"/>
        <w:ind w:firstLine="709"/>
        <w:jc w:val="both"/>
        <w:rPr>
          <w:rFonts w:ascii="Verdana" w:hAnsi="Verdana" w:cs="Arial"/>
          <w:color w:val="000000" w:themeColor="text1"/>
          <w:lang w:val="es-ES_tradnl"/>
        </w:rPr>
      </w:pPr>
      <w:r w:rsidRPr="008706D6">
        <w:rPr>
          <w:rFonts w:ascii="Verdana" w:eastAsia="Times New Roman" w:hAnsi="Verdana" w:cs="Arial"/>
          <w:bCs/>
          <w:color w:val="000000"/>
          <w:lang w:val="es-ES_tradnl" w:eastAsia="es-ES_tradnl"/>
        </w:rPr>
        <w:t xml:space="preserve">Ahora bien, respecto al tema de su consulta, la Guía de garantías en Procesos de Contratación emitido por esta Agencia, señala que </w:t>
      </w:r>
      <w:r w:rsidRPr="008706D6">
        <w:rPr>
          <w:rFonts w:ascii="Verdana" w:eastAsia="Times New Roman" w:hAnsi="Verdana" w:cs="Arial"/>
          <w:bCs/>
          <w:i/>
          <w:iCs/>
          <w:color w:val="000000"/>
          <w:lang w:val="es-ES_tradnl" w:eastAsia="es-ES_tradnl"/>
        </w:rPr>
        <w:t xml:space="preserve">“Las garantías son instrumentos de cobertura de algunos Riesgos comunes en Procesos de </w:t>
      </w:r>
      <w:r w:rsidRPr="008706D6">
        <w:rPr>
          <w:rFonts w:ascii="Verdana" w:eastAsia="Times New Roman" w:hAnsi="Verdana" w:cs="Arial"/>
          <w:bCs/>
          <w:i/>
          <w:iCs/>
          <w:color w:val="000000"/>
          <w:lang w:val="es-ES_tradnl" w:eastAsia="es-ES_tradnl"/>
        </w:rPr>
        <w:lastRenderedPageBreak/>
        <w:t>Contratación”</w:t>
      </w:r>
      <w:r w:rsidRPr="008706D6">
        <w:rPr>
          <w:rFonts w:ascii="Verdana" w:eastAsia="Times New Roman" w:hAnsi="Verdana" w:cs="Arial"/>
          <w:bCs/>
          <w:i/>
          <w:iCs/>
          <w:color w:val="000000"/>
          <w:vertAlign w:val="superscript"/>
          <w:lang w:val="es-ES_tradnl" w:eastAsia="es-ES_tradnl"/>
        </w:rPr>
        <w:footnoteReference w:id="11"/>
      </w:r>
      <w:r w:rsidRPr="008706D6">
        <w:rPr>
          <w:rFonts w:ascii="Verdana" w:eastAsia="Times New Roman" w:hAnsi="Verdana" w:cs="Arial"/>
          <w:bCs/>
          <w:i/>
          <w:iCs/>
          <w:color w:val="000000"/>
          <w:lang w:val="es-ES_tradnl" w:eastAsia="es-ES_tradnl"/>
        </w:rPr>
        <w:t>.</w:t>
      </w:r>
      <w:r w:rsidRPr="008706D6">
        <w:rPr>
          <w:rFonts w:ascii="Verdana" w:eastAsia="Times New Roman" w:hAnsi="Verdana" w:cs="Arial"/>
          <w:bCs/>
          <w:color w:val="000000"/>
          <w:lang w:val="es-ES_tradnl" w:eastAsia="es-ES_tradnl"/>
        </w:rPr>
        <w:t xml:space="preserve"> En relación con la garantía de cumplimiento</w:t>
      </w:r>
      <w:r w:rsidRPr="008706D6">
        <w:rPr>
          <w:rFonts w:ascii="Verdana" w:eastAsia="Calibri" w:hAnsi="Verdana" w:cs="Arial"/>
          <w:color w:val="000000" w:themeColor="text1"/>
          <w:lang w:val="es-ES"/>
        </w:rPr>
        <w:t xml:space="preserve"> el contratista ampara los perjuicios que le pueda generar a la entidad el incumplimiento de las obligaciones derivadas del contrato</w:t>
      </w:r>
      <w:r w:rsidRPr="008706D6">
        <w:rPr>
          <w:rStyle w:val="Refdenotaalpie"/>
          <w:rFonts w:ascii="Verdana" w:eastAsia="Calibri" w:hAnsi="Verdana" w:cs="Arial"/>
          <w:color w:val="000000" w:themeColor="text1"/>
        </w:rPr>
        <w:footnoteReference w:id="12"/>
      </w:r>
      <w:r w:rsidRPr="008706D6">
        <w:rPr>
          <w:rFonts w:ascii="Verdana" w:eastAsia="Calibri" w:hAnsi="Verdana" w:cs="Arial"/>
          <w:color w:val="000000" w:themeColor="text1"/>
          <w:lang w:val="es-ES"/>
        </w:rPr>
        <w:t xml:space="preserve">. En esta medida, tienen como objetivo reparar los perjuicios causados por conductas atribuibles al contratista, por lo </w:t>
      </w:r>
      <w:r w:rsidRPr="006144D7">
        <w:rPr>
          <w:rFonts w:ascii="Verdana" w:eastAsia="Calibri" w:hAnsi="Verdana" w:cs="Arial"/>
          <w:color w:val="000000" w:themeColor="text1"/>
          <w:lang w:val="es-ES"/>
        </w:rPr>
        <w:t xml:space="preserve">que estos últimos son un presupuesto necesario para el pago que cubre la garantía. </w:t>
      </w:r>
      <w:r w:rsidRPr="006144D7">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6144D7">
        <w:rPr>
          <w:rStyle w:val="Refdenotaalpie"/>
          <w:rFonts w:ascii="Verdana" w:hAnsi="Verdana" w:cs="Arial"/>
          <w:color w:val="000000" w:themeColor="text1"/>
          <w:lang w:val="es-ES_tradnl"/>
        </w:rPr>
        <w:footnoteReference w:id="13"/>
      </w:r>
      <w:r w:rsidRPr="006144D7">
        <w:rPr>
          <w:rFonts w:ascii="Verdana" w:hAnsi="Verdana" w:cs="Arial"/>
          <w:color w:val="000000" w:themeColor="text1"/>
          <w:lang w:val="es-ES_tradnl"/>
        </w:rPr>
        <w:t>.</w:t>
      </w:r>
    </w:p>
    <w:p w14:paraId="47DC9894" w14:textId="77777777" w:rsidR="000948A2" w:rsidRPr="006144D7" w:rsidRDefault="000948A2" w:rsidP="000948A2">
      <w:pPr>
        <w:spacing w:after="120" w:line="276" w:lineRule="auto"/>
        <w:ind w:firstLine="709"/>
        <w:jc w:val="both"/>
        <w:rPr>
          <w:rFonts w:ascii="Arial" w:eastAsia="Times New Roman" w:hAnsi="Arial" w:cs="Arial"/>
          <w:bCs/>
          <w:color w:val="000000"/>
          <w:szCs w:val="24"/>
          <w:lang w:val="es-ES_tradnl" w:eastAsia="es-ES_tradnl"/>
        </w:rPr>
      </w:pPr>
      <w:r w:rsidRPr="006144D7">
        <w:rPr>
          <w:rFonts w:ascii="Verdana" w:eastAsia="Times New Roman" w:hAnsi="Verdana" w:cs="Arial"/>
          <w:bCs/>
          <w:color w:val="000000"/>
          <w:szCs w:val="24"/>
          <w:lang w:val="es-ES_tradnl" w:eastAsia="es-ES_tradnl"/>
        </w:rPr>
        <w:t xml:space="preserve">Como puede observarse, la finalidad y principal objetivo de la garantía de cumplimiento es proteger el patrimonio de la entidad de los potenciales riesgos y efectos derivados de un incumplimiento del contratista. Esta función, se advierte, debe irradiar la comprensión de las normas sobre garantías en general y sobre su vigencia en particular. </w:t>
      </w:r>
    </w:p>
    <w:p w14:paraId="74D635DC" w14:textId="77777777" w:rsidR="000948A2" w:rsidRPr="006144D7"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6144D7">
        <w:rPr>
          <w:rFonts w:ascii="Verdana" w:eastAsia="Times New Roman" w:hAnsi="Verdana" w:cs="Arial"/>
          <w:bCs/>
          <w:color w:val="000000"/>
          <w:szCs w:val="24"/>
          <w:lang w:val="es-ES_tradnl" w:eastAsia="es-ES_tradnl"/>
        </w:rPr>
        <w:t>En efecto, según lo dispuesto en el artículo 2.2.1.2.3.1.7. del Decreto 1082 de 2015</w:t>
      </w:r>
      <w:r w:rsidRPr="006144D7">
        <w:rPr>
          <w:rFonts w:ascii="Verdana" w:eastAsia="Times New Roman" w:hAnsi="Verdana" w:cs="Arial"/>
          <w:bCs/>
          <w:color w:val="000000"/>
          <w:szCs w:val="24"/>
          <w:vertAlign w:val="superscript"/>
          <w:lang w:val="es-ES_tradnl" w:eastAsia="es-ES_tradnl"/>
        </w:rPr>
        <w:footnoteReference w:id="14"/>
      </w:r>
      <w:r w:rsidRPr="006144D7">
        <w:rPr>
          <w:rFonts w:ascii="Verdana" w:eastAsia="Times New Roman" w:hAnsi="Verdana" w:cs="Arial"/>
          <w:bCs/>
          <w:color w:val="000000"/>
          <w:szCs w:val="24"/>
          <w:lang w:val="es-ES_tradnl" w:eastAsia="es-ES_tradnl"/>
        </w:rPr>
        <w:t xml:space="preserve">, la garantía única de cumplimiento cuenta con varios amparos, </w:t>
      </w:r>
      <w:r w:rsidRPr="006144D7">
        <w:rPr>
          <w:rFonts w:ascii="Verdana" w:eastAsia="Times New Roman" w:hAnsi="Verdana" w:cs="Arial"/>
          <w:bCs/>
          <w:color w:val="000000"/>
          <w:szCs w:val="24"/>
          <w:lang w:val="es-ES_tradnl" w:eastAsia="es-ES_tradnl"/>
        </w:rPr>
        <w:lastRenderedPageBreak/>
        <w:t>que incluyen el de buen manejo y correcta inversión del anticipo; la devolución del pago anticipado; el amparo de cumplimiento del contrato; la garantía de pago de salarios, prestaciones sociales legales e indemnizaciones laborales, entre otros.</w:t>
      </w:r>
      <w:bookmarkStart w:id="10" w:name="_Hlk127975343"/>
    </w:p>
    <w:p w14:paraId="58DD3FCB" w14:textId="77777777" w:rsidR="000948A2" w:rsidRPr="006144D7" w:rsidRDefault="000948A2" w:rsidP="0C90A87E">
      <w:pPr>
        <w:spacing w:after="12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 xml:space="preserve">Por tanto, el amparo de cumplimiento es uno de los múltiples amparos que conforman la garantía única de cumplimiento. Al tenor de lo preceptuado en el artículo 2.2.1.2.3.1.7. </w:t>
      </w:r>
      <w:proofErr w:type="spellStart"/>
      <w:r w:rsidRPr="0C90A87E">
        <w:rPr>
          <w:rFonts w:ascii="Verdana" w:eastAsia="Times New Roman" w:hAnsi="Verdana" w:cs="Arial"/>
          <w:i/>
          <w:iCs/>
          <w:color w:val="000000" w:themeColor="text1"/>
          <w:lang w:val="es-ES" w:eastAsia="es-ES"/>
        </w:rPr>
        <w:t>ibídem</w:t>
      </w:r>
      <w:proofErr w:type="spellEnd"/>
      <w:r w:rsidRPr="0C90A87E">
        <w:rPr>
          <w:rFonts w:ascii="Verdana" w:eastAsia="Times New Roman" w:hAnsi="Verdana" w:cs="Arial"/>
          <w:color w:val="000000" w:themeColor="text1"/>
          <w:lang w:val="es-ES" w:eastAsia="es-ES"/>
        </w:rPr>
        <w:t xml:space="preserve"> la garantía de cumplimiento debe proteger a la entidad de los perjuicios que se puedan ocasionar con el incumplimiento, total o parcial del contrato, del cumplimiento tardío o defectuoso, de los daños por entregas parciales de la obra, cuando el contrato no prevé entregas parciales, y del valor de las multas y de la cláusula penal pecuniaria. De lo anterior se advierte que el amparo de cumplimiento tiene como objeto proteger a la entidad de los riesgos que puedan concretarse durante la etapa de ejecución del contrato y, más claramente, aquellos derivados de incumplimientos o conductas imputables al contratista. </w:t>
      </w:r>
      <w:bookmarkEnd w:id="10"/>
    </w:p>
    <w:p w14:paraId="3AE526CA" w14:textId="77777777" w:rsidR="000948A2" w:rsidRPr="00221F65"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6144D7">
        <w:rPr>
          <w:rFonts w:ascii="Verdana" w:eastAsia="Times New Roman" w:hAnsi="Verdana" w:cs="Arial"/>
          <w:bCs/>
          <w:color w:val="000000"/>
          <w:szCs w:val="24"/>
          <w:lang w:val="es-ES_tradnl" w:eastAsia="es-ES_tradnl"/>
        </w:rPr>
        <w:t>De otra parte, en relación con la</w:t>
      </w:r>
      <w:r w:rsidRPr="00221F65">
        <w:rPr>
          <w:rFonts w:ascii="Verdana" w:eastAsia="Times New Roman" w:hAnsi="Verdana" w:cs="Arial"/>
          <w:bCs/>
          <w:color w:val="000000"/>
          <w:szCs w:val="24"/>
          <w:lang w:val="es-ES_tradnl" w:eastAsia="es-ES_tradnl"/>
        </w:rPr>
        <w:t xml:space="preserve"> vigencia de las garantías, el artículo 2.2.1.2.3.1.12. del citado Decreto señala expresamente que </w:t>
      </w:r>
      <w:r w:rsidRPr="00221F65">
        <w:rPr>
          <w:rFonts w:ascii="Verdana" w:eastAsia="Times New Roman" w:hAnsi="Verdana" w:cs="Arial"/>
          <w:bCs/>
          <w:i/>
          <w:iCs/>
          <w:color w:val="000000"/>
          <w:szCs w:val="24"/>
          <w:lang w:val="es-ES_tradnl" w:eastAsia="es-ES_tradnl"/>
        </w:rPr>
        <w:t>“[l]a garantía de cumplimiento del contrato debe tener una vigencia mínima hasta la liquidación del contrato”.</w:t>
      </w:r>
      <w:r w:rsidRPr="00221F65">
        <w:rPr>
          <w:rFonts w:ascii="Verdana" w:eastAsia="Times New Roman" w:hAnsi="Verdana" w:cs="Arial"/>
          <w:bCs/>
          <w:color w:val="000000"/>
          <w:szCs w:val="24"/>
          <w:lang w:val="es-ES_tradnl" w:eastAsia="es-ES_tradnl"/>
        </w:rPr>
        <w:t xml:space="preserve"> </w:t>
      </w:r>
    </w:p>
    <w:p w14:paraId="040DD746" w14:textId="77777777" w:rsidR="000948A2" w:rsidRPr="00221F65" w:rsidRDefault="000948A2" w:rsidP="0C90A87E">
      <w:pPr>
        <w:spacing w:after="12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 xml:space="preserve">Lo primero que debe ponerse de presente es que esta disposición no se refiere a la garantía única de cumplimiento en su totalidad, sino exclusivamente al amparo de cumplimiento, al que se viene haciendo referencia, lo cual explica que los artículos anteriores y subsiguientes establezcan términos diferentes para los demás amparos que conforman la garantía única de cumplimiento. Así, por ejemplo, el artículo 2.2.1.2.3.1.13 </w:t>
      </w:r>
      <w:proofErr w:type="spellStart"/>
      <w:r w:rsidRPr="0C90A87E">
        <w:rPr>
          <w:rFonts w:ascii="Verdana" w:eastAsia="Times New Roman" w:hAnsi="Verdana" w:cs="Arial"/>
          <w:i/>
          <w:iCs/>
          <w:color w:val="000000" w:themeColor="text1"/>
          <w:lang w:val="es-ES" w:eastAsia="es-ES"/>
        </w:rPr>
        <w:t>Ibídem</w:t>
      </w:r>
      <w:proofErr w:type="spellEnd"/>
      <w:r w:rsidRPr="0C90A87E">
        <w:rPr>
          <w:rFonts w:ascii="Verdana" w:eastAsia="Times New Roman" w:hAnsi="Verdana" w:cs="Arial"/>
          <w:color w:val="000000" w:themeColor="text1"/>
          <w:lang w:val="es-ES" w:eastAsia="es-ES"/>
        </w:rPr>
        <w:t xml:space="preserve"> prescribe que la garantía de pago de </w:t>
      </w:r>
      <w:r w:rsidRPr="0C90A87E">
        <w:rPr>
          <w:rFonts w:ascii="Verdana" w:eastAsia="Times New Roman" w:hAnsi="Verdana" w:cs="Arial"/>
          <w:color w:val="000000" w:themeColor="text1"/>
          <w:lang w:val="es-ES" w:eastAsia="es-ES"/>
        </w:rPr>
        <w:lastRenderedPageBreak/>
        <w:t xml:space="preserve">salarios y prestaciones sociales debe estar vigente por el plazo del contrato y 3 años adicionales y, a su vez, el artículo 2.2.1.2.3.1.14 establece un término no inferior a 5 años para la garantía de estabilidad de la obra. </w:t>
      </w:r>
    </w:p>
    <w:p w14:paraId="22083B46" w14:textId="77777777" w:rsidR="000948A2" w:rsidRPr="00221F65"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Al respecto, en Concepto C-479 de esta Agencia, se precisó que hay dos conceptos jurídicos relevantes para comprender el alcance del artículo 2.2.1.2.3.1.12 del Decreto 1082 de 2015., esto es, de un lado, la vigencia de la garantía y, de otro, el plazo para su reclamación. Esta distinción es importante, pues para hacer una reclamación válida al garante no es indispensable que la garantía se encuentre vigente, sino que lo haya estado en el momento de la concreción de riesgo, como se pasa a explicar.</w:t>
      </w:r>
    </w:p>
    <w:p w14:paraId="30D6B1AA" w14:textId="77777777" w:rsidR="000948A2" w:rsidRPr="00221F65" w:rsidRDefault="000948A2" w:rsidP="0C90A87E">
      <w:pPr>
        <w:spacing w:after="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 xml:space="preserve">En relación con este aspecto, el artículo 1047 del Código de Comercio establece que la póliza debe expresar, entre otros, </w:t>
      </w:r>
      <w:r w:rsidRPr="0C90A87E">
        <w:rPr>
          <w:rFonts w:ascii="Verdana" w:eastAsia="Times New Roman" w:hAnsi="Verdana" w:cs="Arial"/>
          <w:i/>
          <w:iCs/>
          <w:color w:val="000000" w:themeColor="text1"/>
          <w:lang w:val="es-ES" w:eastAsia="es-ES"/>
        </w:rPr>
        <w:t>“</w:t>
      </w:r>
      <w:proofErr w:type="spellStart"/>
      <w:r w:rsidRPr="0C90A87E">
        <w:rPr>
          <w:rFonts w:ascii="Verdana" w:eastAsia="Times New Roman" w:hAnsi="Verdana" w:cs="Arial"/>
          <w:i/>
          <w:iCs/>
          <w:color w:val="000000" w:themeColor="text1"/>
          <w:lang w:val="es-ES" w:eastAsia="es-ES"/>
        </w:rPr>
        <w:t>ii</w:t>
      </w:r>
      <w:proofErr w:type="spellEnd"/>
      <w:r w:rsidRPr="0C90A87E">
        <w:rPr>
          <w:rFonts w:ascii="Verdana" w:eastAsia="Times New Roman" w:hAnsi="Verdana" w:cs="Arial"/>
          <w:i/>
          <w:iCs/>
          <w:color w:val="000000" w:themeColor="text1"/>
          <w:lang w:val="es-ES" w:eastAsia="es-ES"/>
        </w:rPr>
        <w:t>) la vigencia del contrato, con indicación de las fechas y horas de iniciación y vencimiento, o el modo de determinar unas y otras”.</w:t>
      </w:r>
      <w:r w:rsidRPr="0C90A87E">
        <w:rPr>
          <w:rFonts w:ascii="Verdana" w:eastAsia="Times New Roman" w:hAnsi="Verdana" w:cs="Arial"/>
          <w:color w:val="000000" w:themeColor="text1"/>
          <w:lang w:val="es-ES" w:eastAsia="es-ES"/>
        </w:rPr>
        <w:t xml:space="preserve"> El Consejo de Estado se pronunció sobre esta disposición en los siguientes términos: </w:t>
      </w:r>
    </w:p>
    <w:p w14:paraId="376A9A4E" w14:textId="77777777" w:rsidR="000948A2" w:rsidRPr="00221F65" w:rsidRDefault="000948A2" w:rsidP="000948A2">
      <w:pPr>
        <w:spacing w:after="0" w:line="240" w:lineRule="auto"/>
        <w:ind w:left="709" w:right="758"/>
        <w:jc w:val="both"/>
        <w:rPr>
          <w:rFonts w:ascii="Verdana" w:eastAsia="Times New Roman" w:hAnsi="Verdana" w:cs="Arial"/>
          <w:bCs/>
          <w:color w:val="000000"/>
          <w:sz w:val="21"/>
          <w:szCs w:val="21"/>
          <w:lang w:val="es-ES_tradnl" w:eastAsia="es-ES_tradnl"/>
        </w:rPr>
      </w:pPr>
    </w:p>
    <w:p w14:paraId="0FAE6A1F" w14:textId="77777777" w:rsidR="000948A2" w:rsidRPr="00221F65" w:rsidRDefault="000948A2" w:rsidP="000948A2">
      <w:pPr>
        <w:spacing w:after="0" w:line="240" w:lineRule="auto"/>
        <w:ind w:left="709" w:right="616"/>
        <w:jc w:val="both"/>
        <w:rPr>
          <w:rFonts w:ascii="Verdana" w:eastAsia="Times New Roman" w:hAnsi="Verdana" w:cs="Arial"/>
          <w:bCs/>
          <w:color w:val="000000"/>
          <w:sz w:val="20"/>
          <w:szCs w:val="20"/>
          <w:lang w:val="es-ES_tradnl" w:eastAsia="es-ES_tradnl"/>
        </w:rPr>
      </w:pPr>
      <w:r w:rsidRPr="00221F65">
        <w:rPr>
          <w:rFonts w:ascii="Verdana" w:eastAsia="Times New Roman" w:hAnsi="Verdana" w:cs="Arial"/>
          <w:bCs/>
          <w:color w:val="000000"/>
          <w:sz w:val="20"/>
          <w:szCs w:val="20"/>
          <w:lang w:val="es-ES_tradnl" w:eastAsia="es-ES_tradnl"/>
        </w:rPr>
        <w:t>“Dada la naturaleza de la obligación que contrae el asegurador, resulta de la mayor importancia la determinación del momento exacto a partir del cual aquel asume el riesgo que le es trasladado y así mismo, la hora y el día hasta los cuales va tal asunción, puesto que únicamente estará obligado a ejecutar la prestación a su cargo cuando el riesgo se realice dentro de ese lapso, es decir si el siniestro se presenta dentro de esos límites temporales</w:t>
      </w:r>
      <w:r>
        <w:rPr>
          <w:rFonts w:ascii="Verdana" w:eastAsia="Times New Roman" w:hAnsi="Verdana" w:cs="Arial"/>
          <w:bCs/>
          <w:color w:val="000000"/>
          <w:sz w:val="20"/>
          <w:szCs w:val="20"/>
          <w:lang w:val="es-ES_tradnl" w:eastAsia="es-ES_tradnl"/>
        </w:rPr>
        <w:t>”</w:t>
      </w:r>
      <w:r w:rsidRPr="00221F65">
        <w:rPr>
          <w:rFonts w:ascii="Verdana" w:eastAsia="Times New Roman" w:hAnsi="Verdana" w:cs="Arial"/>
          <w:bCs/>
          <w:color w:val="000000"/>
          <w:sz w:val="20"/>
          <w:szCs w:val="20"/>
          <w:vertAlign w:val="superscript"/>
          <w:lang w:val="es-ES_tradnl" w:eastAsia="es-ES_tradnl"/>
        </w:rPr>
        <w:footnoteReference w:id="15"/>
      </w:r>
      <w:r w:rsidRPr="00221F65">
        <w:rPr>
          <w:rFonts w:ascii="Verdana" w:eastAsia="Times New Roman" w:hAnsi="Verdana" w:cs="Arial"/>
          <w:bCs/>
          <w:color w:val="000000"/>
          <w:sz w:val="20"/>
          <w:szCs w:val="20"/>
          <w:lang w:val="es-ES_tradnl" w:eastAsia="es-ES_tradnl"/>
        </w:rPr>
        <w:t xml:space="preserve">. </w:t>
      </w:r>
    </w:p>
    <w:p w14:paraId="3129DB30" w14:textId="77777777" w:rsidR="000948A2" w:rsidRPr="00221F65" w:rsidRDefault="000948A2" w:rsidP="000948A2">
      <w:pPr>
        <w:spacing w:after="0" w:line="240" w:lineRule="auto"/>
        <w:ind w:left="709" w:right="760"/>
        <w:jc w:val="both"/>
        <w:rPr>
          <w:rFonts w:ascii="Verdana" w:eastAsia="Times New Roman" w:hAnsi="Verdana" w:cs="Arial"/>
          <w:bCs/>
          <w:color w:val="000000"/>
          <w:sz w:val="21"/>
          <w:szCs w:val="21"/>
          <w:lang w:val="es-ES_tradnl" w:eastAsia="es-ES_tradnl"/>
        </w:rPr>
      </w:pPr>
    </w:p>
    <w:p w14:paraId="2DCA958F" w14:textId="77777777" w:rsidR="000948A2" w:rsidRPr="00221F65" w:rsidRDefault="000948A2" w:rsidP="0C90A87E">
      <w:pPr>
        <w:spacing w:after="12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 xml:space="preserve">Resulta claro que el riesgo que se traslada al garante solamente será aquel que se realice dentro del plazo de vigencia de la garantía, es decir, si el siniestro se presenta dentro de esos límites temporales el garante deberá asumir sus consecuencias. Sin embargo, ello no puede confundirse con el término para hacer la reclamación de un riesgo ocurrido durante el término de vigencia de la garantía, pues para ello resulta necesario recurrir a las normas sobre prescripción de las acciones. </w:t>
      </w:r>
    </w:p>
    <w:p w14:paraId="4FD84F9D" w14:textId="77777777" w:rsidR="000948A2" w:rsidRPr="00221F65"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 xml:space="preserve">De otro lado, puede afirmarse que, en términos ideales, una vez culmina el plazo de ejecución, deja de existir también, en gran medida, el riesgo de incumplimiento por parte del contratista, pues los incumplimientos del contrato suelen ocurrir durante la etapa de cumplimiento, o ejecución de las obligaciones. </w:t>
      </w:r>
      <w:r w:rsidRPr="00221F65">
        <w:rPr>
          <w:rFonts w:ascii="Verdana" w:eastAsia="Times New Roman" w:hAnsi="Verdana" w:cs="Arial"/>
          <w:bCs/>
          <w:color w:val="000000"/>
          <w:szCs w:val="24"/>
          <w:lang w:val="es-ES_tradnl" w:eastAsia="es-ES_tradnl"/>
        </w:rPr>
        <w:lastRenderedPageBreak/>
        <w:t>Lo anterior no pretende desconocer que para ciertos contratos algunas obligaciones y su exigibilidad subsisten más allá del plazo acordado para la ejecución del objeto principal, tal puede ser el caso de los aportes a la seguridad social de los trabajadores vinculados a la ejecución del objeto del contrato. Sin perjuicio de lo anterior, el vencimiento del plazo de ejecución del contrato, cuando es suspensivo, sin que el contratista haya ejecutado sus obligaciones, también es determinante para constatar el incumplimiento del contratista. La apreciación general anterior, según lo explicado, indica que muchos de los incumplimientos pueden darse durante la ejecución del contrato, pero es posible que este también ocurra una vez vencido el plazo de ejecución.</w:t>
      </w:r>
    </w:p>
    <w:p w14:paraId="38730A82" w14:textId="77777777" w:rsidR="000948A2" w:rsidRPr="00221F65"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221F65">
        <w:rPr>
          <w:rFonts w:ascii="Verdana" w:eastAsia="Times New Roman" w:hAnsi="Verdana" w:cs="Arial"/>
          <w:bCs/>
          <w:color w:val="000000"/>
          <w:szCs w:val="24"/>
          <w:lang w:val="es-ES_tradnl" w:eastAsia="es-ES_tradnl"/>
        </w:rPr>
        <w:t xml:space="preserve">Ahora bien, volviendo sobre la vigencia de la garantía de cumplimiento, en cuanto al amparo de cumplimiento del contrato, la norma reglamentaria citada con anterioridad es clara y exige que la garantía permanezca vigente hasta la liquidación del contrato, esto es, más allá del plazo de ejecución y de vigencia del contrato estatal. Por tanto, en virtud de dicha disposición, el contratista debe cumplir con la obligación consistente en mantener la vigencia mínima del amparo de cumplimiento hasta la liquidación del contrato. </w:t>
      </w:r>
    </w:p>
    <w:p w14:paraId="3066FA37" w14:textId="77777777" w:rsidR="000948A2" w:rsidRPr="000948A2" w:rsidRDefault="000948A2" w:rsidP="0C90A87E">
      <w:pPr>
        <w:spacing w:after="120" w:line="276" w:lineRule="auto"/>
        <w:ind w:firstLine="709"/>
        <w:jc w:val="both"/>
        <w:rPr>
          <w:rFonts w:ascii="Verdana" w:eastAsia="Times New Roman" w:hAnsi="Verdana" w:cs="Arial"/>
          <w:color w:val="000000"/>
          <w:lang w:val="es-ES" w:eastAsia="es-ES"/>
        </w:rPr>
      </w:pPr>
      <w:r w:rsidRPr="0C90A87E">
        <w:rPr>
          <w:rFonts w:ascii="Verdana" w:eastAsia="Times New Roman" w:hAnsi="Verdana" w:cs="Arial"/>
          <w:color w:val="000000" w:themeColor="text1"/>
          <w:lang w:val="es-ES" w:eastAsia="es-ES"/>
        </w:rPr>
        <w:t>Bajo estas consideraciones, existe la obligación por parte del contratista de mantener la vigencia de la garantía de cumplimiento, en cuanto al amparo de cumplimiento del contrato, hasta la liquidación del contrato, para lo cual se deberá tener en cuenta lo dispuesto por el artículo 11 de la Ley 1150 de 2007, según el cual la liquidación de los contratos se hará de mutuo acuerdo dentro del término fijado en los pliegos de condiciones o sus equivalentes o dentro del que acuerden las partes para el efecto o en su ausencia, el término supletivo establecido para la liquidación bilateral de 4 meses a partir de la terminación del contrato, o los 2 meses siguientes para realizar la liquidación de forma unilateral. En este sentido, ante la falta de liquidación bilateral o unilateral del contrato en dichos plazos, el contratista debe cumplir con la previsión normativa referida, en el sentido de mantener la vigencia de la garantía de cumplimiento hasta la liquidación efectiva del contrato, sin perjuicio de interponer la demanda con la pretensión de liquidarlo judicialmente.</w:t>
      </w:r>
    </w:p>
    <w:p w14:paraId="6CD45D8A" w14:textId="77777777" w:rsidR="000948A2" w:rsidRDefault="000948A2" w:rsidP="000948A2">
      <w:pPr>
        <w:spacing w:after="120" w:line="276" w:lineRule="auto"/>
        <w:ind w:firstLine="709"/>
        <w:jc w:val="both"/>
        <w:rPr>
          <w:rFonts w:ascii="Verdana" w:eastAsia="Times New Roman" w:hAnsi="Verdana" w:cs="Arial"/>
          <w:bCs/>
          <w:color w:val="000000"/>
          <w:szCs w:val="24"/>
          <w:lang w:val="es-ES_tradnl" w:eastAsia="es-ES_tradnl"/>
        </w:rPr>
      </w:pPr>
      <w:r w:rsidRPr="000948A2">
        <w:rPr>
          <w:rFonts w:ascii="Verdana" w:eastAsia="Times New Roman" w:hAnsi="Verdana" w:cs="Arial"/>
          <w:bCs/>
          <w:color w:val="000000"/>
          <w:szCs w:val="24"/>
          <w:lang w:val="es-ES_tradnl" w:eastAsia="es-ES_tradnl"/>
        </w:rPr>
        <w:t xml:space="preserve">De esta manera, si el contrato establece un plazo de liquidación de mutuo acuerdo de conformidad con lo señalado por el artículo 2.2.1.2.3.1.12. del Decreto 1082 de 2015, la entidad deberá verificar que la garantía se encuentre vigente, por lo menos, hasta dicho plazo. Si no se pacta un plazo de liquidación, se deberá tener en cuenta los términos supletivos de la liquidación bilateral y </w:t>
      </w:r>
      <w:r w:rsidRPr="000948A2">
        <w:rPr>
          <w:rFonts w:ascii="Verdana" w:eastAsia="Times New Roman" w:hAnsi="Verdana" w:cs="Arial"/>
          <w:bCs/>
          <w:color w:val="000000"/>
          <w:szCs w:val="24"/>
          <w:lang w:val="es-ES_tradnl" w:eastAsia="es-ES_tradnl"/>
        </w:rPr>
        <w:lastRenderedPageBreak/>
        <w:t>unilateral del artículo 11 de la ley 1150 de 2007. En todo caso, s</w:t>
      </w:r>
      <w:r w:rsidRPr="00BB0A3F">
        <w:rPr>
          <w:rFonts w:ascii="Verdana" w:eastAsia="Times New Roman" w:hAnsi="Verdana" w:cs="Arial"/>
          <w:bCs/>
          <w:color w:val="000000"/>
          <w:szCs w:val="24"/>
          <w:lang w:val="es-ES_tradnl" w:eastAsia="es-ES_tradnl"/>
        </w:rPr>
        <w:t xml:space="preserve">i por alguna razón no se logra liquidar el contrato dentro de dicho plazo, el contratista tiene el deber de mantener vigente la garantía hasta la liquidación efectiva del contrato, pues el artículo 2.2.1.2.3.1.12 del Decreto 1082 de 2015 lo dispone expresamente. </w:t>
      </w:r>
    </w:p>
    <w:p w14:paraId="32BD7F86" w14:textId="50767E33" w:rsidR="000948A2" w:rsidRPr="00726C0F" w:rsidRDefault="000948A2" w:rsidP="006A7ECF">
      <w:pPr>
        <w:spacing w:after="0" w:line="276" w:lineRule="auto"/>
        <w:ind w:firstLine="709"/>
        <w:jc w:val="both"/>
        <w:rPr>
          <w:rFonts w:ascii="Verdana" w:eastAsia="Times New Roman" w:hAnsi="Verdana" w:cs="Arial"/>
          <w:bCs/>
          <w:color w:val="000000"/>
          <w:szCs w:val="24"/>
          <w:lang w:val="es-ES_tradnl" w:eastAsia="es-ES_tradnl"/>
        </w:rPr>
      </w:pPr>
      <w:r w:rsidRPr="00726C0F">
        <w:rPr>
          <w:rFonts w:ascii="Verdana" w:eastAsia="Times New Roman" w:hAnsi="Verdana" w:cs="Arial"/>
          <w:bCs/>
          <w:color w:val="000000"/>
          <w:szCs w:val="24"/>
          <w:lang w:eastAsia="es-ES_tradnl"/>
        </w:rPr>
        <w:t>Por último, si el contratista obligado a ampliar la garantía de cumplimiento una vez finalizado el contrato estatal y bajo el inicio de la etapa de liquidación se abstiene de su actuar, la entidad estatal, de acuerdo con lo pactado dentro del contrato estatal, y si así se contempló, podrá iniciar un proceso sancionatorio administrativo de carácter contractual contemplado en el artículo 86 de la Ley 1474 de 2011 y el artículo 17 de la Ley 1150 de 2007. Aunado a lo anterior, deberá analizar si la garantía de cumplimiento tiene vigente el amparo relativo a cumplimiento del contrato, que de conformidad con lo dispuesto en el artículo 2.2.1.2.3.1.7</w:t>
      </w:r>
      <w:r>
        <w:rPr>
          <w:rFonts w:ascii="Verdana" w:eastAsia="Times New Roman" w:hAnsi="Verdana" w:cs="Arial"/>
          <w:bCs/>
          <w:color w:val="000000"/>
          <w:szCs w:val="24"/>
          <w:lang w:eastAsia="es-ES_tradnl"/>
        </w:rPr>
        <w:t xml:space="preserve"> </w:t>
      </w:r>
      <w:r w:rsidRPr="00726C0F">
        <w:rPr>
          <w:rFonts w:ascii="Verdana" w:eastAsia="Times New Roman" w:hAnsi="Verdana" w:cs="Arial"/>
          <w:bCs/>
          <w:color w:val="000000"/>
          <w:szCs w:val="24"/>
          <w:lang w:eastAsia="es-ES_tradnl"/>
        </w:rPr>
        <w:t xml:space="preserve">el </w:t>
      </w:r>
      <w:r>
        <w:rPr>
          <w:rFonts w:ascii="Verdana" w:eastAsia="Times New Roman" w:hAnsi="Verdana" w:cs="Arial"/>
          <w:bCs/>
          <w:color w:val="000000"/>
          <w:szCs w:val="24"/>
          <w:lang w:eastAsia="es-ES_tradnl"/>
        </w:rPr>
        <w:t>amparo de c</w:t>
      </w:r>
      <w:r w:rsidRPr="00726C0F">
        <w:rPr>
          <w:rFonts w:ascii="Verdana" w:eastAsia="Times New Roman" w:hAnsi="Verdana" w:cs="Arial"/>
          <w:bCs/>
          <w:color w:val="000000"/>
          <w:szCs w:val="24"/>
          <w:lang w:eastAsia="es-ES_tradnl"/>
        </w:rPr>
        <w:t>umplimiento del contrato</w:t>
      </w:r>
      <w:r>
        <w:rPr>
          <w:rFonts w:ascii="Verdana" w:eastAsia="Times New Roman" w:hAnsi="Verdana" w:cs="Arial"/>
          <w:bCs/>
          <w:color w:val="000000"/>
          <w:szCs w:val="24"/>
          <w:lang w:eastAsia="es-ES_tradnl"/>
        </w:rPr>
        <w:t xml:space="preserve"> cubrirá a </w:t>
      </w:r>
      <w:r w:rsidRPr="00726C0F">
        <w:rPr>
          <w:rFonts w:ascii="Verdana" w:eastAsia="Times New Roman" w:hAnsi="Verdana" w:cs="Arial"/>
          <w:bCs/>
          <w:color w:val="000000"/>
          <w:szCs w:val="24"/>
          <w:lang w:eastAsia="es-ES_tradnl"/>
        </w:rPr>
        <w:t>la Entidad Estatal de los perjuicios derivado</w:t>
      </w:r>
      <w:r>
        <w:rPr>
          <w:rFonts w:ascii="Verdana" w:eastAsia="Times New Roman" w:hAnsi="Verdana" w:cs="Arial"/>
          <w:bCs/>
          <w:color w:val="000000"/>
          <w:szCs w:val="24"/>
          <w:lang w:eastAsia="es-ES_tradnl"/>
        </w:rPr>
        <w:t>s</w:t>
      </w:r>
      <w:r w:rsidRPr="00726C0F">
        <w:rPr>
          <w:rFonts w:ascii="Verdana" w:eastAsia="Times New Roman" w:hAnsi="Verdana" w:cs="Arial"/>
          <w:bCs/>
          <w:color w:val="000000"/>
          <w:szCs w:val="24"/>
          <w:lang w:eastAsia="es-ES_tradnl"/>
        </w:rPr>
        <w:t xml:space="preserve"> del incumplimiento total o parcial del contrato, cuando el incumplimiento es imputable al contratista; el cumplimiento tardío o defectuoso del contrato, cuando el incumplimiento es imputable al contratista; los daños imputables al contratista por entregas parciales de la obra, cuando el contrato no prevé entregas parciales; y </w:t>
      </w:r>
      <w:r>
        <w:rPr>
          <w:rFonts w:ascii="Verdana" w:eastAsia="Times New Roman" w:hAnsi="Verdana" w:cs="Arial"/>
          <w:bCs/>
          <w:color w:val="000000"/>
          <w:szCs w:val="24"/>
          <w:lang w:eastAsia="es-ES_tradnl"/>
        </w:rPr>
        <w:t>e</w:t>
      </w:r>
      <w:r w:rsidRPr="00726C0F">
        <w:rPr>
          <w:rFonts w:ascii="Verdana" w:eastAsia="Times New Roman" w:hAnsi="Verdana" w:cs="Arial"/>
          <w:bCs/>
          <w:color w:val="000000"/>
          <w:szCs w:val="24"/>
          <w:lang w:eastAsia="es-ES_tradnl"/>
        </w:rPr>
        <w:t>l pago del valor de las multas y de la cláusula penal pecuniaria.</w:t>
      </w:r>
    </w:p>
    <w:p w14:paraId="2AD20FF2" w14:textId="77777777" w:rsidR="000948A2" w:rsidRDefault="000948A2" w:rsidP="006A7ECF">
      <w:pPr>
        <w:tabs>
          <w:tab w:val="left" w:pos="142"/>
          <w:tab w:val="left" w:pos="284"/>
        </w:tabs>
        <w:spacing w:after="0" w:line="276" w:lineRule="auto"/>
        <w:rPr>
          <w:rFonts w:ascii="Verdana" w:eastAsia="Century Gothic" w:hAnsi="Verdana" w:cs="Century Gothic"/>
          <w:b/>
          <w:bCs/>
        </w:rPr>
      </w:pPr>
    </w:p>
    <w:p w14:paraId="57BA8FB4" w14:textId="77777777" w:rsidR="000948A2" w:rsidRDefault="000948A2" w:rsidP="006A7ECF">
      <w:pPr>
        <w:tabs>
          <w:tab w:val="left" w:pos="142"/>
          <w:tab w:val="left" w:pos="284"/>
        </w:tabs>
        <w:spacing w:after="0" w:line="276" w:lineRule="auto"/>
        <w:rPr>
          <w:rFonts w:ascii="Verdana" w:eastAsia="Century Gothic" w:hAnsi="Verdana" w:cs="Century Gothic"/>
          <w:b/>
          <w:bCs/>
        </w:rPr>
      </w:pPr>
      <w:r w:rsidRPr="00FF007A">
        <w:rPr>
          <w:rFonts w:ascii="Verdana" w:eastAsia="Century Gothic" w:hAnsi="Verdana" w:cs="Century Gothic"/>
          <w:b/>
          <w:bCs/>
        </w:rPr>
        <w:t>4. Referencias normativas:</w:t>
      </w:r>
      <w:bookmarkEnd w:id="9"/>
    </w:p>
    <w:p w14:paraId="2B27CF99" w14:textId="77777777" w:rsidR="000948A2" w:rsidRPr="00861D2F" w:rsidRDefault="000948A2" w:rsidP="006A7ECF">
      <w:pPr>
        <w:tabs>
          <w:tab w:val="left" w:pos="142"/>
          <w:tab w:val="left" w:pos="284"/>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48A2" w:rsidRPr="00FF007A" w14:paraId="38F6C4C9" w14:textId="77777777" w:rsidTr="00920B9E">
        <w:trPr>
          <w:trHeight w:val="460"/>
          <w:jc w:val="center"/>
        </w:trPr>
        <w:tc>
          <w:tcPr>
            <w:tcW w:w="8647" w:type="dxa"/>
          </w:tcPr>
          <w:p w14:paraId="7ACF7487" w14:textId="15FED03E" w:rsidR="000948A2" w:rsidRPr="006A7ECF" w:rsidRDefault="000948A2" w:rsidP="006A7EC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Ley 80 de 1993. Artículo 60. </w:t>
            </w:r>
          </w:p>
          <w:p w14:paraId="03B65C1A" w14:textId="77777777" w:rsidR="000948A2" w:rsidRDefault="000948A2" w:rsidP="000948A2">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Ley 1150 de 2007. Artículo 11. </w:t>
            </w:r>
          </w:p>
          <w:p w14:paraId="05F80B12" w14:textId="4F7C7BFF" w:rsidR="000948A2" w:rsidRPr="004E2EB4" w:rsidRDefault="00DB75C9" w:rsidP="000948A2">
            <w:pPr>
              <w:pStyle w:val="Prrafodelista"/>
              <w:numPr>
                <w:ilvl w:val="0"/>
                <w:numId w:val="17"/>
              </w:numPr>
              <w:spacing w:line="276" w:lineRule="auto"/>
              <w:jc w:val="both"/>
              <w:rPr>
                <w:rFonts w:ascii="Verdana" w:eastAsia="Arial MT" w:hAnsi="Verdana" w:cs="Arial"/>
                <w:lang w:eastAsia="es-ES" w:bidi="es-ES"/>
              </w:rPr>
            </w:pPr>
            <w:r w:rsidRPr="00DB75C9">
              <w:rPr>
                <w:rFonts w:ascii="Verdana" w:eastAsia="Arial MT" w:hAnsi="Verdana" w:cs="Arial"/>
                <w:lang w:eastAsia="es-ES" w:bidi="es-ES"/>
              </w:rPr>
              <w:t xml:space="preserve">Decreto 019 de 2012. Artículo 217. </w:t>
            </w:r>
            <w:r w:rsidR="000948A2">
              <w:rPr>
                <w:rFonts w:ascii="Verdana" w:eastAsia="Arial MT" w:hAnsi="Verdana" w:cs="Arial"/>
                <w:lang w:eastAsia="es-ES" w:bidi="es-ES"/>
              </w:rPr>
              <w:t xml:space="preserve">Decreto 1082 de 2015. Artículos: </w:t>
            </w:r>
            <w:r w:rsidR="000948A2" w:rsidRPr="006144D7">
              <w:rPr>
                <w:rFonts w:ascii="Verdana" w:eastAsia="Times New Roman" w:hAnsi="Verdana" w:cs="Arial"/>
                <w:bCs/>
                <w:color w:val="000000"/>
                <w:szCs w:val="24"/>
                <w:lang w:val="es-ES_tradnl" w:eastAsia="es-ES_tradnl"/>
              </w:rPr>
              <w:t>2.2.1.2.3.1.7</w:t>
            </w:r>
            <w:r w:rsidR="000948A2">
              <w:rPr>
                <w:rFonts w:ascii="Verdana" w:eastAsia="Times New Roman" w:hAnsi="Verdana" w:cs="Arial"/>
                <w:bCs/>
                <w:color w:val="000000"/>
                <w:szCs w:val="24"/>
                <w:lang w:val="es-ES_tradnl" w:eastAsia="es-ES_tradnl"/>
              </w:rPr>
              <w:t xml:space="preserve">, </w:t>
            </w:r>
            <w:r w:rsidR="000948A2" w:rsidRPr="00221F65">
              <w:rPr>
                <w:rFonts w:ascii="Verdana" w:eastAsia="Times New Roman" w:hAnsi="Verdana" w:cs="Arial"/>
                <w:bCs/>
                <w:color w:val="000000"/>
                <w:szCs w:val="24"/>
                <w:lang w:val="es-ES_tradnl" w:eastAsia="es-ES_tradnl"/>
              </w:rPr>
              <w:t>2.2.1.2.3.1.12</w:t>
            </w:r>
            <w:r w:rsidR="000948A2">
              <w:rPr>
                <w:rFonts w:ascii="Verdana" w:eastAsia="Times New Roman" w:hAnsi="Verdana" w:cs="Arial"/>
                <w:bCs/>
                <w:color w:val="000000"/>
                <w:szCs w:val="24"/>
                <w:lang w:val="es-ES_tradnl" w:eastAsia="es-ES_tradnl"/>
              </w:rPr>
              <w:t xml:space="preserve">., </w:t>
            </w:r>
            <w:r w:rsidR="000948A2" w:rsidRPr="00221F65">
              <w:rPr>
                <w:rFonts w:ascii="Verdana" w:eastAsia="Times New Roman" w:hAnsi="Verdana" w:cs="Arial"/>
                <w:bCs/>
                <w:color w:val="000000"/>
                <w:szCs w:val="24"/>
                <w:lang w:val="es-ES_tradnl" w:eastAsia="es-ES_tradnl"/>
              </w:rPr>
              <w:t>2.2.1.2.3.1.13</w:t>
            </w:r>
            <w:r w:rsidR="000948A2">
              <w:rPr>
                <w:rFonts w:ascii="Verdana" w:eastAsia="Times New Roman" w:hAnsi="Verdana" w:cs="Arial"/>
                <w:bCs/>
                <w:color w:val="000000"/>
                <w:szCs w:val="24"/>
                <w:lang w:val="es-ES_tradnl" w:eastAsia="es-ES_tradnl"/>
              </w:rPr>
              <w:t>.</w:t>
            </w:r>
          </w:p>
          <w:p w14:paraId="17CD58CE" w14:textId="77777777" w:rsidR="000948A2" w:rsidRPr="004E2EB4" w:rsidRDefault="000948A2" w:rsidP="000948A2">
            <w:pPr>
              <w:pStyle w:val="Prrafodelista"/>
              <w:numPr>
                <w:ilvl w:val="0"/>
                <w:numId w:val="17"/>
              </w:numPr>
              <w:spacing w:line="276" w:lineRule="auto"/>
              <w:jc w:val="both"/>
              <w:rPr>
                <w:rFonts w:ascii="Verdana" w:eastAsia="Arial MT" w:hAnsi="Verdana" w:cs="Arial"/>
                <w:lang w:eastAsia="es-ES" w:bidi="es-ES"/>
              </w:rPr>
            </w:pPr>
            <w:r>
              <w:rPr>
                <w:rFonts w:ascii="Verdana" w:eastAsia="Times New Roman" w:hAnsi="Verdana" w:cs="Arial"/>
                <w:bCs/>
                <w:color w:val="000000"/>
                <w:szCs w:val="24"/>
                <w:lang w:val="es-ES_tradnl" w:eastAsia="es-ES_tradnl"/>
              </w:rPr>
              <w:t xml:space="preserve">Código de Comercio. Artículo: 1047. </w:t>
            </w:r>
          </w:p>
          <w:p w14:paraId="3BD49135" w14:textId="77777777" w:rsidR="000948A2"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eastAsia="Arial MT" w:hAnsi="Verdana" w:cs="Arial"/>
                <w:lang w:eastAsia="es-ES" w:bidi="es-ES"/>
              </w:rPr>
              <w:t>Consejo de Estado. Sala de lo Contencioso Administrativo. Sección Tercera. Subsección C. Sentencia del 20 de octubre de 2014. Radicado No. 05001-23-31-000-1998-00038-01 (27.777). C.P: Enrique Gil Botero</w:t>
            </w:r>
            <w:r>
              <w:rPr>
                <w:rFonts w:ascii="Verdana" w:eastAsia="Arial MT" w:hAnsi="Verdana" w:cs="Arial"/>
                <w:lang w:eastAsia="es-ES" w:bidi="es-ES"/>
              </w:rPr>
              <w:t>.</w:t>
            </w:r>
          </w:p>
          <w:p w14:paraId="64D364D6" w14:textId="77777777" w:rsidR="000948A2"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eastAsia="Arial MT" w:hAnsi="Verdana" w:cs="Arial"/>
                <w:lang w:eastAsia="es-ES" w:bidi="es-ES"/>
              </w:rPr>
              <w:t>Consejo de Estado. Sala de lo Contencioso Administrativo. Sección Tercera. Subsección A. Sentencia del 1 de julio de 2025. Radicado: 25000-23-36-000-2021-00617-01 (72021) C.P: José Roberto Sáchica Méndez.</w:t>
            </w:r>
          </w:p>
          <w:p w14:paraId="1CD043A1" w14:textId="77777777" w:rsidR="000948A2"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eastAsia="Arial MT" w:hAnsi="Verdana" w:cs="Arial"/>
                <w:lang w:eastAsia="es-ES" w:bidi="es-ES"/>
              </w:rPr>
              <w:lastRenderedPageBreak/>
              <w:t xml:space="preserve">Consejo de Estado. Sala de Consulta y Servicio Civil. Concepto de 28 de junio de 2016. Radicación: 2253. C.P: Álvaro </w:t>
            </w:r>
            <w:proofErr w:type="spellStart"/>
            <w:r w:rsidRPr="004E2EB4">
              <w:rPr>
                <w:rFonts w:ascii="Verdana" w:eastAsia="Arial MT" w:hAnsi="Verdana" w:cs="Arial"/>
                <w:lang w:eastAsia="es-ES" w:bidi="es-ES"/>
              </w:rPr>
              <w:t>Namén</w:t>
            </w:r>
            <w:proofErr w:type="spellEnd"/>
            <w:r w:rsidRPr="004E2EB4">
              <w:rPr>
                <w:rFonts w:ascii="Verdana" w:eastAsia="Arial MT" w:hAnsi="Verdana" w:cs="Arial"/>
                <w:lang w:eastAsia="es-ES" w:bidi="es-ES"/>
              </w:rPr>
              <w:t xml:space="preserve"> Vargas.</w:t>
            </w:r>
          </w:p>
          <w:p w14:paraId="7CBF41D0" w14:textId="77777777" w:rsidR="000948A2"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eastAsia="Arial MT" w:hAnsi="Verdana" w:cs="Arial"/>
                <w:lang w:eastAsia="es-ES" w:bidi="es-ES"/>
              </w:rPr>
              <w:t xml:space="preserve">Consejo de Estado. Sala Plena de lo Contencioso Administrativo. Sección Tercera. Sala Plena. Auto de 1 de agosto de 2019. </w:t>
            </w:r>
            <w:proofErr w:type="spellStart"/>
            <w:r w:rsidRPr="004E2EB4">
              <w:rPr>
                <w:rFonts w:ascii="Verdana" w:eastAsia="Arial MT" w:hAnsi="Verdana" w:cs="Arial"/>
                <w:lang w:eastAsia="es-ES" w:bidi="es-ES"/>
              </w:rPr>
              <w:t>Exp</w:t>
            </w:r>
            <w:proofErr w:type="spellEnd"/>
            <w:r w:rsidRPr="004E2EB4">
              <w:rPr>
                <w:rFonts w:ascii="Verdana" w:eastAsia="Arial MT" w:hAnsi="Verdana" w:cs="Arial"/>
                <w:lang w:eastAsia="es-ES" w:bidi="es-ES"/>
              </w:rPr>
              <w:t>. 62009. C.P: Jaime Enrique Rodríguez Navas.</w:t>
            </w:r>
          </w:p>
          <w:p w14:paraId="504CCFF5" w14:textId="77777777" w:rsidR="000948A2"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eastAsia="Arial MT" w:hAnsi="Verdana" w:cs="Arial"/>
                <w:lang w:eastAsia="es-ES" w:bidi="es-ES"/>
              </w:rPr>
              <w:t xml:space="preserve">Consejo de Estado. Sala de lo Contenciosos Administrativo. Sección Tercera. Subsección B. Sentencia de 19 de junio de 2013. Radicado: 25000-23-26-000-2000-02019-01 (25472). C.P: Danilo Rojas </w:t>
            </w:r>
            <w:proofErr w:type="spellStart"/>
            <w:r w:rsidRPr="004E2EB4">
              <w:rPr>
                <w:rFonts w:ascii="Verdana" w:eastAsia="Arial MT" w:hAnsi="Verdana" w:cs="Arial"/>
                <w:lang w:eastAsia="es-ES" w:bidi="es-ES"/>
              </w:rPr>
              <w:t>Betancourth</w:t>
            </w:r>
            <w:proofErr w:type="spellEnd"/>
            <w:r w:rsidRPr="004E2EB4">
              <w:rPr>
                <w:rFonts w:ascii="Verdana" w:eastAsia="Arial MT" w:hAnsi="Verdana" w:cs="Arial"/>
                <w:lang w:eastAsia="es-ES" w:bidi="es-ES"/>
              </w:rPr>
              <w:t xml:space="preserve">.  </w:t>
            </w:r>
          </w:p>
          <w:p w14:paraId="2DD2CC89" w14:textId="77777777" w:rsidR="000948A2" w:rsidRPr="004E2EB4"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hAnsi="Verdana" w:cs="Arial"/>
                <w:color w:val="000000"/>
              </w:rPr>
              <w:t xml:space="preserve">Colombia Compra Eficiente. Guía para la Liquidación de los Procesos de Contratación. </w:t>
            </w:r>
            <w:r w:rsidRPr="004E2EB4">
              <w:rPr>
                <w:rFonts w:ascii="Verdana" w:hAnsi="Verdana" w:cs="Arial"/>
                <w:color w:val="000000"/>
                <w:lang w:val="es-CO"/>
              </w:rPr>
              <w:t xml:space="preserve">Disponible en: </w:t>
            </w:r>
            <w:hyperlink r:id="rId12" w:anchor=":~:text=Colombia%20Compra%20Eficiente%20presenta%20la%20Gu%C3%ADa%20para%20la,part%C3%ADcipes%20del%20sistema%20de%20compras%20y%20contrataci%C3%B3n%20p%C3%BAblica." w:history="1">
              <w:r w:rsidRPr="004E2EB4">
                <w:rPr>
                  <w:rStyle w:val="Hipervnculo"/>
                  <w:rFonts w:ascii="Verdana" w:hAnsi="Verdana"/>
                  <w:lang w:val="es-CO"/>
                </w:rPr>
                <w:t>https://colombiacompra.gov.co/wp-content/uploads/2024/08/cce_guia_liquidacion_procesos.pdf</w:t>
              </w:r>
            </w:hyperlink>
          </w:p>
          <w:p w14:paraId="0AFD7824" w14:textId="77777777" w:rsidR="000948A2" w:rsidRPr="004E2EB4" w:rsidRDefault="000948A2" w:rsidP="000948A2">
            <w:pPr>
              <w:pStyle w:val="Prrafodelista"/>
              <w:numPr>
                <w:ilvl w:val="0"/>
                <w:numId w:val="17"/>
              </w:numPr>
              <w:spacing w:line="276" w:lineRule="auto"/>
              <w:jc w:val="both"/>
              <w:rPr>
                <w:rFonts w:ascii="Verdana" w:eastAsia="Arial MT" w:hAnsi="Verdana" w:cs="Arial"/>
                <w:lang w:eastAsia="es-ES" w:bidi="es-ES"/>
              </w:rPr>
            </w:pPr>
            <w:r w:rsidRPr="004E2EB4">
              <w:rPr>
                <w:rFonts w:ascii="Verdana" w:hAnsi="Verdana" w:cs="Arial"/>
                <w:color w:val="000000"/>
              </w:rPr>
              <w:t xml:space="preserve">Colombia Compra Eficiente. Guía de Garantías en Proceso de Contratación. Disponible en: </w:t>
            </w:r>
            <w:hyperlink r:id="rId13" w:history="1">
              <w:r w:rsidRPr="004E2EB4">
                <w:rPr>
                  <w:rStyle w:val="Hipervnculo"/>
                  <w:rFonts w:ascii="Verdana" w:hAnsi="Verdana"/>
                  <w:lang w:val="es-CO"/>
                </w:rPr>
                <w:t>2016-Guia-de-garantias-en-Procesos-de-Contratacion-G-GPC-01.pdf</w:t>
              </w:r>
            </w:hyperlink>
          </w:p>
        </w:tc>
      </w:tr>
    </w:tbl>
    <w:p w14:paraId="6DE82656" w14:textId="77777777" w:rsidR="000948A2" w:rsidRPr="00FF007A" w:rsidRDefault="000948A2" w:rsidP="000948A2">
      <w:pPr>
        <w:widowControl w:val="0"/>
        <w:autoSpaceDE w:val="0"/>
        <w:autoSpaceDN w:val="0"/>
        <w:spacing w:after="0" w:line="276" w:lineRule="auto"/>
        <w:jc w:val="both"/>
        <w:rPr>
          <w:rFonts w:ascii="Verdana" w:hAnsi="Verdana" w:cs="Arial"/>
        </w:rPr>
      </w:pPr>
    </w:p>
    <w:p w14:paraId="7E13B0D7" w14:textId="77777777" w:rsidR="000948A2" w:rsidRPr="00FF007A" w:rsidRDefault="000948A2" w:rsidP="000948A2">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54743532" w14:textId="77777777" w:rsidR="000948A2" w:rsidRDefault="000948A2" w:rsidP="000948A2">
      <w:pPr>
        <w:widowControl w:val="0"/>
        <w:autoSpaceDE w:val="0"/>
        <w:autoSpaceDN w:val="0"/>
        <w:spacing w:after="0" w:line="276" w:lineRule="auto"/>
        <w:jc w:val="both"/>
        <w:rPr>
          <w:rFonts w:ascii="Verdana" w:hAnsi="Verdana" w:cs="Arial"/>
          <w:shd w:val="clear" w:color="auto" w:fill="FFFFFF"/>
          <w:lang w:val="es-ES"/>
        </w:rPr>
      </w:pPr>
    </w:p>
    <w:p w14:paraId="09299A35" w14:textId="77777777" w:rsidR="000948A2" w:rsidRPr="006903F4" w:rsidRDefault="000948A2" w:rsidP="000948A2">
      <w:pPr>
        <w:widowControl w:val="0"/>
        <w:autoSpaceDE w:val="0"/>
        <w:autoSpaceDN w:val="0"/>
        <w:spacing w:after="120" w:line="276" w:lineRule="auto"/>
        <w:jc w:val="both"/>
        <w:rPr>
          <w:rFonts w:ascii="Verdana" w:eastAsia="Arial" w:hAnsi="Verdana" w:cs="Arial"/>
          <w:color w:val="000000"/>
          <w:lang w:eastAsia="es-ES"/>
        </w:rPr>
      </w:pPr>
      <w:r w:rsidRPr="00DC4C37">
        <w:rPr>
          <w:rFonts w:ascii="Verdana" w:eastAsia="Arial" w:hAnsi="Verdana" w:cs="Arial"/>
          <w:lang w:val="es-ES" w:eastAsia="es-ES"/>
        </w:rPr>
        <w:t>La Agencia Nacional de Contratación Pública – Colombia Compra Eficiente se ha pronunciado sobre la ampliación de la garantía en los procesos de liquidación del contrato estatal en los conceptos</w:t>
      </w:r>
      <w:r w:rsidRPr="00DC4C37">
        <w:rPr>
          <w:rFonts w:ascii="Verdana" w:eastAsia="Arial" w:hAnsi="Verdana" w:cs="Arial"/>
          <w:color w:val="000000"/>
          <w:lang w:eastAsia="es-ES"/>
        </w:rPr>
        <w:t xml:space="preserve">, </w:t>
      </w:r>
      <w:r>
        <w:rPr>
          <w:rFonts w:ascii="Verdana" w:eastAsia="Arial" w:hAnsi="Verdana" w:cs="Arial"/>
          <w:color w:val="000000"/>
          <w:lang w:eastAsia="es-ES"/>
        </w:rPr>
        <w:t xml:space="preserve">C-015 del 24 de febrero de 2023, C-158 del 6 de junio de 2023, C-066 del 21 de abril de 2024, C-173 del 23 de agosto de 2024, C-335 del 26 de agosto de 2024, C-078 del 28 de febrero de 2025, C-330 del 24 de abril de 2025, </w:t>
      </w:r>
      <w:r w:rsidRPr="00DC4C37">
        <w:rPr>
          <w:rFonts w:ascii="Verdana" w:eastAsia="Arial" w:hAnsi="Verdana" w:cs="Arial"/>
          <w:color w:val="000000"/>
          <w:lang w:eastAsia="es-ES"/>
        </w:rPr>
        <w:t>entre otros. Estos y otros conceptos se encuentran disponibles para consulta en el Sistema de</w:t>
      </w:r>
      <w:r w:rsidRPr="006903F4">
        <w:rPr>
          <w:rFonts w:ascii="Verdana" w:eastAsia="Arial" w:hAnsi="Verdana" w:cs="Arial"/>
          <w:color w:val="000000"/>
          <w:lang w:eastAsia="es-ES"/>
        </w:rPr>
        <w:t xml:space="preserve"> relatoría de la Agencia, al cual se puede acceder a través del siguiente enlace: </w:t>
      </w:r>
    </w:p>
    <w:p w14:paraId="1C0D8AF8" w14:textId="77777777" w:rsidR="000948A2" w:rsidRPr="00A454F0" w:rsidRDefault="000948A2" w:rsidP="000948A2">
      <w:pPr>
        <w:widowControl w:val="0"/>
        <w:autoSpaceDE w:val="0"/>
        <w:autoSpaceDN w:val="0"/>
        <w:spacing w:after="0" w:line="276" w:lineRule="auto"/>
        <w:jc w:val="both"/>
        <w:rPr>
          <w:rFonts w:ascii="Verdana" w:hAnsi="Verdana" w:cs="Arial"/>
          <w:shd w:val="clear" w:color="auto" w:fill="FFFFFF"/>
        </w:rPr>
      </w:pPr>
      <w:hyperlink r:id="rId14"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4E9909E9" w14:textId="77777777" w:rsidR="000948A2" w:rsidRDefault="000948A2" w:rsidP="006A7ECF">
      <w:pPr>
        <w:spacing w:after="0" w:line="276" w:lineRule="auto"/>
        <w:jc w:val="both"/>
        <w:rPr>
          <w:rFonts w:ascii="Verdana" w:hAnsi="Verdana"/>
        </w:rPr>
      </w:pPr>
    </w:p>
    <w:p w14:paraId="601E03DD" w14:textId="77777777" w:rsidR="000948A2" w:rsidRPr="00FF007A" w:rsidRDefault="000948A2" w:rsidP="000948A2">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A87156A" w14:textId="77777777" w:rsidR="000948A2" w:rsidRPr="00FF007A" w:rsidRDefault="000948A2" w:rsidP="000948A2">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2B4D856F" w14:textId="77777777" w:rsidR="000948A2" w:rsidRPr="00FF007A" w:rsidRDefault="000948A2" w:rsidP="000948A2">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5804CBF7" w14:textId="77777777" w:rsidR="000948A2" w:rsidRPr="00FF007A" w:rsidRDefault="000948A2" w:rsidP="000948A2">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4B119800" w14:textId="77777777" w:rsidR="000948A2" w:rsidRPr="00FF007A" w:rsidRDefault="000948A2" w:rsidP="000948A2">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lastRenderedPageBreak/>
        <w:t xml:space="preserve">Página web: </w:t>
      </w:r>
      <w:hyperlink r:id="rId15" w:history="1">
        <w:r w:rsidRPr="00FF007A">
          <w:rPr>
            <w:rStyle w:val="Hipervnculo"/>
            <w:rFonts w:ascii="Verdana" w:hAnsi="Verdana"/>
            <w:lang w:val="es-CO"/>
          </w:rPr>
          <w:t>www.colombiacompra.gov.co</w:t>
        </w:r>
      </w:hyperlink>
    </w:p>
    <w:p w14:paraId="7D010699" w14:textId="77777777" w:rsidR="000948A2" w:rsidRPr="00FF007A" w:rsidRDefault="000948A2" w:rsidP="000948A2">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2B670A2E" w14:textId="77777777" w:rsidR="000948A2" w:rsidRPr="00FF007A" w:rsidRDefault="000948A2" w:rsidP="000948A2">
      <w:pPr>
        <w:spacing w:after="0" w:line="276" w:lineRule="auto"/>
        <w:jc w:val="both"/>
        <w:rPr>
          <w:rFonts w:ascii="Verdana" w:hAnsi="Verdana"/>
        </w:rPr>
      </w:pPr>
    </w:p>
    <w:p w14:paraId="2AFE3E16" w14:textId="77777777" w:rsidR="000948A2" w:rsidRPr="00FF007A" w:rsidRDefault="000948A2" w:rsidP="000948A2">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76A08E62" w14:textId="77777777" w:rsidR="000948A2" w:rsidRPr="00FF007A" w:rsidRDefault="000948A2" w:rsidP="000948A2">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08832EE1" w14:textId="77777777" w:rsidR="000948A2" w:rsidRPr="00FF007A" w:rsidRDefault="000948A2" w:rsidP="000948A2">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2BAA2928" w14:textId="77777777" w:rsidR="000948A2" w:rsidRPr="00FF007A" w:rsidRDefault="000948A2" w:rsidP="000948A2">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9F9BEF2" w14:textId="77777777" w:rsidR="000948A2" w:rsidRPr="00FF007A" w:rsidRDefault="000948A2" w:rsidP="000948A2">
      <w:pPr>
        <w:spacing w:after="0" w:line="276" w:lineRule="auto"/>
        <w:jc w:val="both"/>
        <w:rPr>
          <w:rFonts w:ascii="Verdana" w:eastAsia="Calibri" w:hAnsi="Verdana" w:cs="Times New Roman"/>
        </w:rPr>
      </w:pPr>
    </w:p>
    <w:p w14:paraId="3D1F1478" w14:textId="77777777" w:rsidR="000948A2" w:rsidRPr="00FF007A" w:rsidRDefault="000948A2" w:rsidP="000948A2">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6C610F2A" w14:textId="32269ADF" w:rsidR="000948A2" w:rsidRPr="00FF007A" w:rsidRDefault="00EA62AD" w:rsidP="000948A2">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0E1035BB" wp14:editId="0F5A1D0C">
            <wp:extent cx="3718282" cy="1751884"/>
            <wp:effectExtent l="0" t="0" r="0" b="127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6"/>
                    <a:stretch>
                      <a:fillRect/>
                    </a:stretch>
                  </pic:blipFill>
                  <pic:spPr>
                    <a:xfrm>
                      <a:off x="0" y="0"/>
                      <a:ext cx="3735171" cy="1759842"/>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0948A2" w:rsidRPr="00FF007A" w14:paraId="5C68E3A8" w14:textId="77777777" w:rsidTr="00920B9E">
        <w:trPr>
          <w:trHeight w:val="315"/>
        </w:trPr>
        <w:tc>
          <w:tcPr>
            <w:tcW w:w="893" w:type="dxa"/>
            <w:vAlign w:val="center"/>
            <w:hideMark/>
          </w:tcPr>
          <w:p w14:paraId="628FBAB6" w14:textId="77777777" w:rsidR="000948A2" w:rsidRPr="00FF007A" w:rsidRDefault="000948A2" w:rsidP="00920B9E">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EFACD15" w14:textId="77777777" w:rsidR="000948A2" w:rsidRPr="00FF007A" w:rsidRDefault="000948A2" w:rsidP="00920B9E">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369A66DC" w14:textId="77777777" w:rsidR="000948A2" w:rsidRPr="00FF007A" w:rsidRDefault="000948A2" w:rsidP="00920B9E">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0948A2" w:rsidRPr="00FF007A" w14:paraId="3E863116" w14:textId="77777777" w:rsidTr="00920B9E">
        <w:trPr>
          <w:trHeight w:val="330"/>
        </w:trPr>
        <w:tc>
          <w:tcPr>
            <w:tcW w:w="893" w:type="dxa"/>
            <w:vAlign w:val="center"/>
            <w:hideMark/>
          </w:tcPr>
          <w:p w14:paraId="3EF286CA" w14:textId="77777777" w:rsidR="000948A2" w:rsidRPr="00FF007A" w:rsidRDefault="000948A2" w:rsidP="00920B9E">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929B64A" w14:textId="77777777" w:rsidR="000948A2" w:rsidRPr="00FF007A" w:rsidRDefault="000948A2" w:rsidP="00920B9E">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50433CF4" w14:textId="77777777" w:rsidR="000948A2" w:rsidRPr="00FF007A" w:rsidRDefault="000948A2" w:rsidP="00920B9E">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0948A2" w:rsidRPr="00FF007A" w14:paraId="6375B38C" w14:textId="77777777" w:rsidTr="00920B9E">
        <w:trPr>
          <w:trHeight w:val="300"/>
        </w:trPr>
        <w:tc>
          <w:tcPr>
            <w:tcW w:w="893" w:type="dxa"/>
            <w:vAlign w:val="center"/>
          </w:tcPr>
          <w:p w14:paraId="3D15E7AB" w14:textId="77777777" w:rsidR="000948A2" w:rsidRPr="00FF007A" w:rsidRDefault="000948A2" w:rsidP="00920B9E">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C655A53" w14:textId="77777777" w:rsidR="000948A2" w:rsidRPr="00FF007A" w:rsidRDefault="000948A2" w:rsidP="00920B9E">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2746D568" w14:textId="77777777" w:rsidR="000948A2" w:rsidRPr="00FF007A" w:rsidRDefault="000948A2" w:rsidP="00920B9E">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5"/>
      <w:bookmarkEnd w:id="6"/>
    </w:tbl>
    <w:p w14:paraId="0F293BF4" w14:textId="6332DA0E" w:rsidR="00127233" w:rsidRPr="00DD5D7C" w:rsidRDefault="00127233" w:rsidP="00DD5D7C"/>
    <w:sectPr w:rsidR="00127233" w:rsidRPr="00DD5D7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10BFA" w14:textId="77777777" w:rsidR="00471DF4" w:rsidRDefault="00471DF4" w:rsidP="004A1847">
      <w:pPr>
        <w:spacing w:after="0" w:line="240" w:lineRule="auto"/>
      </w:pPr>
      <w:r>
        <w:separator/>
      </w:r>
    </w:p>
  </w:endnote>
  <w:endnote w:type="continuationSeparator" w:id="0">
    <w:p w14:paraId="4F1A6530" w14:textId="77777777" w:rsidR="00471DF4" w:rsidRDefault="00471DF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DF1E8" w14:textId="77777777" w:rsidR="00471DF4" w:rsidRDefault="00471DF4" w:rsidP="004A1847">
      <w:pPr>
        <w:spacing w:after="0" w:line="240" w:lineRule="auto"/>
      </w:pPr>
      <w:r>
        <w:separator/>
      </w:r>
    </w:p>
  </w:footnote>
  <w:footnote w:type="continuationSeparator" w:id="0">
    <w:p w14:paraId="50C669D9" w14:textId="77777777" w:rsidR="00471DF4" w:rsidRDefault="00471DF4" w:rsidP="004A1847">
      <w:pPr>
        <w:spacing w:after="0" w:line="240" w:lineRule="auto"/>
      </w:pPr>
      <w:r>
        <w:continuationSeparator/>
      </w:r>
    </w:p>
  </w:footnote>
  <w:footnote w:id="1">
    <w:p w14:paraId="7A0D2E55" w14:textId="77777777" w:rsidR="000948A2" w:rsidRPr="00FF20DB" w:rsidRDefault="000948A2" w:rsidP="000948A2">
      <w:pPr>
        <w:spacing w:after="0" w:line="240" w:lineRule="auto"/>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Consejo de Estado. Sala de lo Contencioso Administrativo. Sección Tercera. Subsección C. Sentencia del 20 de octubre de 2014. Radicado No. 05001-23-31-000-1998-00038-01 (27.777). C.P: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66B77481" w14:textId="77777777" w:rsidR="000948A2" w:rsidRPr="00FF20DB" w:rsidRDefault="000948A2" w:rsidP="000948A2">
      <w:pPr>
        <w:spacing w:after="0" w:line="240" w:lineRule="auto"/>
        <w:ind w:firstLine="709"/>
        <w:jc w:val="both"/>
        <w:rPr>
          <w:rFonts w:ascii="Verdana" w:hAnsi="Verdana" w:cs="Arial"/>
          <w:color w:val="000000"/>
          <w:sz w:val="16"/>
          <w:szCs w:val="16"/>
        </w:rPr>
      </w:pPr>
    </w:p>
  </w:footnote>
  <w:footnote w:id="2">
    <w:p w14:paraId="26FD5BFF" w14:textId="77777777" w:rsidR="000948A2" w:rsidRPr="00FF20DB" w:rsidRDefault="000948A2" w:rsidP="000948A2">
      <w:pPr>
        <w:pStyle w:val="Textonotapie"/>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w:t>
      </w:r>
      <w:r w:rsidRPr="00FF20DB">
        <w:rPr>
          <w:rFonts w:ascii="Verdana" w:hAnsi="Verdana" w:cs="Arial"/>
          <w:i/>
          <w:color w:val="000000"/>
          <w:sz w:val="16"/>
          <w:szCs w:val="16"/>
        </w:rPr>
        <w:t>Ibidem</w:t>
      </w:r>
      <w:r w:rsidRPr="00FF20DB">
        <w:rPr>
          <w:rFonts w:ascii="Verdana" w:hAnsi="Verdana" w:cs="Arial"/>
          <w:color w:val="000000"/>
          <w:sz w:val="16"/>
          <w:szCs w:val="16"/>
        </w:rPr>
        <w:t>.</w:t>
      </w:r>
    </w:p>
    <w:p w14:paraId="60BF0506" w14:textId="77777777" w:rsidR="000948A2" w:rsidRPr="00FF20DB" w:rsidRDefault="000948A2" w:rsidP="000948A2">
      <w:pPr>
        <w:pStyle w:val="Textonotapie"/>
        <w:ind w:firstLine="709"/>
        <w:jc w:val="both"/>
        <w:rPr>
          <w:rFonts w:ascii="Verdana" w:hAnsi="Verdana" w:cs="Arial"/>
          <w:color w:val="000000"/>
          <w:sz w:val="16"/>
          <w:szCs w:val="16"/>
        </w:rPr>
      </w:pPr>
    </w:p>
  </w:footnote>
  <w:footnote w:id="3">
    <w:p w14:paraId="1B30AAA6" w14:textId="77777777" w:rsidR="000948A2" w:rsidRPr="00FF20DB" w:rsidRDefault="000948A2" w:rsidP="00FF20DB">
      <w:pPr>
        <w:pStyle w:val="Textonotapie"/>
        <w:ind w:firstLine="709"/>
        <w:jc w:val="both"/>
        <w:rPr>
          <w:rFonts w:ascii="Verdana" w:hAnsi="Verdana"/>
          <w:sz w:val="16"/>
          <w:szCs w:val="16"/>
        </w:rPr>
      </w:pPr>
      <w:r w:rsidRPr="00FF20DB">
        <w:rPr>
          <w:rStyle w:val="Refdenotaalpie"/>
          <w:rFonts w:ascii="Verdana" w:hAnsi="Verdana"/>
          <w:sz w:val="16"/>
          <w:szCs w:val="16"/>
        </w:rPr>
        <w:footnoteRef/>
      </w:r>
      <w:r w:rsidRPr="00FF20DB">
        <w:rPr>
          <w:rFonts w:ascii="Verdana" w:hAnsi="Verdana"/>
          <w:sz w:val="16"/>
          <w:szCs w:val="16"/>
        </w:rPr>
        <w:t xml:space="preserve"> Consejo de Estado. Sala de lo Contencioso Administrativo. Sección Tercera. Subsección A. Sentencia del 1 de julio de 2025. Radicado: 25000-23-36-000-2021-00617-01 (72021) C.P: José Roberto Sáchica Méndez. </w:t>
      </w:r>
    </w:p>
    <w:p w14:paraId="350F5243" w14:textId="77777777" w:rsidR="000948A2" w:rsidRPr="00FF20DB" w:rsidRDefault="000948A2" w:rsidP="000948A2">
      <w:pPr>
        <w:pStyle w:val="Textonotapie"/>
        <w:ind w:firstLine="709"/>
        <w:rPr>
          <w:rFonts w:ascii="Verdana" w:hAnsi="Verdana"/>
          <w:sz w:val="16"/>
          <w:szCs w:val="16"/>
        </w:rPr>
      </w:pPr>
    </w:p>
  </w:footnote>
  <w:footnote w:id="4">
    <w:p w14:paraId="27D39169" w14:textId="77777777" w:rsidR="000948A2" w:rsidRPr="00FF20DB" w:rsidRDefault="000948A2" w:rsidP="000948A2">
      <w:pPr>
        <w:pStyle w:val="Textonotapie"/>
        <w:ind w:firstLine="709"/>
        <w:jc w:val="both"/>
        <w:rPr>
          <w:rFonts w:ascii="Verdana" w:hAnsi="Verdana" w:cs="Arial"/>
          <w:color w:val="000000"/>
          <w:sz w:val="16"/>
          <w:szCs w:val="16"/>
          <w:lang w:val="es-ES"/>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w:t>
      </w:r>
      <w:r w:rsidRPr="00FF20DB">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7A7E1E0A" w14:textId="77777777" w:rsidR="000948A2" w:rsidRPr="00FF20DB" w:rsidRDefault="000948A2" w:rsidP="000948A2">
      <w:pPr>
        <w:pStyle w:val="Textonotapie"/>
        <w:ind w:firstLine="709"/>
        <w:jc w:val="both"/>
        <w:rPr>
          <w:rFonts w:ascii="Verdana" w:hAnsi="Verdana" w:cs="Arial"/>
          <w:color w:val="000000"/>
          <w:sz w:val="16"/>
          <w:szCs w:val="16"/>
          <w:lang w:val="es-ES"/>
        </w:rPr>
      </w:pPr>
      <w:r w:rsidRPr="00FF20DB">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53536EFA" w14:textId="77777777" w:rsidR="000948A2" w:rsidRPr="00FF20DB" w:rsidRDefault="000948A2" w:rsidP="000948A2">
      <w:pPr>
        <w:pStyle w:val="Textonotapie"/>
        <w:ind w:firstLine="709"/>
        <w:jc w:val="both"/>
        <w:rPr>
          <w:rFonts w:ascii="Verdana" w:hAnsi="Verdana" w:cs="Arial"/>
          <w:color w:val="000000"/>
          <w:sz w:val="16"/>
          <w:szCs w:val="16"/>
          <w:lang w:val="es-ES"/>
        </w:rPr>
      </w:pPr>
      <w:r w:rsidRPr="00FF20DB">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42D544B6" w14:textId="77777777" w:rsidR="000948A2" w:rsidRPr="00FF20DB" w:rsidRDefault="000948A2" w:rsidP="000948A2">
      <w:pPr>
        <w:pStyle w:val="Textonotapie"/>
        <w:ind w:firstLine="709"/>
        <w:jc w:val="both"/>
        <w:rPr>
          <w:rFonts w:ascii="Verdana" w:hAnsi="Verdana" w:cs="Arial"/>
          <w:color w:val="000000"/>
          <w:sz w:val="16"/>
          <w:szCs w:val="16"/>
          <w:lang w:val="es-ES"/>
        </w:rPr>
      </w:pPr>
      <w:r w:rsidRPr="00FF20DB">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p w14:paraId="0AB9D66F" w14:textId="77777777" w:rsidR="000948A2" w:rsidRPr="00FF20DB" w:rsidRDefault="000948A2" w:rsidP="000948A2">
      <w:pPr>
        <w:pStyle w:val="Textonotapie"/>
        <w:ind w:firstLine="709"/>
        <w:jc w:val="both"/>
        <w:rPr>
          <w:rFonts w:ascii="Verdana" w:hAnsi="Verdana" w:cs="Arial"/>
          <w:color w:val="000000"/>
          <w:sz w:val="16"/>
          <w:szCs w:val="16"/>
          <w:lang w:val="es-ES"/>
        </w:rPr>
      </w:pPr>
    </w:p>
  </w:footnote>
  <w:footnote w:id="5">
    <w:p w14:paraId="16640B69" w14:textId="77777777" w:rsidR="000948A2" w:rsidRPr="00FF20DB" w:rsidRDefault="000948A2" w:rsidP="000948A2">
      <w:pPr>
        <w:pStyle w:val="Textonotapie"/>
        <w:ind w:firstLine="709"/>
        <w:jc w:val="both"/>
        <w:rPr>
          <w:rFonts w:ascii="Verdana" w:hAnsi="Verdana"/>
          <w:sz w:val="16"/>
          <w:szCs w:val="16"/>
          <w:lang w:val="es-CO"/>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Colombia Compra Eficiente. Guía para la Liquidación de los Procesos de Contratación. </w:t>
      </w:r>
      <w:r w:rsidRPr="00FF20DB">
        <w:rPr>
          <w:rFonts w:ascii="Verdana" w:hAnsi="Verdana" w:cs="Arial"/>
          <w:color w:val="000000"/>
          <w:sz w:val="16"/>
          <w:szCs w:val="16"/>
          <w:lang w:val="es-CO"/>
        </w:rPr>
        <w:t xml:space="preserve">Disponible en: </w:t>
      </w:r>
      <w:hyperlink r:id="rId1" w:anchor=":~:text=Colombia%20Compra%20Eficiente%20presenta%20la%20Gu%C3%ADa%20para%20la,part%C3%ADcipes%20del%20sistema%20de%20compras%20y%20contrataci%C3%B3n%20p%C3%BAblica." w:history="1">
        <w:r w:rsidRPr="00FF20DB">
          <w:rPr>
            <w:rStyle w:val="Hipervnculo"/>
            <w:rFonts w:ascii="Verdana" w:hAnsi="Verdana"/>
            <w:sz w:val="16"/>
            <w:szCs w:val="16"/>
            <w:lang w:val="es-CO"/>
          </w:rPr>
          <w:t>https://colombiacompra.gov.co/wp-content/uploads/2024/08/cce_guia_liquidacion_procesos.pdf</w:t>
        </w:r>
      </w:hyperlink>
    </w:p>
    <w:p w14:paraId="17167FA2" w14:textId="77777777" w:rsidR="000948A2" w:rsidRPr="00FF20DB" w:rsidRDefault="000948A2" w:rsidP="000948A2">
      <w:pPr>
        <w:pStyle w:val="Textonotapie"/>
        <w:ind w:firstLine="709"/>
        <w:jc w:val="both"/>
        <w:rPr>
          <w:rFonts w:ascii="Verdana" w:hAnsi="Verdana" w:cs="Arial"/>
          <w:color w:val="000000"/>
          <w:sz w:val="16"/>
          <w:szCs w:val="16"/>
          <w:lang w:val="es-CO"/>
        </w:rPr>
      </w:pPr>
    </w:p>
  </w:footnote>
  <w:footnote w:id="6">
    <w:p w14:paraId="552B1E13" w14:textId="77777777" w:rsidR="000948A2" w:rsidRPr="00FF20DB" w:rsidRDefault="000948A2" w:rsidP="000948A2">
      <w:pPr>
        <w:pStyle w:val="Textonotapie"/>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p w14:paraId="722DAFE4" w14:textId="77777777" w:rsidR="000948A2" w:rsidRPr="00FF20DB" w:rsidRDefault="000948A2" w:rsidP="000948A2">
      <w:pPr>
        <w:pStyle w:val="Textonotapie"/>
        <w:ind w:firstLine="709"/>
        <w:jc w:val="both"/>
        <w:rPr>
          <w:rFonts w:ascii="Verdana" w:hAnsi="Verdana" w:cs="Arial"/>
          <w:color w:val="000000"/>
          <w:sz w:val="16"/>
          <w:szCs w:val="16"/>
        </w:rPr>
      </w:pPr>
    </w:p>
  </w:footnote>
  <w:footnote w:id="7">
    <w:p w14:paraId="5DC1BABB" w14:textId="77777777" w:rsidR="000948A2" w:rsidRPr="00FF20DB" w:rsidRDefault="000948A2" w:rsidP="000948A2">
      <w:pPr>
        <w:pStyle w:val="Textonotapie"/>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Consejo de Estado. Sala de Consulta y Servicio Civil. Concepto de 28 de junio de 2016. Radicación: 2253. C.P: Álvaro </w:t>
      </w:r>
      <w:proofErr w:type="spellStart"/>
      <w:r w:rsidRPr="00FF20DB">
        <w:rPr>
          <w:rFonts w:ascii="Verdana" w:hAnsi="Verdana" w:cs="Arial"/>
          <w:color w:val="000000"/>
          <w:sz w:val="16"/>
          <w:szCs w:val="16"/>
        </w:rPr>
        <w:t>Namén</w:t>
      </w:r>
      <w:proofErr w:type="spellEnd"/>
      <w:r w:rsidRPr="00FF20DB">
        <w:rPr>
          <w:rFonts w:ascii="Verdana" w:hAnsi="Verdana" w:cs="Arial"/>
          <w:color w:val="000000"/>
          <w:sz w:val="16"/>
          <w:szCs w:val="16"/>
        </w:rPr>
        <w:t xml:space="preserve"> Vargas. </w:t>
      </w:r>
    </w:p>
    <w:p w14:paraId="6C259057" w14:textId="77777777" w:rsidR="000948A2" w:rsidRPr="00FF20DB" w:rsidRDefault="000948A2" w:rsidP="000948A2">
      <w:pPr>
        <w:pStyle w:val="Textonotapie"/>
        <w:ind w:firstLine="709"/>
        <w:jc w:val="both"/>
        <w:rPr>
          <w:rFonts w:ascii="Verdana" w:hAnsi="Verdana" w:cs="Arial"/>
          <w:color w:val="000000"/>
          <w:sz w:val="16"/>
          <w:szCs w:val="16"/>
        </w:rPr>
      </w:pPr>
    </w:p>
  </w:footnote>
  <w:footnote w:id="8">
    <w:p w14:paraId="781F55D5" w14:textId="77777777" w:rsidR="000948A2" w:rsidRPr="00FF20DB" w:rsidRDefault="000948A2" w:rsidP="000948A2">
      <w:pPr>
        <w:pStyle w:val="Textonotapie"/>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p w14:paraId="652CD2E0" w14:textId="77777777" w:rsidR="000948A2" w:rsidRPr="00FF20DB" w:rsidRDefault="000948A2" w:rsidP="000948A2">
      <w:pPr>
        <w:pStyle w:val="Textonotapie"/>
        <w:ind w:firstLine="709"/>
        <w:jc w:val="both"/>
        <w:rPr>
          <w:rFonts w:ascii="Verdana" w:hAnsi="Verdana" w:cs="Arial"/>
          <w:color w:val="000000"/>
          <w:sz w:val="16"/>
          <w:szCs w:val="16"/>
        </w:rPr>
      </w:pPr>
    </w:p>
  </w:footnote>
  <w:footnote w:id="9">
    <w:p w14:paraId="03A2B704" w14:textId="77777777" w:rsidR="000948A2" w:rsidRPr="00FF20DB" w:rsidRDefault="000948A2" w:rsidP="000948A2">
      <w:pPr>
        <w:pStyle w:val="Textonotapie"/>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Consejo de Estado. Sala Plena de lo Contencioso Administrativo. Sección Tercera. Sala Plena. Auto de 1 de agosto de 2019. </w:t>
      </w:r>
      <w:proofErr w:type="spellStart"/>
      <w:r w:rsidRPr="00FF20DB">
        <w:rPr>
          <w:rFonts w:ascii="Verdana" w:hAnsi="Verdana" w:cs="Arial"/>
          <w:color w:val="000000"/>
          <w:sz w:val="16"/>
          <w:szCs w:val="16"/>
        </w:rPr>
        <w:t>Exp</w:t>
      </w:r>
      <w:proofErr w:type="spellEnd"/>
      <w:r w:rsidRPr="00FF20DB">
        <w:rPr>
          <w:rFonts w:ascii="Verdana" w:hAnsi="Verdana" w:cs="Arial"/>
          <w:color w:val="000000"/>
          <w:sz w:val="16"/>
          <w:szCs w:val="16"/>
        </w:rPr>
        <w:t xml:space="preserve">. 62009. C.P: Jaime Enrique Rodríguez Navas. </w:t>
      </w:r>
    </w:p>
    <w:p w14:paraId="1453CD8D" w14:textId="77777777" w:rsidR="000948A2" w:rsidRPr="00FF20DB" w:rsidRDefault="000948A2" w:rsidP="000948A2">
      <w:pPr>
        <w:pStyle w:val="Textonotapie"/>
        <w:ind w:firstLine="709"/>
        <w:jc w:val="both"/>
        <w:rPr>
          <w:rFonts w:ascii="Verdana" w:hAnsi="Verdana" w:cs="Arial"/>
          <w:color w:val="000000"/>
          <w:sz w:val="16"/>
          <w:szCs w:val="16"/>
          <w:lang w:val="es-ES"/>
        </w:rPr>
      </w:pPr>
    </w:p>
  </w:footnote>
  <w:footnote w:id="10">
    <w:p w14:paraId="6E015D6E" w14:textId="77777777" w:rsidR="000948A2" w:rsidRPr="00FF20DB" w:rsidRDefault="000948A2" w:rsidP="000948A2">
      <w:pPr>
        <w:pStyle w:val="Textonotapie"/>
        <w:ind w:firstLine="709"/>
        <w:jc w:val="both"/>
        <w:rPr>
          <w:rFonts w:ascii="Verdana" w:hAnsi="Verdana" w:cs="Arial"/>
          <w:sz w:val="16"/>
          <w:szCs w:val="16"/>
          <w:lang w:val="es-ES"/>
        </w:rPr>
      </w:pPr>
      <w:r w:rsidRPr="00FF20DB">
        <w:rPr>
          <w:rStyle w:val="Refdenotaalpie"/>
          <w:rFonts w:ascii="Verdana" w:hAnsi="Verdana" w:cs="Arial"/>
          <w:sz w:val="16"/>
          <w:szCs w:val="16"/>
        </w:rPr>
        <w:footnoteRef/>
      </w:r>
      <w:r w:rsidRPr="00FF20DB">
        <w:rPr>
          <w:rFonts w:ascii="Verdana" w:hAnsi="Verdana" w:cs="Arial"/>
          <w:sz w:val="16"/>
          <w:szCs w:val="16"/>
        </w:rPr>
        <w:t xml:space="preserve"> </w:t>
      </w:r>
      <w:r w:rsidRPr="00FF20DB">
        <w:rPr>
          <w:rFonts w:ascii="Verdana" w:hAnsi="Verdana" w:cs="Arial"/>
          <w:sz w:val="16"/>
          <w:szCs w:val="16"/>
          <w:lang w:val="es-ES"/>
        </w:rPr>
        <w:t>Ibidem.</w:t>
      </w:r>
    </w:p>
    <w:p w14:paraId="456A428A" w14:textId="77777777" w:rsidR="000948A2" w:rsidRPr="00FF20DB" w:rsidRDefault="000948A2" w:rsidP="000948A2">
      <w:pPr>
        <w:pStyle w:val="Textonotapie"/>
        <w:ind w:firstLine="709"/>
        <w:jc w:val="both"/>
        <w:rPr>
          <w:rFonts w:ascii="Verdana" w:hAnsi="Verdana" w:cs="Arial"/>
          <w:sz w:val="16"/>
          <w:szCs w:val="16"/>
          <w:lang w:val="es-ES"/>
        </w:rPr>
      </w:pPr>
    </w:p>
  </w:footnote>
  <w:footnote w:id="11">
    <w:p w14:paraId="18879275" w14:textId="77777777" w:rsidR="000948A2" w:rsidRPr="00FF20DB" w:rsidRDefault="000948A2" w:rsidP="00FF20DB">
      <w:pPr>
        <w:pStyle w:val="Textonotapie"/>
        <w:ind w:firstLine="709"/>
        <w:jc w:val="both"/>
        <w:rPr>
          <w:rFonts w:ascii="Verdana" w:hAnsi="Verdana" w:cs="Arial"/>
          <w:color w:val="000000"/>
          <w:sz w:val="16"/>
          <w:szCs w:val="16"/>
          <w:lang w:val="es-ES"/>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w:t>
      </w:r>
      <w:r w:rsidRPr="00FF20DB">
        <w:rPr>
          <w:rFonts w:ascii="Verdana" w:hAnsi="Verdana" w:cs="Arial"/>
          <w:color w:val="000000"/>
          <w:sz w:val="16"/>
          <w:szCs w:val="16"/>
          <w:lang w:val="es-ES"/>
        </w:rPr>
        <w:t xml:space="preserve">Colombia Compra Eficiente. Guía de Garantías en Proceso de Contratación. Disponible en: </w:t>
      </w:r>
      <w:hyperlink r:id="rId2" w:history="1">
        <w:r w:rsidRPr="00FF20DB">
          <w:rPr>
            <w:rStyle w:val="Hipervnculo"/>
            <w:rFonts w:ascii="Verdana" w:hAnsi="Verdana"/>
            <w:sz w:val="16"/>
            <w:szCs w:val="16"/>
            <w:lang w:val="es-CO"/>
          </w:rPr>
          <w:t>2016-Guia-de-garantias-en-Procesos-de-Contratacion-G-GPC-01.pdf</w:t>
        </w:r>
      </w:hyperlink>
    </w:p>
    <w:p w14:paraId="240A62AE" w14:textId="77777777" w:rsidR="000948A2" w:rsidRPr="00FF20DB" w:rsidRDefault="000948A2" w:rsidP="00FF20DB">
      <w:pPr>
        <w:pStyle w:val="Textonotapie"/>
        <w:ind w:firstLine="709"/>
        <w:jc w:val="both"/>
        <w:rPr>
          <w:rFonts w:ascii="Verdana" w:hAnsi="Verdana" w:cs="Arial"/>
          <w:color w:val="000000"/>
          <w:sz w:val="16"/>
          <w:szCs w:val="16"/>
        </w:rPr>
      </w:pPr>
    </w:p>
  </w:footnote>
  <w:footnote w:id="12">
    <w:p w14:paraId="3D786E53" w14:textId="77777777" w:rsidR="000948A2" w:rsidRPr="00FF20DB" w:rsidRDefault="000948A2" w:rsidP="00FF20DB">
      <w:pPr>
        <w:pStyle w:val="Textonotapie"/>
        <w:ind w:firstLine="709"/>
        <w:jc w:val="both"/>
        <w:rPr>
          <w:rFonts w:ascii="Verdana" w:hAnsi="Verdana" w:cs="Arial"/>
          <w:sz w:val="16"/>
          <w:szCs w:val="16"/>
        </w:rPr>
      </w:pPr>
      <w:r w:rsidRPr="00FF20DB">
        <w:rPr>
          <w:rStyle w:val="Refdenotaalpie"/>
          <w:rFonts w:ascii="Verdana" w:hAnsi="Verdana" w:cs="Arial"/>
          <w:sz w:val="16"/>
          <w:szCs w:val="16"/>
        </w:rPr>
        <w:footnoteRef/>
      </w:r>
      <w:r w:rsidRPr="00FF20DB">
        <w:rPr>
          <w:rFonts w:ascii="Verdana" w:hAnsi="Verdana" w:cs="Arial"/>
          <w:sz w:val="16"/>
          <w:szCs w:val="16"/>
        </w:rPr>
        <w:t xml:space="preserve">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Sala de lo Contencioso Administrativo. Sección Tercera. Subsección A. Sentencia del 12 de febrero de 2015. Radicado: 25000-23-26-000-2003-00874-01 (28278). C.P: Carlos Alberto Zambrano Barrera.</w:t>
      </w:r>
    </w:p>
    <w:p w14:paraId="502D3A12" w14:textId="77777777" w:rsidR="000948A2" w:rsidRPr="00FF20DB" w:rsidRDefault="000948A2" w:rsidP="00FF20DB">
      <w:pPr>
        <w:pStyle w:val="Textonotapie"/>
        <w:ind w:firstLine="709"/>
        <w:jc w:val="both"/>
        <w:rPr>
          <w:rFonts w:ascii="Verdana" w:hAnsi="Verdana" w:cs="Arial"/>
          <w:sz w:val="16"/>
          <w:szCs w:val="16"/>
        </w:rPr>
      </w:pPr>
    </w:p>
  </w:footnote>
  <w:footnote w:id="13">
    <w:p w14:paraId="7219AF29" w14:textId="77777777" w:rsidR="000948A2" w:rsidRPr="00FF20DB" w:rsidRDefault="000948A2" w:rsidP="000948A2">
      <w:pPr>
        <w:pStyle w:val="Textonotapie"/>
        <w:ind w:firstLine="709"/>
        <w:jc w:val="both"/>
        <w:rPr>
          <w:rFonts w:ascii="Verdana" w:hAnsi="Verdana" w:cs="Arial"/>
          <w:color w:val="000000" w:themeColor="text1"/>
          <w:sz w:val="16"/>
          <w:szCs w:val="16"/>
        </w:rPr>
      </w:pPr>
      <w:r w:rsidRPr="00FF20DB">
        <w:rPr>
          <w:rStyle w:val="Refdenotaalpie"/>
          <w:rFonts w:ascii="Verdana" w:hAnsi="Verdana" w:cs="Arial"/>
          <w:color w:val="000000" w:themeColor="text1"/>
          <w:sz w:val="16"/>
          <w:szCs w:val="16"/>
        </w:rPr>
        <w:footnoteRef/>
      </w:r>
      <w:r w:rsidRPr="00FF20DB">
        <w:rPr>
          <w:rFonts w:ascii="Verdana" w:hAnsi="Verdana" w:cs="Arial"/>
          <w:color w:val="000000" w:themeColor="text1"/>
          <w:sz w:val="16"/>
          <w:szCs w:val="16"/>
        </w:rPr>
        <w:t xml:space="preserve"> ORDÓÑEZ </w:t>
      </w:r>
      <w:proofErr w:type="spellStart"/>
      <w:r w:rsidRPr="00FF20DB">
        <w:rPr>
          <w:rFonts w:ascii="Verdana" w:hAnsi="Verdana" w:cs="Arial"/>
          <w:color w:val="000000" w:themeColor="text1"/>
          <w:sz w:val="16"/>
          <w:szCs w:val="16"/>
        </w:rPr>
        <w:t>ORDÓÑEZ</w:t>
      </w:r>
      <w:proofErr w:type="spellEnd"/>
      <w:r w:rsidRPr="00FF20DB">
        <w:rPr>
          <w:rFonts w:ascii="Verdana" w:hAnsi="Verdana" w:cs="Arial"/>
          <w:color w:val="000000" w:themeColor="text1"/>
          <w:sz w:val="16"/>
          <w:szCs w:val="16"/>
        </w:rPr>
        <w:t>, Andrés E. Seguro de cumplimiento de los contratos estatales en Colombia. Bogotá: Universidad Externado de Colombia, 2011. p. 44.</w:t>
      </w:r>
    </w:p>
    <w:p w14:paraId="5E61A3F1" w14:textId="77777777" w:rsidR="000948A2" w:rsidRPr="00FF20DB" w:rsidRDefault="000948A2" w:rsidP="000948A2">
      <w:pPr>
        <w:pStyle w:val="Textonotapie"/>
        <w:ind w:firstLine="709"/>
        <w:jc w:val="both"/>
        <w:rPr>
          <w:rFonts w:ascii="Verdana" w:hAnsi="Verdana" w:cs="Arial"/>
          <w:color w:val="000000" w:themeColor="text1"/>
          <w:sz w:val="16"/>
          <w:szCs w:val="16"/>
        </w:rPr>
      </w:pPr>
    </w:p>
  </w:footnote>
  <w:footnote w:id="14">
    <w:p w14:paraId="62DB2BB1" w14:textId="77777777" w:rsidR="000948A2" w:rsidRPr="00FF20DB" w:rsidRDefault="000948A2" w:rsidP="00FF20DB">
      <w:pPr>
        <w:pStyle w:val="Textonotapie"/>
        <w:ind w:firstLine="709"/>
        <w:jc w:val="both"/>
        <w:rPr>
          <w:rFonts w:ascii="Verdana" w:hAnsi="Verdana" w:cs="Arial"/>
          <w:color w:val="000000"/>
          <w:sz w:val="16"/>
          <w:szCs w:val="16"/>
        </w:rPr>
      </w:pPr>
      <w:r w:rsidRPr="00FF20DB">
        <w:rPr>
          <w:rStyle w:val="Refdenotaalpie"/>
          <w:rFonts w:ascii="Verdana" w:hAnsi="Verdana" w:cs="Arial"/>
          <w:color w:val="000000"/>
          <w:sz w:val="16"/>
          <w:szCs w:val="16"/>
        </w:rPr>
        <w:footnoteRef/>
      </w:r>
      <w:r w:rsidRPr="00FF20DB">
        <w:rPr>
          <w:rFonts w:ascii="Verdana" w:hAnsi="Verdana" w:cs="Arial"/>
          <w:color w:val="000000"/>
          <w:sz w:val="16"/>
          <w:szCs w:val="16"/>
        </w:rPr>
        <w:t xml:space="preserve"> La norma citada dispone: “Artículo 2.2.1.2.3.1.7. Garantía de cumplimiento. La garantía de cumplimiento del contrato debe cubrir:</w:t>
      </w:r>
    </w:p>
    <w:p w14:paraId="0D2808A9"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“1.    Buen manejo y correcta inversión del anticipo. Este amparo cubre los perjuicios sufridos por la Entidad Estatal con ocasión de: (i) la no inversión del anticipo; (</w:t>
      </w:r>
      <w:proofErr w:type="spellStart"/>
      <w:r w:rsidRPr="00FF20DB">
        <w:rPr>
          <w:rFonts w:ascii="Verdana" w:hAnsi="Verdana" w:cs="Arial"/>
          <w:color w:val="000000"/>
          <w:sz w:val="16"/>
          <w:szCs w:val="16"/>
        </w:rPr>
        <w:t>ii</w:t>
      </w:r>
      <w:proofErr w:type="spellEnd"/>
      <w:r w:rsidRPr="00FF20DB">
        <w:rPr>
          <w:rFonts w:ascii="Verdana" w:hAnsi="Verdana" w:cs="Arial"/>
          <w:color w:val="000000"/>
          <w:sz w:val="16"/>
          <w:szCs w:val="16"/>
        </w:rPr>
        <w:t>) el uso indebido del anticipo; y (</w:t>
      </w:r>
      <w:proofErr w:type="spellStart"/>
      <w:r w:rsidRPr="00FF20DB">
        <w:rPr>
          <w:rFonts w:ascii="Verdana" w:hAnsi="Verdana" w:cs="Arial"/>
          <w:color w:val="000000"/>
          <w:sz w:val="16"/>
          <w:szCs w:val="16"/>
        </w:rPr>
        <w:t>iii</w:t>
      </w:r>
      <w:proofErr w:type="spellEnd"/>
      <w:r w:rsidRPr="00FF20DB">
        <w:rPr>
          <w:rFonts w:ascii="Verdana" w:hAnsi="Verdana" w:cs="Arial"/>
          <w:color w:val="000000"/>
          <w:sz w:val="16"/>
          <w:szCs w:val="16"/>
        </w:rPr>
        <w:t>) la apropiación indebida de los recursos recibidos en calidad de anticipo.</w:t>
      </w:r>
    </w:p>
    <w:p w14:paraId="53E0E953"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7663FC40"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“3.    Cumplimiento del contrato. Este amparo cubre a la Entidad Estatal de los perjuicios derivados de:</w:t>
      </w:r>
    </w:p>
    <w:p w14:paraId="74D1210D"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“3.1.   El incumplimiento total o parcial del contrato, cuando el incumplimiento es imputable al contratista;</w:t>
      </w:r>
    </w:p>
    <w:p w14:paraId="15EDEF07"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“3.2.   El cumplimiento tardío o defectuoso del contrato, cuando el incumplimiento es imputable al contratista;</w:t>
      </w:r>
    </w:p>
    <w:p w14:paraId="63F7AA65"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“3.3.   Los daños imputables al contratista por entregas parciales de la obra, cuando el contrato no prevé entregas parciales; y</w:t>
      </w:r>
    </w:p>
    <w:p w14:paraId="2F50D024"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“3.4.   El pago del valor de las multas y de la cláusula penal pecuniaria.</w:t>
      </w:r>
    </w:p>
    <w:p w14:paraId="4A4DBAB0"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22FFC1F7"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“La Entidad Estatal no debe exigir una garantía para cubrir este Riesgo en los contratos que se ejecuten fuera del territorio nacional con personal contratado bajo un régimen jurídico distinto al colombiano.</w:t>
      </w:r>
    </w:p>
    <w:p w14:paraId="48C0D3E8"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“5.    Estabilidad y calidad de la obra. Este amparo cubre a la Entidad Estatal de los perjuicios ocasionados por cualquier tipo de daño o deterioro, imputable al contratista, sufrido por la obra entregada a satisfacción.</w:t>
      </w:r>
    </w:p>
    <w:p w14:paraId="288E4772"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“6.    Calidad del servicio. Este amparo cubre a la Entidad Estatal por los perjuicios deri­vados de la deficiente calidad del servicio prestado.</w:t>
      </w:r>
    </w:p>
    <w:p w14:paraId="7557A3EC"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“7.    Calidad y correcto funcionamiento de los bienes. Este amparo debe cubrir la calidad y el correcto funcionamiento de los bienes que recibe la Entidad Estatal en cumplimiento de un contrato.</w:t>
      </w:r>
    </w:p>
    <w:p w14:paraId="3E3887D3" w14:textId="77777777" w:rsidR="000948A2" w:rsidRPr="00FF20DB" w:rsidRDefault="000948A2" w:rsidP="00FF20DB">
      <w:pPr>
        <w:pStyle w:val="Textonotapie"/>
        <w:ind w:firstLine="709"/>
        <w:jc w:val="both"/>
        <w:rPr>
          <w:rFonts w:ascii="Verdana" w:hAnsi="Verdana" w:cs="Arial"/>
          <w:color w:val="000000"/>
          <w:sz w:val="16"/>
          <w:szCs w:val="16"/>
        </w:rPr>
      </w:pPr>
      <w:r w:rsidRPr="00FF20DB">
        <w:rPr>
          <w:rFonts w:ascii="Verdana" w:hAnsi="Verdana" w:cs="Arial"/>
          <w:color w:val="000000"/>
          <w:sz w:val="16"/>
          <w:szCs w:val="16"/>
        </w:rPr>
        <w:t>“8.    Los demás incumplimientos de obligaciones que la Entidad Estatal considere deben ser amparados de manera proporcional y acorde a la naturaleza del contrato”.</w:t>
      </w:r>
    </w:p>
    <w:p w14:paraId="19BF837E" w14:textId="77777777" w:rsidR="000948A2" w:rsidRPr="00FF20DB" w:rsidRDefault="000948A2" w:rsidP="00FF20DB">
      <w:pPr>
        <w:pStyle w:val="Textonotapie"/>
        <w:ind w:firstLine="709"/>
        <w:jc w:val="both"/>
        <w:rPr>
          <w:rFonts w:ascii="Verdana" w:hAnsi="Verdana" w:cs="Arial"/>
          <w:color w:val="000000"/>
          <w:sz w:val="16"/>
          <w:szCs w:val="16"/>
        </w:rPr>
      </w:pPr>
    </w:p>
  </w:footnote>
  <w:footnote w:id="15">
    <w:p w14:paraId="63244A72" w14:textId="77777777" w:rsidR="000948A2" w:rsidRPr="006A7ECF" w:rsidRDefault="000948A2" w:rsidP="00FF20DB">
      <w:pPr>
        <w:pStyle w:val="Textonotapie"/>
        <w:ind w:firstLine="709"/>
        <w:jc w:val="both"/>
        <w:rPr>
          <w:rFonts w:ascii="Verdana" w:hAnsi="Verdana" w:cs="Arial"/>
          <w:color w:val="000000"/>
          <w:sz w:val="16"/>
          <w:szCs w:val="16"/>
        </w:rPr>
      </w:pPr>
      <w:r w:rsidRPr="006A7ECF">
        <w:rPr>
          <w:rStyle w:val="Refdenotaalpie"/>
          <w:rFonts w:ascii="Verdana" w:hAnsi="Verdana" w:cs="Arial"/>
          <w:color w:val="000000"/>
          <w:sz w:val="16"/>
          <w:szCs w:val="16"/>
        </w:rPr>
        <w:footnoteRef/>
      </w:r>
      <w:r w:rsidRPr="006A7ECF">
        <w:rPr>
          <w:rFonts w:ascii="Verdana" w:hAnsi="Verdana" w:cs="Arial"/>
          <w:color w:val="000000"/>
          <w:sz w:val="16"/>
          <w:szCs w:val="16"/>
        </w:rPr>
        <w:t xml:space="preserve"> Consejo de Estado. Sala de lo Contenciosos Administrativo. Sección Tercera. Subsección B. Sentencia de 19 de junio de 2013. Radicado: </w:t>
      </w:r>
      <w:r w:rsidRPr="006A7ECF">
        <w:rPr>
          <w:rFonts w:ascii="Verdana" w:hAnsi="Verdana" w:cs="Arial"/>
          <w:color w:val="000000"/>
          <w:sz w:val="16"/>
          <w:szCs w:val="16"/>
          <w:lang w:val="es-CO"/>
        </w:rPr>
        <w:t>25000-23-26-000-2000-02019-01</w:t>
      </w:r>
      <w:r w:rsidRPr="006A7ECF">
        <w:rPr>
          <w:rFonts w:ascii="Verdana" w:hAnsi="Verdana" w:cs="Arial"/>
          <w:color w:val="000000"/>
          <w:sz w:val="16"/>
          <w:szCs w:val="16"/>
        </w:rPr>
        <w:t xml:space="preserve"> (25472). C.P: Danilo Rojas </w:t>
      </w:r>
      <w:proofErr w:type="spellStart"/>
      <w:r w:rsidRPr="006A7ECF">
        <w:rPr>
          <w:rFonts w:ascii="Verdana" w:hAnsi="Verdana" w:cs="Arial"/>
          <w:color w:val="000000"/>
          <w:sz w:val="16"/>
          <w:szCs w:val="16"/>
        </w:rPr>
        <w:t>Betancourth</w:t>
      </w:r>
      <w:proofErr w:type="spellEnd"/>
      <w:r w:rsidRPr="006A7ECF">
        <w:rPr>
          <w:rFonts w:ascii="Verdana" w:hAnsi="Verdana" w:cs="Arial"/>
          <w:color w:val="000000"/>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6BF5F01"/>
    <w:multiLevelType w:val="hybridMultilevel"/>
    <w:tmpl w:val="EEB679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4876726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2C9"/>
    <w:rsid w:val="00016F78"/>
    <w:rsid w:val="00046945"/>
    <w:rsid w:val="00061B2A"/>
    <w:rsid w:val="00082362"/>
    <w:rsid w:val="000948A2"/>
    <w:rsid w:val="000A683E"/>
    <w:rsid w:val="000B19B9"/>
    <w:rsid w:val="000D0334"/>
    <w:rsid w:val="000F6486"/>
    <w:rsid w:val="00125105"/>
    <w:rsid w:val="00127233"/>
    <w:rsid w:val="00164226"/>
    <w:rsid w:val="001A59B8"/>
    <w:rsid w:val="001E4177"/>
    <w:rsid w:val="001F7DC6"/>
    <w:rsid w:val="002421BB"/>
    <w:rsid w:val="0025796E"/>
    <w:rsid w:val="002707A2"/>
    <w:rsid w:val="002951A0"/>
    <w:rsid w:val="002962BC"/>
    <w:rsid w:val="002A093D"/>
    <w:rsid w:val="002A0DD0"/>
    <w:rsid w:val="002A49AC"/>
    <w:rsid w:val="002A64FD"/>
    <w:rsid w:val="002C70DF"/>
    <w:rsid w:val="002C7A84"/>
    <w:rsid w:val="002E4FD9"/>
    <w:rsid w:val="00322A85"/>
    <w:rsid w:val="00324168"/>
    <w:rsid w:val="00344805"/>
    <w:rsid w:val="003448F4"/>
    <w:rsid w:val="0034797C"/>
    <w:rsid w:val="00374F5E"/>
    <w:rsid w:val="0037722F"/>
    <w:rsid w:val="00377E3E"/>
    <w:rsid w:val="003A779E"/>
    <w:rsid w:val="003D0F4D"/>
    <w:rsid w:val="003D5B0D"/>
    <w:rsid w:val="003E0499"/>
    <w:rsid w:val="003F3941"/>
    <w:rsid w:val="003F73B8"/>
    <w:rsid w:val="00406575"/>
    <w:rsid w:val="00414C74"/>
    <w:rsid w:val="0042722E"/>
    <w:rsid w:val="0044528D"/>
    <w:rsid w:val="00471DF4"/>
    <w:rsid w:val="004A1847"/>
    <w:rsid w:val="004A305D"/>
    <w:rsid w:val="004F21C4"/>
    <w:rsid w:val="004F685F"/>
    <w:rsid w:val="005566E8"/>
    <w:rsid w:val="00574867"/>
    <w:rsid w:val="00591460"/>
    <w:rsid w:val="005C3777"/>
    <w:rsid w:val="005C5CDC"/>
    <w:rsid w:val="005D476C"/>
    <w:rsid w:val="005E4CBD"/>
    <w:rsid w:val="006219F8"/>
    <w:rsid w:val="006302F7"/>
    <w:rsid w:val="00652BE0"/>
    <w:rsid w:val="00665D70"/>
    <w:rsid w:val="006900D9"/>
    <w:rsid w:val="006A760C"/>
    <w:rsid w:val="006A7ECF"/>
    <w:rsid w:val="00706C16"/>
    <w:rsid w:val="00741F2A"/>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0B9E"/>
    <w:rsid w:val="00923EEF"/>
    <w:rsid w:val="009419F9"/>
    <w:rsid w:val="0095685E"/>
    <w:rsid w:val="00961B09"/>
    <w:rsid w:val="00965334"/>
    <w:rsid w:val="0097093E"/>
    <w:rsid w:val="009A0DFA"/>
    <w:rsid w:val="009B25A8"/>
    <w:rsid w:val="009B2D26"/>
    <w:rsid w:val="009C71FA"/>
    <w:rsid w:val="009C72E7"/>
    <w:rsid w:val="009D3058"/>
    <w:rsid w:val="009D6733"/>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15A62"/>
    <w:rsid w:val="00C330EB"/>
    <w:rsid w:val="00C754BE"/>
    <w:rsid w:val="00C76B1C"/>
    <w:rsid w:val="00CB6357"/>
    <w:rsid w:val="00CC1B26"/>
    <w:rsid w:val="00D423A2"/>
    <w:rsid w:val="00D520D8"/>
    <w:rsid w:val="00D53184"/>
    <w:rsid w:val="00D63AC2"/>
    <w:rsid w:val="00D7383B"/>
    <w:rsid w:val="00DA231B"/>
    <w:rsid w:val="00DB75C9"/>
    <w:rsid w:val="00DC39FC"/>
    <w:rsid w:val="00DD5D7C"/>
    <w:rsid w:val="00DF5254"/>
    <w:rsid w:val="00E16408"/>
    <w:rsid w:val="00E20894"/>
    <w:rsid w:val="00E245AB"/>
    <w:rsid w:val="00E2764C"/>
    <w:rsid w:val="00E27F2E"/>
    <w:rsid w:val="00E50AFE"/>
    <w:rsid w:val="00E75C92"/>
    <w:rsid w:val="00E771DC"/>
    <w:rsid w:val="00E8772A"/>
    <w:rsid w:val="00E90F6B"/>
    <w:rsid w:val="00E92C27"/>
    <w:rsid w:val="00EA0E3D"/>
    <w:rsid w:val="00EA62AD"/>
    <w:rsid w:val="00EC38A7"/>
    <w:rsid w:val="00EE1AA8"/>
    <w:rsid w:val="00EF66C6"/>
    <w:rsid w:val="00F31EDC"/>
    <w:rsid w:val="00F462B3"/>
    <w:rsid w:val="00F5664F"/>
    <w:rsid w:val="00F666C4"/>
    <w:rsid w:val="00F76AFC"/>
    <w:rsid w:val="00FA47C0"/>
    <w:rsid w:val="00FB5DD1"/>
    <w:rsid w:val="00FC2B5D"/>
    <w:rsid w:val="00FF01B3"/>
    <w:rsid w:val="00FF1449"/>
    <w:rsid w:val="00FF20DB"/>
    <w:rsid w:val="00FF7915"/>
    <w:rsid w:val="0C90A87E"/>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7E1F9A7-1EC6-4C05-9614-97F59F6D7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948A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948A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lombiacompra.gov.co/wp-content/uploads/2024/08/2016-Guia-de-garantias-en-Procesos-de-Contratacion-G-GPC-01.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wp-content/uploads/2024/08/cce_guia_liquidacion_procesos.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laneacion@sasaima-cundinamarca.gov.co"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4/08/2016-Guia-de-garantias-en-Procesos-de-Contratacion-G-GPC-01.pdf" TargetMode="External"/><Relationship Id="rId1" Type="http://schemas.openxmlformats.org/officeDocument/2006/relationships/hyperlink" Target="https://colombiacompra.gov.co/wp-content/uploads/2024/08/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36E85F-6878-4BF9-AB40-B144CE71601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20</Pages>
  <Words>6778</Words>
  <Characters>37279</Characters>
  <Application>Microsoft Office Word</Application>
  <DocSecurity>0</DocSecurity>
  <Lines>310</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2023-01-10T18:18:00Z</cp:lastPrinted>
  <dcterms:created xsi:type="dcterms:W3CDTF">2025-10-04T03:51:00Z</dcterms:created>
  <dcterms:modified xsi:type="dcterms:W3CDTF">2025-10-04T23:42:00Z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