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D809F" w14:textId="42945775" w:rsidR="005D6B09" w:rsidRDefault="005D6B09" w:rsidP="005D6B09">
      <w:pPr>
        <w:spacing w:line="240" w:lineRule="auto"/>
        <w:jc w:val="both"/>
        <w:rPr>
          <w:rFonts w:ascii="Verdana" w:hAnsi="Verdana" w:cs="Arial"/>
          <w:b/>
          <w:color w:val="000000" w:themeColor="text1"/>
          <w:lang w:val="es-ES_tradnl"/>
        </w:rPr>
      </w:pPr>
      <w:r w:rsidRPr="005D6B09">
        <w:rPr>
          <w:rFonts w:ascii="Verdana" w:hAnsi="Verdana" w:cs="Arial"/>
          <w:b/>
          <w:color w:val="000000" w:themeColor="text1"/>
          <w:lang w:val="es-ES_tradnl"/>
        </w:rPr>
        <w:t xml:space="preserve">LICITACIÓN PÚBLICA – Regla general – Procedimiento </w:t>
      </w:r>
    </w:p>
    <w:p w14:paraId="70100354" w14:textId="77777777" w:rsidR="005D6B09" w:rsidRDefault="005D6B09" w:rsidP="005D6B09">
      <w:pPr>
        <w:spacing w:after="120" w:line="276" w:lineRule="auto"/>
        <w:jc w:val="both"/>
        <w:rPr>
          <w:rFonts w:ascii="Verdana" w:eastAsia="Calibri" w:hAnsi="Verdana" w:cs="Arial"/>
          <w:color w:val="000000" w:themeColor="text1"/>
        </w:rPr>
      </w:pPr>
      <w:r>
        <w:rPr>
          <w:rFonts w:ascii="Verdana" w:hAnsi="Verdana"/>
        </w:rPr>
        <w:t>Los Procesos de Contratación que deben adelantar las Entidades Estatales para</w:t>
      </w:r>
      <w:r w:rsidRPr="0007375E">
        <w:rPr>
          <w:rFonts w:ascii="Verdana" w:eastAsia="Calibri" w:hAnsi="Verdana" w:cs="Arial"/>
          <w:color w:val="000000" w:themeColor="text1"/>
        </w:rPr>
        <w:t xml:space="preserve"> adquirir </w:t>
      </w:r>
      <w:r>
        <w:rPr>
          <w:rFonts w:ascii="Verdana" w:eastAsia="Calibri" w:hAnsi="Verdana" w:cs="Arial"/>
          <w:color w:val="000000" w:themeColor="text1"/>
        </w:rPr>
        <w:t xml:space="preserve">los </w:t>
      </w:r>
      <w:r w:rsidRPr="0007375E">
        <w:rPr>
          <w:rFonts w:ascii="Verdana" w:eastAsia="Calibri" w:hAnsi="Verdana" w:cs="Arial"/>
          <w:color w:val="000000" w:themeColor="text1"/>
        </w:rPr>
        <w:t>bienes</w:t>
      </w:r>
      <w:r>
        <w:rPr>
          <w:rFonts w:ascii="Verdana" w:eastAsia="Calibri" w:hAnsi="Verdana" w:cs="Arial"/>
          <w:color w:val="000000" w:themeColor="text1"/>
        </w:rPr>
        <w:t>,</w:t>
      </w:r>
      <w:r w:rsidRPr="0007375E">
        <w:rPr>
          <w:rFonts w:ascii="Verdana" w:eastAsia="Calibri" w:hAnsi="Verdana" w:cs="Arial"/>
          <w:color w:val="000000" w:themeColor="text1"/>
        </w:rPr>
        <w:t xml:space="preserve"> o</w:t>
      </w:r>
      <w:r>
        <w:rPr>
          <w:rFonts w:ascii="Verdana" w:eastAsia="Calibri" w:hAnsi="Verdana" w:cs="Arial"/>
          <w:color w:val="000000" w:themeColor="text1"/>
        </w:rPr>
        <w:t xml:space="preserve">bras o </w:t>
      </w:r>
      <w:r w:rsidRPr="0007375E">
        <w:rPr>
          <w:rFonts w:ascii="Verdana" w:eastAsia="Calibri" w:hAnsi="Verdana" w:cs="Arial"/>
          <w:color w:val="000000" w:themeColor="text1"/>
        </w:rPr>
        <w:t xml:space="preserve">servicios </w:t>
      </w:r>
      <w:r>
        <w:rPr>
          <w:rFonts w:ascii="Verdana" w:eastAsia="Calibri" w:hAnsi="Verdana" w:cs="Arial"/>
          <w:color w:val="000000" w:themeColor="text1"/>
        </w:rPr>
        <w:t>que se requieren, se rigen por procedimientos reglados establecidos por la ley y el reglamento</w:t>
      </w:r>
      <w:r w:rsidRPr="0007375E">
        <w:rPr>
          <w:rFonts w:ascii="Verdana" w:eastAsia="Calibri" w:hAnsi="Verdana" w:cs="Arial"/>
          <w:color w:val="000000" w:themeColor="text1"/>
        </w:rPr>
        <w:t>.</w:t>
      </w:r>
      <w:r>
        <w:rPr>
          <w:rFonts w:ascii="Verdana" w:eastAsia="Calibri" w:hAnsi="Verdana" w:cs="Arial"/>
          <w:color w:val="000000" w:themeColor="text1"/>
        </w:rPr>
        <w:t xml:space="preserve"> Si bien el artículo 2 de la Ley 1150 de 2007 prevé distintas modalidades de selección, competitivas y no competitivas, sujetas a procedimientos distintos, todas deben agotar una etapa precontractual en la que se realiza la planeación del contrato, lo cual se refleja en el análisis del sector económico y en los estudios previos. </w:t>
      </w:r>
    </w:p>
    <w:p w14:paraId="315CAB8C" w14:textId="77777777" w:rsidR="005D6B09" w:rsidRPr="00185EE9" w:rsidRDefault="005D6B09" w:rsidP="007F0365">
      <w:pPr>
        <w:spacing w:after="120" w:line="276" w:lineRule="auto"/>
        <w:jc w:val="both"/>
        <w:rPr>
          <w:rFonts w:ascii="Verdana" w:eastAsia="Calibri" w:hAnsi="Verdana" w:cs="Arial"/>
          <w:bCs/>
          <w:lang w:val="es-MX" w:eastAsia="es-ES_tradnl"/>
        </w:rPr>
      </w:pPr>
      <w:r w:rsidRPr="00185EE9">
        <w:rPr>
          <w:rFonts w:ascii="Verdana" w:hAnsi="Verdana" w:cs="Arial"/>
          <w:lang w:val="es-ES"/>
        </w:rPr>
        <w:t xml:space="preserve">El </w:t>
      </w:r>
      <w:r w:rsidRPr="00185EE9">
        <w:rPr>
          <w:rFonts w:ascii="Verdana" w:eastAsia="Calibri" w:hAnsi="Verdana" w:cs="Arial"/>
          <w:bCs/>
          <w:lang w:val="es-MX" w:eastAsia="es-ES_tradnl"/>
        </w:rPr>
        <w:t>numeral uno, inciso primero, de la norma citada</w:t>
      </w:r>
      <w:r w:rsidRPr="00185EE9">
        <w:rPr>
          <w:rFonts w:ascii="Verdana" w:hAnsi="Verdana" w:cs="Arial"/>
          <w:bCs/>
          <w:lang w:val="es-ES_tradnl"/>
        </w:rPr>
        <w:t xml:space="preserve"> </w:t>
      </w:r>
      <w:r w:rsidRPr="00185EE9">
        <w:rPr>
          <w:rFonts w:ascii="Verdana" w:eastAsia="Calibri" w:hAnsi="Verdana" w:cs="Arial"/>
          <w:bCs/>
          <w:lang w:val="es-MX" w:eastAsia="es-ES_tradnl"/>
        </w:rPr>
        <w:t xml:space="preserve">dispone que “La escogencia del contratista se efectuará por </w:t>
      </w:r>
      <w:r w:rsidRPr="00185EE9">
        <w:rPr>
          <w:rFonts w:ascii="Verdana" w:eastAsia="Calibri" w:hAnsi="Verdana" w:cs="Arial"/>
          <w:bCs/>
          <w:i/>
          <w:iCs/>
          <w:lang w:val="es-MX" w:eastAsia="es-ES_tradnl"/>
        </w:rPr>
        <w:t>regla general</w:t>
      </w:r>
      <w:r w:rsidRPr="00185EE9">
        <w:rPr>
          <w:rFonts w:ascii="Verdana" w:eastAsia="Calibri" w:hAnsi="Verdana" w:cs="Arial"/>
          <w:bCs/>
          <w:lang w:val="es-MX" w:eastAsia="es-ES_tradnl"/>
        </w:rPr>
        <w:t xml:space="preserve"> a través de licitación pública, con las </w:t>
      </w:r>
      <w:r w:rsidRPr="00185EE9">
        <w:rPr>
          <w:rFonts w:ascii="Verdana" w:eastAsia="Calibri" w:hAnsi="Verdana" w:cs="Arial"/>
          <w:bCs/>
          <w:i/>
          <w:iCs/>
          <w:lang w:val="es-MX" w:eastAsia="es-ES_tradnl"/>
        </w:rPr>
        <w:t>excepciones</w:t>
      </w:r>
      <w:r w:rsidRPr="00185EE9">
        <w:rPr>
          <w:rFonts w:ascii="Verdana" w:eastAsia="Calibri" w:hAnsi="Verdana" w:cs="Arial"/>
          <w:bCs/>
          <w:lang w:val="es-MX" w:eastAsia="es-ES_tradnl"/>
        </w:rPr>
        <w:t xml:space="preserve"> que se señalan en los numerales 2, 3 y 4 del presente artículo”, norma que sustituye el derogado numeral 1 del artículo 24 de la Ley 80 de 1993 sobre el principio de transparencia</w:t>
      </w:r>
      <w:r w:rsidRPr="00185EE9">
        <w:rPr>
          <w:rStyle w:val="Refdenotaalpie"/>
          <w:rFonts w:ascii="Verdana" w:eastAsia="Calibri" w:hAnsi="Verdana" w:cs="Arial"/>
          <w:bCs/>
          <w:lang w:val="es-MX" w:eastAsia="es-ES_tradnl"/>
        </w:rPr>
        <w:footnoteReference w:id="1"/>
      </w:r>
      <w:r w:rsidRPr="00185EE9">
        <w:rPr>
          <w:rFonts w:ascii="Verdana" w:eastAsia="Calibri" w:hAnsi="Verdana" w:cs="Arial"/>
          <w:bCs/>
          <w:lang w:val="es-MX" w:eastAsia="es-ES_tradnl"/>
        </w:rPr>
        <w:t xml:space="preserve">. </w:t>
      </w:r>
    </w:p>
    <w:p w14:paraId="4B2DE16A" w14:textId="77777777" w:rsidR="005D6B09" w:rsidRDefault="005D6B09" w:rsidP="007F0365">
      <w:pPr>
        <w:spacing w:after="120" w:line="276" w:lineRule="auto"/>
        <w:jc w:val="both"/>
        <w:rPr>
          <w:rFonts w:ascii="Verdana" w:eastAsia="Calibri" w:hAnsi="Verdana" w:cs="Arial"/>
          <w:bCs/>
          <w:lang w:val="es-MX" w:eastAsia="es-ES_tradnl"/>
        </w:rPr>
      </w:pPr>
      <w:r>
        <w:rPr>
          <w:rFonts w:ascii="Verdana" w:eastAsia="Calibri" w:hAnsi="Verdana" w:cs="Arial"/>
          <w:bCs/>
          <w:lang w:val="es-MX" w:eastAsia="es-ES_tradnl"/>
        </w:rPr>
        <w:t>Así, s</w:t>
      </w:r>
      <w:r w:rsidRPr="00185EE9">
        <w:rPr>
          <w:rFonts w:ascii="Verdana" w:eastAsia="Calibri" w:hAnsi="Verdana" w:cs="Arial"/>
          <w:bCs/>
          <w:lang w:val="es-MX" w:eastAsia="es-ES_tradnl"/>
        </w:rPr>
        <w:t>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4FEC04FC" w14:textId="331E9DBF" w:rsidR="005D6B09" w:rsidRPr="005D6B09" w:rsidRDefault="005D6B09" w:rsidP="005D6B09">
      <w:pPr>
        <w:spacing w:line="240" w:lineRule="auto"/>
        <w:jc w:val="both"/>
        <w:rPr>
          <w:rFonts w:ascii="Verdana" w:hAnsi="Verdana" w:cs="Arial"/>
          <w:b/>
          <w:color w:val="000000" w:themeColor="text1"/>
          <w:lang w:val="es-ES_tradnl"/>
        </w:rPr>
      </w:pPr>
      <w:r w:rsidRPr="0007375E">
        <w:rPr>
          <w:rFonts w:ascii="Verdana" w:hAnsi="Verdana" w:cs="Arial"/>
          <w:color w:val="000000" w:themeColor="text1"/>
        </w:rPr>
        <w:t>En relación con la licitación pública, el artículo 30 de la Ley 80 de 1993 definió la estructura del proceso y estableció sus fases. Según esta normativa, se puede distinguir entre la fase de planificación o preparatoria y la licitación propiamente dicha.</w:t>
      </w:r>
    </w:p>
    <w:p w14:paraId="39A8C8CA" w14:textId="32CFD1B8" w:rsidR="005D6B09" w:rsidRDefault="005D6B09" w:rsidP="005D6B09">
      <w:pPr>
        <w:spacing w:line="240" w:lineRule="auto"/>
        <w:jc w:val="both"/>
        <w:rPr>
          <w:rFonts w:ascii="Verdana" w:hAnsi="Verdana" w:cs="Arial"/>
          <w:b/>
          <w:color w:val="000000" w:themeColor="text1"/>
          <w:lang w:val="es-ES_tradnl"/>
        </w:rPr>
      </w:pPr>
      <w:r w:rsidRPr="005D6B09">
        <w:rPr>
          <w:rFonts w:ascii="Verdana" w:hAnsi="Verdana" w:cs="Arial"/>
          <w:b/>
          <w:color w:val="000000" w:themeColor="text1"/>
          <w:lang w:val="es-ES_tradnl"/>
        </w:rPr>
        <w:t xml:space="preserve">LICITACIÓN DE OBRA PÚBLICA – Características </w:t>
      </w:r>
    </w:p>
    <w:p w14:paraId="36B62ACC" w14:textId="23C6EAFF" w:rsidR="007F0365" w:rsidRDefault="007F0365" w:rsidP="007F0365">
      <w:pPr>
        <w:widowControl w:val="0"/>
        <w:autoSpaceDE w:val="0"/>
        <w:autoSpaceDN w:val="0"/>
        <w:spacing w:after="120" w:line="276" w:lineRule="auto"/>
        <w:ind w:right="51"/>
        <w:jc w:val="both"/>
        <w:rPr>
          <w:rFonts w:ascii="Verdana" w:hAnsi="Verdana" w:cs="Open Sans"/>
        </w:rPr>
      </w:pPr>
      <w:r>
        <w:rPr>
          <w:rFonts w:ascii="Verdana" w:eastAsia="Calibri" w:hAnsi="Verdana" w:cs="Arial"/>
          <w:lang w:val="es-ES"/>
        </w:rPr>
        <w:t xml:space="preserve">Como </w:t>
      </w:r>
      <w:r w:rsidRPr="00F76091">
        <w:rPr>
          <w:rFonts w:ascii="Verdana" w:eastAsia="Calibri" w:hAnsi="Verdana" w:cs="Arial"/>
          <w:lang w:val="es-ES"/>
        </w:rPr>
        <w:t>se puede observar los verbos rectores de este tipo de contrato son “</w:t>
      </w:r>
      <w:r w:rsidRPr="00F76091">
        <w:rPr>
          <w:rFonts w:ascii="Verdana" w:hAnsi="Verdana" w:cs="Open Sans"/>
        </w:rPr>
        <w:t>construcción, mantenimiento, instalación y, en general, para la realización de cualquier otro trabajo material sobre bienes inmuebles”, por lo que en cada caso la entidad en su fase precontractual definirá si la</w:t>
      </w:r>
      <w:r>
        <w:rPr>
          <w:rFonts w:ascii="Verdana" w:hAnsi="Verdana" w:cs="Open Sans"/>
        </w:rPr>
        <w:t xml:space="preserve">s actividades a desarrollar </w:t>
      </w:r>
      <w:proofErr w:type="gramStart"/>
      <w:r>
        <w:rPr>
          <w:rFonts w:ascii="Verdana" w:hAnsi="Verdana" w:cs="Open Sans"/>
        </w:rPr>
        <w:t>se enmarcan dentro de</w:t>
      </w:r>
      <w:proofErr w:type="gramEnd"/>
      <w:r>
        <w:rPr>
          <w:rFonts w:ascii="Verdana" w:hAnsi="Verdana" w:cs="Open Sans"/>
        </w:rPr>
        <w:t xml:space="preserve"> los verbos rectores</w:t>
      </w:r>
      <w:r w:rsidRPr="00F76091">
        <w:rPr>
          <w:rFonts w:ascii="Verdana" w:hAnsi="Verdana" w:cs="Open Sans"/>
        </w:rPr>
        <w:t xml:space="preserve"> </w:t>
      </w:r>
      <w:r>
        <w:rPr>
          <w:rFonts w:ascii="Verdana" w:hAnsi="Verdana" w:cs="Open Sans"/>
        </w:rPr>
        <w:t>de</w:t>
      </w:r>
      <w:r w:rsidRPr="00F76091">
        <w:rPr>
          <w:rFonts w:ascii="Verdana" w:hAnsi="Verdana" w:cs="Open Sans"/>
        </w:rPr>
        <w:t xml:space="preserve"> este</w:t>
      </w:r>
      <w:r>
        <w:rPr>
          <w:rFonts w:ascii="Verdana" w:hAnsi="Verdana" w:cs="Open Sans"/>
        </w:rPr>
        <w:t xml:space="preserve"> tipo de contrato</w:t>
      </w:r>
      <w:r w:rsidRPr="00F76091">
        <w:rPr>
          <w:rFonts w:ascii="Verdana" w:hAnsi="Verdana" w:cs="Open Sans"/>
        </w:rPr>
        <w:t xml:space="preserve">. </w:t>
      </w:r>
    </w:p>
    <w:p w14:paraId="69AD5735" w14:textId="2131F70E" w:rsidR="00714DC8" w:rsidRPr="007F0365" w:rsidRDefault="007F0365" w:rsidP="007F0365">
      <w:pPr>
        <w:widowControl w:val="0"/>
        <w:autoSpaceDE w:val="0"/>
        <w:autoSpaceDN w:val="0"/>
        <w:spacing w:after="120" w:line="276" w:lineRule="auto"/>
        <w:ind w:right="51"/>
        <w:jc w:val="both"/>
        <w:rPr>
          <w:rFonts w:ascii="Verdana" w:hAnsi="Verdana" w:cs="Open Sans"/>
        </w:rPr>
      </w:pPr>
      <w:r w:rsidRPr="00F76091">
        <w:rPr>
          <w:rFonts w:ascii="Verdana" w:hAnsi="Verdana" w:cs="Open Sans"/>
        </w:rPr>
        <w:t xml:space="preserve">Por su parte, en cuanto a la modalidad de selección de licitación pública para </w:t>
      </w:r>
      <w:r w:rsidRPr="00F76091">
        <w:rPr>
          <w:rFonts w:ascii="Verdana" w:hAnsi="Verdana" w:cs="Open Sans"/>
        </w:rPr>
        <w:lastRenderedPageBreak/>
        <w:t xml:space="preserve">este tipo de contratos, es decir para la seleccionar contratistas de obra pública, la Ley 1882 de 2018 adicionó los parágrafos 2 y 3 al artículo 30 de la Ley 80 de 1993, que regula el procedimiento de la licitación pública explicado en el primer aparte de este concepto. </w:t>
      </w:r>
    </w:p>
    <w:p w14:paraId="72644E22" w14:textId="52A5B1F4" w:rsidR="005D6B09" w:rsidRPr="005D6B09" w:rsidRDefault="005D6B09" w:rsidP="005D6B09">
      <w:pPr>
        <w:spacing w:line="240" w:lineRule="auto"/>
        <w:jc w:val="both"/>
        <w:rPr>
          <w:rFonts w:ascii="Verdana" w:hAnsi="Verdana" w:cs="Arial"/>
          <w:b/>
          <w:color w:val="000000" w:themeColor="text1"/>
          <w:lang w:val="es-ES_tradnl"/>
        </w:rPr>
      </w:pPr>
      <w:r w:rsidRPr="005D6B09">
        <w:rPr>
          <w:rFonts w:ascii="Verdana" w:hAnsi="Verdana" w:cs="Arial"/>
          <w:b/>
          <w:color w:val="000000" w:themeColor="text1"/>
          <w:lang w:val="es-ES_tradnl"/>
        </w:rPr>
        <w:t>SECOP – Publicación Proceso Licitación pública (Obra Pública)</w:t>
      </w:r>
    </w:p>
    <w:p w14:paraId="22EB13A8" w14:textId="6023BCAE" w:rsidR="005D6B09" w:rsidRDefault="007F0365" w:rsidP="007F0365">
      <w:pPr>
        <w:spacing w:after="0" w:line="240" w:lineRule="auto"/>
        <w:jc w:val="both"/>
        <w:rPr>
          <w:rFonts w:ascii="Verdana" w:eastAsia="Geomanist Light" w:hAnsi="Verdana" w:cs="Arial"/>
          <w:color w:val="000000" w:themeColor="text1"/>
          <w:lang w:val="es-MX"/>
        </w:rPr>
      </w:pPr>
      <w:r>
        <w:rPr>
          <w:rFonts w:ascii="Verdana" w:hAnsi="Verdana" w:cs="Open Sans"/>
        </w:rPr>
        <w:t>Conforme a esta regulación especial que adicionó la Ley 1882 de 2018 para el procedimiento de licitación pública de obra, en el SECOP II se encuentra configurado el Módulo de “Licitación pública (obra pública)” con su respectiva Sección de “configuración” que incluye el cronograma y la posibilidad de elegir si al proceso aplican o no los Documentos Tipo, y con la Sección de “Cuestionario” en la que se dispone el espacio para el sobre 1 y el sobre 2.</w:t>
      </w:r>
    </w:p>
    <w:p w14:paraId="3C625066" w14:textId="77777777" w:rsidR="005D6B09" w:rsidRDefault="005D6B09" w:rsidP="0078457D">
      <w:pPr>
        <w:spacing w:after="0" w:line="240" w:lineRule="auto"/>
        <w:rPr>
          <w:rFonts w:ascii="Verdana" w:eastAsia="Geomanist Light" w:hAnsi="Verdana" w:cs="Arial"/>
          <w:color w:val="000000" w:themeColor="text1"/>
          <w:lang w:val="es-MX"/>
        </w:rPr>
      </w:pPr>
    </w:p>
    <w:p w14:paraId="4E4FDCE6" w14:textId="77777777" w:rsidR="005D6B09" w:rsidRDefault="005D6B09" w:rsidP="0078457D">
      <w:pPr>
        <w:spacing w:after="0" w:line="240" w:lineRule="auto"/>
        <w:rPr>
          <w:rFonts w:ascii="Verdana" w:eastAsia="Geomanist Light" w:hAnsi="Verdana" w:cs="Arial"/>
          <w:color w:val="000000" w:themeColor="text1"/>
          <w:lang w:val="es-MX"/>
        </w:rPr>
      </w:pPr>
    </w:p>
    <w:p w14:paraId="193848EF" w14:textId="77777777" w:rsidR="005D6B09" w:rsidRDefault="005D6B09" w:rsidP="0078457D">
      <w:pPr>
        <w:spacing w:after="0" w:line="240" w:lineRule="auto"/>
        <w:rPr>
          <w:rFonts w:ascii="Verdana" w:eastAsia="Geomanist Light" w:hAnsi="Verdana" w:cs="Arial"/>
          <w:color w:val="000000" w:themeColor="text1"/>
          <w:lang w:val="es-MX"/>
        </w:rPr>
      </w:pPr>
    </w:p>
    <w:p w14:paraId="41BFD69C" w14:textId="77777777" w:rsidR="005D6B09" w:rsidRDefault="005D6B09" w:rsidP="0078457D">
      <w:pPr>
        <w:spacing w:after="0" w:line="240" w:lineRule="auto"/>
        <w:rPr>
          <w:rFonts w:ascii="Verdana" w:eastAsia="Geomanist Light" w:hAnsi="Verdana" w:cs="Arial"/>
          <w:color w:val="000000" w:themeColor="text1"/>
          <w:lang w:val="es-MX"/>
        </w:rPr>
      </w:pPr>
    </w:p>
    <w:p w14:paraId="434042BA" w14:textId="77777777" w:rsidR="005D6B09" w:rsidRDefault="005D6B09" w:rsidP="0078457D">
      <w:pPr>
        <w:spacing w:after="0" w:line="240" w:lineRule="auto"/>
        <w:rPr>
          <w:rFonts w:ascii="Verdana" w:eastAsia="Geomanist Light" w:hAnsi="Verdana" w:cs="Arial"/>
          <w:color w:val="000000" w:themeColor="text1"/>
          <w:lang w:val="es-MX"/>
        </w:rPr>
      </w:pPr>
    </w:p>
    <w:p w14:paraId="7FF61B8A" w14:textId="77777777" w:rsidR="005D6B09" w:rsidRDefault="005D6B09" w:rsidP="0078457D">
      <w:pPr>
        <w:spacing w:after="0" w:line="240" w:lineRule="auto"/>
        <w:rPr>
          <w:rFonts w:ascii="Verdana" w:eastAsia="Geomanist Light" w:hAnsi="Verdana" w:cs="Arial"/>
          <w:color w:val="000000" w:themeColor="text1"/>
          <w:lang w:val="es-MX"/>
        </w:rPr>
      </w:pPr>
    </w:p>
    <w:p w14:paraId="42E17A2F" w14:textId="77777777" w:rsidR="005D6B09" w:rsidRDefault="005D6B09" w:rsidP="0078457D">
      <w:pPr>
        <w:spacing w:after="0" w:line="240" w:lineRule="auto"/>
        <w:rPr>
          <w:rFonts w:ascii="Verdana" w:eastAsia="Geomanist Light" w:hAnsi="Verdana" w:cs="Arial"/>
          <w:color w:val="000000" w:themeColor="text1"/>
          <w:lang w:val="es-MX"/>
        </w:rPr>
      </w:pPr>
    </w:p>
    <w:p w14:paraId="62FDFBF7" w14:textId="77777777" w:rsidR="005D6B09" w:rsidRDefault="005D6B09" w:rsidP="0078457D">
      <w:pPr>
        <w:spacing w:after="0" w:line="240" w:lineRule="auto"/>
        <w:rPr>
          <w:rFonts w:ascii="Verdana" w:eastAsia="Geomanist Light" w:hAnsi="Verdana" w:cs="Arial"/>
          <w:color w:val="000000" w:themeColor="text1"/>
          <w:lang w:val="es-MX"/>
        </w:rPr>
      </w:pPr>
    </w:p>
    <w:p w14:paraId="678A0362" w14:textId="77777777" w:rsidR="005D6B09" w:rsidRDefault="005D6B09" w:rsidP="0078457D">
      <w:pPr>
        <w:spacing w:after="0" w:line="240" w:lineRule="auto"/>
        <w:rPr>
          <w:rFonts w:ascii="Verdana" w:eastAsia="Geomanist Light" w:hAnsi="Verdana" w:cs="Arial"/>
          <w:color w:val="000000" w:themeColor="text1"/>
          <w:lang w:val="es-MX"/>
        </w:rPr>
      </w:pPr>
    </w:p>
    <w:p w14:paraId="7CCA7E60" w14:textId="77777777" w:rsidR="005D6B09" w:rsidRDefault="005D6B09" w:rsidP="0078457D">
      <w:pPr>
        <w:spacing w:after="0" w:line="240" w:lineRule="auto"/>
        <w:rPr>
          <w:rFonts w:ascii="Verdana" w:eastAsia="Geomanist Light" w:hAnsi="Verdana" w:cs="Arial"/>
          <w:color w:val="000000" w:themeColor="text1"/>
          <w:lang w:val="es-MX"/>
        </w:rPr>
      </w:pPr>
    </w:p>
    <w:p w14:paraId="00085DFB" w14:textId="77777777" w:rsidR="005D6B09" w:rsidRDefault="005D6B09" w:rsidP="0078457D">
      <w:pPr>
        <w:spacing w:after="0" w:line="240" w:lineRule="auto"/>
        <w:rPr>
          <w:rFonts w:ascii="Verdana" w:eastAsia="Geomanist Light" w:hAnsi="Verdana" w:cs="Arial"/>
          <w:color w:val="000000" w:themeColor="text1"/>
          <w:lang w:val="es-MX"/>
        </w:rPr>
      </w:pPr>
    </w:p>
    <w:p w14:paraId="09FD4047" w14:textId="77777777" w:rsidR="005D6B09" w:rsidRDefault="005D6B09" w:rsidP="0078457D">
      <w:pPr>
        <w:spacing w:after="0" w:line="240" w:lineRule="auto"/>
        <w:rPr>
          <w:rFonts w:ascii="Verdana" w:eastAsia="Geomanist Light" w:hAnsi="Verdana" w:cs="Arial"/>
          <w:color w:val="000000" w:themeColor="text1"/>
          <w:lang w:val="es-MX"/>
        </w:rPr>
      </w:pPr>
    </w:p>
    <w:p w14:paraId="7C72E2A1" w14:textId="77777777" w:rsidR="005D6B09" w:rsidRDefault="005D6B09" w:rsidP="0078457D">
      <w:pPr>
        <w:spacing w:after="0" w:line="240" w:lineRule="auto"/>
        <w:rPr>
          <w:rFonts w:ascii="Verdana" w:eastAsia="Geomanist Light" w:hAnsi="Verdana" w:cs="Arial"/>
          <w:color w:val="000000" w:themeColor="text1"/>
          <w:lang w:val="es-MX"/>
        </w:rPr>
      </w:pPr>
    </w:p>
    <w:p w14:paraId="1C804BEF" w14:textId="77777777" w:rsidR="005D6B09" w:rsidRDefault="005D6B09" w:rsidP="0078457D">
      <w:pPr>
        <w:spacing w:after="0" w:line="240" w:lineRule="auto"/>
        <w:rPr>
          <w:rFonts w:ascii="Verdana" w:eastAsia="Geomanist Light" w:hAnsi="Verdana" w:cs="Arial"/>
          <w:color w:val="000000" w:themeColor="text1"/>
          <w:lang w:val="es-MX"/>
        </w:rPr>
      </w:pPr>
    </w:p>
    <w:p w14:paraId="3E38FDD3" w14:textId="77777777" w:rsidR="005D6B09" w:rsidRDefault="005D6B09" w:rsidP="0078457D">
      <w:pPr>
        <w:spacing w:after="0" w:line="240" w:lineRule="auto"/>
        <w:rPr>
          <w:rFonts w:ascii="Verdana" w:eastAsia="Geomanist Light" w:hAnsi="Verdana" w:cs="Arial"/>
          <w:color w:val="000000" w:themeColor="text1"/>
          <w:lang w:val="es-MX"/>
        </w:rPr>
      </w:pPr>
    </w:p>
    <w:p w14:paraId="42DBB037" w14:textId="560A3DC5" w:rsidR="005D6B09" w:rsidRDefault="005D6B09" w:rsidP="0078457D">
      <w:pPr>
        <w:spacing w:after="0" w:line="240" w:lineRule="auto"/>
        <w:rPr>
          <w:rFonts w:ascii="Verdana" w:eastAsia="Geomanist Light" w:hAnsi="Verdana" w:cs="Arial"/>
          <w:color w:val="000000" w:themeColor="text1"/>
          <w:lang w:val="es-MX"/>
        </w:rPr>
      </w:pPr>
    </w:p>
    <w:p w14:paraId="61F0913F" w14:textId="65010031" w:rsidR="007F0365" w:rsidRDefault="007F0365" w:rsidP="0078457D">
      <w:pPr>
        <w:spacing w:after="0" w:line="240" w:lineRule="auto"/>
        <w:rPr>
          <w:rFonts w:ascii="Verdana" w:eastAsia="Geomanist Light" w:hAnsi="Verdana" w:cs="Arial"/>
          <w:color w:val="000000" w:themeColor="text1"/>
          <w:lang w:val="es-MX"/>
        </w:rPr>
      </w:pPr>
    </w:p>
    <w:p w14:paraId="72713DA0" w14:textId="7D561D8E" w:rsidR="007F0365" w:rsidRDefault="007F0365" w:rsidP="0078457D">
      <w:pPr>
        <w:spacing w:after="0" w:line="240" w:lineRule="auto"/>
        <w:rPr>
          <w:rFonts w:ascii="Verdana" w:eastAsia="Geomanist Light" w:hAnsi="Verdana" w:cs="Arial"/>
          <w:color w:val="000000" w:themeColor="text1"/>
          <w:lang w:val="es-MX"/>
        </w:rPr>
      </w:pPr>
    </w:p>
    <w:p w14:paraId="6BB8C94B" w14:textId="2B0F3410" w:rsidR="007F0365" w:rsidRDefault="007F0365" w:rsidP="0078457D">
      <w:pPr>
        <w:spacing w:after="0" w:line="240" w:lineRule="auto"/>
        <w:rPr>
          <w:rFonts w:ascii="Verdana" w:eastAsia="Geomanist Light" w:hAnsi="Verdana" w:cs="Arial"/>
          <w:color w:val="000000" w:themeColor="text1"/>
          <w:lang w:val="es-MX"/>
        </w:rPr>
      </w:pPr>
    </w:p>
    <w:p w14:paraId="014D205C" w14:textId="06DF1509" w:rsidR="007F0365" w:rsidRDefault="007F0365" w:rsidP="0078457D">
      <w:pPr>
        <w:spacing w:after="0" w:line="240" w:lineRule="auto"/>
        <w:rPr>
          <w:rFonts w:ascii="Verdana" w:eastAsia="Geomanist Light" w:hAnsi="Verdana" w:cs="Arial"/>
          <w:color w:val="000000" w:themeColor="text1"/>
          <w:lang w:val="es-MX"/>
        </w:rPr>
      </w:pPr>
    </w:p>
    <w:p w14:paraId="3736A2CF" w14:textId="4610A871" w:rsidR="007F0365" w:rsidRDefault="007F0365" w:rsidP="0078457D">
      <w:pPr>
        <w:spacing w:after="0" w:line="240" w:lineRule="auto"/>
        <w:rPr>
          <w:rFonts w:ascii="Verdana" w:eastAsia="Geomanist Light" w:hAnsi="Verdana" w:cs="Arial"/>
          <w:color w:val="000000" w:themeColor="text1"/>
          <w:lang w:val="es-MX"/>
        </w:rPr>
      </w:pPr>
    </w:p>
    <w:p w14:paraId="081AD2EB" w14:textId="081A2903" w:rsidR="007F0365" w:rsidRDefault="007F0365" w:rsidP="0078457D">
      <w:pPr>
        <w:spacing w:after="0" w:line="240" w:lineRule="auto"/>
        <w:rPr>
          <w:rFonts w:ascii="Verdana" w:eastAsia="Geomanist Light" w:hAnsi="Verdana" w:cs="Arial"/>
          <w:color w:val="000000" w:themeColor="text1"/>
          <w:lang w:val="es-MX"/>
        </w:rPr>
      </w:pPr>
    </w:p>
    <w:p w14:paraId="6EA40EEF" w14:textId="26DDE588" w:rsidR="007F0365" w:rsidRDefault="007F0365" w:rsidP="0078457D">
      <w:pPr>
        <w:spacing w:after="0" w:line="240" w:lineRule="auto"/>
        <w:rPr>
          <w:rFonts w:ascii="Verdana" w:eastAsia="Geomanist Light" w:hAnsi="Verdana" w:cs="Arial"/>
          <w:color w:val="000000" w:themeColor="text1"/>
          <w:lang w:val="es-MX"/>
        </w:rPr>
      </w:pPr>
    </w:p>
    <w:p w14:paraId="29BB4BE1" w14:textId="115AB66E" w:rsidR="007F0365" w:rsidRDefault="007F0365" w:rsidP="0078457D">
      <w:pPr>
        <w:spacing w:after="0" w:line="240" w:lineRule="auto"/>
        <w:rPr>
          <w:rFonts w:ascii="Verdana" w:eastAsia="Geomanist Light" w:hAnsi="Verdana" w:cs="Arial"/>
          <w:color w:val="000000" w:themeColor="text1"/>
          <w:lang w:val="es-MX"/>
        </w:rPr>
      </w:pPr>
    </w:p>
    <w:p w14:paraId="60155C92" w14:textId="2E8D393D" w:rsidR="007F0365" w:rsidRDefault="007F0365" w:rsidP="0078457D">
      <w:pPr>
        <w:spacing w:after="0" w:line="240" w:lineRule="auto"/>
        <w:rPr>
          <w:rFonts w:ascii="Verdana" w:eastAsia="Geomanist Light" w:hAnsi="Verdana" w:cs="Arial"/>
          <w:color w:val="000000" w:themeColor="text1"/>
          <w:lang w:val="es-MX"/>
        </w:rPr>
      </w:pPr>
    </w:p>
    <w:p w14:paraId="7AD997B9" w14:textId="089E87C0" w:rsidR="007F0365" w:rsidRDefault="007F0365" w:rsidP="0078457D">
      <w:pPr>
        <w:spacing w:after="0" w:line="240" w:lineRule="auto"/>
        <w:rPr>
          <w:rFonts w:ascii="Verdana" w:eastAsia="Geomanist Light" w:hAnsi="Verdana" w:cs="Arial"/>
          <w:color w:val="000000" w:themeColor="text1"/>
          <w:lang w:val="es-MX"/>
        </w:rPr>
      </w:pPr>
    </w:p>
    <w:p w14:paraId="44CA87D3" w14:textId="28C97089" w:rsidR="007F0365" w:rsidRDefault="007F0365" w:rsidP="0078457D">
      <w:pPr>
        <w:spacing w:after="0" w:line="240" w:lineRule="auto"/>
        <w:rPr>
          <w:rFonts w:ascii="Verdana" w:eastAsia="Geomanist Light" w:hAnsi="Verdana" w:cs="Arial"/>
          <w:color w:val="000000" w:themeColor="text1"/>
          <w:lang w:val="es-MX"/>
        </w:rPr>
      </w:pPr>
    </w:p>
    <w:p w14:paraId="52EF0B2A" w14:textId="378C2A77" w:rsidR="007F0365" w:rsidRDefault="007F0365" w:rsidP="0078457D">
      <w:pPr>
        <w:spacing w:after="0" w:line="240" w:lineRule="auto"/>
        <w:rPr>
          <w:rFonts w:ascii="Verdana" w:eastAsia="Geomanist Light" w:hAnsi="Verdana" w:cs="Arial"/>
          <w:color w:val="000000" w:themeColor="text1"/>
          <w:lang w:val="es-MX"/>
        </w:rPr>
      </w:pPr>
    </w:p>
    <w:p w14:paraId="1745F9C4" w14:textId="77777777" w:rsidR="007F0365" w:rsidRDefault="007F0365" w:rsidP="0078457D">
      <w:pPr>
        <w:spacing w:after="0" w:line="240" w:lineRule="auto"/>
        <w:rPr>
          <w:rFonts w:ascii="Verdana" w:eastAsia="Geomanist Light" w:hAnsi="Verdana" w:cs="Arial"/>
          <w:color w:val="000000" w:themeColor="text1"/>
          <w:lang w:val="es-MX"/>
        </w:rPr>
      </w:pPr>
    </w:p>
    <w:p w14:paraId="10A1AC80" w14:textId="77777777" w:rsidR="005D6B09" w:rsidRDefault="005D6B09" w:rsidP="0078457D">
      <w:pPr>
        <w:spacing w:after="0" w:line="240" w:lineRule="auto"/>
        <w:rPr>
          <w:rFonts w:ascii="Verdana" w:eastAsia="Geomanist Light" w:hAnsi="Verdana" w:cs="Arial"/>
          <w:color w:val="000000" w:themeColor="text1"/>
          <w:lang w:val="es-MX"/>
        </w:rPr>
      </w:pPr>
    </w:p>
    <w:p w14:paraId="7332794C" w14:textId="77777777" w:rsidR="005D6B09" w:rsidRDefault="005D6B09" w:rsidP="0078457D">
      <w:pPr>
        <w:spacing w:after="0" w:line="240" w:lineRule="auto"/>
        <w:rPr>
          <w:rFonts w:ascii="Verdana" w:eastAsia="Geomanist Light" w:hAnsi="Verdana" w:cs="Arial"/>
          <w:color w:val="000000" w:themeColor="text1"/>
          <w:lang w:val="es-MX"/>
        </w:rPr>
      </w:pPr>
    </w:p>
    <w:p w14:paraId="2AB0A072" w14:textId="256372A9" w:rsidR="0078457D" w:rsidRDefault="005D6B09" w:rsidP="0078457D">
      <w:pPr>
        <w:spacing w:after="0" w:line="240" w:lineRule="auto"/>
        <w:rPr>
          <w:rFonts w:ascii="Verdana" w:eastAsia="Geomanist Light" w:hAnsi="Verdana" w:cs="Arial"/>
          <w:color w:val="201F1E"/>
          <w:lang w:val="es-MX"/>
        </w:rPr>
      </w:pPr>
      <w:r>
        <w:rPr>
          <w:rFonts w:ascii="Verdana" w:eastAsia="Calibri" w:hAnsi="Verdana" w:cs="Arial"/>
          <w:b/>
          <w:noProof/>
          <w:lang w:val="es-ES" w:eastAsia="es-ES"/>
        </w:rPr>
        <w:drawing>
          <wp:anchor distT="0" distB="0" distL="114300" distR="114300" simplePos="0" relativeHeight="251658240" behindDoc="0" locked="0" layoutInCell="1" allowOverlap="1" wp14:anchorId="58BF3D6C" wp14:editId="5791FF3C">
            <wp:simplePos x="0" y="0"/>
            <wp:positionH relativeFrom="column">
              <wp:posOffset>2803418</wp:posOffset>
            </wp:positionH>
            <wp:positionV relativeFrom="paragraph">
              <wp:posOffset>101864</wp:posOffset>
            </wp:positionV>
            <wp:extent cx="2815627" cy="841571"/>
            <wp:effectExtent l="0" t="0" r="381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0">
                      <a:extLst>
                        <a:ext uri="{28A0092B-C50C-407E-A947-70E740481C1C}">
                          <a14:useLocalDpi xmlns:a14="http://schemas.microsoft.com/office/drawing/2010/main" val="0"/>
                        </a:ext>
                      </a:extLst>
                    </a:blip>
                    <a:stretch>
                      <a:fillRect/>
                    </a:stretch>
                  </pic:blipFill>
                  <pic:spPr>
                    <a:xfrm>
                      <a:off x="0" y="0"/>
                      <a:ext cx="2815627" cy="841571"/>
                    </a:xfrm>
                    <a:prstGeom prst="rect">
                      <a:avLst/>
                    </a:prstGeom>
                  </pic:spPr>
                </pic:pic>
              </a:graphicData>
            </a:graphic>
            <wp14:sizeRelH relativeFrom="page">
              <wp14:pctWidth>0</wp14:pctWidth>
            </wp14:sizeRelH>
            <wp14:sizeRelV relativeFrom="page">
              <wp14:pctHeight>0</wp14:pctHeight>
            </wp14:sizeRelV>
          </wp:anchor>
        </w:drawing>
      </w:r>
      <w:r w:rsidR="0078457D">
        <w:rPr>
          <w:rFonts w:ascii="Verdana" w:eastAsia="Geomanist Light" w:hAnsi="Verdana" w:cs="Arial"/>
          <w:color w:val="000000" w:themeColor="text1"/>
          <w:lang w:val="es-MX"/>
        </w:rPr>
        <w:t>Bogotá D.C., </w:t>
      </w:r>
      <w:r>
        <w:rPr>
          <w:rFonts w:ascii="Verdana" w:eastAsia="Geomanist Light" w:hAnsi="Verdana" w:cs="Arial"/>
          <w:color w:val="000000" w:themeColor="text1"/>
          <w:lang w:val="es-MX"/>
        </w:rPr>
        <w:t xml:space="preserve">01 de </w:t>
      </w:r>
      <w:proofErr w:type="gramStart"/>
      <w:r>
        <w:rPr>
          <w:rFonts w:ascii="Verdana" w:eastAsia="Geomanist Light" w:hAnsi="Verdana" w:cs="Arial"/>
          <w:color w:val="000000" w:themeColor="text1"/>
          <w:lang w:val="es-MX"/>
        </w:rPr>
        <w:t>Octubre</w:t>
      </w:r>
      <w:proofErr w:type="gramEnd"/>
      <w:r>
        <w:rPr>
          <w:rFonts w:ascii="Verdana" w:eastAsia="Geomanist Light" w:hAnsi="Verdana" w:cs="Arial"/>
          <w:color w:val="000000" w:themeColor="text1"/>
          <w:lang w:val="es-MX"/>
        </w:rPr>
        <w:t xml:space="preserve"> de 2025</w:t>
      </w:r>
    </w:p>
    <w:p w14:paraId="55080E5A" w14:textId="1E74AD1C" w:rsidR="0078457D" w:rsidRDefault="0078457D" w:rsidP="0078457D">
      <w:pPr>
        <w:spacing w:after="0" w:line="240" w:lineRule="auto"/>
        <w:jc w:val="both"/>
        <w:rPr>
          <w:rFonts w:ascii="Verdana" w:eastAsia="Calibri" w:hAnsi="Verdana" w:cs="Arial"/>
          <w:color w:val="000000"/>
          <w:lang w:val="es-ES"/>
        </w:rPr>
      </w:pPr>
    </w:p>
    <w:p w14:paraId="311B83D7" w14:textId="5B82DFE9" w:rsidR="0078457D" w:rsidRDefault="0078457D" w:rsidP="0078457D">
      <w:pPr>
        <w:spacing w:after="0" w:line="240" w:lineRule="auto"/>
        <w:jc w:val="both"/>
        <w:rPr>
          <w:rFonts w:ascii="Verdana" w:eastAsia="Calibri" w:hAnsi="Verdana" w:cs="Arial"/>
          <w:lang w:val="es-ES" w:eastAsia="es-ES"/>
        </w:rPr>
      </w:pPr>
      <w:bookmarkStart w:id="0" w:name="_Hlk208479311"/>
      <w:r>
        <w:rPr>
          <w:rFonts w:ascii="Verdana" w:eastAsia="Calibri" w:hAnsi="Verdana" w:cs="Arial"/>
          <w:lang w:val="es-ES" w:eastAsia="es-ES"/>
        </w:rPr>
        <w:t>Señora</w:t>
      </w:r>
    </w:p>
    <w:p w14:paraId="079D8D3A" w14:textId="606C9C49" w:rsidR="0078457D" w:rsidRDefault="0078457D" w:rsidP="0078457D">
      <w:pPr>
        <w:spacing w:after="0" w:line="240" w:lineRule="auto"/>
        <w:rPr>
          <w:rFonts w:ascii="Verdana" w:eastAsia="Calibri" w:hAnsi="Verdana" w:cs="Arial"/>
          <w:b/>
          <w:lang w:val="es-ES" w:eastAsia="es-ES"/>
        </w:rPr>
      </w:pPr>
      <w:r>
        <w:rPr>
          <w:rFonts w:ascii="Verdana" w:eastAsia="Calibri" w:hAnsi="Verdana" w:cs="Arial"/>
          <w:b/>
          <w:lang w:val="es-ES" w:eastAsia="es-ES"/>
        </w:rPr>
        <w:t>Eliana Guerrero Muñoz</w:t>
      </w:r>
    </w:p>
    <w:p w14:paraId="423F8D70" w14:textId="77777777" w:rsidR="0078457D" w:rsidRPr="00C53B42" w:rsidRDefault="0078457D" w:rsidP="0078457D">
      <w:pPr>
        <w:spacing w:after="0" w:line="240" w:lineRule="auto"/>
        <w:rPr>
          <w:rFonts w:ascii="Verdana" w:hAnsi="Verdana" w:cs="ArialMT"/>
        </w:rPr>
      </w:pPr>
      <w:hyperlink r:id="rId11" w:history="1">
        <w:r w:rsidRPr="00891C10">
          <w:rPr>
            <w:rStyle w:val="Hipervnculo"/>
            <w:rFonts w:ascii="Verdana" w:hAnsi="Verdana" w:cs="ArialMT"/>
          </w:rPr>
          <w:t>eguemu2021@gmail.com</w:t>
        </w:r>
      </w:hyperlink>
      <w:r>
        <w:rPr>
          <w:rFonts w:ascii="Verdana" w:hAnsi="Verdana" w:cs="ArialMT"/>
        </w:rPr>
        <w:t xml:space="preserve"> </w:t>
      </w:r>
      <w:r w:rsidRPr="00C53B42">
        <w:rPr>
          <w:rFonts w:ascii="Verdana" w:hAnsi="Verdana" w:cs="ArialMT"/>
        </w:rPr>
        <w:t xml:space="preserve">  </w:t>
      </w:r>
    </w:p>
    <w:bookmarkEnd w:id="0"/>
    <w:p w14:paraId="1B21D157" w14:textId="77777777" w:rsidR="0078457D" w:rsidRPr="00C53B42" w:rsidRDefault="0078457D" w:rsidP="0078457D">
      <w:pPr>
        <w:spacing w:after="0" w:line="240" w:lineRule="auto"/>
        <w:rPr>
          <w:rFonts w:ascii="Verdana" w:hAnsi="Verdana" w:cs="ArialMT"/>
        </w:rPr>
      </w:pPr>
      <w:r>
        <w:rPr>
          <w:rFonts w:ascii="Verdana" w:eastAsia="Calibri" w:hAnsi="Verdana" w:cs="Arial"/>
          <w:lang w:val="es-ES" w:eastAsia="es-ES"/>
        </w:rPr>
        <w:t>Cali, Valle del Cauca</w:t>
      </w:r>
    </w:p>
    <w:p w14:paraId="7B68AD4D" w14:textId="77777777" w:rsidR="0078457D" w:rsidRPr="00C53B42" w:rsidRDefault="0078457D" w:rsidP="0078457D">
      <w:pPr>
        <w:spacing w:after="0" w:line="240" w:lineRule="auto"/>
        <w:rPr>
          <w:rFonts w:ascii="Verdana" w:eastAsia="Calibri" w:hAnsi="Verdana" w:cs="Arial"/>
          <w:b/>
          <w:bCs/>
          <w:color w:val="000000"/>
          <w:lang w:val="es-ES_tradnl" w:eastAsia="es-ES_tradnl"/>
        </w:rPr>
      </w:pPr>
    </w:p>
    <w:p w14:paraId="79CD53BD" w14:textId="77777777" w:rsidR="0078457D" w:rsidRPr="00C53B42" w:rsidRDefault="0078457D" w:rsidP="0078457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8457D" w:rsidRPr="00C53B42" w14:paraId="128F2283" w14:textId="77777777" w:rsidTr="00231398">
        <w:trPr>
          <w:trHeight w:val="218"/>
        </w:trPr>
        <w:tc>
          <w:tcPr>
            <w:tcW w:w="2689" w:type="dxa"/>
          </w:tcPr>
          <w:p w14:paraId="551261BC" w14:textId="77777777" w:rsidR="0078457D" w:rsidRPr="00C53B42" w:rsidRDefault="0078457D" w:rsidP="00231398">
            <w:pPr>
              <w:spacing w:line="240" w:lineRule="auto"/>
              <w:jc w:val="both"/>
              <w:rPr>
                <w:rFonts w:ascii="Verdana" w:eastAsia="Calibri" w:hAnsi="Verdana" w:cs="Arial"/>
                <w:b/>
                <w:bCs/>
                <w:color w:val="7030A0"/>
                <w:lang w:val="es-ES_tradnl" w:eastAsia="es-ES_tradnl"/>
              </w:rPr>
            </w:pPr>
          </w:p>
        </w:tc>
        <w:tc>
          <w:tcPr>
            <w:tcW w:w="6100" w:type="dxa"/>
            <w:hideMark/>
          </w:tcPr>
          <w:p w14:paraId="3D3C4EAD" w14:textId="77777777" w:rsidR="0078457D" w:rsidRPr="00C53B42" w:rsidRDefault="0078457D" w:rsidP="00231398">
            <w:pPr>
              <w:spacing w:line="240" w:lineRule="auto"/>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-1244</w:t>
            </w:r>
            <w:r w:rsidRPr="00C53B42">
              <w:rPr>
                <w:rFonts w:ascii="Verdana" w:eastAsia="Calibri" w:hAnsi="Verdana" w:cs="Arial"/>
                <w:b/>
                <w:bCs/>
                <w:lang w:val="es-ES" w:eastAsia="es-ES"/>
              </w:rPr>
              <w:t xml:space="preserve"> de 2025</w:t>
            </w:r>
          </w:p>
          <w:p w14:paraId="4DA31378" w14:textId="77777777" w:rsidR="0078457D" w:rsidRPr="00C53B42" w:rsidRDefault="0078457D" w:rsidP="00231398">
            <w:pPr>
              <w:spacing w:line="240" w:lineRule="auto"/>
              <w:jc w:val="both"/>
              <w:rPr>
                <w:rFonts w:ascii="Verdana" w:eastAsia="Calibri" w:hAnsi="Verdana" w:cs="Arial"/>
                <w:b/>
                <w:bCs/>
                <w:lang w:val="es-ES" w:eastAsia="es-ES"/>
              </w:rPr>
            </w:pPr>
          </w:p>
          <w:p w14:paraId="042ECD85" w14:textId="77777777" w:rsidR="0078457D" w:rsidRPr="00C53B42" w:rsidRDefault="0078457D" w:rsidP="00231398">
            <w:pPr>
              <w:spacing w:line="240" w:lineRule="auto"/>
              <w:jc w:val="both"/>
              <w:rPr>
                <w:rFonts w:ascii="Verdana" w:eastAsia="Calibri" w:hAnsi="Verdana" w:cs="Arial"/>
                <w:b/>
                <w:bCs/>
                <w:lang w:val="es-ES" w:eastAsia="es-ES"/>
              </w:rPr>
            </w:pPr>
          </w:p>
        </w:tc>
      </w:tr>
      <w:tr w:rsidR="0078457D" w:rsidRPr="00C53B42" w14:paraId="4C87826F" w14:textId="77777777" w:rsidTr="00231398">
        <w:trPr>
          <w:trHeight w:val="884"/>
        </w:trPr>
        <w:tc>
          <w:tcPr>
            <w:tcW w:w="2689" w:type="dxa"/>
            <w:hideMark/>
          </w:tcPr>
          <w:p w14:paraId="182BC21A" w14:textId="77777777" w:rsidR="0078457D" w:rsidRPr="00C53B42" w:rsidRDefault="0078457D" w:rsidP="00231398">
            <w:pPr>
              <w:spacing w:line="240" w:lineRule="auto"/>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61C20FFF" w14:textId="77777777" w:rsidR="0078457D" w:rsidRDefault="0078457D" w:rsidP="00231398">
            <w:pPr>
              <w:spacing w:line="240" w:lineRule="auto"/>
              <w:jc w:val="both"/>
              <w:rPr>
                <w:rFonts w:ascii="Verdana" w:hAnsi="Verdana" w:cs="Arial"/>
                <w:bCs/>
                <w:color w:val="000000" w:themeColor="text1"/>
                <w:lang w:val="es-ES_tradnl"/>
              </w:rPr>
            </w:pPr>
            <w:r>
              <w:rPr>
                <w:rFonts w:ascii="Verdana" w:hAnsi="Verdana" w:cs="Arial"/>
                <w:bCs/>
                <w:color w:val="000000" w:themeColor="text1"/>
                <w:lang w:val="es-ES_tradnl"/>
              </w:rPr>
              <w:t>LICITACIÓN PÚBLICA – Regla general – Procedimiento / LICITACIÓN DE OBRA PÚBLICA – Características / SECOP – Publicación Proceso Licitación pública (Obra Pública)</w:t>
            </w:r>
          </w:p>
          <w:p w14:paraId="290E9007" w14:textId="77777777" w:rsidR="00E9285A" w:rsidRPr="006A06BA" w:rsidRDefault="00E9285A" w:rsidP="00231398">
            <w:pPr>
              <w:spacing w:line="240" w:lineRule="auto"/>
              <w:jc w:val="both"/>
              <w:rPr>
                <w:rFonts w:ascii="Verdana" w:hAnsi="Verdana" w:cs="Arial"/>
                <w:bCs/>
                <w:color w:val="000000" w:themeColor="text1"/>
                <w:highlight w:val="yellow"/>
                <w:lang w:val="es-ES_tradnl"/>
              </w:rPr>
            </w:pPr>
          </w:p>
          <w:p w14:paraId="6CEC9E73" w14:textId="77777777" w:rsidR="0078457D" w:rsidRPr="006A06BA" w:rsidRDefault="0078457D" w:rsidP="00231398">
            <w:pPr>
              <w:spacing w:line="240" w:lineRule="auto"/>
              <w:jc w:val="both"/>
              <w:rPr>
                <w:rFonts w:ascii="Verdana" w:eastAsia="Calibri" w:hAnsi="Verdana" w:cs="Arial"/>
                <w:highlight w:val="yellow"/>
                <w:lang w:val="es-ES" w:eastAsia="es-ES"/>
              </w:rPr>
            </w:pPr>
          </w:p>
        </w:tc>
      </w:tr>
      <w:tr w:rsidR="0078457D" w14:paraId="014D6BEC" w14:textId="77777777" w:rsidTr="00231398">
        <w:tc>
          <w:tcPr>
            <w:tcW w:w="2689" w:type="dxa"/>
            <w:hideMark/>
          </w:tcPr>
          <w:p w14:paraId="05A3C275" w14:textId="77777777" w:rsidR="0078457D" w:rsidRPr="00C53B42" w:rsidRDefault="0078457D" w:rsidP="00231398">
            <w:pPr>
              <w:spacing w:line="240" w:lineRule="auto"/>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7667A5B8" w14:textId="77777777" w:rsidR="0078457D" w:rsidRPr="00C53B42" w:rsidRDefault="0078457D" w:rsidP="00231398">
            <w:pPr>
              <w:spacing w:line="240" w:lineRule="auto"/>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645BF0">
              <w:rPr>
                <w:rFonts w:ascii="Verdana" w:eastAsia="Calibri" w:hAnsi="Verdana" w:cs="Arial"/>
                <w:lang w:val="es-ES_tradnl" w:eastAsia="es-ES_tradnl"/>
              </w:rPr>
              <w:t>1_2025_08_21_008873</w:t>
            </w:r>
          </w:p>
        </w:tc>
      </w:tr>
    </w:tbl>
    <w:p w14:paraId="1231FBC1" w14:textId="77777777" w:rsidR="0078457D" w:rsidRDefault="0078457D" w:rsidP="0078457D">
      <w:pPr>
        <w:spacing w:after="0" w:line="240" w:lineRule="auto"/>
        <w:jc w:val="both"/>
        <w:rPr>
          <w:rFonts w:ascii="Verdana" w:eastAsia="Calibri" w:hAnsi="Verdana" w:cs="Arial"/>
          <w:color w:val="000000"/>
          <w:lang w:val="es-ES_tradnl" w:eastAsia="es-ES_tradnl"/>
        </w:rPr>
      </w:pPr>
    </w:p>
    <w:p w14:paraId="2293C560" w14:textId="77777777" w:rsidR="0078457D" w:rsidRDefault="0078457D" w:rsidP="0078457D">
      <w:pPr>
        <w:spacing w:after="0" w:line="240" w:lineRule="auto"/>
        <w:jc w:val="both"/>
        <w:rPr>
          <w:rFonts w:ascii="Verdana" w:eastAsia="Calibri" w:hAnsi="Verdana" w:cs="Arial"/>
          <w:color w:val="000000"/>
          <w:lang w:val="es-ES_tradnl" w:eastAsia="es-ES_tradnl"/>
        </w:rPr>
      </w:pPr>
    </w:p>
    <w:p w14:paraId="1A07C3F0" w14:textId="77777777" w:rsidR="0078457D" w:rsidRDefault="0078457D" w:rsidP="0078457D">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Guerrero,</w:t>
      </w:r>
    </w:p>
    <w:p w14:paraId="36F49808" w14:textId="77777777" w:rsidR="0078457D" w:rsidRDefault="0078457D" w:rsidP="0078457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07931D3" w14:textId="77777777" w:rsidR="0078457D" w:rsidRDefault="0078457D" w:rsidP="0078457D">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con fecha 21 de agosto de 2025, en la cual manifiesta lo siguiente: </w:t>
      </w:r>
    </w:p>
    <w:p w14:paraId="247955C1" w14:textId="77777777" w:rsidR="0078457D" w:rsidRDefault="0078457D" w:rsidP="0078457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DDB8861" w14:textId="77777777" w:rsidR="0078457D" w:rsidRPr="00BF30E7" w:rsidRDefault="0078457D" w:rsidP="0078457D">
      <w:pPr>
        <w:autoSpaceDE w:val="0"/>
        <w:autoSpaceDN w:val="0"/>
        <w:adjustRightInd w:val="0"/>
        <w:spacing w:after="0" w:line="276" w:lineRule="auto"/>
        <w:ind w:left="851" w:right="616"/>
        <w:jc w:val="both"/>
        <w:rPr>
          <w:rFonts w:ascii="Verdana" w:hAnsi="Verdana" w:cs="ArialMT"/>
          <w:sz w:val="20"/>
          <w:szCs w:val="20"/>
        </w:rPr>
      </w:pPr>
      <w:r w:rsidRPr="00BF30E7">
        <w:rPr>
          <w:rFonts w:ascii="Verdana" w:hAnsi="Verdana" w:cs="ArialMT"/>
          <w:sz w:val="20"/>
          <w:szCs w:val="20"/>
        </w:rPr>
        <w:t>“</w:t>
      </w:r>
      <w:proofErr w:type="gramStart"/>
      <w:r w:rsidRPr="00BF30E7">
        <w:rPr>
          <w:rFonts w:ascii="Verdana" w:hAnsi="Verdana" w:cs="ArialMT"/>
          <w:sz w:val="20"/>
          <w:szCs w:val="20"/>
        </w:rPr>
        <w:t>Solicito por favor se me indique cuando se va a adelantar un proceso contractual para reparación de techos de un edificio público, que por la cuantía se debe aplicar la licitación pública, se puede publicar en el SECOP II, en el tipo de proceso "Licitación Pública"?</w:t>
      </w:r>
      <w:proofErr w:type="gramEnd"/>
      <w:r w:rsidRPr="00BF30E7">
        <w:rPr>
          <w:rFonts w:ascii="Verdana" w:hAnsi="Verdana" w:cs="ArialMT"/>
          <w:sz w:val="20"/>
          <w:szCs w:val="20"/>
        </w:rPr>
        <w:t xml:space="preserve"> o se debe publicar en el tipo "Licitación Pública de Obra" teniendo en cuenta que no se aplica pliego tipo, y tengo entendido que la segunda opción es para pliego tipo. me pueden orientar. Gracias:”</w:t>
      </w:r>
    </w:p>
    <w:p w14:paraId="4A0BE514" w14:textId="77777777" w:rsidR="0078457D" w:rsidRPr="00924340" w:rsidRDefault="0078457D" w:rsidP="0078457D">
      <w:pPr>
        <w:autoSpaceDE w:val="0"/>
        <w:autoSpaceDN w:val="0"/>
        <w:adjustRightInd w:val="0"/>
        <w:spacing w:after="0" w:line="276" w:lineRule="auto"/>
        <w:ind w:left="851" w:right="616"/>
        <w:jc w:val="both"/>
        <w:rPr>
          <w:rFonts w:ascii="Verdana" w:eastAsia="Century Gothic" w:hAnsi="Verdana" w:cs="Century Gothic"/>
          <w:b/>
        </w:rPr>
      </w:pPr>
    </w:p>
    <w:p w14:paraId="45600310" w14:textId="77777777" w:rsidR="0078457D" w:rsidRDefault="0078457D" w:rsidP="0078457D">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F624BA4" w14:textId="77777777" w:rsidR="0078457D" w:rsidRDefault="0078457D" w:rsidP="0078457D">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8FC895A" w14:textId="77777777" w:rsidR="0078457D" w:rsidRDefault="0078457D" w:rsidP="0078457D">
      <w:pPr>
        <w:spacing w:after="0" w:line="276" w:lineRule="auto"/>
        <w:ind w:firstLine="709"/>
        <w:jc w:val="both"/>
        <w:rPr>
          <w:rFonts w:ascii="Verdana" w:eastAsia="Calibri" w:hAnsi="Verdana" w:cs="Arial"/>
          <w:color w:val="000000"/>
          <w:lang w:val="es-ES" w:eastAsia="es-ES"/>
        </w:rPr>
      </w:pPr>
    </w:p>
    <w:p w14:paraId="1B2E1312" w14:textId="77777777" w:rsidR="0078457D" w:rsidRDefault="0078457D" w:rsidP="007845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519E570E" w14:textId="77777777" w:rsidR="0078457D" w:rsidRDefault="0078457D" w:rsidP="0078457D">
      <w:pPr>
        <w:tabs>
          <w:tab w:val="left" w:pos="426"/>
        </w:tabs>
        <w:spacing w:after="0" w:line="276" w:lineRule="auto"/>
        <w:jc w:val="both"/>
        <w:rPr>
          <w:rFonts w:ascii="Verdana" w:eastAsia="Century Gothic" w:hAnsi="Verdana" w:cs="Century Gothic"/>
          <w:lang w:val="es-ES"/>
        </w:rPr>
      </w:pPr>
    </w:p>
    <w:p w14:paraId="427E92CC" w14:textId="77777777" w:rsidR="0078457D" w:rsidRDefault="0078457D" w:rsidP="0078457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¿Cuáles son las características de la licitación pública de obra y cómo se realiza la publicación de este tipo de procesos en el SECOP II? </w:t>
      </w:r>
    </w:p>
    <w:p w14:paraId="0CD2665E" w14:textId="77777777" w:rsidR="0078457D" w:rsidRDefault="0078457D" w:rsidP="0078457D">
      <w:pPr>
        <w:spacing w:after="0" w:line="276" w:lineRule="auto"/>
        <w:jc w:val="both"/>
        <w:rPr>
          <w:rFonts w:ascii="Verdana" w:eastAsia="Calibri" w:hAnsi="Verdana" w:cs="Arial"/>
          <w:color w:val="7030A0"/>
          <w:lang w:val="es-ES"/>
        </w:rPr>
      </w:pPr>
    </w:p>
    <w:p w14:paraId="7EADD7D8" w14:textId="77777777" w:rsidR="0078457D" w:rsidRDefault="0078457D" w:rsidP="007845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6E3E8668" w14:textId="77777777" w:rsidR="0078457D" w:rsidRDefault="0078457D" w:rsidP="0078457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8457D" w:rsidRPr="001B5827" w14:paraId="43F851A5" w14:textId="77777777" w:rsidTr="00231398">
        <w:tc>
          <w:tcPr>
            <w:tcW w:w="8828" w:type="dxa"/>
            <w:tcBorders>
              <w:top w:val="dotted" w:sz="4" w:space="0" w:color="auto"/>
              <w:left w:val="dotted" w:sz="4" w:space="0" w:color="auto"/>
              <w:bottom w:val="dotted" w:sz="4" w:space="0" w:color="auto"/>
              <w:right w:val="dotted" w:sz="4" w:space="0" w:color="auto"/>
            </w:tcBorders>
          </w:tcPr>
          <w:p w14:paraId="6FB7373E" w14:textId="77777777" w:rsidR="0078457D" w:rsidRPr="007126AD" w:rsidRDefault="0078457D" w:rsidP="004650D0">
            <w:pPr>
              <w:spacing w:after="120" w:line="276" w:lineRule="auto"/>
              <w:jc w:val="both"/>
              <w:rPr>
                <w:rFonts w:ascii="Verdana" w:eastAsia="Calibri" w:hAnsi="Verdana" w:cs="Arial"/>
                <w:color w:val="000000" w:themeColor="text1"/>
              </w:rPr>
            </w:pPr>
            <w:r w:rsidRPr="007126AD">
              <w:rPr>
                <w:rFonts w:ascii="Verdana" w:hAnsi="Verdana"/>
              </w:rPr>
              <w:t>Los Procesos de Contratación que deben adelantar las Entidades Estatales para</w:t>
            </w:r>
            <w:r w:rsidRPr="007126AD">
              <w:rPr>
                <w:rFonts w:ascii="Verdana" w:eastAsia="Calibri" w:hAnsi="Verdana" w:cs="Arial"/>
                <w:color w:val="000000" w:themeColor="text1"/>
              </w:rPr>
              <w:t xml:space="preserve"> adquirir los bienes, obras o servicios que se requieren, se rigen por procedimientos reglados establecidos por la ley y el reglamento. Si bien el artículo 2 de la Ley 1150 de 2007 prevé distintas modalidades de selección, competitivas y no competitivas, sujetas a procedimientos distintos, todas deben agotar una etapa precontractual en la que se realiza la planeación del contrato, lo cual se refleja en el análisis del sector económico y en los estudios previos. </w:t>
            </w:r>
          </w:p>
          <w:p w14:paraId="62CF4247" w14:textId="77777777" w:rsidR="0078457D" w:rsidRPr="007126AD" w:rsidRDefault="0078457D" w:rsidP="00BF30E7">
            <w:pPr>
              <w:widowControl w:val="0"/>
              <w:autoSpaceDE w:val="0"/>
              <w:autoSpaceDN w:val="0"/>
              <w:spacing w:after="120" w:line="276" w:lineRule="auto"/>
              <w:ind w:firstLine="709"/>
              <w:jc w:val="both"/>
              <w:rPr>
                <w:rFonts w:ascii="Verdana" w:hAnsi="Verdana" w:cs="Arial"/>
                <w:color w:val="000000" w:themeColor="text1"/>
              </w:rPr>
            </w:pPr>
            <w:r w:rsidRPr="007126AD">
              <w:rPr>
                <w:rFonts w:ascii="Verdana" w:hAnsi="Verdana" w:cs="Arial"/>
                <w:lang w:val="es-ES"/>
              </w:rPr>
              <w:t xml:space="preserve">El </w:t>
            </w:r>
            <w:r w:rsidRPr="007126AD">
              <w:rPr>
                <w:rFonts w:ascii="Verdana" w:eastAsia="Calibri" w:hAnsi="Verdana" w:cs="Arial"/>
                <w:bCs/>
                <w:lang w:val="es-MX" w:eastAsia="es-ES_tradnl"/>
              </w:rPr>
              <w:t>numeral uno, inciso primero, de la norma citada</w:t>
            </w:r>
            <w:r w:rsidRPr="007126AD">
              <w:rPr>
                <w:rFonts w:ascii="Verdana" w:hAnsi="Verdana" w:cs="Arial"/>
                <w:bCs/>
                <w:lang w:val="es-ES_tradnl"/>
              </w:rPr>
              <w:t xml:space="preserve"> </w:t>
            </w:r>
            <w:r w:rsidRPr="007126AD">
              <w:rPr>
                <w:rFonts w:ascii="Verdana" w:eastAsia="Calibri" w:hAnsi="Verdana" w:cs="Arial"/>
                <w:bCs/>
                <w:lang w:val="es-MX" w:eastAsia="es-ES_tradnl"/>
              </w:rPr>
              <w:t xml:space="preserve">dispone que “La escogencia del contratista se efectuará por </w:t>
            </w:r>
            <w:r w:rsidRPr="007126AD">
              <w:rPr>
                <w:rFonts w:ascii="Verdana" w:eastAsia="Calibri" w:hAnsi="Verdana" w:cs="Arial"/>
                <w:bCs/>
                <w:i/>
                <w:iCs/>
                <w:lang w:val="es-MX" w:eastAsia="es-ES_tradnl"/>
              </w:rPr>
              <w:t>regla general</w:t>
            </w:r>
            <w:r w:rsidRPr="007126AD">
              <w:rPr>
                <w:rFonts w:ascii="Verdana" w:eastAsia="Calibri" w:hAnsi="Verdana" w:cs="Arial"/>
                <w:bCs/>
                <w:lang w:val="es-MX" w:eastAsia="es-ES_tradnl"/>
              </w:rPr>
              <w:t xml:space="preserve"> a través de licitación pública, con las </w:t>
            </w:r>
            <w:r w:rsidRPr="007126AD">
              <w:rPr>
                <w:rFonts w:ascii="Verdana" w:eastAsia="Calibri" w:hAnsi="Verdana" w:cs="Arial"/>
                <w:bCs/>
                <w:i/>
                <w:iCs/>
                <w:lang w:val="es-MX" w:eastAsia="es-ES_tradnl"/>
              </w:rPr>
              <w:t>excepciones</w:t>
            </w:r>
            <w:r w:rsidRPr="007126AD">
              <w:rPr>
                <w:rFonts w:ascii="Verdana" w:eastAsia="Calibri" w:hAnsi="Verdana" w:cs="Arial"/>
                <w:bCs/>
                <w:lang w:val="es-MX" w:eastAsia="es-ES_tradnl"/>
              </w:rPr>
              <w:t xml:space="preserve"> que se señalan en los numerales 2, 3 y 4 del presente artículo”. </w:t>
            </w:r>
            <w:r w:rsidRPr="007126AD">
              <w:rPr>
                <w:rFonts w:ascii="Verdana" w:hAnsi="Verdana" w:cs="Arial"/>
                <w:color w:val="000000" w:themeColor="text1"/>
              </w:rPr>
              <w:t xml:space="preserve">En relación con la licitación pública, el artículo 30 de la Ley 80 de 1993 definió la estructura del proceso y estableció sus fases. Según esta normativa, se puede distinguir entre la fase de planificación o preparatoria y la licitación propiamente dicha, adicionalmente se regula en el Decreto 1082 </w:t>
            </w:r>
            <w:r w:rsidRPr="007126AD">
              <w:rPr>
                <w:rFonts w:ascii="Verdana" w:hAnsi="Verdana" w:cs="Arial"/>
                <w:color w:val="000000" w:themeColor="text1"/>
              </w:rPr>
              <w:lastRenderedPageBreak/>
              <w:t xml:space="preserve">de 2015. </w:t>
            </w:r>
          </w:p>
          <w:p w14:paraId="482E76D0" w14:textId="7A98F54B" w:rsidR="0078457D" w:rsidRPr="00BF30E7" w:rsidRDefault="0078457D" w:rsidP="00BF30E7">
            <w:pPr>
              <w:widowControl w:val="0"/>
              <w:autoSpaceDE w:val="0"/>
              <w:autoSpaceDN w:val="0"/>
              <w:spacing w:after="120" w:line="276" w:lineRule="auto"/>
              <w:ind w:firstLine="738"/>
              <w:jc w:val="both"/>
              <w:rPr>
                <w:rFonts w:ascii="Verdana" w:hAnsi="Verdana" w:cs="Open Sans"/>
              </w:rPr>
            </w:pPr>
            <w:r w:rsidRPr="007126AD">
              <w:rPr>
                <w:rFonts w:ascii="Verdana" w:eastAsia="Calibri" w:hAnsi="Verdana" w:cs="Arial"/>
                <w:lang w:val="es-ES"/>
              </w:rPr>
              <w:t>Adicionalmente, la Ley 80 de 1993 en el numeral 1 de su artículo 32 define el contrato de obra como sigue:</w:t>
            </w:r>
            <w:r w:rsidR="00055533" w:rsidRPr="00BF30E7">
              <w:rPr>
                <w:rFonts w:ascii="Verdana" w:hAnsi="Verdana" w:cs="Open Sans"/>
              </w:rPr>
              <w:t xml:space="preserve"> “</w:t>
            </w:r>
            <w:r w:rsidRPr="00BF30E7">
              <w:rPr>
                <w:rFonts w:ascii="Verdana" w:hAnsi="Verdana" w:cs="Open Sans"/>
              </w:rPr>
              <w:t>Son contratos de obra los que celebren las entidades estatales para la construcción, mantenimiento, instalación y, en general, para la realización de cualquier otro trabajo material sobre bienes inmuebles, cualquiera que sea la modalidad de ejecución y pago</w:t>
            </w:r>
            <w:r w:rsidR="00055533" w:rsidRPr="00BF30E7">
              <w:rPr>
                <w:rFonts w:ascii="Verdana" w:hAnsi="Verdana" w:cs="Open Sans"/>
              </w:rPr>
              <w:t>”</w:t>
            </w:r>
            <w:r w:rsidRPr="00BF30E7">
              <w:rPr>
                <w:rFonts w:ascii="Verdana" w:hAnsi="Verdana" w:cs="Open Sans"/>
              </w:rPr>
              <w:t>.</w:t>
            </w:r>
          </w:p>
          <w:p w14:paraId="10FFB786" w14:textId="3C795FFC" w:rsidR="007126AD" w:rsidRPr="007126AD" w:rsidRDefault="0078457D" w:rsidP="00BF30E7">
            <w:pPr>
              <w:widowControl w:val="0"/>
              <w:autoSpaceDE w:val="0"/>
              <w:autoSpaceDN w:val="0"/>
              <w:spacing w:after="120" w:line="276" w:lineRule="auto"/>
              <w:ind w:firstLine="709"/>
              <w:jc w:val="both"/>
              <w:rPr>
                <w:rFonts w:ascii="Verdana" w:hAnsi="Verdana" w:cs="Open Sans"/>
              </w:rPr>
            </w:pPr>
            <w:r w:rsidRPr="007126AD">
              <w:rPr>
                <w:rFonts w:ascii="Verdana" w:eastAsia="Calibri" w:hAnsi="Verdana" w:cs="Arial"/>
                <w:lang w:val="es-ES"/>
              </w:rPr>
              <w:t>Como se puede observar los verbos rectores de este tipo de contrato son “</w:t>
            </w:r>
            <w:r w:rsidRPr="007126AD">
              <w:rPr>
                <w:rFonts w:ascii="Verdana" w:hAnsi="Verdana" w:cs="Open Sans"/>
              </w:rPr>
              <w:t>construcción, mantenimiento, instalación y, en general, para la realización de cualquier otro trabajo material sobre bienes inmuebles”, por lo que en cada caso la entidad en su fase precontractual definirá si la</w:t>
            </w:r>
            <w:r w:rsidR="007126AD" w:rsidRPr="007126AD">
              <w:rPr>
                <w:rFonts w:ascii="Verdana" w:hAnsi="Verdana" w:cs="Open Sans"/>
              </w:rPr>
              <w:t xml:space="preserve">s actividades que se van a </w:t>
            </w:r>
            <w:proofErr w:type="gramStart"/>
            <w:r w:rsidR="007126AD" w:rsidRPr="007126AD">
              <w:rPr>
                <w:rFonts w:ascii="Verdana" w:hAnsi="Verdana" w:cs="Open Sans"/>
              </w:rPr>
              <w:t xml:space="preserve">desarrollar </w:t>
            </w:r>
            <w:r w:rsidRPr="007126AD">
              <w:rPr>
                <w:rFonts w:ascii="Verdana" w:hAnsi="Verdana" w:cs="Open Sans"/>
              </w:rPr>
              <w:t xml:space="preserve"> se</w:t>
            </w:r>
            <w:proofErr w:type="gramEnd"/>
            <w:r w:rsidRPr="007126AD">
              <w:rPr>
                <w:rFonts w:ascii="Verdana" w:hAnsi="Verdana" w:cs="Open Sans"/>
              </w:rPr>
              <w:t xml:space="preserve"> enmarca</w:t>
            </w:r>
            <w:r w:rsidR="007126AD" w:rsidRPr="007126AD">
              <w:rPr>
                <w:rFonts w:ascii="Verdana" w:hAnsi="Verdana" w:cs="Open Sans"/>
              </w:rPr>
              <w:t>n</w:t>
            </w:r>
            <w:r w:rsidRPr="007126AD">
              <w:rPr>
                <w:rFonts w:ascii="Verdana" w:hAnsi="Verdana" w:cs="Open Sans"/>
              </w:rPr>
              <w:t xml:space="preserve"> en este</w:t>
            </w:r>
            <w:r w:rsidR="007126AD" w:rsidRPr="007126AD">
              <w:rPr>
                <w:rFonts w:ascii="Verdana" w:hAnsi="Verdana" w:cs="Open Sans"/>
              </w:rPr>
              <w:t xml:space="preserve"> tipo de</w:t>
            </w:r>
            <w:r w:rsidRPr="007126AD">
              <w:rPr>
                <w:rFonts w:ascii="Verdana" w:hAnsi="Verdana" w:cs="Open Sans"/>
              </w:rPr>
              <w:t xml:space="preserve"> contrato</w:t>
            </w:r>
            <w:r w:rsidR="007126AD" w:rsidRPr="007126AD">
              <w:rPr>
                <w:rFonts w:ascii="Verdana" w:hAnsi="Verdana" w:cs="Open Sans"/>
              </w:rPr>
              <w:t>, de acuerdo con los verbos rectores que lo definen legalmente</w:t>
            </w:r>
            <w:r w:rsidRPr="007126AD">
              <w:rPr>
                <w:rFonts w:ascii="Verdana" w:hAnsi="Verdana" w:cs="Open Sans"/>
              </w:rPr>
              <w:t xml:space="preserve">. </w:t>
            </w:r>
          </w:p>
          <w:p w14:paraId="073FAEC8" w14:textId="7969BDD9" w:rsidR="0078457D" w:rsidRDefault="0078457D" w:rsidP="00BF30E7">
            <w:pPr>
              <w:widowControl w:val="0"/>
              <w:autoSpaceDE w:val="0"/>
              <w:autoSpaceDN w:val="0"/>
              <w:spacing w:after="120" w:line="276" w:lineRule="auto"/>
              <w:ind w:firstLine="709"/>
              <w:jc w:val="both"/>
              <w:rPr>
                <w:rFonts w:ascii="Verdana" w:hAnsi="Verdana" w:cs="Open Sans"/>
              </w:rPr>
            </w:pPr>
            <w:r w:rsidRPr="00F76091">
              <w:rPr>
                <w:rFonts w:ascii="Verdana" w:hAnsi="Verdana" w:cs="Open Sans"/>
              </w:rPr>
              <w:t xml:space="preserve">Por su parte, en cuanto a la modalidad de selección de licitación pública para este tipo de contratos, es decir para la seleccionar contratistas de obra pública, la Ley 1882 de 2018 adicionó los parágrafos 2 y 3 al artículo 30 de la Ley 80 de 1993, que regula el procedimiento de la licitación pública. </w:t>
            </w:r>
            <w:r w:rsidR="007126AD">
              <w:rPr>
                <w:rFonts w:ascii="Verdana" w:hAnsi="Verdana" w:cs="Open Sans"/>
              </w:rPr>
              <w:t>Así las cosas</w:t>
            </w:r>
            <w:r>
              <w:rPr>
                <w:rFonts w:ascii="Verdana" w:hAnsi="Verdana" w:cs="Open Sans"/>
              </w:rPr>
              <w:t xml:space="preserve">, el procedimiento de la licitación pública de obra, aparte de lo establecido de forma general en el artículo 30 </w:t>
            </w:r>
            <w:r w:rsidR="007126AD">
              <w:rPr>
                <w:rFonts w:ascii="Verdana" w:hAnsi="Verdana" w:cs="Open Sans"/>
              </w:rPr>
              <w:t>de la Ley 80 de 1993</w:t>
            </w:r>
            <w:r>
              <w:rPr>
                <w:rFonts w:ascii="Verdana" w:hAnsi="Verdana" w:cs="Open Sans"/>
              </w:rPr>
              <w:t>, deberá regirse por</w:t>
            </w:r>
            <w:r w:rsidR="007126AD">
              <w:rPr>
                <w:rFonts w:ascii="Verdana" w:hAnsi="Verdana" w:cs="Open Sans"/>
              </w:rPr>
              <w:t xml:space="preserve"> las siguientes reglas</w:t>
            </w:r>
            <w:r>
              <w:rPr>
                <w:rFonts w:ascii="Verdana" w:hAnsi="Verdana" w:cs="Open Sans"/>
              </w:rPr>
              <w:t>:</w:t>
            </w:r>
          </w:p>
          <w:p w14:paraId="5705B336" w14:textId="4E0E5A95" w:rsidR="0078457D" w:rsidRPr="00BF30E7" w:rsidRDefault="00645A65" w:rsidP="00BF30E7">
            <w:pPr>
              <w:widowControl w:val="0"/>
              <w:autoSpaceDE w:val="0"/>
              <w:autoSpaceDN w:val="0"/>
              <w:spacing w:after="120" w:line="276" w:lineRule="auto"/>
              <w:ind w:firstLine="709"/>
              <w:jc w:val="both"/>
              <w:rPr>
                <w:rFonts w:ascii="Verdana" w:hAnsi="Verdana" w:cs="Open Sans"/>
              </w:rPr>
            </w:pPr>
            <w:r>
              <w:rPr>
                <w:rFonts w:ascii="Verdana" w:hAnsi="Verdana" w:cs="Open Sans"/>
              </w:rPr>
              <w:t xml:space="preserve">i) </w:t>
            </w:r>
            <w:r w:rsidR="0078457D" w:rsidRPr="00BF30E7">
              <w:rPr>
                <w:rFonts w:ascii="Verdana" w:hAnsi="Verdana" w:cs="Open Sans"/>
              </w:rPr>
              <w:t xml:space="preserve">En virtud del parágrafo 2, las ofertas deben presentarse en dos sobres, el primero incluyendo los documentos relativos al cumplimiento de los requisitos habilitantes y los requisitos calificables – que asignen puntaje – diferentes a la oferta económica, y el segundo incluyendo únicamente la propuesta económica. </w:t>
            </w:r>
          </w:p>
          <w:p w14:paraId="526A6065" w14:textId="77777777" w:rsidR="00645A65" w:rsidRDefault="00645A65" w:rsidP="00BF30E7">
            <w:pPr>
              <w:widowControl w:val="0"/>
              <w:autoSpaceDE w:val="0"/>
              <w:autoSpaceDN w:val="0"/>
              <w:spacing w:after="120" w:line="276" w:lineRule="auto"/>
              <w:ind w:firstLine="709"/>
              <w:jc w:val="both"/>
              <w:rPr>
                <w:rFonts w:ascii="Verdana" w:hAnsi="Verdana" w:cs="Open Sans"/>
              </w:rPr>
            </w:pPr>
            <w:proofErr w:type="spellStart"/>
            <w:r>
              <w:rPr>
                <w:rFonts w:ascii="Verdana" w:hAnsi="Verdana" w:cs="Open Sans"/>
              </w:rPr>
              <w:t>ii</w:t>
            </w:r>
            <w:proofErr w:type="spellEnd"/>
            <w:r>
              <w:rPr>
                <w:rFonts w:ascii="Verdana" w:hAnsi="Verdana" w:cs="Open Sans"/>
              </w:rPr>
              <w:t xml:space="preserve">) </w:t>
            </w:r>
            <w:r w:rsidR="0078457D" w:rsidRPr="00BF30E7">
              <w:rPr>
                <w:rFonts w:ascii="Verdana" w:hAnsi="Verdana" w:cs="Open Sans"/>
              </w:rPr>
              <w:t xml:space="preserve">En virtud del parágrafo 3, las entidades deben publicar el informe de evaluación relativo a los requisitos habilitantes y a los requisitos calificables diferentes a la oferta económica – documentos incluidos en el primer sobre de cada oferta – dentro del plazo establecido en el pliego de condiciones. </w:t>
            </w:r>
          </w:p>
          <w:p w14:paraId="34E23CC6" w14:textId="05271B7B" w:rsidR="00EF63ED" w:rsidRDefault="0078457D" w:rsidP="00BF30E7">
            <w:pPr>
              <w:widowControl w:val="0"/>
              <w:autoSpaceDE w:val="0"/>
              <w:autoSpaceDN w:val="0"/>
              <w:spacing w:after="120" w:line="276" w:lineRule="auto"/>
              <w:ind w:firstLine="709"/>
              <w:jc w:val="both"/>
              <w:rPr>
                <w:rFonts w:ascii="Verdana" w:hAnsi="Verdana" w:cs="Open Sans"/>
              </w:rPr>
            </w:pPr>
            <w:r w:rsidRPr="00BF30E7">
              <w:rPr>
                <w:rFonts w:ascii="Verdana" w:hAnsi="Verdana" w:cs="Open Sans"/>
              </w:rPr>
              <w:t xml:space="preserve">Dicho informe estará publicado por </w:t>
            </w:r>
            <w:r w:rsidR="00A014FC">
              <w:rPr>
                <w:rFonts w:ascii="Verdana" w:hAnsi="Verdana" w:cs="Open Sans"/>
              </w:rPr>
              <w:t>cinco (</w:t>
            </w:r>
            <w:r w:rsidRPr="00BF30E7">
              <w:rPr>
                <w:rFonts w:ascii="Verdana" w:hAnsi="Verdana" w:cs="Open Sans"/>
              </w:rPr>
              <w:t>5</w:t>
            </w:r>
            <w:r w:rsidR="00A014FC">
              <w:rPr>
                <w:rFonts w:ascii="Verdana" w:hAnsi="Verdana" w:cs="Open Sans"/>
              </w:rPr>
              <w:t>)</w:t>
            </w:r>
            <w:r w:rsidRPr="00BF30E7">
              <w:rPr>
                <w:rFonts w:ascii="Verdana" w:hAnsi="Verdana" w:cs="Open Sans"/>
              </w:rPr>
              <w:t xml:space="preserve"> días hábiles en el SECOP, dentro de los cuales los proponentes podrán hacer observaciones y entregar la información solicitada por la entidad</w:t>
            </w:r>
            <w:r w:rsidR="00BB6230">
              <w:rPr>
                <w:rFonts w:ascii="Verdana" w:hAnsi="Verdana" w:cs="Open Sans"/>
              </w:rPr>
              <w:t>.</w:t>
            </w:r>
            <w:r w:rsidRPr="00BF30E7">
              <w:rPr>
                <w:rFonts w:ascii="Verdana" w:hAnsi="Verdana" w:cs="Open Sans"/>
              </w:rPr>
              <w:t xml:space="preserve"> </w:t>
            </w:r>
            <w:r w:rsidR="00BB6230">
              <w:rPr>
                <w:rFonts w:ascii="Verdana" w:hAnsi="Verdana" w:cs="Open Sans"/>
              </w:rPr>
              <w:t>U</w:t>
            </w:r>
            <w:r w:rsidRPr="00BF30E7">
              <w:rPr>
                <w:rFonts w:ascii="Verdana" w:hAnsi="Verdana" w:cs="Open Sans"/>
              </w:rPr>
              <w:t xml:space="preserve">na vez finalizado este término, la entidad debe pronunciarse sobre las observaciones recibidas y publicar el informe final de evaluación. </w:t>
            </w:r>
          </w:p>
          <w:p w14:paraId="10B8F95C" w14:textId="7750C9A2" w:rsidR="0078457D" w:rsidRPr="00BF30E7" w:rsidRDefault="00EF63ED" w:rsidP="00BF30E7">
            <w:pPr>
              <w:widowControl w:val="0"/>
              <w:autoSpaceDE w:val="0"/>
              <w:autoSpaceDN w:val="0"/>
              <w:spacing w:after="120" w:line="276" w:lineRule="auto"/>
              <w:ind w:firstLine="709"/>
              <w:jc w:val="both"/>
              <w:rPr>
                <w:rFonts w:ascii="Verdana" w:hAnsi="Verdana" w:cs="Open Sans"/>
              </w:rPr>
            </w:pPr>
            <w:proofErr w:type="spellStart"/>
            <w:r>
              <w:rPr>
                <w:rFonts w:ascii="Verdana" w:hAnsi="Verdana" w:cs="Open Sans"/>
              </w:rPr>
              <w:t>iii</w:t>
            </w:r>
            <w:proofErr w:type="spellEnd"/>
            <w:r>
              <w:rPr>
                <w:rFonts w:ascii="Verdana" w:hAnsi="Verdana" w:cs="Open Sans"/>
              </w:rPr>
              <w:t xml:space="preserve">) </w:t>
            </w:r>
            <w:r w:rsidR="0078457D" w:rsidRPr="00BF30E7">
              <w:rPr>
                <w:rFonts w:ascii="Verdana" w:hAnsi="Verdana" w:cs="Open Sans"/>
              </w:rPr>
              <w:t xml:space="preserve">Por su parte, el segundo sobre de cada oferta relativo a la propuesta </w:t>
            </w:r>
            <w:r w:rsidR="0078457D" w:rsidRPr="00BF30E7">
              <w:rPr>
                <w:rFonts w:ascii="Verdana" w:hAnsi="Verdana" w:cs="Open Sans"/>
              </w:rPr>
              <w:lastRenderedPageBreak/>
              <w:t xml:space="preserve">económica se mantendrá cerrado hasta la audiencia de adjudicación, diligencia en la cual se dará apertura al sobre, se evaluarán las ofertas económicas conforme al mecanismo establecido en los pliegos de condiciones, dando traslado a los proponentes habilitados en relación con el aspecto económico y se establece el orden de elegibilidad. </w:t>
            </w:r>
          </w:p>
          <w:p w14:paraId="17E84052" w14:textId="37042B7B" w:rsidR="0078457D" w:rsidRPr="001B5827" w:rsidRDefault="0078457D" w:rsidP="00BF30E7">
            <w:pPr>
              <w:widowControl w:val="0"/>
              <w:autoSpaceDE w:val="0"/>
              <w:autoSpaceDN w:val="0"/>
              <w:spacing w:line="276" w:lineRule="auto"/>
              <w:ind w:firstLine="709"/>
              <w:jc w:val="both"/>
              <w:rPr>
                <w:rFonts w:ascii="Verdana" w:hAnsi="Verdana"/>
              </w:rPr>
            </w:pPr>
            <w:r>
              <w:rPr>
                <w:rFonts w:ascii="Verdana" w:hAnsi="Verdana" w:cs="Open Sans"/>
              </w:rPr>
              <w:t xml:space="preserve">Conforme a esta regulación especial que adicionó la </w:t>
            </w:r>
            <w:r w:rsidR="00EF63ED">
              <w:rPr>
                <w:rFonts w:ascii="Verdana" w:hAnsi="Verdana" w:cs="Open Sans"/>
              </w:rPr>
              <w:t>L</w:t>
            </w:r>
            <w:r>
              <w:rPr>
                <w:rFonts w:ascii="Verdana" w:hAnsi="Verdana" w:cs="Open Sans"/>
              </w:rPr>
              <w:t xml:space="preserve">ey 1882 de 2018 para el procedimiento de licitación pública de obra, en el SECOP II se encuentra configurado el Módulo de “Licitación pública (obra pública)” con su respectiva Sección de “configuración” que incluye el cronograma y la posibilidad de elegir si al proceso aplican o no los Documentos Tipo, y con la Sección de “Cuestionario” en la que se dispone el espacio para el sobre 1 y el sobre 2. </w:t>
            </w:r>
            <w:r w:rsidR="004650D0">
              <w:rPr>
                <w:rFonts w:ascii="Verdana" w:hAnsi="Verdana" w:cs="Open Sans"/>
              </w:rPr>
              <w:t>Al respecto, s</w:t>
            </w:r>
            <w:r>
              <w:rPr>
                <w:rFonts w:ascii="Verdana" w:hAnsi="Verdana" w:cs="Open Sans"/>
              </w:rPr>
              <w:t xml:space="preserve">e anexa a este concepto </w:t>
            </w:r>
            <w:r w:rsidR="004650D0">
              <w:rPr>
                <w:rFonts w:ascii="Verdana" w:hAnsi="Verdana" w:cs="Open Sans"/>
              </w:rPr>
              <w:t xml:space="preserve">la </w:t>
            </w:r>
            <w:r>
              <w:rPr>
                <w:rFonts w:ascii="Verdana" w:hAnsi="Verdana" w:cs="Open Sans"/>
              </w:rPr>
              <w:t xml:space="preserve">explicación de cómo publicar este tipo de procesos en la plataforma. </w:t>
            </w:r>
          </w:p>
        </w:tc>
      </w:tr>
    </w:tbl>
    <w:p w14:paraId="28610833" w14:textId="77777777" w:rsidR="0078457D" w:rsidRPr="001B5827" w:rsidRDefault="0078457D" w:rsidP="0078457D">
      <w:pPr>
        <w:tabs>
          <w:tab w:val="left" w:pos="142"/>
          <w:tab w:val="left" w:pos="284"/>
        </w:tabs>
        <w:spacing w:after="0" w:line="276" w:lineRule="auto"/>
        <w:jc w:val="both"/>
        <w:rPr>
          <w:rFonts w:ascii="Verdana" w:eastAsia="Century Gothic" w:hAnsi="Verdana" w:cs="Century Gothic"/>
          <w:b/>
          <w:bCs/>
          <w:lang w:val="es-ES"/>
        </w:rPr>
      </w:pPr>
    </w:p>
    <w:p w14:paraId="2D845D87" w14:textId="77777777" w:rsidR="0078457D" w:rsidRPr="001B5827" w:rsidRDefault="0078457D" w:rsidP="007845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4A04C515" w14:textId="77777777" w:rsidR="0078457D" w:rsidRPr="001B5827" w:rsidRDefault="0078457D" w:rsidP="0078457D">
      <w:pPr>
        <w:spacing w:after="0" w:line="276" w:lineRule="auto"/>
        <w:jc w:val="both"/>
        <w:rPr>
          <w:rFonts w:ascii="Verdana" w:eastAsia="Calibri" w:hAnsi="Verdana" w:cs="Arial"/>
          <w:lang w:val="es-ES"/>
        </w:rPr>
      </w:pPr>
    </w:p>
    <w:p w14:paraId="34098395" w14:textId="77777777" w:rsidR="0078457D" w:rsidRDefault="0078457D" w:rsidP="0078457D">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6C09B382" w14:textId="77777777" w:rsidR="0078457D" w:rsidRDefault="0078457D" w:rsidP="0078457D">
      <w:pPr>
        <w:spacing w:after="0" w:line="276" w:lineRule="auto"/>
        <w:jc w:val="both"/>
        <w:rPr>
          <w:rFonts w:ascii="Verdana" w:eastAsia="Calibri" w:hAnsi="Verdana" w:cs="Arial"/>
          <w:lang w:val="es-ES"/>
        </w:rPr>
      </w:pPr>
    </w:p>
    <w:p w14:paraId="4B386DE6" w14:textId="77777777" w:rsidR="0078457D" w:rsidRDefault="0078457D" w:rsidP="004650D0">
      <w:pPr>
        <w:spacing w:after="120" w:line="276" w:lineRule="auto"/>
        <w:jc w:val="both"/>
        <w:rPr>
          <w:rFonts w:ascii="Verdana" w:eastAsia="Calibri" w:hAnsi="Verdana" w:cs="Arial"/>
          <w:color w:val="000000" w:themeColor="text1"/>
        </w:rPr>
      </w:pPr>
      <w:r>
        <w:rPr>
          <w:rFonts w:ascii="Verdana" w:hAnsi="Verdana"/>
        </w:rPr>
        <w:t>Los Procesos de Contratación que deben adelantar las Entidades Estatales para</w:t>
      </w:r>
      <w:r w:rsidRPr="0007375E">
        <w:rPr>
          <w:rFonts w:ascii="Verdana" w:eastAsia="Calibri" w:hAnsi="Verdana" w:cs="Arial"/>
          <w:color w:val="000000" w:themeColor="text1"/>
        </w:rPr>
        <w:t xml:space="preserve"> adquirir </w:t>
      </w:r>
      <w:r>
        <w:rPr>
          <w:rFonts w:ascii="Verdana" w:eastAsia="Calibri" w:hAnsi="Verdana" w:cs="Arial"/>
          <w:color w:val="000000" w:themeColor="text1"/>
        </w:rPr>
        <w:t xml:space="preserve">los </w:t>
      </w:r>
      <w:r w:rsidRPr="0007375E">
        <w:rPr>
          <w:rFonts w:ascii="Verdana" w:eastAsia="Calibri" w:hAnsi="Verdana" w:cs="Arial"/>
          <w:color w:val="000000" w:themeColor="text1"/>
        </w:rPr>
        <w:t>bienes</w:t>
      </w:r>
      <w:r>
        <w:rPr>
          <w:rFonts w:ascii="Verdana" w:eastAsia="Calibri" w:hAnsi="Verdana" w:cs="Arial"/>
          <w:color w:val="000000" w:themeColor="text1"/>
        </w:rPr>
        <w:t>,</w:t>
      </w:r>
      <w:r w:rsidRPr="0007375E">
        <w:rPr>
          <w:rFonts w:ascii="Verdana" w:eastAsia="Calibri" w:hAnsi="Verdana" w:cs="Arial"/>
          <w:color w:val="000000" w:themeColor="text1"/>
        </w:rPr>
        <w:t xml:space="preserve"> o</w:t>
      </w:r>
      <w:r>
        <w:rPr>
          <w:rFonts w:ascii="Verdana" w:eastAsia="Calibri" w:hAnsi="Verdana" w:cs="Arial"/>
          <w:color w:val="000000" w:themeColor="text1"/>
        </w:rPr>
        <w:t xml:space="preserve">bras o </w:t>
      </w:r>
      <w:r w:rsidRPr="0007375E">
        <w:rPr>
          <w:rFonts w:ascii="Verdana" w:eastAsia="Calibri" w:hAnsi="Verdana" w:cs="Arial"/>
          <w:color w:val="000000" w:themeColor="text1"/>
        </w:rPr>
        <w:t xml:space="preserve">servicios </w:t>
      </w:r>
      <w:r>
        <w:rPr>
          <w:rFonts w:ascii="Verdana" w:eastAsia="Calibri" w:hAnsi="Verdana" w:cs="Arial"/>
          <w:color w:val="000000" w:themeColor="text1"/>
        </w:rPr>
        <w:t>que se requieren, se rigen por procedimientos reglados establecidos por la ley y el reglamento</w:t>
      </w:r>
      <w:r w:rsidRPr="0007375E">
        <w:rPr>
          <w:rFonts w:ascii="Verdana" w:eastAsia="Calibri" w:hAnsi="Verdana" w:cs="Arial"/>
          <w:color w:val="000000" w:themeColor="text1"/>
        </w:rPr>
        <w:t>.</w:t>
      </w:r>
      <w:r>
        <w:rPr>
          <w:rFonts w:ascii="Verdana" w:eastAsia="Calibri" w:hAnsi="Verdana" w:cs="Arial"/>
          <w:color w:val="000000" w:themeColor="text1"/>
        </w:rPr>
        <w:t xml:space="preserve"> Si bien el artículo 2 de la Ley 1150 de 2007 prevé distintas modalidades de selección, competitivas y no competitivas, sujetas a procedimientos distintos, todas deben agotar una etapa precontractual en la que se realiza la planeación del contrato, lo cual se refleja en el análisis del sector económico y en los estudios previos. </w:t>
      </w:r>
    </w:p>
    <w:p w14:paraId="4EDCEB24" w14:textId="77777777" w:rsidR="0078457D" w:rsidRPr="00185EE9" w:rsidRDefault="0078457D" w:rsidP="004650D0">
      <w:pPr>
        <w:spacing w:after="120" w:line="276" w:lineRule="auto"/>
        <w:ind w:firstLine="708"/>
        <w:jc w:val="both"/>
        <w:rPr>
          <w:rFonts w:ascii="Verdana" w:eastAsia="Calibri" w:hAnsi="Verdana" w:cs="Arial"/>
          <w:bCs/>
          <w:lang w:val="es-MX" w:eastAsia="es-ES_tradnl"/>
        </w:rPr>
      </w:pPr>
      <w:r w:rsidRPr="00185EE9">
        <w:rPr>
          <w:rFonts w:ascii="Verdana" w:hAnsi="Verdana" w:cs="Arial"/>
          <w:lang w:val="es-ES"/>
        </w:rPr>
        <w:t xml:space="preserve">El </w:t>
      </w:r>
      <w:r w:rsidRPr="00185EE9">
        <w:rPr>
          <w:rFonts w:ascii="Verdana" w:eastAsia="Calibri" w:hAnsi="Verdana" w:cs="Arial"/>
          <w:bCs/>
          <w:lang w:val="es-MX" w:eastAsia="es-ES_tradnl"/>
        </w:rPr>
        <w:t>numeral uno, inciso primero, de la norma citada</w:t>
      </w:r>
      <w:r w:rsidRPr="00185EE9">
        <w:rPr>
          <w:rFonts w:ascii="Verdana" w:hAnsi="Verdana" w:cs="Arial"/>
          <w:bCs/>
          <w:lang w:val="es-ES_tradnl"/>
        </w:rPr>
        <w:t xml:space="preserve"> </w:t>
      </w:r>
      <w:r w:rsidRPr="00185EE9">
        <w:rPr>
          <w:rFonts w:ascii="Verdana" w:eastAsia="Calibri" w:hAnsi="Verdana" w:cs="Arial"/>
          <w:bCs/>
          <w:lang w:val="es-MX" w:eastAsia="es-ES_tradnl"/>
        </w:rPr>
        <w:t xml:space="preserve">dispone que “La escogencia del contratista se efectuará por </w:t>
      </w:r>
      <w:r w:rsidRPr="00185EE9">
        <w:rPr>
          <w:rFonts w:ascii="Verdana" w:eastAsia="Calibri" w:hAnsi="Verdana" w:cs="Arial"/>
          <w:bCs/>
          <w:i/>
          <w:iCs/>
          <w:lang w:val="es-MX" w:eastAsia="es-ES_tradnl"/>
        </w:rPr>
        <w:t>regla general</w:t>
      </w:r>
      <w:r w:rsidRPr="00185EE9">
        <w:rPr>
          <w:rFonts w:ascii="Verdana" w:eastAsia="Calibri" w:hAnsi="Verdana" w:cs="Arial"/>
          <w:bCs/>
          <w:lang w:val="es-MX" w:eastAsia="es-ES_tradnl"/>
        </w:rPr>
        <w:t xml:space="preserve"> a través de licitación pública, con las </w:t>
      </w:r>
      <w:r w:rsidRPr="00185EE9">
        <w:rPr>
          <w:rFonts w:ascii="Verdana" w:eastAsia="Calibri" w:hAnsi="Verdana" w:cs="Arial"/>
          <w:bCs/>
          <w:i/>
          <w:iCs/>
          <w:lang w:val="es-MX" w:eastAsia="es-ES_tradnl"/>
        </w:rPr>
        <w:t>excepciones</w:t>
      </w:r>
      <w:r w:rsidRPr="00185EE9">
        <w:rPr>
          <w:rFonts w:ascii="Verdana" w:eastAsia="Calibri" w:hAnsi="Verdana" w:cs="Arial"/>
          <w:bCs/>
          <w:lang w:val="es-MX" w:eastAsia="es-ES_tradnl"/>
        </w:rPr>
        <w:t xml:space="preserve"> que se señalan en los numerales 2, 3 y 4 del presente artículo”, norma que sustituye el derogado numeral 1 del artículo 24 de la Ley 80 de 1993 sobre el principio de transparencia</w:t>
      </w:r>
      <w:r w:rsidRPr="00185EE9">
        <w:rPr>
          <w:rStyle w:val="Refdenotaalpie"/>
          <w:rFonts w:ascii="Verdana" w:eastAsia="Calibri" w:hAnsi="Verdana" w:cs="Arial"/>
          <w:bCs/>
          <w:lang w:val="es-MX" w:eastAsia="es-ES_tradnl"/>
        </w:rPr>
        <w:footnoteReference w:id="2"/>
      </w:r>
      <w:r w:rsidRPr="00185EE9">
        <w:rPr>
          <w:rFonts w:ascii="Verdana" w:eastAsia="Calibri" w:hAnsi="Verdana" w:cs="Arial"/>
          <w:bCs/>
          <w:lang w:val="es-MX" w:eastAsia="es-ES_tradnl"/>
        </w:rPr>
        <w:t xml:space="preserve">. </w:t>
      </w:r>
    </w:p>
    <w:p w14:paraId="0C35B513" w14:textId="77777777" w:rsidR="0078457D" w:rsidRDefault="0078457D" w:rsidP="004650D0">
      <w:pPr>
        <w:spacing w:after="120" w:line="276" w:lineRule="auto"/>
        <w:ind w:firstLine="708"/>
        <w:jc w:val="both"/>
        <w:rPr>
          <w:rFonts w:ascii="Verdana" w:eastAsia="Calibri" w:hAnsi="Verdana" w:cs="Arial"/>
          <w:bCs/>
          <w:lang w:val="es-MX" w:eastAsia="es-ES_tradnl"/>
        </w:rPr>
      </w:pPr>
      <w:r>
        <w:rPr>
          <w:rFonts w:ascii="Verdana" w:eastAsia="Calibri" w:hAnsi="Verdana" w:cs="Arial"/>
          <w:bCs/>
          <w:lang w:val="es-MX" w:eastAsia="es-ES_tradnl"/>
        </w:rPr>
        <w:t>Así, s</w:t>
      </w:r>
      <w:r w:rsidRPr="00185EE9">
        <w:rPr>
          <w:rFonts w:ascii="Verdana" w:eastAsia="Calibri" w:hAnsi="Verdana" w:cs="Arial"/>
          <w:bCs/>
          <w:lang w:val="es-MX" w:eastAsia="es-ES_tradnl"/>
        </w:rPr>
        <w:t xml:space="preserve">alvo norma especial que ordene la celebración del negocio jurídico por otra modalidad de selección, debe aplicarse la regla general de licitación </w:t>
      </w:r>
      <w:r w:rsidRPr="00185EE9">
        <w:rPr>
          <w:rFonts w:ascii="Verdana" w:eastAsia="Calibri" w:hAnsi="Verdana" w:cs="Arial"/>
          <w:bCs/>
          <w:lang w:val="es-MX" w:eastAsia="es-ES_tradnl"/>
        </w:rPr>
        <w:lastRenderedPageBreak/>
        <w:t>pública.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05D6D99B" w14:textId="77777777" w:rsidR="0078457D" w:rsidRPr="0007375E" w:rsidRDefault="0078457D" w:rsidP="00BF30E7">
      <w:pPr>
        <w:tabs>
          <w:tab w:val="left" w:pos="851"/>
          <w:tab w:val="left" w:pos="1134"/>
        </w:tabs>
        <w:spacing w:after="120" w:line="276" w:lineRule="auto"/>
        <w:jc w:val="both"/>
        <w:rPr>
          <w:rFonts w:ascii="Verdana" w:hAnsi="Verdana" w:cs="Arial"/>
          <w:color w:val="000000" w:themeColor="text1"/>
        </w:rPr>
      </w:pPr>
      <w:r>
        <w:rPr>
          <w:rFonts w:ascii="Verdana" w:hAnsi="Verdana" w:cs="Arial"/>
          <w:color w:val="000000" w:themeColor="text1"/>
        </w:rPr>
        <w:tab/>
      </w:r>
      <w:r w:rsidRPr="0007375E">
        <w:rPr>
          <w:rFonts w:ascii="Verdana" w:hAnsi="Verdana" w:cs="Arial"/>
          <w:color w:val="000000" w:themeColor="text1"/>
        </w:rPr>
        <w:t xml:space="preserve">En relación con la licitación pública, el artículo 30 de la Ley 80 de 1993 definió la estructura del proceso y estableció sus fases. Según esta normativa, se puede distinguir entre la fase de planificación o preparatoria y la licitación propiamente dicha. El </w:t>
      </w:r>
      <w:r>
        <w:rPr>
          <w:rFonts w:ascii="Verdana" w:hAnsi="Verdana" w:cs="Arial"/>
          <w:color w:val="000000" w:themeColor="text1"/>
        </w:rPr>
        <w:t>numeral</w:t>
      </w:r>
      <w:r w:rsidRPr="0007375E">
        <w:rPr>
          <w:rFonts w:ascii="Verdana" w:hAnsi="Verdana" w:cs="Arial"/>
          <w:color w:val="000000" w:themeColor="text1"/>
        </w:rPr>
        <w:t xml:space="preserve"> 1 del artículo mencionado establece dos momentos en el procedimiento de licitación: por un lado, el relacionado con la planificación, ya que la entidad, antes de iniciar el proceso de selección, debe desarrollar los estudios previos que fundamenten técnica y jurídicamente la contratación, de acuerdo con el </w:t>
      </w:r>
      <w:r>
        <w:rPr>
          <w:rFonts w:ascii="Verdana" w:hAnsi="Verdana" w:cs="Arial"/>
          <w:color w:val="000000" w:themeColor="text1"/>
        </w:rPr>
        <w:t>numeral</w:t>
      </w:r>
      <w:r w:rsidRPr="0007375E">
        <w:rPr>
          <w:rFonts w:ascii="Verdana" w:hAnsi="Verdana" w:cs="Arial"/>
          <w:color w:val="000000" w:themeColor="text1"/>
        </w:rPr>
        <w:t xml:space="preserve"> 12 del artículo 25 de esa ley y el artículo 2.2.1.1.2.1.1 del Decreto 1082 de 2015; por otro lado, se encuentra la etapa de inicio del proceso de selección en sí, que se inicia con el acto administrativo de apertura del proceso. Además, el </w:t>
      </w:r>
      <w:r>
        <w:rPr>
          <w:rFonts w:ascii="Verdana" w:hAnsi="Verdana" w:cs="Arial"/>
          <w:color w:val="000000" w:themeColor="text1"/>
        </w:rPr>
        <w:t>numeral</w:t>
      </w:r>
      <w:r w:rsidRPr="0007375E">
        <w:rPr>
          <w:rFonts w:ascii="Verdana" w:hAnsi="Verdana" w:cs="Arial"/>
          <w:color w:val="000000" w:themeColor="text1"/>
        </w:rPr>
        <w:t xml:space="preserve"> 2 del artículo 30 de la Ley 80 de 1993 impone la obligación de preparar un pliego de condiciones, conforme a lo estipulado en el </w:t>
      </w:r>
      <w:r>
        <w:rPr>
          <w:rFonts w:ascii="Verdana" w:hAnsi="Verdana" w:cs="Arial"/>
          <w:color w:val="000000" w:themeColor="text1"/>
        </w:rPr>
        <w:t>numeral</w:t>
      </w:r>
      <w:r w:rsidRPr="0007375E">
        <w:rPr>
          <w:rFonts w:ascii="Verdana" w:hAnsi="Verdana" w:cs="Arial"/>
          <w:color w:val="000000" w:themeColor="text1"/>
        </w:rPr>
        <w:t xml:space="preserve"> 5 del artículo 24 de la misma ley y en el artículo 2.2.1.1.2.1.3 del Decreto 1082 de 2015. </w:t>
      </w:r>
    </w:p>
    <w:p w14:paraId="1E66B7D9" w14:textId="77777777" w:rsidR="0078457D" w:rsidRPr="0007375E" w:rsidRDefault="0078457D" w:rsidP="00BF30E7">
      <w:pPr>
        <w:tabs>
          <w:tab w:val="left" w:pos="851"/>
          <w:tab w:val="left" w:pos="1134"/>
        </w:tabs>
        <w:spacing w:after="120" w:line="276" w:lineRule="auto"/>
        <w:ind w:firstLine="709"/>
        <w:jc w:val="both"/>
        <w:rPr>
          <w:rFonts w:ascii="Verdana" w:hAnsi="Verdana" w:cs="Arial"/>
          <w:color w:val="000000" w:themeColor="text1"/>
        </w:rPr>
      </w:pPr>
      <w:r w:rsidRPr="0007375E">
        <w:rPr>
          <w:rFonts w:ascii="Verdana" w:hAnsi="Verdana" w:cs="Arial"/>
          <w:color w:val="000000" w:themeColor="text1"/>
        </w:rPr>
        <w:t xml:space="preserve">Por su parte, el numeral 3 señala que dentro de los 10 o 20 días calendario antes de la apertura de la licitación, la entidad debe publicar hasta 3 avisos para invitar a participar en el proceso de licitación. Los avisos deberán publicarse con intervalos de 2 a 5 días calendario entre cada uno, en la página web de la entidad y en el SECOP; en defecto de los mecanismos anteriores, en los pequeños poblados, esta publicación debe realizarse por bando o en los principales lugares públicos, por un término de 7 días calendario, uno de los cuales será en el «día de mercado» de la respectiva población. Además, se debe publicar otro aviso que contendrá la información señalada en el artículo 2.2.1.1.2.1.2. del Decreto 1082 de 2015.  </w:t>
      </w:r>
    </w:p>
    <w:p w14:paraId="65A7BD92" w14:textId="77777777" w:rsidR="0078457D" w:rsidRPr="0007375E" w:rsidRDefault="0078457D" w:rsidP="00BF30E7">
      <w:pPr>
        <w:tabs>
          <w:tab w:val="left" w:pos="851"/>
          <w:tab w:val="left" w:pos="1134"/>
        </w:tabs>
        <w:spacing w:after="120" w:line="276" w:lineRule="auto"/>
        <w:ind w:firstLine="709"/>
        <w:jc w:val="both"/>
        <w:rPr>
          <w:rFonts w:ascii="Verdana" w:hAnsi="Verdana" w:cs="Arial"/>
          <w:color w:val="000000" w:themeColor="text1"/>
        </w:rPr>
      </w:pPr>
      <w:r w:rsidRPr="0007375E">
        <w:rPr>
          <w:rFonts w:ascii="Verdana" w:hAnsi="Verdana" w:cs="Arial"/>
          <w:color w:val="000000" w:themeColor="text1"/>
        </w:rPr>
        <w:t xml:space="preserve">De igual manera, debe elaborarse el proyecto de pliego de condiciones con base en el contenido de los documentos y estudios previos que, con anterioridad, estructuró la entidad para justificar la necesidad de la contratación. Los requisitos del pliego se encuentran en el artículo 2.2.1.1.2.1.3. del Decreto 1082 de 2015. Este documento debe publicarse en el SECOP </w:t>
      </w:r>
      <w:proofErr w:type="gramStart"/>
      <w:r w:rsidRPr="0007375E">
        <w:rPr>
          <w:rFonts w:ascii="Verdana" w:hAnsi="Verdana" w:cs="Arial"/>
          <w:color w:val="000000" w:themeColor="text1"/>
        </w:rPr>
        <w:t>conjuntamente con</w:t>
      </w:r>
      <w:proofErr w:type="gramEnd"/>
      <w:r w:rsidRPr="0007375E">
        <w:rPr>
          <w:rFonts w:ascii="Verdana" w:hAnsi="Verdana" w:cs="Arial"/>
          <w:color w:val="000000" w:themeColor="text1"/>
        </w:rPr>
        <w:t xml:space="preserve"> los estudios y documentos previos, por no menos de 10 días hábiles anteriores </w:t>
      </w:r>
      <w:r w:rsidRPr="0007375E">
        <w:rPr>
          <w:rFonts w:ascii="Verdana" w:hAnsi="Verdana" w:cs="Arial"/>
          <w:color w:val="000000" w:themeColor="text1"/>
        </w:rPr>
        <w:lastRenderedPageBreak/>
        <w:t>a la apertura del proceso de licitación, –</w:t>
      </w:r>
      <w:bookmarkStart w:id="1" w:name="_Hlk177288477"/>
      <w:r w:rsidRPr="0007375E">
        <w:rPr>
          <w:rFonts w:ascii="Verdana" w:hAnsi="Verdana" w:cs="Arial"/>
          <w:color w:val="000000" w:themeColor="text1"/>
        </w:rPr>
        <w:t>artículos 8</w:t>
      </w:r>
      <w:bookmarkEnd w:id="1"/>
      <w:r w:rsidRPr="0007375E">
        <w:rPr>
          <w:rFonts w:ascii="Verdana" w:hAnsi="Verdana" w:cs="Arial"/>
          <w:color w:val="000000" w:themeColor="text1"/>
        </w:rPr>
        <w:t xml:space="preserve"> de la Ley 1150 de 2007 y 2.2.1.1.2.1.4. del Decreto 1082 de 2015–.  </w:t>
      </w:r>
    </w:p>
    <w:p w14:paraId="6F207DA7" w14:textId="77777777" w:rsidR="0078457D" w:rsidRPr="0007375E" w:rsidRDefault="0078457D" w:rsidP="00BF30E7">
      <w:pPr>
        <w:tabs>
          <w:tab w:val="left" w:pos="851"/>
          <w:tab w:val="left" w:pos="1134"/>
        </w:tabs>
        <w:spacing w:after="120" w:line="276" w:lineRule="auto"/>
        <w:ind w:firstLine="709"/>
        <w:jc w:val="both"/>
        <w:rPr>
          <w:rFonts w:ascii="Verdana" w:hAnsi="Verdana" w:cs="Arial"/>
          <w:color w:val="000000" w:themeColor="text1"/>
        </w:rPr>
      </w:pPr>
      <w:r w:rsidRPr="0007375E">
        <w:rPr>
          <w:rFonts w:ascii="Verdana" w:hAnsi="Verdana" w:cs="Arial"/>
          <w:color w:val="000000" w:themeColor="text1"/>
        </w:rPr>
        <w:t xml:space="preserve">En armonía con lo anterior, los artículos </w:t>
      </w:r>
      <w:bookmarkStart w:id="2" w:name="_Hlk177288748"/>
      <w:r w:rsidRPr="0007375E">
        <w:rPr>
          <w:rFonts w:ascii="Verdana" w:hAnsi="Verdana" w:cs="Arial"/>
          <w:color w:val="000000" w:themeColor="text1"/>
        </w:rPr>
        <w:t>2.2.1.1.1.7.1</w:t>
      </w:r>
      <w:bookmarkEnd w:id="2"/>
      <w:r w:rsidRPr="0007375E">
        <w:rPr>
          <w:rFonts w:ascii="Verdana" w:hAnsi="Verdana" w:cs="Arial"/>
          <w:color w:val="000000" w:themeColor="text1"/>
        </w:rPr>
        <w:t xml:space="preserve">. y </w:t>
      </w:r>
      <w:bookmarkStart w:id="3" w:name="_Hlk177288766"/>
      <w:r w:rsidRPr="0007375E">
        <w:rPr>
          <w:rFonts w:ascii="Verdana" w:hAnsi="Verdana" w:cs="Arial"/>
          <w:color w:val="000000" w:themeColor="text1"/>
        </w:rPr>
        <w:t>2.2.1.1.2.1.4</w:t>
      </w:r>
      <w:bookmarkEnd w:id="3"/>
      <w:r w:rsidRPr="0007375E">
        <w:rPr>
          <w:rFonts w:ascii="Verdana" w:hAnsi="Verdana" w:cs="Arial"/>
          <w:color w:val="000000" w:themeColor="text1"/>
        </w:rPr>
        <w:t xml:space="preserve">. del Decreto 1082 de 2015 establecen otra actuación, la de observaciones al proyecto de pliego de condiciones, que consiste en que, dentro del término de publicación del proyecto de pliego de condiciones, los interesados en la contratación podrán presentar aclaraciones, comentarios u observaciones respecto del contenido del proyecto de pliego de condiciones. Además, conforme a los tiempos establecidos en el cronograma del proceso contenido en el “aviso de convocatoria” y en el “proyecto de pliego de condiciones”, la entidad debe responder, de forma motivada, cada una de las observaciones y publicarlas en el SECOP. Posteriormente, la entidad ajustará el pliego de condiciones, de ser procedente, tomando en cuenta, en lo pertinente, las aclaraciones que fueron solicitadas por los interesados y las observaciones. Debe tenerse en cuenta que las respuestas a dichas observaciones se integran al pliego de condiciones, en tanto precisan su alcance y se constituye en una fuente interpretativa del mismo.  </w:t>
      </w:r>
    </w:p>
    <w:p w14:paraId="4C8153EC" w14:textId="77777777" w:rsidR="0078457D" w:rsidRPr="0007375E" w:rsidRDefault="0078457D" w:rsidP="00BF30E7">
      <w:pPr>
        <w:spacing w:after="120" w:line="276" w:lineRule="auto"/>
        <w:ind w:firstLine="709"/>
        <w:jc w:val="both"/>
        <w:rPr>
          <w:rStyle w:val="normaltextrun"/>
          <w:rFonts w:ascii="Verdana" w:hAnsi="Verdana" w:cs="Arial"/>
          <w:color w:val="000000"/>
          <w:shd w:val="clear" w:color="auto" w:fill="FFFFFF"/>
        </w:rPr>
      </w:pPr>
      <w:r w:rsidRPr="0007375E">
        <w:rPr>
          <w:rFonts w:ascii="Verdana" w:hAnsi="Verdana" w:cs="Arial"/>
          <w:color w:val="000000" w:themeColor="text1"/>
        </w:rPr>
        <w:t>El</w:t>
      </w:r>
      <w:r>
        <w:rPr>
          <w:rFonts w:ascii="Verdana" w:hAnsi="Verdana" w:cs="Arial"/>
          <w:color w:val="000000" w:themeColor="text1"/>
        </w:rPr>
        <w:t xml:space="preserve"> numeral 1 del</w:t>
      </w:r>
      <w:r w:rsidRPr="0007375E">
        <w:rPr>
          <w:rFonts w:ascii="Verdana" w:hAnsi="Verdana" w:cs="Arial"/>
          <w:color w:val="000000" w:themeColor="text1"/>
        </w:rPr>
        <w:t xml:space="preserve"> artículo 30 de la Ley 80 </w:t>
      </w:r>
      <w:r>
        <w:rPr>
          <w:rFonts w:ascii="Verdana" w:hAnsi="Verdana" w:cs="Arial"/>
          <w:color w:val="000000" w:themeColor="text1"/>
        </w:rPr>
        <w:t xml:space="preserve">de 1993 </w:t>
      </w:r>
      <w:r w:rsidRPr="0007375E">
        <w:rPr>
          <w:rFonts w:ascii="Verdana" w:hAnsi="Verdana" w:cs="Arial"/>
          <w:color w:val="000000" w:themeColor="text1"/>
        </w:rPr>
        <w:t xml:space="preserve">establece que el jefe o representante de la entidad ordenará la apertura mediante un acto administrativo, en la forma prevista en el artículo </w:t>
      </w:r>
      <w:bookmarkStart w:id="4" w:name="_Hlk177288819"/>
      <w:r w:rsidRPr="0007375E">
        <w:rPr>
          <w:rFonts w:ascii="Verdana" w:hAnsi="Verdana" w:cs="Arial"/>
          <w:color w:val="000000" w:themeColor="text1"/>
        </w:rPr>
        <w:t xml:space="preserve">2.2.1.1.2.1.5. </w:t>
      </w:r>
      <w:bookmarkEnd w:id="4"/>
      <w:r w:rsidRPr="0007375E">
        <w:rPr>
          <w:rFonts w:ascii="Verdana" w:hAnsi="Verdana" w:cs="Arial"/>
          <w:color w:val="000000" w:themeColor="text1"/>
        </w:rPr>
        <w:t xml:space="preserve">del Decreto 1082 de 2015, y deberá expedirse el pliego de condiciones definitivo. Con este acto de apertura inicia la etapa de licitación propiamente dicha, en la que –previa resolución de las observaciones que se realicen– los interesados podrán presentar ofertas. </w:t>
      </w:r>
      <w:r w:rsidRPr="0007375E">
        <w:rPr>
          <w:rStyle w:val="normaltextrun"/>
          <w:rFonts w:ascii="Verdana" w:hAnsi="Verdana" w:cs="Arial"/>
          <w:color w:val="000000"/>
          <w:shd w:val="clear" w:color="auto" w:fill="FFFFFF"/>
        </w:rPr>
        <w:t>Esta etapa fue denominada por el legislador como </w:t>
      </w:r>
      <w:r w:rsidRPr="0007375E">
        <w:rPr>
          <w:rStyle w:val="normaltextrun"/>
          <w:rFonts w:ascii="Verdana" w:hAnsi="Verdana" w:cs="Arial"/>
          <w:i/>
          <w:iCs/>
          <w:color w:val="000000"/>
          <w:shd w:val="clear" w:color="auto" w:fill="FFFFFF"/>
        </w:rPr>
        <w:t>plazo de licitación, </w:t>
      </w:r>
      <w:r w:rsidRPr="0007375E">
        <w:rPr>
          <w:rStyle w:val="normaltextrun"/>
          <w:rFonts w:ascii="Verdana" w:hAnsi="Verdana" w:cs="Arial"/>
          <w:color w:val="000000"/>
          <w:shd w:val="clear" w:color="auto" w:fill="FFFFFF"/>
        </w:rPr>
        <w:t>y alude a la oportunidad que tienen los proponentes para presentar ofertas. Este plazo, según el numeral 5</w:t>
      </w:r>
      <w:r>
        <w:rPr>
          <w:rStyle w:val="normaltextrun"/>
          <w:rFonts w:ascii="Verdana" w:hAnsi="Verdana" w:cs="Arial"/>
          <w:color w:val="000000"/>
          <w:shd w:val="clear" w:color="auto" w:fill="FFFFFF"/>
        </w:rPr>
        <w:t xml:space="preserve"> </w:t>
      </w:r>
      <w:r w:rsidRPr="0007375E">
        <w:rPr>
          <w:rStyle w:val="normaltextrun"/>
          <w:rFonts w:ascii="Verdana" w:hAnsi="Verdana" w:cs="Arial"/>
          <w:color w:val="000000"/>
          <w:shd w:val="clear" w:color="auto" w:fill="FFFFFF"/>
        </w:rPr>
        <w:t>del artículo 30 de la Ley 80 de 1993, se computa desde la fecha a partir de la cual se pueden presentar propuestas y hasta la de su cierre, según lo defina el pliego de condiciones. </w:t>
      </w:r>
    </w:p>
    <w:p w14:paraId="187D6013" w14:textId="77777777" w:rsidR="0078457D" w:rsidRDefault="0078457D" w:rsidP="00BF30E7">
      <w:pPr>
        <w:spacing w:after="120" w:line="276" w:lineRule="auto"/>
        <w:ind w:firstLine="709"/>
        <w:jc w:val="both"/>
        <w:rPr>
          <w:rFonts w:ascii="Verdana" w:hAnsi="Verdana" w:cs="Arial"/>
          <w:color w:val="000000" w:themeColor="text1"/>
        </w:rPr>
      </w:pPr>
      <w:r w:rsidRPr="0007375E">
        <w:rPr>
          <w:rFonts w:ascii="Verdana" w:hAnsi="Verdana" w:cs="Arial"/>
          <w:color w:val="000000" w:themeColor="text1"/>
        </w:rPr>
        <w:t>Es pertinente señalar que en esta etapa de presentación de propuestas se surtirán otras actuaciones. El numeral 4 de la misma disposición establece una de ellas: la audiencia para precisar el alcance de los pliegos de condiciones y de asignación de riesgos. La oportunidad para celebrar esta audiencia es dentro de los tres (3) días hábiles siguientes al inicio del plazo de licitación.</w:t>
      </w:r>
    </w:p>
    <w:p w14:paraId="1CDB7C7D" w14:textId="77777777" w:rsidR="0078457D" w:rsidRPr="0007375E" w:rsidRDefault="0078457D" w:rsidP="00BF30E7">
      <w:pPr>
        <w:spacing w:after="120" w:line="276" w:lineRule="auto"/>
        <w:ind w:firstLine="708"/>
        <w:jc w:val="both"/>
        <w:rPr>
          <w:rFonts w:ascii="Verdana" w:hAnsi="Verdana" w:cs="Arial"/>
          <w:color w:val="000000" w:themeColor="text1"/>
        </w:rPr>
      </w:pPr>
      <w:r w:rsidRPr="0007375E">
        <w:rPr>
          <w:rFonts w:ascii="Verdana" w:hAnsi="Verdana" w:cs="Arial"/>
          <w:color w:val="000000" w:themeColor="text1"/>
        </w:rPr>
        <w:t>Así las cosas, la entidad pública es quien define el término con que contarán los oferentes para preparar y presentar sus ofertas, que deberá, en todo caso, responder a la naturaleza, objeto y cuantía del contrato. Además, los numerales 4 y 5 de la no</w:t>
      </w:r>
      <w:r>
        <w:rPr>
          <w:rFonts w:ascii="Verdana" w:hAnsi="Verdana" w:cs="Arial"/>
          <w:color w:val="000000" w:themeColor="text1"/>
        </w:rPr>
        <w:t>r</w:t>
      </w:r>
      <w:r w:rsidRPr="0007375E">
        <w:rPr>
          <w:rFonts w:ascii="Verdana" w:hAnsi="Verdana" w:cs="Arial"/>
          <w:color w:val="000000" w:themeColor="text1"/>
        </w:rPr>
        <w:t xml:space="preserve">ma facultan a la entidad para prorrogar este término, </w:t>
      </w:r>
      <w:r w:rsidRPr="0007375E">
        <w:rPr>
          <w:rFonts w:ascii="Verdana" w:hAnsi="Verdana" w:cs="Arial"/>
          <w:color w:val="000000" w:themeColor="text1"/>
        </w:rPr>
        <w:lastRenderedPageBreak/>
        <w:t>pues, de un lado, el numeral 4 permite a la entidad prorrogar este plazo hasta por 6 días hábiles, cuando de la audiencia de que trata este numeral el jefe de la entidad expida las modificaciones a los pliegos; y de otro, el numeral 5 prevé que antes de su vencimiento, y cuando la entidad interesada lo estime conveniente, podrá prorrogarlo por un término no superior a la mitad del inicialmente fijado, aunque en todo caso no podrán expedirse adenda</w:t>
      </w:r>
      <w:r>
        <w:rPr>
          <w:rFonts w:ascii="Verdana" w:hAnsi="Verdana" w:cs="Arial"/>
          <w:color w:val="000000" w:themeColor="text1"/>
        </w:rPr>
        <w:t>s</w:t>
      </w:r>
      <w:r w:rsidRPr="0007375E">
        <w:rPr>
          <w:rFonts w:ascii="Verdana" w:hAnsi="Verdana" w:cs="Arial"/>
          <w:color w:val="000000" w:themeColor="text1"/>
        </w:rPr>
        <w:t xml:space="preserve"> dentro de los 3 días anteriores al cierre de la licitación. </w:t>
      </w:r>
    </w:p>
    <w:p w14:paraId="2B439B1B" w14:textId="77777777" w:rsidR="0078457D" w:rsidRPr="0007375E" w:rsidRDefault="0078457D" w:rsidP="00BF30E7">
      <w:pPr>
        <w:tabs>
          <w:tab w:val="left" w:pos="851"/>
          <w:tab w:val="left" w:pos="1134"/>
        </w:tabs>
        <w:spacing w:after="120" w:line="276" w:lineRule="auto"/>
        <w:ind w:firstLine="709"/>
        <w:jc w:val="both"/>
        <w:rPr>
          <w:rFonts w:ascii="Verdana" w:hAnsi="Verdana" w:cs="Arial"/>
          <w:color w:val="000000" w:themeColor="text1"/>
        </w:rPr>
      </w:pPr>
      <w:r w:rsidRPr="0007375E">
        <w:rPr>
          <w:rFonts w:ascii="Verdana" w:hAnsi="Verdana" w:cs="Arial"/>
          <w:color w:val="000000" w:themeColor="text1"/>
        </w:rPr>
        <w:t xml:space="preserve">Una vez precluida la oportunidad para presentar ofertas, en el plazo que señala el pliego de condiciones </w:t>
      </w:r>
      <w:r w:rsidRPr="0007375E">
        <w:rPr>
          <w:rFonts w:ascii="Verdana" w:eastAsia="Calibri" w:hAnsi="Verdana" w:cs="Arial"/>
          <w:bCs/>
          <w:color w:val="000000" w:themeColor="text1"/>
        </w:rPr>
        <w:t>conforme al</w:t>
      </w:r>
      <w:r>
        <w:rPr>
          <w:rFonts w:ascii="Verdana" w:eastAsia="Calibri" w:hAnsi="Verdana" w:cs="Arial"/>
          <w:bCs/>
          <w:color w:val="000000" w:themeColor="text1"/>
        </w:rPr>
        <w:t xml:space="preserve"> numeral 7 del</w:t>
      </w:r>
      <w:r w:rsidRPr="0007375E">
        <w:rPr>
          <w:rFonts w:ascii="Verdana" w:eastAsia="Calibri" w:hAnsi="Verdana" w:cs="Arial"/>
          <w:bCs/>
          <w:color w:val="000000" w:themeColor="text1"/>
        </w:rPr>
        <w:t xml:space="preserve"> artículo 30 de la Ley 80 de 1993</w:t>
      </w:r>
      <w:r w:rsidRPr="0007375E">
        <w:rPr>
          <w:rFonts w:ascii="Verdana" w:hAnsi="Verdana" w:cs="Arial"/>
          <w:bCs/>
          <w:color w:val="000000" w:themeColor="text1"/>
        </w:rPr>
        <w:t>,</w:t>
      </w:r>
      <w:r w:rsidRPr="0007375E">
        <w:rPr>
          <w:rFonts w:ascii="Verdana" w:hAnsi="Verdana" w:cs="Arial"/>
          <w:color w:val="000000" w:themeColor="text1"/>
        </w:rPr>
        <w:t xml:space="preserve"> el comité evaluador de la entidad realizará “los estudios técnicos, económicos y jurídicos necesarios para la evaluación de las propuestas” y además podrá pedir a los proponentes las aclaraciones y explicaciones que considere pertinentes.  Al respecto, el artículo 2.2.1.1.2.2.3 del Decreto 1082 de 2015 consagra el deber de los comités evaluadores de actuar de manera objetiva y de conformidad con los criterios señalados en el pliego de condiciones, y fija una cláusula de responsabilidad por el ejercicio de la labor encomendada.</w:t>
      </w:r>
    </w:p>
    <w:p w14:paraId="5BA23086" w14:textId="77777777" w:rsidR="0078457D" w:rsidRPr="009D2ED7" w:rsidRDefault="0078457D" w:rsidP="00BF30E7">
      <w:pPr>
        <w:spacing w:after="120" w:line="276" w:lineRule="auto"/>
        <w:ind w:firstLine="708"/>
        <w:jc w:val="both"/>
        <w:rPr>
          <w:rFonts w:ascii="Verdana" w:hAnsi="Verdana" w:cs="Arial"/>
          <w:color w:val="000000" w:themeColor="text1"/>
        </w:rPr>
      </w:pPr>
      <w:r w:rsidRPr="0007375E">
        <w:rPr>
          <w:rFonts w:ascii="Verdana" w:hAnsi="Verdana" w:cs="Arial"/>
          <w:color w:val="000000" w:themeColor="text1"/>
        </w:rPr>
        <w:t xml:space="preserve">Luego, los oferentes podrán presentar las observaciones que crean pertinentes al </w:t>
      </w:r>
      <w:r w:rsidRPr="009D2ED7">
        <w:rPr>
          <w:rFonts w:ascii="Verdana" w:hAnsi="Verdana" w:cs="Arial"/>
          <w:color w:val="000000" w:themeColor="text1"/>
        </w:rPr>
        <w:t xml:space="preserve">mencionado informe de evaluación En todo caso, vencido el término para presentar observaciones al informe de evaluación, empieza a correr el plazo para adjudicar el contrato, que hace referencia a la oportunidad que tiene la entidad para seleccionar o escoger la mejor oferta, cuyo término, según el numeral 9 del artículo 30 de la Ley 80 de 1993, es de libre configuración del pliego de condiciones. Durante este lapso se resuelven las observaciones presentadas por los oferentes, es decir, la entidad responderá las observaciones durante esta oportunidad y a más tardar hasta el momento de la adjudicación. </w:t>
      </w:r>
    </w:p>
    <w:p w14:paraId="782C7D16" w14:textId="77777777" w:rsidR="0078457D" w:rsidRPr="009D2ED7" w:rsidRDefault="0078457D" w:rsidP="00BF30E7">
      <w:pPr>
        <w:spacing w:after="120" w:line="276" w:lineRule="auto"/>
        <w:ind w:firstLine="708"/>
        <w:jc w:val="both"/>
        <w:rPr>
          <w:rFonts w:ascii="Verdana" w:hAnsi="Verdana" w:cs="Arial"/>
          <w:color w:val="000000" w:themeColor="text1"/>
        </w:rPr>
      </w:pPr>
      <w:r w:rsidRPr="009D2ED7">
        <w:rPr>
          <w:rFonts w:ascii="Verdana" w:hAnsi="Verdana" w:cs="Arial"/>
          <w:color w:val="000000" w:themeColor="text1"/>
        </w:rPr>
        <w:t>El numeral 9 del artículo 30 de la Ley 80 de 1993 permite al jefe de la entidad prorrogar el plazo para efectuar la adjudicación, y para la firma del contrato, pero dentro de una oportunidad específica, y fijó un tope máximo de tiempo: i) antes del vencimiento de dichos plazos y por “un término no mayor a la mitad del inicialmente fijado”, cuando las necesidades de la Administración lo requieran. Quiere decir, entonces, que las entidades públicas pueden prorrogar el plazo para adjudicar el contrato hasta por la mitad del término inicialmente fijado, es decir, el período señalado en el pliego de condiciones, sin incluir las adendas o modificaciones que con posterioridad se hagan de él, pues el artículo es claro en señalar que se trata del inicialmente fijado, esto es, del que originariamente se estableció.</w:t>
      </w:r>
    </w:p>
    <w:p w14:paraId="5DC7B139" w14:textId="77777777" w:rsidR="0078457D" w:rsidRPr="0007375E" w:rsidRDefault="0078457D" w:rsidP="00BF30E7">
      <w:pPr>
        <w:spacing w:after="120" w:line="276" w:lineRule="auto"/>
        <w:ind w:firstLine="709"/>
        <w:jc w:val="both"/>
        <w:rPr>
          <w:rFonts w:ascii="Verdana" w:hAnsi="Verdana" w:cs="Arial"/>
          <w:color w:val="000000" w:themeColor="text1"/>
        </w:rPr>
      </w:pPr>
      <w:r w:rsidRPr="009D2ED7">
        <w:rPr>
          <w:rFonts w:ascii="Verdana" w:hAnsi="Verdana" w:cs="Arial"/>
          <w:color w:val="000000" w:themeColor="text1"/>
        </w:rPr>
        <w:lastRenderedPageBreak/>
        <w:t>Dentro del plazo para adjudicar el contrato, debe celebrarse la audiencia de adjudicación, la cual</w:t>
      </w:r>
      <w:r w:rsidRPr="0007375E">
        <w:rPr>
          <w:rFonts w:ascii="Verdana" w:hAnsi="Verdana" w:cs="Arial"/>
          <w:color w:val="000000" w:themeColor="text1"/>
        </w:rPr>
        <w:t xml:space="preserve"> resulta obligatoria en los procesos de licitación pública, por disposición de</w:t>
      </w:r>
      <w:r>
        <w:rPr>
          <w:rFonts w:ascii="Verdana" w:hAnsi="Verdana" w:cs="Arial"/>
          <w:color w:val="000000" w:themeColor="text1"/>
        </w:rPr>
        <w:t xml:space="preserve">l </w:t>
      </w:r>
      <w:r w:rsidRPr="0007375E">
        <w:rPr>
          <w:rFonts w:ascii="Verdana" w:hAnsi="Verdana" w:cs="Arial"/>
          <w:color w:val="000000" w:themeColor="text1"/>
        </w:rPr>
        <w:t>numeral 10</w:t>
      </w:r>
      <w:r>
        <w:rPr>
          <w:rFonts w:ascii="Verdana" w:hAnsi="Verdana" w:cs="Arial"/>
          <w:color w:val="000000" w:themeColor="text1"/>
        </w:rPr>
        <w:t xml:space="preserve"> del artículo 30</w:t>
      </w:r>
      <w:r w:rsidRPr="0007375E">
        <w:rPr>
          <w:rFonts w:ascii="Verdana" w:hAnsi="Verdana" w:cs="Arial"/>
          <w:color w:val="000000" w:themeColor="text1"/>
        </w:rPr>
        <w:t xml:space="preserve"> de la Ley 80 de 1993 y </w:t>
      </w:r>
      <w:r>
        <w:rPr>
          <w:rFonts w:ascii="Verdana" w:hAnsi="Verdana" w:cs="Arial"/>
          <w:color w:val="000000" w:themeColor="text1"/>
        </w:rPr>
        <w:t xml:space="preserve">el artículo </w:t>
      </w:r>
      <w:r w:rsidRPr="0007375E">
        <w:rPr>
          <w:rFonts w:ascii="Verdana" w:hAnsi="Verdana" w:cs="Arial"/>
          <w:color w:val="000000" w:themeColor="text1"/>
        </w:rPr>
        <w:t>9 de la Ley 1150 de 2007, en concordancia con el artículo 273 de la Constitución Política. Esta diligencia se hará con participación del jefe de la entidad, los servidores públicos que hayan elaborado los estudios y evaluación de las ofertas, los proponentes y demás interesados. De la audiencia se levantará un acta en el que se dejará constancia de las deliberaciones y decisiones de esta.</w:t>
      </w:r>
    </w:p>
    <w:p w14:paraId="50E6B7D7" w14:textId="77777777" w:rsidR="0078457D" w:rsidRPr="0007375E" w:rsidRDefault="0078457D" w:rsidP="00BF30E7">
      <w:pPr>
        <w:spacing w:after="120" w:line="276" w:lineRule="auto"/>
        <w:ind w:firstLine="709"/>
        <w:jc w:val="both"/>
        <w:rPr>
          <w:rFonts w:ascii="Verdana" w:hAnsi="Verdana" w:cs="Arial"/>
          <w:color w:val="000000" w:themeColor="text1"/>
        </w:rPr>
      </w:pPr>
      <w:r w:rsidRPr="0007375E">
        <w:rPr>
          <w:rFonts w:ascii="Verdana" w:hAnsi="Verdana" w:cs="Arial"/>
          <w:color w:val="000000" w:themeColor="text1"/>
        </w:rPr>
        <w:t xml:space="preserve">Finalmente, una vez se adjudica, empieza a correr el </w:t>
      </w:r>
      <w:r w:rsidRPr="0007375E">
        <w:rPr>
          <w:rFonts w:ascii="Verdana" w:hAnsi="Verdana" w:cs="Arial"/>
          <w:i/>
          <w:color w:val="000000" w:themeColor="text1"/>
        </w:rPr>
        <w:t>plazo para firmar el contrato</w:t>
      </w:r>
      <w:r w:rsidRPr="0007375E">
        <w:rPr>
          <w:rFonts w:ascii="Verdana" w:hAnsi="Verdana" w:cs="Arial"/>
          <w:b/>
          <w:color w:val="000000" w:themeColor="text1"/>
        </w:rPr>
        <w:t xml:space="preserve">, </w:t>
      </w:r>
      <w:r w:rsidRPr="0007375E">
        <w:rPr>
          <w:rFonts w:ascii="Verdana" w:hAnsi="Verdana" w:cs="Arial"/>
          <w:color w:val="000000" w:themeColor="text1"/>
        </w:rPr>
        <w:t>que es otra etapa del proceso de licitación, cuyo término es también de libre configuración del pliego de condiciones y al que le aplican las mismas reglas de prórroga del plazo para efectuar la adjudicación que se explicaron, así como también aquellas consideraciones precedentes en materia de razonabilidad y proporcionalidad.</w:t>
      </w:r>
    </w:p>
    <w:p w14:paraId="20D2645E" w14:textId="458B996D" w:rsidR="0078457D" w:rsidRDefault="00923949" w:rsidP="00BF30E7">
      <w:pPr>
        <w:widowControl w:val="0"/>
        <w:autoSpaceDE w:val="0"/>
        <w:autoSpaceDN w:val="0"/>
        <w:spacing w:after="0" w:line="276" w:lineRule="auto"/>
        <w:ind w:right="49" w:firstLine="708"/>
        <w:jc w:val="both"/>
        <w:rPr>
          <w:rFonts w:ascii="Verdana" w:eastAsia="Calibri" w:hAnsi="Verdana" w:cs="Arial"/>
          <w:lang w:val="es-ES"/>
        </w:rPr>
      </w:pPr>
      <w:r w:rsidRPr="00BF30E7">
        <w:rPr>
          <w:rFonts w:ascii="Verdana" w:eastAsia="Calibri" w:hAnsi="Verdana" w:cs="Arial"/>
          <w:lang w:val="es-ES"/>
        </w:rPr>
        <w:t>Visto lo anterior, teniendo en cuenta el objeto de su consulta, es necesario adentrarse al estudio de la l</w:t>
      </w:r>
      <w:r w:rsidR="0078457D" w:rsidRPr="00BF30E7">
        <w:rPr>
          <w:rFonts w:ascii="Verdana" w:eastAsia="Calibri" w:hAnsi="Verdana" w:cs="Arial"/>
          <w:lang w:val="es-ES"/>
        </w:rPr>
        <w:t>icitación de obra pública</w:t>
      </w:r>
      <w:r w:rsidRPr="00BF30E7">
        <w:rPr>
          <w:rFonts w:ascii="Verdana" w:eastAsia="Calibri" w:hAnsi="Verdana" w:cs="Arial"/>
          <w:lang w:val="es-ES"/>
        </w:rPr>
        <w:t xml:space="preserve">. </w:t>
      </w:r>
      <w:r>
        <w:rPr>
          <w:rFonts w:ascii="Verdana" w:eastAsia="Calibri" w:hAnsi="Verdana" w:cs="Arial"/>
          <w:lang w:val="es-ES"/>
        </w:rPr>
        <w:t>L</w:t>
      </w:r>
      <w:r w:rsidR="0078457D">
        <w:rPr>
          <w:rFonts w:ascii="Verdana" w:eastAsia="Calibri" w:hAnsi="Verdana" w:cs="Arial"/>
          <w:lang w:val="es-ES"/>
        </w:rPr>
        <w:t>a Ley 80 de 1993 en el numeral 1 de su artículo 32 define el contrato de obra como sigue:</w:t>
      </w:r>
    </w:p>
    <w:p w14:paraId="498AD0C4" w14:textId="77777777" w:rsidR="00923949" w:rsidRDefault="00923949" w:rsidP="00923949">
      <w:pPr>
        <w:pStyle w:val="NormalWeb"/>
        <w:spacing w:before="0" w:beforeAutospacing="0" w:after="0" w:afterAutospacing="0" w:line="270" w:lineRule="atLeast"/>
        <w:ind w:left="708" w:right="758"/>
        <w:jc w:val="both"/>
        <w:rPr>
          <w:rFonts w:ascii="Verdana" w:hAnsi="Verdana" w:cs="Open Sans"/>
          <w:sz w:val="20"/>
          <w:szCs w:val="20"/>
        </w:rPr>
      </w:pPr>
    </w:p>
    <w:p w14:paraId="426140FE" w14:textId="229E3E20" w:rsidR="0078457D" w:rsidRDefault="00923949" w:rsidP="00923949">
      <w:pPr>
        <w:pStyle w:val="NormalWeb"/>
        <w:spacing w:before="0" w:beforeAutospacing="0" w:after="0" w:afterAutospacing="0" w:line="270" w:lineRule="atLeast"/>
        <w:ind w:left="708" w:right="709"/>
        <w:jc w:val="both"/>
        <w:rPr>
          <w:rFonts w:ascii="Verdana" w:hAnsi="Verdana" w:cs="Open Sans"/>
          <w:sz w:val="20"/>
          <w:szCs w:val="20"/>
        </w:rPr>
      </w:pPr>
      <w:r>
        <w:rPr>
          <w:rFonts w:ascii="Verdana" w:hAnsi="Verdana" w:cs="Open Sans"/>
          <w:sz w:val="20"/>
          <w:szCs w:val="20"/>
        </w:rPr>
        <w:t>“</w:t>
      </w:r>
      <w:r w:rsidR="0078457D" w:rsidRPr="00DF230F">
        <w:rPr>
          <w:rFonts w:ascii="Verdana" w:hAnsi="Verdana" w:cs="Open Sans"/>
          <w:sz w:val="20"/>
          <w:szCs w:val="20"/>
        </w:rPr>
        <w:t>Son contratos de obra los que celebren las entidades estatales para la construcción, mantenimiento, instalación y, en general, para la realización de cualquier otro trabajo material sobre bienes inmuebles, cualquiera que sea la modalidad de ejecución y pago.</w:t>
      </w:r>
    </w:p>
    <w:p w14:paraId="3D09DB15" w14:textId="77777777" w:rsidR="00923949" w:rsidRPr="00DF230F" w:rsidRDefault="00923949" w:rsidP="00BF30E7">
      <w:pPr>
        <w:pStyle w:val="NormalWeb"/>
        <w:spacing w:before="0" w:beforeAutospacing="0" w:after="0" w:afterAutospacing="0" w:line="270" w:lineRule="atLeast"/>
        <w:ind w:left="708" w:right="709"/>
        <w:jc w:val="both"/>
        <w:rPr>
          <w:rFonts w:ascii="Verdana" w:hAnsi="Verdana" w:cs="Open Sans"/>
          <w:sz w:val="20"/>
          <w:szCs w:val="20"/>
        </w:rPr>
      </w:pPr>
    </w:p>
    <w:p w14:paraId="280717C2" w14:textId="048C02FB" w:rsidR="0078457D" w:rsidRDefault="0078457D" w:rsidP="00923949">
      <w:pPr>
        <w:pStyle w:val="NormalWeb"/>
        <w:spacing w:before="0" w:beforeAutospacing="0" w:after="0" w:afterAutospacing="0" w:line="270" w:lineRule="atLeast"/>
        <w:ind w:left="708" w:right="709"/>
        <w:jc w:val="both"/>
        <w:rPr>
          <w:rFonts w:ascii="Verdana" w:hAnsi="Verdana" w:cs="Open Sans"/>
          <w:sz w:val="20"/>
          <w:szCs w:val="20"/>
        </w:rPr>
      </w:pPr>
      <w:r w:rsidRPr="00DF230F">
        <w:rPr>
          <w:rFonts w:ascii="Verdana" w:hAnsi="Verdana" w:cs="Open Sans"/>
          <w:sz w:val="20"/>
          <w:szCs w:val="20"/>
        </w:rPr>
        <w:t>&lt;Aparte tachado derogado por el artículo </w:t>
      </w:r>
      <w:hyperlink r:id="rId12" w:anchor="32" w:history="1">
        <w:r w:rsidRPr="00DF230F">
          <w:rPr>
            <w:rStyle w:val="Hipervnculo"/>
            <w:rFonts w:ascii="Verdana" w:hAnsi="Verdana" w:cs="Open Sans"/>
            <w:color w:val="auto"/>
            <w:sz w:val="20"/>
            <w:szCs w:val="20"/>
          </w:rPr>
          <w:t>32</w:t>
        </w:r>
      </w:hyperlink>
      <w:r w:rsidRPr="00DF230F">
        <w:rPr>
          <w:rFonts w:ascii="Verdana" w:hAnsi="Verdana" w:cs="Open Sans"/>
          <w:sz w:val="20"/>
          <w:szCs w:val="20"/>
        </w:rPr>
        <w:t> de la Ley 1150 de 2007&gt; En los contratos de obra que hayan sido celebrados como resultado de un proceso de licitación o </w:t>
      </w:r>
      <w:r w:rsidRPr="00DF230F">
        <w:rPr>
          <w:rStyle w:val="baj"/>
          <w:rFonts w:ascii="Verdana" w:hAnsi="Verdana" w:cs="Open Sans"/>
          <w:b/>
          <w:bCs/>
          <w:strike/>
          <w:sz w:val="20"/>
          <w:szCs w:val="20"/>
        </w:rPr>
        <w:t>concurso</w:t>
      </w:r>
      <w:r w:rsidRPr="00DF230F">
        <w:rPr>
          <w:rFonts w:ascii="Verdana" w:hAnsi="Verdana" w:cs="Open Sans"/>
          <w:sz w:val="20"/>
          <w:szCs w:val="20"/>
        </w:rPr>
        <w:t> públicos, la interventoría deberá ser contratada con una persona independiente de la entidad contratante y del contratista, quien responderá por los hechos y omisiones que le fueren imputables en los términos previstos en el artículo </w:t>
      </w:r>
      <w:hyperlink r:id="rId13" w:anchor="53" w:history="1">
        <w:r w:rsidRPr="00DF230F">
          <w:rPr>
            <w:rStyle w:val="Hipervnculo"/>
            <w:rFonts w:ascii="Verdana" w:hAnsi="Verdana" w:cs="Open Sans"/>
            <w:color w:val="auto"/>
            <w:sz w:val="20"/>
            <w:szCs w:val="20"/>
          </w:rPr>
          <w:t>53</w:t>
        </w:r>
      </w:hyperlink>
      <w:r w:rsidRPr="00DF230F">
        <w:rPr>
          <w:rFonts w:ascii="Verdana" w:hAnsi="Verdana" w:cs="Open Sans"/>
          <w:sz w:val="20"/>
          <w:szCs w:val="20"/>
        </w:rPr>
        <w:t> del presente estatuto</w:t>
      </w:r>
      <w:r w:rsidR="00923949">
        <w:rPr>
          <w:rFonts w:ascii="Verdana" w:hAnsi="Verdana" w:cs="Open Sans"/>
          <w:sz w:val="20"/>
          <w:szCs w:val="20"/>
        </w:rPr>
        <w:t>”</w:t>
      </w:r>
      <w:r w:rsidRPr="00DF230F">
        <w:rPr>
          <w:rFonts w:ascii="Verdana" w:hAnsi="Verdana" w:cs="Open Sans"/>
          <w:sz w:val="20"/>
          <w:szCs w:val="20"/>
        </w:rPr>
        <w:t>.</w:t>
      </w:r>
    </w:p>
    <w:p w14:paraId="21B54BD6" w14:textId="77777777" w:rsidR="00923949" w:rsidRPr="00DF230F" w:rsidRDefault="00923949" w:rsidP="00BF30E7">
      <w:pPr>
        <w:pStyle w:val="NormalWeb"/>
        <w:spacing w:before="0" w:beforeAutospacing="0" w:after="0" w:afterAutospacing="0" w:line="270" w:lineRule="atLeast"/>
        <w:ind w:left="708" w:right="709"/>
        <w:jc w:val="both"/>
        <w:rPr>
          <w:rFonts w:ascii="Verdana" w:hAnsi="Verdana" w:cs="Open Sans"/>
          <w:sz w:val="20"/>
          <w:szCs w:val="20"/>
        </w:rPr>
      </w:pPr>
    </w:p>
    <w:p w14:paraId="31C641D8" w14:textId="1789BAB3" w:rsidR="009C31FB" w:rsidRDefault="0078457D" w:rsidP="00923949">
      <w:pPr>
        <w:widowControl w:val="0"/>
        <w:autoSpaceDE w:val="0"/>
        <w:autoSpaceDN w:val="0"/>
        <w:spacing w:after="120" w:line="276" w:lineRule="auto"/>
        <w:ind w:right="51" w:firstLine="708"/>
        <w:jc w:val="both"/>
        <w:rPr>
          <w:rFonts w:ascii="Verdana" w:hAnsi="Verdana" w:cs="Open Sans"/>
        </w:rPr>
      </w:pPr>
      <w:r>
        <w:rPr>
          <w:rFonts w:ascii="Verdana" w:eastAsia="Calibri" w:hAnsi="Verdana" w:cs="Arial"/>
          <w:lang w:val="es-ES"/>
        </w:rPr>
        <w:t xml:space="preserve">Como </w:t>
      </w:r>
      <w:r w:rsidRPr="00F76091">
        <w:rPr>
          <w:rFonts w:ascii="Verdana" w:eastAsia="Calibri" w:hAnsi="Verdana" w:cs="Arial"/>
          <w:lang w:val="es-ES"/>
        </w:rPr>
        <w:t>se puede observar los verbos rectores de este tipo de contrato son “</w:t>
      </w:r>
      <w:r w:rsidRPr="00F76091">
        <w:rPr>
          <w:rFonts w:ascii="Verdana" w:hAnsi="Verdana" w:cs="Open Sans"/>
        </w:rPr>
        <w:t>construcción, mantenimiento, instalación y, en general, para la realización de cualquier otro trabajo material sobre bienes inmuebles”, por lo que en cada caso la entidad en su fase precontractual definirá si la</w:t>
      </w:r>
      <w:r w:rsidR="009C31FB">
        <w:rPr>
          <w:rFonts w:ascii="Verdana" w:hAnsi="Verdana" w:cs="Open Sans"/>
        </w:rPr>
        <w:t xml:space="preserve">s actividades a desarrollar </w:t>
      </w:r>
      <w:proofErr w:type="gramStart"/>
      <w:r w:rsidR="009C31FB">
        <w:rPr>
          <w:rFonts w:ascii="Verdana" w:hAnsi="Verdana" w:cs="Open Sans"/>
        </w:rPr>
        <w:t>se enmarcan dentro de</w:t>
      </w:r>
      <w:proofErr w:type="gramEnd"/>
      <w:r w:rsidR="009C31FB">
        <w:rPr>
          <w:rFonts w:ascii="Verdana" w:hAnsi="Verdana" w:cs="Open Sans"/>
        </w:rPr>
        <w:t xml:space="preserve"> los verbos rectores</w:t>
      </w:r>
      <w:r w:rsidRPr="00F76091">
        <w:rPr>
          <w:rFonts w:ascii="Verdana" w:hAnsi="Verdana" w:cs="Open Sans"/>
        </w:rPr>
        <w:t xml:space="preserve"> </w:t>
      </w:r>
      <w:r w:rsidR="009C31FB">
        <w:rPr>
          <w:rFonts w:ascii="Verdana" w:hAnsi="Verdana" w:cs="Open Sans"/>
        </w:rPr>
        <w:t>de</w:t>
      </w:r>
      <w:r w:rsidRPr="00F76091">
        <w:rPr>
          <w:rFonts w:ascii="Verdana" w:hAnsi="Verdana" w:cs="Open Sans"/>
        </w:rPr>
        <w:t xml:space="preserve"> este</w:t>
      </w:r>
      <w:r w:rsidR="009C31FB">
        <w:rPr>
          <w:rFonts w:ascii="Verdana" w:hAnsi="Verdana" w:cs="Open Sans"/>
        </w:rPr>
        <w:t xml:space="preserve"> tipo de contrato</w:t>
      </w:r>
      <w:r w:rsidRPr="00F76091">
        <w:rPr>
          <w:rFonts w:ascii="Verdana" w:hAnsi="Verdana" w:cs="Open Sans"/>
        </w:rPr>
        <w:t xml:space="preserve"> </w:t>
      </w:r>
      <w:proofErr w:type="spellStart"/>
      <w:r w:rsidRPr="00F76091">
        <w:rPr>
          <w:rFonts w:ascii="Verdana" w:hAnsi="Verdana" w:cs="Open Sans"/>
        </w:rPr>
        <w:t>contrato</w:t>
      </w:r>
      <w:proofErr w:type="spellEnd"/>
      <w:r w:rsidRPr="00F76091">
        <w:rPr>
          <w:rFonts w:ascii="Verdana" w:hAnsi="Verdana" w:cs="Open Sans"/>
        </w:rPr>
        <w:t xml:space="preserve">. </w:t>
      </w:r>
    </w:p>
    <w:p w14:paraId="33272BE5" w14:textId="3764D182" w:rsidR="0078457D" w:rsidRPr="00F76091" w:rsidRDefault="0078457D" w:rsidP="00BF30E7">
      <w:pPr>
        <w:widowControl w:val="0"/>
        <w:autoSpaceDE w:val="0"/>
        <w:autoSpaceDN w:val="0"/>
        <w:spacing w:after="120" w:line="276" w:lineRule="auto"/>
        <w:ind w:right="51" w:firstLine="708"/>
        <w:jc w:val="both"/>
        <w:rPr>
          <w:rFonts w:ascii="Verdana" w:hAnsi="Verdana" w:cs="Open Sans"/>
        </w:rPr>
      </w:pPr>
      <w:r w:rsidRPr="00F76091">
        <w:rPr>
          <w:rFonts w:ascii="Verdana" w:hAnsi="Verdana" w:cs="Open Sans"/>
        </w:rPr>
        <w:t xml:space="preserve">Por su parte, en cuanto a la modalidad de selección de licitación pública para este tipo de contratos, es decir para la seleccionar contratistas de obra </w:t>
      </w:r>
      <w:r w:rsidRPr="00F76091">
        <w:rPr>
          <w:rFonts w:ascii="Verdana" w:hAnsi="Verdana" w:cs="Open Sans"/>
        </w:rPr>
        <w:lastRenderedPageBreak/>
        <w:t xml:space="preserve">pública, la Ley 1882 de 2018 adicionó los parágrafos 2 y 3 al artículo 30 de la Ley 80 de 1993, que regula el procedimiento de la licitación pública explicado en el primer aparte de este concepto. </w:t>
      </w:r>
    </w:p>
    <w:p w14:paraId="2115F47E" w14:textId="77777777" w:rsidR="0078457D" w:rsidRPr="00F76091" w:rsidRDefault="0078457D" w:rsidP="00BF30E7">
      <w:pPr>
        <w:widowControl w:val="0"/>
        <w:autoSpaceDE w:val="0"/>
        <w:autoSpaceDN w:val="0"/>
        <w:spacing w:after="120" w:line="276" w:lineRule="auto"/>
        <w:ind w:right="51" w:firstLine="708"/>
        <w:jc w:val="both"/>
        <w:rPr>
          <w:rFonts w:ascii="Verdana" w:hAnsi="Verdana" w:cs="Open Sans"/>
        </w:rPr>
      </w:pPr>
      <w:r w:rsidRPr="00F76091">
        <w:rPr>
          <w:rFonts w:ascii="Verdana" w:hAnsi="Verdana" w:cs="Open Sans"/>
        </w:rPr>
        <w:t>En virtud del parágrafo 2</w:t>
      </w:r>
      <w:r w:rsidRPr="00F76091">
        <w:rPr>
          <w:rStyle w:val="Refdenotaalpie"/>
          <w:rFonts w:ascii="Verdana" w:hAnsi="Verdana" w:cs="Open Sans"/>
        </w:rPr>
        <w:footnoteReference w:id="3"/>
      </w:r>
      <w:r w:rsidRPr="00F76091">
        <w:rPr>
          <w:rFonts w:ascii="Verdana" w:hAnsi="Verdana" w:cs="Open Sans"/>
        </w:rPr>
        <w:t xml:space="preserve">, en los procesos de licitación pública para seleccionar contratistas de obra pública, las ofertas deben presentarse en dos sobres, el primero incluyendo los documentos relativos al cumplimiento de los requisitos habilitantes y los requisitos calificables – que asignen puntaje – diferentes a la oferta económica, y el segundo incluyendo únicamente la propuesta económica. </w:t>
      </w:r>
    </w:p>
    <w:p w14:paraId="61C34146" w14:textId="77777777" w:rsidR="0078457D" w:rsidRDefault="0078457D" w:rsidP="00BF30E7">
      <w:pPr>
        <w:widowControl w:val="0"/>
        <w:autoSpaceDE w:val="0"/>
        <w:autoSpaceDN w:val="0"/>
        <w:spacing w:after="120" w:line="276" w:lineRule="auto"/>
        <w:ind w:right="51" w:firstLine="708"/>
        <w:jc w:val="both"/>
        <w:rPr>
          <w:rFonts w:ascii="Verdana" w:hAnsi="Verdana" w:cs="Open Sans"/>
        </w:rPr>
      </w:pPr>
      <w:r w:rsidRPr="00F76091">
        <w:rPr>
          <w:rFonts w:ascii="Verdana" w:hAnsi="Verdana" w:cs="Open Sans"/>
        </w:rPr>
        <w:t xml:space="preserve">En virtud del parágrafo 3, las entidades deben publicar el informe de evaluación relativo a los requisitos habilitantes y a los requisitos calificables diferentes a la oferta económica – documentos incluidos en el primer sobre de cada oferta – dentro del plazo establecido en el pliego de condiciones. Dicho informe estará publicado por 5 días hábiles en el SECOP, dentro de los cuales los proponentes podrán hacer observaciones y entregar la información solicitada por la entidad, una vez finalizado este término, la entidad debe pronunciarse sobre las observaciones recibidas y publicar el informe final de evaluación. Por su parte, el segundo sobre de cada oferta relativo a la propuesta económica se mantendrá cerrado hasta la audiencia de adjudicación, diligencia en la cual se dará apertura al sobre, se evaluarán las ofertas económicas conforme al mecanismo establecido en los pliegos de condiciones, dando traslado a los proponentes habilitados en relación con el aspecto económico y se establece el orden de elegibilidad. </w:t>
      </w:r>
    </w:p>
    <w:p w14:paraId="553F04C7" w14:textId="77777777" w:rsidR="0078457D" w:rsidRPr="00CC09DD" w:rsidRDefault="0078457D" w:rsidP="00BF30E7">
      <w:pPr>
        <w:widowControl w:val="0"/>
        <w:autoSpaceDE w:val="0"/>
        <w:autoSpaceDN w:val="0"/>
        <w:spacing w:after="0" w:line="276" w:lineRule="auto"/>
        <w:ind w:right="49" w:firstLine="708"/>
        <w:jc w:val="both"/>
        <w:rPr>
          <w:rFonts w:ascii="Verdana" w:hAnsi="Verdana" w:cs="Arial"/>
        </w:rPr>
      </w:pPr>
      <w:r>
        <w:rPr>
          <w:rFonts w:ascii="Verdana" w:hAnsi="Verdana" w:cs="Open Sans"/>
        </w:rPr>
        <w:t xml:space="preserve">Ahora bien, en relación con el uso de documentos tipo para procesos de selección de obra públicas, se señala que </w:t>
      </w:r>
      <w:r w:rsidRPr="00CC09DD">
        <w:rPr>
          <w:rFonts w:ascii="Verdana" w:hAnsi="Verdana" w:cs="Arial"/>
        </w:rPr>
        <w:t>el artículo 1 de la Ley 2022 de 2020 “Por la cual modifica el artículo 4 de la Ley 1882 de 2018 y se dictan otras disposiciones” otorgó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DA71843" w14:textId="77777777" w:rsidR="0078457D" w:rsidRPr="00CC09DD" w:rsidRDefault="0078457D" w:rsidP="0078457D">
      <w:pPr>
        <w:spacing w:after="0" w:line="276" w:lineRule="auto"/>
        <w:jc w:val="both"/>
        <w:rPr>
          <w:rFonts w:ascii="Verdana" w:hAnsi="Verdana" w:cs="Arial"/>
        </w:rPr>
      </w:pPr>
    </w:p>
    <w:p w14:paraId="3E5AB79A" w14:textId="094F4441" w:rsidR="0078457D" w:rsidRDefault="009625AB" w:rsidP="009625AB">
      <w:pPr>
        <w:pStyle w:val="NormalWeb"/>
        <w:spacing w:before="0" w:beforeAutospacing="0" w:after="0" w:afterAutospacing="0" w:line="270" w:lineRule="atLeast"/>
        <w:ind w:left="709" w:right="709"/>
        <w:jc w:val="both"/>
        <w:rPr>
          <w:rFonts w:ascii="Verdana" w:hAnsi="Verdana" w:cs="Open Sans"/>
          <w:sz w:val="20"/>
          <w:szCs w:val="20"/>
        </w:rPr>
      </w:pPr>
      <w:bookmarkStart w:id="5" w:name="1"/>
      <w:r>
        <w:rPr>
          <w:rFonts w:ascii="Verdana" w:hAnsi="Verdana" w:cs="Open Sans"/>
          <w:sz w:val="20"/>
          <w:szCs w:val="20"/>
        </w:rPr>
        <w:t>“</w:t>
      </w:r>
      <w:r w:rsidRPr="009625AB">
        <w:rPr>
          <w:rFonts w:ascii="Verdana" w:hAnsi="Verdana" w:cs="Open Sans"/>
          <w:sz w:val="20"/>
          <w:szCs w:val="20"/>
        </w:rPr>
        <w:t xml:space="preserve">Artículo </w:t>
      </w:r>
      <w:r w:rsidR="0078457D" w:rsidRPr="00BF30E7">
        <w:rPr>
          <w:rFonts w:ascii="Verdana" w:hAnsi="Verdana" w:cs="Open Sans"/>
          <w:sz w:val="20"/>
          <w:szCs w:val="20"/>
        </w:rPr>
        <w:t>1o.</w:t>
      </w:r>
      <w:bookmarkEnd w:id="5"/>
      <w:r w:rsidR="0078457D" w:rsidRPr="009625AB">
        <w:rPr>
          <w:rFonts w:ascii="Verdana" w:hAnsi="Verdana" w:cs="Open Sans"/>
          <w:sz w:val="20"/>
          <w:szCs w:val="20"/>
        </w:rPr>
        <w:t> Modifíquese el artículo </w:t>
      </w:r>
      <w:hyperlink r:id="rId14" w:anchor="4" w:history="1">
        <w:r w:rsidR="0078457D" w:rsidRPr="00BF30E7">
          <w:rPr>
            <w:rStyle w:val="Hipervnculo"/>
            <w:rFonts w:ascii="Verdana" w:hAnsi="Verdana" w:cs="Open Sans"/>
            <w:sz w:val="20"/>
            <w:szCs w:val="20"/>
          </w:rPr>
          <w:t>4o</w:t>
        </w:r>
      </w:hyperlink>
      <w:r w:rsidR="0078457D" w:rsidRPr="009625AB">
        <w:rPr>
          <w:rFonts w:ascii="Verdana" w:hAnsi="Verdana" w:cs="Open Sans"/>
          <w:sz w:val="20"/>
          <w:szCs w:val="20"/>
        </w:rPr>
        <w:t> de la Ley 1882 de 2018, el cual quedará así:</w:t>
      </w:r>
    </w:p>
    <w:p w14:paraId="30E4ACCA" w14:textId="77777777" w:rsidR="009625AB" w:rsidRPr="009625AB" w:rsidRDefault="009625AB" w:rsidP="00BF30E7">
      <w:pPr>
        <w:pStyle w:val="NormalWeb"/>
        <w:spacing w:before="0" w:beforeAutospacing="0" w:after="0" w:afterAutospacing="0" w:line="270" w:lineRule="atLeast"/>
        <w:ind w:left="709" w:right="709"/>
        <w:jc w:val="both"/>
        <w:rPr>
          <w:rFonts w:ascii="Verdana" w:hAnsi="Verdana" w:cs="Open Sans"/>
          <w:sz w:val="20"/>
          <w:szCs w:val="20"/>
        </w:rPr>
      </w:pPr>
    </w:p>
    <w:p w14:paraId="39427320" w14:textId="77777777" w:rsidR="0078457D" w:rsidRDefault="0078457D" w:rsidP="009625AB">
      <w:pPr>
        <w:pStyle w:val="NormalWeb"/>
        <w:spacing w:before="0" w:beforeAutospacing="0" w:after="0" w:afterAutospacing="0" w:line="270" w:lineRule="atLeast"/>
        <w:ind w:left="709" w:right="709"/>
        <w:jc w:val="both"/>
        <w:rPr>
          <w:rFonts w:ascii="Verdana" w:hAnsi="Verdana" w:cs="Open Sans"/>
          <w:sz w:val="20"/>
          <w:szCs w:val="20"/>
        </w:rPr>
      </w:pPr>
      <w:r w:rsidRPr="009625AB">
        <w:rPr>
          <w:rStyle w:val="baj"/>
          <w:rFonts w:ascii="Verdana" w:hAnsi="Verdana" w:cs="Open Sans"/>
          <w:sz w:val="20"/>
          <w:szCs w:val="20"/>
        </w:rPr>
        <w:t>Artículo </w:t>
      </w:r>
      <w:hyperlink r:id="rId15" w:anchor="4" w:history="1">
        <w:r w:rsidRPr="00BF30E7">
          <w:rPr>
            <w:rStyle w:val="Hipervnculo"/>
            <w:rFonts w:ascii="Verdana" w:hAnsi="Verdana" w:cs="Open Sans"/>
            <w:sz w:val="20"/>
            <w:szCs w:val="20"/>
          </w:rPr>
          <w:t>4o</w:t>
        </w:r>
      </w:hyperlink>
      <w:r w:rsidRPr="009625AB">
        <w:rPr>
          <w:rStyle w:val="baj"/>
          <w:rFonts w:ascii="Verdana" w:hAnsi="Verdana" w:cs="Open Sans"/>
          <w:sz w:val="20"/>
          <w:szCs w:val="20"/>
        </w:rPr>
        <w:t>. </w:t>
      </w:r>
      <w:r w:rsidRPr="009625AB">
        <w:rPr>
          <w:rFonts w:ascii="Verdana" w:hAnsi="Verdana" w:cs="Open Sans"/>
          <w:sz w:val="20"/>
          <w:szCs w:val="20"/>
        </w:rPr>
        <w:t>Adiciónese el siguiente parágrafo al artículo </w:t>
      </w:r>
      <w:hyperlink r:id="rId16" w:anchor="2" w:history="1">
        <w:r w:rsidRPr="00BF30E7">
          <w:rPr>
            <w:rStyle w:val="Hipervnculo"/>
            <w:rFonts w:ascii="Verdana" w:hAnsi="Verdana" w:cs="Open Sans"/>
            <w:sz w:val="20"/>
            <w:szCs w:val="20"/>
          </w:rPr>
          <w:t>2o</w:t>
        </w:r>
      </w:hyperlink>
      <w:r w:rsidRPr="009625AB">
        <w:rPr>
          <w:rFonts w:ascii="Verdana" w:hAnsi="Verdana" w:cs="Open Sans"/>
          <w:sz w:val="20"/>
          <w:szCs w:val="20"/>
        </w:rPr>
        <w:t> de la Ley 1150 de 2007.</w:t>
      </w:r>
    </w:p>
    <w:p w14:paraId="6F484D4F" w14:textId="77777777" w:rsidR="009625AB" w:rsidRPr="009625AB" w:rsidRDefault="009625AB" w:rsidP="00BF30E7">
      <w:pPr>
        <w:pStyle w:val="NormalWeb"/>
        <w:spacing w:before="0" w:beforeAutospacing="0" w:after="0" w:afterAutospacing="0" w:line="270" w:lineRule="atLeast"/>
        <w:ind w:left="709" w:right="709"/>
        <w:jc w:val="both"/>
        <w:rPr>
          <w:rFonts w:ascii="Verdana" w:hAnsi="Verdana" w:cs="Open Sans"/>
          <w:sz w:val="20"/>
          <w:szCs w:val="20"/>
        </w:rPr>
      </w:pPr>
    </w:p>
    <w:p w14:paraId="454766D8" w14:textId="77777777" w:rsidR="0078457D" w:rsidRDefault="0078457D" w:rsidP="009625AB">
      <w:pPr>
        <w:pStyle w:val="NormalWeb"/>
        <w:spacing w:before="0" w:beforeAutospacing="0" w:after="0" w:afterAutospacing="0" w:line="270" w:lineRule="atLeast"/>
        <w:ind w:left="709" w:right="709" w:hanging="1"/>
        <w:jc w:val="both"/>
        <w:rPr>
          <w:rFonts w:ascii="Verdana" w:hAnsi="Verdana" w:cs="Open Sans"/>
          <w:sz w:val="20"/>
          <w:szCs w:val="20"/>
        </w:rPr>
      </w:pPr>
      <w:r w:rsidRPr="009625AB">
        <w:rPr>
          <w:rStyle w:val="baj"/>
          <w:rFonts w:ascii="Verdana" w:hAnsi="Verdana" w:cs="Open Sans"/>
          <w:sz w:val="20"/>
          <w:szCs w:val="20"/>
        </w:rPr>
        <w:t>PARÁGRAFO 7o. </w:t>
      </w:r>
      <w:r w:rsidRPr="009625AB">
        <w:rPr>
          <w:rFonts w:ascii="Verdana" w:hAnsi="Verdana" w:cs="Open Sans"/>
          <w:sz w:val="20"/>
          <w:szCs w:val="20"/>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389DA73A" w14:textId="77777777" w:rsidR="009625AB" w:rsidRPr="009625AB" w:rsidRDefault="009625AB" w:rsidP="00BF30E7">
      <w:pPr>
        <w:pStyle w:val="NormalWeb"/>
        <w:spacing w:before="0" w:beforeAutospacing="0" w:after="0" w:afterAutospacing="0" w:line="270" w:lineRule="atLeast"/>
        <w:ind w:left="709" w:right="709" w:hanging="1"/>
        <w:jc w:val="both"/>
        <w:rPr>
          <w:rFonts w:ascii="Verdana" w:hAnsi="Verdana" w:cs="Open Sans"/>
          <w:sz w:val="20"/>
          <w:szCs w:val="20"/>
        </w:rPr>
      </w:pPr>
    </w:p>
    <w:p w14:paraId="5F414C9A" w14:textId="77777777" w:rsidR="0078457D" w:rsidRDefault="0078457D" w:rsidP="009625AB">
      <w:pPr>
        <w:pStyle w:val="NormalWeb"/>
        <w:spacing w:before="0" w:beforeAutospacing="0" w:after="0" w:afterAutospacing="0" w:line="270" w:lineRule="atLeast"/>
        <w:ind w:left="709" w:right="709" w:hanging="1"/>
        <w:jc w:val="both"/>
        <w:rPr>
          <w:rFonts w:ascii="Verdana" w:hAnsi="Verdana" w:cs="Open Sans"/>
          <w:sz w:val="20"/>
          <w:szCs w:val="20"/>
        </w:rPr>
      </w:pPr>
      <w:r w:rsidRPr="009625AB">
        <w:rPr>
          <w:rFonts w:ascii="Verdana" w:hAnsi="Verdana" w:cs="Open Sans"/>
          <w:sz w:val="20"/>
          <w:szCs w:val="20"/>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2EA6635" w14:textId="77777777" w:rsidR="009625AB" w:rsidRPr="009625AB" w:rsidRDefault="009625AB" w:rsidP="00BF30E7">
      <w:pPr>
        <w:pStyle w:val="NormalWeb"/>
        <w:spacing w:before="0" w:beforeAutospacing="0" w:after="0" w:afterAutospacing="0" w:line="270" w:lineRule="atLeast"/>
        <w:ind w:left="709" w:right="709" w:hanging="1"/>
        <w:jc w:val="both"/>
        <w:rPr>
          <w:rFonts w:ascii="Verdana" w:hAnsi="Verdana" w:cs="Open Sans"/>
          <w:sz w:val="20"/>
          <w:szCs w:val="20"/>
        </w:rPr>
      </w:pPr>
    </w:p>
    <w:p w14:paraId="67248B81" w14:textId="77777777" w:rsidR="0078457D" w:rsidRDefault="0078457D" w:rsidP="009625AB">
      <w:pPr>
        <w:pStyle w:val="NormalWeb"/>
        <w:spacing w:before="0" w:beforeAutospacing="0" w:after="0" w:afterAutospacing="0" w:line="270" w:lineRule="atLeast"/>
        <w:ind w:left="709" w:right="709" w:hanging="1"/>
        <w:jc w:val="both"/>
        <w:rPr>
          <w:rFonts w:ascii="Verdana" w:hAnsi="Verdana" w:cs="Open Sans"/>
          <w:sz w:val="20"/>
          <w:szCs w:val="20"/>
        </w:rPr>
      </w:pPr>
      <w:r w:rsidRPr="009625AB">
        <w:rPr>
          <w:rFonts w:ascii="Verdana" w:hAnsi="Verdana" w:cs="Open Sans"/>
          <w:sz w:val="20"/>
          <w:szCs w:val="20"/>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79C4F43B" w14:textId="77777777" w:rsidR="009625AB" w:rsidRPr="009625AB" w:rsidRDefault="009625AB" w:rsidP="00BF30E7">
      <w:pPr>
        <w:pStyle w:val="NormalWeb"/>
        <w:spacing w:before="0" w:beforeAutospacing="0" w:after="0" w:afterAutospacing="0" w:line="270" w:lineRule="atLeast"/>
        <w:ind w:left="709" w:right="709" w:hanging="1"/>
        <w:jc w:val="both"/>
        <w:rPr>
          <w:rFonts w:ascii="Verdana" w:hAnsi="Verdana" w:cs="Open Sans"/>
          <w:sz w:val="20"/>
          <w:szCs w:val="20"/>
        </w:rPr>
      </w:pPr>
    </w:p>
    <w:p w14:paraId="0008D2B9" w14:textId="77777777" w:rsidR="0078457D" w:rsidRDefault="0078457D" w:rsidP="009625AB">
      <w:pPr>
        <w:pStyle w:val="NormalWeb"/>
        <w:spacing w:before="0" w:beforeAutospacing="0" w:after="0" w:afterAutospacing="0" w:line="270" w:lineRule="atLeast"/>
        <w:ind w:left="709" w:right="709" w:hanging="1"/>
        <w:jc w:val="both"/>
        <w:rPr>
          <w:rFonts w:ascii="Verdana" w:hAnsi="Verdana" w:cs="Open Sans"/>
          <w:sz w:val="20"/>
          <w:szCs w:val="20"/>
        </w:rPr>
      </w:pPr>
      <w:r w:rsidRPr="009625AB">
        <w:rPr>
          <w:rFonts w:ascii="Verdana" w:hAnsi="Verdana" w:cs="Open Sans"/>
          <w:sz w:val="20"/>
          <w:szCs w:val="20"/>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068C289" w14:textId="77777777" w:rsidR="009625AB" w:rsidRPr="009625AB" w:rsidRDefault="009625AB" w:rsidP="00BF30E7">
      <w:pPr>
        <w:pStyle w:val="NormalWeb"/>
        <w:spacing w:before="0" w:beforeAutospacing="0" w:after="0" w:afterAutospacing="0" w:line="270" w:lineRule="atLeast"/>
        <w:ind w:left="709" w:right="709" w:hanging="1"/>
        <w:jc w:val="both"/>
        <w:rPr>
          <w:rFonts w:ascii="Verdana" w:hAnsi="Verdana" w:cs="Open Sans"/>
          <w:sz w:val="20"/>
          <w:szCs w:val="20"/>
        </w:rPr>
      </w:pPr>
    </w:p>
    <w:p w14:paraId="6D88A42C" w14:textId="594451CB" w:rsidR="0078457D" w:rsidRDefault="0078457D" w:rsidP="009625AB">
      <w:pPr>
        <w:pStyle w:val="NormalWeb"/>
        <w:spacing w:before="0" w:beforeAutospacing="0" w:after="0" w:afterAutospacing="0" w:line="270" w:lineRule="atLeast"/>
        <w:ind w:left="709" w:right="709" w:hanging="1"/>
        <w:jc w:val="both"/>
        <w:rPr>
          <w:rFonts w:ascii="Verdana" w:hAnsi="Verdana" w:cs="Open Sans"/>
          <w:sz w:val="20"/>
          <w:szCs w:val="20"/>
        </w:rPr>
      </w:pPr>
      <w:r w:rsidRPr="009625AB">
        <w:rPr>
          <w:rFonts w:ascii="Verdana" w:hAnsi="Verdana" w:cs="Open Sans"/>
          <w:sz w:val="20"/>
          <w:szCs w:val="20"/>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r w:rsidR="009625AB">
        <w:rPr>
          <w:rFonts w:ascii="Verdana" w:hAnsi="Verdana" w:cs="Open Sans"/>
          <w:sz w:val="20"/>
          <w:szCs w:val="20"/>
        </w:rPr>
        <w:t>”</w:t>
      </w:r>
      <w:r w:rsidRPr="009625AB">
        <w:rPr>
          <w:rFonts w:ascii="Verdana" w:hAnsi="Verdana" w:cs="Open Sans"/>
          <w:sz w:val="20"/>
          <w:szCs w:val="20"/>
        </w:rPr>
        <w:t>.</w:t>
      </w:r>
    </w:p>
    <w:p w14:paraId="59FE28C9" w14:textId="77777777" w:rsidR="009625AB" w:rsidRPr="00BF30E7" w:rsidRDefault="009625AB" w:rsidP="00BF30E7">
      <w:pPr>
        <w:pStyle w:val="NormalWeb"/>
        <w:spacing w:before="0" w:beforeAutospacing="0" w:after="0" w:afterAutospacing="0" w:line="270" w:lineRule="atLeast"/>
        <w:ind w:left="709" w:right="709" w:hanging="1"/>
        <w:jc w:val="both"/>
        <w:rPr>
          <w:rFonts w:ascii="Verdana" w:hAnsi="Verdana" w:cs="Open Sans"/>
          <w:sz w:val="22"/>
          <w:szCs w:val="22"/>
        </w:rPr>
      </w:pPr>
    </w:p>
    <w:p w14:paraId="2E0F2931" w14:textId="77777777" w:rsidR="0078457D" w:rsidRDefault="0078457D" w:rsidP="00BF30E7">
      <w:pPr>
        <w:spacing w:after="120" w:line="276" w:lineRule="auto"/>
        <w:ind w:firstLine="709"/>
        <w:jc w:val="both"/>
        <w:rPr>
          <w:rFonts w:ascii="Verdana" w:eastAsia="Calibri" w:hAnsi="Verdana" w:cs="Arial"/>
          <w:lang w:val="es-ES" w:eastAsia="es-ES_tradnl"/>
        </w:rPr>
      </w:pPr>
      <w:r w:rsidRPr="00CC09DD">
        <w:rPr>
          <w:rFonts w:ascii="Verdana" w:eastAsia="Calibri" w:hAnsi="Verdana" w:cs="Arial"/>
          <w:lang w:val="es-ES" w:eastAsia="es-ES"/>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14:paraId="16AC11FF" w14:textId="3EDB2DA9" w:rsidR="0078457D" w:rsidRPr="00F76091" w:rsidRDefault="0078457D" w:rsidP="0078457D">
      <w:pPr>
        <w:spacing w:before="120" w:after="120" w:line="276" w:lineRule="auto"/>
        <w:ind w:firstLine="709"/>
        <w:jc w:val="both"/>
        <w:rPr>
          <w:rFonts w:ascii="Verdana" w:eastAsia="Calibri" w:hAnsi="Verdana" w:cs="Arial"/>
          <w:lang w:val="es-ES" w:eastAsia="es-ES_tradnl"/>
        </w:rPr>
      </w:pPr>
      <w:r w:rsidRPr="00CC09DD">
        <w:rPr>
          <w:rFonts w:ascii="Verdana" w:eastAsia="Calibri" w:hAnsi="Verdana" w:cs="Arial"/>
          <w:lang w:val="es-ES" w:eastAsia="es-ES_tradnl"/>
        </w:rPr>
        <w:t xml:space="preserve">A partir de las normas referenciadas, </w:t>
      </w:r>
      <w:r w:rsidR="009625AB">
        <w:rPr>
          <w:rFonts w:ascii="Verdana" w:hAnsi="Verdana" w:cs="Times New Roman"/>
          <w:lang w:val="es-ES_tradnl"/>
        </w:rPr>
        <w:t>l</w:t>
      </w:r>
      <w:r w:rsidRPr="00CC09DD">
        <w:rPr>
          <w:rFonts w:ascii="Verdana" w:hAnsi="Verdana" w:cs="Times New Roman"/>
          <w:lang w:val="es-ES_tradnl"/>
        </w:rPr>
        <w:t>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CC09DD">
        <w:rPr>
          <w:rStyle w:val="Refdenotaalpie"/>
          <w:rFonts w:ascii="Verdana" w:hAnsi="Verdana" w:cs="Times New Roman"/>
          <w:lang w:val="es-ES_tradnl"/>
        </w:rPr>
        <w:footnoteReference w:id="4"/>
      </w:r>
    </w:p>
    <w:p w14:paraId="623B2B44" w14:textId="77777777" w:rsidR="0078457D" w:rsidRPr="00CC09DD" w:rsidRDefault="0078457D" w:rsidP="00BF30E7">
      <w:pPr>
        <w:spacing w:after="120" w:line="276" w:lineRule="auto"/>
        <w:ind w:firstLine="708"/>
        <w:jc w:val="both"/>
        <w:rPr>
          <w:rFonts w:ascii="Verdana" w:eastAsia="Calibri" w:hAnsi="Verdana" w:cs="Arial"/>
          <w:bCs/>
        </w:rPr>
      </w:pPr>
      <w:r w:rsidRPr="00CC09DD">
        <w:rPr>
          <w:rFonts w:ascii="Verdana" w:eastAsia="Calibri" w:hAnsi="Verdana" w:cs="Arial"/>
          <w:bCs/>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3A0126A2" w14:textId="354AB995" w:rsidR="0078457D" w:rsidRDefault="00125A1D" w:rsidP="0078457D">
      <w:pPr>
        <w:widowControl w:val="0"/>
        <w:autoSpaceDE w:val="0"/>
        <w:autoSpaceDN w:val="0"/>
        <w:spacing w:after="0" w:line="276" w:lineRule="auto"/>
        <w:ind w:right="49"/>
        <w:jc w:val="both"/>
        <w:rPr>
          <w:rFonts w:ascii="Verdana" w:eastAsia="Calibri" w:hAnsi="Verdana" w:cs="Arial"/>
          <w:lang w:val="es-ES"/>
        </w:rPr>
      </w:pPr>
      <w:r>
        <w:rPr>
          <w:rFonts w:ascii="Verdana" w:eastAsia="Calibri" w:hAnsi="Verdana" w:cs="Arial"/>
          <w:lang w:val="es-ES"/>
        </w:rPr>
        <w:t xml:space="preserve">Finalmente, se hará referencia al </w:t>
      </w:r>
      <w:r w:rsidRPr="00BF30E7">
        <w:rPr>
          <w:rFonts w:ascii="Verdana" w:eastAsia="Calibri" w:hAnsi="Verdana" w:cs="Arial"/>
          <w:lang w:val="es-ES"/>
        </w:rPr>
        <w:t>p</w:t>
      </w:r>
      <w:r w:rsidR="0078457D" w:rsidRPr="00BF30E7">
        <w:rPr>
          <w:rFonts w:ascii="Verdana" w:eastAsia="Calibri" w:hAnsi="Verdana" w:cs="Arial"/>
          <w:lang w:val="es-ES"/>
        </w:rPr>
        <w:t>rocedimiento de publicación en SECOP de la licitación pública y la licitación pública (obra pública)</w:t>
      </w:r>
      <w:r w:rsidRPr="00BF30E7">
        <w:rPr>
          <w:rFonts w:ascii="Verdana" w:eastAsia="Calibri" w:hAnsi="Verdana" w:cs="Arial"/>
          <w:lang w:val="es-ES"/>
        </w:rPr>
        <w:t>.</w:t>
      </w:r>
      <w:r>
        <w:rPr>
          <w:rFonts w:ascii="Verdana" w:eastAsia="Calibri" w:hAnsi="Verdana" w:cs="Arial"/>
          <w:lang w:val="es-ES"/>
        </w:rPr>
        <w:t xml:space="preserve"> </w:t>
      </w:r>
      <w:r w:rsidR="0078457D" w:rsidRPr="008F25AA">
        <w:rPr>
          <w:rFonts w:ascii="Verdana" w:eastAsia="Calibri" w:hAnsi="Verdana" w:cs="Arial"/>
          <w:lang w:val="es-ES"/>
        </w:rPr>
        <w:t>En relación con el uso de la plataforma SECOP II para la publicación de procesos de contratación de licitación pública o licitación pública (obra pública), se anexa a este concepto la explicación de la Subdirección de Información y Desarrollo Tecnológico de la Agencia Nacional de Contratación Pública – Colombia Compra Eficiente de cómo realizar dicha publicación, de la cual se extraen los siguientes apartes:</w:t>
      </w:r>
    </w:p>
    <w:p w14:paraId="5933F4AF" w14:textId="77777777" w:rsidR="0078457D" w:rsidRDefault="0078457D" w:rsidP="0078457D">
      <w:pPr>
        <w:widowControl w:val="0"/>
        <w:autoSpaceDE w:val="0"/>
        <w:autoSpaceDN w:val="0"/>
        <w:spacing w:after="0" w:line="276" w:lineRule="auto"/>
        <w:ind w:right="49"/>
        <w:jc w:val="both"/>
        <w:rPr>
          <w:rFonts w:ascii="Verdana" w:eastAsia="Calibri" w:hAnsi="Verdana" w:cs="Arial"/>
          <w:u w:val="single"/>
          <w:lang w:val="es-ES"/>
        </w:rPr>
      </w:pPr>
    </w:p>
    <w:p w14:paraId="393EC3A1" w14:textId="77777777" w:rsidR="0078457D" w:rsidRPr="008F25AA" w:rsidRDefault="0078457D" w:rsidP="0078457D">
      <w:pPr>
        <w:pStyle w:val="Prrafodelista"/>
        <w:widowControl w:val="0"/>
        <w:numPr>
          <w:ilvl w:val="0"/>
          <w:numId w:val="18"/>
        </w:numPr>
        <w:autoSpaceDE w:val="0"/>
        <w:autoSpaceDN w:val="0"/>
        <w:spacing w:after="0" w:line="276" w:lineRule="auto"/>
        <w:ind w:right="49"/>
        <w:jc w:val="both"/>
        <w:rPr>
          <w:rFonts w:ascii="Verdana" w:eastAsia="Calibri" w:hAnsi="Verdana" w:cs="Arial"/>
        </w:rPr>
      </w:pPr>
      <w:r w:rsidRPr="008F25AA">
        <w:rPr>
          <w:rFonts w:ascii="Verdana" w:eastAsia="Calibri" w:hAnsi="Verdana" w:cs="Arial"/>
        </w:rPr>
        <w:t>Licitación pública</w:t>
      </w:r>
    </w:p>
    <w:p w14:paraId="37E3BA1A" w14:textId="77777777" w:rsidR="0078457D" w:rsidRDefault="0078457D" w:rsidP="0078457D">
      <w:pPr>
        <w:widowControl w:val="0"/>
        <w:autoSpaceDE w:val="0"/>
        <w:autoSpaceDN w:val="0"/>
        <w:spacing w:after="0" w:line="276" w:lineRule="auto"/>
        <w:ind w:right="49"/>
        <w:jc w:val="both"/>
        <w:rPr>
          <w:rFonts w:ascii="Verdana" w:eastAsia="Calibri" w:hAnsi="Verdana" w:cs="Arial"/>
          <w:u w:val="single"/>
        </w:rPr>
      </w:pPr>
    </w:p>
    <w:p w14:paraId="36673D48" w14:textId="77777777" w:rsidR="0078457D" w:rsidRDefault="0078457D" w:rsidP="0078457D">
      <w:pPr>
        <w:widowControl w:val="0"/>
        <w:autoSpaceDE w:val="0"/>
        <w:autoSpaceDN w:val="0"/>
        <w:spacing w:after="0" w:line="276" w:lineRule="auto"/>
        <w:ind w:right="49"/>
        <w:jc w:val="center"/>
        <w:rPr>
          <w:rFonts w:ascii="Verdana" w:eastAsia="Calibri" w:hAnsi="Verdana" w:cs="Arial"/>
          <w:u w:val="single"/>
        </w:rPr>
      </w:pPr>
      <w:r>
        <w:rPr>
          <w:rFonts w:ascii="Verdana" w:eastAsia="Calibri" w:hAnsi="Verdana" w:cs="Arial"/>
          <w:noProof/>
          <w:u w:val="single"/>
        </w:rPr>
        <w:lastRenderedPageBreak/>
        <w:drawing>
          <wp:inline distT="0" distB="0" distL="0" distR="0" wp14:anchorId="073951BB" wp14:editId="3D011746">
            <wp:extent cx="3879457" cy="3864334"/>
            <wp:effectExtent l="0" t="0" r="6985"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7">
                      <a:extLst>
                        <a:ext uri="{28A0092B-C50C-407E-A947-70E740481C1C}">
                          <a14:useLocalDpi xmlns:a14="http://schemas.microsoft.com/office/drawing/2010/main" val="0"/>
                        </a:ext>
                      </a:extLst>
                    </a:blip>
                    <a:stretch>
                      <a:fillRect/>
                    </a:stretch>
                  </pic:blipFill>
                  <pic:spPr>
                    <a:xfrm>
                      <a:off x="0" y="0"/>
                      <a:ext cx="3889996" cy="3874832"/>
                    </a:xfrm>
                    <a:prstGeom prst="rect">
                      <a:avLst/>
                    </a:prstGeom>
                  </pic:spPr>
                </pic:pic>
              </a:graphicData>
            </a:graphic>
          </wp:inline>
        </w:drawing>
      </w:r>
    </w:p>
    <w:p w14:paraId="31A6B1B9" w14:textId="77777777" w:rsidR="0078457D" w:rsidRDefault="0078457D" w:rsidP="0078457D">
      <w:pPr>
        <w:widowControl w:val="0"/>
        <w:autoSpaceDE w:val="0"/>
        <w:autoSpaceDN w:val="0"/>
        <w:spacing w:after="0" w:line="276" w:lineRule="auto"/>
        <w:ind w:right="49"/>
        <w:jc w:val="center"/>
        <w:rPr>
          <w:rFonts w:ascii="Verdana" w:eastAsia="Calibri" w:hAnsi="Verdana" w:cs="Arial"/>
          <w:u w:val="single"/>
        </w:rPr>
      </w:pPr>
    </w:p>
    <w:p w14:paraId="62FCD362" w14:textId="77777777" w:rsidR="0078457D" w:rsidRPr="008F25AA" w:rsidRDefault="0078457D" w:rsidP="0078457D">
      <w:pPr>
        <w:widowControl w:val="0"/>
        <w:autoSpaceDE w:val="0"/>
        <w:autoSpaceDN w:val="0"/>
        <w:spacing w:after="0" w:line="276" w:lineRule="auto"/>
        <w:ind w:right="49"/>
        <w:jc w:val="center"/>
        <w:rPr>
          <w:rFonts w:ascii="Verdana" w:eastAsia="Calibri" w:hAnsi="Verdana" w:cs="Arial"/>
          <w:u w:val="single"/>
        </w:rPr>
      </w:pPr>
    </w:p>
    <w:p w14:paraId="184633E4" w14:textId="77777777" w:rsidR="0078457D" w:rsidRDefault="0078457D" w:rsidP="0078457D">
      <w:pPr>
        <w:pStyle w:val="Prrafodelista"/>
        <w:widowControl w:val="0"/>
        <w:numPr>
          <w:ilvl w:val="0"/>
          <w:numId w:val="18"/>
        </w:numPr>
        <w:autoSpaceDE w:val="0"/>
        <w:autoSpaceDN w:val="0"/>
        <w:spacing w:after="0" w:line="276" w:lineRule="auto"/>
        <w:ind w:right="49"/>
        <w:jc w:val="both"/>
        <w:rPr>
          <w:rFonts w:ascii="Verdana" w:eastAsia="Calibri" w:hAnsi="Verdana" w:cs="Arial"/>
        </w:rPr>
      </w:pPr>
      <w:r>
        <w:rPr>
          <w:rFonts w:ascii="Verdana" w:eastAsia="Calibri" w:hAnsi="Verdana" w:cs="Arial"/>
        </w:rPr>
        <w:t>Licitación pública (obra pública)</w:t>
      </w:r>
    </w:p>
    <w:p w14:paraId="58416AC6" w14:textId="77777777" w:rsidR="0078457D" w:rsidRPr="008F25AA" w:rsidRDefault="0078457D" w:rsidP="0078457D">
      <w:pPr>
        <w:widowControl w:val="0"/>
        <w:autoSpaceDE w:val="0"/>
        <w:autoSpaceDN w:val="0"/>
        <w:spacing w:after="0" w:line="276" w:lineRule="auto"/>
        <w:ind w:left="360" w:right="49"/>
        <w:jc w:val="both"/>
        <w:rPr>
          <w:rFonts w:ascii="Verdana" w:eastAsia="Calibri" w:hAnsi="Verdana" w:cs="Arial"/>
        </w:rPr>
      </w:pPr>
    </w:p>
    <w:p w14:paraId="60AA0991" w14:textId="77777777" w:rsidR="0078457D" w:rsidRDefault="0078457D" w:rsidP="0078457D">
      <w:pPr>
        <w:widowControl w:val="0"/>
        <w:autoSpaceDE w:val="0"/>
        <w:autoSpaceDN w:val="0"/>
        <w:spacing w:after="0" w:line="276" w:lineRule="auto"/>
        <w:ind w:right="49"/>
        <w:jc w:val="center"/>
        <w:rPr>
          <w:rFonts w:ascii="Verdana" w:eastAsia="Calibri" w:hAnsi="Verdana" w:cs="Arial"/>
        </w:rPr>
      </w:pPr>
      <w:r>
        <w:rPr>
          <w:rFonts w:ascii="Verdana" w:eastAsia="Calibri" w:hAnsi="Verdana" w:cs="Arial"/>
          <w:noProof/>
        </w:rPr>
        <w:lastRenderedPageBreak/>
        <w:drawing>
          <wp:inline distT="0" distB="0" distL="0" distR="0" wp14:anchorId="6DE6B5F0" wp14:editId="46DEAC67">
            <wp:extent cx="2523811" cy="2763224"/>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8">
                      <a:extLst>
                        <a:ext uri="{28A0092B-C50C-407E-A947-70E740481C1C}">
                          <a14:useLocalDpi xmlns:a14="http://schemas.microsoft.com/office/drawing/2010/main" val="0"/>
                        </a:ext>
                      </a:extLst>
                    </a:blip>
                    <a:stretch>
                      <a:fillRect/>
                    </a:stretch>
                  </pic:blipFill>
                  <pic:spPr>
                    <a:xfrm>
                      <a:off x="0" y="0"/>
                      <a:ext cx="2561227" cy="2804189"/>
                    </a:xfrm>
                    <a:prstGeom prst="rect">
                      <a:avLst/>
                    </a:prstGeom>
                  </pic:spPr>
                </pic:pic>
              </a:graphicData>
            </a:graphic>
          </wp:inline>
        </w:drawing>
      </w:r>
    </w:p>
    <w:p w14:paraId="763DDF22" w14:textId="77777777" w:rsidR="0078457D" w:rsidRDefault="0078457D" w:rsidP="0078457D">
      <w:pPr>
        <w:widowControl w:val="0"/>
        <w:autoSpaceDE w:val="0"/>
        <w:autoSpaceDN w:val="0"/>
        <w:spacing w:after="0" w:line="276" w:lineRule="auto"/>
        <w:ind w:right="49"/>
        <w:jc w:val="both"/>
        <w:rPr>
          <w:rFonts w:ascii="Verdana" w:eastAsia="Calibri" w:hAnsi="Verdana" w:cs="Arial"/>
        </w:rPr>
      </w:pPr>
    </w:p>
    <w:p w14:paraId="3EA604ED" w14:textId="77777777" w:rsidR="0078457D" w:rsidRDefault="0078457D" w:rsidP="0078457D">
      <w:pPr>
        <w:widowControl w:val="0"/>
        <w:autoSpaceDE w:val="0"/>
        <w:autoSpaceDN w:val="0"/>
        <w:spacing w:after="0" w:line="276" w:lineRule="auto"/>
        <w:ind w:right="49"/>
        <w:jc w:val="center"/>
        <w:rPr>
          <w:rFonts w:ascii="Verdana" w:eastAsia="Calibri" w:hAnsi="Verdana" w:cs="Arial"/>
        </w:rPr>
      </w:pPr>
      <w:r>
        <w:rPr>
          <w:rFonts w:ascii="Verdana" w:eastAsia="Calibri" w:hAnsi="Verdana" w:cs="Arial"/>
          <w:noProof/>
        </w:rPr>
        <w:drawing>
          <wp:inline distT="0" distB="0" distL="0" distR="0" wp14:anchorId="6788BAC4" wp14:editId="0371D8C2">
            <wp:extent cx="2751152" cy="3371203"/>
            <wp:effectExtent l="0" t="0" r="0" b="127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9">
                      <a:extLst>
                        <a:ext uri="{28A0092B-C50C-407E-A947-70E740481C1C}">
                          <a14:useLocalDpi xmlns:a14="http://schemas.microsoft.com/office/drawing/2010/main" val="0"/>
                        </a:ext>
                      </a:extLst>
                    </a:blip>
                    <a:stretch>
                      <a:fillRect/>
                    </a:stretch>
                  </pic:blipFill>
                  <pic:spPr>
                    <a:xfrm>
                      <a:off x="0" y="0"/>
                      <a:ext cx="2762877" cy="3385571"/>
                    </a:xfrm>
                    <a:prstGeom prst="rect">
                      <a:avLst/>
                    </a:prstGeom>
                  </pic:spPr>
                </pic:pic>
              </a:graphicData>
            </a:graphic>
          </wp:inline>
        </w:drawing>
      </w:r>
    </w:p>
    <w:p w14:paraId="0217CF65" w14:textId="77777777" w:rsidR="0078457D" w:rsidRPr="00FF6458" w:rsidRDefault="0078457D" w:rsidP="0078457D">
      <w:pPr>
        <w:widowControl w:val="0"/>
        <w:autoSpaceDE w:val="0"/>
        <w:autoSpaceDN w:val="0"/>
        <w:spacing w:after="0" w:line="276" w:lineRule="auto"/>
        <w:ind w:right="49" w:firstLine="709"/>
        <w:jc w:val="both"/>
        <w:rPr>
          <w:rFonts w:ascii="Verdana" w:hAnsi="Verdana" w:cs="Arial"/>
          <w:lang w:eastAsia="es-ES"/>
        </w:rPr>
      </w:pPr>
      <w:r>
        <w:rPr>
          <w:rFonts w:ascii="Verdana" w:eastAsia="Calibri" w:hAnsi="Verdana" w:cs="Arial"/>
        </w:rPr>
        <w:t>Finalmente</w:t>
      </w:r>
      <w:r w:rsidRPr="00FF6458">
        <w:rPr>
          <w:rFonts w:ascii="Verdana" w:eastAsia="Calibri" w:hAnsi="Verdana" w:cs="Arial"/>
        </w:rPr>
        <w:t xml:space="preserve">, el análisis concreto </w:t>
      </w:r>
      <w:r>
        <w:rPr>
          <w:rFonts w:ascii="Verdana" w:eastAsia="Calibri" w:hAnsi="Verdana" w:cs="Arial"/>
        </w:rPr>
        <w:t xml:space="preserve">de adecuación en cuanto a la naturaleza del contrato y la modalidad de selección </w:t>
      </w:r>
      <w:r w:rsidRPr="00FF6458">
        <w:rPr>
          <w:rFonts w:ascii="Verdana" w:eastAsia="Calibri" w:hAnsi="Verdana" w:cs="Arial"/>
        </w:rPr>
        <w:t>debe ser realizado po</w:t>
      </w:r>
      <w:r>
        <w:rPr>
          <w:rFonts w:ascii="Verdana" w:eastAsia="Calibri" w:hAnsi="Verdana" w:cs="Arial"/>
        </w:rPr>
        <w:t>r l</w:t>
      </w:r>
      <w:r w:rsidRPr="00FF6458">
        <w:rPr>
          <w:rFonts w:ascii="Verdana" w:eastAsia="Calibri" w:hAnsi="Verdana" w:cs="Arial"/>
        </w:rPr>
        <w:t>a entidad que adelanta el proceso</w:t>
      </w:r>
      <w:r w:rsidRPr="00FF6458">
        <w:rPr>
          <w:rFonts w:ascii="Verdana" w:hAnsi="Verdana" w:cs="Arial"/>
          <w:lang w:eastAsia="es-ES"/>
        </w:rPr>
        <w:t xml:space="preserve">. Al tratarse de un análisis que debe realizarse en el procedimiento contractual específico, la Agencia no puede definir un criterio universal y absoluto por vía consultiva, sino que brinda elementos de carácter </w:t>
      </w:r>
      <w:r w:rsidRPr="00FF6458">
        <w:rPr>
          <w:rFonts w:ascii="Verdana" w:hAnsi="Verdana" w:cs="Arial"/>
          <w:lang w:eastAsia="es-ES"/>
        </w:rPr>
        <w:lastRenderedPageBreak/>
        <w:t>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67BFA41" w14:textId="77777777" w:rsidR="0078457D" w:rsidRPr="00125A1D" w:rsidRDefault="0078457D" w:rsidP="00125A1D">
      <w:pPr>
        <w:widowControl w:val="0"/>
        <w:autoSpaceDE w:val="0"/>
        <w:autoSpaceDN w:val="0"/>
        <w:spacing w:after="0" w:line="276" w:lineRule="auto"/>
        <w:jc w:val="both"/>
        <w:rPr>
          <w:rFonts w:ascii="Verdana" w:hAnsi="Verdana" w:cs="Arial"/>
        </w:rPr>
      </w:pPr>
    </w:p>
    <w:p w14:paraId="3D3C8208" w14:textId="77777777" w:rsidR="0078457D" w:rsidRPr="00125A1D" w:rsidRDefault="0078457D" w:rsidP="00125A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Referencias normativas, jurisprudenciales y otras fuentes:</w:t>
      </w:r>
    </w:p>
    <w:p w14:paraId="55554565" w14:textId="77777777" w:rsidR="0078457D" w:rsidRPr="00125A1D" w:rsidRDefault="0078457D" w:rsidP="00125A1D">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8457D" w:rsidRPr="00125A1D" w14:paraId="7AE40382" w14:textId="77777777" w:rsidTr="00231398">
        <w:trPr>
          <w:trHeight w:val="870"/>
        </w:trPr>
        <w:tc>
          <w:tcPr>
            <w:tcW w:w="8647" w:type="dxa"/>
            <w:tcBorders>
              <w:top w:val="dotted" w:sz="4" w:space="0" w:color="auto"/>
              <w:left w:val="dotted" w:sz="4" w:space="0" w:color="auto"/>
              <w:bottom w:val="dotted" w:sz="4" w:space="0" w:color="auto"/>
              <w:right w:val="dotted" w:sz="4" w:space="0" w:color="auto"/>
            </w:tcBorders>
            <w:hideMark/>
          </w:tcPr>
          <w:p w14:paraId="43542163" w14:textId="77777777" w:rsidR="0078457D" w:rsidRPr="00125A1D" w:rsidRDefault="0078457D" w:rsidP="00125A1D">
            <w:pPr>
              <w:pStyle w:val="Prrafodelista"/>
              <w:widowControl w:val="0"/>
              <w:numPr>
                <w:ilvl w:val="0"/>
                <w:numId w:val="17"/>
              </w:numPr>
              <w:autoSpaceDE w:val="0"/>
              <w:autoSpaceDN w:val="0"/>
              <w:spacing w:line="276" w:lineRule="auto"/>
              <w:jc w:val="both"/>
              <w:rPr>
                <w:rFonts w:ascii="Verdana" w:hAnsi="Verdana" w:cs="Arial"/>
              </w:rPr>
            </w:pPr>
            <w:r w:rsidRPr="00125A1D">
              <w:rPr>
                <w:rFonts w:ascii="Verdana" w:hAnsi="Verdana" w:cs="Arial"/>
              </w:rPr>
              <w:t>Ley 80 de 1993: Artículos 30 y 32 numeral 1.</w:t>
            </w:r>
          </w:p>
          <w:p w14:paraId="0D91A9CF" w14:textId="77777777" w:rsidR="0078457D" w:rsidRDefault="0078457D" w:rsidP="00125A1D">
            <w:pPr>
              <w:pStyle w:val="Prrafodelista"/>
              <w:widowControl w:val="0"/>
              <w:numPr>
                <w:ilvl w:val="0"/>
                <w:numId w:val="17"/>
              </w:numPr>
              <w:autoSpaceDE w:val="0"/>
              <w:autoSpaceDN w:val="0"/>
              <w:spacing w:line="276" w:lineRule="auto"/>
              <w:jc w:val="both"/>
              <w:rPr>
                <w:rFonts w:ascii="Verdana" w:hAnsi="Verdana" w:cs="Arial"/>
              </w:rPr>
            </w:pPr>
            <w:r w:rsidRPr="00125A1D">
              <w:rPr>
                <w:rFonts w:ascii="Verdana" w:hAnsi="Verdana" w:cs="Arial"/>
              </w:rPr>
              <w:t>Ley 1150 de 2007: Artículos 2, 8 y 9.</w:t>
            </w:r>
          </w:p>
          <w:p w14:paraId="3F63AD6A" w14:textId="090E9F8C" w:rsidR="00125A1D" w:rsidRPr="00125A1D" w:rsidRDefault="00125A1D" w:rsidP="00125A1D">
            <w:pPr>
              <w:pStyle w:val="Prrafodelista"/>
              <w:widowControl w:val="0"/>
              <w:numPr>
                <w:ilvl w:val="0"/>
                <w:numId w:val="17"/>
              </w:numPr>
              <w:autoSpaceDE w:val="0"/>
              <w:autoSpaceDN w:val="0"/>
              <w:spacing w:line="276" w:lineRule="auto"/>
              <w:jc w:val="both"/>
              <w:rPr>
                <w:rFonts w:ascii="Verdana" w:hAnsi="Verdana" w:cs="Arial"/>
              </w:rPr>
            </w:pPr>
            <w:r w:rsidRPr="00F76091">
              <w:rPr>
                <w:rFonts w:ascii="Verdana" w:hAnsi="Verdana" w:cs="Open Sans"/>
              </w:rPr>
              <w:t>Ley 1882 de 2018</w:t>
            </w:r>
            <w:r>
              <w:rPr>
                <w:rFonts w:ascii="Verdana" w:hAnsi="Verdana" w:cs="Open Sans"/>
              </w:rPr>
              <w:t>.</w:t>
            </w:r>
          </w:p>
          <w:p w14:paraId="063208EB" w14:textId="77777777" w:rsidR="00125A1D" w:rsidRPr="00BF30E7" w:rsidRDefault="00125A1D" w:rsidP="00125A1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125A1D">
              <w:rPr>
                <w:rFonts w:ascii="Verdana" w:hAnsi="Verdana" w:cs="Arial"/>
              </w:rPr>
              <w:t>Ley 2022 de 2020: Artículo 1.</w:t>
            </w:r>
          </w:p>
          <w:p w14:paraId="427AC4FD" w14:textId="797F6242" w:rsidR="0078457D" w:rsidRPr="00BF30E7" w:rsidRDefault="0078457D" w:rsidP="00BF30E7">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125A1D">
              <w:rPr>
                <w:rFonts w:ascii="Verdana" w:hAnsi="Verdana" w:cs="Arial"/>
              </w:rPr>
              <w:t xml:space="preserve">Decreto 1082 de 2015: Artículos </w:t>
            </w:r>
            <w:r w:rsidRPr="00125A1D">
              <w:rPr>
                <w:rFonts w:ascii="Verdana" w:hAnsi="Verdana" w:cs="Arial"/>
                <w:color w:val="000000" w:themeColor="text1"/>
              </w:rPr>
              <w:t>2.2.1.1.2.1.1, 2.2.1.1.2.1.2., 2.2.1.1.2.1.3., 2.2.1.1.1.7.1., 2.2.1.1.2.1.4.,</w:t>
            </w:r>
            <w:r w:rsidRPr="00BF30E7">
              <w:rPr>
                <w:rFonts w:ascii="Verdana" w:hAnsi="Verdana"/>
              </w:rPr>
              <w:t xml:space="preserve"> </w:t>
            </w:r>
            <w:r w:rsidRPr="00125A1D">
              <w:rPr>
                <w:rFonts w:ascii="Verdana" w:hAnsi="Verdana" w:cs="Arial"/>
                <w:color w:val="000000" w:themeColor="text1"/>
              </w:rPr>
              <w:t>2.2.1.1.2.1.5, 2.2.1.1.2.2.3</w:t>
            </w:r>
          </w:p>
        </w:tc>
      </w:tr>
    </w:tbl>
    <w:p w14:paraId="18679E1F" w14:textId="77777777" w:rsidR="0078457D" w:rsidRPr="00125A1D" w:rsidRDefault="0078457D" w:rsidP="00125A1D">
      <w:pPr>
        <w:widowControl w:val="0"/>
        <w:autoSpaceDE w:val="0"/>
        <w:autoSpaceDN w:val="0"/>
        <w:spacing w:after="0" w:line="276" w:lineRule="auto"/>
        <w:jc w:val="both"/>
        <w:rPr>
          <w:rFonts w:ascii="Verdana" w:hAnsi="Verdana" w:cs="Arial"/>
        </w:rPr>
      </w:pPr>
    </w:p>
    <w:p w14:paraId="5A29C388" w14:textId="77777777" w:rsidR="0078457D" w:rsidRPr="00125A1D" w:rsidRDefault="0078457D" w:rsidP="00125A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Doctrina de la Agencia Nacional de Contratación Pública:</w:t>
      </w:r>
    </w:p>
    <w:p w14:paraId="0F3F220F" w14:textId="77777777" w:rsidR="0078457D" w:rsidRPr="00125A1D" w:rsidRDefault="0078457D" w:rsidP="00125A1D">
      <w:pPr>
        <w:widowControl w:val="0"/>
        <w:autoSpaceDE w:val="0"/>
        <w:autoSpaceDN w:val="0"/>
        <w:spacing w:after="0" w:line="276" w:lineRule="auto"/>
        <w:jc w:val="both"/>
        <w:rPr>
          <w:rFonts w:ascii="Verdana" w:hAnsi="Verdana" w:cs="Arial"/>
        </w:rPr>
      </w:pPr>
    </w:p>
    <w:p w14:paraId="040A5146" w14:textId="5E9BB2EF" w:rsidR="0078457D" w:rsidRPr="00125A1D" w:rsidRDefault="0078457D" w:rsidP="00125A1D">
      <w:pPr>
        <w:widowControl w:val="0"/>
        <w:autoSpaceDE w:val="0"/>
        <w:autoSpaceDN w:val="0"/>
        <w:spacing w:after="0" w:line="276" w:lineRule="auto"/>
        <w:jc w:val="both"/>
        <w:rPr>
          <w:rStyle w:val="normaltextrun"/>
          <w:rFonts w:ascii="Verdana" w:hAnsi="Verdana"/>
          <w:color w:val="FF0000"/>
          <w:shd w:val="clear" w:color="auto" w:fill="FFFFFF"/>
          <w:lang w:val="es-ES"/>
        </w:rPr>
      </w:pPr>
      <w:r w:rsidRPr="00125A1D">
        <w:rPr>
          <w:rFonts w:ascii="Verdana" w:hAnsi="Verdana" w:cs="Arial"/>
          <w:shd w:val="clear" w:color="auto" w:fill="FFFFFF"/>
        </w:rPr>
        <w:t>Esta Subdirección se ha pronunciado sobre la licitación pública en los conceptos C-431 de 2024, C-852 de 2025, C-108 de 2025,</w:t>
      </w:r>
      <w:r w:rsidR="00125A1D" w:rsidRPr="00125A1D">
        <w:rPr>
          <w:rFonts w:ascii="Verdana" w:hAnsi="Verdana" w:cs="Arial"/>
          <w:shd w:val="clear" w:color="auto" w:fill="FFFFFF"/>
        </w:rPr>
        <w:t xml:space="preserve"> </w:t>
      </w:r>
      <w:r w:rsidRPr="00125A1D">
        <w:rPr>
          <w:rFonts w:ascii="Verdana" w:hAnsi="Verdana" w:cs="Arial"/>
          <w:shd w:val="clear" w:color="auto" w:fill="FFFFFF"/>
        </w:rPr>
        <w:t>C-735 de 2025, entre otros.</w:t>
      </w:r>
      <w:r w:rsidRPr="00125A1D">
        <w:rPr>
          <w:rStyle w:val="normaltextrun"/>
          <w:rFonts w:ascii="Verdana" w:hAnsi="Verdana" w:cs="Arial"/>
          <w:shd w:val="clear" w:color="auto" w:fill="FFFFFF"/>
          <w:lang w:val="es-ES"/>
        </w:rPr>
        <w:t xml:space="preserve"> Es</w:t>
      </w:r>
      <w:r w:rsidRPr="00125A1D">
        <w:rPr>
          <w:rFonts w:ascii="Verdana" w:hAnsi="Verdana"/>
        </w:rPr>
        <w:t>tos y otros conceptos se encuentran disponibles para consulta en el Sistema de relatoría de la Agencia, al cual se puede acceder a través del siguiente enlace:</w:t>
      </w:r>
      <w:r w:rsidRPr="00125A1D">
        <w:rPr>
          <w:rStyle w:val="normaltextrun"/>
          <w:rFonts w:ascii="Verdana" w:hAnsi="Verdana" w:cs="Arial"/>
          <w:shd w:val="clear" w:color="auto" w:fill="FFFFFF"/>
          <w:lang w:val="es-ES"/>
        </w:rPr>
        <w:t xml:space="preserve"> </w:t>
      </w:r>
      <w:hyperlink r:id="rId20" w:history="1">
        <w:r w:rsidRPr="00125A1D">
          <w:rPr>
            <w:rStyle w:val="Hipervnculo"/>
            <w:rFonts w:ascii="Verdana" w:hAnsi="Verdana" w:cs="Arial"/>
            <w:shd w:val="clear" w:color="auto" w:fill="FFFFFF"/>
            <w:lang w:val="es-ES"/>
          </w:rPr>
          <w:t>https://relatoria.colombiacompra.gov.co/busqueda/conceptos</w:t>
        </w:r>
      </w:hyperlink>
      <w:r w:rsidRPr="00125A1D">
        <w:rPr>
          <w:rStyle w:val="normaltextrun"/>
          <w:rFonts w:ascii="Verdana" w:hAnsi="Verdana" w:cs="Arial"/>
          <w:color w:val="FF0000"/>
          <w:shd w:val="clear" w:color="auto" w:fill="FFFFFF"/>
          <w:lang w:val="es-ES"/>
        </w:rPr>
        <w:t xml:space="preserve">. </w:t>
      </w:r>
    </w:p>
    <w:p w14:paraId="1ADCAA45" w14:textId="77777777" w:rsidR="0078457D" w:rsidRPr="00125A1D" w:rsidRDefault="0078457D" w:rsidP="00125A1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E7CE99E" w14:textId="77777777" w:rsidR="0078457D" w:rsidRPr="00125A1D" w:rsidRDefault="0078457D" w:rsidP="00125A1D">
      <w:pPr>
        <w:shd w:val="clear" w:color="auto" w:fill="FFFFFF"/>
        <w:spacing w:after="0" w:line="276" w:lineRule="auto"/>
        <w:jc w:val="both"/>
        <w:textAlignment w:val="baseline"/>
        <w:rPr>
          <w:rFonts w:ascii="Verdana" w:hAnsi="Verdana"/>
          <w:color w:val="467886"/>
          <w:u w:val="single"/>
          <w:bdr w:val="none" w:sz="0" w:space="0" w:color="auto" w:frame="1"/>
        </w:rPr>
      </w:pPr>
      <w:r w:rsidRPr="00125A1D">
        <w:rPr>
          <w:rFonts w:ascii="Verdana" w:hAnsi="Verdana"/>
          <w:color w:val="000000"/>
          <w:bdr w:val="none" w:sz="0" w:space="0" w:color="auto" w:frame="1"/>
        </w:rPr>
        <w:t>Le contamos que ya se encuentra disponible la </w:t>
      </w:r>
      <w:r w:rsidRPr="00125A1D">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sidRPr="00125A1D">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25A1D">
        <w:rPr>
          <w:rFonts w:ascii="Verdana" w:hAnsi="Verdana"/>
          <w:color w:val="000000"/>
          <w:bdr w:val="none" w:sz="0" w:space="0" w:color="auto" w:frame="1"/>
        </w:rPr>
        <w:t>Wayúu</w:t>
      </w:r>
      <w:proofErr w:type="spellEnd"/>
      <w:r w:rsidRPr="00125A1D">
        <w:rPr>
          <w:rFonts w:ascii="Verdana" w:hAnsi="Verdana"/>
          <w:color w:val="000000"/>
          <w:bdr w:val="none" w:sz="0" w:space="0" w:color="auto" w:frame="1"/>
        </w:rPr>
        <w:t>. Puede consultar la guía en el siguiente enlace: </w:t>
      </w:r>
      <w:hyperlink r:id="rId21" w:tgtFrame="_blank" w:tooltip="Dirección URL original: https://www.colombiacompra.gov.co/wp-content/uploads/2025/05/GUIA-DE-LINEAMIENTOS-DE-TRANSPARENCIA-Y-SELECCION-OBJETIVA-1.0.pdf. Haga clic o pulse si confía en este vínculo." w:history="1">
        <w:r w:rsidRPr="00125A1D">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125A1D">
        <w:rPr>
          <w:rFonts w:ascii="Verdana" w:hAnsi="Verdana"/>
          <w:color w:val="467886"/>
          <w:u w:val="single"/>
          <w:bdr w:val="none" w:sz="0" w:space="0" w:color="auto" w:frame="1"/>
        </w:rPr>
        <w:t>"</w:t>
      </w:r>
    </w:p>
    <w:p w14:paraId="391B0FFE" w14:textId="77777777" w:rsidR="0078457D" w:rsidRPr="00125A1D" w:rsidRDefault="0078457D" w:rsidP="00125A1D">
      <w:pPr>
        <w:spacing w:after="0" w:line="276" w:lineRule="auto"/>
        <w:jc w:val="both"/>
        <w:rPr>
          <w:rFonts w:ascii="Verdana" w:hAnsi="Verdana"/>
        </w:rPr>
      </w:pPr>
    </w:p>
    <w:p w14:paraId="5E414296" w14:textId="77777777" w:rsidR="0078457D" w:rsidRPr="00125A1D" w:rsidRDefault="0078457D" w:rsidP="00125A1D">
      <w:pPr>
        <w:spacing w:after="0" w:line="276" w:lineRule="auto"/>
        <w:jc w:val="both"/>
        <w:rPr>
          <w:rFonts w:ascii="Verdana" w:hAnsi="Verdana"/>
        </w:rPr>
      </w:pPr>
      <w:r w:rsidRPr="00125A1D">
        <w:rPr>
          <w:rFonts w:ascii="Verdana" w:hAnsi="Verdana"/>
        </w:rPr>
        <w:lastRenderedPageBreak/>
        <w:t xml:space="preserve">Por último, lo invitamos a seguirnos en las redes sociales en las cuales se difunde información institucional: </w:t>
      </w:r>
    </w:p>
    <w:p w14:paraId="08A460FE" w14:textId="77777777" w:rsidR="0078457D" w:rsidRPr="00125A1D" w:rsidRDefault="0078457D" w:rsidP="00125A1D">
      <w:pPr>
        <w:spacing w:after="0" w:line="276" w:lineRule="auto"/>
        <w:jc w:val="both"/>
        <w:rPr>
          <w:rFonts w:ascii="Verdana" w:hAnsi="Verdana"/>
        </w:rPr>
      </w:pPr>
    </w:p>
    <w:p w14:paraId="2529A45A" w14:textId="77777777" w:rsidR="0078457D" w:rsidRPr="00125A1D" w:rsidRDefault="0078457D" w:rsidP="00125A1D">
      <w:pPr>
        <w:spacing w:after="0" w:line="276" w:lineRule="auto"/>
        <w:jc w:val="both"/>
        <w:rPr>
          <w:rFonts w:ascii="Verdana" w:hAnsi="Verdana"/>
        </w:rPr>
      </w:pPr>
      <w:r w:rsidRPr="00125A1D">
        <w:rPr>
          <w:rFonts w:ascii="Verdana" w:hAnsi="Verdana"/>
        </w:rPr>
        <w:t xml:space="preserve">Twitter: </w:t>
      </w:r>
      <w:r w:rsidRPr="00125A1D">
        <w:rPr>
          <w:rStyle w:val="Hipervnculo"/>
          <w:rFonts w:ascii="Verdana" w:hAnsi="Verdana"/>
          <w:color w:val="4472C4" w:themeColor="accent1"/>
        </w:rPr>
        <w:t>@colombiacompra</w:t>
      </w:r>
      <w:r w:rsidRPr="00125A1D">
        <w:rPr>
          <w:rFonts w:ascii="Verdana" w:hAnsi="Verdana"/>
          <w:color w:val="4472C4" w:themeColor="accent1"/>
        </w:rPr>
        <w:t xml:space="preserve"> </w:t>
      </w:r>
    </w:p>
    <w:p w14:paraId="4992CD63" w14:textId="77777777" w:rsidR="0078457D" w:rsidRPr="00125A1D" w:rsidRDefault="0078457D" w:rsidP="00125A1D">
      <w:pPr>
        <w:spacing w:after="0" w:line="276" w:lineRule="auto"/>
        <w:jc w:val="both"/>
        <w:rPr>
          <w:rFonts w:ascii="Verdana" w:hAnsi="Verdana"/>
        </w:rPr>
      </w:pPr>
      <w:r w:rsidRPr="00125A1D">
        <w:rPr>
          <w:rFonts w:ascii="Verdana" w:hAnsi="Verdana"/>
        </w:rPr>
        <w:t xml:space="preserve">Facebook: </w:t>
      </w:r>
      <w:proofErr w:type="spellStart"/>
      <w:r w:rsidRPr="00125A1D">
        <w:rPr>
          <w:rStyle w:val="Hipervnculo"/>
          <w:rFonts w:ascii="Verdana" w:hAnsi="Verdana"/>
          <w:color w:val="4472C4" w:themeColor="accent1"/>
        </w:rPr>
        <w:t>ColombiaCompraEficiente</w:t>
      </w:r>
      <w:proofErr w:type="spellEnd"/>
    </w:p>
    <w:p w14:paraId="1FDE2DC0" w14:textId="77777777" w:rsidR="0078457D" w:rsidRPr="00125A1D" w:rsidRDefault="0078457D" w:rsidP="00125A1D">
      <w:pPr>
        <w:spacing w:after="0" w:line="276" w:lineRule="auto"/>
        <w:jc w:val="both"/>
        <w:rPr>
          <w:rFonts w:ascii="Verdana" w:hAnsi="Verdana"/>
        </w:rPr>
      </w:pPr>
      <w:r w:rsidRPr="00125A1D">
        <w:rPr>
          <w:rFonts w:ascii="Verdana" w:hAnsi="Verdana"/>
        </w:rPr>
        <w:t xml:space="preserve">LinkedIn: </w:t>
      </w:r>
      <w:r w:rsidRPr="00125A1D">
        <w:rPr>
          <w:rStyle w:val="Hipervnculo"/>
          <w:rFonts w:ascii="Verdana" w:hAnsi="Verdana"/>
          <w:color w:val="4472C4" w:themeColor="accent1"/>
        </w:rPr>
        <w:t>Agencia Nacional de Contratación Pública - Colombia Compra Eficiente</w:t>
      </w:r>
      <w:r w:rsidRPr="00125A1D">
        <w:rPr>
          <w:rFonts w:ascii="Verdana" w:hAnsi="Verdana"/>
          <w:color w:val="4472C4" w:themeColor="accent1"/>
        </w:rPr>
        <w:t xml:space="preserve"> </w:t>
      </w:r>
      <w:r w:rsidRPr="00125A1D">
        <w:rPr>
          <w:rFonts w:ascii="Verdana" w:hAnsi="Verdana"/>
        </w:rPr>
        <w:t xml:space="preserve">Instagram: </w:t>
      </w:r>
      <w:r w:rsidRPr="00125A1D">
        <w:rPr>
          <w:rStyle w:val="Hipervnculo"/>
          <w:rFonts w:ascii="Verdana" w:hAnsi="Verdana"/>
          <w:color w:val="4472C4" w:themeColor="accent1"/>
        </w:rPr>
        <w:t>@colombiacompraeficiente_cce</w:t>
      </w:r>
    </w:p>
    <w:p w14:paraId="298DEFF9" w14:textId="77777777" w:rsidR="0078457D" w:rsidRPr="00125A1D" w:rsidRDefault="0078457D" w:rsidP="00125A1D">
      <w:pPr>
        <w:widowControl w:val="0"/>
        <w:autoSpaceDE w:val="0"/>
        <w:autoSpaceDN w:val="0"/>
        <w:spacing w:after="0" w:line="276" w:lineRule="auto"/>
        <w:jc w:val="both"/>
        <w:rPr>
          <w:rFonts w:ascii="Verdana" w:hAnsi="Verdana" w:cs="Arial"/>
        </w:rPr>
      </w:pPr>
    </w:p>
    <w:p w14:paraId="453BF966" w14:textId="77777777" w:rsidR="0078457D" w:rsidRPr="00125A1D" w:rsidRDefault="0078457D" w:rsidP="00125A1D">
      <w:pPr>
        <w:widowControl w:val="0"/>
        <w:autoSpaceDE w:val="0"/>
        <w:autoSpaceDN w:val="0"/>
        <w:spacing w:after="0" w:line="276" w:lineRule="auto"/>
        <w:jc w:val="both"/>
        <w:rPr>
          <w:rFonts w:ascii="Verdana" w:hAnsi="Verdana" w:cs="Arial"/>
          <w:lang w:val="es-ES_tradnl"/>
        </w:rPr>
      </w:pPr>
      <w:r w:rsidRPr="00125A1D">
        <w:rPr>
          <w:rFonts w:ascii="Verdana" w:hAnsi="Verdana" w:cs="Arial"/>
        </w:rPr>
        <w:t xml:space="preserve">Este concepto tiene el alcance previsto en el artículo 28 del Código de Procedimiento Administrativo y de lo Contencioso Administrativo </w:t>
      </w:r>
      <w:r w:rsidRPr="00125A1D">
        <w:rPr>
          <w:rFonts w:ascii="Verdana" w:hAnsi="Verdana" w:cs="Arial"/>
          <w:lang w:val="es-ES_tradnl"/>
        </w:rPr>
        <w:t>y las expresiones aquí utilizadas con mayúscula inicial deben ser entendidas con el significado que les otorga el artículo 2.2.1.1.1.3.1. del Decreto 1082 de 2015.</w:t>
      </w:r>
    </w:p>
    <w:p w14:paraId="28DBA502" w14:textId="77777777" w:rsidR="0078457D" w:rsidRPr="00125A1D" w:rsidRDefault="0078457D" w:rsidP="00125A1D">
      <w:pPr>
        <w:widowControl w:val="0"/>
        <w:autoSpaceDE w:val="0"/>
        <w:autoSpaceDN w:val="0"/>
        <w:spacing w:after="0" w:line="276" w:lineRule="auto"/>
        <w:jc w:val="both"/>
        <w:rPr>
          <w:rFonts w:ascii="Verdana" w:hAnsi="Verdana" w:cs="Arial"/>
        </w:rPr>
      </w:pPr>
    </w:p>
    <w:p w14:paraId="0D56073C" w14:textId="77777777" w:rsidR="0078457D" w:rsidRPr="00125A1D" w:rsidRDefault="0078457D" w:rsidP="00125A1D">
      <w:pPr>
        <w:spacing w:after="0" w:line="276" w:lineRule="auto"/>
        <w:rPr>
          <w:rFonts w:ascii="Verdana" w:hAnsi="Verdana" w:cs="Arial"/>
          <w:lang w:eastAsia="es-CO"/>
        </w:rPr>
      </w:pPr>
      <w:bookmarkStart w:id="6" w:name="_Hlk208479366"/>
      <w:r w:rsidRPr="00125A1D">
        <w:rPr>
          <w:rFonts w:ascii="Verdana" w:eastAsia="Times New Roman" w:hAnsi="Verdana" w:cs="Arial"/>
          <w:lang w:eastAsia="es-CO"/>
        </w:rPr>
        <w:t>Atentamente,</w:t>
      </w:r>
      <w:r w:rsidRPr="00125A1D">
        <w:rPr>
          <w:rFonts w:ascii="Verdana" w:hAnsi="Verdana" w:cs="Arial"/>
          <w:lang w:eastAsia="es-CO"/>
        </w:rPr>
        <w:t xml:space="preserve"> </w:t>
      </w:r>
    </w:p>
    <w:p w14:paraId="3860438B" w14:textId="126F266B" w:rsidR="0078457D" w:rsidRDefault="007F0365" w:rsidP="0078457D">
      <w:pPr>
        <w:spacing w:line="276" w:lineRule="auto"/>
        <w:jc w:val="center"/>
        <w:rPr>
          <w:rFonts w:ascii="Verdana" w:hAnsi="Verdana" w:cs="Arial"/>
          <w:color w:val="000000"/>
          <w:lang w:val="es-ES_tradnl" w:eastAsia="es-CO"/>
        </w:rPr>
      </w:pPr>
      <w:r>
        <w:rPr>
          <w:noProof/>
        </w:rPr>
        <w:drawing>
          <wp:inline distT="0" distB="0" distL="0" distR="0" wp14:anchorId="4D219B82" wp14:editId="1D5797E4">
            <wp:extent cx="3768725" cy="1399540"/>
            <wp:effectExtent l="0" t="0" r="3175" b="0"/>
            <wp:docPr id="5" name="Imagen 5"/>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8457D" w14:paraId="1DD748A4" w14:textId="77777777" w:rsidTr="00231398">
        <w:trPr>
          <w:trHeight w:val="315"/>
        </w:trPr>
        <w:tc>
          <w:tcPr>
            <w:tcW w:w="893" w:type="dxa"/>
            <w:vAlign w:val="center"/>
            <w:hideMark/>
          </w:tcPr>
          <w:p w14:paraId="600BEE8E" w14:textId="77777777" w:rsidR="0078457D" w:rsidRDefault="0078457D" w:rsidP="00231398">
            <w:pPr>
              <w:spacing w:after="255" w:line="240" w:lineRule="auto"/>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CBAD3B" w14:textId="77777777" w:rsidR="0078457D" w:rsidRDefault="0078457D" w:rsidP="00231398">
            <w:pPr>
              <w:spacing w:after="255" w:line="240" w:lineRule="auto"/>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54C17CA2" w14:textId="77777777" w:rsidR="0078457D" w:rsidRDefault="0078457D" w:rsidP="00231398">
            <w:pPr>
              <w:spacing w:after="255" w:line="240" w:lineRule="auto"/>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78457D" w14:paraId="3EF4CED6" w14:textId="77777777" w:rsidTr="00231398">
        <w:trPr>
          <w:trHeight w:val="330"/>
        </w:trPr>
        <w:tc>
          <w:tcPr>
            <w:tcW w:w="893" w:type="dxa"/>
            <w:vAlign w:val="center"/>
            <w:hideMark/>
          </w:tcPr>
          <w:p w14:paraId="670A83BB" w14:textId="77777777" w:rsidR="0078457D" w:rsidRDefault="0078457D" w:rsidP="00231398">
            <w:pPr>
              <w:spacing w:after="255" w:line="240" w:lineRule="auto"/>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96C9A11" w14:textId="77777777" w:rsidR="0078457D" w:rsidRDefault="0078457D" w:rsidP="00231398">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765F3EB0" w14:textId="77777777" w:rsidR="0078457D" w:rsidRDefault="0078457D" w:rsidP="00231398">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78457D" w14:paraId="37F70A55" w14:textId="77777777" w:rsidTr="00231398">
        <w:trPr>
          <w:trHeight w:val="300"/>
        </w:trPr>
        <w:tc>
          <w:tcPr>
            <w:tcW w:w="893" w:type="dxa"/>
            <w:vAlign w:val="center"/>
            <w:hideMark/>
          </w:tcPr>
          <w:p w14:paraId="50AFCCF8" w14:textId="77777777" w:rsidR="0078457D" w:rsidRDefault="0078457D" w:rsidP="00231398">
            <w:pPr>
              <w:spacing w:after="255" w:line="240" w:lineRule="auto"/>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3572F26" w14:textId="77777777" w:rsidR="0078457D" w:rsidRDefault="0078457D" w:rsidP="00231398">
            <w:pPr>
              <w:spacing w:after="255" w:line="240" w:lineRule="auto"/>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42B86B3E" w14:textId="77777777" w:rsidR="0078457D" w:rsidRDefault="0078457D" w:rsidP="00231398">
            <w:pPr>
              <w:spacing w:after="255" w:line="240" w:lineRule="auto"/>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6"/>
    </w:tbl>
    <w:p w14:paraId="1B542C6F" w14:textId="77777777" w:rsidR="0078457D" w:rsidRPr="001249F1" w:rsidRDefault="0078457D" w:rsidP="0078457D"/>
    <w:p w14:paraId="0F293BF4" w14:textId="4D30D0C0" w:rsidR="00127233" w:rsidRPr="0078457D" w:rsidRDefault="00127233" w:rsidP="0078457D"/>
    <w:sectPr w:rsidR="00127233" w:rsidRPr="0078457D"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1106F" w14:textId="77777777" w:rsidR="00117FE6" w:rsidRDefault="00117FE6" w:rsidP="004A1847">
      <w:pPr>
        <w:spacing w:after="0" w:line="240" w:lineRule="auto"/>
      </w:pPr>
      <w:r>
        <w:separator/>
      </w:r>
    </w:p>
  </w:endnote>
  <w:endnote w:type="continuationSeparator" w:id="0">
    <w:p w14:paraId="0D47D70D" w14:textId="77777777" w:rsidR="00117FE6" w:rsidRDefault="00117FE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E677F8" w14:textId="77777777" w:rsidR="00117FE6" w:rsidRDefault="00117FE6" w:rsidP="004A1847">
      <w:pPr>
        <w:spacing w:after="0" w:line="240" w:lineRule="auto"/>
      </w:pPr>
      <w:r>
        <w:separator/>
      </w:r>
    </w:p>
  </w:footnote>
  <w:footnote w:type="continuationSeparator" w:id="0">
    <w:p w14:paraId="5B81702F" w14:textId="77777777" w:rsidR="00117FE6" w:rsidRDefault="00117FE6" w:rsidP="004A1847">
      <w:pPr>
        <w:spacing w:after="0" w:line="240" w:lineRule="auto"/>
      </w:pPr>
      <w:r>
        <w:continuationSeparator/>
      </w:r>
    </w:p>
  </w:footnote>
  <w:footnote w:id="1">
    <w:p w14:paraId="00441E19" w14:textId="77777777" w:rsidR="005D6B09" w:rsidRPr="00125A1D" w:rsidRDefault="005D6B09" w:rsidP="005D6B09">
      <w:pPr>
        <w:pStyle w:val="Textonotapie"/>
        <w:ind w:firstLine="709"/>
        <w:contextualSpacing/>
        <w:jc w:val="both"/>
        <w:rPr>
          <w:rFonts w:ascii="Verdana" w:hAnsi="Verdana" w:cs="Arial"/>
          <w:sz w:val="16"/>
          <w:szCs w:val="16"/>
        </w:rPr>
      </w:pPr>
      <w:r w:rsidRPr="00125A1D">
        <w:rPr>
          <w:rStyle w:val="Refdenotaalpie"/>
          <w:rFonts w:ascii="Verdana" w:hAnsi="Verdana" w:cs="Arial"/>
          <w:sz w:val="16"/>
          <w:szCs w:val="16"/>
        </w:rPr>
        <w:footnoteRef/>
      </w:r>
      <w:r w:rsidRPr="00125A1D">
        <w:rPr>
          <w:rFonts w:ascii="Verdana" w:hAnsi="Verdana" w:cs="Arial"/>
          <w:sz w:val="16"/>
          <w:szCs w:val="16"/>
        </w:rPr>
        <w:t xml:space="preserve"> El inciso primero de norma disponía que, conforme al principio de transparencia, “</w:t>
      </w:r>
      <w:r w:rsidRPr="00125A1D">
        <w:rPr>
          <w:rFonts w:ascii="Verdana" w:hAnsi="Verdana" w:cs="Arial"/>
          <w:i/>
          <w:iCs/>
          <w:sz w:val="16"/>
          <w:szCs w:val="16"/>
        </w:rPr>
        <w:t>La escogencia del contratista se efectuará siempre a través de licitación o concurso públicos</w:t>
      </w:r>
      <w:r w:rsidRPr="00125A1D">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2">
    <w:p w14:paraId="07A51FED" w14:textId="77777777" w:rsidR="0078457D" w:rsidRPr="00125A1D" w:rsidRDefault="0078457D" w:rsidP="00BF30E7">
      <w:pPr>
        <w:pStyle w:val="Textonotapie"/>
        <w:ind w:firstLine="709"/>
        <w:contextualSpacing/>
        <w:jc w:val="both"/>
        <w:rPr>
          <w:rFonts w:ascii="Verdana" w:hAnsi="Verdana" w:cs="Arial"/>
          <w:sz w:val="16"/>
          <w:szCs w:val="16"/>
        </w:rPr>
      </w:pPr>
      <w:r w:rsidRPr="00125A1D">
        <w:rPr>
          <w:rStyle w:val="Refdenotaalpie"/>
          <w:rFonts w:ascii="Verdana" w:hAnsi="Verdana" w:cs="Arial"/>
          <w:sz w:val="16"/>
          <w:szCs w:val="16"/>
        </w:rPr>
        <w:footnoteRef/>
      </w:r>
      <w:r w:rsidRPr="00125A1D">
        <w:rPr>
          <w:rFonts w:ascii="Verdana" w:hAnsi="Verdana" w:cs="Arial"/>
          <w:sz w:val="16"/>
          <w:szCs w:val="16"/>
        </w:rPr>
        <w:t xml:space="preserve"> El inciso primero de norma disponía que, conforme al principio de transparencia, “</w:t>
      </w:r>
      <w:r w:rsidRPr="00125A1D">
        <w:rPr>
          <w:rFonts w:ascii="Verdana" w:hAnsi="Verdana" w:cs="Arial"/>
          <w:i/>
          <w:iCs/>
          <w:sz w:val="16"/>
          <w:szCs w:val="16"/>
        </w:rPr>
        <w:t>La escogencia del contratista se efectuará siempre a través de licitación o concurso públicos</w:t>
      </w:r>
      <w:r w:rsidRPr="00125A1D">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64C67434" w14:textId="77777777" w:rsidR="0078457D" w:rsidRPr="00125A1D" w:rsidRDefault="0078457D" w:rsidP="00BF30E7">
      <w:pPr>
        <w:pStyle w:val="NormalWeb"/>
        <w:spacing w:before="0" w:beforeAutospacing="0" w:after="0" w:afterAutospacing="0"/>
        <w:ind w:firstLine="709"/>
        <w:contextualSpacing/>
        <w:jc w:val="both"/>
        <w:rPr>
          <w:rFonts w:ascii="Verdana" w:hAnsi="Verdana" w:cs="Open Sans"/>
          <w:sz w:val="16"/>
          <w:szCs w:val="16"/>
        </w:rPr>
      </w:pPr>
      <w:r w:rsidRPr="00125A1D">
        <w:rPr>
          <w:rStyle w:val="Refdenotaalpie"/>
          <w:rFonts w:ascii="Verdana" w:hAnsi="Verdana"/>
          <w:sz w:val="16"/>
          <w:szCs w:val="16"/>
        </w:rPr>
        <w:footnoteRef/>
      </w:r>
      <w:r w:rsidRPr="00125A1D">
        <w:rPr>
          <w:rFonts w:ascii="Verdana" w:hAnsi="Verdana"/>
          <w:sz w:val="16"/>
          <w:szCs w:val="16"/>
        </w:rPr>
        <w:t xml:space="preserve"> </w:t>
      </w:r>
      <w:r w:rsidRPr="00125A1D">
        <w:rPr>
          <w:rFonts w:ascii="Verdana" w:hAnsi="Verdana" w:cs="Open Sans"/>
          <w:sz w:val="16"/>
          <w:szCs w:val="16"/>
        </w:rPr>
        <w:t>&lt;Parágrafo adicionado por el artículo </w:t>
      </w:r>
      <w:hyperlink r:id="rId1" w:anchor="1" w:history="1">
        <w:r w:rsidRPr="00125A1D">
          <w:rPr>
            <w:rStyle w:val="Hipervnculo"/>
            <w:rFonts w:ascii="Verdana" w:hAnsi="Verdana" w:cs="Open Sans"/>
            <w:color w:val="auto"/>
            <w:sz w:val="16"/>
            <w:szCs w:val="16"/>
          </w:rPr>
          <w:t>1</w:t>
        </w:r>
      </w:hyperlink>
      <w:r w:rsidRPr="00125A1D">
        <w:rPr>
          <w:rFonts w:ascii="Verdana" w:hAnsi="Verdana" w:cs="Open Sans"/>
          <w:sz w:val="16"/>
          <w:szCs w:val="16"/>
        </w:rPr>
        <w:t xml:space="preserve"> de la Ley 1882 de 2018. El nuevo texto es el siguiente:&gt; En los procesos de licitación pública para seleccionar contratistas de obra, la oferta estará conformada por dos sobres, un primer sobre en el cual se deberán incluir los documentos relacionados con el cumplimiento de los requisitos habilitantes, así como los requisitos y documentos a los que se les asigne </w:t>
      </w:r>
      <w:proofErr w:type="gramStart"/>
      <w:r w:rsidRPr="00125A1D">
        <w:rPr>
          <w:rFonts w:ascii="Verdana" w:hAnsi="Verdana" w:cs="Open Sans"/>
          <w:sz w:val="16"/>
          <w:szCs w:val="16"/>
        </w:rPr>
        <w:t>puntaje diferentes</w:t>
      </w:r>
      <w:proofErr w:type="gramEnd"/>
      <w:r w:rsidRPr="00125A1D">
        <w:rPr>
          <w:rFonts w:ascii="Verdana" w:hAnsi="Verdana" w:cs="Open Sans"/>
          <w:sz w:val="16"/>
          <w:szCs w:val="16"/>
        </w:rPr>
        <w:t xml:space="preserve"> a la oferta económica.</w:t>
      </w:r>
    </w:p>
    <w:p w14:paraId="2C64D612" w14:textId="77777777" w:rsidR="0078457D" w:rsidRPr="00125A1D" w:rsidRDefault="0078457D" w:rsidP="00BF30E7">
      <w:pPr>
        <w:pStyle w:val="NormalWeb"/>
        <w:spacing w:before="0" w:beforeAutospacing="0" w:after="0" w:afterAutospacing="0"/>
        <w:ind w:firstLine="709"/>
        <w:contextualSpacing/>
        <w:jc w:val="both"/>
        <w:rPr>
          <w:rFonts w:ascii="Verdana" w:hAnsi="Verdana" w:cs="Open Sans"/>
          <w:sz w:val="16"/>
          <w:szCs w:val="16"/>
        </w:rPr>
      </w:pPr>
      <w:r w:rsidRPr="00125A1D">
        <w:rPr>
          <w:rFonts w:ascii="Verdana" w:hAnsi="Verdana" w:cs="Open Sans"/>
          <w:sz w:val="16"/>
          <w:szCs w:val="16"/>
        </w:rPr>
        <w:t>El segundo sobre deberá incluir únicamente la propuesta económica de conformidad con todos los requisitos exigidos en el pliego de condiciones.</w:t>
      </w:r>
    </w:p>
    <w:p w14:paraId="33752896" w14:textId="77777777" w:rsidR="0078457D" w:rsidRPr="00BF30E7" w:rsidRDefault="0078457D" w:rsidP="00BF30E7">
      <w:pPr>
        <w:pStyle w:val="Textonotapie"/>
        <w:ind w:firstLine="709"/>
        <w:contextualSpacing/>
        <w:rPr>
          <w:rFonts w:ascii="Verdana" w:hAnsi="Verdana"/>
          <w:sz w:val="16"/>
          <w:szCs w:val="16"/>
          <w:lang w:val="es-CO"/>
        </w:rPr>
      </w:pPr>
    </w:p>
  </w:footnote>
  <w:footnote w:id="4">
    <w:p w14:paraId="30A2D73D" w14:textId="77777777" w:rsidR="0078457D" w:rsidRPr="00125A1D" w:rsidRDefault="0078457D" w:rsidP="00BF30E7">
      <w:pPr>
        <w:pStyle w:val="Textonotapie"/>
        <w:ind w:firstLine="709"/>
        <w:contextualSpacing/>
        <w:rPr>
          <w:rFonts w:ascii="Verdana" w:hAnsi="Verdana"/>
          <w:sz w:val="16"/>
          <w:szCs w:val="16"/>
        </w:rPr>
      </w:pPr>
      <w:r w:rsidRPr="00125A1D">
        <w:rPr>
          <w:rStyle w:val="Refdenotaalpie"/>
          <w:rFonts w:ascii="Verdana" w:hAnsi="Verdana"/>
          <w:sz w:val="16"/>
          <w:szCs w:val="16"/>
        </w:rPr>
        <w:footnoteRef/>
      </w:r>
      <w:r w:rsidRPr="00125A1D">
        <w:rPr>
          <w:rFonts w:ascii="Verdana" w:hAnsi="Verdana"/>
          <w:sz w:val="16"/>
          <w:szCs w:val="16"/>
        </w:rPr>
        <w:t xml:space="preserve"> Estos Documentos Tipo pueden ser consultados en la página web de Colombia Compra Eficiente, a través del siguiente enlace: </w:t>
      </w:r>
      <w:hyperlink r:id="rId2" w:history="1">
        <w:r w:rsidRPr="00125A1D">
          <w:rPr>
            <w:rStyle w:val="Hipervnculo"/>
            <w:rFonts w:ascii="Verdana" w:hAnsi="Verdana"/>
            <w:sz w:val="16"/>
            <w:szCs w:val="16"/>
          </w:rPr>
          <w:t>https://www.colombiacompra.gov.co/documentos-tipo/documentos-tipo</w:t>
        </w:r>
      </w:hyperlink>
      <w:r w:rsidRPr="00125A1D">
        <w:rPr>
          <w:rFonts w:ascii="Verdana" w:hAnsi="Verdana"/>
          <w:sz w:val="16"/>
          <w:szCs w:val="16"/>
        </w:rPr>
        <w:t xml:space="preserve"> </w:t>
      </w:r>
    </w:p>
    <w:p w14:paraId="72280358" w14:textId="77777777" w:rsidR="0078457D" w:rsidRPr="00125A1D" w:rsidRDefault="0078457D" w:rsidP="00BF30E7">
      <w:pPr>
        <w:pStyle w:val="Textonotapie"/>
        <w:ind w:firstLine="709"/>
        <w:contextualSpacing/>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18AB004D"/>
    <w:multiLevelType w:val="hybridMultilevel"/>
    <w:tmpl w:val="ECD2D7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57C32B4"/>
    <w:multiLevelType w:val="hybridMultilevel"/>
    <w:tmpl w:val="C92AC450"/>
    <w:lvl w:ilvl="0" w:tplc="899CC128">
      <w:numFmt w:val="bullet"/>
      <w:lvlText w:val="-"/>
      <w:lvlJc w:val="left"/>
      <w:pPr>
        <w:ind w:left="720" w:hanging="360"/>
      </w:pPr>
      <w:rPr>
        <w:rFonts w:ascii="Verdana" w:eastAsiaTheme="minorHAnsi" w:hAnsi="Verdana" w:cs="Open San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39428849">
    <w:abstractNumId w:val="8"/>
  </w:num>
  <w:num w:numId="2" w16cid:durableId="1471744927">
    <w:abstractNumId w:val="2"/>
  </w:num>
  <w:num w:numId="3" w16cid:durableId="517694316">
    <w:abstractNumId w:val="6"/>
  </w:num>
  <w:num w:numId="4" w16cid:durableId="19873159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73545310">
    <w:abstractNumId w:val="2"/>
  </w:num>
  <w:num w:numId="6" w16cid:durableId="2048026908">
    <w:abstractNumId w:val="15"/>
  </w:num>
  <w:num w:numId="7" w16cid:durableId="1533298619">
    <w:abstractNumId w:val="7"/>
  </w:num>
  <w:num w:numId="8" w16cid:durableId="1515269733">
    <w:abstractNumId w:val="14"/>
  </w:num>
  <w:num w:numId="9" w16cid:durableId="830952665">
    <w:abstractNumId w:val="9"/>
  </w:num>
  <w:num w:numId="10" w16cid:durableId="1995404721">
    <w:abstractNumId w:val="13"/>
  </w:num>
  <w:num w:numId="11" w16cid:durableId="1635214582">
    <w:abstractNumId w:val="10"/>
  </w:num>
  <w:num w:numId="12" w16cid:durableId="1509372683">
    <w:abstractNumId w:val="1"/>
  </w:num>
  <w:num w:numId="13" w16cid:durableId="1748115559">
    <w:abstractNumId w:val="5"/>
  </w:num>
  <w:num w:numId="14" w16cid:durableId="1424453998">
    <w:abstractNumId w:val="16"/>
  </w:num>
  <w:num w:numId="15" w16cid:durableId="1386220327">
    <w:abstractNumId w:val="12"/>
  </w:num>
  <w:num w:numId="16" w16cid:durableId="76067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79540938">
    <w:abstractNumId w:val="3"/>
  </w:num>
  <w:num w:numId="18" w16cid:durableId="1753627524">
    <w:abstractNumId w:val="4"/>
  </w:num>
  <w:num w:numId="19" w16cid:durableId="147626449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5533"/>
    <w:rsid w:val="00061B2A"/>
    <w:rsid w:val="00082362"/>
    <w:rsid w:val="000A683E"/>
    <w:rsid w:val="000B19B9"/>
    <w:rsid w:val="000D0334"/>
    <w:rsid w:val="000F6486"/>
    <w:rsid w:val="00110877"/>
    <w:rsid w:val="00117FE6"/>
    <w:rsid w:val="00125105"/>
    <w:rsid w:val="00125A1D"/>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91F00"/>
    <w:rsid w:val="003A779E"/>
    <w:rsid w:val="003D0F4D"/>
    <w:rsid w:val="003D5B0D"/>
    <w:rsid w:val="003E0499"/>
    <w:rsid w:val="003F3941"/>
    <w:rsid w:val="00406575"/>
    <w:rsid w:val="00414C74"/>
    <w:rsid w:val="0042722E"/>
    <w:rsid w:val="0044528D"/>
    <w:rsid w:val="004650D0"/>
    <w:rsid w:val="004A1847"/>
    <w:rsid w:val="004A305D"/>
    <w:rsid w:val="004F21C4"/>
    <w:rsid w:val="004F685F"/>
    <w:rsid w:val="005566E8"/>
    <w:rsid w:val="00574867"/>
    <w:rsid w:val="00591460"/>
    <w:rsid w:val="005C3777"/>
    <w:rsid w:val="005C5CDC"/>
    <w:rsid w:val="005D476C"/>
    <w:rsid w:val="005D6B09"/>
    <w:rsid w:val="006219F8"/>
    <w:rsid w:val="006302F7"/>
    <w:rsid w:val="00645A65"/>
    <w:rsid w:val="00652B9F"/>
    <w:rsid w:val="00665D70"/>
    <w:rsid w:val="006900D9"/>
    <w:rsid w:val="006A760C"/>
    <w:rsid w:val="00706C16"/>
    <w:rsid w:val="007126AD"/>
    <w:rsid w:val="00714DC8"/>
    <w:rsid w:val="00756841"/>
    <w:rsid w:val="007649AB"/>
    <w:rsid w:val="00771D0C"/>
    <w:rsid w:val="007833AC"/>
    <w:rsid w:val="0078457D"/>
    <w:rsid w:val="007B268C"/>
    <w:rsid w:val="007B7171"/>
    <w:rsid w:val="007C0C0F"/>
    <w:rsid w:val="007C3DC2"/>
    <w:rsid w:val="007E5497"/>
    <w:rsid w:val="007F0365"/>
    <w:rsid w:val="00806F5F"/>
    <w:rsid w:val="00820278"/>
    <w:rsid w:val="00867F95"/>
    <w:rsid w:val="008843B6"/>
    <w:rsid w:val="00891928"/>
    <w:rsid w:val="00897A3A"/>
    <w:rsid w:val="008A446D"/>
    <w:rsid w:val="008C3367"/>
    <w:rsid w:val="008D180B"/>
    <w:rsid w:val="008F0EA7"/>
    <w:rsid w:val="00923949"/>
    <w:rsid w:val="00923EEF"/>
    <w:rsid w:val="009419F9"/>
    <w:rsid w:val="0095685E"/>
    <w:rsid w:val="00961B09"/>
    <w:rsid w:val="009625AB"/>
    <w:rsid w:val="00965334"/>
    <w:rsid w:val="0097093E"/>
    <w:rsid w:val="009A0DFA"/>
    <w:rsid w:val="009B25A8"/>
    <w:rsid w:val="009B2D26"/>
    <w:rsid w:val="009C31FB"/>
    <w:rsid w:val="009C71FA"/>
    <w:rsid w:val="009C72E7"/>
    <w:rsid w:val="009D3058"/>
    <w:rsid w:val="009F3A13"/>
    <w:rsid w:val="00A014FC"/>
    <w:rsid w:val="00A122D3"/>
    <w:rsid w:val="00A17F13"/>
    <w:rsid w:val="00A20739"/>
    <w:rsid w:val="00A33C78"/>
    <w:rsid w:val="00AB0ADB"/>
    <w:rsid w:val="00B00C0E"/>
    <w:rsid w:val="00B01B1A"/>
    <w:rsid w:val="00B44A47"/>
    <w:rsid w:val="00B72CD3"/>
    <w:rsid w:val="00B72FFF"/>
    <w:rsid w:val="00BB0668"/>
    <w:rsid w:val="00BB6230"/>
    <w:rsid w:val="00BC3D36"/>
    <w:rsid w:val="00BD7F72"/>
    <w:rsid w:val="00BF30E7"/>
    <w:rsid w:val="00C04FB3"/>
    <w:rsid w:val="00C07E4F"/>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6413A"/>
    <w:rsid w:val="00E75C92"/>
    <w:rsid w:val="00E771DC"/>
    <w:rsid w:val="00E8772A"/>
    <w:rsid w:val="00E90F6B"/>
    <w:rsid w:val="00E9285A"/>
    <w:rsid w:val="00E92C27"/>
    <w:rsid w:val="00EA0E3D"/>
    <w:rsid w:val="00EC38A7"/>
    <w:rsid w:val="00EE1AA8"/>
    <w:rsid w:val="00EF63ED"/>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57D"/>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8457D"/>
    <w:rPr>
      <w:rFonts w:ascii="Geomanist Light" w:hAnsi="Geomanist Light"/>
      <w:lang w:val="es-ES"/>
    </w:rPr>
  </w:style>
  <w:style w:type="paragraph" w:customStyle="1" w:styleId="Appelnotedebasde">
    <w:name w:val="Appel note de bas de..."/>
    <w:basedOn w:val="Normal"/>
    <w:link w:val="Refdenotaalpie"/>
    <w:uiPriority w:val="99"/>
    <w:rsid w:val="0078457D"/>
    <w:pPr>
      <w:spacing w:line="240" w:lineRule="exact"/>
    </w:pPr>
    <w:rPr>
      <w:vertAlign w:val="superscript"/>
    </w:rPr>
  </w:style>
  <w:style w:type="character" w:customStyle="1" w:styleId="baj">
    <w:name w:val="b_aj"/>
    <w:basedOn w:val="Fuentedeprrafopredeter"/>
    <w:rsid w:val="0078457D"/>
  </w:style>
  <w:style w:type="character" w:customStyle="1" w:styleId="NormalWebCar">
    <w:name w:val="Normal (Web) Car"/>
    <w:link w:val="NormalWeb"/>
    <w:uiPriority w:val="99"/>
    <w:rsid w:val="0078457D"/>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ecretariasenado.gov.co/senado/basedoc/ley_0080_1993_pr001.html" TargetMode="External"/><Relationship Id="rId18" Type="http://schemas.openxmlformats.org/officeDocument/2006/relationships/image" Target="media/image4.tmp"/><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7" Type="http://schemas.openxmlformats.org/officeDocument/2006/relationships/webSettings" Target="webSettings.xml"/><Relationship Id="rId12" Type="http://schemas.openxmlformats.org/officeDocument/2006/relationships/hyperlink" Target="http://www.secretariasenado.gov.co/senado/basedoc/ley_1150_2007.html" TargetMode="External"/><Relationship Id="rId17" Type="http://schemas.openxmlformats.org/officeDocument/2006/relationships/image" Target="media/image3.tmp"/><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secretariasenado.gov.co/senado/basedoc/ley_1150_2007.html" TargetMode="External"/><Relationship Id="rId20" Type="http://schemas.openxmlformats.org/officeDocument/2006/relationships/hyperlink" Target="https://relatoria.colombiacompra.gov.co/busqueda/concepto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guemu2021@gmail.com"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www.secretariasenado.gov.co/senado/basedoc/ley_1882_2018.html" TargetMode="External"/><Relationship Id="rId23" Type="http://schemas.openxmlformats.org/officeDocument/2006/relationships/header" Target="header1.xml"/><Relationship Id="rId10" Type="http://schemas.openxmlformats.org/officeDocument/2006/relationships/image" Target="media/image2.tmp"/><Relationship Id="rId19" Type="http://schemas.openxmlformats.org/officeDocument/2006/relationships/image" Target="media/image5.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ecretariasenado.gov.co/senado/basedoc/ley_1882_2018.html" TargetMode="External"/><Relationship Id="rId22" Type="http://schemas.openxmlformats.org/officeDocument/2006/relationships/image" Target="media/image6.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documentos-tipo/documentos-tipo" TargetMode="External"/><Relationship Id="rId1" Type="http://schemas.openxmlformats.org/officeDocument/2006/relationships/hyperlink" Target="http://www.secretariasenado.gov.co/senado/basedoc/ley_1882_2018.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316ADB3C-F14A-4738-8F54-24C72F3483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33</TotalTime>
  <Pages>17</Pages>
  <Words>5028</Words>
  <Characters>27657</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2025-10-15T16:27:00Z</dcterms:created>
  <dcterms:modified xsi:type="dcterms:W3CDTF">2025-10-15T16:27:00Z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