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6BF0EE" w14:textId="77777777" w:rsidR="006E623E" w:rsidRDefault="006E623E" w:rsidP="005E1BE8">
      <w:pPr>
        <w:spacing w:after="0" w:line="240" w:lineRule="auto"/>
        <w:jc w:val="both"/>
        <w:rPr>
          <w:rFonts w:ascii="Verdana" w:eastAsia="Calibri" w:hAnsi="Verdana" w:cs="Arial"/>
          <w:b/>
          <w:lang w:val="es-ES"/>
        </w:rPr>
      </w:pPr>
      <w:r>
        <w:rPr>
          <w:rFonts w:ascii="Verdana" w:eastAsia="Calibri" w:hAnsi="Verdana" w:cs="Arial"/>
          <w:b/>
          <w:lang w:val="es-ES"/>
        </w:rPr>
        <w:t>CONTRATO DE PRESTACION DE SERVICIOS – Definición</w:t>
      </w:r>
    </w:p>
    <w:p w14:paraId="1E06C323" w14:textId="77777777" w:rsidR="006E623E" w:rsidRDefault="006E623E" w:rsidP="005E1BE8">
      <w:pPr>
        <w:spacing w:after="0" w:line="240" w:lineRule="auto"/>
        <w:jc w:val="both"/>
        <w:rPr>
          <w:rFonts w:ascii="Verdana" w:eastAsia="Calibri" w:hAnsi="Verdana" w:cs="Arial"/>
          <w:b/>
          <w:lang w:val="es-ES"/>
        </w:rPr>
      </w:pPr>
    </w:p>
    <w:p w14:paraId="0478E60B" w14:textId="77777777" w:rsidR="006E623E" w:rsidRPr="006408D4" w:rsidRDefault="006E623E" w:rsidP="005E1BE8">
      <w:pPr>
        <w:spacing w:before="1" w:after="0" w:line="240" w:lineRule="auto"/>
        <w:jc w:val="both"/>
        <w:rPr>
          <w:rFonts w:ascii="Verdana" w:eastAsia="Calibri" w:hAnsi="Verdana" w:cs="Arial"/>
          <w:color w:val="000000" w:themeColor="text1"/>
          <w:sz w:val="20"/>
          <w:szCs w:val="20"/>
          <w:lang w:val="es-ES"/>
        </w:rPr>
      </w:pPr>
      <w:r w:rsidRPr="006408D4">
        <w:rPr>
          <w:rFonts w:ascii="Verdana" w:eastAsia="Calibri" w:hAnsi="Verdana" w:cs="Arial"/>
          <w:color w:val="000000" w:themeColor="text1"/>
          <w:sz w:val="20"/>
          <w:szCs w:val="20"/>
          <w:lang w:val="es-ES"/>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numeral 3 del artículo 32, de la Ley 80 de 1993, el cual establece:</w:t>
      </w:r>
    </w:p>
    <w:p w14:paraId="2D1DDCAF" w14:textId="77777777" w:rsidR="006E623E" w:rsidRPr="006408D4" w:rsidRDefault="006E623E" w:rsidP="005E1BE8">
      <w:pPr>
        <w:spacing w:after="0" w:line="240" w:lineRule="auto"/>
        <w:jc w:val="both"/>
        <w:rPr>
          <w:rFonts w:ascii="Verdana" w:eastAsia="Calibri" w:hAnsi="Verdana" w:cs="Arial"/>
          <w:color w:val="000000" w:themeColor="text1"/>
          <w:sz w:val="20"/>
          <w:szCs w:val="20"/>
          <w:lang w:val="es-ES"/>
        </w:rPr>
      </w:pPr>
    </w:p>
    <w:p w14:paraId="6DA7F140" w14:textId="77777777" w:rsidR="006E623E" w:rsidRPr="006408D4" w:rsidRDefault="006E623E" w:rsidP="005E1BE8">
      <w:pPr>
        <w:spacing w:after="0" w:line="240" w:lineRule="auto"/>
        <w:jc w:val="both"/>
        <w:rPr>
          <w:rFonts w:ascii="Verdana" w:eastAsia="Calibri" w:hAnsi="Verdana" w:cs="Arial"/>
          <w:color w:val="000000" w:themeColor="text1"/>
          <w:sz w:val="20"/>
          <w:szCs w:val="20"/>
          <w:lang w:val="es-ES"/>
        </w:rPr>
      </w:pPr>
      <w:r w:rsidRPr="006408D4">
        <w:rPr>
          <w:rFonts w:ascii="Verdana" w:eastAsia="Calibri" w:hAnsi="Verdana" w:cs="Arial"/>
          <w:color w:val="000000" w:themeColor="text1"/>
          <w:sz w:val="20"/>
          <w:szCs w:val="20"/>
          <w:lang w:val="es-ES"/>
        </w:rPr>
        <w:t xml:space="preserve">[…] </w:t>
      </w:r>
    </w:p>
    <w:p w14:paraId="5EDF0F9F" w14:textId="77777777" w:rsidR="006E623E" w:rsidRPr="006408D4" w:rsidRDefault="006E623E" w:rsidP="005E1BE8">
      <w:pPr>
        <w:spacing w:after="0" w:line="240" w:lineRule="auto"/>
        <w:jc w:val="both"/>
        <w:rPr>
          <w:rFonts w:ascii="Verdana" w:eastAsia="Calibri" w:hAnsi="Verdana" w:cs="Arial"/>
          <w:color w:val="000000" w:themeColor="text1"/>
          <w:sz w:val="20"/>
          <w:szCs w:val="20"/>
          <w:lang w:val="es-ES"/>
        </w:rPr>
      </w:pPr>
    </w:p>
    <w:p w14:paraId="2E672BD7" w14:textId="77777777" w:rsidR="006E623E" w:rsidRPr="006408D4" w:rsidRDefault="006E623E" w:rsidP="005E1BE8">
      <w:pPr>
        <w:spacing w:before="1" w:after="0" w:line="240" w:lineRule="auto"/>
        <w:jc w:val="both"/>
        <w:rPr>
          <w:rFonts w:ascii="Verdana" w:eastAsia="Calibri" w:hAnsi="Verdana" w:cs="Arial"/>
          <w:color w:val="000000"/>
          <w:sz w:val="20"/>
          <w:szCs w:val="20"/>
          <w:lang w:val="es-ES"/>
        </w:rPr>
      </w:pPr>
      <w:r w:rsidRPr="006408D4">
        <w:rPr>
          <w:rFonts w:ascii="Verdana" w:eastAsia="Calibri" w:hAnsi="Verdana" w:cs="Arial"/>
          <w:color w:val="000000" w:themeColor="text1"/>
          <w:sz w:val="20"/>
          <w:szCs w:val="20"/>
          <w:lang w:val="es-ES"/>
        </w:rPr>
        <w:t>La celebración de dicho contrato se debe efectuar a través de la modalidad de la contratación directa. Así lo prevé el literal h numeral 4 del artículo 2, de la Ley 1150 de 2007, […]</w:t>
      </w:r>
    </w:p>
    <w:p w14:paraId="5A06E363" w14:textId="1A74ACE8" w:rsidR="006E623E" w:rsidRDefault="006E623E" w:rsidP="005E1BE8">
      <w:pPr>
        <w:spacing w:after="0" w:line="240" w:lineRule="auto"/>
        <w:jc w:val="both"/>
        <w:rPr>
          <w:rFonts w:ascii="Verdana" w:eastAsia="Calibri" w:hAnsi="Verdana" w:cs="Arial"/>
          <w:b/>
          <w:lang w:val="es-ES"/>
        </w:rPr>
      </w:pPr>
    </w:p>
    <w:p w14:paraId="554E2D06" w14:textId="77777777" w:rsidR="006E623E" w:rsidRDefault="006E623E" w:rsidP="005E1BE8">
      <w:pPr>
        <w:spacing w:after="0" w:line="240" w:lineRule="auto"/>
        <w:jc w:val="both"/>
        <w:rPr>
          <w:rFonts w:ascii="Verdana" w:eastAsia="Calibri" w:hAnsi="Verdana" w:cs="Arial"/>
          <w:b/>
          <w:lang w:val="es-ES"/>
        </w:rPr>
      </w:pPr>
      <w:r>
        <w:rPr>
          <w:rFonts w:ascii="Verdana" w:eastAsia="Calibri" w:hAnsi="Verdana" w:cs="Arial"/>
          <w:b/>
          <w:lang w:val="es-ES"/>
        </w:rPr>
        <w:t>EXPERIENCIA PROFESIONAL – Definición – Generalidades</w:t>
      </w:r>
    </w:p>
    <w:p w14:paraId="332213C6" w14:textId="77777777" w:rsidR="006E623E" w:rsidRDefault="006E623E" w:rsidP="005E1BE8">
      <w:pPr>
        <w:spacing w:after="0" w:line="240" w:lineRule="auto"/>
        <w:jc w:val="both"/>
        <w:rPr>
          <w:rFonts w:ascii="Verdana" w:eastAsia="Calibri" w:hAnsi="Verdana" w:cs="Arial"/>
          <w:b/>
          <w:lang w:val="es-ES"/>
        </w:rPr>
      </w:pPr>
    </w:p>
    <w:p w14:paraId="3D5D6F8B" w14:textId="77777777" w:rsidR="006E623E" w:rsidRPr="006408D4" w:rsidRDefault="006E623E" w:rsidP="005E1BE8">
      <w:pPr>
        <w:spacing w:before="1" w:after="0" w:line="240" w:lineRule="auto"/>
        <w:jc w:val="both"/>
        <w:rPr>
          <w:rFonts w:ascii="Verdana" w:hAnsi="Verdana"/>
          <w:sz w:val="20"/>
          <w:szCs w:val="20"/>
        </w:rPr>
      </w:pPr>
      <w:r>
        <w:rPr>
          <w:rFonts w:ascii="Verdana" w:hAnsi="Verdana" w:cs="Arial"/>
          <w:sz w:val="20"/>
          <w:szCs w:val="20"/>
          <w:lang w:val="es-ES"/>
        </w:rPr>
        <w:t>R</w:t>
      </w:r>
      <w:r w:rsidRPr="006408D4">
        <w:rPr>
          <w:rFonts w:ascii="Verdana" w:hAnsi="Verdana" w:cs="Arial"/>
          <w:sz w:val="20"/>
          <w:szCs w:val="20"/>
          <w:lang w:val="es-ES"/>
        </w:rPr>
        <w:t>especto</w:t>
      </w:r>
      <w:r w:rsidRPr="006408D4">
        <w:rPr>
          <w:rFonts w:ascii="Verdana" w:hAnsi="Verdana"/>
          <w:sz w:val="20"/>
          <w:szCs w:val="20"/>
        </w:rPr>
        <w:t xml:space="preserve"> a lo denominado experiencia profesional y su computo, para lo cual el decreto 1083 DE 2015, establece en su Artículo 2.2.2.3.7, lo siguiente: </w:t>
      </w:r>
    </w:p>
    <w:p w14:paraId="448CEE74" w14:textId="77777777" w:rsidR="006E623E" w:rsidRPr="006408D4" w:rsidRDefault="006E623E" w:rsidP="005E1BE8">
      <w:pPr>
        <w:pStyle w:val="Textoindependiente"/>
        <w:ind w:left="300" w:right="304"/>
        <w:jc w:val="both"/>
        <w:rPr>
          <w:rFonts w:ascii="Verdana" w:hAnsi="Verdana"/>
          <w:sz w:val="20"/>
          <w:szCs w:val="20"/>
        </w:rPr>
      </w:pPr>
    </w:p>
    <w:p w14:paraId="6DA4B280" w14:textId="77777777" w:rsidR="006E623E" w:rsidRPr="002A6EF1" w:rsidRDefault="006E623E" w:rsidP="005E1BE8">
      <w:pPr>
        <w:spacing w:before="1" w:after="0" w:line="240" w:lineRule="auto"/>
        <w:jc w:val="both"/>
        <w:rPr>
          <w:rFonts w:ascii="Verdana" w:eastAsia="Arial" w:hAnsi="Verdana" w:cs="Arial"/>
          <w:sz w:val="20"/>
          <w:szCs w:val="20"/>
        </w:rPr>
      </w:pPr>
      <w:r w:rsidRPr="006408D4">
        <w:rPr>
          <w:rFonts w:ascii="Verdana" w:hAnsi="Verdana"/>
          <w:sz w:val="20"/>
          <w:szCs w:val="20"/>
        </w:rPr>
        <w:t>“[…]</w:t>
      </w:r>
      <w:r>
        <w:rPr>
          <w:rFonts w:ascii="Verdana" w:hAnsi="Verdana"/>
          <w:sz w:val="20"/>
          <w:szCs w:val="20"/>
        </w:rPr>
        <w:t xml:space="preserve"> </w:t>
      </w:r>
      <w:r w:rsidRPr="002A6EF1">
        <w:rPr>
          <w:rFonts w:ascii="Verdana" w:eastAsia="Times New Roman" w:hAnsi="Verdana" w:cs="Arial"/>
          <w:sz w:val="20"/>
          <w:szCs w:val="20"/>
          <w:lang w:val="es-ES"/>
        </w:rPr>
        <w:t>Experiencia</w:t>
      </w:r>
      <w:r w:rsidRPr="002A6EF1">
        <w:rPr>
          <w:rFonts w:ascii="Verdana" w:eastAsia="Arial" w:hAnsi="Verdana" w:cs="Arial"/>
          <w:sz w:val="20"/>
          <w:szCs w:val="20"/>
        </w:rPr>
        <w:t xml:space="preserve"> </w:t>
      </w:r>
      <w:r w:rsidRPr="002A6EF1">
        <w:rPr>
          <w:rFonts w:ascii="Verdana" w:eastAsiaTheme="majorEastAsia" w:hAnsi="Verdana" w:cs="Times New Roman"/>
          <w:sz w:val="20"/>
          <w:szCs w:val="20"/>
        </w:rPr>
        <w:t>Profesional</w:t>
      </w:r>
      <w:r w:rsidRPr="002A6EF1">
        <w:rPr>
          <w:rFonts w:ascii="Verdana" w:eastAsia="Arial" w:hAnsi="Verdana" w:cs="Arial"/>
          <w:sz w:val="20"/>
          <w:szCs w:val="20"/>
        </w:rPr>
        <w:t>. Es la adquirida a partir de la terminación y aprobación del pénsum académico de la respectiva formación profesional, en el ejercicio de las actividades propias de la profesión o disciplina académica exigida para el desempeño del empleo. </w:t>
      </w:r>
    </w:p>
    <w:p w14:paraId="38BC7F42" w14:textId="4BB8277B" w:rsidR="006E623E" w:rsidRPr="007D7198" w:rsidRDefault="006E623E" w:rsidP="005E1BE8">
      <w:pPr>
        <w:pStyle w:val="Textoindependiente"/>
        <w:ind w:left="709" w:right="709"/>
        <w:jc w:val="both"/>
        <w:rPr>
          <w:rFonts w:ascii="Verdana" w:hAnsi="Verdana"/>
          <w:b/>
          <w:bCs/>
          <w:sz w:val="21"/>
          <w:szCs w:val="21"/>
          <w:lang w:val="es-CO"/>
        </w:rPr>
      </w:pPr>
      <w:r w:rsidRPr="002A6EF1">
        <w:rPr>
          <w:rFonts w:ascii="Verdana" w:hAnsi="Verdana"/>
          <w:b/>
          <w:bCs/>
          <w:sz w:val="21"/>
          <w:szCs w:val="21"/>
          <w:lang w:val="es-CO"/>
        </w:rPr>
        <w:t>  </w:t>
      </w:r>
    </w:p>
    <w:p w14:paraId="326ADECB" w14:textId="77777777" w:rsidR="006E623E" w:rsidRPr="00F123F9" w:rsidRDefault="006E623E" w:rsidP="005E1BE8">
      <w:pPr>
        <w:spacing w:after="0" w:line="240" w:lineRule="auto"/>
        <w:jc w:val="both"/>
        <w:rPr>
          <w:rFonts w:ascii="Verdana" w:eastAsia="Calibri" w:hAnsi="Verdana" w:cs="Arial"/>
          <w:b/>
          <w:lang w:val="es-ES"/>
        </w:rPr>
      </w:pPr>
      <w:r w:rsidRPr="00F123F9">
        <w:rPr>
          <w:rFonts w:ascii="Verdana" w:eastAsia="Calibri" w:hAnsi="Verdana" w:cs="Arial"/>
          <w:b/>
          <w:lang w:val="es-ES"/>
        </w:rPr>
        <w:t xml:space="preserve">EXPERIENCIA PROFESIONAL – Cómputo – Régimen jurídico aplicable </w:t>
      </w:r>
    </w:p>
    <w:p w14:paraId="48F1E717" w14:textId="77777777" w:rsidR="006E623E" w:rsidRPr="00F123F9" w:rsidRDefault="006E623E" w:rsidP="005E1BE8">
      <w:pPr>
        <w:spacing w:before="1" w:after="0" w:line="240" w:lineRule="auto"/>
        <w:jc w:val="both"/>
        <w:rPr>
          <w:rFonts w:ascii="Verdana" w:hAnsi="Verdana" w:cs="Arial"/>
          <w:sz w:val="20"/>
          <w:szCs w:val="20"/>
          <w:lang w:val="es-ES"/>
        </w:rPr>
      </w:pPr>
    </w:p>
    <w:p w14:paraId="033B32ED" w14:textId="77777777" w:rsidR="006E623E" w:rsidRDefault="006E623E" w:rsidP="005E1BE8">
      <w:pPr>
        <w:spacing w:before="1" w:after="0" w:line="240" w:lineRule="auto"/>
        <w:jc w:val="both"/>
        <w:rPr>
          <w:rFonts w:ascii="Verdana" w:hAnsi="Verdana" w:cs="Arial"/>
          <w:sz w:val="20"/>
          <w:szCs w:val="20"/>
          <w:lang w:val="es-ES"/>
        </w:rPr>
      </w:pPr>
      <w:r w:rsidRPr="00F123F9">
        <w:rPr>
          <w:rFonts w:ascii="Verdana" w:hAnsi="Verdana" w:cs="Arial"/>
          <w:sz w:val="20"/>
          <w:szCs w:val="20"/>
          <w:lang w:val="es-ES"/>
        </w:rPr>
        <w:t>Ahora bien, la Ley 2043 de 2020 no contiene un régimen general de acreditación de experiencia. Esto es, no señala, por ejemplo, si la experiencia profesional debe contarse desde la terminación de materias o a partir de la expedición de la tarjeta profesional. Como consecuencia de ello, con la expedición de la Ley 2043 de 2020, al igual que ocurrió con la Ley 1955 de 2020, no puede entenderse derogado el régimen general para contar la experiencia, que sigue siendo el artículo 229 del Decreto Ley 019 de 2012, al tenor del cual la experiencia profesional se cuenta desde la terminación de materias salvo para las profesiones relacionadas con el sistema de seguridad social en salud, en las cuales la experiencia se computa desde el día de la inscripción o registro profesional. Ello es así, se reitera, salvo para efectos de contar la práctica laboral como experiencia, caso en el cual se aplicará la normativa especial de la Ley 2043 y se contará como experiencia profesional la práctica laboral de los estudiantes.</w:t>
      </w:r>
    </w:p>
    <w:p w14:paraId="111D7236" w14:textId="77777777" w:rsidR="006E623E" w:rsidRDefault="006E623E" w:rsidP="005E1BE8">
      <w:pPr>
        <w:spacing w:before="1" w:after="0" w:line="240" w:lineRule="auto"/>
        <w:jc w:val="both"/>
        <w:rPr>
          <w:rFonts w:ascii="Verdana" w:hAnsi="Verdana" w:cs="Arial"/>
          <w:sz w:val="20"/>
          <w:szCs w:val="20"/>
          <w:lang w:val="es-ES"/>
        </w:rPr>
      </w:pPr>
    </w:p>
    <w:p w14:paraId="3B38E82C" w14:textId="77777777" w:rsidR="006E623E" w:rsidRDefault="006E623E" w:rsidP="005E1BE8">
      <w:pPr>
        <w:spacing w:after="0" w:line="240" w:lineRule="auto"/>
        <w:jc w:val="both"/>
        <w:rPr>
          <w:rFonts w:ascii="Verdana" w:eastAsia="Calibri" w:hAnsi="Verdana" w:cs="Arial"/>
          <w:b/>
          <w:lang w:val="es-ES"/>
        </w:rPr>
      </w:pPr>
      <w:r>
        <w:rPr>
          <w:rFonts w:ascii="Verdana" w:eastAsia="Calibri" w:hAnsi="Verdana" w:cs="Arial"/>
          <w:b/>
          <w:lang w:val="es-ES"/>
        </w:rPr>
        <w:t>FORMACION ACADEMICA</w:t>
      </w:r>
      <w:r w:rsidRPr="00F123F9">
        <w:rPr>
          <w:rFonts w:ascii="Verdana" w:eastAsia="Calibri" w:hAnsi="Verdana" w:cs="Arial"/>
          <w:b/>
          <w:lang w:val="es-ES"/>
        </w:rPr>
        <w:t xml:space="preserve"> – </w:t>
      </w:r>
      <w:r>
        <w:rPr>
          <w:rFonts w:ascii="Verdana" w:eastAsia="Calibri" w:hAnsi="Verdana" w:cs="Arial"/>
          <w:b/>
          <w:lang w:val="es-ES"/>
        </w:rPr>
        <w:t xml:space="preserve">Acreditación </w:t>
      </w:r>
      <w:r w:rsidRPr="00F123F9">
        <w:rPr>
          <w:rFonts w:ascii="Verdana" w:eastAsia="Calibri" w:hAnsi="Verdana" w:cs="Arial"/>
          <w:b/>
          <w:lang w:val="es-ES"/>
        </w:rPr>
        <w:t xml:space="preserve"> </w:t>
      </w:r>
    </w:p>
    <w:p w14:paraId="112FBCAD" w14:textId="77777777" w:rsidR="006E623E" w:rsidRDefault="006E623E" w:rsidP="005E1BE8">
      <w:pPr>
        <w:spacing w:after="0" w:line="240" w:lineRule="auto"/>
        <w:jc w:val="both"/>
        <w:rPr>
          <w:rFonts w:ascii="Verdana" w:eastAsia="Calibri" w:hAnsi="Verdana" w:cs="Arial"/>
          <w:b/>
          <w:lang w:val="es-ES"/>
        </w:rPr>
      </w:pPr>
    </w:p>
    <w:p w14:paraId="6F65E068" w14:textId="77777777" w:rsidR="006E623E" w:rsidRPr="006408D4" w:rsidRDefault="006E623E" w:rsidP="005E1BE8">
      <w:pPr>
        <w:spacing w:before="1" w:after="0" w:line="240" w:lineRule="auto"/>
        <w:jc w:val="both"/>
        <w:rPr>
          <w:rFonts w:ascii="Verdana" w:eastAsia="Calibri" w:hAnsi="Verdana" w:cs="Arial"/>
          <w:color w:val="000000"/>
          <w:sz w:val="20"/>
          <w:szCs w:val="20"/>
          <w:lang w:val="es-ES"/>
        </w:rPr>
      </w:pPr>
      <w:r w:rsidRPr="006408D4">
        <w:rPr>
          <w:rFonts w:ascii="Verdana" w:eastAsia="Calibri" w:hAnsi="Verdana" w:cs="Arial"/>
          <w:color w:val="000000"/>
          <w:sz w:val="20"/>
          <w:szCs w:val="20"/>
        </w:rPr>
        <w:t xml:space="preserve">En torno a la Acreditación de la formación Académica el proponente puede acreditar la formación académica en Colombia con la presentación del diploma, acta de grado o los certificados expedidos por el centro educativo. El proponente puede acreditar la formación académica adquirida en el exterior con (i) copia del diploma expedido por el centro </w:t>
      </w:r>
      <w:r w:rsidRPr="006408D4">
        <w:rPr>
          <w:rFonts w:ascii="Verdana" w:eastAsia="Times New Roman" w:hAnsi="Verdana" w:cs="Arial"/>
          <w:sz w:val="20"/>
          <w:szCs w:val="20"/>
          <w:lang w:val="es-ES"/>
        </w:rPr>
        <w:t>educativo</w:t>
      </w:r>
      <w:r w:rsidRPr="006408D4">
        <w:rPr>
          <w:rFonts w:ascii="Verdana" w:eastAsia="Calibri" w:hAnsi="Verdana" w:cs="Arial"/>
          <w:color w:val="000000"/>
          <w:sz w:val="20"/>
          <w:szCs w:val="20"/>
        </w:rPr>
        <w:t xml:space="preserve"> y la descripción del programa correspondiente que permita conocer el </w:t>
      </w:r>
      <w:r w:rsidRPr="006408D4">
        <w:rPr>
          <w:rFonts w:ascii="Verdana" w:eastAsia="Calibri" w:hAnsi="Verdana" w:cs="Arial"/>
          <w:color w:val="000000"/>
          <w:sz w:val="20"/>
          <w:szCs w:val="20"/>
        </w:rPr>
        <w:lastRenderedPageBreak/>
        <w:t xml:space="preserve">nivel de los estudios </w:t>
      </w:r>
      <w:proofErr w:type="spellStart"/>
      <w:r w:rsidRPr="006408D4">
        <w:rPr>
          <w:rFonts w:ascii="Verdana" w:eastAsia="Calibri" w:hAnsi="Verdana" w:cs="Arial"/>
          <w:color w:val="000000"/>
          <w:sz w:val="20"/>
          <w:szCs w:val="20"/>
        </w:rPr>
        <w:t>deacuerdo</w:t>
      </w:r>
      <w:proofErr w:type="spellEnd"/>
      <w:r w:rsidRPr="006408D4">
        <w:rPr>
          <w:rFonts w:ascii="Verdana" w:eastAsia="Calibri" w:hAnsi="Verdana" w:cs="Arial"/>
          <w:color w:val="000000"/>
          <w:sz w:val="20"/>
          <w:szCs w:val="20"/>
        </w:rPr>
        <w:t xml:space="preserve"> con la Clasificación Internacional Normalizada de Educación – CINE o, (</w:t>
      </w:r>
      <w:proofErr w:type="spellStart"/>
      <w:r w:rsidRPr="006408D4">
        <w:rPr>
          <w:rFonts w:ascii="Verdana" w:eastAsia="Calibri" w:hAnsi="Verdana" w:cs="Arial"/>
          <w:color w:val="000000"/>
          <w:sz w:val="20"/>
          <w:szCs w:val="20"/>
        </w:rPr>
        <w:t>ii</w:t>
      </w:r>
      <w:proofErr w:type="spellEnd"/>
      <w:r w:rsidRPr="006408D4">
        <w:rPr>
          <w:rFonts w:ascii="Verdana" w:eastAsia="Calibri" w:hAnsi="Verdana" w:cs="Arial"/>
          <w:color w:val="000000"/>
          <w:sz w:val="20"/>
          <w:szCs w:val="20"/>
        </w:rPr>
        <w:t xml:space="preserve">) la convalidación correspondiente. La Entidad Estatal debe establecer en los Documentos del Proceso el nivel de educación requerido y señalar los códigos equivalentes en la Clasificación Internacional Normalizada de la Educación. </w:t>
      </w:r>
    </w:p>
    <w:p w14:paraId="325EF263" w14:textId="77777777" w:rsidR="006E623E" w:rsidRPr="00F123F9" w:rsidRDefault="006E623E" w:rsidP="005E1BE8">
      <w:pPr>
        <w:spacing w:after="0" w:line="240" w:lineRule="auto"/>
        <w:jc w:val="both"/>
        <w:rPr>
          <w:rFonts w:ascii="Verdana" w:eastAsia="Calibri" w:hAnsi="Verdana" w:cs="Arial"/>
          <w:b/>
          <w:lang w:val="es-ES"/>
        </w:rPr>
      </w:pPr>
    </w:p>
    <w:p w14:paraId="43D1C0DA" w14:textId="77777777" w:rsidR="006E623E" w:rsidRPr="00F252D7" w:rsidRDefault="006E623E" w:rsidP="005E1BE8">
      <w:pPr>
        <w:spacing w:after="0" w:line="240" w:lineRule="auto"/>
        <w:contextualSpacing/>
        <w:jc w:val="both"/>
        <w:rPr>
          <w:rFonts w:ascii="Verdana" w:eastAsia="Times New Roman" w:hAnsi="Verdana" w:cs="Arial"/>
          <w:b/>
          <w:bCs/>
          <w:lang w:eastAsia="es-ES_tradnl"/>
        </w:rPr>
      </w:pPr>
      <w:r w:rsidRPr="00F252D7">
        <w:rPr>
          <w:rFonts w:ascii="Verdana" w:eastAsia="Times New Roman" w:hAnsi="Verdana" w:cs="Arial"/>
          <w:b/>
          <w:bCs/>
          <w:lang w:eastAsia="es-ES_tradnl"/>
        </w:rPr>
        <w:t>ESTUDIOS PREVIOS – Análisis del sector – Planeación en los procesos de contratación pública</w:t>
      </w:r>
    </w:p>
    <w:p w14:paraId="60E049D4" w14:textId="77777777" w:rsidR="006E623E" w:rsidRPr="00F252D7" w:rsidRDefault="006E623E" w:rsidP="005E1BE8">
      <w:pPr>
        <w:spacing w:after="0" w:line="240" w:lineRule="auto"/>
        <w:contextualSpacing/>
        <w:jc w:val="both"/>
        <w:rPr>
          <w:rFonts w:ascii="Verdana" w:eastAsia="Times New Roman" w:hAnsi="Verdana" w:cs="Arial"/>
          <w:sz w:val="20"/>
          <w:szCs w:val="20"/>
          <w:lang w:eastAsia="es-ES_tradnl"/>
        </w:rPr>
      </w:pPr>
    </w:p>
    <w:p w14:paraId="177D33AB" w14:textId="77777777" w:rsidR="006E623E" w:rsidRPr="00F252D7" w:rsidRDefault="006E623E" w:rsidP="005E1BE8">
      <w:pPr>
        <w:spacing w:after="0" w:line="240" w:lineRule="auto"/>
        <w:contextualSpacing/>
        <w:jc w:val="both"/>
        <w:rPr>
          <w:rFonts w:ascii="Verdana" w:eastAsia="Times New Roman" w:hAnsi="Verdana" w:cs="Arial"/>
          <w:sz w:val="20"/>
          <w:szCs w:val="20"/>
          <w:lang w:val="es-ES_tradnl" w:eastAsia="es-MX"/>
        </w:rPr>
      </w:pPr>
      <w:r w:rsidRPr="00F252D7">
        <w:rPr>
          <w:rFonts w:ascii="Verdana" w:eastAsia="Calibri" w:hAnsi="Verdana" w:cs="Arial"/>
          <w:sz w:val="20"/>
          <w:szCs w:val="20"/>
          <w:lang w:eastAsia="es-ES_tradnl"/>
        </w:rPr>
        <w:t xml:space="preserve">[…] </w:t>
      </w:r>
      <w:r w:rsidRPr="00F252D7">
        <w:rPr>
          <w:rFonts w:ascii="Verdana" w:eastAsia="Times New Roman" w:hAnsi="Verdana" w:cs="Arial"/>
          <w:sz w:val="20"/>
          <w:szCs w:val="20"/>
          <w:lang w:val="es-ES_tradnl" w:eastAsia="es-MX"/>
        </w:rPr>
        <w:t xml:space="preserve">antes de iniciar un procedimiento de selección, la Entidad Estatal podrá determinar con los estudios previos: i) la verdadera necesidad de la celebración del contrato; </w:t>
      </w:r>
      <w:proofErr w:type="spellStart"/>
      <w:r w:rsidRPr="00F252D7">
        <w:rPr>
          <w:rFonts w:ascii="Verdana" w:eastAsia="Times New Roman" w:hAnsi="Verdana" w:cs="Arial"/>
          <w:sz w:val="20"/>
          <w:szCs w:val="20"/>
          <w:lang w:val="es-ES_tradnl" w:eastAsia="es-MX"/>
        </w:rPr>
        <w:t>ii</w:t>
      </w:r>
      <w:proofErr w:type="spellEnd"/>
      <w:r w:rsidRPr="00F252D7">
        <w:rPr>
          <w:rFonts w:ascii="Verdana" w:eastAsia="Times New Roman" w:hAnsi="Verdana" w:cs="Arial"/>
          <w:sz w:val="20"/>
          <w:szCs w:val="20"/>
          <w:lang w:val="es-ES_tradnl" w:eastAsia="es-MX"/>
        </w:rPr>
        <w:t xml:space="preserve">) las modalidades existentes para satisfacer esa necesidad y las razones que justifiquen la modalidad o tipo contractual que se escoja; </w:t>
      </w:r>
      <w:proofErr w:type="spellStart"/>
      <w:r w:rsidRPr="00F252D7">
        <w:rPr>
          <w:rFonts w:ascii="Verdana" w:eastAsia="Times New Roman" w:hAnsi="Verdana" w:cs="Arial"/>
          <w:sz w:val="20"/>
          <w:szCs w:val="20"/>
          <w:lang w:val="es-ES_tradnl" w:eastAsia="es-MX"/>
        </w:rPr>
        <w:t>iii</w:t>
      </w:r>
      <w:proofErr w:type="spellEnd"/>
      <w:r w:rsidRPr="00F252D7">
        <w:rPr>
          <w:rFonts w:ascii="Verdana" w:eastAsia="Times New Roman" w:hAnsi="Verdana" w:cs="Arial"/>
          <w:sz w:val="20"/>
          <w:szCs w:val="20"/>
          <w:lang w:val="es-ES_tradnl" w:eastAsia="es-MX"/>
        </w:rPr>
        <w:t xml:space="preserve">) las calidades, especificaciones, cantidades y demás características que puedan o deban reunir los bienes, las obras o los servicios cuya contratación se haya determinado necesaria, </w:t>
      </w:r>
      <w:proofErr w:type="spellStart"/>
      <w:r w:rsidRPr="00F252D7">
        <w:rPr>
          <w:rFonts w:ascii="Verdana" w:eastAsia="Times New Roman" w:hAnsi="Verdana" w:cs="Arial"/>
          <w:sz w:val="20"/>
          <w:szCs w:val="20"/>
          <w:lang w:val="es-ES_tradnl" w:eastAsia="es-MX"/>
        </w:rPr>
        <w:t>iv</w:t>
      </w:r>
      <w:proofErr w:type="spellEnd"/>
      <w:r w:rsidRPr="00F252D7">
        <w:rPr>
          <w:rFonts w:ascii="Verdana" w:eastAsia="Times New Roman" w:hAnsi="Verdana" w:cs="Arial"/>
          <w:sz w:val="20"/>
          <w:szCs w:val="20"/>
          <w:lang w:val="es-ES_tradnl" w:eastAsia="es-MX"/>
        </w:rPr>
        <w:t xml:space="preserve">)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w:t>
      </w:r>
      <w:proofErr w:type="spellStart"/>
      <w:r w:rsidRPr="00F252D7">
        <w:rPr>
          <w:rFonts w:ascii="Verdana" w:eastAsia="Times New Roman" w:hAnsi="Verdana" w:cs="Arial"/>
          <w:sz w:val="20"/>
          <w:szCs w:val="20"/>
          <w:lang w:val="es-ES_tradnl" w:eastAsia="es-MX"/>
        </w:rPr>
        <w:t>vii</w:t>
      </w:r>
      <w:proofErr w:type="spellEnd"/>
      <w:r w:rsidRPr="00F252D7">
        <w:rPr>
          <w:rFonts w:ascii="Verdana" w:eastAsia="Times New Roman" w:hAnsi="Verdana" w:cs="Arial"/>
          <w:sz w:val="20"/>
          <w:szCs w:val="20"/>
          <w:lang w:val="es-ES_tradnl" w:eastAsia="es-MX"/>
        </w:rPr>
        <w:t xml:space="preserve">) los procedimientos, trámites y requisitos que deban satisfacerse, reunirse u obtenerse para llevar a cabo la selección del respectivo contratista y la celebración del contrato que se pretenda celebrar. La consideración de todos estos aspectos </w:t>
      </w:r>
      <w:r w:rsidRPr="00F252D7">
        <w:rPr>
          <w:rFonts w:ascii="Verdana" w:eastAsia="Calibri" w:hAnsi="Verdana" w:cs="Arial"/>
          <w:bCs/>
          <w:sz w:val="20"/>
          <w:szCs w:val="20"/>
          <w:lang w:val="es-ES_tradnl" w:eastAsia="es-MX"/>
        </w:rPr>
        <w:t xml:space="preserve">permite que los contratos resultantes de la planeación cuenten con el sustento técnico, económico y jurídico que incidirá </w:t>
      </w:r>
      <w:r w:rsidRPr="00F252D7">
        <w:rPr>
          <w:rFonts w:ascii="Verdana" w:eastAsia="Times New Roman" w:hAnsi="Verdana" w:cs="Arial"/>
          <w:sz w:val="20"/>
          <w:szCs w:val="20"/>
          <w:lang w:val="es-ES_tradnl" w:eastAsia="es-MX"/>
        </w:rPr>
        <w:t>en una adecuada ejecución.</w:t>
      </w:r>
    </w:p>
    <w:p w14:paraId="3933DEF2" w14:textId="77777777" w:rsidR="006E623E" w:rsidRPr="00F252D7" w:rsidRDefault="006E623E" w:rsidP="005E1BE8">
      <w:pPr>
        <w:spacing w:after="0" w:line="240" w:lineRule="auto"/>
        <w:contextualSpacing/>
        <w:jc w:val="both"/>
        <w:rPr>
          <w:rFonts w:ascii="Verdana" w:eastAsia="Calibri" w:hAnsi="Verdana" w:cs="Arial"/>
          <w:b/>
          <w:noProof/>
          <w:sz w:val="20"/>
          <w:szCs w:val="20"/>
          <w:lang w:val="es-ES_tradnl" w:eastAsia="es-ES_tradnl"/>
        </w:rPr>
      </w:pPr>
    </w:p>
    <w:p w14:paraId="15FCA9C2" w14:textId="77777777" w:rsidR="006E623E" w:rsidRPr="00F252D7" w:rsidRDefault="006E623E" w:rsidP="005E1BE8">
      <w:pPr>
        <w:spacing w:after="0" w:line="240" w:lineRule="auto"/>
        <w:contextualSpacing/>
        <w:jc w:val="both"/>
        <w:rPr>
          <w:rFonts w:ascii="Verdana" w:eastAsia="Times New Roman" w:hAnsi="Verdana" w:cs="Arial"/>
          <w:b/>
          <w:bCs/>
          <w:lang w:eastAsia="es-ES_tradnl"/>
        </w:rPr>
      </w:pPr>
      <w:r w:rsidRPr="00F252D7">
        <w:rPr>
          <w:rFonts w:ascii="Verdana" w:eastAsia="Times New Roman" w:hAnsi="Verdana" w:cs="Arial"/>
          <w:b/>
          <w:bCs/>
          <w:lang w:eastAsia="es-ES_tradnl"/>
        </w:rPr>
        <w:t>ESTUDIOS PREVIOS – Contratación directa – Decreto 1083 de 2015 – Aplicación</w:t>
      </w:r>
    </w:p>
    <w:p w14:paraId="190921AA" w14:textId="77777777" w:rsidR="006E623E" w:rsidRPr="00F252D7" w:rsidRDefault="006E623E" w:rsidP="005E1BE8">
      <w:pPr>
        <w:spacing w:after="0" w:line="240" w:lineRule="auto"/>
        <w:jc w:val="both"/>
        <w:rPr>
          <w:rFonts w:ascii="Verdana" w:eastAsia="Times New Roman" w:hAnsi="Verdana" w:cs="Arial"/>
          <w:noProof/>
          <w:lang w:val="es-ES_tradnl" w:eastAsia="es-ES_tradnl"/>
        </w:rPr>
      </w:pPr>
    </w:p>
    <w:p w14:paraId="0E5D345A" w14:textId="77777777" w:rsidR="006E623E" w:rsidRPr="00F252D7" w:rsidRDefault="006E623E" w:rsidP="005E1BE8">
      <w:pPr>
        <w:spacing w:after="0" w:line="240" w:lineRule="auto"/>
        <w:contextualSpacing/>
        <w:jc w:val="both"/>
        <w:rPr>
          <w:rFonts w:ascii="Verdana" w:eastAsia="Times New Roman" w:hAnsi="Verdana" w:cs="Arial"/>
          <w:sz w:val="20"/>
          <w:szCs w:val="20"/>
          <w:lang w:val="es-ES_tradnl" w:eastAsia="es-MX"/>
        </w:rPr>
      </w:pPr>
      <w:r w:rsidRPr="00F252D7">
        <w:rPr>
          <w:rFonts w:ascii="Verdana" w:eastAsia="Times New Roman" w:hAnsi="Verdana" w:cs="Arial"/>
          <w:sz w:val="20"/>
          <w:szCs w:val="20"/>
          <w:lang w:val="es-ES_tradnl" w:eastAsia="es-MX"/>
        </w:rPr>
        <w:t>De acuerdo con la “Guía para la Elaboración de Estudios del Sector” expedida por Agencia Nacional de Contratación Pública – Colombia Compra Eficiente, respecto de la contratación directa, particularmente de un contrato de prestación de servicios, el estudio del sector se centra, entre otros aspectos, en “las condiciones de idoneidad y/o experiencia que llevan a contratar a la persona natural o jurídica que está en condiciones de desarrollar dicho objeto”.</w:t>
      </w:r>
    </w:p>
    <w:p w14:paraId="28AE2003" w14:textId="77777777" w:rsidR="006E623E" w:rsidRPr="00F252D7" w:rsidRDefault="006E623E" w:rsidP="005E1BE8">
      <w:pPr>
        <w:spacing w:after="0" w:line="240" w:lineRule="auto"/>
        <w:contextualSpacing/>
        <w:jc w:val="both"/>
        <w:rPr>
          <w:rFonts w:ascii="Verdana" w:eastAsia="Times New Roman" w:hAnsi="Verdana" w:cs="Arial"/>
          <w:sz w:val="20"/>
          <w:szCs w:val="20"/>
          <w:lang w:val="es-ES_tradnl" w:eastAsia="es-MX"/>
        </w:rPr>
      </w:pPr>
    </w:p>
    <w:p w14:paraId="3B0ED939" w14:textId="77777777" w:rsidR="006E623E" w:rsidRPr="00F252D7" w:rsidRDefault="006E623E" w:rsidP="005E1BE8">
      <w:pPr>
        <w:spacing w:after="0" w:line="240" w:lineRule="auto"/>
        <w:contextualSpacing/>
        <w:jc w:val="both"/>
        <w:rPr>
          <w:rFonts w:ascii="Verdana" w:eastAsia="Times New Roman" w:hAnsi="Verdana" w:cs="Arial"/>
          <w:sz w:val="20"/>
          <w:szCs w:val="20"/>
          <w:lang w:val="es-ES_tradnl" w:eastAsia="es-MX"/>
        </w:rPr>
      </w:pPr>
      <w:r w:rsidRPr="00F252D7">
        <w:rPr>
          <w:rFonts w:ascii="Verdana" w:eastAsia="Times New Roman" w:hAnsi="Verdana" w:cs="Arial"/>
          <w:sz w:val="20"/>
          <w:szCs w:val="20"/>
          <w:lang w:val="es-ES_tradnl" w:eastAsia="es-MX"/>
        </w:rPr>
        <w:t xml:space="preserve">Con base en lo anterior, para responder a su pregunta, una vez la entidad ha establecido la experiencia y los estudios que debe tener una persona natural o jurídica para celebrar un contrato de prestación de servicios, en su autonomía y como directora del proceso de contratación debe determinar cómo evaluar que esto se cumpla, sin que sea aplicable el Decreto 1083 de 2015 respecto de la equivalencia entre experiencia y estudios, ya que el artículo 2.1.1.1. que trata del objeto del decreto señala que es para el sector de la función pública en temas como “empleo público; funciones, competencias y requisitos generales para los empleos públicos de los distintos niveles jerárquicos de los organismos y entidades del orden nacional y territorial; administración de personal (…)”, entre otros. Y de acuerdo con el concepto del Departamento Administrativo de la Función </w:t>
      </w:r>
      <w:r w:rsidRPr="00F252D7">
        <w:rPr>
          <w:rFonts w:ascii="Verdana" w:eastAsia="Times New Roman" w:hAnsi="Verdana" w:cs="Arial"/>
          <w:sz w:val="20"/>
          <w:szCs w:val="20"/>
          <w:lang w:val="es-ES_tradnl" w:eastAsia="es-MX"/>
        </w:rPr>
        <w:lastRenderedPageBreak/>
        <w:t xml:space="preserve">Pública, “La relación contractual tiene como características la autonomía e independencia del contratista, por consiguiente los contratistas no son servidores públicos sino particulares que prestan una función pública (…)”, por lo que no es aplicable el Decreto 1083 de 2015, pero la entidad en su autonomía y como rectora del proceso de contratación puede determinar la observancia de la equivalencia entre experiencia y estudios allí establecida. </w:t>
      </w:r>
    </w:p>
    <w:p w14:paraId="43B03A25" w14:textId="77777777" w:rsidR="006E623E" w:rsidRPr="00F252D7" w:rsidRDefault="006E623E" w:rsidP="006E623E">
      <w:pPr>
        <w:spacing w:after="0" w:line="240" w:lineRule="auto"/>
        <w:jc w:val="both"/>
        <w:rPr>
          <w:rFonts w:ascii="Verdana" w:eastAsia="Times New Roman" w:hAnsi="Verdana" w:cs="Arial"/>
          <w:noProof/>
          <w:lang w:val="es-ES" w:eastAsia="es-ES_tradnl"/>
        </w:rPr>
      </w:pPr>
    </w:p>
    <w:p w14:paraId="5AB3807F" w14:textId="77777777" w:rsidR="006E623E" w:rsidRPr="00F123F9" w:rsidRDefault="006E623E" w:rsidP="006E623E">
      <w:pPr>
        <w:spacing w:before="1" w:after="0" w:line="240" w:lineRule="auto"/>
        <w:jc w:val="both"/>
        <w:rPr>
          <w:rFonts w:ascii="Verdana" w:hAnsi="Verdana" w:cs="Arial"/>
          <w:sz w:val="20"/>
          <w:szCs w:val="20"/>
          <w:lang w:val="es-ES"/>
        </w:rPr>
      </w:pPr>
    </w:p>
    <w:p w14:paraId="335566EC" w14:textId="77777777" w:rsidR="006E623E" w:rsidRDefault="006E623E" w:rsidP="006E623E">
      <w:pPr>
        <w:spacing w:after="0" w:line="240" w:lineRule="auto"/>
        <w:rPr>
          <w:rFonts w:ascii="Verdana" w:eastAsia="Geomanist Light" w:hAnsi="Verdana" w:cs="Arial"/>
          <w:color w:val="000000" w:themeColor="text1"/>
          <w:lang w:val="es-MX"/>
        </w:rPr>
      </w:pPr>
    </w:p>
    <w:p w14:paraId="2C72E29A" w14:textId="37DF2A3C" w:rsidR="006E623E" w:rsidRDefault="006E623E" w:rsidP="00200D48">
      <w:pPr>
        <w:rPr>
          <w:rFonts w:ascii="Verdana" w:eastAsia="Geomanist Light" w:hAnsi="Verdana" w:cs="Arial"/>
        </w:rPr>
      </w:pPr>
      <w:r w:rsidRPr="00960F72">
        <w:rPr>
          <w:rFonts w:ascii="Verdana" w:eastAsia="Calibri" w:hAnsi="Verdana" w:cs="Arial"/>
          <w:bCs/>
          <w:sz w:val="20"/>
          <w:szCs w:val="20"/>
          <w:lang w:eastAsia="es-ES_tradnl"/>
        </w:rPr>
        <w:br w:type="page"/>
      </w:r>
    </w:p>
    <w:p w14:paraId="0291D718" w14:textId="3C7D42A7" w:rsidR="00200D48" w:rsidRPr="00960F72" w:rsidRDefault="00200D48" w:rsidP="00200D48">
      <w:pPr>
        <w:rPr>
          <w:rFonts w:ascii="Verdana" w:eastAsia="Calibri" w:hAnsi="Verdana" w:cs="Arial"/>
          <w:bCs/>
          <w:sz w:val="20"/>
          <w:szCs w:val="20"/>
          <w:lang w:eastAsia="es-ES_tradnl"/>
        </w:rPr>
      </w:pPr>
      <w:r w:rsidRPr="00960F72">
        <w:rPr>
          <w:rFonts w:ascii="Verdana" w:eastAsia="Geomanist Light" w:hAnsi="Verdana" w:cs="Arial"/>
        </w:rPr>
        <w:lastRenderedPageBreak/>
        <w:t>Bogotá D.C., [Día] de [</w:t>
      </w:r>
      <w:proofErr w:type="spellStart"/>
      <w:r w:rsidRPr="00960F72">
        <w:rPr>
          <w:rFonts w:ascii="Verdana" w:eastAsia="Geomanist Light" w:hAnsi="Verdana" w:cs="Arial"/>
        </w:rPr>
        <w:t>Mes.NombreCapitalizado</w:t>
      </w:r>
      <w:proofErr w:type="spellEnd"/>
      <w:r w:rsidRPr="00960F72">
        <w:rPr>
          <w:rFonts w:ascii="Verdana" w:eastAsia="Geomanist Light" w:hAnsi="Verdana" w:cs="Arial"/>
        </w:rPr>
        <w:t>] de [Año]</w:t>
      </w:r>
    </w:p>
    <w:p w14:paraId="2FF5762E" w14:textId="40DCE657" w:rsidR="00200D48" w:rsidRPr="00960F72" w:rsidRDefault="006E623E" w:rsidP="00200D48">
      <w:pPr>
        <w:spacing w:after="0" w:line="240" w:lineRule="auto"/>
        <w:jc w:val="both"/>
        <w:rPr>
          <w:rFonts w:ascii="Verdana" w:eastAsia="Calibri" w:hAnsi="Verdana" w:cs="Arial"/>
        </w:rPr>
      </w:pPr>
      <w:r w:rsidRPr="006E623E">
        <w:rPr>
          <w:rFonts w:ascii="Verdana" w:eastAsia="Calibri" w:hAnsi="Verdana" w:cs="Arial"/>
          <w:noProof/>
          <w:lang w:eastAsia="es-ES"/>
        </w:rPr>
        <w:drawing>
          <wp:anchor distT="0" distB="0" distL="114300" distR="114300" simplePos="0" relativeHeight="251658240" behindDoc="1" locked="0" layoutInCell="1" allowOverlap="1" wp14:anchorId="72015881" wp14:editId="08C9C69F">
            <wp:simplePos x="0" y="0"/>
            <wp:positionH relativeFrom="margin">
              <wp:align>right</wp:align>
            </wp:positionH>
            <wp:positionV relativeFrom="paragraph">
              <wp:posOffset>151186</wp:posOffset>
            </wp:positionV>
            <wp:extent cx="2651125" cy="770890"/>
            <wp:effectExtent l="0" t="0" r="0" b="0"/>
            <wp:wrapSquare wrapText="bothSides"/>
            <wp:docPr id="16583364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336464"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51125" cy="770890"/>
                    </a:xfrm>
                    <a:prstGeom prst="rect">
                      <a:avLst/>
                    </a:prstGeom>
                  </pic:spPr>
                </pic:pic>
              </a:graphicData>
            </a:graphic>
            <wp14:sizeRelH relativeFrom="page">
              <wp14:pctWidth>0</wp14:pctWidth>
            </wp14:sizeRelH>
            <wp14:sizeRelV relativeFrom="page">
              <wp14:pctHeight>0</wp14:pctHeight>
            </wp14:sizeRelV>
          </wp:anchor>
        </w:drawing>
      </w:r>
    </w:p>
    <w:p w14:paraId="76C3A0F8" w14:textId="00036C8D" w:rsidR="00200D48" w:rsidRDefault="00200D48" w:rsidP="00200D48">
      <w:pPr>
        <w:spacing w:after="0" w:line="240" w:lineRule="auto"/>
        <w:jc w:val="both"/>
        <w:rPr>
          <w:rFonts w:ascii="Verdana" w:eastAsia="Calibri" w:hAnsi="Verdana" w:cs="Arial"/>
          <w:lang w:eastAsia="es-ES"/>
        </w:rPr>
      </w:pPr>
      <w:r w:rsidRPr="00960F72">
        <w:rPr>
          <w:rFonts w:ascii="Verdana" w:eastAsia="Calibri" w:hAnsi="Verdana" w:cs="Arial"/>
          <w:lang w:eastAsia="es-ES"/>
        </w:rPr>
        <w:t>Señor</w:t>
      </w:r>
    </w:p>
    <w:p w14:paraId="4A034E44" w14:textId="4C344D89" w:rsidR="00200D48" w:rsidRDefault="00200D48" w:rsidP="00200D48">
      <w:pPr>
        <w:spacing w:after="0" w:line="240" w:lineRule="auto"/>
        <w:jc w:val="both"/>
        <w:rPr>
          <w:rFonts w:ascii="Verdana" w:eastAsia="Calibri" w:hAnsi="Verdana" w:cs="Arial"/>
          <w:b/>
          <w:bCs/>
          <w:lang w:eastAsia="es-ES"/>
        </w:rPr>
      </w:pPr>
      <w:r>
        <w:rPr>
          <w:rFonts w:ascii="Verdana" w:eastAsia="Calibri" w:hAnsi="Verdana" w:cs="Arial"/>
          <w:b/>
          <w:bCs/>
          <w:lang w:eastAsia="es-ES"/>
        </w:rPr>
        <w:t>Iván Darío Gutiérrez Cardozo</w:t>
      </w:r>
    </w:p>
    <w:p w14:paraId="7BDE706C" w14:textId="6A790C61" w:rsidR="00200D48" w:rsidRPr="0003244D" w:rsidRDefault="00200D48" w:rsidP="00200D48">
      <w:pPr>
        <w:spacing w:after="0" w:line="240" w:lineRule="auto"/>
        <w:jc w:val="both"/>
        <w:rPr>
          <w:rFonts w:ascii="Verdana" w:eastAsia="Calibri" w:hAnsi="Verdana" w:cs="Arial"/>
          <w:lang w:eastAsia="es-ES"/>
        </w:rPr>
      </w:pPr>
      <w:r>
        <w:rPr>
          <w:rFonts w:ascii="Verdana" w:eastAsia="Calibri" w:hAnsi="Verdana" w:cs="Arial"/>
          <w:lang w:eastAsia="es-ES"/>
        </w:rPr>
        <w:t>ivandariog@hotmail.com</w:t>
      </w:r>
    </w:p>
    <w:p w14:paraId="1F8BEAC1" w14:textId="77777777" w:rsidR="00200D48" w:rsidRPr="00960F72" w:rsidRDefault="00200D48" w:rsidP="00200D48">
      <w:pPr>
        <w:spacing w:after="0" w:line="240" w:lineRule="auto"/>
        <w:rPr>
          <w:rFonts w:ascii="Verdana" w:eastAsia="Calibri" w:hAnsi="Verdana" w:cs="Arial"/>
          <w:b/>
          <w:bCs/>
          <w:lang w:eastAsia="es-ES"/>
        </w:rPr>
      </w:pPr>
      <w:r>
        <w:rPr>
          <w:rFonts w:ascii="Verdana" w:eastAsia="Calibri" w:hAnsi="Verdana" w:cs="Arial"/>
          <w:lang w:eastAsia="es-ES"/>
        </w:rPr>
        <w:t>Neiva, Huila</w:t>
      </w:r>
    </w:p>
    <w:p w14:paraId="55B9A9FB" w14:textId="77777777" w:rsidR="00200D48" w:rsidRPr="00960F72" w:rsidRDefault="00200D48" w:rsidP="00200D48">
      <w:pPr>
        <w:spacing w:after="0" w:line="240" w:lineRule="auto"/>
        <w:rPr>
          <w:rFonts w:ascii="Verdana" w:eastAsia="Calibri" w:hAnsi="Verdana" w:cs="Arial"/>
          <w:b/>
          <w:bCs/>
          <w:lang w:eastAsia="es-ES_tradnl"/>
        </w:rPr>
      </w:pPr>
    </w:p>
    <w:p w14:paraId="4EBAE10B" w14:textId="77777777" w:rsidR="00200D48" w:rsidRPr="00960F72" w:rsidRDefault="00200D48" w:rsidP="00200D48">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00D48" w:rsidRPr="00960F72" w14:paraId="6540B751" w14:textId="77777777" w:rsidTr="008326D5">
        <w:trPr>
          <w:trHeight w:val="190"/>
        </w:trPr>
        <w:tc>
          <w:tcPr>
            <w:tcW w:w="2689" w:type="dxa"/>
          </w:tcPr>
          <w:p w14:paraId="72583B2F" w14:textId="77777777" w:rsidR="00200D48" w:rsidRPr="00960F72" w:rsidRDefault="00200D48" w:rsidP="008326D5">
            <w:pPr>
              <w:jc w:val="both"/>
              <w:rPr>
                <w:rFonts w:ascii="Verdana" w:eastAsia="Calibri" w:hAnsi="Verdana" w:cs="Arial"/>
                <w:b/>
                <w:bCs/>
                <w:lang w:eastAsia="es-ES_tradnl"/>
              </w:rPr>
            </w:pPr>
          </w:p>
        </w:tc>
        <w:tc>
          <w:tcPr>
            <w:tcW w:w="6100" w:type="dxa"/>
          </w:tcPr>
          <w:p w14:paraId="3DE37242" w14:textId="77777777" w:rsidR="00200D48" w:rsidRPr="00960F72" w:rsidRDefault="00200D48" w:rsidP="008326D5">
            <w:pPr>
              <w:jc w:val="both"/>
              <w:rPr>
                <w:rFonts w:ascii="Verdana" w:eastAsia="Calibri" w:hAnsi="Verdana" w:cs="Arial"/>
                <w:b/>
                <w:bCs/>
                <w:lang w:eastAsia="es-ES"/>
              </w:rPr>
            </w:pPr>
            <w:r w:rsidRPr="00960F72">
              <w:rPr>
                <w:rFonts w:ascii="Verdana" w:eastAsia="Calibri" w:hAnsi="Verdana" w:cs="Arial"/>
                <w:b/>
                <w:bCs/>
                <w:lang w:eastAsia="es-ES"/>
              </w:rPr>
              <w:t>Concepto C- 1</w:t>
            </w:r>
            <w:r>
              <w:rPr>
                <w:rFonts w:ascii="Verdana" w:eastAsia="Calibri" w:hAnsi="Verdana" w:cs="Arial"/>
                <w:b/>
                <w:bCs/>
                <w:lang w:eastAsia="es-ES"/>
              </w:rPr>
              <w:t>246</w:t>
            </w:r>
            <w:r w:rsidRPr="00960F72">
              <w:rPr>
                <w:rFonts w:ascii="Verdana" w:eastAsia="Calibri" w:hAnsi="Verdana" w:cs="Arial"/>
                <w:b/>
                <w:bCs/>
                <w:lang w:eastAsia="es-ES"/>
              </w:rPr>
              <w:t xml:space="preserve"> de 2025</w:t>
            </w:r>
          </w:p>
          <w:p w14:paraId="59A3354D" w14:textId="77777777" w:rsidR="00200D48" w:rsidRPr="00960F72" w:rsidRDefault="00200D48" w:rsidP="008326D5">
            <w:pPr>
              <w:jc w:val="both"/>
              <w:rPr>
                <w:rFonts w:ascii="Verdana" w:eastAsia="Calibri" w:hAnsi="Verdana" w:cs="Arial"/>
                <w:b/>
                <w:bCs/>
                <w:lang w:eastAsia="es-ES"/>
              </w:rPr>
            </w:pPr>
          </w:p>
        </w:tc>
      </w:tr>
      <w:tr w:rsidR="00200D48" w:rsidRPr="00960F72" w14:paraId="339A58BA" w14:textId="77777777" w:rsidTr="008326D5">
        <w:trPr>
          <w:trHeight w:val="884"/>
        </w:trPr>
        <w:tc>
          <w:tcPr>
            <w:tcW w:w="2689" w:type="dxa"/>
          </w:tcPr>
          <w:p w14:paraId="7EC5914A" w14:textId="77777777" w:rsidR="00200D48" w:rsidRPr="00960F72" w:rsidRDefault="00200D48" w:rsidP="008326D5">
            <w:pPr>
              <w:jc w:val="both"/>
              <w:rPr>
                <w:rFonts w:ascii="Verdana" w:eastAsia="Calibri" w:hAnsi="Verdana" w:cs="Arial"/>
                <w:lang w:eastAsia="es-ES_tradnl"/>
              </w:rPr>
            </w:pPr>
            <w:r w:rsidRPr="00960F72">
              <w:rPr>
                <w:rFonts w:ascii="Verdana" w:eastAsia="Calibri" w:hAnsi="Verdana" w:cs="Arial"/>
                <w:b/>
                <w:lang w:eastAsia="es-ES_tradnl"/>
              </w:rPr>
              <w:t>Temas:</w:t>
            </w:r>
            <w:r w:rsidRPr="00960F72">
              <w:rPr>
                <w:rFonts w:ascii="Verdana" w:eastAsia="Calibri" w:hAnsi="Verdana" w:cs="Arial"/>
                <w:lang w:eastAsia="es-ES_tradnl"/>
              </w:rPr>
              <w:t xml:space="preserve">                   </w:t>
            </w:r>
          </w:p>
        </w:tc>
        <w:tc>
          <w:tcPr>
            <w:tcW w:w="6100" w:type="dxa"/>
          </w:tcPr>
          <w:p w14:paraId="1162B657" w14:textId="3E975FFC" w:rsidR="00BB37EB" w:rsidRPr="00BB37EB" w:rsidRDefault="00BB37EB" w:rsidP="00BB37EB">
            <w:pPr>
              <w:jc w:val="both"/>
              <w:rPr>
                <w:rFonts w:ascii="Verdana" w:eastAsia="Calibri" w:hAnsi="Verdana" w:cs="Arial"/>
                <w:bCs/>
                <w:lang w:val="es-ES"/>
              </w:rPr>
            </w:pPr>
            <w:r w:rsidRPr="00BB37EB">
              <w:rPr>
                <w:rFonts w:ascii="Verdana" w:eastAsia="Calibri" w:hAnsi="Verdana" w:cs="Arial"/>
                <w:bCs/>
                <w:lang w:val="es-ES"/>
              </w:rPr>
              <w:t>REQUISITOS HABILITANTES</w:t>
            </w:r>
            <w:r w:rsidR="007D7198">
              <w:rPr>
                <w:rFonts w:ascii="Verdana" w:eastAsia="Calibri" w:hAnsi="Verdana" w:cs="Arial"/>
                <w:bCs/>
                <w:lang w:val="es-ES"/>
              </w:rPr>
              <w:t xml:space="preserve"> </w:t>
            </w:r>
            <w:r w:rsidR="007D7198" w:rsidRPr="007D7198">
              <w:rPr>
                <w:rFonts w:ascii="Verdana" w:eastAsia="Calibri" w:hAnsi="Verdana" w:cs="Arial"/>
                <w:b/>
                <w:bCs/>
                <w:lang w:val="es-ES"/>
              </w:rPr>
              <w:t>–</w:t>
            </w:r>
            <w:r w:rsidRPr="00BB37EB">
              <w:rPr>
                <w:rFonts w:ascii="Verdana" w:eastAsia="Calibri" w:hAnsi="Verdana" w:cs="Arial"/>
                <w:bCs/>
                <w:lang w:val="es-ES"/>
              </w:rPr>
              <w:t xml:space="preserve"> Definición/</w:t>
            </w:r>
            <w:r w:rsidRPr="00BB37EB">
              <w:rPr>
                <w:rFonts w:ascii="Verdana" w:eastAsia="Calibri" w:hAnsi="Verdana" w:cs="Arial"/>
                <w:bCs/>
                <w:color w:val="000000" w:themeColor="text1"/>
                <w:lang w:val="es-ES_tradnl"/>
              </w:rPr>
              <w:t xml:space="preserve"> VERIFICACIÓN DEL REQUISITO DE EXPERIENCIA</w:t>
            </w:r>
            <w:r w:rsidR="007D7198">
              <w:rPr>
                <w:rFonts w:ascii="Verdana" w:eastAsia="Calibri" w:hAnsi="Verdana" w:cs="Arial"/>
                <w:bCs/>
                <w:color w:val="000000" w:themeColor="text1"/>
                <w:lang w:val="es-ES_tradnl"/>
              </w:rPr>
              <w:t xml:space="preserve"> </w:t>
            </w:r>
            <w:r w:rsidR="007D7198" w:rsidRPr="007D7198">
              <w:rPr>
                <w:rFonts w:ascii="Verdana" w:eastAsia="Calibri" w:hAnsi="Verdana" w:cs="Arial"/>
                <w:b/>
                <w:bCs/>
                <w:color w:val="000000" w:themeColor="text1"/>
                <w:lang w:val="es-ES"/>
              </w:rPr>
              <w:t>–</w:t>
            </w:r>
            <w:r w:rsidRPr="00BB37EB">
              <w:rPr>
                <w:rFonts w:ascii="Verdana" w:eastAsia="Calibri" w:hAnsi="Verdana" w:cs="Arial"/>
                <w:bCs/>
                <w:color w:val="000000" w:themeColor="text1"/>
                <w:lang w:val="es-ES_tradnl"/>
              </w:rPr>
              <w:t xml:space="preserve"> Acreditación de la culminación de estudios</w:t>
            </w:r>
            <w:r w:rsidR="007D7198">
              <w:rPr>
                <w:rFonts w:ascii="Verdana" w:eastAsia="Calibri" w:hAnsi="Verdana" w:cs="Arial"/>
                <w:bCs/>
                <w:color w:val="000000" w:themeColor="text1"/>
                <w:lang w:val="es-ES_tradnl"/>
              </w:rPr>
              <w:t xml:space="preserve"> </w:t>
            </w:r>
            <w:r w:rsidR="007D7198" w:rsidRPr="007D7198">
              <w:rPr>
                <w:rFonts w:ascii="Verdana" w:eastAsia="Calibri" w:hAnsi="Verdana" w:cs="Arial"/>
                <w:b/>
                <w:bCs/>
                <w:color w:val="000000" w:themeColor="text1"/>
                <w:lang w:val="es-ES"/>
              </w:rPr>
              <w:t>–</w:t>
            </w:r>
            <w:r w:rsidRPr="00BB37EB">
              <w:rPr>
                <w:rFonts w:ascii="Verdana" w:eastAsia="Calibri" w:hAnsi="Verdana" w:cs="Arial"/>
                <w:bCs/>
                <w:color w:val="000000" w:themeColor="text1"/>
                <w:lang w:val="es-ES_tradnl"/>
              </w:rPr>
              <w:t xml:space="preserve"> Decreto 1083 de 2015</w:t>
            </w:r>
            <w:r w:rsidR="007D7198">
              <w:rPr>
                <w:rFonts w:ascii="Verdana" w:eastAsia="Calibri" w:hAnsi="Verdana" w:cs="Arial"/>
                <w:bCs/>
                <w:color w:val="000000" w:themeColor="text1"/>
                <w:lang w:val="es-ES_tradnl"/>
              </w:rPr>
              <w:t xml:space="preserve"> </w:t>
            </w:r>
            <w:r w:rsidR="007D7198" w:rsidRPr="007D7198">
              <w:rPr>
                <w:rFonts w:ascii="Verdana" w:eastAsia="Calibri" w:hAnsi="Verdana" w:cs="Arial"/>
                <w:b/>
                <w:bCs/>
                <w:color w:val="000000" w:themeColor="text1"/>
                <w:lang w:val="es-ES"/>
              </w:rPr>
              <w:t>–</w:t>
            </w:r>
            <w:r w:rsidRPr="00BB37EB">
              <w:rPr>
                <w:rFonts w:ascii="Verdana" w:eastAsia="Calibri" w:hAnsi="Verdana" w:cs="Arial"/>
                <w:bCs/>
                <w:color w:val="000000" w:themeColor="text1"/>
                <w:lang w:val="es-ES_tradnl"/>
              </w:rPr>
              <w:t xml:space="preserve"> Experiencia/</w:t>
            </w:r>
            <w:r w:rsidRPr="00BB37EB">
              <w:rPr>
                <w:rFonts w:ascii="Verdana" w:eastAsia="Calibri" w:hAnsi="Verdana" w:cs="Arial"/>
                <w:bCs/>
                <w:lang w:val="es-ES"/>
              </w:rPr>
              <w:t xml:space="preserve"> EXPERIENCIA PROFESIONAL – Definición – Generalidades</w:t>
            </w:r>
          </w:p>
          <w:p w14:paraId="174455C0" w14:textId="77777777" w:rsidR="00200D48" w:rsidRPr="00960F72" w:rsidRDefault="00200D48" w:rsidP="008326D5">
            <w:pPr>
              <w:jc w:val="both"/>
              <w:rPr>
                <w:rFonts w:ascii="Verdana" w:eastAsia="Calibri" w:hAnsi="Verdana" w:cs="Arial"/>
                <w:lang w:eastAsia="es-ES"/>
              </w:rPr>
            </w:pPr>
          </w:p>
        </w:tc>
      </w:tr>
      <w:tr w:rsidR="00200D48" w:rsidRPr="00960F72" w14:paraId="42860AAE" w14:textId="77777777" w:rsidTr="008326D5">
        <w:tc>
          <w:tcPr>
            <w:tcW w:w="2689" w:type="dxa"/>
          </w:tcPr>
          <w:p w14:paraId="434AB754" w14:textId="77777777" w:rsidR="00200D48" w:rsidRPr="00960F72" w:rsidRDefault="00200D48" w:rsidP="008326D5">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100" w:type="dxa"/>
          </w:tcPr>
          <w:p w14:paraId="2467F09A" w14:textId="77777777" w:rsidR="00200D48" w:rsidRPr="00960F72" w:rsidRDefault="00200D48" w:rsidP="008326D5">
            <w:pPr>
              <w:jc w:val="both"/>
              <w:rPr>
                <w:rFonts w:ascii="Verdana" w:eastAsia="Calibri" w:hAnsi="Verdana" w:cs="Arial"/>
                <w:lang w:eastAsia="es-ES_tradnl"/>
              </w:rPr>
            </w:pPr>
            <w:r w:rsidRPr="00960F72">
              <w:rPr>
                <w:rFonts w:ascii="Verdana" w:eastAsia="Calibri" w:hAnsi="Verdana" w:cs="Arial"/>
                <w:lang w:eastAsia="es-ES_tradnl"/>
              </w:rPr>
              <w:t xml:space="preserve">Respuesta a consulta con radicado No. </w:t>
            </w:r>
            <w:r w:rsidRPr="00F9138A">
              <w:rPr>
                <w:rFonts w:ascii="Verdana" w:eastAsia="Calibri" w:hAnsi="Verdana" w:cs="Arial"/>
                <w:lang w:eastAsia="es-ES_tradnl"/>
              </w:rPr>
              <w:t>1_2025_09_01_009414</w:t>
            </w:r>
          </w:p>
        </w:tc>
      </w:tr>
    </w:tbl>
    <w:p w14:paraId="2B547AAC" w14:textId="77777777" w:rsidR="00200D48" w:rsidRPr="00960F72" w:rsidRDefault="00200D48" w:rsidP="00200D48">
      <w:pPr>
        <w:spacing w:after="0" w:line="240" w:lineRule="auto"/>
        <w:jc w:val="both"/>
        <w:rPr>
          <w:rFonts w:ascii="Verdana" w:eastAsia="Calibri" w:hAnsi="Verdana" w:cs="Arial"/>
          <w:lang w:eastAsia="es-ES_tradnl"/>
        </w:rPr>
      </w:pPr>
    </w:p>
    <w:p w14:paraId="62F2DA92" w14:textId="77777777" w:rsidR="00200D48" w:rsidRPr="00960F72" w:rsidRDefault="00200D48" w:rsidP="00200D48">
      <w:pPr>
        <w:spacing w:after="0" w:line="240" w:lineRule="auto"/>
        <w:jc w:val="both"/>
        <w:rPr>
          <w:rFonts w:ascii="Verdana" w:eastAsia="Calibri" w:hAnsi="Verdana" w:cs="Arial"/>
          <w:lang w:eastAsia="es-ES_tradnl"/>
        </w:rPr>
      </w:pPr>
    </w:p>
    <w:p w14:paraId="19B7F4D3" w14:textId="77777777" w:rsidR="00200D48" w:rsidRPr="00960F72" w:rsidRDefault="00200D48" w:rsidP="00200D48">
      <w:pPr>
        <w:spacing w:after="0" w:line="276" w:lineRule="auto"/>
        <w:jc w:val="both"/>
        <w:rPr>
          <w:rFonts w:ascii="Verdana" w:eastAsia="Calibri" w:hAnsi="Verdana" w:cs="Arial"/>
          <w:lang w:eastAsia="es-ES"/>
        </w:rPr>
      </w:pPr>
      <w:r w:rsidRPr="00960F72">
        <w:rPr>
          <w:rFonts w:ascii="Verdana" w:eastAsia="Calibri" w:hAnsi="Verdana" w:cs="Arial"/>
          <w:lang w:eastAsia="es-ES"/>
        </w:rPr>
        <w:t>Estimad</w:t>
      </w:r>
      <w:r>
        <w:rPr>
          <w:rFonts w:ascii="Verdana" w:eastAsia="Calibri" w:hAnsi="Verdana" w:cs="Arial"/>
          <w:lang w:eastAsia="es-ES"/>
        </w:rPr>
        <w:t>a</w:t>
      </w:r>
      <w:r w:rsidRPr="00960F72">
        <w:rPr>
          <w:rFonts w:ascii="Verdana" w:eastAsia="Calibri" w:hAnsi="Verdana" w:cs="Arial"/>
          <w:lang w:eastAsia="es-ES"/>
        </w:rPr>
        <w:t xml:space="preserve"> señor</w:t>
      </w:r>
      <w:r>
        <w:rPr>
          <w:rFonts w:ascii="Verdana" w:eastAsia="Calibri" w:hAnsi="Verdana" w:cs="Arial"/>
          <w:lang w:eastAsia="es-ES"/>
        </w:rPr>
        <w:t xml:space="preserve"> Gutiérrez</w:t>
      </w:r>
      <w:r w:rsidRPr="00960F72">
        <w:rPr>
          <w:rFonts w:ascii="Verdana" w:eastAsia="Calibri" w:hAnsi="Verdana" w:cs="Arial"/>
          <w:lang w:eastAsia="es-ES"/>
        </w:rPr>
        <w:t xml:space="preserve">: </w:t>
      </w:r>
    </w:p>
    <w:p w14:paraId="4137F7B4" w14:textId="77777777" w:rsidR="00200D48" w:rsidRPr="00960F72" w:rsidRDefault="00200D48" w:rsidP="00200D48">
      <w:pPr>
        <w:tabs>
          <w:tab w:val="left" w:pos="3768"/>
        </w:tabs>
        <w:spacing w:after="0" w:line="276" w:lineRule="auto"/>
        <w:jc w:val="both"/>
        <w:rPr>
          <w:rFonts w:ascii="Verdana" w:eastAsia="Calibri" w:hAnsi="Verdana" w:cs="Arial"/>
          <w:lang w:eastAsia="es-ES"/>
        </w:rPr>
      </w:pPr>
    </w:p>
    <w:p w14:paraId="1B267EF2" w14:textId="77777777" w:rsidR="00200D48" w:rsidRPr="00960F72" w:rsidRDefault="00200D48" w:rsidP="00200D48">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01</w:t>
      </w:r>
      <w:r w:rsidRPr="00960F72">
        <w:rPr>
          <w:rFonts w:ascii="Verdana" w:eastAsia="Calibri" w:hAnsi="Verdana" w:cs="Arial"/>
          <w:lang w:eastAsia="es-ES"/>
        </w:rPr>
        <w:t xml:space="preserve"> de </w:t>
      </w:r>
      <w:r>
        <w:rPr>
          <w:rFonts w:ascii="Verdana" w:eastAsia="Calibri" w:hAnsi="Verdana" w:cs="Arial"/>
          <w:lang w:eastAsia="es-ES"/>
        </w:rPr>
        <w:t>septiembre</w:t>
      </w:r>
      <w:r w:rsidRPr="00960F72">
        <w:rPr>
          <w:rFonts w:ascii="Verdana" w:eastAsia="Calibri" w:hAnsi="Verdana" w:cs="Arial"/>
          <w:lang w:eastAsia="es-ES"/>
        </w:rPr>
        <w:t xml:space="preserve"> de 2025, en la cual manifiesta lo siguiente: </w:t>
      </w:r>
    </w:p>
    <w:p w14:paraId="2EE0D97D" w14:textId="77777777" w:rsidR="00200D48" w:rsidRPr="00960F72" w:rsidRDefault="00200D48" w:rsidP="00200D48">
      <w:pPr>
        <w:spacing w:after="0" w:line="276" w:lineRule="auto"/>
        <w:jc w:val="both"/>
        <w:rPr>
          <w:rFonts w:ascii="Verdana" w:eastAsia="Calibri" w:hAnsi="Verdana" w:cs="Arial"/>
          <w:lang w:eastAsia="es-ES"/>
        </w:rPr>
      </w:pPr>
    </w:p>
    <w:p w14:paraId="03046682" w14:textId="77777777" w:rsidR="00200D48" w:rsidRDefault="00200D48" w:rsidP="00200D48">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F9138A">
        <w:rPr>
          <w:rFonts w:ascii="Verdana" w:eastAsia="Calibri" w:hAnsi="Verdana" w:cs="Arial"/>
          <w:sz w:val="20"/>
          <w:szCs w:val="20"/>
          <w:lang w:eastAsia="es-ES"/>
        </w:rPr>
        <w:t>solicitud de aclaración concepto C- 051 DEL 2021, allí indica que los proponentes</w:t>
      </w:r>
      <w:r>
        <w:rPr>
          <w:rFonts w:ascii="Verdana" w:eastAsia="Calibri" w:hAnsi="Verdana" w:cs="Arial"/>
          <w:sz w:val="20"/>
          <w:szCs w:val="20"/>
          <w:lang w:eastAsia="es-ES"/>
        </w:rPr>
        <w:t xml:space="preserve"> </w:t>
      </w:r>
      <w:r w:rsidRPr="00F9138A">
        <w:rPr>
          <w:rFonts w:ascii="Verdana" w:eastAsia="Calibri" w:hAnsi="Verdana" w:cs="Arial"/>
          <w:sz w:val="20"/>
          <w:szCs w:val="20"/>
          <w:lang w:eastAsia="es-ES"/>
        </w:rPr>
        <w:t>pueden mediante la presentación de diploma, acta de grado o los certificados</w:t>
      </w:r>
      <w:r>
        <w:rPr>
          <w:rFonts w:ascii="Verdana" w:eastAsia="Calibri" w:hAnsi="Verdana" w:cs="Arial"/>
          <w:sz w:val="20"/>
          <w:szCs w:val="20"/>
          <w:lang w:eastAsia="es-ES"/>
        </w:rPr>
        <w:t xml:space="preserve"> </w:t>
      </w:r>
      <w:r w:rsidRPr="00F9138A">
        <w:rPr>
          <w:rFonts w:ascii="Verdana" w:eastAsia="Calibri" w:hAnsi="Verdana" w:cs="Arial"/>
          <w:sz w:val="20"/>
          <w:szCs w:val="20"/>
          <w:lang w:eastAsia="es-ES"/>
        </w:rPr>
        <w:t>expedidos por el centro educativo acreditar formación académica de los</w:t>
      </w:r>
      <w:r>
        <w:rPr>
          <w:rFonts w:ascii="Verdana" w:eastAsia="Calibri" w:hAnsi="Verdana" w:cs="Arial"/>
          <w:sz w:val="20"/>
          <w:szCs w:val="20"/>
          <w:lang w:eastAsia="es-ES"/>
        </w:rPr>
        <w:t xml:space="preserve"> </w:t>
      </w:r>
      <w:r w:rsidRPr="00F9138A">
        <w:rPr>
          <w:rFonts w:ascii="Verdana" w:eastAsia="Calibri" w:hAnsi="Verdana" w:cs="Arial"/>
          <w:sz w:val="20"/>
          <w:szCs w:val="20"/>
          <w:lang w:eastAsia="es-ES"/>
        </w:rPr>
        <w:t>perfiles, la</w:t>
      </w:r>
      <w:r>
        <w:rPr>
          <w:rFonts w:ascii="Verdana" w:eastAsia="Calibri" w:hAnsi="Verdana" w:cs="Arial"/>
          <w:sz w:val="20"/>
          <w:szCs w:val="20"/>
          <w:lang w:eastAsia="es-ES"/>
        </w:rPr>
        <w:t xml:space="preserve"> </w:t>
      </w:r>
      <w:r w:rsidRPr="00F9138A">
        <w:rPr>
          <w:rFonts w:ascii="Verdana" w:eastAsia="Calibri" w:hAnsi="Verdana" w:cs="Arial"/>
          <w:sz w:val="20"/>
          <w:szCs w:val="20"/>
          <w:lang w:eastAsia="es-ES"/>
        </w:rPr>
        <w:t>conjunción expresada por la letra "o" representa una enumeración abierta en cuanto</w:t>
      </w:r>
      <w:r>
        <w:rPr>
          <w:rFonts w:ascii="Verdana" w:eastAsia="Calibri" w:hAnsi="Verdana" w:cs="Arial"/>
          <w:sz w:val="20"/>
          <w:szCs w:val="20"/>
          <w:lang w:eastAsia="es-ES"/>
        </w:rPr>
        <w:t xml:space="preserve"> </w:t>
      </w:r>
      <w:r w:rsidRPr="00F9138A">
        <w:rPr>
          <w:rFonts w:ascii="Verdana" w:eastAsia="Calibri" w:hAnsi="Verdana" w:cs="Arial"/>
          <w:sz w:val="20"/>
          <w:szCs w:val="20"/>
          <w:lang w:eastAsia="es-ES"/>
        </w:rPr>
        <w:t>a los criterios de acreditación, ahora bien en la conclusión del concepto dan a</w:t>
      </w:r>
      <w:r>
        <w:rPr>
          <w:rFonts w:ascii="Verdana" w:eastAsia="Calibri" w:hAnsi="Verdana" w:cs="Arial"/>
          <w:sz w:val="20"/>
          <w:szCs w:val="20"/>
          <w:lang w:eastAsia="es-ES"/>
        </w:rPr>
        <w:t xml:space="preserve"> </w:t>
      </w:r>
      <w:r w:rsidRPr="00F9138A">
        <w:rPr>
          <w:rFonts w:ascii="Verdana" w:eastAsia="Calibri" w:hAnsi="Verdana" w:cs="Arial"/>
          <w:sz w:val="20"/>
          <w:szCs w:val="20"/>
          <w:lang w:eastAsia="es-ES"/>
        </w:rPr>
        <w:t>entender  que son equivalentes los documentos según lo establezcan las entidades,</w:t>
      </w:r>
      <w:r>
        <w:rPr>
          <w:rFonts w:ascii="Verdana" w:eastAsia="Calibri" w:hAnsi="Verdana" w:cs="Arial"/>
          <w:sz w:val="20"/>
          <w:szCs w:val="20"/>
          <w:lang w:eastAsia="es-ES"/>
        </w:rPr>
        <w:t xml:space="preserve"> </w:t>
      </w:r>
      <w:r w:rsidRPr="00F9138A">
        <w:rPr>
          <w:rFonts w:ascii="Verdana" w:eastAsia="Calibri" w:hAnsi="Verdana" w:cs="Arial"/>
          <w:sz w:val="20"/>
          <w:szCs w:val="20"/>
          <w:lang w:eastAsia="es-ES"/>
        </w:rPr>
        <w:t>ese carácter facultativo ha sido usado por las entidades, para exigir conjuntamente</w:t>
      </w:r>
      <w:r>
        <w:rPr>
          <w:rFonts w:ascii="Verdana" w:eastAsia="Calibri" w:hAnsi="Verdana" w:cs="Arial"/>
          <w:sz w:val="20"/>
          <w:szCs w:val="20"/>
          <w:lang w:eastAsia="es-ES"/>
        </w:rPr>
        <w:t xml:space="preserve"> </w:t>
      </w:r>
      <w:r w:rsidRPr="00F9138A">
        <w:rPr>
          <w:rFonts w:ascii="Verdana" w:eastAsia="Calibri" w:hAnsi="Verdana" w:cs="Arial"/>
          <w:sz w:val="20"/>
          <w:szCs w:val="20"/>
          <w:lang w:eastAsia="es-ES"/>
        </w:rPr>
        <w:t>diplomas, acta de grado y hasta certificaciones limitando concurrencia de</w:t>
      </w:r>
      <w:r>
        <w:rPr>
          <w:rFonts w:ascii="Verdana" w:eastAsia="Calibri" w:hAnsi="Verdana" w:cs="Arial"/>
          <w:sz w:val="20"/>
          <w:szCs w:val="20"/>
          <w:lang w:eastAsia="es-ES"/>
        </w:rPr>
        <w:t xml:space="preserve"> </w:t>
      </w:r>
      <w:r w:rsidRPr="00F9138A">
        <w:rPr>
          <w:rFonts w:ascii="Verdana" w:eastAsia="Calibri" w:hAnsi="Verdana" w:cs="Arial"/>
          <w:sz w:val="20"/>
          <w:szCs w:val="20"/>
          <w:lang w:eastAsia="es-ES"/>
        </w:rPr>
        <w:t>oferentes ?se solicita se exprese si ese carácter facultativo es para que soliciten</w:t>
      </w:r>
      <w:r>
        <w:rPr>
          <w:rFonts w:ascii="Verdana" w:eastAsia="Calibri" w:hAnsi="Verdana" w:cs="Arial"/>
          <w:sz w:val="20"/>
          <w:szCs w:val="20"/>
          <w:lang w:eastAsia="es-ES"/>
        </w:rPr>
        <w:t xml:space="preserve"> </w:t>
      </w:r>
      <w:r w:rsidRPr="00F9138A">
        <w:rPr>
          <w:rFonts w:ascii="Verdana" w:eastAsia="Calibri" w:hAnsi="Verdana" w:cs="Arial"/>
          <w:sz w:val="20"/>
          <w:szCs w:val="20"/>
          <w:lang w:eastAsia="es-ES"/>
        </w:rPr>
        <w:t>todos las formas de acreditación, sobre exigiendo requisitos o si bien pueden optar</w:t>
      </w:r>
      <w:r>
        <w:rPr>
          <w:rFonts w:ascii="Verdana" w:eastAsia="Calibri" w:hAnsi="Verdana" w:cs="Arial"/>
          <w:sz w:val="20"/>
          <w:szCs w:val="20"/>
          <w:lang w:eastAsia="es-ES"/>
        </w:rPr>
        <w:t xml:space="preserve"> </w:t>
      </w:r>
      <w:r w:rsidRPr="00F9138A">
        <w:rPr>
          <w:rFonts w:ascii="Verdana" w:eastAsia="Calibri" w:hAnsi="Verdana" w:cs="Arial"/>
          <w:sz w:val="20"/>
          <w:szCs w:val="20"/>
          <w:lang w:eastAsia="es-ES"/>
        </w:rPr>
        <w:t>por uno u otro en torno a las equivalencias</w:t>
      </w:r>
      <w:r>
        <w:rPr>
          <w:rFonts w:ascii="Verdana" w:eastAsia="Calibri" w:hAnsi="Verdana" w:cs="Arial"/>
          <w:sz w:val="20"/>
          <w:szCs w:val="20"/>
          <w:lang w:eastAsia="es-ES"/>
        </w:rPr>
        <w:t>”</w:t>
      </w:r>
    </w:p>
    <w:p w14:paraId="4B7EEDFB" w14:textId="77777777" w:rsidR="00200D48" w:rsidRPr="00F9138A" w:rsidRDefault="00200D48" w:rsidP="00200D48">
      <w:pPr>
        <w:spacing w:after="0" w:line="240" w:lineRule="auto"/>
        <w:ind w:left="709" w:right="709"/>
        <w:jc w:val="both"/>
        <w:rPr>
          <w:rFonts w:ascii="Verdana" w:eastAsia="Calibri" w:hAnsi="Verdana" w:cs="Arial"/>
          <w:sz w:val="20"/>
          <w:szCs w:val="20"/>
          <w:lang w:eastAsia="es-ES"/>
        </w:rPr>
      </w:pPr>
    </w:p>
    <w:p w14:paraId="5ADD3163" w14:textId="77777777" w:rsidR="00200D48" w:rsidRPr="00960F72" w:rsidRDefault="00200D48" w:rsidP="00200D48">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72BC8A97" w14:textId="77777777" w:rsidR="00200D48" w:rsidRPr="00960F72" w:rsidRDefault="00200D48" w:rsidP="00200D48">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61DBBB7" w14:textId="77777777" w:rsidR="00200D48" w:rsidRPr="00960F72" w:rsidRDefault="00200D48" w:rsidP="00200D48">
      <w:pPr>
        <w:spacing w:after="0" w:line="276" w:lineRule="auto"/>
        <w:ind w:firstLine="709"/>
        <w:jc w:val="both"/>
        <w:rPr>
          <w:rFonts w:ascii="Verdana" w:eastAsia="Calibri" w:hAnsi="Verdana" w:cs="Arial"/>
          <w:lang w:eastAsia="es-ES"/>
        </w:rPr>
      </w:pPr>
    </w:p>
    <w:p w14:paraId="7DB734DE" w14:textId="77777777" w:rsidR="00200D48" w:rsidRPr="00960F72" w:rsidRDefault="00200D48" w:rsidP="00200D4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78741D3C" w14:textId="77777777" w:rsidR="00200D48" w:rsidRPr="00960F72" w:rsidRDefault="00200D48" w:rsidP="00200D48">
      <w:pPr>
        <w:tabs>
          <w:tab w:val="left" w:pos="426"/>
        </w:tabs>
        <w:spacing w:after="0" w:line="276" w:lineRule="auto"/>
        <w:jc w:val="both"/>
        <w:rPr>
          <w:rFonts w:ascii="Verdana" w:eastAsia="Century Gothic" w:hAnsi="Verdana" w:cs="Century Gothic"/>
        </w:rPr>
      </w:pPr>
    </w:p>
    <w:p w14:paraId="199278EA" w14:textId="77777777" w:rsidR="00200D48" w:rsidRDefault="00200D48" w:rsidP="00200D48">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 ¿</w:t>
      </w:r>
      <w:r w:rsidRPr="00F9138A">
        <w:rPr>
          <w:rFonts w:ascii="Verdana" w:eastAsia="Century Gothic" w:hAnsi="Verdana" w:cs="Century Gothic"/>
        </w:rPr>
        <w:t>Es procedente que, para la acreditación de la formación académica de los perfiles, las entidades exijan de manera conjunta el diploma, el acta de grado y los certificados académicos, o deben considerarse estos documentos equivalentes, bastando con la presentación de uno solo de ellos?</w:t>
      </w:r>
      <w:r w:rsidRPr="00DC56D3">
        <w:rPr>
          <w:rFonts w:ascii="Verdana" w:eastAsia="Century Gothic" w:hAnsi="Verdana" w:cs="Century Gothic"/>
        </w:rPr>
        <w:t>?</w:t>
      </w:r>
    </w:p>
    <w:p w14:paraId="23357510" w14:textId="77777777" w:rsidR="00200D48" w:rsidRPr="00960F72" w:rsidRDefault="00200D48" w:rsidP="00200D48">
      <w:pPr>
        <w:spacing w:after="0" w:line="276" w:lineRule="auto"/>
        <w:jc w:val="both"/>
        <w:rPr>
          <w:rFonts w:ascii="Verdana" w:eastAsia="Century Gothic" w:hAnsi="Verdana" w:cs="Century Gothic"/>
        </w:rPr>
      </w:pPr>
    </w:p>
    <w:p w14:paraId="54D8A84D" w14:textId="77777777" w:rsidR="00200D48" w:rsidRPr="00960F72" w:rsidRDefault="00200D48" w:rsidP="00200D4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16BD6260" w14:textId="77777777" w:rsidR="00200D48" w:rsidRPr="00960F72" w:rsidRDefault="00200D48" w:rsidP="00200D48">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00D48" w:rsidRPr="00960F72" w14:paraId="7406952B" w14:textId="77777777" w:rsidTr="008326D5">
        <w:tc>
          <w:tcPr>
            <w:tcW w:w="8828" w:type="dxa"/>
          </w:tcPr>
          <w:p w14:paraId="42AEA4F7" w14:textId="16E9DCF4" w:rsidR="00200D48" w:rsidRPr="00193A54" w:rsidRDefault="00200D48" w:rsidP="00CB1FFA">
            <w:pPr>
              <w:spacing w:line="276" w:lineRule="auto"/>
              <w:jc w:val="both"/>
              <w:rPr>
                <w:rFonts w:ascii="Verdana" w:eastAsia="Calibri" w:hAnsi="Verdana" w:cs="Arial"/>
              </w:rPr>
            </w:pPr>
            <w:r w:rsidRPr="00193A54">
              <w:rPr>
                <w:rFonts w:ascii="Verdana" w:eastAsia="Calibri" w:hAnsi="Verdana" w:cs="Arial"/>
              </w:rPr>
              <w:t xml:space="preserve">El régimen de contratación estatal en Colombia, contenido principalmente en la Ley 80 de 1993, la Ley 1150 de 2007 y su reglamentación en el Decreto 1082 de 2015, establece que corresponde a las entidades estatales definir los requisitos habilitantes y las condiciones de verificación aplicables en los procesos de selección, en el marco de principios </w:t>
            </w:r>
            <w:r>
              <w:rPr>
                <w:rFonts w:ascii="Verdana" w:eastAsia="Calibri" w:hAnsi="Verdana" w:cs="Arial"/>
              </w:rPr>
              <w:t>como</w:t>
            </w:r>
            <w:r w:rsidRPr="00193A54">
              <w:rPr>
                <w:rFonts w:ascii="Verdana" w:eastAsia="Calibri" w:hAnsi="Verdana" w:cs="Arial"/>
              </w:rPr>
              <w:t xml:space="preserve"> </w:t>
            </w:r>
            <w:r>
              <w:rPr>
                <w:rFonts w:ascii="Verdana" w:eastAsia="Calibri" w:hAnsi="Verdana" w:cs="Arial"/>
              </w:rPr>
              <w:t xml:space="preserve">la </w:t>
            </w:r>
            <w:r w:rsidRPr="00193A54">
              <w:rPr>
                <w:rFonts w:ascii="Verdana" w:eastAsia="Calibri" w:hAnsi="Verdana" w:cs="Arial"/>
              </w:rPr>
              <w:t>planeación, transparencia, economía, responsabilidad</w:t>
            </w:r>
            <w:r>
              <w:rPr>
                <w:rFonts w:ascii="Verdana" w:eastAsia="Calibri" w:hAnsi="Verdana" w:cs="Arial"/>
              </w:rPr>
              <w:t xml:space="preserve"> y proporcionalidad. </w:t>
            </w:r>
          </w:p>
          <w:p w14:paraId="0632E2E4" w14:textId="63958F57" w:rsidR="00200D48" w:rsidRPr="00193A54" w:rsidRDefault="00200D48" w:rsidP="00CB1FFA">
            <w:pPr>
              <w:spacing w:after="120" w:line="276" w:lineRule="auto"/>
              <w:ind w:firstLine="709"/>
              <w:jc w:val="both"/>
              <w:rPr>
                <w:rFonts w:ascii="Verdana" w:eastAsia="Calibri" w:hAnsi="Verdana" w:cs="Arial"/>
              </w:rPr>
            </w:pPr>
            <w:r w:rsidRPr="00193A54">
              <w:rPr>
                <w:rFonts w:ascii="Verdana" w:eastAsia="Calibri" w:hAnsi="Verdana" w:cs="Arial"/>
              </w:rPr>
              <w:lastRenderedPageBreak/>
              <w:t>El artículo 5 de la Ley 1150 de 2007 dispone que las entidades deben asegurar la selección objetiva del contratista, para lo cual pueden exigir los requisitos de capacidad jurídica, financiera, organizacional y de experiencia, así como los de idoneidad técnica o profesional que resulten necesarios según la naturaleza del objeto contractual.</w:t>
            </w:r>
          </w:p>
          <w:p w14:paraId="7E114C4C" w14:textId="351899F1" w:rsidR="00200D48" w:rsidRPr="009F7E3B" w:rsidRDefault="00200D48" w:rsidP="00CB1FFA">
            <w:pPr>
              <w:spacing w:after="120" w:line="276" w:lineRule="auto"/>
              <w:ind w:firstLine="709"/>
              <w:jc w:val="both"/>
              <w:rPr>
                <w:rFonts w:ascii="Verdana" w:eastAsia="Calibri" w:hAnsi="Verdana" w:cs="Arial"/>
              </w:rPr>
            </w:pPr>
            <w:r w:rsidRPr="009F7E3B">
              <w:rPr>
                <w:rFonts w:ascii="Verdana" w:eastAsia="Calibri" w:hAnsi="Verdana" w:cs="Arial"/>
              </w:rPr>
              <w:t>Por su parte, el artículo 2.2.1.1.1.6.2 del Decreto 1082 de 2015 establece que la determinación de los requisitos habilitantes debe realizarse considerando el riesgo del proceso de contratación, el valor del contrato, el análisis del sector económico y el conocimiento del mercado de posibles oferentes. Esta disposición busca evitar la aplicación automática de fórmulas o parámetros que desconozcan las particularidades de cada proceso, exigiendo que los requisitos sean proporcionales, razonables y justificados frente al objeto contractual.</w:t>
            </w:r>
          </w:p>
          <w:p w14:paraId="04203AB2" w14:textId="0E1E8799" w:rsidR="00200D48" w:rsidRPr="00193A54" w:rsidRDefault="00200D48" w:rsidP="00CB1FFA">
            <w:pPr>
              <w:spacing w:after="120" w:line="276" w:lineRule="auto"/>
              <w:ind w:firstLine="709"/>
              <w:jc w:val="both"/>
              <w:rPr>
                <w:rFonts w:ascii="Verdana" w:eastAsia="Calibri" w:hAnsi="Verdana" w:cs="Arial"/>
              </w:rPr>
            </w:pPr>
            <w:r>
              <w:rPr>
                <w:rFonts w:ascii="Verdana" w:eastAsia="Calibri" w:hAnsi="Verdana" w:cs="Arial"/>
              </w:rPr>
              <w:t>La</w:t>
            </w:r>
            <w:r w:rsidRPr="00193A54">
              <w:rPr>
                <w:rFonts w:ascii="Verdana" w:eastAsia="Calibri" w:hAnsi="Verdana" w:cs="Arial"/>
              </w:rPr>
              <w:t xml:space="preserve"> Agencia Nacional de Contratación Pública – Colombia Compra Eficiente, en la Circular Externa Única </w:t>
            </w:r>
            <w:r>
              <w:rPr>
                <w:rFonts w:ascii="Verdana" w:eastAsia="Calibri" w:hAnsi="Verdana" w:cs="Arial"/>
              </w:rPr>
              <w:t xml:space="preserve">en su </w:t>
            </w:r>
            <w:r w:rsidRPr="00193A54">
              <w:rPr>
                <w:rFonts w:ascii="Verdana" w:eastAsia="Calibri" w:hAnsi="Verdana" w:cs="Arial"/>
              </w:rPr>
              <w:t>numeral 10, al abordar la acreditación de la formación académica, indicó que esta puede realizarse mediante el diploma, el acta de grado o los certificados expedidos por el centro educativo, todos ellos válidos para verificar el cumplimiento del requisito de formación. Dicha formulación</w:t>
            </w:r>
            <w:r>
              <w:rPr>
                <w:rFonts w:ascii="Verdana" w:eastAsia="Calibri" w:hAnsi="Verdana" w:cs="Arial"/>
              </w:rPr>
              <w:t xml:space="preserve">, </w:t>
            </w:r>
            <w:r w:rsidRPr="00193A54">
              <w:rPr>
                <w:rFonts w:ascii="Verdana" w:eastAsia="Calibri" w:hAnsi="Verdana" w:cs="Arial"/>
              </w:rPr>
              <w:t>particularmente la utilización de la conjunción “o”</w:t>
            </w:r>
            <w:r>
              <w:rPr>
                <w:rFonts w:ascii="Verdana" w:eastAsia="Calibri" w:hAnsi="Verdana" w:cs="Arial"/>
              </w:rPr>
              <w:t>,</w:t>
            </w:r>
            <w:r w:rsidRPr="00193A54">
              <w:rPr>
                <w:rFonts w:ascii="Verdana" w:eastAsia="Calibri" w:hAnsi="Verdana" w:cs="Arial"/>
              </w:rPr>
              <w:t xml:space="preserve"> sugiere una enumeración abierta o disyuntiva, que reconoce la equivalencia funcional de dichos documentos siempre que acrediten de manera fehaciente la culminación del programa académico.</w:t>
            </w:r>
          </w:p>
          <w:p w14:paraId="1F3E1B10" w14:textId="2F3937A0" w:rsidR="00200D48" w:rsidRPr="00193A54" w:rsidRDefault="00200D48" w:rsidP="00CB1FFA">
            <w:pPr>
              <w:spacing w:after="120" w:line="276" w:lineRule="auto"/>
              <w:ind w:firstLine="709"/>
              <w:jc w:val="both"/>
              <w:rPr>
                <w:rFonts w:ascii="Verdana" w:eastAsia="Calibri" w:hAnsi="Verdana" w:cs="Arial"/>
              </w:rPr>
            </w:pPr>
            <w:r w:rsidRPr="00193A54">
              <w:rPr>
                <w:rFonts w:ascii="Verdana" w:eastAsia="Calibri" w:hAnsi="Verdana" w:cs="Arial"/>
              </w:rPr>
              <w:t>En consecuencia, puede entenderse que los documentos mencionados constituyen medios alternativos de acreditación, y que la exigencia conjunta de varios de ellos debe estar precedida de una justificación técnica o jurídica específica, debidamente consignada en los estudios previos o en el análisis del sector, que evidencie la necesidad de solicitar más de un documento para garantizar la verificación de la formación requerida.</w:t>
            </w:r>
          </w:p>
          <w:p w14:paraId="357D5F3A" w14:textId="5C6D0299" w:rsidR="00200D48" w:rsidRPr="00193A54" w:rsidRDefault="00200D48" w:rsidP="00CB1FFA">
            <w:pPr>
              <w:spacing w:after="120" w:line="276" w:lineRule="auto"/>
              <w:ind w:firstLine="709"/>
              <w:jc w:val="both"/>
              <w:rPr>
                <w:rFonts w:ascii="Verdana" w:eastAsia="Calibri" w:hAnsi="Verdana" w:cs="Arial"/>
              </w:rPr>
            </w:pPr>
            <w:r w:rsidRPr="00193A54">
              <w:rPr>
                <w:rFonts w:ascii="Verdana" w:eastAsia="Calibri" w:hAnsi="Verdana" w:cs="Arial"/>
              </w:rPr>
              <w:t>Asimismo, el principio de proporcionalidad, consagrado en el artículo 25 de la Ley 80 de 1993 y desarrollado en el artículo 2.2.1.1.1.5.1 del Decreto 1082 de 2015, exige que los requisitos habilitantes guarden correspondencia con la naturaleza y complejidad del objeto contractual, evitando imponer cargas que limiten injustificadamente la participación de oferentes.</w:t>
            </w:r>
          </w:p>
          <w:p w14:paraId="11BB9038" w14:textId="68895F9E" w:rsidR="00200D48" w:rsidRPr="00193A54" w:rsidRDefault="00200D48" w:rsidP="00CB1FFA">
            <w:pPr>
              <w:spacing w:after="120" w:line="276" w:lineRule="auto"/>
              <w:jc w:val="both"/>
              <w:rPr>
                <w:rFonts w:ascii="Verdana" w:eastAsia="Calibri" w:hAnsi="Verdana" w:cs="Arial"/>
              </w:rPr>
            </w:pPr>
            <w:r>
              <w:rPr>
                <w:rFonts w:ascii="Verdana" w:eastAsia="Calibri" w:hAnsi="Verdana" w:cs="Arial"/>
              </w:rPr>
              <w:t xml:space="preserve">        Por lo indicado, e</w:t>
            </w:r>
            <w:r w:rsidRPr="00193A54">
              <w:rPr>
                <w:rFonts w:ascii="Verdana" w:eastAsia="Calibri" w:hAnsi="Verdana" w:cs="Arial"/>
              </w:rPr>
              <w:t xml:space="preserve">n los procesos de selección de contratistas, las entidades pueden establecer los documentos mediante los cuales se acredita </w:t>
            </w:r>
            <w:r w:rsidRPr="00193A54">
              <w:rPr>
                <w:rFonts w:ascii="Verdana" w:eastAsia="Calibri" w:hAnsi="Verdana" w:cs="Arial"/>
              </w:rPr>
              <w:lastRenderedPageBreak/>
              <w:t>la formación académica de los perfiles exigidos, en ejercicio de su autonomía y responsabilidad contractual. Sin embargo, esta determinación debe ser razonable, proporcional y motivada, de manera que no restrinja injustificadamente la pluralidad de oferentes.</w:t>
            </w:r>
          </w:p>
          <w:p w14:paraId="6ABC5EF9" w14:textId="2F0E4F7F" w:rsidR="00200D48" w:rsidRPr="00193A54" w:rsidRDefault="00200D48" w:rsidP="00CB1FFA">
            <w:pPr>
              <w:spacing w:after="120" w:line="276" w:lineRule="auto"/>
              <w:ind w:firstLine="709"/>
              <w:jc w:val="both"/>
              <w:rPr>
                <w:rFonts w:ascii="Verdana" w:eastAsia="Calibri" w:hAnsi="Verdana" w:cs="Arial"/>
              </w:rPr>
            </w:pPr>
            <w:r w:rsidRPr="00193A54">
              <w:rPr>
                <w:rFonts w:ascii="Verdana" w:eastAsia="Calibri" w:hAnsi="Verdana" w:cs="Arial"/>
              </w:rPr>
              <w:t>Por regla general, el diploma, el acta de grado y los certificados académicos son documentos equivalentes o alternativos para acreditar la formación académica, siempre que cumplan con la finalidad de verificar la culminación y aprobación de los estudios exigidos.</w:t>
            </w:r>
          </w:p>
          <w:p w14:paraId="57946C2B" w14:textId="77777777" w:rsidR="00200D48" w:rsidRPr="00960F72" w:rsidRDefault="00200D48" w:rsidP="00CB1FFA">
            <w:pPr>
              <w:spacing w:after="120" w:line="276" w:lineRule="auto"/>
              <w:ind w:firstLine="709"/>
              <w:jc w:val="both"/>
              <w:rPr>
                <w:rFonts w:ascii="Verdana" w:eastAsia="Calibri" w:hAnsi="Verdana" w:cs="Arial"/>
              </w:rPr>
            </w:pPr>
            <w:r w:rsidRPr="00193A54">
              <w:rPr>
                <w:rFonts w:ascii="Verdana" w:eastAsia="Calibri" w:hAnsi="Verdana" w:cs="Arial"/>
              </w:rPr>
              <w:t>En caso de que la entidad considere necesario exigir más de uno de estos documentos, deberá justificarlo expresamente en los estudios previos o en el análisis del sector, en atención a las particularidades del objeto contractual y al principio de proporcionalidad que rige la función contractual pública.</w:t>
            </w:r>
          </w:p>
        </w:tc>
      </w:tr>
    </w:tbl>
    <w:p w14:paraId="3B9593DF" w14:textId="77777777" w:rsidR="00200D48" w:rsidRPr="00960F72" w:rsidRDefault="00200D48" w:rsidP="00200D48">
      <w:pPr>
        <w:tabs>
          <w:tab w:val="left" w:pos="142"/>
          <w:tab w:val="left" w:pos="284"/>
        </w:tabs>
        <w:spacing w:after="0" w:line="276" w:lineRule="auto"/>
        <w:jc w:val="both"/>
        <w:rPr>
          <w:rFonts w:ascii="Verdana" w:eastAsia="Century Gothic" w:hAnsi="Verdana" w:cs="Century Gothic"/>
          <w:b/>
          <w:bCs/>
        </w:rPr>
      </w:pPr>
    </w:p>
    <w:p w14:paraId="7456B896" w14:textId="77777777" w:rsidR="00200D48" w:rsidRPr="00960F72" w:rsidRDefault="00200D48" w:rsidP="00200D4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3DF445E2" w14:textId="77777777" w:rsidR="00200D48" w:rsidRPr="00960F72" w:rsidRDefault="00200D48" w:rsidP="00200D48">
      <w:pPr>
        <w:spacing w:after="0" w:line="276" w:lineRule="auto"/>
        <w:jc w:val="both"/>
        <w:rPr>
          <w:rFonts w:ascii="Verdana" w:eastAsia="Calibri" w:hAnsi="Verdana" w:cs="Arial"/>
        </w:rPr>
      </w:pPr>
    </w:p>
    <w:p w14:paraId="5F29BE73" w14:textId="77777777" w:rsidR="00200D48" w:rsidRPr="00960F72" w:rsidRDefault="00200D48" w:rsidP="00200D48">
      <w:pPr>
        <w:spacing w:after="0" w:line="276" w:lineRule="auto"/>
        <w:jc w:val="both"/>
        <w:rPr>
          <w:rFonts w:ascii="Verdana" w:eastAsia="Calibri" w:hAnsi="Verdana" w:cs="Arial"/>
        </w:rPr>
      </w:pPr>
      <w:r w:rsidRPr="00960F72">
        <w:rPr>
          <w:rFonts w:ascii="Verdana" w:eastAsia="Calibri" w:hAnsi="Verdana" w:cs="Arial"/>
        </w:rPr>
        <w:t xml:space="preserve">Lo anterior se sustenta en las siguientes consideraciones: </w:t>
      </w:r>
    </w:p>
    <w:p w14:paraId="5F7C2954" w14:textId="77777777" w:rsidR="00200D48" w:rsidRPr="00960F72" w:rsidRDefault="00200D48" w:rsidP="00200D48">
      <w:pPr>
        <w:spacing w:after="0" w:line="276" w:lineRule="auto"/>
        <w:jc w:val="both"/>
        <w:rPr>
          <w:rFonts w:ascii="Verdana" w:eastAsia="Calibri" w:hAnsi="Verdana" w:cs="Arial"/>
        </w:rPr>
      </w:pPr>
    </w:p>
    <w:p w14:paraId="394A5668" w14:textId="77777777" w:rsidR="00200D48" w:rsidRPr="00EB1CF7" w:rsidRDefault="00200D48" w:rsidP="00200D48">
      <w:pPr>
        <w:spacing w:after="120" w:line="276" w:lineRule="auto"/>
        <w:jc w:val="both"/>
        <w:rPr>
          <w:rFonts w:ascii="Verdana" w:eastAsia="Calibri" w:hAnsi="Verdana" w:cs="Arial"/>
          <w:color w:val="000000" w:themeColor="text1"/>
          <w:lang w:val="es-ES_tradnl"/>
        </w:rPr>
      </w:pPr>
      <w:r w:rsidRPr="00EB1CF7">
        <w:rPr>
          <w:rFonts w:ascii="Verdana" w:eastAsia="Calibri" w:hAnsi="Verdana" w:cs="Arial"/>
          <w:color w:val="000000" w:themeColor="text1"/>
          <w:lang w:val="es-ES_tradnl"/>
        </w:rPr>
        <w:t xml:space="preserve">Los </w:t>
      </w:r>
      <w:r w:rsidRPr="00EB1CF7">
        <w:rPr>
          <w:rFonts w:ascii="Verdana" w:eastAsia="Calibri" w:hAnsi="Verdana" w:cs="Arial"/>
          <w:i/>
          <w:iCs/>
          <w:color w:val="000000" w:themeColor="text1"/>
          <w:lang w:val="es-ES_tradnl"/>
        </w:rPr>
        <w:t>requisitos habilitantes</w:t>
      </w:r>
      <w:r w:rsidRPr="00EB1CF7">
        <w:rPr>
          <w:rFonts w:ascii="Verdana" w:eastAsia="Calibri" w:hAnsi="Verdana" w:cs="Arial"/>
          <w:color w:val="000000" w:themeColor="text1"/>
          <w:lang w:val="es-ES_tradnl"/>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 Se diferencian de los </w:t>
      </w:r>
      <w:r w:rsidRPr="00EB1CF7">
        <w:rPr>
          <w:rFonts w:ascii="Verdana" w:eastAsia="Calibri" w:hAnsi="Verdana" w:cs="Arial"/>
          <w:i/>
          <w:iCs/>
          <w:color w:val="000000" w:themeColor="text1"/>
          <w:lang w:val="es-ES_tradnl"/>
        </w:rPr>
        <w:t>criterios de evaluación</w:t>
      </w:r>
      <w:r w:rsidRPr="00EB1CF7">
        <w:rPr>
          <w:rFonts w:ascii="Verdana" w:eastAsia="Calibri" w:hAnsi="Verdana" w:cs="Arial"/>
          <w:color w:val="000000" w:themeColor="text1"/>
          <w:lang w:val="es-ES_tradnl"/>
        </w:rPr>
        <w:t xml:space="preserve"> –también conocidos como </w:t>
      </w:r>
      <w:r w:rsidRPr="00EB1CF7">
        <w:rPr>
          <w:rFonts w:ascii="Verdana" w:eastAsia="Calibri" w:hAnsi="Verdana" w:cs="Arial"/>
          <w:i/>
          <w:iCs/>
          <w:color w:val="000000" w:themeColor="text1"/>
          <w:lang w:val="es-ES_tradnl"/>
        </w:rPr>
        <w:t>criterios de calificación</w:t>
      </w:r>
      <w:r w:rsidRPr="00EB1CF7">
        <w:rPr>
          <w:rFonts w:ascii="Verdana" w:eastAsia="Calibri" w:hAnsi="Verdana" w:cs="Arial"/>
          <w:color w:val="000000" w:themeColor="text1"/>
          <w:lang w:val="es-ES_tradnl"/>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73E193EB" w14:textId="77777777" w:rsidR="00200D48" w:rsidRPr="00EB1CF7" w:rsidRDefault="00200D48" w:rsidP="00200D48">
      <w:pPr>
        <w:spacing w:after="120" w:line="276" w:lineRule="auto"/>
        <w:ind w:firstLine="708"/>
        <w:jc w:val="both"/>
        <w:rPr>
          <w:rFonts w:ascii="Verdana" w:eastAsia="Calibri" w:hAnsi="Verdana" w:cs="Arial"/>
          <w:color w:val="000000" w:themeColor="text1"/>
          <w:lang w:val="es-ES"/>
        </w:rPr>
      </w:pPr>
      <w:r w:rsidRPr="2EF6D084">
        <w:rPr>
          <w:rFonts w:ascii="Verdana" w:eastAsia="Calibri" w:hAnsi="Verdana" w:cs="Arial"/>
          <w:color w:val="000000" w:themeColor="text1"/>
          <w:lang w:val="es-ES"/>
        </w:rPr>
        <w:t>A partir de lo dicho se deduce entonces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defectos que se presenten en la prueba de tales requisitos, de conformidad con el artículo 5, parágrafos 1º al 4º, de la Ley 1150 de 2007.</w:t>
      </w:r>
    </w:p>
    <w:p w14:paraId="2FF48ACB" w14:textId="77777777" w:rsidR="00200D48" w:rsidRDefault="00200D48" w:rsidP="00E707B8">
      <w:pPr>
        <w:spacing w:before="120" w:after="0" w:line="276" w:lineRule="auto"/>
        <w:ind w:firstLine="709"/>
        <w:jc w:val="both"/>
        <w:rPr>
          <w:rFonts w:ascii="Verdana" w:eastAsia="Calibri" w:hAnsi="Verdana" w:cs="Arial"/>
          <w:color w:val="000000" w:themeColor="text1"/>
          <w:lang w:val="es-ES"/>
        </w:rPr>
      </w:pPr>
      <w:r w:rsidRPr="2EF6D084">
        <w:rPr>
          <w:rFonts w:ascii="Verdana" w:eastAsia="Calibri" w:hAnsi="Verdana" w:cs="Arial"/>
          <w:color w:val="000000" w:themeColor="text1"/>
          <w:lang w:val="es-ES"/>
        </w:rPr>
        <w:lastRenderedPageBreak/>
        <w:t xml:space="preserve">El mencionado artículo dispone que se considera </w:t>
      </w:r>
      <w:r w:rsidRPr="2EF6D084">
        <w:rPr>
          <w:rFonts w:ascii="Verdana" w:eastAsia="Calibri" w:hAnsi="Verdana" w:cs="Arial"/>
          <w:i/>
          <w:color w:val="000000" w:themeColor="text1"/>
          <w:lang w:val="es-ES"/>
        </w:rPr>
        <w:t>“</w:t>
      </w:r>
      <w:r w:rsidRPr="2EF6D084">
        <w:rPr>
          <w:rFonts w:ascii="Verdana" w:eastAsia="Calibri" w:hAnsi="Verdana" w:cs="Arial"/>
          <w:color w:val="000000" w:themeColor="text1"/>
          <w:lang w:val="es-ES"/>
        </w:rPr>
        <w:t>objetiva la selección en la cual la escogencia se haga al ofrecimiento más favorable a la entidad y a los fines que ella busca, sin tener en consideración factores de afecto o de interés y, en general, cualquier clase de motivación subjetiva</w:t>
      </w:r>
      <w:r w:rsidRPr="2EF6D084">
        <w:rPr>
          <w:rFonts w:ascii="Verdana" w:eastAsia="Calibri" w:hAnsi="Verdana" w:cs="Arial"/>
          <w:i/>
          <w:color w:val="000000" w:themeColor="text1"/>
          <w:lang w:val="es-ES"/>
        </w:rPr>
        <w:t>”</w:t>
      </w:r>
      <w:r w:rsidRPr="2EF6D084">
        <w:rPr>
          <w:rFonts w:ascii="Verdana" w:eastAsia="Calibri" w:hAnsi="Verdana" w:cs="Arial"/>
          <w:color w:val="000000" w:themeColor="text1"/>
          <w:lang w:val="es-ES"/>
        </w:rPr>
        <w:t xml:space="preserve">. De este modo, los factores de escogencia y calificación que establezcan las entidades en los pliegos de condiciones o sus documentos equivalentes deberán tener en cuenta, entre otras cuestiones, los criterios establecidos en dicha disposición. Específicamente, el numeral 1º del artículo referido establece que en los procesos de selección de contratistas serán objeto de verificación, como requisitos habilitantes, </w:t>
      </w:r>
      <w:r w:rsidRPr="2EF6D084">
        <w:rPr>
          <w:rFonts w:ascii="Verdana" w:eastAsia="Calibri" w:hAnsi="Verdana" w:cs="Arial"/>
          <w:i/>
          <w:color w:val="000000" w:themeColor="text1"/>
          <w:lang w:val="es-ES"/>
        </w:rPr>
        <w:t>entre otros</w:t>
      </w:r>
      <w:r w:rsidRPr="2EF6D084">
        <w:rPr>
          <w:rFonts w:ascii="Verdana" w:eastAsia="Calibri" w:hAnsi="Verdana" w:cs="Arial"/>
          <w:color w:val="000000" w:themeColor="text1"/>
          <w:lang w:val="es-ES"/>
        </w:rPr>
        <w:t xml:space="preserve">, los siguientes: i) la capacidad jurídica; </w:t>
      </w:r>
      <w:proofErr w:type="spellStart"/>
      <w:r w:rsidRPr="2EF6D084">
        <w:rPr>
          <w:rFonts w:ascii="Verdana" w:eastAsia="Calibri" w:hAnsi="Verdana" w:cs="Arial"/>
          <w:color w:val="000000" w:themeColor="text1"/>
          <w:lang w:val="es-ES"/>
        </w:rPr>
        <w:t>ii</w:t>
      </w:r>
      <w:proofErr w:type="spellEnd"/>
      <w:r w:rsidRPr="2EF6D084">
        <w:rPr>
          <w:rFonts w:ascii="Verdana" w:eastAsia="Calibri" w:hAnsi="Verdana" w:cs="Arial"/>
          <w:color w:val="000000" w:themeColor="text1"/>
          <w:lang w:val="es-ES"/>
        </w:rPr>
        <w:t xml:space="preserve">) la experiencia; </w:t>
      </w:r>
      <w:proofErr w:type="spellStart"/>
      <w:r w:rsidRPr="2EF6D084">
        <w:rPr>
          <w:rFonts w:ascii="Verdana" w:eastAsia="Calibri" w:hAnsi="Verdana" w:cs="Arial"/>
          <w:color w:val="000000" w:themeColor="text1"/>
          <w:lang w:val="es-ES"/>
        </w:rPr>
        <w:t>iii</w:t>
      </w:r>
      <w:proofErr w:type="spellEnd"/>
      <w:r w:rsidRPr="2EF6D084">
        <w:rPr>
          <w:rFonts w:ascii="Verdana" w:eastAsia="Calibri" w:hAnsi="Verdana" w:cs="Arial"/>
          <w:color w:val="000000" w:themeColor="text1"/>
          <w:lang w:val="es-ES"/>
        </w:rPr>
        <w:t xml:space="preserve">) la capacidad financiera y </w:t>
      </w:r>
      <w:proofErr w:type="spellStart"/>
      <w:r w:rsidRPr="2EF6D084">
        <w:rPr>
          <w:rFonts w:ascii="Verdana" w:eastAsia="Calibri" w:hAnsi="Verdana" w:cs="Arial"/>
          <w:color w:val="000000" w:themeColor="text1"/>
          <w:lang w:val="es-ES"/>
        </w:rPr>
        <w:t>iv</w:t>
      </w:r>
      <w:proofErr w:type="spellEnd"/>
      <w:r w:rsidRPr="2EF6D084">
        <w:rPr>
          <w:rFonts w:ascii="Verdana" w:eastAsia="Calibri" w:hAnsi="Verdana" w:cs="Arial"/>
          <w:color w:val="000000" w:themeColor="text1"/>
          <w:lang w:val="es-ES"/>
        </w:rPr>
        <w:t xml:space="preserve">) la capacidad de organización. En efecto, la normativa citada dispone: </w:t>
      </w:r>
    </w:p>
    <w:p w14:paraId="40D730AB" w14:textId="77777777" w:rsidR="00E707B8" w:rsidRPr="00F61C7A" w:rsidRDefault="00E707B8" w:rsidP="00CB1FFA">
      <w:pPr>
        <w:spacing w:after="0" w:line="276" w:lineRule="auto"/>
        <w:ind w:firstLine="709"/>
        <w:jc w:val="both"/>
        <w:rPr>
          <w:rFonts w:ascii="Verdana" w:eastAsia="Calibri" w:hAnsi="Verdana" w:cs="Arial"/>
          <w:color w:val="000000" w:themeColor="text1"/>
          <w:lang w:val="es-ES"/>
        </w:rPr>
      </w:pPr>
    </w:p>
    <w:p w14:paraId="537D614A" w14:textId="77777777" w:rsidR="00200D48" w:rsidRPr="00CB1FFA" w:rsidRDefault="00200D48" w:rsidP="00CB1FFA">
      <w:pPr>
        <w:spacing w:after="0" w:line="240" w:lineRule="auto"/>
        <w:ind w:left="709" w:right="709"/>
        <w:jc w:val="both"/>
        <w:rPr>
          <w:rFonts w:ascii="Verdana" w:eastAsia="Calibri" w:hAnsi="Verdana" w:cs="Arial"/>
          <w:color w:val="000000" w:themeColor="text1"/>
          <w:sz w:val="20"/>
          <w:szCs w:val="20"/>
          <w:lang w:val="es-ES_tradnl"/>
        </w:rPr>
      </w:pPr>
      <w:r w:rsidRPr="00CB1FFA">
        <w:rPr>
          <w:rFonts w:ascii="Verdana" w:eastAsia="Calibri" w:hAnsi="Verdana" w:cs="Arial"/>
          <w:color w:val="000000" w:themeColor="text1"/>
          <w:sz w:val="20"/>
          <w:szCs w:val="20"/>
          <w:lang w:val="es-ES_tradnl"/>
        </w:rPr>
        <w:t xml:space="preserve">“Artículo 5. De la Selección Objetiva. </w:t>
      </w:r>
    </w:p>
    <w:p w14:paraId="0C0A4208" w14:textId="77777777" w:rsidR="00200D48" w:rsidRPr="00CB1FFA" w:rsidRDefault="00200D48" w:rsidP="00CB1FFA">
      <w:pPr>
        <w:spacing w:after="0" w:line="240" w:lineRule="auto"/>
        <w:ind w:left="709" w:right="709"/>
        <w:jc w:val="both"/>
        <w:rPr>
          <w:rFonts w:ascii="Verdana" w:eastAsia="Calibri" w:hAnsi="Verdana" w:cs="Arial"/>
          <w:color w:val="000000" w:themeColor="text1"/>
          <w:sz w:val="20"/>
          <w:szCs w:val="20"/>
          <w:lang w:val="es-ES_tradnl"/>
        </w:rPr>
      </w:pPr>
      <w:r w:rsidRPr="00CB1FFA">
        <w:rPr>
          <w:rFonts w:ascii="Verdana" w:eastAsia="Calibri" w:hAnsi="Verdana" w:cs="Arial"/>
          <w:color w:val="000000" w:themeColor="text1"/>
          <w:sz w:val="20"/>
          <w:szCs w:val="20"/>
          <w:lang w:val="es-ES_tradnl"/>
        </w:rPr>
        <w:t>[…]</w:t>
      </w:r>
    </w:p>
    <w:p w14:paraId="0093E0D6" w14:textId="77777777" w:rsidR="00200D48" w:rsidRDefault="00200D48" w:rsidP="00E707B8">
      <w:pPr>
        <w:spacing w:after="0" w:line="240" w:lineRule="auto"/>
        <w:ind w:left="709" w:right="709"/>
        <w:jc w:val="both"/>
        <w:rPr>
          <w:rFonts w:ascii="Verdana" w:eastAsia="Calibri" w:hAnsi="Verdana" w:cs="Arial"/>
          <w:color w:val="000000" w:themeColor="text1"/>
          <w:sz w:val="20"/>
          <w:szCs w:val="20"/>
          <w:lang w:val="es-ES"/>
        </w:rPr>
      </w:pPr>
      <w:r w:rsidRPr="00CB1FFA">
        <w:rPr>
          <w:rFonts w:ascii="Verdana" w:eastAsia="Calibri" w:hAnsi="Verdana" w:cs="Arial"/>
          <w:color w:val="000000" w:themeColor="text1"/>
          <w:sz w:val="20"/>
          <w:szCs w:val="20"/>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 […]”.</w:t>
      </w:r>
    </w:p>
    <w:p w14:paraId="4AA53558" w14:textId="77777777" w:rsidR="00E707B8" w:rsidRPr="00CB1FFA" w:rsidRDefault="00E707B8" w:rsidP="00CB1FFA">
      <w:pPr>
        <w:spacing w:after="0" w:line="276" w:lineRule="auto"/>
        <w:ind w:left="709" w:right="709"/>
        <w:jc w:val="both"/>
        <w:rPr>
          <w:rFonts w:ascii="Verdana" w:eastAsia="Calibri" w:hAnsi="Verdana" w:cs="Arial"/>
          <w:color w:val="000000" w:themeColor="text1"/>
          <w:lang w:val="es-ES"/>
        </w:rPr>
      </w:pPr>
    </w:p>
    <w:p w14:paraId="4425207F" w14:textId="77777777" w:rsidR="00200D48" w:rsidRDefault="00200D48" w:rsidP="00CB1FFA">
      <w:pPr>
        <w:spacing w:after="120"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 xml:space="preserve">Conforme lo ha sostenido esta Agencia en distintos conceptos, </w:t>
      </w:r>
      <w:r w:rsidRPr="006D2F09">
        <w:rPr>
          <w:rFonts w:ascii="Verdana" w:eastAsia="Calibri" w:hAnsi="Verdana" w:cs="Arial"/>
          <w:color w:val="000000" w:themeColor="text1"/>
          <w:lang w:val="es-ES_tradnl"/>
        </w:rPr>
        <w:t>los requisitos habilitantes establecidos en el artículo 5, numeral 1, de la Ley 1150 de 2007</w:t>
      </w:r>
      <w:r>
        <w:rPr>
          <w:rFonts w:ascii="Verdana" w:eastAsia="Calibri" w:hAnsi="Verdana" w:cs="Arial"/>
          <w:color w:val="000000" w:themeColor="text1"/>
          <w:lang w:val="es-ES_tradnl"/>
        </w:rPr>
        <w:t xml:space="preserve"> son de carácter enunciativos y no taxativos. Esta interpretación legal se resume en los siguientes argumentos: E</w:t>
      </w:r>
      <w:r w:rsidRPr="007577B1">
        <w:rPr>
          <w:rFonts w:ascii="Verdana" w:eastAsia="Calibri" w:hAnsi="Verdana" w:cs="Arial"/>
          <w:color w:val="000000" w:themeColor="text1"/>
          <w:lang w:val="es-ES_tradnl"/>
        </w:rPr>
        <w:t>sta</w:t>
      </w:r>
      <w:r>
        <w:rPr>
          <w:rFonts w:ascii="Verdana" w:eastAsia="Calibri" w:hAnsi="Verdana" w:cs="Arial"/>
          <w:color w:val="000000" w:themeColor="text1"/>
          <w:lang w:val="es-ES_tradnl"/>
        </w:rPr>
        <w:t xml:space="preserve"> norma</w:t>
      </w:r>
      <w:r w:rsidRPr="007577B1">
        <w:rPr>
          <w:rFonts w:ascii="Verdana" w:eastAsia="Calibri" w:hAnsi="Verdana" w:cs="Arial"/>
          <w:color w:val="000000" w:themeColor="text1"/>
          <w:lang w:val="es-ES_tradnl"/>
        </w:rPr>
        <w:t xml:space="preserve"> no contiene una expresión como “únicamente” o “solo”, al referirse a los requisitos habilitantes y, además, debido a que la lectura integral de las normas que regulan la contratación estatal permite concluir que existen otras condiciones que deben cumplirse para la contratación con una entidad pública, como pasa, por ejemplo, con la capacidad residual a la que se refiere el artículo 6º, parágrafo 1, de la Ley 1150 de 2007</w:t>
      </w:r>
      <w:r>
        <w:rPr>
          <w:rStyle w:val="Refdenotaalpie"/>
          <w:rFonts w:ascii="Verdana" w:eastAsia="Calibri" w:hAnsi="Verdana" w:cs="Arial"/>
          <w:color w:val="000000" w:themeColor="text1"/>
          <w:lang w:val="es-ES_tradnl"/>
        </w:rPr>
        <w:footnoteReference w:id="2"/>
      </w:r>
      <w:r w:rsidRPr="007577B1">
        <w:rPr>
          <w:rFonts w:ascii="Verdana" w:eastAsia="Calibri" w:hAnsi="Verdana" w:cs="Arial"/>
          <w:color w:val="000000" w:themeColor="text1"/>
          <w:lang w:val="es-ES_tradnl"/>
        </w:rPr>
        <w:t>.</w:t>
      </w:r>
    </w:p>
    <w:p w14:paraId="5F5C8F2A" w14:textId="77777777" w:rsidR="00200D48" w:rsidRDefault="00200D48" w:rsidP="00CB1FFA">
      <w:pPr>
        <w:spacing w:after="120"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lastRenderedPageBreak/>
        <w:t>Además, l</w:t>
      </w:r>
      <w:r w:rsidRPr="008F51FF">
        <w:rPr>
          <w:rFonts w:ascii="Verdana" w:eastAsia="Calibri" w:hAnsi="Verdana" w:cs="Arial"/>
          <w:color w:val="000000" w:themeColor="text1"/>
          <w:lang w:val="es-ES_tradnl"/>
        </w:rPr>
        <w:t>a intención del legislador, de la cual dan cuenta los antecedentes legislativos de la norma sub examine</w:t>
      </w:r>
      <w:r>
        <w:rPr>
          <w:rStyle w:val="Refdenotaalpie"/>
          <w:rFonts w:ascii="Verdana" w:eastAsia="Calibri" w:hAnsi="Verdana" w:cs="Arial"/>
          <w:color w:val="000000" w:themeColor="text1"/>
          <w:lang w:val="es-ES_tradnl"/>
        </w:rPr>
        <w:footnoteReference w:id="3"/>
      </w:r>
      <w:r w:rsidRPr="008F51FF">
        <w:rPr>
          <w:rFonts w:ascii="Verdana" w:eastAsia="Calibri" w:hAnsi="Verdana" w:cs="Arial"/>
          <w:color w:val="000000" w:themeColor="text1"/>
          <w:lang w:val="es-ES_tradnl"/>
        </w:rPr>
        <w:t>, también justifica la interpretación propuesta por esta Agencia, ya que fue hasta el cuarto debate legislativo en donde se incluyó</w:t>
      </w:r>
      <w:r>
        <w:rPr>
          <w:rFonts w:ascii="Verdana" w:eastAsia="Calibri" w:hAnsi="Verdana" w:cs="Arial"/>
          <w:color w:val="000000" w:themeColor="text1"/>
          <w:lang w:val="es-ES_tradnl"/>
        </w:rPr>
        <w:t xml:space="preserve"> </w:t>
      </w:r>
      <w:r w:rsidRPr="009B2760">
        <w:rPr>
          <w:rFonts w:ascii="Verdana" w:eastAsia="Calibri" w:hAnsi="Verdana" w:cs="Arial"/>
          <w:color w:val="000000" w:themeColor="text1"/>
          <w:lang w:val="es-ES_tradnl"/>
        </w:rPr>
        <w:t>parágrafo 2 del mismo artículo 5 de la Ley 1150 de 2007</w:t>
      </w:r>
      <w:r>
        <w:rPr>
          <w:rStyle w:val="Refdenotaalpie"/>
          <w:rFonts w:ascii="Verdana" w:eastAsia="Calibri" w:hAnsi="Verdana" w:cs="Arial"/>
          <w:color w:val="000000" w:themeColor="text1"/>
          <w:lang w:val="es-ES_tradnl"/>
        </w:rPr>
        <w:footnoteReference w:id="4"/>
      </w:r>
      <w:r>
        <w:rPr>
          <w:rFonts w:ascii="Verdana" w:eastAsia="Calibri" w:hAnsi="Verdana" w:cs="Arial"/>
          <w:color w:val="000000" w:themeColor="text1"/>
          <w:lang w:val="es-ES_tradnl"/>
        </w:rPr>
        <w:t xml:space="preserve">, </w:t>
      </w:r>
      <w:r w:rsidRPr="008F51FF">
        <w:rPr>
          <w:rFonts w:ascii="Verdana" w:eastAsia="Calibri" w:hAnsi="Verdana" w:cs="Arial"/>
          <w:color w:val="000000" w:themeColor="text1"/>
          <w:lang w:val="es-ES_tradnl"/>
        </w:rPr>
        <w:t xml:space="preserve">lo que deja ver la necesidad que tenía el Congreso de aclarar que unos documentos no podrían ser tenidos como requisitos habilitantes, lo que </w:t>
      </w:r>
      <w:r>
        <w:rPr>
          <w:rFonts w:ascii="Verdana" w:eastAsia="Calibri" w:hAnsi="Verdana" w:cs="Arial"/>
          <w:color w:val="000000" w:themeColor="text1"/>
          <w:lang w:val="es-ES_tradnl"/>
        </w:rPr>
        <w:t xml:space="preserve">asimismo evidencia </w:t>
      </w:r>
      <w:r w:rsidRPr="008F51FF">
        <w:rPr>
          <w:rFonts w:ascii="Verdana" w:eastAsia="Calibri" w:hAnsi="Verdana" w:cs="Arial"/>
          <w:color w:val="000000" w:themeColor="text1"/>
          <w:lang w:val="es-ES_tradnl"/>
        </w:rPr>
        <w:t xml:space="preserve">el reconocimiento tácito de la existencia de otros requisitos habilitantes, distintos a los cuatro que establece el artículo 5, </w:t>
      </w:r>
      <w:r>
        <w:rPr>
          <w:rFonts w:ascii="Verdana" w:eastAsia="Calibri" w:hAnsi="Verdana" w:cs="Arial"/>
          <w:color w:val="000000" w:themeColor="text1"/>
          <w:lang w:val="es-ES_tradnl"/>
        </w:rPr>
        <w:t xml:space="preserve">numeral </w:t>
      </w:r>
      <w:r w:rsidRPr="008F51FF">
        <w:rPr>
          <w:rFonts w:ascii="Verdana" w:eastAsia="Calibri" w:hAnsi="Verdana" w:cs="Arial"/>
          <w:color w:val="000000" w:themeColor="text1"/>
          <w:lang w:val="es-ES_tradnl"/>
        </w:rPr>
        <w:t>1, de la Ley 1150 de 2007</w:t>
      </w:r>
      <w:r>
        <w:rPr>
          <w:rStyle w:val="Refdenotaalpie"/>
          <w:rFonts w:ascii="Verdana" w:eastAsia="Calibri" w:hAnsi="Verdana" w:cs="Arial"/>
          <w:color w:val="000000" w:themeColor="text1"/>
          <w:lang w:val="es-ES_tradnl"/>
        </w:rPr>
        <w:footnoteReference w:id="5"/>
      </w:r>
      <w:r>
        <w:rPr>
          <w:rFonts w:ascii="Verdana" w:eastAsia="Calibri" w:hAnsi="Verdana" w:cs="Arial"/>
          <w:color w:val="000000" w:themeColor="text1"/>
          <w:lang w:val="es-ES_tradnl"/>
        </w:rPr>
        <w:t xml:space="preserve">. </w:t>
      </w:r>
    </w:p>
    <w:p w14:paraId="7CED1A31" w14:textId="77777777" w:rsidR="00200D48" w:rsidRPr="009616D4" w:rsidRDefault="00200D48" w:rsidP="00CB1FFA">
      <w:pPr>
        <w:spacing w:after="120"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Por último, e</w:t>
      </w:r>
      <w:r w:rsidRPr="00FF0CF5">
        <w:rPr>
          <w:rFonts w:ascii="Verdana" w:eastAsia="Calibri" w:hAnsi="Verdana" w:cs="Arial"/>
          <w:color w:val="000000" w:themeColor="text1"/>
          <w:lang w:val="es-ES_tradnl"/>
        </w:rPr>
        <w:t xml:space="preserve">n el “Manual para determinar y verificar los requisitos habilitantes en los Procesos de Contratación” expedido por esta Agencia, </w:t>
      </w:r>
      <w:r>
        <w:rPr>
          <w:rFonts w:ascii="Verdana" w:eastAsia="Calibri" w:hAnsi="Verdana" w:cs="Arial"/>
          <w:color w:val="000000" w:themeColor="text1"/>
          <w:lang w:val="es-ES_tradnl"/>
        </w:rPr>
        <w:t xml:space="preserve">en el cual </w:t>
      </w:r>
      <w:r w:rsidRPr="00FF0CF5">
        <w:rPr>
          <w:rFonts w:ascii="Verdana" w:eastAsia="Calibri" w:hAnsi="Verdana" w:cs="Arial"/>
          <w:color w:val="000000" w:themeColor="text1"/>
          <w:lang w:val="es-ES_tradnl"/>
        </w:rPr>
        <w:t>se determinaron los parámetros para establecer, acreditar y subsanar los requisitos habilitantes estudiados en los párrafos precedentes</w:t>
      </w:r>
      <w:r>
        <w:rPr>
          <w:rFonts w:ascii="Verdana" w:eastAsia="Calibri" w:hAnsi="Verdana" w:cs="Arial"/>
          <w:color w:val="000000" w:themeColor="text1"/>
          <w:lang w:val="es-ES_tradnl"/>
        </w:rPr>
        <w:t xml:space="preserve">, se indica que su </w:t>
      </w:r>
      <w:r w:rsidRPr="00FF0CF5">
        <w:rPr>
          <w:rFonts w:ascii="Verdana" w:eastAsia="Calibri" w:hAnsi="Verdana" w:cs="Arial"/>
          <w:color w:val="000000" w:themeColor="text1"/>
          <w:lang w:val="es-ES_tradnl"/>
        </w:rPr>
        <w:t xml:space="preserve">propósito consiste en “establecer unas condiciones mínimas para los </w:t>
      </w:r>
      <w:r w:rsidRPr="00FF0CF5">
        <w:rPr>
          <w:rFonts w:ascii="Verdana" w:eastAsia="Calibri" w:hAnsi="Verdana" w:cs="Arial"/>
          <w:color w:val="000000" w:themeColor="text1"/>
          <w:lang w:val="es-ES_tradnl"/>
        </w:rPr>
        <w:lastRenderedPageBreak/>
        <w:t>proponentes de tal manera que la Entidad Estatal sólo evalúe las ofertas de aquellos que están en condiciones de cumplir con el objeto del Proceso de Contratación”. En otras palabras, al tratarse de condiciones mínimas, significa que las entidades podrían establecer otras, según su autonomía de la voluntad, y teniendo en cuenta el objeto del contrato, los riesgos detectados en los estudios previos, el presupuesto oficial, entre otros factores.</w:t>
      </w:r>
    </w:p>
    <w:p w14:paraId="2F12C522" w14:textId="77777777" w:rsidR="00200D48" w:rsidRDefault="00200D48" w:rsidP="00CB1FFA">
      <w:pPr>
        <w:widowControl w:val="0"/>
        <w:autoSpaceDE w:val="0"/>
        <w:autoSpaceDN w:val="0"/>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En consecuencia, </w:t>
      </w:r>
      <w:r w:rsidRPr="009616D4">
        <w:rPr>
          <w:rFonts w:ascii="Verdana" w:eastAsia="Calibri" w:hAnsi="Verdana" w:cs="Arial"/>
          <w:color w:val="000000" w:themeColor="text1"/>
        </w:rPr>
        <w:t xml:space="preserve">corresponde a las entidades estatales, durante la etapa de planeación del contrato estatal, estudiar y determinar los requisitos habilitantes que establecerán en los pliegos de condiciones, los cuales deben fijarse de forma adecuada y proporcional. Esto último, según se deriva de la lectura del artículo 2.2.1.1.1.6.2 del Decreto 1082 de 2015, debe hacerse de acuerdo </w:t>
      </w:r>
      <w:bookmarkStart w:id="0" w:name="_Hlk182863897"/>
      <w:r w:rsidRPr="009616D4">
        <w:rPr>
          <w:rFonts w:ascii="Verdana" w:eastAsia="Calibri" w:hAnsi="Verdana" w:cs="Arial"/>
          <w:color w:val="000000" w:themeColor="text1"/>
        </w:rPr>
        <w:t>con la naturaleza, el valor del contrato, la forma de pago, los riesgos asociados al contrato, el plazo y la complejidad de ejecución del objeto</w:t>
      </w:r>
      <w:r>
        <w:rPr>
          <w:rStyle w:val="Refdenotaalpie"/>
          <w:rFonts w:ascii="Verdana" w:eastAsia="Calibri" w:hAnsi="Verdana" w:cs="Arial"/>
          <w:color w:val="000000" w:themeColor="text1"/>
        </w:rPr>
        <w:footnoteReference w:id="6"/>
      </w:r>
      <w:r w:rsidRPr="009616D4">
        <w:rPr>
          <w:rFonts w:ascii="Verdana" w:eastAsia="Calibri" w:hAnsi="Verdana" w:cs="Arial"/>
          <w:color w:val="000000" w:themeColor="text1"/>
        </w:rPr>
        <w:t>.</w:t>
      </w:r>
      <w:bookmarkEnd w:id="0"/>
    </w:p>
    <w:p w14:paraId="7E218296" w14:textId="77777777" w:rsidR="00200D48" w:rsidRPr="009616D4" w:rsidRDefault="00200D48" w:rsidP="00CB1FFA">
      <w:pPr>
        <w:widowControl w:val="0"/>
        <w:autoSpaceDE w:val="0"/>
        <w:autoSpaceDN w:val="0"/>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De esta manera,</w:t>
      </w:r>
      <w:r w:rsidRPr="009616D4">
        <w:rPr>
          <w:rFonts w:ascii="Verdana" w:eastAsia="Calibri" w:hAnsi="Verdana" w:cs="Arial"/>
          <w:color w:val="000000" w:themeColor="text1"/>
        </w:rPr>
        <w:t xml:space="preserve"> la facultad de establecer los requisitos habilitantes no puede ejercerse de forma arbitraria, caprichosa y, mucho menos, con el ánimo de direccionar el proceso de contratación o favorecer a alguno de los proponentes, así como tampoco puede ejercerse desconociendo límites legales, como, por ejemplo, el que estable el artículo 5, parágrafo 2, de la Ley 1150 de 2007, relacionado con la prohibición de exigir certificaciones de sistemas de gestión de calidad como requisito habilitante. </w:t>
      </w:r>
    </w:p>
    <w:p w14:paraId="669BC181" w14:textId="77777777" w:rsidR="00200D48" w:rsidRPr="009616D4" w:rsidRDefault="00200D48" w:rsidP="00CB1FFA">
      <w:pPr>
        <w:widowControl w:val="0"/>
        <w:autoSpaceDE w:val="0"/>
        <w:autoSpaceDN w:val="0"/>
        <w:spacing w:after="120" w:line="276" w:lineRule="auto"/>
        <w:ind w:firstLine="709"/>
        <w:jc w:val="both"/>
        <w:rPr>
          <w:rFonts w:ascii="Verdana" w:eastAsia="Calibri" w:hAnsi="Verdana" w:cs="Arial"/>
          <w:color w:val="000000" w:themeColor="text1"/>
        </w:rPr>
      </w:pPr>
      <w:r w:rsidRPr="009616D4">
        <w:rPr>
          <w:rFonts w:ascii="Verdana" w:eastAsia="Calibri" w:hAnsi="Verdana" w:cs="Arial"/>
          <w:color w:val="000000" w:themeColor="text1"/>
        </w:rPr>
        <w:t>Al respecto, en la Sentencia C-004 de 2017, la Corte Constitucional señaló que “[l]a determinación de dichas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p>
    <w:p w14:paraId="005B6C60" w14:textId="77777777" w:rsidR="00200D48" w:rsidRDefault="00200D48" w:rsidP="00CB1FFA">
      <w:pPr>
        <w:widowControl w:val="0"/>
        <w:autoSpaceDE w:val="0"/>
        <w:autoSpaceDN w:val="0"/>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En este sentido, e</w:t>
      </w:r>
      <w:r w:rsidRPr="009616D4">
        <w:rPr>
          <w:rFonts w:ascii="Verdana" w:eastAsia="Calibri" w:hAnsi="Verdana" w:cs="Arial"/>
          <w:color w:val="000000" w:themeColor="text1"/>
        </w:rPr>
        <w:t xml:space="preserve">l principio de autonomía de la voluntad, reconocido en los artículos 13, 32 y 40 de la Ley 80 de 1993 para las entidades sometidas a esta, y en el artículo 1602 del Código Civil, para las exceptuadas de aquella, actúa entonces como el fundamento normativo que otorga a las entidades estatales competencia para que puedan solicitar requisitos habilitantes </w:t>
      </w:r>
      <w:r w:rsidRPr="009616D4">
        <w:rPr>
          <w:rFonts w:ascii="Verdana" w:eastAsia="Calibri" w:hAnsi="Verdana" w:cs="Arial"/>
          <w:color w:val="000000" w:themeColor="text1"/>
        </w:rPr>
        <w:lastRenderedPageBreak/>
        <w:t xml:space="preserve">adicionales o diferentes a los establecidos en el numeral 1º del artículo 5 de la Ley 1150 de 2007. En realidad, lo que este numeral establece es una limitación a la discrecionalidad administrativa para la estipulación de los requisitos de participación, bajo la óptica de que, si se incluyen los que aquel prevé, por regla general, no otorgan puntaje; pero tal enunciado no ha de interpretarse en el sentido de que las entidades solo pueden exigir, única y exclusivamente, dichos requisitos habilitantes. </w:t>
      </w:r>
    </w:p>
    <w:p w14:paraId="4E5951AD" w14:textId="77777777" w:rsidR="00200D48" w:rsidRPr="009616D4" w:rsidRDefault="00200D48" w:rsidP="00CB1FFA">
      <w:pPr>
        <w:widowControl w:val="0"/>
        <w:autoSpaceDE w:val="0"/>
        <w:autoSpaceDN w:val="0"/>
        <w:spacing w:after="120" w:line="276" w:lineRule="auto"/>
        <w:ind w:firstLine="709"/>
        <w:jc w:val="both"/>
        <w:rPr>
          <w:rFonts w:ascii="Verdana" w:eastAsia="Calibri" w:hAnsi="Verdana" w:cs="Arial"/>
          <w:color w:val="000000" w:themeColor="text1"/>
        </w:rPr>
      </w:pPr>
      <w:r w:rsidRPr="009616D4">
        <w:rPr>
          <w:rFonts w:ascii="Verdana" w:eastAsia="Calibri" w:hAnsi="Verdana" w:cs="Arial"/>
          <w:color w:val="000000" w:themeColor="text1"/>
        </w:rPr>
        <w:t>Esto en la medida que</w:t>
      </w:r>
      <w:r>
        <w:rPr>
          <w:rFonts w:ascii="Verdana" w:eastAsia="Calibri" w:hAnsi="Verdana" w:cs="Arial"/>
          <w:color w:val="000000" w:themeColor="text1"/>
        </w:rPr>
        <w:t>,</w:t>
      </w:r>
      <w:r w:rsidRPr="009616D4">
        <w:rPr>
          <w:rFonts w:ascii="Verdana" w:eastAsia="Calibri" w:hAnsi="Verdana" w:cs="Arial"/>
          <w:color w:val="000000" w:themeColor="text1"/>
        </w:rPr>
        <w:t xml:space="preserve"> además de los argumentos que ya se han planteado, esa lectura negaría la autonomía reconocida en el Estatuto General de Contratación de la Administración Pública a los órganos del Estado para confeccionar el pliego de condiciones o los documentos equivalentes y, específicamente, para definir los requisitos que deben reunir los oferentes, según los factores advertidos durante los estudios previos, en armonía con los principios de legalidad y proporcionalidad.</w:t>
      </w:r>
    </w:p>
    <w:p w14:paraId="539F3988" w14:textId="77777777" w:rsidR="00200D48" w:rsidRPr="009616D4" w:rsidRDefault="00200D48" w:rsidP="00CB1FFA">
      <w:pPr>
        <w:widowControl w:val="0"/>
        <w:autoSpaceDE w:val="0"/>
        <w:autoSpaceDN w:val="0"/>
        <w:spacing w:after="120" w:line="276" w:lineRule="auto"/>
        <w:ind w:firstLine="709"/>
        <w:jc w:val="both"/>
        <w:rPr>
          <w:rFonts w:ascii="Verdana" w:eastAsia="Calibri" w:hAnsi="Verdana" w:cs="Arial"/>
          <w:color w:val="000000" w:themeColor="text1"/>
        </w:rPr>
      </w:pPr>
      <w:r w:rsidRPr="009616D4">
        <w:rPr>
          <w:rFonts w:ascii="Verdana" w:eastAsia="Calibri" w:hAnsi="Verdana" w:cs="Arial"/>
          <w:color w:val="000000" w:themeColor="text1"/>
        </w:rPr>
        <w:t>Considerando la discrecionalidad para establecer requisitos habilitantes, es necesario tener en cuenta que el artículo 44 de la Ley 1437 de 2011 –aplicable en los procedimientos contractuales en virtud del artículo 77 de la Ley 80 de 1993– dispone que “En la medida en que el contenido de una decisión de carácter general o particular sea discrecional, debe ser adecuada a los fines de la norma que la autoriza, y proporcional a los hechos que le sirven de causa”. Dado lo anterior, para efectos de configurar requisitos habilitantes la Entidad Estatal tiene la carga de justificar en los estudios previos y análisis del sector del proceso de selección su procedencia, de conformidad con el artículo 2.2.1.1.1.6.2 del Decreto 1082 de 2015.</w:t>
      </w:r>
    </w:p>
    <w:p w14:paraId="1E6EFCE9" w14:textId="77777777" w:rsidR="00200D48" w:rsidRDefault="00200D48" w:rsidP="00CB1FFA">
      <w:pPr>
        <w:widowControl w:val="0"/>
        <w:autoSpaceDE w:val="0"/>
        <w:autoSpaceDN w:val="0"/>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Así las cosas</w:t>
      </w:r>
      <w:r w:rsidRPr="009616D4">
        <w:rPr>
          <w:rFonts w:ascii="Verdana" w:eastAsia="Calibri" w:hAnsi="Verdana" w:cs="Arial"/>
          <w:color w:val="000000" w:themeColor="text1"/>
        </w:rPr>
        <w:t xml:space="preserve">, </w:t>
      </w:r>
      <w:r>
        <w:rPr>
          <w:rFonts w:ascii="Verdana" w:eastAsia="Calibri" w:hAnsi="Verdana" w:cs="Arial"/>
          <w:color w:val="000000" w:themeColor="text1"/>
        </w:rPr>
        <w:t>se concluye</w:t>
      </w:r>
      <w:r w:rsidRPr="009616D4">
        <w:rPr>
          <w:rFonts w:ascii="Verdana" w:eastAsia="Calibri" w:hAnsi="Verdana" w:cs="Arial"/>
          <w:color w:val="000000" w:themeColor="text1"/>
        </w:rPr>
        <w:t xml:space="preserve"> que aunque la Ley 1150 de 2007 estableció unos requisitos habilitantes para los proponentes: la capacidad jurídica, las condiciones de experiencia, la capacidad financiera y la capacidad de organización, lo cierto es que los mismos no son taxativos; que los requisitos habilitantes deben ser establecidos por la Entidad Estatal en cada proceso contractual, debidamente justificados y de acuerdo con los parámetros fijados en el Decreto 1082 de 2015; y que una vez establecidos los requisitos habilitantes, quienes presenten ofertas deben acreditar que cumplen con ellos, so pena de que sus propuestas sean rechazadas. Esto sin perjuicio de la posibilidad de subsanarlas, cuando a ello haya lugar.</w:t>
      </w:r>
    </w:p>
    <w:p w14:paraId="22E93CB4" w14:textId="77777777" w:rsidR="00200D48" w:rsidRPr="00AE712E" w:rsidRDefault="00200D48" w:rsidP="00CB1FFA">
      <w:pPr>
        <w:spacing w:after="120" w:line="276" w:lineRule="auto"/>
        <w:ind w:firstLine="709"/>
        <w:jc w:val="both"/>
        <w:rPr>
          <w:rFonts w:ascii="Verdana" w:eastAsia="Calibri" w:hAnsi="Verdana" w:cs="Arial"/>
          <w:color w:val="000000"/>
        </w:rPr>
      </w:pPr>
      <w:r w:rsidRPr="00AE712E">
        <w:rPr>
          <w:rFonts w:ascii="Verdana" w:eastAsia="Calibri" w:hAnsi="Verdana" w:cs="Arial"/>
          <w:color w:val="000000"/>
        </w:rPr>
        <w:t xml:space="preserve">En materia de acreditación de la formación académica, el numeral 10.3 de la Circular Externa Única, versión 3 de 2023, expedida por la Agencia Nacional </w:t>
      </w:r>
      <w:r w:rsidRPr="00AE712E">
        <w:rPr>
          <w:rFonts w:ascii="Verdana" w:eastAsia="Calibri" w:hAnsi="Verdana" w:cs="Arial"/>
          <w:color w:val="000000"/>
        </w:rPr>
        <w:lastRenderedPageBreak/>
        <w:t>de Contratación Pública – Colombia Compra Eficiente, establece que el proponente puede acreditar la formación académica en Colombia mediante la presentación del diploma, el acta de grado o los certificados expedidos por el centro educativo, los cuales son considerados documentos idóneos y equivalentes para demostrar la culminación y aprobación de los estudios requeridos. Esta disposición parte de una enumeración disyuntiva, expresada a través de la conjunción “o”, lo que permite concluir que basta con la presentación de uno cualquiera de estos documentos para acreditar la formación académica exigida en el proceso de selección.</w:t>
      </w:r>
    </w:p>
    <w:p w14:paraId="3F571719" w14:textId="77777777" w:rsidR="00200D48" w:rsidRPr="00AE712E" w:rsidRDefault="00200D48" w:rsidP="00CB1FFA">
      <w:pPr>
        <w:spacing w:after="120" w:line="276" w:lineRule="auto"/>
        <w:ind w:firstLine="709"/>
        <w:jc w:val="both"/>
        <w:rPr>
          <w:rFonts w:ascii="Verdana" w:eastAsia="Calibri" w:hAnsi="Verdana" w:cs="Arial"/>
          <w:color w:val="000000"/>
        </w:rPr>
      </w:pPr>
      <w:r w:rsidRPr="00AE712E">
        <w:rPr>
          <w:rFonts w:ascii="Verdana" w:eastAsia="Calibri" w:hAnsi="Verdana" w:cs="Arial"/>
          <w:color w:val="000000"/>
        </w:rPr>
        <w:t>De igual manera, la misma Circular, en su numeral 10.2, precisa que la experiencia profesional se computa a partir de la terminación y aprobación del pénsum académico del respectivo programa de educación superior, salvo en el caso de las profesiones relacionadas con el sistema de seguridad social en salud, en las cuales el cómputo se efectúa desde la inscripción o registro profesional. Esta regla, recogida también en el artículo 2.2.2.3.7 del Decreto 1083 de 2015 y el artículo 229 del Decreto Ley 019 de 2012, permite inferir que</w:t>
      </w:r>
      <w:r>
        <w:rPr>
          <w:rFonts w:ascii="Verdana" w:eastAsia="Calibri" w:hAnsi="Verdana" w:cs="Arial"/>
          <w:color w:val="000000"/>
        </w:rPr>
        <w:t>,</w:t>
      </w:r>
      <w:r w:rsidRPr="00AE712E">
        <w:rPr>
          <w:rFonts w:ascii="Verdana" w:eastAsia="Calibri" w:hAnsi="Verdana" w:cs="Arial"/>
          <w:color w:val="000000"/>
        </w:rPr>
        <w:t xml:space="preserve"> para efectos de la verificación del requisito de experiencia, la acreditación de la culminación de los estudios mediante cualquiera de los documentos antes mencionados</w:t>
      </w:r>
      <w:r>
        <w:rPr>
          <w:rFonts w:ascii="Verdana" w:eastAsia="Calibri" w:hAnsi="Verdana" w:cs="Arial"/>
          <w:color w:val="000000"/>
        </w:rPr>
        <w:t xml:space="preserve">, </w:t>
      </w:r>
      <w:r w:rsidRPr="00AE712E">
        <w:rPr>
          <w:rFonts w:ascii="Verdana" w:eastAsia="Calibri" w:hAnsi="Verdana" w:cs="Arial"/>
          <w:color w:val="000000"/>
        </w:rPr>
        <w:t>diploma, acta de grado o certificado del centro educativo</w:t>
      </w:r>
      <w:r>
        <w:rPr>
          <w:rFonts w:ascii="Verdana" w:eastAsia="Calibri" w:hAnsi="Verdana" w:cs="Arial"/>
          <w:color w:val="000000"/>
        </w:rPr>
        <w:t xml:space="preserve">, </w:t>
      </w:r>
      <w:r w:rsidRPr="00AE712E">
        <w:rPr>
          <w:rFonts w:ascii="Verdana" w:eastAsia="Calibri" w:hAnsi="Verdana" w:cs="Arial"/>
          <w:color w:val="000000"/>
        </w:rPr>
        <w:t>constituye prueba suficiente del momento desde el cual puede contarse la experiencia profesional.</w:t>
      </w:r>
    </w:p>
    <w:p w14:paraId="17D2CE85" w14:textId="77777777" w:rsidR="00200D48" w:rsidRPr="00AE712E" w:rsidRDefault="00200D48" w:rsidP="00CB1FFA">
      <w:pPr>
        <w:spacing w:after="120" w:line="276" w:lineRule="auto"/>
        <w:ind w:firstLine="709"/>
        <w:jc w:val="both"/>
        <w:rPr>
          <w:rFonts w:ascii="Verdana" w:eastAsia="Calibri" w:hAnsi="Verdana" w:cs="Arial"/>
          <w:color w:val="000000"/>
        </w:rPr>
      </w:pPr>
      <w:r w:rsidRPr="00AE712E">
        <w:rPr>
          <w:rFonts w:ascii="Verdana" w:eastAsia="Calibri" w:hAnsi="Verdana" w:cs="Arial"/>
          <w:color w:val="000000"/>
        </w:rPr>
        <w:t>En este sentido, la presentación de más de un documento para demostrar la misma circunstancia (culminación de estudios) no debe entenderse como una exigencia concurrente ni acumulativa, pues ello no encuentra soporte normativo y podría restringir injustificadamente la concurrencia de oferentes, contrariando los principios de transparencia, economía y selección objetiva previstos en la Ley 80 de 1993 y la Ley 1150 de 2007. No obstante, en virtud del principio de autonomía de la gestión contractual, corresponde a cada entidad estatal, conforme al artículo 2.2.1.1.1.6.2 del Decreto 1082 de 2015, determinar los requisitos habilitantes y los medios de acreditación que considere adecuados, teniendo en cuenta factores como el riesgo del proceso, el valor del contrato, el análisis del sector económico y el conocimiento del mercado de posibles oferentes.</w:t>
      </w:r>
    </w:p>
    <w:p w14:paraId="59067B94" w14:textId="77777777" w:rsidR="00200D48" w:rsidRDefault="00200D48" w:rsidP="00200D48">
      <w:pPr>
        <w:spacing w:after="0" w:line="276" w:lineRule="auto"/>
        <w:ind w:firstLine="360"/>
        <w:jc w:val="both"/>
        <w:rPr>
          <w:rFonts w:ascii="Verdana" w:hAnsi="Verdana" w:cs="Arial"/>
        </w:rPr>
      </w:pPr>
      <w:r w:rsidRPr="00AE712E">
        <w:rPr>
          <w:rFonts w:ascii="Verdana" w:eastAsia="Calibri" w:hAnsi="Verdana" w:cs="Arial"/>
          <w:color w:val="000000"/>
        </w:rPr>
        <w:t xml:space="preserve">Por tanto, cuando la entidad considere necesario exigir la presentación simultánea de diploma, acta de grado y certificados académicos, deberá sustentar dicha decisión en los estudios previos y en el análisis del sector, demostrando que la exigencia responde a criterios de proporcionalidad, </w:t>
      </w:r>
      <w:r w:rsidRPr="00AE712E">
        <w:rPr>
          <w:rFonts w:ascii="Verdana" w:eastAsia="Calibri" w:hAnsi="Verdana" w:cs="Arial"/>
          <w:color w:val="000000"/>
        </w:rPr>
        <w:lastRenderedPageBreak/>
        <w:t>razonabilidad y necesidad, y que resulta indispensable para la adecuada verificación del requisito habilitante. Solo bajo esa justificación expresa podrá la entidad apartarse de la regla general de equivalencia establecida en la Circular Externa Única y en la doctrina de Colombia Compra Eficiente.</w:t>
      </w:r>
    </w:p>
    <w:p w14:paraId="68BFB7E0" w14:textId="77777777" w:rsidR="00200D48" w:rsidRPr="00A30046" w:rsidRDefault="00200D48" w:rsidP="00200D48">
      <w:pPr>
        <w:pStyle w:val="Prrafodelista"/>
        <w:spacing w:line="276" w:lineRule="auto"/>
        <w:jc w:val="both"/>
        <w:rPr>
          <w:rFonts w:ascii="Verdana" w:hAnsi="Verdana" w:cs="Arial"/>
          <w:b/>
          <w:lang w:val="es-ES_tradnl"/>
        </w:rPr>
      </w:pPr>
    </w:p>
    <w:p w14:paraId="1DFE07C9" w14:textId="77777777" w:rsidR="00200D48" w:rsidRPr="00A30046" w:rsidRDefault="00200D48" w:rsidP="00200D4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30046">
        <w:rPr>
          <w:rFonts w:ascii="Verdana" w:eastAsia="Century Gothic" w:hAnsi="Verdana" w:cs="Century Gothic"/>
          <w:b/>
          <w:bCs/>
        </w:rPr>
        <w:t>Referencias normativas, jurisprudenciales y otras fuentes:</w:t>
      </w:r>
    </w:p>
    <w:p w14:paraId="357D63B7" w14:textId="77777777" w:rsidR="00200D48" w:rsidRPr="00A30046" w:rsidRDefault="00200D48" w:rsidP="00200D4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00D48" w:rsidRPr="00A30046" w14:paraId="3D227654" w14:textId="77777777" w:rsidTr="008326D5">
        <w:trPr>
          <w:trHeight w:val="870"/>
        </w:trPr>
        <w:tc>
          <w:tcPr>
            <w:tcW w:w="8647" w:type="dxa"/>
          </w:tcPr>
          <w:p w14:paraId="26673814" w14:textId="77777777" w:rsidR="00200D48" w:rsidRDefault="00200D48" w:rsidP="00CB1FFA">
            <w:pPr>
              <w:pStyle w:val="Prrafodelista"/>
              <w:numPr>
                <w:ilvl w:val="0"/>
                <w:numId w:val="17"/>
              </w:numPr>
              <w:spacing w:line="276" w:lineRule="auto"/>
              <w:rPr>
                <w:rFonts w:ascii="Verdana" w:hAnsi="Verdana"/>
              </w:rPr>
            </w:pPr>
            <w:r>
              <w:rPr>
                <w:rFonts w:ascii="Verdana" w:hAnsi="Verdana"/>
              </w:rPr>
              <w:t>Ley 80 de 1993 artículo 25</w:t>
            </w:r>
          </w:p>
          <w:p w14:paraId="60DF0D83" w14:textId="77777777" w:rsidR="00200D48" w:rsidRPr="00AE712E" w:rsidRDefault="00200D48" w:rsidP="00CB1FFA">
            <w:pPr>
              <w:pStyle w:val="Prrafodelista"/>
              <w:numPr>
                <w:ilvl w:val="0"/>
                <w:numId w:val="17"/>
              </w:numPr>
              <w:spacing w:line="276" w:lineRule="auto"/>
              <w:rPr>
                <w:rFonts w:ascii="Verdana" w:hAnsi="Verdana"/>
              </w:rPr>
            </w:pPr>
            <w:r>
              <w:rPr>
                <w:rFonts w:ascii="Verdana" w:hAnsi="Verdana"/>
              </w:rPr>
              <w:t>D</w:t>
            </w:r>
            <w:r w:rsidRPr="00DF359B">
              <w:rPr>
                <w:rFonts w:ascii="Verdana" w:hAnsi="Verdana"/>
              </w:rPr>
              <w:t>ecreto 108</w:t>
            </w:r>
            <w:r>
              <w:rPr>
                <w:rFonts w:ascii="Verdana" w:hAnsi="Verdana"/>
              </w:rPr>
              <w:t xml:space="preserve">2 de 2015 artículo </w:t>
            </w:r>
            <w:r w:rsidRPr="009F7E3B">
              <w:rPr>
                <w:rFonts w:ascii="Verdana" w:eastAsia="Calibri" w:hAnsi="Verdana" w:cs="Arial"/>
              </w:rPr>
              <w:t>2.2.1.1.1.6.2</w:t>
            </w:r>
          </w:p>
          <w:p w14:paraId="681647E8" w14:textId="77777777" w:rsidR="00200D48" w:rsidRPr="00AE712E" w:rsidRDefault="00200D48" w:rsidP="00CB1FFA">
            <w:pPr>
              <w:pStyle w:val="Prrafodelista"/>
              <w:numPr>
                <w:ilvl w:val="0"/>
                <w:numId w:val="17"/>
              </w:numPr>
              <w:spacing w:line="276" w:lineRule="auto"/>
              <w:rPr>
                <w:rFonts w:ascii="Verdana" w:hAnsi="Verdana"/>
              </w:rPr>
            </w:pPr>
            <w:r>
              <w:rPr>
                <w:rFonts w:ascii="Verdana" w:eastAsia="Calibri" w:hAnsi="Verdana" w:cs="Arial"/>
              </w:rPr>
              <w:t xml:space="preserve">Decreto 1083 de 2015 artículo </w:t>
            </w:r>
            <w:r w:rsidRPr="00AE712E">
              <w:rPr>
                <w:rFonts w:ascii="Verdana" w:eastAsia="Calibri" w:hAnsi="Verdana" w:cs="Arial"/>
                <w:color w:val="000000"/>
              </w:rPr>
              <w:t>2.2.2.3.7</w:t>
            </w:r>
          </w:p>
          <w:p w14:paraId="39D19002" w14:textId="77777777" w:rsidR="00200D48" w:rsidRPr="00DF359B" w:rsidRDefault="00200D48" w:rsidP="00CB1FFA">
            <w:pPr>
              <w:pStyle w:val="Prrafodelista"/>
              <w:numPr>
                <w:ilvl w:val="0"/>
                <w:numId w:val="17"/>
              </w:numPr>
              <w:spacing w:line="276" w:lineRule="auto"/>
              <w:rPr>
                <w:rFonts w:ascii="Verdana" w:hAnsi="Verdana" w:cs="Arial"/>
              </w:rPr>
            </w:pPr>
            <w:r>
              <w:rPr>
                <w:rFonts w:ascii="Verdana" w:hAnsi="Verdana" w:cs="Arial"/>
              </w:rPr>
              <w:t>D</w:t>
            </w:r>
            <w:r w:rsidRPr="00DF359B">
              <w:rPr>
                <w:rFonts w:ascii="Verdana" w:hAnsi="Verdana" w:cs="Arial"/>
              </w:rPr>
              <w:t>ecreto 019 de 2012</w:t>
            </w:r>
            <w:r>
              <w:rPr>
                <w:rFonts w:ascii="Verdana" w:hAnsi="Verdana" w:cs="Arial"/>
              </w:rPr>
              <w:t xml:space="preserve"> artículo 229</w:t>
            </w:r>
          </w:p>
          <w:p w14:paraId="378E78D0" w14:textId="77777777" w:rsidR="00200D48" w:rsidRPr="00CB1FFA" w:rsidRDefault="00200D48" w:rsidP="00CB1FFA">
            <w:pPr>
              <w:pStyle w:val="Prrafodelista"/>
              <w:numPr>
                <w:ilvl w:val="0"/>
                <w:numId w:val="17"/>
              </w:numPr>
              <w:spacing w:line="276" w:lineRule="auto"/>
              <w:rPr>
                <w:rFonts w:ascii="Verdana" w:hAnsi="Verdana"/>
              </w:rPr>
            </w:pPr>
            <w:r w:rsidRPr="00DF359B">
              <w:rPr>
                <w:rFonts w:ascii="Verdana" w:hAnsi="Verdana"/>
              </w:rPr>
              <w:t>Circular Externa Única Expedida por la ANCP-CCE</w:t>
            </w:r>
          </w:p>
          <w:p w14:paraId="6FBDA677" w14:textId="77777777" w:rsidR="00200D48" w:rsidRPr="00CB1FFA" w:rsidRDefault="00200D48" w:rsidP="00CB1FFA">
            <w:pPr>
              <w:pStyle w:val="Prrafodelista"/>
              <w:numPr>
                <w:ilvl w:val="0"/>
                <w:numId w:val="17"/>
              </w:numPr>
              <w:spacing w:line="276" w:lineRule="auto"/>
              <w:rPr>
                <w:rFonts w:ascii="Verdana" w:hAnsi="Verdana"/>
                <w:lang w:val="es-CO"/>
              </w:rPr>
            </w:pPr>
            <w:r w:rsidRPr="00DF359B">
              <w:rPr>
                <w:rFonts w:ascii="Verdana" w:eastAsia="Calibri" w:hAnsi="Verdana" w:cs="Arial"/>
                <w:color w:val="000000" w:themeColor="text1"/>
              </w:rPr>
              <w:t>Ley 80 de 1993</w:t>
            </w:r>
          </w:p>
          <w:p w14:paraId="59A81A71" w14:textId="77777777" w:rsidR="00200D48" w:rsidRPr="00CB1FFA" w:rsidRDefault="00200D48" w:rsidP="00CB1FFA">
            <w:pPr>
              <w:pStyle w:val="Prrafodelista"/>
              <w:numPr>
                <w:ilvl w:val="0"/>
                <w:numId w:val="17"/>
              </w:numPr>
              <w:spacing w:line="276" w:lineRule="auto"/>
              <w:rPr>
                <w:rFonts w:ascii="Verdana" w:hAnsi="Verdana"/>
              </w:rPr>
            </w:pPr>
            <w:r w:rsidRPr="00DF359B">
              <w:rPr>
                <w:rFonts w:ascii="Verdana" w:eastAsia="Calibri" w:hAnsi="Verdana" w:cs="Arial"/>
                <w:color w:val="000000" w:themeColor="text1"/>
              </w:rPr>
              <w:t>Ley 1150 de 2007</w:t>
            </w:r>
          </w:p>
          <w:p w14:paraId="210B3A98" w14:textId="77777777" w:rsidR="00200D48" w:rsidRPr="00DF359B" w:rsidRDefault="00200D48" w:rsidP="00200D48">
            <w:pPr>
              <w:pStyle w:val="Prrafodelista"/>
              <w:widowControl w:val="0"/>
              <w:numPr>
                <w:ilvl w:val="0"/>
                <w:numId w:val="17"/>
              </w:numPr>
              <w:autoSpaceDE w:val="0"/>
              <w:autoSpaceDN w:val="0"/>
              <w:spacing w:after="120" w:line="276" w:lineRule="auto"/>
              <w:contextualSpacing w:val="0"/>
              <w:jc w:val="both"/>
              <w:rPr>
                <w:rFonts w:ascii="Verdana" w:eastAsia="Arial" w:hAnsi="Verdana" w:cs="Arial"/>
              </w:rPr>
            </w:pPr>
            <w:r w:rsidRPr="00DF359B">
              <w:rPr>
                <w:rFonts w:ascii="Verdana" w:eastAsia="Arial" w:hAnsi="Verdana" w:cs="Arial"/>
              </w:rPr>
              <w:t xml:space="preserve">Jurisprudencia del Consejo de Estado. Disponible en: </w:t>
            </w:r>
            <w:hyperlink r:id="rId11" w:history="1">
              <w:r w:rsidRPr="00DF359B">
                <w:rPr>
                  <w:rFonts w:ascii="Verdana" w:eastAsia="Arial" w:hAnsi="Verdana" w:cs="Arial"/>
                </w:rPr>
                <w:t>https://relatoria.colombiacompra.gov.co/providencias-consejo-de-estado/</w:t>
              </w:r>
            </w:hyperlink>
            <w:r w:rsidRPr="00DF359B">
              <w:rPr>
                <w:rFonts w:ascii="Verdana" w:eastAsia="Arial" w:hAnsi="Verdana" w:cs="Arial"/>
              </w:rPr>
              <w:t xml:space="preserve"> </w:t>
            </w:r>
          </w:p>
          <w:p w14:paraId="46D38F04" w14:textId="77777777" w:rsidR="00200D48" w:rsidRPr="00DF359B" w:rsidRDefault="00200D48" w:rsidP="00200D48">
            <w:pPr>
              <w:pStyle w:val="Prrafodelista"/>
              <w:widowControl w:val="0"/>
              <w:numPr>
                <w:ilvl w:val="0"/>
                <w:numId w:val="17"/>
              </w:numPr>
              <w:autoSpaceDE w:val="0"/>
              <w:autoSpaceDN w:val="0"/>
              <w:spacing w:after="120" w:line="276" w:lineRule="auto"/>
              <w:contextualSpacing w:val="0"/>
              <w:jc w:val="both"/>
              <w:rPr>
                <w:rFonts w:ascii="Verdana" w:eastAsia="Arial" w:hAnsi="Verdana" w:cs="Arial"/>
              </w:rPr>
            </w:pPr>
            <w:r w:rsidRPr="00DF359B">
              <w:rPr>
                <w:rFonts w:ascii="Verdana" w:eastAsia="Arial" w:hAnsi="Verdana" w:cs="Arial"/>
              </w:rPr>
              <w:t xml:space="preserve">Guías y manuales expedidos por la ANCP-CCE. Disponible en: </w:t>
            </w:r>
            <w:hyperlink r:id="rId12" w:history="1">
              <w:r w:rsidRPr="00DF359B">
                <w:rPr>
                  <w:rFonts w:ascii="Verdana" w:eastAsia="Arial" w:hAnsi="Verdana" w:cs="Arial"/>
                </w:rPr>
                <w:t>https://www.colombiacompra.gov.co/manuales-guias-y-pliegos-tipo/manuales-y-guias</w:t>
              </w:r>
            </w:hyperlink>
            <w:r w:rsidRPr="00DF359B">
              <w:rPr>
                <w:rFonts w:ascii="Verdana" w:eastAsia="Arial" w:hAnsi="Verdana" w:cs="Arial"/>
              </w:rPr>
              <w:t xml:space="preserve"> </w:t>
            </w:r>
          </w:p>
        </w:tc>
      </w:tr>
    </w:tbl>
    <w:p w14:paraId="6E22413D" w14:textId="77777777" w:rsidR="00200D48" w:rsidRPr="00A30046" w:rsidRDefault="00200D48" w:rsidP="00200D48">
      <w:pPr>
        <w:widowControl w:val="0"/>
        <w:autoSpaceDE w:val="0"/>
        <w:autoSpaceDN w:val="0"/>
        <w:spacing w:after="0" w:line="276" w:lineRule="auto"/>
        <w:jc w:val="both"/>
        <w:rPr>
          <w:rFonts w:ascii="Verdana" w:hAnsi="Verdana" w:cs="Arial"/>
        </w:rPr>
      </w:pPr>
    </w:p>
    <w:p w14:paraId="332DC15D" w14:textId="77777777" w:rsidR="00200D48" w:rsidRPr="00A30046" w:rsidRDefault="00200D48" w:rsidP="00200D4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30046">
        <w:rPr>
          <w:rFonts w:ascii="Verdana" w:eastAsia="Century Gothic" w:hAnsi="Verdana" w:cs="Century Gothic"/>
          <w:b/>
          <w:bCs/>
        </w:rPr>
        <w:t>Doctrina de la Agencia Nacional de Contratación Pública:</w:t>
      </w:r>
    </w:p>
    <w:p w14:paraId="7D5FDE87" w14:textId="77777777" w:rsidR="00200D48" w:rsidRPr="00A30046" w:rsidRDefault="00200D48" w:rsidP="00200D48">
      <w:pPr>
        <w:widowControl w:val="0"/>
        <w:autoSpaceDE w:val="0"/>
        <w:autoSpaceDN w:val="0"/>
        <w:spacing w:after="0" w:line="276" w:lineRule="auto"/>
        <w:jc w:val="both"/>
        <w:rPr>
          <w:rFonts w:ascii="Verdana" w:hAnsi="Verdana" w:cs="Arial"/>
        </w:rPr>
      </w:pPr>
    </w:p>
    <w:p w14:paraId="61E8E7C3" w14:textId="77777777" w:rsidR="00200D48" w:rsidRDefault="00200D48" w:rsidP="00200D48">
      <w:pPr>
        <w:widowControl w:val="0"/>
        <w:autoSpaceDE w:val="0"/>
        <w:autoSpaceDN w:val="0"/>
        <w:spacing w:after="0" w:line="276" w:lineRule="auto"/>
        <w:jc w:val="both"/>
        <w:rPr>
          <w:rFonts w:ascii="Verdana" w:eastAsia="Arial" w:hAnsi="Verdana" w:cs="Arial"/>
          <w:lang w:val="es-ES"/>
        </w:rPr>
      </w:pPr>
      <w:r w:rsidRPr="00F345AB">
        <w:rPr>
          <w:rFonts w:ascii="Verdana" w:hAnsi="Verdana" w:cs="Arial"/>
          <w:color w:val="000000" w:themeColor="text1"/>
          <w:lang w:val="es-ES"/>
        </w:rPr>
        <w:t xml:space="preserve">La Agencia Nacional de Contratación Pública – Colombia Compra Eficiente, en los Conceptos </w:t>
      </w:r>
      <w:r w:rsidRPr="00F345AB">
        <w:rPr>
          <w:rFonts w:ascii="Verdana" w:hAnsi="Verdana" w:cs="Arial"/>
        </w:rPr>
        <w:t xml:space="preserve">La Agencia Nacional de Contratación Pública – Colombia Compra Eficiente </w:t>
      </w:r>
      <w:r>
        <w:rPr>
          <w:rFonts w:ascii="Verdana" w:hAnsi="Verdana" w:cs="Arial"/>
        </w:rPr>
        <w:t xml:space="preserve">se pronunció frente a la experiencia profesional </w:t>
      </w:r>
      <w:r w:rsidRPr="00F345AB">
        <w:rPr>
          <w:rFonts w:ascii="Verdana" w:hAnsi="Verdana" w:cs="Arial"/>
        </w:rPr>
        <w:t>,</w:t>
      </w:r>
      <w:r>
        <w:rPr>
          <w:rFonts w:ascii="Verdana" w:hAnsi="Verdana" w:cs="Arial"/>
        </w:rPr>
        <w:t xml:space="preserve"> C- 357 de agosto de 2024, C258 de 2024, C248 de 2024, C 279 de 2024, C446 de 2023,</w:t>
      </w:r>
      <w:r w:rsidRPr="00F345AB">
        <w:rPr>
          <w:rFonts w:ascii="Verdana" w:hAnsi="Verdana" w:cs="Arial"/>
        </w:rPr>
        <w:t xml:space="preserve"> </w:t>
      </w:r>
      <w:r>
        <w:rPr>
          <w:rFonts w:ascii="Verdana" w:hAnsi="Verdana" w:cs="Arial"/>
        </w:rPr>
        <w:t xml:space="preserve"> así como en los </w:t>
      </w:r>
      <w:r w:rsidRPr="00F345AB">
        <w:rPr>
          <w:rFonts w:ascii="Verdana" w:hAnsi="Verdana" w:cs="Arial"/>
        </w:rPr>
        <w:t>C-231 del 13 de abril de 2020, C-212 del 14 de abril de 2020, C-317 de 10 de junio de 2020, C-337 del 26 de junio de 2020, C-355 del 4 de junio de 2020, C-353 del 30 de junio de 2020 y C-457 del 7 de julio de 2020</w:t>
      </w:r>
      <w:r>
        <w:rPr>
          <w:rFonts w:ascii="Verdana" w:hAnsi="Verdana" w:cs="Arial"/>
        </w:rPr>
        <w:t xml:space="preserve"> y 409 de 2024</w:t>
      </w:r>
      <w:r w:rsidRPr="00F345AB">
        <w:rPr>
          <w:rFonts w:ascii="Verdana" w:hAnsi="Verdana" w:cs="Arial"/>
        </w:rPr>
        <w:t xml:space="preserve">, </w:t>
      </w:r>
      <w:r>
        <w:rPr>
          <w:rFonts w:ascii="Verdana" w:hAnsi="Verdana" w:cs="Arial"/>
        </w:rPr>
        <w:t xml:space="preserve">referente a </w:t>
      </w:r>
      <w:r w:rsidRPr="00F345AB">
        <w:rPr>
          <w:rFonts w:ascii="Verdana" w:hAnsi="Verdana" w:cs="Arial"/>
        </w:rPr>
        <w:t>el cómputo de la experiencia profesional</w:t>
      </w:r>
      <w:r>
        <w:rPr>
          <w:rFonts w:ascii="Verdana" w:hAnsi="Verdana" w:cs="Arial"/>
        </w:rPr>
        <w:t>.</w:t>
      </w:r>
    </w:p>
    <w:p w14:paraId="3F101475" w14:textId="77777777" w:rsidR="00200D48" w:rsidRDefault="00200D48" w:rsidP="00200D48">
      <w:pPr>
        <w:widowControl w:val="0"/>
        <w:autoSpaceDE w:val="0"/>
        <w:autoSpaceDN w:val="0"/>
        <w:spacing w:after="0" w:line="276" w:lineRule="auto"/>
        <w:jc w:val="both"/>
        <w:rPr>
          <w:rFonts w:ascii="Verdana" w:eastAsia="Arial" w:hAnsi="Verdana" w:cs="Arial"/>
          <w:lang w:val="es-ES"/>
        </w:rPr>
      </w:pPr>
    </w:p>
    <w:p w14:paraId="66EDA691" w14:textId="77777777" w:rsidR="00200D48" w:rsidRPr="00A30046" w:rsidRDefault="00200D48" w:rsidP="00200D48">
      <w:pPr>
        <w:widowControl w:val="0"/>
        <w:autoSpaceDE w:val="0"/>
        <w:autoSpaceDN w:val="0"/>
        <w:spacing w:after="0" w:line="276" w:lineRule="auto"/>
        <w:jc w:val="both"/>
        <w:rPr>
          <w:rFonts w:ascii="Verdana" w:hAnsi="Verdana" w:cs="Arial"/>
        </w:rPr>
      </w:pPr>
      <w:r w:rsidRPr="00A30046">
        <w:rPr>
          <w:rFonts w:ascii="Verdana" w:eastAsia="Arial" w:hAnsi="Verdana" w:cs="Arial"/>
          <w:lang w:val="es-ES"/>
        </w:rPr>
        <w:t>Estos y otros conceptos se encuentran disponibles para consulta en el Sistema de Relatoría de la Agencia, en el c</w:t>
      </w:r>
      <w:proofErr w:type="spellStart"/>
      <w:r w:rsidRPr="00A30046">
        <w:rPr>
          <w:rFonts w:ascii="Verdana" w:hAnsi="Verdana" w:cs="Arial"/>
        </w:rPr>
        <w:t>ual</w:t>
      </w:r>
      <w:proofErr w:type="spellEnd"/>
      <w:r w:rsidRPr="00A30046">
        <w:rPr>
          <w:rFonts w:ascii="Verdana" w:hAnsi="Verdana" w:cs="Arial"/>
        </w:rPr>
        <w:t xml:space="preserve"> también podrás encontrar jurisprudencia del Consejo de Estado, laudos arbitrales y la normativa de la contratación concordada con la doctrina de la Subdirección de Gestión Contractual. Accede a </w:t>
      </w:r>
      <w:r w:rsidRPr="00A30046">
        <w:rPr>
          <w:rFonts w:ascii="Verdana" w:hAnsi="Verdana" w:cs="Arial"/>
        </w:rPr>
        <w:lastRenderedPageBreak/>
        <w:t>través del siguiente enlace: </w:t>
      </w:r>
      <w:hyperlink r:id="rId13" w:tgtFrame="_blank" w:tooltip="Dirección URL original: https://relatoria.colombiacompra.gov.co/. Haga clic o pulse si confía en este vínculo." w:history="1">
        <w:r w:rsidRPr="00A30046">
          <w:rPr>
            <w:rFonts w:ascii="Verdana" w:hAnsi="Verdana" w:cs="Arial"/>
            <w:color w:val="0563C1" w:themeColor="hyperlink"/>
            <w:u w:val="single"/>
          </w:rPr>
          <w:t>https://relatoria.colombiacompra.gov.co/</w:t>
        </w:r>
      </w:hyperlink>
      <w:r w:rsidRPr="00A30046">
        <w:rPr>
          <w:rFonts w:ascii="Verdana" w:hAnsi="Verdana" w:cs="Arial"/>
        </w:rPr>
        <w:t> . Te invitamos también a revisar la tercera edición del  Boletín de Relatoría de 2024 en el cual podrás consultar en detalle el marco normativo de documentos tipo: </w:t>
      </w:r>
      <w:hyperlink r:id="rId14" w:tgtFrame="_blank" w:tooltip="Dirección URL original: https://www.colombiacompra.gov.co/sites/cce_public/files/files_2020/boletin_de_realtoria_iii.pdf. Haga clic o pulse si confía en este vínculo." w:history="1">
        <w:r w:rsidRPr="00A30046">
          <w:rPr>
            <w:rFonts w:ascii="Verdana" w:hAnsi="Verdana" w:cs="Arial"/>
            <w:color w:val="0563C1" w:themeColor="hyperlink"/>
            <w:u w:val="single"/>
          </w:rPr>
          <w:t>https://www.colombiacompra.gov.co/sites/cce_public/files/files_2020/boletin_de_realtoria_iii.pdf</w:t>
        </w:r>
      </w:hyperlink>
      <w:r w:rsidRPr="00A30046">
        <w:rPr>
          <w:rFonts w:ascii="Verdana" w:hAnsi="Verdana" w:cs="Arial"/>
        </w:rPr>
        <w:t>.</w:t>
      </w:r>
    </w:p>
    <w:p w14:paraId="461BEF41" w14:textId="77777777" w:rsidR="00200D48" w:rsidRDefault="00200D48" w:rsidP="00200D48">
      <w:pPr>
        <w:widowControl w:val="0"/>
        <w:autoSpaceDE w:val="0"/>
        <w:autoSpaceDN w:val="0"/>
        <w:spacing w:after="0" w:line="276" w:lineRule="auto"/>
        <w:jc w:val="both"/>
        <w:rPr>
          <w:rFonts w:ascii="Verdana" w:hAnsi="Verdana" w:cs="Arial"/>
          <w:color w:val="000000" w:themeColor="text1"/>
          <w:shd w:val="clear" w:color="auto" w:fill="FFFFFF"/>
        </w:rPr>
      </w:pPr>
    </w:p>
    <w:p w14:paraId="38B65DA4" w14:textId="77777777" w:rsidR="00200D48" w:rsidRPr="00363352" w:rsidRDefault="00200D48" w:rsidP="00200D48">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363352">
        <w:rPr>
          <w:rFonts w:ascii="Verdana" w:hAnsi="Verdana"/>
        </w:rPr>
        <w:t>.</w:t>
      </w:r>
    </w:p>
    <w:p w14:paraId="47332BED" w14:textId="77777777" w:rsidR="00200D48" w:rsidRPr="00363352" w:rsidRDefault="00200D48" w:rsidP="00200D48">
      <w:pPr>
        <w:widowControl w:val="0"/>
        <w:autoSpaceDE w:val="0"/>
        <w:autoSpaceDN w:val="0"/>
        <w:spacing w:after="0" w:line="276" w:lineRule="auto"/>
        <w:jc w:val="both"/>
        <w:rPr>
          <w:rFonts w:ascii="Verdana" w:hAnsi="Verdana"/>
        </w:rPr>
      </w:pPr>
    </w:p>
    <w:p w14:paraId="11290AA7" w14:textId="77777777" w:rsidR="00200D48" w:rsidRPr="00505CD6" w:rsidRDefault="00200D48" w:rsidP="00200D48">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6E8A5D31" w14:textId="77777777" w:rsidR="00200D48" w:rsidRDefault="00200D48" w:rsidP="00200D48">
      <w:pPr>
        <w:spacing w:after="0" w:line="276" w:lineRule="auto"/>
        <w:rPr>
          <w:rFonts w:ascii="Verdana" w:eastAsia="Times New Roman" w:hAnsi="Verdana" w:cs="Arial"/>
          <w:lang w:eastAsia="es-CO"/>
        </w:rPr>
      </w:pPr>
    </w:p>
    <w:p w14:paraId="4D26074D" w14:textId="77777777" w:rsidR="00200D48" w:rsidRDefault="00200D48" w:rsidP="00200D48">
      <w:pPr>
        <w:spacing w:after="0" w:line="276" w:lineRule="auto"/>
        <w:rPr>
          <w:rFonts w:ascii="Verdana" w:hAnsi="Verdana"/>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46F30165" w14:textId="293045AA" w:rsidR="00200D48" w:rsidRPr="00960F72" w:rsidRDefault="006D14C8" w:rsidP="00200D48">
      <w:pPr>
        <w:spacing w:line="276" w:lineRule="auto"/>
        <w:jc w:val="center"/>
        <w:rPr>
          <w:rFonts w:ascii="Verdana" w:hAnsi="Verdana"/>
        </w:rPr>
      </w:pPr>
      <w:r>
        <w:rPr>
          <w:rFonts w:ascii="Verdana" w:hAnsi="Verdana"/>
          <w:noProof/>
        </w:rPr>
        <w:drawing>
          <wp:inline distT="0" distB="0" distL="0" distR="0" wp14:anchorId="3BED5F21" wp14:editId="3F904BFC">
            <wp:extent cx="3639058" cy="1343212"/>
            <wp:effectExtent l="0" t="0" r="0" b="0"/>
            <wp:docPr id="8420214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021497" name="Imagen 842021497"/>
                    <pic:cNvPicPr/>
                  </pic:nvPicPr>
                  <pic:blipFill>
                    <a:blip r:embed="rId16">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00D48" w:rsidRPr="00960F72" w14:paraId="789279F7" w14:textId="77777777" w:rsidTr="008326D5">
        <w:trPr>
          <w:trHeight w:val="315"/>
        </w:trPr>
        <w:tc>
          <w:tcPr>
            <w:tcW w:w="893" w:type="dxa"/>
            <w:vAlign w:val="center"/>
            <w:hideMark/>
          </w:tcPr>
          <w:p w14:paraId="73895329" w14:textId="77777777" w:rsidR="00200D48" w:rsidRPr="00960F72" w:rsidRDefault="00200D48" w:rsidP="008326D5">
            <w:pPr>
              <w:contextualSpacing/>
              <w:rPr>
                <w:rFonts w:ascii="Verdana" w:hAnsi="Verdana" w:cs="Arial"/>
                <w:sz w:val="16"/>
                <w:szCs w:val="16"/>
                <w:lang w:eastAsia="es-ES"/>
              </w:rPr>
            </w:pPr>
            <w:bookmarkStart w:id="1" w:name="_Hlk210670112"/>
            <w:r w:rsidRPr="00960F72">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6483311" w14:textId="77777777" w:rsidR="00200D48" w:rsidRPr="00960F72" w:rsidRDefault="00200D48" w:rsidP="008326D5">
            <w:pPr>
              <w:contextualSpacing/>
              <w:rPr>
                <w:rFonts w:ascii="Verdana" w:hAnsi="Verdana"/>
                <w:sz w:val="16"/>
                <w:szCs w:val="16"/>
              </w:rPr>
            </w:pPr>
            <w:r w:rsidRPr="00960F72">
              <w:rPr>
                <w:rFonts w:ascii="Verdana" w:hAnsi="Verdana"/>
                <w:sz w:val="16"/>
                <w:szCs w:val="16"/>
              </w:rPr>
              <w:t>Gloria Elizabeth Arango Builes</w:t>
            </w:r>
          </w:p>
          <w:p w14:paraId="4ADC1806" w14:textId="77777777" w:rsidR="00200D48" w:rsidRPr="00960F72" w:rsidRDefault="00200D48" w:rsidP="008326D5">
            <w:pPr>
              <w:contextualSpacing/>
              <w:rPr>
                <w:rFonts w:ascii="Verdana" w:eastAsia="Arial" w:hAnsi="Verdana" w:cs="Arial"/>
                <w:sz w:val="16"/>
                <w:szCs w:val="16"/>
              </w:rPr>
            </w:pPr>
            <w:r w:rsidRPr="00960F72">
              <w:rPr>
                <w:rFonts w:ascii="Verdana" w:hAnsi="Verdana"/>
                <w:sz w:val="16"/>
                <w:szCs w:val="16"/>
              </w:rPr>
              <w:t>Contratista de la Subdirección de Gestión Contractual</w:t>
            </w:r>
          </w:p>
        </w:tc>
      </w:tr>
      <w:tr w:rsidR="00200D48" w:rsidRPr="00960F72" w14:paraId="25A82D87" w14:textId="77777777" w:rsidTr="008326D5">
        <w:trPr>
          <w:trHeight w:val="330"/>
        </w:trPr>
        <w:tc>
          <w:tcPr>
            <w:tcW w:w="893" w:type="dxa"/>
            <w:vAlign w:val="center"/>
            <w:hideMark/>
          </w:tcPr>
          <w:p w14:paraId="265DE621" w14:textId="77777777" w:rsidR="00200D48" w:rsidRPr="00960F72" w:rsidRDefault="00200D48" w:rsidP="008326D5">
            <w:pPr>
              <w:contextualSpacing/>
              <w:rPr>
                <w:rFonts w:ascii="Verdana" w:hAnsi="Verdana" w:cs="Arial"/>
                <w:sz w:val="16"/>
                <w:szCs w:val="16"/>
                <w:lang w:eastAsia="es-ES"/>
              </w:rPr>
            </w:pPr>
            <w:r w:rsidRPr="00960F72">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B523AF4" w14:textId="77777777" w:rsidR="00200D48" w:rsidRPr="00960F72" w:rsidRDefault="00200D48" w:rsidP="008326D5">
            <w:pPr>
              <w:spacing w:line="276" w:lineRule="auto"/>
              <w:contextualSpacing/>
              <w:jc w:val="both"/>
              <w:rPr>
                <w:rFonts w:ascii="Verdana" w:hAnsi="Verdana"/>
                <w:sz w:val="16"/>
                <w:szCs w:val="16"/>
              </w:rPr>
            </w:pPr>
            <w:r w:rsidRPr="00960F72">
              <w:rPr>
                <w:rFonts w:ascii="Verdana" w:hAnsi="Verdana"/>
                <w:sz w:val="16"/>
                <w:szCs w:val="16"/>
              </w:rPr>
              <w:t>Diana Lucía Saavedra Castañeda</w:t>
            </w:r>
          </w:p>
          <w:p w14:paraId="1CACA0F9" w14:textId="77777777" w:rsidR="00200D48" w:rsidRPr="00960F72" w:rsidRDefault="00200D48" w:rsidP="008326D5">
            <w:pPr>
              <w:spacing w:line="276" w:lineRule="auto"/>
              <w:contextualSpacing/>
              <w:jc w:val="both"/>
              <w:rPr>
                <w:rFonts w:ascii="Verdana" w:hAnsi="Verdana" w:cstheme="minorHAnsi"/>
                <w:sz w:val="16"/>
                <w:szCs w:val="16"/>
              </w:rPr>
            </w:pPr>
            <w:r w:rsidRPr="00960F72">
              <w:rPr>
                <w:rStyle w:val="normaltextrun"/>
                <w:rFonts w:ascii="Verdana" w:eastAsia="Arial" w:hAnsi="Verdana"/>
                <w:sz w:val="16"/>
                <w:szCs w:val="16"/>
              </w:rPr>
              <w:t>Contratita de la</w:t>
            </w:r>
            <w:r w:rsidRPr="00960F72">
              <w:rPr>
                <w:rStyle w:val="normaltextrun"/>
                <w:rFonts w:ascii="Verdana" w:eastAsia="Arial" w:hAnsi="Verdana" w:cs="Arial"/>
                <w:sz w:val="16"/>
                <w:szCs w:val="16"/>
              </w:rPr>
              <w:t xml:space="preserve"> Subdirección de Gestión Contractual</w:t>
            </w:r>
          </w:p>
        </w:tc>
      </w:tr>
      <w:tr w:rsidR="00200D48" w:rsidRPr="00960F72" w14:paraId="32DA7D0D" w14:textId="77777777" w:rsidTr="008326D5">
        <w:trPr>
          <w:trHeight w:val="330"/>
        </w:trPr>
        <w:tc>
          <w:tcPr>
            <w:tcW w:w="893" w:type="dxa"/>
            <w:vAlign w:val="center"/>
          </w:tcPr>
          <w:p w14:paraId="3FE748F1" w14:textId="77777777" w:rsidR="00200D48" w:rsidRPr="00960F72" w:rsidRDefault="00200D48" w:rsidP="008326D5">
            <w:pPr>
              <w:contextualSpacing/>
              <w:rPr>
                <w:rFonts w:ascii="Verdana" w:hAnsi="Verdana" w:cs="Arial"/>
                <w:sz w:val="16"/>
                <w:szCs w:val="16"/>
                <w:lang w:eastAsia="es-ES"/>
              </w:rPr>
            </w:pPr>
            <w:r w:rsidRPr="00960F72">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6E62888" w14:textId="77777777" w:rsidR="00200D48" w:rsidRPr="00960F72" w:rsidRDefault="00200D48" w:rsidP="008326D5">
            <w:pPr>
              <w:contextualSpacing/>
              <w:rPr>
                <w:rFonts w:ascii="Verdana" w:eastAsia="Calibri" w:hAnsi="Verdana" w:cs="Arial"/>
                <w:sz w:val="16"/>
                <w:szCs w:val="16"/>
                <w:lang w:eastAsia="es-ES"/>
              </w:rPr>
            </w:pPr>
            <w:r w:rsidRPr="00960F72">
              <w:rPr>
                <w:rFonts w:ascii="Verdana" w:eastAsia="Calibri" w:hAnsi="Verdana" w:cs="Arial"/>
                <w:sz w:val="16"/>
                <w:szCs w:val="16"/>
                <w:lang w:eastAsia="es-ES"/>
              </w:rPr>
              <w:t xml:space="preserve">Carolina Quintero </w:t>
            </w:r>
            <w:proofErr w:type="spellStart"/>
            <w:r w:rsidRPr="00960F72">
              <w:rPr>
                <w:rFonts w:ascii="Verdana" w:eastAsia="Calibri" w:hAnsi="Verdana" w:cs="Arial"/>
                <w:sz w:val="16"/>
                <w:szCs w:val="16"/>
                <w:lang w:eastAsia="es-ES"/>
              </w:rPr>
              <w:t>Gacharná</w:t>
            </w:r>
            <w:proofErr w:type="spellEnd"/>
          </w:p>
          <w:p w14:paraId="66ADC138" w14:textId="49012EA5" w:rsidR="00200D48" w:rsidRPr="00960F72" w:rsidRDefault="00200D48" w:rsidP="008326D5">
            <w:pPr>
              <w:spacing w:line="276" w:lineRule="auto"/>
              <w:contextualSpacing/>
              <w:jc w:val="both"/>
              <w:rPr>
                <w:rFonts w:ascii="Verdana" w:hAnsi="Verdana"/>
                <w:sz w:val="16"/>
                <w:szCs w:val="16"/>
              </w:rPr>
            </w:pPr>
            <w:r w:rsidRPr="00960F72">
              <w:rPr>
                <w:rFonts w:ascii="Verdana" w:eastAsia="Calibri" w:hAnsi="Verdana" w:cs="Arial"/>
                <w:sz w:val="16"/>
                <w:szCs w:val="16"/>
                <w:lang w:eastAsia="es-ES"/>
              </w:rPr>
              <w:t>Subdirectora de Gestión Contra</w:t>
            </w:r>
            <w:r w:rsidR="00B74773">
              <w:rPr>
                <w:rFonts w:ascii="Verdana" w:eastAsia="Calibri" w:hAnsi="Verdana" w:cs="Arial"/>
                <w:sz w:val="16"/>
                <w:szCs w:val="16"/>
                <w:lang w:eastAsia="es-ES"/>
              </w:rPr>
              <w:t>c</w:t>
            </w:r>
            <w:r w:rsidRPr="00960F72">
              <w:rPr>
                <w:rFonts w:ascii="Verdana" w:eastAsia="Calibri" w:hAnsi="Verdana" w:cs="Arial"/>
                <w:sz w:val="16"/>
                <w:szCs w:val="16"/>
                <w:lang w:eastAsia="es-ES"/>
              </w:rPr>
              <w:t>tual - ANCP – CCE</w:t>
            </w:r>
          </w:p>
        </w:tc>
      </w:tr>
      <w:bookmarkEnd w:id="1"/>
    </w:tbl>
    <w:p w14:paraId="0F293BF4" w14:textId="3960AE23" w:rsidR="00127233" w:rsidRPr="00200D48" w:rsidRDefault="00127233" w:rsidP="00200D48"/>
    <w:sectPr w:rsidR="00127233" w:rsidRPr="00200D48"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44960C" w14:textId="77777777" w:rsidR="00D24C4F" w:rsidRDefault="00D24C4F" w:rsidP="004A1847">
      <w:pPr>
        <w:spacing w:after="0" w:line="240" w:lineRule="auto"/>
      </w:pPr>
      <w:r>
        <w:separator/>
      </w:r>
    </w:p>
  </w:endnote>
  <w:endnote w:type="continuationSeparator" w:id="0">
    <w:p w14:paraId="78DDB6FC" w14:textId="77777777" w:rsidR="00D24C4F" w:rsidRDefault="00D24C4F" w:rsidP="004A1847">
      <w:pPr>
        <w:spacing w:after="0" w:line="240" w:lineRule="auto"/>
      </w:pPr>
      <w:r>
        <w:continuationSeparator/>
      </w:r>
    </w:p>
  </w:endnote>
  <w:endnote w:type="continuationNotice" w:id="1">
    <w:p w14:paraId="64EFF537" w14:textId="77777777" w:rsidR="00D24C4F" w:rsidRDefault="00D24C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03C98E" w14:textId="77777777" w:rsidR="00D24C4F" w:rsidRDefault="00D24C4F" w:rsidP="004A1847">
      <w:pPr>
        <w:spacing w:after="0" w:line="240" w:lineRule="auto"/>
      </w:pPr>
      <w:r>
        <w:separator/>
      </w:r>
    </w:p>
  </w:footnote>
  <w:footnote w:type="continuationSeparator" w:id="0">
    <w:p w14:paraId="20BEACAE" w14:textId="77777777" w:rsidR="00D24C4F" w:rsidRDefault="00D24C4F" w:rsidP="004A1847">
      <w:pPr>
        <w:spacing w:after="0" w:line="240" w:lineRule="auto"/>
      </w:pPr>
      <w:r>
        <w:continuationSeparator/>
      </w:r>
    </w:p>
  </w:footnote>
  <w:footnote w:type="continuationNotice" w:id="1">
    <w:p w14:paraId="0AD04EE7" w14:textId="77777777" w:rsidR="00D24C4F" w:rsidRDefault="00D24C4F">
      <w:pPr>
        <w:spacing w:after="0" w:line="240" w:lineRule="auto"/>
      </w:pPr>
    </w:p>
  </w:footnote>
  <w:footnote w:id="2">
    <w:p w14:paraId="0A890FF5" w14:textId="77777777" w:rsidR="00200D48" w:rsidRPr="00627643" w:rsidRDefault="00200D48" w:rsidP="00200D48">
      <w:pPr>
        <w:pStyle w:val="Textonotapie"/>
        <w:ind w:firstLine="426"/>
        <w:jc w:val="both"/>
        <w:rPr>
          <w:rFonts w:ascii="Verdana" w:hAnsi="Verdana"/>
          <w:sz w:val="16"/>
          <w:szCs w:val="16"/>
          <w:lang w:val="es-CO"/>
        </w:rPr>
      </w:pPr>
      <w:r w:rsidRPr="00627643">
        <w:rPr>
          <w:rStyle w:val="Refdenotaalpie"/>
          <w:rFonts w:ascii="Verdana" w:hAnsi="Verdana"/>
          <w:sz w:val="16"/>
          <w:szCs w:val="16"/>
        </w:rPr>
        <w:footnoteRef/>
      </w:r>
      <w:r w:rsidRPr="00627643">
        <w:rPr>
          <w:rFonts w:ascii="Verdana" w:hAnsi="Verdana"/>
          <w:sz w:val="16"/>
          <w:szCs w:val="16"/>
        </w:rPr>
        <w:t xml:space="preserve"> </w:t>
      </w:r>
      <w:r w:rsidRPr="00627643">
        <w:rPr>
          <w:rFonts w:ascii="Verdana" w:hAnsi="Verdana"/>
          <w:sz w:val="16"/>
          <w:szCs w:val="16"/>
          <w:lang w:val="es-ES"/>
        </w:rPr>
        <w:t>“</w:t>
      </w:r>
      <w:r w:rsidRPr="00627643">
        <w:rPr>
          <w:rFonts w:ascii="Verdana" w:hAnsi="Verdana"/>
          <w:sz w:val="16"/>
          <w:szCs w:val="16"/>
          <w:lang w:val="es-CO"/>
        </w:rPr>
        <w:t>Para poder participar en los procesos de selección de los contratos de obra, la capacidad residual del proponente o K de contratación deberá ser igual o superior al que la entidad haya establecido para el efecto en los pliegos de condiciones</w:t>
      </w:r>
    </w:p>
    <w:p w14:paraId="4735D922" w14:textId="77777777" w:rsidR="00200D48" w:rsidRPr="00627643" w:rsidRDefault="00200D48" w:rsidP="00200D48">
      <w:pPr>
        <w:pStyle w:val="Textonotapie"/>
        <w:jc w:val="both"/>
        <w:rPr>
          <w:rFonts w:ascii="Verdana" w:hAnsi="Verdana"/>
          <w:sz w:val="16"/>
          <w:szCs w:val="16"/>
          <w:lang w:val="es-CO"/>
        </w:rPr>
      </w:pPr>
      <w:r w:rsidRPr="00627643">
        <w:rPr>
          <w:rFonts w:ascii="Verdana" w:hAnsi="Verdana"/>
          <w:sz w:val="16"/>
          <w:szCs w:val="16"/>
          <w:lang w:val="es-CO"/>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3">
    <w:p w14:paraId="77D7D0DA" w14:textId="77777777" w:rsidR="00200D48" w:rsidRPr="00627643" w:rsidRDefault="00200D48" w:rsidP="00200D48">
      <w:pPr>
        <w:ind w:firstLine="567"/>
        <w:jc w:val="both"/>
        <w:rPr>
          <w:rFonts w:ascii="Verdana" w:hAnsi="Verdana"/>
          <w:sz w:val="16"/>
          <w:szCs w:val="16"/>
          <w:lang w:val="es-MX"/>
        </w:rPr>
      </w:pPr>
      <w:r w:rsidRPr="00627643">
        <w:rPr>
          <w:rStyle w:val="Refdenotaalpie"/>
          <w:rFonts w:ascii="Verdana" w:hAnsi="Verdana"/>
          <w:sz w:val="16"/>
          <w:szCs w:val="16"/>
        </w:rPr>
        <w:footnoteRef/>
      </w:r>
      <w:r w:rsidRPr="00627643">
        <w:rPr>
          <w:rFonts w:ascii="Verdana" w:hAnsi="Verdana"/>
          <w:sz w:val="16"/>
          <w:szCs w:val="16"/>
        </w:rPr>
        <w:t xml:space="preserve"> </w:t>
      </w:r>
      <w:r w:rsidRPr="00627643">
        <w:rPr>
          <w:rFonts w:ascii="Verdana" w:hAnsi="Verdana"/>
          <w:sz w:val="16"/>
          <w:szCs w:val="16"/>
          <w:lang w:val="es-MX"/>
        </w:rPr>
        <w:t xml:space="preserve">Gaceta 096 de 2007. Pág. 9. Allí se lee: “Parágrafo 2°. Nuevo. Se adiciona un parágrafo nuevo para establecer de manera concreta que las certificaciones de sistemas de gestión de calidad no serán objeto de calificación, ni podrán establecerse como documento habilitante para participar en licitaciones o concursos, con el fin de evitar la exclusión de aquellas personas o empresas principalmente en regiones apartadas que carecen de tal requisito. Dejando sin embargo a la administración la posibilidad de fijar la implementación de planes de calidad” (Cursivas propias). </w:t>
      </w:r>
    </w:p>
  </w:footnote>
  <w:footnote w:id="4">
    <w:p w14:paraId="2D7443CB" w14:textId="77777777" w:rsidR="00200D48" w:rsidRPr="00627643" w:rsidRDefault="00200D48" w:rsidP="00200D48">
      <w:pPr>
        <w:pStyle w:val="Textonotapie"/>
        <w:ind w:firstLine="567"/>
        <w:jc w:val="both"/>
        <w:rPr>
          <w:rFonts w:ascii="Verdana" w:hAnsi="Verdana"/>
          <w:sz w:val="16"/>
          <w:szCs w:val="16"/>
          <w:lang w:val="es-CO"/>
        </w:rPr>
      </w:pPr>
      <w:r w:rsidRPr="00627643">
        <w:rPr>
          <w:rStyle w:val="Refdenotaalpie"/>
          <w:rFonts w:ascii="Verdana" w:hAnsi="Verdana"/>
          <w:sz w:val="16"/>
          <w:szCs w:val="16"/>
        </w:rPr>
        <w:footnoteRef/>
      </w:r>
      <w:r w:rsidRPr="00627643">
        <w:rPr>
          <w:rFonts w:ascii="Verdana" w:hAnsi="Verdana"/>
          <w:sz w:val="16"/>
          <w:szCs w:val="16"/>
        </w:rPr>
        <w:t xml:space="preserve"> Según este parágrafo</w:t>
      </w:r>
      <w:r w:rsidRPr="00627643">
        <w:rPr>
          <w:rFonts w:ascii="Verdana" w:hAnsi="Verdana" w:cs="Arial"/>
          <w:color w:val="000000" w:themeColor="text1"/>
          <w:sz w:val="16"/>
          <w:szCs w:val="16"/>
          <w:lang w:val="es-ES_tradnl"/>
        </w:rPr>
        <w:t xml:space="preserve"> </w:t>
      </w:r>
      <w:r w:rsidRPr="00627643">
        <w:rPr>
          <w:rFonts w:ascii="Verdana" w:hAnsi="Verdana"/>
          <w:sz w:val="16"/>
          <w:szCs w:val="16"/>
          <w:lang w:val="es-ES_tradnl"/>
        </w:rPr>
        <w:t>las certificaciones de sistemas de gestión de calidad no serán objeto de calificación, ni podrán establecerse como documento habilitante para participar en licitaciones o concursos.</w:t>
      </w:r>
      <w:r w:rsidRPr="00627643">
        <w:rPr>
          <w:rFonts w:ascii="Verdana" w:hAnsi="Verdana"/>
          <w:sz w:val="16"/>
          <w:szCs w:val="16"/>
        </w:rPr>
        <w:t xml:space="preserve"> </w:t>
      </w:r>
    </w:p>
  </w:footnote>
  <w:footnote w:id="5">
    <w:p w14:paraId="60597B51" w14:textId="77777777" w:rsidR="00200D48" w:rsidRPr="00627643" w:rsidRDefault="00200D48" w:rsidP="00200D48">
      <w:pPr>
        <w:pStyle w:val="Textonotapie"/>
        <w:ind w:firstLine="567"/>
        <w:jc w:val="both"/>
        <w:rPr>
          <w:rFonts w:ascii="Verdana" w:hAnsi="Verdana"/>
          <w:sz w:val="16"/>
          <w:szCs w:val="16"/>
        </w:rPr>
      </w:pPr>
      <w:r w:rsidRPr="00627643">
        <w:rPr>
          <w:rStyle w:val="Refdenotaalpie"/>
          <w:rFonts w:ascii="Verdana" w:hAnsi="Verdana"/>
          <w:sz w:val="16"/>
          <w:szCs w:val="16"/>
        </w:rPr>
        <w:footnoteRef/>
      </w:r>
      <w:r w:rsidRPr="00627643">
        <w:rPr>
          <w:rFonts w:ascii="Verdana" w:hAnsi="Verdana"/>
          <w:sz w:val="16"/>
          <w:szCs w:val="16"/>
        </w:rPr>
        <w:t xml:space="preserve"> Artículo 2.2.1.1.1.5.3. Requisitos habilitantes contenidos en el RUP. Las cámaras de comercio, con base en la información a la que hace referencia el artículo anterior, deben verificar y certificar los siguientes requisitos habilitantes:</w:t>
      </w:r>
    </w:p>
    <w:p w14:paraId="63DCB195" w14:textId="77777777" w:rsidR="00200D48" w:rsidRPr="00627643" w:rsidRDefault="00200D48" w:rsidP="00200D48">
      <w:pPr>
        <w:pStyle w:val="Textonotapie"/>
        <w:ind w:firstLine="567"/>
        <w:jc w:val="both"/>
        <w:rPr>
          <w:rFonts w:ascii="Verdana" w:hAnsi="Verdana"/>
          <w:sz w:val="16"/>
          <w:szCs w:val="16"/>
        </w:rPr>
      </w:pPr>
      <w:r w:rsidRPr="00627643">
        <w:rPr>
          <w:rFonts w:ascii="Verdana" w:hAnsi="Verdana"/>
          <w:sz w:val="16"/>
          <w:szCs w:val="16"/>
        </w:rPr>
        <w:t>1. Experiencia – Los contratos celebrados por el interesado para cada uno de los bienes, obras y servicios que ofrecerá a las Entidades Estatales, identificados con el Clasificador de Bienes y Servicios en el tercer nivel y su valor expresado en smmlv.</w:t>
      </w:r>
    </w:p>
    <w:p w14:paraId="24959532" w14:textId="77777777" w:rsidR="00200D48" w:rsidRPr="00627643" w:rsidRDefault="00200D48" w:rsidP="00200D48">
      <w:pPr>
        <w:pStyle w:val="Textonotapie"/>
        <w:jc w:val="both"/>
        <w:rPr>
          <w:rFonts w:ascii="Verdana" w:hAnsi="Verdana"/>
          <w:sz w:val="16"/>
          <w:szCs w:val="16"/>
        </w:rPr>
      </w:pPr>
      <w:r w:rsidRPr="00627643">
        <w:rPr>
          <w:rFonts w:ascii="Verdana" w:hAnsi="Verdana"/>
          <w:sz w:val="16"/>
          <w:szCs w:val="16"/>
        </w:rPr>
        <w:t>Los contratos celebrados por consorcios, uniones temporales y sociedades en las cuales el interesado tenga o haya tenido participación, para cada uno de los bienes, obras y servicios que ofrecerá a las Entidades Estatales, identificados con el Clasificador de Bienes y Servicios en el tercer nivel y su valor expresado en smmlv.</w:t>
      </w:r>
    </w:p>
    <w:p w14:paraId="19896081" w14:textId="77777777" w:rsidR="00200D48" w:rsidRPr="00627643" w:rsidRDefault="00200D48" w:rsidP="00200D48">
      <w:pPr>
        <w:pStyle w:val="Textonotapie"/>
        <w:ind w:firstLine="709"/>
        <w:jc w:val="both"/>
        <w:rPr>
          <w:rFonts w:ascii="Verdana" w:hAnsi="Verdana"/>
          <w:sz w:val="16"/>
          <w:szCs w:val="16"/>
        </w:rPr>
      </w:pPr>
      <w:r w:rsidRPr="00627643">
        <w:rPr>
          <w:rFonts w:ascii="Verdana" w:hAnsi="Verdana"/>
          <w:sz w:val="16"/>
          <w:szCs w:val="16"/>
        </w:rPr>
        <w:t>2. Capacidad Jurídica – La capacidad jurídica del proponente para prestar los bienes, obras, o servicios que ofrecerá a las Entidades Estatales y la capacidad del representante legal de las personas jurídicas para celebrar contratos y si requiere, autorizaciones para el efecto con ocasión de los límites a la capacidad del representante legal del interesado en relación con el monto y el tipo de las obligaciones que puede adquirir a nombre del interesado.</w:t>
      </w:r>
    </w:p>
    <w:p w14:paraId="4647F753" w14:textId="77777777" w:rsidR="00200D48" w:rsidRPr="00627643" w:rsidRDefault="00200D48" w:rsidP="00200D48">
      <w:pPr>
        <w:pStyle w:val="Textonotapie"/>
        <w:ind w:firstLine="567"/>
        <w:jc w:val="both"/>
        <w:rPr>
          <w:rFonts w:ascii="Verdana" w:hAnsi="Verdana"/>
          <w:sz w:val="16"/>
          <w:szCs w:val="16"/>
        </w:rPr>
      </w:pPr>
      <w:r w:rsidRPr="00627643">
        <w:rPr>
          <w:rFonts w:ascii="Verdana" w:hAnsi="Verdana"/>
          <w:sz w:val="16"/>
          <w:szCs w:val="16"/>
        </w:rPr>
        <w:t>3. Capacidad Financiera – los siguientes indicadores miden la fortaleza financiera del interesado:</w:t>
      </w:r>
    </w:p>
    <w:p w14:paraId="51E80969" w14:textId="77777777" w:rsidR="00200D48" w:rsidRPr="00627643" w:rsidRDefault="00200D48" w:rsidP="00200D48">
      <w:pPr>
        <w:pStyle w:val="Textonotapie"/>
        <w:ind w:firstLine="567"/>
        <w:jc w:val="both"/>
        <w:rPr>
          <w:rFonts w:ascii="Verdana" w:hAnsi="Verdana"/>
          <w:sz w:val="16"/>
          <w:szCs w:val="16"/>
        </w:rPr>
      </w:pPr>
      <w:r w:rsidRPr="00627643">
        <w:rPr>
          <w:rFonts w:ascii="Verdana" w:hAnsi="Verdana"/>
          <w:sz w:val="16"/>
          <w:szCs w:val="16"/>
        </w:rPr>
        <w:t>3.1. Índice de liquidez: activo corriente dividido por el pasivo corriente.</w:t>
      </w:r>
    </w:p>
    <w:p w14:paraId="4DBDEE51" w14:textId="77777777" w:rsidR="00200D48" w:rsidRPr="00627643" w:rsidRDefault="00200D48" w:rsidP="00200D48">
      <w:pPr>
        <w:pStyle w:val="Textonotapie"/>
        <w:ind w:firstLine="567"/>
        <w:jc w:val="both"/>
        <w:rPr>
          <w:rFonts w:ascii="Verdana" w:hAnsi="Verdana"/>
          <w:sz w:val="16"/>
          <w:szCs w:val="16"/>
        </w:rPr>
      </w:pPr>
      <w:r w:rsidRPr="00627643">
        <w:rPr>
          <w:rFonts w:ascii="Verdana" w:hAnsi="Verdana"/>
          <w:sz w:val="16"/>
          <w:szCs w:val="16"/>
        </w:rPr>
        <w:t>3.2. Índice de endeudamiento: pasivo total dividido por el activo total.</w:t>
      </w:r>
    </w:p>
    <w:p w14:paraId="0A6C65DB" w14:textId="77777777" w:rsidR="00200D48" w:rsidRPr="00627643" w:rsidRDefault="00200D48" w:rsidP="00200D48">
      <w:pPr>
        <w:pStyle w:val="Textonotapie"/>
        <w:ind w:firstLine="567"/>
        <w:jc w:val="both"/>
        <w:rPr>
          <w:rFonts w:ascii="Verdana" w:hAnsi="Verdana"/>
          <w:sz w:val="16"/>
          <w:szCs w:val="16"/>
        </w:rPr>
      </w:pPr>
      <w:r w:rsidRPr="00627643">
        <w:rPr>
          <w:rFonts w:ascii="Verdana" w:hAnsi="Verdana"/>
          <w:sz w:val="16"/>
          <w:szCs w:val="16"/>
        </w:rPr>
        <w:t>3.3. Razón de cobertura de intereses: utilidad operacional dividida por los gastos de intereses.</w:t>
      </w:r>
    </w:p>
    <w:p w14:paraId="7B8C4085" w14:textId="77777777" w:rsidR="00200D48" w:rsidRPr="00627643" w:rsidRDefault="00200D48" w:rsidP="00200D48">
      <w:pPr>
        <w:pStyle w:val="Textonotapie"/>
        <w:ind w:firstLine="567"/>
        <w:jc w:val="both"/>
        <w:rPr>
          <w:rFonts w:ascii="Verdana" w:hAnsi="Verdana"/>
          <w:sz w:val="16"/>
          <w:szCs w:val="16"/>
        </w:rPr>
      </w:pPr>
      <w:r w:rsidRPr="00627643">
        <w:rPr>
          <w:rFonts w:ascii="Verdana" w:hAnsi="Verdana"/>
          <w:sz w:val="16"/>
          <w:szCs w:val="16"/>
        </w:rPr>
        <w:t>4. Capacidad Organizacional – los siguientes indicadores miden el rendimiento de las inversiones y la eficiencia en el uso de activos del interesado:</w:t>
      </w:r>
    </w:p>
    <w:p w14:paraId="4E9436D6" w14:textId="77777777" w:rsidR="00200D48" w:rsidRPr="00627643" w:rsidRDefault="00200D48" w:rsidP="00200D48">
      <w:pPr>
        <w:pStyle w:val="Textonotapie"/>
        <w:ind w:firstLine="567"/>
        <w:jc w:val="both"/>
        <w:rPr>
          <w:rFonts w:ascii="Verdana" w:hAnsi="Verdana"/>
          <w:sz w:val="16"/>
          <w:szCs w:val="16"/>
        </w:rPr>
      </w:pPr>
      <w:r w:rsidRPr="00627643">
        <w:rPr>
          <w:rFonts w:ascii="Verdana" w:hAnsi="Verdana"/>
          <w:sz w:val="16"/>
          <w:szCs w:val="16"/>
        </w:rPr>
        <w:t>4.1. Rentabilidad del patrimonio: utilidad operacional dividida por el patrimonio.</w:t>
      </w:r>
    </w:p>
    <w:p w14:paraId="270887C9" w14:textId="77777777" w:rsidR="00200D48" w:rsidRPr="00627643" w:rsidRDefault="00200D48" w:rsidP="00200D48">
      <w:pPr>
        <w:pStyle w:val="Textonotapie"/>
        <w:ind w:firstLine="567"/>
        <w:jc w:val="both"/>
        <w:rPr>
          <w:rFonts w:ascii="Verdana" w:hAnsi="Verdana"/>
          <w:sz w:val="16"/>
          <w:szCs w:val="16"/>
          <w:lang w:val="es-CO"/>
        </w:rPr>
      </w:pPr>
      <w:r w:rsidRPr="00627643">
        <w:rPr>
          <w:rFonts w:ascii="Verdana" w:hAnsi="Verdana"/>
          <w:sz w:val="16"/>
          <w:szCs w:val="16"/>
        </w:rPr>
        <w:t>4.2. Rentabilidad del activo: utilidad operacional dividida por el activo total”.</w:t>
      </w:r>
    </w:p>
  </w:footnote>
  <w:footnote w:id="6">
    <w:p w14:paraId="0D4DEDE8" w14:textId="77777777" w:rsidR="00200D48" w:rsidRPr="00DD1941" w:rsidRDefault="00200D48" w:rsidP="00200D48">
      <w:pPr>
        <w:pStyle w:val="Textonotapie"/>
        <w:ind w:firstLine="567"/>
        <w:jc w:val="both"/>
        <w:rPr>
          <w:rFonts w:ascii="Verdana" w:hAnsi="Verdana"/>
          <w:sz w:val="16"/>
          <w:szCs w:val="16"/>
          <w:lang w:val="es-CO"/>
        </w:rPr>
      </w:pPr>
      <w:r w:rsidRPr="00DD1941">
        <w:rPr>
          <w:rStyle w:val="Refdenotaalpie"/>
          <w:rFonts w:ascii="Verdana" w:hAnsi="Verdana"/>
          <w:sz w:val="16"/>
          <w:szCs w:val="16"/>
        </w:rPr>
        <w:footnoteRef/>
      </w:r>
      <w:r w:rsidRPr="00DD1941">
        <w:rPr>
          <w:rFonts w:ascii="Verdana" w:hAnsi="Verdana"/>
          <w:sz w:val="16"/>
          <w:szCs w:val="16"/>
        </w:rPr>
        <w:t xml:space="preserve"> “Artículo 2.2.1.1.1.6.2. Determinación de los Requisitos Habilitantes. La Entidad Estatal debe establecer los</w:t>
      </w:r>
      <w:r>
        <w:rPr>
          <w:rFonts w:ascii="Verdana" w:hAnsi="Verdana"/>
          <w:sz w:val="16"/>
          <w:szCs w:val="16"/>
        </w:rPr>
        <w:t xml:space="preserve"> </w:t>
      </w:r>
      <w:r w:rsidRPr="00DD1941">
        <w:rPr>
          <w:rFonts w:ascii="Verdana" w:hAnsi="Verdana"/>
          <w:sz w:val="16"/>
          <w:szCs w:val="16"/>
        </w:rPr>
        <w:t>requisitos habilitantes en los pliegos de condiciones o en la invitación, teniendo en cuenta: (a) el Riesgo del</w:t>
      </w:r>
      <w:r>
        <w:rPr>
          <w:rFonts w:ascii="Verdana" w:hAnsi="Verdana"/>
          <w:sz w:val="16"/>
          <w:szCs w:val="16"/>
        </w:rPr>
        <w:t xml:space="preserve"> </w:t>
      </w:r>
      <w:r w:rsidRPr="00DD1941">
        <w:rPr>
          <w:rFonts w:ascii="Verdana" w:hAnsi="Verdana"/>
          <w:sz w:val="16"/>
          <w:szCs w:val="16"/>
        </w:rPr>
        <w:t>Proceso de Contratación; (b) el valor del contrato objeto del Proceso de Contratación; (c) el análisis del</w:t>
      </w:r>
      <w:r>
        <w:rPr>
          <w:rFonts w:ascii="Verdana" w:hAnsi="Verdana"/>
          <w:sz w:val="16"/>
          <w:szCs w:val="16"/>
        </w:rPr>
        <w:t xml:space="preserve"> </w:t>
      </w:r>
      <w:r w:rsidRPr="00DD1941">
        <w:rPr>
          <w:rFonts w:ascii="Verdana" w:hAnsi="Verdana"/>
          <w:sz w:val="16"/>
          <w:szCs w:val="16"/>
        </w:rPr>
        <w:t>sector económico respectivo; y (d) el conocimiento de fondo de los posibles oferentes desde la perspectiva</w:t>
      </w:r>
      <w:r>
        <w:rPr>
          <w:rFonts w:ascii="Verdana" w:hAnsi="Verdana"/>
          <w:sz w:val="16"/>
          <w:szCs w:val="16"/>
        </w:rPr>
        <w:t xml:space="preserve"> </w:t>
      </w:r>
      <w:r w:rsidRPr="00DD1941">
        <w:rPr>
          <w:rFonts w:ascii="Verdana" w:hAnsi="Verdana"/>
          <w:sz w:val="16"/>
          <w:szCs w:val="16"/>
        </w:rPr>
        <w:t>comercial. La Entidad Estatal no debe limitarse a la aplicación mecánica de fórmulas financieras para verificar los requisitos habilitantes”.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22826869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25D4"/>
    <w:rsid w:val="00046945"/>
    <w:rsid w:val="00061B2A"/>
    <w:rsid w:val="00082362"/>
    <w:rsid w:val="000A683E"/>
    <w:rsid w:val="000B19B9"/>
    <w:rsid w:val="000D0334"/>
    <w:rsid w:val="000D6794"/>
    <w:rsid w:val="000F6486"/>
    <w:rsid w:val="000F6D5B"/>
    <w:rsid w:val="00112057"/>
    <w:rsid w:val="00125105"/>
    <w:rsid w:val="00127233"/>
    <w:rsid w:val="001C4A4E"/>
    <w:rsid w:val="001E4177"/>
    <w:rsid w:val="001F7DC6"/>
    <w:rsid w:val="00200D48"/>
    <w:rsid w:val="002421BB"/>
    <w:rsid w:val="002460C3"/>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86819"/>
    <w:rsid w:val="003A779E"/>
    <w:rsid w:val="003B2CCF"/>
    <w:rsid w:val="003D0F4D"/>
    <w:rsid w:val="003D5B0D"/>
    <w:rsid w:val="003E0499"/>
    <w:rsid w:val="003F3941"/>
    <w:rsid w:val="00406575"/>
    <w:rsid w:val="00414C74"/>
    <w:rsid w:val="0042722E"/>
    <w:rsid w:val="00432DE2"/>
    <w:rsid w:val="00440523"/>
    <w:rsid w:val="0044528D"/>
    <w:rsid w:val="004639F3"/>
    <w:rsid w:val="00492897"/>
    <w:rsid w:val="004A1847"/>
    <w:rsid w:val="004A305D"/>
    <w:rsid w:val="004F21C4"/>
    <w:rsid w:val="004F685F"/>
    <w:rsid w:val="005566E8"/>
    <w:rsid w:val="00574867"/>
    <w:rsid w:val="00591460"/>
    <w:rsid w:val="005C3777"/>
    <w:rsid w:val="005C5CDC"/>
    <w:rsid w:val="005D476C"/>
    <w:rsid w:val="005E1BE8"/>
    <w:rsid w:val="006219F8"/>
    <w:rsid w:val="00624EB8"/>
    <w:rsid w:val="006302F7"/>
    <w:rsid w:val="00647BB6"/>
    <w:rsid w:val="00665D70"/>
    <w:rsid w:val="006900D9"/>
    <w:rsid w:val="006A760C"/>
    <w:rsid w:val="006D14C8"/>
    <w:rsid w:val="006D5807"/>
    <w:rsid w:val="006E623E"/>
    <w:rsid w:val="00706C16"/>
    <w:rsid w:val="00756841"/>
    <w:rsid w:val="007649AB"/>
    <w:rsid w:val="00771D0C"/>
    <w:rsid w:val="007833AC"/>
    <w:rsid w:val="007B268C"/>
    <w:rsid w:val="007B7171"/>
    <w:rsid w:val="007C0C0F"/>
    <w:rsid w:val="007C3DC2"/>
    <w:rsid w:val="007D7198"/>
    <w:rsid w:val="007E5497"/>
    <w:rsid w:val="00806F5F"/>
    <w:rsid w:val="00820278"/>
    <w:rsid w:val="00867F95"/>
    <w:rsid w:val="008843B6"/>
    <w:rsid w:val="00891928"/>
    <w:rsid w:val="00897A3A"/>
    <w:rsid w:val="008A446D"/>
    <w:rsid w:val="008D180B"/>
    <w:rsid w:val="008F0EA7"/>
    <w:rsid w:val="00902E9A"/>
    <w:rsid w:val="00923EEF"/>
    <w:rsid w:val="009419F9"/>
    <w:rsid w:val="0095685E"/>
    <w:rsid w:val="00961B09"/>
    <w:rsid w:val="00965334"/>
    <w:rsid w:val="0097093E"/>
    <w:rsid w:val="00980A51"/>
    <w:rsid w:val="0099478A"/>
    <w:rsid w:val="009A0DFA"/>
    <w:rsid w:val="009B25A8"/>
    <w:rsid w:val="009B2D26"/>
    <w:rsid w:val="009C71FA"/>
    <w:rsid w:val="009C72E7"/>
    <w:rsid w:val="009D3058"/>
    <w:rsid w:val="009F3A13"/>
    <w:rsid w:val="00A122D3"/>
    <w:rsid w:val="00A17F13"/>
    <w:rsid w:val="00A20739"/>
    <w:rsid w:val="00A2390B"/>
    <w:rsid w:val="00A33C78"/>
    <w:rsid w:val="00AB0ADB"/>
    <w:rsid w:val="00B00C0E"/>
    <w:rsid w:val="00B01B1A"/>
    <w:rsid w:val="00B0273F"/>
    <w:rsid w:val="00B2347E"/>
    <w:rsid w:val="00B44A47"/>
    <w:rsid w:val="00B70264"/>
    <w:rsid w:val="00B72CD3"/>
    <w:rsid w:val="00B72FFF"/>
    <w:rsid w:val="00B74773"/>
    <w:rsid w:val="00BB37EB"/>
    <w:rsid w:val="00BC3D36"/>
    <w:rsid w:val="00BC7FE6"/>
    <w:rsid w:val="00BD7F72"/>
    <w:rsid w:val="00C04FB3"/>
    <w:rsid w:val="00C330EB"/>
    <w:rsid w:val="00C74139"/>
    <w:rsid w:val="00C754BE"/>
    <w:rsid w:val="00C76B1C"/>
    <w:rsid w:val="00C91BB4"/>
    <w:rsid w:val="00CB1FFA"/>
    <w:rsid w:val="00CB6357"/>
    <w:rsid w:val="00CC1B26"/>
    <w:rsid w:val="00CC1B9A"/>
    <w:rsid w:val="00CF292F"/>
    <w:rsid w:val="00D24624"/>
    <w:rsid w:val="00D24C4F"/>
    <w:rsid w:val="00D318C4"/>
    <w:rsid w:val="00D423A2"/>
    <w:rsid w:val="00D520D8"/>
    <w:rsid w:val="00D63AC2"/>
    <w:rsid w:val="00D7383B"/>
    <w:rsid w:val="00D906C4"/>
    <w:rsid w:val="00DA231B"/>
    <w:rsid w:val="00DC39FC"/>
    <w:rsid w:val="00DF5254"/>
    <w:rsid w:val="00E16408"/>
    <w:rsid w:val="00E20894"/>
    <w:rsid w:val="00E245AB"/>
    <w:rsid w:val="00E2764C"/>
    <w:rsid w:val="00E27F2E"/>
    <w:rsid w:val="00E44C63"/>
    <w:rsid w:val="00E50AFE"/>
    <w:rsid w:val="00E707B8"/>
    <w:rsid w:val="00E75C92"/>
    <w:rsid w:val="00E771DC"/>
    <w:rsid w:val="00E8772A"/>
    <w:rsid w:val="00E90F6B"/>
    <w:rsid w:val="00E92C27"/>
    <w:rsid w:val="00EA0E3D"/>
    <w:rsid w:val="00EC38A7"/>
    <w:rsid w:val="00EE1AA8"/>
    <w:rsid w:val="00F20117"/>
    <w:rsid w:val="00F31EDC"/>
    <w:rsid w:val="00F462B3"/>
    <w:rsid w:val="00F5664F"/>
    <w:rsid w:val="00F666C4"/>
    <w:rsid w:val="00F76AFC"/>
    <w:rsid w:val="00FA47C0"/>
    <w:rsid w:val="00FB5DD1"/>
    <w:rsid w:val="00FC2B5D"/>
    <w:rsid w:val="00FF1449"/>
    <w:rsid w:val="2EF6D0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00D4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00D48"/>
    <w:rPr>
      <w:rFonts w:ascii="Geomanist Light" w:hAnsi="Geomanist Light"/>
      <w:lang w:val="es-ES"/>
    </w:rPr>
  </w:style>
  <w:style w:type="paragraph" w:styleId="Textoindependiente">
    <w:name w:val="Body Text"/>
    <w:basedOn w:val="Normal"/>
    <w:link w:val="TextoindependienteCar"/>
    <w:uiPriority w:val="1"/>
    <w:qFormat/>
    <w:rsid w:val="00200D48"/>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200D48"/>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diana.blanco%40colombiacompra.gov.co%7C5aad36a736844ec87b2108dcc1fa4639%7C7b09041e245149d08cb179d5e3d8c1be%7C0%7C0%7C638598527917590308%7CUnknown%7CTWFpbGZsb3d8eyJWIjoiMC4wLjAwMDAiLCJQIjoiV2luMzIiLCJBTiI6Ik1haWwiLCJXVCI6Mn0%3D%7C0%7C%7C%7C&amp;sdata=20bTO%2BV9qR58r83wa63pBfbKVVpQa4CxfO3WRNMrKeM%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manuales-guias-y-pliegos-tipo/manuales-y-guia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providencias-consejo-de-estado/"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sites%2Fcce_public%2Ffiles%2Ffiles_2020%2Fboletin_de_realtoria_iii.pdf&amp;data=05%7C02%7Cdiana.blanco%40colombiacompra.gov.co%7C5aad36a736844ec87b2108dcc1fa4639%7C7b09041e245149d08cb179d5e3d8c1be%7C0%7C0%7C638598527917605093%7CUnknown%7CTWFpbGZsb3d8eyJWIjoiMC4wLjAwMDAiLCJQIjoiV2luMzIiLCJBTiI6Ik1haWwiLCJXVCI6Mn0%3D%7C0%7C%7C%7C&amp;sdata=GC1x4nLNGPX5zoV2M4K11reL8XIUFpjc0LcVId%2FHtg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A56F808-F00C-4BB1-BA8D-C8469A4707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9d85dbaf-23eb-4e57-a637-93dcacc8b1a1"/>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schemas.microsoft.com/office/2006/metadata/properties"/>
    <ds:schemaRef ds:uri="http://purl.org/dc/elements/1.1/"/>
    <ds:schemaRef ds:uri="a6cb9e4b-f1d1-4245-83ec-6cad768d538a"/>
    <ds:schemaRef ds:uri="http://www.w3.org/XML/1998/namespace"/>
    <ds:schemaRef ds:uri="http://purl.org/dc/dcmitype/"/>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14</Pages>
  <Words>4849</Words>
  <Characters>26671</Characters>
  <Application>Microsoft Office Word</Application>
  <DocSecurity>0</DocSecurity>
  <Lines>222</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2025-10-10T16:16:00Z</dcterms:created>
  <dcterms:modified xsi:type="dcterms:W3CDTF">2025-10-10T16:16:00Z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