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DE73E" w14:textId="77777777" w:rsidR="00B4318D" w:rsidRPr="00B4318D" w:rsidRDefault="00B4318D" w:rsidP="00B4318D">
      <w:pPr>
        <w:spacing w:after="0" w:line="240" w:lineRule="auto"/>
        <w:jc w:val="both"/>
        <w:rPr>
          <w:rFonts w:ascii="Verdana" w:hAnsi="Verdana"/>
          <w:b/>
        </w:rPr>
      </w:pPr>
      <w:bookmarkStart w:id="0" w:name="_Hlk143780582"/>
      <w:r w:rsidRPr="00B4318D">
        <w:rPr>
          <w:rFonts w:ascii="Verdana" w:hAnsi="Verdana"/>
          <w:b/>
        </w:rPr>
        <w:t xml:space="preserve">LIQUIDACIÓN – Definición – Objetivo </w:t>
      </w:r>
    </w:p>
    <w:p w14:paraId="5357AC0B" w14:textId="3C45A8A8" w:rsidR="00B4318D" w:rsidRPr="00B4318D" w:rsidRDefault="00B4318D" w:rsidP="00B4318D">
      <w:pPr>
        <w:spacing w:after="0" w:line="240" w:lineRule="auto"/>
        <w:jc w:val="both"/>
        <w:rPr>
          <w:rFonts w:ascii="Verdana" w:hAnsi="Verdana"/>
          <w:b/>
        </w:rPr>
      </w:pPr>
    </w:p>
    <w:p w14:paraId="5764038E" w14:textId="4CF9BA27" w:rsidR="00B4318D" w:rsidRPr="00B4318D" w:rsidRDefault="00B4318D" w:rsidP="00B4318D">
      <w:pPr>
        <w:spacing w:after="0" w:line="240" w:lineRule="auto"/>
        <w:jc w:val="both"/>
        <w:rPr>
          <w:rFonts w:ascii="Verdana" w:hAnsi="Verdana"/>
          <w:sz w:val="20"/>
          <w:lang w:val="es-ES_tradnl"/>
        </w:rPr>
      </w:pPr>
      <w:r>
        <w:rPr>
          <w:rFonts w:ascii="Verdana" w:hAnsi="Verdana"/>
          <w:sz w:val="20"/>
          <w:lang w:val="es-ES_tradnl"/>
        </w:rPr>
        <w:t xml:space="preserve">[…] </w:t>
      </w:r>
      <w:r w:rsidRPr="00B4318D">
        <w:rPr>
          <w:rFonts w:ascii="Verdana" w:hAnsi="Verdana"/>
          <w:sz w:val="20"/>
          <w:lang w:val="es-ES_tradnl"/>
        </w:rPr>
        <w:t xml:space="preserve">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B4318D">
        <w:rPr>
          <w:rFonts w:ascii="Verdana" w:hAnsi="Verdana"/>
          <w:i/>
          <w:iCs/>
          <w:sz w:val="20"/>
          <w:lang w:val="es-ES_tradnl"/>
        </w:rPr>
        <w:t>liquidar</w:t>
      </w:r>
      <w:r w:rsidRPr="00B4318D">
        <w:rPr>
          <w:rFonts w:ascii="Verdana" w:hAnsi="Verdana"/>
          <w:sz w:val="20"/>
          <w:lang w:val="es-ES_tradnl"/>
        </w:rPr>
        <w:t xml:space="preserve"> supone un ajuste en relación con las cuentas y el estado de cumplimiento del contrato estatal y, por el otro, que la </w:t>
      </w:r>
      <w:r w:rsidRPr="00B4318D">
        <w:rPr>
          <w:rFonts w:ascii="Verdana" w:hAnsi="Verdana"/>
          <w:i/>
          <w:iCs/>
          <w:sz w:val="20"/>
          <w:lang w:val="es-ES_tradnl"/>
        </w:rPr>
        <w:t>liquidación</w:t>
      </w:r>
      <w:r w:rsidRPr="00B4318D">
        <w:rPr>
          <w:rFonts w:ascii="Verdana" w:hAnsi="Verdana"/>
          <w:sz w:val="20"/>
          <w:lang w:val="es-ES_tradnl"/>
        </w:rPr>
        <w:t xml:space="preserve"> debe incluir el análisis de las condiciones de calidad y oportunidad en la entrega de los bienes, obras o servicios, así como el balance económico y el comportamiento financiero del negocio.</w:t>
      </w:r>
    </w:p>
    <w:p w14:paraId="52DEE8D7" w14:textId="77777777" w:rsidR="00B4318D" w:rsidRPr="00B4318D" w:rsidRDefault="00B4318D" w:rsidP="00B4318D">
      <w:pPr>
        <w:spacing w:after="0" w:line="240" w:lineRule="auto"/>
        <w:jc w:val="both"/>
        <w:rPr>
          <w:rFonts w:ascii="Verdana" w:hAnsi="Verdana"/>
          <w:b/>
        </w:rPr>
      </w:pPr>
    </w:p>
    <w:p w14:paraId="4E9DFA87" w14:textId="77777777" w:rsidR="00B4318D" w:rsidRPr="00B4318D" w:rsidRDefault="00B4318D" w:rsidP="00B4318D">
      <w:pPr>
        <w:spacing w:after="0" w:line="240" w:lineRule="auto"/>
        <w:jc w:val="both"/>
        <w:rPr>
          <w:rFonts w:ascii="Verdana" w:hAnsi="Verdana"/>
          <w:b/>
        </w:rPr>
      </w:pPr>
      <w:r w:rsidRPr="00B4318D">
        <w:rPr>
          <w:rFonts w:ascii="Verdana" w:hAnsi="Verdana"/>
          <w:b/>
        </w:rPr>
        <w:t>LIQUIDACIÓN BILATERAL – Concepto – Fundamento normativo</w:t>
      </w:r>
    </w:p>
    <w:p w14:paraId="54E4DCE2" w14:textId="77777777" w:rsidR="00B4318D" w:rsidRPr="00B4318D" w:rsidRDefault="00B4318D" w:rsidP="00B4318D">
      <w:pPr>
        <w:spacing w:after="0" w:line="240" w:lineRule="auto"/>
        <w:jc w:val="both"/>
        <w:rPr>
          <w:rFonts w:ascii="Verdana" w:hAnsi="Verdana"/>
          <w:b/>
        </w:rPr>
      </w:pPr>
    </w:p>
    <w:p w14:paraId="03B1ADE9" w14:textId="77777777" w:rsidR="00B4318D" w:rsidRPr="00B4318D" w:rsidRDefault="00B4318D" w:rsidP="00B4318D">
      <w:pPr>
        <w:spacing w:after="0" w:line="240" w:lineRule="auto"/>
        <w:jc w:val="both"/>
        <w:rPr>
          <w:rFonts w:ascii="Verdana" w:hAnsi="Verdana"/>
          <w:sz w:val="20"/>
          <w:lang w:val="es-ES_tradnl"/>
        </w:rPr>
      </w:pPr>
      <w:r w:rsidRPr="00B4318D">
        <w:rPr>
          <w:rFonts w:ascii="Verdana" w:hAnsi="Verdana"/>
          <w:sz w:val="20"/>
          <w:lang w:val="es-ES_tradnl"/>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27D488B2" w14:textId="77777777" w:rsidR="00B4318D" w:rsidRPr="00B4318D" w:rsidRDefault="00B4318D" w:rsidP="00B4318D">
      <w:pPr>
        <w:spacing w:after="0" w:line="240" w:lineRule="auto"/>
        <w:jc w:val="both"/>
        <w:rPr>
          <w:rFonts w:ascii="Verdana" w:hAnsi="Verdana"/>
          <w:sz w:val="20"/>
          <w:lang w:val="es-MX"/>
        </w:rPr>
      </w:pPr>
    </w:p>
    <w:p w14:paraId="1F8CE1EB" w14:textId="27D30A89" w:rsidR="00B4318D" w:rsidRPr="00B4318D" w:rsidRDefault="00B4318D" w:rsidP="00B4318D">
      <w:pPr>
        <w:spacing w:after="0" w:line="240" w:lineRule="auto"/>
        <w:jc w:val="both"/>
        <w:rPr>
          <w:rFonts w:ascii="Verdana" w:hAnsi="Verdana"/>
          <w:sz w:val="20"/>
          <w:lang w:val="es-ES_tradnl"/>
        </w:rPr>
      </w:pPr>
      <w:r w:rsidRPr="00B4318D">
        <w:rPr>
          <w:rFonts w:ascii="Verdana" w:hAnsi="Verdana"/>
          <w:sz w:val="20"/>
          <w:lang w:val="es-MX"/>
        </w:rPr>
        <w:t xml:space="preserve">De </w:t>
      </w:r>
      <w:r w:rsidRPr="00B4318D">
        <w:rPr>
          <w:rFonts w:ascii="Verdana" w:hAnsi="Verdana"/>
          <w:sz w:val="20"/>
          <w:lang w:val="es-ES_tradnl"/>
        </w:rPr>
        <w:t xml:space="preserve">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 así como la probabilidad de que puedan surgir diferencias durante la ejecución del contrato; sin perjuicio de que, como se indicó, todos los contratos estatales de </w:t>
      </w:r>
      <w:r w:rsidRPr="00B4318D">
        <w:rPr>
          <w:rFonts w:ascii="Verdana" w:hAnsi="Verdana"/>
          <w:i/>
          <w:iCs/>
          <w:sz w:val="20"/>
          <w:lang w:val="es-ES_tradnl"/>
        </w:rPr>
        <w:t>tracto sucesivo</w:t>
      </w:r>
      <w:r w:rsidRPr="00B4318D">
        <w:rPr>
          <w:rFonts w:ascii="Verdana" w:hAnsi="Verdana"/>
          <w:sz w:val="20"/>
          <w:lang w:val="es-ES_tradnl"/>
        </w:rPr>
        <w:t xml:space="preserve"> o aquellos cuya ejecución se prolongue en el tiempo siempre deban liquidarse, convirtiéndose en estos contratos en una cláusula de la naturaleza, conforme a la clasificación prevista en el Código Civil.</w:t>
      </w:r>
    </w:p>
    <w:p w14:paraId="50F91F37" w14:textId="77777777" w:rsidR="00B4318D" w:rsidRPr="00B4318D" w:rsidRDefault="00B4318D" w:rsidP="00B4318D">
      <w:pPr>
        <w:spacing w:after="0" w:line="240" w:lineRule="auto"/>
        <w:jc w:val="both"/>
        <w:rPr>
          <w:rFonts w:ascii="Verdana" w:hAnsi="Verdana"/>
          <w:b/>
          <w:lang w:val="es-ES_tradnl"/>
        </w:rPr>
      </w:pPr>
    </w:p>
    <w:p w14:paraId="30C7592E" w14:textId="71926891" w:rsidR="00B4318D" w:rsidRPr="00B4318D" w:rsidRDefault="00B4318D" w:rsidP="00B4318D">
      <w:pPr>
        <w:spacing w:after="0" w:line="240" w:lineRule="auto"/>
        <w:jc w:val="both"/>
        <w:rPr>
          <w:rFonts w:ascii="Verdana" w:hAnsi="Verdana"/>
          <w:b/>
        </w:rPr>
      </w:pPr>
      <w:r w:rsidRPr="00B4318D">
        <w:rPr>
          <w:rFonts w:ascii="Verdana" w:hAnsi="Verdana"/>
          <w:b/>
        </w:rPr>
        <w:t xml:space="preserve">LIQUIDACIÓN BILATERAL – </w:t>
      </w:r>
      <w:r>
        <w:rPr>
          <w:rFonts w:ascii="Verdana" w:hAnsi="Verdana"/>
          <w:b/>
        </w:rPr>
        <w:t xml:space="preserve">Ajustes – Revisiones </w:t>
      </w:r>
    </w:p>
    <w:p w14:paraId="11087177" w14:textId="77777777" w:rsidR="00B4318D" w:rsidRPr="00B4318D" w:rsidRDefault="00B4318D" w:rsidP="00B4318D">
      <w:pPr>
        <w:spacing w:after="0" w:line="240" w:lineRule="auto"/>
        <w:jc w:val="both"/>
        <w:rPr>
          <w:rFonts w:ascii="Verdana" w:hAnsi="Verdana"/>
          <w:b/>
        </w:rPr>
      </w:pPr>
    </w:p>
    <w:p w14:paraId="1F664D69" w14:textId="77777777" w:rsidR="00CE3030" w:rsidRPr="00CE3030" w:rsidRDefault="00CE3030" w:rsidP="00B4318D">
      <w:pPr>
        <w:spacing w:after="0" w:line="240" w:lineRule="auto"/>
        <w:jc w:val="both"/>
        <w:rPr>
          <w:rFonts w:ascii="Verdana" w:hAnsi="Verdana"/>
          <w:sz w:val="20"/>
        </w:rPr>
      </w:pPr>
      <w:r w:rsidRPr="00CE3030">
        <w:rPr>
          <w:rFonts w:ascii="Verdana" w:hAnsi="Verdana"/>
          <w:sz w:val="20"/>
        </w:rPr>
        <w:t xml:space="preserve">De igual modo, respecto al contenido de la liquidación, es importante tener en cuenta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 </w:t>
      </w:r>
    </w:p>
    <w:p w14:paraId="278CE75F" w14:textId="6108886B" w:rsidR="00B4318D" w:rsidRPr="00B4318D" w:rsidRDefault="00B4318D" w:rsidP="00B4318D">
      <w:pPr>
        <w:spacing w:after="0" w:line="240" w:lineRule="auto"/>
        <w:jc w:val="both"/>
        <w:rPr>
          <w:rFonts w:ascii="Verdana" w:hAnsi="Verdana"/>
          <w:b/>
        </w:rPr>
      </w:pPr>
      <w:r w:rsidRPr="00B4318D">
        <w:rPr>
          <w:rFonts w:ascii="Verdana" w:hAnsi="Verdana"/>
          <w:b/>
        </w:rPr>
        <w:t xml:space="preserve"> </w:t>
      </w:r>
    </w:p>
    <w:p w14:paraId="6E9AD304" w14:textId="70C097D0" w:rsidR="00B4318D" w:rsidRPr="00B4318D" w:rsidRDefault="00B4318D" w:rsidP="00B4318D">
      <w:pPr>
        <w:spacing w:after="0" w:line="240" w:lineRule="auto"/>
        <w:jc w:val="both"/>
        <w:rPr>
          <w:rFonts w:ascii="Verdana" w:hAnsi="Verdana"/>
          <w:b/>
        </w:rPr>
      </w:pPr>
      <w:r w:rsidRPr="00B4318D">
        <w:rPr>
          <w:rFonts w:ascii="Verdana" w:hAnsi="Verdana"/>
          <w:b/>
        </w:rPr>
        <w:lastRenderedPageBreak/>
        <w:t xml:space="preserve">ENRIQUECIMIENTO SIN JUSTA CAUSA – Sentencia de Unificación del 19 de noviembre de 2012 – Alcance </w:t>
      </w:r>
    </w:p>
    <w:p w14:paraId="642A643B" w14:textId="77777777" w:rsidR="00B4318D" w:rsidRPr="00B4318D" w:rsidRDefault="00B4318D" w:rsidP="00B4318D">
      <w:pPr>
        <w:spacing w:after="0" w:line="240" w:lineRule="auto"/>
        <w:jc w:val="both"/>
        <w:rPr>
          <w:rFonts w:ascii="Verdana" w:hAnsi="Verdana"/>
          <w:b/>
        </w:rPr>
      </w:pPr>
    </w:p>
    <w:p w14:paraId="6E060981" w14:textId="7D4CC7E1" w:rsidR="00B4318D" w:rsidRPr="00CE3030" w:rsidRDefault="00CE3030" w:rsidP="00CE3030">
      <w:pPr>
        <w:spacing w:after="0" w:line="240" w:lineRule="auto"/>
        <w:jc w:val="both"/>
        <w:rPr>
          <w:rFonts w:ascii="Verdana" w:hAnsi="Verdana"/>
          <w:sz w:val="20"/>
        </w:rPr>
      </w:pPr>
      <w:r w:rsidRPr="00CE3030">
        <w:rPr>
          <w:rFonts w:ascii="Verdana" w:hAnsi="Verdana"/>
          <w:sz w:val="20"/>
        </w:rPr>
        <w:t xml:space="preserve">[…] </w:t>
      </w:r>
      <w:r w:rsidR="00B4318D" w:rsidRPr="00CE3030">
        <w:rPr>
          <w:rFonts w:ascii="Verdana" w:hAnsi="Verdana"/>
          <w:sz w:val="20"/>
        </w:rPr>
        <w:t xml:space="preserve">la Sala Plena del Consejo de Estado expidió la Sentencia de Unificación del 19 de noviembre de 2012, </w:t>
      </w:r>
      <w:r w:rsidR="00B4318D" w:rsidRPr="00CE3030">
        <w:rPr>
          <w:rFonts w:ascii="Verdana" w:hAnsi="Verdana"/>
          <w:i/>
          <w:iCs/>
          <w:sz w:val="20"/>
        </w:rPr>
        <w:t>por regla general,</w:t>
      </w:r>
      <w:r w:rsidR="00B4318D" w:rsidRPr="00CE3030">
        <w:rPr>
          <w:rFonts w:ascii="Verdana" w:hAnsi="Verdana"/>
          <w:sz w:val="20"/>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p>
    <w:p w14:paraId="1637689F" w14:textId="4AABE077" w:rsidR="00B4318D" w:rsidRPr="00CE3030" w:rsidRDefault="00B4318D" w:rsidP="00CE3030">
      <w:pPr>
        <w:spacing w:after="0" w:line="240" w:lineRule="auto"/>
        <w:jc w:val="both"/>
        <w:rPr>
          <w:rFonts w:ascii="Verdana" w:hAnsi="Verdana"/>
          <w:sz w:val="20"/>
        </w:rPr>
      </w:pPr>
    </w:p>
    <w:p w14:paraId="66B54E43" w14:textId="740302EF" w:rsidR="00B4318D" w:rsidRPr="00CE3030" w:rsidRDefault="00B4318D" w:rsidP="00CE3030">
      <w:pPr>
        <w:spacing w:after="0" w:line="240" w:lineRule="auto"/>
        <w:jc w:val="both"/>
        <w:rPr>
          <w:rFonts w:ascii="Verdana" w:hAnsi="Verdana"/>
          <w:sz w:val="20"/>
        </w:rPr>
      </w:pPr>
      <w:r w:rsidRPr="00CE3030">
        <w:rPr>
          <w:rFonts w:ascii="Verdana" w:hAnsi="Verdana"/>
          <w:i/>
          <w:iCs/>
          <w:sz w:val="20"/>
        </w:rPr>
        <w:t>Excepcionalmente</w:t>
      </w:r>
      <w:r w:rsidRPr="00CE3030">
        <w:rPr>
          <w:rFonts w:ascii="Verdana" w:hAnsi="Verdana"/>
          <w:sz w:val="20"/>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CE3030">
        <w:rPr>
          <w:rFonts w:ascii="Verdana" w:hAnsi="Verdana"/>
          <w:sz w:val="20"/>
        </w:rPr>
        <w:t>ii</w:t>
      </w:r>
      <w:proofErr w:type="spellEnd"/>
      <w:r w:rsidRPr="00CE3030">
        <w:rPr>
          <w:rFonts w:ascii="Verdana" w:hAnsi="Verdana"/>
          <w:sz w:val="20"/>
        </w:rPr>
        <w:t xml:space="preserve">) que fueran urgentes para evitar una lesión inminente e irreversible al derecho a la salud; y </w:t>
      </w:r>
      <w:proofErr w:type="spellStart"/>
      <w:r w:rsidRPr="00CE3030">
        <w:rPr>
          <w:rFonts w:ascii="Verdana" w:hAnsi="Verdana"/>
          <w:sz w:val="20"/>
        </w:rPr>
        <w:t>iii</w:t>
      </w:r>
      <w:proofErr w:type="spellEnd"/>
      <w:r w:rsidRPr="00CE3030">
        <w:rPr>
          <w:rFonts w:ascii="Verdana" w:hAnsi="Verdana"/>
          <w:sz w:val="20"/>
        </w:rPr>
        <w:t xml:space="preserve">) cuando se omite el decreto de la urgencia manifiesta y concurren las circunstancias para que ésta hubiera sido declarada.  </w:t>
      </w:r>
    </w:p>
    <w:p w14:paraId="32F632D6" w14:textId="5A30C13D" w:rsidR="00B4318D" w:rsidRPr="00B4318D" w:rsidRDefault="00B4318D" w:rsidP="00CE3030">
      <w:pPr>
        <w:spacing w:after="0" w:line="240" w:lineRule="auto"/>
        <w:jc w:val="both"/>
        <w:rPr>
          <w:rFonts w:ascii="Verdana" w:hAnsi="Verdana"/>
          <w:b/>
        </w:rPr>
      </w:pPr>
      <w:r w:rsidRPr="00B4318D">
        <w:rPr>
          <w:rFonts w:ascii="Verdana" w:hAnsi="Verdana"/>
          <w:b/>
        </w:rPr>
        <w:t xml:space="preserve"> </w:t>
      </w:r>
    </w:p>
    <w:p w14:paraId="10005232" w14:textId="02677E0D" w:rsidR="00B4318D" w:rsidRPr="00B4318D" w:rsidRDefault="00B4318D" w:rsidP="00B4318D">
      <w:pPr>
        <w:spacing w:after="0" w:line="240" w:lineRule="auto"/>
        <w:jc w:val="both"/>
        <w:rPr>
          <w:rFonts w:ascii="Verdana" w:hAnsi="Verdana"/>
          <w:b/>
        </w:rPr>
      </w:pPr>
      <w:r w:rsidRPr="00B4318D">
        <w:rPr>
          <w:rFonts w:ascii="Verdana" w:hAnsi="Verdana"/>
          <w:b/>
        </w:rPr>
        <w:t xml:space="preserve">ENRIQUECIMIENTO SIN JUSTA CAUSA – Nueva Postura – Sentencia de Unificación Jurisprudencial – Elementos – Prueba de la Actividad </w:t>
      </w:r>
      <w:r w:rsidR="00DC314B" w:rsidRPr="00DC314B">
        <w:rPr>
          <w:rFonts w:ascii="Verdana" w:hAnsi="Verdana"/>
          <w:b/>
          <w:bCs/>
          <w:lang w:val="es-ES"/>
        </w:rPr>
        <w:t>–</w:t>
      </w:r>
      <w:r w:rsidRPr="00B4318D">
        <w:rPr>
          <w:rFonts w:ascii="Verdana" w:hAnsi="Verdana"/>
          <w:b/>
        </w:rPr>
        <w:t xml:space="preserve"> Circunstancia Excepcional </w:t>
      </w:r>
      <w:r w:rsidR="00DC314B" w:rsidRPr="00DC314B">
        <w:rPr>
          <w:rFonts w:ascii="Verdana" w:hAnsi="Verdana"/>
          <w:b/>
          <w:bCs/>
          <w:lang w:val="es-ES"/>
        </w:rPr>
        <w:t>–</w:t>
      </w:r>
      <w:r w:rsidRPr="00B4318D">
        <w:rPr>
          <w:rFonts w:ascii="Verdana" w:hAnsi="Verdana"/>
          <w:b/>
        </w:rPr>
        <w:t xml:space="preserve"> Procedencia</w:t>
      </w:r>
    </w:p>
    <w:p w14:paraId="20CA1628" w14:textId="7111BE11" w:rsidR="00B4318D" w:rsidRPr="00CE3030" w:rsidRDefault="00B4318D" w:rsidP="00CE3030">
      <w:pPr>
        <w:spacing w:after="0" w:line="240" w:lineRule="auto"/>
        <w:jc w:val="both"/>
        <w:rPr>
          <w:rFonts w:ascii="Verdana" w:hAnsi="Verdana"/>
          <w:sz w:val="20"/>
        </w:rPr>
      </w:pPr>
    </w:p>
    <w:p w14:paraId="3E43A156" w14:textId="0027F5F2" w:rsidR="00CE3030" w:rsidRPr="00CE3030" w:rsidRDefault="00CE3030" w:rsidP="00CE3030">
      <w:pPr>
        <w:spacing w:after="0" w:line="240" w:lineRule="auto"/>
        <w:jc w:val="both"/>
        <w:rPr>
          <w:rFonts w:ascii="Verdana" w:hAnsi="Verdana"/>
          <w:sz w:val="20"/>
        </w:rPr>
      </w:pPr>
      <w:r w:rsidRPr="00CE3030">
        <w:rPr>
          <w:rFonts w:ascii="Verdana" w:hAnsi="Verdana"/>
          <w:sz w:val="20"/>
        </w:rPr>
        <w:t xml:space="preserve">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 </w:t>
      </w:r>
    </w:p>
    <w:p w14:paraId="4391385C" w14:textId="1B6D354B" w:rsidR="00CE3030" w:rsidRPr="00CE3030" w:rsidRDefault="00F13CBC" w:rsidP="00CE3030">
      <w:pPr>
        <w:spacing w:after="0" w:line="240" w:lineRule="auto"/>
        <w:jc w:val="both"/>
        <w:rPr>
          <w:rFonts w:ascii="Verdana" w:hAnsi="Verdana"/>
          <w:sz w:val="20"/>
        </w:rPr>
      </w:pPr>
      <w:r>
        <w:rPr>
          <w:rFonts w:ascii="Verdana" w:hAnsi="Verdana"/>
          <w:sz w:val="20"/>
        </w:rPr>
        <w:t>[…]</w:t>
      </w:r>
    </w:p>
    <w:p w14:paraId="352BEC47" w14:textId="6F396384" w:rsidR="00CE3030" w:rsidRPr="00CE3030" w:rsidRDefault="00CE3030" w:rsidP="00CE3030">
      <w:pPr>
        <w:spacing w:after="0" w:line="240" w:lineRule="auto"/>
        <w:jc w:val="both"/>
        <w:rPr>
          <w:rFonts w:ascii="Verdana" w:hAnsi="Verdana"/>
          <w:sz w:val="20"/>
        </w:rPr>
      </w:pPr>
      <w:r w:rsidRPr="00CE3030">
        <w:rPr>
          <w:rFonts w:ascii="Verdana" w:hAnsi="Verdana"/>
          <w:sz w:val="20"/>
        </w:rPr>
        <w:t xml:space="preserve">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 </w:t>
      </w:r>
    </w:p>
    <w:p w14:paraId="50B5783A" w14:textId="536F88F6" w:rsidR="00CE3030" w:rsidRDefault="00CE3030" w:rsidP="00A04C35">
      <w:pPr>
        <w:spacing w:after="0"/>
        <w:rPr>
          <w:rFonts w:ascii="Verdana" w:hAnsi="Verdana"/>
        </w:rPr>
      </w:pPr>
    </w:p>
    <w:p w14:paraId="78E63A1A" w14:textId="1FCE114B" w:rsidR="00CE3030" w:rsidRDefault="00CE3030" w:rsidP="00A04C35">
      <w:pPr>
        <w:spacing w:after="0"/>
        <w:rPr>
          <w:rFonts w:ascii="Verdana" w:hAnsi="Verdana"/>
        </w:rPr>
      </w:pPr>
    </w:p>
    <w:p w14:paraId="3F7A2F08" w14:textId="19962B0E" w:rsidR="00CE3030" w:rsidRDefault="00CE3030" w:rsidP="00A04C35">
      <w:pPr>
        <w:spacing w:after="0"/>
        <w:rPr>
          <w:rFonts w:ascii="Verdana" w:hAnsi="Verdana"/>
        </w:rPr>
      </w:pPr>
    </w:p>
    <w:p w14:paraId="30FE6964" w14:textId="290E3D73" w:rsidR="00CE3030" w:rsidRDefault="00CE3030" w:rsidP="00A04C35">
      <w:pPr>
        <w:spacing w:after="0"/>
        <w:rPr>
          <w:rFonts w:ascii="Verdana" w:hAnsi="Verdana"/>
        </w:rPr>
      </w:pPr>
    </w:p>
    <w:p w14:paraId="22583C12" w14:textId="77777777" w:rsidR="00CE3030" w:rsidRDefault="00CE3030" w:rsidP="00A04C35">
      <w:pPr>
        <w:spacing w:after="0"/>
        <w:rPr>
          <w:rFonts w:ascii="Verdana" w:hAnsi="Verdana"/>
        </w:rPr>
      </w:pPr>
    </w:p>
    <w:p w14:paraId="4850CF1E" w14:textId="77777777" w:rsidR="00154512" w:rsidRDefault="00154512" w:rsidP="00CA0D1D">
      <w:pPr>
        <w:spacing w:after="0" w:line="240" w:lineRule="auto"/>
        <w:rPr>
          <w:rFonts w:ascii="Verdana" w:eastAsia="Geomanist Light" w:hAnsi="Verdana" w:cs="Arial"/>
          <w:color w:val="000000" w:themeColor="text1"/>
          <w:lang w:val="es-MX"/>
        </w:rPr>
      </w:pPr>
    </w:p>
    <w:p w14:paraId="644D4006" w14:textId="77777777" w:rsidR="00154512" w:rsidRDefault="00154512" w:rsidP="00CA0D1D">
      <w:pPr>
        <w:spacing w:after="0" w:line="240" w:lineRule="auto"/>
        <w:rPr>
          <w:rFonts w:ascii="Verdana" w:eastAsia="Geomanist Light" w:hAnsi="Verdana" w:cs="Arial"/>
          <w:color w:val="000000" w:themeColor="text1"/>
          <w:lang w:val="es-MX"/>
        </w:rPr>
      </w:pPr>
    </w:p>
    <w:p w14:paraId="70CDEC9D" w14:textId="480D05CC" w:rsidR="00CA0D1D" w:rsidRDefault="00CA0D1D" w:rsidP="00CA0D1D">
      <w:pPr>
        <w:spacing w:after="0" w:line="240" w:lineRule="auto"/>
        <w:rPr>
          <w:rFonts w:ascii="Verdana" w:eastAsia="Geomanist Light" w:hAnsi="Verdana" w:cs="Arial"/>
          <w:color w:val="201F1E"/>
          <w:lang w:val="es-MX"/>
        </w:rPr>
      </w:pPr>
      <w:r w:rsidRPr="00AE22D5">
        <w:rPr>
          <w:rFonts w:ascii="Verdana" w:eastAsia="Geomanist Light" w:hAnsi="Verdana" w:cs="Arial"/>
          <w:color w:val="000000" w:themeColor="text1"/>
          <w:lang w:val="es-MX"/>
        </w:rPr>
        <w:lastRenderedPageBreak/>
        <w:t>Bogotá D.C., </w:t>
      </w:r>
      <w:r w:rsidR="00154512">
        <w:rPr>
          <w:rFonts w:ascii="Verdana" w:eastAsia="Geomanist Light" w:hAnsi="Verdana" w:cs="Arial"/>
          <w:color w:val="201F1E"/>
          <w:lang w:val="es-MX"/>
        </w:rPr>
        <w:t>8 de octubre de 2025</w:t>
      </w:r>
    </w:p>
    <w:p w14:paraId="26FB4197" w14:textId="1A746CEB" w:rsidR="00CA0D1D" w:rsidRPr="00DD638E" w:rsidRDefault="00CA0D1D" w:rsidP="00CA0D1D">
      <w:pPr>
        <w:spacing w:after="0" w:line="240" w:lineRule="auto"/>
        <w:rPr>
          <w:rFonts w:ascii="Verdana" w:eastAsia="Geomanist Light" w:hAnsi="Verdana" w:cs="Arial"/>
          <w:color w:val="201F1E"/>
          <w:lang w:val="es-MX"/>
        </w:rPr>
      </w:pPr>
    </w:p>
    <w:p w14:paraId="10100FC1" w14:textId="7F83421E" w:rsidR="00CA0D1D" w:rsidRPr="00A04C35" w:rsidRDefault="00DC314B" w:rsidP="00154512">
      <w:pPr>
        <w:spacing w:after="0"/>
        <w:jc w:val="right"/>
        <w:rPr>
          <w:rFonts w:ascii="Verdana" w:hAnsi="Verdana"/>
        </w:rPr>
      </w:pPr>
      <w:r w:rsidRPr="00154512">
        <w:rPr>
          <w:rFonts w:ascii="Verdana" w:hAnsi="Verdana"/>
          <w:noProof/>
        </w:rPr>
        <w:drawing>
          <wp:anchor distT="0" distB="0" distL="114300" distR="114300" simplePos="0" relativeHeight="251658240" behindDoc="0" locked="0" layoutInCell="1" allowOverlap="1" wp14:anchorId="30049904" wp14:editId="2B794F63">
            <wp:simplePos x="0" y="0"/>
            <wp:positionH relativeFrom="margin">
              <wp:align>right</wp:align>
            </wp:positionH>
            <wp:positionV relativeFrom="paragraph">
              <wp:posOffset>8890</wp:posOffset>
            </wp:positionV>
            <wp:extent cx="2522220" cy="1005840"/>
            <wp:effectExtent l="0" t="0" r="0" b="3810"/>
            <wp:wrapSquare wrapText="bothSides"/>
            <wp:docPr id="21398521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2220" cy="1005840"/>
                    </a:xfrm>
                    <a:prstGeom prst="rect">
                      <a:avLst/>
                    </a:prstGeom>
                    <a:noFill/>
                    <a:ln>
                      <a:noFill/>
                    </a:ln>
                  </pic:spPr>
                </pic:pic>
              </a:graphicData>
            </a:graphic>
          </wp:anchor>
        </w:drawing>
      </w:r>
    </w:p>
    <w:p w14:paraId="5339270B" w14:textId="77777777" w:rsidR="00CA0D1D" w:rsidRPr="00A04C35" w:rsidRDefault="00CA0D1D" w:rsidP="00CA0D1D">
      <w:pPr>
        <w:spacing w:after="0" w:line="240" w:lineRule="auto"/>
        <w:rPr>
          <w:rFonts w:ascii="Verdana" w:eastAsia="Calibri" w:hAnsi="Verdana" w:cs="Times New Roman"/>
        </w:rPr>
      </w:pPr>
      <w:r>
        <w:rPr>
          <w:rFonts w:ascii="Verdana" w:hAnsi="Verdana"/>
        </w:rPr>
        <w:t>Señor</w:t>
      </w:r>
    </w:p>
    <w:p w14:paraId="529BB938" w14:textId="77777777" w:rsidR="00CA0D1D" w:rsidRDefault="00CA0D1D" w:rsidP="00CA0D1D">
      <w:pPr>
        <w:spacing w:after="0" w:line="240" w:lineRule="auto"/>
        <w:rPr>
          <w:rFonts w:ascii="Verdana" w:eastAsia="Calibri" w:hAnsi="Verdana" w:cs="Times New Roman"/>
          <w:b/>
        </w:rPr>
      </w:pPr>
      <w:r>
        <w:rPr>
          <w:rFonts w:ascii="Verdana" w:eastAsia="Calibri" w:hAnsi="Verdana" w:cs="Times New Roman"/>
          <w:b/>
        </w:rPr>
        <w:t>Iván Darío Gutiérrez Cardozo</w:t>
      </w:r>
    </w:p>
    <w:p w14:paraId="3B1D8C96" w14:textId="77777777" w:rsidR="00CA0D1D" w:rsidRPr="006B5498" w:rsidRDefault="00CA0D1D" w:rsidP="00CA0D1D">
      <w:pPr>
        <w:spacing w:after="0" w:line="240" w:lineRule="auto"/>
        <w:rPr>
          <w:rFonts w:ascii="Verdana" w:eastAsia="Calibri" w:hAnsi="Verdana" w:cs="Times New Roman"/>
        </w:rPr>
      </w:pPr>
      <w:hyperlink r:id="rId12" w:history="1">
        <w:r w:rsidRPr="006B5498">
          <w:rPr>
            <w:rStyle w:val="Hipervnculo"/>
            <w:rFonts w:ascii="Verdana" w:hAnsi="Verdana"/>
          </w:rPr>
          <w:t>ivandariog@hotmail.com</w:t>
        </w:r>
      </w:hyperlink>
      <w:r w:rsidRPr="006B5498">
        <w:rPr>
          <w:rFonts w:ascii="Verdana" w:hAnsi="Verdana"/>
        </w:rPr>
        <w:t xml:space="preserve"> </w:t>
      </w:r>
      <w:hyperlink r:id="rId13" w:history="1"/>
    </w:p>
    <w:p w14:paraId="77A717E7" w14:textId="77777777" w:rsidR="00CA0D1D" w:rsidRPr="00A04C35" w:rsidRDefault="00CA0D1D" w:rsidP="00CA0D1D">
      <w:pPr>
        <w:spacing w:after="0" w:line="240" w:lineRule="auto"/>
        <w:rPr>
          <w:rFonts w:ascii="Verdana" w:eastAsia="Calibri" w:hAnsi="Verdana" w:cs="Times New Roman"/>
        </w:rPr>
      </w:pPr>
      <w:r>
        <w:rPr>
          <w:rFonts w:ascii="Verdana" w:eastAsia="Calibri" w:hAnsi="Verdana" w:cs="Times New Roman"/>
        </w:rPr>
        <w:t xml:space="preserve">Neiva, Huila </w:t>
      </w:r>
    </w:p>
    <w:p w14:paraId="604CE8B6" w14:textId="77777777" w:rsidR="00CA0D1D" w:rsidRPr="00A04C35" w:rsidRDefault="00CA0D1D" w:rsidP="00CA0D1D">
      <w:pPr>
        <w:spacing w:after="0" w:line="256" w:lineRule="auto"/>
        <w:rPr>
          <w:rFonts w:ascii="Verdana" w:eastAsia="Calibri" w:hAnsi="Verdana" w:cs="Times New Roman"/>
        </w:rPr>
      </w:pPr>
    </w:p>
    <w:p w14:paraId="01886843" w14:textId="77777777" w:rsidR="00CA0D1D" w:rsidRPr="00A04C35" w:rsidRDefault="00CA0D1D" w:rsidP="00CA0D1D">
      <w:pPr>
        <w:spacing w:after="0" w:line="256" w:lineRule="auto"/>
        <w:rPr>
          <w:rFonts w:ascii="Verdana" w:eastAsia="Calibri" w:hAnsi="Verdana" w:cs="Times New Roman"/>
        </w:rPr>
      </w:pPr>
    </w:p>
    <w:p w14:paraId="69147328" w14:textId="77777777" w:rsidR="00CA0D1D" w:rsidRPr="00A04C35" w:rsidRDefault="00CA0D1D" w:rsidP="00CA0D1D">
      <w:pPr>
        <w:spacing w:after="0" w:line="256" w:lineRule="auto"/>
        <w:rPr>
          <w:rFonts w:ascii="Verdana" w:eastAsia="Calibri" w:hAnsi="Verdana" w:cs="Times New Roman"/>
          <w:b/>
          <w:bCs/>
          <w:lang w:val="es-ES"/>
        </w:rPr>
      </w:pPr>
      <w:r w:rsidRPr="00A04C35">
        <w:rPr>
          <w:rFonts w:ascii="Verdana" w:eastAsia="Calibri" w:hAnsi="Verdana" w:cs="Times New Roman"/>
          <w:b/>
          <w:bCs/>
        </w:rPr>
        <w:t xml:space="preserve">                                    </w:t>
      </w:r>
      <w:r w:rsidRPr="00A04C35">
        <w:rPr>
          <w:rFonts w:ascii="Verdana" w:eastAsia="Calibri" w:hAnsi="Verdana" w:cs="Times New Roman"/>
          <w:b/>
          <w:bCs/>
          <w:lang w:val="es-ES"/>
        </w:rPr>
        <w:t>Concepto C–1</w:t>
      </w:r>
      <w:r>
        <w:rPr>
          <w:rFonts w:ascii="Verdana" w:eastAsia="Calibri" w:hAnsi="Verdana" w:cs="Times New Roman"/>
          <w:b/>
          <w:bCs/>
          <w:lang w:val="es-ES"/>
        </w:rPr>
        <w:t>247</w:t>
      </w:r>
      <w:r w:rsidRPr="00A04C35">
        <w:rPr>
          <w:rFonts w:ascii="Verdana" w:eastAsia="Calibri" w:hAnsi="Verdana" w:cs="Times New Roman"/>
          <w:b/>
          <w:bCs/>
          <w:lang w:val="es-ES"/>
        </w:rPr>
        <w:t xml:space="preserve"> de 2025</w:t>
      </w:r>
    </w:p>
    <w:p w14:paraId="5092B4CD" w14:textId="77777777" w:rsidR="00CA0D1D" w:rsidRPr="00A04C35" w:rsidRDefault="00CA0D1D" w:rsidP="00CA0D1D">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CA0D1D" w:rsidRPr="00A04C35" w14:paraId="49D42ED0" w14:textId="77777777" w:rsidTr="00F77C5D">
        <w:trPr>
          <w:trHeight w:val="645"/>
        </w:trPr>
        <w:tc>
          <w:tcPr>
            <w:tcW w:w="2685" w:type="dxa"/>
            <w:hideMark/>
          </w:tcPr>
          <w:p w14:paraId="272EF7AA" w14:textId="77777777" w:rsidR="00CA0D1D" w:rsidRPr="00A04C35" w:rsidRDefault="00CA0D1D" w:rsidP="00F77C5D">
            <w:pPr>
              <w:spacing w:line="256" w:lineRule="auto"/>
              <w:rPr>
                <w:rFonts w:ascii="Verdana" w:hAnsi="Verdana"/>
                <w:b/>
                <w:bCs/>
                <w:lang w:val="es-ES_tradnl"/>
              </w:rPr>
            </w:pPr>
            <w:r w:rsidRPr="00A04C35">
              <w:rPr>
                <w:rFonts w:ascii="Verdana" w:hAnsi="Verdana"/>
                <w:b/>
                <w:bCs/>
                <w:lang w:val="es-ES_tradnl"/>
              </w:rPr>
              <w:t xml:space="preserve">Temas:                   </w:t>
            </w:r>
          </w:p>
        </w:tc>
        <w:tc>
          <w:tcPr>
            <w:tcW w:w="6241" w:type="dxa"/>
            <w:hideMark/>
          </w:tcPr>
          <w:p w14:paraId="4FDFEA68" w14:textId="0BCA1B75" w:rsidR="00CA0D1D" w:rsidRPr="00A04C35" w:rsidRDefault="00CA0D1D" w:rsidP="00F77C5D">
            <w:pPr>
              <w:spacing w:line="276" w:lineRule="auto"/>
              <w:jc w:val="both"/>
              <w:rPr>
                <w:rFonts w:ascii="Verdana" w:hAnsi="Verdana" w:cs="Arial"/>
                <w:lang w:val="es-ES" w:eastAsia="es-ES"/>
              </w:rPr>
            </w:pPr>
            <w:r w:rsidRPr="00A04C35">
              <w:rPr>
                <w:rFonts w:ascii="Verdana" w:hAnsi="Verdana" w:cs="Arial"/>
                <w:lang w:val="es-ES" w:eastAsia="es-ES"/>
              </w:rPr>
              <w:t xml:space="preserve">LIQUIDACIÓN – Definición – Objetivo / LIQUIDACIÓN BILATERAL – Concepto – Fundamento normativo/ LIQUIDACIÓN BILATERAL – Ajustes – Revisiones – Ajustes / ENRIQUECIMIENTO SIN JUSTA CAUSA – Sentencia de Unificación del 19 de noviembre de 2012 – Alcance / ENRIQUECIMIENTO SIN JUSTA CAUSA – Nueva Postura – Sentencia de Unificación Jurisprudencial – Elementos – Prueba de la Actividad - Circunstancia Excepcional - Procedencia  </w:t>
            </w:r>
          </w:p>
        </w:tc>
        <w:tc>
          <w:tcPr>
            <w:tcW w:w="6237" w:type="dxa"/>
          </w:tcPr>
          <w:p w14:paraId="5C3073B8" w14:textId="77777777" w:rsidR="00CA0D1D" w:rsidRPr="00A04C35" w:rsidRDefault="00CA0D1D" w:rsidP="00F77C5D">
            <w:pPr>
              <w:spacing w:line="256" w:lineRule="auto"/>
              <w:rPr>
                <w:rFonts w:ascii="Verdana" w:hAnsi="Verdana"/>
                <w:lang w:val="es-ES"/>
              </w:rPr>
            </w:pPr>
          </w:p>
        </w:tc>
      </w:tr>
      <w:tr w:rsidR="00CA0D1D" w:rsidRPr="00A04C35" w14:paraId="67FC6BFE" w14:textId="77777777" w:rsidTr="00F77C5D">
        <w:tc>
          <w:tcPr>
            <w:tcW w:w="2685" w:type="dxa"/>
          </w:tcPr>
          <w:p w14:paraId="6C14BAA6" w14:textId="77777777" w:rsidR="00CA0D1D" w:rsidRPr="00A04C35" w:rsidRDefault="00CA0D1D" w:rsidP="00F77C5D">
            <w:pPr>
              <w:spacing w:line="256" w:lineRule="auto"/>
              <w:rPr>
                <w:rFonts w:ascii="Verdana" w:hAnsi="Verdana"/>
                <w:lang w:val="es-ES_tradnl"/>
              </w:rPr>
            </w:pPr>
          </w:p>
          <w:p w14:paraId="72497161" w14:textId="77777777" w:rsidR="00CA0D1D" w:rsidRPr="00A04C35" w:rsidRDefault="00CA0D1D" w:rsidP="00F77C5D">
            <w:pPr>
              <w:spacing w:line="256" w:lineRule="auto"/>
              <w:rPr>
                <w:rFonts w:ascii="Verdana" w:hAnsi="Verdana"/>
                <w:b/>
                <w:bCs/>
                <w:lang w:val="es-ES_tradnl"/>
              </w:rPr>
            </w:pPr>
            <w:r w:rsidRPr="00A04C35">
              <w:rPr>
                <w:rFonts w:ascii="Verdana" w:hAnsi="Verdana"/>
                <w:b/>
                <w:bCs/>
                <w:lang w:val="es-ES_tradnl"/>
              </w:rPr>
              <w:t xml:space="preserve">Radicación:               </w:t>
            </w:r>
          </w:p>
        </w:tc>
        <w:tc>
          <w:tcPr>
            <w:tcW w:w="6241" w:type="dxa"/>
          </w:tcPr>
          <w:p w14:paraId="068F98D8" w14:textId="77777777" w:rsidR="00CA0D1D" w:rsidRPr="00A04C35" w:rsidRDefault="00CA0D1D" w:rsidP="00F77C5D">
            <w:pPr>
              <w:spacing w:line="257" w:lineRule="auto"/>
              <w:rPr>
                <w:rFonts w:ascii="Verdana" w:hAnsi="Verdana"/>
                <w:lang w:val="es-ES_tradnl"/>
              </w:rPr>
            </w:pPr>
          </w:p>
          <w:p w14:paraId="4DE73AA9" w14:textId="77777777" w:rsidR="00CA0D1D" w:rsidRPr="00A04C35" w:rsidRDefault="00CA0D1D" w:rsidP="00F77C5D">
            <w:pPr>
              <w:spacing w:line="257" w:lineRule="auto"/>
              <w:jc w:val="both"/>
              <w:rPr>
                <w:rFonts w:ascii="Verdana" w:hAnsi="Verdana"/>
              </w:rPr>
            </w:pPr>
            <w:r w:rsidRPr="00A04C35">
              <w:rPr>
                <w:rFonts w:ascii="Verdana" w:hAnsi="Verdana"/>
                <w:lang w:val="es-ES_tradnl"/>
              </w:rPr>
              <w:t xml:space="preserve">Respuesta a consulta con radicado No. </w:t>
            </w:r>
            <w:r w:rsidRPr="00604924">
              <w:rPr>
                <w:rFonts w:ascii="Verdana" w:hAnsi="Verdana"/>
                <w:lang w:val="es-ES_tradnl"/>
              </w:rPr>
              <w:t>1_2025_09_01_009415</w:t>
            </w:r>
          </w:p>
          <w:p w14:paraId="3AC234F8" w14:textId="77777777" w:rsidR="00CA0D1D" w:rsidRPr="00A04C35" w:rsidRDefault="00CA0D1D" w:rsidP="00F77C5D">
            <w:pPr>
              <w:spacing w:line="257" w:lineRule="auto"/>
              <w:jc w:val="both"/>
              <w:rPr>
                <w:rFonts w:ascii="Verdana" w:hAnsi="Verdana"/>
              </w:rPr>
            </w:pPr>
          </w:p>
          <w:p w14:paraId="4776E430" w14:textId="77777777" w:rsidR="00CA0D1D" w:rsidRPr="00A04C35" w:rsidRDefault="00CA0D1D" w:rsidP="00F77C5D">
            <w:pPr>
              <w:spacing w:line="257" w:lineRule="auto"/>
              <w:jc w:val="both"/>
              <w:rPr>
                <w:rFonts w:ascii="Verdana" w:hAnsi="Verdana"/>
              </w:rPr>
            </w:pPr>
          </w:p>
        </w:tc>
        <w:tc>
          <w:tcPr>
            <w:tcW w:w="6237" w:type="dxa"/>
          </w:tcPr>
          <w:p w14:paraId="371CD3F7" w14:textId="77777777" w:rsidR="00CA0D1D" w:rsidRPr="00A04C35" w:rsidRDefault="00CA0D1D" w:rsidP="00F77C5D">
            <w:pPr>
              <w:spacing w:line="256" w:lineRule="auto"/>
              <w:rPr>
                <w:rFonts w:ascii="Verdana" w:hAnsi="Verdana"/>
                <w:lang w:val="es-ES_tradnl"/>
              </w:rPr>
            </w:pPr>
          </w:p>
        </w:tc>
      </w:tr>
    </w:tbl>
    <w:p w14:paraId="59C7D121" w14:textId="77777777" w:rsidR="00CA0D1D" w:rsidRPr="00A04C35" w:rsidRDefault="00CA0D1D" w:rsidP="00CA0D1D">
      <w:pPr>
        <w:spacing w:after="0" w:line="256" w:lineRule="auto"/>
        <w:rPr>
          <w:rFonts w:ascii="Verdana" w:eastAsia="Calibri" w:hAnsi="Verdana" w:cs="Times New Roman"/>
          <w:lang w:val="es-ES"/>
        </w:rPr>
      </w:pPr>
      <w:r w:rsidRPr="00A04C35">
        <w:rPr>
          <w:rFonts w:ascii="Verdana" w:eastAsia="Calibri" w:hAnsi="Verdana" w:cs="Times New Roman"/>
          <w:lang w:val="es-ES"/>
        </w:rPr>
        <w:t xml:space="preserve">Estimado </w:t>
      </w:r>
      <w:r>
        <w:rPr>
          <w:rFonts w:ascii="Verdana" w:eastAsia="Calibri" w:hAnsi="Verdana" w:cs="Times New Roman"/>
          <w:lang w:val="es-ES"/>
        </w:rPr>
        <w:t>señor Gutiérrez</w:t>
      </w:r>
      <w:r w:rsidRPr="00A04C35">
        <w:rPr>
          <w:rFonts w:ascii="Verdana" w:eastAsia="Calibri" w:hAnsi="Verdana" w:cs="Times New Roman"/>
          <w:lang w:val="es-ES"/>
        </w:rPr>
        <w:t xml:space="preserve">: </w:t>
      </w:r>
    </w:p>
    <w:p w14:paraId="61AEC15E" w14:textId="77777777" w:rsidR="00CA0D1D" w:rsidRPr="00A04C35" w:rsidRDefault="00CA0D1D" w:rsidP="00CA0D1D">
      <w:pPr>
        <w:spacing w:after="0" w:line="256" w:lineRule="auto"/>
        <w:rPr>
          <w:rFonts w:ascii="Verdana" w:eastAsia="Calibri" w:hAnsi="Verdana" w:cs="Times New Roman"/>
          <w:lang w:val="es-ES"/>
        </w:rPr>
      </w:pPr>
    </w:p>
    <w:p w14:paraId="4145BA08" w14:textId="77777777" w:rsidR="00DC314B" w:rsidRDefault="00CA0D1D" w:rsidP="00CA0D1D">
      <w:pPr>
        <w:spacing w:after="120" w:line="276" w:lineRule="auto"/>
        <w:jc w:val="both"/>
        <w:rPr>
          <w:i/>
          <w:iCs/>
        </w:rPr>
      </w:pPr>
      <w:r w:rsidRPr="00A04C35">
        <w:rPr>
          <w:rFonts w:ascii="Verdana" w:eastAsia="Calibri" w:hAnsi="Verdana" w:cs="Times New Roman"/>
          <w:lang w:val="es-ES"/>
        </w:rPr>
        <w:t xml:space="preserve">En ejercicio de la competencia otorgada por los artículos 3, numeral 5º, y 11, numeral 8º, del Decreto Ley 4170 de 2011, la Agencia Nacional de Contratación Pública – Colombia Compra Eficiente– responde la solicitud de </w:t>
      </w:r>
      <w:r>
        <w:rPr>
          <w:rFonts w:ascii="Verdana" w:eastAsia="Calibri" w:hAnsi="Verdana" w:cs="Times New Roman"/>
          <w:lang w:val="es-ES"/>
        </w:rPr>
        <w:t>consulta presentada el 1</w:t>
      </w:r>
      <w:r w:rsidRPr="00A04C35">
        <w:rPr>
          <w:rFonts w:ascii="Verdana" w:eastAsia="Calibri" w:hAnsi="Verdana" w:cs="Times New Roman"/>
          <w:lang w:val="es-ES"/>
        </w:rPr>
        <w:t xml:space="preserve"> de </w:t>
      </w:r>
      <w:r>
        <w:rPr>
          <w:rFonts w:ascii="Verdana" w:eastAsia="Calibri" w:hAnsi="Verdana" w:cs="Times New Roman"/>
          <w:lang w:val="es-ES"/>
        </w:rPr>
        <w:t>septiembre</w:t>
      </w:r>
      <w:r w:rsidRPr="00A04C35">
        <w:rPr>
          <w:rFonts w:ascii="Verdana" w:eastAsia="Calibri" w:hAnsi="Verdana" w:cs="Times New Roman"/>
          <w:lang w:val="es-ES"/>
        </w:rPr>
        <w:t xml:space="preserve"> de 2025, en la cual manifiesta:</w:t>
      </w:r>
      <w:r w:rsidRPr="00F22C07">
        <w:rPr>
          <w:i/>
          <w:iCs/>
        </w:rPr>
        <w:t xml:space="preserve"> </w:t>
      </w:r>
    </w:p>
    <w:p w14:paraId="083D1FF3" w14:textId="58B20A65" w:rsidR="00CA0D1D" w:rsidRPr="00A04C35" w:rsidRDefault="00CA0D1D" w:rsidP="00CA0D1D">
      <w:pPr>
        <w:spacing w:after="120" w:line="276" w:lineRule="auto"/>
        <w:jc w:val="both"/>
        <w:rPr>
          <w:rFonts w:ascii="Verdana" w:eastAsia="Calibri" w:hAnsi="Verdana" w:cs="Times New Roman"/>
        </w:rPr>
      </w:pPr>
      <w:r w:rsidRPr="00F22C07">
        <w:rPr>
          <w:rFonts w:ascii="Verdana" w:eastAsia="Calibri" w:hAnsi="Verdana" w:cs="Times New Roman"/>
          <w:i/>
          <w:iCs/>
        </w:rPr>
        <w:t xml:space="preserve">“¿pueden las entidades estatales, reconocer y pagar en el acta de liquidación del contrato, mayores de cantidades de obra ejecutada de </w:t>
      </w:r>
      <w:proofErr w:type="spellStart"/>
      <w:r w:rsidRPr="00F22C07">
        <w:rPr>
          <w:rFonts w:ascii="Verdana" w:eastAsia="Calibri" w:hAnsi="Verdana" w:cs="Times New Roman"/>
          <w:i/>
          <w:iCs/>
        </w:rPr>
        <w:t>itens</w:t>
      </w:r>
      <w:proofErr w:type="spellEnd"/>
      <w:r w:rsidRPr="00F22C07">
        <w:rPr>
          <w:rFonts w:ascii="Verdana" w:eastAsia="Calibri" w:hAnsi="Verdana" w:cs="Times New Roman"/>
          <w:i/>
          <w:iCs/>
        </w:rPr>
        <w:t xml:space="preserve"> (sic) o actividades presentes en el contrato? que ocurre cuando esas actividades son no previstas o nuevas”</w:t>
      </w:r>
      <w:r>
        <w:rPr>
          <w:rFonts w:ascii="Verdana" w:eastAsia="Calibri" w:hAnsi="Verdana" w:cs="Times New Roman"/>
          <w:i/>
          <w:iCs/>
        </w:rPr>
        <w:t>.</w:t>
      </w:r>
    </w:p>
    <w:p w14:paraId="2BFF56DD" w14:textId="77777777" w:rsidR="00CA0D1D" w:rsidRPr="00A04C35" w:rsidRDefault="00CA0D1D" w:rsidP="00CA0D1D">
      <w:pPr>
        <w:spacing w:after="120" w:line="276" w:lineRule="auto"/>
        <w:ind w:firstLine="709"/>
        <w:jc w:val="both"/>
        <w:rPr>
          <w:rFonts w:ascii="Verdana" w:eastAsia="Calibri" w:hAnsi="Verdana" w:cs="Times New Roman"/>
          <w:lang w:val="es-ES"/>
        </w:rPr>
      </w:pPr>
      <w:r w:rsidRPr="00A04C35">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A04C35">
        <w:rPr>
          <w:rFonts w:ascii="Verdana" w:eastAsia="Calibri" w:hAnsi="Verdana" w:cs="Times New Roman"/>
          <w:lang w:val="es-ES"/>
        </w:rPr>
        <w:lastRenderedPageBreak/>
        <w:t>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DB42EDA" w14:textId="77777777" w:rsidR="00CA0D1D" w:rsidRPr="00A04C35" w:rsidRDefault="00CA0D1D" w:rsidP="00CA0D1D">
      <w:pPr>
        <w:spacing w:after="0" w:line="276" w:lineRule="auto"/>
        <w:ind w:firstLine="708"/>
        <w:jc w:val="both"/>
        <w:rPr>
          <w:rFonts w:ascii="Verdana" w:eastAsia="Calibri" w:hAnsi="Verdana" w:cs="Times New Roman"/>
          <w:lang w:val="es-ES"/>
        </w:rPr>
      </w:pPr>
      <w:r w:rsidRPr="00A04C35">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47667D8" w14:textId="77777777" w:rsidR="00CA0D1D" w:rsidRPr="00A04C35" w:rsidRDefault="00CA0D1D" w:rsidP="00CA0D1D">
      <w:pPr>
        <w:spacing w:after="0" w:line="256" w:lineRule="auto"/>
        <w:rPr>
          <w:rFonts w:ascii="Verdana" w:eastAsia="Calibri" w:hAnsi="Verdana" w:cs="Times New Roman"/>
          <w:lang w:val="es-ES"/>
        </w:rPr>
      </w:pPr>
    </w:p>
    <w:p w14:paraId="4D7A8CAE" w14:textId="77777777" w:rsidR="00CA0D1D" w:rsidRPr="00A04C35" w:rsidRDefault="00CA0D1D" w:rsidP="00CA0D1D">
      <w:pPr>
        <w:numPr>
          <w:ilvl w:val="0"/>
          <w:numId w:val="19"/>
        </w:numPr>
        <w:spacing w:after="0" w:line="256" w:lineRule="auto"/>
        <w:contextualSpacing/>
        <w:rPr>
          <w:rFonts w:ascii="Verdana" w:eastAsia="Calibri" w:hAnsi="Verdana" w:cs="Times New Roman"/>
          <w:b/>
          <w:bCs/>
          <w:lang w:val="es-ES"/>
        </w:rPr>
      </w:pPr>
      <w:r w:rsidRPr="00A04C35">
        <w:rPr>
          <w:rFonts w:ascii="Verdana" w:eastAsia="Calibri" w:hAnsi="Verdana" w:cs="Times New Roman"/>
          <w:b/>
          <w:bCs/>
          <w:lang w:val="es-ES"/>
        </w:rPr>
        <w:t>Problema planteado:</w:t>
      </w:r>
    </w:p>
    <w:p w14:paraId="7173C66D" w14:textId="77777777" w:rsidR="00CA0D1D" w:rsidRPr="00A04C35" w:rsidRDefault="00CA0D1D" w:rsidP="00CA0D1D">
      <w:pPr>
        <w:spacing w:after="0" w:line="256" w:lineRule="auto"/>
        <w:rPr>
          <w:rFonts w:ascii="Verdana" w:eastAsia="Calibri" w:hAnsi="Verdana" w:cs="Times New Roman"/>
        </w:rPr>
      </w:pPr>
    </w:p>
    <w:p w14:paraId="01902DED" w14:textId="77777777" w:rsidR="00CA0D1D" w:rsidRPr="00A04C35" w:rsidRDefault="00CA0D1D" w:rsidP="00CA0D1D">
      <w:pPr>
        <w:spacing w:after="0" w:line="276" w:lineRule="auto"/>
        <w:jc w:val="both"/>
        <w:rPr>
          <w:rFonts w:ascii="Verdana" w:eastAsia="Calibri" w:hAnsi="Verdana" w:cs="Times New Roman"/>
          <w:iCs/>
        </w:rPr>
      </w:pPr>
      <w:r w:rsidRPr="00A04C35">
        <w:rPr>
          <w:rFonts w:ascii="Verdana" w:eastAsia="Calibri" w:hAnsi="Verdana" w:cs="Times New Roman"/>
        </w:rPr>
        <w:t>De acuerdo con el contenido de su solicitud, esta Agencia procede a resolver el siguiente problema jurídico:</w:t>
      </w:r>
      <w:r w:rsidRPr="00A04C35">
        <w:rPr>
          <w:rFonts w:ascii="Verdana" w:eastAsia="Calibri" w:hAnsi="Verdana" w:cs="Times New Roman"/>
          <w:i/>
          <w:iCs/>
        </w:rPr>
        <w:t xml:space="preserve"> </w:t>
      </w:r>
      <w:r w:rsidRPr="00A04C35">
        <w:rPr>
          <w:rFonts w:ascii="Verdana" w:eastAsia="Calibri" w:hAnsi="Verdana" w:cs="Times New Roman"/>
          <w:iCs/>
        </w:rPr>
        <w:t xml:space="preserve">¿Es procedente </w:t>
      </w:r>
      <w:r w:rsidRPr="00A04C35">
        <w:rPr>
          <w:rFonts w:ascii="Verdana" w:eastAsia="Calibri" w:hAnsi="Verdana" w:cs="Times New Roman"/>
          <w:bCs/>
          <w:iCs/>
        </w:rPr>
        <w:t xml:space="preserve">en la liquidación de contratos de obra reconocer el pago de los ítems </w:t>
      </w:r>
      <w:r>
        <w:rPr>
          <w:rFonts w:ascii="Verdana" w:eastAsia="Calibri" w:hAnsi="Verdana" w:cs="Times New Roman"/>
          <w:bCs/>
          <w:iCs/>
        </w:rPr>
        <w:t>no previstos y de mayores cantidades de obra</w:t>
      </w:r>
      <w:r w:rsidRPr="00A04C35">
        <w:rPr>
          <w:rFonts w:ascii="Verdana" w:eastAsia="Calibri" w:hAnsi="Verdana" w:cs="Times New Roman"/>
          <w:bCs/>
          <w:iCs/>
        </w:rPr>
        <w:t>?</w:t>
      </w:r>
      <w:r w:rsidRPr="00A04C35">
        <w:rPr>
          <w:rFonts w:ascii="Verdana" w:eastAsia="Calibri" w:hAnsi="Verdana" w:cs="Times New Roman"/>
          <w:i/>
          <w:iCs/>
        </w:rPr>
        <w:t>”</w:t>
      </w:r>
    </w:p>
    <w:p w14:paraId="133E86FC" w14:textId="77777777" w:rsidR="00CA0D1D" w:rsidRPr="00A04C35" w:rsidRDefault="00CA0D1D" w:rsidP="00CA0D1D">
      <w:pPr>
        <w:spacing w:after="0" w:line="276" w:lineRule="auto"/>
        <w:jc w:val="both"/>
        <w:rPr>
          <w:rFonts w:ascii="Verdana" w:eastAsia="Calibri" w:hAnsi="Verdana" w:cs="Times New Roman"/>
          <w:i/>
          <w:iCs/>
        </w:rPr>
      </w:pPr>
    </w:p>
    <w:p w14:paraId="60CD39A1" w14:textId="77777777" w:rsidR="00CA0D1D" w:rsidRPr="00A04C35" w:rsidRDefault="00CA0D1D" w:rsidP="00CA0D1D">
      <w:pPr>
        <w:numPr>
          <w:ilvl w:val="0"/>
          <w:numId w:val="19"/>
        </w:numPr>
        <w:spacing w:after="0" w:line="256" w:lineRule="auto"/>
        <w:contextualSpacing/>
        <w:rPr>
          <w:rFonts w:ascii="Verdana" w:eastAsia="Calibri" w:hAnsi="Verdana" w:cs="Times New Roman"/>
          <w:b/>
          <w:bCs/>
          <w:lang w:val="es-ES"/>
        </w:rPr>
      </w:pPr>
      <w:r w:rsidRPr="00A04C35">
        <w:rPr>
          <w:rFonts w:ascii="Verdana" w:eastAsia="Calibri" w:hAnsi="Verdana" w:cs="Times New Roman"/>
          <w:b/>
          <w:bCs/>
          <w:lang w:val="es-ES"/>
        </w:rPr>
        <w:t>Respuesta:</w:t>
      </w:r>
    </w:p>
    <w:p w14:paraId="3C28B0CA" w14:textId="77777777" w:rsidR="00CA0D1D" w:rsidRPr="00A04C35" w:rsidRDefault="00CA0D1D" w:rsidP="00CA0D1D">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CA0D1D" w:rsidRPr="00A04C35" w14:paraId="3F465BDF" w14:textId="77777777" w:rsidTr="00F77C5D">
        <w:trPr>
          <w:trHeight w:val="345"/>
          <w:jc w:val="center"/>
        </w:trPr>
        <w:tc>
          <w:tcPr>
            <w:tcW w:w="8784" w:type="dxa"/>
            <w:tcBorders>
              <w:bottom w:val="single" w:sz="4" w:space="0" w:color="auto"/>
            </w:tcBorders>
          </w:tcPr>
          <w:p w14:paraId="001308B5" w14:textId="77777777" w:rsidR="00CA0D1D" w:rsidRPr="00A04C35" w:rsidRDefault="00CA0D1D" w:rsidP="00F77C5D">
            <w:pPr>
              <w:tabs>
                <w:tab w:val="left" w:pos="709"/>
              </w:tabs>
              <w:spacing w:before="120"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 xml:space="preserve">Teniendo en cuenta las razones de la respuesta y el problema jurídico, objeto de consulta, en torno al contenido de la liquidación, es importante tener en cuenta los incisos segundo y tercero del artículo 60 del EGCAP, en el que se posibilita que las partes dentro del contrato acuerden los ajustes, revisiones y reconocimientos, y que consignen los acuerdos, conciliaciones. Esto hace que la liquidación es escenario para hacer uso de los mecanismos alternativos de solución de conflictos, sino también un medio para resolver asuntos relacionados con el desequilibrio económico del contrato, derivado del reconocimiento de ítems no previstos en este. </w:t>
            </w:r>
          </w:p>
          <w:p w14:paraId="7541BAA1" w14:textId="77777777" w:rsidR="00CA0D1D" w:rsidRPr="00A04C35" w:rsidRDefault="00CA0D1D" w:rsidP="00F77C5D">
            <w:pPr>
              <w:tabs>
                <w:tab w:val="left" w:pos="709"/>
              </w:tabs>
              <w:spacing w:before="120"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En este aspecto, se destaca que la Sala Plena del Consejo de Estado expidió la Sentencia de Unificación del 19 de noviembre de 2012, en su momento fijó que, </w:t>
            </w:r>
            <w:r w:rsidRPr="00A04C35">
              <w:rPr>
                <w:rFonts w:ascii="Verdana" w:eastAsia="Times New Roman" w:hAnsi="Verdana" w:cs="Arial"/>
                <w:i/>
                <w:iCs/>
                <w:color w:val="000000"/>
                <w:bdr w:val="none" w:sz="0" w:space="0" w:color="auto" w:frame="1"/>
                <w:shd w:val="clear" w:color="auto" w:fill="FFFFFF"/>
                <w:lang w:eastAsia="es-ES_tradnl"/>
              </w:rPr>
              <w:t>por regla general,</w:t>
            </w:r>
            <w:r w:rsidRPr="00A04C35">
              <w:rPr>
                <w:rFonts w:ascii="Verdana" w:eastAsia="Times New Roman" w:hAnsi="Verdana" w:cs="Arial"/>
                <w:color w:val="000000"/>
                <w:bdr w:val="none" w:sz="0" w:space="0" w:color="auto" w:frame="1"/>
                <w:shd w:val="clear" w:color="auto" w:fill="FFFFFF"/>
                <w:lang w:eastAsia="es-ES_tradnl"/>
              </w:rPr>
              <w:t xml:space="preserve"> no es posible solicitar reconocimientos </w:t>
            </w:r>
            <w:r w:rsidRPr="00A04C35">
              <w:rPr>
                <w:rFonts w:ascii="Verdana" w:eastAsia="Times New Roman" w:hAnsi="Verdana" w:cs="Arial"/>
                <w:color w:val="000000"/>
                <w:bdr w:val="none" w:sz="0" w:space="0" w:color="auto" w:frame="1"/>
                <w:shd w:val="clear" w:color="auto" w:fill="FFFFFF"/>
                <w:lang w:eastAsia="es-ES_tradnl"/>
              </w:rPr>
              <w:lastRenderedPageBreak/>
              <w:t xml:space="preserve">económicos por la ejecución de obras extras o adicionales, sin la previa suscripción de un contrato adicional que las justifique. En dicha sentencia se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sidRPr="00A04C35">
              <w:rPr>
                <w:rFonts w:ascii="Verdana" w:eastAsia="Times New Roman" w:hAnsi="Verdana" w:cs="Arial"/>
                <w:color w:val="000000"/>
                <w:bdr w:val="none" w:sz="0" w:space="0" w:color="auto" w:frame="1"/>
                <w:shd w:val="clear" w:color="auto" w:fill="FFFFFF"/>
                <w:lang w:eastAsia="es-ES_tradnl"/>
              </w:rPr>
              <w:t>iii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cuando se omite el decreto de la urgencia manifiesta y concurren las circunstancias para que ésta hubiera sido declarada.  </w:t>
            </w:r>
          </w:p>
          <w:p w14:paraId="75A19923" w14:textId="77777777" w:rsidR="00CA0D1D" w:rsidRPr="00A04C35" w:rsidRDefault="00CA0D1D" w:rsidP="00F77C5D">
            <w:pPr>
              <w:tabs>
                <w:tab w:val="left" w:pos="709"/>
              </w:tabs>
              <w:spacing w:before="120"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Sin embargo, esta postura jurisprudencial consolidada cambió con la Sentencia de Unificación del 31 de julio de 2025, en la que se expresó la compensación del enriquecimiento sin justa causa no está condicionado a la subsunción de ciertos hechos que se concuerdan con una lista de supuestos taxativos, sino que corresponde al juez, en virtud de los elementos sustantivos y la revisión de la conducta de las partes, definir la viabilidad de corregir el traslado patrimonial injustificado por bienes y obras no previstos en el contrato. De tal modo, se expresó que no podrá dejarse de conceder lo pedido por el solo hecho de que el caso no se enmarque en los eventos indicados en la sentencia del 19 de noviembre de 2012. </w:t>
            </w:r>
          </w:p>
          <w:p w14:paraId="537CDBDC" w14:textId="77777777" w:rsidR="00CA0D1D" w:rsidRDefault="00CA0D1D" w:rsidP="00F77C5D">
            <w:pPr>
              <w:tabs>
                <w:tab w:val="left" w:pos="709"/>
              </w:tabs>
              <w:spacing w:before="120"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De este modo, en aplicación del artículo 10 de la Ley 1437 de 2011, sobre el deber de la Administración de sujetarse a las Sentencias de Unificación Jurisprudencial, se señala que existe la posibilidad de reconocer en la liquidación actividades no incluidas o ítems no previstos dentro del contrato, pues no se limita a los supuestos planteados de la Sentencia de Unificación del 19 de noviembre de 2012, sino que para su procedencia se configuren los elementos del enriquecimiento sin justa causa, la prueba de la actividad, sumado a la circunstancia excepcional que se invoca.</w:t>
            </w:r>
          </w:p>
          <w:p w14:paraId="780B6268" w14:textId="77777777" w:rsidR="00CA0D1D" w:rsidRDefault="00CA0D1D" w:rsidP="00F77C5D">
            <w:pPr>
              <w:tabs>
                <w:tab w:val="left" w:pos="709"/>
              </w:tabs>
              <w:spacing w:before="120" w:after="120" w:line="276" w:lineRule="auto"/>
              <w:ind w:firstLine="74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Respecto de las mayores cantidades de obra es pertinente indicar que para que </w:t>
            </w:r>
            <w:r w:rsidRPr="001C1C74">
              <w:rPr>
                <w:rFonts w:ascii="Verdana" w:hAnsi="Verdana"/>
              </w:rPr>
              <w:t>proceda el reconocimiento de</w:t>
            </w:r>
            <w:r>
              <w:rPr>
                <w:rFonts w:ascii="Verdana" w:hAnsi="Verdana"/>
              </w:rPr>
              <w:t xml:space="preserve"> estas</w:t>
            </w:r>
            <w:r w:rsidRPr="001C1C74">
              <w:rPr>
                <w:rFonts w:ascii="Verdana" w:hAnsi="Verdana"/>
              </w:rPr>
              <w:t xml:space="preserve"> es indispensable que dichas cantidades no hayan sido ejecutadas de manera unilateral o autónoma por el contratista, sino que cuenten con la aceptación por parte de la entidad contratante</w:t>
            </w:r>
            <w:r>
              <w:rPr>
                <w:rFonts w:ascii="Verdana" w:hAnsi="Verdana"/>
              </w:rPr>
              <w:t xml:space="preserve">. </w:t>
            </w:r>
            <w:r w:rsidRPr="001C1C74">
              <w:rPr>
                <w:rFonts w:ascii="Verdana" w:hAnsi="Verdana"/>
              </w:rPr>
              <w:t xml:space="preserve">Asimismo, debe acreditarse que las mayores cantidades ejecutadas resultaban necesarias, proporcionales y razonables para alcanzar el cumplimiento integral del objeto contractual, conforme a las condiciones técnicas pactadas. En este sentido, no basta con que se hayan ejecutado </w:t>
            </w:r>
            <w:r w:rsidRPr="001C1C74">
              <w:rPr>
                <w:rFonts w:ascii="Verdana" w:hAnsi="Verdana"/>
              </w:rPr>
              <w:lastRenderedPageBreak/>
              <w:t xml:space="preserve">físicamente, sino que es necesario demostrar que dichas cantidades eran imprescindibles para </w:t>
            </w:r>
            <w:r>
              <w:rPr>
                <w:rFonts w:ascii="Verdana" w:hAnsi="Verdana"/>
              </w:rPr>
              <w:t>el cabal cumplimiento del contrato.</w:t>
            </w:r>
          </w:p>
          <w:p w14:paraId="67CB27AA" w14:textId="77777777" w:rsidR="00CA0D1D" w:rsidRPr="00A04C35" w:rsidRDefault="00CA0D1D" w:rsidP="00F77C5D">
            <w:pPr>
              <w:tabs>
                <w:tab w:val="left" w:pos="709"/>
              </w:tabs>
              <w:spacing w:before="120" w:after="120" w:line="276" w:lineRule="auto"/>
              <w:ind w:firstLine="74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De esta forma, </w:t>
            </w:r>
            <w:r>
              <w:rPr>
                <w:rFonts w:ascii="Verdana" w:hAnsi="Verdana"/>
              </w:rPr>
              <w:t xml:space="preserve">teniendo en cuenta </w:t>
            </w:r>
            <w:r w:rsidRPr="004E7A9A">
              <w:rPr>
                <w:rFonts w:ascii="Verdana" w:hAnsi="Verdana"/>
              </w:rPr>
              <w:t xml:space="preserve">que la liquidación del contrato constituye el momento en el cual las partes realizan el ajuste final de cuentas, se considera jurídicamente viable el </w:t>
            </w:r>
            <w:r>
              <w:rPr>
                <w:rFonts w:ascii="Verdana" w:hAnsi="Verdana"/>
              </w:rPr>
              <w:t xml:space="preserve">análisis del </w:t>
            </w:r>
            <w:r w:rsidRPr="004E7A9A">
              <w:rPr>
                <w:rFonts w:ascii="Verdana" w:hAnsi="Verdana"/>
              </w:rPr>
              <w:t xml:space="preserve">reconocimiento de mayores cantidades de obra ejecutadas, siempre que se acrediten los presupuestos previamente señalados. </w:t>
            </w:r>
            <w:r>
              <w:rPr>
                <w:rFonts w:ascii="Verdana" w:hAnsi="Verdana"/>
              </w:rPr>
              <w:t>Así</w:t>
            </w:r>
            <w:r w:rsidRPr="004E7A9A">
              <w:rPr>
                <w:rFonts w:ascii="Verdana" w:hAnsi="Verdana"/>
              </w:rPr>
              <w:t xml:space="preserve">, el simple hecho de demostrar su ejecución no implica, por sí solo, el derecho automático a su pago, ya que dicho reconocimiento está sujeto a la verificación técnica, jurídica y financiera correspondiente. </w:t>
            </w:r>
            <w:r>
              <w:rPr>
                <w:rFonts w:ascii="Verdana" w:hAnsi="Verdana"/>
              </w:rPr>
              <w:t>Por consiguiente</w:t>
            </w:r>
            <w:r w:rsidRPr="004E7A9A">
              <w:rPr>
                <w:rFonts w:ascii="Verdana" w:hAnsi="Verdana"/>
              </w:rPr>
              <w:t xml:space="preserve">, en el marco del acta de liquidación bilateral, la entidad contratante puede analizar y pronunciarse sobre la procedencia del reconocimiento de estas </w:t>
            </w:r>
            <w:r>
              <w:rPr>
                <w:rFonts w:ascii="Verdana" w:hAnsi="Verdana"/>
              </w:rPr>
              <w:t xml:space="preserve">mayores </w:t>
            </w:r>
            <w:r w:rsidRPr="004E7A9A">
              <w:rPr>
                <w:rFonts w:ascii="Verdana" w:hAnsi="Verdana"/>
              </w:rPr>
              <w:t>cantidades</w:t>
            </w:r>
            <w:r>
              <w:rPr>
                <w:rFonts w:ascii="Verdana" w:hAnsi="Verdana"/>
              </w:rPr>
              <w:t xml:space="preserve"> y el contratista podrá </w:t>
            </w:r>
            <w:r w:rsidRPr="004E7A9A">
              <w:rPr>
                <w:rFonts w:ascii="Verdana" w:hAnsi="Verdana"/>
              </w:rPr>
              <w:t>deja</w:t>
            </w:r>
            <w:r>
              <w:rPr>
                <w:rFonts w:ascii="Verdana" w:hAnsi="Verdana"/>
              </w:rPr>
              <w:t>r las</w:t>
            </w:r>
            <w:r w:rsidRPr="004E7A9A">
              <w:rPr>
                <w:rFonts w:ascii="Verdana" w:hAnsi="Verdana"/>
              </w:rPr>
              <w:t xml:space="preserve"> constancia</w:t>
            </w:r>
            <w:r>
              <w:rPr>
                <w:rFonts w:ascii="Verdana" w:hAnsi="Verdana"/>
              </w:rPr>
              <w:t>s</w:t>
            </w:r>
            <w:r w:rsidRPr="004E7A9A">
              <w:rPr>
                <w:rFonts w:ascii="Verdana" w:hAnsi="Verdana"/>
              </w:rPr>
              <w:t xml:space="preserve"> de las salvedades o discrepancias que puedan surgir frente al contenido del acta de liquidación propuesta.</w:t>
            </w:r>
          </w:p>
          <w:p w14:paraId="77BD9692" w14:textId="77777777" w:rsidR="00CA0D1D" w:rsidRPr="00A04C35" w:rsidRDefault="00CA0D1D" w:rsidP="00F77C5D">
            <w:pPr>
              <w:widowControl w:val="0"/>
              <w:autoSpaceDE w:val="0"/>
              <w:autoSpaceDN w:val="0"/>
              <w:spacing w:before="120" w:after="120" w:line="276" w:lineRule="auto"/>
              <w:ind w:firstLine="708"/>
              <w:jc w:val="both"/>
              <w:rPr>
                <w:rFonts w:ascii="Verdana" w:eastAsia="Times New Roman" w:hAnsi="Verdana" w:cs="Arial"/>
                <w:color w:val="000000"/>
                <w:lang w:val="es-ES" w:eastAsia="es-ES"/>
              </w:rPr>
            </w:pPr>
            <w:r w:rsidRPr="00A04C35">
              <w:rPr>
                <w:rFonts w:ascii="Verdana" w:hAnsi="Verdana" w:cs="Arial"/>
                <w:lang w:eastAsia="es-ES"/>
              </w:rPr>
              <w:t>En todo caso, debe advertirse que el análisis requerido para resolver problemas específicos en torno a los reconocimientos económicos derivados del desequilibrio en el contrato por ítems no previstos en el contrato debe realizarse por quienes tengan interés en ello, de acuerdo con lo explicado la aclaración preliminar del presente concepto, y teniendo en cuenta lo expuesto en las razones de la respuesta.</w:t>
            </w:r>
          </w:p>
        </w:tc>
      </w:tr>
    </w:tbl>
    <w:p w14:paraId="093F452B" w14:textId="77777777" w:rsidR="00CA0D1D" w:rsidRPr="00A04C35" w:rsidRDefault="00CA0D1D" w:rsidP="00CA0D1D">
      <w:pPr>
        <w:spacing w:after="0" w:line="276" w:lineRule="auto"/>
        <w:jc w:val="both"/>
        <w:rPr>
          <w:rFonts w:ascii="Verdana" w:eastAsia="Calibri" w:hAnsi="Verdana" w:cs="Arial"/>
          <w:bCs/>
          <w:color w:val="000000" w:themeColor="text1"/>
        </w:rPr>
      </w:pPr>
    </w:p>
    <w:p w14:paraId="5B4D3D37" w14:textId="77777777" w:rsidR="00CA0D1D" w:rsidRPr="00A04C35" w:rsidRDefault="00CA0D1D" w:rsidP="00CA0D1D">
      <w:pPr>
        <w:numPr>
          <w:ilvl w:val="0"/>
          <w:numId w:val="19"/>
        </w:numPr>
        <w:tabs>
          <w:tab w:val="left" w:pos="2268"/>
        </w:tabs>
        <w:spacing w:after="0" w:line="256" w:lineRule="auto"/>
        <w:rPr>
          <w:rFonts w:ascii="Verdana" w:eastAsia="Calibri" w:hAnsi="Verdana" w:cs="Times New Roman"/>
          <w:b/>
          <w:bCs/>
          <w:lang w:val="es-ES"/>
        </w:rPr>
      </w:pPr>
      <w:r w:rsidRPr="00A04C35">
        <w:rPr>
          <w:rFonts w:ascii="Verdana" w:eastAsia="Calibri" w:hAnsi="Verdana" w:cs="Times New Roman"/>
          <w:b/>
          <w:bCs/>
          <w:lang w:val="es-ES"/>
        </w:rPr>
        <w:t>Razones de la respuesta:</w:t>
      </w:r>
    </w:p>
    <w:p w14:paraId="3D324278" w14:textId="77777777" w:rsidR="00CA0D1D" w:rsidRPr="00A04C35" w:rsidRDefault="00CA0D1D" w:rsidP="00CA0D1D">
      <w:pPr>
        <w:spacing w:after="0" w:line="256" w:lineRule="auto"/>
        <w:rPr>
          <w:rFonts w:ascii="Verdana" w:eastAsia="Calibri" w:hAnsi="Verdana" w:cs="Times New Roman"/>
          <w:b/>
          <w:bCs/>
          <w:lang w:val="es-ES"/>
        </w:rPr>
      </w:pPr>
    </w:p>
    <w:p w14:paraId="4C2CC71E" w14:textId="77777777" w:rsidR="00CA0D1D" w:rsidRPr="00A04C35" w:rsidRDefault="00CA0D1D" w:rsidP="00CA0D1D">
      <w:pPr>
        <w:spacing w:after="0" w:line="276" w:lineRule="auto"/>
        <w:jc w:val="both"/>
        <w:rPr>
          <w:rFonts w:ascii="Verdana" w:eastAsia="Calibri" w:hAnsi="Verdana" w:cs="Arial"/>
          <w:lang w:val="es-ES"/>
        </w:rPr>
      </w:pPr>
      <w:r w:rsidRPr="00A04C35">
        <w:rPr>
          <w:rFonts w:ascii="Verdana" w:eastAsia="Calibri" w:hAnsi="Verdana" w:cs="Arial"/>
          <w:lang w:val="es-ES"/>
        </w:rPr>
        <w:t xml:space="preserve">Lo anterior se sustenta en las siguientes consideraciones: </w:t>
      </w:r>
    </w:p>
    <w:p w14:paraId="6CDF9559" w14:textId="77777777" w:rsidR="00CA0D1D" w:rsidRPr="00A04C35" w:rsidRDefault="00CA0D1D" w:rsidP="00CA0D1D">
      <w:pPr>
        <w:spacing w:after="0" w:line="276" w:lineRule="auto"/>
        <w:jc w:val="both"/>
        <w:rPr>
          <w:rFonts w:ascii="Verdana" w:eastAsia="Calibri" w:hAnsi="Verdana" w:cs="Arial"/>
          <w:color w:val="000000" w:themeColor="text1"/>
          <w:lang w:val="es-ES"/>
        </w:rPr>
      </w:pPr>
      <w:bookmarkStart w:id="1" w:name="_Hlk78820161"/>
    </w:p>
    <w:p w14:paraId="58717429" w14:textId="77777777" w:rsidR="00CA0D1D" w:rsidRPr="00A04C35" w:rsidRDefault="00CA0D1D" w:rsidP="00CA0D1D">
      <w:pPr>
        <w:spacing w:after="0" w:line="276" w:lineRule="auto"/>
        <w:jc w:val="both"/>
        <w:rPr>
          <w:rFonts w:ascii="Verdana" w:eastAsia="Times New Roman" w:hAnsi="Verdana" w:cs="Arial"/>
          <w:color w:val="000000"/>
          <w:lang w:val="es-ES"/>
        </w:rPr>
      </w:pPr>
      <w:r w:rsidRPr="00A04C35">
        <w:rPr>
          <w:rFonts w:ascii="Verdana" w:eastAsia="Times New Roman" w:hAnsi="Verdana" w:cs="Arial"/>
          <w:color w:val="000000"/>
          <w:lang w:val="es-ES"/>
        </w:rPr>
        <w:t>i.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A04C35">
        <w:rPr>
          <w:rFonts w:ascii="Verdana" w:eastAsia="Times New Roman" w:hAnsi="Verdana" w:cs="Arial"/>
          <w:color w:val="000000"/>
          <w:vertAlign w:val="superscript"/>
          <w:lang w:val="es-ES"/>
        </w:rPr>
        <w:footnoteReference w:id="2"/>
      </w:r>
      <w:r w:rsidRPr="00A04C35">
        <w:rPr>
          <w:rFonts w:ascii="Verdana" w:eastAsia="Times New Roman" w:hAnsi="Verdana" w:cs="Arial"/>
          <w:color w:val="000000"/>
          <w:lang w:val="es-ES"/>
        </w:rPr>
        <w:t>. En armonía con lo anterior, la doctrina ha definido la liquidación de la siguiente manera:</w:t>
      </w:r>
    </w:p>
    <w:p w14:paraId="13823A6A" w14:textId="77777777" w:rsidR="00CA0D1D" w:rsidRPr="00A04C35" w:rsidRDefault="00CA0D1D" w:rsidP="00CA0D1D">
      <w:pPr>
        <w:spacing w:after="0" w:line="276" w:lineRule="auto"/>
        <w:jc w:val="both"/>
        <w:rPr>
          <w:rFonts w:ascii="Verdana" w:eastAsia="Times New Roman" w:hAnsi="Verdana" w:cs="Arial"/>
          <w:color w:val="000000"/>
          <w:lang w:val="es-ES_tradnl"/>
        </w:rPr>
      </w:pPr>
    </w:p>
    <w:p w14:paraId="0607AF1B" w14:textId="77777777" w:rsidR="00CA0D1D" w:rsidRPr="00A04C35" w:rsidRDefault="00CA0D1D" w:rsidP="00CA0D1D">
      <w:pPr>
        <w:spacing w:after="0" w:line="240" w:lineRule="auto"/>
        <w:ind w:left="709" w:right="758"/>
        <w:jc w:val="both"/>
        <w:rPr>
          <w:rFonts w:ascii="Verdana" w:eastAsia="Times New Roman" w:hAnsi="Verdana" w:cs="Arial"/>
          <w:sz w:val="20"/>
          <w:szCs w:val="20"/>
          <w:lang w:val="es-MX"/>
        </w:rPr>
      </w:pPr>
      <w:r w:rsidRPr="00A04C35">
        <w:rPr>
          <w:rFonts w:ascii="Verdana" w:eastAsia="Times New Roman" w:hAnsi="Verdana" w:cs="Arial"/>
          <w:i/>
          <w:iCs/>
          <w:color w:val="000000"/>
          <w:sz w:val="20"/>
          <w:szCs w:val="20"/>
          <w:lang w:val="es-ES_tradnl"/>
        </w:rPr>
        <w:lastRenderedPageBreak/>
        <w:t>“</w:t>
      </w:r>
      <w:r w:rsidRPr="00A04C35">
        <w:rPr>
          <w:rFonts w:ascii="Verdana" w:eastAsia="Times New Roman"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A04C35">
        <w:rPr>
          <w:rFonts w:ascii="Verdana" w:eastAsia="Times New Roman" w:hAnsi="Verdana" w:cs="Arial"/>
          <w:sz w:val="20"/>
          <w:szCs w:val="20"/>
          <w:lang w:val="es-MX"/>
        </w:rPr>
        <w:t>ii</w:t>
      </w:r>
      <w:proofErr w:type="spellEnd"/>
      <w:r w:rsidRPr="00A04C35">
        <w:rPr>
          <w:rFonts w:ascii="Verdana" w:eastAsia="Times New Roman"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A04C35">
        <w:rPr>
          <w:rFonts w:ascii="Verdana" w:eastAsia="Times New Roman" w:hAnsi="Verdana" w:cs="Arial"/>
          <w:sz w:val="20"/>
          <w:szCs w:val="20"/>
          <w:vertAlign w:val="superscript"/>
          <w:lang w:val="es-MX"/>
        </w:rPr>
        <w:footnoteReference w:id="3"/>
      </w:r>
      <w:r w:rsidRPr="00A04C35">
        <w:rPr>
          <w:rFonts w:ascii="Verdana" w:eastAsia="Times New Roman" w:hAnsi="Verdana" w:cs="Arial"/>
          <w:sz w:val="20"/>
          <w:szCs w:val="20"/>
          <w:lang w:val="es-MX"/>
        </w:rPr>
        <w:t>.</w:t>
      </w:r>
    </w:p>
    <w:p w14:paraId="6FD553EE" w14:textId="77777777" w:rsidR="00CA0D1D" w:rsidRPr="00A04C35" w:rsidRDefault="00CA0D1D" w:rsidP="00CA0D1D">
      <w:pPr>
        <w:spacing w:after="0" w:line="276" w:lineRule="auto"/>
        <w:jc w:val="both"/>
        <w:rPr>
          <w:rFonts w:ascii="Verdana" w:eastAsia="Times New Roman" w:hAnsi="Verdana" w:cs="Arial"/>
          <w:color w:val="000000"/>
          <w:lang w:val="es-ES_tradnl"/>
        </w:rPr>
      </w:pPr>
    </w:p>
    <w:p w14:paraId="6601C958" w14:textId="77777777" w:rsidR="00CA0D1D" w:rsidRPr="00A04C35" w:rsidRDefault="00CA0D1D" w:rsidP="00CA0D1D">
      <w:pPr>
        <w:spacing w:after="120" w:line="276" w:lineRule="auto"/>
        <w:ind w:firstLine="709"/>
        <w:jc w:val="both"/>
        <w:rPr>
          <w:rFonts w:ascii="Verdana" w:eastAsia="Times New Roman" w:hAnsi="Verdana" w:cs="Arial"/>
          <w:color w:val="000000"/>
          <w:sz w:val="21"/>
          <w:szCs w:val="21"/>
          <w:lang w:val="es-ES_tradnl" w:eastAsia="es-ES_tradnl"/>
        </w:rPr>
      </w:pPr>
      <w:r w:rsidRPr="00A04C35">
        <w:rPr>
          <w:rFonts w:ascii="Verdana" w:eastAsia="Times New Roman" w:hAnsi="Verdana" w:cs="Arial"/>
          <w:color w:val="000000"/>
          <w:szCs w:val="24"/>
          <w:lang w:val="es-ES_tradnl" w:eastAsia="es-ES_tradnl"/>
        </w:rPr>
        <w:t xml:space="preserve">Según lo expuesto,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A04C35">
        <w:rPr>
          <w:rFonts w:ascii="Verdana" w:eastAsia="Times New Roman" w:hAnsi="Verdana" w:cs="Arial"/>
          <w:i/>
          <w:iCs/>
          <w:color w:val="000000"/>
          <w:szCs w:val="24"/>
          <w:lang w:val="es-ES_tradnl" w:eastAsia="es-ES_tradnl"/>
        </w:rPr>
        <w:t>liquidar</w:t>
      </w:r>
      <w:r w:rsidRPr="00A04C35">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A04C35">
        <w:rPr>
          <w:rFonts w:ascii="Verdana" w:eastAsia="Times New Roman" w:hAnsi="Verdana" w:cs="Arial"/>
          <w:i/>
          <w:iCs/>
          <w:color w:val="000000"/>
          <w:szCs w:val="24"/>
          <w:lang w:val="es-ES_tradnl" w:eastAsia="es-ES_tradnl"/>
        </w:rPr>
        <w:t>liquidación</w:t>
      </w:r>
      <w:r w:rsidRPr="00A04C35">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A04C35">
        <w:rPr>
          <w:rFonts w:ascii="Verdana" w:eastAsia="Times New Roman" w:hAnsi="Verdana" w:cs="Arial"/>
          <w:color w:val="000000"/>
          <w:szCs w:val="24"/>
          <w:vertAlign w:val="superscript"/>
          <w:lang w:val="es-ES_tradnl" w:eastAsia="es-ES_tradnl"/>
        </w:rPr>
        <w:footnoteReference w:id="4"/>
      </w:r>
      <w:r w:rsidRPr="00A04C35">
        <w:rPr>
          <w:rFonts w:ascii="Verdana" w:eastAsia="Times New Roman" w:hAnsi="Verdana" w:cs="Arial"/>
          <w:color w:val="000000"/>
          <w:szCs w:val="24"/>
          <w:lang w:val="es-ES_tradnl" w:eastAsia="es-ES_tradnl"/>
        </w:rPr>
        <w:t xml:space="preserve">. </w:t>
      </w:r>
    </w:p>
    <w:p w14:paraId="6D9626C8" w14:textId="77777777" w:rsidR="00CA0D1D" w:rsidRPr="00A04C35" w:rsidRDefault="00CA0D1D" w:rsidP="00CA0D1D">
      <w:pPr>
        <w:spacing w:after="0" w:line="276" w:lineRule="auto"/>
        <w:ind w:firstLine="709"/>
        <w:jc w:val="both"/>
        <w:rPr>
          <w:rFonts w:ascii="Verdana" w:eastAsia="Times New Roman" w:hAnsi="Verdana" w:cs="Arial"/>
          <w:color w:val="000000"/>
          <w:lang w:val="es-ES_tradnl"/>
        </w:rPr>
      </w:pPr>
      <w:r w:rsidRPr="00A04C35">
        <w:rPr>
          <w:rFonts w:ascii="Verdana" w:eastAsia="Times New Roman" w:hAnsi="Verdana" w:cs="Arial"/>
          <w:color w:val="000000"/>
          <w:lang w:val="es-ES_tradnl"/>
        </w:rPr>
        <w:t xml:space="preserve">Las disposiciones legales que regulan la etapa de liquidación de los contratos estatales son el artículo 60 de la Ley 80 de 1993, modificado por el </w:t>
      </w:r>
      <w:r w:rsidRPr="00A04C35">
        <w:rPr>
          <w:rFonts w:ascii="Verdana" w:eastAsia="Times New Roman" w:hAnsi="Verdana" w:cs="Arial"/>
          <w:color w:val="000000"/>
          <w:lang w:val="es-ES_tradnl"/>
        </w:rPr>
        <w:lastRenderedPageBreak/>
        <w:t>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345AC37D" w14:textId="77777777" w:rsidR="00CA0D1D" w:rsidRPr="00A04C35" w:rsidRDefault="00CA0D1D" w:rsidP="00CA0D1D">
      <w:pPr>
        <w:spacing w:after="0" w:line="276" w:lineRule="auto"/>
        <w:ind w:firstLine="708"/>
        <w:jc w:val="both"/>
        <w:rPr>
          <w:rFonts w:ascii="Verdana" w:eastAsia="Times New Roman" w:hAnsi="Verdana" w:cs="Arial"/>
          <w:lang w:val="es-ES"/>
        </w:rPr>
      </w:pPr>
    </w:p>
    <w:p w14:paraId="190A5D91" w14:textId="77777777" w:rsidR="00CA0D1D" w:rsidRPr="00B67E4C" w:rsidRDefault="00CA0D1D" w:rsidP="00CA0D1D">
      <w:pPr>
        <w:spacing w:after="0" w:line="240" w:lineRule="auto"/>
        <w:ind w:left="709" w:right="758"/>
        <w:jc w:val="both"/>
        <w:rPr>
          <w:rFonts w:ascii="Verdana" w:eastAsia="Times New Roman" w:hAnsi="Verdana" w:cs="Arial"/>
          <w:sz w:val="20"/>
          <w:szCs w:val="20"/>
          <w:lang w:val="es-MX"/>
        </w:rPr>
      </w:pPr>
      <w:r w:rsidRPr="00B67E4C">
        <w:rPr>
          <w:rFonts w:ascii="Verdana" w:eastAsia="Times New Roman" w:hAnsi="Verdana" w:cs="Arial"/>
          <w:sz w:val="20"/>
          <w:szCs w:val="20"/>
          <w:lang w:val="es-ES"/>
        </w:rPr>
        <w:t>“</w:t>
      </w:r>
      <w:r w:rsidRPr="00B67E4C">
        <w:rPr>
          <w:rFonts w:ascii="Verdana" w:eastAsia="Times New Roman" w:hAnsi="Verdana" w:cs="Arial"/>
          <w:sz w:val="20"/>
          <w:szCs w:val="20"/>
          <w:lang w:val="es-MX"/>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B67E4C">
        <w:rPr>
          <w:rFonts w:ascii="Verdana" w:eastAsia="Times New Roman" w:hAnsi="Verdana" w:cs="Arial"/>
          <w:sz w:val="20"/>
          <w:szCs w:val="20"/>
          <w:vertAlign w:val="superscript"/>
          <w:lang w:val="es-MX"/>
        </w:rPr>
        <w:footnoteReference w:id="5"/>
      </w:r>
      <w:r w:rsidRPr="00B67E4C">
        <w:rPr>
          <w:rFonts w:ascii="Verdana" w:eastAsia="Times New Roman" w:hAnsi="Verdana" w:cs="Arial"/>
          <w:sz w:val="20"/>
          <w:szCs w:val="20"/>
          <w:lang w:val="es-MX"/>
        </w:rPr>
        <w:t>.</w:t>
      </w:r>
    </w:p>
    <w:p w14:paraId="3DB43E45" w14:textId="77777777" w:rsidR="00CA0D1D" w:rsidRPr="00A04C35" w:rsidRDefault="00CA0D1D" w:rsidP="00CA0D1D">
      <w:pPr>
        <w:spacing w:after="0" w:line="276" w:lineRule="auto"/>
        <w:ind w:left="709" w:right="758"/>
        <w:jc w:val="both"/>
        <w:rPr>
          <w:rFonts w:ascii="Verdana" w:eastAsia="Times New Roman" w:hAnsi="Verdana" w:cs="Arial"/>
          <w:lang w:val="es-MX"/>
        </w:rPr>
      </w:pPr>
    </w:p>
    <w:p w14:paraId="46C5B88E" w14:textId="77777777" w:rsidR="00CA0D1D" w:rsidRDefault="00CA0D1D" w:rsidP="00CA0D1D">
      <w:pPr>
        <w:spacing w:after="120" w:line="276" w:lineRule="auto"/>
        <w:ind w:firstLine="708"/>
        <w:jc w:val="both"/>
        <w:rPr>
          <w:rFonts w:ascii="Verdana" w:eastAsia="Times New Roman" w:hAnsi="Verdana" w:cs="Arial"/>
          <w:color w:val="000000"/>
          <w:lang w:val="es-ES_tradnl"/>
        </w:rPr>
      </w:pPr>
      <w:r w:rsidRPr="00A04C35">
        <w:rPr>
          <w:rFonts w:ascii="Verdana" w:eastAsia="Times New Roman" w:hAnsi="Verdana" w:cs="Arial"/>
          <w:color w:val="000000"/>
          <w:lang w:val="es-MX"/>
        </w:rPr>
        <w:t xml:space="preserve">De </w:t>
      </w:r>
      <w:r w:rsidRPr="00A04C35">
        <w:rPr>
          <w:rFonts w:ascii="Verdana" w:eastAsia="Times New Roman" w:hAnsi="Verdana" w:cs="Arial"/>
          <w:color w:val="000000"/>
          <w:lang w:val="es-ES_tradnl"/>
        </w:rPr>
        <w:t>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A04C35">
        <w:rPr>
          <w:rFonts w:ascii="Verdana" w:eastAsia="Times New Roman" w:hAnsi="Verdana" w:cs="Arial"/>
          <w:color w:val="000000"/>
          <w:vertAlign w:val="superscript"/>
          <w:lang w:val="es-ES_tradnl"/>
        </w:rPr>
        <w:footnoteReference w:id="6"/>
      </w:r>
      <w:r w:rsidRPr="00A04C35">
        <w:rPr>
          <w:rFonts w:ascii="Verdana" w:eastAsia="Times New Roman" w:hAnsi="Verdana" w:cs="Arial"/>
          <w:color w:val="000000"/>
          <w:lang w:val="es-ES_tradnl"/>
        </w:rPr>
        <w:t xml:space="preserve">, así como la probabilidad de que puedan surgir diferencias durante la ejecución del contrato; sin perjuicio de que, como se indicó, todos los contratos estatales de </w:t>
      </w:r>
      <w:r w:rsidRPr="00A04C35">
        <w:rPr>
          <w:rFonts w:ascii="Verdana" w:eastAsia="Times New Roman" w:hAnsi="Verdana" w:cs="Arial"/>
          <w:i/>
          <w:iCs/>
          <w:color w:val="000000"/>
          <w:lang w:val="es-ES_tradnl"/>
        </w:rPr>
        <w:t>tracto sucesivo</w:t>
      </w:r>
      <w:r w:rsidRPr="00A04C35">
        <w:rPr>
          <w:rFonts w:ascii="Verdana" w:eastAsia="Times New Roman"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2A45F11C" w14:textId="77777777" w:rsidR="00CA0D1D" w:rsidRPr="00996772" w:rsidRDefault="00CA0D1D" w:rsidP="00CA0D1D">
      <w:pPr>
        <w:spacing w:after="120" w:line="276" w:lineRule="auto"/>
        <w:jc w:val="both"/>
        <w:rPr>
          <w:rFonts w:ascii="Verdana" w:eastAsia="Times New Roman" w:hAnsi="Verdana" w:cs="Arial"/>
          <w:color w:val="000000"/>
          <w:lang w:val="es-ES_tradnl"/>
        </w:rPr>
      </w:pPr>
      <w:proofErr w:type="spellStart"/>
      <w:r w:rsidRPr="00A04C35">
        <w:rPr>
          <w:rFonts w:ascii="Verdana" w:eastAsia="Times New Roman" w:hAnsi="Verdana" w:cs="Arial"/>
          <w:color w:val="000000"/>
          <w:lang w:val="es-ES"/>
        </w:rPr>
        <w:t>ii</w:t>
      </w:r>
      <w:proofErr w:type="spellEnd"/>
      <w:r w:rsidRPr="00A04C35">
        <w:rPr>
          <w:rFonts w:ascii="Verdana" w:eastAsia="Times New Roman" w:hAnsi="Verdana" w:cs="Arial"/>
          <w:color w:val="000000"/>
          <w:lang w:val="es-ES"/>
        </w:rPr>
        <w:t xml:space="preserve">. </w:t>
      </w:r>
      <w:r w:rsidRPr="00A04C35">
        <w:rPr>
          <w:rFonts w:ascii="Verdana" w:hAnsi="Verdana"/>
        </w:rPr>
        <w:t>La liquidación bilateral es el negocio jurídico entre el contratista y la Administración, la cual está contenida en un acta en la que se estipula el ajuste de cuentas, originado por la terminación del contrato o por el disenso de las partes. En tal sentido, la liquidación bilateral o de mutuo acuerdo, tiene como finalidad principal el ajuste de cuentas entre los contratantes y precisar las prestaciones pendientes del contrato. Asimismo,</w:t>
      </w:r>
      <w:r>
        <w:rPr>
          <w:rFonts w:ascii="Verdana" w:hAnsi="Verdana"/>
        </w:rPr>
        <w:t xml:space="preserve"> la doctrina</w:t>
      </w:r>
      <w:r w:rsidRPr="00A04C35">
        <w:rPr>
          <w:rFonts w:ascii="Verdana" w:hAnsi="Verdana"/>
        </w:rPr>
        <w:t xml:space="preserve"> la define: </w:t>
      </w:r>
    </w:p>
    <w:p w14:paraId="583F8AA0" w14:textId="77777777" w:rsidR="00CA0D1D" w:rsidRPr="00A04C35" w:rsidRDefault="00CA0D1D" w:rsidP="00CA0D1D">
      <w:pPr>
        <w:spacing w:after="0" w:line="240" w:lineRule="auto"/>
        <w:jc w:val="both"/>
        <w:rPr>
          <w:rFonts w:ascii="Verdana" w:hAnsi="Verdana"/>
        </w:rPr>
      </w:pPr>
    </w:p>
    <w:p w14:paraId="18B5F298" w14:textId="77777777" w:rsidR="00CA0D1D" w:rsidRPr="00996772" w:rsidRDefault="00CA0D1D" w:rsidP="00CA0D1D">
      <w:pPr>
        <w:spacing w:after="0" w:line="240" w:lineRule="auto"/>
        <w:ind w:left="850" w:right="850"/>
        <w:jc w:val="both"/>
        <w:rPr>
          <w:rFonts w:ascii="Verdana" w:hAnsi="Verdana"/>
          <w:sz w:val="20"/>
          <w:szCs w:val="20"/>
        </w:rPr>
      </w:pPr>
      <w:r w:rsidRPr="00996772">
        <w:rPr>
          <w:rFonts w:ascii="Verdana" w:hAnsi="Verdana"/>
          <w:sz w:val="20"/>
          <w:szCs w:val="20"/>
        </w:rPr>
        <w:t xml:space="preserve">“La liquidación bilateral es el negocio jurídico, suscrito de común acuerdo entre las partes del contrato, plasmado en un acta en la que se expresa el ajuste de cuentas derivado de la terminación del objeto contractual o del disenso recíproco de los contratantes, y en la que, igualmente, se establece el estado de las obligaciones, con el fin de conseguir </w:t>
      </w:r>
      <w:proofErr w:type="gramStart"/>
      <w:r w:rsidRPr="00996772">
        <w:rPr>
          <w:rFonts w:ascii="Verdana" w:hAnsi="Verdana"/>
          <w:sz w:val="20"/>
          <w:szCs w:val="20"/>
        </w:rPr>
        <w:t>el correspondiente paz</w:t>
      </w:r>
      <w:proofErr w:type="gramEnd"/>
      <w:r w:rsidRPr="00996772">
        <w:rPr>
          <w:rFonts w:ascii="Verdana" w:hAnsi="Verdana"/>
          <w:sz w:val="20"/>
          <w:szCs w:val="20"/>
        </w:rPr>
        <w:t xml:space="preserve"> y salvo, o de prever, formalmente, las obligaciones pendientes, así como la fecha en la que se cumplirán</w:t>
      </w:r>
      <w:r w:rsidRPr="00996772">
        <w:rPr>
          <w:rFonts w:ascii="Verdana" w:hAnsi="Verdana"/>
          <w:color w:val="000000"/>
          <w:sz w:val="20"/>
          <w:szCs w:val="20"/>
        </w:rPr>
        <w:t>”</w:t>
      </w:r>
      <w:r w:rsidRPr="00996772">
        <w:rPr>
          <w:rFonts w:ascii="Verdana" w:hAnsi="Verdana"/>
          <w:sz w:val="20"/>
          <w:szCs w:val="20"/>
          <w:vertAlign w:val="superscript"/>
        </w:rPr>
        <w:footnoteReference w:id="7"/>
      </w:r>
      <w:r w:rsidRPr="00996772">
        <w:rPr>
          <w:rFonts w:ascii="Verdana" w:hAnsi="Verdana"/>
          <w:sz w:val="20"/>
          <w:szCs w:val="20"/>
        </w:rPr>
        <w:t xml:space="preserve">.  </w:t>
      </w:r>
    </w:p>
    <w:p w14:paraId="17287C3A" w14:textId="77777777" w:rsidR="00CA0D1D" w:rsidRPr="00A04C35" w:rsidRDefault="00CA0D1D" w:rsidP="00CA0D1D">
      <w:pPr>
        <w:spacing w:after="0" w:line="240" w:lineRule="auto"/>
        <w:jc w:val="both"/>
        <w:rPr>
          <w:rFonts w:ascii="Verdana" w:hAnsi="Verdana"/>
          <w:b/>
        </w:rPr>
      </w:pPr>
    </w:p>
    <w:p w14:paraId="073269BB" w14:textId="77777777" w:rsidR="00CA0D1D" w:rsidRPr="00A04C35" w:rsidRDefault="00CA0D1D" w:rsidP="00CA0D1D">
      <w:pPr>
        <w:spacing w:after="120" w:line="276" w:lineRule="auto"/>
        <w:ind w:firstLine="709"/>
        <w:jc w:val="both"/>
        <w:rPr>
          <w:rFonts w:ascii="Verdana" w:hAnsi="Verdana"/>
        </w:rPr>
      </w:pPr>
      <w:r w:rsidRPr="00A04C35">
        <w:rPr>
          <w:rFonts w:ascii="Verdana" w:hAnsi="Verdana"/>
        </w:rPr>
        <w:t xml:space="preserve">Bajo esta misma idea, </w:t>
      </w:r>
      <w:r>
        <w:rPr>
          <w:rFonts w:ascii="Verdana" w:hAnsi="Verdana"/>
        </w:rPr>
        <w:t xml:space="preserve">la doctrina señala </w:t>
      </w:r>
      <w:r w:rsidRPr="00A04C35">
        <w:rPr>
          <w:rFonts w:ascii="Verdana" w:hAnsi="Verdana"/>
        </w:rPr>
        <w:t>que el acta de liquidación es un medio para conciliar y transigir las diferencias, evitando así pleitos futuros entre la Administración y el contratista por sobrecostos, compensaciones o reconocimientos en la ejecución del contrato</w:t>
      </w:r>
      <w:r w:rsidRPr="00A04C35">
        <w:rPr>
          <w:rFonts w:ascii="Verdana" w:hAnsi="Verdana"/>
          <w:vertAlign w:val="superscript"/>
        </w:rPr>
        <w:footnoteReference w:id="8"/>
      </w:r>
      <w:r w:rsidRPr="00A04C35">
        <w:rPr>
          <w:rFonts w:ascii="Verdana" w:hAnsi="Verdana"/>
        </w:rPr>
        <w:t>. Al respecto, el Consejo de Estado ha expresado entre otras cosas que la liquidación bilateral es el acuerdo entre las partes, para precisar los derechos y obligaciones que subsisten, con el fin de extinguir definitivamente las relaciones jurídicas que se derivaron del contrato estatal</w:t>
      </w:r>
      <w:r w:rsidRPr="00A04C35">
        <w:rPr>
          <w:rFonts w:ascii="Verdana" w:hAnsi="Verdana"/>
          <w:vertAlign w:val="superscript"/>
        </w:rPr>
        <w:footnoteReference w:id="9"/>
      </w:r>
      <w:r w:rsidRPr="00A04C35">
        <w:rPr>
          <w:rFonts w:ascii="Verdana" w:hAnsi="Verdana"/>
        </w:rPr>
        <w:t xml:space="preserve">. </w:t>
      </w:r>
    </w:p>
    <w:p w14:paraId="340EE84D" w14:textId="77777777" w:rsidR="00CA0D1D" w:rsidRPr="00A04C35" w:rsidRDefault="00CA0D1D" w:rsidP="00CA0D1D">
      <w:pPr>
        <w:spacing w:after="120" w:line="276" w:lineRule="auto"/>
        <w:ind w:firstLine="708"/>
        <w:jc w:val="both"/>
        <w:rPr>
          <w:rFonts w:ascii="Verdana" w:hAnsi="Verdana"/>
        </w:rPr>
      </w:pPr>
      <w:r w:rsidRPr="00A04C35">
        <w:rPr>
          <w:rFonts w:ascii="Verdana" w:hAnsi="Verdana"/>
        </w:rPr>
        <w:t xml:space="preserve">De las definiciones expuestas, se infiere que la liquidación bilateral o de mutuo acuerdo tiene una naturaleza negocial, es decir, es un negocio jurídico, lo que implica que es un acto cuya voluntad se encamina a la producción de efectos jurídicos. Se determina que ese negocio jurídico, se manifiesta en un acta que configura un título ejecutivo, pues contiene obligaciones claras, expresas y exigibles. Al comprender la liquidación como un negocio, implica aludir a sus elementos de existencia y de validez. Es así </w:t>
      </w:r>
      <w:proofErr w:type="gramStart"/>
      <w:r w:rsidRPr="00A04C35">
        <w:rPr>
          <w:rFonts w:ascii="Verdana" w:hAnsi="Verdana"/>
        </w:rPr>
        <w:t>que</w:t>
      </w:r>
      <w:proofErr w:type="gramEnd"/>
      <w:r w:rsidRPr="00A04C35">
        <w:rPr>
          <w:rFonts w:ascii="Verdana" w:hAnsi="Verdana"/>
        </w:rPr>
        <w:t>, los requisitos o condiciones de esta cláusula como negocio jurídico</w:t>
      </w:r>
      <w:r w:rsidRPr="00A04C35">
        <w:rPr>
          <w:rFonts w:ascii="Verdana" w:hAnsi="Verdana"/>
          <w:vertAlign w:val="superscript"/>
        </w:rPr>
        <w:footnoteReference w:id="10"/>
      </w:r>
      <w:r w:rsidRPr="00A04C35">
        <w:rPr>
          <w:rFonts w:ascii="Verdana" w:hAnsi="Verdana"/>
        </w:rPr>
        <w:t xml:space="preserve"> son: i) la manifestación de voluntad de los sujetos de la relación jurídica, la cual debe exteriorizarse, ya que el derecho le interesa los actos que trascienden del fuero interno; y </w:t>
      </w:r>
      <w:proofErr w:type="spellStart"/>
      <w:r w:rsidRPr="00A04C35">
        <w:rPr>
          <w:rFonts w:ascii="Verdana" w:hAnsi="Verdana"/>
        </w:rPr>
        <w:t>ii</w:t>
      </w:r>
      <w:proofErr w:type="spellEnd"/>
      <w:r w:rsidRPr="00A04C35">
        <w:rPr>
          <w:rFonts w:ascii="Verdana" w:hAnsi="Verdana"/>
        </w:rPr>
        <w:t xml:space="preserve">) el objeto jurídico, que consiste que la manifestación de voluntad debe encaminarse a la producción de efectos jurídicos, esto es, definir las obligaciones pendientes para el respectivo paz y salvo. </w:t>
      </w:r>
    </w:p>
    <w:p w14:paraId="3AF2A2BF" w14:textId="77777777" w:rsidR="00CA0D1D" w:rsidRPr="00A04C35" w:rsidRDefault="00CA0D1D" w:rsidP="00CA0D1D">
      <w:pPr>
        <w:spacing w:after="120" w:line="276" w:lineRule="auto"/>
        <w:ind w:firstLine="708"/>
        <w:jc w:val="both"/>
        <w:rPr>
          <w:rFonts w:ascii="Verdana" w:hAnsi="Verdana"/>
        </w:rPr>
      </w:pPr>
      <w:r w:rsidRPr="00A04C35">
        <w:rPr>
          <w:rFonts w:ascii="Verdana" w:hAnsi="Verdana"/>
        </w:rPr>
        <w:lastRenderedPageBreak/>
        <w:t xml:space="preserve">En cuanto a los elementos de validez de la liquidación bilateral, se remite a lo dispuesto en el artículo 1501 del Código Civil, esto es: i) que sea legalmente capaz, que significa que la persona se obligue por sí misma; </w:t>
      </w:r>
      <w:proofErr w:type="spellStart"/>
      <w:r w:rsidRPr="00A04C35">
        <w:rPr>
          <w:rFonts w:ascii="Verdana" w:hAnsi="Verdana"/>
        </w:rPr>
        <w:t>ii</w:t>
      </w:r>
      <w:proofErr w:type="spellEnd"/>
      <w:r w:rsidRPr="00A04C35">
        <w:rPr>
          <w:rFonts w:ascii="Verdana" w:hAnsi="Verdana"/>
        </w:rPr>
        <w:t xml:space="preserve">) que haya un consentimiento del acto o declaración, la cual no puede adolecer de vicio –error, fuerza o dolo-; </w:t>
      </w:r>
      <w:proofErr w:type="spellStart"/>
      <w:r w:rsidRPr="00A04C35">
        <w:rPr>
          <w:rFonts w:ascii="Verdana" w:hAnsi="Verdana"/>
        </w:rPr>
        <w:t>iii</w:t>
      </w:r>
      <w:proofErr w:type="spellEnd"/>
      <w:r w:rsidRPr="00A04C35">
        <w:rPr>
          <w:rFonts w:ascii="Verdana" w:hAnsi="Verdana"/>
        </w:rPr>
        <w:t xml:space="preserve">) que tenga un objeto lícito; y </w:t>
      </w:r>
      <w:proofErr w:type="spellStart"/>
      <w:r w:rsidRPr="00A04C35">
        <w:rPr>
          <w:rFonts w:ascii="Verdana" w:hAnsi="Verdana"/>
        </w:rPr>
        <w:t>iv</w:t>
      </w:r>
      <w:proofErr w:type="spellEnd"/>
      <w:r w:rsidRPr="00A04C35">
        <w:rPr>
          <w:rFonts w:ascii="Verdana" w:hAnsi="Verdana"/>
        </w:rPr>
        <w:t xml:space="preserve">) una causa lícita. En tal sentido, </w:t>
      </w:r>
      <w:r>
        <w:rPr>
          <w:rFonts w:ascii="Verdana" w:hAnsi="Verdana"/>
        </w:rPr>
        <w:t xml:space="preserve">la doctrina </w:t>
      </w:r>
      <w:r w:rsidRPr="00A04C35">
        <w:rPr>
          <w:rFonts w:ascii="Verdana" w:hAnsi="Verdana"/>
        </w:rPr>
        <w:t xml:space="preserve">expresa que de la liquidación bilateral se desprende </w:t>
      </w:r>
      <w:proofErr w:type="gramStart"/>
      <w:r w:rsidRPr="00A04C35">
        <w:rPr>
          <w:rFonts w:ascii="Verdana" w:hAnsi="Verdana"/>
        </w:rPr>
        <w:t>que</w:t>
      </w:r>
      <w:proofErr w:type="gramEnd"/>
      <w:r w:rsidRPr="00A04C35">
        <w:rPr>
          <w:rFonts w:ascii="Verdana" w:hAnsi="Verdana"/>
        </w:rPr>
        <w:t xml:space="preserve"> si no se estipuló el desacuerdo en el acta, goza del principio de intangibilidad, por lo que no podrá debatir en sede judicial lo que no se estipuló por escrito</w:t>
      </w:r>
      <w:r w:rsidRPr="00A04C35">
        <w:rPr>
          <w:rFonts w:ascii="Verdana" w:hAnsi="Verdana"/>
          <w:vertAlign w:val="superscript"/>
        </w:rPr>
        <w:footnoteReference w:id="11"/>
      </w:r>
      <w:r w:rsidRPr="00A04C35">
        <w:rPr>
          <w:rFonts w:ascii="Verdana" w:hAnsi="Verdana"/>
        </w:rPr>
        <w:t xml:space="preserve">. </w:t>
      </w:r>
    </w:p>
    <w:p w14:paraId="095A4BE3" w14:textId="77777777" w:rsidR="00CA0D1D" w:rsidRPr="00A04C35" w:rsidRDefault="00CA0D1D" w:rsidP="00CA0D1D">
      <w:pPr>
        <w:spacing w:after="120" w:line="276" w:lineRule="auto"/>
        <w:ind w:firstLine="708"/>
        <w:jc w:val="both"/>
        <w:rPr>
          <w:rFonts w:ascii="Verdana" w:hAnsi="Verdana"/>
        </w:rPr>
      </w:pPr>
      <w:r w:rsidRPr="00A04C35">
        <w:rPr>
          <w:rFonts w:ascii="Verdana" w:hAnsi="Verdana"/>
        </w:rPr>
        <w:t>En el marco del acta de liquidación bilateral pueden consignarse desacuerdos, que se denominan dentro de la contratación estatal como salvedades, que son aquellas objeciones y diferencias frente al acta de liquidación propuesta por la entidad. Al respecto, el Consejo de Estado expresa que toda salvedad debe ser expresa y concreta en el acta de liquidación bilateral, ya que es un presupuesto material para que se dicte una sentencia de fondo y prosperen las pretensiones en un futuro litigio judicial</w:t>
      </w:r>
      <w:r w:rsidRPr="00A04C35">
        <w:rPr>
          <w:rFonts w:ascii="Verdana" w:hAnsi="Verdana"/>
          <w:vertAlign w:val="superscript"/>
        </w:rPr>
        <w:footnoteReference w:id="12"/>
      </w:r>
      <w:r w:rsidRPr="00A04C35">
        <w:rPr>
          <w:rFonts w:ascii="Verdana" w:hAnsi="Verdana"/>
        </w:rPr>
        <w:t xml:space="preserve">. </w:t>
      </w:r>
    </w:p>
    <w:p w14:paraId="681DF66A" w14:textId="77777777" w:rsidR="00CA0D1D" w:rsidRPr="00A04C35" w:rsidRDefault="00CA0D1D" w:rsidP="00CA0D1D">
      <w:pPr>
        <w:spacing w:after="120" w:line="276" w:lineRule="auto"/>
        <w:ind w:firstLine="708"/>
        <w:jc w:val="both"/>
        <w:rPr>
          <w:rFonts w:ascii="Verdana" w:hAnsi="Verdana" w:cs="Arial"/>
          <w:color w:val="000000"/>
          <w:bdr w:val="none" w:sz="0" w:space="0" w:color="auto" w:frame="1"/>
          <w:shd w:val="clear" w:color="auto" w:fill="FFFFFF"/>
          <w:lang w:eastAsia="es-ES_tradnl"/>
        </w:rPr>
      </w:pPr>
      <w:r w:rsidRPr="00A04C35">
        <w:rPr>
          <w:rFonts w:ascii="Verdana" w:hAnsi="Verdana"/>
        </w:rPr>
        <w:t xml:space="preserve">Se precisa que, al suscribir el acta de liquidación bilateral con salvedades, el contratista está manifestando dos aspectos: i) acepta el contenido, en la que se salda algunas obligaciones; y </w:t>
      </w:r>
      <w:proofErr w:type="spellStart"/>
      <w:r w:rsidRPr="00A04C35">
        <w:rPr>
          <w:rFonts w:ascii="Verdana" w:hAnsi="Verdana"/>
        </w:rPr>
        <w:t>ii</w:t>
      </w:r>
      <w:proofErr w:type="spellEnd"/>
      <w:r w:rsidRPr="00A04C35">
        <w:rPr>
          <w:rFonts w:ascii="Verdana" w:hAnsi="Verdana"/>
        </w:rPr>
        <w:t xml:space="preserve">) precisa aquellos asuntos respecto de los que se estipula la correspondiente salvedad, como manifestación de las diferencias en torno a la liquidación propuesta. </w:t>
      </w:r>
      <w:proofErr w:type="gramStart"/>
      <w:r w:rsidRPr="00A04C35">
        <w:rPr>
          <w:rFonts w:ascii="Verdana" w:hAnsi="Verdana"/>
        </w:rPr>
        <w:t>De acuerdo a</w:t>
      </w:r>
      <w:proofErr w:type="gramEnd"/>
      <w:r w:rsidRPr="00A04C35">
        <w:rPr>
          <w:rFonts w:ascii="Verdana" w:hAnsi="Verdana"/>
        </w:rPr>
        <w:t xml:space="preserve"> lo expresado, </w:t>
      </w:r>
      <w:r>
        <w:rPr>
          <w:rFonts w:ascii="Verdana" w:hAnsi="Verdana"/>
        </w:rPr>
        <w:t xml:space="preserve">de </w:t>
      </w:r>
      <w:r w:rsidRPr="00A04C35">
        <w:rPr>
          <w:rFonts w:ascii="Verdana" w:hAnsi="Verdana"/>
        </w:rPr>
        <w:t xml:space="preserve">las salvedades que se consignen en el acta liquidación depende la posibilidad de acudir a la jurisdicción de lo contencioso administrativo para las reclamaciones y reconocimientos económicos, no previstos en el acta de liquidación. Sin embargo, es válido que, ante las salvedades, se posibilite la liquidación unilateral parcial por parte de la Administración, es decir, en aquellos aspectos donde se dejaron los desacuerdos, la entidad debe completar la liquidación del contrato. </w:t>
      </w:r>
      <w:bookmarkStart w:id="2" w:name="_Hlk82570391"/>
    </w:p>
    <w:bookmarkEnd w:id="2"/>
    <w:p w14:paraId="60832E20"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De igual modo, respecto al contenido de la liquidación, es importante tener en cuenta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w:t>
      </w:r>
      <w:r w:rsidRPr="00A04C35">
        <w:rPr>
          <w:rFonts w:ascii="Verdana" w:eastAsia="Times New Roman" w:hAnsi="Verdana" w:cs="Arial"/>
          <w:color w:val="000000"/>
          <w:bdr w:val="none" w:sz="0" w:space="0" w:color="auto" w:frame="1"/>
          <w:shd w:val="clear" w:color="auto" w:fill="FFFFFF"/>
          <w:lang w:eastAsia="es-ES_tradnl"/>
        </w:rPr>
        <w:lastRenderedPageBreak/>
        <w:t xml:space="preserve">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 De esta manera: </w:t>
      </w:r>
    </w:p>
    <w:p w14:paraId="238D77DD"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53C24E4" w14:textId="77777777" w:rsidR="00CA0D1D" w:rsidRPr="00A04C35" w:rsidRDefault="00CA0D1D" w:rsidP="00CA0D1D">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3"/>
      </w:r>
      <w:r w:rsidRPr="00A04C35">
        <w:rPr>
          <w:rFonts w:ascii="Verdana" w:eastAsia="Times New Roman" w:hAnsi="Verdana" w:cs="Arial"/>
          <w:color w:val="000000"/>
          <w:sz w:val="20"/>
          <w:szCs w:val="20"/>
          <w:bdr w:val="none" w:sz="0" w:space="0" w:color="auto" w:frame="1"/>
          <w:shd w:val="clear" w:color="auto" w:fill="FFFFFF"/>
          <w:lang w:eastAsia="es-ES_tradnl"/>
        </w:rPr>
        <w:t xml:space="preserve">. </w:t>
      </w:r>
    </w:p>
    <w:p w14:paraId="6F5FFCDE"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074B9C6" w14:textId="77777777" w:rsidR="00CA0D1D" w:rsidRPr="00A04C35" w:rsidRDefault="00CA0D1D" w:rsidP="00CA0D1D">
      <w:pPr>
        <w:tabs>
          <w:tab w:val="left" w:pos="709"/>
        </w:tabs>
        <w:spacing w:line="276" w:lineRule="auto"/>
        <w:jc w:val="both"/>
        <w:rPr>
          <w:rFonts w:ascii="Verdana" w:eastAsia="Times New Roman" w:hAnsi="Verdana" w:cs="Arial"/>
          <w:color w:val="000000"/>
          <w:bdr w:val="none" w:sz="0" w:space="0" w:color="auto" w:frame="1"/>
          <w:shd w:val="clear" w:color="auto" w:fill="FFFFFF"/>
          <w:lang w:val="es-MX"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No obstante, </w:t>
      </w:r>
      <w:r>
        <w:rPr>
          <w:rFonts w:ascii="Verdana" w:eastAsia="Times New Roman" w:hAnsi="Verdana" w:cs="Arial"/>
          <w:color w:val="000000"/>
          <w:bdr w:val="none" w:sz="0" w:space="0" w:color="auto" w:frame="1"/>
          <w:shd w:val="clear" w:color="auto" w:fill="FFFFFF"/>
          <w:lang w:eastAsia="es-ES_tradnl"/>
        </w:rPr>
        <w:t>conforme lo explica la doctrina,</w:t>
      </w:r>
      <w:r w:rsidRPr="00A04C35">
        <w:rPr>
          <w:rFonts w:ascii="Verdana" w:eastAsia="Times New Roman" w:hAnsi="Verdana" w:cs="Arial"/>
          <w:color w:val="000000"/>
          <w:bdr w:val="none" w:sz="0" w:space="0" w:color="auto" w:frame="1"/>
          <w:shd w:val="clear" w:color="auto" w:fill="FFFFFF"/>
          <w:lang w:eastAsia="es-ES_tradnl"/>
        </w:rPr>
        <w:t xml:space="preserve"> hay 2 posturas en el Consejo de Estado frente a la reclamación económica en el contrato estatal: i) </w:t>
      </w:r>
      <w:r>
        <w:rPr>
          <w:rFonts w:ascii="Verdana" w:eastAsia="Times New Roman" w:hAnsi="Verdana" w:cs="Arial"/>
          <w:color w:val="000000"/>
          <w:bdr w:val="none" w:sz="0" w:space="0" w:color="auto" w:frame="1"/>
          <w:shd w:val="clear" w:color="auto" w:fill="FFFFFF"/>
          <w:lang w:eastAsia="es-ES_tradnl"/>
        </w:rPr>
        <w:t xml:space="preserve">una </w:t>
      </w:r>
      <w:r w:rsidRPr="00A04C35">
        <w:rPr>
          <w:rFonts w:ascii="Verdana" w:eastAsia="Times New Roman" w:hAnsi="Verdana" w:cs="Arial"/>
          <w:color w:val="000000"/>
          <w:bdr w:val="none" w:sz="0" w:space="0" w:color="auto" w:frame="1"/>
          <w:shd w:val="clear" w:color="auto" w:fill="FFFFFF"/>
          <w:lang w:eastAsia="es-ES_tradnl"/>
        </w:rPr>
        <w:t xml:space="preserve">amplia, que consiste en que las obras adicionales, sobrecostos y demás aspectos relacionados con la ejecución del contrato se le liquidan al contratista;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w:t>
      </w:r>
      <w:r>
        <w:rPr>
          <w:rFonts w:ascii="Verdana" w:eastAsia="Times New Roman" w:hAnsi="Verdana" w:cs="Arial"/>
          <w:color w:val="000000"/>
          <w:bdr w:val="none" w:sz="0" w:space="0" w:color="auto" w:frame="1"/>
          <w:shd w:val="clear" w:color="auto" w:fill="FFFFFF"/>
          <w:lang w:eastAsia="es-ES_tradnl"/>
        </w:rPr>
        <w:t xml:space="preserve">una </w:t>
      </w:r>
      <w:r w:rsidRPr="00A04C35">
        <w:rPr>
          <w:rFonts w:ascii="Verdana" w:eastAsia="Times New Roman" w:hAnsi="Verdana" w:cs="Arial"/>
          <w:color w:val="000000"/>
          <w:bdr w:val="none" w:sz="0" w:space="0" w:color="auto" w:frame="1"/>
          <w:shd w:val="clear" w:color="auto" w:fill="FFFFFF"/>
          <w:lang w:eastAsia="es-ES_tradnl"/>
        </w:rPr>
        <w:t>estricta, que alude a que se liquida al contratista aquellas prestaciones y contraprestaciones estipuladas en el contrato estatal, es decir, lo que este contenido en el objeto contractual</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4"/>
      </w:r>
      <w:r w:rsidRPr="00A04C35">
        <w:rPr>
          <w:rFonts w:ascii="Verdana" w:eastAsia="Times New Roman" w:hAnsi="Verdana" w:cs="Arial"/>
          <w:color w:val="000000"/>
          <w:bdr w:val="none" w:sz="0" w:space="0" w:color="auto" w:frame="1"/>
          <w:shd w:val="clear" w:color="auto" w:fill="FFFFFF"/>
          <w:lang w:eastAsia="es-ES_tradnl"/>
        </w:rPr>
        <w:t xml:space="preserve">. </w:t>
      </w:r>
    </w:p>
    <w:p w14:paraId="2907B4C7"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Pr>
          <w:rFonts w:ascii="Verdana" w:eastAsia="Times New Roman" w:hAnsi="Verdana" w:cs="Arial"/>
          <w:color w:val="000000"/>
          <w:bdr w:val="none" w:sz="0" w:space="0" w:color="auto" w:frame="1"/>
          <w:shd w:val="clear" w:color="auto" w:fill="FFFFFF"/>
          <w:lang w:eastAsia="es-ES_tradnl"/>
        </w:rPr>
        <w:t xml:space="preserve">Frente a este punto, es pertinente indicar que </w:t>
      </w:r>
      <w:r w:rsidRPr="00A04C35">
        <w:rPr>
          <w:rFonts w:ascii="Verdana" w:eastAsia="Times New Roman" w:hAnsi="Verdana" w:cs="Arial"/>
          <w:color w:val="000000"/>
          <w:bdr w:val="none" w:sz="0" w:space="0" w:color="auto" w:frame="1"/>
          <w:shd w:val="clear" w:color="auto" w:fill="FFFFFF"/>
          <w:lang w:eastAsia="es-ES_tradnl"/>
        </w:rPr>
        <w:t xml:space="preserve">la Sala Plena del Consejo de Estado expidió la Sentencia de Unificación del 19 de noviembre de 2012, </w:t>
      </w:r>
      <w:r w:rsidRPr="00A04C35">
        <w:rPr>
          <w:rFonts w:ascii="Verdana" w:eastAsia="Times New Roman" w:hAnsi="Verdana" w:cs="Arial"/>
          <w:i/>
          <w:iCs/>
          <w:color w:val="000000"/>
          <w:bdr w:val="none" w:sz="0" w:space="0" w:color="auto" w:frame="1"/>
          <w:shd w:val="clear" w:color="auto" w:fill="FFFFFF"/>
          <w:lang w:eastAsia="es-ES_tradnl"/>
        </w:rPr>
        <w:t>por regla general,</w:t>
      </w:r>
      <w:r w:rsidRPr="00A04C35">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5"/>
      </w:r>
      <w:r w:rsidRPr="00A04C35">
        <w:rPr>
          <w:rFonts w:ascii="Verdana" w:eastAsia="Times New Roman" w:hAnsi="Verdana" w:cs="Arial"/>
          <w:color w:val="000000"/>
          <w:bdr w:val="none" w:sz="0" w:space="0" w:color="auto" w:frame="1"/>
          <w:shd w:val="clear" w:color="auto" w:fill="FFFFFF"/>
          <w:lang w:eastAsia="es-ES_tradnl"/>
        </w:rPr>
        <w:t xml:space="preserve"> Dentro de esta línea:</w:t>
      </w:r>
    </w:p>
    <w:p w14:paraId="27AEF396"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DC38B4B" w14:textId="77777777" w:rsidR="00CA0D1D" w:rsidRPr="00A04C35" w:rsidRDefault="00CA0D1D" w:rsidP="00CA0D1D">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 xml:space="preserve">“EL E.C. establece que en el acta de liquidación del contrato podrán efectuarse las transacciones a las que hubiere lugar. Se trata de un mecanismo de solucionar eventuales conflictos de orden contractual, por esto, no se podrán incorporar reconocimientos que se han causado y que </w:t>
      </w:r>
      <w:r w:rsidRPr="00A04C35">
        <w:rPr>
          <w:rFonts w:ascii="Verdana" w:eastAsia="Times New Roman" w:hAnsi="Verdana" w:cs="Arial"/>
          <w:color w:val="000000"/>
          <w:sz w:val="20"/>
          <w:szCs w:val="20"/>
          <w:bdr w:val="none" w:sz="0" w:space="0" w:color="auto" w:frame="1"/>
          <w:shd w:val="clear" w:color="auto" w:fill="FFFFFF"/>
          <w:lang w:eastAsia="es-ES_tradnl"/>
        </w:rPr>
        <w:lastRenderedPageBreak/>
        <w:t>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6"/>
      </w:r>
      <w:r w:rsidRPr="00A04C35">
        <w:rPr>
          <w:rFonts w:ascii="Verdana" w:eastAsia="Times New Roman" w:hAnsi="Verdana" w:cs="Arial"/>
          <w:color w:val="000000"/>
          <w:sz w:val="20"/>
          <w:szCs w:val="20"/>
          <w:bdr w:val="none" w:sz="0" w:space="0" w:color="auto" w:frame="1"/>
          <w:shd w:val="clear" w:color="auto" w:fill="FFFFFF"/>
          <w:lang w:eastAsia="es-ES_tradnl"/>
        </w:rPr>
        <w:t xml:space="preserve">.  </w:t>
      </w:r>
    </w:p>
    <w:p w14:paraId="51C3B93A" w14:textId="77777777" w:rsidR="00CA0D1D" w:rsidRPr="00A04C35" w:rsidRDefault="00CA0D1D" w:rsidP="00CA0D1D">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5CA5BF02" w14:textId="77777777" w:rsidR="00CA0D1D" w:rsidRPr="00A04C35" w:rsidRDefault="00CA0D1D" w:rsidP="00CA0D1D">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sidRPr="00A04C35">
        <w:rPr>
          <w:rFonts w:ascii="Verdana" w:eastAsia="Times New Roman" w:hAnsi="Verdana" w:cs="Arial"/>
          <w:color w:val="000000"/>
          <w:bdr w:val="none" w:sz="0" w:space="0" w:color="auto" w:frame="1"/>
          <w:shd w:val="clear" w:color="auto" w:fill="FFFFFF"/>
          <w:lang w:eastAsia="es-ES_tradnl"/>
        </w:rPr>
        <w:t>iii</w:t>
      </w:r>
      <w:proofErr w:type="spellEnd"/>
      <w:r w:rsidRPr="00A04C35">
        <w:rPr>
          <w:rFonts w:ascii="Verdana" w:eastAsia="Times New Roman" w:hAnsi="Verdana" w:cs="Arial"/>
          <w:color w:val="000000"/>
          <w:bdr w:val="none" w:sz="0" w:space="0" w:color="auto" w:frame="1"/>
          <w:shd w:val="clear" w:color="auto" w:fill="FFFFFF"/>
          <w:lang w:eastAsia="es-ES_tradnl"/>
        </w:rPr>
        <w:t>)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7"/>
      </w:r>
      <w:r w:rsidRPr="00A04C35">
        <w:rPr>
          <w:rFonts w:ascii="Verdana" w:eastAsia="Times New Roman" w:hAnsi="Verdana" w:cs="Arial"/>
          <w:color w:val="000000"/>
          <w:bdr w:val="none" w:sz="0" w:space="0" w:color="auto" w:frame="1"/>
          <w:shd w:val="clear" w:color="auto" w:fill="FFFFFF"/>
          <w:lang w:eastAsia="es-ES_tradnl"/>
        </w:rPr>
        <w:t xml:space="preserve">.  </w:t>
      </w:r>
    </w:p>
    <w:p w14:paraId="5D9DA0DE"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8"/>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03314922"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4CF40B8" w14:textId="77777777" w:rsidR="00CA0D1D" w:rsidRPr="00A04C35" w:rsidRDefault="00CA0D1D" w:rsidP="00CA0D1D">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un empobrecimiento correlativo sufrido por el demandante, el cual pueda atribuirse al acrecimiento mencionado;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la ausencia de causa jurídica en el desequilibrio producido, en cuanto a que no haya sido generada por un hecho o un acto jurídico, como tampoco por una disposición expresa de la ley;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iv</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xml:space="preserve">) que el demandante carezca de cualquier otro mecanismo para reclamar la compensación, lo que pone en </w:t>
      </w:r>
      <w:r w:rsidRPr="00A04C35">
        <w:rPr>
          <w:rFonts w:ascii="Verdana" w:eastAsia="Times New Roman" w:hAnsi="Verdana" w:cs="Arial"/>
          <w:color w:val="000000"/>
          <w:sz w:val="20"/>
          <w:szCs w:val="20"/>
          <w:bdr w:val="none" w:sz="0" w:space="0" w:color="auto" w:frame="1"/>
          <w:shd w:val="clear" w:color="auto" w:fill="FFFFFF"/>
          <w:lang w:eastAsia="es-ES_tradnl"/>
        </w:rPr>
        <w:lastRenderedPageBreak/>
        <w:t>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9"/>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6DF2A27E"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050AFD7"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0"/>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02768C86" w14:textId="77777777" w:rsidR="00CA0D1D" w:rsidRPr="00A04C35" w:rsidRDefault="00CA0D1D" w:rsidP="00CA0D1D">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8F993C0" w14:textId="77777777" w:rsidR="00CA0D1D" w:rsidRPr="00A04C35" w:rsidRDefault="00CA0D1D" w:rsidP="00CA0D1D">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mecanismo para reclamar, debe cumplir los presupuestos procesales de la reparación directa (incluso cuando se ha celebrado un contrato cuyo objeto se haya agotado para el momento de la extinción del plazo previsto y ante el desarrollo de actividades con posterioridad a la finalización), sin que sea exigible haber provocado una decisión por parte de la 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21"/>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39A5E087" w14:textId="77777777" w:rsidR="00CA0D1D" w:rsidRPr="00A04C35" w:rsidRDefault="00CA0D1D" w:rsidP="00CA0D1D">
      <w:pPr>
        <w:tabs>
          <w:tab w:val="left" w:pos="709"/>
        </w:tabs>
        <w:spacing w:after="120" w:line="240" w:lineRule="auto"/>
        <w:jc w:val="both"/>
        <w:rPr>
          <w:rFonts w:ascii="Verdana" w:eastAsia="Times New Roman" w:hAnsi="Verdana" w:cs="Arial"/>
          <w:color w:val="000000"/>
          <w:bdr w:val="none" w:sz="0" w:space="0" w:color="auto" w:frame="1"/>
          <w:shd w:val="clear" w:color="auto" w:fill="FFFFFF"/>
          <w:lang w:eastAsia="es-ES_tradnl"/>
        </w:rPr>
      </w:pPr>
    </w:p>
    <w:p w14:paraId="2BA3793B" w14:textId="77777777" w:rsidR="00CA0D1D" w:rsidRDefault="00CA0D1D" w:rsidP="00CA0D1D">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w:t>
      </w:r>
      <w:r w:rsidRPr="00A04C35">
        <w:rPr>
          <w:rFonts w:ascii="Verdana" w:eastAsia="Times New Roman" w:hAnsi="Verdana" w:cs="Arial"/>
          <w:color w:val="000000"/>
          <w:bdr w:val="none" w:sz="0" w:space="0" w:color="auto" w:frame="1"/>
          <w:shd w:val="clear" w:color="auto" w:fill="FFFFFF"/>
          <w:lang w:eastAsia="es-ES_tradnl"/>
        </w:rPr>
        <w:lastRenderedPageBreak/>
        <w:t xml:space="preserve">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Con este propósito, al adoptar las decisiones de su competencia, deberán tener en cuenta las sentencias de 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p>
    <w:p w14:paraId="396E8C46" w14:textId="77777777" w:rsidR="00CA0D1D" w:rsidRDefault="00CA0D1D" w:rsidP="00CA0D1D">
      <w:pPr>
        <w:tabs>
          <w:tab w:val="left" w:pos="709"/>
        </w:tabs>
        <w:spacing w:after="120" w:line="276" w:lineRule="auto"/>
        <w:ind w:firstLine="709"/>
        <w:jc w:val="both"/>
        <w:rPr>
          <w:rFonts w:ascii="Verdana" w:hAnsi="Verdana"/>
        </w:rPr>
      </w:pPr>
      <w:r>
        <w:rPr>
          <w:rFonts w:ascii="Verdana" w:eastAsia="Times New Roman" w:hAnsi="Verdana" w:cs="Arial"/>
          <w:color w:val="000000"/>
          <w:bdr w:val="none" w:sz="0" w:space="0" w:color="auto" w:frame="1"/>
          <w:shd w:val="clear" w:color="auto" w:fill="FFFFFF"/>
          <w:lang w:eastAsia="es-ES_tradnl"/>
        </w:rPr>
        <w:t xml:space="preserve">Ahora bien, respecto al reconocimiento de las mayores cantidades de obra en la liquidación, sea lo primero precisar que esta figura se presenta en los contratos de obra pactados a precios unitarios </w:t>
      </w:r>
      <w:r w:rsidRPr="007707C1">
        <w:rPr>
          <w:rFonts w:ascii="Verdana" w:hAnsi="Verdana"/>
        </w:rPr>
        <w:t>cuando las partes deben aumentar las cantidades de algunos ítems que sí estaban contemplados en el contrato, pero que su cálculo preliminar resultó insuficiente. Así, por ejemplo, si en un contrato de obra se habían previsto y contratado cien metros cúbicos (100</w:t>
      </w:r>
      <w:r w:rsidRPr="007707C1">
        <w:rPr>
          <w:rFonts w:ascii="Verdana" w:hAnsi="Verdana"/>
          <w:vertAlign w:val="superscript"/>
        </w:rPr>
        <w:t>3</w:t>
      </w:r>
      <w:r w:rsidRPr="007707C1">
        <w:rPr>
          <w:rFonts w:ascii="Verdana" w:hAnsi="Verdana"/>
        </w:rPr>
        <w:t>) de excavación, pero, en la etapa de ejecución, se determinó que este número no era suficiente, las partes pueden incrementar los metros que deberán excavarse, en atención a que dicho aumento resulta esencial para cumplir la finalidad pública que se perseguía con la contratación</w:t>
      </w:r>
      <w:r w:rsidRPr="00CD2603">
        <w:rPr>
          <w:rStyle w:val="Refdenotaalpie"/>
          <w:rFonts w:ascii="Verdana" w:hAnsi="Verdana"/>
        </w:rPr>
        <w:footnoteReference w:id="22"/>
      </w:r>
      <w:r w:rsidRPr="007707C1">
        <w:rPr>
          <w:rFonts w:ascii="Verdana" w:hAnsi="Verdana"/>
        </w:rPr>
        <w:t>.</w:t>
      </w:r>
    </w:p>
    <w:p w14:paraId="610829FA" w14:textId="77777777" w:rsidR="00CA0D1D" w:rsidRDefault="00CA0D1D" w:rsidP="00CA0D1D">
      <w:pPr>
        <w:tabs>
          <w:tab w:val="left" w:pos="709"/>
        </w:tabs>
        <w:spacing w:after="120" w:line="276" w:lineRule="auto"/>
        <w:ind w:firstLine="709"/>
        <w:jc w:val="both"/>
        <w:rPr>
          <w:rFonts w:ascii="Verdana" w:hAnsi="Verdana"/>
        </w:rPr>
      </w:pPr>
      <w:r>
        <w:rPr>
          <w:rFonts w:ascii="Verdana" w:hAnsi="Verdana"/>
        </w:rPr>
        <w:t>Así, m</w:t>
      </w:r>
      <w:r w:rsidRPr="00263A1D">
        <w:rPr>
          <w:rFonts w:ascii="Verdana" w:hAnsi="Verdana"/>
        </w:rPr>
        <w:t xml:space="preserve">ientras que las mayores cantidades de obra implica aumentar las cantidades de los ítems pactados desde el comienzo, la noción de </w:t>
      </w:r>
      <w:r>
        <w:rPr>
          <w:rFonts w:ascii="Verdana" w:hAnsi="Verdana"/>
        </w:rPr>
        <w:t xml:space="preserve">ítems no previstos </w:t>
      </w:r>
      <w:r w:rsidRPr="00263A1D">
        <w:rPr>
          <w:rFonts w:ascii="Verdana" w:hAnsi="Verdana"/>
        </w:rPr>
        <w:t>exige incluir obras o actividades que no habían sido convenidas, pero que, de todos modos, son indispensables para el cumplimiento del objeto.</w:t>
      </w:r>
    </w:p>
    <w:p w14:paraId="113F3FC7" w14:textId="77777777" w:rsidR="00CA0D1D" w:rsidRPr="00DE5B1D" w:rsidRDefault="00CA0D1D" w:rsidP="00CA0D1D">
      <w:pPr>
        <w:tabs>
          <w:tab w:val="left" w:pos="709"/>
        </w:tabs>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En este sentido, e</w:t>
      </w:r>
      <w:r w:rsidRPr="00DE5B1D">
        <w:rPr>
          <w:rFonts w:ascii="Verdana" w:eastAsia="Times New Roman" w:hAnsi="Verdana" w:cs="Arial"/>
          <w:color w:val="000000"/>
          <w:bdr w:val="none" w:sz="0" w:space="0" w:color="auto" w:frame="1"/>
          <w:shd w:val="clear" w:color="auto" w:fill="FFFFFF"/>
          <w:lang w:eastAsia="es-ES_tradnl"/>
        </w:rPr>
        <w:t xml:space="preserve">n los contratos celebrados bajo la modalidad de precios unitarios, el valor total inicialmente establecido tiene un carácter meramente </w:t>
      </w:r>
      <w:r>
        <w:rPr>
          <w:rFonts w:ascii="Verdana" w:eastAsia="Times New Roman" w:hAnsi="Verdana" w:cs="Arial"/>
          <w:color w:val="000000"/>
          <w:bdr w:val="none" w:sz="0" w:space="0" w:color="auto" w:frame="1"/>
          <w:shd w:val="clear" w:color="auto" w:fill="FFFFFF"/>
          <w:lang w:eastAsia="es-ES_tradnl"/>
        </w:rPr>
        <w:t xml:space="preserve">estimativo </w:t>
      </w:r>
      <w:r w:rsidRPr="00DE5B1D">
        <w:rPr>
          <w:rFonts w:ascii="Verdana" w:eastAsia="Times New Roman" w:hAnsi="Verdana" w:cs="Arial"/>
          <w:color w:val="000000"/>
          <w:bdr w:val="none" w:sz="0" w:space="0" w:color="auto" w:frame="1"/>
          <w:shd w:val="clear" w:color="auto" w:fill="FFFFFF"/>
          <w:lang w:eastAsia="es-ES_tradnl"/>
        </w:rPr>
        <w:t>o aproximado, d</w:t>
      </w:r>
      <w:r>
        <w:rPr>
          <w:rFonts w:ascii="Verdana" w:eastAsia="Times New Roman" w:hAnsi="Verdana" w:cs="Arial"/>
          <w:color w:val="000000"/>
          <w:bdr w:val="none" w:sz="0" w:space="0" w:color="auto" w:frame="1"/>
          <w:shd w:val="clear" w:color="auto" w:fill="FFFFFF"/>
          <w:lang w:eastAsia="es-ES_tradnl"/>
        </w:rPr>
        <w:t>ebido a</w:t>
      </w:r>
      <w:r w:rsidRPr="00DE5B1D">
        <w:rPr>
          <w:rFonts w:ascii="Verdana" w:eastAsia="Times New Roman" w:hAnsi="Verdana" w:cs="Arial"/>
          <w:color w:val="000000"/>
          <w:bdr w:val="none" w:sz="0" w:space="0" w:color="auto" w:frame="1"/>
          <w:shd w:val="clear" w:color="auto" w:fill="FFFFFF"/>
          <w:lang w:eastAsia="es-ES_tradnl"/>
        </w:rPr>
        <w:t xml:space="preserve"> que el </w:t>
      </w:r>
      <w:r>
        <w:rPr>
          <w:rFonts w:ascii="Verdana" w:eastAsia="Times New Roman" w:hAnsi="Verdana" w:cs="Arial"/>
          <w:color w:val="000000"/>
          <w:bdr w:val="none" w:sz="0" w:space="0" w:color="auto" w:frame="1"/>
          <w:shd w:val="clear" w:color="auto" w:fill="FFFFFF"/>
          <w:lang w:eastAsia="es-ES_tradnl"/>
        </w:rPr>
        <w:t>valor</w:t>
      </w:r>
      <w:r w:rsidRPr="00DE5B1D">
        <w:rPr>
          <w:rFonts w:ascii="Verdana" w:eastAsia="Times New Roman" w:hAnsi="Verdana" w:cs="Arial"/>
          <w:color w:val="000000"/>
          <w:bdr w:val="none" w:sz="0" w:space="0" w:color="auto" w:frame="1"/>
          <w:shd w:val="clear" w:color="auto" w:fill="FFFFFF"/>
          <w:lang w:eastAsia="es-ES_tradnl"/>
        </w:rPr>
        <w:t xml:space="preserve"> definitivo dependerá de las cantidades de obra que efectivamente se ejecuten durante la vigencia del contrato, multiplicadas por los precios unitarios previamente acordados. En consecuencia, el reconocimiento de mayores cantidades de obra constituye la aplicación del mecanismo de pago pactado por las partes, consistente en calcular el valor final del contrato con base en la cantidad real de unidades ejecutadas y los valores unitarios definidos en el clausulado.</w:t>
      </w:r>
    </w:p>
    <w:p w14:paraId="427E749C" w14:textId="77777777" w:rsidR="00CA0D1D" w:rsidRPr="0042715D" w:rsidRDefault="00CA0D1D" w:rsidP="00CA0D1D">
      <w:pPr>
        <w:tabs>
          <w:tab w:val="left" w:pos="709"/>
        </w:tabs>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sidRPr="00DE5B1D">
        <w:rPr>
          <w:rFonts w:ascii="Verdana" w:eastAsia="Times New Roman" w:hAnsi="Verdana" w:cs="Arial"/>
          <w:color w:val="000000"/>
          <w:bdr w:val="none" w:sz="0" w:space="0" w:color="auto" w:frame="1"/>
          <w:shd w:val="clear" w:color="auto" w:fill="FFFFFF"/>
          <w:lang w:eastAsia="es-ES_tradnl"/>
        </w:rPr>
        <w:lastRenderedPageBreak/>
        <w:t>Desde esta perspectiva, resulta relevante señalar que la esencia del sistema de precios unitarios radica precisamente en que el pago se efectúa sobre cantidades reales verificadas en la ejecución del objeto contractual, a las cuales se aplican los precios unitarios establecidos. Por ello, lo</w:t>
      </w:r>
      <w:r>
        <w:rPr>
          <w:rFonts w:ascii="Verdana" w:eastAsia="Times New Roman" w:hAnsi="Verdana" w:cs="Arial"/>
          <w:color w:val="000000"/>
          <w:bdr w:val="none" w:sz="0" w:space="0" w:color="auto" w:frame="1"/>
          <w:shd w:val="clear" w:color="auto" w:fill="FFFFFF"/>
          <w:lang w:eastAsia="es-ES_tradnl"/>
        </w:rPr>
        <w:t xml:space="preserve"> vinculante en estos casos </w:t>
      </w:r>
      <w:r w:rsidRPr="00DE5B1D">
        <w:rPr>
          <w:rFonts w:ascii="Verdana" w:eastAsia="Times New Roman" w:hAnsi="Verdana" w:cs="Arial"/>
          <w:color w:val="000000"/>
          <w:bdr w:val="none" w:sz="0" w:space="0" w:color="auto" w:frame="1"/>
          <w:shd w:val="clear" w:color="auto" w:fill="FFFFFF"/>
          <w:lang w:eastAsia="es-ES_tradnl"/>
        </w:rPr>
        <w:t>no es el valor inicialmente estimado ni las cantidades presupuestadas en la etapa precontractual, sino los valores unitarios acordados para cada ítem, los cuales permiten determinar el monto definitivo a reconocer con base en la ejecución efectiva de la obra</w:t>
      </w:r>
      <w:r>
        <w:rPr>
          <w:rFonts w:ascii="Verdana" w:eastAsia="Times New Roman" w:hAnsi="Verdana" w:cs="Arial"/>
          <w:color w:val="000000"/>
          <w:bdr w:val="none" w:sz="0" w:space="0" w:color="auto" w:frame="1"/>
          <w:shd w:val="clear" w:color="auto" w:fill="FFFFFF"/>
          <w:lang w:eastAsia="es-ES_tradnl"/>
        </w:rPr>
        <w:t>.</w:t>
      </w:r>
    </w:p>
    <w:p w14:paraId="084C4ACF" w14:textId="77777777" w:rsidR="00CA0D1D" w:rsidRDefault="00CA0D1D" w:rsidP="00CA0D1D">
      <w:pPr>
        <w:tabs>
          <w:tab w:val="left" w:pos="709"/>
        </w:tabs>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Sin embargo, tal y como lo ha manifestado el Consejo de Estado, lo expuesto no implica que el contratista pueda ejecutar mayores cantidades de obra de forma ilimitada. Al respecto, señaló: </w:t>
      </w:r>
    </w:p>
    <w:p w14:paraId="71DE9B46" w14:textId="77777777" w:rsidR="00CA0D1D" w:rsidRDefault="00CA0D1D" w:rsidP="00CA0D1D">
      <w:pPr>
        <w:tabs>
          <w:tab w:val="left" w:pos="709"/>
        </w:tabs>
        <w:spacing w:after="0" w:line="276" w:lineRule="auto"/>
        <w:ind w:firstLine="709"/>
        <w:jc w:val="both"/>
        <w:rPr>
          <w:rFonts w:ascii="Verdana" w:eastAsia="Times New Roman" w:hAnsi="Verdana" w:cs="Arial"/>
          <w:color w:val="000000"/>
          <w:bdr w:val="none" w:sz="0" w:space="0" w:color="auto" w:frame="1"/>
          <w:shd w:val="clear" w:color="auto" w:fill="FFFFFF"/>
          <w:lang w:eastAsia="es-ES_tradnl"/>
        </w:rPr>
      </w:pPr>
    </w:p>
    <w:p w14:paraId="03F7AF7D" w14:textId="77777777" w:rsidR="00CA0D1D" w:rsidRPr="009C79BC" w:rsidRDefault="00CA0D1D" w:rsidP="00CA0D1D">
      <w:pPr>
        <w:tabs>
          <w:tab w:val="left" w:pos="709"/>
        </w:tabs>
        <w:spacing w:after="0" w:line="240" w:lineRule="auto"/>
        <w:ind w:left="709" w:right="618"/>
        <w:jc w:val="both"/>
        <w:rPr>
          <w:rFonts w:ascii="Verdana" w:eastAsia="Times New Roman" w:hAnsi="Verdana" w:cs="Arial"/>
          <w:color w:val="000000"/>
          <w:sz w:val="20"/>
          <w:szCs w:val="20"/>
          <w:bdr w:val="none" w:sz="0" w:space="0" w:color="auto" w:frame="1"/>
          <w:shd w:val="clear" w:color="auto" w:fill="FFFFFF"/>
          <w:lang w:eastAsia="es-ES_tradnl"/>
        </w:rPr>
      </w:pPr>
      <w:r w:rsidRPr="009C79BC">
        <w:rPr>
          <w:rFonts w:ascii="Verdana" w:eastAsia="Times New Roman" w:hAnsi="Verdana" w:cs="Arial"/>
          <w:color w:val="000000"/>
          <w:sz w:val="20"/>
          <w:szCs w:val="20"/>
          <w:bdr w:val="none" w:sz="0" w:space="0" w:color="auto" w:frame="1"/>
          <w:shd w:val="clear" w:color="auto" w:fill="FFFFFF"/>
          <w:lang w:eastAsia="es-ES_tradnl"/>
        </w:rPr>
        <w:t>“</w:t>
      </w:r>
      <w:r>
        <w:rPr>
          <w:rFonts w:ascii="Verdana" w:eastAsia="Times New Roman" w:hAnsi="Verdana" w:cs="Arial"/>
          <w:color w:val="000000"/>
          <w:sz w:val="20"/>
          <w:szCs w:val="20"/>
          <w:bdr w:val="none" w:sz="0" w:space="0" w:color="auto" w:frame="1"/>
          <w:shd w:val="clear" w:color="auto" w:fill="FFFFFF"/>
          <w:lang w:eastAsia="es-ES_tradnl"/>
        </w:rPr>
        <w:t>L</w:t>
      </w:r>
      <w:r w:rsidRPr="009C79BC">
        <w:rPr>
          <w:rFonts w:ascii="Verdana" w:eastAsia="Times New Roman" w:hAnsi="Verdana" w:cs="Arial"/>
          <w:color w:val="000000"/>
          <w:sz w:val="20"/>
          <w:szCs w:val="20"/>
          <w:bdr w:val="none" w:sz="0" w:space="0" w:color="auto" w:frame="1"/>
          <w:shd w:val="clear" w:color="auto" w:fill="FFFFFF"/>
          <w:lang w:eastAsia="es-ES_tradnl"/>
        </w:rPr>
        <w:t>o anterior no significa que el contratista pueda adelantar cualquier mayor cantidad de obra sin ningún tipo de límite, debido a que solamente podrá construir aquello que sea imprescindible para cumplir con el objeto. En estos casos, la entidad deberá ejercer un riguroso control, en atención a las cantidades que se están ejecutando, puesto que deberá verificar, antes de proceder con el pago, que las mismas sí eran indispensables para finiquitar o culminar con las obligaciones a cargo del contratista. De cualquier manera, las partes podrán estructurar, en ejercicio de la autonomía de la voluntad, mecanismos de control adicionales, como autorizaciones con requisitos especiales, en aquellos eventos en que, por ejemplo, las cantidades superen el valor inicialmente estimado</w:t>
      </w:r>
      <w:r>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23"/>
      </w:r>
      <w:r w:rsidRPr="009C79BC">
        <w:rPr>
          <w:rFonts w:ascii="Verdana" w:eastAsia="Times New Roman" w:hAnsi="Verdana" w:cs="Arial"/>
          <w:color w:val="000000"/>
          <w:sz w:val="20"/>
          <w:szCs w:val="20"/>
          <w:bdr w:val="none" w:sz="0" w:space="0" w:color="auto" w:frame="1"/>
          <w:shd w:val="clear" w:color="auto" w:fill="FFFFFF"/>
          <w:lang w:eastAsia="es-ES_tradnl"/>
        </w:rPr>
        <w:t>”.</w:t>
      </w:r>
    </w:p>
    <w:p w14:paraId="501406FB" w14:textId="77777777" w:rsidR="00CA0D1D" w:rsidRDefault="00CA0D1D" w:rsidP="00CA0D1D">
      <w:pPr>
        <w:tabs>
          <w:tab w:val="left" w:pos="709"/>
        </w:tabs>
        <w:spacing w:after="0" w:line="276" w:lineRule="auto"/>
        <w:ind w:firstLine="709"/>
        <w:jc w:val="both"/>
        <w:rPr>
          <w:rFonts w:ascii="Verdana" w:hAnsi="Verdana"/>
        </w:rPr>
      </w:pPr>
    </w:p>
    <w:p w14:paraId="2B5CAA58" w14:textId="77777777" w:rsidR="00CA0D1D" w:rsidRPr="001C1C74" w:rsidRDefault="00CA0D1D" w:rsidP="00CA0D1D">
      <w:pPr>
        <w:tabs>
          <w:tab w:val="left" w:pos="709"/>
        </w:tabs>
        <w:spacing w:after="120" w:line="276" w:lineRule="auto"/>
        <w:ind w:firstLine="709"/>
        <w:jc w:val="both"/>
        <w:rPr>
          <w:rFonts w:ascii="Verdana" w:hAnsi="Verdana"/>
        </w:rPr>
      </w:pPr>
      <w:r w:rsidRPr="001C1C74">
        <w:rPr>
          <w:rFonts w:ascii="Verdana" w:hAnsi="Verdana"/>
        </w:rPr>
        <w:t>En tal sentido, para que proceda el reconocimiento de mayores cantidades de obra es indispensable que dichas cantidades no hayan sido ejecutadas de manera unilateral o autónoma por el contratista, sino que cuenten con la aceptación por parte de la entidad contratante</w:t>
      </w:r>
      <w:r>
        <w:rPr>
          <w:rFonts w:ascii="Verdana" w:hAnsi="Verdana"/>
        </w:rPr>
        <w:t xml:space="preserve">. </w:t>
      </w:r>
      <w:r w:rsidRPr="001C1C74">
        <w:rPr>
          <w:rFonts w:ascii="Verdana" w:hAnsi="Verdana"/>
        </w:rPr>
        <w:t xml:space="preserve">Asimismo, debe acreditarse que las mayores cantidades ejecutadas resultaban necesarias, proporcionales y razonables para alcanzar el cumplimiento integral del objeto contractual, conforme a las condiciones técnicas pactadas. En este sentido, no basta con que se hayan ejecutado físicamente, sino que es necesario demostrar que dichas cantidades eran imprescindibles para </w:t>
      </w:r>
      <w:r>
        <w:rPr>
          <w:rFonts w:ascii="Verdana" w:hAnsi="Verdana"/>
        </w:rPr>
        <w:t xml:space="preserve">el cabal cumplimiento del contrato. </w:t>
      </w:r>
    </w:p>
    <w:p w14:paraId="1CFFBFAC" w14:textId="77777777" w:rsidR="00CA0D1D" w:rsidRPr="005352F6" w:rsidRDefault="00CA0D1D" w:rsidP="00CA0D1D">
      <w:pPr>
        <w:tabs>
          <w:tab w:val="left" w:pos="709"/>
        </w:tabs>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Pr>
          <w:rFonts w:ascii="Verdana" w:hAnsi="Verdana"/>
        </w:rPr>
        <w:t xml:space="preserve"> De esta forma, teniendo en cuenta </w:t>
      </w:r>
      <w:r w:rsidRPr="004E7A9A">
        <w:rPr>
          <w:rFonts w:ascii="Verdana" w:hAnsi="Verdana"/>
        </w:rPr>
        <w:t>que la liquidación del contrato constituye el momento en el cual las partes realizan el ajuste final de cuentas, se considera jurídicamente viable</w:t>
      </w:r>
      <w:r>
        <w:rPr>
          <w:rFonts w:ascii="Verdana" w:hAnsi="Verdana"/>
        </w:rPr>
        <w:t xml:space="preserve"> el análisis del</w:t>
      </w:r>
      <w:r w:rsidRPr="004E7A9A">
        <w:rPr>
          <w:rFonts w:ascii="Verdana" w:hAnsi="Verdana"/>
        </w:rPr>
        <w:t xml:space="preserve"> reconocimiento de mayores cantidades de obra ejecutadas, siempre que se acrediten los presupuestos previamente señalados. </w:t>
      </w:r>
      <w:r>
        <w:rPr>
          <w:rFonts w:ascii="Verdana" w:hAnsi="Verdana"/>
        </w:rPr>
        <w:t>Así</w:t>
      </w:r>
      <w:r w:rsidRPr="004E7A9A">
        <w:rPr>
          <w:rFonts w:ascii="Verdana" w:hAnsi="Verdana"/>
        </w:rPr>
        <w:t xml:space="preserve">, el simple hecho de demostrar su ejecución no </w:t>
      </w:r>
      <w:r w:rsidRPr="004E7A9A">
        <w:rPr>
          <w:rFonts w:ascii="Verdana" w:hAnsi="Verdana"/>
        </w:rPr>
        <w:lastRenderedPageBreak/>
        <w:t xml:space="preserve">implica, por sí solo, el derecho automático a su pago, ya que dicho reconocimiento está sujeto a la verificación técnica, jurídica y financiera correspondiente. </w:t>
      </w:r>
      <w:r>
        <w:rPr>
          <w:rFonts w:ascii="Verdana" w:hAnsi="Verdana"/>
        </w:rPr>
        <w:t>Por consiguiente</w:t>
      </w:r>
      <w:r w:rsidRPr="004E7A9A">
        <w:rPr>
          <w:rFonts w:ascii="Verdana" w:hAnsi="Verdana"/>
        </w:rPr>
        <w:t xml:space="preserve">, en el marco del acta de liquidación bilateral, la entidad contratante puede analizar y pronunciarse sobre la procedencia del reconocimiento de estas </w:t>
      </w:r>
      <w:r>
        <w:rPr>
          <w:rFonts w:ascii="Verdana" w:hAnsi="Verdana"/>
        </w:rPr>
        <w:t xml:space="preserve">mayores </w:t>
      </w:r>
      <w:r w:rsidRPr="004E7A9A">
        <w:rPr>
          <w:rFonts w:ascii="Verdana" w:hAnsi="Verdana"/>
        </w:rPr>
        <w:t>cantidades</w:t>
      </w:r>
      <w:r>
        <w:rPr>
          <w:rFonts w:ascii="Verdana" w:hAnsi="Verdana"/>
        </w:rPr>
        <w:t xml:space="preserve"> y el contratista podrá </w:t>
      </w:r>
      <w:r w:rsidRPr="004E7A9A">
        <w:rPr>
          <w:rFonts w:ascii="Verdana" w:hAnsi="Verdana"/>
        </w:rPr>
        <w:t>deja</w:t>
      </w:r>
      <w:r>
        <w:rPr>
          <w:rFonts w:ascii="Verdana" w:hAnsi="Verdana"/>
        </w:rPr>
        <w:t>r las</w:t>
      </w:r>
      <w:r w:rsidRPr="004E7A9A">
        <w:rPr>
          <w:rFonts w:ascii="Verdana" w:hAnsi="Verdana"/>
        </w:rPr>
        <w:t xml:space="preserve"> constancia</w:t>
      </w:r>
      <w:r>
        <w:rPr>
          <w:rFonts w:ascii="Verdana" w:hAnsi="Verdana"/>
        </w:rPr>
        <w:t>s</w:t>
      </w:r>
      <w:r w:rsidRPr="004E7A9A">
        <w:rPr>
          <w:rFonts w:ascii="Verdana" w:hAnsi="Verdana"/>
        </w:rPr>
        <w:t xml:space="preserve"> de las salvedades o discrepancias que puedan surgir frente al contenido del acta de liquidación propuesta.</w:t>
      </w:r>
      <w:r>
        <w:rPr>
          <w:rFonts w:ascii="Verdana" w:hAnsi="Verdana"/>
        </w:rPr>
        <w:t xml:space="preserve"> </w:t>
      </w:r>
    </w:p>
    <w:p w14:paraId="1A68EAD3" w14:textId="77777777" w:rsidR="00CA0D1D" w:rsidRPr="00A04C35" w:rsidRDefault="00CA0D1D" w:rsidP="00CA0D1D">
      <w:pPr>
        <w:widowControl w:val="0"/>
        <w:autoSpaceDE w:val="0"/>
        <w:autoSpaceDN w:val="0"/>
        <w:spacing w:after="0" w:line="276" w:lineRule="auto"/>
        <w:ind w:firstLine="708"/>
        <w:jc w:val="both"/>
        <w:rPr>
          <w:rFonts w:ascii="Verdana" w:hAnsi="Verdana"/>
        </w:rPr>
      </w:pPr>
      <w:r w:rsidRPr="00A04C35">
        <w:rPr>
          <w:rFonts w:ascii="Verdana" w:hAnsi="Verdana" w:cs="Arial"/>
          <w:lang w:eastAsia="es-ES"/>
        </w:rPr>
        <w:t>Al margen de la explicación precedente debe advertirse que el análisis requerido para resolver problemas específicos en torno a los reconocimientos económicos derivados del desequilibrio en el contrato por ítems no previstos en el contrato debe realizarse por quienes tengan interés en ello, de acuerdo con lo explicado la aclaración preliminar del presente oficio. De esta manera,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605631D" w14:textId="77777777" w:rsidR="00CA0D1D" w:rsidRPr="00A04C35" w:rsidRDefault="00CA0D1D" w:rsidP="00CA0D1D">
      <w:pPr>
        <w:spacing w:before="120" w:after="0" w:line="276" w:lineRule="auto"/>
        <w:ind w:firstLine="709"/>
        <w:jc w:val="both"/>
        <w:rPr>
          <w:rFonts w:ascii="Verdana" w:hAnsi="Verdana" w:cs="Arial"/>
          <w:lang w:eastAsia="es-ES"/>
        </w:rPr>
      </w:pPr>
      <w:r w:rsidRPr="00A04C35">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bookmarkEnd w:id="1"/>
    <w:p w14:paraId="57B82DCB" w14:textId="77777777" w:rsidR="00CA0D1D" w:rsidRPr="00A04C35" w:rsidRDefault="00CA0D1D" w:rsidP="00CA0D1D">
      <w:pPr>
        <w:spacing w:after="0" w:line="276" w:lineRule="auto"/>
        <w:jc w:val="both"/>
        <w:rPr>
          <w:rFonts w:ascii="Verdana" w:eastAsia="Calibri" w:hAnsi="Verdana" w:cs="Arial"/>
          <w:lang w:eastAsia="es-MX"/>
        </w:rPr>
      </w:pPr>
    </w:p>
    <w:p w14:paraId="4FC1B1EA" w14:textId="77777777" w:rsidR="00CA0D1D" w:rsidRPr="00A04C35" w:rsidRDefault="00CA0D1D" w:rsidP="00CA0D1D">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A04C35">
        <w:rPr>
          <w:rFonts w:ascii="Verdana" w:eastAsia="Century Gothic" w:hAnsi="Verdana" w:cs="Century Gothic"/>
          <w:b/>
          <w:bCs/>
          <w:lang w:val="es-ES"/>
        </w:rPr>
        <w:t>Referencias normativas</w:t>
      </w:r>
      <w:r>
        <w:rPr>
          <w:rFonts w:ascii="Verdana" w:eastAsia="Century Gothic" w:hAnsi="Verdana" w:cs="Century Gothic"/>
          <w:b/>
          <w:bCs/>
          <w:lang w:val="es-ES"/>
        </w:rPr>
        <w:t xml:space="preserve"> y</w:t>
      </w:r>
      <w:r w:rsidRPr="00A04C35">
        <w:rPr>
          <w:rFonts w:ascii="Verdana" w:eastAsia="Century Gothic" w:hAnsi="Verdana" w:cs="Century Gothic"/>
          <w:b/>
          <w:bCs/>
          <w:lang w:val="es-ES"/>
        </w:rPr>
        <w:t xml:space="preserve"> jurisprudencial</w:t>
      </w:r>
      <w:r>
        <w:rPr>
          <w:rFonts w:ascii="Verdana" w:eastAsia="Century Gothic" w:hAnsi="Verdana" w:cs="Century Gothic"/>
          <w:b/>
          <w:bCs/>
          <w:lang w:val="es-ES"/>
        </w:rPr>
        <w:t>es</w:t>
      </w:r>
      <w:r w:rsidRPr="00A04C35">
        <w:rPr>
          <w:rFonts w:ascii="Verdana" w:eastAsia="Century Gothic" w:hAnsi="Verdana" w:cs="Century Gothic"/>
          <w:b/>
          <w:bCs/>
          <w:lang w:val="es-ES"/>
        </w:rPr>
        <w:t xml:space="preserve"> </w:t>
      </w:r>
    </w:p>
    <w:p w14:paraId="54D350CC" w14:textId="77777777" w:rsidR="00CA0D1D" w:rsidRPr="00A04C35" w:rsidRDefault="00CA0D1D" w:rsidP="00CA0D1D">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A0D1D" w:rsidRPr="00A04C35" w14:paraId="4B750856" w14:textId="77777777" w:rsidTr="00F77C5D">
        <w:trPr>
          <w:trHeight w:val="856"/>
          <w:jc w:val="center"/>
        </w:trPr>
        <w:tc>
          <w:tcPr>
            <w:tcW w:w="8647" w:type="dxa"/>
          </w:tcPr>
          <w:p w14:paraId="49CF8670" w14:textId="77777777" w:rsidR="00CA0D1D" w:rsidRPr="00A04C35" w:rsidRDefault="00CA0D1D" w:rsidP="00CA0D1D">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 xml:space="preserve">Código Civil, artículo 1501. </w:t>
            </w:r>
          </w:p>
          <w:p w14:paraId="396558D8" w14:textId="77777777" w:rsidR="00CA0D1D" w:rsidRPr="00A04C35" w:rsidRDefault="00CA0D1D" w:rsidP="00CA0D1D">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 xml:space="preserve">Ley 80 de 1993, artículos 4, 5, 32, 39, 41, 60. 61. </w:t>
            </w:r>
          </w:p>
          <w:p w14:paraId="000E2E5D" w14:textId="77777777" w:rsidR="00CA0D1D" w:rsidRPr="00A04C35" w:rsidRDefault="00CA0D1D" w:rsidP="00CA0D1D">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 xml:space="preserve">Ley 1150 de 2007, artículos 2 y 11. </w:t>
            </w:r>
          </w:p>
          <w:p w14:paraId="3B155BBC" w14:textId="77777777" w:rsidR="00CA0D1D" w:rsidRPr="00A04C35" w:rsidRDefault="00CA0D1D" w:rsidP="00CA0D1D">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Decreto Ley 019 de 2012, artículo 217.</w:t>
            </w:r>
          </w:p>
          <w:p w14:paraId="3D6D0CBF" w14:textId="77777777" w:rsidR="00CA0D1D" w:rsidRPr="00A04C35" w:rsidRDefault="00CA0D1D" w:rsidP="00CA0D1D">
            <w:pPr>
              <w:widowControl w:val="0"/>
              <w:numPr>
                <w:ilvl w:val="0"/>
                <w:numId w:val="20"/>
              </w:numPr>
              <w:autoSpaceDE w:val="0"/>
              <w:autoSpaceDN w:val="0"/>
              <w:spacing w:after="120" w:line="276" w:lineRule="auto"/>
              <w:jc w:val="both"/>
              <w:rPr>
                <w:rFonts w:ascii="Verdana" w:eastAsia="Arial MT" w:hAnsi="Verdana" w:cs="Arial"/>
                <w:lang w:val="es-MX" w:eastAsia="es-ES" w:bidi="es-ES"/>
              </w:rPr>
            </w:pPr>
            <w:r w:rsidRPr="00A04C35">
              <w:rPr>
                <w:rFonts w:ascii="Verdana" w:eastAsia="Arial MT" w:hAnsi="Verdana" w:cs="Arial"/>
                <w:lang w:val="es-MX" w:eastAsia="es-ES" w:bidi="es-ES"/>
              </w:rPr>
              <w:t>CONSEJO DE ESTADO, Sala de Consulta y Servicio Civil. Concepto de 6 de agosto de 2003. C.P. Augusto Trejos. Rad. No. 1453.</w:t>
            </w:r>
          </w:p>
          <w:p w14:paraId="1B8ECD83" w14:textId="77777777" w:rsidR="00CA0D1D" w:rsidRPr="00A04C35" w:rsidRDefault="00CA0D1D" w:rsidP="00CA0D1D">
            <w:pPr>
              <w:widowControl w:val="0"/>
              <w:numPr>
                <w:ilvl w:val="0"/>
                <w:numId w:val="20"/>
              </w:numPr>
              <w:autoSpaceDE w:val="0"/>
              <w:autoSpaceDN w:val="0"/>
              <w:spacing w:after="120" w:line="276" w:lineRule="auto"/>
              <w:jc w:val="both"/>
              <w:rPr>
                <w:rFonts w:ascii="Verdana" w:eastAsia="Arial MT" w:hAnsi="Verdana" w:cs="Arial"/>
                <w:lang w:eastAsia="es-ES" w:bidi="es-ES"/>
              </w:rPr>
            </w:pPr>
            <w:r w:rsidRPr="00A04C35">
              <w:rPr>
                <w:rFonts w:ascii="Verdana" w:eastAsia="Arial MT" w:hAnsi="Verdana" w:cs="Arial"/>
                <w:lang w:eastAsia="es-ES" w:bidi="es-ES"/>
              </w:rPr>
              <w:lastRenderedPageBreak/>
              <w:t xml:space="preserve">CONSEJO DE ESTADO. Sección Tercera. Subsección C. Sentencia de 18 de julio de 2012. C.P. Jaime Orlando Santofimio Gamboa. </w:t>
            </w:r>
            <w:proofErr w:type="spellStart"/>
            <w:r w:rsidRPr="00A04C35">
              <w:rPr>
                <w:rFonts w:ascii="Verdana" w:eastAsia="Arial MT" w:hAnsi="Verdana" w:cs="Arial"/>
                <w:lang w:eastAsia="es-ES" w:bidi="es-ES"/>
              </w:rPr>
              <w:t>Exp</w:t>
            </w:r>
            <w:proofErr w:type="spellEnd"/>
            <w:r w:rsidRPr="00A04C35">
              <w:rPr>
                <w:rFonts w:ascii="Verdana" w:eastAsia="Arial MT" w:hAnsi="Verdana" w:cs="Arial"/>
                <w:lang w:eastAsia="es-ES" w:bidi="es-ES"/>
              </w:rPr>
              <w:t xml:space="preserve">: 22.221. </w:t>
            </w:r>
          </w:p>
          <w:p w14:paraId="506ED110" w14:textId="77777777" w:rsidR="00CA0D1D" w:rsidRPr="00A04C35" w:rsidRDefault="00CA0D1D" w:rsidP="00CA0D1D">
            <w:pPr>
              <w:widowControl w:val="0"/>
              <w:numPr>
                <w:ilvl w:val="0"/>
                <w:numId w:val="20"/>
              </w:numPr>
              <w:autoSpaceDE w:val="0"/>
              <w:autoSpaceDN w:val="0"/>
              <w:spacing w:after="120" w:line="276" w:lineRule="auto"/>
              <w:jc w:val="both"/>
              <w:rPr>
                <w:rFonts w:ascii="Verdana" w:eastAsia="Arial MT" w:hAnsi="Verdana" w:cs="Arial"/>
                <w:lang w:val="es-ES" w:eastAsia="es-ES" w:bidi="es-ES"/>
              </w:rPr>
            </w:pPr>
            <w:r w:rsidRPr="00A04C35">
              <w:rPr>
                <w:rFonts w:ascii="Verdana" w:eastAsia="Arial MT" w:hAnsi="Verdana" w:cs="Arial"/>
                <w:lang w:eastAsia="es-ES" w:bidi="es-ES"/>
              </w:rPr>
              <w:t xml:space="preserve">CONSEJO DE ESTADO. Sala Plena. Sección Tercera. Sentencia de Unificación del 19 de noviembre de 2012. C.P. Jaime Orlando Santofimio Gamboa. </w:t>
            </w:r>
            <w:proofErr w:type="spellStart"/>
            <w:r w:rsidRPr="00A04C35">
              <w:rPr>
                <w:rFonts w:ascii="Verdana" w:eastAsia="Arial MT" w:hAnsi="Verdana" w:cs="Arial"/>
                <w:lang w:eastAsia="es-ES" w:bidi="es-ES"/>
              </w:rPr>
              <w:t>Exp</w:t>
            </w:r>
            <w:proofErr w:type="spellEnd"/>
            <w:r w:rsidRPr="00A04C35">
              <w:rPr>
                <w:rFonts w:ascii="Verdana" w:eastAsia="Arial MT" w:hAnsi="Verdana" w:cs="Arial"/>
                <w:lang w:eastAsia="es-ES" w:bidi="es-ES"/>
              </w:rPr>
              <w:t>. 24987.</w:t>
            </w:r>
          </w:p>
          <w:p w14:paraId="46572EAD" w14:textId="77777777" w:rsidR="00CA0D1D" w:rsidRPr="00A04C35" w:rsidRDefault="00CA0D1D" w:rsidP="00CA0D1D">
            <w:pPr>
              <w:widowControl w:val="0"/>
              <w:numPr>
                <w:ilvl w:val="0"/>
                <w:numId w:val="20"/>
              </w:numPr>
              <w:autoSpaceDE w:val="0"/>
              <w:autoSpaceDN w:val="0"/>
              <w:spacing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 xml:space="preserve">CONSEJO DE ESTADO. Sección Tercera. Subsección B. C.P. Sentencia del 27 de marzo de 2014. C.P. Danilo Rojas </w:t>
            </w:r>
            <w:proofErr w:type="spellStart"/>
            <w:r w:rsidRPr="00A04C35">
              <w:rPr>
                <w:rFonts w:ascii="Verdana" w:eastAsia="Arial MT" w:hAnsi="Verdana" w:cs="Arial"/>
                <w:lang w:eastAsia="es-ES" w:bidi="es-ES"/>
              </w:rPr>
              <w:t>Betancourth</w:t>
            </w:r>
            <w:proofErr w:type="spellEnd"/>
            <w:r w:rsidRPr="00A04C35">
              <w:rPr>
                <w:rFonts w:ascii="Verdana" w:eastAsia="Arial MT" w:hAnsi="Verdana" w:cs="Arial"/>
                <w:lang w:eastAsia="es-ES" w:bidi="es-ES"/>
              </w:rPr>
              <w:t xml:space="preserve">. </w:t>
            </w:r>
            <w:proofErr w:type="spellStart"/>
            <w:r w:rsidRPr="00A04C35">
              <w:rPr>
                <w:rFonts w:ascii="Verdana" w:eastAsia="Arial MT" w:hAnsi="Verdana" w:cs="Arial"/>
                <w:lang w:eastAsia="es-ES" w:bidi="es-ES"/>
              </w:rPr>
              <w:t>Exp</w:t>
            </w:r>
            <w:proofErr w:type="spellEnd"/>
            <w:r w:rsidRPr="00A04C35">
              <w:rPr>
                <w:rFonts w:ascii="Verdana" w:eastAsia="Arial MT" w:hAnsi="Verdana" w:cs="Arial"/>
                <w:lang w:eastAsia="es-ES" w:bidi="es-ES"/>
              </w:rPr>
              <w:t>. 20.912.</w:t>
            </w:r>
          </w:p>
          <w:p w14:paraId="19A670DA" w14:textId="77777777" w:rsidR="00CA0D1D" w:rsidRPr="00A04C35" w:rsidRDefault="00CA0D1D" w:rsidP="00CA0D1D">
            <w:pPr>
              <w:widowControl w:val="0"/>
              <w:numPr>
                <w:ilvl w:val="0"/>
                <w:numId w:val="20"/>
              </w:numPr>
              <w:autoSpaceDE w:val="0"/>
              <w:autoSpaceDN w:val="0"/>
              <w:spacing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 xml:space="preserve">CONSEJO DE ESTADO. Sección Tercera. Subsección C. Sentencia del 20 de octubre de 2014, C.P: Enrique Gil Botero. </w:t>
            </w:r>
            <w:proofErr w:type="spellStart"/>
            <w:r w:rsidRPr="00A04C35">
              <w:rPr>
                <w:rFonts w:ascii="Verdana" w:eastAsia="Arial MT" w:hAnsi="Verdana" w:cs="Arial"/>
                <w:lang w:eastAsia="es-ES" w:bidi="es-ES"/>
              </w:rPr>
              <w:t>Exp</w:t>
            </w:r>
            <w:proofErr w:type="spellEnd"/>
            <w:r w:rsidRPr="00A04C35">
              <w:rPr>
                <w:rFonts w:ascii="Verdana" w:eastAsia="Arial MT" w:hAnsi="Verdana" w:cs="Arial"/>
                <w:lang w:eastAsia="es-ES" w:bidi="es-ES"/>
              </w:rPr>
              <w:t xml:space="preserve">. 27.777. </w:t>
            </w:r>
          </w:p>
          <w:p w14:paraId="2144120C" w14:textId="77777777" w:rsidR="00CA0D1D" w:rsidRPr="0049401B" w:rsidRDefault="00CA0D1D" w:rsidP="00CA0D1D">
            <w:pPr>
              <w:widowControl w:val="0"/>
              <w:numPr>
                <w:ilvl w:val="0"/>
                <w:numId w:val="20"/>
              </w:numPr>
              <w:autoSpaceDE w:val="0"/>
              <w:autoSpaceDN w:val="0"/>
              <w:spacing w:after="120" w:line="276" w:lineRule="auto"/>
              <w:jc w:val="both"/>
              <w:rPr>
                <w:rFonts w:ascii="Verdana" w:eastAsia="Arial MT" w:hAnsi="Verdana" w:cs="Arial"/>
                <w:lang w:val="es-ES" w:eastAsia="es-ES" w:bidi="es-ES"/>
              </w:rPr>
            </w:pPr>
            <w:r w:rsidRPr="00A04C35">
              <w:rPr>
                <w:rFonts w:ascii="Verdana" w:eastAsia="Arial MT" w:hAnsi="Verdana" w:cs="Arial"/>
                <w:lang w:val="es-MX" w:eastAsia="es-ES" w:bidi="es-ES"/>
              </w:rPr>
              <w:t xml:space="preserve">CONSEJO DE ESTADO. Sala Plena. Sección Tercera. Sentencia de Unificación del 31 de julio de 2025. C.P. Fernando </w:t>
            </w:r>
            <w:proofErr w:type="spellStart"/>
            <w:r w:rsidRPr="00A04C35">
              <w:rPr>
                <w:rFonts w:ascii="Verdana" w:eastAsia="Arial MT" w:hAnsi="Verdana" w:cs="Arial"/>
                <w:lang w:val="es-MX" w:eastAsia="es-ES" w:bidi="es-ES"/>
              </w:rPr>
              <w:t>Alexei</w:t>
            </w:r>
            <w:proofErr w:type="spellEnd"/>
            <w:r w:rsidRPr="00A04C35">
              <w:rPr>
                <w:rFonts w:ascii="Verdana" w:eastAsia="Arial MT" w:hAnsi="Verdana" w:cs="Arial"/>
                <w:lang w:val="es-MX" w:eastAsia="es-ES" w:bidi="es-ES"/>
              </w:rPr>
              <w:t xml:space="preserve"> Pardo Flórez. </w:t>
            </w:r>
            <w:proofErr w:type="spellStart"/>
            <w:r w:rsidRPr="00A04C35">
              <w:rPr>
                <w:rFonts w:ascii="Verdana" w:eastAsia="Arial MT" w:hAnsi="Verdana" w:cs="Arial"/>
                <w:lang w:val="es-MX" w:eastAsia="es-ES" w:bidi="es-ES"/>
              </w:rPr>
              <w:t>Exp</w:t>
            </w:r>
            <w:proofErr w:type="spellEnd"/>
            <w:r w:rsidRPr="00A04C35">
              <w:rPr>
                <w:rFonts w:ascii="Verdana" w:eastAsia="Arial MT" w:hAnsi="Verdana" w:cs="Arial"/>
                <w:lang w:val="es-MX" w:eastAsia="es-ES" w:bidi="es-ES"/>
              </w:rPr>
              <w:t xml:space="preserve">. 57464. </w:t>
            </w:r>
            <w:r w:rsidRPr="0049401B">
              <w:rPr>
                <w:rFonts w:ascii="Verdana" w:eastAsia="Arial MT" w:hAnsi="Verdana" w:cs="Arial"/>
                <w:lang w:val="es-MX" w:eastAsia="es-ES" w:bidi="es-ES"/>
              </w:rPr>
              <w:t xml:space="preserve"> </w:t>
            </w:r>
          </w:p>
        </w:tc>
      </w:tr>
    </w:tbl>
    <w:p w14:paraId="63CDAB00" w14:textId="77777777" w:rsidR="00CA0D1D" w:rsidRPr="00A04C35" w:rsidRDefault="00CA0D1D" w:rsidP="00CA0D1D">
      <w:pPr>
        <w:widowControl w:val="0"/>
        <w:autoSpaceDE w:val="0"/>
        <w:autoSpaceDN w:val="0"/>
        <w:spacing w:after="0" w:line="276" w:lineRule="auto"/>
        <w:jc w:val="both"/>
        <w:rPr>
          <w:rFonts w:ascii="Verdana" w:hAnsi="Verdana" w:cs="Arial"/>
        </w:rPr>
      </w:pPr>
    </w:p>
    <w:p w14:paraId="6425FE15" w14:textId="77777777" w:rsidR="00CA0D1D" w:rsidRPr="00A04C35" w:rsidRDefault="00CA0D1D" w:rsidP="00CA0D1D">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A04C35">
        <w:rPr>
          <w:rFonts w:ascii="Verdana" w:eastAsia="Century Gothic" w:hAnsi="Verdana" w:cs="Century Gothic"/>
          <w:b/>
          <w:bCs/>
          <w:lang w:val="es-ES"/>
        </w:rPr>
        <w:t>Doctrina de la Agencia Nacional de Contratación Pública:</w:t>
      </w:r>
    </w:p>
    <w:p w14:paraId="209158BA" w14:textId="77777777" w:rsidR="00CA0D1D" w:rsidRPr="00A04C35" w:rsidRDefault="00CA0D1D" w:rsidP="00CA0D1D">
      <w:pPr>
        <w:widowControl w:val="0"/>
        <w:autoSpaceDE w:val="0"/>
        <w:autoSpaceDN w:val="0"/>
        <w:spacing w:after="0" w:line="276" w:lineRule="auto"/>
        <w:jc w:val="both"/>
        <w:rPr>
          <w:rFonts w:ascii="Verdana" w:hAnsi="Verdana" w:cs="Arial"/>
        </w:rPr>
      </w:pPr>
    </w:p>
    <w:p w14:paraId="03059D08" w14:textId="77777777" w:rsidR="00CA0D1D" w:rsidRPr="00A04C35" w:rsidRDefault="00CA0D1D" w:rsidP="00CA0D1D">
      <w:pPr>
        <w:widowControl w:val="0"/>
        <w:autoSpaceDE w:val="0"/>
        <w:autoSpaceDN w:val="0"/>
        <w:spacing w:after="0" w:line="276" w:lineRule="auto"/>
        <w:jc w:val="both"/>
        <w:rPr>
          <w:rFonts w:ascii="Verdana" w:hAnsi="Verdana" w:cs="Arial"/>
          <w:shd w:val="clear" w:color="auto" w:fill="FFFFFF"/>
        </w:rPr>
      </w:pPr>
      <w:r w:rsidRPr="00A04C35">
        <w:rPr>
          <w:rFonts w:ascii="Verdana" w:hAnsi="Verdana" w:cs="Arial"/>
          <w:shd w:val="clear" w:color="auto" w:fill="FFFFFF"/>
        </w:rPr>
        <w:t>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C-510 del 4 de junio de 2025, C-605 del 27 de junio de 2025, C-889 del 15 de agosto de 2025, C-913 del 19 de agosto de 2025, entre otros. En todo caso, este concepto se ajusta a la Sentencia de Unificación del 31 de julio de 2025, en torno al enriquecimiento sin justa causa, modificando la línea que había establecido la Sentencia de Unificación del 19 de noviembre de 2012 en torno a tres supuestos taxativos. E</w:t>
      </w:r>
      <w:proofErr w:type="spellStart"/>
      <w:r w:rsidRPr="00A04C35">
        <w:rPr>
          <w:rFonts w:ascii="Verdana" w:hAnsi="Verdana" w:cs="Arial"/>
          <w:shd w:val="clear" w:color="auto" w:fill="FFFFFF"/>
          <w:lang w:val="es-ES"/>
        </w:rPr>
        <w:t>stos</w:t>
      </w:r>
      <w:proofErr w:type="spellEnd"/>
      <w:r w:rsidRPr="00A04C35">
        <w:rPr>
          <w:rFonts w:ascii="Verdana" w:hAnsi="Verdana" w:cs="Arial"/>
          <w:shd w:val="clear" w:color="auto" w:fill="FFFFFF"/>
          <w:lang w:val="es-ES"/>
        </w:rPr>
        <w:t xml:space="preserve"> y otros </w:t>
      </w:r>
      <w:r w:rsidRPr="00A04C35">
        <w:rPr>
          <w:rFonts w:ascii="Verdana" w:hAnsi="Verdana"/>
        </w:rPr>
        <w:t>conceptos se encuentran disponibles para consulta en el Sistema de relatoría de la Agencia, al cual se puede acceder a través del siguiente enlace:</w:t>
      </w:r>
      <w:r w:rsidRPr="00A04C35">
        <w:rPr>
          <w:rFonts w:ascii="Verdana" w:hAnsi="Verdana" w:cs="Arial"/>
          <w:shd w:val="clear" w:color="auto" w:fill="FFFFFF"/>
        </w:rPr>
        <w:t xml:space="preserve"> </w:t>
      </w:r>
      <w:hyperlink r:id="rId14" w:history="1">
        <w:r w:rsidRPr="00A04C35">
          <w:rPr>
            <w:rFonts w:ascii="Verdana" w:hAnsi="Verdana" w:cs="Arial"/>
            <w:color w:val="0563C1" w:themeColor="hyperlink"/>
            <w:u w:val="single"/>
            <w:shd w:val="clear" w:color="auto" w:fill="FFFFFF"/>
          </w:rPr>
          <w:t>https://relatoria.colombiacompra.gov.co/busqueda/conceptos</w:t>
        </w:r>
      </w:hyperlink>
      <w:r w:rsidRPr="00A04C35">
        <w:rPr>
          <w:rFonts w:ascii="Verdana" w:hAnsi="Verdana" w:cs="Arial"/>
          <w:shd w:val="clear" w:color="auto" w:fill="FFFFFF"/>
        </w:rPr>
        <w:t>.</w:t>
      </w:r>
      <w:r w:rsidRPr="00A04C35">
        <w:rPr>
          <w:rFonts w:ascii="Verdana" w:hAnsi="Verdana" w:cs="Arial"/>
          <w:color w:val="FF0000"/>
          <w:shd w:val="clear" w:color="auto" w:fill="FFFFFF"/>
        </w:rPr>
        <w:t xml:space="preserve"> </w:t>
      </w:r>
      <w:r w:rsidRPr="00A04C35">
        <w:rPr>
          <w:rFonts w:ascii="Verdana" w:hAnsi="Verdana" w:cs="Arial"/>
          <w:color w:val="000000" w:themeColor="text1"/>
          <w:shd w:val="clear" w:color="auto" w:fill="FFFFFF"/>
        </w:rPr>
        <w:t>  </w:t>
      </w:r>
    </w:p>
    <w:p w14:paraId="0965FDFF" w14:textId="77777777" w:rsidR="00CA0D1D" w:rsidRPr="00A04C35" w:rsidRDefault="00CA0D1D" w:rsidP="00CA0D1D">
      <w:pPr>
        <w:spacing w:after="0" w:line="240" w:lineRule="auto"/>
        <w:jc w:val="both"/>
        <w:rPr>
          <w:rFonts w:ascii="Verdana" w:hAnsi="Verdana"/>
        </w:rPr>
      </w:pPr>
    </w:p>
    <w:p w14:paraId="28CDDB0F" w14:textId="77777777" w:rsidR="00CA0D1D" w:rsidRPr="00A04C35" w:rsidRDefault="00CA0D1D" w:rsidP="00CA0D1D">
      <w:pPr>
        <w:spacing w:after="0" w:line="256" w:lineRule="auto"/>
        <w:jc w:val="both"/>
        <w:rPr>
          <w:rFonts w:ascii="Verdana" w:eastAsia="Calibri" w:hAnsi="Verdana" w:cs="Times New Roman"/>
          <w:bCs/>
          <w:lang w:val="es-ES_tradnl"/>
        </w:rPr>
      </w:pPr>
      <w:r w:rsidRPr="00A04C3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C599A7D" w14:textId="77777777" w:rsidR="00CA0D1D" w:rsidRPr="00A04C35" w:rsidRDefault="00CA0D1D" w:rsidP="00CA0D1D">
      <w:pPr>
        <w:spacing w:after="0" w:line="256" w:lineRule="auto"/>
        <w:jc w:val="both"/>
        <w:rPr>
          <w:rFonts w:ascii="Verdana" w:eastAsia="Calibri" w:hAnsi="Verdana" w:cs="Times New Roman"/>
        </w:rPr>
      </w:pPr>
    </w:p>
    <w:p w14:paraId="1488AC61" w14:textId="77777777" w:rsidR="00CA0D1D" w:rsidRPr="00A04C35" w:rsidRDefault="00CA0D1D" w:rsidP="00CA0D1D">
      <w:pPr>
        <w:spacing w:after="0" w:line="256" w:lineRule="auto"/>
        <w:jc w:val="both"/>
        <w:rPr>
          <w:rFonts w:ascii="Verdana" w:eastAsia="Calibri" w:hAnsi="Verdana" w:cs="Times New Roman"/>
        </w:rPr>
      </w:pPr>
      <w:r w:rsidRPr="00A04C35">
        <w:rPr>
          <w:rFonts w:ascii="Verdana" w:eastAsia="Calibri" w:hAnsi="Verdana" w:cs="Times New Roman"/>
        </w:rPr>
        <w:lastRenderedPageBreak/>
        <w:t>Atentamente,</w:t>
      </w:r>
    </w:p>
    <w:p w14:paraId="5A49C3F4" w14:textId="77777777" w:rsidR="00CA0D1D" w:rsidRDefault="00CA0D1D" w:rsidP="00CA0D1D">
      <w:pPr>
        <w:spacing w:after="0" w:line="256" w:lineRule="auto"/>
        <w:jc w:val="center"/>
        <w:rPr>
          <w:rFonts w:ascii="Verdana" w:eastAsia="Times New Roman" w:hAnsi="Verdana" w:cs="Arial"/>
          <w:noProof/>
          <w:sz w:val="24"/>
          <w:szCs w:val="24"/>
          <w:lang w:val="en-US"/>
        </w:rPr>
      </w:pPr>
    </w:p>
    <w:p w14:paraId="5AEF42C1" w14:textId="77777777" w:rsidR="00CA0D1D" w:rsidRPr="00D20014" w:rsidRDefault="00CA0D1D" w:rsidP="00CA0D1D">
      <w:pPr>
        <w:spacing w:after="0" w:line="240" w:lineRule="auto"/>
        <w:jc w:val="center"/>
        <w:rPr>
          <w:rFonts w:ascii="Verdana" w:eastAsia="Aptos" w:hAnsi="Verdana" w:cs="Arial"/>
          <w:lang w:eastAsia="es-CO"/>
        </w:rPr>
      </w:pPr>
    </w:p>
    <w:p w14:paraId="27E0BB29" w14:textId="70D15216" w:rsidR="00CA0D1D" w:rsidRPr="0068390B" w:rsidRDefault="00493F3C" w:rsidP="00CA0D1D">
      <w:pPr>
        <w:spacing w:line="276" w:lineRule="auto"/>
        <w:jc w:val="center"/>
        <w:rPr>
          <w:rFonts w:ascii="Verdana" w:hAnsi="Verdana" w:cs="Arial"/>
          <w:color w:val="000000"/>
          <w:lang w:eastAsia="es-CO"/>
        </w:rPr>
      </w:pPr>
      <w:r>
        <w:rPr>
          <w:noProof/>
        </w:rPr>
        <w:drawing>
          <wp:inline distT="0" distB="0" distL="0" distR="0" wp14:anchorId="2946F7ED" wp14:editId="22A2022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A0D1D" w:rsidRPr="0068390B" w14:paraId="4C59393B" w14:textId="77777777" w:rsidTr="00F77C5D">
        <w:trPr>
          <w:trHeight w:val="315"/>
        </w:trPr>
        <w:tc>
          <w:tcPr>
            <w:tcW w:w="893" w:type="dxa"/>
            <w:vAlign w:val="center"/>
            <w:hideMark/>
          </w:tcPr>
          <w:p w14:paraId="7378CD96" w14:textId="77777777" w:rsidR="00CA0D1D" w:rsidRPr="0068390B" w:rsidRDefault="00CA0D1D" w:rsidP="00F77C5D">
            <w:pPr>
              <w:contextualSpacing/>
              <w:rPr>
                <w:rFonts w:ascii="Verdana" w:hAnsi="Verdana" w:cs="Arial"/>
                <w:sz w:val="16"/>
                <w:szCs w:val="16"/>
                <w:lang w:eastAsia="es-ES"/>
              </w:rPr>
            </w:pPr>
            <w:r w:rsidRPr="0068390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C73EE72" w14:textId="77777777" w:rsidR="00CA0D1D" w:rsidRPr="0068390B" w:rsidRDefault="00CA0D1D" w:rsidP="00F77C5D">
            <w:pPr>
              <w:contextualSpacing/>
              <w:rPr>
                <w:rFonts w:ascii="Verdana" w:hAnsi="Verdana"/>
                <w:sz w:val="16"/>
                <w:szCs w:val="16"/>
              </w:rPr>
            </w:pPr>
            <w:r w:rsidRPr="0068390B">
              <w:rPr>
                <w:rFonts w:ascii="Verdana" w:hAnsi="Verdana"/>
                <w:sz w:val="16"/>
                <w:szCs w:val="16"/>
              </w:rPr>
              <w:t>Tatiana Baquero Iguarán</w:t>
            </w:r>
          </w:p>
          <w:p w14:paraId="068F8E78" w14:textId="77777777" w:rsidR="00CA0D1D" w:rsidRPr="0068390B" w:rsidRDefault="00CA0D1D" w:rsidP="00F77C5D">
            <w:pPr>
              <w:contextualSpacing/>
              <w:rPr>
                <w:rFonts w:ascii="Verdana" w:eastAsia="Arial" w:hAnsi="Verdana" w:cs="Arial"/>
                <w:sz w:val="16"/>
                <w:szCs w:val="16"/>
              </w:rPr>
            </w:pPr>
            <w:r w:rsidRPr="0068390B">
              <w:rPr>
                <w:rFonts w:ascii="Verdana" w:hAnsi="Verdana"/>
                <w:sz w:val="16"/>
                <w:szCs w:val="16"/>
              </w:rPr>
              <w:t>Contratista de la Subdirección de Gestión Contractual</w:t>
            </w:r>
          </w:p>
        </w:tc>
      </w:tr>
      <w:tr w:rsidR="00CA0D1D" w:rsidRPr="0068390B" w14:paraId="23FB0419" w14:textId="77777777" w:rsidTr="00F77C5D">
        <w:trPr>
          <w:trHeight w:val="330"/>
        </w:trPr>
        <w:tc>
          <w:tcPr>
            <w:tcW w:w="893" w:type="dxa"/>
            <w:vAlign w:val="center"/>
            <w:hideMark/>
          </w:tcPr>
          <w:p w14:paraId="15F569A6" w14:textId="77777777" w:rsidR="00CA0D1D" w:rsidRPr="0068390B" w:rsidRDefault="00CA0D1D" w:rsidP="00F77C5D">
            <w:pPr>
              <w:contextualSpacing/>
              <w:rPr>
                <w:rFonts w:ascii="Verdana" w:hAnsi="Verdana" w:cs="Arial"/>
                <w:sz w:val="16"/>
                <w:szCs w:val="16"/>
                <w:lang w:eastAsia="es-ES"/>
              </w:rPr>
            </w:pPr>
            <w:r w:rsidRPr="0068390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E2B749" w14:textId="77777777" w:rsidR="00CA0D1D" w:rsidRPr="0068390B" w:rsidRDefault="00CA0D1D" w:rsidP="00F77C5D">
            <w:pPr>
              <w:textAlignment w:val="baseline"/>
              <w:rPr>
                <w:rFonts w:ascii="Verdana" w:eastAsia="Times New Roman" w:hAnsi="Verdana" w:cs="Arial"/>
                <w:sz w:val="16"/>
                <w:szCs w:val="16"/>
                <w:lang w:val="es-MX" w:eastAsia="es-CO"/>
              </w:rPr>
            </w:pPr>
            <w:r w:rsidRPr="0068390B">
              <w:rPr>
                <w:rFonts w:ascii="Verdana" w:eastAsia="Times New Roman" w:hAnsi="Verdana" w:cs="Arial"/>
                <w:sz w:val="16"/>
                <w:szCs w:val="16"/>
                <w:lang w:val="es-MX" w:eastAsia="es-CO"/>
              </w:rPr>
              <w:t>Alejandro Raúl Sarmiento Cantillo</w:t>
            </w:r>
          </w:p>
          <w:p w14:paraId="4E9E24EA" w14:textId="77777777" w:rsidR="00CA0D1D" w:rsidRPr="0068390B" w:rsidRDefault="00CA0D1D" w:rsidP="00F77C5D">
            <w:pPr>
              <w:spacing w:before="100" w:beforeAutospacing="1" w:after="100" w:afterAutospacing="1"/>
              <w:contextualSpacing/>
              <w:textAlignment w:val="baseline"/>
              <w:rPr>
                <w:rFonts w:ascii="Verdana" w:eastAsia="Times New Roman" w:hAnsi="Verdana" w:cs="Segoe UI"/>
                <w:sz w:val="16"/>
                <w:szCs w:val="16"/>
                <w:lang w:eastAsia="es-ES_tradnl"/>
              </w:rPr>
            </w:pPr>
            <w:r w:rsidRPr="0068390B">
              <w:rPr>
                <w:rFonts w:ascii="Verdana" w:eastAsia="Times New Roman" w:hAnsi="Verdana" w:cs="Arial"/>
                <w:sz w:val="16"/>
                <w:szCs w:val="16"/>
                <w:lang w:val="es-MX" w:eastAsia="es-CO"/>
              </w:rPr>
              <w:t>Gestor T1-15 de la Subdirección de Gestión Contractual</w:t>
            </w:r>
          </w:p>
        </w:tc>
      </w:tr>
      <w:tr w:rsidR="00CA0D1D" w:rsidRPr="0068390B" w14:paraId="60EC7EC0" w14:textId="77777777" w:rsidTr="00F77C5D">
        <w:trPr>
          <w:trHeight w:val="300"/>
        </w:trPr>
        <w:tc>
          <w:tcPr>
            <w:tcW w:w="893" w:type="dxa"/>
            <w:vAlign w:val="center"/>
          </w:tcPr>
          <w:p w14:paraId="6FD8EA74" w14:textId="77777777" w:rsidR="00CA0D1D" w:rsidRPr="0068390B" w:rsidRDefault="00CA0D1D" w:rsidP="00F77C5D">
            <w:pPr>
              <w:contextualSpacing/>
              <w:rPr>
                <w:rFonts w:ascii="Verdana" w:hAnsi="Verdana" w:cs="Arial"/>
                <w:sz w:val="16"/>
                <w:szCs w:val="16"/>
                <w:lang w:eastAsia="es-ES"/>
              </w:rPr>
            </w:pPr>
            <w:r w:rsidRPr="0068390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FA746E5" w14:textId="77777777" w:rsidR="00CA0D1D" w:rsidRPr="0068390B" w:rsidRDefault="00CA0D1D" w:rsidP="00F77C5D">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 xml:space="preserve">Carolina Quintero </w:t>
            </w:r>
            <w:proofErr w:type="spellStart"/>
            <w:r w:rsidRPr="0068390B">
              <w:rPr>
                <w:rFonts w:ascii="Verdana" w:eastAsia="Calibri" w:hAnsi="Verdana" w:cs="Arial"/>
                <w:sz w:val="16"/>
                <w:szCs w:val="16"/>
                <w:lang w:eastAsia="es-ES"/>
              </w:rPr>
              <w:t>Gacharná</w:t>
            </w:r>
            <w:proofErr w:type="spellEnd"/>
          </w:p>
          <w:p w14:paraId="7F57A89D" w14:textId="77777777" w:rsidR="00CA0D1D" w:rsidRPr="0068390B" w:rsidRDefault="00CA0D1D" w:rsidP="00F77C5D">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Subdirectora de Gestión Contractual ANCP – CCE</w:t>
            </w:r>
          </w:p>
        </w:tc>
      </w:tr>
    </w:tbl>
    <w:p w14:paraId="6BC7855B" w14:textId="77777777" w:rsidR="00CA0D1D" w:rsidRPr="0068390B" w:rsidRDefault="00CA0D1D" w:rsidP="00CA0D1D"/>
    <w:p w14:paraId="6053ECB1" w14:textId="77777777" w:rsidR="00CA0D1D" w:rsidRPr="0068390B" w:rsidRDefault="00CA0D1D" w:rsidP="00CA0D1D">
      <w:pPr>
        <w:spacing w:after="0" w:line="240" w:lineRule="auto"/>
        <w:rPr>
          <w:rFonts w:ascii="Verdana" w:eastAsia="Aptos" w:hAnsi="Verdana" w:cs="Times New Roman"/>
          <w:sz w:val="20"/>
          <w:szCs w:val="20"/>
        </w:rPr>
      </w:pPr>
    </w:p>
    <w:p w14:paraId="0EAC2D3A" w14:textId="77777777" w:rsidR="00CA0D1D" w:rsidRDefault="00CA0D1D" w:rsidP="00CA0D1D">
      <w:pPr>
        <w:spacing w:after="0" w:line="240" w:lineRule="auto"/>
        <w:rPr>
          <w:rFonts w:ascii="Arial" w:eastAsia="Times New Roman" w:hAnsi="Arial" w:cs="Arial"/>
          <w:noProof/>
          <w:color w:val="000000"/>
          <w:szCs w:val="24"/>
          <w:lang w:val="es-ES_tradnl" w:eastAsia="es-ES_tradnl"/>
        </w:rPr>
      </w:pPr>
    </w:p>
    <w:p w14:paraId="7E4FC543" w14:textId="77777777" w:rsidR="00CA0D1D" w:rsidRPr="009929A7" w:rsidRDefault="00CA0D1D" w:rsidP="00CA0D1D"/>
    <w:p w14:paraId="554F8836" w14:textId="77777777" w:rsidR="00CA0D1D" w:rsidRPr="00A04C35" w:rsidRDefault="00CA0D1D" w:rsidP="00CA0D1D"/>
    <w:p w14:paraId="6729569B" w14:textId="77777777" w:rsidR="00CA0D1D" w:rsidRPr="00800C2F" w:rsidRDefault="00CA0D1D" w:rsidP="00CA0D1D"/>
    <w:p w14:paraId="72DD96F0" w14:textId="77777777" w:rsidR="000A2840" w:rsidRDefault="000A2840" w:rsidP="00A04C35">
      <w:pPr>
        <w:spacing w:after="0"/>
        <w:rPr>
          <w:rFonts w:ascii="Verdana" w:hAnsi="Verdana"/>
          <w:noProof/>
          <w:lang w:val="en-US"/>
        </w:rPr>
      </w:pPr>
    </w:p>
    <w:p w14:paraId="6ED0171C" w14:textId="77777777" w:rsidR="000A2840" w:rsidRDefault="000A2840" w:rsidP="00A04C35">
      <w:pPr>
        <w:spacing w:after="0"/>
        <w:rPr>
          <w:rFonts w:ascii="Verdana" w:hAnsi="Verdana"/>
          <w:noProof/>
          <w:lang w:val="en-US"/>
        </w:rPr>
      </w:pPr>
    </w:p>
    <w:bookmarkEnd w:id="0"/>
    <w:sectPr w:rsidR="000A2840"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C41FF" w14:textId="77777777" w:rsidR="00FA0D92" w:rsidRDefault="00FA0D92" w:rsidP="004A1847">
      <w:pPr>
        <w:spacing w:after="0" w:line="240" w:lineRule="auto"/>
      </w:pPr>
      <w:r>
        <w:separator/>
      </w:r>
    </w:p>
  </w:endnote>
  <w:endnote w:type="continuationSeparator" w:id="0">
    <w:p w14:paraId="40CB1F7B" w14:textId="77777777" w:rsidR="00FA0D92" w:rsidRDefault="00FA0D92" w:rsidP="004A1847">
      <w:pPr>
        <w:spacing w:after="0" w:line="240" w:lineRule="auto"/>
      </w:pPr>
      <w:r>
        <w:continuationSeparator/>
      </w:r>
    </w:p>
  </w:endnote>
  <w:endnote w:type="continuationNotice" w:id="1">
    <w:p w14:paraId="1036293C" w14:textId="77777777" w:rsidR="00FA0D92" w:rsidRDefault="00FA0D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74713B" w:rsidRDefault="0074713B">
    <w:pPr>
      <w:pStyle w:val="Piedepgina"/>
    </w:pPr>
  </w:p>
  <w:p w14:paraId="594D6D9F" w14:textId="2B520D3D" w:rsidR="0074713B" w:rsidRPr="00174B77" w:rsidRDefault="0074713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13CBC" w:rsidRPr="00F13CBC">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74713B" w:rsidRDefault="0074713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74713B" w:rsidRPr="00E41027" w:rsidRDefault="0074713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74713B" w:rsidRDefault="0074713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1BB27" w14:textId="77777777" w:rsidR="00FA0D92" w:rsidRDefault="00FA0D92" w:rsidP="004A1847">
      <w:pPr>
        <w:spacing w:after="0" w:line="240" w:lineRule="auto"/>
      </w:pPr>
      <w:r>
        <w:separator/>
      </w:r>
    </w:p>
  </w:footnote>
  <w:footnote w:type="continuationSeparator" w:id="0">
    <w:p w14:paraId="357BF798" w14:textId="77777777" w:rsidR="00FA0D92" w:rsidRDefault="00FA0D92" w:rsidP="004A1847">
      <w:pPr>
        <w:spacing w:after="0" w:line="240" w:lineRule="auto"/>
      </w:pPr>
      <w:r>
        <w:continuationSeparator/>
      </w:r>
    </w:p>
  </w:footnote>
  <w:footnote w:type="continuationNotice" w:id="1">
    <w:p w14:paraId="0A2CA471" w14:textId="77777777" w:rsidR="00FA0D92" w:rsidRDefault="00FA0D92">
      <w:pPr>
        <w:spacing w:after="0" w:line="240" w:lineRule="auto"/>
      </w:pPr>
    </w:p>
  </w:footnote>
  <w:footnote w:id="2">
    <w:p w14:paraId="61FA7B2E" w14:textId="77777777" w:rsidR="00CA0D1D" w:rsidRPr="00B173E3" w:rsidRDefault="00CA0D1D" w:rsidP="00CA0D1D">
      <w:pPr>
        <w:pStyle w:val="Textonotapie"/>
        <w:ind w:firstLine="708"/>
        <w:jc w:val="both"/>
        <w:rPr>
          <w:rFonts w:ascii="Verdana" w:hAnsi="Verdana"/>
          <w:sz w:val="16"/>
          <w:szCs w:val="16"/>
        </w:rPr>
      </w:pPr>
      <w:r w:rsidRPr="0074713B">
        <w:rPr>
          <w:rFonts w:ascii="Verdana" w:hAnsi="Verdana" w:cs="Arial"/>
          <w:color w:val="000000"/>
          <w:sz w:val="16"/>
          <w:szCs w:val="16"/>
          <w:vertAlign w:val="superscript"/>
        </w:rPr>
        <w:footnoteRef/>
      </w:r>
      <w:r w:rsidRPr="0074713B">
        <w:rPr>
          <w:rFonts w:ascii="Verdana" w:hAnsi="Verdana" w:cs="Arial"/>
          <w:color w:val="000000"/>
          <w:sz w:val="16"/>
          <w:szCs w:val="16"/>
        </w:rPr>
        <w:t xml:space="preserve"> “La</w:t>
      </w:r>
      <w:r w:rsidRPr="00B173E3">
        <w:rPr>
          <w:rFonts w:ascii="Verdana" w:hAnsi="Verdana" w:cs="Arial"/>
          <w:color w:val="000000"/>
          <w:sz w:val="16"/>
          <w:szCs w:val="16"/>
        </w:rPr>
        <w:t xml:space="preserve">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B173E3">
        <w:rPr>
          <w:rFonts w:ascii="Verdana" w:hAnsi="Verdana" w:cs="Arial"/>
          <w:color w:val="000000"/>
          <w:sz w:val="16"/>
          <w:szCs w:val="16"/>
          <w:shd w:val="clear" w:color="auto" w:fill="FFFFFF"/>
        </w:rPr>
        <w:t>” (</w:t>
      </w:r>
      <w:r w:rsidRPr="00B173E3">
        <w:rPr>
          <w:rFonts w:ascii="Verdana" w:hAnsi="Verdana" w:cs="Arial"/>
          <w:color w:val="000000"/>
          <w:sz w:val="16"/>
          <w:szCs w:val="16"/>
        </w:rPr>
        <w:t>EXPOSITO, Juan Carlos. Forma y contenido del contrato estatal. Bogotá: Universidad Externado de Colombia, 2013. pp. 89 -90).</w:t>
      </w:r>
    </w:p>
  </w:footnote>
  <w:footnote w:id="3">
    <w:p w14:paraId="61547232" w14:textId="77777777" w:rsidR="00CA0D1D" w:rsidRPr="00B173E3" w:rsidRDefault="00CA0D1D" w:rsidP="00CA0D1D">
      <w:pPr>
        <w:pStyle w:val="Textonotapie"/>
        <w:ind w:firstLine="708"/>
        <w:jc w:val="both"/>
        <w:rPr>
          <w:rFonts w:ascii="Verdana" w:hAnsi="Verdana" w:cs="Arial"/>
          <w:color w:val="000000"/>
          <w:sz w:val="16"/>
          <w:szCs w:val="16"/>
        </w:rPr>
      </w:pPr>
      <w:r w:rsidRPr="00B173E3">
        <w:rPr>
          <w:rFonts w:ascii="Verdana" w:hAnsi="Verdana" w:cs="Arial"/>
          <w:color w:val="000000"/>
          <w:sz w:val="16"/>
          <w:szCs w:val="16"/>
          <w:vertAlign w:val="superscript"/>
        </w:rPr>
        <w:footnoteRef/>
      </w:r>
      <w:r w:rsidRPr="00B173E3">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4">
    <w:p w14:paraId="7FADC3DF" w14:textId="77777777" w:rsidR="00CA0D1D" w:rsidRPr="00B173E3" w:rsidRDefault="00CA0D1D" w:rsidP="00CA0D1D">
      <w:pPr>
        <w:spacing w:after="0" w:line="240" w:lineRule="auto"/>
        <w:ind w:firstLine="708"/>
        <w:jc w:val="both"/>
        <w:rPr>
          <w:rFonts w:ascii="Verdana" w:hAnsi="Verdana" w:cs="Arial"/>
          <w:color w:val="000000"/>
          <w:sz w:val="16"/>
          <w:szCs w:val="16"/>
        </w:rPr>
      </w:pPr>
      <w:r w:rsidRPr="00B173E3">
        <w:rPr>
          <w:rFonts w:ascii="Verdana" w:hAnsi="Verdana" w:cs="Arial"/>
          <w:color w:val="000000"/>
          <w:sz w:val="16"/>
          <w:szCs w:val="16"/>
          <w:vertAlign w:val="superscript"/>
        </w:rPr>
        <w:footnoteRef/>
      </w:r>
      <w:r w:rsidRPr="00B173E3">
        <w:rPr>
          <w:rFonts w:ascii="Verdana" w:hAnsi="Verdana" w:cs="Arial"/>
          <w:color w:val="000000"/>
          <w:sz w:val="16"/>
          <w:szCs w:val="16"/>
        </w:rPr>
        <w:t xml:space="preserve"> CONSEJO DE ESTADO. Sección Tercera. Subsección C. Sentencia del 20 de octubre de 2014, C.P: Enrique Gil Botero.</w:t>
      </w:r>
      <w:r w:rsidRPr="00B173E3">
        <w:rPr>
          <w:rFonts w:ascii="Verdana" w:hAnsi="Verdana"/>
          <w:sz w:val="16"/>
          <w:szCs w:val="16"/>
        </w:rPr>
        <w:t xml:space="preserve"> Exp. </w:t>
      </w:r>
      <w:r w:rsidRPr="00B173E3">
        <w:rPr>
          <w:rFonts w:ascii="Verdana" w:hAnsi="Verdana" w:cs="Arial"/>
          <w:color w:val="000000"/>
          <w:sz w:val="16"/>
          <w:szCs w:val="16"/>
        </w:rPr>
        <w:t>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48404ECD" w14:textId="77777777" w:rsidR="00CA0D1D" w:rsidRPr="00B173E3" w:rsidRDefault="00CA0D1D" w:rsidP="00CA0D1D">
      <w:pPr>
        <w:spacing w:after="0" w:line="240" w:lineRule="auto"/>
        <w:ind w:firstLine="708"/>
        <w:jc w:val="both"/>
        <w:rPr>
          <w:rFonts w:ascii="Verdana" w:hAnsi="Verdana"/>
          <w:sz w:val="16"/>
          <w:szCs w:val="16"/>
        </w:rPr>
      </w:pPr>
    </w:p>
  </w:footnote>
  <w:footnote w:id="5">
    <w:p w14:paraId="661BF400" w14:textId="77777777" w:rsidR="00CA0D1D" w:rsidRPr="00B173E3" w:rsidRDefault="00CA0D1D" w:rsidP="00CA0D1D">
      <w:pPr>
        <w:pStyle w:val="Textonotapie"/>
        <w:ind w:firstLine="708"/>
        <w:jc w:val="both"/>
        <w:rPr>
          <w:rFonts w:ascii="Verdana" w:hAnsi="Verdana" w:cs="Arial"/>
          <w:color w:val="000000"/>
          <w:sz w:val="16"/>
          <w:szCs w:val="16"/>
        </w:rPr>
      </w:pPr>
      <w:r w:rsidRPr="00B173E3">
        <w:rPr>
          <w:rFonts w:ascii="Verdana" w:hAnsi="Verdana" w:cs="Arial"/>
          <w:color w:val="000000"/>
          <w:sz w:val="16"/>
          <w:szCs w:val="16"/>
          <w:vertAlign w:val="superscript"/>
        </w:rPr>
        <w:footnoteRef/>
      </w:r>
      <w:r w:rsidRPr="00B173E3">
        <w:rPr>
          <w:rFonts w:ascii="Verdana" w:hAnsi="Verdana" w:cs="Arial"/>
          <w:color w:val="000000"/>
          <w:sz w:val="16"/>
          <w:szCs w:val="16"/>
        </w:rPr>
        <w:t xml:space="preserve"> EXPÓSITO VÉLEZ, Juan Carlos. Op. cit, p. 90.</w:t>
      </w:r>
    </w:p>
    <w:p w14:paraId="596C828F" w14:textId="77777777" w:rsidR="00CA0D1D" w:rsidRPr="00B173E3" w:rsidRDefault="00CA0D1D" w:rsidP="00CA0D1D">
      <w:pPr>
        <w:pStyle w:val="Textonotapie"/>
        <w:ind w:firstLine="708"/>
        <w:jc w:val="both"/>
        <w:rPr>
          <w:rFonts w:ascii="Verdana" w:hAnsi="Verdana"/>
          <w:sz w:val="16"/>
          <w:szCs w:val="16"/>
        </w:rPr>
      </w:pPr>
    </w:p>
  </w:footnote>
  <w:footnote w:id="6">
    <w:p w14:paraId="32D98AA2" w14:textId="77777777" w:rsidR="00CA0D1D" w:rsidRPr="00B173E3" w:rsidRDefault="00CA0D1D" w:rsidP="00CA0D1D">
      <w:pPr>
        <w:pStyle w:val="Textonotapie"/>
        <w:ind w:firstLine="708"/>
        <w:jc w:val="both"/>
        <w:rPr>
          <w:rFonts w:ascii="Verdana" w:hAnsi="Verdana"/>
          <w:sz w:val="16"/>
          <w:szCs w:val="16"/>
        </w:rPr>
      </w:pPr>
      <w:r w:rsidRPr="00B173E3">
        <w:rPr>
          <w:rFonts w:ascii="Verdana" w:hAnsi="Verdana" w:cs="Arial"/>
          <w:color w:val="000000"/>
          <w:sz w:val="16"/>
          <w:szCs w:val="16"/>
          <w:vertAlign w:val="superscript"/>
        </w:rPr>
        <w:footnoteRef/>
      </w:r>
      <w:r w:rsidRPr="00B173E3">
        <w:rPr>
          <w:rFonts w:ascii="Verdana" w:hAnsi="Verdana" w:cs="Arial"/>
          <w:color w:val="000000"/>
          <w:sz w:val="16"/>
          <w:szCs w:val="16"/>
        </w:rPr>
        <w:t xml:space="preserve"> CONSEJO DE ESTADO, Sala de Consulta y Servicio Civil. Concepto de 6 de agosto de 2003. C.P. Augusto Trejos. Rad. No. 1453.</w:t>
      </w:r>
    </w:p>
  </w:footnote>
  <w:footnote w:id="7">
    <w:p w14:paraId="5EA824CB" w14:textId="77777777" w:rsidR="00CA0D1D" w:rsidRPr="00B173E3" w:rsidRDefault="00CA0D1D" w:rsidP="00CA0D1D">
      <w:pPr>
        <w:pStyle w:val="Textonotapie"/>
        <w:ind w:firstLine="709"/>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DÍAZ DIEZ, Cristian. Op. cit.</w:t>
      </w:r>
      <w:r w:rsidRPr="00B173E3">
        <w:rPr>
          <w:rFonts w:ascii="Verdana" w:hAnsi="Verdana"/>
          <w:i/>
          <w:sz w:val="16"/>
          <w:szCs w:val="16"/>
          <w:lang w:val="es-CO"/>
        </w:rPr>
        <w:t xml:space="preserve"> </w:t>
      </w:r>
      <w:r w:rsidRPr="00B173E3">
        <w:rPr>
          <w:rFonts w:ascii="Verdana" w:hAnsi="Verdana"/>
          <w:sz w:val="16"/>
          <w:szCs w:val="16"/>
          <w:lang w:val="es-CO"/>
        </w:rPr>
        <w:t>p. 169</w:t>
      </w:r>
    </w:p>
  </w:footnote>
  <w:footnote w:id="8">
    <w:p w14:paraId="73986592" w14:textId="77777777" w:rsidR="00CA0D1D" w:rsidRPr="00B173E3" w:rsidRDefault="00CA0D1D" w:rsidP="00CA0D1D">
      <w:pPr>
        <w:pStyle w:val="Textonotapie"/>
        <w:ind w:firstLine="709"/>
        <w:jc w:val="both"/>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PALACIO HINCAPIÉ, Juan Ángel. Contratación de las entidades estatales. Medellín: Librería Jurídica Sánchez R. S.A.S., 2020, p. 626-627.</w:t>
      </w:r>
    </w:p>
  </w:footnote>
  <w:footnote w:id="9">
    <w:p w14:paraId="387D8C79" w14:textId="77777777" w:rsidR="00CA0D1D" w:rsidRPr="00B173E3" w:rsidRDefault="00CA0D1D" w:rsidP="00CA0D1D">
      <w:pPr>
        <w:pStyle w:val="Textonotapie"/>
        <w:ind w:firstLine="709"/>
        <w:jc w:val="both"/>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 xml:space="preserve">CONSEJO DE ESTADO. Sección Tercera. Subsección C. Sentencia de 18 de julio de 2012. C.P. Jaime Orlando Santofimio Gamboa. Exp: 22.221. Igualmente, se reitera en: Sección Tercera. Subsección C. Sentencia del 1 de abril de 2016. C.P. Jaime Orlando Santofimio Gamboa. Exp. 50.217. </w:t>
      </w:r>
    </w:p>
  </w:footnote>
  <w:footnote w:id="10">
    <w:p w14:paraId="4382D04E" w14:textId="77777777" w:rsidR="00CA0D1D" w:rsidRPr="00B173E3" w:rsidRDefault="00CA0D1D" w:rsidP="00CA0D1D">
      <w:pPr>
        <w:pStyle w:val="Textonotapie"/>
        <w:ind w:firstLine="709"/>
        <w:jc w:val="both"/>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 xml:space="preserve">Guillermo Ospina Fernández y Eduardo Ospina Acosta expresan sobre los elementos del acto o negocio jurídico lo siguiente: </w:t>
      </w:r>
      <w:r w:rsidRPr="00B173E3">
        <w:rPr>
          <w:rFonts w:ascii="Verdana" w:hAnsi="Verdana"/>
          <w:sz w:val="16"/>
          <w:szCs w:val="16"/>
        </w:rPr>
        <w:t>“</w:t>
      </w:r>
      <w:r w:rsidRPr="00B173E3">
        <w:rPr>
          <w:rFonts w:ascii="Verdana" w:hAnsi="Verdana"/>
          <w:sz w:val="16"/>
          <w:szCs w:val="16"/>
          <w:lang w:val="es-CO"/>
        </w:rPr>
        <w:t>De la definición que hemos formulado del acto jurídico como la manifestación de voluntad directa y reflexivamente encaminada a producir efectos jurídicos y de los anteriores análisis realizados en torno de la noción lógica del acto, resulta que sus elementos esenciales son dos, a saber: a) la manifestación de voluntad de uno o más sujetos de derecho, y b) el objeto jurídico a que dicha manifestación de voluntad se endereza</w:t>
      </w:r>
      <w:r w:rsidRPr="00B173E3">
        <w:rPr>
          <w:rFonts w:ascii="Verdana" w:hAnsi="Verdana"/>
          <w:color w:val="000000"/>
          <w:sz w:val="16"/>
          <w:szCs w:val="16"/>
        </w:rPr>
        <w:t>”</w:t>
      </w:r>
      <w:r w:rsidRPr="00B173E3">
        <w:rPr>
          <w:rFonts w:ascii="Verdana" w:hAnsi="Verdana"/>
          <w:sz w:val="16"/>
          <w:szCs w:val="16"/>
          <w:lang w:val="es-CO"/>
        </w:rPr>
        <w:t>. OSPINA FERNÁNDEZ, Guillermo; OSPINA ACOSTA, Eduardo. Teoría general del contrato y del negocio jurídico. Bogotá: Temis, 2005, p. 28.</w:t>
      </w:r>
    </w:p>
  </w:footnote>
  <w:footnote w:id="11">
    <w:p w14:paraId="0C7E0BB8" w14:textId="77777777" w:rsidR="00CA0D1D" w:rsidRPr="00B173E3" w:rsidRDefault="00CA0D1D" w:rsidP="00CA0D1D">
      <w:pPr>
        <w:pStyle w:val="Textonotapie"/>
        <w:ind w:firstLine="709"/>
        <w:jc w:val="both"/>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 xml:space="preserve">DÍAZ DÍEZ, Cristián Andrés. </w:t>
      </w:r>
      <w:r w:rsidRPr="00B173E3">
        <w:rPr>
          <w:rFonts w:ascii="Verdana" w:hAnsi="Verdana"/>
          <w:i/>
          <w:sz w:val="16"/>
          <w:szCs w:val="16"/>
          <w:lang w:val="es-CO"/>
        </w:rPr>
        <w:t xml:space="preserve">Op cit. </w:t>
      </w:r>
      <w:r w:rsidRPr="00B173E3">
        <w:rPr>
          <w:rFonts w:ascii="Verdana" w:hAnsi="Verdana"/>
          <w:sz w:val="16"/>
          <w:szCs w:val="16"/>
          <w:lang w:val="es-CO"/>
        </w:rPr>
        <w:t xml:space="preserve">p. 182. </w:t>
      </w:r>
    </w:p>
  </w:footnote>
  <w:footnote w:id="12">
    <w:p w14:paraId="5A943AFA" w14:textId="77777777" w:rsidR="00CA0D1D" w:rsidRPr="00B173E3" w:rsidRDefault="00CA0D1D" w:rsidP="00CA0D1D">
      <w:pPr>
        <w:pStyle w:val="Textonotapie"/>
        <w:ind w:firstLine="709"/>
        <w:jc w:val="both"/>
        <w:rPr>
          <w:rFonts w:ascii="Verdana" w:hAnsi="Verdana"/>
          <w:sz w:val="16"/>
          <w:szCs w:val="16"/>
          <w:lang w:val="pt-BR"/>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 xml:space="preserve">CONSEJO DE ESTADO. Sección Tercera. Subsección B. C.P. Sentencia del 27 de marzo de 2014. </w:t>
      </w:r>
      <w:r w:rsidRPr="00B173E3">
        <w:rPr>
          <w:rFonts w:ascii="Verdana" w:hAnsi="Verdana"/>
          <w:sz w:val="16"/>
          <w:szCs w:val="16"/>
          <w:lang w:val="pt-BR"/>
        </w:rPr>
        <w:t>C.P. Danilo Rojas Betancourth. Exp. 20.912.</w:t>
      </w:r>
    </w:p>
  </w:footnote>
  <w:footnote w:id="13">
    <w:p w14:paraId="03A77E50" w14:textId="77777777" w:rsidR="00CA0D1D" w:rsidRPr="00B173E3" w:rsidRDefault="00CA0D1D" w:rsidP="00CA0D1D">
      <w:pPr>
        <w:pStyle w:val="Textonotapie"/>
        <w:ind w:firstLine="708"/>
        <w:jc w:val="both"/>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lang w:val="pt-BR"/>
        </w:rPr>
        <w:t xml:space="preserve"> SANTOFIMIO GAMBOA, Jaime Orlando. </w:t>
      </w:r>
      <w:r w:rsidRPr="00B173E3">
        <w:rPr>
          <w:rFonts w:ascii="Verdana" w:hAnsi="Verdana"/>
          <w:sz w:val="16"/>
          <w:szCs w:val="16"/>
        </w:rPr>
        <w:t>Tratado de derecho administrativo: contratación indebida. Tomo IV. Bogotá: Universidad Externado de Colombia, 2004. pp. 388-389.</w:t>
      </w:r>
    </w:p>
  </w:footnote>
  <w:footnote w:id="14">
    <w:p w14:paraId="4BA56F58" w14:textId="77777777" w:rsidR="00CA0D1D" w:rsidRPr="00B173E3" w:rsidRDefault="00CA0D1D" w:rsidP="00CA0D1D">
      <w:pPr>
        <w:pStyle w:val="Textonotapie"/>
        <w:ind w:firstLine="708"/>
        <w:jc w:val="both"/>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 xml:space="preserve">HERNÁNDEZ SILVA, Aida Patricia. La liquidación del contrato estatal. En: Revista Digital de Derecho Administrativo. Universidad Externado de Colombia, N° 1, 2009. Disponible en línea: </w:t>
      </w:r>
      <w:hyperlink r:id="rId1" w:history="1">
        <w:r w:rsidRPr="00B173E3">
          <w:rPr>
            <w:rStyle w:val="Hipervnculo"/>
            <w:rFonts w:ascii="Verdana" w:hAnsi="Verdana"/>
            <w:sz w:val="16"/>
            <w:szCs w:val="16"/>
            <w:lang w:val="es-CO"/>
          </w:rPr>
          <w:t>http://revistas.uexternado.edu.co/index.php/Deradm/article/view/2597</w:t>
        </w:r>
      </w:hyperlink>
      <w:r w:rsidRPr="00B173E3">
        <w:rPr>
          <w:rFonts w:ascii="Verdana" w:hAnsi="Verdana"/>
          <w:sz w:val="16"/>
          <w:szCs w:val="16"/>
          <w:lang w:val="es-CO"/>
        </w:rPr>
        <w:t xml:space="preserve"> p. 1</w:t>
      </w:r>
    </w:p>
  </w:footnote>
  <w:footnote w:id="15">
    <w:p w14:paraId="24AD6A39" w14:textId="77777777" w:rsidR="00CA0D1D" w:rsidRPr="00B173E3" w:rsidRDefault="00CA0D1D" w:rsidP="00CA0D1D">
      <w:pPr>
        <w:pStyle w:val="Textonotapie"/>
        <w:ind w:firstLine="708"/>
        <w:rPr>
          <w:rFonts w:ascii="Verdana" w:hAnsi="Verdana"/>
          <w:sz w:val="16"/>
          <w:szCs w:val="16"/>
          <w:lang w:val="pt-BR"/>
        </w:rPr>
      </w:pPr>
      <w:r w:rsidRPr="00B173E3">
        <w:rPr>
          <w:rStyle w:val="Refdenotaalpie"/>
          <w:rFonts w:ascii="Verdana" w:hAnsi="Verdana"/>
          <w:sz w:val="16"/>
          <w:szCs w:val="16"/>
        </w:rPr>
        <w:footnoteRef/>
      </w:r>
      <w:r w:rsidRPr="00B173E3">
        <w:rPr>
          <w:rFonts w:ascii="Verdana" w:hAnsi="Verdana"/>
          <w:sz w:val="16"/>
          <w:szCs w:val="16"/>
        </w:rPr>
        <w:t xml:space="preserve"> CONSEJO DE ESTADO. Sala Plena. Sección Tercera. Sentencia de Unificación del 19 de noviembre de 2012. </w:t>
      </w:r>
      <w:r w:rsidRPr="00B173E3">
        <w:rPr>
          <w:rFonts w:ascii="Verdana" w:hAnsi="Verdana"/>
          <w:sz w:val="16"/>
          <w:szCs w:val="16"/>
          <w:lang w:val="pt-BR"/>
        </w:rPr>
        <w:t>C.P. Jaime Orlando Santofimio Gamboa. Exp. 24987.</w:t>
      </w:r>
    </w:p>
  </w:footnote>
  <w:footnote w:id="16">
    <w:p w14:paraId="2BD0CBB9" w14:textId="77777777" w:rsidR="00CA0D1D" w:rsidRPr="00B173E3" w:rsidRDefault="00CA0D1D" w:rsidP="00CA0D1D">
      <w:pPr>
        <w:pStyle w:val="Textonotapie"/>
        <w:ind w:firstLine="708"/>
        <w:jc w:val="both"/>
        <w:rPr>
          <w:rFonts w:ascii="Verdana" w:hAnsi="Verdana"/>
          <w:sz w:val="16"/>
          <w:szCs w:val="16"/>
          <w:lang w:val="es-CO"/>
        </w:rPr>
      </w:pPr>
      <w:r w:rsidRPr="00B173E3">
        <w:rPr>
          <w:rStyle w:val="Refdenotaalpie"/>
          <w:rFonts w:ascii="Verdana" w:hAnsi="Verdana"/>
          <w:sz w:val="16"/>
          <w:szCs w:val="16"/>
        </w:rPr>
        <w:footnoteRef/>
      </w:r>
      <w:r w:rsidRPr="00B173E3">
        <w:rPr>
          <w:rFonts w:ascii="Verdana" w:hAnsi="Verdana"/>
          <w:sz w:val="16"/>
          <w:szCs w:val="16"/>
          <w:lang w:val="pt-BR"/>
        </w:rPr>
        <w:t xml:space="preserve"> PINO RICCI, Jorge. </w:t>
      </w:r>
      <w:r w:rsidRPr="00B173E3">
        <w:rPr>
          <w:rFonts w:ascii="Verdana" w:hAnsi="Verdana"/>
          <w:sz w:val="16"/>
          <w:szCs w:val="16"/>
        </w:rPr>
        <w:t>El régimen jurídico de los contratos estatales. Bogotá: Universidad Externado de Colombia, 2005. pp. 376-377.</w:t>
      </w:r>
    </w:p>
  </w:footnote>
  <w:footnote w:id="17">
    <w:p w14:paraId="042448D5" w14:textId="77777777" w:rsidR="00CA0D1D" w:rsidRPr="00B173E3" w:rsidRDefault="00CA0D1D" w:rsidP="00CA0D1D">
      <w:pPr>
        <w:pStyle w:val="Textonotapie"/>
        <w:ind w:firstLine="708"/>
        <w:jc w:val="both"/>
        <w:rPr>
          <w:rFonts w:ascii="Verdana" w:hAnsi="Verdana"/>
          <w:sz w:val="16"/>
          <w:szCs w:val="16"/>
          <w:lang w:val="pt-BR"/>
        </w:rPr>
      </w:pPr>
      <w:r w:rsidRPr="00B173E3">
        <w:rPr>
          <w:rStyle w:val="Refdenotaalpie"/>
          <w:rFonts w:ascii="Verdana" w:hAnsi="Verdana"/>
          <w:sz w:val="16"/>
          <w:szCs w:val="16"/>
        </w:rPr>
        <w:footnoteRef/>
      </w:r>
      <w:r w:rsidRPr="00B173E3">
        <w:rPr>
          <w:rFonts w:ascii="Verdana" w:hAnsi="Verdana"/>
          <w:sz w:val="16"/>
          <w:szCs w:val="16"/>
        </w:rPr>
        <w:t xml:space="preserve"> </w:t>
      </w:r>
      <w:r w:rsidRPr="00B173E3">
        <w:rPr>
          <w:rFonts w:ascii="Verdana" w:hAnsi="Verdana"/>
          <w:sz w:val="16"/>
          <w:szCs w:val="16"/>
          <w:lang w:val="es-CO"/>
        </w:rPr>
        <w:t xml:space="preserve">CONSEJO DE ESTADO. Sala Plena. Sección Tercera. Sentencia de Unificación del 19 de noviembre de 2012. </w:t>
      </w:r>
      <w:r w:rsidRPr="00B173E3">
        <w:rPr>
          <w:rFonts w:ascii="Verdana" w:hAnsi="Verdana"/>
          <w:sz w:val="16"/>
          <w:szCs w:val="16"/>
          <w:lang w:val="pt-BR"/>
        </w:rPr>
        <w:t>C.P. Jaime Orlando Santofimio Gamboa. Exp. 24987.</w:t>
      </w:r>
    </w:p>
  </w:footnote>
  <w:footnote w:id="18">
    <w:p w14:paraId="7F0AD7EF" w14:textId="77777777" w:rsidR="00CA0D1D" w:rsidRPr="00B173E3" w:rsidRDefault="00CA0D1D" w:rsidP="00CA0D1D">
      <w:pPr>
        <w:pStyle w:val="Textonotapie"/>
        <w:ind w:firstLine="708"/>
        <w:jc w:val="both"/>
        <w:rPr>
          <w:rFonts w:ascii="Verdana" w:hAnsi="Verdana"/>
          <w:sz w:val="16"/>
          <w:szCs w:val="16"/>
          <w:lang w:val="pt-BR"/>
        </w:rPr>
      </w:pPr>
      <w:r w:rsidRPr="00B173E3">
        <w:rPr>
          <w:rStyle w:val="Refdenotaalpie"/>
          <w:rFonts w:ascii="Verdana" w:hAnsi="Verdana"/>
          <w:sz w:val="16"/>
          <w:szCs w:val="16"/>
        </w:rPr>
        <w:footnoteRef/>
      </w:r>
      <w:r w:rsidRPr="00B173E3">
        <w:rPr>
          <w:rFonts w:ascii="Verdana" w:hAnsi="Verdana"/>
          <w:sz w:val="16"/>
          <w:szCs w:val="16"/>
          <w:lang w:val="pt-BR"/>
        </w:rPr>
        <w:t xml:space="preserve"> CONSEJO DE ESTADO. </w:t>
      </w:r>
      <w:r w:rsidRPr="00B173E3">
        <w:rPr>
          <w:rFonts w:ascii="Verdana" w:hAnsi="Verdana"/>
          <w:sz w:val="16"/>
          <w:szCs w:val="16"/>
        </w:rPr>
        <w:t xml:space="preserve">Sala Plena. Sección Tercera. Sentencia de Unificación del 31 de julio de 2025. </w:t>
      </w:r>
      <w:r w:rsidRPr="00B173E3">
        <w:rPr>
          <w:rFonts w:ascii="Verdana" w:hAnsi="Verdana"/>
          <w:sz w:val="16"/>
          <w:szCs w:val="16"/>
          <w:lang w:val="pt-BR"/>
        </w:rPr>
        <w:t xml:space="preserve">C.P. Fernando Alexei Pardo Flórez. Exp. 57464. </w:t>
      </w:r>
    </w:p>
  </w:footnote>
  <w:footnote w:id="19">
    <w:p w14:paraId="5E0AF3BE" w14:textId="77777777" w:rsidR="00CA0D1D" w:rsidRPr="00B173E3" w:rsidRDefault="00CA0D1D" w:rsidP="00CA0D1D">
      <w:pPr>
        <w:pStyle w:val="Textonotapie"/>
        <w:ind w:firstLine="708"/>
        <w:rPr>
          <w:rFonts w:ascii="Verdana" w:hAnsi="Verdana"/>
          <w:sz w:val="16"/>
          <w:szCs w:val="16"/>
          <w:lang w:val="pt-BR"/>
        </w:rPr>
      </w:pPr>
      <w:r w:rsidRPr="00B173E3">
        <w:rPr>
          <w:rStyle w:val="Refdenotaalpie"/>
          <w:rFonts w:ascii="Verdana" w:hAnsi="Verdana"/>
          <w:sz w:val="16"/>
          <w:szCs w:val="16"/>
        </w:rPr>
        <w:footnoteRef/>
      </w:r>
      <w:r w:rsidRPr="00B173E3">
        <w:rPr>
          <w:rFonts w:ascii="Verdana" w:hAnsi="Verdana"/>
          <w:sz w:val="16"/>
          <w:szCs w:val="16"/>
          <w:lang w:val="pt-BR"/>
        </w:rPr>
        <w:t xml:space="preserve"> Ibídem. </w:t>
      </w:r>
    </w:p>
  </w:footnote>
  <w:footnote w:id="20">
    <w:p w14:paraId="6535AD0B" w14:textId="77777777" w:rsidR="00CA0D1D" w:rsidRPr="0002682B" w:rsidRDefault="00CA0D1D" w:rsidP="00CA0D1D">
      <w:pPr>
        <w:pStyle w:val="Textonotapie"/>
        <w:ind w:firstLine="708"/>
        <w:rPr>
          <w:rFonts w:ascii="Verdana" w:hAnsi="Verdana"/>
          <w:sz w:val="16"/>
          <w:szCs w:val="16"/>
          <w:lang w:val="pt-BR"/>
        </w:rPr>
      </w:pPr>
      <w:r w:rsidRPr="00B173E3">
        <w:rPr>
          <w:rStyle w:val="Refdenotaalpie"/>
          <w:rFonts w:ascii="Verdana" w:hAnsi="Verdana"/>
          <w:sz w:val="16"/>
          <w:szCs w:val="16"/>
        </w:rPr>
        <w:footnoteRef/>
      </w:r>
      <w:r w:rsidRPr="00B173E3">
        <w:rPr>
          <w:rFonts w:ascii="Verdana" w:hAnsi="Verdana"/>
          <w:sz w:val="16"/>
          <w:szCs w:val="16"/>
          <w:lang w:val="pt-BR"/>
        </w:rPr>
        <w:t xml:space="preserve"> Ibídem.</w:t>
      </w:r>
      <w:r w:rsidRPr="0002682B">
        <w:rPr>
          <w:rFonts w:ascii="Verdana" w:hAnsi="Verdana"/>
          <w:sz w:val="16"/>
          <w:szCs w:val="16"/>
          <w:lang w:val="pt-BR"/>
        </w:rPr>
        <w:t xml:space="preserve">  </w:t>
      </w:r>
    </w:p>
  </w:footnote>
  <w:footnote w:id="21">
    <w:p w14:paraId="573C63D9" w14:textId="77777777" w:rsidR="00CA0D1D" w:rsidRPr="00B173E3" w:rsidRDefault="00CA0D1D" w:rsidP="00CA0D1D">
      <w:pPr>
        <w:pStyle w:val="Textonotapie"/>
        <w:ind w:firstLine="708"/>
        <w:rPr>
          <w:sz w:val="16"/>
          <w:szCs w:val="16"/>
          <w:lang w:val="pt-BR"/>
        </w:rPr>
      </w:pPr>
      <w:r w:rsidRPr="0074713B">
        <w:rPr>
          <w:rStyle w:val="Refdenotaalpie"/>
          <w:rFonts w:ascii="Verdana" w:hAnsi="Verdana"/>
          <w:sz w:val="16"/>
          <w:szCs w:val="16"/>
        </w:rPr>
        <w:footnoteRef/>
      </w:r>
      <w:r w:rsidRPr="0002682B">
        <w:rPr>
          <w:rFonts w:ascii="Verdana" w:hAnsi="Verdana"/>
          <w:sz w:val="16"/>
          <w:szCs w:val="16"/>
          <w:lang w:val="pt-BR"/>
        </w:rPr>
        <w:t xml:space="preserve"> Ibídem. </w:t>
      </w:r>
    </w:p>
  </w:footnote>
  <w:footnote w:id="22">
    <w:p w14:paraId="42CF6867" w14:textId="77777777" w:rsidR="00CA0D1D" w:rsidRPr="00803210" w:rsidRDefault="00CA0D1D" w:rsidP="00CA0D1D">
      <w:pPr>
        <w:spacing w:after="0" w:line="240" w:lineRule="auto"/>
        <w:ind w:firstLine="708"/>
        <w:contextualSpacing/>
        <w:jc w:val="both"/>
        <w:rPr>
          <w:rFonts w:ascii="Verdana" w:hAnsi="Verdana"/>
          <w:sz w:val="16"/>
          <w:szCs w:val="16"/>
        </w:rPr>
      </w:pPr>
      <w:r w:rsidRPr="00803210">
        <w:rPr>
          <w:rStyle w:val="Refdenotaalpie"/>
          <w:rFonts w:ascii="Verdana" w:hAnsi="Verdana"/>
          <w:sz w:val="16"/>
          <w:szCs w:val="16"/>
        </w:rPr>
        <w:footnoteRef/>
      </w:r>
      <w:r w:rsidRPr="00803210">
        <w:rPr>
          <w:rFonts w:ascii="Verdana" w:hAnsi="Verdana"/>
          <w:sz w:val="16"/>
          <w:szCs w:val="16"/>
        </w:rPr>
        <w:t xml:space="preserve"> CONSEJO DE ESTADO</w:t>
      </w:r>
      <w:r>
        <w:rPr>
          <w:rFonts w:ascii="Verdana" w:hAnsi="Verdana"/>
          <w:sz w:val="16"/>
          <w:szCs w:val="16"/>
        </w:rPr>
        <w:t>.</w:t>
      </w:r>
      <w:r w:rsidRPr="00803210">
        <w:rPr>
          <w:rFonts w:ascii="Verdana" w:hAnsi="Verdana"/>
          <w:sz w:val="16"/>
          <w:szCs w:val="16"/>
        </w:rPr>
        <w:t xml:space="preserve"> Sala de lo Contencioso Administrativo</w:t>
      </w:r>
      <w:r>
        <w:rPr>
          <w:rFonts w:ascii="Verdana" w:hAnsi="Verdana"/>
          <w:sz w:val="16"/>
          <w:szCs w:val="16"/>
        </w:rPr>
        <w:t>.</w:t>
      </w:r>
      <w:r w:rsidRPr="00803210">
        <w:rPr>
          <w:rFonts w:ascii="Verdana" w:hAnsi="Verdana"/>
          <w:sz w:val="16"/>
          <w:szCs w:val="16"/>
        </w:rPr>
        <w:t xml:space="preserve"> Sección Tercera</w:t>
      </w:r>
      <w:r>
        <w:rPr>
          <w:rFonts w:ascii="Verdana" w:hAnsi="Verdana"/>
          <w:sz w:val="16"/>
          <w:szCs w:val="16"/>
        </w:rPr>
        <w:t>.</w:t>
      </w:r>
      <w:r w:rsidRPr="00803210">
        <w:rPr>
          <w:rFonts w:ascii="Verdana" w:hAnsi="Verdana"/>
          <w:sz w:val="16"/>
          <w:szCs w:val="16"/>
        </w:rPr>
        <w:t xml:space="preserve"> Subsección A</w:t>
      </w:r>
      <w:r>
        <w:rPr>
          <w:rFonts w:ascii="Verdana" w:hAnsi="Verdana"/>
          <w:sz w:val="16"/>
          <w:szCs w:val="16"/>
        </w:rPr>
        <w:t>.</w:t>
      </w:r>
      <w:r w:rsidRPr="00803210">
        <w:rPr>
          <w:rFonts w:ascii="Verdana" w:hAnsi="Verdana"/>
          <w:sz w:val="16"/>
          <w:szCs w:val="16"/>
        </w:rPr>
        <w:t xml:space="preserve"> </w:t>
      </w:r>
      <w:r>
        <w:rPr>
          <w:rFonts w:ascii="Verdana" w:hAnsi="Verdana"/>
          <w:sz w:val="16"/>
          <w:szCs w:val="16"/>
        </w:rPr>
        <w:t>C.P.</w:t>
      </w:r>
      <w:r w:rsidRPr="00803210">
        <w:rPr>
          <w:rFonts w:ascii="Verdana" w:hAnsi="Verdana"/>
          <w:sz w:val="16"/>
          <w:szCs w:val="16"/>
        </w:rPr>
        <w:t>: María Adriana Marín</w:t>
      </w:r>
      <w:r>
        <w:rPr>
          <w:rFonts w:ascii="Verdana" w:hAnsi="Verdana"/>
          <w:sz w:val="16"/>
          <w:szCs w:val="16"/>
        </w:rPr>
        <w:t xml:space="preserve">. Sentencia del </w:t>
      </w:r>
      <w:r w:rsidRPr="00803210">
        <w:rPr>
          <w:rFonts w:ascii="Verdana" w:hAnsi="Verdana"/>
          <w:sz w:val="16"/>
          <w:szCs w:val="16"/>
        </w:rPr>
        <w:t>2</w:t>
      </w:r>
      <w:r>
        <w:rPr>
          <w:rFonts w:ascii="Verdana" w:hAnsi="Verdana"/>
          <w:sz w:val="16"/>
          <w:szCs w:val="16"/>
        </w:rPr>
        <w:t>2</w:t>
      </w:r>
      <w:r w:rsidRPr="00803210">
        <w:rPr>
          <w:rFonts w:ascii="Verdana" w:hAnsi="Verdana"/>
          <w:sz w:val="16"/>
          <w:szCs w:val="16"/>
        </w:rPr>
        <w:t xml:space="preserve"> de agosto de 2023</w:t>
      </w:r>
      <w:r>
        <w:rPr>
          <w:rFonts w:ascii="Verdana" w:hAnsi="Verdana"/>
          <w:sz w:val="16"/>
          <w:szCs w:val="16"/>
        </w:rPr>
        <w:t>.</w:t>
      </w:r>
      <w:r w:rsidRPr="00803210">
        <w:rPr>
          <w:rFonts w:ascii="Verdana" w:hAnsi="Verdana"/>
          <w:sz w:val="16"/>
          <w:szCs w:val="16"/>
        </w:rPr>
        <w:t xml:space="preserve"> Radicación número: 85001-23-33-000-2015-00211-01 (58.634)</w:t>
      </w:r>
    </w:p>
    <w:p w14:paraId="29E518D4" w14:textId="77777777" w:rsidR="00CA0D1D" w:rsidRPr="00803210" w:rsidRDefault="00CA0D1D" w:rsidP="00CA0D1D">
      <w:pPr>
        <w:pStyle w:val="Textonotapie"/>
        <w:contextualSpacing/>
        <w:jc w:val="both"/>
        <w:rPr>
          <w:rFonts w:ascii="Verdana" w:hAnsi="Verdana"/>
          <w:sz w:val="16"/>
          <w:szCs w:val="16"/>
          <w:lang w:val="es-CO"/>
        </w:rPr>
      </w:pPr>
    </w:p>
  </w:footnote>
  <w:footnote w:id="23">
    <w:p w14:paraId="54F63596" w14:textId="77777777" w:rsidR="00CA0D1D" w:rsidRPr="00B173E3" w:rsidRDefault="00CA0D1D" w:rsidP="00CA0D1D">
      <w:pPr>
        <w:pStyle w:val="Textonotapie"/>
        <w:ind w:firstLine="709"/>
        <w:rPr>
          <w:sz w:val="16"/>
          <w:szCs w:val="16"/>
          <w:lang w:val="es-CO"/>
        </w:rPr>
      </w:pPr>
      <w:r w:rsidRPr="00B173E3">
        <w:rPr>
          <w:rStyle w:val="Refdenotaalpie"/>
          <w:sz w:val="16"/>
          <w:szCs w:val="16"/>
        </w:rPr>
        <w:footnoteRef/>
      </w:r>
      <w:r w:rsidRPr="00B173E3">
        <w:rPr>
          <w:sz w:val="16"/>
          <w:szCs w:val="16"/>
        </w:rPr>
        <w:t xml:space="preserve"> </w:t>
      </w:r>
      <w:r w:rsidRPr="00846C7E">
        <w:rPr>
          <w:rFonts w:ascii="Verdana" w:hAnsi="Verdana"/>
          <w:sz w:val="16"/>
          <w:szCs w:val="16"/>
        </w:rPr>
        <w:t>Ib</w:t>
      </w:r>
      <w:r>
        <w:rPr>
          <w:rFonts w:ascii="Verdana" w:hAnsi="Verdana"/>
          <w:sz w:val="16"/>
          <w:szCs w:val="16"/>
        </w:rPr>
        <w:t>í</w:t>
      </w:r>
      <w:r w:rsidRPr="00846C7E">
        <w:rPr>
          <w:rFonts w:ascii="Verdana" w:hAnsi="Verdana"/>
          <w:sz w:val="16"/>
          <w:szCs w:val="16"/>
        </w:rPr>
        <w:t>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4713B" w:rsidRDefault="0074713B">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4713B" w:rsidRDefault="0074713B">
    <w:pPr>
      <w:pStyle w:val="Encabezado"/>
    </w:pPr>
  </w:p>
  <w:p w14:paraId="3079FC11" w14:textId="77777777" w:rsidR="0074713B" w:rsidRDefault="0074713B" w:rsidP="004A305D">
    <w:pPr>
      <w:spacing w:after="0"/>
      <w:rPr>
        <w:rFonts w:ascii="Verdana" w:hAnsi="Verdana"/>
        <w:b/>
        <w:bCs/>
      </w:rPr>
    </w:pPr>
  </w:p>
  <w:p w14:paraId="5E18350A" w14:textId="705F7B76" w:rsidR="0074713B" w:rsidRPr="004A305D" w:rsidRDefault="0074713B" w:rsidP="00B01B1A">
    <w:pPr>
      <w:spacing w:after="0" w:line="120" w:lineRule="auto"/>
      <w:rPr>
        <w:rFonts w:ascii="Century Gothic" w:eastAsia="Geo" w:hAnsi="Century Gothic" w:cs="Geo"/>
        <w:sz w:val="16"/>
        <w:szCs w:val="16"/>
        <w:lang w:eastAsia="es-CO"/>
      </w:rPr>
    </w:pPr>
  </w:p>
  <w:p w14:paraId="1FD1C243" w14:textId="6D74A3CF" w:rsidR="0074713B" w:rsidRDefault="0074713B"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C106FD55"/>
    <w:multiLevelType w:val="hybridMultilevel"/>
    <w:tmpl w:val="8994AB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B70DFB"/>
    <w:multiLevelType w:val="hybridMultilevel"/>
    <w:tmpl w:val="0EAD77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0B64EC"/>
    <w:multiLevelType w:val="hybridMultilevel"/>
    <w:tmpl w:val="DC66CC38"/>
    <w:lvl w:ilvl="0" w:tplc="63D44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F169A3"/>
    <w:multiLevelType w:val="hybridMultilevel"/>
    <w:tmpl w:val="410486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70783B2"/>
    <w:multiLevelType w:val="hybridMultilevel"/>
    <w:tmpl w:val="949ED6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7" w15:restartNumberingAfterBreak="0">
    <w:nsid w:val="59642751"/>
    <w:multiLevelType w:val="multilevel"/>
    <w:tmpl w:val="2C1221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AB17DA7"/>
    <w:multiLevelType w:val="hybridMultilevel"/>
    <w:tmpl w:val="920C6EDC"/>
    <w:lvl w:ilvl="0" w:tplc="A6C42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F5829CA"/>
    <w:multiLevelType w:val="hybridMultilevel"/>
    <w:tmpl w:val="1EA9E0D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203441748">
    <w:abstractNumId w:val="16"/>
  </w:num>
  <w:num w:numId="2" w16cid:durableId="569849614">
    <w:abstractNumId w:val="5"/>
  </w:num>
  <w:num w:numId="3" w16cid:durableId="1084303225">
    <w:abstractNumId w:val="14"/>
  </w:num>
  <w:num w:numId="4" w16cid:durableId="20803195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06199088">
    <w:abstractNumId w:val="5"/>
  </w:num>
  <w:num w:numId="6" w16cid:durableId="183598415">
    <w:abstractNumId w:val="34"/>
  </w:num>
  <w:num w:numId="7" w16cid:durableId="2062944020">
    <w:abstractNumId w:val="15"/>
  </w:num>
  <w:num w:numId="8" w16cid:durableId="2045784977">
    <w:abstractNumId w:val="33"/>
  </w:num>
  <w:num w:numId="9" w16cid:durableId="2038852489">
    <w:abstractNumId w:val="17"/>
  </w:num>
  <w:num w:numId="10" w16cid:durableId="2132436724">
    <w:abstractNumId w:val="32"/>
  </w:num>
  <w:num w:numId="11" w16cid:durableId="327753679">
    <w:abstractNumId w:val="18"/>
  </w:num>
  <w:num w:numId="12" w16cid:durableId="1021590669">
    <w:abstractNumId w:val="3"/>
  </w:num>
  <w:num w:numId="13" w16cid:durableId="656030834">
    <w:abstractNumId w:val="10"/>
  </w:num>
  <w:num w:numId="14" w16cid:durableId="1702241436">
    <w:abstractNumId w:val="35"/>
  </w:num>
  <w:num w:numId="15" w16cid:durableId="1087193093">
    <w:abstractNumId w:val="31"/>
  </w:num>
  <w:num w:numId="16" w16cid:durableId="1532495603">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1213909">
    <w:abstractNumId w:val="6"/>
  </w:num>
  <w:num w:numId="18" w16cid:durableId="2024162900">
    <w:abstractNumId w:val="29"/>
  </w:num>
  <w:num w:numId="19" w16cid:durableId="1583835906">
    <w:abstractNumId w:val="13"/>
  </w:num>
  <w:num w:numId="20" w16cid:durableId="606620246">
    <w:abstractNumId w:val="19"/>
  </w:num>
  <w:num w:numId="21" w16cid:durableId="1372536628">
    <w:abstractNumId w:val="37"/>
  </w:num>
  <w:num w:numId="22" w16cid:durableId="512300971">
    <w:abstractNumId w:val="23"/>
  </w:num>
  <w:num w:numId="23" w16cid:durableId="1241137490">
    <w:abstractNumId w:val="9"/>
  </w:num>
  <w:num w:numId="24" w16cid:durableId="1354916284">
    <w:abstractNumId w:val="20"/>
  </w:num>
  <w:num w:numId="25" w16cid:durableId="880435199">
    <w:abstractNumId w:val="4"/>
  </w:num>
  <w:num w:numId="26" w16cid:durableId="822697953">
    <w:abstractNumId w:val="7"/>
  </w:num>
  <w:num w:numId="27" w16cid:durableId="117992784">
    <w:abstractNumId w:val="25"/>
  </w:num>
  <w:num w:numId="28" w16cid:durableId="2123643457">
    <w:abstractNumId w:val="8"/>
  </w:num>
  <w:num w:numId="29" w16cid:durableId="1300650205">
    <w:abstractNumId w:val="12"/>
  </w:num>
  <w:num w:numId="30" w16cid:durableId="1996445372">
    <w:abstractNumId w:val="2"/>
  </w:num>
  <w:num w:numId="31" w16cid:durableId="1559248754">
    <w:abstractNumId w:val="21"/>
  </w:num>
  <w:num w:numId="32" w16cid:durableId="1228878195">
    <w:abstractNumId w:val="26"/>
  </w:num>
  <w:num w:numId="33" w16cid:durableId="984162300">
    <w:abstractNumId w:val="28"/>
  </w:num>
  <w:num w:numId="34" w16cid:durableId="681318087">
    <w:abstractNumId w:val="11"/>
  </w:num>
  <w:num w:numId="35" w16cid:durableId="1109853728">
    <w:abstractNumId w:val="27"/>
  </w:num>
  <w:num w:numId="36" w16cid:durableId="1904873723">
    <w:abstractNumId w:val="0"/>
  </w:num>
  <w:num w:numId="37" w16cid:durableId="1724910986">
    <w:abstractNumId w:val="24"/>
  </w:num>
  <w:num w:numId="38" w16cid:durableId="1610897217">
    <w:abstractNumId w:val="1"/>
  </w:num>
  <w:num w:numId="39" w16cid:durableId="2117407853">
    <w:abstractNumId w:val="30"/>
  </w:num>
  <w:num w:numId="40" w16cid:durableId="1190264939">
    <w:abstractNumId w:val="36"/>
  </w:num>
  <w:num w:numId="41" w16cid:durableId="92753729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07D41"/>
    <w:rsid w:val="00011D04"/>
    <w:rsid w:val="0001328B"/>
    <w:rsid w:val="000224F2"/>
    <w:rsid w:val="00022DF5"/>
    <w:rsid w:val="00023C3E"/>
    <w:rsid w:val="000251C1"/>
    <w:rsid w:val="0002653B"/>
    <w:rsid w:val="00034682"/>
    <w:rsid w:val="00035E21"/>
    <w:rsid w:val="00042856"/>
    <w:rsid w:val="0004434A"/>
    <w:rsid w:val="00045117"/>
    <w:rsid w:val="0005281E"/>
    <w:rsid w:val="00055421"/>
    <w:rsid w:val="000560C1"/>
    <w:rsid w:val="0005617B"/>
    <w:rsid w:val="0005682C"/>
    <w:rsid w:val="00056D71"/>
    <w:rsid w:val="00061B2A"/>
    <w:rsid w:val="00062BAF"/>
    <w:rsid w:val="000630B9"/>
    <w:rsid w:val="000643B2"/>
    <w:rsid w:val="00065E80"/>
    <w:rsid w:val="00066BB4"/>
    <w:rsid w:val="0007022C"/>
    <w:rsid w:val="0007135C"/>
    <w:rsid w:val="00071437"/>
    <w:rsid w:val="00071DE6"/>
    <w:rsid w:val="000722B0"/>
    <w:rsid w:val="000754B0"/>
    <w:rsid w:val="00077439"/>
    <w:rsid w:val="000774B8"/>
    <w:rsid w:val="00082362"/>
    <w:rsid w:val="0008328D"/>
    <w:rsid w:val="00084D78"/>
    <w:rsid w:val="0009387A"/>
    <w:rsid w:val="0009387B"/>
    <w:rsid w:val="000963C6"/>
    <w:rsid w:val="000974AC"/>
    <w:rsid w:val="0009762F"/>
    <w:rsid w:val="000A2840"/>
    <w:rsid w:val="000A31B9"/>
    <w:rsid w:val="000A3330"/>
    <w:rsid w:val="000A36D8"/>
    <w:rsid w:val="000A3D63"/>
    <w:rsid w:val="000A4FF3"/>
    <w:rsid w:val="000A683A"/>
    <w:rsid w:val="000A683E"/>
    <w:rsid w:val="000B19B9"/>
    <w:rsid w:val="000B2908"/>
    <w:rsid w:val="000B3001"/>
    <w:rsid w:val="000B6F36"/>
    <w:rsid w:val="000B7176"/>
    <w:rsid w:val="000C09A7"/>
    <w:rsid w:val="000C2889"/>
    <w:rsid w:val="000C3673"/>
    <w:rsid w:val="000C538B"/>
    <w:rsid w:val="000D0152"/>
    <w:rsid w:val="000D0334"/>
    <w:rsid w:val="000D0B4D"/>
    <w:rsid w:val="000D10DC"/>
    <w:rsid w:val="000D3477"/>
    <w:rsid w:val="000D3B29"/>
    <w:rsid w:val="000D4347"/>
    <w:rsid w:val="000D5184"/>
    <w:rsid w:val="000D7956"/>
    <w:rsid w:val="000E06F4"/>
    <w:rsid w:val="000E1AC7"/>
    <w:rsid w:val="000E471A"/>
    <w:rsid w:val="000E4CE4"/>
    <w:rsid w:val="000E7B67"/>
    <w:rsid w:val="000F0C44"/>
    <w:rsid w:val="000F6486"/>
    <w:rsid w:val="000F669F"/>
    <w:rsid w:val="00101CEE"/>
    <w:rsid w:val="0010348F"/>
    <w:rsid w:val="001063B3"/>
    <w:rsid w:val="00107ACA"/>
    <w:rsid w:val="001114A9"/>
    <w:rsid w:val="00111979"/>
    <w:rsid w:val="00116537"/>
    <w:rsid w:val="00120766"/>
    <w:rsid w:val="00121359"/>
    <w:rsid w:val="001223CF"/>
    <w:rsid w:val="00122FA6"/>
    <w:rsid w:val="001240BD"/>
    <w:rsid w:val="00125105"/>
    <w:rsid w:val="001252F4"/>
    <w:rsid w:val="001268F7"/>
    <w:rsid w:val="00126B2B"/>
    <w:rsid w:val="00127233"/>
    <w:rsid w:val="00135B85"/>
    <w:rsid w:val="001372FC"/>
    <w:rsid w:val="00142F84"/>
    <w:rsid w:val="00143E81"/>
    <w:rsid w:val="00143FD9"/>
    <w:rsid w:val="00145047"/>
    <w:rsid w:val="00145C02"/>
    <w:rsid w:val="00146C57"/>
    <w:rsid w:val="00150ADA"/>
    <w:rsid w:val="00154512"/>
    <w:rsid w:val="001569A8"/>
    <w:rsid w:val="0016332F"/>
    <w:rsid w:val="0016642E"/>
    <w:rsid w:val="001717E9"/>
    <w:rsid w:val="0017238A"/>
    <w:rsid w:val="001800BA"/>
    <w:rsid w:val="00180A30"/>
    <w:rsid w:val="00183E85"/>
    <w:rsid w:val="00185772"/>
    <w:rsid w:val="00185EE9"/>
    <w:rsid w:val="00187F79"/>
    <w:rsid w:val="0019204C"/>
    <w:rsid w:val="00196F32"/>
    <w:rsid w:val="00197274"/>
    <w:rsid w:val="001A0B04"/>
    <w:rsid w:val="001A237A"/>
    <w:rsid w:val="001A26CF"/>
    <w:rsid w:val="001A2919"/>
    <w:rsid w:val="001A597F"/>
    <w:rsid w:val="001B04F1"/>
    <w:rsid w:val="001B22E2"/>
    <w:rsid w:val="001B2CFE"/>
    <w:rsid w:val="001B46D3"/>
    <w:rsid w:val="001B4F98"/>
    <w:rsid w:val="001C13BD"/>
    <w:rsid w:val="001C1C74"/>
    <w:rsid w:val="001C222E"/>
    <w:rsid w:val="001C22F9"/>
    <w:rsid w:val="001C4F29"/>
    <w:rsid w:val="001D1980"/>
    <w:rsid w:val="001D1C29"/>
    <w:rsid w:val="001D2CCC"/>
    <w:rsid w:val="001D4BEF"/>
    <w:rsid w:val="001E3C06"/>
    <w:rsid w:val="001E4177"/>
    <w:rsid w:val="001F0A0F"/>
    <w:rsid w:val="001F114C"/>
    <w:rsid w:val="001F218E"/>
    <w:rsid w:val="001F4EFD"/>
    <w:rsid w:val="001F5606"/>
    <w:rsid w:val="001F5E13"/>
    <w:rsid w:val="001F684E"/>
    <w:rsid w:val="001F6D11"/>
    <w:rsid w:val="001F7DC6"/>
    <w:rsid w:val="00202886"/>
    <w:rsid w:val="00205784"/>
    <w:rsid w:val="00206823"/>
    <w:rsid w:val="00210946"/>
    <w:rsid w:val="00213510"/>
    <w:rsid w:val="0021372A"/>
    <w:rsid w:val="00215CEF"/>
    <w:rsid w:val="00217A08"/>
    <w:rsid w:val="00220B77"/>
    <w:rsid w:val="00221237"/>
    <w:rsid w:val="00221D27"/>
    <w:rsid w:val="002222D8"/>
    <w:rsid w:val="00222906"/>
    <w:rsid w:val="002249C4"/>
    <w:rsid w:val="00226742"/>
    <w:rsid w:val="0023527C"/>
    <w:rsid w:val="002352F2"/>
    <w:rsid w:val="00237233"/>
    <w:rsid w:val="002421BB"/>
    <w:rsid w:val="0024516C"/>
    <w:rsid w:val="00245707"/>
    <w:rsid w:val="00246A81"/>
    <w:rsid w:val="00251A5F"/>
    <w:rsid w:val="00252B30"/>
    <w:rsid w:val="002571BD"/>
    <w:rsid w:val="0025796E"/>
    <w:rsid w:val="002603E5"/>
    <w:rsid w:val="002638B2"/>
    <w:rsid w:val="00263A1D"/>
    <w:rsid w:val="002660F2"/>
    <w:rsid w:val="0026644D"/>
    <w:rsid w:val="002664BB"/>
    <w:rsid w:val="002707A2"/>
    <w:rsid w:val="00277150"/>
    <w:rsid w:val="00277DDD"/>
    <w:rsid w:val="00281DD5"/>
    <w:rsid w:val="002826F0"/>
    <w:rsid w:val="002835A6"/>
    <w:rsid w:val="002844ED"/>
    <w:rsid w:val="00286FAD"/>
    <w:rsid w:val="00291E5A"/>
    <w:rsid w:val="002923AA"/>
    <w:rsid w:val="002951A0"/>
    <w:rsid w:val="002962BC"/>
    <w:rsid w:val="002A093D"/>
    <w:rsid w:val="002A0DD0"/>
    <w:rsid w:val="002A1D2F"/>
    <w:rsid w:val="002A1D6D"/>
    <w:rsid w:val="002A49AC"/>
    <w:rsid w:val="002A64FD"/>
    <w:rsid w:val="002A6BBF"/>
    <w:rsid w:val="002A6CF0"/>
    <w:rsid w:val="002B1E57"/>
    <w:rsid w:val="002B1F7F"/>
    <w:rsid w:val="002B290B"/>
    <w:rsid w:val="002B33B8"/>
    <w:rsid w:val="002B61F2"/>
    <w:rsid w:val="002B7AD9"/>
    <w:rsid w:val="002C110E"/>
    <w:rsid w:val="002C379A"/>
    <w:rsid w:val="002C765E"/>
    <w:rsid w:val="002C7A84"/>
    <w:rsid w:val="002D13A1"/>
    <w:rsid w:val="002D3F0D"/>
    <w:rsid w:val="002E1D98"/>
    <w:rsid w:val="002E2C3F"/>
    <w:rsid w:val="002E4FD9"/>
    <w:rsid w:val="002E6F15"/>
    <w:rsid w:val="002F0E13"/>
    <w:rsid w:val="002F13FD"/>
    <w:rsid w:val="002F53FB"/>
    <w:rsid w:val="00303544"/>
    <w:rsid w:val="00303985"/>
    <w:rsid w:val="003039C1"/>
    <w:rsid w:val="00304F1D"/>
    <w:rsid w:val="00310DBE"/>
    <w:rsid w:val="00310E5C"/>
    <w:rsid w:val="003119D8"/>
    <w:rsid w:val="00313372"/>
    <w:rsid w:val="0031430F"/>
    <w:rsid w:val="00320BBD"/>
    <w:rsid w:val="00320CD7"/>
    <w:rsid w:val="003226F7"/>
    <w:rsid w:val="00322A85"/>
    <w:rsid w:val="00324168"/>
    <w:rsid w:val="00325487"/>
    <w:rsid w:val="00325755"/>
    <w:rsid w:val="0033032A"/>
    <w:rsid w:val="00330C97"/>
    <w:rsid w:val="00334C6A"/>
    <w:rsid w:val="00336C05"/>
    <w:rsid w:val="003409C8"/>
    <w:rsid w:val="00342675"/>
    <w:rsid w:val="00343512"/>
    <w:rsid w:val="003448F4"/>
    <w:rsid w:val="00344FAA"/>
    <w:rsid w:val="00345330"/>
    <w:rsid w:val="00347E58"/>
    <w:rsid w:val="00350480"/>
    <w:rsid w:val="003522B9"/>
    <w:rsid w:val="003528DF"/>
    <w:rsid w:val="00352C12"/>
    <w:rsid w:val="00354BCA"/>
    <w:rsid w:val="00354FEA"/>
    <w:rsid w:val="0035537E"/>
    <w:rsid w:val="00361BA8"/>
    <w:rsid w:val="00362DEE"/>
    <w:rsid w:val="0036594E"/>
    <w:rsid w:val="003665EE"/>
    <w:rsid w:val="0037010E"/>
    <w:rsid w:val="00370E1E"/>
    <w:rsid w:val="003734F4"/>
    <w:rsid w:val="00374F5E"/>
    <w:rsid w:val="0037527B"/>
    <w:rsid w:val="00377E3E"/>
    <w:rsid w:val="003815B3"/>
    <w:rsid w:val="003815E8"/>
    <w:rsid w:val="00382181"/>
    <w:rsid w:val="00382F2F"/>
    <w:rsid w:val="00386CD9"/>
    <w:rsid w:val="00386D13"/>
    <w:rsid w:val="00391392"/>
    <w:rsid w:val="00392A49"/>
    <w:rsid w:val="00393812"/>
    <w:rsid w:val="0039606A"/>
    <w:rsid w:val="003A26D1"/>
    <w:rsid w:val="003A3B30"/>
    <w:rsid w:val="003A40E2"/>
    <w:rsid w:val="003A477B"/>
    <w:rsid w:val="003A779E"/>
    <w:rsid w:val="003B005A"/>
    <w:rsid w:val="003B0636"/>
    <w:rsid w:val="003B6385"/>
    <w:rsid w:val="003B78C4"/>
    <w:rsid w:val="003B7D19"/>
    <w:rsid w:val="003C0B9B"/>
    <w:rsid w:val="003C0EC6"/>
    <w:rsid w:val="003C3FA5"/>
    <w:rsid w:val="003D0F4D"/>
    <w:rsid w:val="003D1B5E"/>
    <w:rsid w:val="003D5B0D"/>
    <w:rsid w:val="003E0499"/>
    <w:rsid w:val="003E40F2"/>
    <w:rsid w:val="003E7EAA"/>
    <w:rsid w:val="003F00C9"/>
    <w:rsid w:val="003F08A7"/>
    <w:rsid w:val="003F1B32"/>
    <w:rsid w:val="003F3941"/>
    <w:rsid w:val="00400676"/>
    <w:rsid w:val="004008A9"/>
    <w:rsid w:val="0040480E"/>
    <w:rsid w:val="00406575"/>
    <w:rsid w:val="004069AB"/>
    <w:rsid w:val="00410906"/>
    <w:rsid w:val="0041655A"/>
    <w:rsid w:val="00426BE3"/>
    <w:rsid w:val="00426FD7"/>
    <w:rsid w:val="0042715D"/>
    <w:rsid w:val="0042722E"/>
    <w:rsid w:val="00427DA0"/>
    <w:rsid w:val="00433501"/>
    <w:rsid w:val="00433729"/>
    <w:rsid w:val="00436F71"/>
    <w:rsid w:val="00440391"/>
    <w:rsid w:val="004405A4"/>
    <w:rsid w:val="004426AD"/>
    <w:rsid w:val="00442C7F"/>
    <w:rsid w:val="0044528D"/>
    <w:rsid w:val="0044798F"/>
    <w:rsid w:val="00450920"/>
    <w:rsid w:val="00452FCB"/>
    <w:rsid w:val="004530EA"/>
    <w:rsid w:val="00454D48"/>
    <w:rsid w:val="004550FC"/>
    <w:rsid w:val="004554F9"/>
    <w:rsid w:val="0046004D"/>
    <w:rsid w:val="00461A6A"/>
    <w:rsid w:val="004633DE"/>
    <w:rsid w:val="00465E71"/>
    <w:rsid w:val="00466040"/>
    <w:rsid w:val="004713E3"/>
    <w:rsid w:val="00471654"/>
    <w:rsid w:val="004734BD"/>
    <w:rsid w:val="00475854"/>
    <w:rsid w:val="00480BAF"/>
    <w:rsid w:val="00482608"/>
    <w:rsid w:val="00483749"/>
    <w:rsid w:val="00484809"/>
    <w:rsid w:val="00484BB1"/>
    <w:rsid w:val="00493F3C"/>
    <w:rsid w:val="0049401B"/>
    <w:rsid w:val="0049492C"/>
    <w:rsid w:val="00496543"/>
    <w:rsid w:val="004A0980"/>
    <w:rsid w:val="004A0B8B"/>
    <w:rsid w:val="004A1847"/>
    <w:rsid w:val="004A305D"/>
    <w:rsid w:val="004A3312"/>
    <w:rsid w:val="004A66E3"/>
    <w:rsid w:val="004B01B2"/>
    <w:rsid w:val="004B5C11"/>
    <w:rsid w:val="004B740F"/>
    <w:rsid w:val="004B7AC6"/>
    <w:rsid w:val="004C28C6"/>
    <w:rsid w:val="004C4B37"/>
    <w:rsid w:val="004D026D"/>
    <w:rsid w:val="004D0BED"/>
    <w:rsid w:val="004D23A7"/>
    <w:rsid w:val="004D7775"/>
    <w:rsid w:val="004E221E"/>
    <w:rsid w:val="004E2892"/>
    <w:rsid w:val="004E343A"/>
    <w:rsid w:val="004E4C0B"/>
    <w:rsid w:val="004E505B"/>
    <w:rsid w:val="004E7A9A"/>
    <w:rsid w:val="004E7CE7"/>
    <w:rsid w:val="004F21C4"/>
    <w:rsid w:val="004F3012"/>
    <w:rsid w:val="004F3B9E"/>
    <w:rsid w:val="004F5559"/>
    <w:rsid w:val="004F685F"/>
    <w:rsid w:val="004F7EC9"/>
    <w:rsid w:val="00503719"/>
    <w:rsid w:val="00504CBE"/>
    <w:rsid w:val="005053D6"/>
    <w:rsid w:val="00505795"/>
    <w:rsid w:val="00514598"/>
    <w:rsid w:val="005163B5"/>
    <w:rsid w:val="0052543A"/>
    <w:rsid w:val="00525FDB"/>
    <w:rsid w:val="0052785C"/>
    <w:rsid w:val="00533E1B"/>
    <w:rsid w:val="005352F6"/>
    <w:rsid w:val="00536E6B"/>
    <w:rsid w:val="00540C2D"/>
    <w:rsid w:val="0054111E"/>
    <w:rsid w:val="0054335F"/>
    <w:rsid w:val="00552502"/>
    <w:rsid w:val="00554BD4"/>
    <w:rsid w:val="005556B3"/>
    <w:rsid w:val="005566E8"/>
    <w:rsid w:val="005607FA"/>
    <w:rsid w:val="00560CB5"/>
    <w:rsid w:val="00564F8B"/>
    <w:rsid w:val="00570339"/>
    <w:rsid w:val="0057200E"/>
    <w:rsid w:val="00574122"/>
    <w:rsid w:val="00574867"/>
    <w:rsid w:val="00577D09"/>
    <w:rsid w:val="0058087F"/>
    <w:rsid w:val="00582F8D"/>
    <w:rsid w:val="0058337B"/>
    <w:rsid w:val="00591460"/>
    <w:rsid w:val="00592628"/>
    <w:rsid w:val="00597C75"/>
    <w:rsid w:val="005A0868"/>
    <w:rsid w:val="005A0CFB"/>
    <w:rsid w:val="005A282F"/>
    <w:rsid w:val="005A2AC9"/>
    <w:rsid w:val="005A6C21"/>
    <w:rsid w:val="005B2CCE"/>
    <w:rsid w:val="005B4055"/>
    <w:rsid w:val="005B58C1"/>
    <w:rsid w:val="005B6033"/>
    <w:rsid w:val="005C3777"/>
    <w:rsid w:val="005C5CDC"/>
    <w:rsid w:val="005D17C8"/>
    <w:rsid w:val="005D2B2B"/>
    <w:rsid w:val="005D476C"/>
    <w:rsid w:val="005D51C3"/>
    <w:rsid w:val="005D5F91"/>
    <w:rsid w:val="005D7B25"/>
    <w:rsid w:val="005E365A"/>
    <w:rsid w:val="005E4601"/>
    <w:rsid w:val="005E6B74"/>
    <w:rsid w:val="005F2A85"/>
    <w:rsid w:val="005F3CE0"/>
    <w:rsid w:val="005F7C43"/>
    <w:rsid w:val="00601DFC"/>
    <w:rsid w:val="00604924"/>
    <w:rsid w:val="00605A00"/>
    <w:rsid w:val="00610812"/>
    <w:rsid w:val="00612CE7"/>
    <w:rsid w:val="00615F46"/>
    <w:rsid w:val="0062005D"/>
    <w:rsid w:val="006219F8"/>
    <w:rsid w:val="0063165E"/>
    <w:rsid w:val="00632C08"/>
    <w:rsid w:val="00642F97"/>
    <w:rsid w:val="00643912"/>
    <w:rsid w:val="00644F63"/>
    <w:rsid w:val="00650FF7"/>
    <w:rsid w:val="0065559C"/>
    <w:rsid w:val="00656421"/>
    <w:rsid w:val="00660F6A"/>
    <w:rsid w:val="00663B19"/>
    <w:rsid w:val="00665032"/>
    <w:rsid w:val="00665D70"/>
    <w:rsid w:val="00671DAC"/>
    <w:rsid w:val="006747C7"/>
    <w:rsid w:val="006827AC"/>
    <w:rsid w:val="00684773"/>
    <w:rsid w:val="006859A3"/>
    <w:rsid w:val="006900D9"/>
    <w:rsid w:val="00691371"/>
    <w:rsid w:val="006920AE"/>
    <w:rsid w:val="00697B17"/>
    <w:rsid w:val="006A0008"/>
    <w:rsid w:val="006A10DF"/>
    <w:rsid w:val="006A2BDE"/>
    <w:rsid w:val="006A3147"/>
    <w:rsid w:val="006A3ACF"/>
    <w:rsid w:val="006B14B5"/>
    <w:rsid w:val="006B25DE"/>
    <w:rsid w:val="006B442B"/>
    <w:rsid w:val="006B4CA3"/>
    <w:rsid w:val="006B5498"/>
    <w:rsid w:val="006C0240"/>
    <w:rsid w:val="006C238E"/>
    <w:rsid w:val="006C36FD"/>
    <w:rsid w:val="006C5595"/>
    <w:rsid w:val="006D12F8"/>
    <w:rsid w:val="006D2F4E"/>
    <w:rsid w:val="006D4E33"/>
    <w:rsid w:val="006E1658"/>
    <w:rsid w:val="006E41C6"/>
    <w:rsid w:val="006E4944"/>
    <w:rsid w:val="006F0D40"/>
    <w:rsid w:val="006F13EA"/>
    <w:rsid w:val="006F2501"/>
    <w:rsid w:val="006F49C9"/>
    <w:rsid w:val="00700975"/>
    <w:rsid w:val="00704D9B"/>
    <w:rsid w:val="00705E5F"/>
    <w:rsid w:val="00706C16"/>
    <w:rsid w:val="00711C85"/>
    <w:rsid w:val="0071458F"/>
    <w:rsid w:val="00714A71"/>
    <w:rsid w:val="00714E07"/>
    <w:rsid w:val="0071627C"/>
    <w:rsid w:val="00722457"/>
    <w:rsid w:val="00723937"/>
    <w:rsid w:val="00723A7F"/>
    <w:rsid w:val="00723F2B"/>
    <w:rsid w:val="007312C3"/>
    <w:rsid w:val="007333BF"/>
    <w:rsid w:val="00733B12"/>
    <w:rsid w:val="007374E9"/>
    <w:rsid w:val="00737C53"/>
    <w:rsid w:val="00737DFA"/>
    <w:rsid w:val="0074713B"/>
    <w:rsid w:val="00752EF7"/>
    <w:rsid w:val="007534CA"/>
    <w:rsid w:val="00756841"/>
    <w:rsid w:val="00757EE9"/>
    <w:rsid w:val="0076066F"/>
    <w:rsid w:val="00762AA9"/>
    <w:rsid w:val="007649AB"/>
    <w:rsid w:val="007670E3"/>
    <w:rsid w:val="00770F84"/>
    <w:rsid w:val="00771D0C"/>
    <w:rsid w:val="00771FD2"/>
    <w:rsid w:val="0078274D"/>
    <w:rsid w:val="007833AC"/>
    <w:rsid w:val="00784D58"/>
    <w:rsid w:val="00786FBF"/>
    <w:rsid w:val="00790AB7"/>
    <w:rsid w:val="007913EA"/>
    <w:rsid w:val="00791769"/>
    <w:rsid w:val="0079234D"/>
    <w:rsid w:val="00796340"/>
    <w:rsid w:val="007A23EA"/>
    <w:rsid w:val="007A5189"/>
    <w:rsid w:val="007A7C52"/>
    <w:rsid w:val="007B0D88"/>
    <w:rsid w:val="007B268C"/>
    <w:rsid w:val="007B7171"/>
    <w:rsid w:val="007B7D02"/>
    <w:rsid w:val="007C0C0F"/>
    <w:rsid w:val="007C2E67"/>
    <w:rsid w:val="007C3DC2"/>
    <w:rsid w:val="007C4E2B"/>
    <w:rsid w:val="007C6F85"/>
    <w:rsid w:val="007D0457"/>
    <w:rsid w:val="007D124A"/>
    <w:rsid w:val="007D43C9"/>
    <w:rsid w:val="007E1247"/>
    <w:rsid w:val="007E5497"/>
    <w:rsid w:val="007F28CA"/>
    <w:rsid w:val="007F52A4"/>
    <w:rsid w:val="007F60FB"/>
    <w:rsid w:val="007F7B94"/>
    <w:rsid w:val="00800789"/>
    <w:rsid w:val="00804981"/>
    <w:rsid w:val="00806CD3"/>
    <w:rsid w:val="00806F5F"/>
    <w:rsid w:val="00811270"/>
    <w:rsid w:val="00811D7F"/>
    <w:rsid w:val="00811E4F"/>
    <w:rsid w:val="008163D7"/>
    <w:rsid w:val="00820278"/>
    <w:rsid w:val="00826415"/>
    <w:rsid w:val="008322FC"/>
    <w:rsid w:val="00834554"/>
    <w:rsid w:val="00834B31"/>
    <w:rsid w:val="00840ADC"/>
    <w:rsid w:val="00841A23"/>
    <w:rsid w:val="00843902"/>
    <w:rsid w:val="00843928"/>
    <w:rsid w:val="00843BF7"/>
    <w:rsid w:val="008449B3"/>
    <w:rsid w:val="0084615E"/>
    <w:rsid w:val="00846276"/>
    <w:rsid w:val="00850E23"/>
    <w:rsid w:val="00851137"/>
    <w:rsid w:val="00853978"/>
    <w:rsid w:val="0085432F"/>
    <w:rsid w:val="00856C43"/>
    <w:rsid w:val="00864209"/>
    <w:rsid w:val="00865414"/>
    <w:rsid w:val="00873217"/>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6432"/>
    <w:rsid w:val="008A7A64"/>
    <w:rsid w:val="008A7F08"/>
    <w:rsid w:val="008B19DF"/>
    <w:rsid w:val="008B2F0E"/>
    <w:rsid w:val="008B5A2E"/>
    <w:rsid w:val="008C15F2"/>
    <w:rsid w:val="008C3471"/>
    <w:rsid w:val="008D180B"/>
    <w:rsid w:val="008D1BDB"/>
    <w:rsid w:val="008D5ACA"/>
    <w:rsid w:val="008D6CDA"/>
    <w:rsid w:val="008D7227"/>
    <w:rsid w:val="008E1F92"/>
    <w:rsid w:val="008E7333"/>
    <w:rsid w:val="008E7B09"/>
    <w:rsid w:val="008E7D4C"/>
    <w:rsid w:val="008F0EA7"/>
    <w:rsid w:val="008F1CA9"/>
    <w:rsid w:val="008F5BEE"/>
    <w:rsid w:val="008F7BB9"/>
    <w:rsid w:val="00904692"/>
    <w:rsid w:val="00910097"/>
    <w:rsid w:val="00911C7C"/>
    <w:rsid w:val="0091561E"/>
    <w:rsid w:val="00920849"/>
    <w:rsid w:val="00922B09"/>
    <w:rsid w:val="00922F57"/>
    <w:rsid w:val="00923EEF"/>
    <w:rsid w:val="009325CC"/>
    <w:rsid w:val="00934B3C"/>
    <w:rsid w:val="0093558D"/>
    <w:rsid w:val="009411F5"/>
    <w:rsid w:val="009419F9"/>
    <w:rsid w:val="0094476F"/>
    <w:rsid w:val="00945B9F"/>
    <w:rsid w:val="00950BE2"/>
    <w:rsid w:val="0095126A"/>
    <w:rsid w:val="00953AA4"/>
    <w:rsid w:val="00955305"/>
    <w:rsid w:val="00956010"/>
    <w:rsid w:val="0095685E"/>
    <w:rsid w:val="00957293"/>
    <w:rsid w:val="009572D9"/>
    <w:rsid w:val="009600D2"/>
    <w:rsid w:val="00961409"/>
    <w:rsid w:val="00961B09"/>
    <w:rsid w:val="00962300"/>
    <w:rsid w:val="00965334"/>
    <w:rsid w:val="0097093E"/>
    <w:rsid w:val="009725F1"/>
    <w:rsid w:val="00976025"/>
    <w:rsid w:val="00976F04"/>
    <w:rsid w:val="009800BE"/>
    <w:rsid w:val="00982E41"/>
    <w:rsid w:val="00983B79"/>
    <w:rsid w:val="00983EEA"/>
    <w:rsid w:val="00984649"/>
    <w:rsid w:val="009858BE"/>
    <w:rsid w:val="00993A7C"/>
    <w:rsid w:val="00996772"/>
    <w:rsid w:val="009A0DFA"/>
    <w:rsid w:val="009A3C2C"/>
    <w:rsid w:val="009A4A40"/>
    <w:rsid w:val="009B2D26"/>
    <w:rsid w:val="009B3595"/>
    <w:rsid w:val="009B5228"/>
    <w:rsid w:val="009B6C8C"/>
    <w:rsid w:val="009B780F"/>
    <w:rsid w:val="009C2DD0"/>
    <w:rsid w:val="009C3AC7"/>
    <w:rsid w:val="009C5D8C"/>
    <w:rsid w:val="009C692A"/>
    <w:rsid w:val="009C71FA"/>
    <w:rsid w:val="009C72E7"/>
    <w:rsid w:val="009C79BC"/>
    <w:rsid w:val="009D0555"/>
    <w:rsid w:val="009D1086"/>
    <w:rsid w:val="009D3058"/>
    <w:rsid w:val="009D3A11"/>
    <w:rsid w:val="009D44C4"/>
    <w:rsid w:val="009D6427"/>
    <w:rsid w:val="009D67FD"/>
    <w:rsid w:val="009E02A7"/>
    <w:rsid w:val="009E0798"/>
    <w:rsid w:val="009E2BCC"/>
    <w:rsid w:val="009E4636"/>
    <w:rsid w:val="009E5A30"/>
    <w:rsid w:val="009E7C05"/>
    <w:rsid w:val="009F3831"/>
    <w:rsid w:val="009F3832"/>
    <w:rsid w:val="009F3A13"/>
    <w:rsid w:val="009F4AB2"/>
    <w:rsid w:val="009F73F7"/>
    <w:rsid w:val="00A02465"/>
    <w:rsid w:val="00A03415"/>
    <w:rsid w:val="00A04A81"/>
    <w:rsid w:val="00A04C35"/>
    <w:rsid w:val="00A122D3"/>
    <w:rsid w:val="00A1409A"/>
    <w:rsid w:val="00A14D3D"/>
    <w:rsid w:val="00A17F13"/>
    <w:rsid w:val="00A20739"/>
    <w:rsid w:val="00A211D0"/>
    <w:rsid w:val="00A23361"/>
    <w:rsid w:val="00A2417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44D1C"/>
    <w:rsid w:val="00A47E7F"/>
    <w:rsid w:val="00A52D82"/>
    <w:rsid w:val="00A53F57"/>
    <w:rsid w:val="00A56959"/>
    <w:rsid w:val="00A56FCA"/>
    <w:rsid w:val="00A57315"/>
    <w:rsid w:val="00A57BE7"/>
    <w:rsid w:val="00A6004A"/>
    <w:rsid w:val="00A613C2"/>
    <w:rsid w:val="00A64336"/>
    <w:rsid w:val="00A7332E"/>
    <w:rsid w:val="00A745FA"/>
    <w:rsid w:val="00A74DE6"/>
    <w:rsid w:val="00A75866"/>
    <w:rsid w:val="00A75875"/>
    <w:rsid w:val="00A8086A"/>
    <w:rsid w:val="00A80F32"/>
    <w:rsid w:val="00A828F1"/>
    <w:rsid w:val="00A830AD"/>
    <w:rsid w:val="00A83B1B"/>
    <w:rsid w:val="00A87F7D"/>
    <w:rsid w:val="00A9244C"/>
    <w:rsid w:val="00A93EE8"/>
    <w:rsid w:val="00A94D14"/>
    <w:rsid w:val="00A95106"/>
    <w:rsid w:val="00A956B2"/>
    <w:rsid w:val="00A95A1A"/>
    <w:rsid w:val="00AA1328"/>
    <w:rsid w:val="00AA23BB"/>
    <w:rsid w:val="00AB0ADB"/>
    <w:rsid w:val="00AB3FD1"/>
    <w:rsid w:val="00AC0DF9"/>
    <w:rsid w:val="00AC0EAB"/>
    <w:rsid w:val="00AC27F2"/>
    <w:rsid w:val="00AC4701"/>
    <w:rsid w:val="00AC49A2"/>
    <w:rsid w:val="00AD73E2"/>
    <w:rsid w:val="00AE2631"/>
    <w:rsid w:val="00AE3D6C"/>
    <w:rsid w:val="00AF1BEC"/>
    <w:rsid w:val="00AF2C90"/>
    <w:rsid w:val="00AF54CA"/>
    <w:rsid w:val="00B009B8"/>
    <w:rsid w:val="00B01B1A"/>
    <w:rsid w:val="00B0268A"/>
    <w:rsid w:val="00B0410F"/>
    <w:rsid w:val="00B07DDD"/>
    <w:rsid w:val="00B137B3"/>
    <w:rsid w:val="00B14E03"/>
    <w:rsid w:val="00B1666A"/>
    <w:rsid w:val="00B16798"/>
    <w:rsid w:val="00B231F7"/>
    <w:rsid w:val="00B26B98"/>
    <w:rsid w:val="00B30812"/>
    <w:rsid w:val="00B35201"/>
    <w:rsid w:val="00B35ADC"/>
    <w:rsid w:val="00B37C24"/>
    <w:rsid w:val="00B40FBC"/>
    <w:rsid w:val="00B427E2"/>
    <w:rsid w:val="00B4283D"/>
    <w:rsid w:val="00B4318D"/>
    <w:rsid w:val="00B46F27"/>
    <w:rsid w:val="00B47FD7"/>
    <w:rsid w:val="00B505B5"/>
    <w:rsid w:val="00B51F75"/>
    <w:rsid w:val="00B52169"/>
    <w:rsid w:val="00B53E27"/>
    <w:rsid w:val="00B558AF"/>
    <w:rsid w:val="00B615BA"/>
    <w:rsid w:val="00B61B51"/>
    <w:rsid w:val="00B62D8B"/>
    <w:rsid w:val="00B64355"/>
    <w:rsid w:val="00B65798"/>
    <w:rsid w:val="00B666F6"/>
    <w:rsid w:val="00B67E4C"/>
    <w:rsid w:val="00B72CD3"/>
    <w:rsid w:val="00B72FFF"/>
    <w:rsid w:val="00B76CEB"/>
    <w:rsid w:val="00B80CC6"/>
    <w:rsid w:val="00B8257D"/>
    <w:rsid w:val="00B82B8B"/>
    <w:rsid w:val="00B86FE2"/>
    <w:rsid w:val="00B91186"/>
    <w:rsid w:val="00B93423"/>
    <w:rsid w:val="00B93E58"/>
    <w:rsid w:val="00B948E8"/>
    <w:rsid w:val="00BA0A22"/>
    <w:rsid w:val="00BA1D33"/>
    <w:rsid w:val="00BA2EF4"/>
    <w:rsid w:val="00BA6BE0"/>
    <w:rsid w:val="00BB22DA"/>
    <w:rsid w:val="00BB2C9D"/>
    <w:rsid w:val="00BC0036"/>
    <w:rsid w:val="00BC05A6"/>
    <w:rsid w:val="00BC24FA"/>
    <w:rsid w:val="00BC27B5"/>
    <w:rsid w:val="00BC3D36"/>
    <w:rsid w:val="00BC4B34"/>
    <w:rsid w:val="00BC7498"/>
    <w:rsid w:val="00BD3434"/>
    <w:rsid w:val="00BD424C"/>
    <w:rsid w:val="00BD4BCA"/>
    <w:rsid w:val="00BD55A5"/>
    <w:rsid w:val="00BD7CC5"/>
    <w:rsid w:val="00BD7F72"/>
    <w:rsid w:val="00BE03BC"/>
    <w:rsid w:val="00BE0A18"/>
    <w:rsid w:val="00BE2223"/>
    <w:rsid w:val="00BE4E82"/>
    <w:rsid w:val="00BF0D99"/>
    <w:rsid w:val="00BF1049"/>
    <w:rsid w:val="00BF1201"/>
    <w:rsid w:val="00BF1D4A"/>
    <w:rsid w:val="00BF230F"/>
    <w:rsid w:val="00BF26BA"/>
    <w:rsid w:val="00C002E3"/>
    <w:rsid w:val="00C012CC"/>
    <w:rsid w:val="00C04FB3"/>
    <w:rsid w:val="00C050BC"/>
    <w:rsid w:val="00C06C4F"/>
    <w:rsid w:val="00C11604"/>
    <w:rsid w:val="00C147D0"/>
    <w:rsid w:val="00C159C1"/>
    <w:rsid w:val="00C16346"/>
    <w:rsid w:val="00C17497"/>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7281"/>
    <w:rsid w:val="00C577E7"/>
    <w:rsid w:val="00C57E63"/>
    <w:rsid w:val="00C65D65"/>
    <w:rsid w:val="00C66D80"/>
    <w:rsid w:val="00C67703"/>
    <w:rsid w:val="00C7173F"/>
    <w:rsid w:val="00C730B6"/>
    <w:rsid w:val="00C7352F"/>
    <w:rsid w:val="00C7482D"/>
    <w:rsid w:val="00C754BE"/>
    <w:rsid w:val="00C76466"/>
    <w:rsid w:val="00C76B1C"/>
    <w:rsid w:val="00C775E0"/>
    <w:rsid w:val="00C82239"/>
    <w:rsid w:val="00C829ED"/>
    <w:rsid w:val="00C90209"/>
    <w:rsid w:val="00C915DD"/>
    <w:rsid w:val="00C91B94"/>
    <w:rsid w:val="00C92665"/>
    <w:rsid w:val="00C92949"/>
    <w:rsid w:val="00C93190"/>
    <w:rsid w:val="00C93F4E"/>
    <w:rsid w:val="00C95BAE"/>
    <w:rsid w:val="00CA0D1D"/>
    <w:rsid w:val="00CA4272"/>
    <w:rsid w:val="00CA6A9D"/>
    <w:rsid w:val="00CA7F6B"/>
    <w:rsid w:val="00CB2F3F"/>
    <w:rsid w:val="00CB6357"/>
    <w:rsid w:val="00CB704C"/>
    <w:rsid w:val="00CC0FA3"/>
    <w:rsid w:val="00CC1428"/>
    <w:rsid w:val="00CC1B26"/>
    <w:rsid w:val="00CC49F7"/>
    <w:rsid w:val="00CC54DB"/>
    <w:rsid w:val="00CC683B"/>
    <w:rsid w:val="00CC7787"/>
    <w:rsid w:val="00CD087D"/>
    <w:rsid w:val="00CD1E7E"/>
    <w:rsid w:val="00CD41CB"/>
    <w:rsid w:val="00CD5EE0"/>
    <w:rsid w:val="00CE02A2"/>
    <w:rsid w:val="00CE04FF"/>
    <w:rsid w:val="00CE3030"/>
    <w:rsid w:val="00CE3273"/>
    <w:rsid w:val="00CE509A"/>
    <w:rsid w:val="00CE5414"/>
    <w:rsid w:val="00CF241F"/>
    <w:rsid w:val="00CF7826"/>
    <w:rsid w:val="00D0157A"/>
    <w:rsid w:val="00D036D8"/>
    <w:rsid w:val="00D038ED"/>
    <w:rsid w:val="00D06D26"/>
    <w:rsid w:val="00D10B75"/>
    <w:rsid w:val="00D1208B"/>
    <w:rsid w:val="00D13351"/>
    <w:rsid w:val="00D15E25"/>
    <w:rsid w:val="00D17A40"/>
    <w:rsid w:val="00D20368"/>
    <w:rsid w:val="00D22361"/>
    <w:rsid w:val="00D22598"/>
    <w:rsid w:val="00D26924"/>
    <w:rsid w:val="00D3240A"/>
    <w:rsid w:val="00D35468"/>
    <w:rsid w:val="00D413F6"/>
    <w:rsid w:val="00D4231B"/>
    <w:rsid w:val="00D423A2"/>
    <w:rsid w:val="00D45E4A"/>
    <w:rsid w:val="00D520D8"/>
    <w:rsid w:val="00D52961"/>
    <w:rsid w:val="00D52E96"/>
    <w:rsid w:val="00D55048"/>
    <w:rsid w:val="00D56C6D"/>
    <w:rsid w:val="00D57FA4"/>
    <w:rsid w:val="00D57FE6"/>
    <w:rsid w:val="00D6107B"/>
    <w:rsid w:val="00D62DE7"/>
    <w:rsid w:val="00D63AC2"/>
    <w:rsid w:val="00D665B4"/>
    <w:rsid w:val="00D673D0"/>
    <w:rsid w:val="00D7080D"/>
    <w:rsid w:val="00D7156A"/>
    <w:rsid w:val="00D7383B"/>
    <w:rsid w:val="00D744F3"/>
    <w:rsid w:val="00D7609E"/>
    <w:rsid w:val="00D81A63"/>
    <w:rsid w:val="00D81D25"/>
    <w:rsid w:val="00D85C60"/>
    <w:rsid w:val="00D86C54"/>
    <w:rsid w:val="00D86E8B"/>
    <w:rsid w:val="00D91F8B"/>
    <w:rsid w:val="00D9383B"/>
    <w:rsid w:val="00D93B61"/>
    <w:rsid w:val="00D94C40"/>
    <w:rsid w:val="00D954A1"/>
    <w:rsid w:val="00DA231B"/>
    <w:rsid w:val="00DA23A0"/>
    <w:rsid w:val="00DA7F66"/>
    <w:rsid w:val="00DB186F"/>
    <w:rsid w:val="00DB6C5A"/>
    <w:rsid w:val="00DB77B8"/>
    <w:rsid w:val="00DC0BDA"/>
    <w:rsid w:val="00DC314B"/>
    <w:rsid w:val="00DC39FC"/>
    <w:rsid w:val="00DC4385"/>
    <w:rsid w:val="00DC484F"/>
    <w:rsid w:val="00DC4C27"/>
    <w:rsid w:val="00DC51BC"/>
    <w:rsid w:val="00DC5A3E"/>
    <w:rsid w:val="00DC6805"/>
    <w:rsid w:val="00DC78A7"/>
    <w:rsid w:val="00DC793F"/>
    <w:rsid w:val="00DD638E"/>
    <w:rsid w:val="00DE05E5"/>
    <w:rsid w:val="00DE3067"/>
    <w:rsid w:val="00DE3674"/>
    <w:rsid w:val="00DE3BDD"/>
    <w:rsid w:val="00DE4629"/>
    <w:rsid w:val="00DE58C9"/>
    <w:rsid w:val="00DE5B1D"/>
    <w:rsid w:val="00DE6EAA"/>
    <w:rsid w:val="00DF11FD"/>
    <w:rsid w:val="00DF5254"/>
    <w:rsid w:val="00E0157A"/>
    <w:rsid w:val="00E052F2"/>
    <w:rsid w:val="00E12426"/>
    <w:rsid w:val="00E13584"/>
    <w:rsid w:val="00E14EB2"/>
    <w:rsid w:val="00E16408"/>
    <w:rsid w:val="00E20894"/>
    <w:rsid w:val="00E2397D"/>
    <w:rsid w:val="00E23B70"/>
    <w:rsid w:val="00E245AB"/>
    <w:rsid w:val="00E26239"/>
    <w:rsid w:val="00E2701B"/>
    <w:rsid w:val="00E2764C"/>
    <w:rsid w:val="00E278D5"/>
    <w:rsid w:val="00E27F2E"/>
    <w:rsid w:val="00E308A4"/>
    <w:rsid w:val="00E35539"/>
    <w:rsid w:val="00E413EA"/>
    <w:rsid w:val="00E47F28"/>
    <w:rsid w:val="00E50AFE"/>
    <w:rsid w:val="00E51636"/>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87DA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25"/>
    <w:rsid w:val="00EC38A7"/>
    <w:rsid w:val="00EC3A2A"/>
    <w:rsid w:val="00ED042A"/>
    <w:rsid w:val="00ED0D4A"/>
    <w:rsid w:val="00ED4E37"/>
    <w:rsid w:val="00EE1AA8"/>
    <w:rsid w:val="00EE6DCD"/>
    <w:rsid w:val="00EF26C3"/>
    <w:rsid w:val="00EF419E"/>
    <w:rsid w:val="00EF4469"/>
    <w:rsid w:val="00EF489F"/>
    <w:rsid w:val="00F00796"/>
    <w:rsid w:val="00F11213"/>
    <w:rsid w:val="00F11600"/>
    <w:rsid w:val="00F11BAA"/>
    <w:rsid w:val="00F13CBC"/>
    <w:rsid w:val="00F177C1"/>
    <w:rsid w:val="00F17EB6"/>
    <w:rsid w:val="00F2101C"/>
    <w:rsid w:val="00F22C07"/>
    <w:rsid w:val="00F238F2"/>
    <w:rsid w:val="00F24580"/>
    <w:rsid w:val="00F246AF"/>
    <w:rsid w:val="00F248A2"/>
    <w:rsid w:val="00F260AA"/>
    <w:rsid w:val="00F27B26"/>
    <w:rsid w:val="00F308B8"/>
    <w:rsid w:val="00F30B1C"/>
    <w:rsid w:val="00F31EDC"/>
    <w:rsid w:val="00F33157"/>
    <w:rsid w:val="00F34D02"/>
    <w:rsid w:val="00F34E84"/>
    <w:rsid w:val="00F36DF8"/>
    <w:rsid w:val="00F36EE8"/>
    <w:rsid w:val="00F40BAD"/>
    <w:rsid w:val="00F45507"/>
    <w:rsid w:val="00F462B3"/>
    <w:rsid w:val="00F50DC9"/>
    <w:rsid w:val="00F5184B"/>
    <w:rsid w:val="00F5491E"/>
    <w:rsid w:val="00F55081"/>
    <w:rsid w:val="00F55168"/>
    <w:rsid w:val="00F5664F"/>
    <w:rsid w:val="00F61ABB"/>
    <w:rsid w:val="00F626C4"/>
    <w:rsid w:val="00F63482"/>
    <w:rsid w:val="00F64532"/>
    <w:rsid w:val="00F64D9E"/>
    <w:rsid w:val="00F664EC"/>
    <w:rsid w:val="00F666C4"/>
    <w:rsid w:val="00F7684C"/>
    <w:rsid w:val="00F76AFC"/>
    <w:rsid w:val="00F80CBE"/>
    <w:rsid w:val="00F85198"/>
    <w:rsid w:val="00F85237"/>
    <w:rsid w:val="00F935D9"/>
    <w:rsid w:val="00F939CB"/>
    <w:rsid w:val="00F9479C"/>
    <w:rsid w:val="00F965EE"/>
    <w:rsid w:val="00F97949"/>
    <w:rsid w:val="00FA0D92"/>
    <w:rsid w:val="00FA1110"/>
    <w:rsid w:val="00FA1361"/>
    <w:rsid w:val="00FA2722"/>
    <w:rsid w:val="00FA34EC"/>
    <w:rsid w:val="00FA358D"/>
    <w:rsid w:val="00FA47C0"/>
    <w:rsid w:val="00FA623D"/>
    <w:rsid w:val="00FA6D5B"/>
    <w:rsid w:val="00FB4425"/>
    <w:rsid w:val="00FB5615"/>
    <w:rsid w:val="00FB5DD1"/>
    <w:rsid w:val="00FB5F87"/>
    <w:rsid w:val="00FC07B5"/>
    <w:rsid w:val="00FC2B5D"/>
    <w:rsid w:val="00FC6192"/>
    <w:rsid w:val="00FD00BB"/>
    <w:rsid w:val="00FD00E9"/>
    <w:rsid w:val="00FD03E3"/>
    <w:rsid w:val="00FD108E"/>
    <w:rsid w:val="00FD653F"/>
    <w:rsid w:val="00FE122A"/>
    <w:rsid w:val="00FE1913"/>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BE7"/>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customStyle="1" w:styleId="apple-converted-space">
    <w:name w:val="apple-converted-space"/>
    <w:basedOn w:val="Fuentedeprrafopredeter"/>
    <w:rsid w:val="006F49C9"/>
  </w:style>
  <w:style w:type="table" w:customStyle="1" w:styleId="Tablaconcuadrcula11">
    <w:name w:val="Tabla con cuadrícula11"/>
    <w:basedOn w:val="Tablanormal"/>
    <w:next w:val="Tablaconcuadrcula"/>
    <w:uiPriority w:val="39"/>
    <w:qFormat/>
    <w:rsid w:val="00A04C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A04C3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2212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o-reply@boyac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revistas.uexternado.edu.co/index.php/Deradm/article/view/259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829FC3-3714-44ED-8FF0-D3B44865E54E}">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a6cb9e4b-f1d1-4245-83ec-6cad768d538a"/>
    <ds:schemaRef ds:uri="9d85dbaf-23eb-4e57-a637-93dcacc8b1a1"/>
    <ds:schemaRef ds:uri="http://www.w3.org/XML/1998/namespace"/>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18</Pages>
  <Words>6454</Words>
  <Characters>34466</Characters>
  <Application>Microsoft Office Word</Application>
  <DocSecurity>0</DocSecurity>
  <Lines>662</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2025-02-25T15:45:00Z</cp:lastPrinted>
  <dcterms:created xsi:type="dcterms:W3CDTF">2025-10-15T14:29:00Z</dcterms:created>
  <dcterms:modified xsi:type="dcterms:W3CDTF">2025-10-15T14:29:00Z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