
<file path=[Content_Types].xml><?xml version="1.0" encoding="utf-8"?>
<Types xmlns="http://schemas.openxmlformats.org/package/2006/content-types">
  <Default Extension="gif" ContentType="image/gi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6C2014" w14:textId="54F1CBEB" w:rsidR="004A1F77" w:rsidRPr="004A1F77" w:rsidRDefault="004A1F77" w:rsidP="79790125">
      <w:pPr>
        <w:spacing w:after="0" w:line="240" w:lineRule="auto"/>
        <w:jc w:val="both"/>
        <w:rPr>
          <w:rFonts w:ascii="Verdana" w:hAnsi="Verdana" w:cs="Arial"/>
          <w:b/>
          <w:bCs/>
          <w:lang w:val="es-419"/>
        </w:rPr>
      </w:pPr>
      <w:bookmarkStart w:id="0" w:name="_Hlk181166130"/>
      <w:bookmarkStart w:id="1" w:name="_Hlk209714638"/>
      <w:r w:rsidRPr="79790125">
        <w:rPr>
          <w:rFonts w:ascii="Verdana" w:hAnsi="Verdana" w:cs="Arial"/>
          <w:b/>
          <w:bCs/>
          <w:lang w:val="es-419"/>
        </w:rPr>
        <w:t>ESTRATEGIA NACIONAL DE LUCHA CONTRA LA CORRUPCIÓN – Ley 2294 de 2023 – Transparencia en la contratación y gestión pública</w:t>
      </w:r>
    </w:p>
    <w:p w14:paraId="6117627A" w14:textId="77777777" w:rsidR="004A1F77" w:rsidRDefault="004A1F77" w:rsidP="004A1F77">
      <w:pPr>
        <w:spacing w:after="0" w:line="240" w:lineRule="auto"/>
        <w:jc w:val="both"/>
        <w:rPr>
          <w:rFonts w:ascii="Verdana" w:eastAsia="Calibri" w:hAnsi="Verdana" w:cs="Arial"/>
          <w:sz w:val="20"/>
          <w:szCs w:val="20"/>
          <w:lang w:eastAsia="es-ES_tradnl"/>
        </w:rPr>
      </w:pPr>
    </w:p>
    <w:p w14:paraId="5929B989" w14:textId="77777777" w:rsidR="004A1F77" w:rsidRPr="00412082" w:rsidRDefault="004A1F77" w:rsidP="004A1F77">
      <w:pPr>
        <w:spacing w:after="0" w:line="240" w:lineRule="auto"/>
        <w:jc w:val="both"/>
        <w:rPr>
          <w:rFonts w:ascii="Verdana" w:eastAsia="Calibri" w:hAnsi="Verdana" w:cs="Arial"/>
          <w:sz w:val="20"/>
          <w:szCs w:val="20"/>
          <w:lang w:eastAsia="es-ES_tradnl"/>
        </w:rPr>
      </w:pPr>
      <w:r w:rsidRPr="00412082">
        <w:rPr>
          <w:rFonts w:ascii="Verdana" w:eastAsia="Calibri" w:hAnsi="Verdana" w:cs="Arial"/>
          <w:sz w:val="20"/>
          <w:szCs w:val="20"/>
          <w:lang w:eastAsia="es-ES_tradnl"/>
        </w:rPr>
        <w:t>El artículo 200 de la Ley 2294 de 2023, “Por</w:t>
      </w:r>
      <w:r w:rsidRPr="00412082">
        <w:rPr>
          <w:rFonts w:ascii="Verdana" w:eastAsia="Calibri" w:hAnsi="Verdana" w:cs="Arial"/>
          <w:i/>
          <w:iCs/>
          <w:sz w:val="20"/>
          <w:szCs w:val="20"/>
          <w:lang w:eastAsia="es-ES_tradnl"/>
        </w:rPr>
        <w:t xml:space="preserve"> la cual se expidió el Plan Nacional de Desarrollo “Colombia Potencia Mundial de la Vida”</w:t>
      </w:r>
      <w:r w:rsidRPr="00412082">
        <w:rPr>
          <w:rFonts w:ascii="Verdana" w:eastAsia="Calibri" w:hAnsi="Verdana" w:cs="Arial"/>
          <w:sz w:val="20"/>
          <w:szCs w:val="20"/>
          <w:lang w:eastAsia="es-ES_tradnl"/>
        </w:rPr>
        <w:t>, estableció el deber de formular una Estrategia Nacional de Lucha contra la Corrupción</w:t>
      </w:r>
      <w:r w:rsidRPr="00412082">
        <w:rPr>
          <w:rFonts w:ascii="Verdana" w:eastAsia="Calibri" w:hAnsi="Verdana" w:cs="Arial"/>
          <w:iCs/>
          <w:sz w:val="20"/>
          <w:szCs w:val="20"/>
          <w:lang w:eastAsia="es-ES_tradnl"/>
        </w:rPr>
        <w:t>, con el fin de fortalecer las instituciones democráticas y el Estado Social de Derecho, la protección de los derechos humanos, los recursos públicos, así como generar condiciones adecuadas para el desarrollo socioeconómico y el cuidado del medio ambiente</w:t>
      </w:r>
      <w:r w:rsidRPr="00412082">
        <w:rPr>
          <w:rFonts w:ascii="Verdana" w:eastAsia="Calibri" w:hAnsi="Verdana" w:cs="Arial"/>
          <w:sz w:val="20"/>
          <w:szCs w:val="20"/>
          <w:lang w:eastAsia="es-ES_tradnl"/>
        </w:rPr>
        <w:t xml:space="preserve">. </w:t>
      </w:r>
    </w:p>
    <w:p w14:paraId="30BFA718" w14:textId="77777777" w:rsidR="004A1F77" w:rsidRDefault="004A1F77" w:rsidP="004A1F77">
      <w:pPr>
        <w:spacing w:after="0" w:line="240" w:lineRule="auto"/>
        <w:jc w:val="both"/>
        <w:rPr>
          <w:rFonts w:ascii="Verdana" w:eastAsia="Calibri" w:hAnsi="Verdana" w:cs="Arial"/>
          <w:sz w:val="20"/>
          <w:szCs w:val="20"/>
          <w:lang w:eastAsia="es-ES_tradnl"/>
        </w:rPr>
      </w:pPr>
    </w:p>
    <w:p w14:paraId="437A13E4" w14:textId="77777777" w:rsidR="004A1F77" w:rsidRPr="00412082" w:rsidRDefault="004A1F77" w:rsidP="004A1F77">
      <w:pPr>
        <w:spacing w:after="0" w:line="240" w:lineRule="auto"/>
        <w:jc w:val="both"/>
        <w:rPr>
          <w:rFonts w:ascii="Verdana" w:eastAsia="Calibri" w:hAnsi="Verdana" w:cs="Arial"/>
          <w:sz w:val="20"/>
          <w:szCs w:val="20"/>
          <w:lang w:eastAsia="es-ES_tradnl"/>
        </w:rPr>
      </w:pPr>
      <w:r w:rsidRPr="00412082">
        <w:rPr>
          <w:rFonts w:ascii="Verdana" w:eastAsia="Calibri" w:hAnsi="Verdana" w:cs="Arial"/>
          <w:sz w:val="20"/>
          <w:szCs w:val="20"/>
          <w:lang w:eastAsia="es-ES_tradnl"/>
        </w:rPr>
        <w:t xml:space="preserve">De este modo, la estrategia de la lucha contra la corrupción incluye las dimensiones de la garantía de los derechos humanos, la protección al denunciante, el derecho de acceso a la información pública, el fortalecimiento de la veeduría ciudadana, </w:t>
      </w:r>
      <w:r w:rsidRPr="00412082">
        <w:rPr>
          <w:rFonts w:ascii="Verdana" w:eastAsia="Calibri" w:hAnsi="Verdana" w:cs="Arial"/>
          <w:i/>
          <w:iCs/>
          <w:sz w:val="20"/>
          <w:szCs w:val="20"/>
          <w:lang w:eastAsia="es-ES_tradnl"/>
        </w:rPr>
        <w:t>la transparencia en la contratación y gestión pública,</w:t>
      </w:r>
      <w:r w:rsidRPr="00412082">
        <w:rPr>
          <w:rFonts w:ascii="Verdana" w:eastAsia="Calibri" w:hAnsi="Verdana" w:cs="Arial"/>
          <w:sz w:val="20"/>
          <w:szCs w:val="20"/>
          <w:lang w:eastAsia="es-ES_tradnl"/>
        </w:rPr>
        <w:t xml:space="preserve"> la innovación pública y la prevención, detección, gestión y sanción de riesgos y hechos de corrupción. </w:t>
      </w:r>
    </w:p>
    <w:p w14:paraId="3D59F94E" w14:textId="77777777" w:rsidR="004A1F77" w:rsidRDefault="004A1F77" w:rsidP="004A1F77">
      <w:pPr>
        <w:spacing w:after="0" w:line="240" w:lineRule="auto"/>
        <w:jc w:val="both"/>
        <w:rPr>
          <w:rFonts w:ascii="Verdana" w:eastAsia="Calibri" w:hAnsi="Verdana" w:cs="Arial"/>
          <w:b/>
          <w:bCs/>
          <w:sz w:val="20"/>
          <w:szCs w:val="20"/>
          <w:lang w:eastAsia="es-ES_tradnl"/>
        </w:rPr>
      </w:pPr>
    </w:p>
    <w:p w14:paraId="142FAF32" w14:textId="2F79F8B2" w:rsidR="004A1F77" w:rsidRPr="004A1F77" w:rsidRDefault="004A1F77" w:rsidP="004A1F77">
      <w:pPr>
        <w:spacing w:after="0" w:line="240" w:lineRule="auto"/>
        <w:jc w:val="both"/>
        <w:rPr>
          <w:rFonts w:ascii="Verdana" w:eastAsia="Calibri" w:hAnsi="Verdana" w:cs="Arial"/>
          <w:lang w:eastAsia="es-ES_tradnl"/>
        </w:rPr>
      </w:pPr>
      <w:r w:rsidRPr="004A1F77">
        <w:rPr>
          <w:rFonts w:ascii="Verdana" w:eastAsia="Calibri" w:hAnsi="Verdana" w:cs="Arial"/>
          <w:b/>
          <w:bCs/>
          <w:lang w:eastAsia="es-ES_tradnl"/>
        </w:rPr>
        <w:t>DECRETO 1600 DE 2024 – Vigencia-</w:t>
      </w:r>
    </w:p>
    <w:p w14:paraId="0FC374FC" w14:textId="77777777" w:rsidR="004A1F77" w:rsidRDefault="004A1F77" w:rsidP="004A1F77">
      <w:pPr>
        <w:spacing w:after="0" w:line="240" w:lineRule="auto"/>
        <w:jc w:val="both"/>
        <w:rPr>
          <w:rFonts w:ascii="Verdana" w:eastAsia="Calibri" w:hAnsi="Verdana" w:cs="Arial"/>
          <w:sz w:val="20"/>
          <w:szCs w:val="20"/>
          <w:lang w:eastAsia="es-ES_tradnl"/>
        </w:rPr>
      </w:pPr>
    </w:p>
    <w:p w14:paraId="358DCB2E" w14:textId="0460C71E" w:rsidR="004A1F77" w:rsidRPr="004A1F77" w:rsidRDefault="004A1F77" w:rsidP="004A1F77">
      <w:pPr>
        <w:spacing w:after="0" w:line="240" w:lineRule="auto"/>
        <w:jc w:val="both"/>
        <w:rPr>
          <w:rFonts w:ascii="Verdana" w:eastAsia="Calibri" w:hAnsi="Verdana" w:cs="Arial"/>
          <w:sz w:val="20"/>
          <w:szCs w:val="20"/>
          <w:lang w:eastAsia="es-ES_tradnl"/>
        </w:rPr>
      </w:pPr>
      <w:r w:rsidRPr="004A1F77">
        <w:rPr>
          <w:rFonts w:ascii="Verdana" w:eastAsia="Calibri" w:hAnsi="Verdana" w:cs="Arial"/>
          <w:sz w:val="20"/>
          <w:szCs w:val="20"/>
          <w:lang w:eastAsia="es-ES_tradnl"/>
        </w:rPr>
        <w:t>Las Entidades Estatales sujetas al Decreto 1600 de 2024 deben exigir la verificación de las "situaciones de control" para los oferentes a partir del 27 de diciembre de 2024, fecha de entrada en vigencia del Decreto</w:t>
      </w:r>
      <w:r>
        <w:rPr>
          <w:rFonts w:ascii="Verdana" w:eastAsia="Calibri" w:hAnsi="Verdana" w:cs="Arial"/>
          <w:sz w:val="20"/>
          <w:szCs w:val="20"/>
          <w:lang w:eastAsia="es-ES_tradnl"/>
        </w:rPr>
        <w:t>.</w:t>
      </w:r>
    </w:p>
    <w:p w14:paraId="102576DB" w14:textId="77777777" w:rsidR="004A1F77" w:rsidRDefault="004A1F77" w:rsidP="004A1F77">
      <w:pPr>
        <w:spacing w:after="0" w:line="240" w:lineRule="auto"/>
        <w:jc w:val="both"/>
        <w:rPr>
          <w:rFonts w:ascii="Verdana" w:eastAsia="Calibri" w:hAnsi="Verdana" w:cs="Arial"/>
          <w:b/>
          <w:bCs/>
          <w:sz w:val="20"/>
          <w:szCs w:val="20"/>
          <w:lang w:eastAsia="es-ES_tradnl"/>
        </w:rPr>
      </w:pPr>
    </w:p>
    <w:p w14:paraId="3FBDF942" w14:textId="1BB8807A" w:rsidR="004A1F77" w:rsidRPr="004A1F77" w:rsidRDefault="004A1F77" w:rsidP="004A1F77">
      <w:pPr>
        <w:spacing w:after="0" w:line="240" w:lineRule="auto"/>
        <w:jc w:val="both"/>
        <w:rPr>
          <w:rFonts w:ascii="Verdana" w:eastAsia="Calibri" w:hAnsi="Verdana" w:cs="Arial"/>
          <w:b/>
          <w:bCs/>
          <w:lang w:eastAsia="es-ES_tradnl"/>
        </w:rPr>
      </w:pPr>
      <w:r w:rsidRPr="004A1F77">
        <w:rPr>
          <w:rFonts w:ascii="Verdana" w:eastAsia="Calibri" w:hAnsi="Verdana" w:cs="Arial"/>
          <w:b/>
          <w:bCs/>
          <w:lang w:eastAsia="es-ES_tradnl"/>
        </w:rPr>
        <w:t xml:space="preserve">DECRETO 1600 DE 2024 – Estrategia de lucha contra la corrupción – Capítulo 3 </w:t>
      </w:r>
    </w:p>
    <w:p w14:paraId="76101D3C" w14:textId="77777777" w:rsidR="004A1F77" w:rsidRDefault="004A1F77" w:rsidP="004A1F77">
      <w:pPr>
        <w:spacing w:after="0" w:line="240" w:lineRule="auto"/>
        <w:jc w:val="both"/>
        <w:rPr>
          <w:rFonts w:ascii="Verdana" w:eastAsia="Calibri" w:hAnsi="Verdana" w:cs="Arial"/>
          <w:bCs/>
          <w:sz w:val="20"/>
          <w:szCs w:val="20"/>
          <w:lang w:eastAsia="es-ES_tradnl"/>
        </w:rPr>
      </w:pPr>
    </w:p>
    <w:p w14:paraId="633E72D7" w14:textId="77777777" w:rsidR="004A1F77" w:rsidRDefault="004A1F77" w:rsidP="004A1F77">
      <w:pPr>
        <w:spacing w:after="0" w:line="240" w:lineRule="auto"/>
        <w:jc w:val="both"/>
        <w:rPr>
          <w:rFonts w:ascii="Verdana" w:eastAsia="Calibri" w:hAnsi="Verdana" w:cs="Arial"/>
          <w:bCs/>
          <w:iCs/>
          <w:sz w:val="20"/>
          <w:szCs w:val="20"/>
          <w:lang w:eastAsia="es-ES_tradnl"/>
        </w:rPr>
      </w:pPr>
      <w:r w:rsidRPr="00412082">
        <w:rPr>
          <w:rFonts w:ascii="Verdana" w:eastAsia="Calibri" w:hAnsi="Verdana" w:cs="Arial"/>
          <w:bCs/>
          <w:sz w:val="20"/>
          <w:szCs w:val="20"/>
          <w:lang w:eastAsia="es-ES_tradnl"/>
        </w:rPr>
        <w:t xml:space="preserve">En la búsqueda de fortalecer una estrategia de lucha contra la corrupción se expidió el Decreto 1600 de 2024. […] El Capítulo 3°, Sección 1°, Título 4°, Parte 1°, Libro 2° del Decreto 1081 de 2015, que fue modificado por el Decreto 1600 de 2024, tiene como objeto: “[…] </w:t>
      </w:r>
      <w:r w:rsidRPr="00412082">
        <w:rPr>
          <w:rFonts w:ascii="Verdana" w:eastAsia="Calibri" w:hAnsi="Verdana" w:cs="Arial"/>
          <w:bCs/>
          <w:iCs/>
          <w:sz w:val="20"/>
          <w:szCs w:val="20"/>
          <w:lang w:eastAsia="es-ES_tradnl"/>
        </w:rPr>
        <w:t xml:space="preserve">establecer los lineamientos, mecanismos y directrices necesarios para la implementación de la Estrategia Nacional de Lucha contra la Corrupción, con el fin de fortalecer las instituciones democráticas, la confianza ciudadana y el Estado social de derecho, garantizar la protección de los derechos humanos relativos a la protección de los recursos públicos, generar condiciones adecuadas para el desarrollo socioeconómico y protección del medio ambiente. Asimismo, procura fomentar una cultura de revalorización y cuidado de lo público, a través de herramientas de transparencia, fortalecimiento de la veeduría ciudadana, acceso efectivo a la información, participación ciudadana y debida diligencia en la prevención, detección y sanción de hechos de corrupción” -artículo 2.1.4.3.1.1-. </w:t>
      </w:r>
    </w:p>
    <w:p w14:paraId="6DC89F9C" w14:textId="77777777" w:rsidR="004A1F77" w:rsidRPr="00412082" w:rsidRDefault="004A1F77" w:rsidP="004A1F77">
      <w:pPr>
        <w:spacing w:after="0" w:line="240" w:lineRule="auto"/>
        <w:jc w:val="both"/>
        <w:rPr>
          <w:rFonts w:ascii="Verdana" w:eastAsia="Calibri" w:hAnsi="Verdana" w:cs="Arial"/>
          <w:bCs/>
          <w:sz w:val="20"/>
          <w:szCs w:val="20"/>
          <w:lang w:eastAsia="es-ES_tradnl"/>
        </w:rPr>
      </w:pPr>
    </w:p>
    <w:p w14:paraId="41720F02" w14:textId="77777777" w:rsidR="004A1F77" w:rsidRPr="004A1F77" w:rsidRDefault="004A1F77" w:rsidP="004A1F77">
      <w:pPr>
        <w:spacing w:after="0" w:line="240" w:lineRule="auto"/>
        <w:jc w:val="both"/>
        <w:rPr>
          <w:rFonts w:ascii="Verdana" w:hAnsi="Verdana" w:cs="Arial"/>
          <w:b/>
          <w:bCs/>
          <w:lang w:val="es-MX" w:eastAsia="es-ES" w:bidi="es-ES"/>
        </w:rPr>
      </w:pPr>
      <w:r w:rsidRPr="004A1F77">
        <w:rPr>
          <w:rFonts w:ascii="Verdana" w:hAnsi="Verdana" w:cs="Arial"/>
          <w:b/>
          <w:bCs/>
          <w:lang w:val="es-ES_tradnl" w:eastAsia="es-ES" w:bidi="es-ES"/>
        </w:rPr>
        <w:t xml:space="preserve">PRINCIPIO DE PUBLICIDAD – término de publicación – interpretación armónica - documentos de ejecución  </w:t>
      </w:r>
    </w:p>
    <w:p w14:paraId="4FB68855" w14:textId="77777777" w:rsidR="004A1F77" w:rsidRPr="007A41D5" w:rsidRDefault="004A1F77" w:rsidP="004A1F77">
      <w:pPr>
        <w:spacing w:after="0" w:line="240" w:lineRule="auto"/>
        <w:jc w:val="both"/>
        <w:rPr>
          <w:rFonts w:ascii="Verdana" w:hAnsi="Verdana"/>
          <w:b/>
          <w:sz w:val="20"/>
          <w:szCs w:val="20"/>
          <w:lang w:val="es-MX"/>
        </w:rPr>
      </w:pPr>
    </w:p>
    <w:p w14:paraId="2898FF18" w14:textId="77777777" w:rsidR="004A1F77" w:rsidRPr="007A41D5" w:rsidRDefault="004A1F77" w:rsidP="004A1F77">
      <w:pPr>
        <w:spacing w:after="0" w:line="240" w:lineRule="auto"/>
        <w:jc w:val="both"/>
        <w:rPr>
          <w:rFonts w:ascii="Verdana" w:eastAsia="Calibri" w:hAnsi="Verdana" w:cs="Arial"/>
          <w:bCs/>
          <w:iCs/>
          <w:sz w:val="20"/>
          <w:szCs w:val="20"/>
          <w:lang w:eastAsia="es-ES_tradnl"/>
        </w:rPr>
      </w:pPr>
      <w:r w:rsidRPr="007A41D5">
        <w:rPr>
          <w:rFonts w:ascii="Verdana" w:eastAsia="Calibri" w:hAnsi="Verdana" w:cs="Arial"/>
          <w:bCs/>
          <w:sz w:val="20"/>
          <w:szCs w:val="20"/>
          <w:lang w:eastAsia="es-ES_tradnl"/>
        </w:rPr>
        <w:t xml:space="preserve">A partir del artículo precitado se resalta que su primer inciso alude al deber de publicación en la página web de los sujetos obligados por dicho Decreto, el cual contiene dos literales: en el literal a) se establece el deber de publicar por parte de las entidades de </w:t>
      </w:r>
      <w:r w:rsidRPr="007A41D5">
        <w:rPr>
          <w:rFonts w:ascii="Verdana" w:eastAsia="Calibri" w:hAnsi="Verdana" w:cs="Arial"/>
          <w:bCs/>
          <w:iCs/>
          <w:sz w:val="20"/>
          <w:szCs w:val="20"/>
          <w:lang w:eastAsia="es-ES_tradnl"/>
        </w:rPr>
        <w:t xml:space="preserve">todas las auditorías que le realicen, en la que se incluyan los resultados, hallazgos y seguimiento a las acciones de mejora; en el literal b se establece dos subreglas. La </w:t>
      </w:r>
      <w:r w:rsidRPr="007A41D5">
        <w:rPr>
          <w:rFonts w:ascii="Verdana" w:eastAsia="Calibri" w:hAnsi="Verdana" w:cs="Arial"/>
          <w:bCs/>
          <w:iCs/>
          <w:sz w:val="20"/>
          <w:szCs w:val="20"/>
          <w:lang w:eastAsia="es-ES_tradnl"/>
        </w:rPr>
        <w:lastRenderedPageBreak/>
        <w:t>primera está contenida en un primer aparte que dispone: “</w:t>
      </w:r>
      <w:r w:rsidRPr="007A41D5">
        <w:rPr>
          <w:rFonts w:ascii="Verdana" w:eastAsia="Calibri" w:hAnsi="Verdana" w:cs="Arial"/>
          <w:bCs/>
          <w:i/>
          <w:iCs/>
          <w:sz w:val="20"/>
          <w:szCs w:val="20"/>
          <w:lang w:eastAsia="es-ES_tradnl"/>
        </w:rPr>
        <w:t>Información detallada de los contratos que suscriban, incluyendo, como mínimo: valor del contrato, objeto contractual, identidad del contratista seleccionado; así como el enlace directo al proceso en el Sistema Electrónico de Contratación Pública (SECOP)”, lo cual implica el</w:t>
      </w:r>
      <w:r w:rsidRPr="007A41D5">
        <w:rPr>
          <w:rFonts w:ascii="Verdana" w:eastAsia="Calibri" w:hAnsi="Verdana" w:cs="Arial"/>
          <w:bCs/>
          <w:iCs/>
          <w:sz w:val="20"/>
          <w:szCs w:val="20"/>
          <w:lang w:eastAsia="es-ES_tradnl"/>
        </w:rPr>
        <w:t xml:space="preserve"> mandato de publicar en página web por parte de los sujetos obligados de la información detallada de los contratos celebrados, incluyendo su valor, objeto, identidad del contratista seleccionado, así como el enlace en el SECOP. </w:t>
      </w:r>
    </w:p>
    <w:p w14:paraId="107F09DF" w14:textId="77777777" w:rsidR="004A1F77" w:rsidRPr="007A41D5" w:rsidRDefault="004A1F77" w:rsidP="004A1F77">
      <w:pPr>
        <w:spacing w:after="0" w:line="240" w:lineRule="auto"/>
        <w:jc w:val="both"/>
        <w:rPr>
          <w:rFonts w:ascii="Verdana" w:eastAsia="Calibri" w:hAnsi="Verdana" w:cs="Arial"/>
          <w:bCs/>
          <w:iCs/>
          <w:sz w:val="20"/>
          <w:szCs w:val="20"/>
          <w:lang w:eastAsia="es-ES_tradnl"/>
        </w:rPr>
      </w:pPr>
    </w:p>
    <w:p w14:paraId="74AA74CB" w14:textId="77777777" w:rsidR="004A1F77" w:rsidRPr="007A41D5" w:rsidRDefault="004A1F77" w:rsidP="004A1F77">
      <w:pPr>
        <w:spacing w:after="0" w:line="240" w:lineRule="auto"/>
        <w:jc w:val="both"/>
        <w:rPr>
          <w:rFonts w:ascii="Verdana" w:eastAsia="Calibri" w:hAnsi="Verdana" w:cs="Arial"/>
          <w:bCs/>
          <w:iCs/>
          <w:sz w:val="20"/>
          <w:szCs w:val="20"/>
          <w:lang w:eastAsia="es-ES_tradnl"/>
        </w:rPr>
      </w:pPr>
      <w:r w:rsidRPr="007A41D5">
        <w:rPr>
          <w:rFonts w:ascii="Verdana" w:eastAsia="Calibri" w:hAnsi="Verdana" w:cs="Arial"/>
          <w:bCs/>
          <w:iCs/>
          <w:sz w:val="20"/>
          <w:szCs w:val="20"/>
          <w:lang w:eastAsia="es-ES_tradnl"/>
        </w:rPr>
        <w:t>Una segunda subregla que prescribe</w:t>
      </w:r>
      <w:r w:rsidRPr="007A41D5">
        <w:rPr>
          <w:rFonts w:ascii="Verdana" w:eastAsia="Calibri" w:hAnsi="Verdana" w:cs="Arial"/>
          <w:bCs/>
          <w:sz w:val="20"/>
          <w:szCs w:val="20"/>
          <w:lang w:eastAsia="es-ES_tradnl"/>
        </w:rPr>
        <w:t xml:space="preserve">: </w:t>
      </w:r>
      <w:r w:rsidRPr="007A41D5">
        <w:rPr>
          <w:rFonts w:ascii="Verdana" w:eastAsia="Calibri" w:hAnsi="Verdana" w:cs="Arial"/>
          <w:bCs/>
          <w:i/>
          <w:sz w:val="20"/>
          <w:szCs w:val="20"/>
          <w:lang w:eastAsia="es-ES_tradnl"/>
        </w:rPr>
        <w:t>“</w:t>
      </w:r>
      <w:r w:rsidRPr="007A41D5">
        <w:rPr>
          <w:rFonts w:ascii="Verdana" w:eastAsia="Calibri" w:hAnsi="Verdana" w:cs="Arial"/>
          <w:bCs/>
          <w:i/>
          <w:iCs/>
          <w:sz w:val="20"/>
          <w:szCs w:val="20"/>
          <w:lang w:eastAsia="es-ES_tradnl"/>
        </w:rPr>
        <w:t>En SECOP, además, debe estar publicada la información de ejecución del contrato, esto es, informes de supervisión e interventoría, actas de liquidación, requerimientos, etc. Esta información debe ser publicada dentro de los diez (10) días siguientes a la suscripción del contrato u ocurrencia del hecho. En ningún caso la información contractual podrá tener un rezago mayor a diez (10) días”.</w:t>
      </w:r>
      <w:r w:rsidRPr="007A41D5">
        <w:rPr>
          <w:rFonts w:ascii="Verdana" w:eastAsia="Calibri" w:hAnsi="Verdana" w:cs="Arial"/>
          <w:bCs/>
          <w:sz w:val="20"/>
          <w:szCs w:val="20"/>
          <w:lang w:eastAsia="es-ES_tradnl"/>
        </w:rPr>
        <w:t xml:space="preserve"> Esta subregla </w:t>
      </w:r>
      <w:r w:rsidRPr="007A41D5">
        <w:rPr>
          <w:rFonts w:ascii="Verdana" w:eastAsia="Calibri" w:hAnsi="Verdana" w:cs="Arial"/>
          <w:bCs/>
          <w:iCs/>
          <w:sz w:val="20"/>
          <w:szCs w:val="20"/>
          <w:lang w:eastAsia="es-ES_tradnl"/>
        </w:rPr>
        <w:t xml:space="preserve">prescribe el deber de publicar la información de ejecución del contrato, es decir, los informes de supervisión e interventoría, actas de liquidación, requerimientos, entre otros. Ahora bien, dicho literal también establece que esta información debe publicarse dentro de los diez (10) días siguientes a la ocurrencia del hecho, y en ningún caso puede haber retraso para el cumplimiento de este término, esto es, establece un límite máximo de publicación para los documentos de ejecución del contrato. </w:t>
      </w:r>
    </w:p>
    <w:p w14:paraId="4A4F8635" w14:textId="77777777" w:rsidR="004A1F77" w:rsidRPr="007A41D5" w:rsidRDefault="004A1F77" w:rsidP="004A1F77">
      <w:pPr>
        <w:spacing w:after="0" w:line="240" w:lineRule="auto"/>
        <w:jc w:val="both"/>
        <w:rPr>
          <w:rFonts w:ascii="Verdana" w:eastAsia="Calibri" w:hAnsi="Verdana" w:cs="Arial"/>
          <w:bCs/>
          <w:iCs/>
          <w:sz w:val="20"/>
          <w:szCs w:val="20"/>
          <w:lang w:eastAsia="es-ES_tradnl"/>
        </w:rPr>
      </w:pPr>
    </w:p>
    <w:p w14:paraId="67DC7FD6" w14:textId="77777777" w:rsidR="004A1F77" w:rsidRPr="007A41D5" w:rsidRDefault="004A1F77" w:rsidP="004A1F77">
      <w:pPr>
        <w:spacing w:after="0" w:line="240" w:lineRule="auto"/>
        <w:jc w:val="both"/>
        <w:rPr>
          <w:rFonts w:ascii="Verdana" w:eastAsia="Calibri" w:hAnsi="Verdana" w:cs="Arial"/>
          <w:bCs/>
          <w:iCs/>
          <w:sz w:val="20"/>
          <w:szCs w:val="20"/>
          <w:lang w:eastAsia="es-ES_tradnl"/>
        </w:rPr>
      </w:pPr>
      <w:r w:rsidRPr="007A41D5">
        <w:rPr>
          <w:rFonts w:ascii="Verdana" w:eastAsia="Calibri" w:hAnsi="Verdana" w:cs="Arial"/>
          <w:bCs/>
          <w:iCs/>
          <w:sz w:val="20"/>
          <w:szCs w:val="20"/>
          <w:lang w:eastAsia="es-ES_tradnl"/>
        </w:rPr>
        <w:t xml:space="preserve">No obstante, este artículo parece contradecirse, en un principio, con lo dispuesto en el artículo 2.2.1.1.1.7.1. del Decreto 1082 de 2015 que establece que la Entidad Estatal está obligada a publicar en el SECOP los Documentos del Proceso y los actos administrativos del Proceso de Contratación, dentro de los tres (3) días siguientes a su expedición, además, dispone que la oferta que debe publicarse es la del adjudicatario del Proceso de Contratación, y que los documentos de las operaciones que se realicen en bolsa de productos no tienen que publicarse en el SECOP. En este escenario, parece en un principio, un </w:t>
      </w:r>
      <w:r w:rsidRPr="007A41D5">
        <w:rPr>
          <w:rFonts w:ascii="Verdana" w:eastAsia="Calibri" w:hAnsi="Verdana" w:cs="Arial"/>
          <w:bCs/>
          <w:iCs/>
          <w:sz w:val="20"/>
          <w:szCs w:val="20"/>
          <w:lang w:val="es-ES_tradnl" w:eastAsia="es-ES_tradnl"/>
        </w:rPr>
        <w:t xml:space="preserve">conflicto entre la </w:t>
      </w:r>
      <w:r w:rsidRPr="007A41D5">
        <w:rPr>
          <w:rFonts w:ascii="Verdana" w:eastAsia="Calibri" w:hAnsi="Verdana" w:cs="Arial"/>
          <w:bCs/>
          <w:i/>
          <w:iCs/>
          <w:sz w:val="20"/>
          <w:szCs w:val="20"/>
          <w:lang w:val="es-ES_tradnl" w:eastAsia="es-ES_tradnl"/>
        </w:rPr>
        <w:t>regla general dispuesta en el Decreto 1082 de 2015</w:t>
      </w:r>
      <w:r w:rsidRPr="007A41D5">
        <w:rPr>
          <w:rFonts w:ascii="Verdana" w:eastAsia="Calibri" w:hAnsi="Verdana" w:cs="Arial"/>
          <w:bCs/>
          <w:iCs/>
          <w:sz w:val="20"/>
          <w:szCs w:val="20"/>
          <w:lang w:val="es-ES_tradnl" w:eastAsia="es-ES_tradnl"/>
        </w:rPr>
        <w:t xml:space="preserve"> y la </w:t>
      </w:r>
      <w:r w:rsidRPr="007A41D5">
        <w:rPr>
          <w:rFonts w:ascii="Verdana" w:eastAsia="Calibri" w:hAnsi="Verdana" w:cs="Arial"/>
          <w:bCs/>
          <w:i/>
          <w:iCs/>
          <w:sz w:val="20"/>
          <w:szCs w:val="20"/>
          <w:lang w:val="es-ES_tradnl" w:eastAsia="es-ES_tradnl"/>
        </w:rPr>
        <w:t>regla especial que dispone un término máximo para publicar la información para entidades del orden nacional</w:t>
      </w:r>
      <w:r w:rsidRPr="007A41D5">
        <w:rPr>
          <w:rFonts w:ascii="Verdana" w:eastAsia="Calibri" w:hAnsi="Verdana" w:cs="Arial"/>
          <w:bCs/>
          <w:iCs/>
          <w:sz w:val="20"/>
          <w:szCs w:val="20"/>
          <w:lang w:val="es-ES_tradnl" w:eastAsia="es-ES_tradnl"/>
        </w:rPr>
        <w:t xml:space="preserve">, siendo necesario acudir al problema con fundamento en el artículo 5.1 de la Ley 57 de 1887. Según esta norma, “[…] Si en los Códigos que se adoptan se hallaren algunas disposiciones incompatibles entre sí […] </w:t>
      </w:r>
      <w:r w:rsidRPr="007A41D5">
        <w:rPr>
          <w:rFonts w:ascii="Verdana" w:eastAsia="Calibri" w:hAnsi="Verdana" w:cs="Arial"/>
          <w:bCs/>
          <w:i/>
          <w:iCs/>
          <w:sz w:val="20"/>
          <w:szCs w:val="20"/>
          <w:lang w:val="es-ES_tradnl" w:eastAsia="es-ES_tradnl"/>
        </w:rPr>
        <w:t>La disposición relativa a un asunto especial prefiere a la que tenga carácter general</w:t>
      </w:r>
      <w:r w:rsidRPr="007A41D5">
        <w:rPr>
          <w:rFonts w:ascii="Verdana" w:eastAsia="Calibri" w:hAnsi="Verdana" w:cs="Arial"/>
          <w:bCs/>
          <w:iCs/>
          <w:sz w:val="20"/>
          <w:szCs w:val="20"/>
          <w:lang w:val="es-ES_tradnl" w:eastAsia="es-ES_tradnl"/>
        </w:rPr>
        <w:t xml:space="preserve"> […]” (Énfasis fuera de texto). </w:t>
      </w:r>
    </w:p>
    <w:p w14:paraId="112113C1" w14:textId="77777777" w:rsidR="004A1F77" w:rsidRPr="007A41D5" w:rsidRDefault="004A1F77" w:rsidP="004A1F77">
      <w:pPr>
        <w:spacing w:after="0" w:line="240" w:lineRule="auto"/>
        <w:jc w:val="both"/>
        <w:rPr>
          <w:rFonts w:ascii="Verdana" w:eastAsia="Calibri" w:hAnsi="Verdana" w:cs="Arial"/>
          <w:bCs/>
          <w:iCs/>
          <w:sz w:val="20"/>
          <w:szCs w:val="20"/>
          <w:lang w:eastAsia="es-ES_tradnl"/>
        </w:rPr>
      </w:pPr>
    </w:p>
    <w:p w14:paraId="3CFF92E1" w14:textId="77777777" w:rsidR="004A1F77" w:rsidRPr="007A41D5" w:rsidRDefault="004A1F77" w:rsidP="004A1F77">
      <w:pPr>
        <w:spacing w:after="0" w:line="240" w:lineRule="auto"/>
        <w:jc w:val="both"/>
        <w:rPr>
          <w:rFonts w:ascii="Verdana" w:eastAsia="Calibri" w:hAnsi="Verdana" w:cs="Arial"/>
          <w:bCs/>
          <w:iCs/>
          <w:sz w:val="20"/>
          <w:szCs w:val="20"/>
          <w:lang w:eastAsia="es-ES_tradnl"/>
        </w:rPr>
      </w:pPr>
      <w:r w:rsidRPr="007A41D5">
        <w:rPr>
          <w:rFonts w:ascii="Verdana" w:eastAsia="Calibri" w:hAnsi="Verdana" w:cs="Arial"/>
          <w:bCs/>
          <w:iCs/>
          <w:sz w:val="20"/>
          <w:szCs w:val="20"/>
          <w:lang w:val="es-ES_tradnl" w:eastAsia="es-ES_tradnl"/>
        </w:rPr>
        <w:t xml:space="preserve">Por tanto, la regla dispuesta en el </w:t>
      </w:r>
      <w:r w:rsidRPr="007A41D5">
        <w:rPr>
          <w:rFonts w:ascii="Verdana" w:eastAsia="Calibri" w:hAnsi="Verdana" w:cs="Arial"/>
          <w:bCs/>
          <w:iCs/>
          <w:sz w:val="20"/>
          <w:szCs w:val="20"/>
          <w:lang w:eastAsia="es-ES_tradnl"/>
        </w:rPr>
        <w:t xml:space="preserve">artículo 2.1.4.3.2.2 del Decreto 1081 de 2015 </w:t>
      </w:r>
      <w:r w:rsidRPr="007A41D5">
        <w:rPr>
          <w:rFonts w:ascii="Verdana" w:eastAsia="Calibri" w:hAnsi="Verdana" w:cs="Arial"/>
          <w:bCs/>
          <w:iCs/>
          <w:sz w:val="20"/>
          <w:szCs w:val="20"/>
          <w:lang w:val="es-ES_tradnl" w:eastAsia="es-ES_tradnl"/>
        </w:rPr>
        <w:t>–</w:t>
      </w:r>
      <w:r w:rsidRPr="007A41D5">
        <w:rPr>
          <w:rFonts w:ascii="Verdana" w:eastAsia="Calibri" w:hAnsi="Verdana" w:cs="Arial"/>
          <w:bCs/>
          <w:i/>
          <w:iCs/>
          <w:sz w:val="20"/>
          <w:szCs w:val="20"/>
          <w:lang w:val="es-ES_tradnl" w:eastAsia="es-ES_tradnl"/>
        </w:rPr>
        <w:t>regla especial</w:t>
      </w:r>
      <w:r w:rsidRPr="007A41D5">
        <w:rPr>
          <w:rFonts w:ascii="Verdana" w:eastAsia="Calibri" w:hAnsi="Verdana" w:cs="Arial"/>
          <w:bCs/>
          <w:iCs/>
          <w:sz w:val="20"/>
          <w:szCs w:val="20"/>
          <w:lang w:val="es-ES_tradnl" w:eastAsia="es-ES_tradnl"/>
        </w:rPr>
        <w:t xml:space="preserve">– debe tenerse en cuenta sobre el entendimiento y aplicación del artículo </w:t>
      </w:r>
      <w:r w:rsidRPr="007A41D5">
        <w:rPr>
          <w:rFonts w:ascii="Verdana" w:eastAsia="Calibri" w:hAnsi="Verdana" w:cs="Arial"/>
          <w:bCs/>
          <w:iCs/>
          <w:sz w:val="20"/>
          <w:szCs w:val="20"/>
          <w:lang w:eastAsia="es-ES_tradnl"/>
        </w:rPr>
        <w:t>2.2.1.1.1.7.1. del Decreto 1082 de 2015</w:t>
      </w:r>
      <w:r w:rsidRPr="007A41D5">
        <w:rPr>
          <w:rFonts w:ascii="Verdana" w:eastAsia="Calibri" w:hAnsi="Verdana" w:cs="Arial"/>
          <w:bCs/>
          <w:iCs/>
          <w:sz w:val="20"/>
          <w:szCs w:val="20"/>
          <w:lang w:val="es-ES_tradnl" w:eastAsia="es-ES_tradnl"/>
        </w:rPr>
        <w:t xml:space="preserve"> –</w:t>
      </w:r>
      <w:r w:rsidRPr="007A41D5">
        <w:rPr>
          <w:rFonts w:ascii="Verdana" w:eastAsia="Calibri" w:hAnsi="Verdana" w:cs="Arial"/>
          <w:bCs/>
          <w:i/>
          <w:iCs/>
          <w:sz w:val="20"/>
          <w:szCs w:val="20"/>
          <w:lang w:val="es-ES_tradnl" w:eastAsia="es-ES_tradnl"/>
        </w:rPr>
        <w:t>regla general</w:t>
      </w:r>
      <w:r w:rsidRPr="007A41D5">
        <w:rPr>
          <w:rFonts w:ascii="Verdana" w:eastAsia="Calibri" w:hAnsi="Verdana" w:cs="Arial"/>
          <w:bCs/>
          <w:iCs/>
          <w:sz w:val="20"/>
          <w:szCs w:val="20"/>
          <w:lang w:val="es-ES_tradnl" w:eastAsia="es-ES_tradnl"/>
        </w:rPr>
        <w:t xml:space="preserve">–, esto es, deben interpretarse armónicamente. Esto no significa que la </w:t>
      </w:r>
      <w:r w:rsidRPr="007A41D5">
        <w:rPr>
          <w:rFonts w:ascii="Verdana" w:eastAsia="Calibri" w:hAnsi="Verdana" w:cs="Arial"/>
          <w:bCs/>
          <w:i/>
          <w:iCs/>
          <w:sz w:val="20"/>
          <w:szCs w:val="20"/>
          <w:lang w:val="es-ES_tradnl" w:eastAsia="es-ES_tradnl"/>
        </w:rPr>
        <w:t>regla general</w:t>
      </w:r>
      <w:r w:rsidRPr="007A41D5">
        <w:rPr>
          <w:rFonts w:ascii="Verdana" w:eastAsia="Calibri" w:hAnsi="Verdana" w:cs="Arial"/>
          <w:bCs/>
          <w:iCs/>
          <w:sz w:val="20"/>
          <w:szCs w:val="20"/>
          <w:lang w:val="es-ES_tradnl" w:eastAsia="es-ES_tradnl"/>
        </w:rPr>
        <w:t xml:space="preserve"> desaparezca del ordenamiento jurídico; todo lo contrario, esta aplica en todos los supuestos que regula, y se interpreta de forma integral con los supuestos previstos en la </w:t>
      </w:r>
      <w:r w:rsidRPr="007A41D5">
        <w:rPr>
          <w:rFonts w:ascii="Verdana" w:eastAsia="Calibri" w:hAnsi="Verdana" w:cs="Arial"/>
          <w:bCs/>
          <w:i/>
          <w:iCs/>
          <w:sz w:val="20"/>
          <w:szCs w:val="20"/>
          <w:lang w:val="es-ES_tradnl" w:eastAsia="es-ES_tradnl"/>
        </w:rPr>
        <w:t>regla especial</w:t>
      </w:r>
      <w:r w:rsidRPr="007A41D5">
        <w:rPr>
          <w:rFonts w:ascii="Verdana" w:eastAsia="Calibri" w:hAnsi="Verdana" w:cs="Arial"/>
          <w:bCs/>
          <w:iCs/>
          <w:sz w:val="20"/>
          <w:szCs w:val="20"/>
          <w:lang w:val="es-ES_tradnl" w:eastAsia="es-ES_tradnl"/>
        </w:rPr>
        <w:t xml:space="preserve">. De esta manera, el término de diez (10) días es un plazo máximo para las entidades y </w:t>
      </w:r>
      <w:r w:rsidRPr="007A41D5">
        <w:rPr>
          <w:rFonts w:ascii="Verdana" w:eastAsia="Calibri" w:hAnsi="Verdana" w:cs="Arial"/>
          <w:bCs/>
          <w:sz w:val="20"/>
          <w:szCs w:val="20"/>
          <w:lang w:eastAsia="es-ES_tradnl"/>
        </w:rPr>
        <w:t>empresas del Estado</w:t>
      </w:r>
      <w:r w:rsidRPr="007A41D5">
        <w:rPr>
          <w:rFonts w:ascii="Verdana" w:eastAsia="Calibri" w:hAnsi="Verdana" w:cs="Arial"/>
          <w:bCs/>
          <w:i/>
          <w:iCs/>
          <w:sz w:val="20"/>
          <w:szCs w:val="20"/>
          <w:lang w:eastAsia="es-ES_tradnl"/>
        </w:rPr>
        <w:t xml:space="preserve"> </w:t>
      </w:r>
      <w:r w:rsidRPr="007A41D5">
        <w:rPr>
          <w:rFonts w:ascii="Verdana" w:eastAsia="Calibri" w:hAnsi="Verdana" w:cs="Arial"/>
          <w:bCs/>
          <w:iCs/>
          <w:sz w:val="20"/>
          <w:szCs w:val="20"/>
          <w:lang w:eastAsia="es-ES_tradnl"/>
        </w:rPr>
        <w:t xml:space="preserve">del orden nacional y pertenecientes a la Rama Ejecutiva del Poder Público para publicar en SECOP, en todo caso, precisando la regla general sigue vigente, y que, en un principio, el término para publicar es de tres (3) días siguientes a la expedición, de conformidad a lo prescrito en el Decreto 1082 de 2015. </w:t>
      </w:r>
    </w:p>
    <w:p w14:paraId="33B28B52" w14:textId="77777777" w:rsidR="004A1F77" w:rsidRPr="007A41D5" w:rsidRDefault="004A1F77" w:rsidP="004A1F77">
      <w:pPr>
        <w:spacing w:after="0" w:line="240" w:lineRule="auto"/>
        <w:jc w:val="both"/>
        <w:rPr>
          <w:rFonts w:ascii="Verdana" w:eastAsia="Calibri" w:hAnsi="Verdana" w:cs="Arial"/>
          <w:bCs/>
          <w:iCs/>
          <w:sz w:val="20"/>
          <w:szCs w:val="20"/>
          <w:lang w:eastAsia="es-ES_tradnl"/>
        </w:rPr>
      </w:pPr>
    </w:p>
    <w:p w14:paraId="63978A80" w14:textId="77777777" w:rsidR="004A1F77" w:rsidRPr="007A41D5" w:rsidRDefault="004A1F77" w:rsidP="004A1F77">
      <w:pPr>
        <w:spacing w:after="0" w:line="240" w:lineRule="auto"/>
        <w:jc w:val="both"/>
        <w:rPr>
          <w:rFonts w:ascii="Verdana" w:eastAsia="Calibri" w:hAnsi="Verdana" w:cs="Arial"/>
          <w:bCs/>
          <w:iCs/>
          <w:sz w:val="20"/>
          <w:szCs w:val="20"/>
          <w:lang w:eastAsia="es-ES_tradnl"/>
        </w:rPr>
      </w:pPr>
      <w:r w:rsidRPr="007A41D5">
        <w:rPr>
          <w:rFonts w:ascii="Verdana" w:eastAsia="Calibri" w:hAnsi="Verdana" w:cs="Arial"/>
          <w:bCs/>
          <w:iCs/>
          <w:sz w:val="20"/>
          <w:szCs w:val="20"/>
          <w:lang w:val="es-ES" w:eastAsia="es-ES_tradnl"/>
        </w:rPr>
        <w:lastRenderedPageBreak/>
        <w:t xml:space="preserve">Así las cosas, el término de diez (10) días es un límite máximo para publicar por parte de las entidades del orden nacional sometidas a lo dispuesto en el Decreto 1600 de 2024 que modifica el Decreto 1081 de 2015 en cuanto a los documentos de ejecución del contrato, como son las actas de supervisión o interventoría, requerimientos, entre otros. Esto, sin perjuicio del deber general de publicar, en principio, dentro de los tres (3) días siguientes a la expedición de los documentos del proceso que no son transaccionales y que no tienen la calidad de ser documentos de ejecución.  </w:t>
      </w:r>
    </w:p>
    <w:p w14:paraId="47A935CE" w14:textId="77777777" w:rsidR="004A1F77" w:rsidRDefault="004A1F77" w:rsidP="004A1F77">
      <w:pPr>
        <w:spacing w:after="0" w:line="240" w:lineRule="auto"/>
        <w:rPr>
          <w:rFonts w:ascii="Verdana" w:hAnsi="Verdana"/>
        </w:rPr>
      </w:pPr>
    </w:p>
    <w:p w14:paraId="4181E97E" w14:textId="77777777" w:rsidR="004A1F77" w:rsidRDefault="004A1F77" w:rsidP="004A1F77">
      <w:pPr>
        <w:spacing w:after="0" w:line="240" w:lineRule="auto"/>
        <w:rPr>
          <w:rFonts w:ascii="Verdana" w:hAnsi="Verdana"/>
        </w:rPr>
      </w:pPr>
    </w:p>
    <w:p w14:paraId="2FE74F75" w14:textId="77777777" w:rsidR="004A1F77" w:rsidRDefault="004A1F77" w:rsidP="004A1F77">
      <w:pPr>
        <w:spacing w:after="0" w:line="240" w:lineRule="auto"/>
        <w:rPr>
          <w:rFonts w:ascii="Verdana" w:hAnsi="Verdana"/>
        </w:rPr>
      </w:pPr>
    </w:p>
    <w:p w14:paraId="57DFF652" w14:textId="77777777" w:rsidR="004A1F77" w:rsidRDefault="004A1F77" w:rsidP="004A1F77">
      <w:pPr>
        <w:spacing w:after="0" w:line="240" w:lineRule="auto"/>
        <w:rPr>
          <w:rFonts w:ascii="Verdana" w:hAnsi="Verdana"/>
        </w:rPr>
      </w:pPr>
    </w:p>
    <w:p w14:paraId="45F9982E" w14:textId="77777777" w:rsidR="004A1F77" w:rsidRDefault="004A1F77" w:rsidP="004A1F77">
      <w:pPr>
        <w:spacing w:after="0" w:line="240" w:lineRule="auto"/>
        <w:rPr>
          <w:rFonts w:ascii="Verdana" w:hAnsi="Verdana"/>
        </w:rPr>
      </w:pPr>
    </w:p>
    <w:p w14:paraId="1350083C" w14:textId="77777777" w:rsidR="004A1F77" w:rsidRDefault="004A1F77" w:rsidP="004A1F77">
      <w:pPr>
        <w:spacing w:after="0" w:line="240" w:lineRule="auto"/>
        <w:rPr>
          <w:rFonts w:ascii="Verdana" w:hAnsi="Verdana"/>
        </w:rPr>
      </w:pPr>
    </w:p>
    <w:p w14:paraId="0058B261" w14:textId="77777777" w:rsidR="004A1F77" w:rsidRDefault="004A1F77" w:rsidP="004A1F77">
      <w:pPr>
        <w:spacing w:after="0" w:line="240" w:lineRule="auto"/>
        <w:rPr>
          <w:rFonts w:ascii="Verdana" w:hAnsi="Verdana"/>
        </w:rPr>
      </w:pPr>
    </w:p>
    <w:p w14:paraId="65BFD8C6" w14:textId="77777777" w:rsidR="004A1F77" w:rsidRDefault="004A1F77" w:rsidP="004A1F77">
      <w:pPr>
        <w:spacing w:after="0" w:line="240" w:lineRule="auto"/>
        <w:rPr>
          <w:rFonts w:ascii="Verdana" w:hAnsi="Verdana"/>
        </w:rPr>
      </w:pPr>
    </w:p>
    <w:p w14:paraId="0BEC2436" w14:textId="77777777" w:rsidR="004A1F77" w:rsidRDefault="004A1F77" w:rsidP="004A1F77">
      <w:pPr>
        <w:spacing w:after="0" w:line="240" w:lineRule="auto"/>
        <w:rPr>
          <w:rFonts w:ascii="Verdana" w:hAnsi="Verdana"/>
        </w:rPr>
      </w:pPr>
    </w:p>
    <w:p w14:paraId="7D35EC47" w14:textId="77777777" w:rsidR="004A1F77" w:rsidRDefault="004A1F77" w:rsidP="004A1F77">
      <w:pPr>
        <w:spacing w:after="0" w:line="240" w:lineRule="auto"/>
        <w:rPr>
          <w:rFonts w:ascii="Verdana" w:hAnsi="Verdana"/>
        </w:rPr>
      </w:pPr>
    </w:p>
    <w:p w14:paraId="18B656A2" w14:textId="77777777" w:rsidR="004A1F77" w:rsidRDefault="004A1F77" w:rsidP="004A1F77">
      <w:pPr>
        <w:spacing w:after="0" w:line="240" w:lineRule="auto"/>
        <w:rPr>
          <w:rFonts w:ascii="Verdana" w:hAnsi="Verdana"/>
        </w:rPr>
      </w:pPr>
    </w:p>
    <w:p w14:paraId="26263BA0" w14:textId="77777777" w:rsidR="004A1F77" w:rsidRDefault="004A1F77" w:rsidP="004A1F77">
      <w:pPr>
        <w:spacing w:after="0" w:line="240" w:lineRule="auto"/>
        <w:rPr>
          <w:rFonts w:ascii="Verdana" w:hAnsi="Verdana"/>
        </w:rPr>
      </w:pPr>
    </w:p>
    <w:p w14:paraId="23CA3A80" w14:textId="77777777" w:rsidR="004A1F77" w:rsidRDefault="004A1F77" w:rsidP="004A1F77">
      <w:pPr>
        <w:spacing w:after="0" w:line="240" w:lineRule="auto"/>
        <w:rPr>
          <w:rFonts w:ascii="Verdana" w:hAnsi="Verdana"/>
        </w:rPr>
      </w:pPr>
    </w:p>
    <w:p w14:paraId="2032FE05" w14:textId="77777777" w:rsidR="004A1F77" w:rsidRDefault="004A1F77" w:rsidP="004A1F77">
      <w:pPr>
        <w:spacing w:after="0" w:line="240" w:lineRule="auto"/>
        <w:rPr>
          <w:rFonts w:ascii="Verdana" w:hAnsi="Verdana"/>
        </w:rPr>
      </w:pPr>
    </w:p>
    <w:p w14:paraId="5F47BE29" w14:textId="77777777" w:rsidR="004A1F77" w:rsidRDefault="004A1F77" w:rsidP="004A1F77">
      <w:pPr>
        <w:spacing w:after="0" w:line="240" w:lineRule="auto"/>
        <w:rPr>
          <w:rFonts w:ascii="Verdana" w:hAnsi="Verdana"/>
        </w:rPr>
      </w:pPr>
    </w:p>
    <w:p w14:paraId="5E571B83" w14:textId="77777777" w:rsidR="004A1F77" w:rsidRDefault="004A1F77" w:rsidP="004A1F77">
      <w:pPr>
        <w:spacing w:after="0" w:line="240" w:lineRule="auto"/>
        <w:rPr>
          <w:rFonts w:ascii="Verdana" w:hAnsi="Verdana"/>
        </w:rPr>
      </w:pPr>
    </w:p>
    <w:p w14:paraId="4EC74AA7" w14:textId="77777777" w:rsidR="004A1F77" w:rsidRDefault="004A1F77" w:rsidP="004A1F77">
      <w:pPr>
        <w:spacing w:after="0" w:line="240" w:lineRule="auto"/>
        <w:rPr>
          <w:rFonts w:ascii="Verdana" w:hAnsi="Verdana"/>
        </w:rPr>
      </w:pPr>
    </w:p>
    <w:p w14:paraId="36099043" w14:textId="77777777" w:rsidR="009A5D6C" w:rsidRDefault="009A5D6C" w:rsidP="00103B90">
      <w:pPr>
        <w:spacing w:after="0" w:line="240" w:lineRule="auto"/>
        <w:rPr>
          <w:rFonts w:ascii="Verdana" w:hAnsi="Verdana"/>
        </w:rPr>
      </w:pPr>
    </w:p>
    <w:p w14:paraId="4661CB1F" w14:textId="77777777" w:rsidR="009A5D6C" w:rsidRDefault="009A5D6C" w:rsidP="00103B90">
      <w:pPr>
        <w:spacing w:after="0" w:line="240" w:lineRule="auto"/>
        <w:rPr>
          <w:rFonts w:ascii="Verdana" w:hAnsi="Verdana"/>
        </w:rPr>
      </w:pPr>
    </w:p>
    <w:p w14:paraId="75B9286C" w14:textId="77777777" w:rsidR="009A5D6C" w:rsidRDefault="009A5D6C" w:rsidP="00103B90">
      <w:pPr>
        <w:spacing w:after="0" w:line="240" w:lineRule="auto"/>
        <w:rPr>
          <w:rFonts w:ascii="Verdana" w:hAnsi="Verdana"/>
        </w:rPr>
      </w:pPr>
    </w:p>
    <w:p w14:paraId="4174E2A0" w14:textId="77777777" w:rsidR="009A5D6C" w:rsidRDefault="009A5D6C" w:rsidP="00103B90">
      <w:pPr>
        <w:spacing w:after="0" w:line="240" w:lineRule="auto"/>
        <w:rPr>
          <w:rFonts w:ascii="Verdana" w:hAnsi="Verdana"/>
        </w:rPr>
      </w:pPr>
    </w:p>
    <w:p w14:paraId="3D3EC5FF" w14:textId="77777777" w:rsidR="009A5D6C" w:rsidRDefault="009A5D6C" w:rsidP="00103B90">
      <w:pPr>
        <w:spacing w:after="0" w:line="240" w:lineRule="auto"/>
        <w:rPr>
          <w:rFonts w:ascii="Verdana" w:hAnsi="Verdana"/>
        </w:rPr>
      </w:pPr>
    </w:p>
    <w:p w14:paraId="79CE369A" w14:textId="77777777" w:rsidR="009A5D6C" w:rsidRDefault="009A5D6C" w:rsidP="00103B90">
      <w:pPr>
        <w:spacing w:after="0" w:line="240" w:lineRule="auto"/>
        <w:rPr>
          <w:rFonts w:ascii="Verdana" w:hAnsi="Verdana"/>
        </w:rPr>
      </w:pPr>
    </w:p>
    <w:p w14:paraId="7B00A397" w14:textId="77777777" w:rsidR="009A5D6C" w:rsidRDefault="009A5D6C" w:rsidP="00103B90">
      <w:pPr>
        <w:spacing w:after="0" w:line="240" w:lineRule="auto"/>
        <w:rPr>
          <w:rFonts w:ascii="Verdana" w:hAnsi="Verdana"/>
        </w:rPr>
      </w:pPr>
    </w:p>
    <w:p w14:paraId="660EB39D" w14:textId="77777777" w:rsidR="009A5D6C" w:rsidRDefault="009A5D6C" w:rsidP="00103B90">
      <w:pPr>
        <w:spacing w:after="0" w:line="240" w:lineRule="auto"/>
        <w:rPr>
          <w:rFonts w:ascii="Verdana" w:hAnsi="Verdana"/>
        </w:rPr>
      </w:pPr>
    </w:p>
    <w:p w14:paraId="68A9D346" w14:textId="77777777" w:rsidR="009A5D6C" w:rsidRDefault="009A5D6C" w:rsidP="00103B90">
      <w:pPr>
        <w:spacing w:after="0" w:line="240" w:lineRule="auto"/>
        <w:rPr>
          <w:rFonts w:ascii="Verdana" w:hAnsi="Verdana"/>
        </w:rPr>
      </w:pPr>
    </w:p>
    <w:p w14:paraId="68EC1CF2" w14:textId="77777777" w:rsidR="009A5D6C" w:rsidRDefault="009A5D6C" w:rsidP="00103B90">
      <w:pPr>
        <w:spacing w:after="0" w:line="240" w:lineRule="auto"/>
        <w:rPr>
          <w:rFonts w:ascii="Verdana" w:hAnsi="Verdana"/>
        </w:rPr>
      </w:pPr>
    </w:p>
    <w:p w14:paraId="5FFDB903" w14:textId="77777777" w:rsidR="009A5D6C" w:rsidRDefault="009A5D6C" w:rsidP="00103B90">
      <w:pPr>
        <w:spacing w:after="0" w:line="240" w:lineRule="auto"/>
        <w:rPr>
          <w:rFonts w:ascii="Verdana" w:hAnsi="Verdana"/>
        </w:rPr>
      </w:pPr>
    </w:p>
    <w:p w14:paraId="20C4A5DE" w14:textId="77777777" w:rsidR="009A5D6C" w:rsidRDefault="009A5D6C" w:rsidP="00103B90">
      <w:pPr>
        <w:spacing w:after="0" w:line="240" w:lineRule="auto"/>
        <w:rPr>
          <w:rFonts w:ascii="Verdana" w:hAnsi="Verdana"/>
        </w:rPr>
      </w:pPr>
    </w:p>
    <w:p w14:paraId="011E5068" w14:textId="77777777" w:rsidR="004A1F77" w:rsidRDefault="004A1F77" w:rsidP="00103B90">
      <w:pPr>
        <w:spacing w:after="0" w:line="240" w:lineRule="auto"/>
        <w:rPr>
          <w:rFonts w:ascii="Verdana" w:hAnsi="Verdana"/>
        </w:rPr>
      </w:pPr>
    </w:p>
    <w:p w14:paraId="1A7FFA19" w14:textId="77777777" w:rsidR="004A1F77" w:rsidRDefault="004A1F77" w:rsidP="00103B90">
      <w:pPr>
        <w:spacing w:after="0" w:line="240" w:lineRule="auto"/>
        <w:rPr>
          <w:rFonts w:ascii="Verdana" w:hAnsi="Verdana"/>
        </w:rPr>
      </w:pPr>
    </w:p>
    <w:p w14:paraId="342CC8FD" w14:textId="77777777" w:rsidR="004A1F77" w:rsidRDefault="004A1F77" w:rsidP="00103B90">
      <w:pPr>
        <w:spacing w:after="0" w:line="240" w:lineRule="auto"/>
        <w:rPr>
          <w:rFonts w:ascii="Verdana" w:hAnsi="Verdana"/>
        </w:rPr>
      </w:pPr>
    </w:p>
    <w:p w14:paraId="451E0DC2" w14:textId="77777777" w:rsidR="004A1F77" w:rsidRDefault="004A1F77" w:rsidP="00103B90">
      <w:pPr>
        <w:spacing w:after="0" w:line="240" w:lineRule="auto"/>
        <w:rPr>
          <w:rFonts w:ascii="Verdana" w:hAnsi="Verdana"/>
        </w:rPr>
      </w:pPr>
    </w:p>
    <w:p w14:paraId="50B16376" w14:textId="77777777" w:rsidR="009A5D6C" w:rsidRDefault="009A5D6C" w:rsidP="00103B90">
      <w:pPr>
        <w:spacing w:after="0" w:line="240" w:lineRule="auto"/>
        <w:rPr>
          <w:rFonts w:ascii="Verdana" w:hAnsi="Verdana"/>
        </w:rPr>
      </w:pPr>
    </w:p>
    <w:p w14:paraId="2B8AF767" w14:textId="77777777" w:rsidR="009A5D6C" w:rsidRDefault="009A5D6C" w:rsidP="00103B90">
      <w:pPr>
        <w:spacing w:after="0" w:line="240" w:lineRule="auto"/>
        <w:rPr>
          <w:rFonts w:ascii="Verdana" w:hAnsi="Verdana"/>
        </w:rPr>
      </w:pPr>
    </w:p>
    <w:p w14:paraId="358DED79" w14:textId="77777777" w:rsidR="009A5D6C" w:rsidRDefault="009A5D6C" w:rsidP="00103B90">
      <w:pPr>
        <w:spacing w:after="0" w:line="240" w:lineRule="auto"/>
        <w:rPr>
          <w:rFonts w:ascii="Verdana" w:hAnsi="Verdana"/>
        </w:rPr>
      </w:pPr>
    </w:p>
    <w:p w14:paraId="349E18B9" w14:textId="77777777" w:rsidR="009A5D6C" w:rsidRDefault="009A5D6C" w:rsidP="00103B90">
      <w:pPr>
        <w:spacing w:after="0" w:line="240" w:lineRule="auto"/>
        <w:rPr>
          <w:rFonts w:ascii="Verdana" w:hAnsi="Verdana"/>
        </w:rPr>
      </w:pPr>
    </w:p>
    <w:p w14:paraId="734BF481" w14:textId="74DE41D5" w:rsidR="00A64017" w:rsidRDefault="00A800B4" w:rsidP="00103B90">
      <w:pPr>
        <w:spacing w:after="0" w:line="240" w:lineRule="auto"/>
        <w:rPr>
          <w:rFonts w:ascii="Verdana" w:hAnsi="Verdana"/>
        </w:rPr>
      </w:pPr>
      <w:r w:rsidRPr="1CF8DA07">
        <w:rPr>
          <w:rFonts w:ascii="Verdana" w:hAnsi="Verdana"/>
        </w:rPr>
        <w:lastRenderedPageBreak/>
        <w:t>B</w:t>
      </w:r>
      <w:r w:rsidR="00A64017" w:rsidRPr="1CF8DA07">
        <w:rPr>
          <w:rFonts w:ascii="Verdana" w:hAnsi="Verdana"/>
        </w:rPr>
        <w:t xml:space="preserve">ogotá D.C., </w:t>
      </w:r>
      <w:r w:rsidR="2B779FE3" w:rsidRPr="1CF8DA07">
        <w:rPr>
          <w:rFonts w:ascii="Verdana" w:hAnsi="Verdana"/>
        </w:rPr>
        <w:t>09</w:t>
      </w:r>
      <w:r w:rsidR="00324E0B" w:rsidRPr="1CF8DA07">
        <w:rPr>
          <w:rFonts w:ascii="Verdana" w:hAnsi="Verdana"/>
        </w:rPr>
        <w:t xml:space="preserve"> </w:t>
      </w:r>
      <w:r w:rsidR="00763E4A" w:rsidRPr="1CF8DA07">
        <w:rPr>
          <w:rFonts w:ascii="Verdana" w:hAnsi="Verdana"/>
        </w:rPr>
        <w:t xml:space="preserve">de </w:t>
      </w:r>
      <w:r w:rsidR="4EFF10BB" w:rsidRPr="1CF8DA07">
        <w:rPr>
          <w:rFonts w:ascii="Verdana" w:hAnsi="Verdana"/>
        </w:rPr>
        <w:t>octubre</w:t>
      </w:r>
      <w:r w:rsidR="00763E4A" w:rsidRPr="1CF8DA07">
        <w:rPr>
          <w:rFonts w:ascii="Verdana" w:hAnsi="Verdana"/>
        </w:rPr>
        <w:t xml:space="preserve"> de </w:t>
      </w:r>
      <w:proofErr w:type="gramStart"/>
      <w:r w:rsidR="0FDC10B9" w:rsidRPr="1CF8DA07">
        <w:rPr>
          <w:rFonts w:ascii="Verdana" w:hAnsi="Verdana"/>
        </w:rPr>
        <w:t>2025</w:t>
      </w:r>
      <w:r w:rsidR="00324E0B" w:rsidRPr="1CF8DA07">
        <w:rPr>
          <w:rFonts w:ascii="Verdana" w:hAnsi="Verdana"/>
        </w:rPr>
        <w:t xml:space="preserve"> </w:t>
      </w:r>
      <w:r w:rsidR="00763E4A" w:rsidRPr="1CF8DA07">
        <w:rPr>
          <w:rFonts w:ascii="Verdana" w:hAnsi="Verdana"/>
        </w:rPr>
        <w:t>.</w:t>
      </w:r>
      <w:proofErr w:type="gramEnd"/>
    </w:p>
    <w:bookmarkEnd w:id="0"/>
    <w:p w14:paraId="43EFFE03" w14:textId="77777777" w:rsidR="00A64017" w:rsidRDefault="00A64017" w:rsidP="00103B90">
      <w:pPr>
        <w:spacing w:after="0" w:line="240" w:lineRule="auto"/>
        <w:rPr>
          <w:rFonts w:ascii="Verdana" w:hAnsi="Verdana"/>
        </w:rPr>
      </w:pPr>
    </w:p>
    <w:p w14:paraId="07DD57DD" w14:textId="15B5DFE9" w:rsidR="1CF8DA07" w:rsidRDefault="1CF8DA07" w:rsidP="1CF8DA07">
      <w:pPr>
        <w:spacing w:after="0" w:line="240" w:lineRule="auto"/>
        <w:rPr>
          <w:rFonts w:ascii="Verdana" w:hAnsi="Verdana"/>
        </w:rPr>
      </w:pPr>
    </w:p>
    <w:p w14:paraId="1A73ACA7" w14:textId="21AA1A2D" w:rsidR="0BB85D00" w:rsidRDefault="0BB85D00" w:rsidP="1CF8DA07">
      <w:pPr>
        <w:spacing w:after="0" w:line="240" w:lineRule="auto"/>
        <w:jc w:val="right"/>
      </w:pPr>
      <w:r>
        <w:rPr>
          <w:noProof/>
        </w:rPr>
        <w:drawing>
          <wp:inline distT="0" distB="0" distL="0" distR="0" wp14:anchorId="2CF2759B" wp14:editId="71239B03">
            <wp:extent cx="2228850" cy="619125"/>
            <wp:effectExtent l="0" t="0" r="0" b="0"/>
            <wp:docPr id="86245730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457308" name=""/>
                    <pic:cNvPicPr/>
                  </pic:nvPicPr>
                  <pic:blipFill>
                    <a:blip r:embed="rId11">
                      <a:extLst>
                        <a:ext uri="{28A0092B-C50C-407E-A947-70E740481C1C}">
                          <a14:useLocalDpi xmlns:a14="http://schemas.microsoft.com/office/drawing/2010/main" val="0"/>
                        </a:ext>
                      </a:extLst>
                    </a:blip>
                    <a:stretch>
                      <a:fillRect/>
                    </a:stretch>
                  </pic:blipFill>
                  <pic:spPr>
                    <a:xfrm>
                      <a:off x="0" y="0"/>
                      <a:ext cx="2228850" cy="619125"/>
                    </a:xfrm>
                    <a:prstGeom prst="rect">
                      <a:avLst/>
                    </a:prstGeom>
                  </pic:spPr>
                </pic:pic>
              </a:graphicData>
            </a:graphic>
          </wp:inline>
        </w:drawing>
      </w:r>
    </w:p>
    <w:p w14:paraId="11EB7EEA" w14:textId="3DA8CD36" w:rsidR="1CF8DA07" w:rsidRDefault="1CF8DA07" w:rsidP="1CF8DA07">
      <w:pPr>
        <w:spacing w:after="0" w:line="240" w:lineRule="auto"/>
        <w:rPr>
          <w:rFonts w:ascii="Verdana" w:hAnsi="Verdana"/>
        </w:rPr>
      </w:pPr>
    </w:p>
    <w:p w14:paraId="68F08A63" w14:textId="77777777" w:rsidR="00A64017" w:rsidRDefault="00A64017" w:rsidP="00103B90">
      <w:pPr>
        <w:spacing w:after="0" w:line="240" w:lineRule="auto"/>
        <w:rPr>
          <w:rFonts w:ascii="Verdana" w:hAnsi="Verdana"/>
        </w:rPr>
      </w:pPr>
    </w:p>
    <w:p w14:paraId="6EF9D4E0" w14:textId="43A96661" w:rsidR="00A64017" w:rsidRPr="00631045" w:rsidRDefault="00A64017" w:rsidP="00A64017">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00A936CB">
        <w:rPr>
          <w:rFonts w:ascii="Verdana" w:eastAsia="Calibri" w:hAnsi="Verdana" w:cs="Arial"/>
          <w:lang w:eastAsia="es-ES"/>
        </w:rPr>
        <w:t>a</w:t>
      </w:r>
      <w:r w:rsidRPr="00631045">
        <w:rPr>
          <w:rFonts w:ascii="Verdana" w:eastAsia="Calibri" w:hAnsi="Verdana" w:cs="Arial"/>
          <w:lang w:eastAsia="es-ES"/>
        </w:rPr>
        <w:tab/>
      </w:r>
    </w:p>
    <w:p w14:paraId="4CCD976A" w14:textId="3A101DA9" w:rsidR="00A936CB" w:rsidRDefault="00A936CB" w:rsidP="00F9591F">
      <w:pPr>
        <w:spacing w:after="0" w:line="240" w:lineRule="auto"/>
        <w:rPr>
          <w:rFonts w:ascii="Verdana" w:eastAsia="Calibri" w:hAnsi="Verdana" w:cs="Arial"/>
          <w:b/>
          <w:bCs/>
          <w:lang w:eastAsia="es-ES"/>
        </w:rPr>
      </w:pPr>
      <w:r>
        <w:rPr>
          <w:rFonts w:ascii="Verdana" w:eastAsia="Calibri" w:hAnsi="Verdana" w:cs="Arial"/>
          <w:b/>
          <w:bCs/>
          <w:lang w:eastAsia="es-ES"/>
        </w:rPr>
        <w:t>Diana Reyes</w:t>
      </w:r>
    </w:p>
    <w:p w14:paraId="7666AA57" w14:textId="10D965A1" w:rsidR="00F9591F" w:rsidRPr="00A936CB" w:rsidRDefault="00AA1003" w:rsidP="00F9591F">
      <w:pPr>
        <w:spacing w:after="0" w:line="240" w:lineRule="auto"/>
        <w:rPr>
          <w:rFonts w:ascii="Verdana" w:eastAsia="Calibri" w:hAnsi="Verdana" w:cs="Arial"/>
          <w:lang w:eastAsia="es-ES"/>
        </w:rPr>
      </w:pPr>
      <w:hyperlink r:id="rId12" w:history="1">
        <w:r w:rsidR="00A936CB" w:rsidRPr="00A936CB">
          <w:rPr>
            <w:rStyle w:val="Hipervnculo"/>
            <w:rFonts w:ascii="Verdana" w:eastAsia="Calibri" w:hAnsi="Verdana" w:cs="Arial"/>
            <w:lang w:eastAsia="es-ES"/>
          </w:rPr>
          <w:t>diana.reyes@justiciamilitar.gov.co</w:t>
        </w:r>
      </w:hyperlink>
      <w:r w:rsidR="00A936CB" w:rsidRPr="00A936CB">
        <w:rPr>
          <w:rFonts w:ascii="Verdana" w:eastAsia="Calibri" w:hAnsi="Verdana" w:cs="Arial"/>
          <w:lang w:eastAsia="es-ES"/>
        </w:rPr>
        <w:t xml:space="preserve"> </w:t>
      </w:r>
    </w:p>
    <w:p w14:paraId="2C7B6D66" w14:textId="49D8F455" w:rsidR="00A64017" w:rsidRDefault="00CB7B40" w:rsidP="00A64017">
      <w:pPr>
        <w:spacing w:after="0" w:line="240" w:lineRule="auto"/>
        <w:rPr>
          <w:rFonts w:ascii="Verdana" w:hAnsi="Verdana"/>
        </w:rPr>
      </w:pPr>
      <w:r>
        <w:rPr>
          <w:rFonts w:ascii="Verdana" w:hAnsi="Verdana"/>
        </w:rPr>
        <w:t>Bogotá</w:t>
      </w:r>
      <w:r w:rsidR="005E69AD">
        <w:rPr>
          <w:rFonts w:ascii="Verdana" w:hAnsi="Verdana"/>
        </w:rPr>
        <w:t xml:space="preserve"> </w:t>
      </w:r>
      <w:r>
        <w:rPr>
          <w:rFonts w:ascii="Verdana" w:hAnsi="Verdana"/>
        </w:rPr>
        <w:t xml:space="preserve">D.C. </w:t>
      </w:r>
    </w:p>
    <w:p w14:paraId="6E2CC3AD" w14:textId="77777777" w:rsidR="00CB7B40" w:rsidRPr="00FE3DEC" w:rsidRDefault="00CB7B40" w:rsidP="00A64017">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A64017" w:rsidRPr="00593A5F" w14:paraId="01D86018" w14:textId="77777777" w:rsidTr="00A15B1F">
        <w:trPr>
          <w:trHeight w:val="273"/>
        </w:trPr>
        <w:tc>
          <w:tcPr>
            <w:tcW w:w="2295" w:type="dxa"/>
          </w:tcPr>
          <w:p w14:paraId="1620BC45" w14:textId="77777777" w:rsidR="00A64017" w:rsidRPr="00E5644F" w:rsidRDefault="00A64017" w:rsidP="00A15B1F">
            <w:pPr>
              <w:jc w:val="both"/>
              <w:rPr>
                <w:rFonts w:ascii="Verdana" w:eastAsia="Calibri" w:hAnsi="Verdana" w:cs="Arial"/>
                <w:b/>
                <w:bCs/>
                <w:color w:val="7030A0"/>
                <w:lang w:val="es-ES_tradnl" w:eastAsia="es-ES_tradnl"/>
              </w:rPr>
            </w:pPr>
          </w:p>
        </w:tc>
        <w:tc>
          <w:tcPr>
            <w:tcW w:w="6481" w:type="dxa"/>
            <w:gridSpan w:val="2"/>
          </w:tcPr>
          <w:p w14:paraId="00E37139" w14:textId="20C7BCC9" w:rsidR="00A64017" w:rsidRDefault="00A64017" w:rsidP="00A15B1F">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sidR="00CB7B40">
              <w:rPr>
                <w:rFonts w:ascii="Verdana" w:eastAsia="Calibri" w:hAnsi="Verdana" w:cs="Arial"/>
                <w:b/>
                <w:bCs/>
                <w:lang w:val="es-ES" w:eastAsia="es-ES"/>
              </w:rPr>
              <w:t>12</w:t>
            </w:r>
            <w:r w:rsidR="00A936CB">
              <w:rPr>
                <w:rFonts w:ascii="Verdana" w:eastAsia="Calibri" w:hAnsi="Verdana" w:cs="Arial"/>
                <w:b/>
                <w:bCs/>
                <w:lang w:val="es-ES" w:eastAsia="es-ES"/>
              </w:rPr>
              <w:t>51</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307B3621" w14:textId="77777777" w:rsidR="00A64017" w:rsidRPr="00E5644F" w:rsidRDefault="00A64017" w:rsidP="00A15B1F">
            <w:pPr>
              <w:jc w:val="both"/>
              <w:rPr>
                <w:rFonts w:ascii="Verdana" w:eastAsia="Calibri" w:hAnsi="Verdana" w:cs="Arial"/>
                <w:b/>
                <w:bCs/>
                <w:color w:val="7030A0"/>
                <w:lang w:val="es-ES" w:eastAsia="es-ES"/>
              </w:rPr>
            </w:pPr>
          </w:p>
        </w:tc>
      </w:tr>
      <w:tr w:rsidR="00A64017" w:rsidRPr="00280D79" w14:paraId="0E48C791" w14:textId="77777777" w:rsidTr="00A15B1F">
        <w:trPr>
          <w:trHeight w:val="1583"/>
        </w:trPr>
        <w:tc>
          <w:tcPr>
            <w:tcW w:w="2295" w:type="dxa"/>
          </w:tcPr>
          <w:p w14:paraId="64EB1800" w14:textId="77777777" w:rsidR="00A64017" w:rsidRPr="00593A5F" w:rsidRDefault="00A64017" w:rsidP="00A15B1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380FA315" w14:textId="77777777" w:rsidR="004A1F77" w:rsidRPr="004A1F77" w:rsidRDefault="004A1F77" w:rsidP="004A1F77">
            <w:pPr>
              <w:jc w:val="both"/>
              <w:rPr>
                <w:rFonts w:ascii="Verdana" w:eastAsia="Arial" w:hAnsi="Verdana" w:cs="Arial"/>
                <w:lang w:val="es-ES"/>
              </w:rPr>
            </w:pPr>
          </w:p>
          <w:p w14:paraId="5BE26569" w14:textId="38E14084" w:rsidR="004A1F77" w:rsidRPr="004A1F77" w:rsidRDefault="004A1F77" w:rsidP="004A1F77">
            <w:pPr>
              <w:jc w:val="both"/>
              <w:rPr>
                <w:rFonts w:ascii="Verdana" w:hAnsi="Verdana" w:cs="Arial"/>
                <w:bCs/>
                <w:lang w:val="es-ES_tradnl" w:eastAsia="es-ES" w:bidi="es-ES"/>
              </w:rPr>
            </w:pPr>
            <w:r w:rsidRPr="004A1F77">
              <w:rPr>
                <w:rFonts w:ascii="Verdana" w:eastAsia="Arial" w:hAnsi="Verdana" w:cs="Arial"/>
                <w:lang w:val="es-ES"/>
              </w:rPr>
              <w:t>ESTRATEGIA NACIONAL DE LUCHA CONTRA LA CORRUPCIÓN – Ley 2294 de 2023 – Transparencia en la contratación y gestión pública</w:t>
            </w:r>
            <w:r>
              <w:rPr>
                <w:rFonts w:ascii="Verdana" w:eastAsia="Arial" w:hAnsi="Verdana" w:cs="Arial"/>
                <w:lang w:val="es-ES"/>
              </w:rPr>
              <w:t xml:space="preserve"> </w:t>
            </w:r>
            <w:proofErr w:type="gramStart"/>
            <w:r w:rsidRPr="003F20E6">
              <w:rPr>
                <w:rFonts w:ascii="Verdana" w:hAnsi="Verdana" w:cs="Arial"/>
                <w:bCs/>
                <w:lang w:val="es-ES_tradnl" w:eastAsia="es-ES" w:bidi="es-ES"/>
              </w:rPr>
              <w:t xml:space="preserve">/ </w:t>
            </w:r>
            <w:r>
              <w:rPr>
                <w:rFonts w:ascii="Verdana" w:hAnsi="Verdana" w:cs="Arial"/>
                <w:bCs/>
                <w:lang w:val="es-ES_tradnl" w:eastAsia="es-ES" w:bidi="es-ES"/>
              </w:rPr>
              <w:t xml:space="preserve"> </w:t>
            </w:r>
            <w:r w:rsidRPr="004A1F77">
              <w:rPr>
                <w:rFonts w:ascii="Verdana" w:hAnsi="Verdana" w:cs="Arial"/>
                <w:bCs/>
                <w:lang w:val="es-ES_tradnl" w:eastAsia="es-ES" w:bidi="es-ES"/>
              </w:rPr>
              <w:t>DECRETO</w:t>
            </w:r>
            <w:proofErr w:type="gramEnd"/>
            <w:r w:rsidRPr="004A1F77">
              <w:rPr>
                <w:rFonts w:ascii="Verdana" w:hAnsi="Verdana" w:cs="Arial"/>
                <w:bCs/>
                <w:lang w:val="es-ES_tradnl" w:eastAsia="es-ES" w:bidi="es-ES"/>
              </w:rPr>
              <w:t xml:space="preserve"> 1600 DE 2024 – Vigencia</w:t>
            </w:r>
            <w:r>
              <w:rPr>
                <w:rFonts w:ascii="Verdana" w:hAnsi="Verdana" w:cs="Arial"/>
                <w:bCs/>
                <w:lang w:val="es-ES_tradnl" w:eastAsia="es-ES" w:bidi="es-ES"/>
              </w:rPr>
              <w:t xml:space="preserve"> / </w:t>
            </w:r>
            <w:r w:rsidRPr="004A1F77">
              <w:rPr>
                <w:rFonts w:ascii="Verdana" w:hAnsi="Verdana" w:cs="Arial"/>
                <w:bCs/>
                <w:lang w:val="es-ES_tradnl" w:eastAsia="es-ES" w:bidi="es-ES"/>
              </w:rPr>
              <w:t>DECRETO 1600 DE 2024 – Estrategia de lucha contra la corrupción – Capítulo 3</w:t>
            </w:r>
            <w:r>
              <w:rPr>
                <w:rFonts w:ascii="Verdana" w:hAnsi="Verdana" w:cs="Arial"/>
                <w:bCs/>
                <w:lang w:val="es-ES_tradnl" w:eastAsia="es-ES" w:bidi="es-ES"/>
              </w:rPr>
              <w:t xml:space="preserve"> / </w:t>
            </w:r>
            <w:r w:rsidRPr="004A1F77">
              <w:rPr>
                <w:rFonts w:ascii="Verdana" w:hAnsi="Verdana" w:cs="Arial"/>
                <w:bCs/>
                <w:lang w:val="es-ES_tradnl" w:eastAsia="es-ES" w:bidi="es-ES"/>
              </w:rPr>
              <w:t xml:space="preserve">PRINCIPIO DE PUBLICIDAD – término de publicación – interpretación armónica - documentos de ejecución  </w:t>
            </w:r>
          </w:p>
          <w:p w14:paraId="2A049EB1" w14:textId="2E0FFA63" w:rsidR="00C91AF4" w:rsidRPr="00280D79" w:rsidRDefault="00C91AF4" w:rsidP="004A1F77">
            <w:pPr>
              <w:jc w:val="both"/>
              <w:rPr>
                <w:rFonts w:ascii="Verdana" w:eastAsia="Calibri" w:hAnsi="Verdana" w:cs="Arial"/>
                <w:b/>
                <w:highlight w:val="yellow"/>
                <w:lang w:val="es-ES" w:eastAsia="es-ES"/>
              </w:rPr>
            </w:pPr>
          </w:p>
        </w:tc>
      </w:tr>
      <w:tr w:rsidR="00A64017" w:rsidRPr="00593A5F" w14:paraId="36BB2E28" w14:textId="77777777" w:rsidTr="00A15B1F">
        <w:trPr>
          <w:trHeight w:val="545"/>
        </w:trPr>
        <w:tc>
          <w:tcPr>
            <w:tcW w:w="2295" w:type="dxa"/>
          </w:tcPr>
          <w:p w14:paraId="191CC24C" w14:textId="77777777" w:rsidR="00A64017" w:rsidRPr="006730E9" w:rsidRDefault="00A64017" w:rsidP="00A15B1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F568F0F" w14:textId="6DADE812" w:rsidR="00A64017" w:rsidRPr="006730E9" w:rsidRDefault="00A64017" w:rsidP="00A15B1F">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A936CB" w:rsidRPr="00A936CB">
              <w:rPr>
                <w:rFonts w:ascii="Verdana" w:eastAsia="Calibri" w:hAnsi="Verdana" w:cs="Arial"/>
                <w:lang w:val="es-ES_tradnl" w:eastAsia="es-ES_tradnl"/>
              </w:rPr>
              <w:t>1_2025_09_01_009421</w:t>
            </w:r>
            <w:r w:rsidR="005A0FA1">
              <w:rPr>
                <w:rFonts w:ascii="Verdana" w:eastAsia="Calibri" w:hAnsi="Verdana" w:cs="Arial"/>
                <w:lang w:val="es-ES_tradnl" w:eastAsia="es-ES_tradnl"/>
              </w:rPr>
              <w:t>.</w:t>
            </w:r>
          </w:p>
        </w:tc>
      </w:tr>
      <w:tr w:rsidR="00A64017" w:rsidRPr="00DB23D2" w14:paraId="384FAB6D" w14:textId="77777777" w:rsidTr="00A15B1F">
        <w:trPr>
          <w:gridAfter w:val="1"/>
          <w:wAfter w:w="319" w:type="dxa"/>
          <w:trHeight w:val="242"/>
        </w:trPr>
        <w:tc>
          <w:tcPr>
            <w:tcW w:w="8457" w:type="dxa"/>
            <w:gridSpan w:val="2"/>
          </w:tcPr>
          <w:p w14:paraId="45E68A2D" w14:textId="77777777" w:rsidR="00A64017" w:rsidRPr="00DB23D2" w:rsidRDefault="00A64017" w:rsidP="00103B90">
            <w:pPr>
              <w:spacing w:line="276" w:lineRule="auto"/>
              <w:jc w:val="both"/>
              <w:rPr>
                <w:rFonts w:ascii="Verdana" w:eastAsia="Calibri" w:hAnsi="Verdana" w:cs="Arial"/>
                <w:lang w:val="es-ES_tradnl" w:eastAsia="es-ES"/>
              </w:rPr>
            </w:pPr>
          </w:p>
        </w:tc>
      </w:tr>
    </w:tbl>
    <w:p w14:paraId="63704E96" w14:textId="6DC9EAE1"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A936CB">
        <w:rPr>
          <w:rFonts w:ascii="Verdana" w:eastAsia="Calibri" w:hAnsi="Verdana" w:cs="Arial"/>
          <w:lang w:val="es-ES" w:eastAsia="es-ES"/>
        </w:rPr>
        <w:t>a</w:t>
      </w:r>
      <w:r>
        <w:rPr>
          <w:rFonts w:ascii="Verdana" w:eastAsia="Calibri" w:hAnsi="Verdana" w:cs="Arial"/>
          <w:lang w:val="es-ES" w:eastAsia="es-ES"/>
        </w:rPr>
        <w:t xml:space="preserve"> </w:t>
      </w:r>
      <w:r w:rsidRPr="006730E9">
        <w:rPr>
          <w:rFonts w:ascii="Verdana" w:eastAsia="Calibri" w:hAnsi="Verdana" w:cs="Arial"/>
          <w:lang w:val="es-ES" w:eastAsia="es-ES"/>
        </w:rPr>
        <w:t>señor</w:t>
      </w:r>
      <w:r w:rsidR="00A936CB">
        <w:rPr>
          <w:rFonts w:ascii="Verdana" w:eastAsia="Calibri" w:hAnsi="Verdana" w:cs="Arial"/>
          <w:lang w:val="es-ES" w:eastAsia="es-ES"/>
        </w:rPr>
        <w:t>a</w:t>
      </w:r>
      <w:r>
        <w:rPr>
          <w:rFonts w:ascii="Verdana" w:eastAsia="Calibri" w:hAnsi="Verdana" w:cs="Arial"/>
          <w:lang w:val="es-ES" w:eastAsia="es-ES"/>
        </w:rPr>
        <w:t xml:space="preserve"> </w:t>
      </w:r>
      <w:r w:rsidR="009A5D6C">
        <w:rPr>
          <w:rFonts w:ascii="Verdana" w:eastAsia="Calibri" w:hAnsi="Verdana" w:cs="Arial"/>
          <w:lang w:val="es-ES" w:eastAsia="es-ES"/>
        </w:rPr>
        <w:t>Pérez</w:t>
      </w:r>
      <w:r w:rsidR="00CB7B40">
        <w:rPr>
          <w:rFonts w:ascii="Verdana" w:eastAsia="Calibri" w:hAnsi="Verdana" w:cs="Arial"/>
          <w:lang w:val="es-ES" w:eastAsia="es-ES"/>
        </w:rPr>
        <w:t>;</w:t>
      </w:r>
    </w:p>
    <w:p w14:paraId="6683B019" w14:textId="32AD6380" w:rsidR="00A64017" w:rsidRDefault="00CB7B40" w:rsidP="00A6401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sidR="00A64017">
        <w:rPr>
          <w:rFonts w:ascii="Verdana" w:eastAsia="Calibri" w:hAnsi="Verdana" w:cs="Arial"/>
          <w:color w:val="000000" w:themeColor="text1"/>
          <w:lang w:val="es-ES" w:eastAsia="es-ES"/>
        </w:rPr>
        <w:tab/>
      </w:r>
    </w:p>
    <w:p w14:paraId="6507A697" w14:textId="3BB7F0BE"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radicada </w:t>
      </w:r>
      <w:r w:rsidR="00042E11">
        <w:rPr>
          <w:rFonts w:ascii="Verdana" w:eastAsia="Calibri" w:hAnsi="Verdana" w:cs="Arial"/>
          <w:lang w:val="es-ES" w:eastAsia="es-ES"/>
        </w:rPr>
        <w:t xml:space="preserve">en esta entidad </w:t>
      </w:r>
      <w:r w:rsidRPr="00E5644F">
        <w:rPr>
          <w:rFonts w:ascii="Verdana" w:eastAsia="Calibri" w:hAnsi="Verdana" w:cs="Arial"/>
          <w:lang w:val="es-ES" w:eastAsia="es-ES"/>
        </w:rPr>
        <w:t xml:space="preserve">el </w:t>
      </w:r>
      <w:r w:rsidR="00D237B8">
        <w:rPr>
          <w:rFonts w:ascii="Verdana" w:eastAsia="Calibri" w:hAnsi="Verdana" w:cs="Arial"/>
          <w:lang w:val="es-ES" w:eastAsia="es-ES"/>
        </w:rPr>
        <w:t>01</w:t>
      </w:r>
      <w:r w:rsidR="00CA01D8" w:rsidRPr="00656A22">
        <w:rPr>
          <w:rFonts w:ascii="Verdana" w:eastAsia="Calibri" w:hAnsi="Verdana" w:cs="Arial"/>
          <w:lang w:val="es-ES" w:eastAsia="es-ES"/>
        </w:rPr>
        <w:t xml:space="preserve"> </w:t>
      </w:r>
      <w:r w:rsidRPr="00656A22">
        <w:rPr>
          <w:rFonts w:ascii="Verdana" w:eastAsia="Calibri" w:hAnsi="Verdana" w:cs="Arial"/>
          <w:lang w:val="es-ES" w:eastAsia="es-ES"/>
        </w:rPr>
        <w:t xml:space="preserve">de </w:t>
      </w:r>
      <w:r w:rsidR="00D237B8">
        <w:rPr>
          <w:rFonts w:ascii="Verdana" w:eastAsia="Calibri" w:hAnsi="Verdana" w:cs="Arial"/>
          <w:lang w:val="es-ES" w:eastAsia="es-ES"/>
        </w:rPr>
        <w:t>septiembre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718EE431" w14:textId="77777777" w:rsidR="00A64017" w:rsidRPr="00326382" w:rsidRDefault="00A64017" w:rsidP="00103B90">
      <w:pPr>
        <w:spacing w:after="0" w:line="276" w:lineRule="auto"/>
        <w:ind w:left="709" w:right="474"/>
        <w:jc w:val="both"/>
        <w:rPr>
          <w:rFonts w:ascii="Verdana" w:hAnsi="Verdana" w:cs="Arial"/>
          <w:sz w:val="20"/>
          <w:szCs w:val="20"/>
          <w:shd w:val="clear" w:color="auto" w:fill="FFFFFF"/>
        </w:rPr>
      </w:pPr>
      <w:bookmarkStart w:id="2" w:name="_Hlk95313578"/>
    </w:p>
    <w:bookmarkEnd w:id="2"/>
    <w:p w14:paraId="11D516E0" w14:textId="4A454DE0" w:rsidR="00A64017" w:rsidRDefault="00CB7B40" w:rsidP="00CB7B40">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00D237B8">
        <w:rPr>
          <w:rFonts w:ascii="Verdana" w:eastAsia="Century Gothic" w:hAnsi="Verdana" w:cs="Century Gothic"/>
          <w:i/>
          <w:iCs/>
          <w:sz w:val="20"/>
          <w:szCs w:val="20"/>
        </w:rPr>
        <w:t xml:space="preserve">     </w:t>
      </w:r>
      <w:r>
        <w:rPr>
          <w:rFonts w:ascii="Verdana" w:eastAsia="Century Gothic" w:hAnsi="Verdana" w:cs="Century Gothic"/>
          <w:i/>
          <w:iCs/>
          <w:sz w:val="20"/>
          <w:szCs w:val="20"/>
        </w:rPr>
        <w:t xml:space="preserve">   </w:t>
      </w:r>
      <w:r w:rsidR="00A64017" w:rsidRPr="00EA70F7">
        <w:rPr>
          <w:rFonts w:ascii="Verdana" w:eastAsia="Century Gothic" w:hAnsi="Verdana" w:cs="Century Gothic"/>
          <w:i/>
          <w:iCs/>
          <w:sz w:val="20"/>
          <w:szCs w:val="20"/>
        </w:rPr>
        <w:t xml:space="preserve">“(…) </w:t>
      </w:r>
    </w:p>
    <w:p w14:paraId="4C462278" w14:textId="77777777" w:rsidR="005A0FA1" w:rsidRDefault="005A0FA1" w:rsidP="00CB7B40">
      <w:pPr>
        <w:tabs>
          <w:tab w:val="left" w:pos="142"/>
          <w:tab w:val="left" w:pos="567"/>
        </w:tabs>
        <w:spacing w:after="0" w:line="240" w:lineRule="auto"/>
        <w:ind w:right="709"/>
        <w:jc w:val="both"/>
        <w:rPr>
          <w:rFonts w:ascii="Verdana" w:eastAsia="Century Gothic" w:hAnsi="Verdana" w:cs="Century Gothic"/>
          <w:i/>
          <w:iCs/>
          <w:sz w:val="20"/>
          <w:szCs w:val="20"/>
        </w:rPr>
      </w:pPr>
    </w:p>
    <w:p w14:paraId="2CDDC996" w14:textId="665D334C" w:rsidR="00A64017" w:rsidRPr="00EA70F7" w:rsidRDefault="005A0FA1" w:rsidP="005A0FA1">
      <w:pPr>
        <w:tabs>
          <w:tab w:val="left" w:pos="142"/>
          <w:tab w:val="left" w:pos="567"/>
        </w:tabs>
        <w:spacing w:after="0" w:line="240" w:lineRule="auto"/>
        <w:ind w:left="709" w:right="709"/>
        <w:jc w:val="both"/>
        <w:rPr>
          <w:rFonts w:ascii="Verdana" w:eastAsia="Century Gothic" w:hAnsi="Verdana" w:cs="Century Gothic"/>
          <w:i/>
          <w:iCs/>
          <w:sz w:val="20"/>
          <w:szCs w:val="20"/>
        </w:rPr>
      </w:pPr>
      <w:r w:rsidRPr="005A0FA1">
        <w:rPr>
          <w:rFonts w:ascii="Verdana" w:eastAsia="Century Gothic" w:hAnsi="Verdana" w:cs="Century Gothic"/>
          <w:i/>
          <w:iCs/>
          <w:sz w:val="20"/>
          <w:szCs w:val="20"/>
        </w:rPr>
        <w:t xml:space="preserve">¿A partir de qué fecha se hizo exigente la verificación de situaciones de control prevista en el Decreto 1600 de 2024, para las Entidades Estatales? ¿Y en caso de que los oferentes no manifiesten dicha situacion en el término señalado en la norma deben ser rechazados? ¿Así mismo, en caso </w:t>
      </w:r>
      <w:r w:rsidRPr="005A0FA1">
        <w:rPr>
          <w:rFonts w:ascii="Verdana" w:eastAsia="Century Gothic" w:hAnsi="Verdana" w:cs="Century Gothic"/>
          <w:i/>
          <w:iCs/>
          <w:sz w:val="20"/>
          <w:szCs w:val="20"/>
        </w:rPr>
        <w:lastRenderedPageBreak/>
        <w:t xml:space="preserve">de ser afirmativa la respuesta debe incluirse como causal de rechazo en el pliego de condiciones ?: </w:t>
      </w:r>
      <w:r w:rsidR="00A64017" w:rsidRPr="00EA70F7">
        <w:rPr>
          <w:rFonts w:ascii="Verdana" w:eastAsia="Century Gothic" w:hAnsi="Verdana" w:cs="Century Gothic"/>
          <w:i/>
          <w:iCs/>
          <w:sz w:val="20"/>
          <w:szCs w:val="20"/>
        </w:rPr>
        <w:t xml:space="preserve">(…)”. </w:t>
      </w:r>
    </w:p>
    <w:p w14:paraId="5C2F274F" w14:textId="77777777" w:rsidR="008B5BD4" w:rsidRDefault="008B5BD4" w:rsidP="00103B90">
      <w:pPr>
        <w:spacing w:after="0" w:line="276" w:lineRule="auto"/>
        <w:ind w:firstLine="709"/>
        <w:jc w:val="both"/>
        <w:rPr>
          <w:rFonts w:ascii="Verdana" w:eastAsia="Calibri" w:hAnsi="Verdana" w:cs="Arial"/>
          <w:lang w:val="es-ES" w:eastAsia="es-ES"/>
        </w:rPr>
      </w:pPr>
    </w:p>
    <w:p w14:paraId="538B555C" w14:textId="2C99F5BA" w:rsidR="00A64017" w:rsidRPr="00AA3B9F" w:rsidRDefault="00A64017" w:rsidP="00A64017">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B5BD4">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3568A68" w14:textId="32B98A9D" w:rsidR="00A64017" w:rsidRDefault="00A64017" w:rsidP="00A64017">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8B5BD4">
        <w:rPr>
          <w:rFonts w:ascii="Verdana" w:eastAsia="Calibri" w:hAnsi="Verdana" w:cs="Arial"/>
          <w:lang w:val="es-ES" w:eastAsia="es-ES"/>
        </w:rPr>
        <w:t>señala</w:t>
      </w:r>
      <w:r w:rsidR="008B5BD4" w:rsidRPr="00AA3B9F">
        <w:rPr>
          <w:rFonts w:ascii="Verdana" w:eastAsia="Calibri" w:hAnsi="Verdana" w:cs="Arial"/>
          <w:lang w:val="es-ES" w:eastAsia="es-ES"/>
        </w:rPr>
        <w:t xml:space="preserve">ndo </w:t>
      </w:r>
      <w:r w:rsidRPr="00AA3B9F">
        <w:rPr>
          <w:rFonts w:ascii="Verdana" w:eastAsia="Calibri" w:hAnsi="Verdana" w:cs="Arial"/>
          <w:lang w:val="es-ES" w:eastAsia="es-ES"/>
        </w:rPr>
        <w:t>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2936F580" w14:textId="77777777" w:rsidR="00B97F61" w:rsidRPr="00AA3B9F" w:rsidRDefault="00B97F61" w:rsidP="00A64017">
      <w:pPr>
        <w:spacing w:after="0" w:line="276" w:lineRule="auto"/>
        <w:ind w:firstLine="709"/>
        <w:jc w:val="both"/>
        <w:rPr>
          <w:rFonts w:ascii="Verdana" w:eastAsia="Calibri" w:hAnsi="Verdana" w:cs="Arial"/>
          <w:lang w:val="es-ES" w:eastAsia="es-ES"/>
        </w:rPr>
      </w:pPr>
    </w:p>
    <w:p w14:paraId="43F2C784" w14:textId="77777777" w:rsidR="00A64017" w:rsidRDefault="00A64017" w:rsidP="00A6401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A923AA7" w14:textId="77777777" w:rsidR="00A64017" w:rsidRDefault="00A64017" w:rsidP="00A64017">
      <w:pPr>
        <w:pStyle w:val="Prrafodelista"/>
        <w:tabs>
          <w:tab w:val="left" w:pos="142"/>
          <w:tab w:val="left" w:pos="284"/>
        </w:tabs>
        <w:spacing w:after="0" w:line="276" w:lineRule="auto"/>
        <w:ind w:left="0"/>
        <w:jc w:val="both"/>
        <w:rPr>
          <w:rFonts w:ascii="Verdana" w:eastAsia="Century Gothic" w:hAnsi="Verdana" w:cs="Century Gothic"/>
          <w:b/>
          <w:bCs/>
        </w:rPr>
      </w:pPr>
    </w:p>
    <w:p w14:paraId="5B9162F0" w14:textId="4B8DA676" w:rsidR="003007B5" w:rsidRDefault="00A64017" w:rsidP="001B319A">
      <w:pPr>
        <w:spacing w:after="0" w:line="276" w:lineRule="auto"/>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sidR="00D237B8">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3" w:name="_Hlk196737317"/>
      <w:r w:rsidR="00B0362B">
        <w:rPr>
          <w:rFonts w:ascii="Verdana" w:eastAsia="Calibri" w:hAnsi="Verdana" w:cs="Arial"/>
          <w:lang w:eastAsia="es-ES"/>
        </w:rPr>
        <w:t xml:space="preserve"> </w:t>
      </w:r>
      <w:r w:rsidR="001B319A" w:rsidRPr="001B319A">
        <w:rPr>
          <w:rFonts w:ascii="Verdana" w:eastAsia="Calibri" w:hAnsi="Verdana" w:cs="Arial"/>
          <w:lang w:eastAsia="es-ES"/>
        </w:rPr>
        <w:t>¿</w:t>
      </w:r>
      <w:r w:rsidR="00970805" w:rsidRPr="00970805">
        <w:rPr>
          <w:rFonts w:ascii="Verdana" w:eastAsia="Calibri" w:hAnsi="Verdana" w:cs="Arial"/>
          <w:lang w:eastAsia="es-ES"/>
        </w:rPr>
        <w:t xml:space="preserve">A partir de qué fecha resulta exigible para las Entidades Estatales la verificación de las “situaciones de control” previstas en el Decreto 1600 de 2024 dentro de los procesos de contratación, y si la omisión por parte de los oferentes de manifestar dicha situación dentro del término legal constituye causal de rechazo automático de la </w:t>
      </w:r>
      <w:r w:rsidR="005164F8" w:rsidRPr="00970805">
        <w:rPr>
          <w:rFonts w:ascii="Verdana" w:eastAsia="Calibri" w:hAnsi="Verdana" w:cs="Arial"/>
          <w:lang w:eastAsia="es-ES"/>
        </w:rPr>
        <w:t>oferta</w:t>
      </w:r>
      <w:r w:rsidR="005164F8" w:rsidRPr="005A0FA1">
        <w:rPr>
          <w:rFonts w:ascii="Verdana" w:eastAsia="Calibri" w:hAnsi="Verdana" w:cs="Arial"/>
          <w:lang w:eastAsia="es-ES"/>
        </w:rPr>
        <w:t>?</w:t>
      </w:r>
    </w:p>
    <w:p w14:paraId="1220CDFF" w14:textId="77777777" w:rsidR="00CB7B40" w:rsidRDefault="00CB7B40" w:rsidP="006D7121">
      <w:pPr>
        <w:spacing w:after="0" w:line="276" w:lineRule="auto"/>
        <w:jc w:val="both"/>
        <w:rPr>
          <w:rFonts w:ascii="Verdana" w:eastAsia="Calibri" w:hAnsi="Verdana" w:cs="Arial"/>
          <w:lang w:eastAsia="es-ES"/>
        </w:rPr>
      </w:pPr>
    </w:p>
    <w:bookmarkEnd w:id="3"/>
    <w:p w14:paraId="5A5F1798"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D191623"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64017" w:rsidRPr="00593A5F" w14:paraId="1ED9E821" w14:textId="77777777" w:rsidTr="00A15B1F">
        <w:tc>
          <w:tcPr>
            <w:tcW w:w="8828" w:type="dxa"/>
          </w:tcPr>
          <w:p w14:paraId="66F784E3" w14:textId="2CFD5C4B" w:rsidR="0056164A" w:rsidRDefault="00222AE3" w:rsidP="00970805">
            <w:pPr>
              <w:spacing w:line="276" w:lineRule="auto"/>
              <w:ind w:right="-58"/>
              <w:jc w:val="both"/>
              <w:rPr>
                <w:rFonts w:ascii="Verdana" w:eastAsia="Arial" w:hAnsi="Verdana" w:cs="Arial"/>
                <w:color w:val="000000"/>
              </w:rPr>
            </w:pPr>
            <w:r>
              <w:rPr>
                <w:rFonts w:ascii="Verdana" w:eastAsia="Arial" w:hAnsi="Verdana" w:cs="Arial"/>
                <w:color w:val="000000"/>
              </w:rPr>
              <w:t xml:space="preserve">       </w:t>
            </w:r>
            <w:r w:rsidR="00B13F9B">
              <w:rPr>
                <w:rFonts w:ascii="Verdana" w:eastAsia="Arial" w:hAnsi="Verdana" w:cs="Arial"/>
                <w:color w:val="000000"/>
              </w:rPr>
              <w:t xml:space="preserve">   </w:t>
            </w:r>
            <w:r w:rsidR="00970805" w:rsidRPr="00970805">
              <w:rPr>
                <w:rFonts w:ascii="Verdana" w:eastAsia="Arial" w:hAnsi="Verdana" w:cs="Arial"/>
                <w:color w:val="000000"/>
              </w:rPr>
              <w:t>Las Entidades Estatales sujetas al Decreto 1600 de 2024 deben exigir la verificación de las "situaciones de control" para los oferentes a partir del 27 de diciembre de 2024, fecha de entrada en vigencia del Decreto.</w:t>
            </w:r>
          </w:p>
          <w:p w14:paraId="0AF0F8F7" w14:textId="77777777" w:rsidR="005164F8" w:rsidRDefault="005164F8" w:rsidP="00970805">
            <w:pPr>
              <w:spacing w:line="276" w:lineRule="auto"/>
              <w:ind w:right="-58"/>
              <w:jc w:val="both"/>
              <w:rPr>
                <w:rFonts w:ascii="Verdana" w:eastAsia="Arial" w:hAnsi="Verdana" w:cs="Arial"/>
                <w:color w:val="000000"/>
              </w:rPr>
            </w:pPr>
          </w:p>
          <w:p w14:paraId="65A13E84" w14:textId="43A44769" w:rsidR="005164F8" w:rsidRDefault="005164F8" w:rsidP="00970805">
            <w:pPr>
              <w:spacing w:line="276" w:lineRule="auto"/>
              <w:ind w:right="-58"/>
              <w:jc w:val="both"/>
              <w:rPr>
                <w:rFonts w:ascii="Verdana" w:hAnsi="Verdana" w:cs="Arial"/>
                <w:lang w:eastAsia="es-ES_tradnl"/>
              </w:rPr>
            </w:pPr>
            <w:r>
              <w:rPr>
                <w:rFonts w:ascii="Verdana" w:hAnsi="Verdana" w:cs="Arial"/>
                <w:lang w:eastAsia="es-ES_tradnl"/>
              </w:rPr>
              <w:lastRenderedPageBreak/>
              <w:t xml:space="preserve">          Así las cosas, e</w:t>
            </w:r>
            <w:r w:rsidRPr="005164F8">
              <w:rPr>
                <w:rFonts w:ascii="Verdana" w:hAnsi="Verdana" w:cs="Arial"/>
                <w:lang w:eastAsia="es-ES_tradnl"/>
              </w:rPr>
              <w:t>l Decreto, al modificar el Decreto 1081 de 2015, establece en su artículo 2.1.4.3.2.1 que los proponentes deben declarar la existencia o no de situaciones de control (si son controlantes, controladas o comparten dicha condición con otros participantes) dentro de los tres (3) días siguientes al cierre definitivo de la presentación de ofertas.</w:t>
            </w:r>
          </w:p>
          <w:p w14:paraId="32D59F7F" w14:textId="77777777" w:rsidR="005164F8" w:rsidRDefault="005164F8" w:rsidP="00970805">
            <w:pPr>
              <w:spacing w:line="276" w:lineRule="auto"/>
              <w:ind w:right="-58"/>
              <w:jc w:val="both"/>
              <w:rPr>
                <w:rFonts w:ascii="Verdana" w:hAnsi="Verdana" w:cs="Arial"/>
                <w:lang w:eastAsia="es-ES_tradnl"/>
              </w:rPr>
            </w:pPr>
          </w:p>
          <w:p w14:paraId="72AADCDE" w14:textId="4DEE5CE3" w:rsidR="005164F8" w:rsidRPr="005164F8" w:rsidRDefault="00F94A13" w:rsidP="005164F8">
            <w:pPr>
              <w:spacing w:line="276" w:lineRule="auto"/>
              <w:ind w:right="-58"/>
              <w:jc w:val="both"/>
              <w:rPr>
                <w:rFonts w:ascii="Verdana" w:hAnsi="Verdana" w:cs="Arial"/>
                <w:lang w:eastAsia="es-ES_tradnl"/>
              </w:rPr>
            </w:pPr>
            <w:r>
              <w:rPr>
                <w:rFonts w:ascii="Verdana" w:hAnsi="Verdana" w:cs="Arial"/>
                <w:lang w:eastAsia="es-ES_tradnl"/>
              </w:rPr>
              <w:t xml:space="preserve">      L</w:t>
            </w:r>
            <w:r w:rsidR="005164F8" w:rsidRPr="005164F8">
              <w:rPr>
                <w:rFonts w:ascii="Verdana" w:hAnsi="Verdana" w:cs="Arial"/>
                <w:lang w:eastAsia="es-ES_tradnl"/>
              </w:rPr>
              <w:t>a falta de manifestación de las situaciones de control por parte de los oferentes dentro del término de tres (3) días señalado en la norma puede dar lugar al rechazo de su ofrecimiento, dado que es un requisito de obligatorio cumplimiento introducido por una norma de orden superior.</w:t>
            </w:r>
          </w:p>
          <w:p w14:paraId="371177B0" w14:textId="77777777" w:rsidR="004A1F77" w:rsidRDefault="004A1F77" w:rsidP="00970805">
            <w:pPr>
              <w:spacing w:line="276" w:lineRule="auto"/>
              <w:ind w:right="-58"/>
              <w:jc w:val="both"/>
              <w:rPr>
                <w:rFonts w:ascii="Verdana" w:hAnsi="Verdana" w:cs="Arial"/>
                <w:lang w:eastAsia="es-ES_tradnl"/>
              </w:rPr>
            </w:pPr>
          </w:p>
          <w:p w14:paraId="4C182A83" w14:textId="74673963" w:rsidR="005164F8" w:rsidRDefault="005164F8" w:rsidP="00970805">
            <w:pPr>
              <w:spacing w:line="276" w:lineRule="auto"/>
              <w:ind w:right="-58"/>
              <w:jc w:val="both"/>
              <w:rPr>
                <w:rFonts w:ascii="Verdana" w:hAnsi="Verdana" w:cs="Arial"/>
                <w:lang w:eastAsia="es-ES_tradnl"/>
              </w:rPr>
            </w:pPr>
            <w:r>
              <w:rPr>
                <w:rFonts w:ascii="Verdana" w:hAnsi="Verdana" w:cs="Arial"/>
                <w:lang w:eastAsia="es-ES_tradnl"/>
              </w:rPr>
              <w:t xml:space="preserve">       </w:t>
            </w:r>
            <w:r w:rsidRPr="005164F8">
              <w:rPr>
                <w:rFonts w:ascii="Verdana" w:hAnsi="Verdana" w:cs="Arial"/>
                <w:lang w:eastAsia="es-ES_tradnl"/>
              </w:rPr>
              <w:t>La declaración de las situaciones de control es un requisito de carácter habilitante y un deber legal impuesto a los proponentes para garantizar la transparencia y prevenir la configuración de causales de inhabilidad o incompatibilidad previstas en el art. 8, Ley 80 de 1993 y la afectación de la libre concurrencia</w:t>
            </w:r>
            <w:r>
              <w:rPr>
                <w:rFonts w:ascii="Verdana" w:hAnsi="Verdana" w:cs="Arial"/>
                <w:lang w:eastAsia="es-ES_tradnl"/>
              </w:rPr>
              <w:t xml:space="preserve"> por lo que corresponderá a la entidad en atención a la normatividad anteriormente descrita </w:t>
            </w:r>
            <w:r w:rsidRPr="005164F8">
              <w:rPr>
                <w:rFonts w:ascii="Verdana" w:hAnsi="Verdana" w:cs="Arial"/>
                <w:lang w:eastAsia="es-ES_tradnl"/>
              </w:rPr>
              <w:t>incluir esta causal de rechazo expresamente en el pliego de condiciones</w:t>
            </w:r>
            <w:r>
              <w:rPr>
                <w:rFonts w:ascii="Verdana" w:hAnsi="Verdana" w:cs="Arial"/>
                <w:lang w:eastAsia="es-ES_tradnl"/>
              </w:rPr>
              <w:t>.</w:t>
            </w:r>
          </w:p>
          <w:p w14:paraId="4FED5380" w14:textId="5E04DB93" w:rsidR="00A64017" w:rsidRPr="00C71956" w:rsidRDefault="00B13F9B" w:rsidP="0050790C">
            <w:pPr>
              <w:pStyle w:val="Prrafodelista"/>
              <w:spacing w:before="120" w:after="120" w:line="276" w:lineRule="auto"/>
              <w:ind w:left="0" w:right="-58"/>
              <w:jc w:val="both"/>
              <w:rPr>
                <w:rFonts w:ascii="Verdana" w:eastAsia="Aptos" w:hAnsi="Verdana" w:cs="Arial"/>
                <w:shd w:val="clear" w:color="auto" w:fill="FFFFFF"/>
              </w:rPr>
            </w:pPr>
            <w:r>
              <w:rPr>
                <w:rFonts w:ascii="Verdana" w:eastAsia="Calibri" w:hAnsi="Verdana" w:cs="Arial"/>
                <w:lang w:eastAsia="es-ES"/>
              </w:rPr>
              <w:t xml:space="preserve">      </w:t>
            </w:r>
            <w:r w:rsidR="00A64017">
              <w:rPr>
                <w:rFonts w:ascii="Verdana" w:eastAsia="Calibri" w:hAnsi="Verdana" w:cs="Arial"/>
                <w:lang w:eastAsia="es-ES"/>
              </w:rPr>
              <w:t>Finalmente</w:t>
            </w:r>
            <w:r w:rsidR="00A64017">
              <w:rPr>
                <w:rFonts w:ascii="Verdana" w:eastAsia="Calibri" w:hAnsi="Verdana" w:cs="Times New Roman"/>
              </w:rPr>
              <w:t>,</w:t>
            </w:r>
            <w:r w:rsidR="00A64017" w:rsidRPr="00DB4737">
              <w:rPr>
                <w:rFonts w:ascii="Verdana" w:eastAsia="Calibri" w:hAnsi="Verdana" w:cs="Times New Roman"/>
              </w:rPr>
              <w:t xml:space="preserve"> debe advertirse que el análisis en torno </w:t>
            </w:r>
            <w:r w:rsidR="00A64017">
              <w:rPr>
                <w:rFonts w:ascii="Verdana" w:eastAsia="Calibri" w:hAnsi="Verdana" w:cs="Times New Roman"/>
              </w:rPr>
              <w:t>a un proceso de contratación especifico debe</w:t>
            </w:r>
            <w:r w:rsidR="00A64017" w:rsidRPr="0012388D">
              <w:rPr>
                <w:rFonts w:ascii="Verdana" w:eastAsia="Calibri" w:hAnsi="Verdana" w:cs="Times New Roman"/>
              </w:rPr>
              <w:t xml:space="preserve"> ser realizado por quienes tengan interés en ello.</w:t>
            </w:r>
            <w:r w:rsidR="00A64017"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00A64017">
              <w:t xml:space="preserve"> </w:t>
            </w:r>
          </w:p>
          <w:p w14:paraId="101394EC" w14:textId="77777777" w:rsidR="00A64017" w:rsidRDefault="00A64017" w:rsidP="0050790C">
            <w:pPr>
              <w:spacing w:line="276" w:lineRule="auto"/>
              <w:ind w:right="-58"/>
              <w:jc w:val="both"/>
              <w:rPr>
                <w:rFonts w:ascii="Verdana" w:eastAsia="Calibri" w:hAnsi="Verdana" w:cs="Times New Roman"/>
                <w:lang w:val="es-ES"/>
              </w:rPr>
            </w:pPr>
            <w:r>
              <w:rPr>
                <w:rFonts w:ascii="Verdana" w:eastAsia="Calibri" w:hAnsi="Verdana" w:cs="Times New Roman"/>
                <w:lang w:val="es-ES"/>
              </w:rPr>
              <w:t xml:space="preserve">        </w:t>
            </w:r>
            <w:r w:rsidR="00C84124">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EA94571" w14:textId="11FC2CB2" w:rsidR="00A51CB5" w:rsidRPr="00E529C2" w:rsidRDefault="00A51CB5" w:rsidP="00A15B1F">
            <w:pPr>
              <w:spacing w:line="276" w:lineRule="auto"/>
              <w:jc w:val="both"/>
              <w:rPr>
                <w:rFonts w:ascii="Verdana" w:eastAsia="Calibri" w:hAnsi="Verdana" w:cs="Times New Roman"/>
                <w:lang w:val="es-ES"/>
              </w:rPr>
            </w:pPr>
          </w:p>
        </w:tc>
      </w:tr>
      <w:tr w:rsidR="00675FED" w:rsidRPr="00593A5F" w14:paraId="390C137A" w14:textId="77777777" w:rsidTr="00A15B1F">
        <w:tc>
          <w:tcPr>
            <w:tcW w:w="8828" w:type="dxa"/>
          </w:tcPr>
          <w:p w14:paraId="47EF0E80" w14:textId="77777777" w:rsidR="00675FED" w:rsidRDefault="00675FED" w:rsidP="00675FED">
            <w:pPr>
              <w:spacing w:after="120" w:line="276" w:lineRule="auto"/>
              <w:jc w:val="both"/>
              <w:rPr>
                <w:rFonts w:ascii="Verdana" w:eastAsia="Calibri" w:hAnsi="Verdana" w:cs="Arial"/>
                <w:bCs/>
                <w:lang w:eastAsia="es-ES_tradnl"/>
              </w:rPr>
            </w:pPr>
          </w:p>
        </w:tc>
      </w:tr>
    </w:tbl>
    <w:p w14:paraId="5C382394" w14:textId="77777777" w:rsidR="00A64017" w:rsidRDefault="00A64017" w:rsidP="00A64017">
      <w:pPr>
        <w:tabs>
          <w:tab w:val="left" w:pos="142"/>
          <w:tab w:val="left" w:pos="284"/>
        </w:tabs>
        <w:spacing w:after="0" w:line="276" w:lineRule="auto"/>
        <w:jc w:val="both"/>
        <w:rPr>
          <w:rFonts w:ascii="Verdana" w:eastAsia="Century Gothic" w:hAnsi="Verdana" w:cs="Century Gothic"/>
          <w:b/>
          <w:bCs/>
          <w:lang w:val="es-ES"/>
        </w:rPr>
      </w:pPr>
    </w:p>
    <w:p w14:paraId="70B9C5F2"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lastRenderedPageBreak/>
        <w:t>Razones de la respuesta:</w:t>
      </w:r>
    </w:p>
    <w:p w14:paraId="167B6573" w14:textId="77777777" w:rsidR="00FF49D7" w:rsidRDefault="00FF49D7" w:rsidP="00FF49D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5D96F9C" w14:textId="77777777" w:rsidR="005164F8" w:rsidRPr="00952AB6" w:rsidRDefault="005164F8" w:rsidP="00F94A13">
      <w:pPr>
        <w:spacing w:after="120" w:line="276" w:lineRule="auto"/>
        <w:ind w:firstLine="708"/>
        <w:jc w:val="both"/>
        <w:rPr>
          <w:rFonts w:ascii="Verdana" w:hAnsi="Verdana" w:cs="Arial"/>
          <w:iCs/>
          <w:lang w:val="es-419"/>
        </w:rPr>
      </w:pPr>
      <w:bookmarkStart w:id="4" w:name="_Hlk99546562"/>
      <w:r w:rsidRPr="00952AB6">
        <w:rPr>
          <w:rFonts w:ascii="Verdana" w:hAnsi="Verdana" w:cs="Arial"/>
          <w:iCs/>
          <w:lang w:val="es-419"/>
        </w:rPr>
        <w:t>El artículo 209 de la Constitución Política establece que la función administrativa está orientada hacia el servicio de los intereses generales y se fundamenta en principios de igualdad, moralidad, eficacia, economía, celeridad, imparcialidad y publicidad. A</w:t>
      </w:r>
      <w:r w:rsidRPr="002A6244">
        <w:rPr>
          <w:rFonts w:ascii="Verdana" w:hAnsi="Verdana" w:cs="Arial"/>
          <w:iCs/>
          <w:lang w:val="es-419"/>
        </w:rPr>
        <w:t>simismo</w:t>
      </w:r>
      <w:r w:rsidRPr="00952AB6">
        <w:rPr>
          <w:rFonts w:ascii="Verdana" w:hAnsi="Verdana" w:cs="Arial"/>
          <w:iCs/>
          <w:lang w:val="es-419"/>
        </w:rPr>
        <w:t>, conforme al Código de Procedimiento Administrativo y de lo Contencioso Administrativo, Ley 1437 de 2011, las acciones administrativas deben llevarse a cabo con transparencia.</w:t>
      </w:r>
    </w:p>
    <w:p w14:paraId="719B8019" w14:textId="77777777" w:rsidR="005164F8" w:rsidRDefault="005164F8" w:rsidP="005164F8">
      <w:pPr>
        <w:spacing w:after="120" w:line="276" w:lineRule="auto"/>
        <w:ind w:firstLine="708"/>
        <w:jc w:val="both"/>
        <w:rPr>
          <w:rFonts w:ascii="Verdana" w:eastAsia="Calibri" w:hAnsi="Verdana" w:cs="Arial"/>
          <w:lang w:eastAsia="es-ES_tradnl"/>
        </w:rPr>
      </w:pPr>
      <w:r>
        <w:rPr>
          <w:rFonts w:ascii="Verdana" w:eastAsia="Calibri" w:hAnsi="Verdana" w:cs="Arial"/>
          <w:lang w:eastAsia="es-ES_tradnl"/>
        </w:rPr>
        <w:t>E</w:t>
      </w:r>
      <w:r w:rsidRPr="003F20E6">
        <w:rPr>
          <w:rFonts w:ascii="Verdana" w:eastAsia="Calibri" w:hAnsi="Verdana" w:cs="Arial"/>
          <w:lang w:eastAsia="es-ES_tradnl"/>
        </w:rPr>
        <w:t>l artículo 200 de la Ley 2294 de 2023</w:t>
      </w:r>
      <w:r>
        <w:rPr>
          <w:rStyle w:val="Refdenotaalpie"/>
          <w:rFonts w:ascii="Verdana" w:eastAsia="Calibri" w:hAnsi="Verdana" w:cs="Arial"/>
          <w:lang w:eastAsia="es-ES_tradnl"/>
        </w:rPr>
        <w:footnoteReference w:id="1"/>
      </w:r>
      <w:r w:rsidRPr="003F20E6">
        <w:rPr>
          <w:rFonts w:ascii="Verdana" w:eastAsia="Calibri" w:hAnsi="Verdana" w:cs="Arial"/>
          <w:lang w:eastAsia="es-ES_tradnl"/>
        </w:rPr>
        <w:t xml:space="preserve">, </w:t>
      </w:r>
      <w:r>
        <w:rPr>
          <w:rFonts w:ascii="Verdana" w:eastAsia="Calibri" w:hAnsi="Verdana" w:cs="Arial"/>
          <w:lang w:eastAsia="es-ES_tradnl"/>
        </w:rPr>
        <w:t>“</w:t>
      </w:r>
      <w:r w:rsidRPr="003F20E6">
        <w:rPr>
          <w:rFonts w:ascii="Verdana" w:eastAsia="Calibri" w:hAnsi="Verdana" w:cs="Arial"/>
          <w:lang w:eastAsia="es-ES_tradnl"/>
        </w:rPr>
        <w:t>Por</w:t>
      </w:r>
      <w:r w:rsidRPr="003F20E6">
        <w:rPr>
          <w:rFonts w:ascii="Verdana" w:eastAsia="Calibri" w:hAnsi="Verdana" w:cs="Arial"/>
          <w:i/>
          <w:iCs/>
          <w:lang w:eastAsia="es-ES_tradnl"/>
        </w:rPr>
        <w:t xml:space="preserve"> la cual se expidió el Plan Nacional de Desarrollo ‘Colombia Potencia Mundial de la Vida’”</w:t>
      </w:r>
      <w:r w:rsidRPr="003F20E6">
        <w:rPr>
          <w:rFonts w:ascii="Verdana" w:eastAsia="Calibri" w:hAnsi="Verdana" w:cs="Arial"/>
          <w:lang w:eastAsia="es-ES_tradnl"/>
        </w:rPr>
        <w:t>, estableció el deber de formular una Estrategia Nacional de Lucha contra la Corrupción</w:t>
      </w:r>
      <w:r w:rsidRPr="003F20E6">
        <w:rPr>
          <w:rFonts w:ascii="Verdana" w:eastAsia="Calibri" w:hAnsi="Verdana" w:cs="Arial"/>
          <w:iCs/>
          <w:lang w:eastAsia="es-ES_tradnl"/>
        </w:rPr>
        <w:t>, con el fin de fortalecer las instituciones democráticas y el Estado Social de Derecho, la protección de los derechos humanos, los recursos públicos, así como generar condiciones adecuadas para el desarrollo socioeconómico y el cuidado del medio ambiente</w:t>
      </w:r>
      <w:r w:rsidRPr="003F20E6">
        <w:rPr>
          <w:rFonts w:ascii="Verdana" w:eastAsia="Calibri" w:hAnsi="Verdana" w:cs="Arial"/>
          <w:lang w:eastAsia="es-ES_tradnl"/>
        </w:rPr>
        <w:t xml:space="preserve">. </w:t>
      </w:r>
    </w:p>
    <w:p w14:paraId="758E2368" w14:textId="77777777" w:rsidR="005164F8" w:rsidRPr="003F20E6" w:rsidRDefault="005164F8" w:rsidP="005164F8">
      <w:pPr>
        <w:spacing w:after="120" w:line="276" w:lineRule="auto"/>
        <w:ind w:firstLine="708"/>
        <w:jc w:val="both"/>
        <w:rPr>
          <w:rFonts w:ascii="Verdana" w:eastAsia="Calibri" w:hAnsi="Verdana" w:cs="Arial"/>
          <w:lang w:eastAsia="es-ES_tradnl"/>
        </w:rPr>
      </w:pPr>
      <w:r w:rsidRPr="003F20E6">
        <w:rPr>
          <w:rFonts w:ascii="Verdana" w:eastAsia="Calibri" w:hAnsi="Verdana" w:cs="Arial"/>
          <w:lang w:eastAsia="es-ES_tradnl"/>
        </w:rPr>
        <w:t xml:space="preserve">De este modo, la estrategia de la lucha contra la corrupción incluye las dimensiones de la garantía de los derechos humanos, la protección al denunciante, </w:t>
      </w:r>
      <w:r w:rsidRPr="007E6069">
        <w:rPr>
          <w:rFonts w:ascii="Verdana" w:eastAsia="Calibri" w:hAnsi="Verdana" w:cs="Arial"/>
          <w:lang w:eastAsia="es-ES_tradnl"/>
        </w:rPr>
        <w:t>el derecho de acceso a la información pública,</w:t>
      </w:r>
      <w:r w:rsidRPr="003F20E6">
        <w:rPr>
          <w:rFonts w:ascii="Verdana" w:eastAsia="Calibri" w:hAnsi="Verdana" w:cs="Arial"/>
          <w:lang w:eastAsia="es-ES_tradnl"/>
        </w:rPr>
        <w:t xml:space="preserve"> el fortalecimiento de la veeduría ciudadana, </w:t>
      </w:r>
      <w:r w:rsidRPr="007E6069">
        <w:rPr>
          <w:rFonts w:ascii="Verdana" w:eastAsia="Calibri" w:hAnsi="Verdana" w:cs="Arial"/>
          <w:i/>
          <w:iCs/>
          <w:lang w:eastAsia="es-ES_tradnl"/>
        </w:rPr>
        <w:t>la transparencia en la contratación y gestión pública,</w:t>
      </w:r>
      <w:r w:rsidRPr="003F20E6">
        <w:rPr>
          <w:rFonts w:ascii="Verdana" w:eastAsia="Calibri" w:hAnsi="Verdana" w:cs="Arial"/>
          <w:lang w:eastAsia="es-ES_tradnl"/>
        </w:rPr>
        <w:t xml:space="preserve"> la </w:t>
      </w:r>
      <w:r w:rsidRPr="003F20E6">
        <w:rPr>
          <w:rFonts w:ascii="Verdana" w:eastAsia="Calibri" w:hAnsi="Verdana" w:cs="Arial"/>
          <w:lang w:eastAsia="es-ES_tradnl"/>
        </w:rPr>
        <w:lastRenderedPageBreak/>
        <w:t>innovación pública y la prevención, detección, gestión y sanción de riesgos y hechos de corrupción. </w:t>
      </w:r>
    </w:p>
    <w:p w14:paraId="68F15560" w14:textId="77777777" w:rsidR="005164F8" w:rsidRPr="003F20E6" w:rsidRDefault="005164F8" w:rsidP="005164F8">
      <w:pPr>
        <w:spacing w:after="120" w:line="276" w:lineRule="auto"/>
        <w:ind w:firstLine="708"/>
        <w:jc w:val="both"/>
        <w:rPr>
          <w:rFonts w:ascii="Verdana" w:eastAsia="Calibri" w:hAnsi="Verdana" w:cs="Arial"/>
          <w:bCs/>
          <w:lang w:eastAsia="es-ES_tradnl"/>
        </w:rPr>
      </w:pPr>
      <w:r w:rsidRPr="003F20E6">
        <w:rPr>
          <w:rFonts w:ascii="Verdana" w:eastAsia="Calibri" w:hAnsi="Verdana" w:cs="Arial"/>
          <w:bCs/>
          <w:lang w:eastAsia="es-ES_tradnl"/>
        </w:rPr>
        <w:t xml:space="preserve">En la búsqueda de fortalecer una estrategia de lucha contra la corrupción se expidió el Decreto 1600 de 2024, “Por el cual se modifica el Capítulo 1 y 3 del Título 4 de la Parte 1 del Libro 2 del Decreto número 1081 de 2015, Decreto Reglamentario Único del Sector Presidencia de la República, en lo relacionado con las Subcomisiones Técnicas de la Comisión Nacional de Moralización y la Estrategia Nacional de Lucha Contra la Corrupción”. </w:t>
      </w:r>
    </w:p>
    <w:p w14:paraId="0D6522D0" w14:textId="77777777" w:rsidR="005164F8" w:rsidRPr="003F20E6" w:rsidRDefault="005164F8" w:rsidP="005164F8">
      <w:pPr>
        <w:spacing w:after="120" w:line="276" w:lineRule="auto"/>
        <w:ind w:firstLine="708"/>
        <w:jc w:val="both"/>
        <w:rPr>
          <w:rFonts w:ascii="Verdana" w:eastAsia="Calibri" w:hAnsi="Verdana" w:cs="Arial"/>
          <w:bCs/>
          <w:iCs/>
          <w:lang w:eastAsia="es-ES_tradnl"/>
        </w:rPr>
      </w:pPr>
      <w:r w:rsidRPr="003F20E6">
        <w:rPr>
          <w:rFonts w:ascii="Verdana" w:eastAsia="Calibri" w:hAnsi="Verdana" w:cs="Arial"/>
          <w:bCs/>
          <w:lang w:eastAsia="es-ES_tradnl"/>
        </w:rPr>
        <w:t>El Capítulo 3°, Sección 1°, Título 4°, Parte 1°, Libro 2° del Decreto 1081 de 2015</w:t>
      </w:r>
      <w:r>
        <w:rPr>
          <w:rFonts w:ascii="Verdana" w:eastAsia="Calibri" w:hAnsi="Verdana" w:cs="Arial"/>
          <w:bCs/>
          <w:lang w:eastAsia="es-ES_tradnl"/>
        </w:rPr>
        <w:t>,</w:t>
      </w:r>
      <w:r w:rsidRPr="003F20E6">
        <w:rPr>
          <w:rFonts w:ascii="Verdana" w:eastAsia="Calibri" w:hAnsi="Verdana" w:cs="Arial"/>
          <w:bCs/>
          <w:lang w:eastAsia="es-ES_tradnl"/>
        </w:rPr>
        <w:t xml:space="preserve"> que fue modificado por el Decreto 1600 de 2024</w:t>
      </w:r>
      <w:r>
        <w:rPr>
          <w:rFonts w:ascii="Verdana" w:eastAsia="Calibri" w:hAnsi="Verdana" w:cs="Arial"/>
          <w:bCs/>
          <w:lang w:eastAsia="es-ES_tradnl"/>
        </w:rPr>
        <w:t>,</w:t>
      </w:r>
      <w:r w:rsidRPr="003F20E6">
        <w:rPr>
          <w:rFonts w:ascii="Verdana" w:eastAsia="Calibri" w:hAnsi="Verdana" w:cs="Arial"/>
          <w:bCs/>
          <w:lang w:eastAsia="es-ES_tradnl"/>
        </w:rPr>
        <w:t xml:space="preserve"> tiene como objeto: “[…] </w:t>
      </w:r>
      <w:r w:rsidRPr="003F20E6">
        <w:rPr>
          <w:rFonts w:ascii="Verdana" w:eastAsia="Calibri" w:hAnsi="Verdana" w:cs="Arial"/>
          <w:bCs/>
          <w:iCs/>
          <w:lang w:eastAsia="es-ES_tradnl"/>
        </w:rPr>
        <w:t xml:space="preserve">establecer los lineamientos, mecanismos y directrices necesarios para la implementación de la Estrategia Nacional de Lucha contra la Corrupción, con el fin de fortalecer las instituciones democráticas, la confianza ciudadana y el Estado social de derecho, garantizar la protección de los derechos humanos relativos a la protección de los recursos públicos, generar condiciones adecuadas para el desarrollo socioeconómico y protección del medio ambiente. Asimismo, procura fomentar una cultura de revalorización y cuidado de lo público, a través de herramientas de transparencia, fortalecimiento de la veeduría ciudadana, acceso efectivo a la información, participación ciudadana y debida diligencia en la prevención, detección y sanción de hechos de corrupción” -artículo 2.1.4.3.1.1-. </w:t>
      </w:r>
    </w:p>
    <w:p w14:paraId="7BF53E5B" w14:textId="77777777" w:rsidR="005164F8" w:rsidRDefault="005164F8" w:rsidP="005164F8">
      <w:pPr>
        <w:spacing w:after="120" w:line="276" w:lineRule="auto"/>
        <w:ind w:firstLine="708"/>
        <w:jc w:val="both"/>
        <w:rPr>
          <w:rFonts w:ascii="Verdana" w:eastAsia="Calibri" w:hAnsi="Verdana" w:cs="Arial"/>
          <w:bCs/>
          <w:iCs/>
          <w:lang w:eastAsia="es-ES_tradnl"/>
        </w:rPr>
      </w:pPr>
      <w:r>
        <w:rPr>
          <w:rFonts w:ascii="Verdana" w:eastAsia="Calibri" w:hAnsi="Verdana" w:cs="Arial"/>
          <w:bCs/>
          <w:iCs/>
          <w:lang w:eastAsia="es-ES_tradnl"/>
        </w:rPr>
        <w:t>Ahora bien, e</w:t>
      </w:r>
      <w:r w:rsidRPr="003F20E6">
        <w:rPr>
          <w:rFonts w:ascii="Verdana" w:eastAsia="Calibri" w:hAnsi="Verdana" w:cs="Arial"/>
          <w:bCs/>
          <w:iCs/>
          <w:lang w:eastAsia="es-ES_tradnl"/>
        </w:rPr>
        <w:t>l ámbito o campo de aplicación de este capítulo</w:t>
      </w:r>
      <w:r>
        <w:rPr>
          <w:rFonts w:ascii="Verdana" w:eastAsia="Calibri" w:hAnsi="Verdana" w:cs="Arial"/>
          <w:bCs/>
          <w:iCs/>
          <w:lang w:eastAsia="es-ES_tradnl"/>
        </w:rPr>
        <w:t>, al cual se hace referencia en su consulta,</w:t>
      </w:r>
      <w:r w:rsidRPr="003F20E6">
        <w:rPr>
          <w:rFonts w:ascii="Verdana" w:eastAsia="Calibri" w:hAnsi="Verdana" w:cs="Arial"/>
          <w:bCs/>
          <w:iCs/>
          <w:lang w:eastAsia="es-ES_tradnl"/>
        </w:rPr>
        <w:t xml:space="preserve"> está regulado en el artículo 2.1.4.3.1.2.</w:t>
      </w:r>
      <w:r w:rsidRPr="003F20E6">
        <w:rPr>
          <w:rFonts w:ascii="Verdana" w:eastAsia="Calibri" w:hAnsi="Verdana" w:cs="Arial"/>
          <w:bCs/>
          <w:iCs/>
          <w:vertAlign w:val="superscript"/>
          <w:lang w:eastAsia="es-ES_tradnl"/>
        </w:rPr>
        <w:footnoteReference w:id="2"/>
      </w:r>
      <w:r w:rsidRPr="003F20E6">
        <w:rPr>
          <w:rFonts w:ascii="Verdana" w:eastAsia="Calibri" w:hAnsi="Verdana" w:cs="Arial"/>
          <w:bCs/>
          <w:iCs/>
          <w:lang w:eastAsia="es-ES_tradnl"/>
        </w:rPr>
        <w:t xml:space="preserve"> que señala que sus reglas </w:t>
      </w:r>
      <w:r>
        <w:rPr>
          <w:rFonts w:ascii="Verdana" w:eastAsia="Calibri" w:hAnsi="Verdana" w:cs="Arial"/>
          <w:bCs/>
          <w:iCs/>
          <w:lang w:eastAsia="es-ES_tradnl"/>
        </w:rPr>
        <w:t xml:space="preserve">están dirigidas a </w:t>
      </w:r>
      <w:r w:rsidRPr="003F20E6">
        <w:rPr>
          <w:rFonts w:ascii="Verdana" w:eastAsia="Calibri" w:hAnsi="Verdana" w:cs="Arial"/>
          <w:bCs/>
          <w:iCs/>
          <w:lang w:eastAsia="es-ES_tradnl"/>
        </w:rPr>
        <w:t xml:space="preserve">las entidades y empresas del Estado del orden nacional y pertenecientes a la Rama Ejecutiva del Poder Público. Así mismo, dispone que las empresas industriales y comerciales del Estado, las sociedades de economía mixta y todas las demás instituciones sometidas a regímenes especiales de contratación deben cumplir las obligaciones del </w:t>
      </w:r>
      <w:r w:rsidRPr="003F20E6">
        <w:rPr>
          <w:rFonts w:ascii="Verdana" w:eastAsia="Calibri" w:hAnsi="Verdana" w:cs="Arial"/>
          <w:bCs/>
          <w:iCs/>
          <w:lang w:eastAsia="es-ES_tradnl"/>
        </w:rPr>
        <w:lastRenderedPageBreak/>
        <w:t xml:space="preserve">presente Capítulo en aquellos aspectos en los que deban aplicar el régimen general de contratación pública. </w:t>
      </w:r>
    </w:p>
    <w:p w14:paraId="0A661D20" w14:textId="77777777" w:rsidR="005164F8" w:rsidRDefault="005164F8" w:rsidP="005164F8">
      <w:pPr>
        <w:spacing w:after="120" w:line="276" w:lineRule="auto"/>
        <w:ind w:firstLine="708"/>
        <w:jc w:val="both"/>
        <w:rPr>
          <w:rFonts w:ascii="Verdana" w:eastAsia="Calibri" w:hAnsi="Verdana" w:cs="Arial"/>
          <w:bCs/>
          <w:lang w:eastAsia="es-ES_tradnl"/>
        </w:rPr>
      </w:pPr>
      <w:r w:rsidRPr="003F20E6">
        <w:rPr>
          <w:rFonts w:ascii="Verdana" w:eastAsia="Calibri" w:hAnsi="Verdana" w:cs="Arial"/>
          <w:bCs/>
          <w:iCs/>
          <w:lang w:eastAsia="es-ES_tradnl"/>
        </w:rPr>
        <w:t>En los temas no regulados por dicho régimen, no se aplica lo dispuesto en el artículo 2.1.4.3.2.1</w:t>
      </w:r>
      <w:r w:rsidRPr="003F20E6">
        <w:rPr>
          <w:rFonts w:ascii="Verdana" w:eastAsia="Calibri" w:hAnsi="Verdana" w:cs="Arial"/>
          <w:bCs/>
          <w:iCs/>
          <w:vertAlign w:val="superscript"/>
          <w:lang w:eastAsia="es-ES_tradnl"/>
        </w:rPr>
        <w:footnoteReference w:id="3"/>
      </w:r>
      <w:r w:rsidRPr="003F20E6">
        <w:rPr>
          <w:rFonts w:ascii="Verdana" w:eastAsia="Calibri" w:hAnsi="Verdana" w:cs="Arial"/>
          <w:bCs/>
          <w:iCs/>
          <w:lang w:eastAsia="es-ES_tradnl"/>
        </w:rPr>
        <w:t>, por lo que las demás disposiciones deberán aplicarse, de acuerdo con su estructura orgánica y la normativa aplicable a su funcionamiento.</w:t>
      </w:r>
      <w:r w:rsidRPr="003F20E6">
        <w:rPr>
          <w:rFonts w:ascii="Verdana" w:eastAsia="Calibri" w:hAnsi="Verdana" w:cs="Arial"/>
          <w:bCs/>
          <w:lang w:eastAsia="es-ES_tradnl"/>
        </w:rPr>
        <w:t xml:space="preserve"> </w:t>
      </w:r>
    </w:p>
    <w:p w14:paraId="0A78160A" w14:textId="77777777" w:rsidR="005164F8" w:rsidRPr="003F20E6" w:rsidRDefault="005164F8" w:rsidP="005164F8">
      <w:pPr>
        <w:spacing w:after="120" w:line="276" w:lineRule="auto"/>
        <w:ind w:firstLine="708"/>
        <w:jc w:val="both"/>
        <w:rPr>
          <w:rFonts w:ascii="Verdana" w:eastAsia="Calibri" w:hAnsi="Verdana" w:cs="Arial"/>
          <w:bCs/>
          <w:iCs/>
          <w:lang w:eastAsia="es-ES_tradnl"/>
        </w:rPr>
      </w:pPr>
      <w:r w:rsidRPr="003F20E6">
        <w:rPr>
          <w:rFonts w:ascii="Verdana" w:eastAsia="Calibri" w:hAnsi="Verdana" w:cs="Arial"/>
          <w:bCs/>
          <w:iCs/>
          <w:lang w:eastAsia="es-ES_tradnl"/>
        </w:rPr>
        <w:t>Con respecto a las entidades territoriales y sus entidades descentralizadas</w:t>
      </w:r>
      <w:r>
        <w:rPr>
          <w:rFonts w:ascii="Verdana" w:eastAsia="Calibri" w:hAnsi="Verdana" w:cs="Arial"/>
          <w:bCs/>
          <w:iCs/>
          <w:lang w:eastAsia="es-ES_tradnl"/>
        </w:rPr>
        <w:t xml:space="preserve"> el citado artículo</w:t>
      </w:r>
      <w:r w:rsidRPr="003F20E6">
        <w:rPr>
          <w:rFonts w:ascii="Verdana" w:eastAsia="Calibri" w:hAnsi="Verdana" w:cs="Arial"/>
          <w:bCs/>
          <w:iCs/>
          <w:lang w:eastAsia="es-ES_tradnl"/>
        </w:rPr>
        <w:t xml:space="preserve"> </w:t>
      </w:r>
      <w:r>
        <w:rPr>
          <w:rFonts w:ascii="Verdana" w:eastAsia="Calibri" w:hAnsi="Verdana" w:cs="Arial"/>
          <w:bCs/>
          <w:iCs/>
          <w:lang w:eastAsia="es-ES_tradnl"/>
        </w:rPr>
        <w:t>dispone</w:t>
      </w:r>
      <w:r w:rsidRPr="003F20E6">
        <w:rPr>
          <w:rFonts w:ascii="Verdana" w:eastAsia="Calibri" w:hAnsi="Verdana" w:cs="Arial"/>
          <w:bCs/>
          <w:iCs/>
          <w:lang w:eastAsia="es-ES_tradnl"/>
        </w:rPr>
        <w:t xml:space="preserve"> que en el marco de su autonomía y en cumplimiento de lo previsto en el artículo 32</w:t>
      </w:r>
      <w:r>
        <w:rPr>
          <w:rStyle w:val="Refdenotaalpie"/>
          <w:rFonts w:ascii="Verdana" w:eastAsia="Calibri" w:hAnsi="Verdana" w:cs="Arial"/>
          <w:bCs/>
          <w:iCs/>
          <w:lang w:eastAsia="es-ES_tradnl"/>
        </w:rPr>
        <w:footnoteReference w:id="4"/>
      </w:r>
      <w:r w:rsidRPr="003F20E6">
        <w:rPr>
          <w:rFonts w:ascii="Verdana" w:eastAsia="Calibri" w:hAnsi="Verdana" w:cs="Arial"/>
          <w:bCs/>
          <w:iCs/>
          <w:lang w:eastAsia="es-ES_tradnl"/>
        </w:rPr>
        <w:t xml:space="preserve"> de la Ley 152 de 1994, por la cual se establece la Ley Orgánica de Plan de Desarrollo, </w:t>
      </w:r>
      <w:r>
        <w:rPr>
          <w:rFonts w:ascii="Verdana" w:eastAsia="Calibri" w:hAnsi="Verdana" w:cs="Arial"/>
          <w:bCs/>
          <w:iCs/>
          <w:lang w:eastAsia="es-ES_tradnl"/>
        </w:rPr>
        <w:t>aplicarán</w:t>
      </w:r>
      <w:r w:rsidRPr="003F20E6">
        <w:rPr>
          <w:rFonts w:ascii="Verdana" w:eastAsia="Calibri" w:hAnsi="Verdana" w:cs="Arial"/>
          <w:bCs/>
          <w:iCs/>
          <w:lang w:eastAsia="es-ES_tradnl"/>
        </w:rPr>
        <w:t xml:space="preserve"> </w:t>
      </w:r>
      <w:r>
        <w:rPr>
          <w:rFonts w:ascii="Verdana" w:eastAsia="Calibri" w:hAnsi="Verdana" w:cs="Arial"/>
          <w:bCs/>
          <w:iCs/>
          <w:lang w:eastAsia="es-ES_tradnl"/>
        </w:rPr>
        <w:t xml:space="preserve">en </w:t>
      </w:r>
      <w:r w:rsidRPr="003F20E6">
        <w:rPr>
          <w:rFonts w:ascii="Verdana" w:eastAsia="Calibri" w:hAnsi="Verdana" w:cs="Arial"/>
          <w:bCs/>
          <w:iCs/>
          <w:lang w:eastAsia="es-ES_tradnl"/>
        </w:rPr>
        <w:t xml:space="preserve">sus planes y políticas, las </w:t>
      </w:r>
      <w:r w:rsidRPr="003F20E6">
        <w:rPr>
          <w:rFonts w:ascii="Verdana" w:eastAsia="Calibri" w:hAnsi="Verdana" w:cs="Arial"/>
          <w:bCs/>
          <w:iCs/>
          <w:lang w:eastAsia="es-ES_tradnl"/>
        </w:rPr>
        <w:lastRenderedPageBreak/>
        <w:t>líneas de acción contenidas en el presente Capítulo, conforme a lo regulado en el artículo 200</w:t>
      </w:r>
      <w:r>
        <w:rPr>
          <w:rStyle w:val="Refdenotaalpie"/>
          <w:rFonts w:ascii="Verdana" w:eastAsia="Calibri" w:hAnsi="Verdana" w:cs="Arial"/>
          <w:bCs/>
          <w:iCs/>
          <w:lang w:eastAsia="es-ES_tradnl"/>
        </w:rPr>
        <w:footnoteReference w:id="5"/>
      </w:r>
      <w:r w:rsidRPr="003F20E6">
        <w:rPr>
          <w:rFonts w:ascii="Verdana" w:eastAsia="Calibri" w:hAnsi="Verdana" w:cs="Arial"/>
          <w:bCs/>
          <w:iCs/>
          <w:lang w:eastAsia="es-ES_tradnl"/>
        </w:rPr>
        <w:t xml:space="preserve"> de la Ley 2294 de 2023. </w:t>
      </w:r>
    </w:p>
    <w:p w14:paraId="3BF24710" w14:textId="77777777" w:rsidR="005164F8" w:rsidRDefault="005164F8" w:rsidP="005164F8">
      <w:pPr>
        <w:spacing w:after="0" w:line="276" w:lineRule="auto"/>
        <w:ind w:firstLine="709"/>
        <w:jc w:val="both"/>
        <w:rPr>
          <w:rFonts w:ascii="Verdana" w:eastAsia="Calibri" w:hAnsi="Verdana" w:cs="Arial"/>
          <w:bCs/>
          <w:iCs/>
          <w:lang w:eastAsia="es-ES_tradnl"/>
        </w:rPr>
      </w:pPr>
      <w:r>
        <w:rPr>
          <w:rFonts w:ascii="Verdana" w:eastAsia="Calibri" w:hAnsi="Verdana" w:cs="Arial"/>
          <w:bCs/>
          <w:iCs/>
          <w:lang w:eastAsia="es-ES_tradnl"/>
        </w:rPr>
        <w:t xml:space="preserve">En el capítulo referido, el artículo 2.1.4.3.2.1. indica que las entidades definidas en el artículo 2.1.4.3.1.2 del decreto, deberán garantizar acciones en desarrollo de la gestión contractual a su cargo, sin perjuicio de las demás obligaciones legales y reglamentarias, a saber: </w:t>
      </w:r>
    </w:p>
    <w:p w14:paraId="589D0AF3" w14:textId="77777777" w:rsidR="005164F8" w:rsidRDefault="005164F8" w:rsidP="005164F8">
      <w:pPr>
        <w:spacing w:after="0" w:line="276" w:lineRule="auto"/>
        <w:ind w:firstLine="709"/>
        <w:jc w:val="both"/>
        <w:rPr>
          <w:rFonts w:ascii="Verdana" w:eastAsia="Calibri" w:hAnsi="Verdana" w:cs="Arial"/>
          <w:bCs/>
          <w:iCs/>
          <w:lang w:eastAsia="es-ES_tradnl"/>
        </w:rPr>
      </w:pPr>
    </w:p>
    <w:p w14:paraId="1BB9F9D3" w14:textId="77777777" w:rsidR="005164F8" w:rsidRDefault="005164F8" w:rsidP="005164F8">
      <w:pPr>
        <w:pStyle w:val="Prrafodelista"/>
        <w:numPr>
          <w:ilvl w:val="0"/>
          <w:numId w:val="29"/>
        </w:numPr>
        <w:spacing w:after="120" w:line="276" w:lineRule="auto"/>
        <w:jc w:val="both"/>
        <w:rPr>
          <w:rFonts w:ascii="Verdana" w:eastAsia="Calibri" w:hAnsi="Verdana" w:cs="Arial"/>
          <w:bCs/>
          <w:iCs/>
          <w:lang w:eastAsia="es-ES_tradnl"/>
        </w:rPr>
      </w:pPr>
      <w:r w:rsidRPr="005B091C">
        <w:rPr>
          <w:rFonts w:ascii="Verdana" w:eastAsia="Calibri" w:hAnsi="Verdana" w:cs="Arial"/>
          <w:bCs/>
          <w:iCs/>
          <w:lang w:eastAsia="es-ES_tradnl"/>
        </w:rPr>
        <w:t xml:space="preserve">Verificar la existencia de situaciones de control. En este escenario las personas jurídicas oferentes y/o de los proponentes plurales que se presenten en los procesos de selección adelantados por las entidades mencionadas en el artículo 2.1.4.3.1.2, en el término máximo de tres (3) días después del momento en que se cierre definitivamente la presentación de ofertas, deberán poner de presente la existencia o no de situaciones de control de las que participen y, en particular, si son contratantes, controladas o comparten alguna de estas condiciones con otras personas que se encuentren participando en el mismo procedimiento de contratación. Para el caso de los proponentes plurales, deberán indicar si las personas que los conforman se encuentran en alguna de las situaciones descritas anteriormente. </w:t>
      </w:r>
    </w:p>
    <w:p w14:paraId="48B1DC8F" w14:textId="77777777" w:rsidR="005164F8" w:rsidRDefault="005164F8" w:rsidP="005164F8">
      <w:pPr>
        <w:pStyle w:val="Prrafodelista"/>
        <w:spacing w:after="0" w:line="240" w:lineRule="auto"/>
        <w:jc w:val="both"/>
        <w:rPr>
          <w:rFonts w:ascii="Verdana" w:eastAsia="Calibri" w:hAnsi="Verdana" w:cs="Arial"/>
          <w:bCs/>
          <w:iCs/>
          <w:lang w:eastAsia="es-ES_tradnl"/>
        </w:rPr>
      </w:pPr>
    </w:p>
    <w:p w14:paraId="6A6729AC" w14:textId="77777777" w:rsidR="005164F8" w:rsidRPr="008D2D5D" w:rsidRDefault="005164F8" w:rsidP="005164F8">
      <w:pPr>
        <w:pStyle w:val="Prrafodelista"/>
        <w:spacing w:after="120" w:line="276" w:lineRule="auto"/>
        <w:jc w:val="both"/>
        <w:rPr>
          <w:rFonts w:ascii="Verdana" w:eastAsia="Calibri" w:hAnsi="Verdana" w:cs="Arial"/>
          <w:bCs/>
          <w:iCs/>
          <w:lang w:eastAsia="es-ES_tradnl"/>
        </w:rPr>
      </w:pPr>
      <w:r w:rsidRPr="008D2D5D">
        <w:rPr>
          <w:rFonts w:ascii="Verdana" w:eastAsia="Calibri" w:hAnsi="Verdana" w:cs="Arial"/>
          <w:bCs/>
          <w:iCs/>
          <w:lang w:eastAsia="es-ES_tradnl"/>
        </w:rPr>
        <w:t xml:space="preserve">Las entidades contratantes examinarán la existencia de las circunstancias antes descritas, con base en la información proporcionada por los </w:t>
      </w:r>
      <w:r w:rsidRPr="008D2D5D">
        <w:rPr>
          <w:rFonts w:ascii="Verdana" w:eastAsia="Calibri" w:hAnsi="Verdana" w:cs="Arial"/>
          <w:bCs/>
          <w:iCs/>
          <w:lang w:eastAsia="es-ES_tradnl"/>
        </w:rPr>
        <w:lastRenderedPageBreak/>
        <w:t>oferentes y en la que reposa en los expedientes públicos registrados ante las Cámaras de Comercio, con el fin de prever la configuración de las causales de inhabilidad e incompatibilidad previstas en el artículo 8° de la Ley 80 de 1993.  </w:t>
      </w:r>
    </w:p>
    <w:p w14:paraId="12B68F84" w14:textId="77777777" w:rsidR="005164F8" w:rsidRDefault="005164F8" w:rsidP="005164F8">
      <w:pPr>
        <w:pStyle w:val="Prrafodelista"/>
        <w:spacing w:after="0" w:line="240" w:lineRule="auto"/>
        <w:jc w:val="both"/>
        <w:rPr>
          <w:rFonts w:ascii="Verdana" w:eastAsia="Calibri" w:hAnsi="Verdana" w:cs="Arial"/>
          <w:bCs/>
          <w:lang w:eastAsia="es-ES_tradnl"/>
        </w:rPr>
      </w:pPr>
    </w:p>
    <w:p w14:paraId="00AC813D" w14:textId="77777777" w:rsidR="005164F8" w:rsidRPr="00F94A13" w:rsidRDefault="005164F8" w:rsidP="005164F8">
      <w:pPr>
        <w:pStyle w:val="Prrafodelista"/>
        <w:spacing w:after="120" w:line="276" w:lineRule="auto"/>
        <w:jc w:val="both"/>
        <w:rPr>
          <w:rFonts w:ascii="Verdana" w:eastAsia="Calibri" w:hAnsi="Verdana" w:cs="Arial"/>
          <w:b/>
          <w:bCs/>
          <w:lang w:val="es-CO" w:eastAsia="es-ES_tradnl"/>
        </w:rPr>
      </w:pPr>
      <w:r w:rsidRPr="00F94A13">
        <w:rPr>
          <w:rStyle w:val="Textoennegrita"/>
          <w:rFonts w:ascii="Verdana" w:hAnsi="Verdana"/>
          <w:b w:val="0"/>
          <w:bCs w:val="0"/>
          <w:color w:val="000000"/>
        </w:rPr>
        <w:t>Si se evidencian circunstancias que pudieran implicar afectaciones a la libertad de concurrencia o competencia, o a la pluralidad real de oferentes dentro del proceso de selección correspondiente, la entidad contratante deberá evaluar la necesidad de poner en conocimiento de los entes de control competentes dichas situaciones y, de ser necesario, solicitar su acompañamiento preventivo. La Presidencia de la República, a través de la Secretaría de Transparencia, se articulará con las entidades competentes con el fin de generar los mecanismos necesarios para mitigar los riesgos de corrupción que puedan advertirse como consecuencia del análisis dispuesto en este literal</w:t>
      </w:r>
      <w:r w:rsidRPr="00F94A13">
        <w:rPr>
          <w:rFonts w:ascii="Verdana" w:eastAsia="Calibri" w:hAnsi="Verdana" w:cs="Arial"/>
          <w:b/>
          <w:bCs/>
          <w:lang w:val="es-CO" w:eastAsia="es-ES_tradnl"/>
        </w:rPr>
        <w:t>.  </w:t>
      </w:r>
    </w:p>
    <w:p w14:paraId="74E6C32B" w14:textId="77777777" w:rsidR="005164F8" w:rsidRDefault="005164F8" w:rsidP="005164F8">
      <w:pPr>
        <w:pStyle w:val="Prrafodelista"/>
        <w:spacing w:after="0" w:line="276" w:lineRule="auto"/>
        <w:jc w:val="both"/>
        <w:rPr>
          <w:rFonts w:ascii="Verdana" w:eastAsia="Calibri" w:hAnsi="Verdana" w:cs="Arial"/>
          <w:bCs/>
          <w:lang w:val="es-CO" w:eastAsia="es-ES_tradnl"/>
        </w:rPr>
      </w:pPr>
    </w:p>
    <w:p w14:paraId="53DA49CC" w14:textId="77777777" w:rsidR="005164F8" w:rsidRPr="00130718" w:rsidRDefault="005164F8" w:rsidP="005164F8">
      <w:pPr>
        <w:pStyle w:val="Prrafodelista"/>
        <w:numPr>
          <w:ilvl w:val="0"/>
          <w:numId w:val="29"/>
        </w:numPr>
        <w:spacing w:after="120" w:line="276" w:lineRule="auto"/>
        <w:ind w:left="714" w:hanging="357"/>
        <w:jc w:val="both"/>
        <w:rPr>
          <w:rStyle w:val="nfasis"/>
          <w:rFonts w:ascii="Verdana" w:eastAsia="Calibri" w:hAnsi="Verdana" w:cs="Arial"/>
          <w:bCs/>
          <w:lang w:eastAsia="es-ES_tradnl"/>
        </w:rPr>
      </w:pPr>
      <w:r w:rsidRPr="00A93F12">
        <w:rPr>
          <w:rStyle w:val="Textoennegrita"/>
          <w:rFonts w:ascii="Verdana" w:hAnsi="Verdana" w:cs="Arial"/>
          <w:b w:val="0"/>
          <w:bCs w:val="0"/>
          <w:color w:val="000000"/>
        </w:rPr>
        <w:t>Aplicar buenas prácticas para la contratación transparente</w:t>
      </w:r>
      <w:r w:rsidRPr="00130718">
        <w:rPr>
          <w:rStyle w:val="Textoennegrita"/>
          <w:rFonts w:ascii="Verdana" w:hAnsi="Verdana" w:cs="Arial"/>
          <w:color w:val="000000"/>
        </w:rPr>
        <w:t>. </w:t>
      </w:r>
      <w:r w:rsidRPr="00130718">
        <w:rPr>
          <w:rStyle w:val="nfasis"/>
          <w:rFonts w:ascii="Verdana" w:hAnsi="Verdana" w:cs="Arial"/>
          <w:color w:val="000000"/>
        </w:rPr>
        <w:t>Las entidades deberán garantizar que las guías y manuales definidos por la Agencia Nacional de Contratación Pública - Colombia Compra Eficiente, para la definición de criterios que permitan garantizar la pluralidad de oferentes, se apliquen en la organización. </w:t>
      </w:r>
      <w:r w:rsidRPr="00130718">
        <w:rPr>
          <w:rFonts w:ascii="Verdana" w:hAnsi="Verdana" w:cs="Arial"/>
          <w:i/>
          <w:iCs/>
          <w:color w:val="000000"/>
        </w:rPr>
        <w:t> </w:t>
      </w:r>
      <w:r w:rsidRPr="00130718">
        <w:rPr>
          <w:rFonts w:ascii="Verdana" w:hAnsi="Verdana" w:cs="Arial"/>
          <w:color w:val="000000"/>
        </w:rPr>
        <w:t xml:space="preserve">De esta forma deberán dejar constancia que en la estructuración del proceso precontractual se tuvieron en cuenta las </w:t>
      </w:r>
      <w:r w:rsidRPr="00130718">
        <w:rPr>
          <w:rStyle w:val="nfasis"/>
          <w:rFonts w:ascii="Verdana" w:hAnsi="Verdana" w:cs="Arial"/>
          <w:color w:val="000000"/>
        </w:rPr>
        <w:t>prácticas recomendadas por Colombia Compra Eficiente</w:t>
      </w:r>
    </w:p>
    <w:p w14:paraId="784E022E" w14:textId="77777777" w:rsidR="005164F8" w:rsidRPr="002D012D" w:rsidRDefault="005164F8" w:rsidP="005164F8">
      <w:pPr>
        <w:pStyle w:val="Prrafodelista"/>
        <w:spacing w:after="0" w:line="240" w:lineRule="auto"/>
        <w:ind w:left="714"/>
        <w:jc w:val="both"/>
        <w:rPr>
          <w:rStyle w:val="nfasis"/>
          <w:rFonts w:ascii="Verdana" w:eastAsia="Calibri" w:hAnsi="Verdana" w:cs="Arial"/>
          <w:bCs/>
          <w:lang w:eastAsia="es-ES_tradnl"/>
        </w:rPr>
      </w:pPr>
    </w:p>
    <w:p w14:paraId="63B68E34" w14:textId="77777777" w:rsidR="005164F8" w:rsidRPr="005B091C" w:rsidRDefault="005164F8" w:rsidP="005164F8">
      <w:pPr>
        <w:pStyle w:val="Prrafodelista"/>
        <w:numPr>
          <w:ilvl w:val="0"/>
          <w:numId w:val="29"/>
        </w:numPr>
        <w:spacing w:after="120" w:line="276" w:lineRule="auto"/>
        <w:ind w:left="714" w:hanging="357"/>
        <w:jc w:val="both"/>
        <w:rPr>
          <w:rFonts w:ascii="Verdana" w:eastAsia="Calibri" w:hAnsi="Verdana" w:cs="Arial"/>
          <w:bCs/>
          <w:i/>
          <w:iCs/>
          <w:lang w:eastAsia="es-ES_tradnl"/>
        </w:rPr>
      </w:pPr>
      <w:r w:rsidRPr="005B091C">
        <w:rPr>
          <w:rFonts w:ascii="Verdana" w:eastAsia="Calibri" w:hAnsi="Verdana" w:cs="Arial"/>
          <w:bCs/>
          <w:lang w:eastAsia="es-ES_tradnl"/>
        </w:rPr>
        <w:t xml:space="preserve">Fortalecer los análisis de mercado para la fijación objetiva de precios. En la elaboración del análisis de mercado para fijar los precios, deberán realizarse estudios públicos y abiertos, que permitan un análisis comparativo de los precios de referencia para alcanzar valores de mercado favorables y mayor eficiencia en el gasto. En esa medida, y con el fin de mitigar sobrecostos, en la definición de presupuestos a partir de cotizaciones no se podrán realizar consultas cerradas ni direccionadas a grupos reducidos de empresas y se verificará la ausencia de inhabilidades e incompatibilidades de las empresas que coticen. En todo caso, en los documentos del proceso debe quedar constancia del proceso que permitió la determinación del precio, el mecanismo seleccionado para fijarlo y la justificación de esa elección.  </w:t>
      </w:r>
    </w:p>
    <w:p w14:paraId="6D7A4584" w14:textId="77777777" w:rsidR="005164F8" w:rsidRPr="00476D11" w:rsidRDefault="005164F8" w:rsidP="005164F8">
      <w:pPr>
        <w:spacing w:after="120" w:line="276" w:lineRule="auto"/>
        <w:ind w:firstLine="709"/>
        <w:jc w:val="both"/>
        <w:rPr>
          <w:rFonts w:ascii="Verdana" w:eastAsia="Calibri" w:hAnsi="Verdana" w:cs="Arial"/>
          <w:bCs/>
          <w:lang w:eastAsia="es-ES_tradnl"/>
        </w:rPr>
      </w:pPr>
      <w:r>
        <w:rPr>
          <w:rFonts w:ascii="Verdana" w:eastAsia="Calibri" w:hAnsi="Verdana" w:cs="Arial"/>
          <w:bCs/>
          <w:lang w:eastAsia="es-ES_tradnl"/>
        </w:rPr>
        <w:t xml:space="preserve">Lo anterior deberá ser incorporado por parte de las entidades definidas en el artículo </w:t>
      </w:r>
      <w:r w:rsidRPr="00476D11">
        <w:rPr>
          <w:rFonts w:ascii="Verdana" w:eastAsia="Calibri" w:hAnsi="Verdana" w:cs="Arial"/>
          <w:bCs/>
          <w:lang w:eastAsia="es-ES_tradnl"/>
        </w:rPr>
        <w:t>2.1.4.3.1.2</w:t>
      </w:r>
      <w:r>
        <w:rPr>
          <w:rFonts w:ascii="Verdana" w:eastAsia="Calibri" w:hAnsi="Verdana" w:cs="Arial"/>
          <w:bCs/>
          <w:lang w:eastAsia="es-ES_tradnl"/>
        </w:rPr>
        <w:t xml:space="preserve"> en los manuales de contratación dentro de los seis (6) </w:t>
      </w:r>
      <w:r>
        <w:rPr>
          <w:rFonts w:ascii="Verdana" w:eastAsia="Calibri" w:hAnsi="Verdana" w:cs="Arial"/>
          <w:bCs/>
          <w:lang w:eastAsia="es-ES_tradnl"/>
        </w:rPr>
        <w:lastRenderedPageBreak/>
        <w:t xml:space="preserve">meses siguientes a la expedición del Decreto 1600 de 2024. Así mismo, serán incorporadas por parte de las entidades territoriales y sus entidades descentralizadas en el marco de su autonomía contemplada en el artículo 32 de la Ley 152 de 1994. </w:t>
      </w:r>
    </w:p>
    <w:p w14:paraId="06C9D6FD" w14:textId="77777777" w:rsidR="005164F8" w:rsidRPr="003F20E6" w:rsidRDefault="005164F8" w:rsidP="005164F8">
      <w:pPr>
        <w:spacing w:after="0" w:line="276" w:lineRule="auto"/>
        <w:ind w:firstLine="709"/>
        <w:jc w:val="both"/>
        <w:rPr>
          <w:rFonts w:ascii="Verdana" w:eastAsia="Calibri" w:hAnsi="Verdana" w:cs="Arial"/>
          <w:bCs/>
          <w:iCs/>
          <w:lang w:eastAsia="es-ES_tradnl"/>
        </w:rPr>
      </w:pPr>
      <w:r>
        <w:rPr>
          <w:rFonts w:ascii="Verdana" w:eastAsia="Calibri" w:hAnsi="Verdana" w:cs="Arial"/>
          <w:bCs/>
          <w:iCs/>
          <w:lang w:eastAsia="es-ES_tradnl"/>
        </w:rPr>
        <w:t xml:space="preserve">Por otro lado, el </w:t>
      </w:r>
      <w:r w:rsidRPr="003F20E6">
        <w:rPr>
          <w:rFonts w:ascii="Verdana" w:eastAsia="Calibri" w:hAnsi="Verdana" w:cs="Arial"/>
          <w:bCs/>
          <w:iCs/>
          <w:lang w:eastAsia="es-ES_tradnl"/>
        </w:rPr>
        <w:t>capítulo contiene el deber de garantizar el derecho de acceso a la información en las entidades públicas como presupuesto para el ejercicio de los derechos fundamentales, regulado en el artículo 2.1.4.3.2.2. del Decreto 1081 de 2015, cuyo tenor literal prescribe:</w:t>
      </w:r>
    </w:p>
    <w:p w14:paraId="0849491B" w14:textId="77777777" w:rsidR="005164F8" w:rsidRPr="003F20E6" w:rsidRDefault="005164F8" w:rsidP="005164F8">
      <w:pPr>
        <w:spacing w:after="0" w:line="276" w:lineRule="auto"/>
        <w:ind w:firstLine="709"/>
        <w:jc w:val="both"/>
        <w:rPr>
          <w:rFonts w:ascii="Verdana" w:eastAsia="Calibri" w:hAnsi="Verdana" w:cs="Arial"/>
          <w:bCs/>
          <w:iCs/>
          <w:lang w:eastAsia="es-ES_tradnl"/>
        </w:rPr>
      </w:pPr>
    </w:p>
    <w:p w14:paraId="7E865630" w14:textId="77777777" w:rsidR="005164F8" w:rsidRDefault="005164F8" w:rsidP="005164F8">
      <w:pPr>
        <w:spacing w:after="0" w:line="240" w:lineRule="auto"/>
        <w:ind w:left="709" w:right="709"/>
        <w:jc w:val="both"/>
        <w:rPr>
          <w:rFonts w:ascii="Verdana" w:eastAsia="Calibri" w:hAnsi="Verdana" w:cs="Arial"/>
          <w:bCs/>
          <w:sz w:val="20"/>
          <w:szCs w:val="20"/>
          <w:lang w:eastAsia="es-ES_tradnl"/>
        </w:rPr>
      </w:pPr>
      <w:r>
        <w:rPr>
          <w:rFonts w:ascii="Verdana" w:eastAsia="Calibri" w:hAnsi="Verdana" w:cs="Arial"/>
          <w:bCs/>
          <w:iCs/>
          <w:sz w:val="20"/>
          <w:szCs w:val="20"/>
          <w:lang w:eastAsia="es-ES_tradnl"/>
        </w:rPr>
        <w:t>“</w:t>
      </w:r>
      <w:r w:rsidRPr="00E47CAB">
        <w:rPr>
          <w:rFonts w:ascii="Verdana" w:eastAsia="Calibri" w:hAnsi="Verdana" w:cs="Arial"/>
          <w:bCs/>
          <w:iCs/>
          <w:sz w:val="20"/>
          <w:szCs w:val="20"/>
          <w:lang w:eastAsia="es-ES_tradnl"/>
        </w:rPr>
        <w:t>Artículo 2.1.4.3.2.2. Garantía de acceso a la información en las entidades públicas, como presupuesto para el ejercicio de derechos fundamentales. Sin perjuicio de sus obligaciones en materia de garantías de acceso a la información pública, los sujetos obligados deberán publicar en la sede electrónica o página web: </w:t>
      </w:r>
      <w:r w:rsidRPr="00E47CAB">
        <w:rPr>
          <w:rFonts w:ascii="Verdana" w:eastAsia="Calibri" w:hAnsi="Verdana" w:cs="Arial"/>
          <w:bCs/>
          <w:sz w:val="20"/>
          <w:szCs w:val="20"/>
          <w:lang w:eastAsia="es-ES_tradnl"/>
        </w:rPr>
        <w:t> </w:t>
      </w:r>
    </w:p>
    <w:p w14:paraId="02A57749" w14:textId="77777777" w:rsidR="005164F8" w:rsidRPr="00E47CAB" w:rsidRDefault="005164F8" w:rsidP="005164F8">
      <w:pPr>
        <w:spacing w:after="0" w:line="240" w:lineRule="auto"/>
        <w:ind w:left="709" w:right="709"/>
        <w:jc w:val="both"/>
        <w:rPr>
          <w:rFonts w:ascii="Verdana" w:eastAsia="Calibri" w:hAnsi="Verdana" w:cs="Arial"/>
          <w:bCs/>
          <w:sz w:val="20"/>
          <w:szCs w:val="20"/>
          <w:lang w:eastAsia="es-ES_tradnl"/>
        </w:rPr>
      </w:pPr>
    </w:p>
    <w:p w14:paraId="20DDEB23" w14:textId="77777777" w:rsidR="005164F8" w:rsidRPr="00E47CAB" w:rsidRDefault="005164F8" w:rsidP="005164F8">
      <w:pPr>
        <w:spacing w:after="0" w:line="240" w:lineRule="auto"/>
        <w:ind w:left="709" w:right="709"/>
        <w:jc w:val="both"/>
        <w:rPr>
          <w:rFonts w:ascii="Verdana" w:eastAsia="Calibri" w:hAnsi="Verdana" w:cs="Arial"/>
          <w:bCs/>
          <w:sz w:val="20"/>
          <w:szCs w:val="20"/>
          <w:lang w:eastAsia="es-ES_tradnl"/>
        </w:rPr>
      </w:pPr>
      <w:r w:rsidRPr="00E47CAB">
        <w:rPr>
          <w:rFonts w:ascii="Verdana" w:eastAsia="Calibri" w:hAnsi="Verdana" w:cs="Arial"/>
          <w:bCs/>
          <w:iCs/>
          <w:sz w:val="20"/>
          <w:szCs w:val="20"/>
          <w:lang w:eastAsia="es-ES_tradnl"/>
        </w:rPr>
        <w:t>a) Información detallada de todas las auditorías que realicen, incluyendo los resultados, hallazgos y seguimiento a las acciones de mejora; </w:t>
      </w:r>
      <w:r w:rsidRPr="00E47CAB">
        <w:rPr>
          <w:rFonts w:ascii="Verdana" w:eastAsia="Calibri" w:hAnsi="Verdana" w:cs="Arial"/>
          <w:bCs/>
          <w:sz w:val="20"/>
          <w:szCs w:val="20"/>
          <w:lang w:eastAsia="es-ES_tradnl"/>
        </w:rPr>
        <w:t> </w:t>
      </w:r>
    </w:p>
    <w:p w14:paraId="7C92595B" w14:textId="77777777" w:rsidR="005164F8" w:rsidRDefault="005164F8" w:rsidP="005164F8">
      <w:pPr>
        <w:spacing w:after="0" w:line="240" w:lineRule="auto"/>
        <w:ind w:left="709" w:right="709"/>
        <w:jc w:val="both"/>
        <w:rPr>
          <w:rFonts w:ascii="Verdana" w:eastAsia="Calibri" w:hAnsi="Verdana" w:cs="Arial"/>
          <w:bCs/>
          <w:i/>
          <w:iCs/>
          <w:sz w:val="20"/>
          <w:szCs w:val="20"/>
          <w:lang w:eastAsia="es-ES_tradnl"/>
        </w:rPr>
      </w:pPr>
    </w:p>
    <w:p w14:paraId="157AFF62" w14:textId="77777777" w:rsidR="005164F8" w:rsidRPr="00BC4CEE" w:rsidRDefault="005164F8" w:rsidP="005164F8">
      <w:pPr>
        <w:spacing w:after="0" w:line="240" w:lineRule="auto"/>
        <w:ind w:left="709" w:right="709"/>
        <w:jc w:val="both"/>
        <w:rPr>
          <w:rFonts w:ascii="Verdana" w:eastAsia="Calibri" w:hAnsi="Verdana" w:cs="Arial"/>
          <w:bCs/>
          <w:sz w:val="20"/>
          <w:szCs w:val="20"/>
          <w:lang w:eastAsia="es-ES_tradnl"/>
        </w:rPr>
      </w:pPr>
      <w:r w:rsidRPr="002D012D">
        <w:rPr>
          <w:rFonts w:ascii="Verdana" w:eastAsia="Calibri" w:hAnsi="Verdana" w:cs="Arial"/>
          <w:bCs/>
          <w:sz w:val="20"/>
          <w:szCs w:val="20"/>
          <w:lang w:eastAsia="es-ES_tradnl"/>
        </w:rPr>
        <w:t>b) Información</w:t>
      </w:r>
      <w:r w:rsidRPr="00BC4CEE">
        <w:rPr>
          <w:rFonts w:ascii="Verdana" w:eastAsia="Calibri" w:hAnsi="Verdana" w:cs="Arial"/>
          <w:bCs/>
          <w:sz w:val="20"/>
          <w:szCs w:val="20"/>
          <w:lang w:eastAsia="es-ES_tradnl"/>
        </w:rPr>
        <w:t xml:space="preserve"> detallada de los contratos que suscriban, incluyendo, como mínimo: valor del contrato, objeto contractual, identidad del contratista seleccionado; así como el enlace directo al proceso en el Sistema Electrónico de Contratación Pública (SECOP). En SECOP, además, debe estar publicada la información de ejecución del contrato, esto es, informes de supervisión e interventoría, actas de liquidación, requerimientos, etc. Esta información debe ser publicada dentro de los diez (10) días siguientes a la suscripción del contrato u ocurrencia del hecho. En ningún caso la información contractual podrá tener un rezago mayor a diez (10) días.</w:t>
      </w:r>
    </w:p>
    <w:p w14:paraId="2AA407E1" w14:textId="77777777" w:rsidR="005164F8" w:rsidRPr="00BC4CEE" w:rsidRDefault="005164F8" w:rsidP="005164F8">
      <w:pPr>
        <w:spacing w:after="0" w:line="240" w:lineRule="auto"/>
        <w:ind w:left="709" w:right="709"/>
        <w:jc w:val="both"/>
        <w:rPr>
          <w:rFonts w:ascii="Verdana" w:eastAsia="Calibri" w:hAnsi="Verdana" w:cs="Arial"/>
          <w:bCs/>
          <w:sz w:val="20"/>
          <w:szCs w:val="20"/>
          <w:lang w:eastAsia="es-ES_tradnl"/>
        </w:rPr>
      </w:pPr>
    </w:p>
    <w:p w14:paraId="71CEFBD5" w14:textId="77777777" w:rsidR="005164F8" w:rsidRPr="00E47CAB" w:rsidRDefault="005164F8" w:rsidP="005164F8">
      <w:pPr>
        <w:spacing w:after="0" w:line="240" w:lineRule="auto"/>
        <w:ind w:left="709" w:right="709"/>
        <w:jc w:val="both"/>
        <w:rPr>
          <w:rFonts w:ascii="Verdana" w:eastAsia="Calibri" w:hAnsi="Verdana" w:cs="Arial"/>
          <w:bCs/>
          <w:sz w:val="20"/>
          <w:szCs w:val="20"/>
          <w:lang w:eastAsia="es-ES_tradnl"/>
        </w:rPr>
      </w:pPr>
      <w:r w:rsidRPr="00E47CAB">
        <w:rPr>
          <w:rFonts w:ascii="Verdana" w:eastAsia="Calibri" w:hAnsi="Verdana" w:cs="Arial"/>
          <w:bCs/>
          <w:iCs/>
          <w:sz w:val="20"/>
          <w:szCs w:val="20"/>
          <w:lang w:eastAsia="es-ES_tradnl"/>
        </w:rPr>
        <w:t>La Secretaría de Transparencia de la Presidencia de la República realizará un seguimiento anual, con actualizaciones periódicas y un escalafón de entidades, para medir la garantía de acceso a la información, verificando: la existencia de la información; la publicación gratuita, y oportuna, teniendo en cuenta tiempos de rezago; que la información sea objetiva, veraz, que esté completa y sea reutilizable, procesable y accesible. </w:t>
      </w:r>
      <w:r w:rsidRPr="00E47CAB">
        <w:rPr>
          <w:rFonts w:ascii="Verdana" w:eastAsia="Calibri" w:hAnsi="Verdana" w:cs="Arial"/>
          <w:bCs/>
          <w:sz w:val="20"/>
          <w:szCs w:val="20"/>
          <w:lang w:eastAsia="es-ES_tradnl"/>
        </w:rPr>
        <w:t> </w:t>
      </w:r>
    </w:p>
    <w:p w14:paraId="2CA003F4" w14:textId="77777777" w:rsidR="005164F8" w:rsidRDefault="005164F8" w:rsidP="005164F8">
      <w:pPr>
        <w:spacing w:after="0" w:line="240" w:lineRule="auto"/>
        <w:ind w:left="709" w:right="709"/>
        <w:jc w:val="both"/>
        <w:rPr>
          <w:rFonts w:ascii="Verdana" w:eastAsia="Calibri" w:hAnsi="Verdana" w:cs="Arial"/>
          <w:bCs/>
          <w:iCs/>
          <w:sz w:val="20"/>
          <w:szCs w:val="20"/>
          <w:lang w:eastAsia="es-ES_tradnl"/>
        </w:rPr>
      </w:pPr>
    </w:p>
    <w:p w14:paraId="11C47EEF" w14:textId="77777777" w:rsidR="005164F8" w:rsidRPr="00E47CAB" w:rsidRDefault="005164F8" w:rsidP="005164F8">
      <w:pPr>
        <w:spacing w:after="0" w:line="240" w:lineRule="auto"/>
        <w:ind w:left="709" w:right="709"/>
        <w:jc w:val="both"/>
        <w:rPr>
          <w:rFonts w:ascii="Verdana" w:eastAsia="Calibri" w:hAnsi="Verdana" w:cs="Arial"/>
          <w:bCs/>
          <w:sz w:val="20"/>
          <w:szCs w:val="20"/>
          <w:lang w:eastAsia="es-ES_tradnl"/>
        </w:rPr>
      </w:pPr>
      <w:r w:rsidRPr="00E47CAB">
        <w:rPr>
          <w:rFonts w:ascii="Verdana" w:eastAsia="Calibri" w:hAnsi="Verdana" w:cs="Arial"/>
          <w:bCs/>
          <w:iCs/>
          <w:sz w:val="20"/>
          <w:szCs w:val="20"/>
          <w:lang w:eastAsia="es-ES_tradnl"/>
        </w:rPr>
        <w:t>Parágrafo. Los sujetos obligados deberán incluir en el Índice de Información Reservada y Clasificada todos aquellos actos o contratos a los que asignen tales categorías, incluyendo su individualización, su denominación y el motivo por el cual consideran que se puede negar el acceso</w:t>
      </w:r>
      <w:r>
        <w:rPr>
          <w:rFonts w:ascii="Verdana" w:eastAsia="Calibri" w:hAnsi="Verdana" w:cs="Arial"/>
          <w:bCs/>
          <w:iCs/>
          <w:sz w:val="20"/>
          <w:szCs w:val="20"/>
          <w:lang w:eastAsia="es-ES_tradnl"/>
        </w:rPr>
        <w:t xml:space="preserve">”. </w:t>
      </w:r>
    </w:p>
    <w:p w14:paraId="3A4661C1" w14:textId="77777777" w:rsidR="005164F8" w:rsidRPr="003F20E6" w:rsidRDefault="005164F8" w:rsidP="005164F8">
      <w:pPr>
        <w:spacing w:after="0" w:line="276" w:lineRule="auto"/>
        <w:jc w:val="both"/>
        <w:rPr>
          <w:rFonts w:ascii="Verdana" w:eastAsia="Calibri" w:hAnsi="Verdana" w:cs="Arial"/>
          <w:bCs/>
          <w:lang w:eastAsia="es-ES_tradnl"/>
        </w:rPr>
      </w:pPr>
    </w:p>
    <w:p w14:paraId="3920F52B" w14:textId="77777777" w:rsidR="005164F8" w:rsidRDefault="005164F8" w:rsidP="005164F8">
      <w:pPr>
        <w:spacing w:after="120" w:line="276" w:lineRule="auto"/>
        <w:ind w:firstLine="709"/>
        <w:jc w:val="both"/>
        <w:rPr>
          <w:rFonts w:ascii="Verdana" w:eastAsia="Calibri" w:hAnsi="Verdana" w:cs="Arial"/>
          <w:bCs/>
          <w:iCs/>
          <w:lang w:eastAsia="es-ES_tradnl"/>
        </w:rPr>
      </w:pPr>
      <w:r w:rsidRPr="00130718">
        <w:rPr>
          <w:rFonts w:ascii="Verdana" w:eastAsia="Calibri" w:hAnsi="Verdana" w:cs="Arial"/>
          <w:bCs/>
          <w:lang w:eastAsia="es-ES_tradnl"/>
        </w:rPr>
        <w:t xml:space="preserve">A partir del artículo precitado se resalta que su primer inciso alude al deber de publicación en la página web de los sujetos obligados por dicho Decreto, el cual contiene dos literales: en el literal a) se establece el deber de publicar por </w:t>
      </w:r>
      <w:r w:rsidRPr="00130718">
        <w:rPr>
          <w:rFonts w:ascii="Verdana" w:eastAsia="Calibri" w:hAnsi="Verdana" w:cs="Arial"/>
          <w:bCs/>
          <w:lang w:eastAsia="es-ES_tradnl"/>
        </w:rPr>
        <w:lastRenderedPageBreak/>
        <w:t xml:space="preserve">parte de las entidades de </w:t>
      </w:r>
      <w:r w:rsidRPr="00130718">
        <w:rPr>
          <w:rFonts w:ascii="Verdana" w:eastAsia="Calibri" w:hAnsi="Verdana" w:cs="Arial"/>
          <w:bCs/>
          <w:iCs/>
          <w:lang w:eastAsia="es-ES_tradnl"/>
        </w:rPr>
        <w:t>todas las auditorías que le realicen, en la que se incluyan los resultados, hallazgos y seguimiento a las acciones de mejora; en el literal b se establece dos subreglas. La primera está contenida en un primer aparte que dispone: “</w:t>
      </w:r>
      <w:r w:rsidRPr="00130718">
        <w:rPr>
          <w:rFonts w:ascii="Verdana" w:eastAsia="Calibri" w:hAnsi="Verdana" w:cs="Arial"/>
          <w:bCs/>
          <w:i/>
          <w:iCs/>
          <w:lang w:eastAsia="es-ES_tradnl"/>
        </w:rPr>
        <w:t>Información detallada de los contratos que suscriban, incluyendo, como mínimo: valor del contrato, objeto contractual, identidad del contratista seleccionado; así como el enlace directo al proceso en el Sistema Electrónico de Contratación Pública (SECOP)”, lo cual implica el</w:t>
      </w:r>
      <w:r w:rsidRPr="00130718">
        <w:rPr>
          <w:rFonts w:ascii="Verdana" w:eastAsia="Calibri" w:hAnsi="Verdana" w:cs="Arial"/>
          <w:bCs/>
          <w:iCs/>
          <w:lang w:eastAsia="es-ES_tradnl"/>
        </w:rPr>
        <w:t xml:space="preserve"> mandato de publicar en página web por parte de los sujetos obligados de la información</w:t>
      </w:r>
      <w:r w:rsidRPr="003F20E6">
        <w:rPr>
          <w:rFonts w:ascii="Verdana" w:eastAsia="Calibri" w:hAnsi="Verdana" w:cs="Arial"/>
          <w:bCs/>
          <w:iCs/>
          <w:lang w:eastAsia="es-ES_tradnl"/>
        </w:rPr>
        <w:t xml:space="preserve"> detallada de los contratos celebrados, incluyendo su valor, objeto, identidad del contratista seleccionado, así como el enlace en el SECOP</w:t>
      </w:r>
      <w:r>
        <w:rPr>
          <w:rFonts w:ascii="Verdana" w:eastAsia="Calibri" w:hAnsi="Verdana" w:cs="Arial"/>
          <w:bCs/>
          <w:iCs/>
          <w:lang w:eastAsia="es-ES_tradnl"/>
        </w:rPr>
        <w:t xml:space="preserve">. </w:t>
      </w:r>
    </w:p>
    <w:p w14:paraId="406A341C" w14:textId="77777777" w:rsidR="005164F8" w:rsidRPr="00130718" w:rsidRDefault="005164F8" w:rsidP="005164F8">
      <w:pPr>
        <w:spacing w:after="120" w:line="276" w:lineRule="auto"/>
        <w:ind w:firstLine="709"/>
        <w:jc w:val="both"/>
        <w:rPr>
          <w:rFonts w:ascii="Verdana" w:eastAsia="Calibri" w:hAnsi="Verdana" w:cs="Arial"/>
          <w:bCs/>
          <w:lang w:eastAsia="es-ES_tradnl"/>
        </w:rPr>
      </w:pPr>
      <w:r w:rsidRPr="00130718">
        <w:rPr>
          <w:rFonts w:ascii="Verdana" w:eastAsia="Calibri" w:hAnsi="Verdana" w:cs="Arial"/>
          <w:bCs/>
          <w:iCs/>
          <w:lang w:eastAsia="es-ES_tradnl"/>
        </w:rPr>
        <w:t>Una segunda subregla que prescribe</w:t>
      </w:r>
      <w:r w:rsidRPr="00130718">
        <w:rPr>
          <w:rFonts w:ascii="Verdana" w:eastAsia="Calibri" w:hAnsi="Verdana" w:cs="Arial"/>
          <w:bCs/>
          <w:lang w:eastAsia="es-ES_tradnl"/>
        </w:rPr>
        <w:t xml:space="preserve">: </w:t>
      </w:r>
      <w:r w:rsidRPr="00130718">
        <w:rPr>
          <w:rFonts w:ascii="Verdana" w:eastAsia="Calibri" w:hAnsi="Verdana" w:cs="Arial"/>
          <w:bCs/>
          <w:i/>
          <w:lang w:eastAsia="es-ES_tradnl"/>
        </w:rPr>
        <w:t>“</w:t>
      </w:r>
      <w:r w:rsidRPr="00130718">
        <w:rPr>
          <w:rFonts w:ascii="Verdana" w:eastAsia="Calibri" w:hAnsi="Verdana" w:cs="Arial"/>
          <w:bCs/>
          <w:i/>
          <w:iCs/>
          <w:lang w:eastAsia="es-ES_tradnl"/>
        </w:rPr>
        <w:t>En SECOP, además, debe estar publicada la información de ejecución del contrato, esto es, informes de supervisión e interventoría, actas de liquidación, requerimientos, etc. Esta información debe ser publicada dentro de los diez (10) días siguientes a la suscripción del contrato u ocurrencia del hecho. En ningún caso la información contractual podrá tener un rezago mayor a diez (10) días”.</w:t>
      </w:r>
      <w:r w:rsidRPr="00130718">
        <w:rPr>
          <w:rFonts w:ascii="Verdana" w:eastAsia="Calibri" w:hAnsi="Verdana" w:cs="Arial"/>
          <w:bCs/>
          <w:lang w:eastAsia="es-ES_tradnl"/>
        </w:rPr>
        <w:t xml:space="preserve"> Esta subregla </w:t>
      </w:r>
      <w:r w:rsidRPr="00130718">
        <w:rPr>
          <w:rFonts w:ascii="Verdana" w:eastAsia="Calibri" w:hAnsi="Verdana" w:cs="Arial"/>
          <w:bCs/>
          <w:iCs/>
          <w:lang w:eastAsia="es-ES_tradnl"/>
        </w:rPr>
        <w:t xml:space="preserve">prescribe el deber de publicar la información de ejecución del contrato, es decir, los informes de supervisión e interventoría, actas de liquidación, requerimientos, entre otros. Ahora bien, dicho literal también establece que esta información debe publicarse dentro de los diez (10) días siguientes a la ocurrencia del hecho, y en ningún caso puede haber retraso para el cumplimiento de este término, esto es, establece un límite máximo de publicación para los documentos de ejecución del contrato. </w:t>
      </w:r>
    </w:p>
    <w:p w14:paraId="455DE692" w14:textId="77777777" w:rsidR="005164F8" w:rsidRPr="00130718" w:rsidRDefault="005164F8" w:rsidP="005164F8">
      <w:pPr>
        <w:spacing w:after="120" w:line="276" w:lineRule="auto"/>
        <w:ind w:firstLine="708"/>
        <w:jc w:val="both"/>
        <w:rPr>
          <w:rFonts w:ascii="Verdana" w:eastAsia="Calibri" w:hAnsi="Verdana" w:cs="Arial"/>
          <w:bCs/>
          <w:iCs/>
          <w:lang w:val="es-ES_tradnl" w:eastAsia="es-ES_tradnl"/>
        </w:rPr>
      </w:pPr>
      <w:r w:rsidRPr="00130718">
        <w:rPr>
          <w:rFonts w:ascii="Verdana" w:eastAsia="Calibri" w:hAnsi="Verdana" w:cs="Arial"/>
          <w:bCs/>
          <w:iCs/>
          <w:lang w:eastAsia="es-ES_tradnl"/>
        </w:rPr>
        <w:t xml:space="preserve">No obstante, este artículo parece contradecirse, en un principio, con lo dispuesto en el artículo 2.2.1.1.1.7.1. del Decreto 1082 de 2015 que establece que la Entidad Estatal está obligada a publicar en el SECOP los Documentos del Proceso y los actos administrativos del Proceso de Contratación, dentro de los tres (3) días siguientes a su expedición, además, dispone que la oferta que debe publicarse es la del adjudicatario del Proceso de Contratación, y que los documentos de las operaciones que se realicen en bolsa de productos no tienen que publicarse en el SECOP. En este escenario, parece en un principio, un </w:t>
      </w:r>
      <w:r w:rsidRPr="00130718">
        <w:rPr>
          <w:rFonts w:ascii="Verdana" w:eastAsia="Calibri" w:hAnsi="Verdana" w:cs="Arial"/>
          <w:bCs/>
          <w:iCs/>
          <w:lang w:val="es-ES_tradnl" w:eastAsia="es-ES_tradnl"/>
        </w:rPr>
        <w:t xml:space="preserve">conflicto entre la </w:t>
      </w:r>
      <w:r w:rsidRPr="00130718">
        <w:rPr>
          <w:rFonts w:ascii="Verdana" w:eastAsia="Calibri" w:hAnsi="Verdana" w:cs="Arial"/>
          <w:bCs/>
          <w:i/>
          <w:iCs/>
          <w:lang w:val="es-ES_tradnl" w:eastAsia="es-ES_tradnl"/>
        </w:rPr>
        <w:t>regla general dispuesta en el Decreto 1082 de 2015</w:t>
      </w:r>
      <w:r w:rsidRPr="00130718">
        <w:rPr>
          <w:rFonts w:ascii="Verdana" w:eastAsia="Calibri" w:hAnsi="Verdana" w:cs="Arial"/>
          <w:bCs/>
          <w:iCs/>
          <w:lang w:val="es-ES_tradnl" w:eastAsia="es-ES_tradnl"/>
        </w:rPr>
        <w:t xml:space="preserve"> y la </w:t>
      </w:r>
      <w:r w:rsidRPr="00130718">
        <w:rPr>
          <w:rFonts w:ascii="Verdana" w:eastAsia="Calibri" w:hAnsi="Verdana" w:cs="Arial"/>
          <w:bCs/>
          <w:i/>
          <w:iCs/>
          <w:lang w:val="es-ES_tradnl" w:eastAsia="es-ES_tradnl"/>
        </w:rPr>
        <w:t>regla especial que dispone un término máximo para publicar la información para entidades del orden nacional</w:t>
      </w:r>
      <w:r w:rsidRPr="00130718">
        <w:rPr>
          <w:rFonts w:ascii="Verdana" w:eastAsia="Calibri" w:hAnsi="Verdana" w:cs="Arial"/>
          <w:bCs/>
          <w:iCs/>
          <w:lang w:val="es-ES_tradnl" w:eastAsia="es-ES_tradnl"/>
        </w:rPr>
        <w:t xml:space="preserve">, siendo necesario acudir al problema con fundamento en el artículo 5.1 de la Ley 57 de 1887. Según esta norma, “[…] Si en los Códigos que se adoptan se hallaren algunas disposiciones incompatibles </w:t>
      </w:r>
      <w:r w:rsidRPr="00130718">
        <w:rPr>
          <w:rFonts w:ascii="Verdana" w:eastAsia="Calibri" w:hAnsi="Verdana" w:cs="Arial"/>
          <w:bCs/>
          <w:iCs/>
          <w:lang w:val="es-ES_tradnl" w:eastAsia="es-ES_tradnl"/>
        </w:rPr>
        <w:lastRenderedPageBreak/>
        <w:t xml:space="preserve">entre sí […] </w:t>
      </w:r>
      <w:r w:rsidRPr="00130718">
        <w:rPr>
          <w:rFonts w:ascii="Verdana" w:eastAsia="Calibri" w:hAnsi="Verdana" w:cs="Arial"/>
          <w:bCs/>
          <w:i/>
          <w:iCs/>
          <w:lang w:val="es-ES_tradnl" w:eastAsia="es-ES_tradnl"/>
        </w:rPr>
        <w:t>La disposición relativa a un asunto especial prefiere a la que tenga carácter general</w:t>
      </w:r>
      <w:r w:rsidRPr="00130718">
        <w:rPr>
          <w:rFonts w:ascii="Verdana" w:eastAsia="Calibri" w:hAnsi="Verdana" w:cs="Arial"/>
          <w:bCs/>
          <w:iCs/>
          <w:lang w:val="es-ES_tradnl" w:eastAsia="es-ES_tradnl"/>
        </w:rPr>
        <w:t xml:space="preserve"> […]” (Énfasis fuera de texto). </w:t>
      </w:r>
    </w:p>
    <w:p w14:paraId="3E63450F" w14:textId="77777777" w:rsidR="005164F8" w:rsidRPr="00130718" w:rsidRDefault="005164F8" w:rsidP="005164F8">
      <w:pPr>
        <w:spacing w:after="120" w:line="276" w:lineRule="auto"/>
        <w:ind w:firstLine="708"/>
        <w:jc w:val="both"/>
        <w:rPr>
          <w:rFonts w:ascii="Verdana" w:eastAsia="Calibri" w:hAnsi="Verdana" w:cs="Arial"/>
          <w:bCs/>
          <w:iCs/>
          <w:lang w:eastAsia="es-ES_tradnl"/>
        </w:rPr>
      </w:pPr>
      <w:r w:rsidRPr="00130718">
        <w:rPr>
          <w:rFonts w:ascii="Verdana" w:eastAsia="Calibri" w:hAnsi="Verdana" w:cs="Arial"/>
          <w:bCs/>
          <w:iCs/>
          <w:lang w:val="es-ES_tradnl" w:eastAsia="es-ES_tradnl"/>
        </w:rPr>
        <w:t xml:space="preserve">Por tanto, la regla dispuesta en el </w:t>
      </w:r>
      <w:r w:rsidRPr="00130718">
        <w:rPr>
          <w:rFonts w:ascii="Verdana" w:eastAsia="Calibri" w:hAnsi="Verdana" w:cs="Arial"/>
          <w:bCs/>
          <w:iCs/>
          <w:lang w:eastAsia="es-ES_tradnl"/>
        </w:rPr>
        <w:t xml:space="preserve">artículo 2.1.4.3.2.2 del Decreto 1081 de 2015 </w:t>
      </w:r>
      <w:r w:rsidRPr="00130718">
        <w:rPr>
          <w:rFonts w:ascii="Verdana" w:eastAsia="Calibri" w:hAnsi="Verdana" w:cs="Arial"/>
          <w:bCs/>
          <w:iCs/>
          <w:lang w:val="es-ES_tradnl" w:eastAsia="es-ES_tradnl"/>
        </w:rPr>
        <w:t>–</w:t>
      </w:r>
      <w:r w:rsidRPr="00130718">
        <w:rPr>
          <w:rFonts w:ascii="Verdana" w:eastAsia="Calibri" w:hAnsi="Verdana" w:cs="Arial"/>
          <w:bCs/>
          <w:i/>
          <w:iCs/>
          <w:lang w:val="es-ES_tradnl" w:eastAsia="es-ES_tradnl"/>
        </w:rPr>
        <w:t>regla especial</w:t>
      </w:r>
      <w:r w:rsidRPr="00130718">
        <w:rPr>
          <w:rFonts w:ascii="Verdana" w:eastAsia="Calibri" w:hAnsi="Verdana" w:cs="Arial"/>
          <w:bCs/>
          <w:iCs/>
          <w:lang w:val="es-ES_tradnl" w:eastAsia="es-ES_tradnl"/>
        </w:rPr>
        <w:t xml:space="preserve">– debe tenerse en cuenta sobre el entendimiento y aplicación del artículo </w:t>
      </w:r>
      <w:r w:rsidRPr="00130718">
        <w:rPr>
          <w:rFonts w:ascii="Verdana" w:eastAsia="Calibri" w:hAnsi="Verdana" w:cs="Arial"/>
          <w:bCs/>
          <w:iCs/>
          <w:lang w:eastAsia="es-ES_tradnl"/>
        </w:rPr>
        <w:t>2.2.1.1.1.7.1. del Decreto 1082 de 2015</w:t>
      </w:r>
      <w:r w:rsidRPr="00130718">
        <w:rPr>
          <w:rFonts w:ascii="Verdana" w:eastAsia="Calibri" w:hAnsi="Verdana" w:cs="Arial"/>
          <w:bCs/>
          <w:iCs/>
          <w:lang w:val="es-ES_tradnl" w:eastAsia="es-ES_tradnl"/>
        </w:rPr>
        <w:t xml:space="preserve"> –</w:t>
      </w:r>
      <w:r w:rsidRPr="00130718">
        <w:rPr>
          <w:rFonts w:ascii="Verdana" w:eastAsia="Calibri" w:hAnsi="Verdana" w:cs="Arial"/>
          <w:bCs/>
          <w:i/>
          <w:iCs/>
          <w:lang w:val="es-ES_tradnl" w:eastAsia="es-ES_tradnl"/>
        </w:rPr>
        <w:t>regla general</w:t>
      </w:r>
      <w:r w:rsidRPr="00130718">
        <w:rPr>
          <w:rFonts w:ascii="Verdana" w:eastAsia="Calibri" w:hAnsi="Verdana" w:cs="Arial"/>
          <w:bCs/>
          <w:iCs/>
          <w:lang w:val="es-ES_tradnl" w:eastAsia="es-ES_tradnl"/>
        </w:rPr>
        <w:t xml:space="preserve">–, esto es, deben interpretarse armónicamente. Esto no significa que la </w:t>
      </w:r>
      <w:r w:rsidRPr="00130718">
        <w:rPr>
          <w:rFonts w:ascii="Verdana" w:eastAsia="Calibri" w:hAnsi="Verdana" w:cs="Arial"/>
          <w:bCs/>
          <w:i/>
          <w:iCs/>
          <w:lang w:val="es-ES_tradnl" w:eastAsia="es-ES_tradnl"/>
        </w:rPr>
        <w:t>regla general</w:t>
      </w:r>
      <w:r w:rsidRPr="00130718">
        <w:rPr>
          <w:rFonts w:ascii="Verdana" w:eastAsia="Calibri" w:hAnsi="Verdana" w:cs="Arial"/>
          <w:bCs/>
          <w:iCs/>
          <w:lang w:val="es-ES_tradnl" w:eastAsia="es-ES_tradnl"/>
        </w:rPr>
        <w:t xml:space="preserve"> desaparezca del ordenamiento jurídico; todo lo contrario, esta aplica en todos los supuestos que regula, y se interpreta de forma integral con los supuestos previstos en la </w:t>
      </w:r>
      <w:r w:rsidRPr="00130718">
        <w:rPr>
          <w:rFonts w:ascii="Verdana" w:eastAsia="Calibri" w:hAnsi="Verdana" w:cs="Arial"/>
          <w:bCs/>
          <w:i/>
          <w:iCs/>
          <w:lang w:val="es-ES_tradnl" w:eastAsia="es-ES_tradnl"/>
        </w:rPr>
        <w:t>regla especial</w:t>
      </w:r>
      <w:r w:rsidRPr="00130718">
        <w:rPr>
          <w:rFonts w:ascii="Verdana" w:eastAsia="Calibri" w:hAnsi="Verdana" w:cs="Arial"/>
          <w:bCs/>
          <w:iCs/>
          <w:lang w:val="es-ES_tradnl" w:eastAsia="es-ES_tradnl"/>
        </w:rPr>
        <w:t xml:space="preserve">. De esta manera, el término de diez (10) días es un plazo máximo para las entidades y </w:t>
      </w:r>
      <w:r w:rsidRPr="00130718">
        <w:rPr>
          <w:rFonts w:ascii="Verdana" w:eastAsia="Calibri" w:hAnsi="Verdana" w:cs="Arial"/>
          <w:bCs/>
          <w:lang w:eastAsia="es-ES_tradnl"/>
        </w:rPr>
        <w:t>empresas del Estado</w:t>
      </w:r>
      <w:r w:rsidRPr="00130718">
        <w:rPr>
          <w:rFonts w:ascii="Verdana" w:eastAsia="Calibri" w:hAnsi="Verdana" w:cs="Arial"/>
          <w:bCs/>
          <w:i/>
          <w:iCs/>
          <w:lang w:eastAsia="es-ES_tradnl"/>
        </w:rPr>
        <w:t xml:space="preserve"> </w:t>
      </w:r>
      <w:r w:rsidRPr="00130718">
        <w:rPr>
          <w:rFonts w:ascii="Verdana" w:eastAsia="Calibri" w:hAnsi="Verdana" w:cs="Arial"/>
          <w:bCs/>
          <w:iCs/>
          <w:lang w:eastAsia="es-ES_tradnl"/>
        </w:rPr>
        <w:t xml:space="preserve">del orden nacional y pertenecientes a la Rama Ejecutiva del Poder Público para publicar en SECOP, en todo caso, </w:t>
      </w:r>
      <w:r w:rsidRPr="00A93F12">
        <w:rPr>
          <w:rFonts w:ascii="Verdana" w:eastAsia="Calibri" w:hAnsi="Verdana" w:cs="Arial"/>
          <w:b/>
          <w:iCs/>
          <w:lang w:eastAsia="es-ES_tradnl"/>
        </w:rPr>
        <w:t>precisando la regla general sigue vigente, y que, en un principio, el término para publicar es de tres (3) días siguientes a la expedición</w:t>
      </w:r>
      <w:r w:rsidRPr="00130718">
        <w:rPr>
          <w:rFonts w:ascii="Verdana" w:eastAsia="Calibri" w:hAnsi="Verdana" w:cs="Arial"/>
          <w:bCs/>
          <w:iCs/>
          <w:lang w:eastAsia="es-ES_tradnl"/>
        </w:rPr>
        <w:t xml:space="preserve">, de conformidad a lo prescrito en el Decreto 1082 de 2015. </w:t>
      </w:r>
    </w:p>
    <w:p w14:paraId="573773B4" w14:textId="35794881" w:rsidR="00F94A13" w:rsidRDefault="00F94A13" w:rsidP="00F94A13">
      <w:pPr>
        <w:spacing w:line="276" w:lineRule="auto"/>
        <w:ind w:right="-58"/>
        <w:jc w:val="both"/>
        <w:rPr>
          <w:rFonts w:ascii="Verdana" w:eastAsia="Arial" w:hAnsi="Verdana" w:cs="Arial"/>
          <w:color w:val="000000"/>
        </w:rPr>
      </w:pPr>
      <w:r>
        <w:rPr>
          <w:rFonts w:ascii="Verdana" w:eastAsia="Arial" w:hAnsi="Verdana" w:cs="Arial"/>
          <w:color w:val="000000"/>
        </w:rPr>
        <w:t xml:space="preserve">           Ahora bien, en atención al problema jurídico planteado l</w:t>
      </w:r>
      <w:r w:rsidRPr="00970805">
        <w:rPr>
          <w:rFonts w:ascii="Verdana" w:eastAsia="Arial" w:hAnsi="Verdana" w:cs="Arial"/>
          <w:color w:val="000000"/>
        </w:rPr>
        <w:t>as Entidades Estatales sujetas al Decreto 1600 de 2024 deben exigir la verificación de las "situaciones de control" para los oferentes a partir del 27 de diciembre de 2024, fecha de entrada en vigencia del Decreto.</w:t>
      </w:r>
    </w:p>
    <w:p w14:paraId="1CFE70B0" w14:textId="77777777" w:rsidR="00F94A13" w:rsidRDefault="00F94A13" w:rsidP="00F94A13">
      <w:pPr>
        <w:spacing w:line="276" w:lineRule="auto"/>
        <w:ind w:right="-58"/>
        <w:jc w:val="both"/>
        <w:rPr>
          <w:rFonts w:ascii="Verdana" w:hAnsi="Verdana" w:cs="Arial"/>
          <w:lang w:eastAsia="es-ES_tradnl"/>
        </w:rPr>
      </w:pPr>
      <w:r>
        <w:rPr>
          <w:rFonts w:ascii="Verdana" w:hAnsi="Verdana" w:cs="Arial"/>
          <w:lang w:eastAsia="es-ES_tradnl"/>
        </w:rPr>
        <w:t xml:space="preserve">          Así las cosas, e</w:t>
      </w:r>
      <w:r w:rsidRPr="005164F8">
        <w:rPr>
          <w:rFonts w:ascii="Verdana" w:hAnsi="Verdana" w:cs="Arial"/>
          <w:lang w:eastAsia="es-ES_tradnl"/>
        </w:rPr>
        <w:t>l Decreto, al modificar el Decreto 1081 de 2015, establece en su artículo 2.1.4.3.2.1 que los proponentes deben declarar la existencia o no de situaciones de control (si son controlantes, controladas o comparten dicha condición con otros participantes) dentro de los tres (3) días siguientes al cierre definitivo de la presentación de ofertas.</w:t>
      </w:r>
    </w:p>
    <w:p w14:paraId="7D91E6E5" w14:textId="56B72340" w:rsidR="00F94A13" w:rsidRPr="005164F8" w:rsidRDefault="00A93F12" w:rsidP="00A93F12">
      <w:pPr>
        <w:spacing w:line="276" w:lineRule="auto"/>
        <w:ind w:right="-58" w:firstLine="708"/>
        <w:jc w:val="both"/>
        <w:rPr>
          <w:rFonts w:ascii="Verdana" w:hAnsi="Verdana" w:cs="Arial"/>
          <w:lang w:eastAsia="es-ES_tradnl"/>
        </w:rPr>
      </w:pPr>
      <w:r>
        <w:rPr>
          <w:rFonts w:ascii="Verdana" w:hAnsi="Verdana" w:cs="Arial"/>
          <w:lang w:eastAsia="es-ES_tradnl"/>
        </w:rPr>
        <w:t>L</w:t>
      </w:r>
      <w:r w:rsidR="00F94A13" w:rsidRPr="005164F8">
        <w:rPr>
          <w:rFonts w:ascii="Verdana" w:hAnsi="Verdana" w:cs="Arial"/>
          <w:lang w:eastAsia="es-ES_tradnl"/>
        </w:rPr>
        <w:t>a falta de manifestación de las situaciones de control por parte de los oferentes dentro del término de tres (3) días señalado en la norma puede dar lugar al rechazo de su ofrecimiento, dado que es un requisito de obligatorio cumplimiento introducido por una norma de orden superior.</w:t>
      </w:r>
    </w:p>
    <w:p w14:paraId="66A01A9D" w14:textId="77777777" w:rsidR="00F94A13" w:rsidRDefault="00F94A13" w:rsidP="00F94A13">
      <w:pPr>
        <w:spacing w:line="276" w:lineRule="auto"/>
        <w:ind w:right="-58"/>
        <w:jc w:val="both"/>
        <w:rPr>
          <w:rFonts w:ascii="Verdana" w:hAnsi="Verdana" w:cs="Arial"/>
          <w:lang w:eastAsia="es-ES_tradnl"/>
        </w:rPr>
      </w:pPr>
      <w:r>
        <w:rPr>
          <w:rFonts w:ascii="Verdana" w:hAnsi="Verdana" w:cs="Arial"/>
          <w:lang w:eastAsia="es-ES_tradnl"/>
        </w:rPr>
        <w:t xml:space="preserve">       </w:t>
      </w:r>
      <w:r w:rsidRPr="005164F8">
        <w:rPr>
          <w:rFonts w:ascii="Verdana" w:hAnsi="Verdana" w:cs="Arial"/>
          <w:lang w:eastAsia="es-ES_tradnl"/>
        </w:rPr>
        <w:t>La declaración de las situaciones de control es un requisito de carácter habilitante y un deber legal impuesto a los proponentes para garantizar la transparencia y prevenir la configuración de causales de inhabilidad o incompatibilidad previstas en el art. 8, Ley 80 de 1993 y la afectación de la libre concurrencia</w:t>
      </w:r>
      <w:r>
        <w:rPr>
          <w:rFonts w:ascii="Verdana" w:hAnsi="Verdana" w:cs="Arial"/>
          <w:lang w:eastAsia="es-ES_tradnl"/>
        </w:rPr>
        <w:t xml:space="preserve"> por lo que corresponderá a la entidad en atención a la normatividad anteriormente descrita </w:t>
      </w:r>
      <w:r w:rsidRPr="005164F8">
        <w:rPr>
          <w:rFonts w:ascii="Verdana" w:hAnsi="Verdana" w:cs="Arial"/>
          <w:lang w:eastAsia="es-ES_tradnl"/>
        </w:rPr>
        <w:t>incluir esta causal de rechazo expresamente en el pliego de condiciones</w:t>
      </w:r>
      <w:r>
        <w:rPr>
          <w:rFonts w:ascii="Verdana" w:hAnsi="Verdana" w:cs="Arial"/>
          <w:lang w:eastAsia="es-ES_tradnl"/>
        </w:rPr>
        <w:t>.</w:t>
      </w:r>
    </w:p>
    <w:p w14:paraId="4817E108" w14:textId="02198A5B" w:rsidR="005164F8" w:rsidRPr="00130718" w:rsidRDefault="005164F8" w:rsidP="005164F8">
      <w:pPr>
        <w:spacing w:after="0" w:line="276" w:lineRule="auto"/>
        <w:ind w:firstLine="709"/>
        <w:jc w:val="both"/>
        <w:rPr>
          <w:rFonts w:ascii="Verdana" w:eastAsia="Arial" w:hAnsi="Verdana" w:cs="Arial"/>
        </w:rPr>
      </w:pPr>
      <w:r w:rsidRPr="00130718">
        <w:rPr>
          <w:rFonts w:ascii="Verdana" w:eastAsia="Times New Roman" w:hAnsi="Verdana" w:cs="Arial"/>
          <w:lang w:val="es-MX" w:eastAsia="es-ES_tradnl"/>
        </w:rPr>
        <w:lastRenderedPageBreak/>
        <w:t xml:space="preserve">Por último, </w:t>
      </w:r>
      <w:r w:rsidRPr="00130718">
        <w:rPr>
          <w:rFonts w:ascii="Verdana" w:eastAsia="Calibri" w:hAnsi="Verdana" w:cs="Times New Roman"/>
          <w:lang w:val="es-ES"/>
        </w:rPr>
        <w:t>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bookmarkEnd w:id="4"/>
    <w:p w14:paraId="505DDCDD" w14:textId="77777777" w:rsidR="00CC5B4B" w:rsidRPr="00C71956" w:rsidRDefault="00CC5B4B" w:rsidP="00CC5B4B">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3BEEEC71" w14:textId="77777777" w:rsidR="00CC5B4B" w:rsidRDefault="00CC5B4B" w:rsidP="00CC5B4B">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3C1B09FA" w14:textId="77777777" w:rsidR="00A64017" w:rsidRPr="0060676F" w:rsidRDefault="00A64017" w:rsidP="00103B90">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45A8C4A" w14:textId="77777777" w:rsidR="00A64017" w:rsidRPr="00593A5F" w:rsidRDefault="00A64017" w:rsidP="00A6401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64017" w:rsidRPr="00593A5F" w14:paraId="1DC30723" w14:textId="77777777" w:rsidTr="00A15B1F">
        <w:trPr>
          <w:trHeight w:val="870"/>
        </w:trPr>
        <w:tc>
          <w:tcPr>
            <w:tcW w:w="8647" w:type="dxa"/>
          </w:tcPr>
          <w:p w14:paraId="2CC0B34A" w14:textId="77777777" w:rsidR="00A93F12" w:rsidRDefault="00A93F12" w:rsidP="00A93F1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Constitución Política de 1991, artículo 209.</w:t>
            </w:r>
          </w:p>
          <w:p w14:paraId="77AAF7A5" w14:textId="77777777" w:rsidR="00A93F12" w:rsidRDefault="00A93F12" w:rsidP="00A93F1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Ley 489 de 1998, artículo 3.</w:t>
            </w:r>
          </w:p>
          <w:p w14:paraId="74EB6601" w14:textId="77777777" w:rsidR="00A93F12" w:rsidRDefault="00A93F12" w:rsidP="00A93F1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Ley 1150 de 2007, artículos 5 y 6.</w:t>
            </w:r>
          </w:p>
          <w:p w14:paraId="05B53851" w14:textId="77777777" w:rsidR="00A93F12" w:rsidRPr="007E24E6" w:rsidRDefault="00A93F12" w:rsidP="00A93F1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Ley 1447 de 2011, artículo 13.</w:t>
            </w:r>
          </w:p>
          <w:p w14:paraId="143E29F6" w14:textId="77777777" w:rsidR="00A93F12" w:rsidRPr="007E24E6" w:rsidRDefault="00A93F12" w:rsidP="00A93F1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 xml:space="preserve">Decreto 1081 de 2015, </w:t>
            </w:r>
            <w:r w:rsidRPr="007E24E6">
              <w:rPr>
                <w:rFonts w:ascii="Verdana" w:hAnsi="Verdana" w:cs="Arial"/>
              </w:rPr>
              <w:t>artículo 2.1.4.3.2.1</w:t>
            </w:r>
            <w:r>
              <w:rPr>
                <w:rFonts w:ascii="Verdana" w:hAnsi="Verdana" w:cs="Arial"/>
              </w:rPr>
              <w:t>.</w:t>
            </w:r>
          </w:p>
          <w:p w14:paraId="2FDC6E20" w14:textId="77777777" w:rsidR="00A93F12" w:rsidRPr="007E24E6" w:rsidRDefault="00A93F12" w:rsidP="00A93F1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 xml:space="preserve">Decreto 1082 de 2015, artículo </w:t>
            </w:r>
            <w:r w:rsidRPr="007E24E6">
              <w:rPr>
                <w:rFonts w:ascii="Verdana" w:hAnsi="Verdana" w:cs="Arial"/>
              </w:rPr>
              <w:t>2.2.1.1.1.5.2</w:t>
            </w:r>
            <w:r>
              <w:rPr>
                <w:rFonts w:ascii="Verdana" w:hAnsi="Verdana" w:cs="Arial"/>
              </w:rPr>
              <w:t>.</w:t>
            </w:r>
          </w:p>
          <w:p w14:paraId="36799E76" w14:textId="77777777" w:rsidR="00A93F12" w:rsidRPr="008823C6" w:rsidRDefault="00A93F12" w:rsidP="00A93F1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sidRPr="007E24E6">
              <w:rPr>
                <w:rFonts w:ascii="Verdana" w:hAnsi="Verdana" w:cs="Arial"/>
                <w:color w:val="000000" w:themeColor="text1"/>
                <w:lang w:val="es-ES_tradnl"/>
              </w:rPr>
              <w:t>Decreto 1600 de 2024</w:t>
            </w:r>
            <w:r>
              <w:rPr>
                <w:rFonts w:ascii="Verdana" w:hAnsi="Verdana" w:cs="Arial"/>
                <w:color w:val="000000" w:themeColor="text1"/>
                <w:lang w:val="es-ES_tradnl"/>
              </w:rPr>
              <w:t>, artículo 1.</w:t>
            </w:r>
          </w:p>
          <w:p w14:paraId="60CC6EC9" w14:textId="72C0F0BA" w:rsidR="00CC5B4B" w:rsidRPr="0003480F" w:rsidRDefault="00A93F12" w:rsidP="00A93F12">
            <w:pPr>
              <w:widowControl w:val="0"/>
              <w:autoSpaceDE w:val="0"/>
              <w:autoSpaceDN w:val="0"/>
              <w:spacing w:after="120" w:line="276" w:lineRule="auto"/>
              <w:ind w:left="720"/>
              <w:jc w:val="both"/>
              <w:rPr>
                <w:rFonts w:ascii="Verdana" w:hAnsi="Verdana" w:cs="Arial"/>
                <w:color w:val="000000" w:themeColor="text1"/>
              </w:rPr>
            </w:pPr>
            <w:r>
              <w:rPr>
                <w:rFonts w:ascii="Verdana" w:hAnsi="Verdana" w:cs="Arial"/>
              </w:rPr>
              <w:t>Código de Comercio, artículos 260 y 261.</w:t>
            </w:r>
          </w:p>
        </w:tc>
      </w:tr>
    </w:tbl>
    <w:p w14:paraId="5DF595B1" w14:textId="77777777" w:rsidR="00A64017"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7C882F" w14:textId="77777777" w:rsidR="00A64017" w:rsidRDefault="00A64017" w:rsidP="00A64017">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lastRenderedPageBreak/>
        <w:t>Doctrina de la Agencia Nacional de Contratación Pública</w:t>
      </w:r>
      <w:r w:rsidRPr="00593A5F">
        <w:rPr>
          <w:rFonts w:ascii="Verdana" w:eastAsia="Century Gothic" w:hAnsi="Verdana" w:cs="Century Gothic"/>
          <w:b/>
          <w:bCs/>
        </w:rPr>
        <w:t>:</w:t>
      </w:r>
    </w:p>
    <w:p w14:paraId="11814799"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7A467DD" w14:textId="794C3F2F" w:rsidR="00A64017" w:rsidRPr="00AE7E03" w:rsidRDefault="00A93F12" w:rsidP="00A64017">
      <w:pPr>
        <w:widowControl w:val="0"/>
        <w:autoSpaceDE w:val="0"/>
        <w:autoSpaceDN w:val="0"/>
        <w:spacing w:after="0" w:line="276" w:lineRule="auto"/>
        <w:jc w:val="both"/>
        <w:rPr>
          <w:rFonts w:ascii="Verdana" w:eastAsia="Arial" w:hAnsi="Verdana" w:cs="Arial"/>
          <w:lang w:val="es-MX" w:eastAsia="es-ES"/>
        </w:rPr>
      </w:pPr>
      <w:r w:rsidRPr="00003886">
        <w:rPr>
          <w:rFonts w:ascii="Verdana" w:hAnsi="Verdana" w:cs="Arial"/>
          <w:shd w:val="clear" w:color="auto" w:fill="FFFFFF"/>
        </w:rPr>
        <w:t xml:space="preserve">Esta Subdirección se ha pronunciado sobre </w:t>
      </w:r>
      <w:r>
        <w:rPr>
          <w:rFonts w:ascii="Verdana" w:hAnsi="Verdana" w:cs="Arial"/>
          <w:shd w:val="clear" w:color="auto" w:fill="FFFFFF"/>
        </w:rPr>
        <w:t>el Decreto 1600 de 2024 en los Conceptos C-292 del 21 de abril de 2025, C-586 del 25 de junio de 2025, C-818 del 15 de julio de 2025, C-867 del 15 de julio de 2025 y C-1026 del 30 de julio de 2025</w:t>
      </w:r>
      <w:r w:rsidR="009A5D6C">
        <w:rPr>
          <w:rFonts w:ascii="Verdana" w:hAnsi="Verdana" w:cs="Arial"/>
          <w:shd w:val="clear" w:color="auto" w:fill="FFFFFF"/>
        </w:rPr>
        <w:t xml:space="preserve">. </w:t>
      </w:r>
      <w:r w:rsidR="00A64017" w:rsidRPr="009A5D6C">
        <w:rPr>
          <w:rFonts w:ascii="Verdana" w:eastAsia="Calibri" w:hAnsi="Verdana" w:cs="Times New Roman"/>
        </w:rPr>
        <w:t>Estos se encuentran</w:t>
      </w:r>
      <w:r w:rsidR="00A64017"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931545C" w14:textId="77777777" w:rsidR="00A64017" w:rsidRPr="0065720B" w:rsidRDefault="00AA1003" w:rsidP="00A64017">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00A64017" w:rsidRPr="00191357">
          <w:rPr>
            <w:rStyle w:val="Hipervnculo"/>
            <w:rFonts w:ascii="Verdana" w:eastAsia="Calibri" w:hAnsi="Verdana" w:cs="Times New Roman"/>
            <w:lang w:val="es-ES"/>
          </w:rPr>
          <w:t>https://relatoria.colombiacompra.gov.co/busqueda/conceptos</w:t>
        </w:r>
      </w:hyperlink>
      <w:r w:rsidR="00A64017" w:rsidRPr="00185EE9">
        <w:rPr>
          <w:rFonts w:ascii="Verdana" w:eastAsia="Calibri" w:hAnsi="Verdana" w:cs="Times New Roman"/>
        </w:rPr>
        <w:t>.</w:t>
      </w:r>
    </w:p>
    <w:p w14:paraId="247E4DC7" w14:textId="77777777" w:rsidR="00A64017" w:rsidRPr="00505CD6" w:rsidRDefault="00A64017" w:rsidP="00A64017">
      <w:pPr>
        <w:widowControl w:val="0"/>
        <w:autoSpaceDE w:val="0"/>
        <w:autoSpaceDN w:val="0"/>
        <w:spacing w:after="0" w:line="276" w:lineRule="auto"/>
        <w:jc w:val="both"/>
        <w:rPr>
          <w:rFonts w:ascii="Verdana" w:hAnsi="Verdana" w:cs="Arial"/>
          <w:color w:val="000000" w:themeColor="text1"/>
          <w:shd w:val="clear" w:color="auto" w:fill="FFFFFF"/>
        </w:rPr>
      </w:pPr>
    </w:p>
    <w:p w14:paraId="1C7A848A" w14:textId="77777777" w:rsidR="00A64017" w:rsidRPr="00103B90" w:rsidRDefault="00A64017" w:rsidP="00A64017">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233B7348" w14:textId="77777777" w:rsidR="00A64017" w:rsidRPr="00103B90" w:rsidRDefault="00A64017" w:rsidP="00A64017">
      <w:pPr>
        <w:widowControl w:val="0"/>
        <w:autoSpaceDE w:val="0"/>
        <w:autoSpaceDN w:val="0"/>
        <w:spacing w:after="0" w:line="276" w:lineRule="auto"/>
        <w:jc w:val="both"/>
        <w:rPr>
          <w:rFonts w:ascii="Verdana" w:hAnsi="Verdana"/>
        </w:rPr>
      </w:pPr>
    </w:p>
    <w:p w14:paraId="3AC26022" w14:textId="77777777" w:rsidR="00A64017" w:rsidRPr="00505CD6" w:rsidRDefault="00A64017" w:rsidP="00A6401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DEEBD0F" w14:textId="77777777" w:rsidR="00A64017" w:rsidRPr="00505CD6" w:rsidRDefault="00A64017" w:rsidP="00A64017">
      <w:pPr>
        <w:widowControl w:val="0"/>
        <w:autoSpaceDE w:val="0"/>
        <w:autoSpaceDN w:val="0"/>
        <w:spacing w:after="0" w:line="276" w:lineRule="auto"/>
        <w:jc w:val="both"/>
        <w:rPr>
          <w:rFonts w:ascii="Verdana" w:hAnsi="Verdana" w:cs="Arial"/>
        </w:rPr>
      </w:pPr>
    </w:p>
    <w:p w14:paraId="58604560" w14:textId="06BDD46E" w:rsidR="00A64017" w:rsidRDefault="00A64017" w:rsidP="00A51CB5">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44B6A7C" w14:textId="26A36A80" w:rsidR="0073141C" w:rsidRDefault="0073141C" w:rsidP="00A64017">
      <w:pPr>
        <w:spacing w:line="276" w:lineRule="auto"/>
        <w:jc w:val="center"/>
      </w:pPr>
    </w:p>
    <w:p w14:paraId="2E55BE82" w14:textId="447E8057" w:rsidR="372EFF43" w:rsidRDefault="372EFF43" w:rsidP="1CF8DA07">
      <w:pPr>
        <w:spacing w:line="276" w:lineRule="auto"/>
        <w:jc w:val="center"/>
      </w:pPr>
      <w:r>
        <w:rPr>
          <w:noProof/>
        </w:rPr>
        <w:drawing>
          <wp:inline distT="0" distB="0" distL="0" distR="0" wp14:anchorId="6AD125E1" wp14:editId="34524D67">
            <wp:extent cx="3267075" cy="1400966"/>
            <wp:effectExtent l="0" t="0" r="0" b="0"/>
            <wp:docPr id="184327383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273835" name=""/>
                    <pic:cNvPicPr/>
                  </pic:nvPicPr>
                  <pic:blipFill>
                    <a:blip r:embed="rId15">
                      <a:extLst>
                        <a:ext uri="{28A0092B-C50C-407E-A947-70E740481C1C}">
                          <a14:useLocalDpi xmlns:a14="http://schemas.microsoft.com/office/drawing/2010/main"/>
                        </a:ext>
                      </a:extLst>
                    </a:blip>
                    <a:stretch>
                      <a:fillRect/>
                    </a:stretch>
                  </pic:blipFill>
                  <pic:spPr>
                    <a:xfrm>
                      <a:off x="0" y="0"/>
                      <a:ext cx="3267075" cy="1400966"/>
                    </a:xfrm>
                    <a:prstGeom prst="rect">
                      <a:avLst/>
                    </a:prstGeom>
                  </pic:spPr>
                </pic:pic>
              </a:graphicData>
            </a:graphic>
          </wp:inline>
        </w:drawing>
      </w:r>
    </w:p>
    <w:p w14:paraId="4B161D4C" w14:textId="3C350A8D" w:rsidR="1CF8DA07" w:rsidRDefault="1CF8DA07" w:rsidP="1CF8DA07">
      <w:pPr>
        <w:spacing w:line="276" w:lineRule="auto"/>
        <w:jc w:val="center"/>
      </w:pPr>
    </w:p>
    <w:p w14:paraId="6CC7B87C" w14:textId="10A63BBB" w:rsidR="1CF8DA07" w:rsidRDefault="1CF8DA07" w:rsidP="1CF8DA07">
      <w:pPr>
        <w:spacing w:line="276" w:lineRule="auto"/>
        <w:jc w:val="cente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64017" w:rsidRPr="00593A5F" w14:paraId="2074F15F" w14:textId="77777777" w:rsidTr="00A15B1F">
        <w:trPr>
          <w:trHeight w:val="315"/>
        </w:trPr>
        <w:tc>
          <w:tcPr>
            <w:tcW w:w="893" w:type="dxa"/>
            <w:vAlign w:val="center"/>
            <w:hideMark/>
          </w:tcPr>
          <w:p w14:paraId="7378D4C0"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D86B379" w14:textId="1E3C3026" w:rsidR="00A64017" w:rsidRPr="007911EE" w:rsidRDefault="00F90546" w:rsidP="00A15B1F">
            <w:pPr>
              <w:contextualSpacing/>
              <w:rPr>
                <w:rFonts w:ascii="Verdana" w:hAnsi="Verdana"/>
                <w:sz w:val="16"/>
                <w:szCs w:val="16"/>
              </w:rPr>
            </w:pPr>
            <w:r>
              <w:rPr>
                <w:rFonts w:ascii="Verdana" w:hAnsi="Verdana"/>
                <w:sz w:val="16"/>
                <w:szCs w:val="16"/>
              </w:rPr>
              <w:t xml:space="preserve">Daniel </w:t>
            </w:r>
            <w:r w:rsidR="006A7425">
              <w:rPr>
                <w:rFonts w:ascii="Verdana" w:hAnsi="Verdana"/>
                <w:sz w:val="16"/>
                <w:szCs w:val="16"/>
              </w:rPr>
              <w:t xml:space="preserve">Eduardo </w:t>
            </w:r>
            <w:r>
              <w:rPr>
                <w:rFonts w:ascii="Verdana" w:hAnsi="Verdana"/>
                <w:sz w:val="16"/>
                <w:szCs w:val="16"/>
              </w:rPr>
              <w:t>Rojas</w:t>
            </w:r>
          </w:p>
          <w:p w14:paraId="33A01C93" w14:textId="77777777" w:rsidR="00A64017" w:rsidRPr="007911EE" w:rsidRDefault="00A64017" w:rsidP="00A15B1F">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A64017" w:rsidRPr="00593A5F" w14:paraId="2D3F1B0D" w14:textId="77777777" w:rsidTr="00A15B1F">
        <w:trPr>
          <w:trHeight w:val="330"/>
        </w:trPr>
        <w:tc>
          <w:tcPr>
            <w:tcW w:w="893" w:type="dxa"/>
            <w:vAlign w:val="center"/>
            <w:hideMark/>
          </w:tcPr>
          <w:p w14:paraId="415C854E"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B5F35E2" w14:textId="21B5DE5D" w:rsidR="00CC5B4B" w:rsidRDefault="007619EA" w:rsidP="00A15B1F">
            <w:pPr>
              <w:spacing w:line="276" w:lineRule="auto"/>
              <w:contextualSpacing/>
              <w:jc w:val="both"/>
              <w:rPr>
                <w:rFonts w:ascii="Verdana" w:hAnsi="Verdana"/>
                <w:sz w:val="16"/>
                <w:szCs w:val="16"/>
              </w:rPr>
            </w:pPr>
            <w:r>
              <w:rPr>
                <w:rFonts w:ascii="Verdana" w:hAnsi="Verdana"/>
                <w:sz w:val="16"/>
                <w:szCs w:val="16"/>
              </w:rPr>
              <w:t>Diana Lucia Saavedra</w:t>
            </w:r>
            <w:r w:rsidR="00CC5B4B">
              <w:rPr>
                <w:rFonts w:ascii="Verdana" w:hAnsi="Verdana"/>
                <w:sz w:val="16"/>
                <w:szCs w:val="16"/>
              </w:rPr>
              <w:t>.</w:t>
            </w:r>
          </w:p>
          <w:p w14:paraId="72046261" w14:textId="6A56B4B3" w:rsidR="00A64017" w:rsidRPr="007911EE" w:rsidRDefault="00A64017" w:rsidP="00A15B1F">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A64017" w:rsidRPr="00593A5F" w14:paraId="53B0CBD3" w14:textId="77777777" w:rsidTr="00A15B1F">
        <w:trPr>
          <w:trHeight w:val="330"/>
        </w:trPr>
        <w:tc>
          <w:tcPr>
            <w:tcW w:w="893" w:type="dxa"/>
            <w:vAlign w:val="center"/>
          </w:tcPr>
          <w:p w14:paraId="68FD8648" w14:textId="77777777" w:rsidR="00A64017" w:rsidRPr="003751C7" w:rsidRDefault="00A64017" w:rsidP="00A15B1F">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1559B6" w14:textId="77777777" w:rsidR="00A64017" w:rsidRDefault="00A64017" w:rsidP="00A15B1F">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0B1F87FE" w14:textId="7E0E60C3" w:rsidR="00A64017" w:rsidRDefault="00A64017" w:rsidP="00A15B1F">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sidR="008E2432">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4C6F1CF3" w14:textId="644B0C8E" w:rsidR="00F30C63" w:rsidRPr="00F30C63" w:rsidRDefault="00F30C63" w:rsidP="00A51CB5"/>
    <w:sectPr w:rsidR="00F30C63" w:rsidRPr="00F30C6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F35B36" w14:textId="77777777" w:rsidR="00D53F6E" w:rsidRDefault="00D53F6E" w:rsidP="004A1847">
      <w:pPr>
        <w:spacing w:after="0" w:line="240" w:lineRule="auto"/>
      </w:pPr>
      <w:r>
        <w:separator/>
      </w:r>
    </w:p>
  </w:endnote>
  <w:endnote w:type="continuationSeparator" w:id="0">
    <w:p w14:paraId="77C0AC22" w14:textId="77777777" w:rsidR="00D53F6E" w:rsidRDefault="00D53F6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81D95E" w14:textId="77777777" w:rsidR="00D53F6E" w:rsidRDefault="00D53F6E" w:rsidP="004A1847">
      <w:pPr>
        <w:spacing w:after="0" w:line="240" w:lineRule="auto"/>
      </w:pPr>
      <w:r>
        <w:separator/>
      </w:r>
    </w:p>
  </w:footnote>
  <w:footnote w:type="continuationSeparator" w:id="0">
    <w:p w14:paraId="5D3A2DA8" w14:textId="77777777" w:rsidR="00D53F6E" w:rsidRDefault="00D53F6E" w:rsidP="004A1847">
      <w:pPr>
        <w:spacing w:after="0" w:line="240" w:lineRule="auto"/>
      </w:pPr>
      <w:r>
        <w:continuationSeparator/>
      </w:r>
    </w:p>
  </w:footnote>
  <w:footnote w:id="1">
    <w:p w14:paraId="2027B337" w14:textId="77777777" w:rsidR="005164F8" w:rsidRPr="007E6069" w:rsidRDefault="005164F8" w:rsidP="005164F8">
      <w:pPr>
        <w:pStyle w:val="NormalWeb"/>
        <w:spacing w:before="0" w:beforeAutospacing="0" w:after="0" w:afterAutospacing="0"/>
        <w:ind w:firstLine="708"/>
        <w:jc w:val="both"/>
        <w:rPr>
          <w:rFonts w:ascii="Verdana" w:hAnsi="Verdana" w:cs="Arial"/>
          <w:color w:val="000000"/>
          <w:sz w:val="14"/>
          <w:szCs w:val="14"/>
        </w:rPr>
      </w:pPr>
      <w:r w:rsidRPr="007E6069">
        <w:rPr>
          <w:rStyle w:val="Refdenotaalpie"/>
          <w:rFonts w:ascii="Verdana" w:hAnsi="Verdana"/>
          <w:sz w:val="14"/>
          <w:szCs w:val="14"/>
        </w:rPr>
        <w:footnoteRef/>
      </w:r>
      <w:r w:rsidRPr="007E6069">
        <w:rPr>
          <w:rFonts w:ascii="Verdana" w:hAnsi="Verdana"/>
          <w:sz w:val="14"/>
          <w:szCs w:val="14"/>
        </w:rPr>
        <w:t xml:space="preserve"> </w:t>
      </w:r>
      <w:r w:rsidRPr="007E6069">
        <w:rPr>
          <w:rStyle w:val="Textoennegrita"/>
          <w:rFonts w:ascii="Verdana" w:hAnsi="Verdana" w:cs="Arial"/>
          <w:color w:val="000000"/>
          <w:sz w:val="14"/>
          <w:szCs w:val="14"/>
        </w:rPr>
        <w:t xml:space="preserve">Artículo 200. </w:t>
      </w:r>
      <w:r w:rsidRPr="007E6069">
        <w:rPr>
          <w:rStyle w:val="nfasis"/>
          <w:rFonts w:ascii="Verdana" w:hAnsi="Verdana" w:cs="Arial"/>
          <w:color w:val="000000"/>
          <w:sz w:val="14"/>
          <w:szCs w:val="14"/>
        </w:rPr>
        <w:t>Estrategia nacional de lucha contra la corrupción</w:t>
      </w:r>
      <w:r w:rsidRPr="007E6069">
        <w:rPr>
          <w:rFonts w:ascii="Verdana" w:hAnsi="Verdana" w:cs="Arial"/>
          <w:color w:val="000000"/>
          <w:sz w:val="14"/>
          <w:szCs w:val="14"/>
        </w:rPr>
        <w:t>. Con el propósito de fortalecer las Instituciones democráticas y el Estado Social de Derecho, garantizar la protección de los derechos humanos, proteger los recursos públicos, generar condiciones adecuadas para el desarrollo socioeconómico y proteger el Medio Ambiente, el Gobierno nacional formulará una Estrategia Nacional de Lucha Contra la Corrupción. </w:t>
      </w:r>
    </w:p>
    <w:p w14:paraId="2E13106F" w14:textId="77777777" w:rsidR="005164F8" w:rsidRPr="007E6069" w:rsidRDefault="005164F8" w:rsidP="005164F8">
      <w:pPr>
        <w:pStyle w:val="NormalWeb"/>
        <w:spacing w:before="0" w:beforeAutospacing="0" w:after="0" w:afterAutospacing="0"/>
        <w:ind w:firstLine="708"/>
        <w:jc w:val="both"/>
        <w:rPr>
          <w:rFonts w:ascii="Verdana" w:hAnsi="Verdana" w:cs="Arial"/>
          <w:color w:val="000000"/>
          <w:sz w:val="14"/>
          <w:szCs w:val="14"/>
        </w:rPr>
      </w:pPr>
      <w:r w:rsidRPr="007E6069">
        <w:rPr>
          <w:rFonts w:ascii="Verdana" w:hAnsi="Verdana" w:cs="Arial"/>
          <w:color w:val="000000"/>
          <w:sz w:val="14"/>
          <w:szCs w:val="14"/>
        </w:rPr>
        <w:t>La Estrategia tendrá como dimensiones la garantía de los derechos humanos, la protección al denunciante, el derecho al acceso a la información pública, el fortalecimiento de la veeduría ciudadana, la transparencia en la contratación y la gestión pública, la innovación pública y la implementación de mecanismos dirigidos a prevenir, detectar, gestionar y sancionar riesgos y hechos de corrupción bajo un enfoque sectorial. </w:t>
      </w:r>
    </w:p>
    <w:p w14:paraId="2C6A48CB" w14:textId="77777777" w:rsidR="005164F8" w:rsidRPr="007E6069" w:rsidRDefault="005164F8" w:rsidP="005164F8">
      <w:pPr>
        <w:pStyle w:val="NormalWeb"/>
        <w:spacing w:before="0" w:beforeAutospacing="0" w:after="0" w:afterAutospacing="0"/>
        <w:ind w:firstLine="708"/>
        <w:jc w:val="both"/>
        <w:rPr>
          <w:rFonts w:ascii="Verdana" w:hAnsi="Verdana" w:cs="Arial"/>
          <w:color w:val="000000"/>
          <w:sz w:val="14"/>
          <w:szCs w:val="14"/>
        </w:rPr>
      </w:pPr>
      <w:r w:rsidRPr="007E6069">
        <w:rPr>
          <w:rFonts w:ascii="Verdana" w:hAnsi="Verdana" w:cs="Arial"/>
          <w:color w:val="000000"/>
          <w:sz w:val="14"/>
          <w:szCs w:val="14"/>
        </w:rPr>
        <w:t>El Gobierno nacional en cabeza de la Secretaría de Transparencia y las Subcomisiones Técnicas de la Comisión Nacional de Moralización, serán responsables de la coordinación, elaboración y evaluación de la Estrategia Nacional de Lucha contra la corrupción. La Red Nacional de Observatorios Anticorrupción y el Departamento Nacional de Planeación prestarán apoyo técnico para su formulación, monitoreo y seguimiento. </w:t>
      </w:r>
    </w:p>
    <w:p w14:paraId="04775EC1" w14:textId="77777777" w:rsidR="005164F8" w:rsidRPr="007E6069" w:rsidRDefault="005164F8" w:rsidP="005164F8">
      <w:pPr>
        <w:pStyle w:val="NormalWeb"/>
        <w:spacing w:before="0" w:beforeAutospacing="0" w:after="0" w:afterAutospacing="0"/>
        <w:ind w:firstLine="708"/>
        <w:jc w:val="both"/>
        <w:rPr>
          <w:rFonts w:ascii="Verdana" w:hAnsi="Verdana" w:cs="Arial"/>
          <w:color w:val="000000"/>
          <w:sz w:val="14"/>
          <w:szCs w:val="14"/>
        </w:rPr>
      </w:pPr>
      <w:r w:rsidRPr="007E6069">
        <w:rPr>
          <w:rFonts w:ascii="Verdana" w:hAnsi="Verdana" w:cs="Arial"/>
          <w:color w:val="000000"/>
          <w:sz w:val="14"/>
          <w:szCs w:val="14"/>
        </w:rPr>
        <w:t>En el proceso de formulación de la Estrategia se realizará una evaluación de la capacidad institucional y misional de las entidades públicas, del funcionamiento de las instancias e instrumentos de planeación existentes para la lucha contra la corrupción, y de las debilidades de articulación y coordinación interinstitucional. Así mismo, en el desarrollo de esta estrategia se promoverá la implementación de las disposiciones previstas en la Ley 1712 de 2014 frente al diseño, promoción e implementación de la política pública de acceso a la información pública y la Ley 2195 de 2022 en materia de daño y reparación de los afectados por actos de corrupción, el control y monitoreo constante del riesgo de corrupción, así como la pedagogía para la promoción de la participación ciudadana para la transparencia y lucha contra la corrupción. </w:t>
      </w:r>
    </w:p>
    <w:p w14:paraId="727ABEC5" w14:textId="77777777" w:rsidR="005164F8" w:rsidRPr="007E6069" w:rsidRDefault="005164F8" w:rsidP="005164F8">
      <w:pPr>
        <w:pStyle w:val="NormalWeb"/>
        <w:spacing w:before="0" w:beforeAutospacing="0" w:after="0" w:afterAutospacing="0"/>
        <w:ind w:firstLine="708"/>
        <w:jc w:val="both"/>
        <w:rPr>
          <w:rFonts w:ascii="Verdana" w:hAnsi="Verdana" w:cs="Arial"/>
          <w:color w:val="000000"/>
          <w:sz w:val="14"/>
          <w:szCs w:val="14"/>
        </w:rPr>
      </w:pPr>
      <w:r w:rsidRPr="007E6069">
        <w:rPr>
          <w:rStyle w:val="Textoennegrita"/>
          <w:rFonts w:ascii="Verdana" w:hAnsi="Verdana" w:cs="Arial"/>
          <w:color w:val="000000"/>
          <w:sz w:val="14"/>
          <w:szCs w:val="14"/>
        </w:rPr>
        <w:t>Parágrafo 1°.</w:t>
      </w:r>
      <w:r w:rsidRPr="007E6069">
        <w:rPr>
          <w:rFonts w:ascii="Verdana" w:hAnsi="Verdana" w:cs="Arial"/>
          <w:color w:val="000000"/>
          <w:sz w:val="14"/>
          <w:szCs w:val="14"/>
        </w:rPr>
        <w:t> En la estrategia se contemplarán los mecanismos para el seguimiento y control de los recursos públicos administrados mediante fondos o patrimonios autónomos. </w:t>
      </w:r>
    </w:p>
    <w:p w14:paraId="69F56F4B" w14:textId="77777777" w:rsidR="005164F8" w:rsidRPr="007E6069" w:rsidRDefault="005164F8" w:rsidP="005164F8">
      <w:pPr>
        <w:pStyle w:val="NormalWeb"/>
        <w:spacing w:before="0" w:beforeAutospacing="0" w:after="0" w:afterAutospacing="0"/>
        <w:ind w:firstLine="708"/>
        <w:jc w:val="both"/>
        <w:rPr>
          <w:rFonts w:ascii="Verdana" w:hAnsi="Verdana" w:cs="Arial"/>
          <w:color w:val="000000"/>
          <w:sz w:val="14"/>
          <w:szCs w:val="14"/>
        </w:rPr>
      </w:pPr>
      <w:r w:rsidRPr="007E6069">
        <w:rPr>
          <w:rStyle w:val="Textoennegrita"/>
          <w:rFonts w:ascii="Verdana" w:hAnsi="Verdana" w:cs="Arial"/>
          <w:color w:val="000000"/>
          <w:sz w:val="14"/>
          <w:szCs w:val="14"/>
        </w:rPr>
        <w:t>Parágrafo 2°.</w:t>
      </w:r>
      <w:r w:rsidRPr="007E6069">
        <w:rPr>
          <w:rFonts w:ascii="Verdana" w:hAnsi="Verdana" w:cs="Arial"/>
          <w:color w:val="000000"/>
          <w:sz w:val="14"/>
          <w:szCs w:val="14"/>
        </w:rPr>
        <w:t> La Comisión Nacional Ciudadana de Lucha Contra la Corrupción, la Comisión Nacional de Moralización, las Comisiones Regionales de Moralización y las organizaciones de la sociedad civil podrán presentar recomendaciones durante la formulación y evaluación de la Estrategia. </w:t>
      </w:r>
    </w:p>
    <w:p w14:paraId="07BB8776" w14:textId="77777777" w:rsidR="005164F8" w:rsidRPr="007E6069" w:rsidRDefault="005164F8" w:rsidP="005164F8">
      <w:pPr>
        <w:pStyle w:val="NormalWeb"/>
        <w:spacing w:before="0" w:beforeAutospacing="0" w:after="0" w:afterAutospacing="0"/>
        <w:ind w:firstLine="708"/>
        <w:jc w:val="both"/>
        <w:rPr>
          <w:rFonts w:ascii="Verdana" w:hAnsi="Verdana" w:cs="Arial"/>
          <w:color w:val="000000"/>
          <w:sz w:val="14"/>
          <w:szCs w:val="14"/>
        </w:rPr>
      </w:pPr>
      <w:r w:rsidRPr="007E6069">
        <w:rPr>
          <w:rStyle w:val="Textoennegrita"/>
          <w:rFonts w:ascii="Verdana" w:hAnsi="Verdana" w:cs="Arial"/>
          <w:color w:val="000000"/>
          <w:sz w:val="14"/>
          <w:szCs w:val="14"/>
        </w:rPr>
        <w:t>Parágrafo 3°.</w:t>
      </w:r>
      <w:r w:rsidRPr="007E6069">
        <w:rPr>
          <w:rFonts w:ascii="Verdana" w:hAnsi="Verdana" w:cs="Arial"/>
          <w:color w:val="000000"/>
          <w:sz w:val="14"/>
          <w:szCs w:val="14"/>
        </w:rPr>
        <w:t> Dentro del año siguiente a la entrada en vigor de la presente ley, el Gobierno nacional formulará y adoptará la Estrategia Nacional de Lucha Contra la Corrupción.</w:t>
      </w:r>
    </w:p>
    <w:p w14:paraId="40486CF8" w14:textId="77777777" w:rsidR="005164F8" w:rsidRPr="007E6069" w:rsidRDefault="005164F8" w:rsidP="005164F8">
      <w:pPr>
        <w:pStyle w:val="Textonotapie"/>
        <w:rPr>
          <w:sz w:val="14"/>
          <w:szCs w:val="14"/>
          <w:lang w:val="es-CO"/>
        </w:rPr>
      </w:pPr>
    </w:p>
    <w:p w14:paraId="35893B4A" w14:textId="77777777" w:rsidR="005164F8" w:rsidRPr="007E6069" w:rsidRDefault="005164F8" w:rsidP="005164F8">
      <w:pPr>
        <w:pStyle w:val="Textonotapie"/>
        <w:ind w:firstLine="708"/>
        <w:rPr>
          <w:sz w:val="14"/>
          <w:szCs w:val="14"/>
          <w:lang w:val="es-CO"/>
        </w:rPr>
      </w:pPr>
    </w:p>
  </w:footnote>
  <w:footnote w:id="2">
    <w:p w14:paraId="6CB44D83" w14:textId="77777777" w:rsidR="005164F8" w:rsidRPr="00F2039B" w:rsidRDefault="005164F8" w:rsidP="005164F8">
      <w:pPr>
        <w:spacing w:after="0" w:line="240" w:lineRule="auto"/>
        <w:ind w:firstLine="709"/>
        <w:jc w:val="both"/>
        <w:rPr>
          <w:rFonts w:ascii="Verdana" w:eastAsia="Calibri" w:hAnsi="Verdana" w:cs="Arial"/>
          <w:bCs/>
          <w:sz w:val="14"/>
          <w:szCs w:val="14"/>
          <w:lang w:eastAsia="es-ES_tradnl"/>
        </w:rPr>
      </w:pPr>
      <w:r w:rsidRPr="00F2039B">
        <w:rPr>
          <w:rStyle w:val="Refdenotaalpie"/>
          <w:rFonts w:ascii="Verdana" w:hAnsi="Verdana"/>
          <w:sz w:val="14"/>
          <w:szCs w:val="14"/>
        </w:rPr>
        <w:footnoteRef/>
      </w:r>
      <w:r w:rsidRPr="00F2039B">
        <w:rPr>
          <w:rFonts w:ascii="Verdana" w:hAnsi="Verdana"/>
          <w:sz w:val="14"/>
          <w:szCs w:val="14"/>
        </w:rPr>
        <w:t xml:space="preserve"> </w:t>
      </w:r>
      <w:r w:rsidRPr="00F2039B">
        <w:rPr>
          <w:rFonts w:ascii="Verdana" w:eastAsia="Calibri" w:hAnsi="Verdana" w:cs="Arial"/>
          <w:bCs/>
          <w:iCs/>
          <w:sz w:val="14"/>
          <w:szCs w:val="14"/>
          <w:lang w:eastAsia="es-ES_tradnl"/>
        </w:rPr>
        <w:t>Artículo 2.1.4.3.1.2. Ámbito de aplicación.</w:t>
      </w:r>
      <w:r w:rsidRPr="00F2039B">
        <w:rPr>
          <w:rFonts w:ascii="Verdana" w:eastAsia="Calibri" w:hAnsi="Verdana" w:cs="Arial"/>
          <w:b/>
          <w:bCs/>
          <w:iCs/>
          <w:sz w:val="14"/>
          <w:szCs w:val="14"/>
          <w:lang w:eastAsia="es-ES_tradnl"/>
        </w:rPr>
        <w:t> </w:t>
      </w:r>
      <w:r w:rsidRPr="00F2039B">
        <w:rPr>
          <w:rFonts w:ascii="Verdana" w:eastAsia="Calibri" w:hAnsi="Verdana" w:cs="Arial"/>
          <w:bCs/>
          <w:iCs/>
          <w:sz w:val="14"/>
          <w:szCs w:val="14"/>
          <w:lang w:eastAsia="es-ES_tradnl"/>
        </w:rPr>
        <w:t>Las disposiciones de este Capítulo rigen en todo el territorio nacional y se aplicarán en todos los organismos, entidades y empresas del Estado del orden nacional y pertenecientes a la Rama Ejecutiva del Poder Público. </w:t>
      </w:r>
      <w:r w:rsidRPr="00F2039B">
        <w:rPr>
          <w:rFonts w:ascii="Verdana" w:eastAsia="Calibri" w:hAnsi="Verdana" w:cs="Arial"/>
          <w:bCs/>
          <w:sz w:val="14"/>
          <w:szCs w:val="14"/>
          <w:lang w:eastAsia="es-ES_tradnl"/>
        </w:rPr>
        <w:t> </w:t>
      </w:r>
    </w:p>
    <w:p w14:paraId="5C0E8D4E" w14:textId="77777777" w:rsidR="005164F8" w:rsidRPr="00F2039B" w:rsidRDefault="005164F8" w:rsidP="005164F8">
      <w:pPr>
        <w:spacing w:after="0" w:line="240" w:lineRule="auto"/>
        <w:ind w:firstLine="709"/>
        <w:jc w:val="both"/>
        <w:rPr>
          <w:rFonts w:ascii="Verdana" w:eastAsia="Calibri" w:hAnsi="Verdana" w:cs="Arial"/>
          <w:bCs/>
          <w:sz w:val="14"/>
          <w:szCs w:val="14"/>
          <w:lang w:eastAsia="es-ES_tradnl"/>
        </w:rPr>
      </w:pPr>
      <w:r w:rsidRPr="00F2039B">
        <w:rPr>
          <w:rFonts w:ascii="Verdana" w:eastAsia="Calibri" w:hAnsi="Verdana" w:cs="Arial"/>
          <w:bCs/>
          <w:iCs/>
          <w:sz w:val="14"/>
          <w:szCs w:val="14"/>
          <w:lang w:eastAsia="es-ES_tradnl"/>
        </w:rPr>
        <w:t>Las empresas industriales y comerciales del Estado, las sociedades de economía mixta y todas las demás instituciones sometidas a regímenes especiales de contratación, darán pleno cumplimiento a las obligaciones consagradas en el presente Capítulo en aquellos aspectos en los que deban aplicar el régimen general de contratación pública. En los aspectos no regulados por dicho régimen, no se aplicará a ellas lo dispuesto en el artículo 2.1.4.3.2.1, las demás disposiciones deberán aplicarse de conformidad con su estructura orgánica y la normativa aplicable a su funcionamiento.</w:t>
      </w:r>
    </w:p>
    <w:p w14:paraId="354FC6C6" w14:textId="77777777" w:rsidR="005164F8" w:rsidRPr="00F2039B" w:rsidRDefault="005164F8" w:rsidP="005164F8">
      <w:pPr>
        <w:spacing w:after="0" w:line="240" w:lineRule="auto"/>
        <w:ind w:firstLine="709"/>
        <w:jc w:val="both"/>
        <w:rPr>
          <w:rFonts w:ascii="Verdana" w:eastAsia="Calibri" w:hAnsi="Verdana" w:cs="Arial"/>
          <w:bCs/>
          <w:sz w:val="14"/>
          <w:szCs w:val="14"/>
          <w:lang w:eastAsia="es-ES_tradnl"/>
        </w:rPr>
      </w:pPr>
      <w:r w:rsidRPr="00F2039B">
        <w:rPr>
          <w:rFonts w:ascii="Verdana" w:eastAsia="Calibri" w:hAnsi="Verdana" w:cs="Arial"/>
          <w:bCs/>
          <w:iCs/>
          <w:sz w:val="14"/>
          <w:szCs w:val="14"/>
          <w:lang w:eastAsia="es-ES_tradnl"/>
        </w:rPr>
        <w:t>Las entidades territoriales y sus entidades descentralizadas, en el marco de su autonomía y en cumplimiento de lo previsto en el artículo 32 de la Ley 152 de 1994, por la cual se establece la Ley orgánica de Plan de Desarrollo, aplicarán en sus planes y políticas, las líneas de acción contenidas en el presente Capítulo, en virtud de lo señalado por el artículo 200 de la Ley 2294 de 2023. </w:t>
      </w:r>
    </w:p>
    <w:p w14:paraId="508960D0" w14:textId="77777777" w:rsidR="005164F8" w:rsidRPr="00F2039B" w:rsidRDefault="005164F8" w:rsidP="005164F8">
      <w:pPr>
        <w:pStyle w:val="Textonotapie"/>
        <w:rPr>
          <w:sz w:val="14"/>
          <w:szCs w:val="14"/>
          <w:lang w:val="es-CO"/>
        </w:rPr>
      </w:pPr>
    </w:p>
  </w:footnote>
  <w:footnote w:id="3">
    <w:p w14:paraId="4153DEF5" w14:textId="77777777" w:rsidR="005164F8" w:rsidRPr="00F2039B" w:rsidRDefault="005164F8" w:rsidP="005164F8">
      <w:pPr>
        <w:pStyle w:val="Textonotapie"/>
        <w:ind w:firstLine="708"/>
        <w:jc w:val="both"/>
        <w:rPr>
          <w:rFonts w:ascii="Verdana" w:hAnsi="Verdana"/>
          <w:sz w:val="14"/>
          <w:szCs w:val="14"/>
          <w:lang w:val="es-CO"/>
        </w:rPr>
      </w:pPr>
      <w:r w:rsidRPr="00F2039B">
        <w:rPr>
          <w:rStyle w:val="Refdenotaalpie"/>
          <w:rFonts w:ascii="Verdana" w:hAnsi="Verdana"/>
          <w:sz w:val="14"/>
          <w:szCs w:val="14"/>
        </w:rPr>
        <w:footnoteRef/>
      </w:r>
      <w:r w:rsidRPr="00F2039B">
        <w:rPr>
          <w:rFonts w:ascii="Verdana" w:hAnsi="Verdana"/>
          <w:sz w:val="14"/>
          <w:szCs w:val="14"/>
        </w:rPr>
        <w:t xml:space="preserve"> </w:t>
      </w:r>
      <w:r w:rsidRPr="00F2039B">
        <w:rPr>
          <w:rFonts w:ascii="Verdana" w:hAnsi="Verdana"/>
          <w:bCs/>
          <w:sz w:val="14"/>
          <w:szCs w:val="14"/>
          <w:lang w:val="es-CO"/>
        </w:rPr>
        <w:t>Artículo 2.1.4.3.2.1. </w:t>
      </w:r>
      <w:r w:rsidRPr="00F2039B">
        <w:rPr>
          <w:rFonts w:ascii="Verdana" w:hAnsi="Verdana"/>
          <w:bCs/>
          <w:i/>
          <w:iCs/>
          <w:sz w:val="14"/>
          <w:szCs w:val="14"/>
          <w:lang w:val="es-CO"/>
        </w:rPr>
        <w:t>Prevención de corrupción en la contratación pública.</w:t>
      </w:r>
      <w:r>
        <w:rPr>
          <w:rFonts w:ascii="Verdana" w:hAnsi="Verdana"/>
          <w:bCs/>
          <w:i/>
          <w:iCs/>
          <w:sz w:val="14"/>
          <w:szCs w:val="14"/>
          <w:lang w:val="es-CO"/>
        </w:rPr>
        <w:t xml:space="preserve"> </w:t>
      </w:r>
      <w:r w:rsidRPr="00F2039B">
        <w:rPr>
          <w:rFonts w:ascii="Verdana" w:hAnsi="Verdana"/>
          <w:sz w:val="14"/>
          <w:szCs w:val="14"/>
          <w:lang w:val="es-CO"/>
        </w:rPr>
        <w:t xml:space="preserve">Las entidades mencionadas en el artículo 2.1.4.3.1.2 del presente decreto, sin perjuicio de las demás obligaciones legales y reglamentarias, deberán garantizar las siguientes acciones en el desarrollo y la gestión contractual a su cargo: </w:t>
      </w:r>
    </w:p>
    <w:p w14:paraId="499D3D36" w14:textId="77777777" w:rsidR="005164F8" w:rsidRPr="00F2039B" w:rsidRDefault="005164F8" w:rsidP="005164F8">
      <w:pPr>
        <w:pStyle w:val="Textonotapie"/>
        <w:ind w:firstLine="708"/>
        <w:jc w:val="both"/>
        <w:rPr>
          <w:rFonts w:ascii="Verdana" w:hAnsi="Verdana"/>
          <w:sz w:val="14"/>
          <w:szCs w:val="14"/>
          <w:lang w:val="es-CO"/>
        </w:rPr>
      </w:pPr>
      <w:r w:rsidRPr="00F2039B">
        <w:rPr>
          <w:rFonts w:ascii="Verdana" w:hAnsi="Verdana"/>
          <w:sz w:val="14"/>
          <w:szCs w:val="14"/>
          <w:lang w:val="es-CO"/>
        </w:rPr>
        <w:t>a) </w:t>
      </w:r>
      <w:r w:rsidRPr="00F2039B">
        <w:rPr>
          <w:rFonts w:ascii="Verdana" w:hAnsi="Verdana"/>
          <w:bCs/>
          <w:sz w:val="14"/>
          <w:szCs w:val="14"/>
          <w:lang w:val="es-CO"/>
        </w:rPr>
        <w:t>Verificar la existencia de situaciones de control. </w:t>
      </w:r>
      <w:r w:rsidRPr="00F2039B">
        <w:rPr>
          <w:rFonts w:ascii="Verdana" w:hAnsi="Verdana"/>
          <w:sz w:val="14"/>
          <w:szCs w:val="14"/>
          <w:lang w:val="es-CO"/>
        </w:rPr>
        <w:t>En los términos de los artículos 260 y 261 del Código de Comercio, de las personas jurídicas oferentes y/o de los proponentes plurales. Quienes se presenten como proponentes en procesos de selección adelantados por las entidades destinatarias del presente Capítulo, en el término máximo de tres (3) días después del momento en que se cierre definitivamente la presentación de ofertas, deberán poner de presente la existencia o no de situaciones de control de las que participen y, en particular, si son contratantes, controladas o comparten alguna de estas condiciones con otras personas que se encuentren participando en el mismo procedimiento de contratación. Para el caso de los proponentes plurales, deberán indicar si las personas que los conforman se encuentran en alguna de las situaciones descritas anteriormente. Para el caso de los proponentes plurales, deberán indicar si las personas que los conforman se encuentran en alguna de las situaciones descritas anteriormente.  </w:t>
      </w:r>
    </w:p>
    <w:p w14:paraId="30422326" w14:textId="77777777" w:rsidR="005164F8" w:rsidRPr="00F2039B" w:rsidRDefault="005164F8" w:rsidP="005164F8">
      <w:pPr>
        <w:pStyle w:val="Textonotapie"/>
        <w:ind w:firstLine="708"/>
        <w:jc w:val="both"/>
        <w:rPr>
          <w:rFonts w:ascii="Verdana" w:hAnsi="Verdana"/>
          <w:sz w:val="14"/>
          <w:szCs w:val="14"/>
          <w:lang w:val="es-CO"/>
        </w:rPr>
      </w:pPr>
      <w:r w:rsidRPr="00F2039B">
        <w:rPr>
          <w:rFonts w:ascii="Verdana" w:hAnsi="Verdana"/>
          <w:sz w:val="14"/>
          <w:szCs w:val="14"/>
          <w:lang w:val="es-CO"/>
        </w:rPr>
        <w:t>Las entidades contratantes examinarán la existencia de las circunstancias antes descritas, con base en la información proporcionada por los oferentes y en la que reposa en los expedientes públicos registrados ante las Cámaras de Comercio, con el fin de prever la configuración de las causales de inhabilidad e incompatibilidad previstas en el artículo 8° de la Ley 80 de 1993.   </w:t>
      </w:r>
    </w:p>
    <w:p w14:paraId="744B3D2C" w14:textId="77777777" w:rsidR="005164F8" w:rsidRPr="00F2039B" w:rsidRDefault="005164F8" w:rsidP="005164F8">
      <w:pPr>
        <w:pStyle w:val="Textonotapie"/>
        <w:ind w:firstLine="708"/>
        <w:jc w:val="both"/>
        <w:rPr>
          <w:rFonts w:ascii="Verdana" w:hAnsi="Verdana"/>
          <w:sz w:val="14"/>
          <w:szCs w:val="14"/>
          <w:lang w:val="es-CO"/>
        </w:rPr>
      </w:pPr>
      <w:r w:rsidRPr="00F2039B">
        <w:rPr>
          <w:rFonts w:ascii="Verdana" w:hAnsi="Verdana"/>
          <w:sz w:val="14"/>
          <w:szCs w:val="14"/>
          <w:lang w:val="es-CO"/>
        </w:rPr>
        <w:t>Cuando, en desarrollo del análisis mencionado se adviertan circunstancias que pudieran implicar afectaciones a la libertad de concurrencia o competencia, o a la pluralidad real de oferentes dentro del proceso de selección correspondiente, la entidad contratante deberá evaluar la necesidad de poner tales situaciones en conocimiento de los entes de control competentes y, de ser necesario, solicitar su acompañamiento preventivo. La Presidencia de la República, a través de la Secretaría de Transparencia, se articulará con las entidades competentes con el fin de generar los mecanismos necesarios para mitigar los riesgos de corrupción que puedan advertirse como consecuencia del análisis dispuesto en este literal.  </w:t>
      </w:r>
    </w:p>
    <w:p w14:paraId="0576AF0F" w14:textId="77777777" w:rsidR="005164F8" w:rsidRPr="00F2039B" w:rsidRDefault="005164F8" w:rsidP="005164F8">
      <w:pPr>
        <w:pStyle w:val="Textonotapie"/>
        <w:ind w:firstLine="708"/>
        <w:jc w:val="both"/>
        <w:rPr>
          <w:rFonts w:ascii="Verdana" w:hAnsi="Verdana"/>
          <w:sz w:val="14"/>
          <w:szCs w:val="14"/>
          <w:lang w:val="es-CO"/>
        </w:rPr>
      </w:pPr>
      <w:r w:rsidRPr="00F2039B">
        <w:rPr>
          <w:rFonts w:ascii="Verdana" w:hAnsi="Verdana"/>
          <w:sz w:val="14"/>
          <w:szCs w:val="14"/>
          <w:lang w:val="es-CO"/>
        </w:rPr>
        <w:t>b) </w:t>
      </w:r>
      <w:r w:rsidRPr="00F2039B">
        <w:rPr>
          <w:rFonts w:ascii="Verdana" w:hAnsi="Verdana"/>
          <w:bCs/>
          <w:sz w:val="14"/>
          <w:szCs w:val="14"/>
          <w:lang w:val="es-CO"/>
        </w:rPr>
        <w:t>Aplicar buenas prácticas para la contratación transparente. </w:t>
      </w:r>
      <w:r w:rsidRPr="00F2039B">
        <w:rPr>
          <w:rFonts w:ascii="Verdana" w:hAnsi="Verdana"/>
          <w:sz w:val="14"/>
          <w:szCs w:val="14"/>
          <w:lang w:val="es-CO"/>
        </w:rPr>
        <w:t>Las entidades deberán garantizar que las guías y manuales definidos por la Agencia Nacional de Contratación Pública - Colombia Compra Eficiente, para la definición de criterios que permitan garantizar la pluralidad de oferentes, se apliquen en la organización. En consecuencia, en los documentos del proceso deberá dejarse constancia que en la estructuración se tuvieron en cuenta las prácticas recomendadas por Colombia Compra Eficiente.  </w:t>
      </w:r>
    </w:p>
    <w:p w14:paraId="35267F7B" w14:textId="77777777" w:rsidR="005164F8" w:rsidRPr="00F2039B" w:rsidRDefault="005164F8" w:rsidP="005164F8">
      <w:pPr>
        <w:pStyle w:val="Textonotapie"/>
        <w:ind w:firstLine="708"/>
        <w:jc w:val="both"/>
        <w:rPr>
          <w:rFonts w:ascii="Verdana" w:hAnsi="Verdana"/>
          <w:sz w:val="14"/>
          <w:szCs w:val="14"/>
          <w:lang w:val="es-CO"/>
        </w:rPr>
      </w:pPr>
      <w:r w:rsidRPr="00F2039B">
        <w:rPr>
          <w:rFonts w:ascii="Verdana" w:hAnsi="Verdana"/>
          <w:sz w:val="14"/>
          <w:szCs w:val="14"/>
          <w:lang w:val="es-CO"/>
        </w:rPr>
        <w:t>c) </w:t>
      </w:r>
      <w:r w:rsidRPr="00F2039B">
        <w:rPr>
          <w:rFonts w:ascii="Verdana" w:hAnsi="Verdana"/>
          <w:bCs/>
          <w:sz w:val="14"/>
          <w:szCs w:val="14"/>
          <w:lang w:val="es-CO"/>
        </w:rPr>
        <w:t>Fortalecer los análisis de mercado para la fijación objetiva de precios. </w:t>
      </w:r>
      <w:r w:rsidRPr="00F2039B">
        <w:rPr>
          <w:rFonts w:ascii="Verdana" w:hAnsi="Verdana"/>
          <w:sz w:val="14"/>
          <w:szCs w:val="14"/>
          <w:lang w:val="es-CO"/>
        </w:rPr>
        <w:t>En la elaboración del análisis de mercado para fijar los precios, deberán realizarse estudios públicos y abiertos, que permitan un análisis comparativo de los precios de referencia para alcanzar valores de mercado favorables y mayor eficiencia en el gasto. En esa medida, y con el fin de mitigar sobrecostos, en la definición de presupuestos a partir de cotizaciones no se podrán realizar consultas cerradas ni direccionadas a grupos reducidos de empresas y se verificará la ausencia de inhabilidades e incompatibilidades de las empresas que coticen. En todo caso, en los documentos del proceso debe quedar constancia del proceso que permitió la determinación del precio, el mecanismo seleccionado para fijarlo y la justificación de esa elección.  </w:t>
      </w:r>
    </w:p>
    <w:p w14:paraId="20F571E5" w14:textId="77777777" w:rsidR="005164F8" w:rsidRPr="00F2039B" w:rsidRDefault="005164F8" w:rsidP="005164F8">
      <w:pPr>
        <w:pStyle w:val="Textonotapie"/>
        <w:ind w:firstLine="708"/>
        <w:jc w:val="both"/>
        <w:rPr>
          <w:rFonts w:ascii="Verdana" w:hAnsi="Verdana"/>
          <w:sz w:val="14"/>
          <w:szCs w:val="14"/>
          <w:lang w:val="es-CO"/>
        </w:rPr>
      </w:pPr>
      <w:r w:rsidRPr="00F2039B">
        <w:rPr>
          <w:rFonts w:ascii="Verdana" w:hAnsi="Verdana"/>
          <w:bCs/>
          <w:sz w:val="14"/>
          <w:szCs w:val="14"/>
          <w:lang w:val="es-CO"/>
        </w:rPr>
        <w:t>Parágrafo 1°. </w:t>
      </w:r>
      <w:r w:rsidRPr="00F2039B">
        <w:rPr>
          <w:rFonts w:ascii="Verdana" w:hAnsi="Verdana"/>
          <w:sz w:val="14"/>
          <w:szCs w:val="14"/>
          <w:lang w:val="es-CO"/>
        </w:rPr>
        <w:t>Las anteriores directrices serán incorporadas por las entidades destinatarias a sus manuales de contratación, dentro de los seis (6) meses siguientes a la expedición del presente Capítulo.  </w:t>
      </w:r>
    </w:p>
    <w:p w14:paraId="031F1A5D" w14:textId="77777777" w:rsidR="005164F8" w:rsidRPr="00F2039B" w:rsidRDefault="005164F8" w:rsidP="005164F8">
      <w:pPr>
        <w:pStyle w:val="Textonotapie"/>
        <w:ind w:firstLine="708"/>
        <w:jc w:val="both"/>
        <w:rPr>
          <w:rFonts w:ascii="Verdana" w:hAnsi="Verdana"/>
          <w:sz w:val="14"/>
          <w:szCs w:val="14"/>
          <w:lang w:val="es-CO"/>
        </w:rPr>
      </w:pPr>
      <w:r w:rsidRPr="00F2039B">
        <w:rPr>
          <w:rFonts w:ascii="Verdana" w:hAnsi="Verdana"/>
          <w:bCs/>
          <w:sz w:val="14"/>
          <w:szCs w:val="14"/>
          <w:lang w:val="es-CO"/>
        </w:rPr>
        <w:t>Parágrafo 2°. </w:t>
      </w:r>
      <w:r w:rsidRPr="00F2039B">
        <w:rPr>
          <w:rFonts w:ascii="Verdana" w:hAnsi="Verdana"/>
          <w:sz w:val="14"/>
          <w:szCs w:val="14"/>
          <w:lang w:val="es-CO"/>
        </w:rPr>
        <w:t>Las entidades territoriales y sus descentralizadas, en el marco de su autonomía, incorporarán las directrices contenidas en el presente artículo, de conformidad con lo señalado en el inciso tercero del artículo 2.1.4.3.1.2 del presente decreto.  </w:t>
      </w:r>
    </w:p>
    <w:p w14:paraId="5B430FCA" w14:textId="77777777" w:rsidR="005164F8" w:rsidRPr="00F2039B" w:rsidRDefault="005164F8" w:rsidP="005164F8">
      <w:pPr>
        <w:pStyle w:val="Textonotapie"/>
        <w:ind w:firstLine="708"/>
        <w:jc w:val="both"/>
        <w:rPr>
          <w:rFonts w:ascii="Verdana" w:hAnsi="Verdana"/>
          <w:sz w:val="14"/>
          <w:szCs w:val="14"/>
          <w:lang w:val="es-CO"/>
        </w:rPr>
      </w:pPr>
    </w:p>
  </w:footnote>
  <w:footnote w:id="4">
    <w:p w14:paraId="36C1A675" w14:textId="77777777" w:rsidR="005164F8" w:rsidRPr="00F2039B" w:rsidRDefault="005164F8" w:rsidP="005164F8">
      <w:pPr>
        <w:pStyle w:val="Textonotapie"/>
        <w:ind w:firstLine="709"/>
        <w:jc w:val="both"/>
        <w:rPr>
          <w:rFonts w:ascii="Verdana" w:hAnsi="Verdana"/>
          <w:sz w:val="14"/>
          <w:szCs w:val="14"/>
          <w:lang w:val="es-CO"/>
        </w:rPr>
      </w:pPr>
      <w:r w:rsidRPr="00F2039B">
        <w:rPr>
          <w:rStyle w:val="Refdenotaalpie"/>
          <w:rFonts w:ascii="Verdana" w:hAnsi="Verdana"/>
          <w:sz w:val="14"/>
          <w:szCs w:val="14"/>
        </w:rPr>
        <w:footnoteRef/>
      </w:r>
      <w:r w:rsidRPr="00F2039B">
        <w:rPr>
          <w:rFonts w:ascii="Verdana" w:hAnsi="Verdana"/>
          <w:sz w:val="14"/>
          <w:szCs w:val="14"/>
        </w:rPr>
        <w:t xml:space="preserve"> </w:t>
      </w:r>
      <w:r w:rsidRPr="00F2039B">
        <w:rPr>
          <w:rFonts w:ascii="Verdana" w:hAnsi="Verdana"/>
          <w:sz w:val="14"/>
          <w:szCs w:val="14"/>
          <w:lang w:val="es-CO"/>
        </w:rPr>
        <w:t>Las entidades territoriales tienen autonomía en materia de planeación del desarrollo económico, social y de la gestión ambiental, en el marco de las competencias, recursos y responsabilidades que les ha atribuido la Constitución y la ley.</w:t>
      </w:r>
    </w:p>
    <w:p w14:paraId="3E1B9A77" w14:textId="77777777" w:rsidR="005164F8" w:rsidRPr="00F2039B" w:rsidRDefault="005164F8" w:rsidP="005164F8">
      <w:pPr>
        <w:pStyle w:val="Textonotapie"/>
        <w:jc w:val="both"/>
        <w:rPr>
          <w:rFonts w:ascii="Verdana" w:hAnsi="Verdana"/>
          <w:sz w:val="14"/>
          <w:szCs w:val="14"/>
          <w:lang w:val="es-CO"/>
        </w:rPr>
      </w:pPr>
      <w:r w:rsidRPr="00F2039B">
        <w:rPr>
          <w:rFonts w:ascii="Verdana" w:hAnsi="Verdana"/>
          <w:sz w:val="14"/>
          <w:szCs w:val="14"/>
          <w:lang w:val="es-CO"/>
        </w:rPr>
        <w:t>Los planes de desarrollo de las entidades territoriales, sin perjuicio de su autonomía, deberán tener en cuenta para su elaboración las políticas y estrategias del Plan Nacional de Desarrollo para garantizar la coherencia.</w:t>
      </w:r>
    </w:p>
    <w:p w14:paraId="44019767" w14:textId="77777777" w:rsidR="005164F8" w:rsidRPr="00DE0B92" w:rsidRDefault="005164F8" w:rsidP="005164F8">
      <w:pPr>
        <w:pStyle w:val="Textonotapie"/>
      </w:pPr>
    </w:p>
  </w:footnote>
  <w:footnote w:id="5">
    <w:p w14:paraId="0C1A31E6" w14:textId="77777777" w:rsidR="005164F8" w:rsidRPr="00F2039B" w:rsidRDefault="005164F8" w:rsidP="005164F8">
      <w:pPr>
        <w:pStyle w:val="Textonotapie"/>
        <w:ind w:firstLine="709"/>
        <w:jc w:val="both"/>
        <w:rPr>
          <w:rFonts w:ascii="Verdana" w:hAnsi="Verdana"/>
          <w:sz w:val="14"/>
          <w:szCs w:val="14"/>
          <w:lang w:val="es-CO"/>
        </w:rPr>
      </w:pPr>
      <w:r w:rsidRPr="00F2039B">
        <w:rPr>
          <w:rStyle w:val="Refdenotaalpie"/>
          <w:rFonts w:ascii="Verdana" w:hAnsi="Verdana"/>
          <w:sz w:val="14"/>
          <w:szCs w:val="14"/>
        </w:rPr>
        <w:footnoteRef/>
      </w:r>
      <w:r w:rsidRPr="00F2039B">
        <w:rPr>
          <w:rFonts w:ascii="Verdana" w:hAnsi="Verdana"/>
          <w:sz w:val="14"/>
          <w:szCs w:val="14"/>
        </w:rPr>
        <w:t xml:space="preserve">  </w:t>
      </w:r>
      <w:r w:rsidRPr="002D012D">
        <w:rPr>
          <w:rFonts w:ascii="Verdana" w:hAnsi="Verdana"/>
          <w:sz w:val="14"/>
          <w:szCs w:val="14"/>
          <w:lang w:val="es-CO"/>
        </w:rPr>
        <w:t>Artículo 200.</w:t>
      </w:r>
      <w:r w:rsidRPr="002D012D">
        <w:rPr>
          <w:rFonts w:ascii="Verdana" w:hAnsi="Verdana"/>
          <w:i/>
          <w:iCs/>
          <w:sz w:val="14"/>
          <w:szCs w:val="14"/>
          <w:lang w:val="es-CO"/>
        </w:rPr>
        <w:t> Estrategia nacional de lucha contra la corrupción</w:t>
      </w:r>
      <w:r w:rsidRPr="002D012D">
        <w:rPr>
          <w:rFonts w:ascii="Verdana" w:hAnsi="Verdana"/>
          <w:sz w:val="14"/>
          <w:szCs w:val="14"/>
          <w:lang w:val="es-CO"/>
        </w:rPr>
        <w:t>.</w:t>
      </w:r>
      <w:r w:rsidRPr="00F2039B">
        <w:rPr>
          <w:rFonts w:ascii="Verdana" w:hAnsi="Verdana"/>
          <w:sz w:val="14"/>
          <w:szCs w:val="14"/>
          <w:lang w:val="es-CO"/>
        </w:rPr>
        <w:t xml:space="preserve"> Con el propósito de fortalecer las Instituciones democráticas y el Estado Social de Derecho, garantizar la protección de los derechos humanos, proteger los recursos públicos, generar condiciones adecuadas para el desarrollo socioeconómico y proteger el Medio Ambiente, el Gobierno nacional formulará una Estrategia Nacional de Lucha Contra la Corrupción. </w:t>
      </w:r>
    </w:p>
    <w:p w14:paraId="63F8F21C" w14:textId="77777777" w:rsidR="005164F8" w:rsidRPr="00F2039B" w:rsidRDefault="005164F8" w:rsidP="005164F8">
      <w:pPr>
        <w:pStyle w:val="Textonotapie"/>
        <w:ind w:firstLine="709"/>
        <w:jc w:val="both"/>
        <w:rPr>
          <w:rFonts w:ascii="Verdana" w:hAnsi="Verdana"/>
          <w:sz w:val="14"/>
          <w:szCs w:val="14"/>
          <w:lang w:val="es-CO"/>
        </w:rPr>
      </w:pPr>
      <w:r w:rsidRPr="00F2039B">
        <w:rPr>
          <w:rFonts w:ascii="Verdana" w:hAnsi="Verdana"/>
          <w:sz w:val="14"/>
          <w:szCs w:val="14"/>
          <w:lang w:val="es-CO"/>
        </w:rPr>
        <w:t>La Estrategia tendrá como dimensiones la garantía de los derechos humanos, la protección al denunciante, el derecho al acceso a la información pública, el fortalecimiento de la veeduría ciudadana, la transparencia en la contratación y la gestión pública, la innovación pública y la implementación de mecanismos dirigidos a prevenir, detectar, gestionar y sancionar riesgos y hechos de corrupción bajo un enfoque sectorial. </w:t>
      </w:r>
    </w:p>
    <w:p w14:paraId="606D06CB" w14:textId="77777777" w:rsidR="005164F8" w:rsidRPr="00F2039B" w:rsidRDefault="005164F8" w:rsidP="005164F8">
      <w:pPr>
        <w:pStyle w:val="Textonotapie"/>
        <w:ind w:firstLine="709"/>
        <w:jc w:val="both"/>
        <w:rPr>
          <w:rFonts w:ascii="Verdana" w:hAnsi="Verdana"/>
          <w:sz w:val="14"/>
          <w:szCs w:val="14"/>
          <w:lang w:val="es-CO"/>
        </w:rPr>
      </w:pPr>
      <w:r w:rsidRPr="00F2039B">
        <w:rPr>
          <w:rFonts w:ascii="Verdana" w:hAnsi="Verdana"/>
          <w:sz w:val="14"/>
          <w:szCs w:val="14"/>
          <w:lang w:val="es-CO"/>
        </w:rPr>
        <w:t>El Gobierno nacional en cabeza de la Secretaría de Transparencia y las Subcomisiones Técnicas de la Comisión Nacional de Moralización, serán responsables de la coordinación, elaboración y evaluación de la Estrategia Nacional de Lucha contra la corrupción. La Red Nacional de Observatorios Anticorrupción y el Departamento Nacional de Planeación prestarán apoyo técnico para su formulación, monitoreo y seguimiento. </w:t>
      </w:r>
    </w:p>
    <w:p w14:paraId="51AA85CB" w14:textId="77777777" w:rsidR="005164F8" w:rsidRPr="00F2039B" w:rsidRDefault="005164F8" w:rsidP="005164F8">
      <w:pPr>
        <w:pStyle w:val="Textonotapie"/>
        <w:ind w:firstLine="709"/>
        <w:jc w:val="both"/>
        <w:rPr>
          <w:rFonts w:ascii="Verdana" w:hAnsi="Verdana"/>
          <w:sz w:val="14"/>
          <w:szCs w:val="14"/>
          <w:lang w:val="es-CO"/>
        </w:rPr>
      </w:pPr>
      <w:r w:rsidRPr="00F2039B">
        <w:rPr>
          <w:rFonts w:ascii="Verdana" w:hAnsi="Verdana"/>
          <w:sz w:val="14"/>
          <w:szCs w:val="14"/>
          <w:lang w:val="es-CO"/>
        </w:rPr>
        <w:t>En el proceso de formulación de la Estrategia se realizará una evaluación de la capacidad institucional y misional de las entidades públicas, del funcionamiento de las instancias e instrumentos de planeación existentes para la lucha contra la corrupción, y de las debilidades de articulación y coordinación interinstitucional. Así mismo, en el desarrollo de esta estrategia se promoverá la implementación de las disposiciones previstas en la Ley 1712 de 2014 frente al diseño, promoción e implementación de la política pública de acceso a la información pública y la Ley 2195 de 2022 en materia de daño y reparación de los afectados por actos de corrupción, el control y monitoreo constante del riesgo de corrupción, así como la pedagogía para la promoción de la participación ciudadana para la transparencia y lucha contra la corrupción. </w:t>
      </w:r>
    </w:p>
    <w:p w14:paraId="15DB93BE" w14:textId="77777777" w:rsidR="005164F8" w:rsidRPr="00F2039B" w:rsidRDefault="005164F8" w:rsidP="005164F8">
      <w:pPr>
        <w:pStyle w:val="Textonotapie"/>
        <w:ind w:firstLine="709"/>
        <w:jc w:val="both"/>
        <w:rPr>
          <w:rFonts w:ascii="Verdana" w:hAnsi="Verdana"/>
          <w:sz w:val="14"/>
          <w:szCs w:val="14"/>
          <w:lang w:val="es-CO"/>
        </w:rPr>
      </w:pPr>
      <w:r w:rsidRPr="00F2039B">
        <w:rPr>
          <w:rFonts w:ascii="Verdana" w:hAnsi="Verdana"/>
          <w:sz w:val="14"/>
          <w:szCs w:val="14"/>
          <w:lang w:val="es-CO"/>
        </w:rPr>
        <w:t>Parágrafo 1°. En la estrategia se contemplarán los mecanismos para el seguimiento y control de los recursos públicos administrados mediante fondos o patrimonios autónomos. </w:t>
      </w:r>
    </w:p>
    <w:p w14:paraId="23BF8F15" w14:textId="77777777" w:rsidR="005164F8" w:rsidRPr="00F2039B" w:rsidRDefault="005164F8" w:rsidP="005164F8">
      <w:pPr>
        <w:pStyle w:val="Textonotapie"/>
        <w:ind w:firstLine="709"/>
        <w:jc w:val="both"/>
        <w:rPr>
          <w:rFonts w:ascii="Verdana" w:hAnsi="Verdana"/>
          <w:sz w:val="14"/>
          <w:szCs w:val="14"/>
          <w:lang w:val="es-CO"/>
        </w:rPr>
      </w:pPr>
      <w:r w:rsidRPr="00F2039B">
        <w:rPr>
          <w:rFonts w:ascii="Verdana" w:hAnsi="Verdana"/>
          <w:sz w:val="14"/>
          <w:szCs w:val="14"/>
          <w:lang w:val="es-CO"/>
        </w:rPr>
        <w:t>Parágrafo 2°. La Comisión Nacional Ciudadana de Lucha Contra la Corrupción, la Comisión Nacional de Moralización, las Comisiones Regionales de Moralización y las organizaciones de la sociedad civil podrán presentar recomendaciones durante la formulación y evaluación de la Estrategia. </w:t>
      </w:r>
    </w:p>
    <w:p w14:paraId="06E0CECE" w14:textId="77777777" w:rsidR="005164F8" w:rsidRPr="00F2039B" w:rsidRDefault="005164F8" w:rsidP="005164F8">
      <w:pPr>
        <w:pStyle w:val="Textonotapie"/>
        <w:ind w:firstLine="709"/>
        <w:jc w:val="both"/>
        <w:rPr>
          <w:rFonts w:ascii="Verdana" w:hAnsi="Verdana"/>
          <w:sz w:val="14"/>
          <w:szCs w:val="14"/>
          <w:lang w:val="es-CO"/>
        </w:rPr>
      </w:pPr>
      <w:r w:rsidRPr="00F2039B">
        <w:rPr>
          <w:rFonts w:ascii="Verdana" w:hAnsi="Verdana"/>
          <w:sz w:val="14"/>
          <w:szCs w:val="14"/>
          <w:lang w:val="es-CO"/>
        </w:rPr>
        <w:t>Parágrafo 3°. Dentro del año siguiente a la entrada en vigor de la presente ley, el Gobierno nacional formulará y adoptará la Estrategia Nacional de Lucha Contra la Corrupción. </w:t>
      </w:r>
    </w:p>
    <w:p w14:paraId="796A74D2" w14:textId="77777777" w:rsidR="005164F8" w:rsidRPr="00F2039B" w:rsidRDefault="005164F8" w:rsidP="005164F8">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9A5723"/>
    <w:multiLevelType w:val="hybridMultilevel"/>
    <w:tmpl w:val="28AEE5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345279"/>
    <w:multiLevelType w:val="hybridMultilevel"/>
    <w:tmpl w:val="1B7008F6"/>
    <w:lvl w:ilvl="0" w:tplc="23DCEFD0">
      <w:start w:val="1"/>
      <w:numFmt w:val="lowerLetter"/>
      <w:lvlText w:val="%1)"/>
      <w:lvlJc w:val="left"/>
      <w:pPr>
        <w:ind w:left="720" w:hanging="360"/>
      </w:pPr>
      <w:rPr>
        <w:rFonts w:hint="default"/>
        <w:i w:val="0"/>
        <w:iCs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A1A0170"/>
    <w:multiLevelType w:val="multilevel"/>
    <w:tmpl w:val="91EA45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15D6B5C"/>
    <w:multiLevelType w:val="hybridMultilevel"/>
    <w:tmpl w:val="8BE44872"/>
    <w:lvl w:ilvl="0" w:tplc="185E32A0">
      <w:start w:val="1"/>
      <w:numFmt w:val="upp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0"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C94ECB"/>
    <w:multiLevelType w:val="hybridMultilevel"/>
    <w:tmpl w:val="D27A4D02"/>
    <w:lvl w:ilvl="0" w:tplc="C17E85C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5"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F8043F2"/>
    <w:multiLevelType w:val="multilevel"/>
    <w:tmpl w:val="6D049AF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503019D2"/>
    <w:multiLevelType w:val="multilevel"/>
    <w:tmpl w:val="A0404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1" w15:restartNumberingAfterBreak="0">
    <w:nsid w:val="66674C4C"/>
    <w:multiLevelType w:val="hybridMultilevel"/>
    <w:tmpl w:val="9C0E71C8"/>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2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6E33606"/>
    <w:multiLevelType w:val="multilevel"/>
    <w:tmpl w:val="6E9A84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1"/>
  </w:num>
  <w:num w:numId="2">
    <w:abstractNumId w:val="2"/>
  </w:num>
  <w:num w:numId="3">
    <w:abstractNumId w:val="8"/>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24"/>
  </w:num>
  <w:num w:numId="7">
    <w:abstractNumId w:val="10"/>
  </w:num>
  <w:num w:numId="8">
    <w:abstractNumId w:val="23"/>
  </w:num>
  <w:num w:numId="9">
    <w:abstractNumId w:val="13"/>
  </w:num>
  <w:num w:numId="10">
    <w:abstractNumId w:val="22"/>
  </w:num>
  <w:num w:numId="11">
    <w:abstractNumId w:val="15"/>
  </w:num>
  <w:num w:numId="12">
    <w:abstractNumId w:val="1"/>
  </w:num>
  <w:num w:numId="13">
    <w:abstractNumId w:val="7"/>
  </w:num>
  <w:num w:numId="14">
    <w:abstractNumId w:val="25"/>
  </w:num>
  <w:num w:numId="15">
    <w:abstractNumId w:val="20"/>
  </w:num>
  <w:num w:numId="16">
    <w:abstractNumId w:val="0"/>
  </w:num>
  <w:num w:numId="17">
    <w:abstractNumId w:val="16"/>
  </w:num>
  <w:num w:numId="18">
    <w:abstractNumId w:val="5"/>
  </w:num>
  <w:num w:numId="19">
    <w:abstractNumId w:val="12"/>
  </w:num>
  <w:num w:numId="20">
    <w:abstractNumId w:val="14"/>
  </w:num>
  <w:num w:numId="21">
    <w:abstractNumId w:val="9"/>
  </w:num>
  <w:num w:numId="22">
    <w:abstractNumId w:val="21"/>
  </w:num>
  <w:num w:numId="2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num>
  <w:num w:numId="25">
    <w:abstractNumId w:val="19"/>
  </w:num>
  <w:num w:numId="26">
    <w:abstractNumId w:val="17"/>
  </w:num>
  <w:num w:numId="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
  </w:num>
  <w:num w:numId="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715"/>
    <w:rsid w:val="00031E96"/>
    <w:rsid w:val="0003480F"/>
    <w:rsid w:val="00042E11"/>
    <w:rsid w:val="00046945"/>
    <w:rsid w:val="00046C11"/>
    <w:rsid w:val="00061B2A"/>
    <w:rsid w:val="000662CB"/>
    <w:rsid w:val="00082362"/>
    <w:rsid w:val="000907FF"/>
    <w:rsid w:val="000A683E"/>
    <w:rsid w:val="000B19B9"/>
    <w:rsid w:val="000B4FA5"/>
    <w:rsid w:val="000C762A"/>
    <w:rsid w:val="000D0334"/>
    <w:rsid w:val="000D2FED"/>
    <w:rsid w:val="000E1C46"/>
    <w:rsid w:val="000E7AA1"/>
    <w:rsid w:val="000F2222"/>
    <w:rsid w:val="000F6486"/>
    <w:rsid w:val="00103B90"/>
    <w:rsid w:val="00125105"/>
    <w:rsid w:val="00127233"/>
    <w:rsid w:val="0013630D"/>
    <w:rsid w:val="001511A0"/>
    <w:rsid w:val="0015444C"/>
    <w:rsid w:val="00156F3F"/>
    <w:rsid w:val="00183336"/>
    <w:rsid w:val="001939CB"/>
    <w:rsid w:val="00194937"/>
    <w:rsid w:val="001B319A"/>
    <w:rsid w:val="001B6B96"/>
    <w:rsid w:val="001C174F"/>
    <w:rsid w:val="001D1756"/>
    <w:rsid w:val="001E4177"/>
    <w:rsid w:val="001F663F"/>
    <w:rsid w:val="001F7DC6"/>
    <w:rsid w:val="002009FB"/>
    <w:rsid w:val="00203E0B"/>
    <w:rsid w:val="00205479"/>
    <w:rsid w:val="00212642"/>
    <w:rsid w:val="00215206"/>
    <w:rsid w:val="00222AE3"/>
    <w:rsid w:val="00231A37"/>
    <w:rsid w:val="002421BB"/>
    <w:rsid w:val="00242FED"/>
    <w:rsid w:val="00245A1E"/>
    <w:rsid w:val="0025796E"/>
    <w:rsid w:val="002707A2"/>
    <w:rsid w:val="00282E11"/>
    <w:rsid w:val="00286F68"/>
    <w:rsid w:val="002951A0"/>
    <w:rsid w:val="002962BC"/>
    <w:rsid w:val="002A093D"/>
    <w:rsid w:val="002A0DD0"/>
    <w:rsid w:val="002A49AC"/>
    <w:rsid w:val="002A64FD"/>
    <w:rsid w:val="002A7DD8"/>
    <w:rsid w:val="002C0393"/>
    <w:rsid w:val="002C7A84"/>
    <w:rsid w:val="002E4FD9"/>
    <w:rsid w:val="003007B5"/>
    <w:rsid w:val="00302C65"/>
    <w:rsid w:val="00310DA4"/>
    <w:rsid w:val="003210BD"/>
    <w:rsid w:val="00322A85"/>
    <w:rsid w:val="00323054"/>
    <w:rsid w:val="00324168"/>
    <w:rsid w:val="00324E0B"/>
    <w:rsid w:val="003448F4"/>
    <w:rsid w:val="00346217"/>
    <w:rsid w:val="00356999"/>
    <w:rsid w:val="003639A5"/>
    <w:rsid w:val="00374F5E"/>
    <w:rsid w:val="00375A69"/>
    <w:rsid w:val="00377E3E"/>
    <w:rsid w:val="00380918"/>
    <w:rsid w:val="003860F6"/>
    <w:rsid w:val="003A2E2D"/>
    <w:rsid w:val="003A779E"/>
    <w:rsid w:val="003B1736"/>
    <w:rsid w:val="003D0F4D"/>
    <w:rsid w:val="003D2678"/>
    <w:rsid w:val="003D5B0D"/>
    <w:rsid w:val="003E0499"/>
    <w:rsid w:val="003E2F6B"/>
    <w:rsid w:val="003F3941"/>
    <w:rsid w:val="00406575"/>
    <w:rsid w:val="004138FA"/>
    <w:rsid w:val="00414C74"/>
    <w:rsid w:val="0041525F"/>
    <w:rsid w:val="00426213"/>
    <w:rsid w:val="0042722E"/>
    <w:rsid w:val="0044528D"/>
    <w:rsid w:val="0045001C"/>
    <w:rsid w:val="00473696"/>
    <w:rsid w:val="00475AA4"/>
    <w:rsid w:val="00480E56"/>
    <w:rsid w:val="00487F18"/>
    <w:rsid w:val="0049089A"/>
    <w:rsid w:val="00493AF3"/>
    <w:rsid w:val="004A1847"/>
    <w:rsid w:val="004A1F77"/>
    <w:rsid w:val="004A305D"/>
    <w:rsid w:val="004B36AC"/>
    <w:rsid w:val="004B50C2"/>
    <w:rsid w:val="004B682E"/>
    <w:rsid w:val="004B6A47"/>
    <w:rsid w:val="004C63BA"/>
    <w:rsid w:val="004C7829"/>
    <w:rsid w:val="004F06EF"/>
    <w:rsid w:val="004F21C4"/>
    <w:rsid w:val="004F462A"/>
    <w:rsid w:val="004F685F"/>
    <w:rsid w:val="0050790C"/>
    <w:rsid w:val="005164F8"/>
    <w:rsid w:val="0053223E"/>
    <w:rsid w:val="005359FF"/>
    <w:rsid w:val="005566E8"/>
    <w:rsid w:val="0056164A"/>
    <w:rsid w:val="00567040"/>
    <w:rsid w:val="00574867"/>
    <w:rsid w:val="00574F32"/>
    <w:rsid w:val="005760D5"/>
    <w:rsid w:val="005806A6"/>
    <w:rsid w:val="00591460"/>
    <w:rsid w:val="005948AC"/>
    <w:rsid w:val="005A0FA1"/>
    <w:rsid w:val="005B3816"/>
    <w:rsid w:val="005B65F1"/>
    <w:rsid w:val="005C3777"/>
    <w:rsid w:val="005C5CDC"/>
    <w:rsid w:val="005C7DAB"/>
    <w:rsid w:val="005D476C"/>
    <w:rsid w:val="005D6FC4"/>
    <w:rsid w:val="005E69AD"/>
    <w:rsid w:val="00602354"/>
    <w:rsid w:val="0061329B"/>
    <w:rsid w:val="006219F8"/>
    <w:rsid w:val="00631045"/>
    <w:rsid w:val="00637BBF"/>
    <w:rsid w:val="00656A22"/>
    <w:rsid w:val="00665D70"/>
    <w:rsid w:val="00675FED"/>
    <w:rsid w:val="00685502"/>
    <w:rsid w:val="006874D3"/>
    <w:rsid w:val="006900D9"/>
    <w:rsid w:val="006A7425"/>
    <w:rsid w:val="006B2C02"/>
    <w:rsid w:val="006D7121"/>
    <w:rsid w:val="00706C16"/>
    <w:rsid w:val="007108E5"/>
    <w:rsid w:val="0072552A"/>
    <w:rsid w:val="0073141C"/>
    <w:rsid w:val="00747A2A"/>
    <w:rsid w:val="00756841"/>
    <w:rsid w:val="007619EA"/>
    <w:rsid w:val="00763E4A"/>
    <w:rsid w:val="007649AB"/>
    <w:rsid w:val="00771D0C"/>
    <w:rsid w:val="00773148"/>
    <w:rsid w:val="007733E9"/>
    <w:rsid w:val="007833AC"/>
    <w:rsid w:val="00794CF0"/>
    <w:rsid w:val="007A16C2"/>
    <w:rsid w:val="007B268C"/>
    <w:rsid w:val="007B7171"/>
    <w:rsid w:val="007C0C0F"/>
    <w:rsid w:val="007C3DC2"/>
    <w:rsid w:val="007E5497"/>
    <w:rsid w:val="00806F5F"/>
    <w:rsid w:val="00810CF4"/>
    <w:rsid w:val="00820278"/>
    <w:rsid w:val="00826A46"/>
    <w:rsid w:val="008336AA"/>
    <w:rsid w:val="00867F95"/>
    <w:rsid w:val="008843B6"/>
    <w:rsid w:val="00885EDB"/>
    <w:rsid w:val="00891928"/>
    <w:rsid w:val="00894D4F"/>
    <w:rsid w:val="008A30DF"/>
    <w:rsid w:val="008A446D"/>
    <w:rsid w:val="008A5CDB"/>
    <w:rsid w:val="008A65FF"/>
    <w:rsid w:val="008B22D4"/>
    <w:rsid w:val="008B5BD4"/>
    <w:rsid w:val="008D180B"/>
    <w:rsid w:val="008E2432"/>
    <w:rsid w:val="008F0EA7"/>
    <w:rsid w:val="0090373B"/>
    <w:rsid w:val="009144FE"/>
    <w:rsid w:val="00916515"/>
    <w:rsid w:val="00923EEF"/>
    <w:rsid w:val="00926872"/>
    <w:rsid w:val="009419F9"/>
    <w:rsid w:val="009552F8"/>
    <w:rsid w:val="0095685E"/>
    <w:rsid w:val="00961B09"/>
    <w:rsid w:val="00965334"/>
    <w:rsid w:val="00970805"/>
    <w:rsid w:val="0097093E"/>
    <w:rsid w:val="00972BE4"/>
    <w:rsid w:val="00986AC5"/>
    <w:rsid w:val="009A0DFA"/>
    <w:rsid w:val="009A2609"/>
    <w:rsid w:val="009A5D6C"/>
    <w:rsid w:val="009B2D26"/>
    <w:rsid w:val="009C71FA"/>
    <w:rsid w:val="009C72E7"/>
    <w:rsid w:val="009D0270"/>
    <w:rsid w:val="009D3058"/>
    <w:rsid w:val="009E066B"/>
    <w:rsid w:val="009E7558"/>
    <w:rsid w:val="009F3A13"/>
    <w:rsid w:val="009F52CB"/>
    <w:rsid w:val="00A01384"/>
    <w:rsid w:val="00A122D3"/>
    <w:rsid w:val="00A17F13"/>
    <w:rsid w:val="00A20739"/>
    <w:rsid w:val="00A2105A"/>
    <w:rsid w:val="00A24C35"/>
    <w:rsid w:val="00A33C78"/>
    <w:rsid w:val="00A46BDF"/>
    <w:rsid w:val="00A51CB5"/>
    <w:rsid w:val="00A52834"/>
    <w:rsid w:val="00A64017"/>
    <w:rsid w:val="00A67421"/>
    <w:rsid w:val="00A800B4"/>
    <w:rsid w:val="00A936CB"/>
    <w:rsid w:val="00A93F12"/>
    <w:rsid w:val="00AA1003"/>
    <w:rsid w:val="00AA1AB8"/>
    <w:rsid w:val="00AB0ADB"/>
    <w:rsid w:val="00AC19F6"/>
    <w:rsid w:val="00AD1D1F"/>
    <w:rsid w:val="00AF5AD6"/>
    <w:rsid w:val="00AF6E4E"/>
    <w:rsid w:val="00B01B1A"/>
    <w:rsid w:val="00B023E1"/>
    <w:rsid w:val="00B0362B"/>
    <w:rsid w:val="00B0429C"/>
    <w:rsid w:val="00B10334"/>
    <w:rsid w:val="00B13F9B"/>
    <w:rsid w:val="00B23BA1"/>
    <w:rsid w:val="00B2560E"/>
    <w:rsid w:val="00B403F3"/>
    <w:rsid w:val="00B41E30"/>
    <w:rsid w:val="00B45CE8"/>
    <w:rsid w:val="00B460A5"/>
    <w:rsid w:val="00B54B1C"/>
    <w:rsid w:val="00B66319"/>
    <w:rsid w:val="00B72CD3"/>
    <w:rsid w:val="00B72F80"/>
    <w:rsid w:val="00B72FFF"/>
    <w:rsid w:val="00B74C13"/>
    <w:rsid w:val="00B97F61"/>
    <w:rsid w:val="00BA29CE"/>
    <w:rsid w:val="00BA7AA4"/>
    <w:rsid w:val="00BB5A06"/>
    <w:rsid w:val="00BB6CF9"/>
    <w:rsid w:val="00BB7180"/>
    <w:rsid w:val="00BB7335"/>
    <w:rsid w:val="00BB7ECF"/>
    <w:rsid w:val="00BC3D36"/>
    <w:rsid w:val="00BD7F72"/>
    <w:rsid w:val="00BE36F8"/>
    <w:rsid w:val="00C04FB3"/>
    <w:rsid w:val="00C14BFF"/>
    <w:rsid w:val="00C17C49"/>
    <w:rsid w:val="00C203C3"/>
    <w:rsid w:val="00C21F3A"/>
    <w:rsid w:val="00C330EB"/>
    <w:rsid w:val="00C41061"/>
    <w:rsid w:val="00C47F96"/>
    <w:rsid w:val="00C63058"/>
    <w:rsid w:val="00C721CD"/>
    <w:rsid w:val="00C754BE"/>
    <w:rsid w:val="00C76B1C"/>
    <w:rsid w:val="00C84124"/>
    <w:rsid w:val="00C8467B"/>
    <w:rsid w:val="00C846DC"/>
    <w:rsid w:val="00C857E5"/>
    <w:rsid w:val="00C90C14"/>
    <w:rsid w:val="00C91AF4"/>
    <w:rsid w:val="00C9219A"/>
    <w:rsid w:val="00CA01D8"/>
    <w:rsid w:val="00CA6159"/>
    <w:rsid w:val="00CB6357"/>
    <w:rsid w:val="00CB7B40"/>
    <w:rsid w:val="00CC1B26"/>
    <w:rsid w:val="00CC4186"/>
    <w:rsid w:val="00CC5B4B"/>
    <w:rsid w:val="00CD0A5B"/>
    <w:rsid w:val="00CE4121"/>
    <w:rsid w:val="00CE429E"/>
    <w:rsid w:val="00CE66CC"/>
    <w:rsid w:val="00CE685E"/>
    <w:rsid w:val="00D237B8"/>
    <w:rsid w:val="00D32BBA"/>
    <w:rsid w:val="00D423A2"/>
    <w:rsid w:val="00D431A3"/>
    <w:rsid w:val="00D44DAC"/>
    <w:rsid w:val="00D520D8"/>
    <w:rsid w:val="00D52AEA"/>
    <w:rsid w:val="00D53F6E"/>
    <w:rsid w:val="00D63AC2"/>
    <w:rsid w:val="00D7383B"/>
    <w:rsid w:val="00D73921"/>
    <w:rsid w:val="00D75DA2"/>
    <w:rsid w:val="00D80C98"/>
    <w:rsid w:val="00DA231B"/>
    <w:rsid w:val="00DB1CDB"/>
    <w:rsid w:val="00DC366F"/>
    <w:rsid w:val="00DC39FC"/>
    <w:rsid w:val="00DF5254"/>
    <w:rsid w:val="00E10F5E"/>
    <w:rsid w:val="00E16408"/>
    <w:rsid w:val="00E1659F"/>
    <w:rsid w:val="00E20894"/>
    <w:rsid w:val="00E245AB"/>
    <w:rsid w:val="00E25A6A"/>
    <w:rsid w:val="00E2764C"/>
    <w:rsid w:val="00E27F2E"/>
    <w:rsid w:val="00E50AFE"/>
    <w:rsid w:val="00E53417"/>
    <w:rsid w:val="00E75C92"/>
    <w:rsid w:val="00E771DC"/>
    <w:rsid w:val="00E8182D"/>
    <w:rsid w:val="00E8772A"/>
    <w:rsid w:val="00E90F6B"/>
    <w:rsid w:val="00E92C27"/>
    <w:rsid w:val="00E96AE3"/>
    <w:rsid w:val="00EA0E3D"/>
    <w:rsid w:val="00EA3856"/>
    <w:rsid w:val="00EA70F7"/>
    <w:rsid w:val="00EB76B6"/>
    <w:rsid w:val="00EC197C"/>
    <w:rsid w:val="00EC38A7"/>
    <w:rsid w:val="00ED706A"/>
    <w:rsid w:val="00ED7384"/>
    <w:rsid w:val="00EE1AA8"/>
    <w:rsid w:val="00EF204B"/>
    <w:rsid w:val="00EF736C"/>
    <w:rsid w:val="00F04945"/>
    <w:rsid w:val="00F16E96"/>
    <w:rsid w:val="00F2789C"/>
    <w:rsid w:val="00F30C63"/>
    <w:rsid w:val="00F31EDC"/>
    <w:rsid w:val="00F33245"/>
    <w:rsid w:val="00F416A1"/>
    <w:rsid w:val="00F462B3"/>
    <w:rsid w:val="00F47338"/>
    <w:rsid w:val="00F5664F"/>
    <w:rsid w:val="00F666C4"/>
    <w:rsid w:val="00F76AFC"/>
    <w:rsid w:val="00F90546"/>
    <w:rsid w:val="00F94A13"/>
    <w:rsid w:val="00F9591F"/>
    <w:rsid w:val="00F95D89"/>
    <w:rsid w:val="00FA3CFE"/>
    <w:rsid w:val="00FA47C0"/>
    <w:rsid w:val="00FB5DD1"/>
    <w:rsid w:val="00FC13EB"/>
    <w:rsid w:val="00FC2B5D"/>
    <w:rsid w:val="00FC6FA1"/>
    <w:rsid w:val="00FF1449"/>
    <w:rsid w:val="00FF395A"/>
    <w:rsid w:val="00FF49D7"/>
    <w:rsid w:val="052E652F"/>
    <w:rsid w:val="0BB85D00"/>
    <w:rsid w:val="0FDC10B9"/>
    <w:rsid w:val="165E9519"/>
    <w:rsid w:val="1CF8DA07"/>
    <w:rsid w:val="2B779FE3"/>
    <w:rsid w:val="3347E80E"/>
    <w:rsid w:val="372EFF43"/>
    <w:rsid w:val="382536D9"/>
    <w:rsid w:val="471947A3"/>
    <w:rsid w:val="4EFF10BB"/>
    <w:rsid w:val="6EFDAB80"/>
    <w:rsid w:val="79790125"/>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182D"/>
    <w:rPr>
      <w:rFonts w:ascii="Geomanist Light" w:hAnsi="Geomanist Light"/>
      <w:lang w:val="es-ES"/>
    </w:rPr>
  </w:style>
  <w:style w:type="paragraph" w:customStyle="1" w:styleId="Appelnotedebasde">
    <w:name w:val="Appel note de bas de..."/>
    <w:basedOn w:val="Normal"/>
    <w:link w:val="Refdenotaalpie"/>
    <w:uiPriority w:val="99"/>
    <w:rsid w:val="00E8182D"/>
    <w:pPr>
      <w:spacing w:line="240" w:lineRule="exact"/>
    </w:pPr>
    <w:rPr>
      <w:vertAlign w:val="superscript"/>
    </w:rPr>
  </w:style>
  <w:style w:type="character" w:styleId="Refdecomentario">
    <w:name w:val="annotation reference"/>
    <w:basedOn w:val="Fuentedeprrafopredeter"/>
    <w:uiPriority w:val="99"/>
    <w:semiHidden/>
    <w:unhideWhenUsed/>
    <w:rsid w:val="00BA7AA4"/>
    <w:rPr>
      <w:sz w:val="16"/>
      <w:szCs w:val="16"/>
    </w:rPr>
  </w:style>
  <w:style w:type="paragraph" w:styleId="Textocomentario">
    <w:name w:val="annotation text"/>
    <w:basedOn w:val="Normal"/>
    <w:link w:val="TextocomentarioCar"/>
    <w:uiPriority w:val="99"/>
    <w:unhideWhenUsed/>
    <w:rsid w:val="00BA7AA4"/>
    <w:pPr>
      <w:spacing w:line="240" w:lineRule="auto"/>
    </w:pPr>
    <w:rPr>
      <w:sz w:val="20"/>
      <w:szCs w:val="20"/>
    </w:rPr>
  </w:style>
  <w:style w:type="character" w:customStyle="1" w:styleId="TextocomentarioCar">
    <w:name w:val="Texto comentario Car"/>
    <w:basedOn w:val="Fuentedeprrafopredeter"/>
    <w:link w:val="Textocomentario"/>
    <w:uiPriority w:val="99"/>
    <w:rsid w:val="00BA7AA4"/>
    <w:rPr>
      <w:sz w:val="20"/>
      <w:szCs w:val="20"/>
    </w:rPr>
  </w:style>
  <w:style w:type="paragraph" w:styleId="Asuntodelcomentario">
    <w:name w:val="annotation subject"/>
    <w:basedOn w:val="Textocomentario"/>
    <w:next w:val="Textocomentario"/>
    <w:link w:val="AsuntodelcomentarioCar"/>
    <w:uiPriority w:val="99"/>
    <w:semiHidden/>
    <w:unhideWhenUsed/>
    <w:rsid w:val="00BA7AA4"/>
    <w:rPr>
      <w:b/>
      <w:bCs/>
    </w:rPr>
  </w:style>
  <w:style w:type="character" w:customStyle="1" w:styleId="AsuntodelcomentarioCar">
    <w:name w:val="Asunto del comentario Car"/>
    <w:basedOn w:val="TextocomentarioCar"/>
    <w:link w:val="Asuntodelcomentario"/>
    <w:uiPriority w:val="99"/>
    <w:semiHidden/>
    <w:rsid w:val="00BA7AA4"/>
    <w:rPr>
      <w:b/>
      <w:bCs/>
      <w:sz w:val="20"/>
      <w:szCs w:val="20"/>
    </w:rPr>
  </w:style>
  <w:style w:type="paragraph" w:styleId="Textoindependiente">
    <w:name w:val="Body Text"/>
    <w:basedOn w:val="Normal"/>
    <w:link w:val="TextoindependienteCar"/>
    <w:uiPriority w:val="1"/>
    <w:qFormat/>
    <w:rsid w:val="00CE429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E429E"/>
    <w:rPr>
      <w:rFonts w:ascii="Arial" w:eastAsia="Arial" w:hAnsi="Arial" w:cs="Arial"/>
      <w:lang w:val="es-ES"/>
    </w:rPr>
  </w:style>
  <w:style w:type="character" w:styleId="Textoennegrita">
    <w:name w:val="Strong"/>
    <w:basedOn w:val="Fuentedeprrafopredeter"/>
    <w:uiPriority w:val="22"/>
    <w:qFormat/>
    <w:rsid w:val="001D1756"/>
    <w:rPr>
      <w:b/>
      <w:bCs/>
    </w:rPr>
  </w:style>
  <w:style w:type="character" w:customStyle="1" w:styleId="NormalWebCar">
    <w:name w:val="Normal (Web) Car"/>
    <w:link w:val="NormalWeb"/>
    <w:uiPriority w:val="99"/>
    <w:rsid w:val="00480E56"/>
    <w:rPr>
      <w:rFonts w:ascii="Times New Roman" w:eastAsia="Times New Roman" w:hAnsi="Times New Roman" w:cs="Times New Roman"/>
      <w:sz w:val="24"/>
      <w:szCs w:val="24"/>
      <w:lang w:eastAsia="es-CO"/>
    </w:rPr>
  </w:style>
  <w:style w:type="paragraph" w:styleId="Sinespaciado">
    <w:name w:val="No Spacing"/>
    <w:aliases w:val="No Indent"/>
    <w:link w:val="SinespaciadoCar"/>
    <w:uiPriority w:val="3"/>
    <w:qFormat/>
    <w:rsid w:val="001C174F"/>
    <w:pPr>
      <w:spacing w:after="0" w:line="240" w:lineRule="auto"/>
    </w:pPr>
    <w:rPr>
      <w:sz w:val="24"/>
      <w:lang w:val="es-MX"/>
    </w:rPr>
  </w:style>
  <w:style w:type="character" w:customStyle="1" w:styleId="SinespaciadoCar">
    <w:name w:val="Sin espaciado Car"/>
    <w:aliases w:val="No Indent Car"/>
    <w:link w:val="Sinespaciado"/>
    <w:uiPriority w:val="3"/>
    <w:rsid w:val="001C174F"/>
    <w:rPr>
      <w:sz w:val="24"/>
      <w:lang w:val="es-MX"/>
    </w:rPr>
  </w:style>
  <w:style w:type="character" w:customStyle="1" w:styleId="baj">
    <w:name w:val="b_aj"/>
    <w:basedOn w:val="Fuentedeprrafopredeter"/>
    <w:rsid w:val="00FF49D7"/>
  </w:style>
  <w:style w:type="character" w:styleId="nfasis">
    <w:name w:val="Emphasis"/>
    <w:basedOn w:val="Fuentedeprrafopredeter"/>
    <w:uiPriority w:val="20"/>
    <w:qFormat/>
    <w:rsid w:val="00FF49D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iana.reyes@justiciamilitar.gov.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jp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DDA5537-7C51-42CD-BD85-281A9E281B60}">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infopath/2007/PartnerControls"/>
    <ds:schemaRef ds:uri="9d85dbaf-23eb-4e57-a637-93dcacc8b1a1"/>
    <ds:schemaRef ds:uri="http://schemas.microsoft.com/office/2006/metadata/properties"/>
    <ds:schemaRef ds:uri="http://schemas.microsoft.com/office/2006/documentManagement/types"/>
    <ds:schemaRef ds:uri="http://purl.org/dc/elements/1.1/"/>
    <ds:schemaRef ds:uri="http://www.w3.org/XML/1998/namespace"/>
    <ds:schemaRef ds:uri="http://purl.org/dc/dcmitype/"/>
    <ds:schemaRef ds:uri="http://schemas.openxmlformats.org/package/2006/metadata/core-properties"/>
    <ds:schemaRef ds:uri="a6cb9e4b-f1d1-4245-83ec-6cad768d538a"/>
    <ds:schemaRef ds:uri="http://purl.org/dc/terms/"/>
  </ds:schemaRefs>
</ds:datastoreItem>
</file>

<file path=customXml/itemProps4.xml><?xml version="1.0" encoding="utf-8"?>
<ds:datastoreItem xmlns:ds="http://schemas.openxmlformats.org/officeDocument/2006/customXml" ds:itemID="{BC5C8715-0D8D-4F73-8CAC-5B187CDEC7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5104</Words>
  <Characters>28078</Characters>
  <Application>Microsoft Office Word</Application>
  <DocSecurity>0</DocSecurity>
  <Lines>233</Lines>
  <Paragraphs>66</Paragraphs>
  <ScaleCrop>false</ScaleCrop>
  <Company/>
  <LinksUpToDate>false</LinksUpToDate>
  <CharactersWithSpaces>33116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2025-10-16T13:40:00Z</dcterms:created>
  <dcterms:modified xsi:type="dcterms:W3CDTF">2025-10-16T13:40:00Z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