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388FF4" w14:textId="77777777" w:rsidR="00443ADE" w:rsidRPr="00CC45AD" w:rsidRDefault="00443ADE" w:rsidP="00443ADE">
      <w:pPr>
        <w:spacing w:after="0"/>
        <w:jc w:val="both"/>
        <w:rPr>
          <w:rFonts w:ascii="Verdana" w:hAnsi="Verdana"/>
        </w:rPr>
      </w:pPr>
      <w:bookmarkStart w:id="0" w:name="_Hlk143780582"/>
      <w:r w:rsidRPr="00D72D95">
        <w:rPr>
          <w:rFonts w:ascii="Verdana" w:eastAsia="Calibri" w:hAnsi="Verdana" w:cs="Arial"/>
          <w:b/>
          <w:bCs/>
          <w:lang w:val="es-ES" w:eastAsia="es-ES"/>
        </w:rPr>
        <w:t>SUBSANABILIDAD – Aplicación – R</w:t>
      </w:r>
      <w:r w:rsidRPr="00D72D95">
        <w:rPr>
          <w:rFonts w:ascii="Verdana" w:eastAsia="Calibri" w:hAnsi="Verdana"/>
          <w:b/>
          <w:bCs/>
          <w:lang w:val="es-ES" w:eastAsia="es-ES"/>
        </w:rPr>
        <w:t>egla general</w:t>
      </w:r>
      <w:r w:rsidRPr="00D72D95">
        <w:rPr>
          <w:rFonts w:ascii="Verdana" w:eastAsia="Calibri" w:hAnsi="Verdana" w:cs="Arial"/>
          <w:b/>
          <w:bCs/>
          <w:lang w:val="es-ES" w:eastAsia="es-ES"/>
        </w:rPr>
        <w:t xml:space="preserve"> – Excepciones </w:t>
      </w:r>
    </w:p>
    <w:p w14:paraId="7AF7529D" w14:textId="77777777" w:rsidR="00443ADE" w:rsidRPr="00D72D95" w:rsidRDefault="00443ADE" w:rsidP="00443ADE">
      <w:pPr>
        <w:tabs>
          <w:tab w:val="left" w:pos="426"/>
        </w:tabs>
        <w:spacing w:after="0" w:line="240" w:lineRule="auto"/>
        <w:jc w:val="both"/>
        <w:rPr>
          <w:rFonts w:ascii="Verdana" w:hAnsi="Verdana" w:cs="Arial"/>
          <w:b/>
          <w:sz w:val="20"/>
          <w:szCs w:val="20"/>
          <w:lang w:eastAsia="es-CO"/>
        </w:rPr>
      </w:pPr>
    </w:p>
    <w:p w14:paraId="7D293C1B" w14:textId="77777777" w:rsidR="00443ADE" w:rsidRDefault="00443ADE" w:rsidP="00443ADE">
      <w:pPr>
        <w:spacing w:after="0" w:line="240" w:lineRule="auto"/>
        <w:jc w:val="both"/>
        <w:rPr>
          <w:rFonts w:ascii="Verdana" w:hAnsi="Verdana" w:cs="Arial"/>
          <w:bCs/>
          <w:sz w:val="20"/>
          <w:szCs w:val="20"/>
          <w:lang w:eastAsia="es-CO"/>
        </w:rPr>
      </w:pPr>
      <w:r w:rsidRPr="00703DEE">
        <w:rPr>
          <w:rFonts w:ascii="Verdana" w:hAnsi="Verdana" w:cs="Arial"/>
          <w:bCs/>
          <w:sz w:val="20"/>
          <w:szCs w:val="20"/>
          <w:lang w:eastAsia="es-CO"/>
        </w:rPr>
        <w:t xml:space="preserve">La regla de la </w:t>
      </w:r>
      <w:proofErr w:type="spellStart"/>
      <w:r w:rsidRPr="00703DEE">
        <w:rPr>
          <w:rFonts w:ascii="Verdana" w:hAnsi="Verdana" w:cs="Arial"/>
          <w:bCs/>
          <w:sz w:val="20"/>
          <w:szCs w:val="20"/>
          <w:lang w:eastAsia="es-CO"/>
        </w:rPr>
        <w:t>subsanabilidad</w:t>
      </w:r>
      <w:proofErr w:type="spellEnd"/>
      <w:r w:rsidRPr="00703DEE">
        <w:rPr>
          <w:rFonts w:ascii="Verdana" w:hAnsi="Verdana" w:cs="Arial"/>
          <w:bCs/>
          <w:sz w:val="20"/>
          <w:szCs w:val="20"/>
          <w:lang w:eastAsia="es-CO"/>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31F3C761" w14:textId="77777777" w:rsidR="00443ADE" w:rsidRPr="002E5295" w:rsidRDefault="00443ADE" w:rsidP="00443ADE">
      <w:pPr>
        <w:spacing w:after="0" w:line="240" w:lineRule="auto"/>
        <w:jc w:val="both"/>
        <w:rPr>
          <w:rFonts w:ascii="Verdana" w:hAnsi="Verdana" w:cs="Arial"/>
          <w:bCs/>
          <w:sz w:val="20"/>
          <w:szCs w:val="20"/>
          <w:lang w:val="es-ES_tradnl" w:eastAsia="es-CO"/>
        </w:rPr>
      </w:pPr>
    </w:p>
    <w:p w14:paraId="7034998B" w14:textId="77777777" w:rsidR="00443ADE" w:rsidRPr="00914070" w:rsidRDefault="00443ADE" w:rsidP="00443ADE">
      <w:pPr>
        <w:spacing w:after="0" w:line="240" w:lineRule="auto"/>
        <w:jc w:val="both"/>
        <w:rPr>
          <w:rFonts w:ascii="Verdana" w:eastAsia="Calibri" w:hAnsi="Verdana" w:cs="Arial"/>
          <w:b/>
          <w:bCs/>
          <w:lang w:val="es-ES" w:eastAsia="es-ES"/>
        </w:rPr>
      </w:pPr>
      <w:r w:rsidRPr="00914070">
        <w:rPr>
          <w:rFonts w:ascii="Verdana" w:eastAsia="Calibri" w:hAnsi="Verdana" w:cs="Arial"/>
          <w:b/>
          <w:bCs/>
          <w:lang w:val="es-ES" w:eastAsia="es-ES"/>
        </w:rPr>
        <w:t>SUBSANABILIDAD – Ley 1882 de 2018</w:t>
      </w:r>
    </w:p>
    <w:p w14:paraId="2CF36A60" w14:textId="77777777" w:rsidR="00443ADE" w:rsidRDefault="00443ADE" w:rsidP="00443ADE">
      <w:pPr>
        <w:spacing w:after="0" w:line="240" w:lineRule="auto"/>
        <w:jc w:val="both"/>
        <w:rPr>
          <w:rFonts w:ascii="Verdana" w:eastAsia="Times New Roman" w:hAnsi="Verdana" w:cs="Arial"/>
          <w:lang w:val="es-ES" w:eastAsia="es-ES_tradnl"/>
        </w:rPr>
      </w:pPr>
    </w:p>
    <w:p w14:paraId="1144A88A" w14:textId="77777777" w:rsidR="00443ADE" w:rsidRPr="00703DEE" w:rsidRDefault="00443ADE" w:rsidP="00443ADE">
      <w:pPr>
        <w:spacing w:after="0" w:line="240" w:lineRule="auto"/>
        <w:jc w:val="both"/>
        <w:rPr>
          <w:rFonts w:ascii="Verdana" w:hAnsi="Verdana" w:cs="Arial"/>
          <w:bCs/>
          <w:sz w:val="20"/>
          <w:szCs w:val="20"/>
          <w:lang w:eastAsia="es-CO"/>
        </w:rPr>
      </w:pPr>
      <w:r w:rsidRPr="00703DEE">
        <w:rPr>
          <w:rFonts w:ascii="Verdana" w:hAnsi="Verdana" w:cs="Arial"/>
          <w:bCs/>
          <w:sz w:val="20"/>
          <w:szCs w:val="20"/>
          <w:lang w:eastAsia="es-CO"/>
        </w:rPr>
        <w:t xml:space="preserve">[…] </w:t>
      </w:r>
      <w:r w:rsidRPr="00703DEE">
        <w:rPr>
          <w:rFonts w:ascii="Verdana" w:eastAsia="Times New Roman" w:hAnsi="Verdana" w:cs="Arial"/>
          <w:sz w:val="20"/>
          <w:szCs w:val="20"/>
          <w:lang w:val="es-ES" w:eastAsia="es-ES"/>
        </w:rPr>
        <w:t xml:space="preserve">la Ley 1882 de 2018: i) mantiene el criterio de la Ley 80 de 1993, relativo a que todo lo que no sea necesario para la comparación de propuestas no es título suficiente para su rechazo; </w:t>
      </w:r>
      <w:proofErr w:type="spellStart"/>
      <w:r w:rsidRPr="00703DEE">
        <w:rPr>
          <w:rFonts w:ascii="Verdana" w:eastAsia="Times New Roman" w:hAnsi="Verdana" w:cs="Arial"/>
          <w:sz w:val="20"/>
          <w:szCs w:val="20"/>
          <w:lang w:val="es-ES" w:eastAsia="es-ES"/>
        </w:rPr>
        <w:t>ii</w:t>
      </w:r>
      <w:proofErr w:type="spellEnd"/>
      <w:r w:rsidRPr="00703DEE">
        <w:rPr>
          <w:rFonts w:ascii="Verdana" w:eastAsia="Times New Roman" w:hAnsi="Verdana" w:cs="Arial"/>
          <w:sz w:val="20"/>
          <w:szCs w:val="20"/>
          <w:lang w:val="es-ES" w:eastAsia="es-ES"/>
        </w:rPr>
        <w:t xml:space="preserve">) mantiene el criterio aclaratorio de la Ley 1150 de 2007, según el cual todo lo que no afecte la asignación de puntaje puede subsanarse; y, </w:t>
      </w:r>
      <w:proofErr w:type="spellStart"/>
      <w:r w:rsidRPr="00703DEE">
        <w:rPr>
          <w:rFonts w:ascii="Verdana" w:eastAsia="Times New Roman" w:hAnsi="Verdana" w:cs="Arial"/>
          <w:sz w:val="20"/>
          <w:szCs w:val="20"/>
          <w:lang w:val="es-ES" w:eastAsia="es-ES"/>
        </w:rPr>
        <w:t>iii</w:t>
      </w:r>
      <w:proofErr w:type="spellEnd"/>
      <w:r w:rsidRPr="00703DEE">
        <w:rPr>
          <w:rFonts w:ascii="Verdana" w:eastAsia="Times New Roman" w:hAnsi="Verdana" w:cs="Arial"/>
          <w:sz w:val="20"/>
          <w:szCs w:val="20"/>
          <w:lang w:val="es-ES" w:eastAsia="es-ES"/>
        </w:rPr>
        <w:t>) introduce modificaciones en relación con algunos aspectos que se analizarán a continuación.</w:t>
      </w:r>
    </w:p>
    <w:p w14:paraId="12026A70" w14:textId="77777777" w:rsidR="00443ADE" w:rsidRPr="008D5D4A" w:rsidRDefault="00443ADE" w:rsidP="00443ADE">
      <w:pPr>
        <w:spacing w:after="0" w:line="240" w:lineRule="auto"/>
        <w:jc w:val="both"/>
        <w:rPr>
          <w:rFonts w:ascii="Verdana" w:eastAsia="Calibri" w:hAnsi="Verdana" w:cs="Arial"/>
          <w:b/>
          <w:bCs/>
          <w:lang w:eastAsia="es-ES"/>
        </w:rPr>
      </w:pPr>
    </w:p>
    <w:p w14:paraId="01B9F5ED" w14:textId="77777777" w:rsidR="00443ADE" w:rsidRDefault="00443ADE" w:rsidP="00443ADE">
      <w:pPr>
        <w:spacing w:after="0" w:line="276" w:lineRule="auto"/>
        <w:jc w:val="both"/>
        <w:rPr>
          <w:rFonts w:ascii="Verdana" w:eastAsia="Calibri" w:hAnsi="Verdana" w:cs="Arial"/>
          <w:b/>
          <w:bCs/>
          <w:color w:val="000000" w:themeColor="text1"/>
        </w:rPr>
      </w:pPr>
      <w:r w:rsidRPr="00AD0922">
        <w:rPr>
          <w:rFonts w:ascii="Verdana" w:eastAsia="Calibri" w:hAnsi="Verdana" w:cs="Arial"/>
          <w:b/>
          <w:bCs/>
          <w:color w:val="000000" w:themeColor="text1"/>
        </w:rPr>
        <w:t xml:space="preserve">SUBSANABILIDAD – </w:t>
      </w:r>
      <w:r>
        <w:rPr>
          <w:rFonts w:ascii="Verdana" w:eastAsia="Calibri" w:hAnsi="Verdana" w:cs="Arial"/>
          <w:b/>
          <w:bCs/>
          <w:color w:val="000000" w:themeColor="text1"/>
        </w:rPr>
        <w:t xml:space="preserve">Circunstancias posteriores – Cierre del proceso – </w:t>
      </w:r>
      <w:r w:rsidRPr="00AD0922">
        <w:rPr>
          <w:rFonts w:ascii="Verdana" w:eastAsia="Calibri" w:hAnsi="Verdana" w:cs="Arial"/>
          <w:b/>
          <w:bCs/>
          <w:color w:val="000000" w:themeColor="text1"/>
        </w:rPr>
        <w:t xml:space="preserve">Prueba – Oportunidad – Autorizaciones </w:t>
      </w:r>
    </w:p>
    <w:p w14:paraId="561C3128" w14:textId="77777777" w:rsidR="00443ADE" w:rsidRPr="00AD0922" w:rsidRDefault="00443ADE" w:rsidP="00443ADE">
      <w:pPr>
        <w:spacing w:after="0" w:line="276" w:lineRule="auto"/>
        <w:jc w:val="both"/>
        <w:rPr>
          <w:rFonts w:ascii="Verdana" w:hAnsi="Verdana"/>
          <w:color w:val="000000" w:themeColor="text1"/>
          <w:lang w:val="es-ES_tradnl"/>
        </w:rPr>
      </w:pPr>
    </w:p>
    <w:p w14:paraId="12969DE2" w14:textId="77777777" w:rsidR="00443ADE" w:rsidRPr="00AD0922" w:rsidRDefault="00443ADE" w:rsidP="00443ADE">
      <w:pPr>
        <w:spacing w:after="0" w:line="240" w:lineRule="auto"/>
        <w:jc w:val="both"/>
        <w:rPr>
          <w:rFonts w:ascii="Verdana" w:hAnsi="Verdana"/>
          <w:color w:val="000000" w:themeColor="text1"/>
          <w:sz w:val="20"/>
          <w:szCs w:val="20"/>
          <w:lang w:val="es-ES"/>
        </w:rPr>
      </w:pPr>
      <w:r>
        <w:rPr>
          <w:rFonts w:ascii="Verdana" w:hAnsi="Verdana"/>
          <w:color w:val="000000" w:themeColor="text1"/>
          <w:sz w:val="20"/>
          <w:szCs w:val="20"/>
          <w:lang w:val="es-ES"/>
        </w:rPr>
        <w:t xml:space="preserve">[…] </w:t>
      </w:r>
      <w:r w:rsidRPr="00703DEE">
        <w:rPr>
          <w:rFonts w:ascii="Verdana" w:hAnsi="Verdana"/>
          <w:color w:val="000000" w:themeColor="text1"/>
          <w:sz w:val="20"/>
          <w:szCs w:val="20"/>
          <w:lang w:val="es-ES"/>
        </w:rPr>
        <w:t>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14:paraId="3733A31F" w14:textId="77777777" w:rsidR="00443ADE" w:rsidRPr="00AD0922" w:rsidRDefault="00443ADE" w:rsidP="00443ADE">
      <w:pPr>
        <w:spacing w:after="0" w:line="240" w:lineRule="auto"/>
        <w:jc w:val="both"/>
        <w:rPr>
          <w:rFonts w:ascii="Verdana" w:hAnsi="Verdana"/>
          <w:color w:val="000000" w:themeColor="text1"/>
          <w:sz w:val="20"/>
          <w:szCs w:val="20"/>
          <w:lang w:val="es-ES_tradnl"/>
        </w:rPr>
      </w:pPr>
      <w:r w:rsidRPr="00AD0922">
        <w:rPr>
          <w:rFonts w:ascii="Verdana" w:hAnsi="Verdana"/>
          <w:color w:val="000000" w:themeColor="text1"/>
          <w:sz w:val="20"/>
          <w:szCs w:val="20"/>
          <w:lang w:val="es-ES_tradnl"/>
        </w:rPr>
        <w:t>[…]</w:t>
      </w:r>
    </w:p>
    <w:p w14:paraId="5305A2B2" w14:textId="77777777" w:rsidR="00443ADE" w:rsidRPr="00AD0922" w:rsidRDefault="00443ADE" w:rsidP="00443ADE">
      <w:pPr>
        <w:spacing w:after="0" w:line="240" w:lineRule="auto"/>
        <w:jc w:val="both"/>
        <w:rPr>
          <w:rFonts w:ascii="Verdana" w:hAnsi="Verdana"/>
          <w:color w:val="000000" w:themeColor="text1"/>
          <w:sz w:val="20"/>
          <w:szCs w:val="20"/>
          <w:lang w:val="es-ES"/>
        </w:rPr>
      </w:pPr>
      <w:r w:rsidRPr="00703DEE">
        <w:rPr>
          <w:rFonts w:ascii="Verdana" w:hAnsi="Verdana"/>
          <w:color w:val="000000" w:themeColor="text1"/>
          <w:sz w:val="20"/>
          <w:szCs w:val="20"/>
          <w:lang w:val="es-ES"/>
        </w:rPr>
        <w:t xml:space="preserve">Por lo tanto,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 Sobre el particular, corresponderá a la entidad estatal adoptar las actuaciones necesarias, una vez subsanado el respectivo documento, para que este sea tenido en cuenta dentro del proceso de contratación en la forma en que corresponda.  </w:t>
      </w:r>
    </w:p>
    <w:p w14:paraId="1A3F569D" w14:textId="77777777" w:rsidR="00443ADE" w:rsidRDefault="00443ADE" w:rsidP="00443ADE">
      <w:pPr>
        <w:spacing w:after="0"/>
        <w:rPr>
          <w:rFonts w:ascii="Verdana" w:hAnsi="Verdana"/>
        </w:rPr>
      </w:pPr>
    </w:p>
    <w:p w14:paraId="0AEA979C" w14:textId="77777777" w:rsidR="00443ADE" w:rsidRDefault="00443ADE" w:rsidP="00443ADE">
      <w:pPr>
        <w:spacing w:after="0"/>
        <w:rPr>
          <w:rFonts w:ascii="Verdana" w:hAnsi="Verdana"/>
        </w:rPr>
      </w:pPr>
    </w:p>
    <w:p w14:paraId="64C6F597" w14:textId="77777777" w:rsidR="00443ADE" w:rsidRDefault="00443ADE" w:rsidP="00443ADE">
      <w:pPr>
        <w:spacing w:after="0"/>
        <w:rPr>
          <w:rFonts w:ascii="Verdana" w:hAnsi="Verdana"/>
        </w:rPr>
      </w:pPr>
    </w:p>
    <w:p w14:paraId="3FC88B5B" w14:textId="77777777" w:rsidR="00443ADE" w:rsidRDefault="00443ADE" w:rsidP="00443ADE">
      <w:pPr>
        <w:spacing w:after="0"/>
        <w:rPr>
          <w:rFonts w:ascii="Verdana" w:hAnsi="Verdana"/>
        </w:rPr>
      </w:pPr>
    </w:p>
    <w:p w14:paraId="0B96F24F" w14:textId="77777777" w:rsidR="00443ADE" w:rsidRDefault="00443ADE" w:rsidP="00443ADE">
      <w:pPr>
        <w:spacing w:after="0"/>
        <w:rPr>
          <w:rFonts w:ascii="Verdana" w:hAnsi="Verdana"/>
        </w:rPr>
      </w:pPr>
    </w:p>
    <w:p w14:paraId="38DA88C8" w14:textId="77777777" w:rsidR="00443ADE" w:rsidRDefault="00443ADE" w:rsidP="00443ADE">
      <w:pPr>
        <w:spacing w:after="0"/>
        <w:rPr>
          <w:rFonts w:ascii="Verdana" w:hAnsi="Verdana"/>
        </w:rPr>
      </w:pPr>
    </w:p>
    <w:p w14:paraId="3F1CCE66" w14:textId="77777777" w:rsidR="005A6AFF" w:rsidRDefault="005A6AFF" w:rsidP="00443ADE">
      <w:pPr>
        <w:spacing w:after="0"/>
        <w:rPr>
          <w:rFonts w:ascii="Verdana" w:hAnsi="Verdana"/>
        </w:rPr>
      </w:pPr>
    </w:p>
    <w:p w14:paraId="25A5B52D" w14:textId="77777777" w:rsidR="005A6AFF" w:rsidRDefault="005A6AFF" w:rsidP="00443ADE">
      <w:pPr>
        <w:spacing w:after="0"/>
        <w:rPr>
          <w:rFonts w:ascii="Verdana" w:hAnsi="Verdana"/>
        </w:rPr>
      </w:pPr>
    </w:p>
    <w:p w14:paraId="32BE3075" w14:textId="6E7C6862" w:rsidR="00443ADE" w:rsidRDefault="00443ADE" w:rsidP="00443ADE">
      <w:pPr>
        <w:spacing w:after="0"/>
        <w:rPr>
          <w:rFonts w:ascii="Verdana" w:hAnsi="Verdana"/>
        </w:rPr>
      </w:pPr>
      <w:r w:rsidRPr="0044528D">
        <w:rPr>
          <w:rFonts w:ascii="Verdana" w:hAnsi="Verdana"/>
        </w:rPr>
        <w:t xml:space="preserve">Bogotá D.C., </w:t>
      </w:r>
      <w:r w:rsidR="005A6AFF">
        <w:rPr>
          <w:rFonts w:ascii="Verdana" w:hAnsi="Verdana"/>
        </w:rPr>
        <w:t>0</w:t>
      </w:r>
      <w:r w:rsidR="00D035BC">
        <w:rPr>
          <w:rFonts w:ascii="Verdana" w:hAnsi="Verdana"/>
        </w:rPr>
        <w:t>9</w:t>
      </w:r>
      <w:r>
        <w:rPr>
          <w:rFonts w:ascii="Verdana" w:hAnsi="Verdana"/>
        </w:rPr>
        <w:t xml:space="preserve"> </w:t>
      </w:r>
      <w:r w:rsidR="005A6AFF">
        <w:rPr>
          <w:rFonts w:ascii="Verdana" w:hAnsi="Verdana"/>
        </w:rPr>
        <w:t xml:space="preserve">de </w:t>
      </w:r>
      <w:proofErr w:type="gramStart"/>
      <w:r w:rsidR="005A6AFF">
        <w:rPr>
          <w:rFonts w:ascii="Verdana" w:hAnsi="Verdana"/>
        </w:rPr>
        <w:t>Octubre</w:t>
      </w:r>
      <w:proofErr w:type="gramEnd"/>
      <w:r w:rsidR="005A6AFF">
        <w:rPr>
          <w:rFonts w:ascii="Verdana" w:hAnsi="Verdana"/>
        </w:rPr>
        <w:t xml:space="preserve"> </w:t>
      </w:r>
      <w:r w:rsidR="001069F1">
        <w:rPr>
          <w:rFonts w:ascii="Verdana" w:hAnsi="Verdana"/>
        </w:rPr>
        <w:t>de 2025</w:t>
      </w:r>
    </w:p>
    <w:p w14:paraId="586E2EF2" w14:textId="77777777" w:rsidR="00D035BC" w:rsidRDefault="00D035BC" w:rsidP="00443ADE">
      <w:pPr>
        <w:spacing w:after="0"/>
        <w:rPr>
          <w:rFonts w:ascii="Verdana" w:hAnsi="Verdana"/>
        </w:rPr>
      </w:pPr>
    </w:p>
    <w:p w14:paraId="4555BD23" w14:textId="0CA5B75E" w:rsidR="00443ADE" w:rsidRDefault="00D035BC" w:rsidP="00D035BC">
      <w:pPr>
        <w:spacing w:after="0"/>
        <w:ind w:left="3540"/>
        <w:rPr>
          <w:rFonts w:ascii="Verdana" w:hAnsi="Verdana"/>
        </w:rPr>
      </w:pPr>
      <w:r>
        <w:rPr>
          <w:rFonts w:ascii="Verdana" w:hAnsi="Verdana"/>
        </w:rPr>
        <w:t xml:space="preserve"> </w:t>
      </w:r>
      <w:r>
        <w:rPr>
          <w:noProof/>
        </w:rPr>
        <w:drawing>
          <wp:inline distT="0" distB="0" distL="0" distR="0" wp14:anchorId="4C783989" wp14:editId="3B4412F0">
            <wp:extent cx="2838450" cy="704850"/>
            <wp:effectExtent l="0" t="0" r="0" b="0"/>
            <wp:docPr id="4424989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498971" name=""/>
                    <pic:cNvPicPr/>
                  </pic:nvPicPr>
                  <pic:blipFill>
                    <a:blip r:embed="rId10"/>
                    <a:stretch>
                      <a:fillRect/>
                    </a:stretch>
                  </pic:blipFill>
                  <pic:spPr>
                    <a:xfrm>
                      <a:off x="0" y="0"/>
                      <a:ext cx="2838450" cy="704850"/>
                    </a:xfrm>
                    <a:prstGeom prst="rect">
                      <a:avLst/>
                    </a:prstGeom>
                  </pic:spPr>
                </pic:pic>
              </a:graphicData>
            </a:graphic>
          </wp:inline>
        </w:drawing>
      </w:r>
    </w:p>
    <w:p w14:paraId="62529CE8" w14:textId="7B15ED5B" w:rsidR="00443ADE" w:rsidRDefault="00443ADE" w:rsidP="00443ADE">
      <w:pPr>
        <w:spacing w:after="0" w:line="240" w:lineRule="auto"/>
        <w:jc w:val="both"/>
        <w:rPr>
          <w:rFonts w:ascii="Verdana" w:eastAsia="Calibri" w:hAnsi="Verdana" w:cs="Arial"/>
          <w:lang w:val="es-ES" w:eastAsia="es-ES"/>
        </w:rPr>
      </w:pPr>
      <w:r w:rsidRPr="0063746A">
        <w:rPr>
          <w:rFonts w:ascii="Verdana" w:eastAsia="Calibri" w:hAnsi="Verdana" w:cs="Arial"/>
          <w:lang w:val="es-ES" w:eastAsia="es-ES"/>
        </w:rPr>
        <w:t>Señor</w:t>
      </w:r>
      <w:r w:rsidR="009A4FD2">
        <w:rPr>
          <w:rFonts w:ascii="Verdana" w:eastAsia="Calibri" w:hAnsi="Verdana" w:cs="Arial"/>
          <w:lang w:val="es-ES" w:eastAsia="es-ES"/>
        </w:rPr>
        <w:t>a</w:t>
      </w:r>
    </w:p>
    <w:p w14:paraId="165A6DF0" w14:textId="02CCAAA8" w:rsidR="00443ADE" w:rsidRDefault="001069F1" w:rsidP="00443ADE">
      <w:pPr>
        <w:spacing w:after="0" w:line="240" w:lineRule="auto"/>
        <w:jc w:val="both"/>
        <w:rPr>
          <w:rFonts w:ascii="Verdana" w:eastAsia="Calibri" w:hAnsi="Verdana" w:cs="Arial"/>
          <w:b/>
          <w:bCs/>
          <w:lang w:val="es-ES" w:eastAsia="es-ES"/>
        </w:rPr>
      </w:pPr>
      <w:proofErr w:type="spellStart"/>
      <w:r>
        <w:rPr>
          <w:rFonts w:ascii="Verdana" w:eastAsia="Calibri" w:hAnsi="Verdana" w:cs="Arial"/>
          <w:b/>
          <w:bCs/>
          <w:lang w:val="es-ES" w:eastAsia="es-ES"/>
        </w:rPr>
        <w:t>Givanna</w:t>
      </w:r>
      <w:proofErr w:type="spellEnd"/>
      <w:r>
        <w:rPr>
          <w:rFonts w:ascii="Verdana" w:eastAsia="Calibri" w:hAnsi="Verdana" w:cs="Arial"/>
          <w:b/>
          <w:bCs/>
          <w:lang w:val="es-ES" w:eastAsia="es-ES"/>
        </w:rPr>
        <w:t xml:space="preserve"> Dolores Freile Zambrano</w:t>
      </w:r>
    </w:p>
    <w:p w14:paraId="3AE894CC" w14:textId="46C7C9C3" w:rsidR="001069F1" w:rsidRDefault="00A87711" w:rsidP="00443ADE">
      <w:pPr>
        <w:spacing w:after="0" w:line="240" w:lineRule="auto"/>
        <w:jc w:val="both"/>
        <w:rPr>
          <w:rFonts w:ascii="Verdana" w:eastAsia="Calibri" w:hAnsi="Verdana" w:cs="Arial"/>
          <w:b/>
          <w:bCs/>
          <w:lang w:val="es-ES" w:eastAsia="es-ES"/>
        </w:rPr>
      </w:pPr>
      <w:hyperlink r:id="rId11" w:history="1">
        <w:r w:rsidR="00074C6E" w:rsidRPr="00074C6E">
          <w:rPr>
            <w:rFonts w:ascii="Verdana" w:eastAsia="Calibri" w:hAnsi="Verdana" w:cs="Arial"/>
            <w:b/>
            <w:bCs/>
            <w:lang w:val="es-ES" w:eastAsia="es-ES"/>
          </w:rPr>
          <w:t>abogadagivannafreole@gmail.com</w:t>
        </w:r>
      </w:hyperlink>
    </w:p>
    <w:p w14:paraId="26385B1E" w14:textId="526339A7" w:rsidR="00443ADE" w:rsidRPr="0063746A" w:rsidRDefault="00074C6E" w:rsidP="00443ADE">
      <w:pPr>
        <w:spacing w:after="0" w:line="240" w:lineRule="auto"/>
        <w:rPr>
          <w:rFonts w:ascii="Verdana" w:eastAsia="Calibri" w:hAnsi="Verdana" w:cs="Arial"/>
          <w:b/>
          <w:bCs/>
          <w:lang w:val="es-ES" w:eastAsia="es-ES"/>
        </w:rPr>
      </w:pPr>
      <w:r>
        <w:rPr>
          <w:rFonts w:ascii="Verdana" w:eastAsia="Calibri" w:hAnsi="Verdana" w:cs="Arial"/>
          <w:b/>
          <w:bCs/>
          <w:lang w:val="es-ES" w:eastAsia="es-ES"/>
        </w:rPr>
        <w:t>Bogotá D.C.</w:t>
      </w:r>
    </w:p>
    <w:p w14:paraId="5B0C59F3" w14:textId="77777777" w:rsidR="00443ADE" w:rsidRPr="0063746A" w:rsidRDefault="00443ADE" w:rsidP="00443ADE">
      <w:pPr>
        <w:spacing w:after="0" w:line="240" w:lineRule="auto"/>
        <w:rPr>
          <w:rFonts w:ascii="Verdana" w:eastAsia="Calibri" w:hAnsi="Verdana" w:cs="Arial"/>
          <w:b/>
          <w:bCs/>
          <w:lang w:val="es-ES_tradnl" w:eastAsia="es-ES_tradnl"/>
        </w:rPr>
      </w:pPr>
    </w:p>
    <w:p w14:paraId="03E3A722" w14:textId="77777777" w:rsidR="00443ADE" w:rsidRPr="0063746A" w:rsidRDefault="00443ADE" w:rsidP="00443ADE">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521"/>
      </w:tblGrid>
      <w:tr w:rsidR="00443ADE" w:rsidRPr="0063746A" w14:paraId="2E999D49" w14:textId="77777777" w:rsidTr="002D5125">
        <w:trPr>
          <w:trHeight w:val="243"/>
        </w:trPr>
        <w:tc>
          <w:tcPr>
            <w:tcW w:w="2268" w:type="dxa"/>
          </w:tcPr>
          <w:p w14:paraId="4F8F6D63" w14:textId="77777777" w:rsidR="00443ADE" w:rsidRPr="0063746A" w:rsidRDefault="00443ADE" w:rsidP="002D5125">
            <w:pPr>
              <w:jc w:val="both"/>
              <w:rPr>
                <w:rFonts w:ascii="Verdana" w:eastAsia="Calibri" w:hAnsi="Verdana" w:cs="Arial"/>
                <w:b/>
                <w:bCs/>
                <w:lang w:val="es-ES_tradnl" w:eastAsia="es-ES_tradnl"/>
              </w:rPr>
            </w:pPr>
          </w:p>
        </w:tc>
        <w:tc>
          <w:tcPr>
            <w:tcW w:w="6521" w:type="dxa"/>
          </w:tcPr>
          <w:p w14:paraId="4C6444FB" w14:textId="178B52CC" w:rsidR="00443ADE" w:rsidRPr="0063746A" w:rsidRDefault="00443ADE" w:rsidP="002D5125">
            <w:pPr>
              <w:jc w:val="both"/>
              <w:rPr>
                <w:rFonts w:ascii="Verdana" w:eastAsia="Calibri" w:hAnsi="Verdana" w:cs="Arial"/>
                <w:b/>
                <w:bCs/>
                <w:lang w:val="es-ES" w:eastAsia="es-ES"/>
              </w:rPr>
            </w:pPr>
            <w:r w:rsidRPr="0063746A">
              <w:rPr>
                <w:rFonts w:ascii="Verdana" w:eastAsia="Calibri" w:hAnsi="Verdana" w:cs="Arial"/>
                <w:b/>
                <w:bCs/>
                <w:lang w:val="es-ES" w:eastAsia="es-ES"/>
              </w:rPr>
              <w:t>Concepto C</w:t>
            </w:r>
            <w:r>
              <w:rPr>
                <w:rFonts w:ascii="Verdana" w:eastAsia="Calibri" w:hAnsi="Verdana" w:cs="Arial"/>
                <w:b/>
                <w:bCs/>
                <w:lang w:val="es-ES" w:eastAsia="es-ES"/>
              </w:rPr>
              <w:t xml:space="preserve"> –</w:t>
            </w:r>
            <w:r w:rsidRPr="0063746A">
              <w:rPr>
                <w:rFonts w:ascii="Verdana" w:eastAsia="Calibri" w:hAnsi="Verdana" w:cs="Arial"/>
                <w:b/>
                <w:bCs/>
                <w:lang w:val="es-ES" w:eastAsia="es-ES"/>
              </w:rPr>
              <w:t xml:space="preserve"> </w:t>
            </w:r>
            <w:r>
              <w:rPr>
                <w:rFonts w:ascii="Verdana" w:eastAsia="Calibri" w:hAnsi="Verdana" w:cs="Arial"/>
                <w:b/>
                <w:bCs/>
                <w:lang w:val="es-ES" w:eastAsia="es-ES"/>
              </w:rPr>
              <w:t>1</w:t>
            </w:r>
            <w:r w:rsidR="005A6AFF">
              <w:rPr>
                <w:rFonts w:ascii="Verdana" w:eastAsia="Calibri" w:hAnsi="Verdana" w:cs="Arial"/>
                <w:b/>
                <w:bCs/>
                <w:lang w:val="es-ES" w:eastAsia="es-ES"/>
              </w:rPr>
              <w:t>252</w:t>
            </w:r>
            <w:r w:rsidRPr="0063746A">
              <w:rPr>
                <w:rFonts w:ascii="Verdana" w:eastAsia="Calibri" w:hAnsi="Verdana" w:cs="Arial"/>
                <w:b/>
                <w:bCs/>
                <w:lang w:val="es-ES" w:eastAsia="es-ES"/>
              </w:rPr>
              <w:t xml:space="preserve"> de 202</w:t>
            </w:r>
            <w:r>
              <w:rPr>
                <w:rFonts w:ascii="Verdana" w:eastAsia="Calibri" w:hAnsi="Verdana" w:cs="Arial"/>
                <w:b/>
                <w:bCs/>
                <w:lang w:val="es-ES" w:eastAsia="es-ES"/>
              </w:rPr>
              <w:t>5</w:t>
            </w:r>
          </w:p>
          <w:p w14:paraId="3DB73F1B" w14:textId="77777777" w:rsidR="00443ADE" w:rsidRDefault="00443ADE" w:rsidP="002D5125">
            <w:pPr>
              <w:jc w:val="both"/>
              <w:rPr>
                <w:rFonts w:ascii="Verdana" w:eastAsia="Calibri" w:hAnsi="Verdana" w:cs="Arial"/>
                <w:b/>
                <w:bCs/>
                <w:lang w:val="es-ES" w:eastAsia="es-ES"/>
              </w:rPr>
            </w:pPr>
          </w:p>
          <w:p w14:paraId="39FCB431" w14:textId="77777777" w:rsidR="00443ADE" w:rsidRPr="0063746A" w:rsidRDefault="00443ADE" w:rsidP="002D5125">
            <w:pPr>
              <w:jc w:val="both"/>
              <w:rPr>
                <w:rFonts w:ascii="Verdana" w:eastAsia="Calibri" w:hAnsi="Verdana" w:cs="Arial"/>
                <w:b/>
                <w:bCs/>
                <w:lang w:val="es-ES" w:eastAsia="es-ES"/>
              </w:rPr>
            </w:pPr>
          </w:p>
        </w:tc>
      </w:tr>
      <w:tr w:rsidR="00443ADE" w:rsidRPr="0063746A" w14:paraId="0182453B" w14:textId="77777777" w:rsidTr="002D5125">
        <w:trPr>
          <w:trHeight w:val="884"/>
        </w:trPr>
        <w:tc>
          <w:tcPr>
            <w:tcW w:w="2268" w:type="dxa"/>
          </w:tcPr>
          <w:p w14:paraId="5633B90F" w14:textId="77777777" w:rsidR="00443ADE" w:rsidRPr="0063746A" w:rsidRDefault="00443ADE" w:rsidP="002D5125">
            <w:pPr>
              <w:jc w:val="both"/>
              <w:rPr>
                <w:rFonts w:ascii="Verdana" w:eastAsia="Calibri" w:hAnsi="Verdana" w:cs="Arial"/>
                <w:lang w:val="es-ES_tradnl" w:eastAsia="es-ES_tradnl"/>
              </w:rPr>
            </w:pPr>
            <w:r w:rsidRPr="0063746A">
              <w:rPr>
                <w:rFonts w:ascii="Verdana" w:eastAsia="Calibri" w:hAnsi="Verdana" w:cs="Arial"/>
                <w:b/>
                <w:lang w:val="es-ES_tradnl" w:eastAsia="es-ES_tradnl"/>
              </w:rPr>
              <w:t>Temas:</w:t>
            </w:r>
            <w:r w:rsidRPr="0063746A">
              <w:rPr>
                <w:rFonts w:ascii="Verdana" w:eastAsia="Calibri" w:hAnsi="Verdana" w:cs="Arial"/>
                <w:lang w:val="es-ES_tradnl" w:eastAsia="es-ES_tradnl"/>
              </w:rPr>
              <w:t xml:space="preserve">                   </w:t>
            </w:r>
          </w:p>
        </w:tc>
        <w:tc>
          <w:tcPr>
            <w:tcW w:w="6521" w:type="dxa"/>
          </w:tcPr>
          <w:p w14:paraId="194F4F7D" w14:textId="77777777" w:rsidR="00443ADE" w:rsidRPr="00781D19" w:rsidRDefault="00443ADE" w:rsidP="002D5125">
            <w:pPr>
              <w:spacing w:line="276" w:lineRule="auto"/>
              <w:jc w:val="both"/>
              <w:rPr>
                <w:rFonts w:ascii="Verdana" w:eastAsia="Calibri" w:hAnsi="Verdana" w:cs="Arial"/>
                <w:color w:val="000000" w:themeColor="text1"/>
              </w:rPr>
            </w:pPr>
            <w:r w:rsidRPr="00781D19">
              <w:rPr>
                <w:rFonts w:ascii="Verdana" w:eastAsia="Calibri" w:hAnsi="Verdana" w:cs="Arial"/>
                <w:lang w:val="es-ES" w:eastAsia="es-ES"/>
              </w:rPr>
              <w:t xml:space="preserve">SUBSANABILIDAD – Aplicación – Regla general – Excepciones / SUBSANABILIDAD – Ley 1882 de 2018 / </w:t>
            </w:r>
            <w:r w:rsidRPr="00781D19">
              <w:rPr>
                <w:rFonts w:ascii="Verdana" w:eastAsia="Calibri" w:hAnsi="Verdana" w:cs="Arial"/>
                <w:color w:val="000000" w:themeColor="text1"/>
              </w:rPr>
              <w:t xml:space="preserve">SUBSANABILIDAD – Circunstancias posteriores – Cierre del proceso – Prueba – Oportunidad – Autorizaciones </w:t>
            </w:r>
          </w:p>
          <w:p w14:paraId="12A93C7D" w14:textId="77777777" w:rsidR="00443ADE" w:rsidRPr="00781D19" w:rsidRDefault="00443ADE" w:rsidP="002D5125">
            <w:pPr>
              <w:jc w:val="both"/>
              <w:rPr>
                <w:rFonts w:ascii="Verdana" w:eastAsia="Calibri" w:hAnsi="Verdana" w:cs="Arial"/>
                <w:lang w:val="es-ES" w:eastAsia="es-ES"/>
              </w:rPr>
            </w:pPr>
          </w:p>
        </w:tc>
      </w:tr>
      <w:tr w:rsidR="00443ADE" w:rsidRPr="0063746A" w14:paraId="0FF601A2" w14:textId="77777777" w:rsidTr="002D5125">
        <w:trPr>
          <w:trHeight w:val="377"/>
        </w:trPr>
        <w:tc>
          <w:tcPr>
            <w:tcW w:w="2268" w:type="dxa"/>
          </w:tcPr>
          <w:p w14:paraId="7DA69649" w14:textId="77777777" w:rsidR="00443ADE" w:rsidRPr="0063746A" w:rsidRDefault="00443ADE" w:rsidP="002D5125">
            <w:pPr>
              <w:jc w:val="both"/>
              <w:rPr>
                <w:rFonts w:ascii="Verdana" w:eastAsia="Calibri" w:hAnsi="Verdana" w:cs="Arial"/>
                <w:b/>
                <w:lang w:val="es-ES_tradnl" w:eastAsia="es-ES_tradnl"/>
              </w:rPr>
            </w:pPr>
            <w:r w:rsidRPr="0063746A">
              <w:rPr>
                <w:rFonts w:ascii="Verdana" w:eastAsia="Calibri" w:hAnsi="Verdana" w:cs="Arial"/>
                <w:b/>
                <w:lang w:val="es-ES_tradnl" w:eastAsia="es-ES_tradnl"/>
              </w:rPr>
              <w:t>Radicación:</w:t>
            </w:r>
            <w:r w:rsidRPr="0063746A">
              <w:rPr>
                <w:rFonts w:ascii="Verdana" w:eastAsia="Calibri" w:hAnsi="Verdana" w:cs="Arial"/>
                <w:lang w:val="es-ES_tradnl" w:eastAsia="es-ES_tradnl"/>
              </w:rPr>
              <w:t xml:space="preserve">               </w:t>
            </w:r>
          </w:p>
        </w:tc>
        <w:tc>
          <w:tcPr>
            <w:tcW w:w="6521" w:type="dxa"/>
          </w:tcPr>
          <w:p w14:paraId="7AE07504" w14:textId="4E1AC6CE" w:rsidR="00443ADE" w:rsidRPr="0063746A" w:rsidRDefault="00443ADE" w:rsidP="002D5125">
            <w:pPr>
              <w:jc w:val="both"/>
              <w:rPr>
                <w:rFonts w:ascii="Verdana" w:hAnsi="Verdana" w:cs="Calibri"/>
              </w:rPr>
            </w:pPr>
            <w:r w:rsidRPr="0063746A">
              <w:rPr>
                <w:rFonts w:ascii="Verdana" w:eastAsia="Calibri" w:hAnsi="Verdana" w:cs="Arial"/>
                <w:lang w:val="es-ES_tradnl" w:eastAsia="es-ES_tradnl"/>
              </w:rPr>
              <w:t xml:space="preserve">Respuesta a consulta con radicado No. </w:t>
            </w:r>
            <w:r w:rsidR="00C21620" w:rsidRPr="00C21620">
              <w:rPr>
                <w:rFonts w:ascii="Verdana" w:eastAsia="Calibri" w:hAnsi="Verdana" w:cs="Arial"/>
                <w:lang w:val="es-ES_tradnl" w:eastAsia="es-ES_tradnl"/>
              </w:rPr>
              <w:t>1_2025_09_02_009476</w:t>
            </w:r>
          </w:p>
        </w:tc>
      </w:tr>
    </w:tbl>
    <w:p w14:paraId="6BA95BF8" w14:textId="77777777" w:rsidR="00443ADE" w:rsidRDefault="00443ADE" w:rsidP="00443ADE">
      <w:pPr>
        <w:spacing w:after="0" w:line="276" w:lineRule="auto"/>
        <w:jc w:val="both"/>
        <w:rPr>
          <w:rFonts w:ascii="Verdana" w:eastAsia="Calibri" w:hAnsi="Verdana" w:cs="Arial"/>
          <w:lang w:val="es-ES_tradnl" w:eastAsia="es-ES_tradnl"/>
        </w:rPr>
      </w:pPr>
    </w:p>
    <w:p w14:paraId="5B3A3B2B" w14:textId="77777777" w:rsidR="00443ADE" w:rsidRPr="0063746A" w:rsidRDefault="00443ADE" w:rsidP="00443ADE">
      <w:pPr>
        <w:spacing w:after="0" w:line="276" w:lineRule="auto"/>
        <w:jc w:val="both"/>
        <w:rPr>
          <w:rFonts w:ascii="Verdana" w:eastAsia="Calibri" w:hAnsi="Verdana" w:cs="Arial"/>
          <w:lang w:val="es-ES_tradnl" w:eastAsia="es-ES_tradnl"/>
        </w:rPr>
      </w:pPr>
    </w:p>
    <w:p w14:paraId="63FCC70C" w14:textId="26DFC3A6" w:rsidR="00443ADE" w:rsidRPr="0063746A" w:rsidRDefault="00443ADE" w:rsidP="00443ADE">
      <w:pPr>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Estimad</w:t>
      </w:r>
      <w:r w:rsidR="00AB2C7C">
        <w:rPr>
          <w:rFonts w:ascii="Verdana" w:eastAsia="Calibri" w:hAnsi="Verdana" w:cs="Arial"/>
          <w:lang w:val="es-ES" w:eastAsia="es-ES"/>
        </w:rPr>
        <w:t>a</w:t>
      </w:r>
      <w:r w:rsidRPr="0063746A">
        <w:rPr>
          <w:rFonts w:ascii="Verdana" w:eastAsia="Calibri" w:hAnsi="Verdana" w:cs="Arial"/>
          <w:lang w:val="es-ES" w:eastAsia="es-ES"/>
        </w:rPr>
        <w:t xml:space="preserve"> señor</w:t>
      </w:r>
      <w:r w:rsidR="00AB2C7C">
        <w:rPr>
          <w:rFonts w:ascii="Verdana" w:eastAsia="Calibri" w:hAnsi="Verdana" w:cs="Arial"/>
          <w:lang w:val="es-ES" w:eastAsia="es-ES"/>
        </w:rPr>
        <w:t>a</w:t>
      </w:r>
      <w:r w:rsidRPr="0063746A">
        <w:rPr>
          <w:rFonts w:ascii="Verdana" w:eastAsia="Calibri" w:hAnsi="Verdana" w:cs="Arial"/>
          <w:lang w:val="es-ES" w:eastAsia="es-ES"/>
        </w:rPr>
        <w:t xml:space="preserve"> </w:t>
      </w:r>
      <w:r w:rsidR="00AB2C7C" w:rsidRPr="00AB2C7C">
        <w:rPr>
          <w:rFonts w:ascii="Verdana" w:eastAsia="Calibri" w:hAnsi="Verdana" w:cs="Arial"/>
          <w:lang w:val="es-ES_tradnl" w:eastAsia="es-ES_tradnl"/>
        </w:rPr>
        <w:t>Freile Zambrano</w:t>
      </w:r>
      <w:r w:rsidRPr="0063746A">
        <w:rPr>
          <w:rFonts w:ascii="Verdana" w:eastAsia="Calibri" w:hAnsi="Verdana" w:cs="Arial"/>
          <w:lang w:val="es-ES" w:eastAsia="es-ES"/>
        </w:rPr>
        <w:t xml:space="preserve">: </w:t>
      </w:r>
    </w:p>
    <w:p w14:paraId="736CFCCF" w14:textId="77777777" w:rsidR="00443ADE" w:rsidRPr="0063746A" w:rsidRDefault="00443ADE" w:rsidP="00443ADE">
      <w:pPr>
        <w:tabs>
          <w:tab w:val="left" w:pos="3768"/>
        </w:tabs>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ab/>
      </w:r>
    </w:p>
    <w:p w14:paraId="372B8F28" w14:textId="6B4E369B" w:rsidR="00443ADE" w:rsidRPr="0063746A" w:rsidRDefault="00443ADE" w:rsidP="00443ADE">
      <w:pPr>
        <w:spacing w:after="0" w:line="276" w:lineRule="auto"/>
        <w:jc w:val="both"/>
        <w:rPr>
          <w:rFonts w:ascii="Verdana" w:eastAsia="Calibri" w:hAnsi="Verdana" w:cs="Arial"/>
          <w:lang w:val="es-ES" w:eastAsia="es-ES"/>
        </w:rPr>
      </w:pPr>
      <w:r w:rsidRPr="0063746A">
        <w:rPr>
          <w:rFonts w:ascii="Verdana" w:eastAsia="Calibri" w:hAnsi="Verdana" w:cs="Arial"/>
          <w:lang w:val="es-ES" w:eastAsia="es-ES"/>
        </w:rPr>
        <w:t>En ejercicio de la competencia otorgada por los artículos 3, numeral 5º, y 11, numeral 8º, del Decreto Ley 4170 de 2011,</w:t>
      </w:r>
      <w:r w:rsidRPr="0063746A">
        <w:rPr>
          <w:rFonts w:ascii="Verdana" w:eastAsia="Arial MT" w:hAnsi="Verdana" w:cs="Arial MT"/>
          <w:lang w:val="es-ES" w:eastAsia="es-ES"/>
        </w:rPr>
        <w:t xml:space="preserve"> </w:t>
      </w:r>
      <w:r w:rsidRPr="0063746A">
        <w:rPr>
          <w:rFonts w:ascii="Verdana" w:hAnsi="Verdana" w:cs="Arial"/>
        </w:rPr>
        <w:t xml:space="preserve">así como lo establecido en el artículo 4 de la Resolución 1707 de 2018 expedida por esta Entidad, </w:t>
      </w:r>
      <w:r w:rsidRPr="0063746A">
        <w:rPr>
          <w:rFonts w:ascii="Verdana" w:eastAsia="Calibri" w:hAnsi="Verdana" w:cs="Arial"/>
          <w:lang w:val="es-ES" w:eastAsia="es-ES"/>
        </w:rPr>
        <w:t xml:space="preserve">la Agencia Nacional de Contratación Pública –Colombia Compra Eficiente– responde su solicitud de consulta de fecha </w:t>
      </w:r>
      <w:r w:rsidR="00C04B8C">
        <w:rPr>
          <w:rFonts w:ascii="Verdana" w:eastAsia="Calibri" w:hAnsi="Verdana" w:cs="Arial"/>
          <w:lang w:val="es-ES" w:eastAsia="es-ES"/>
        </w:rPr>
        <w:t>02</w:t>
      </w:r>
      <w:r>
        <w:rPr>
          <w:rFonts w:ascii="Verdana" w:eastAsia="Calibri" w:hAnsi="Verdana" w:cs="Arial"/>
          <w:lang w:val="es-ES" w:eastAsia="es-ES"/>
        </w:rPr>
        <w:t xml:space="preserve"> </w:t>
      </w:r>
      <w:r w:rsidRPr="0063746A">
        <w:rPr>
          <w:rFonts w:ascii="Verdana" w:eastAsia="Calibri" w:hAnsi="Verdana" w:cs="Arial"/>
          <w:lang w:val="es-ES" w:eastAsia="es-ES"/>
        </w:rPr>
        <w:t xml:space="preserve">de </w:t>
      </w:r>
      <w:r w:rsidR="00C04B8C">
        <w:rPr>
          <w:rFonts w:ascii="Verdana" w:eastAsia="Calibri" w:hAnsi="Verdana" w:cs="Arial"/>
          <w:lang w:val="es-ES" w:eastAsia="es-ES"/>
        </w:rPr>
        <w:t>septiembre</w:t>
      </w:r>
      <w:r w:rsidRPr="0063746A">
        <w:rPr>
          <w:rFonts w:ascii="Verdana" w:eastAsia="Calibri" w:hAnsi="Verdana" w:cs="Arial"/>
          <w:lang w:val="es-ES" w:eastAsia="es-ES"/>
        </w:rPr>
        <w:t xml:space="preserve"> de 202</w:t>
      </w:r>
      <w:r>
        <w:rPr>
          <w:rFonts w:ascii="Verdana" w:eastAsia="Calibri" w:hAnsi="Verdana" w:cs="Arial"/>
          <w:lang w:val="es-ES" w:eastAsia="es-ES"/>
        </w:rPr>
        <w:t>5</w:t>
      </w:r>
      <w:r w:rsidRPr="0063746A">
        <w:rPr>
          <w:rFonts w:ascii="Verdana" w:eastAsia="Calibri" w:hAnsi="Verdana" w:cs="Arial"/>
          <w:lang w:val="es-ES" w:eastAsia="es-ES"/>
        </w:rPr>
        <w:t xml:space="preserve">, en la cual manifiesta lo siguiente: </w:t>
      </w:r>
    </w:p>
    <w:p w14:paraId="1D1FB20C" w14:textId="77777777" w:rsidR="00443ADE" w:rsidRDefault="00443ADE" w:rsidP="00443A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ABC2907" w14:textId="006BEEC1" w:rsidR="00F00339" w:rsidRDefault="00443ADE" w:rsidP="00F00339">
      <w:pPr>
        <w:spacing w:after="0" w:line="240" w:lineRule="auto"/>
        <w:ind w:left="709" w:right="709"/>
        <w:jc w:val="both"/>
        <w:rPr>
          <w:rFonts w:ascii="Verdana" w:hAnsi="Verdana"/>
          <w:sz w:val="21"/>
          <w:szCs w:val="21"/>
        </w:rPr>
      </w:pPr>
      <w:r w:rsidRPr="004753A5">
        <w:rPr>
          <w:rFonts w:ascii="Verdana" w:hAnsi="Verdana"/>
          <w:sz w:val="21"/>
          <w:szCs w:val="21"/>
        </w:rPr>
        <w:t>“</w:t>
      </w:r>
      <w:r w:rsidR="00F00339" w:rsidRPr="00F00339">
        <w:rPr>
          <w:rFonts w:ascii="Verdana" w:hAnsi="Verdana"/>
          <w:sz w:val="21"/>
          <w:szCs w:val="21"/>
        </w:rPr>
        <w:t xml:space="preserve">Un proponente XYZ aportó dentro de su oferta dos contratos con los cuales pretender habilitarse técnicamente </w:t>
      </w:r>
      <w:r w:rsidR="00F00339">
        <w:rPr>
          <w:rFonts w:ascii="Verdana" w:hAnsi="Verdana"/>
          <w:sz w:val="21"/>
          <w:szCs w:val="21"/>
        </w:rPr>
        <w:t>y</w:t>
      </w:r>
      <w:r w:rsidR="00F00339" w:rsidRPr="00F00339">
        <w:rPr>
          <w:rFonts w:ascii="Verdana" w:hAnsi="Verdana"/>
          <w:sz w:val="21"/>
          <w:szCs w:val="21"/>
        </w:rPr>
        <w:t xml:space="preserve"> que los mismos dos contratos sean utilizados para asignar puntaje. La entidad contratante en el informe de </w:t>
      </w:r>
      <w:r w:rsidR="00F00339">
        <w:rPr>
          <w:rFonts w:ascii="Verdana" w:hAnsi="Verdana"/>
          <w:sz w:val="21"/>
          <w:szCs w:val="21"/>
        </w:rPr>
        <w:t>evaluación</w:t>
      </w:r>
      <w:r w:rsidR="00F00339" w:rsidRPr="00F00339">
        <w:rPr>
          <w:rFonts w:ascii="Verdana" w:hAnsi="Verdana"/>
          <w:sz w:val="21"/>
          <w:szCs w:val="21"/>
        </w:rPr>
        <w:t xml:space="preserve"> menciona que con los soportes allegados para el contrato 1 no es posible evidenciar elementos </w:t>
      </w:r>
      <w:r w:rsidR="00F00339">
        <w:rPr>
          <w:rFonts w:ascii="Verdana" w:hAnsi="Verdana"/>
          <w:sz w:val="21"/>
          <w:szCs w:val="21"/>
        </w:rPr>
        <w:t>técnicos</w:t>
      </w:r>
      <w:r w:rsidR="00F00339" w:rsidRPr="00F00339">
        <w:rPr>
          <w:rFonts w:ascii="Verdana" w:hAnsi="Verdana"/>
          <w:sz w:val="21"/>
          <w:szCs w:val="21"/>
        </w:rPr>
        <w:t xml:space="preserve"> (por ejemplo, el tipo de vía intervenida). El proponente acredita un “nuevo” documento (entiéndase </w:t>
      </w:r>
      <w:r w:rsidR="00F00339">
        <w:rPr>
          <w:rFonts w:ascii="Verdana" w:hAnsi="Verdana"/>
          <w:sz w:val="21"/>
          <w:szCs w:val="21"/>
        </w:rPr>
        <w:t>nuevo</w:t>
      </w:r>
      <w:r w:rsidR="00F00339" w:rsidRPr="00F00339">
        <w:rPr>
          <w:rFonts w:ascii="Verdana" w:hAnsi="Verdana"/>
          <w:sz w:val="21"/>
          <w:szCs w:val="21"/>
        </w:rPr>
        <w:t xml:space="preserve"> como un documento que no fue aportado en la oferta inicial) para aclarar y/o subsanar la situación </w:t>
      </w:r>
      <w:r w:rsidR="00F00339">
        <w:rPr>
          <w:rFonts w:ascii="Verdana" w:hAnsi="Verdana"/>
          <w:sz w:val="21"/>
          <w:szCs w:val="21"/>
        </w:rPr>
        <w:t>observada</w:t>
      </w:r>
      <w:r w:rsidR="00F00339" w:rsidRPr="00F00339">
        <w:rPr>
          <w:rFonts w:ascii="Verdana" w:hAnsi="Verdana"/>
          <w:sz w:val="21"/>
          <w:szCs w:val="21"/>
        </w:rPr>
        <w:t xml:space="preserve"> por la entidad. </w:t>
      </w:r>
    </w:p>
    <w:p w14:paraId="39A11270" w14:textId="77777777" w:rsidR="00F00339" w:rsidRPr="00F00339" w:rsidRDefault="00F00339" w:rsidP="00F00339">
      <w:pPr>
        <w:spacing w:after="0" w:line="240" w:lineRule="auto"/>
        <w:ind w:left="709" w:right="709"/>
        <w:jc w:val="both"/>
        <w:rPr>
          <w:rFonts w:ascii="Verdana" w:hAnsi="Verdana"/>
          <w:sz w:val="21"/>
          <w:szCs w:val="21"/>
        </w:rPr>
      </w:pPr>
    </w:p>
    <w:p w14:paraId="430D2992" w14:textId="264748CB" w:rsidR="00F00339" w:rsidRPr="00F00339" w:rsidRDefault="00F00339" w:rsidP="00F00339">
      <w:pPr>
        <w:spacing w:after="0" w:line="240" w:lineRule="auto"/>
        <w:ind w:left="709" w:right="709"/>
        <w:jc w:val="both"/>
        <w:rPr>
          <w:rFonts w:ascii="Verdana" w:hAnsi="Verdana"/>
          <w:sz w:val="21"/>
          <w:szCs w:val="21"/>
        </w:rPr>
      </w:pPr>
      <w:r w:rsidRPr="00F00339">
        <w:rPr>
          <w:rFonts w:ascii="Verdana" w:hAnsi="Verdana"/>
          <w:sz w:val="21"/>
          <w:szCs w:val="21"/>
        </w:rPr>
        <w:t xml:space="preserve">1. ¿Al acreditar un nuevo documento, el proponente está aclarando la información del contrato 1 y por </w:t>
      </w:r>
      <w:r w:rsidR="00E72E4E" w:rsidRPr="00F00339">
        <w:rPr>
          <w:rFonts w:ascii="Verdana" w:hAnsi="Verdana"/>
          <w:sz w:val="21"/>
          <w:szCs w:val="21"/>
        </w:rPr>
        <w:t xml:space="preserve">lo </w:t>
      </w:r>
      <w:r w:rsidR="00E72E4E">
        <w:rPr>
          <w:rFonts w:ascii="Verdana" w:hAnsi="Verdana"/>
          <w:sz w:val="21"/>
          <w:szCs w:val="21"/>
        </w:rPr>
        <w:t>tanto</w:t>
      </w:r>
      <w:r w:rsidRPr="00F00339">
        <w:rPr>
          <w:rFonts w:ascii="Verdana" w:hAnsi="Verdana"/>
          <w:sz w:val="21"/>
          <w:szCs w:val="21"/>
        </w:rPr>
        <w:t xml:space="preserve"> puede habilitarse técnicamente?</w:t>
      </w:r>
    </w:p>
    <w:p w14:paraId="0F6D2A29" w14:textId="1123A96A" w:rsidR="00F00339" w:rsidRPr="00F00339" w:rsidRDefault="00F00339" w:rsidP="00E72E4E">
      <w:pPr>
        <w:spacing w:after="0" w:line="240" w:lineRule="auto"/>
        <w:ind w:left="709" w:right="709"/>
        <w:jc w:val="both"/>
        <w:rPr>
          <w:rFonts w:ascii="Verdana" w:hAnsi="Verdana"/>
          <w:sz w:val="21"/>
          <w:szCs w:val="21"/>
        </w:rPr>
      </w:pPr>
      <w:r w:rsidRPr="00F00339">
        <w:rPr>
          <w:rFonts w:ascii="Verdana" w:hAnsi="Verdana"/>
          <w:sz w:val="21"/>
          <w:szCs w:val="21"/>
        </w:rPr>
        <w:t xml:space="preserve">2. ¿Al acreditar un nuevo documento, el proponente esta subsanando criterios puntuables y por lo </w:t>
      </w:r>
      <w:r w:rsidR="00E72E4E" w:rsidRPr="00F00339">
        <w:rPr>
          <w:rFonts w:ascii="Verdana" w:hAnsi="Verdana"/>
          <w:sz w:val="21"/>
          <w:szCs w:val="21"/>
        </w:rPr>
        <w:t xml:space="preserve">tanto </w:t>
      </w:r>
      <w:r w:rsidR="00E72E4E">
        <w:rPr>
          <w:rFonts w:ascii="Verdana" w:hAnsi="Verdana"/>
          <w:sz w:val="21"/>
          <w:szCs w:val="21"/>
        </w:rPr>
        <w:t>el</w:t>
      </w:r>
      <w:r w:rsidRPr="00F00339">
        <w:rPr>
          <w:rFonts w:ascii="Verdana" w:hAnsi="Verdana"/>
          <w:sz w:val="21"/>
          <w:szCs w:val="21"/>
        </w:rPr>
        <w:t xml:space="preserve"> contrato 1 no puede ser tomado en cuenta para promediar y obtener puntaje?</w:t>
      </w:r>
    </w:p>
    <w:p w14:paraId="45FB145C" w14:textId="3B71FB3F" w:rsidR="00F00339" w:rsidRPr="00F00339" w:rsidRDefault="00F00339" w:rsidP="00E72E4E">
      <w:pPr>
        <w:spacing w:after="0" w:line="240" w:lineRule="auto"/>
        <w:ind w:left="709" w:right="709"/>
        <w:jc w:val="both"/>
        <w:rPr>
          <w:rFonts w:ascii="Verdana" w:hAnsi="Verdana"/>
          <w:sz w:val="21"/>
          <w:szCs w:val="21"/>
        </w:rPr>
      </w:pPr>
      <w:r w:rsidRPr="00F00339">
        <w:rPr>
          <w:rFonts w:ascii="Verdana" w:hAnsi="Verdana"/>
          <w:sz w:val="21"/>
          <w:szCs w:val="21"/>
        </w:rPr>
        <w:t xml:space="preserve">3. ¿La aclaración mediante un nuevo documento que no fue aportado en la oferta inicial puede </w:t>
      </w:r>
      <w:r w:rsidR="00E72E4E" w:rsidRPr="00F00339">
        <w:rPr>
          <w:rFonts w:ascii="Verdana" w:hAnsi="Verdana"/>
          <w:sz w:val="21"/>
          <w:szCs w:val="21"/>
        </w:rPr>
        <w:t xml:space="preserve">tomarse </w:t>
      </w:r>
      <w:r w:rsidR="00E72E4E">
        <w:rPr>
          <w:rFonts w:ascii="Verdana" w:hAnsi="Verdana"/>
          <w:sz w:val="21"/>
          <w:szCs w:val="21"/>
        </w:rPr>
        <w:t>como</w:t>
      </w:r>
      <w:r w:rsidRPr="00F00339">
        <w:rPr>
          <w:rFonts w:ascii="Verdana" w:hAnsi="Verdana"/>
          <w:sz w:val="21"/>
          <w:szCs w:val="21"/>
        </w:rPr>
        <w:t xml:space="preserve"> una mejora en la oferta presentada?</w:t>
      </w:r>
    </w:p>
    <w:p w14:paraId="226717D4" w14:textId="5310DABD" w:rsidR="00F00339" w:rsidRPr="00F00339" w:rsidRDefault="00F00339" w:rsidP="00E72E4E">
      <w:pPr>
        <w:spacing w:after="0" w:line="240" w:lineRule="auto"/>
        <w:ind w:left="709" w:right="709"/>
        <w:jc w:val="both"/>
        <w:rPr>
          <w:rFonts w:ascii="Verdana" w:hAnsi="Verdana"/>
          <w:sz w:val="21"/>
          <w:szCs w:val="21"/>
        </w:rPr>
      </w:pPr>
      <w:r w:rsidRPr="00F00339">
        <w:rPr>
          <w:rFonts w:ascii="Verdana" w:hAnsi="Verdana"/>
          <w:sz w:val="21"/>
          <w:szCs w:val="21"/>
        </w:rPr>
        <w:t xml:space="preserve">4. Si el proponente logro habilitarse mediante la experiencia aportada con el contrato 1 y el contrato </w:t>
      </w:r>
      <w:r w:rsidR="00E72E4E" w:rsidRPr="00F00339">
        <w:rPr>
          <w:rFonts w:ascii="Verdana" w:hAnsi="Verdana"/>
          <w:sz w:val="21"/>
          <w:szCs w:val="21"/>
        </w:rPr>
        <w:t xml:space="preserve">2, </w:t>
      </w:r>
      <w:r w:rsidR="00E72E4E">
        <w:rPr>
          <w:rFonts w:ascii="Verdana" w:hAnsi="Verdana"/>
          <w:sz w:val="21"/>
          <w:szCs w:val="21"/>
        </w:rPr>
        <w:t>pero</w:t>
      </w:r>
      <w:r w:rsidRPr="00F00339">
        <w:rPr>
          <w:rFonts w:ascii="Verdana" w:hAnsi="Verdana"/>
          <w:sz w:val="21"/>
          <w:szCs w:val="21"/>
        </w:rPr>
        <w:t xml:space="preserve"> el contrato 1 fue subsanado al acreditar un nuevo documento, el oferente solo podría promediar </w:t>
      </w:r>
    </w:p>
    <w:p w14:paraId="5BBE5D8C" w14:textId="23EC9DCC" w:rsidR="00F00339" w:rsidRPr="00F00339" w:rsidRDefault="00F00339" w:rsidP="00E72E4E">
      <w:pPr>
        <w:spacing w:after="0" w:line="240" w:lineRule="auto"/>
        <w:ind w:left="709" w:right="709"/>
        <w:jc w:val="both"/>
        <w:rPr>
          <w:rFonts w:ascii="Verdana" w:hAnsi="Verdana"/>
          <w:sz w:val="21"/>
          <w:szCs w:val="21"/>
        </w:rPr>
      </w:pPr>
      <w:r w:rsidRPr="00F00339">
        <w:rPr>
          <w:rFonts w:ascii="Verdana" w:hAnsi="Verdana"/>
          <w:sz w:val="21"/>
          <w:szCs w:val="21"/>
        </w:rPr>
        <w:t>con los SMMLV aportados con el único contrato que no fue subsanado, es decir con el contrato 2. ¿</w:t>
      </w:r>
      <w:r w:rsidR="00E72E4E" w:rsidRPr="00F00339">
        <w:rPr>
          <w:rFonts w:ascii="Verdana" w:hAnsi="Verdana"/>
          <w:sz w:val="21"/>
          <w:szCs w:val="21"/>
        </w:rPr>
        <w:t xml:space="preserve">Es </w:t>
      </w:r>
      <w:r w:rsidR="00E72E4E">
        <w:rPr>
          <w:rFonts w:ascii="Verdana" w:hAnsi="Verdana"/>
          <w:sz w:val="21"/>
          <w:szCs w:val="21"/>
        </w:rPr>
        <w:t>correcto</w:t>
      </w:r>
      <w:r w:rsidRPr="00F00339">
        <w:rPr>
          <w:rFonts w:ascii="Verdana" w:hAnsi="Verdana"/>
          <w:sz w:val="21"/>
          <w:szCs w:val="21"/>
        </w:rPr>
        <w:t xml:space="preserve"> el análisis?</w:t>
      </w:r>
    </w:p>
    <w:p w14:paraId="63FE38E5" w14:textId="56231F8D" w:rsidR="00443ADE" w:rsidRPr="004753A5" w:rsidRDefault="00F00339" w:rsidP="00E72E4E">
      <w:pPr>
        <w:spacing w:after="0" w:line="240" w:lineRule="auto"/>
        <w:ind w:left="709" w:right="709"/>
        <w:jc w:val="both"/>
        <w:rPr>
          <w:rFonts w:ascii="Verdana" w:hAnsi="Verdana"/>
          <w:sz w:val="21"/>
          <w:szCs w:val="21"/>
        </w:rPr>
      </w:pPr>
      <w:r w:rsidRPr="00F00339">
        <w:rPr>
          <w:rFonts w:ascii="Verdana" w:hAnsi="Verdana"/>
          <w:sz w:val="21"/>
          <w:szCs w:val="21"/>
        </w:rPr>
        <w:t xml:space="preserve">5. Siendo que la experiencia tiene carga habilitante y puntuable, cual es la diferencia entre subsanar </w:t>
      </w:r>
      <w:r w:rsidR="008C6D5A" w:rsidRPr="00F00339">
        <w:rPr>
          <w:rFonts w:ascii="Verdana" w:hAnsi="Verdana"/>
          <w:sz w:val="21"/>
          <w:szCs w:val="21"/>
        </w:rPr>
        <w:t xml:space="preserve">y </w:t>
      </w:r>
      <w:r w:rsidR="008C6D5A">
        <w:rPr>
          <w:rFonts w:ascii="Verdana" w:hAnsi="Verdana"/>
          <w:sz w:val="21"/>
          <w:szCs w:val="21"/>
        </w:rPr>
        <w:t>aclarar</w:t>
      </w:r>
      <w:r w:rsidRPr="00F00339">
        <w:rPr>
          <w:rFonts w:ascii="Verdana" w:hAnsi="Verdana"/>
          <w:sz w:val="21"/>
          <w:szCs w:val="21"/>
        </w:rPr>
        <w:t xml:space="preserve"> y cuál es el límite entre los dos en el caso </w:t>
      </w:r>
      <w:r w:rsidR="008C6D5A" w:rsidRPr="00F00339">
        <w:rPr>
          <w:rFonts w:ascii="Verdana" w:hAnsi="Verdana"/>
          <w:sz w:val="21"/>
          <w:szCs w:val="21"/>
        </w:rPr>
        <w:t>de los concursos</w:t>
      </w:r>
      <w:r w:rsidRPr="00F00339">
        <w:rPr>
          <w:rFonts w:ascii="Verdana" w:hAnsi="Verdana"/>
          <w:sz w:val="21"/>
          <w:szCs w:val="21"/>
        </w:rPr>
        <w:t xml:space="preserve"> </w:t>
      </w:r>
      <w:r w:rsidR="008C6D5A">
        <w:rPr>
          <w:rFonts w:ascii="Verdana" w:hAnsi="Verdana"/>
          <w:sz w:val="21"/>
          <w:szCs w:val="21"/>
        </w:rPr>
        <w:t xml:space="preserve">de méritos. </w:t>
      </w:r>
      <w:r w:rsidR="00443ADE">
        <w:rPr>
          <w:rFonts w:ascii="Verdana" w:hAnsi="Verdana"/>
          <w:sz w:val="21"/>
          <w:szCs w:val="21"/>
        </w:rPr>
        <w:t>[SIC]</w:t>
      </w:r>
    </w:p>
    <w:p w14:paraId="2AD98E6C" w14:textId="77777777" w:rsidR="00443ADE" w:rsidRPr="004753A5" w:rsidRDefault="00443ADE" w:rsidP="00443ADE">
      <w:pPr>
        <w:pStyle w:val="NormalWeb"/>
        <w:spacing w:before="12" w:beforeAutospacing="0" w:after="12" w:afterAutospacing="0"/>
        <w:ind w:left="709" w:right="709"/>
        <w:jc w:val="both"/>
        <w:rPr>
          <w:rFonts w:ascii="Verdana" w:hAnsi="Verdana"/>
          <w:sz w:val="22"/>
          <w:szCs w:val="22"/>
        </w:rPr>
      </w:pPr>
    </w:p>
    <w:p w14:paraId="773987EB" w14:textId="77777777" w:rsidR="00443ADE" w:rsidRPr="00CA2545" w:rsidRDefault="00443ADE" w:rsidP="00443ADE">
      <w:pPr>
        <w:spacing w:after="120" w:line="276" w:lineRule="auto"/>
        <w:ind w:firstLine="708"/>
        <w:jc w:val="both"/>
        <w:rPr>
          <w:rFonts w:ascii="Verdana" w:eastAsia="Calibri" w:hAnsi="Verdana" w:cs="Arial"/>
          <w:color w:val="000000"/>
          <w:lang w:val="es-ES_tradnl" w:eastAsia="es-ES_tradnl"/>
        </w:rPr>
      </w:pPr>
      <w:r w:rsidRPr="00CA2545">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A2545">
        <w:rPr>
          <w:rFonts w:ascii="Verdana" w:eastAsia="Calibri" w:hAnsi="Verdana" w:cs="Arial"/>
          <w:color w:val="000000"/>
          <w:lang w:val="es-ES_tradnl" w:eastAsia="es-ES_tradnl"/>
        </w:rPr>
        <w:tab/>
      </w:r>
    </w:p>
    <w:p w14:paraId="75203588" w14:textId="77777777" w:rsidR="00443ADE" w:rsidRPr="00CA2545" w:rsidRDefault="00443ADE" w:rsidP="00443ADE">
      <w:pPr>
        <w:spacing w:after="0" w:line="276" w:lineRule="auto"/>
        <w:ind w:firstLine="709"/>
        <w:jc w:val="both"/>
        <w:rPr>
          <w:rFonts w:ascii="Verdana" w:eastAsia="Calibri" w:hAnsi="Verdana" w:cs="Arial"/>
          <w:color w:val="000000"/>
          <w:lang w:val="es-ES" w:eastAsia="es-ES"/>
        </w:rPr>
      </w:pPr>
      <w:r w:rsidRPr="00CA2545">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lang w:val="es-ES" w:eastAsia="es-ES"/>
        </w:rPr>
        <w:t>e</w:t>
      </w:r>
      <w:r w:rsidRPr="00893811">
        <w:rPr>
          <w:rFonts w:ascii="Verdana" w:eastAsia="Calibri" w:hAnsi="Verdana" w:cs="Arial"/>
          <w:color w:val="000000"/>
          <w:lang w:val="es-ES" w:eastAsia="es-ES"/>
        </w:rPr>
        <w:t xml:space="preserve">l </w:t>
      </w:r>
      <w:r w:rsidRPr="00CA2545">
        <w:rPr>
          <w:rFonts w:ascii="Verdana" w:eastAsia="Calibri" w:hAnsi="Verdana" w:cs="Arial"/>
          <w:color w:val="000000"/>
          <w:lang w:val="es-ES" w:eastAsia="es-ES"/>
        </w:rPr>
        <w:t>problema</w:t>
      </w:r>
      <w:r w:rsidRPr="00893811">
        <w:rPr>
          <w:rFonts w:ascii="Verdana" w:eastAsia="Calibri" w:hAnsi="Verdana" w:cs="Arial"/>
          <w:color w:val="000000"/>
          <w:lang w:val="es-ES" w:eastAsia="es-ES"/>
        </w:rPr>
        <w:t xml:space="preserve"> </w:t>
      </w:r>
      <w:r w:rsidRPr="00CA2545">
        <w:rPr>
          <w:rFonts w:ascii="Verdana" w:eastAsia="Calibri" w:hAnsi="Verdana" w:cs="Arial"/>
          <w:color w:val="000000"/>
          <w:lang w:val="es-ES" w:eastAsia="es-ES"/>
        </w:rPr>
        <w:t>jurídico</w:t>
      </w:r>
      <w:r w:rsidRPr="00893811">
        <w:rPr>
          <w:rFonts w:ascii="Verdana" w:eastAsia="Calibri" w:hAnsi="Verdana" w:cs="Arial"/>
          <w:color w:val="000000"/>
          <w:lang w:val="es-ES" w:eastAsia="es-ES"/>
        </w:rPr>
        <w:t xml:space="preserve"> </w:t>
      </w:r>
      <w:r w:rsidRPr="00CA2545">
        <w:rPr>
          <w:rFonts w:ascii="Verdana" w:eastAsia="Calibri" w:hAnsi="Verdana" w:cs="Arial"/>
          <w:color w:val="000000"/>
          <w:lang w:val="es-ES" w:eastAsia="es-ES"/>
        </w:rPr>
        <w:t xml:space="preserve">de su consulta. </w:t>
      </w:r>
    </w:p>
    <w:p w14:paraId="6FB2A9A6" w14:textId="77777777" w:rsidR="00443ADE" w:rsidRPr="00CA2545" w:rsidRDefault="00443ADE" w:rsidP="00443ADE">
      <w:pPr>
        <w:spacing w:after="0" w:line="276" w:lineRule="auto"/>
        <w:jc w:val="both"/>
        <w:rPr>
          <w:rFonts w:ascii="Verdana" w:eastAsia="Calibri" w:hAnsi="Verdana" w:cs="Arial"/>
          <w:color w:val="000000"/>
          <w:lang w:val="es-ES" w:eastAsia="es-ES"/>
        </w:rPr>
      </w:pPr>
    </w:p>
    <w:p w14:paraId="34234043" w14:textId="77777777" w:rsidR="00443ADE" w:rsidRPr="00C75C5C" w:rsidRDefault="00443ADE" w:rsidP="00443A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75C5C">
        <w:rPr>
          <w:rFonts w:ascii="Verdana" w:eastAsia="Century Gothic" w:hAnsi="Verdana" w:cs="Century Gothic"/>
          <w:b/>
          <w:bCs/>
        </w:rPr>
        <w:t>Problema planteado:</w:t>
      </w:r>
    </w:p>
    <w:p w14:paraId="47652707" w14:textId="77777777" w:rsidR="00443ADE" w:rsidRPr="00C75C5C" w:rsidRDefault="00443ADE" w:rsidP="00443ADE">
      <w:pPr>
        <w:tabs>
          <w:tab w:val="left" w:pos="426"/>
        </w:tabs>
        <w:spacing w:after="0" w:line="276" w:lineRule="auto"/>
        <w:jc w:val="both"/>
        <w:rPr>
          <w:rFonts w:ascii="Verdana" w:eastAsia="Century Gothic" w:hAnsi="Verdana" w:cs="Century Gothic"/>
          <w:lang w:val="es-ES"/>
        </w:rPr>
      </w:pPr>
    </w:p>
    <w:p w14:paraId="148EA917" w14:textId="43822023" w:rsidR="006A0C2D" w:rsidRDefault="00443ADE" w:rsidP="00FA4788">
      <w:pPr>
        <w:spacing w:after="0" w:line="276" w:lineRule="auto"/>
        <w:jc w:val="both"/>
        <w:rPr>
          <w:rFonts w:ascii="Verdana" w:eastAsia="Century Gothic" w:hAnsi="Verdana" w:cs="Century Gothic"/>
          <w:kern w:val="2"/>
          <w14:ligatures w14:val="standardContextual"/>
        </w:rPr>
      </w:pPr>
      <w:r w:rsidRPr="008D5D4A">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D035BC">
        <w:rPr>
          <w:rFonts w:ascii="Verdana" w:eastAsia="Century Gothic" w:hAnsi="Verdana" w:cs="Century Gothic"/>
        </w:rPr>
        <w:t>¿Cuál</w:t>
      </w:r>
      <w:r w:rsidR="00FA4788" w:rsidRPr="001540DB">
        <w:rPr>
          <w:rFonts w:ascii="Verdana" w:eastAsia="Century Gothic" w:hAnsi="Verdana" w:cs="Century Gothic"/>
          <w:kern w:val="2"/>
          <w14:ligatures w14:val="standardContextual"/>
        </w:rPr>
        <w:t xml:space="preserve"> es el alcance de </w:t>
      </w:r>
      <w:proofErr w:type="spellStart"/>
      <w:r w:rsidR="00FA4788" w:rsidRPr="001540DB">
        <w:rPr>
          <w:rFonts w:ascii="Verdana" w:eastAsia="Century Gothic" w:hAnsi="Verdana" w:cs="Century Gothic"/>
          <w:kern w:val="2"/>
          <w14:ligatures w14:val="standardContextual"/>
        </w:rPr>
        <w:t>subsanabilidad</w:t>
      </w:r>
      <w:proofErr w:type="spellEnd"/>
      <w:r w:rsidR="00FA4788" w:rsidRPr="001540DB">
        <w:rPr>
          <w:rFonts w:ascii="Verdana" w:eastAsia="Century Gothic" w:hAnsi="Verdana" w:cs="Century Gothic"/>
          <w:kern w:val="2"/>
          <w14:ligatures w14:val="standardContextual"/>
        </w:rPr>
        <w:t xml:space="preserve"> en los procedimientos </w:t>
      </w:r>
      <w:r w:rsidR="00FA4788" w:rsidRPr="001540DB">
        <w:rPr>
          <w:rFonts w:ascii="Verdana" w:eastAsia="Century Gothic" w:hAnsi="Verdana" w:cs="Century Gothic"/>
          <w:kern w:val="2"/>
          <w14:ligatures w14:val="standardContextual"/>
        </w:rPr>
        <w:lastRenderedPageBreak/>
        <w:t xml:space="preserve">de selección que utilicen los documentos tipo de interventoría de obra pública de infraestructura de transporte – versión 3? </w:t>
      </w:r>
    </w:p>
    <w:p w14:paraId="66D67671" w14:textId="77777777" w:rsidR="006A0C2D" w:rsidRDefault="006A0C2D" w:rsidP="00FA4788">
      <w:pPr>
        <w:spacing w:after="0" w:line="276" w:lineRule="auto"/>
        <w:jc w:val="both"/>
        <w:rPr>
          <w:rFonts w:ascii="Verdana" w:eastAsia="Century Gothic" w:hAnsi="Verdana" w:cs="Century Gothic"/>
          <w:kern w:val="2"/>
          <w14:ligatures w14:val="standardContextual"/>
        </w:rPr>
      </w:pPr>
    </w:p>
    <w:p w14:paraId="36A8C834" w14:textId="20CD5BD1" w:rsidR="00443ADE" w:rsidRDefault="00443ADE" w:rsidP="006A0C2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74530">
        <w:rPr>
          <w:rFonts w:ascii="Verdana" w:eastAsia="Century Gothic" w:hAnsi="Verdana" w:cs="Century Gothic"/>
          <w:b/>
          <w:bCs/>
        </w:rPr>
        <w:t>Respuesta:</w:t>
      </w:r>
    </w:p>
    <w:p w14:paraId="04155247" w14:textId="77777777" w:rsidR="00443ADE" w:rsidRPr="00DE4E8C" w:rsidRDefault="00443ADE" w:rsidP="00443ADE">
      <w:pPr>
        <w:tabs>
          <w:tab w:val="left" w:pos="142"/>
          <w:tab w:val="left" w:pos="284"/>
        </w:tabs>
        <w:spacing w:after="0" w:line="276" w:lineRule="auto"/>
        <w:jc w:val="both"/>
        <w:rPr>
          <w:rFonts w:ascii="Verdana" w:eastAsia="Century Gothic" w:hAnsi="Verdana" w:cs="Century Gothic"/>
          <w:b/>
          <w:bCs/>
          <w:highlight w:val="yellow"/>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43ADE" w:rsidRPr="00593A5F" w14:paraId="556601F0" w14:textId="77777777" w:rsidTr="1072F5BC">
        <w:tc>
          <w:tcPr>
            <w:tcW w:w="8828" w:type="dxa"/>
          </w:tcPr>
          <w:p w14:paraId="2FD378B3" w14:textId="106293C2" w:rsidR="002D5125" w:rsidRPr="00C30B31" w:rsidRDefault="006A0C2D" w:rsidP="006A0C2D">
            <w:pPr>
              <w:spacing w:after="120" w:line="276" w:lineRule="auto"/>
              <w:jc w:val="both"/>
              <w:rPr>
                <w:rFonts w:ascii="Verdana" w:eastAsia="Arial" w:hAnsi="Verdana" w:cs="Arial"/>
                <w:color w:val="000000"/>
                <w:lang w:eastAsia="es-CO"/>
              </w:rPr>
            </w:pPr>
            <w:r>
              <w:rPr>
                <w:rFonts w:ascii="Verdana" w:eastAsia="Century Gothic" w:hAnsi="Verdana" w:cs="Century Gothic"/>
                <w:lang w:eastAsia="es-CO"/>
              </w:rPr>
              <w:t xml:space="preserve">        </w:t>
            </w:r>
            <w:r w:rsidR="002D5125" w:rsidRPr="00C30B31">
              <w:rPr>
                <w:rFonts w:ascii="Verdana" w:eastAsia="Century Gothic" w:hAnsi="Verdana" w:cs="Century Gothic"/>
                <w:lang w:eastAsia="es-CO"/>
              </w:rPr>
              <w:t xml:space="preserve">Conforme a la interpretación de las normas generales del sistema de compras públicas, para garantizar </w:t>
            </w:r>
            <w:r w:rsidR="002D5125" w:rsidRPr="00C30B31">
              <w:rPr>
                <w:rFonts w:ascii="Verdana" w:eastAsia="Arial" w:hAnsi="Verdana" w:cs="Arial"/>
                <w:color w:val="000000"/>
                <w:lang w:eastAsia="es-CO"/>
              </w:rPr>
              <w:t>el principio de selección objetiva, es necesario que las entidades estatales se abstengan de rechazar las ofertas, por el incumplimiento de requisitos meramente formales, sacrificando la favorabilidad que podría representar la oferta que adolezca de estos defectos, si se permitiese su corrección. En otras palabras, es consustancial a la selección objetiva la obligación que tienen las entidades estatales de permitir la subsanación de los requisitos de participación, bajo las condiciones indicadas en la ley, antes de tomar la decisión de rechazar las propuestas que hayan omitido la observancia de los requisitos habilitantes.</w:t>
            </w:r>
          </w:p>
          <w:p w14:paraId="5ECA3654" w14:textId="77777777" w:rsidR="002D5125" w:rsidRPr="00C30B31" w:rsidRDefault="002D5125" w:rsidP="002D5125">
            <w:pPr>
              <w:spacing w:after="120" w:line="276" w:lineRule="auto"/>
              <w:ind w:firstLine="709"/>
              <w:jc w:val="both"/>
              <w:rPr>
                <w:rFonts w:ascii="Verdana" w:eastAsia="Century Gothic" w:hAnsi="Verdana" w:cs="Century Gothic"/>
                <w:lang w:val="es-ES" w:eastAsia="es-CO"/>
              </w:rPr>
            </w:pPr>
            <w:r w:rsidRPr="00C30B31">
              <w:rPr>
                <w:rFonts w:ascii="Verdana" w:eastAsia="Century Gothic" w:hAnsi="Verdana" w:cs="Century Gothic"/>
                <w:lang w:val="es-ES" w:eastAsia="es-CO"/>
              </w:rPr>
              <w:t xml:space="preserve">Teniendo en cuenta las reglas dispuestas en la Ley 1882 de 2018, todo lo que no sea necesario para la comparación de propuestas no es argumento suficiente para su rechazo en las diferentes modalidades de selección. De esta manera, se conserva el criterio aclaratorio de la Ley 1150 de 2007, según el cual todo lo que no afecte la asignación de puntaje puede subsanarse. </w:t>
            </w:r>
            <w:r w:rsidRPr="00C30B31">
              <w:rPr>
                <w:rFonts w:ascii="Verdana" w:eastAsia="Century Gothic" w:hAnsi="Verdana" w:cs="Century Gothic"/>
                <w:i/>
                <w:iCs/>
                <w:lang w:val="es-ES" w:eastAsia="es-CO"/>
              </w:rPr>
              <w:t>Por ello, si los requisitos no otorgan puntaje y tienen el carácter de habilitantes para la participación en el proceso de contratación, se entiende que, en principio, pueden subsanarse</w:t>
            </w:r>
            <w:r w:rsidRPr="00C30B31">
              <w:rPr>
                <w:rFonts w:ascii="Verdana" w:eastAsia="Century Gothic" w:hAnsi="Verdana" w:cs="Century Gothic"/>
                <w:lang w:val="es-ES" w:eastAsia="es-CO"/>
              </w:rPr>
              <w:t>.</w:t>
            </w:r>
          </w:p>
          <w:p w14:paraId="0E93236A" w14:textId="77777777" w:rsidR="002D5125" w:rsidRPr="00C30B31" w:rsidRDefault="002D5125" w:rsidP="002D5125">
            <w:pPr>
              <w:spacing w:after="120" w:line="276" w:lineRule="auto"/>
              <w:ind w:firstLine="709"/>
              <w:jc w:val="both"/>
              <w:rPr>
                <w:rFonts w:ascii="Verdana" w:eastAsia="Century Gothic" w:hAnsi="Verdana" w:cs="Century Gothic"/>
                <w:lang w:eastAsia="es-CO"/>
              </w:rPr>
            </w:pPr>
            <w:r w:rsidRPr="00C30B31">
              <w:rPr>
                <w:rFonts w:ascii="Verdana" w:eastAsia="Century Gothic" w:hAnsi="Verdana" w:cs="Century Gothic"/>
                <w:lang w:eastAsia="es-CO"/>
              </w:rPr>
              <w:t xml:space="preserve">En resumen, por regla general, son subsanables i) la falta de entrega o </w:t>
            </w:r>
            <w:proofErr w:type="spellStart"/>
            <w:r w:rsidRPr="00C30B31">
              <w:rPr>
                <w:rFonts w:ascii="Verdana" w:eastAsia="Century Gothic" w:hAnsi="Verdana" w:cs="Century Gothic"/>
                <w:lang w:eastAsia="es-CO"/>
              </w:rPr>
              <w:t>ii</w:t>
            </w:r>
            <w:proofErr w:type="spellEnd"/>
            <w:r w:rsidRPr="00C30B31">
              <w:rPr>
                <w:rFonts w:ascii="Verdana" w:eastAsia="Century Gothic" w:hAnsi="Verdana" w:cs="Century Gothic"/>
                <w:lang w:eastAsia="es-CO"/>
              </w:rPr>
              <w:t xml:space="preserve">) los defectos de los requisitos habilitantes. La excepción se encuentra en los casos, previstos en la ley, que limitan la </w:t>
            </w:r>
            <w:proofErr w:type="spellStart"/>
            <w:r w:rsidRPr="00C30B31">
              <w:rPr>
                <w:rFonts w:ascii="Verdana" w:eastAsia="Century Gothic" w:hAnsi="Verdana" w:cs="Century Gothic"/>
                <w:lang w:eastAsia="es-CO"/>
              </w:rPr>
              <w:t>subsanabilidad</w:t>
            </w:r>
            <w:proofErr w:type="spellEnd"/>
            <w:r w:rsidRPr="00C30B31">
              <w:rPr>
                <w:rFonts w:ascii="Verdana" w:eastAsia="Century Gothic" w:hAnsi="Verdana" w:cs="Century Gothic"/>
                <w:lang w:eastAsia="es-CO"/>
              </w:rPr>
              <w:t xml:space="preserve">, es decir, en la prohibición de permitir la entrega de la garantía de seriedad de la oferta que no fue aportada con la propuesta y de valer la acreditación de circunstancias ocurridas con posterioridad al cierre del proceso. </w:t>
            </w:r>
          </w:p>
          <w:p w14:paraId="3DC24664" w14:textId="77777777" w:rsidR="002D5125" w:rsidRPr="00C30B31" w:rsidRDefault="002D5125" w:rsidP="002D5125">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w:t>
            </w:r>
            <w:r w:rsidRPr="00C30B31">
              <w:rPr>
                <w:rFonts w:ascii="Verdana" w:eastAsia="Arial" w:hAnsi="Verdana" w:cs="Arial"/>
                <w:color w:val="000000"/>
              </w:rPr>
              <w:lastRenderedPageBreak/>
              <w:t xml:space="preserve">respuesta al segundo interrogante debe dar cuenta de que lo omitido sea la prueba de una circunstancia o hecho que ocurrió con anterioridad al cierre del proceso. </w:t>
            </w:r>
          </w:p>
          <w:p w14:paraId="61133C99" w14:textId="77777777" w:rsidR="002D5125" w:rsidRPr="00C30B31" w:rsidRDefault="002D5125" w:rsidP="002D5125">
            <w:pPr>
              <w:spacing w:line="276" w:lineRule="auto"/>
              <w:ind w:firstLine="708"/>
              <w:jc w:val="both"/>
              <w:rPr>
                <w:rFonts w:ascii="Verdana" w:eastAsia="Times New Roman" w:hAnsi="Verdana" w:cs="Arial"/>
                <w:color w:val="000000"/>
                <w:lang w:val="es-ES_tradnl" w:eastAsia="es-ES_tradnl"/>
              </w:rPr>
            </w:pPr>
            <w:r w:rsidRPr="00C30B31">
              <w:rPr>
                <w:rFonts w:ascii="Verdana" w:eastAsia="Times New Roman" w:hAnsi="Verdana" w:cs="Arial"/>
                <w:color w:val="000000"/>
                <w:lang w:val="es-ES_tradnl" w:eastAsia="es-ES_tradnl"/>
              </w:rPr>
              <w:t xml:space="preserve">Teniendo en cuenta lo anterior, y que en el procedimiento de selección estandarizado mediante el documento tipo de interventoría la asignación de puntaje no sería susceptible de subsanación, de acuerdo con las reglas de la norma citada, debe indicarse que, de esta manera el “documento base” del documento tipo de interventoría establece en el numeral 1.6. lo siguiente: </w:t>
            </w:r>
          </w:p>
          <w:p w14:paraId="3A08A45B" w14:textId="77777777" w:rsidR="002D5125" w:rsidRPr="00C30B31" w:rsidRDefault="002D5125" w:rsidP="002D5125">
            <w:pPr>
              <w:spacing w:line="276" w:lineRule="auto"/>
              <w:ind w:firstLine="709"/>
              <w:jc w:val="both"/>
              <w:rPr>
                <w:rFonts w:ascii="Verdana" w:eastAsia="Calibri" w:hAnsi="Verdana" w:cs="Arial"/>
                <w:bCs/>
                <w:color w:val="000000"/>
                <w:sz w:val="21"/>
                <w:szCs w:val="21"/>
                <w:lang w:val="es-ES_tradnl" w:eastAsia="es-ES_tradnl"/>
              </w:rPr>
            </w:pPr>
          </w:p>
          <w:p w14:paraId="78960AAD" w14:textId="77777777" w:rsidR="002D5125" w:rsidRPr="00C30B31" w:rsidRDefault="002D5125" w:rsidP="002D5125">
            <w:pPr>
              <w:autoSpaceDE w:val="0"/>
              <w:autoSpaceDN w:val="0"/>
              <w:adjustRightInd w:val="0"/>
              <w:ind w:left="709" w:right="709"/>
              <w:jc w:val="both"/>
              <w:rPr>
                <w:rFonts w:ascii="Verdana" w:eastAsia="Aptos" w:hAnsi="Verdana" w:cs="Arial"/>
                <w:sz w:val="21"/>
                <w:szCs w:val="21"/>
              </w:rPr>
            </w:pPr>
            <w:r w:rsidRPr="00C30B31">
              <w:rPr>
                <w:rFonts w:ascii="Verdana" w:eastAsia="Aptos" w:hAnsi="Verdana" w:cs="Arial"/>
                <w:sz w:val="21"/>
                <w:szCs w:val="21"/>
              </w:rPr>
              <w:t xml:space="preserve">“El Proponente tiene la responsabilidad y el deber de presentar su oferta de forma completa e íntegra, esto es, cumpliendo el contenido del Pliego de Condiciones y adjuntando los documentos de soporte o prueba de las condiciones que pretenda hacer valer en el Proceso de Contratación. </w:t>
            </w:r>
          </w:p>
          <w:p w14:paraId="2F2483F6" w14:textId="77777777" w:rsidR="002D5125" w:rsidRPr="00C30B31" w:rsidRDefault="002D5125" w:rsidP="002D5125">
            <w:pPr>
              <w:autoSpaceDE w:val="0"/>
              <w:autoSpaceDN w:val="0"/>
              <w:adjustRightInd w:val="0"/>
              <w:spacing w:before="120" w:after="240"/>
              <w:ind w:left="709" w:right="709"/>
              <w:jc w:val="both"/>
              <w:rPr>
                <w:rFonts w:ascii="Verdana" w:eastAsia="Aptos" w:hAnsi="Verdana" w:cs="Arial"/>
                <w:sz w:val="21"/>
                <w:szCs w:val="21"/>
              </w:rPr>
            </w:pPr>
            <w:r w:rsidRPr="00C30B31">
              <w:rPr>
                <w:rFonts w:ascii="Verdana" w:eastAsia="Aptos" w:hAnsi="Verdana" w:cs="Arial"/>
                <w:sz w:val="21"/>
                <w:szCs w:val="21"/>
              </w:rPr>
              <w:t xml:space="preserve">En caso de ser necesario, la Entidad debe solicitar a los Proponentes durante el proceso de evaluación, y a más tardar en el informe de evaluación, las aclaraciones, precisiones o solicitudes de documentos que puedan ser subsanables. No obstante, los Proponentes no podrán completar, adicionar o mejorar sus propuestas en los aspectos que otorgan puntaje, ni tampoco en los factores de desempate, los cuales podrán ser objeto de aclaraciones y explicaciones. Los Proponentes deberán allegar las aclaraciones o documentos requeridos en el momento en el que fueron solicitados y a más tardar hasta el término de traslado del informe de evaluación, es decir, dentro de los tres (3) días hábiles posteriores contados a partir del día hábil siguiente a la publicación del informe de evaluación. </w:t>
            </w:r>
          </w:p>
          <w:p w14:paraId="26E74A9D" w14:textId="77777777" w:rsidR="002D5125" w:rsidRPr="00C30B31" w:rsidRDefault="002D5125" w:rsidP="002D5125">
            <w:pPr>
              <w:autoSpaceDE w:val="0"/>
              <w:autoSpaceDN w:val="0"/>
              <w:adjustRightInd w:val="0"/>
              <w:ind w:left="709" w:right="709"/>
              <w:jc w:val="both"/>
              <w:rPr>
                <w:rFonts w:ascii="Verdana" w:eastAsia="Aptos" w:hAnsi="Verdana" w:cs="Times New Roman"/>
                <w:sz w:val="21"/>
                <w:szCs w:val="21"/>
              </w:rPr>
            </w:pPr>
            <w:r w:rsidRPr="00C30B31">
              <w:rPr>
                <w:rFonts w:ascii="Verdana" w:eastAsia="Aptos" w:hAnsi="Verdana" w:cs="Arial"/>
                <w:sz w:val="21"/>
                <w:szCs w:val="21"/>
              </w:rPr>
              <w:t>En</w:t>
            </w:r>
            <w:r w:rsidRPr="00C30B31">
              <w:rPr>
                <w:rFonts w:ascii="Verdana" w:eastAsia="Arial" w:hAnsi="Verdana" w:cs="Arial"/>
                <w:sz w:val="21"/>
                <w:szCs w:val="21"/>
              </w:rPr>
              <w:t xml:space="preserve"> </w:t>
            </w:r>
            <w:r w:rsidRPr="00C30B31">
              <w:rPr>
                <w:rFonts w:ascii="Verdana" w:eastAsia="Aptos" w:hAnsi="Verdana" w:cs="Arial"/>
                <w:sz w:val="21"/>
                <w:szCs w:val="21"/>
              </w:rPr>
              <w:t>caso de</w:t>
            </w:r>
            <w:r w:rsidRPr="00C30B31">
              <w:rPr>
                <w:rFonts w:ascii="Verdana" w:eastAsia="Arial" w:hAnsi="Verdana" w:cs="Arial"/>
                <w:sz w:val="21"/>
                <w:szCs w:val="21"/>
              </w:rPr>
              <w:t xml:space="preserve"> </w:t>
            </w:r>
            <w:r w:rsidRPr="00C30B31">
              <w:rPr>
                <w:rFonts w:ascii="Verdana" w:eastAsia="Aptos" w:hAnsi="Verdana" w:cs="Arial"/>
                <w:sz w:val="21"/>
                <w:szCs w:val="21"/>
              </w:rPr>
              <w:t>que</w:t>
            </w:r>
            <w:r w:rsidRPr="00C30B31">
              <w:rPr>
                <w:rFonts w:ascii="Verdana" w:eastAsia="Arial" w:hAnsi="Verdana" w:cs="Arial"/>
                <w:sz w:val="21"/>
                <w:szCs w:val="21"/>
              </w:rPr>
              <w:t xml:space="preserve"> </w:t>
            </w:r>
            <w:r w:rsidRPr="00C30B31">
              <w:rPr>
                <w:rFonts w:ascii="Verdana" w:eastAsia="Aptos" w:hAnsi="Verdana" w:cs="Arial"/>
                <w:sz w:val="21"/>
                <w:szCs w:val="21"/>
              </w:rPr>
              <w:t>la</w:t>
            </w:r>
            <w:r w:rsidRPr="00C30B31">
              <w:rPr>
                <w:rFonts w:ascii="Verdana" w:eastAsia="Arial" w:hAnsi="Verdana" w:cs="Arial"/>
                <w:sz w:val="21"/>
                <w:szCs w:val="21"/>
              </w:rPr>
              <w:t xml:space="preserve"> </w:t>
            </w:r>
            <w:r w:rsidRPr="00C30B31" w:rsidDel="00E41DBB">
              <w:rPr>
                <w:rFonts w:ascii="Verdana" w:eastAsia="Aptos" w:hAnsi="Verdana" w:cs="Arial"/>
                <w:sz w:val="21"/>
                <w:szCs w:val="21"/>
              </w:rPr>
              <w:t>Entidad</w:t>
            </w:r>
            <w:r w:rsidRPr="00C30B31">
              <w:rPr>
                <w:rFonts w:ascii="Verdana" w:eastAsia="Arial" w:hAnsi="Verdana" w:cs="Arial"/>
                <w:sz w:val="21"/>
                <w:szCs w:val="21"/>
              </w:rPr>
              <w:t xml:space="preserve"> </w:t>
            </w:r>
            <w:r w:rsidRPr="00C30B31">
              <w:rPr>
                <w:rFonts w:ascii="Verdana" w:eastAsia="Aptos" w:hAnsi="Verdana" w:cs="Arial"/>
                <w:sz w:val="21"/>
                <w:szCs w:val="21"/>
              </w:rPr>
              <w:t>no hubiese advertido durante el proceso de evaluación</w:t>
            </w:r>
            <w:r w:rsidRPr="00C30B31">
              <w:rPr>
                <w:rFonts w:ascii="Verdana" w:eastAsia="Arial" w:hAnsi="Verdana" w:cs="Arial"/>
                <w:sz w:val="21"/>
                <w:szCs w:val="21"/>
              </w:rPr>
              <w:t xml:space="preserve"> </w:t>
            </w:r>
            <w:r w:rsidRPr="00C30B31">
              <w:rPr>
                <w:rFonts w:ascii="Verdana" w:eastAsia="Aptos" w:hAnsi="Verdana" w:cs="Arial"/>
                <w:sz w:val="21"/>
                <w:szCs w:val="21"/>
              </w:rPr>
              <w:t>la</w:t>
            </w:r>
            <w:r w:rsidRPr="00C30B31">
              <w:rPr>
                <w:rFonts w:ascii="Verdana" w:eastAsia="Arial" w:hAnsi="Verdana" w:cs="Arial"/>
                <w:sz w:val="21"/>
                <w:szCs w:val="21"/>
              </w:rPr>
              <w:t xml:space="preserve"> </w:t>
            </w:r>
            <w:r w:rsidRPr="00C30B31">
              <w:rPr>
                <w:rFonts w:ascii="Verdana" w:eastAsia="Aptos" w:hAnsi="Verdana" w:cs="Arial"/>
                <w:sz w:val="21"/>
                <w:szCs w:val="21"/>
              </w:rPr>
              <w:t>ausencia</w:t>
            </w:r>
            <w:r w:rsidRPr="00C30B31">
              <w:rPr>
                <w:rFonts w:ascii="Verdana" w:eastAsia="Arial" w:hAnsi="Verdana" w:cs="Arial"/>
                <w:sz w:val="21"/>
                <w:szCs w:val="21"/>
              </w:rPr>
              <w:t xml:space="preserve"> </w:t>
            </w:r>
            <w:r w:rsidRPr="00C30B31">
              <w:rPr>
                <w:rFonts w:ascii="Verdana" w:eastAsia="Aptos" w:hAnsi="Verdana" w:cs="Arial"/>
                <w:sz w:val="21"/>
                <w:szCs w:val="21"/>
              </w:rPr>
              <w:t>de</w:t>
            </w:r>
            <w:r w:rsidRPr="00C30B31">
              <w:rPr>
                <w:rFonts w:ascii="Verdana" w:eastAsia="Arial" w:hAnsi="Verdana" w:cs="Arial"/>
                <w:sz w:val="21"/>
                <w:szCs w:val="21"/>
              </w:rPr>
              <w:t xml:space="preserve"> </w:t>
            </w:r>
            <w:r w:rsidRPr="00C30B31">
              <w:rPr>
                <w:rFonts w:ascii="Verdana" w:eastAsia="Aptos" w:hAnsi="Verdana" w:cs="Arial"/>
                <w:sz w:val="21"/>
                <w:szCs w:val="21"/>
              </w:rPr>
              <w:t>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w:t>
            </w:r>
            <w:r w:rsidRPr="00C30B31">
              <w:rPr>
                <w:rFonts w:ascii="Verdana" w:eastAsia="Arial" w:hAnsi="Verdana" w:cs="Arial"/>
                <w:sz w:val="21"/>
                <w:szCs w:val="21"/>
              </w:rPr>
              <w:t xml:space="preserve">, </w:t>
            </w:r>
            <w:r w:rsidRPr="00C30B31">
              <w:rPr>
                <w:rFonts w:ascii="Verdana" w:eastAsia="Aptos" w:hAnsi="Verdana" w:cs="Arial"/>
                <w:sz w:val="21"/>
                <w:szCs w:val="21"/>
              </w:rPr>
              <w:t>otorgándole</w:t>
            </w:r>
            <w:r w:rsidRPr="00C30B31">
              <w:rPr>
                <w:rFonts w:ascii="Verdana" w:eastAsia="Arial" w:hAnsi="Verdana" w:cs="Arial"/>
                <w:sz w:val="21"/>
                <w:szCs w:val="21"/>
              </w:rPr>
              <w:t xml:space="preserve"> </w:t>
            </w:r>
            <w:r w:rsidRPr="00C30B31">
              <w:rPr>
                <w:rFonts w:ascii="Verdana" w:eastAsia="Aptos" w:hAnsi="Verdana" w:cs="Arial"/>
                <w:sz w:val="21"/>
                <w:szCs w:val="21"/>
              </w:rPr>
              <w:t>al Proponente</w:t>
            </w:r>
            <w:r w:rsidRPr="00C30B31">
              <w:rPr>
                <w:rFonts w:ascii="Verdana" w:eastAsia="Arial" w:hAnsi="Verdana" w:cs="Arial"/>
                <w:sz w:val="21"/>
                <w:szCs w:val="21"/>
              </w:rPr>
              <w:t xml:space="preserve"> </w:t>
            </w:r>
            <w:r w:rsidRPr="00C30B31">
              <w:rPr>
                <w:rFonts w:ascii="Verdana" w:eastAsia="Aptos" w:hAnsi="Verdana" w:cs="Arial"/>
                <w:sz w:val="21"/>
                <w:szCs w:val="21"/>
              </w:rPr>
              <w:t>un</w:t>
            </w:r>
            <w:r w:rsidRPr="00C30B31">
              <w:rPr>
                <w:rFonts w:ascii="Verdana" w:eastAsia="Arial" w:hAnsi="Verdana" w:cs="Arial"/>
                <w:sz w:val="21"/>
                <w:szCs w:val="21"/>
              </w:rPr>
              <w:t xml:space="preserve"> </w:t>
            </w:r>
            <w:r w:rsidRPr="00C30B31">
              <w:rPr>
                <w:rFonts w:ascii="Verdana" w:eastAsia="Aptos" w:hAnsi="Verdana" w:cs="Arial"/>
                <w:sz w:val="21"/>
                <w:szCs w:val="21"/>
              </w:rPr>
              <w:t>término</w:t>
            </w:r>
            <w:r w:rsidRPr="00C30B31">
              <w:rPr>
                <w:rFonts w:ascii="Verdana" w:eastAsia="Arial" w:hAnsi="Verdana" w:cs="Arial"/>
                <w:sz w:val="21"/>
                <w:szCs w:val="21"/>
              </w:rPr>
              <w:t xml:space="preserve"> </w:t>
            </w:r>
            <w:r w:rsidRPr="00C30B31">
              <w:rPr>
                <w:rFonts w:ascii="Verdana" w:eastAsia="Aptos" w:hAnsi="Verdana" w:cs="Arial"/>
                <w:sz w:val="21"/>
                <w:szCs w:val="21"/>
              </w:rPr>
              <w:t>igual</w:t>
            </w:r>
            <w:r w:rsidRPr="00C30B31">
              <w:rPr>
                <w:rFonts w:ascii="Verdana" w:eastAsia="Arial" w:hAnsi="Verdana" w:cs="Arial"/>
                <w:sz w:val="21"/>
                <w:szCs w:val="21"/>
              </w:rPr>
              <w:t xml:space="preserve"> </w:t>
            </w:r>
            <w:r w:rsidRPr="00C30B31">
              <w:rPr>
                <w:rFonts w:ascii="Verdana" w:eastAsia="Aptos" w:hAnsi="Verdana" w:cs="Arial"/>
                <w:sz w:val="21"/>
                <w:szCs w:val="21"/>
              </w:rPr>
              <w:t>al</w:t>
            </w:r>
            <w:r w:rsidRPr="00C30B31">
              <w:rPr>
                <w:rFonts w:ascii="Verdana" w:eastAsia="Arial" w:hAnsi="Verdana" w:cs="Arial"/>
                <w:sz w:val="21"/>
                <w:szCs w:val="21"/>
              </w:rPr>
              <w:t xml:space="preserve"> </w:t>
            </w:r>
            <w:r w:rsidRPr="00C30B31">
              <w:rPr>
                <w:rFonts w:ascii="Verdana" w:eastAsia="Aptos" w:hAnsi="Verdana" w:cs="Arial"/>
                <w:sz w:val="21"/>
                <w:szCs w:val="21"/>
              </w:rPr>
              <w:t>establecido</w:t>
            </w:r>
            <w:r w:rsidRPr="00C30B31">
              <w:rPr>
                <w:rFonts w:ascii="Verdana" w:eastAsia="Arial" w:hAnsi="Verdana" w:cs="Arial"/>
                <w:sz w:val="21"/>
                <w:szCs w:val="21"/>
              </w:rPr>
              <w:t xml:space="preserve"> </w:t>
            </w:r>
            <w:r w:rsidRPr="00C30B31">
              <w:rPr>
                <w:rFonts w:ascii="Verdana" w:eastAsia="Aptos" w:hAnsi="Verdana" w:cs="Arial"/>
                <w:sz w:val="21"/>
                <w:szCs w:val="21"/>
              </w:rPr>
              <w:t>para</w:t>
            </w:r>
            <w:r w:rsidRPr="00C30B31">
              <w:rPr>
                <w:rFonts w:ascii="Verdana" w:eastAsia="Arial" w:hAnsi="Verdana" w:cs="Arial"/>
                <w:sz w:val="21"/>
                <w:szCs w:val="21"/>
              </w:rPr>
              <w:t xml:space="preserve"> </w:t>
            </w:r>
            <w:r w:rsidRPr="00C30B31">
              <w:rPr>
                <w:rFonts w:ascii="Verdana" w:eastAsia="Aptos" w:hAnsi="Verdana" w:cs="Arial"/>
                <w:sz w:val="21"/>
                <w:szCs w:val="21"/>
              </w:rPr>
              <w:t>el</w:t>
            </w:r>
            <w:r w:rsidRPr="00C30B31">
              <w:rPr>
                <w:rFonts w:ascii="Verdana" w:eastAsia="Arial" w:hAnsi="Verdana" w:cs="Arial"/>
                <w:sz w:val="21"/>
                <w:szCs w:val="21"/>
              </w:rPr>
              <w:t xml:space="preserve"> </w:t>
            </w:r>
            <w:r w:rsidRPr="00C30B31">
              <w:rPr>
                <w:rFonts w:ascii="Verdana" w:eastAsia="Aptos" w:hAnsi="Verdana" w:cs="Arial"/>
                <w:sz w:val="21"/>
                <w:szCs w:val="21"/>
              </w:rPr>
              <w:t>traslado</w:t>
            </w:r>
            <w:r w:rsidRPr="00C30B31">
              <w:rPr>
                <w:rFonts w:ascii="Verdana" w:eastAsia="Arial" w:hAnsi="Verdana" w:cs="Arial"/>
                <w:sz w:val="21"/>
                <w:szCs w:val="21"/>
              </w:rPr>
              <w:t xml:space="preserve"> </w:t>
            </w:r>
            <w:r w:rsidRPr="00C30B31">
              <w:rPr>
                <w:rFonts w:ascii="Verdana" w:eastAsia="Aptos" w:hAnsi="Verdana" w:cs="Arial"/>
                <w:sz w:val="21"/>
                <w:szCs w:val="21"/>
              </w:rPr>
              <w:t>del</w:t>
            </w:r>
            <w:r w:rsidRPr="00C30B31">
              <w:rPr>
                <w:rFonts w:ascii="Verdana" w:eastAsia="Arial" w:hAnsi="Verdana" w:cs="Arial"/>
                <w:sz w:val="21"/>
                <w:szCs w:val="21"/>
              </w:rPr>
              <w:t xml:space="preserve"> </w:t>
            </w:r>
            <w:r w:rsidRPr="00C30B31">
              <w:rPr>
                <w:rFonts w:ascii="Verdana" w:eastAsia="Aptos" w:hAnsi="Verdana" w:cs="Arial"/>
                <w:sz w:val="21"/>
                <w:szCs w:val="21"/>
              </w:rPr>
              <w:t>informe</w:t>
            </w:r>
            <w:r w:rsidRPr="00C30B31">
              <w:rPr>
                <w:rFonts w:ascii="Verdana" w:eastAsia="Arial" w:hAnsi="Verdana" w:cs="Arial"/>
                <w:sz w:val="21"/>
                <w:szCs w:val="21"/>
              </w:rPr>
              <w:t xml:space="preserve"> </w:t>
            </w:r>
            <w:r w:rsidRPr="00C30B31">
              <w:rPr>
                <w:rFonts w:ascii="Verdana" w:eastAsia="Aptos" w:hAnsi="Verdana" w:cs="Arial"/>
                <w:sz w:val="21"/>
                <w:szCs w:val="21"/>
              </w:rPr>
              <w:t>de</w:t>
            </w:r>
            <w:r w:rsidRPr="00C30B31">
              <w:rPr>
                <w:rFonts w:ascii="Verdana" w:eastAsia="Arial" w:hAnsi="Verdana" w:cs="Arial"/>
                <w:sz w:val="21"/>
                <w:szCs w:val="21"/>
              </w:rPr>
              <w:t xml:space="preserve"> </w:t>
            </w:r>
            <w:r w:rsidRPr="00C30B31">
              <w:rPr>
                <w:rFonts w:ascii="Verdana" w:eastAsia="Aptos" w:hAnsi="Verdana" w:cs="Arial"/>
                <w:sz w:val="21"/>
                <w:szCs w:val="21"/>
              </w:rPr>
              <w:t>evaluación</w:t>
            </w:r>
            <w:r w:rsidRPr="00C30B31">
              <w:rPr>
                <w:rFonts w:ascii="Verdana" w:eastAsia="Arial" w:hAnsi="Verdana" w:cs="Arial"/>
                <w:sz w:val="21"/>
                <w:szCs w:val="21"/>
              </w:rPr>
              <w:t>,</w:t>
            </w:r>
            <w:r w:rsidRPr="00C30B31" w:rsidDel="008C5B46">
              <w:rPr>
                <w:rFonts w:ascii="Verdana" w:eastAsia="Arial" w:hAnsi="Verdana" w:cs="Arial"/>
                <w:sz w:val="21"/>
                <w:szCs w:val="21"/>
              </w:rPr>
              <w:t xml:space="preserve"> </w:t>
            </w:r>
            <w:r w:rsidRPr="00C30B31">
              <w:rPr>
                <w:rFonts w:ascii="Verdana" w:eastAsia="Aptos" w:hAnsi="Verdana" w:cs="Arial"/>
                <w:sz w:val="21"/>
                <w:szCs w:val="21"/>
              </w:rPr>
              <w:t>con</w:t>
            </w:r>
            <w:r w:rsidRPr="00C30B31">
              <w:rPr>
                <w:rFonts w:ascii="Verdana" w:eastAsia="Arial" w:hAnsi="Verdana" w:cs="Arial"/>
                <w:sz w:val="21"/>
                <w:szCs w:val="21"/>
              </w:rPr>
              <w:t xml:space="preserve"> </w:t>
            </w:r>
            <w:r w:rsidRPr="00C30B31">
              <w:rPr>
                <w:rFonts w:ascii="Verdana" w:eastAsia="Aptos" w:hAnsi="Verdana" w:cs="Arial"/>
                <w:sz w:val="21"/>
                <w:szCs w:val="21"/>
              </w:rPr>
              <w:t>el</w:t>
            </w:r>
            <w:r w:rsidRPr="00C30B31">
              <w:rPr>
                <w:rFonts w:ascii="Verdana" w:eastAsia="Arial" w:hAnsi="Verdana" w:cs="Arial"/>
                <w:sz w:val="21"/>
                <w:szCs w:val="21"/>
              </w:rPr>
              <w:t xml:space="preserve"> </w:t>
            </w:r>
            <w:r w:rsidRPr="00C30B31">
              <w:rPr>
                <w:rFonts w:ascii="Verdana" w:eastAsia="Aptos" w:hAnsi="Verdana" w:cs="Arial"/>
                <w:sz w:val="21"/>
                <w:szCs w:val="21"/>
              </w:rPr>
              <w:t>fin</w:t>
            </w:r>
            <w:r w:rsidRPr="00C30B31">
              <w:rPr>
                <w:rFonts w:ascii="Verdana" w:eastAsia="Arial" w:hAnsi="Verdana" w:cs="Arial"/>
                <w:sz w:val="21"/>
                <w:szCs w:val="21"/>
              </w:rPr>
              <w:t xml:space="preserve"> </w:t>
            </w:r>
            <w:r w:rsidRPr="00C30B31">
              <w:rPr>
                <w:rFonts w:ascii="Verdana" w:eastAsia="Aptos" w:hAnsi="Verdana" w:cs="Arial"/>
                <w:sz w:val="21"/>
                <w:szCs w:val="21"/>
              </w:rPr>
              <w:t>de</w:t>
            </w:r>
            <w:r w:rsidRPr="00C30B31">
              <w:rPr>
                <w:rFonts w:ascii="Verdana" w:eastAsia="Arial" w:hAnsi="Verdana" w:cs="Arial"/>
                <w:sz w:val="21"/>
                <w:szCs w:val="21"/>
              </w:rPr>
              <w:t xml:space="preserve"> </w:t>
            </w:r>
            <w:r w:rsidRPr="00C30B31">
              <w:rPr>
                <w:rFonts w:ascii="Verdana" w:eastAsia="Aptos" w:hAnsi="Verdana" w:cs="Arial"/>
                <w:sz w:val="21"/>
                <w:szCs w:val="21"/>
              </w:rPr>
              <w:t>que</w:t>
            </w:r>
            <w:r w:rsidRPr="00C30B31">
              <w:rPr>
                <w:rFonts w:ascii="Verdana" w:eastAsia="Arial" w:hAnsi="Verdana" w:cs="Arial"/>
                <w:sz w:val="21"/>
                <w:szCs w:val="21"/>
              </w:rPr>
              <w:t xml:space="preserve"> </w:t>
            </w:r>
            <w:r w:rsidRPr="00C30B31">
              <w:rPr>
                <w:rFonts w:ascii="Verdana" w:eastAsia="Aptos" w:hAnsi="Verdana" w:cs="Arial"/>
                <w:sz w:val="21"/>
                <w:szCs w:val="21"/>
              </w:rPr>
              <w:t>los allegue. En caso de que sea necesario, la E</w:t>
            </w:r>
            <w:r w:rsidRPr="00C30B31" w:rsidDel="00E41DBB">
              <w:rPr>
                <w:rFonts w:ascii="Verdana" w:eastAsia="Aptos" w:hAnsi="Verdana" w:cs="Arial"/>
                <w:sz w:val="21"/>
                <w:szCs w:val="21"/>
              </w:rPr>
              <w:t>ntidad</w:t>
            </w:r>
            <w:r w:rsidRPr="00C30B31">
              <w:rPr>
                <w:rFonts w:ascii="Verdana" w:eastAsia="Aptos" w:hAnsi="Verdana" w:cs="Arial"/>
                <w:sz w:val="21"/>
                <w:szCs w:val="21"/>
              </w:rPr>
              <w:t xml:space="preserve"> ajustará el Cronograma. </w:t>
            </w:r>
            <w:r w:rsidRPr="00C30B31">
              <w:rPr>
                <w:rFonts w:ascii="Verdana" w:eastAsia="Arial" w:hAnsi="Verdana" w:cs="Arial"/>
                <w:sz w:val="21"/>
                <w:szCs w:val="21"/>
              </w:rPr>
              <w:t>Lo aquí descrito también aplicará cuando la observación a la oferta provenga de otro Proponente y se hubiere realizado en el traslado del informe de evaluación”.</w:t>
            </w:r>
          </w:p>
          <w:p w14:paraId="12261F23" w14:textId="77777777" w:rsidR="002D5125" w:rsidRPr="00C30B31" w:rsidRDefault="002D5125" w:rsidP="002D5125">
            <w:pPr>
              <w:tabs>
                <w:tab w:val="left" w:pos="0"/>
              </w:tabs>
              <w:jc w:val="both"/>
              <w:rPr>
                <w:rFonts w:ascii="Verdana" w:eastAsia="Calibri" w:hAnsi="Verdana" w:cs="Arial"/>
                <w:b/>
                <w:color w:val="000000"/>
                <w:lang w:val="es-ES_tradnl" w:eastAsia="es-ES_tradnl"/>
              </w:rPr>
            </w:pPr>
          </w:p>
          <w:p w14:paraId="5B853ABC" w14:textId="77777777" w:rsidR="002D5125" w:rsidRPr="00C30B31" w:rsidRDefault="002D5125" w:rsidP="002D5125">
            <w:pPr>
              <w:spacing w:after="120" w:line="276" w:lineRule="auto"/>
              <w:ind w:right="51" w:firstLine="709"/>
              <w:jc w:val="both"/>
              <w:rPr>
                <w:rFonts w:ascii="Arial" w:eastAsia="Arial" w:hAnsi="Arial" w:cs="Arial"/>
                <w:lang w:val="es-MX" w:eastAsia="es-ES"/>
              </w:rPr>
            </w:pPr>
            <w:r w:rsidRPr="00C30B31">
              <w:rPr>
                <w:rFonts w:ascii="Verdana" w:eastAsia="Calibri" w:hAnsi="Verdana" w:cs="Arial"/>
                <w:lang w:val="es-MX"/>
              </w:rPr>
              <w:t xml:space="preserve">Como en efecto lo explica textualmente el pliego, no son subsanables los aspectos que otorgan puntaje ni los factores de desempate, pero respecto </w:t>
            </w:r>
            <w:r w:rsidRPr="00C30B31">
              <w:rPr>
                <w:rFonts w:ascii="Verdana" w:eastAsia="Calibri" w:hAnsi="Verdana" w:cs="Arial"/>
                <w:lang w:val="es-MX"/>
              </w:rPr>
              <w:lastRenderedPageBreak/>
              <w:t>de estos si procede la aclaración o explicación que solicite la entidad y que aporte el proponente</w:t>
            </w:r>
            <w:r w:rsidRPr="00C30B31">
              <w:rPr>
                <w:rFonts w:ascii="Verdana" w:eastAsia="Arial" w:hAnsi="Verdana" w:cs="Arial"/>
                <w:lang w:val="es-MX" w:eastAsia="es-ES"/>
              </w:rPr>
              <w:t xml:space="preserve">. Esto se encuentra en armonía con el parágrafo 1 del artículo 5 de la Ley 1150 de 2007, modificado por el artículo 5 de la Ley 1882 de 2018, que dispone la </w:t>
            </w:r>
            <w:proofErr w:type="spellStart"/>
            <w:r w:rsidRPr="00C30B31">
              <w:rPr>
                <w:rFonts w:ascii="Verdana" w:eastAsia="Arial" w:hAnsi="Verdana" w:cs="Arial"/>
                <w:lang w:val="es-MX" w:eastAsia="es-ES"/>
              </w:rPr>
              <w:t>subsanabilidad</w:t>
            </w:r>
            <w:proofErr w:type="spellEnd"/>
            <w:r w:rsidRPr="00C30B31">
              <w:rPr>
                <w:rFonts w:ascii="Verdana" w:eastAsia="Arial" w:hAnsi="Verdana" w:cs="Arial"/>
                <w:lang w:val="es-MX" w:eastAsia="es-ES"/>
              </w:rPr>
              <w:t xml:space="preserve"> de los requisitos de la propuesta que no afecten la asignación de puntaje, los cuales deben ser solicitados por la entidad estatal contratante y aportados por los proponentes, lo que implica que los requisitos ponderables o que otorguen puntaje no pueden ser subsanados</w:t>
            </w:r>
            <w:r w:rsidRPr="00C30B31">
              <w:rPr>
                <w:rFonts w:ascii="Arial" w:eastAsia="Arial" w:hAnsi="Arial" w:cs="Arial"/>
                <w:lang w:val="es-MX" w:eastAsia="es-ES"/>
              </w:rPr>
              <w:t xml:space="preserve">. </w:t>
            </w:r>
          </w:p>
          <w:p w14:paraId="212B20E8" w14:textId="77777777" w:rsidR="002D5125" w:rsidRPr="00C30B31" w:rsidRDefault="002D5125" w:rsidP="002D5125">
            <w:pPr>
              <w:spacing w:after="120" w:line="276" w:lineRule="auto"/>
              <w:ind w:firstLine="709"/>
              <w:jc w:val="both"/>
              <w:rPr>
                <w:rFonts w:ascii="Verdana" w:eastAsia="Calibri" w:hAnsi="Verdana" w:cs="Arial"/>
                <w:color w:val="000000"/>
                <w:lang w:val="es-ES" w:eastAsia="es-ES_tradnl"/>
              </w:rPr>
            </w:pPr>
            <w:r w:rsidRPr="00C30B31">
              <w:rPr>
                <w:rFonts w:ascii="Verdana" w:eastAsia="Calibri" w:hAnsi="Verdana" w:cs="Arial"/>
                <w:color w:val="000000"/>
                <w:lang w:val="es-ES" w:eastAsia="es-ES_tradnl"/>
              </w:rPr>
              <w:t xml:space="preserve">Ahora bien, la regulación contenida en el numeral 1.6 del documento base, guarda armonía con la posibilidad de presentar </w:t>
            </w:r>
            <w:r w:rsidRPr="00C30B31">
              <w:rPr>
                <w:rFonts w:ascii="Verdana" w:eastAsia="Calibri" w:hAnsi="Verdana" w:cs="Arial"/>
                <w:i/>
                <w:iCs/>
                <w:color w:val="000000"/>
                <w:lang w:val="es-ES" w:eastAsia="es-ES_tradnl"/>
              </w:rPr>
              <w:t xml:space="preserve">explicaciones o aclaraciones </w:t>
            </w:r>
            <w:r w:rsidRPr="00C30B31">
              <w:rPr>
                <w:rFonts w:ascii="Verdana" w:eastAsia="Calibri" w:hAnsi="Verdana" w:cs="Arial"/>
                <w:color w:val="000000"/>
                <w:lang w:val="es-ES" w:eastAsia="es-ES_tradnl"/>
              </w:rPr>
              <w:t xml:space="preserve">del contenido de las ofertas, actuación que esta Agencia y la jurisprudencia ha diferenciado de la posibilidad de </w:t>
            </w:r>
            <w:r w:rsidRPr="00C30B31">
              <w:rPr>
                <w:rFonts w:ascii="Verdana" w:eastAsia="Calibri" w:hAnsi="Verdana" w:cs="Arial"/>
                <w:i/>
                <w:iCs/>
                <w:color w:val="000000"/>
                <w:lang w:val="es-ES" w:eastAsia="es-ES_tradnl"/>
              </w:rPr>
              <w:t>subsanar</w:t>
            </w:r>
            <w:r w:rsidRPr="00C30B31">
              <w:rPr>
                <w:rFonts w:ascii="Verdana" w:eastAsia="Calibri" w:hAnsi="Verdana" w:cs="Arial"/>
                <w:color w:val="000000"/>
                <w:lang w:val="es-ES" w:eastAsia="es-ES_tradnl"/>
              </w:rPr>
              <w:t xml:space="preserve">, fundamentando tal actuación en el artículo 30, numeral 7 de la Ley 80 de 1993. De esta manera, es posible que las entidades requieran al proponente para que explique o aclare el contenido de lo que está presente en la oferta, lo que procede tanto frente a los requisitos habilitantes como los que asignan puntaje. En efecto, en el “documento base” del documento tipo de interventoría se establece en el numeral 1.6. –inciso segundo–: “En caso de ser necesario, la entidad debe solicitar a los proponentes durante el proceso de evaluación, y a más tardar en el informe de evaluación, las aclaraciones, precisiones o solicitud de documentos que puedan ser subsanables. </w:t>
            </w:r>
            <w:r w:rsidRPr="00C30B31">
              <w:rPr>
                <w:rFonts w:ascii="Verdana" w:eastAsia="Calibri" w:hAnsi="Verdana" w:cs="Arial"/>
                <w:i/>
                <w:iCs/>
                <w:color w:val="000000"/>
                <w:lang w:val="es-ES" w:eastAsia="es-ES_tradnl"/>
              </w:rPr>
              <w:t>No obstante, los proponentes no podrán completar, adicionar o mejorar sus propuestas en los aspectos que otorgan puntaje, los cuales podrán ser objeto de aclaraciones y explicaciones</w:t>
            </w:r>
            <w:r w:rsidRPr="00C30B31">
              <w:rPr>
                <w:rFonts w:ascii="Verdana" w:eastAsia="Calibri" w:hAnsi="Verdana" w:cs="Arial"/>
                <w:color w:val="000000"/>
                <w:lang w:val="es-ES" w:eastAsia="es-ES_tradnl"/>
              </w:rPr>
              <w:t xml:space="preserve">”, como se indicó precedentemente. </w:t>
            </w:r>
          </w:p>
          <w:p w14:paraId="0E9A1942" w14:textId="77777777" w:rsidR="002D5125" w:rsidRPr="00C30B31" w:rsidRDefault="002D5125" w:rsidP="002D5125">
            <w:pPr>
              <w:spacing w:line="276" w:lineRule="auto"/>
              <w:ind w:firstLine="643"/>
              <w:jc w:val="both"/>
              <w:rPr>
                <w:rFonts w:ascii="Verdana" w:eastAsia="Aptos" w:hAnsi="Verdana" w:cs="Arial"/>
              </w:rPr>
            </w:pPr>
            <w:r w:rsidRPr="00C30B31">
              <w:rPr>
                <w:rFonts w:ascii="Verdana" w:eastAsia="Calibri" w:hAnsi="Verdana" w:cs="Arial"/>
                <w:color w:val="000000"/>
                <w:lang w:val="es-ES" w:eastAsia="es-ES_tradnl"/>
              </w:rPr>
              <w:t xml:space="preserve">Sin perjuicio de lo anterior, atendiendo a las múltiples problemáticas que se presentan en el proceso de evaluación de las ofertas y teniendo en cuenta lo expuesto en su petición y las definiciones traídas de la jurisprudencia y del documento tipo referido, </w:t>
            </w:r>
            <w:r w:rsidRPr="00C30B31">
              <w:rPr>
                <w:rFonts w:ascii="Verdana" w:eastAsia="Aptos" w:hAnsi="Verdana" w:cs="Arial"/>
              </w:rPr>
              <w:t>debe advertirse que el análisis sobre la subsanación o el rechazo de las ofertas al interior de los procedimientos de selección debe ser realizado por quienes tengan interés en ello, de acuerdo con lo explicado la aclaración preliminar del presente oficio.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8C7BC90" w14:textId="77777777" w:rsidR="002D5125" w:rsidRPr="00C30B31" w:rsidRDefault="002D5125" w:rsidP="002D5125">
            <w:pPr>
              <w:spacing w:line="276" w:lineRule="auto"/>
              <w:ind w:firstLine="643"/>
              <w:jc w:val="both"/>
              <w:rPr>
                <w:rFonts w:ascii="Verdana" w:eastAsia="Aptos" w:hAnsi="Verdana" w:cs="Arial"/>
              </w:rPr>
            </w:pPr>
          </w:p>
          <w:p w14:paraId="5916A933" w14:textId="6FDDC3B6" w:rsidR="00443ADE" w:rsidRPr="002F386A" w:rsidRDefault="00443ADE" w:rsidP="006A0C2D">
            <w:pPr>
              <w:spacing w:after="120" w:line="276" w:lineRule="auto"/>
              <w:ind w:firstLine="708"/>
              <w:jc w:val="both"/>
              <w:rPr>
                <w:rFonts w:ascii="Verdana" w:eastAsia="Times New Roman" w:hAnsi="Verdana" w:cs="Arial"/>
                <w:lang w:val="es-ES" w:eastAsia="es-ES"/>
              </w:rPr>
            </w:pPr>
          </w:p>
        </w:tc>
      </w:tr>
    </w:tbl>
    <w:p w14:paraId="45652A0E" w14:textId="77777777" w:rsidR="00443ADE" w:rsidRPr="00593A5F" w:rsidRDefault="00443ADE" w:rsidP="00443ADE">
      <w:pPr>
        <w:tabs>
          <w:tab w:val="left" w:pos="142"/>
          <w:tab w:val="left" w:pos="284"/>
        </w:tabs>
        <w:spacing w:after="0" w:line="276" w:lineRule="auto"/>
        <w:jc w:val="both"/>
        <w:rPr>
          <w:rFonts w:ascii="Verdana" w:eastAsia="Century Gothic" w:hAnsi="Verdana" w:cs="Century Gothic"/>
          <w:b/>
          <w:bCs/>
          <w:lang w:val="es-ES"/>
        </w:rPr>
      </w:pPr>
    </w:p>
    <w:p w14:paraId="550B3B11" w14:textId="77777777" w:rsidR="00443ADE" w:rsidRPr="008D5D4A" w:rsidRDefault="00443ADE" w:rsidP="00443ADE">
      <w:pPr>
        <w:pStyle w:val="Prrafodelista"/>
        <w:numPr>
          <w:ilvl w:val="0"/>
          <w:numId w:val="16"/>
        </w:numPr>
        <w:tabs>
          <w:tab w:val="left" w:pos="142"/>
          <w:tab w:val="left" w:pos="284"/>
        </w:tabs>
        <w:spacing w:after="0" w:line="276" w:lineRule="auto"/>
        <w:ind w:left="0" w:firstLine="0"/>
        <w:contextualSpacing w:val="0"/>
        <w:jc w:val="both"/>
        <w:rPr>
          <w:rFonts w:ascii="Verdana" w:eastAsia="Calibri" w:hAnsi="Verdana" w:cs="Arial"/>
          <w:color w:val="7030A0"/>
        </w:rPr>
      </w:pPr>
      <w:r w:rsidRPr="00593A5F">
        <w:rPr>
          <w:rFonts w:ascii="Verdana" w:eastAsia="Century Gothic" w:hAnsi="Verdana" w:cs="Century Gothic"/>
          <w:b/>
          <w:bCs/>
        </w:rPr>
        <w:t>Razones de la respuesta:</w:t>
      </w:r>
    </w:p>
    <w:p w14:paraId="2AE5EF2B" w14:textId="77777777" w:rsidR="00443ADE" w:rsidRDefault="00443ADE" w:rsidP="00443ADE">
      <w:pPr>
        <w:spacing w:after="0" w:line="276" w:lineRule="auto"/>
        <w:jc w:val="both"/>
        <w:rPr>
          <w:rFonts w:ascii="Verdana" w:eastAsia="Calibri" w:hAnsi="Verdana" w:cs="Arial"/>
          <w:lang w:val="es-ES" w:eastAsia="es-ES"/>
        </w:rPr>
      </w:pPr>
    </w:p>
    <w:p w14:paraId="3FD2FC1E" w14:textId="77777777" w:rsidR="006A0C2D" w:rsidRDefault="00443ADE" w:rsidP="006A0C2D">
      <w:pPr>
        <w:spacing w:after="0" w:line="276" w:lineRule="auto"/>
        <w:jc w:val="both"/>
        <w:rPr>
          <w:rFonts w:ascii="Verdana" w:eastAsia="Calibri" w:hAnsi="Verdana" w:cs="Arial"/>
        </w:rPr>
      </w:pPr>
      <w:r>
        <w:rPr>
          <w:rFonts w:ascii="Verdana" w:eastAsia="Calibri" w:hAnsi="Verdana" w:cs="Arial"/>
        </w:rPr>
        <w:t>L</w:t>
      </w:r>
      <w:r w:rsidRPr="005B7C42">
        <w:rPr>
          <w:rFonts w:ascii="Verdana" w:eastAsia="Calibri" w:hAnsi="Verdana" w:cs="Arial"/>
        </w:rPr>
        <w:t xml:space="preserve">o anterior se sustenta en las siguientes consideraciones: </w:t>
      </w:r>
    </w:p>
    <w:p w14:paraId="699B886C" w14:textId="77777777" w:rsidR="006A0C2D" w:rsidRDefault="006A0C2D" w:rsidP="006A0C2D">
      <w:pPr>
        <w:spacing w:after="0" w:line="276" w:lineRule="auto"/>
        <w:jc w:val="both"/>
        <w:rPr>
          <w:rFonts w:ascii="Verdana" w:eastAsia="Calibri" w:hAnsi="Verdana" w:cs="Arial"/>
        </w:rPr>
      </w:pPr>
    </w:p>
    <w:p w14:paraId="53BB1290" w14:textId="697EE189" w:rsidR="006A0C2D" w:rsidRPr="006A0C2D" w:rsidRDefault="006A0C2D" w:rsidP="006A0C2D">
      <w:pPr>
        <w:spacing w:after="120" w:line="278" w:lineRule="auto"/>
        <w:contextualSpacing/>
        <w:jc w:val="both"/>
        <w:rPr>
          <w:rFonts w:ascii="Verdana" w:eastAsia="Aptos" w:hAnsi="Verdana" w:cs="Arial"/>
          <w:kern w:val="2"/>
          <w14:ligatures w14:val="standardContextual"/>
        </w:rPr>
      </w:pPr>
      <w:r>
        <w:rPr>
          <w:rFonts w:ascii="Verdana" w:eastAsia="Aptos" w:hAnsi="Verdana" w:cs="Arial"/>
          <w:kern w:val="2"/>
          <w14:ligatures w14:val="standardContextual"/>
        </w:rPr>
        <w:t xml:space="preserve">        </w:t>
      </w:r>
      <w:r w:rsidRPr="00C30B31">
        <w:rPr>
          <w:rFonts w:ascii="Verdana" w:eastAsia="Aptos" w:hAnsi="Verdana" w:cs="Arial"/>
          <w:kern w:val="2"/>
          <w14:ligatures w14:val="standardContextual"/>
        </w:rPr>
        <w:t>Los documentos tipo expedidos por esta Agencia en ejercicio de la potestad otorgada</w:t>
      </w:r>
      <w:r w:rsidRPr="006A0C2D">
        <w:rPr>
          <w:rFonts w:ascii="Verdana" w:eastAsia="Aptos" w:hAnsi="Verdana" w:cs="Arial"/>
          <w:kern w:val="2"/>
          <w14:ligatures w14:val="standardContextual"/>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21BDD5FA" w14:textId="77777777" w:rsidR="006A0C2D" w:rsidRPr="00C30B31" w:rsidRDefault="006A0C2D" w:rsidP="006A0C2D">
      <w:pPr>
        <w:spacing w:after="120"/>
        <w:ind w:firstLine="643"/>
        <w:jc w:val="both"/>
        <w:rPr>
          <w:rFonts w:ascii="Verdana" w:eastAsia="Aptos" w:hAnsi="Verdana" w:cs="ArialMT"/>
          <w14:ligatures w14:val="standardContextual"/>
        </w:rPr>
      </w:pPr>
      <w:r w:rsidRPr="00C30B31">
        <w:rPr>
          <w:rFonts w:ascii="Verdana" w:eastAsia="Aptos" w:hAnsi="Verdana" w:cs="ArialMT"/>
          <w14:ligatures w14:val="standardContextual"/>
        </w:rPr>
        <w:t>La Agencia Nacional de Contratación Pública – Colombia Compra Eficiente ha expedido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C30B31">
        <w:rPr>
          <w:rFonts w:ascii="Aptos" w:eastAsia="Aptos" w:hAnsi="Aptos" w:cs="Times New Roman"/>
          <w:kern w:val="2"/>
          <w:sz w:val="24"/>
          <w:szCs w:val="24"/>
          <w:vertAlign w:val="superscript"/>
          <w14:ligatures w14:val="standardContextual"/>
        </w:rPr>
        <w:footnoteReference w:id="2"/>
      </w:r>
      <w:r w:rsidRPr="00C30B31">
        <w:rPr>
          <w:rFonts w:ascii="Verdana" w:eastAsia="Aptos" w:hAnsi="Verdana" w:cs="ArialMT"/>
          <w14:ligatures w14:val="standardContextual"/>
        </w:rPr>
        <w:t xml:space="preserve">. </w:t>
      </w:r>
    </w:p>
    <w:p w14:paraId="0AC6A60D" w14:textId="77777777" w:rsidR="006A0C2D" w:rsidRPr="00C30B31" w:rsidRDefault="006A0C2D" w:rsidP="006A0C2D">
      <w:pPr>
        <w:spacing w:after="120"/>
        <w:ind w:firstLine="643"/>
        <w:jc w:val="both"/>
        <w:rPr>
          <w:rFonts w:ascii="Verdana" w:eastAsia="Aptos" w:hAnsi="Verdana" w:cs="ArialMT"/>
          <w14:ligatures w14:val="standardContextual"/>
        </w:rPr>
      </w:pPr>
      <w:r w:rsidRPr="00C30B31">
        <w:rPr>
          <w:rFonts w:ascii="Verdana" w:eastAsia="Aptos" w:hAnsi="Verdana" w:cs="ArialMT"/>
          <w14:ligatures w14:val="standardContextual"/>
        </w:rPr>
        <w:t>En el sector de infraestructura de transporte, la Agencia Nacional de Contratación Pública – Colombia Compra Eficiente ha expedido Documentos Tipo</w:t>
      </w:r>
      <w:r w:rsidRPr="00C30B31">
        <w:rPr>
          <w:rFonts w:ascii="Verdana" w:eastAsia="Aptos" w:hAnsi="Verdana" w:cs="ArialMT"/>
          <w14:ligatures w14:val="standardContextual"/>
        </w:rPr>
        <w:footnoteReference w:id="3"/>
      </w:r>
      <w:r w:rsidRPr="00C30B31">
        <w:rPr>
          <w:rFonts w:ascii="Verdana" w:eastAsia="Aptos" w:hAnsi="Verdana" w:cs="ArialMT"/>
          <w14:ligatures w14:val="standardContextual"/>
        </w:rPr>
        <w:t xml:space="preserve"> para contratar obras públicas de infraestructura de transporte bajo las modalidades de selección de licitación pública, selección abreviada de menor cuantía y mínima cuantía. Así mismo, esta Agencia ha expedido documentos tipo de concurso de méritos para contratar la interventoría y la consultoría de estudios de ingeniería de infraestructura de transporte</w:t>
      </w:r>
      <w:r w:rsidRPr="00C30B31">
        <w:rPr>
          <w:rFonts w:ascii="Verdana" w:eastAsia="Aptos" w:hAnsi="Verdana" w:cs="ArialMT"/>
          <w:vertAlign w:val="superscript"/>
          <w14:ligatures w14:val="standardContextual"/>
        </w:rPr>
        <w:footnoteReference w:id="4"/>
      </w:r>
      <w:r w:rsidRPr="00C30B31">
        <w:rPr>
          <w:rFonts w:ascii="Verdana" w:eastAsia="Aptos" w:hAnsi="Verdana" w:cs="ArialMT"/>
          <w14:ligatures w14:val="standardContextual"/>
        </w:rPr>
        <w:t xml:space="preserve">. </w:t>
      </w:r>
    </w:p>
    <w:p w14:paraId="01DCE61E" w14:textId="77777777" w:rsidR="006A0C2D" w:rsidRPr="00C30B31" w:rsidRDefault="006A0C2D" w:rsidP="006A0C2D">
      <w:pPr>
        <w:spacing w:after="120"/>
        <w:ind w:firstLine="641"/>
        <w:jc w:val="both"/>
        <w:rPr>
          <w:rFonts w:ascii="Verdana" w:eastAsia="Aptos" w:hAnsi="Verdana" w:cs="ArialMT"/>
          <w14:ligatures w14:val="standardContextual"/>
        </w:rPr>
      </w:pPr>
      <w:r w:rsidRPr="00C30B31">
        <w:rPr>
          <w:rFonts w:ascii="Verdana" w:eastAsia="Aptos" w:hAnsi="Verdana" w:cs="ArialMT"/>
          <w14:ligatures w14:val="standardContextual"/>
        </w:rPr>
        <w:lastRenderedPageBreak/>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1274B284" w14:textId="77777777" w:rsidR="006A0C2D" w:rsidRPr="00C30B31" w:rsidRDefault="006A0C2D" w:rsidP="006A0C2D">
      <w:pPr>
        <w:spacing w:after="120"/>
        <w:ind w:firstLine="641"/>
        <w:jc w:val="both"/>
        <w:rPr>
          <w:rFonts w:ascii="Verdana" w:eastAsia="Aptos" w:hAnsi="Verdana" w:cs="ArialMT"/>
          <w14:ligatures w14:val="standardContextual"/>
        </w:rPr>
      </w:pPr>
      <w:r w:rsidRPr="00C30B31">
        <w:rPr>
          <w:rFonts w:ascii="Verdana" w:eastAsia="Aptos" w:hAnsi="Verdana" w:cs="ArialMT"/>
          <w14:ligatures w14:val="standardContextual"/>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UDU, el Instituto de Infraestructura y Concesiones de Cundinamarca – ICCU, entre otras. </w:t>
      </w:r>
    </w:p>
    <w:p w14:paraId="21F12C7A" w14:textId="77777777" w:rsidR="006A0C2D" w:rsidRPr="00C30B31" w:rsidRDefault="006A0C2D" w:rsidP="006A0C2D">
      <w:pPr>
        <w:spacing w:after="120"/>
        <w:ind w:firstLine="643"/>
        <w:jc w:val="both"/>
        <w:rPr>
          <w:rFonts w:ascii="Verdana" w:eastAsia="Aptos" w:hAnsi="Verdana" w:cs="ArialMT"/>
          <w14:ligatures w14:val="standardContextual"/>
        </w:rPr>
      </w:pPr>
      <w:r w:rsidRPr="00C30B31">
        <w:rPr>
          <w:rFonts w:ascii="Verdana" w:eastAsia="Aptos" w:hAnsi="Verdana" w:cs="ArialMT"/>
          <w14:ligatures w14:val="standardContextual"/>
        </w:rPr>
        <w:t xml:space="preserve">En este sentido, 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adoptan aplican para los procesos de selección cuyo aviso de convocatoria se publique a partir del 3 de febrero de 2025. </w:t>
      </w:r>
    </w:p>
    <w:p w14:paraId="3C44097B" w14:textId="0A748C35" w:rsidR="006A0C2D" w:rsidRPr="00C30B31" w:rsidRDefault="006A0C2D" w:rsidP="006A0C2D">
      <w:pPr>
        <w:pBdr>
          <w:top w:val="nil"/>
          <w:left w:val="nil"/>
          <w:bottom w:val="nil"/>
          <w:right w:val="nil"/>
          <w:between w:val="nil"/>
        </w:pBdr>
        <w:spacing w:after="120" w:line="276" w:lineRule="auto"/>
        <w:jc w:val="both"/>
        <w:rPr>
          <w:rFonts w:ascii="Verdana" w:eastAsia="Quattrocento Sans" w:hAnsi="Verdana" w:cs="Quattrocento Sans"/>
          <w:color w:val="000000"/>
        </w:rPr>
      </w:pPr>
      <w:r w:rsidRPr="00C30B31">
        <w:rPr>
          <w:rFonts w:ascii="Verdana" w:eastAsia="Arial" w:hAnsi="Verdana" w:cs="Arial"/>
          <w:color w:val="000000"/>
        </w:rPr>
        <w:lastRenderedPageBreak/>
        <w:t xml:space="preserve">Esta Subdirección se ha pronunciado en </w:t>
      </w:r>
      <w:r w:rsidRPr="008644DA">
        <w:rPr>
          <w:rFonts w:ascii="Verdana" w:eastAsia="Arial" w:hAnsi="Verdana" w:cs="Arial"/>
          <w:color w:val="000000"/>
          <w:u w:val="single"/>
        </w:rPr>
        <w:t xml:space="preserve">diversas oportunidades acerca del alcance de la regla de la </w:t>
      </w:r>
      <w:proofErr w:type="spellStart"/>
      <w:r w:rsidRPr="008644DA">
        <w:rPr>
          <w:rFonts w:ascii="Verdana" w:eastAsia="Arial" w:hAnsi="Verdana" w:cs="Arial"/>
          <w:color w:val="000000"/>
          <w:u w:val="single"/>
        </w:rPr>
        <w:t>subsanabilidad</w:t>
      </w:r>
      <w:proofErr w:type="spellEnd"/>
      <w:r w:rsidRPr="008644DA">
        <w:rPr>
          <w:rFonts w:ascii="Verdana" w:eastAsia="Arial" w:hAnsi="Verdana" w:cs="Arial"/>
          <w:color w:val="000000"/>
          <w:u w:val="single"/>
        </w:rPr>
        <w:t xml:space="preserve">, contenida actualmente en el artículo 5 de la Ley 1150 de 2007. Al respecto, la postura que se reitera en el presente concepto es la siguiente: por regla general, son subsanables i) la falta de entrega o </w:t>
      </w:r>
      <w:proofErr w:type="spellStart"/>
      <w:r w:rsidRPr="008644DA">
        <w:rPr>
          <w:rFonts w:ascii="Verdana" w:eastAsia="Arial" w:hAnsi="Verdana" w:cs="Arial"/>
          <w:color w:val="000000"/>
          <w:u w:val="single"/>
        </w:rPr>
        <w:t>ii</w:t>
      </w:r>
      <w:proofErr w:type="spellEnd"/>
      <w:r w:rsidRPr="008644DA">
        <w:rPr>
          <w:rFonts w:ascii="Verdana" w:eastAsia="Arial" w:hAnsi="Verdana" w:cs="Arial"/>
          <w:color w:val="000000"/>
          <w:u w:val="single"/>
        </w:rPr>
        <w:t xml:space="preserve">) los defectos de los requisitos habilitantes. La excepción se encuentra en los casos, previstos en la ley, que limitan la </w:t>
      </w:r>
      <w:proofErr w:type="spellStart"/>
      <w:r w:rsidRPr="008644DA">
        <w:rPr>
          <w:rFonts w:ascii="Verdana" w:eastAsia="Arial" w:hAnsi="Verdana" w:cs="Arial"/>
          <w:color w:val="000000"/>
          <w:u w:val="single"/>
        </w:rPr>
        <w:t>subsanabilidad</w:t>
      </w:r>
      <w:proofErr w:type="spellEnd"/>
      <w:r w:rsidRPr="00C30B31">
        <w:rPr>
          <w:rFonts w:ascii="Verdana" w:eastAsia="Arial" w:hAnsi="Verdana" w:cs="Arial"/>
          <w:color w:val="000000"/>
        </w:rPr>
        <w:t>, es decir, en la prohibición de permitir la entrega de la garantía de seriedad de la oferta que no fue aportada con la propuesta y de valer la acreditación de circunstancias ocurridas con posterioridad al cierre del proceso.  </w:t>
      </w:r>
    </w:p>
    <w:p w14:paraId="192C8043" w14:textId="77777777" w:rsidR="006A0C2D" w:rsidRPr="00C30B31" w:rsidRDefault="006A0C2D" w:rsidP="006A0C2D">
      <w:pPr>
        <w:spacing w:after="120" w:line="276" w:lineRule="auto"/>
        <w:ind w:firstLine="709"/>
        <w:jc w:val="both"/>
        <w:rPr>
          <w:rFonts w:ascii="Verdana" w:eastAsia="Calibri" w:hAnsi="Verdana" w:cs="Arial"/>
          <w:lang w:val="es-ES_tradnl"/>
        </w:rPr>
      </w:pPr>
      <w:r w:rsidRPr="00C30B31">
        <w:rPr>
          <w:rFonts w:ascii="Verdana" w:eastAsia="Calibri" w:hAnsi="Verdana" w:cs="Arial"/>
          <w:lang w:val="es-ES_tradnl"/>
        </w:rPr>
        <w:t>Sobre este aspecto, debe resaltarse que la posibilidad de enmendar, corregir o subsanar los errores en los que se incurre en los documentos contentivos de la oferta es un tema que ha tenido diferentes momentos o etapas en el ordenamiento jurídico colombiano</w:t>
      </w:r>
      <w:r w:rsidRPr="00C30B31">
        <w:rPr>
          <w:rFonts w:ascii="Verdana" w:eastAsia="Arial" w:hAnsi="Verdana" w:cs="Arial"/>
          <w:color w:val="000000"/>
        </w:rPr>
        <w:t xml:space="preserve">. En un </w:t>
      </w:r>
      <w:r w:rsidRPr="00C30B31">
        <w:rPr>
          <w:rFonts w:ascii="Verdana" w:eastAsia="Arial" w:hAnsi="Verdana" w:cs="Arial"/>
          <w:i/>
          <w:color w:val="000000"/>
        </w:rPr>
        <w:t>primer momento</w:t>
      </w:r>
      <w:r w:rsidRPr="00C30B31">
        <w:rPr>
          <w:rFonts w:ascii="Verdana" w:eastAsia="Arial" w:hAnsi="Verdana" w:cs="Arial"/>
          <w:color w:val="000000"/>
        </w:rPr>
        <w:t xml:space="preserve">, antes de expedirse la Constitución Política de 1991, el régimen jurídico de la </w:t>
      </w:r>
      <w:proofErr w:type="spellStart"/>
      <w:r w:rsidRPr="00C30B31">
        <w:rPr>
          <w:rFonts w:ascii="Verdana" w:eastAsia="Arial" w:hAnsi="Verdana" w:cs="Arial"/>
          <w:color w:val="000000"/>
        </w:rPr>
        <w:t>subsanabilidad</w:t>
      </w:r>
      <w:proofErr w:type="spellEnd"/>
      <w:r w:rsidRPr="00C30B31">
        <w:rPr>
          <w:rFonts w:ascii="Verdana" w:eastAsia="Arial" w:hAnsi="Verdana" w:cs="Arial"/>
          <w:color w:val="000000"/>
        </w:rPr>
        <w:t xml:space="preserve">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5B41563E" w14:textId="77777777" w:rsidR="006A0C2D" w:rsidRPr="00C30B31" w:rsidRDefault="006A0C2D" w:rsidP="006A0C2D">
      <w:pPr>
        <w:spacing w:after="0" w:line="276" w:lineRule="auto"/>
        <w:ind w:firstLine="709"/>
        <w:jc w:val="both"/>
        <w:rPr>
          <w:rFonts w:ascii="Verdana" w:eastAsia="Calibri" w:hAnsi="Verdana" w:cs="Times New Roman"/>
        </w:rPr>
      </w:pPr>
      <w:r w:rsidRPr="00C30B31">
        <w:rPr>
          <w:rFonts w:ascii="Verdana" w:eastAsia="Arial" w:hAnsi="Verdana" w:cs="Arial"/>
          <w:color w:val="000000"/>
        </w:rPr>
        <w:t xml:space="preserve">En un </w:t>
      </w:r>
      <w:r w:rsidRPr="00C30B31">
        <w:rPr>
          <w:rFonts w:ascii="Verdana" w:eastAsia="Arial" w:hAnsi="Verdana" w:cs="Arial"/>
          <w:i/>
          <w:color w:val="000000"/>
        </w:rPr>
        <w:t>segundo momento</w:t>
      </w:r>
      <w:r w:rsidRPr="00C30B31">
        <w:rPr>
          <w:rFonts w:ascii="Verdana" w:eastAsia="Arial" w:hAnsi="Verdana" w:cs="Arial"/>
          <w:color w:val="000000"/>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principio de supremacía o prevalencia del derecho sustancial sobre el procedimental. En este nuevo escenario constitucional, el numeral 15 del artículo 25 de la Ley 80 de 1993 dispuso lo siguiente: </w:t>
      </w:r>
    </w:p>
    <w:p w14:paraId="7496626F" w14:textId="77777777" w:rsidR="006A0C2D" w:rsidRPr="00C30B31" w:rsidRDefault="006A0C2D" w:rsidP="006A0C2D">
      <w:pPr>
        <w:spacing w:after="0" w:line="276" w:lineRule="auto"/>
        <w:jc w:val="both"/>
        <w:rPr>
          <w:rFonts w:ascii="Verdana" w:eastAsia="Arial" w:hAnsi="Verdana" w:cs="Arial"/>
          <w:color w:val="000000"/>
        </w:rPr>
      </w:pPr>
    </w:p>
    <w:p w14:paraId="484B3B54" w14:textId="77777777" w:rsidR="006A0C2D" w:rsidRPr="00C30B31" w:rsidRDefault="006A0C2D" w:rsidP="006A0C2D">
      <w:pPr>
        <w:spacing w:after="0" w:line="240" w:lineRule="auto"/>
        <w:ind w:left="709" w:right="709"/>
        <w:jc w:val="both"/>
        <w:rPr>
          <w:rFonts w:ascii="Verdana" w:eastAsia="Arial" w:hAnsi="Verdana" w:cs="Arial"/>
          <w:color w:val="000000"/>
          <w:sz w:val="21"/>
          <w:szCs w:val="21"/>
        </w:rPr>
      </w:pPr>
      <w:r w:rsidRPr="00C30B31">
        <w:rPr>
          <w:rFonts w:ascii="Verdana" w:eastAsia="Arial" w:hAnsi="Verdana" w:cs="Arial"/>
          <w:color w:val="000000"/>
          <w:sz w:val="21"/>
          <w:szCs w:val="21"/>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092FDADD" w14:textId="77777777" w:rsidR="006A0C2D" w:rsidRPr="00C30B31" w:rsidRDefault="006A0C2D" w:rsidP="006A0C2D">
      <w:pPr>
        <w:spacing w:after="0" w:line="240" w:lineRule="auto"/>
        <w:ind w:left="709" w:right="709"/>
        <w:jc w:val="both"/>
        <w:rPr>
          <w:rFonts w:ascii="Verdana" w:eastAsia="Arial" w:hAnsi="Verdana" w:cs="Arial"/>
          <w:color w:val="000000"/>
          <w:sz w:val="21"/>
          <w:szCs w:val="21"/>
        </w:rPr>
      </w:pPr>
      <w:r w:rsidRPr="00C30B31">
        <w:rPr>
          <w:rFonts w:ascii="Verdana" w:eastAsia="Arial" w:hAnsi="Verdana" w:cs="Arial"/>
          <w:color w:val="000000"/>
          <w:sz w:val="21"/>
          <w:szCs w:val="21"/>
        </w:rPr>
        <w:t xml:space="preserve">La ausencia de requisitos o la falta de documentos referentes a la futura contratación o al proponente, no necesarios para la comparación de propuestas, no servirá de título suficiente para el rechazo de los ofrecimientos hechos”. </w:t>
      </w:r>
    </w:p>
    <w:p w14:paraId="0BEBFF7E" w14:textId="77777777" w:rsidR="006A0C2D" w:rsidRPr="00C30B31" w:rsidRDefault="006A0C2D" w:rsidP="006A0C2D">
      <w:pPr>
        <w:spacing w:after="0" w:line="276" w:lineRule="auto"/>
        <w:jc w:val="both"/>
        <w:rPr>
          <w:rFonts w:ascii="Verdana" w:eastAsia="Arial" w:hAnsi="Verdana" w:cs="Arial"/>
          <w:b/>
          <w:color w:val="000000"/>
        </w:rPr>
      </w:pPr>
    </w:p>
    <w:p w14:paraId="77B548E1"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Bajo el amparo de esta norma, el régimen jurídico de </w:t>
      </w:r>
      <w:proofErr w:type="spellStart"/>
      <w:r w:rsidRPr="00C30B31">
        <w:rPr>
          <w:rFonts w:ascii="Verdana" w:eastAsia="Arial" w:hAnsi="Verdana" w:cs="Arial"/>
          <w:color w:val="000000"/>
        </w:rPr>
        <w:t>subsanabilidad</w:t>
      </w:r>
      <w:proofErr w:type="spellEnd"/>
      <w:r w:rsidRPr="00C30B31">
        <w:rPr>
          <w:rFonts w:ascii="Verdana" w:eastAsia="Arial" w:hAnsi="Verdana" w:cs="Arial"/>
          <w:color w:val="000000"/>
        </w:rPr>
        <w:t xml:space="preserve"> de las ofertas sufre un cambio fundamental, pues ya no era posible rechazar las </w:t>
      </w:r>
      <w:r w:rsidRPr="00C30B31">
        <w:rPr>
          <w:rFonts w:ascii="Verdana" w:eastAsia="Arial" w:hAnsi="Verdana" w:cs="Arial"/>
          <w:color w:val="000000"/>
        </w:rPr>
        <w:lastRenderedPageBreak/>
        <w:t>ofertas por falta de requisitos o documentos que no fueran “</w:t>
      </w:r>
      <w:r w:rsidRPr="00C30B31">
        <w:rPr>
          <w:rFonts w:ascii="Verdana" w:eastAsia="Arial" w:hAnsi="Verdana" w:cs="Arial"/>
          <w:i/>
          <w:color w:val="000000"/>
        </w:rPr>
        <w:t>necesarios para la comparación de propuestas</w:t>
      </w:r>
      <w:r w:rsidRPr="00C30B31">
        <w:rPr>
          <w:rFonts w:ascii="Verdana" w:eastAsia="Arial" w:hAnsi="Verdana" w:cs="Arial"/>
          <w:color w:val="000000"/>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00B9E437"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El artículo 25.15 debía leerse en conjunto con otras de la Ley 80 de 1993, particularmente con el artículo 30.7</w:t>
      </w:r>
      <w:r w:rsidRPr="00C30B31">
        <w:rPr>
          <w:rFonts w:ascii="Verdana" w:eastAsia="Arial" w:hAnsi="Verdana" w:cs="Arial"/>
          <w:color w:val="000000"/>
          <w:vertAlign w:val="superscript"/>
        </w:rPr>
        <w:footnoteReference w:id="5"/>
      </w:r>
      <w:r w:rsidRPr="00C30B31">
        <w:rPr>
          <w:rFonts w:ascii="Verdana" w:eastAsia="Arial" w:hAnsi="Verdana" w:cs="Arial"/>
          <w:color w:val="000000"/>
        </w:rPr>
        <w:t>, que ordena a la entidad señalar un plazo razonable para evaluar las propuestas y pedir a los proponentes, de ser necesario, que aclaren o expliquen aspectos que ofrezcan dudas y resulten indispensables para hacer la evaluación; y con el artículo 30.8</w:t>
      </w:r>
      <w:r w:rsidRPr="00C30B31">
        <w:rPr>
          <w:rFonts w:ascii="Verdana" w:eastAsia="Arial" w:hAnsi="Verdana" w:cs="Arial"/>
          <w:color w:val="000000"/>
          <w:vertAlign w:val="superscript"/>
        </w:rPr>
        <w:footnoteReference w:id="6"/>
      </w:r>
      <w:r w:rsidRPr="00C30B31">
        <w:rPr>
          <w:rFonts w:ascii="Verdana" w:eastAsia="Arial" w:hAnsi="Verdana" w:cs="Arial"/>
          <w:color w:val="000000"/>
        </w:rPr>
        <w:t xml:space="preserve">, que consagró el término de 5 días hábiles para que los oferentes presenten observaciones al informe de evaluación de las propuestas, sin que sea posible completar, adicionar, modificar o mejorar la oferta.  A partir de la lectura integrada de estas tres normas debía concluirse que con la Ley 80 de 1993 era posible subsanar las propuestas, y la omisión o el error en algún aspecto de la misma no podía llevar a su rechazo, sin antes verificar que lo omitido fuera un aspecto necesario para la comparación. </w:t>
      </w:r>
    </w:p>
    <w:p w14:paraId="7674CAD9"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En un </w:t>
      </w:r>
      <w:r w:rsidRPr="00C30B31">
        <w:rPr>
          <w:rFonts w:ascii="Verdana" w:eastAsia="Arial" w:hAnsi="Verdana" w:cs="Arial"/>
          <w:i/>
          <w:color w:val="000000"/>
        </w:rPr>
        <w:t>tercer momento</w:t>
      </w:r>
      <w:r w:rsidRPr="00C30B31">
        <w:rPr>
          <w:rFonts w:ascii="Verdana" w:eastAsia="Arial" w:hAnsi="Verdana" w:cs="Arial"/>
          <w:color w:val="000000"/>
        </w:rPr>
        <w:t>, y siguiendo la línea trazada por la Ley 80 de 1993, el legislador expidió la Ley 1150 de 2007, que, en el parágrafo 1º del artículo 5, determinó lo siguiente: “La ausencia de requisitos o la falta de documentos referentes a la futura contratación o al proponente, no necesarios para la comparación de las propuestas no servirán de título suficiente para el rechazo de los ofrecimientos hechos. En consecuencia</w:t>
      </w:r>
      <w:r w:rsidRPr="00C30B31">
        <w:rPr>
          <w:rFonts w:ascii="Verdana" w:eastAsia="Arial" w:hAnsi="Verdana" w:cs="Arial"/>
          <w:b/>
          <w:color w:val="000000"/>
        </w:rPr>
        <w:t xml:space="preserve">, </w:t>
      </w:r>
      <w:r w:rsidRPr="00C30B31">
        <w:rPr>
          <w:rFonts w:ascii="Verdana" w:eastAsia="Arial" w:hAnsi="Verdana" w:cs="Arial"/>
          <w:color w:val="000000"/>
        </w:rPr>
        <w:t xml:space="preserve">todos aquellos requisitos de la propuesta que no afecten la asignación de puntaje, podrán ser solicitados por las entidades en cualquier momento, hasta la adjudicación. No </w:t>
      </w:r>
      <w:proofErr w:type="gramStart"/>
      <w:r w:rsidRPr="00C30B31">
        <w:rPr>
          <w:rFonts w:ascii="Verdana" w:eastAsia="Arial" w:hAnsi="Verdana" w:cs="Arial"/>
          <w:color w:val="000000"/>
        </w:rPr>
        <w:t>obstante</w:t>
      </w:r>
      <w:proofErr w:type="gramEnd"/>
      <w:r w:rsidRPr="00C30B31">
        <w:rPr>
          <w:rFonts w:ascii="Verdana" w:eastAsia="Arial" w:hAnsi="Verdana" w:cs="Arial"/>
          <w:color w:val="000000"/>
        </w:rPr>
        <w:t xml:space="preserve"> lo anterior, en aquellos procesos de selección en los que se utilice el mecanismo de subasta, deberán ser solicitados hasta el momento previo a su realización”. </w:t>
      </w:r>
    </w:p>
    <w:p w14:paraId="7996E1DD" w14:textId="77777777" w:rsidR="006A0C2D" w:rsidRPr="00C30B31" w:rsidRDefault="006A0C2D" w:rsidP="006A0C2D">
      <w:pPr>
        <w:spacing w:after="120" w:line="276" w:lineRule="auto"/>
        <w:ind w:firstLine="709"/>
        <w:jc w:val="both"/>
        <w:rPr>
          <w:rFonts w:ascii="Verdana" w:eastAsia="Calibri" w:hAnsi="Verdana" w:cs="Times New Roman"/>
        </w:rPr>
      </w:pPr>
      <w:r w:rsidRPr="00C30B31">
        <w:rPr>
          <w:rFonts w:ascii="Verdana" w:eastAsia="Arial" w:hAnsi="Verdana" w:cs="Arial"/>
          <w:color w:val="000000"/>
        </w:rPr>
        <w:lastRenderedPageBreak/>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14:paraId="2C63CA68" w14:textId="77777777" w:rsidR="006A0C2D" w:rsidRPr="00C30B31" w:rsidRDefault="006A0C2D" w:rsidP="006A0C2D">
      <w:pPr>
        <w:spacing w:after="0" w:line="276" w:lineRule="auto"/>
        <w:ind w:firstLine="709"/>
        <w:jc w:val="both"/>
        <w:rPr>
          <w:rFonts w:ascii="Verdana" w:eastAsia="Arial" w:hAnsi="Verdana" w:cs="Arial"/>
          <w:color w:val="000000"/>
        </w:rPr>
      </w:pPr>
      <w:r w:rsidRPr="00C30B31">
        <w:rPr>
          <w:rFonts w:ascii="Verdana" w:eastAsia="Arial" w:hAnsi="Verdana" w:cs="Arial"/>
          <w:color w:val="000000"/>
        </w:rPr>
        <w:t>El artículo 5 de la Ley 1150 de 2007, además de consagrar un criterio más claro, y, de paso, reducir la discrecionalidad de la Administración, fijó un ámbito temporal para la subsanación de las ofertas: “</w:t>
      </w:r>
      <w:r w:rsidRPr="00C30B31">
        <w:rPr>
          <w:rFonts w:ascii="Verdana" w:eastAsia="Arial" w:hAnsi="Verdana" w:cs="Arial"/>
          <w:i/>
          <w:color w:val="000000"/>
        </w:rPr>
        <w:t>en cualquier momento, hasta la adjudicación</w:t>
      </w:r>
      <w:r w:rsidRPr="00C30B31">
        <w:rPr>
          <w:rFonts w:ascii="Verdana" w:eastAsia="Arial" w:hAnsi="Verdana" w:cs="Arial"/>
          <w:color w:val="000000"/>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0B58B9A6" w14:textId="77777777" w:rsidR="006A0C2D" w:rsidRPr="00C30B31" w:rsidRDefault="006A0C2D" w:rsidP="006A0C2D">
      <w:pPr>
        <w:spacing w:after="0" w:line="276" w:lineRule="auto"/>
        <w:jc w:val="both"/>
        <w:rPr>
          <w:rFonts w:ascii="Verdana" w:eastAsia="Arial" w:hAnsi="Verdana" w:cs="Arial"/>
          <w:color w:val="000000"/>
        </w:rPr>
      </w:pPr>
    </w:p>
    <w:p w14:paraId="65D6BBD1" w14:textId="77777777" w:rsidR="006A0C2D" w:rsidRPr="00C30B31" w:rsidRDefault="006A0C2D" w:rsidP="006A0C2D">
      <w:pPr>
        <w:spacing w:after="0" w:line="240" w:lineRule="auto"/>
        <w:ind w:left="709" w:right="709"/>
        <w:jc w:val="both"/>
        <w:rPr>
          <w:rFonts w:ascii="Verdana" w:eastAsia="Arial" w:hAnsi="Verdana" w:cs="Arial"/>
          <w:color w:val="000000"/>
          <w:sz w:val="21"/>
          <w:szCs w:val="21"/>
        </w:rPr>
      </w:pPr>
      <w:r w:rsidRPr="00C30B31">
        <w:rPr>
          <w:rFonts w:ascii="Verdana" w:eastAsia="Arial" w:hAnsi="Verdana" w:cs="Arial"/>
          <w:color w:val="000000"/>
          <w:sz w:val="21"/>
          <w:szCs w:val="21"/>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C30B31">
        <w:rPr>
          <w:rFonts w:ascii="Verdana" w:eastAsia="Arial" w:hAnsi="Verdana" w:cs="Arial"/>
          <w:color w:val="000000"/>
          <w:sz w:val="21"/>
          <w:szCs w:val="21"/>
          <w:vertAlign w:val="superscript"/>
        </w:rPr>
        <w:footnoteReference w:id="7"/>
      </w:r>
      <w:r w:rsidRPr="00C30B31">
        <w:rPr>
          <w:rFonts w:ascii="Verdana" w:eastAsia="Arial" w:hAnsi="Verdana" w:cs="Arial"/>
          <w:color w:val="000000"/>
          <w:sz w:val="21"/>
          <w:szCs w:val="21"/>
        </w:rPr>
        <w:t>.</w:t>
      </w:r>
    </w:p>
    <w:p w14:paraId="79F028B3" w14:textId="77777777" w:rsidR="006A0C2D" w:rsidRPr="00C30B31" w:rsidRDefault="006A0C2D" w:rsidP="006A0C2D">
      <w:pPr>
        <w:spacing w:after="0" w:line="276" w:lineRule="auto"/>
        <w:jc w:val="both"/>
        <w:rPr>
          <w:rFonts w:ascii="Verdana" w:eastAsia="Arial" w:hAnsi="Verdana" w:cs="Arial"/>
          <w:b/>
          <w:color w:val="000000"/>
        </w:rPr>
      </w:pPr>
    </w:p>
    <w:p w14:paraId="0D564AD3" w14:textId="77777777" w:rsidR="006A0C2D" w:rsidRPr="00C30B31" w:rsidRDefault="006A0C2D" w:rsidP="006A0C2D">
      <w:pPr>
        <w:pBdr>
          <w:top w:val="nil"/>
          <w:left w:val="nil"/>
          <w:bottom w:val="nil"/>
          <w:right w:val="nil"/>
          <w:between w:val="nil"/>
        </w:pBdr>
        <w:tabs>
          <w:tab w:val="left" w:pos="284"/>
        </w:tabs>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Esa interpretación fue compartida por la Agencia Nacional de Contratación Pública – Colombia Compra Eficiente, pues en la Circular Externa Única se había precisado </w:t>
      </w:r>
      <w:proofErr w:type="gramStart"/>
      <w:r w:rsidRPr="00C30B31">
        <w:rPr>
          <w:rFonts w:ascii="Verdana" w:eastAsia="Arial" w:hAnsi="Verdana" w:cs="Arial"/>
          <w:color w:val="000000"/>
        </w:rPr>
        <w:t>que</w:t>
      </w:r>
      <w:proofErr w:type="gramEnd"/>
      <w:r w:rsidRPr="00C30B31">
        <w:rPr>
          <w:rFonts w:ascii="Verdana" w:eastAsia="Arial" w:hAnsi="Verdana" w:cs="Arial"/>
          <w:color w:val="000000"/>
        </w:rPr>
        <w:t xml:space="preserve"> si durante un proceso de contratación hay proponentes que no acreditaron en sus ofertas requisitos que no afectan la asignación de puntaje o la comparación de las mismas, la entidad estatal deberá indicarlo en el informe </w:t>
      </w:r>
      <w:r w:rsidRPr="00C30B31">
        <w:rPr>
          <w:rFonts w:ascii="Verdana" w:eastAsia="Arial" w:hAnsi="Verdana" w:cs="Arial"/>
          <w:color w:val="000000"/>
        </w:rPr>
        <w:lastRenderedPageBreak/>
        <w:t>de evaluación y advertir que la correspondiente oferta no será evaluada hasta que se subsane.</w:t>
      </w:r>
    </w:p>
    <w:p w14:paraId="4281346E" w14:textId="77777777" w:rsidR="006A0C2D" w:rsidRPr="00C30B31" w:rsidRDefault="006A0C2D" w:rsidP="006A0C2D">
      <w:pPr>
        <w:pBdr>
          <w:top w:val="nil"/>
          <w:left w:val="nil"/>
          <w:bottom w:val="nil"/>
          <w:right w:val="nil"/>
          <w:between w:val="nil"/>
        </w:pBdr>
        <w:tabs>
          <w:tab w:val="left" w:pos="284"/>
        </w:tabs>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En un </w:t>
      </w:r>
      <w:r w:rsidRPr="00C30B31">
        <w:rPr>
          <w:rFonts w:ascii="Verdana" w:eastAsia="Arial" w:hAnsi="Verdana" w:cs="Arial"/>
          <w:i/>
          <w:color w:val="000000"/>
        </w:rPr>
        <w:t>cuarto momento</w:t>
      </w:r>
      <w:r w:rsidRPr="00C30B31">
        <w:rPr>
          <w:rFonts w:ascii="Verdana" w:eastAsia="Arial" w:hAnsi="Verdana" w:cs="Arial"/>
          <w:color w:val="000000"/>
        </w:rPr>
        <w:t xml:space="preserve">,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71C52724"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Como puede observarse, esta norma: i) mantiene el criterio de la Ley 80 de 1993, relativo a que todo lo que no sea necesario para la comparación de propuestas no es título suficiente para su rechazo; </w:t>
      </w:r>
      <w:proofErr w:type="spellStart"/>
      <w:r w:rsidRPr="00C30B31">
        <w:rPr>
          <w:rFonts w:ascii="Verdana" w:eastAsia="Arial" w:hAnsi="Verdana" w:cs="Arial"/>
          <w:color w:val="000000"/>
        </w:rPr>
        <w:t>ii</w:t>
      </w:r>
      <w:proofErr w:type="spellEnd"/>
      <w:r w:rsidRPr="00C30B31">
        <w:rPr>
          <w:rFonts w:ascii="Verdana" w:eastAsia="Arial" w:hAnsi="Verdana" w:cs="Arial"/>
          <w:color w:val="000000"/>
        </w:rPr>
        <w:t xml:space="preserve">) mantiene el criterio aclaratorio de la Ley 1150 de 2007, según el cual todo lo que no afecte la asignación de puntaje puede subsanarse e </w:t>
      </w:r>
      <w:proofErr w:type="spellStart"/>
      <w:r w:rsidRPr="00C30B31">
        <w:rPr>
          <w:rFonts w:ascii="Verdana" w:eastAsia="Arial" w:hAnsi="Verdana" w:cs="Arial"/>
          <w:color w:val="000000"/>
        </w:rPr>
        <w:t>iii</w:t>
      </w:r>
      <w:proofErr w:type="spellEnd"/>
      <w:r w:rsidRPr="00C30B31">
        <w:rPr>
          <w:rFonts w:ascii="Verdana" w:eastAsia="Arial" w:hAnsi="Verdana" w:cs="Arial"/>
          <w:color w:val="000000"/>
        </w:rPr>
        <w:t xml:space="preserve">) introduce modificaciones en relación con algunos aspectos que se analizarán a continuación. </w:t>
      </w:r>
    </w:p>
    <w:p w14:paraId="337B7F59"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w:t>
      </w:r>
      <w:r w:rsidRPr="00C30B31">
        <w:rPr>
          <w:rFonts w:ascii="Verdana" w:eastAsia="Arial" w:hAnsi="Verdana" w:cs="Arial"/>
          <w:color w:val="000000"/>
          <w:vertAlign w:val="superscript"/>
        </w:rPr>
        <w:footnoteReference w:id="8"/>
      </w:r>
      <w:r w:rsidRPr="00C30B31">
        <w:rPr>
          <w:rFonts w:ascii="Verdana" w:eastAsia="Arial" w:hAnsi="Verdana" w:cs="Arial"/>
          <w:color w:val="000000"/>
        </w:rPr>
        <w:t xml:space="preserve">; en el último los documentos o requisitos subsanables pueden y deben solicitarse hasta el momento previo a su realización.  </w:t>
      </w:r>
    </w:p>
    <w:p w14:paraId="23D14922"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lastRenderedPageBreak/>
        <w:t xml:space="preserve">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“deberán ser solicitados por las entidades estatales y deberán ser entregados por los proponentes hasta el término de traslado del informe de evaluación que corresponda a cada modalidad de selección”. </w:t>
      </w:r>
    </w:p>
    <w:p w14:paraId="2EEF61FD"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No obstante, de la lectura de este aparte podrían, en la práctica, darse dos interpretaciones que dan lugar a dos formas de proceder en los procesos de selección, en lo que se refiere a la </w:t>
      </w:r>
      <w:proofErr w:type="spellStart"/>
      <w:r w:rsidRPr="00C30B31">
        <w:rPr>
          <w:rFonts w:ascii="Verdana" w:eastAsia="Arial" w:hAnsi="Verdana" w:cs="Arial"/>
          <w:color w:val="000000"/>
        </w:rPr>
        <w:t>subsanabilidad</w:t>
      </w:r>
      <w:proofErr w:type="spellEnd"/>
      <w:r w:rsidRPr="00C30B31">
        <w:rPr>
          <w:rFonts w:ascii="Verdana" w:eastAsia="Arial" w:hAnsi="Verdana" w:cs="Arial"/>
          <w:color w:val="000000"/>
        </w:rPr>
        <w:t xml:space="preserve"> de las ofertas. </w:t>
      </w:r>
      <w:r w:rsidRPr="00C30B31">
        <w:rPr>
          <w:rFonts w:ascii="Verdana" w:eastAsia="Arial" w:hAnsi="Verdana" w:cs="Arial"/>
          <w:i/>
          <w:color w:val="000000"/>
        </w:rPr>
        <w:t>Primera</w:t>
      </w:r>
      <w:r w:rsidRPr="00C30B31">
        <w:rPr>
          <w:rFonts w:ascii="Verdana" w:eastAsia="Arial" w:hAnsi="Verdana" w:cs="Arial"/>
          <w:color w:val="000000"/>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C30B31">
        <w:rPr>
          <w:rFonts w:ascii="Verdana" w:eastAsia="Arial" w:hAnsi="Verdana" w:cs="Arial"/>
          <w:i/>
          <w:color w:val="000000"/>
        </w:rPr>
        <w:t>segunda</w:t>
      </w:r>
      <w:r w:rsidRPr="00C30B31">
        <w:rPr>
          <w:rFonts w:ascii="Verdana" w:eastAsia="Arial" w:hAnsi="Verdana" w:cs="Arial"/>
          <w:color w:val="000000"/>
        </w:rPr>
        <w:t xml:space="preserve">, que el término del traslado del informe de evaluación es el límite para la subsanación de ofertas, pero no el único momento para hacerlo. </w:t>
      </w:r>
    </w:p>
    <w:p w14:paraId="308EE913"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De acuerdo con la primera interpretación, el informe de evaluación se convierte en la oportunidad que adopta la Administración para comunicarles a los oferentes qué documentos o requisitos omitieron y deben subsanar y, consecuentemente, el término del traslado es la oportunidad del proponente para cumplir con lo solicitado. 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14:paraId="75904049"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w:t>
      </w:r>
      <w:r w:rsidRPr="00C30B31">
        <w:rPr>
          <w:rFonts w:ascii="Verdana" w:eastAsia="Arial" w:hAnsi="Verdana" w:cs="Arial"/>
          <w:color w:val="000000"/>
        </w:rPr>
        <w:lastRenderedPageBreak/>
        <w:t xml:space="preserve">evaluación ofrece mayor seguridad y certeza al proceso de selección, a la Administración y a los oferentes. </w:t>
      </w:r>
    </w:p>
    <w:p w14:paraId="39FF2E2D"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0D9B3F5B"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C30B31">
        <w:rPr>
          <w:rFonts w:ascii="Verdana" w:eastAsia="Arial" w:hAnsi="Verdana" w:cs="Arial"/>
          <w:bCs/>
          <w:iCs/>
          <w:color w:val="000000"/>
        </w:rPr>
        <w:t>.</w:t>
      </w:r>
      <w:r w:rsidRPr="00C30B31">
        <w:rPr>
          <w:rFonts w:ascii="Verdana" w:eastAsia="Arial" w:hAnsi="Verdana" w:cs="Arial"/>
          <w:b/>
          <w:color w:val="000000"/>
        </w:rPr>
        <w:t xml:space="preserve"> </w:t>
      </w:r>
      <w:r w:rsidRPr="00C30B31">
        <w:rPr>
          <w:rFonts w:ascii="Verdana" w:eastAsia="Arial" w:hAnsi="Verdana" w:cs="Arial"/>
          <w:color w:val="000000"/>
        </w:rPr>
        <w:t xml:space="preserve">Lo anterior ofrece dos aspectos que merecen clarificación: </w:t>
      </w:r>
      <w:r w:rsidRPr="00C30B31">
        <w:rPr>
          <w:rFonts w:ascii="Verdana" w:eastAsia="Arial" w:hAnsi="Verdana" w:cs="Arial"/>
          <w:i/>
          <w:color w:val="000000"/>
        </w:rPr>
        <w:t>primero</w:t>
      </w:r>
      <w:r w:rsidRPr="00C30B31">
        <w:rPr>
          <w:rFonts w:ascii="Verdana" w:eastAsia="Arial" w:hAnsi="Verdana" w:cs="Arial"/>
          <w:color w:val="000000"/>
        </w:rPr>
        <w:t xml:space="preserve">, qué debe entenderse por circunstancias ocurridas con posterioridad; y </w:t>
      </w:r>
      <w:r w:rsidRPr="00C30B31">
        <w:rPr>
          <w:rFonts w:ascii="Verdana" w:eastAsia="Arial" w:hAnsi="Verdana" w:cs="Arial"/>
          <w:i/>
          <w:color w:val="000000"/>
        </w:rPr>
        <w:t>segundo</w:t>
      </w:r>
      <w:r w:rsidRPr="00C30B31">
        <w:rPr>
          <w:rFonts w:ascii="Verdana" w:eastAsia="Arial" w:hAnsi="Verdana" w:cs="Arial"/>
          <w:color w:val="000000"/>
        </w:rPr>
        <w:t>, qué es el cierre del proceso.</w:t>
      </w:r>
    </w:p>
    <w:p w14:paraId="17DA32B8" w14:textId="77777777" w:rsidR="006A0C2D" w:rsidRPr="00C30B31" w:rsidRDefault="006A0C2D" w:rsidP="006A0C2D">
      <w:pPr>
        <w:spacing w:after="0" w:line="276" w:lineRule="auto"/>
        <w:ind w:firstLine="709"/>
        <w:jc w:val="both"/>
        <w:rPr>
          <w:rFonts w:ascii="Verdana" w:eastAsia="Arial" w:hAnsi="Verdana" w:cs="Arial"/>
          <w:color w:val="000000"/>
        </w:rPr>
      </w:pPr>
      <w:r w:rsidRPr="00C30B31">
        <w:rPr>
          <w:rFonts w:ascii="Verdana" w:eastAsia="Arial" w:hAnsi="Verdana" w:cs="Arial"/>
          <w:color w:val="000000"/>
        </w:rPr>
        <w:t>La Sala de Consulta y Servicio Civil del Consejo de Estado ya había tenido la oportunidad de precisar estas expresiones, a propósito de un concepto en el que se refirió al artículo 10 del derogado Decreto 2474 de 2008</w:t>
      </w:r>
      <w:r w:rsidRPr="00C30B31">
        <w:rPr>
          <w:rFonts w:ascii="Verdana" w:eastAsia="Arial" w:hAnsi="Verdana" w:cs="Arial"/>
          <w:color w:val="000000"/>
          <w:vertAlign w:val="superscript"/>
        </w:rPr>
        <w:footnoteReference w:id="9"/>
      </w:r>
      <w:r w:rsidRPr="00C30B31">
        <w:rPr>
          <w:rFonts w:ascii="Verdana" w:eastAsia="Arial" w:hAnsi="Verdana" w:cs="Arial"/>
          <w:color w:val="000000"/>
        </w:rPr>
        <w:t xml:space="preserve">, que había determinado que en ningún caso la entidad podía permitir que se acreditaran circunstancias ocurridas con posterioridad al cierre del proceso. El Consejo de Estado precisó que por cierre del proceso debe entenderse el vencimiento del </w:t>
      </w:r>
      <w:r w:rsidRPr="00C30B31">
        <w:rPr>
          <w:rFonts w:ascii="Verdana" w:eastAsia="Arial" w:hAnsi="Verdana" w:cs="Arial"/>
          <w:color w:val="000000"/>
        </w:rPr>
        <w:lastRenderedPageBreak/>
        <w:t xml:space="preserve">plazo para la presentación de las ofertas y que lo subsanable son las circunstancias que ocurrieron con anterioridad a esa fecha: </w:t>
      </w:r>
    </w:p>
    <w:p w14:paraId="28D87A36" w14:textId="77777777" w:rsidR="006A0C2D" w:rsidRPr="00C30B31" w:rsidRDefault="006A0C2D" w:rsidP="006A0C2D">
      <w:pPr>
        <w:spacing w:after="0"/>
        <w:ind w:left="709" w:right="709"/>
        <w:jc w:val="both"/>
        <w:rPr>
          <w:rFonts w:ascii="Verdana" w:eastAsia="Arial" w:hAnsi="Verdana" w:cs="Arial"/>
          <w:color w:val="000000"/>
        </w:rPr>
      </w:pPr>
    </w:p>
    <w:p w14:paraId="13D53A65" w14:textId="77777777" w:rsidR="006A0C2D" w:rsidRPr="00C30B31" w:rsidRDefault="006A0C2D" w:rsidP="006A0C2D">
      <w:pPr>
        <w:spacing w:after="120" w:line="240" w:lineRule="auto"/>
        <w:ind w:left="709" w:right="709"/>
        <w:jc w:val="both"/>
        <w:rPr>
          <w:rFonts w:ascii="Verdana" w:eastAsia="Arial" w:hAnsi="Verdana" w:cs="Arial"/>
          <w:color w:val="000000"/>
          <w:sz w:val="21"/>
          <w:szCs w:val="21"/>
        </w:rPr>
      </w:pPr>
      <w:r w:rsidRPr="00C30B31">
        <w:rPr>
          <w:rFonts w:ascii="Verdana" w:eastAsia="Arial" w:hAnsi="Verdana" w:cs="Arial"/>
          <w:color w:val="000000"/>
          <w:sz w:val="21"/>
          <w:szCs w:val="21"/>
        </w:rPr>
        <w:t xml:space="preserve">“Sin embargo, debe tenerse en cuenta que la última norma en cita -Decreto 2474 de 2008, aparte subrayado-, establece un límite a la </w:t>
      </w:r>
      <w:proofErr w:type="spellStart"/>
      <w:r w:rsidRPr="00C30B31">
        <w:rPr>
          <w:rFonts w:ascii="Verdana" w:eastAsia="Arial" w:hAnsi="Verdana" w:cs="Arial"/>
          <w:color w:val="000000"/>
          <w:sz w:val="21"/>
          <w:szCs w:val="21"/>
        </w:rPr>
        <w:t>subsanabilidad</w:t>
      </w:r>
      <w:proofErr w:type="spellEnd"/>
      <w:r w:rsidRPr="00C30B31">
        <w:rPr>
          <w:rFonts w:ascii="Verdana" w:eastAsia="Arial" w:hAnsi="Verdana" w:cs="Arial"/>
          <w:color w:val="000000"/>
          <w:sz w:val="21"/>
          <w:szCs w:val="21"/>
        </w:rPr>
        <w:t>, puesto que en cualquier caso debe referirse o recaer sobre circunstancias ocurridas antes del cierre del respectivo proceso, esto es, del vencimiento del plazo para presentar ofertas.</w:t>
      </w:r>
    </w:p>
    <w:p w14:paraId="762DE0D2" w14:textId="77777777" w:rsidR="006A0C2D" w:rsidRPr="00C30B31" w:rsidRDefault="006A0C2D" w:rsidP="006A0C2D">
      <w:pPr>
        <w:spacing w:after="0" w:line="240" w:lineRule="auto"/>
        <w:ind w:left="709" w:right="709"/>
        <w:jc w:val="both"/>
        <w:rPr>
          <w:rFonts w:ascii="Verdana" w:eastAsia="Arial" w:hAnsi="Verdana" w:cs="Arial"/>
          <w:color w:val="000000"/>
          <w:sz w:val="21"/>
          <w:szCs w:val="21"/>
        </w:rPr>
      </w:pPr>
      <w:r w:rsidRPr="00C30B31">
        <w:rPr>
          <w:rFonts w:ascii="Verdana" w:eastAsia="Arial" w:hAnsi="Verdana" w:cs="Arial"/>
          <w:color w:val="000000"/>
          <w:sz w:val="21"/>
          <w:szCs w:val="21"/>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w:t>
      </w:r>
      <w:r w:rsidRPr="00C30B31">
        <w:rPr>
          <w:rFonts w:ascii="Verdana" w:eastAsia="Arial" w:hAnsi="Verdana" w:cs="Arial"/>
          <w:color w:val="000000"/>
          <w:sz w:val="21"/>
          <w:szCs w:val="21"/>
          <w:vertAlign w:val="superscript"/>
        </w:rPr>
        <w:footnoteReference w:id="10"/>
      </w:r>
      <w:r w:rsidRPr="00C30B31">
        <w:rPr>
          <w:rFonts w:ascii="Verdana" w:eastAsia="Arial" w:hAnsi="Verdana" w:cs="Arial"/>
          <w:color w:val="000000"/>
          <w:sz w:val="21"/>
          <w:szCs w:val="21"/>
        </w:rPr>
        <w:t>.</w:t>
      </w:r>
    </w:p>
    <w:p w14:paraId="5916D7F7" w14:textId="77777777" w:rsidR="006A0C2D" w:rsidRPr="00C30B31" w:rsidRDefault="006A0C2D" w:rsidP="006A0C2D">
      <w:pPr>
        <w:spacing w:after="0" w:line="276" w:lineRule="auto"/>
        <w:jc w:val="both"/>
        <w:rPr>
          <w:rFonts w:ascii="Verdana" w:eastAsia="Arial" w:hAnsi="Verdana" w:cs="Arial"/>
          <w:color w:val="000000"/>
        </w:rPr>
      </w:pPr>
    </w:p>
    <w:p w14:paraId="5C680C59"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1EAEA892"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C30B31">
        <w:rPr>
          <w:rFonts w:ascii="Verdana" w:eastAsia="Arial" w:hAnsi="Verdana" w:cs="Arial"/>
          <w:color w:val="000000"/>
        </w:rPr>
        <w:lastRenderedPageBreak/>
        <w:t>subsanabilidad</w:t>
      </w:r>
      <w:proofErr w:type="spellEnd"/>
      <w:r w:rsidRPr="00C30B31">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2D85B4A5"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C30B31">
        <w:rPr>
          <w:rFonts w:ascii="Verdana" w:eastAsia="Arial" w:hAnsi="Verdana" w:cs="Arial"/>
          <w:color w:val="000000"/>
          <w:vertAlign w:val="superscript"/>
        </w:rPr>
        <w:footnoteReference w:id="11"/>
      </w:r>
      <w:r w:rsidRPr="00C30B31">
        <w:rPr>
          <w:rFonts w:ascii="Verdana" w:eastAsia="Arial" w:hAnsi="Verdana" w:cs="Arial"/>
          <w:color w:val="000000"/>
        </w:rPr>
        <w:t xml:space="preserve">. </w:t>
      </w:r>
    </w:p>
    <w:p w14:paraId="7D6FDBFB" w14:textId="77777777" w:rsidR="006A0C2D" w:rsidRPr="00C30B31" w:rsidRDefault="006A0C2D" w:rsidP="006A0C2D">
      <w:pPr>
        <w:spacing w:after="120" w:line="276" w:lineRule="auto"/>
        <w:ind w:firstLine="709"/>
        <w:jc w:val="both"/>
        <w:rPr>
          <w:rFonts w:ascii="Verdana" w:eastAsia="Arial" w:hAnsi="Verdana" w:cs="Arial"/>
          <w:color w:val="000000"/>
        </w:rPr>
      </w:pPr>
      <w:r w:rsidRPr="00C30B31">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4757154F" w14:textId="77777777" w:rsidR="006A0C2D" w:rsidRPr="00C30B31" w:rsidRDefault="006A0C2D" w:rsidP="006A0C2D">
      <w:pPr>
        <w:spacing w:after="120" w:line="276" w:lineRule="auto"/>
        <w:ind w:firstLine="709"/>
        <w:jc w:val="both"/>
        <w:rPr>
          <w:rFonts w:ascii="Verdana" w:eastAsia="Calibri" w:hAnsi="Verdana" w:cs="Times New Roman"/>
        </w:rPr>
      </w:pPr>
      <w:r w:rsidRPr="00C30B31">
        <w:rPr>
          <w:rFonts w:ascii="Verdana" w:eastAsia="Arial" w:hAnsi="Verdana" w:cs="Arial"/>
          <w:color w:val="000000"/>
        </w:rPr>
        <w:t>Finalmente, el parágrafo 3 del artículo 5 de la Ley 1882 de 2018 determinó, de manera expresa, que “la no entrega de la garantía de seriedad junto con la propuesta no será subsanable y será causal de rechazo de la misma”, dejando claro que se trata de un documento de obligatoria presentación junto con la propuesta y que materializa los principios de seriedad e irrevocabilidad de la oferta.</w:t>
      </w:r>
    </w:p>
    <w:p w14:paraId="72D94B8B" w14:textId="77777777" w:rsidR="006A0C2D" w:rsidRPr="00C30B31" w:rsidRDefault="006A0C2D" w:rsidP="006A0C2D">
      <w:pPr>
        <w:spacing w:after="120" w:line="276" w:lineRule="auto"/>
        <w:jc w:val="both"/>
        <w:rPr>
          <w:rFonts w:ascii="Verdana" w:eastAsia="Times New Roman" w:hAnsi="Verdana" w:cs="Arial"/>
          <w:color w:val="000000"/>
          <w:lang w:val="es-ES" w:eastAsia="es-ES"/>
        </w:rPr>
      </w:pPr>
      <w:r w:rsidRPr="00C30B31">
        <w:rPr>
          <w:rFonts w:ascii="Verdana" w:eastAsia="Calibri" w:hAnsi="Verdana" w:cs="Arial"/>
        </w:rPr>
        <w:tab/>
      </w:r>
      <w:r w:rsidRPr="32E0163A">
        <w:rPr>
          <w:rFonts w:ascii="Verdana" w:eastAsia="Times New Roman" w:hAnsi="Verdana" w:cs="Arial"/>
          <w:color w:val="000000"/>
          <w:lang w:val="es-ES" w:eastAsia="es-ES"/>
        </w:rPr>
        <w:t xml:space="preserve">Teniendo en cuenta lo anterior, y que en el procedimiento de selección estandarizado mediante el documento tipo de interventoría la asignación de </w:t>
      </w:r>
      <w:r w:rsidRPr="32E0163A">
        <w:rPr>
          <w:rFonts w:ascii="Verdana" w:eastAsia="Times New Roman" w:hAnsi="Verdana" w:cs="Arial"/>
          <w:color w:val="000000"/>
          <w:lang w:val="es-ES" w:eastAsia="es-ES"/>
        </w:rPr>
        <w:lastRenderedPageBreak/>
        <w:t xml:space="preserve">puntaje no sería susceptible de subsanación, de acuerdo con las reglas de la norma citada, debe indicarse </w:t>
      </w:r>
      <w:proofErr w:type="gramStart"/>
      <w:r w:rsidRPr="32E0163A">
        <w:rPr>
          <w:rFonts w:ascii="Verdana" w:eastAsia="Times New Roman" w:hAnsi="Verdana" w:cs="Arial"/>
          <w:color w:val="000000"/>
          <w:lang w:val="es-ES" w:eastAsia="es-ES"/>
        </w:rPr>
        <w:t>que</w:t>
      </w:r>
      <w:proofErr w:type="gramEnd"/>
      <w:r w:rsidRPr="32E0163A">
        <w:rPr>
          <w:rFonts w:ascii="Verdana" w:eastAsia="Times New Roman" w:hAnsi="Verdana" w:cs="Arial"/>
          <w:color w:val="000000"/>
          <w:lang w:val="es-ES" w:eastAsia="es-ES"/>
        </w:rPr>
        <w:t xml:space="preserve"> de esta manera, el “documento base” del documento tipo de interventoría establece en el numeral 1.6. lo siguiente: </w:t>
      </w:r>
    </w:p>
    <w:p w14:paraId="1533F727" w14:textId="77777777" w:rsidR="006A0C2D" w:rsidRPr="00C30B31" w:rsidRDefault="006A0C2D" w:rsidP="006A0C2D">
      <w:pPr>
        <w:spacing w:after="0" w:line="276" w:lineRule="auto"/>
        <w:ind w:firstLine="709"/>
        <w:jc w:val="both"/>
        <w:rPr>
          <w:rFonts w:ascii="Verdana" w:eastAsia="Calibri" w:hAnsi="Verdana" w:cs="Arial"/>
          <w:bCs/>
          <w:color w:val="000000"/>
          <w:sz w:val="21"/>
          <w:szCs w:val="21"/>
          <w:lang w:val="es-ES_tradnl" w:eastAsia="es-ES_tradnl"/>
        </w:rPr>
      </w:pPr>
    </w:p>
    <w:p w14:paraId="059D5D20" w14:textId="77777777" w:rsidR="006A0C2D" w:rsidRPr="00C30B31" w:rsidRDefault="006A0C2D" w:rsidP="006A0C2D">
      <w:pPr>
        <w:autoSpaceDE w:val="0"/>
        <w:autoSpaceDN w:val="0"/>
        <w:adjustRightInd w:val="0"/>
        <w:spacing w:after="0" w:line="240" w:lineRule="auto"/>
        <w:ind w:left="709" w:right="709"/>
        <w:jc w:val="both"/>
        <w:rPr>
          <w:rFonts w:ascii="Verdana" w:eastAsia="Aptos" w:hAnsi="Verdana" w:cs="Arial"/>
          <w:kern w:val="2"/>
          <w:sz w:val="21"/>
          <w:szCs w:val="21"/>
          <w14:ligatures w14:val="standardContextual"/>
        </w:rPr>
      </w:pPr>
      <w:r w:rsidRPr="00C30B31">
        <w:rPr>
          <w:rFonts w:ascii="Verdana" w:eastAsia="Aptos" w:hAnsi="Verdana" w:cs="Arial"/>
          <w:kern w:val="2"/>
          <w:sz w:val="21"/>
          <w:szCs w:val="21"/>
          <w14:ligatures w14:val="standardContextual"/>
        </w:rPr>
        <w:t xml:space="preserve">“El Proponente tiene la responsabilidad y el deber de presentar su oferta de forma completa e íntegra, esto es, cumpliendo el contenido del Pliego de Condiciones y adjuntando los documentos de soporte o prueba de las condiciones que pretenda hacer valer en el Proceso de Contratación. </w:t>
      </w:r>
    </w:p>
    <w:p w14:paraId="010A52D2" w14:textId="77777777" w:rsidR="006A0C2D" w:rsidRPr="00C30B31" w:rsidRDefault="006A0C2D" w:rsidP="006A0C2D">
      <w:pPr>
        <w:autoSpaceDE w:val="0"/>
        <w:autoSpaceDN w:val="0"/>
        <w:adjustRightInd w:val="0"/>
        <w:spacing w:before="120" w:after="240" w:line="240" w:lineRule="auto"/>
        <w:ind w:left="709" w:right="709"/>
        <w:jc w:val="both"/>
        <w:rPr>
          <w:rFonts w:ascii="Verdana" w:eastAsia="Aptos" w:hAnsi="Verdana" w:cs="Arial"/>
          <w:kern w:val="2"/>
          <w:sz w:val="21"/>
          <w:szCs w:val="21"/>
          <w14:ligatures w14:val="standardContextual"/>
        </w:rPr>
      </w:pPr>
      <w:r w:rsidRPr="00C30B31">
        <w:rPr>
          <w:rFonts w:ascii="Verdana" w:eastAsia="Aptos" w:hAnsi="Verdana" w:cs="Arial"/>
          <w:kern w:val="2"/>
          <w:sz w:val="21"/>
          <w:szCs w:val="21"/>
          <w14:ligatures w14:val="standardContextual"/>
        </w:rPr>
        <w:t xml:space="preserve">En caso de ser necesario, la Entidad debe solicitar a los Proponentes durante el proceso de evaluación, y a más tardar en el informe de evaluación, las aclaraciones, precisiones o solicitudes de documentos que puedan ser subsanables. No obstante, los Proponentes no podrán completar, adicionar o mejorar sus propuestas en los aspectos que otorgan puntaje, ni tampoco en los factores de desempate, los cuales podrán ser objeto de aclaraciones y explicaciones. Los Proponentes deberán allegar las aclaraciones o documentos requeridos en el momento en el que fueron solicitados y a más tardar hasta el término de traslado del informe de evaluación, es decir, dentro de los tres (3) días hábiles posteriores contados a partir del día hábil siguiente a la publicación del informe de evaluación. </w:t>
      </w:r>
    </w:p>
    <w:p w14:paraId="0417ECA1" w14:textId="77777777" w:rsidR="006A0C2D" w:rsidRPr="00C30B31" w:rsidRDefault="006A0C2D" w:rsidP="006A0C2D">
      <w:pPr>
        <w:autoSpaceDE w:val="0"/>
        <w:autoSpaceDN w:val="0"/>
        <w:adjustRightInd w:val="0"/>
        <w:spacing w:after="0" w:line="240" w:lineRule="auto"/>
        <w:ind w:left="709" w:right="709"/>
        <w:jc w:val="both"/>
        <w:rPr>
          <w:rFonts w:ascii="Verdana" w:eastAsia="Aptos" w:hAnsi="Verdana" w:cs="Times New Roman"/>
          <w:kern w:val="2"/>
          <w:sz w:val="21"/>
          <w:szCs w:val="21"/>
          <w14:ligatures w14:val="standardContextual"/>
        </w:rPr>
      </w:pPr>
      <w:r w:rsidRPr="00C30B31">
        <w:rPr>
          <w:rFonts w:ascii="Verdana" w:eastAsia="Aptos" w:hAnsi="Verdana" w:cs="Arial"/>
          <w:kern w:val="2"/>
          <w:sz w:val="21"/>
          <w:szCs w:val="21"/>
          <w14:ligatures w14:val="standardContextual"/>
        </w:rPr>
        <w:t>En</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caso de</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que</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la</w:t>
      </w:r>
      <w:r w:rsidRPr="00C30B31">
        <w:rPr>
          <w:rFonts w:ascii="Verdana" w:eastAsia="Arial" w:hAnsi="Verdana" w:cs="Arial"/>
          <w:kern w:val="2"/>
          <w:sz w:val="21"/>
          <w:szCs w:val="21"/>
          <w14:ligatures w14:val="standardContextual"/>
        </w:rPr>
        <w:t xml:space="preserve"> </w:t>
      </w:r>
      <w:r w:rsidRPr="00C30B31" w:rsidDel="00E41DBB">
        <w:rPr>
          <w:rFonts w:ascii="Verdana" w:eastAsia="Aptos" w:hAnsi="Verdana" w:cs="Arial"/>
          <w:kern w:val="2"/>
          <w:sz w:val="21"/>
          <w:szCs w:val="21"/>
          <w14:ligatures w14:val="standardContextual"/>
        </w:rPr>
        <w:t>Entidad</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no hubiese advertido durante el proceso de evaluación</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la</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ausencia</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de</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requisitos o la falta de documentos referentes a la futura contratación o al Proponente, ya sea en relación con los requisitos habilitantes o para aclarar aspectos que otorgan puntaje o relativos a los factores de desempate y, por ende, no los haya requerido, podrá hacerlo posteriormente</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otorgándole</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al Proponente</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un</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término</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igual</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al</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establecido</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para</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el</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traslado</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del</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informe</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de</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evaluación</w:t>
      </w:r>
      <w:r w:rsidRPr="00C30B31">
        <w:rPr>
          <w:rFonts w:ascii="Verdana" w:eastAsia="Arial" w:hAnsi="Verdana" w:cs="Arial"/>
          <w:kern w:val="2"/>
          <w:sz w:val="21"/>
          <w:szCs w:val="21"/>
          <w14:ligatures w14:val="standardContextual"/>
        </w:rPr>
        <w:t>,</w:t>
      </w:r>
      <w:r w:rsidRPr="00C30B31" w:rsidDel="008C5B46">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con</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el</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fin</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de</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que</w:t>
      </w:r>
      <w:r w:rsidRPr="00C30B31">
        <w:rPr>
          <w:rFonts w:ascii="Verdana" w:eastAsia="Arial" w:hAnsi="Verdana" w:cs="Arial"/>
          <w:kern w:val="2"/>
          <w:sz w:val="21"/>
          <w:szCs w:val="21"/>
          <w14:ligatures w14:val="standardContextual"/>
        </w:rPr>
        <w:t xml:space="preserve"> </w:t>
      </w:r>
      <w:r w:rsidRPr="00C30B31">
        <w:rPr>
          <w:rFonts w:ascii="Verdana" w:eastAsia="Aptos" w:hAnsi="Verdana" w:cs="Arial"/>
          <w:kern w:val="2"/>
          <w:sz w:val="21"/>
          <w:szCs w:val="21"/>
          <w14:ligatures w14:val="standardContextual"/>
        </w:rPr>
        <w:t>los allegue. En caso de que sea necesario, la E</w:t>
      </w:r>
      <w:r w:rsidRPr="00C30B31" w:rsidDel="00E41DBB">
        <w:rPr>
          <w:rFonts w:ascii="Verdana" w:eastAsia="Aptos" w:hAnsi="Verdana" w:cs="Arial"/>
          <w:kern w:val="2"/>
          <w:sz w:val="21"/>
          <w:szCs w:val="21"/>
          <w14:ligatures w14:val="standardContextual"/>
        </w:rPr>
        <w:t>ntidad</w:t>
      </w:r>
      <w:r w:rsidRPr="00C30B31">
        <w:rPr>
          <w:rFonts w:ascii="Verdana" w:eastAsia="Aptos" w:hAnsi="Verdana" w:cs="Arial"/>
          <w:kern w:val="2"/>
          <w:sz w:val="21"/>
          <w:szCs w:val="21"/>
          <w14:ligatures w14:val="standardContextual"/>
        </w:rPr>
        <w:t xml:space="preserve"> ajustará el Cronograma. </w:t>
      </w:r>
      <w:r w:rsidRPr="00C30B31">
        <w:rPr>
          <w:rFonts w:ascii="Verdana" w:eastAsia="Arial" w:hAnsi="Verdana" w:cs="Arial"/>
          <w:kern w:val="2"/>
          <w:sz w:val="21"/>
          <w:szCs w:val="21"/>
          <w14:ligatures w14:val="standardContextual"/>
        </w:rPr>
        <w:t>Lo aquí descrito también aplicará cuando la observación a la oferta provenga de otro Proponente y se hubiere realizado en el traslado del informe de evaluación”.</w:t>
      </w:r>
    </w:p>
    <w:p w14:paraId="24DD81A8" w14:textId="77777777" w:rsidR="006A0C2D" w:rsidRPr="00C30B31" w:rsidRDefault="006A0C2D" w:rsidP="006A0C2D">
      <w:pPr>
        <w:tabs>
          <w:tab w:val="left" w:pos="0"/>
        </w:tabs>
        <w:spacing w:after="0" w:line="240" w:lineRule="auto"/>
        <w:jc w:val="both"/>
        <w:rPr>
          <w:rFonts w:ascii="Verdana" w:eastAsia="Calibri" w:hAnsi="Verdana" w:cs="Arial"/>
          <w:b/>
          <w:color w:val="000000"/>
          <w:szCs w:val="24"/>
          <w:lang w:val="es-ES_tradnl" w:eastAsia="es-ES_tradnl"/>
        </w:rPr>
      </w:pPr>
    </w:p>
    <w:p w14:paraId="60C3CC99" w14:textId="77777777" w:rsidR="006A0C2D" w:rsidRPr="00C30B31" w:rsidRDefault="006A0C2D" w:rsidP="006A0C2D">
      <w:pPr>
        <w:spacing w:after="120" w:line="276" w:lineRule="auto"/>
        <w:ind w:right="51" w:firstLine="709"/>
        <w:jc w:val="both"/>
        <w:rPr>
          <w:rFonts w:ascii="Arial" w:eastAsia="Arial" w:hAnsi="Arial" w:cs="Arial"/>
          <w:kern w:val="2"/>
          <w:sz w:val="24"/>
          <w:szCs w:val="24"/>
          <w:lang w:val="es-MX" w:eastAsia="es-ES"/>
          <w14:ligatures w14:val="standardContextual"/>
        </w:rPr>
      </w:pPr>
      <w:r w:rsidRPr="00C30B31">
        <w:rPr>
          <w:rFonts w:ascii="Verdana" w:eastAsia="Calibri" w:hAnsi="Verdana" w:cs="Arial"/>
          <w:kern w:val="2"/>
          <w:lang w:val="es-MX"/>
          <w14:ligatures w14:val="standardContextual"/>
        </w:rPr>
        <w:t>Como en efecto lo explica textualmente el pliego, no son subsanables los aspectos que otorgan puntaje ni los factores de desempate, pero respecto de estos si procede la aclaración o explicación que solicite la entidad y que aporte el proponente</w:t>
      </w:r>
      <w:r w:rsidRPr="00C30B31">
        <w:rPr>
          <w:rFonts w:ascii="Verdana" w:eastAsia="Arial" w:hAnsi="Verdana" w:cs="Arial"/>
          <w:kern w:val="2"/>
          <w:lang w:val="es-MX" w:eastAsia="es-ES"/>
          <w14:ligatures w14:val="standardContextual"/>
        </w:rPr>
        <w:t xml:space="preserve">. Esto se encuentra en armonía con el parágrafo 1 del artículo 5 de la Ley 1150 de 2007, modificado por el artículo 5 de la Ley 1882 de 2018, que dispone la </w:t>
      </w:r>
      <w:proofErr w:type="spellStart"/>
      <w:r w:rsidRPr="00C30B31">
        <w:rPr>
          <w:rFonts w:ascii="Verdana" w:eastAsia="Arial" w:hAnsi="Verdana" w:cs="Arial"/>
          <w:kern w:val="2"/>
          <w:lang w:val="es-MX" w:eastAsia="es-ES"/>
          <w14:ligatures w14:val="standardContextual"/>
        </w:rPr>
        <w:t>subsanabilidad</w:t>
      </w:r>
      <w:proofErr w:type="spellEnd"/>
      <w:r w:rsidRPr="00C30B31">
        <w:rPr>
          <w:rFonts w:ascii="Verdana" w:eastAsia="Arial" w:hAnsi="Verdana" w:cs="Arial"/>
          <w:kern w:val="2"/>
          <w:lang w:val="es-MX" w:eastAsia="es-ES"/>
          <w14:ligatures w14:val="standardContextual"/>
        </w:rPr>
        <w:t xml:space="preserve"> de los requisitos de la propuesta que no afecten la asignación de puntaje, los cuales deben ser solicitados por la entidad estatal </w:t>
      </w:r>
      <w:r w:rsidRPr="00C30B31">
        <w:rPr>
          <w:rFonts w:ascii="Verdana" w:eastAsia="Arial" w:hAnsi="Verdana" w:cs="Arial"/>
          <w:kern w:val="2"/>
          <w:lang w:val="es-MX" w:eastAsia="es-ES"/>
          <w14:ligatures w14:val="standardContextual"/>
        </w:rPr>
        <w:lastRenderedPageBreak/>
        <w:t>contratante y aportados por los proponentes, lo que implica que los requisitos ponderables o que otorguen puntaje no pueden ser subsanados</w:t>
      </w:r>
      <w:r w:rsidRPr="00C30B31">
        <w:rPr>
          <w:rFonts w:ascii="Arial" w:eastAsia="Arial" w:hAnsi="Arial" w:cs="Arial"/>
          <w:kern w:val="2"/>
          <w:sz w:val="24"/>
          <w:szCs w:val="24"/>
          <w:vertAlign w:val="superscript"/>
          <w:lang w:val="es-MX" w:eastAsia="es-ES"/>
          <w14:ligatures w14:val="standardContextual"/>
        </w:rPr>
        <w:footnoteReference w:id="12"/>
      </w:r>
      <w:r w:rsidRPr="00C30B31">
        <w:rPr>
          <w:rFonts w:ascii="Arial" w:eastAsia="Arial" w:hAnsi="Arial" w:cs="Arial"/>
          <w:kern w:val="2"/>
          <w:sz w:val="24"/>
          <w:szCs w:val="24"/>
          <w:lang w:val="es-MX" w:eastAsia="es-ES"/>
          <w14:ligatures w14:val="standardContextual"/>
        </w:rPr>
        <w:t xml:space="preserve">. </w:t>
      </w:r>
    </w:p>
    <w:p w14:paraId="528CFDD5" w14:textId="77777777" w:rsidR="006A0C2D" w:rsidRPr="00C30B31" w:rsidRDefault="006A0C2D" w:rsidP="006A0C2D">
      <w:pPr>
        <w:spacing w:after="120" w:line="276" w:lineRule="auto"/>
        <w:ind w:firstLine="709"/>
        <w:jc w:val="both"/>
        <w:rPr>
          <w:rFonts w:ascii="Verdana" w:eastAsia="Calibri" w:hAnsi="Verdana" w:cs="Arial"/>
          <w:color w:val="000000"/>
          <w:lang w:val="es-ES" w:eastAsia="es-ES_tradnl"/>
        </w:rPr>
      </w:pPr>
      <w:r w:rsidRPr="00C30B31">
        <w:rPr>
          <w:rFonts w:ascii="Verdana" w:eastAsia="Calibri" w:hAnsi="Verdana" w:cs="Arial"/>
          <w:color w:val="000000"/>
          <w:lang w:val="es-ES" w:eastAsia="es-ES_tradnl"/>
        </w:rPr>
        <w:t xml:space="preserve">En este sentido, la regulación contenida en el numeral 1.6 del documento base, guarda armonía con la posibilidad de presentar </w:t>
      </w:r>
      <w:r w:rsidRPr="00C30B31">
        <w:rPr>
          <w:rFonts w:ascii="Verdana" w:eastAsia="Calibri" w:hAnsi="Verdana" w:cs="Arial"/>
          <w:i/>
          <w:iCs/>
          <w:color w:val="000000"/>
          <w:lang w:val="es-ES" w:eastAsia="es-ES_tradnl"/>
        </w:rPr>
        <w:t xml:space="preserve">explicaciones o aclaraciones </w:t>
      </w:r>
      <w:r w:rsidRPr="00C30B31">
        <w:rPr>
          <w:rFonts w:ascii="Verdana" w:eastAsia="Calibri" w:hAnsi="Verdana" w:cs="Arial"/>
          <w:color w:val="000000"/>
          <w:lang w:val="es-ES" w:eastAsia="es-ES_tradnl"/>
        </w:rPr>
        <w:t xml:space="preserve">del contenido de las ofertas, actuación que esta Agencia y la jurisprudencia ha diferenciado de la posibilidad de </w:t>
      </w:r>
      <w:r w:rsidRPr="00C30B31">
        <w:rPr>
          <w:rFonts w:ascii="Verdana" w:eastAsia="Calibri" w:hAnsi="Verdana" w:cs="Arial"/>
          <w:i/>
          <w:iCs/>
          <w:color w:val="000000"/>
          <w:lang w:val="es-ES" w:eastAsia="es-ES_tradnl"/>
        </w:rPr>
        <w:t>subsanar</w:t>
      </w:r>
      <w:r w:rsidRPr="00C30B31">
        <w:rPr>
          <w:rFonts w:ascii="Verdana" w:eastAsia="Calibri" w:hAnsi="Verdana" w:cs="Arial"/>
          <w:color w:val="000000"/>
          <w:lang w:val="es-ES" w:eastAsia="es-ES_tradnl"/>
        </w:rPr>
        <w:t>, fundamentando tal actuación en el artículo 30, numeral 7 de la Ley 80 de 1993</w:t>
      </w:r>
      <w:r w:rsidRPr="00C30B31">
        <w:rPr>
          <w:rFonts w:ascii="Verdana" w:eastAsia="Calibri" w:hAnsi="Verdana" w:cs="Arial"/>
          <w:color w:val="000000"/>
          <w:vertAlign w:val="superscript"/>
          <w:lang w:val="es-ES" w:eastAsia="es-ES_tradnl"/>
        </w:rPr>
        <w:footnoteReference w:id="13"/>
      </w:r>
      <w:r w:rsidRPr="00C30B31">
        <w:rPr>
          <w:rFonts w:ascii="Verdana" w:eastAsia="Calibri" w:hAnsi="Verdana" w:cs="Arial"/>
          <w:color w:val="000000"/>
          <w:lang w:val="es-ES" w:eastAsia="es-ES_tradnl"/>
        </w:rPr>
        <w:t xml:space="preserve">. De esta manera, es posible que las entidades requieran al proponente para que explique o aclare el contenido de lo que está presente en la oferta, lo que procede tanto frente a los requisitos habilitantes como los que asignan puntaje. En efecto, en el “documento base” del documento tipo de interventoría se establece en el numeral 1.6. –inciso segundo–: “En caso de ser necesario, la entidad debe solicitar a los proponentes durante el proceso de evaluación, y a más tardar en el informe de evaluación, las aclaraciones, precisiones o solicitud de documentos que puedan ser subsanables. </w:t>
      </w:r>
      <w:r w:rsidRPr="00C30B31">
        <w:rPr>
          <w:rFonts w:ascii="Verdana" w:eastAsia="Calibri" w:hAnsi="Verdana" w:cs="Arial"/>
          <w:i/>
          <w:iCs/>
          <w:color w:val="000000"/>
          <w:lang w:val="es-ES" w:eastAsia="es-ES_tradnl"/>
        </w:rPr>
        <w:t>No obstante, los proponentes no podrán completar, adicionar o mejorar sus propuestas en los aspectos que otorgan puntaje, los cuales podrán ser objeto de aclaraciones y explicaciones</w:t>
      </w:r>
      <w:r w:rsidRPr="00C30B31">
        <w:rPr>
          <w:rFonts w:ascii="Verdana" w:eastAsia="Calibri" w:hAnsi="Verdana" w:cs="Arial"/>
          <w:color w:val="000000"/>
          <w:lang w:val="es-ES" w:eastAsia="es-ES_tradnl"/>
        </w:rPr>
        <w:t xml:space="preserve">”, como se indicó precedentemente. </w:t>
      </w:r>
    </w:p>
    <w:p w14:paraId="05F2BA49" w14:textId="77777777" w:rsidR="006A0C2D" w:rsidRPr="00C30B31" w:rsidRDefault="006A0C2D" w:rsidP="006A0C2D">
      <w:pPr>
        <w:spacing w:after="120" w:line="276" w:lineRule="auto"/>
        <w:ind w:firstLine="709"/>
        <w:jc w:val="both"/>
        <w:rPr>
          <w:rFonts w:ascii="Verdana" w:eastAsia="Calibri" w:hAnsi="Verdana" w:cs="Arial"/>
          <w:color w:val="000000"/>
          <w:lang w:val="es-ES" w:eastAsia="es-ES_tradnl"/>
        </w:rPr>
      </w:pPr>
      <w:r w:rsidRPr="00C30B31">
        <w:rPr>
          <w:rFonts w:ascii="Verdana" w:eastAsia="Calibri" w:hAnsi="Verdana" w:cs="Arial"/>
          <w:color w:val="000000"/>
          <w:lang w:val="es-ES" w:eastAsia="es-ES_tradnl"/>
        </w:rPr>
        <w:t xml:space="preserve">En armonía con lo anterior, el “Anexo 3 – Glosario” del documento tipo de interventoría en relación con esta posibilidad establece la siguiente remisión: “Aclaraciones y explicaciones de ofertas: Se remite a las nociones desarrolladas en la sentencia del Consejo de Estado, Sección Tercera, Subsección C, del 12 de noviembre de 2014, Radicado 27.986, </w:t>
      </w:r>
      <w:proofErr w:type="gramStart"/>
      <w:r w:rsidRPr="00C30B31">
        <w:rPr>
          <w:rFonts w:ascii="Verdana" w:eastAsia="Calibri" w:hAnsi="Verdana" w:cs="Arial"/>
          <w:color w:val="000000"/>
          <w:lang w:val="es-ES" w:eastAsia="es-ES_tradnl"/>
        </w:rPr>
        <w:t>Consejero</w:t>
      </w:r>
      <w:proofErr w:type="gramEnd"/>
      <w:r w:rsidRPr="00C30B31">
        <w:rPr>
          <w:rFonts w:ascii="Verdana" w:eastAsia="Calibri" w:hAnsi="Verdana" w:cs="Arial"/>
          <w:color w:val="000000"/>
          <w:lang w:val="es-ES" w:eastAsia="es-ES_tradnl"/>
        </w:rPr>
        <w:t xml:space="preserve"> Ponente: Enrique Gil Botero”. De esta manera, la posibilidad de “subsanar”, no incide en la posibilidad más amplia de presentar “</w:t>
      </w:r>
      <w:r w:rsidRPr="00C30B31">
        <w:rPr>
          <w:rFonts w:ascii="Verdana" w:eastAsia="Calibri" w:hAnsi="Verdana" w:cs="Arial"/>
          <w:i/>
          <w:iCs/>
          <w:color w:val="000000"/>
          <w:lang w:val="es-ES" w:eastAsia="es-ES_tradnl"/>
        </w:rPr>
        <w:t>aclaraciones o explicaciones” del contenido de las ofertas.</w:t>
      </w:r>
      <w:r w:rsidRPr="00C30B31">
        <w:rPr>
          <w:rFonts w:ascii="Verdana" w:eastAsia="Calibri" w:hAnsi="Verdana" w:cs="Arial"/>
          <w:color w:val="000000"/>
          <w:lang w:val="es-ES" w:eastAsia="es-ES_tradnl"/>
        </w:rPr>
        <w:t xml:space="preserve"> En efecto, de acuerdo con la jurisprudencia esta actuación aplica en aquellos supuestos en que la entidad tiene dudas respecto el alcance o contenido de lo que está presente en la oferta y, por tanto, antes de decidir sobre la forma de </w:t>
      </w:r>
      <w:r w:rsidRPr="00C30B31">
        <w:rPr>
          <w:rFonts w:ascii="Verdana" w:eastAsia="Calibri" w:hAnsi="Verdana" w:cs="Arial"/>
          <w:color w:val="000000"/>
          <w:lang w:val="es-ES" w:eastAsia="es-ES_tradnl"/>
        </w:rPr>
        <w:lastRenderedPageBreak/>
        <w:t>evaluar lo que está presente allí considera necesario contar previamente con una explicación o aclaración por parte del proponente.</w:t>
      </w:r>
    </w:p>
    <w:p w14:paraId="4BE13732" w14:textId="77777777" w:rsidR="006A0C2D" w:rsidRPr="00C30B31" w:rsidRDefault="006A0C2D" w:rsidP="006A0C2D">
      <w:pPr>
        <w:spacing w:before="120" w:after="0" w:line="276" w:lineRule="auto"/>
        <w:ind w:firstLine="709"/>
        <w:jc w:val="both"/>
        <w:rPr>
          <w:rFonts w:ascii="Verdana" w:eastAsia="Calibri" w:hAnsi="Verdana" w:cs="Arial"/>
          <w:color w:val="000000"/>
          <w:lang w:val="es-ES" w:eastAsia="es-ES_tradnl"/>
        </w:rPr>
      </w:pPr>
      <w:r w:rsidRPr="00C30B31">
        <w:rPr>
          <w:rFonts w:ascii="Verdana" w:eastAsia="Calibri" w:hAnsi="Verdana" w:cs="Arial"/>
          <w:color w:val="000000"/>
          <w:lang w:val="es-ES" w:eastAsia="es-ES_tradnl"/>
        </w:rPr>
        <w:t>En este sentido, la facultad  de solicitar aclaraciones en cabeza de la entidad directora del proceso selección establecida, principal y genéricamente, en el artículo 30 de la Ley 80 de 1993, debe comprenderse bajo el entendido que el oferente cuya oferta requiera ser aclarada, no podrá, so pena de proceder de conformidad con el requerimiento de la entidad, realizar modificaciones que impliquen una mejora o alteración sustancial de la oferta, tal y como ha sido expresado por el Consejo de Estado.</w:t>
      </w:r>
    </w:p>
    <w:p w14:paraId="1A0F473E" w14:textId="77777777" w:rsidR="006A0C2D" w:rsidRPr="00C30B31" w:rsidRDefault="006A0C2D" w:rsidP="006A0C2D">
      <w:pPr>
        <w:spacing w:before="120" w:after="0" w:line="276" w:lineRule="auto"/>
        <w:ind w:firstLine="709"/>
        <w:jc w:val="both"/>
        <w:rPr>
          <w:rFonts w:ascii="Verdana" w:eastAsia="Calibri" w:hAnsi="Verdana" w:cs="Arial"/>
          <w:bCs/>
          <w:kern w:val="2"/>
          <w:lang w:val="es-MX"/>
          <w14:ligatures w14:val="standardContextual"/>
        </w:rPr>
      </w:pPr>
      <w:r w:rsidRPr="00C30B31">
        <w:rPr>
          <w:rFonts w:ascii="Verdana" w:eastAsia="Calibri" w:hAnsi="Verdana" w:cs="Arial"/>
          <w:bCs/>
          <w:kern w:val="2"/>
          <w:lang w:val="es-MX"/>
          <w14:ligatures w14:val="standardContextual"/>
        </w:rPr>
        <w:t>Ahora bien, lo anterior no impide que se puedan hacer aclaraciones a las propuestas bien porque la entidad estatal las solicite en la etapa de evaluación de las mismas, ora porque las realicen los oferentes en la etapa dispuesta para las observaciones a los informes de evaluación, pero siempre y cuando verse sobre aspectos meramente formales o adjetivos o que en todo caso no comporten una variación o corrección del fondo de la propuesta a favor de quien las presenta y en detrimento de la posición de los demás proponentes en la evaluación, esto es, sujetas a condición de que con las mismas no se altere de manera sustancial la información inicialmente suministrada y la situación de los oferentes en el proceso de licitación. Por eso, como es posible que por vía aclaratoria los proponentes intenten modificar o mejorar sus ofertas, hay que distinguir entre las simples aclaraciones de las propuestas y las modificaciones a estas; las primeras son los medios para que se pueda hacer perceptible, manifiesto, explícito o inteligible algún aspecto confuso de la propuesta, sin implicar una complementación, adición, modificación o mejora de dicho aspecto, que es, precisamente, en lo que consisten las segundas.</w:t>
      </w:r>
    </w:p>
    <w:p w14:paraId="572CD357" w14:textId="77777777" w:rsidR="006A0C2D" w:rsidRPr="00C30B31" w:rsidRDefault="006A0C2D" w:rsidP="006A0C2D">
      <w:pPr>
        <w:spacing w:before="120" w:after="0" w:line="276" w:lineRule="auto"/>
        <w:ind w:firstLine="709"/>
        <w:jc w:val="both"/>
        <w:rPr>
          <w:rFonts w:ascii="Verdana" w:eastAsia="Calibri" w:hAnsi="Verdana" w:cs="Arial"/>
          <w:bCs/>
          <w:kern w:val="2"/>
          <w:lang w:val="es-MX"/>
          <w14:ligatures w14:val="standardContextual"/>
        </w:rPr>
      </w:pPr>
      <w:r w:rsidRPr="00C30B31">
        <w:rPr>
          <w:rFonts w:ascii="Verdana" w:eastAsia="Calibri" w:hAnsi="Verdana" w:cs="Arial"/>
          <w:bCs/>
          <w:kern w:val="2"/>
          <w:lang w:val="es-MX"/>
          <w14:ligatures w14:val="standardContextual"/>
        </w:rPr>
        <w:t xml:space="preserve">La solicitud de aclaraciones permite que las entidades requieran a los proponentes esclarecer aspectos de sus propuestas que, en principio, resultan confusos para efectos de la evaluación, diferenciándose de la </w:t>
      </w:r>
      <w:proofErr w:type="spellStart"/>
      <w:r w:rsidRPr="00C30B31">
        <w:rPr>
          <w:rFonts w:ascii="Verdana" w:eastAsia="Calibri" w:hAnsi="Verdana" w:cs="Arial"/>
          <w:bCs/>
          <w:kern w:val="2"/>
          <w:lang w:val="es-MX"/>
          <w14:ligatures w14:val="standardContextual"/>
        </w:rPr>
        <w:t>subsanabilidad</w:t>
      </w:r>
      <w:proofErr w:type="spellEnd"/>
      <w:r w:rsidRPr="00C30B31">
        <w:rPr>
          <w:rFonts w:ascii="Verdana" w:eastAsia="Calibri" w:hAnsi="Verdana" w:cs="Arial"/>
          <w:bCs/>
          <w:kern w:val="2"/>
          <w:lang w:val="es-MX"/>
          <w14:ligatures w14:val="standardContextual"/>
        </w:rPr>
        <w:t xml:space="preserve">, pues no parte del supuesto de la ausencia de requisitos de la oferta sino de la existencia de dudas en la misma, cuya explicación se requiere para la evaluar la propuesta. Esta diferencia es importante, pues </w:t>
      </w:r>
      <w:r w:rsidRPr="00C30B31">
        <w:rPr>
          <w:rFonts w:ascii="Verdana" w:eastAsia="Calibri" w:hAnsi="Verdana" w:cs="Arial"/>
          <w:bCs/>
          <w:i/>
          <w:iCs/>
          <w:kern w:val="2"/>
          <w:lang w:val="es-MX"/>
          <w14:ligatures w14:val="standardContextual"/>
        </w:rPr>
        <w:t>es posible aclarar los requisitos que asignan puntaje</w:t>
      </w:r>
      <w:r w:rsidRPr="00C30B31">
        <w:rPr>
          <w:rFonts w:ascii="Verdana" w:eastAsia="Calibri" w:hAnsi="Verdana" w:cs="Arial"/>
          <w:bCs/>
          <w:kern w:val="2"/>
          <w:lang w:val="es-MX"/>
          <w14:ligatures w14:val="standardContextual"/>
        </w:rPr>
        <w:t>, tal como lo ha señalado la jurisprudencia en los siguientes términos:</w:t>
      </w:r>
    </w:p>
    <w:p w14:paraId="6DB484D3" w14:textId="77777777" w:rsidR="006A0C2D" w:rsidRPr="00C30B31" w:rsidRDefault="006A0C2D" w:rsidP="006A0C2D">
      <w:pPr>
        <w:spacing w:after="0" w:line="240" w:lineRule="auto"/>
        <w:ind w:left="709" w:right="709"/>
        <w:jc w:val="both"/>
        <w:rPr>
          <w:rFonts w:ascii="Verdana" w:eastAsia="Calibri" w:hAnsi="Verdana" w:cs="Arial"/>
          <w:bCs/>
          <w:kern w:val="2"/>
          <w:sz w:val="21"/>
          <w:szCs w:val="21"/>
          <w:lang w:val="es-MX"/>
          <w14:ligatures w14:val="standardContextual"/>
        </w:rPr>
      </w:pPr>
    </w:p>
    <w:p w14:paraId="415872C9" w14:textId="77777777" w:rsidR="006A0C2D" w:rsidRPr="00C30B31" w:rsidRDefault="006A0C2D" w:rsidP="006A0C2D">
      <w:pPr>
        <w:spacing w:after="0" w:line="240" w:lineRule="auto"/>
        <w:ind w:left="709" w:right="709"/>
        <w:jc w:val="both"/>
        <w:rPr>
          <w:rFonts w:ascii="Verdana" w:eastAsia="Calibri" w:hAnsi="Verdana" w:cs="Arial"/>
          <w:bCs/>
          <w:kern w:val="2"/>
          <w:sz w:val="21"/>
          <w:szCs w:val="21"/>
          <w:lang w:val="es-MX"/>
          <w14:ligatures w14:val="standardContextual"/>
        </w:rPr>
      </w:pPr>
      <w:r w:rsidRPr="00C30B31">
        <w:rPr>
          <w:rFonts w:ascii="Verdana" w:eastAsia="Calibri" w:hAnsi="Verdana" w:cs="Arial"/>
          <w:bCs/>
          <w:kern w:val="2"/>
          <w:sz w:val="21"/>
          <w:szCs w:val="21"/>
          <w:lang w:val="es-MX"/>
          <w14:ligatures w14:val="standardContextual"/>
        </w:rPr>
        <w:t xml:space="preserve">Conforme al art. 30.7 las entidades deben garantizar el derecho que tienen los oferentes de aclarar los aspectos confusos de sus propuestas, facultad que le permitirá a la entidad definir su adecuación o no al pliego. Esta figura constituye una oportunidad propia del </w:t>
      </w:r>
      <w:r w:rsidRPr="00C30B31">
        <w:rPr>
          <w:rFonts w:ascii="Verdana" w:eastAsia="Calibri" w:hAnsi="Verdana" w:cs="Arial"/>
          <w:bCs/>
          <w:kern w:val="2"/>
          <w:sz w:val="21"/>
          <w:szCs w:val="21"/>
          <w:lang w:val="es-MX"/>
          <w14:ligatures w14:val="standardContextual"/>
        </w:rPr>
        <w:lastRenderedPageBreak/>
        <w:t xml:space="preserve">proceso de evaluación de las ofertas -que se diferencia de la </w:t>
      </w:r>
      <w:proofErr w:type="spellStart"/>
      <w:r w:rsidRPr="00C30B31">
        <w:rPr>
          <w:rFonts w:ascii="Verdana" w:eastAsia="Calibri" w:hAnsi="Verdana" w:cs="Arial"/>
          <w:bCs/>
          <w:kern w:val="2"/>
          <w:sz w:val="21"/>
          <w:szCs w:val="21"/>
          <w:lang w:val="es-MX"/>
          <w14:ligatures w14:val="standardContextual"/>
        </w:rPr>
        <w:t>subsanabilidad</w:t>
      </w:r>
      <w:proofErr w:type="spellEnd"/>
      <w:r w:rsidRPr="00C30B31">
        <w:rPr>
          <w:rFonts w:ascii="Verdana" w:eastAsia="Calibri" w:hAnsi="Verdana" w:cs="Arial"/>
          <w:bCs/>
          <w:kern w:val="2"/>
          <w:sz w:val="21"/>
          <w:szCs w:val="21"/>
          <w:lang w:val="es-MX"/>
          <w14:ligatures w14:val="standardContextual"/>
        </w:rPr>
        <w:t xml:space="preserve"> -, pues no parte del supuesto de la ausencia de requisitos de la oferta –los que hay que subsanar-, sino de la presencia de inconsistencias o falta de claridad en la oferta, […]. La importancia de diferenciarlos radica en que la aclaración o explicación se admite, incluso, sobre requisitos que afectan la comparación de las ofertas y/o inciden en la asignación del puntaje; se repite, siempre y cuando se trate de inconsistencias o falta de claridad, porque allí no se modifica el ofrecimiento, simplemente se aclara, es decir, se trata de hacer manifiesto lo que ya existe –sólo que es contradictorio o confuso-, se busca sacar a la luz lo que parece oscuro, no de subsanar algo, pues el requisito que admite ser aclarado tiene que estar incluido en la oferta, solo que la entidad tiene dudas sobre su alcance, contenido o acreditación, porque de la oferta se pueden inferir entendimientos diferentes.</w:t>
      </w:r>
      <w:r w:rsidRPr="00C30B31">
        <w:rPr>
          <w:rFonts w:ascii="Verdana" w:eastAsia="Calibri" w:hAnsi="Verdana" w:cs="Arial"/>
          <w:bCs/>
          <w:kern w:val="2"/>
          <w:sz w:val="21"/>
          <w:szCs w:val="21"/>
          <w:vertAlign w:val="superscript"/>
          <w:lang w:val="es-MX"/>
          <w14:ligatures w14:val="standardContextual"/>
        </w:rPr>
        <w:footnoteReference w:id="14"/>
      </w:r>
    </w:p>
    <w:p w14:paraId="793864A7" w14:textId="77777777" w:rsidR="006A0C2D" w:rsidRPr="00C30B31" w:rsidRDefault="006A0C2D" w:rsidP="006A0C2D">
      <w:pPr>
        <w:spacing w:after="0" w:line="240" w:lineRule="auto"/>
        <w:ind w:left="709" w:right="709"/>
        <w:jc w:val="both"/>
        <w:rPr>
          <w:rFonts w:ascii="Verdana" w:eastAsia="Calibri" w:hAnsi="Verdana" w:cs="Arial"/>
          <w:bCs/>
          <w:kern w:val="2"/>
          <w:sz w:val="21"/>
          <w:szCs w:val="21"/>
          <w:lang w:val="es-MX"/>
          <w14:ligatures w14:val="standardContextual"/>
        </w:rPr>
      </w:pPr>
    </w:p>
    <w:p w14:paraId="037A607E" w14:textId="77777777" w:rsidR="006A0C2D" w:rsidRPr="00C30B31" w:rsidRDefault="006A0C2D" w:rsidP="006A0C2D">
      <w:pPr>
        <w:spacing w:after="120" w:line="276" w:lineRule="auto"/>
        <w:ind w:firstLine="709"/>
        <w:jc w:val="both"/>
        <w:rPr>
          <w:rFonts w:ascii="Verdana" w:eastAsia="Calibri" w:hAnsi="Verdana" w:cs="Arial"/>
          <w:bCs/>
          <w:kern w:val="2"/>
          <w:lang w:val="es-MX"/>
          <w14:ligatures w14:val="standardContextual"/>
        </w:rPr>
      </w:pPr>
      <w:r w:rsidRPr="00C30B31">
        <w:rPr>
          <w:rFonts w:ascii="Verdana" w:eastAsia="Calibri" w:hAnsi="Verdana" w:cs="Arial"/>
          <w:bCs/>
          <w:kern w:val="2"/>
          <w:lang w:val="es-MX"/>
          <w14:ligatures w14:val="standardContextual"/>
        </w:rPr>
        <w:t xml:space="preserve">De tal forma que, tal y como lo expresó la alta Corporación, aclarar una oferta no puede implicar su alteración sustancial o mejoría de sus componentes, sino limitarse a disipar lo que resulta borroso u otorgar claridad a lo que resulta oscuro o ininteligible. En este punto, se concluye, es distinto aclarar y subsanar una oferta, siendo este último un instituto que procura porque el oferente presente, dentro del plazo y bajo las condiciones dadas por la norma aplicable, los documentos que acrediten el cumplimiento de los requisitos exigidos como habilitantes para participar en el respectivo procedimiento de selección, mientras que la aclaración permite mejor el entendimiento de los elementos de la oferta, sean o no subsanables, para la correcta verificación y evaluación de los mismos por parte de la entidad pública.  </w:t>
      </w:r>
    </w:p>
    <w:p w14:paraId="08D48523" w14:textId="77777777" w:rsidR="006A0C2D" w:rsidRPr="00C30B31" w:rsidRDefault="006A0C2D" w:rsidP="006A0C2D">
      <w:pPr>
        <w:spacing w:after="120" w:line="276" w:lineRule="auto"/>
        <w:ind w:right="51" w:firstLine="709"/>
        <w:jc w:val="both"/>
        <w:rPr>
          <w:rFonts w:ascii="Verdana" w:eastAsia="Aptos" w:hAnsi="Verdana" w:cs="Arial"/>
          <w:bCs/>
          <w:kern w:val="2"/>
          <w14:ligatures w14:val="standardContextual"/>
        </w:rPr>
      </w:pPr>
      <w:r w:rsidRPr="00C30B31">
        <w:rPr>
          <w:rFonts w:ascii="Verdana" w:eastAsia="Aptos" w:hAnsi="Verdana" w:cs="Arial"/>
          <w:bCs/>
          <w:kern w:val="2"/>
          <w14:ligatures w14:val="standardContextual"/>
        </w:rPr>
        <w:t>En ese sentido, debe mencionarse que, como dispone el artículo 30.7 de la Ley 80 de 1993, la aclaración de las propuestas se realiza durante la evaluación de estas, pues es necesario esclarecer los aspectos dudosos de las ofertas antes de la adjudicación</w:t>
      </w:r>
      <w:r w:rsidRPr="00C30B31">
        <w:rPr>
          <w:rFonts w:ascii="Verdana" w:eastAsia="Aptos" w:hAnsi="Verdana" w:cs="Arial"/>
          <w:bCs/>
          <w:kern w:val="2"/>
          <w:vertAlign w:val="superscript"/>
          <w14:ligatures w14:val="standardContextual"/>
        </w:rPr>
        <w:footnoteReference w:id="15"/>
      </w:r>
      <w:r w:rsidRPr="00C30B31">
        <w:rPr>
          <w:rFonts w:ascii="Verdana" w:eastAsia="Aptos" w:hAnsi="Verdana" w:cs="Arial"/>
          <w:bCs/>
          <w:kern w:val="2"/>
          <w14:ligatures w14:val="standardContextual"/>
        </w:rPr>
        <w:t xml:space="preserve">. Por ello, la jurisprudencia también explica </w:t>
      </w:r>
      <w:r w:rsidRPr="00C30B31">
        <w:rPr>
          <w:rFonts w:ascii="Verdana" w:eastAsia="Aptos" w:hAnsi="Verdana" w:cs="Arial"/>
          <w:bCs/>
          <w:kern w:val="2"/>
          <w14:ligatures w14:val="standardContextual"/>
        </w:rPr>
        <w:lastRenderedPageBreak/>
        <w:t>que “[…] el proponente debe acogerse al tiempo que le otorga la administración para subsanar o aclarar la oferta, lapso que la entidad no puede extender más allá de la adjudicación […]”</w:t>
      </w:r>
      <w:r w:rsidRPr="00C30B31">
        <w:rPr>
          <w:rFonts w:ascii="Verdana" w:eastAsia="Aptos" w:hAnsi="Verdana" w:cs="Arial"/>
          <w:bCs/>
          <w:kern w:val="2"/>
          <w:vertAlign w:val="superscript"/>
          <w14:ligatures w14:val="standardContextual"/>
        </w:rPr>
        <w:footnoteReference w:id="16"/>
      </w:r>
      <w:r w:rsidRPr="00C30B31">
        <w:rPr>
          <w:rFonts w:ascii="Verdana" w:eastAsia="Aptos" w:hAnsi="Verdana" w:cs="Arial"/>
          <w:bCs/>
          <w:kern w:val="2"/>
          <w14:ligatures w14:val="standardContextual"/>
        </w:rPr>
        <w:t xml:space="preserve">. De esta manera, “lo ideal en un proceso de selección es que las </w:t>
      </w:r>
      <w:r w:rsidRPr="00C30B31">
        <w:rPr>
          <w:rFonts w:ascii="Verdana" w:eastAsia="Aptos" w:hAnsi="Verdana" w:cs="Arial"/>
          <w:bCs/>
          <w:i/>
          <w:kern w:val="2"/>
          <w14:ligatures w14:val="standardContextual"/>
        </w:rPr>
        <w:t xml:space="preserve">aclaraciones </w:t>
      </w:r>
      <w:r w:rsidRPr="00C30B31">
        <w:rPr>
          <w:rFonts w:ascii="Verdana" w:eastAsia="Aptos" w:hAnsi="Verdana" w:cs="Arial"/>
          <w:bCs/>
          <w:kern w:val="2"/>
          <w14:ligatures w14:val="standardContextual"/>
        </w:rPr>
        <w:t xml:space="preserve">y </w:t>
      </w:r>
      <w:r w:rsidRPr="00C30B31">
        <w:rPr>
          <w:rFonts w:ascii="Verdana" w:eastAsia="Aptos" w:hAnsi="Verdana" w:cs="Arial"/>
          <w:bCs/>
          <w:i/>
          <w:kern w:val="2"/>
          <w14:ligatures w14:val="standardContextual"/>
        </w:rPr>
        <w:t xml:space="preserve">explicaciones </w:t>
      </w:r>
      <w:r w:rsidRPr="00C30B31">
        <w:rPr>
          <w:rFonts w:ascii="Verdana" w:eastAsia="Aptos" w:hAnsi="Verdana" w:cs="Arial"/>
          <w:bCs/>
          <w:kern w:val="2"/>
          <w14:ligatures w14:val="standardContextual"/>
        </w:rPr>
        <w:t xml:space="preserve">se anticipen y soliciten durante la etapa de </w:t>
      </w:r>
      <w:r w:rsidRPr="00C30B31">
        <w:rPr>
          <w:rFonts w:ascii="Verdana" w:eastAsia="Aptos" w:hAnsi="Verdana" w:cs="Arial"/>
          <w:bCs/>
          <w:i/>
          <w:kern w:val="2"/>
          <w14:ligatures w14:val="standardContextual"/>
        </w:rPr>
        <w:t>evaluación</w:t>
      </w:r>
      <w:r w:rsidRPr="00C30B31">
        <w:rPr>
          <w:rFonts w:ascii="Verdana" w:eastAsia="Aptos" w:hAnsi="Verdana" w:cs="Arial"/>
          <w:bCs/>
          <w:kern w:val="2"/>
          <w14:ligatures w14:val="standardContextual"/>
        </w:rPr>
        <w:t>, lo más pronto posible, es decir, antes de que la entidad elabore el informe respectivo, de tal manera que las tenga en cuenta para producir ese acto administrativo”.</w:t>
      </w:r>
      <w:r w:rsidRPr="00C30B31">
        <w:rPr>
          <w:rFonts w:ascii="Verdana" w:eastAsia="Aptos" w:hAnsi="Verdana" w:cs="Arial"/>
          <w:bCs/>
          <w:kern w:val="2"/>
          <w:vertAlign w:val="superscript"/>
          <w14:ligatures w14:val="standardContextual"/>
        </w:rPr>
        <w:footnoteReference w:id="17"/>
      </w:r>
      <w:r w:rsidRPr="00C30B31">
        <w:rPr>
          <w:rFonts w:ascii="Verdana" w:eastAsia="Aptos" w:hAnsi="Verdana" w:cs="Arial"/>
          <w:bCs/>
          <w:kern w:val="2"/>
          <w14:ligatures w14:val="standardContextual"/>
        </w:rPr>
        <w:t xml:space="preserve"> </w:t>
      </w:r>
    </w:p>
    <w:p w14:paraId="5C044E81" w14:textId="77777777" w:rsidR="006A0C2D" w:rsidRPr="00C30B31" w:rsidRDefault="006A0C2D" w:rsidP="006A0C2D">
      <w:pPr>
        <w:spacing w:after="120" w:line="276" w:lineRule="auto"/>
        <w:ind w:firstLine="643"/>
        <w:jc w:val="both"/>
        <w:rPr>
          <w:rFonts w:ascii="Verdana" w:eastAsia="Aptos" w:hAnsi="Verdana" w:cs="Arial"/>
          <w:kern w:val="2"/>
          <w14:ligatures w14:val="standardContextual"/>
        </w:rPr>
      </w:pPr>
      <w:r w:rsidRPr="00C30B31">
        <w:rPr>
          <w:rFonts w:ascii="Verdana" w:eastAsia="Calibri" w:hAnsi="Verdana" w:cs="Arial"/>
          <w:color w:val="000000"/>
          <w:lang w:val="es-ES" w:eastAsia="es-ES_tradnl"/>
        </w:rPr>
        <w:t xml:space="preserve">Sin perjuicio de lo anterior, atendiendo a las múltiples problemáticas que se presentan en el proceso de evaluación de las ofertas y teniendo en cuenta lo expuesto en su petición y las definiciones traídas de la jurisprudencia y del documento tipo referido, </w:t>
      </w:r>
      <w:r w:rsidRPr="00C30B31">
        <w:rPr>
          <w:rFonts w:ascii="Verdana" w:eastAsia="Aptos" w:hAnsi="Verdana" w:cs="Arial"/>
          <w:kern w:val="2"/>
          <w14:ligatures w14:val="standardContextual"/>
        </w:rPr>
        <w:t>debe advertirse que el análisis sobre la subsanación o el rechazo de las ofertas al interior de los procedimientos de selección debe ser realizado por quienes tengan interés en ello, de acuerdo con lo explicado la aclaración preliminar del presente oficio.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5CC4894" w14:textId="77777777" w:rsidR="00443ADE" w:rsidRPr="00593A5F" w:rsidRDefault="00443ADE" w:rsidP="00443ADE">
      <w:pPr>
        <w:widowControl w:val="0"/>
        <w:autoSpaceDE w:val="0"/>
        <w:autoSpaceDN w:val="0"/>
        <w:spacing w:after="0" w:line="276" w:lineRule="auto"/>
        <w:jc w:val="both"/>
        <w:rPr>
          <w:rFonts w:ascii="Verdana" w:hAnsi="Verdana" w:cs="Arial"/>
        </w:rPr>
      </w:pPr>
    </w:p>
    <w:p w14:paraId="09CF87B7" w14:textId="420FFD2C" w:rsidR="00443ADE" w:rsidRPr="008644DA" w:rsidRDefault="00443ADE" w:rsidP="008644DA">
      <w:pPr>
        <w:pStyle w:val="Prrafodelista"/>
        <w:numPr>
          <w:ilvl w:val="0"/>
          <w:numId w:val="16"/>
        </w:numPr>
        <w:tabs>
          <w:tab w:val="left" w:pos="142"/>
          <w:tab w:val="left" w:pos="284"/>
        </w:tabs>
        <w:spacing w:after="0" w:line="276" w:lineRule="auto"/>
        <w:ind w:left="0" w:firstLine="0"/>
        <w:contextualSpacing w:val="0"/>
        <w:jc w:val="both"/>
        <w:rPr>
          <w:rFonts w:ascii="Verdana" w:hAnsi="Verdana" w:cs="Arial"/>
        </w:rPr>
      </w:pPr>
      <w:r w:rsidRPr="00593A5F">
        <w:rPr>
          <w:rFonts w:ascii="Verdana" w:eastAsia="Century Gothic" w:hAnsi="Verdana" w:cs="Century Gothic"/>
          <w:b/>
          <w:bCs/>
        </w:rPr>
        <w:t>Referencias normativas, jurisprudenciales y otras fuentes:</w:t>
      </w:r>
    </w:p>
    <w:p w14:paraId="541D9F8F" w14:textId="77777777" w:rsidR="008644DA" w:rsidRPr="00C30B31" w:rsidRDefault="008644DA" w:rsidP="008644DA">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644DA" w:rsidRPr="00C30B31" w14:paraId="3294AAF6" w14:textId="77777777" w:rsidTr="002824CF">
        <w:trPr>
          <w:trHeight w:val="491"/>
        </w:trPr>
        <w:tc>
          <w:tcPr>
            <w:tcW w:w="8647" w:type="dxa"/>
          </w:tcPr>
          <w:p w14:paraId="0F7F0C84" w14:textId="77777777" w:rsidR="008644DA" w:rsidRPr="00C30B31" w:rsidRDefault="008644DA" w:rsidP="008644DA">
            <w:pPr>
              <w:widowControl w:val="0"/>
              <w:numPr>
                <w:ilvl w:val="0"/>
                <w:numId w:val="20"/>
              </w:numPr>
              <w:autoSpaceDE w:val="0"/>
              <w:autoSpaceDN w:val="0"/>
              <w:spacing w:after="120" w:line="276" w:lineRule="auto"/>
              <w:jc w:val="both"/>
              <w:rPr>
                <w:rFonts w:ascii="Verdana" w:eastAsia="Calibri" w:hAnsi="Verdana" w:cs="Arial"/>
              </w:rPr>
            </w:pPr>
            <w:r w:rsidRPr="00C30B31">
              <w:rPr>
                <w:rFonts w:ascii="Verdana" w:eastAsia="Calibri" w:hAnsi="Verdana" w:cs="Arial"/>
              </w:rPr>
              <w:t>Ley 2022 de 2020</w:t>
            </w:r>
          </w:p>
          <w:p w14:paraId="180FD615" w14:textId="77777777" w:rsidR="008644DA" w:rsidRPr="00C30B31" w:rsidRDefault="008644DA" w:rsidP="008644DA">
            <w:pPr>
              <w:widowControl w:val="0"/>
              <w:numPr>
                <w:ilvl w:val="0"/>
                <w:numId w:val="20"/>
              </w:numPr>
              <w:autoSpaceDE w:val="0"/>
              <w:autoSpaceDN w:val="0"/>
              <w:spacing w:after="120" w:line="276" w:lineRule="auto"/>
              <w:jc w:val="both"/>
              <w:rPr>
                <w:rFonts w:ascii="Verdana" w:eastAsia="Calibri" w:hAnsi="Verdana" w:cs="Arial"/>
              </w:rPr>
            </w:pPr>
            <w:r w:rsidRPr="00C30B31">
              <w:rPr>
                <w:rFonts w:ascii="Verdana" w:eastAsia="Aptos" w:hAnsi="Verdana" w:cs="Arial"/>
                <w:bCs/>
                <w:color w:val="000000"/>
                <w:lang w:eastAsia="es-MX"/>
              </w:rPr>
              <w:t xml:space="preserve">Documentos tipo expedidos por la Agencia Nacional de Contratación Pública – Colombia Compra Eficiente disponibles en el siguiente enlace: </w:t>
            </w:r>
            <w:hyperlink r:id="rId12" w:history="1">
              <w:r w:rsidRPr="00C30B31">
                <w:rPr>
                  <w:rFonts w:ascii="Verdana" w:eastAsia="Aptos" w:hAnsi="Verdana" w:cs="Arial"/>
                  <w:bCs/>
                  <w:color w:val="0000FF"/>
                  <w:u w:val="single"/>
                  <w:lang w:eastAsia="es-MX"/>
                </w:rPr>
                <w:t>https://www.colombiacompra.gov.co/normativa-y-relatoria/documentos-tipo</w:t>
              </w:r>
            </w:hyperlink>
            <w:r w:rsidRPr="00C30B31">
              <w:rPr>
                <w:rFonts w:ascii="Verdana" w:eastAsia="Aptos" w:hAnsi="Verdana" w:cs="Arial"/>
                <w:bCs/>
                <w:color w:val="000000"/>
                <w:lang w:eastAsia="es-MX"/>
              </w:rPr>
              <w:t xml:space="preserve"> </w:t>
            </w:r>
          </w:p>
        </w:tc>
      </w:tr>
    </w:tbl>
    <w:p w14:paraId="0C6F7636" w14:textId="77777777" w:rsidR="008644DA" w:rsidRPr="00C30B31" w:rsidRDefault="008644DA" w:rsidP="008644DA">
      <w:pPr>
        <w:widowControl w:val="0"/>
        <w:autoSpaceDE w:val="0"/>
        <w:autoSpaceDN w:val="0"/>
        <w:spacing w:after="0" w:line="276" w:lineRule="auto"/>
        <w:jc w:val="both"/>
        <w:rPr>
          <w:rFonts w:ascii="Verdana" w:eastAsia="Calibri" w:hAnsi="Verdana" w:cs="Arial"/>
        </w:rPr>
      </w:pPr>
    </w:p>
    <w:p w14:paraId="2B16BD1A" w14:textId="77777777" w:rsidR="008644DA" w:rsidRPr="00C30B31" w:rsidRDefault="008644DA" w:rsidP="008644DA">
      <w:pPr>
        <w:numPr>
          <w:ilvl w:val="0"/>
          <w:numId w:val="16"/>
        </w:numPr>
        <w:tabs>
          <w:tab w:val="left" w:pos="142"/>
          <w:tab w:val="left" w:pos="284"/>
        </w:tabs>
        <w:spacing w:after="0" w:line="276" w:lineRule="auto"/>
        <w:jc w:val="both"/>
        <w:rPr>
          <w:rFonts w:ascii="Verdana" w:eastAsia="Century Gothic" w:hAnsi="Verdana" w:cs="Century Gothic"/>
          <w:b/>
          <w:bCs/>
        </w:rPr>
      </w:pPr>
      <w:r w:rsidRPr="00C30B31">
        <w:rPr>
          <w:rFonts w:ascii="Verdana" w:eastAsia="Century Gothic" w:hAnsi="Verdana" w:cs="Century Gothic"/>
          <w:b/>
          <w:bCs/>
        </w:rPr>
        <w:t>Doctrina de la Agencia Nacional de Contratación Pública:</w:t>
      </w:r>
    </w:p>
    <w:p w14:paraId="22614CDD" w14:textId="77777777" w:rsidR="008644DA" w:rsidRPr="00C30B31" w:rsidRDefault="008644DA" w:rsidP="008644DA">
      <w:pPr>
        <w:widowControl w:val="0"/>
        <w:autoSpaceDE w:val="0"/>
        <w:autoSpaceDN w:val="0"/>
        <w:spacing w:after="0" w:line="276" w:lineRule="auto"/>
        <w:jc w:val="both"/>
        <w:rPr>
          <w:rFonts w:ascii="Verdana" w:eastAsia="Calibri" w:hAnsi="Verdana" w:cs="Arial"/>
        </w:rPr>
      </w:pPr>
    </w:p>
    <w:p w14:paraId="09CE7987" w14:textId="77777777" w:rsidR="008644DA" w:rsidRPr="00C30B31" w:rsidRDefault="008644DA" w:rsidP="008644DA">
      <w:pPr>
        <w:spacing w:after="0" w:line="240" w:lineRule="auto"/>
        <w:jc w:val="both"/>
        <w:rPr>
          <w:rFonts w:ascii="Verdana" w:eastAsia="Aptos" w:hAnsi="Verdana" w:cs="Arial"/>
          <w:kern w:val="2"/>
          <w:shd w:val="clear" w:color="auto" w:fill="FFFFFF"/>
          <w:lang w:val="es-ES"/>
          <w14:ligatures w14:val="standardContextual"/>
        </w:rPr>
      </w:pPr>
      <w:r w:rsidRPr="00C30B31">
        <w:rPr>
          <w:rFonts w:ascii="Verdana" w:eastAsia="Aptos" w:hAnsi="Verdana" w:cs="Arial"/>
          <w:kern w:val="2"/>
          <w:shd w:val="clear" w:color="auto" w:fill="FFFFFF"/>
          <w:lang w:val="es-ES"/>
          <w14:ligatures w14:val="standardContextual"/>
        </w:rPr>
        <w:lastRenderedPageBreak/>
        <w:t xml:space="preserve">Esta Subdirección se ha pronunciado sobre la regla de </w:t>
      </w:r>
      <w:proofErr w:type="spellStart"/>
      <w:r w:rsidRPr="00C30B31">
        <w:rPr>
          <w:rFonts w:ascii="Verdana" w:eastAsia="Aptos" w:hAnsi="Verdana" w:cs="Arial"/>
          <w:kern w:val="2"/>
          <w:shd w:val="clear" w:color="auto" w:fill="FFFFFF"/>
          <w:lang w:val="es-ES"/>
          <w14:ligatures w14:val="standardContextual"/>
        </w:rPr>
        <w:t>subsanabilidad</w:t>
      </w:r>
      <w:proofErr w:type="spellEnd"/>
      <w:r w:rsidRPr="00C30B31">
        <w:rPr>
          <w:rFonts w:ascii="Verdana" w:eastAsia="Aptos" w:hAnsi="Verdana" w:cs="Arial"/>
          <w:kern w:val="2"/>
          <w:shd w:val="clear" w:color="auto" w:fill="FFFFFF"/>
          <w:lang w:val="es-ES"/>
          <w14:ligatures w14:val="standardContextual"/>
        </w:rPr>
        <w:t xml:space="preserve"> en los Conceptos C-218 del 2 de abril de 2020, C-229 del 16 de abril de 2020, C-307 del 21 de mayo de 2020, C-396 del 16 de julio de 2020, C-410 del 26 de junio de 2020, C-429 del 24 de julio de 2020, C-481 del 27 de julio de 2020, C-548 del 21 de agosto de 2020, C-633 del 2 de octubre de 2020, C-634 del 21 de octubre de 2020, C-675 del 25 de noviembre de 2020, C-802 del 1° de febrero de 2021, C-010 del 16 de febrero de 2021, C-083 del 18 de marzo de 2021, C-090 del 23 de marzo de 2021, C-152 del 12 de abril de 2021, C-207 del 10 de mayo de 2021, C-217 del 14 de mayo de 2021, C-250 del 2 de junio de 2021, C-311 del 10 de junio de 2021, C-409 del 13 de agosto de 2021, C-424 del 27 de septiembre de 2021, C-477 del 6 de septiembre de 2021, C-485 del 13 de octubre de 2021, C-498 del 14 de septiembre de 2021, C-501 del 16 de agosto de 2021, C-521 del 24 de septiembre de 2021, C-565 del 11 de octubre de 2021, C-691 del 28 de diciembre de 2021,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 C-304 del 4 de julio de 2023 y C-051 del 21 de marzo de 2025.</w:t>
      </w:r>
    </w:p>
    <w:p w14:paraId="5118EF35" w14:textId="77777777" w:rsidR="008644DA" w:rsidRPr="00C30B31" w:rsidRDefault="008644DA" w:rsidP="008644DA">
      <w:pPr>
        <w:spacing w:after="0" w:line="240" w:lineRule="auto"/>
        <w:jc w:val="both"/>
        <w:rPr>
          <w:rFonts w:ascii="Verdana" w:eastAsia="Aptos" w:hAnsi="Verdana" w:cs="Arial"/>
          <w:kern w:val="2"/>
          <w:sz w:val="24"/>
          <w:szCs w:val="24"/>
          <w:shd w:val="clear" w:color="auto" w:fill="FFFFFF"/>
          <w:lang w:val="es-ES"/>
          <w14:ligatures w14:val="standardContextual"/>
        </w:rPr>
      </w:pPr>
    </w:p>
    <w:p w14:paraId="449DA2D0" w14:textId="77777777" w:rsidR="008644DA" w:rsidRPr="00C30B31" w:rsidRDefault="008644DA" w:rsidP="008644DA">
      <w:pPr>
        <w:spacing w:after="0" w:line="240" w:lineRule="auto"/>
        <w:jc w:val="both"/>
        <w:rPr>
          <w:rFonts w:ascii="Verdana" w:eastAsia="Calibri" w:hAnsi="Verdana" w:cs="Arial"/>
          <w:kern w:val="2"/>
          <w:shd w:val="clear" w:color="auto" w:fill="FFFFFF"/>
          <w:lang w:val="es-ES_tradnl"/>
          <w14:ligatures w14:val="standardContextual"/>
        </w:rPr>
      </w:pPr>
      <w:r w:rsidRPr="00C30B31">
        <w:rPr>
          <w:rFonts w:ascii="Verdana" w:eastAsia="Calibri" w:hAnsi="Verdana" w:cs="Arial"/>
          <w:kern w:val="2"/>
          <w:shd w:val="clear" w:color="auto" w:fill="FFFFFF"/>
          <w:lang w:val="es-ES_tradnl"/>
          <w14:ligatures w14:val="standardContextual"/>
        </w:rPr>
        <w:t>Por otra parte, esta Agencia se pronunció en relación con los métodos de ponderación en particular, en los conceptos C-042 del 3 de marzo de 2021, C-174 del 26 de abril de 2021, C-402 y C-425 de 19 de agosto de 2021, C-209 del 02 de marzo de 2022, 20240322004912 del 22 de marzo de 2024, C-546 del 11 de octubre de 2024, C-555 del 25 de octubre de 2024, C-843 del 26 de diciembre de 2024 y C-164 del 20 de marzo de 2025</w:t>
      </w:r>
    </w:p>
    <w:p w14:paraId="6E7BE83E" w14:textId="77777777" w:rsidR="008644DA" w:rsidRPr="00C30B31" w:rsidRDefault="008644DA" w:rsidP="008644DA">
      <w:pPr>
        <w:spacing w:after="0" w:line="240" w:lineRule="auto"/>
        <w:jc w:val="both"/>
        <w:rPr>
          <w:rFonts w:ascii="Verdana" w:eastAsia="Aptos" w:hAnsi="Verdana" w:cs="Arial"/>
          <w:kern w:val="2"/>
          <w:sz w:val="24"/>
          <w:szCs w:val="24"/>
          <w:shd w:val="clear" w:color="auto" w:fill="FFFFFF"/>
          <w:lang w:val="es-ES"/>
          <w14:ligatures w14:val="standardContextual"/>
        </w:rPr>
      </w:pPr>
    </w:p>
    <w:p w14:paraId="228974D5" w14:textId="77777777" w:rsidR="008644DA" w:rsidRPr="00C30B31" w:rsidRDefault="008644DA" w:rsidP="008644DA">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C30B31">
        <w:rPr>
          <w:rFonts w:ascii="Verdana" w:eastAsia="Calibri" w:hAnsi="Verdana" w:cs="Arial"/>
          <w:color w:val="000000"/>
          <w:kern w:val="2"/>
          <w:shd w:val="clear" w:color="auto" w:fill="FFFFFF"/>
          <w14:ligatures w14:val="standardContextual"/>
        </w:rPr>
        <w:t>Este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C30B31">
          <w:rPr>
            <w:rFonts w:ascii="Verdana" w:eastAsia="Aptos" w:hAnsi="Verdana" w:cs="Times New Roman"/>
            <w:color w:val="0000FF"/>
            <w:kern w:val="2"/>
            <w:u w:val="single"/>
            <w:lang w:val="es-ES" w:eastAsia="es-ES"/>
            <w14:ligatures w14:val="standardContextual"/>
          </w:rPr>
          <w:t>https://relatoria.colombiacompra.gov.co/</w:t>
        </w:r>
      </w:hyperlink>
      <w:r w:rsidRPr="00C30B31">
        <w:rPr>
          <w:rFonts w:ascii="Verdana" w:eastAsia="Aptos" w:hAnsi="Verdana" w:cs="Times New Roman"/>
          <w:color w:val="0000FF"/>
          <w:kern w:val="2"/>
          <w:u w:val="single"/>
          <w:lang w:val="es-ES" w:eastAsia="es-ES"/>
          <w14:ligatures w14:val="standardContextual"/>
        </w:rPr>
        <w:t> .</w:t>
      </w:r>
    </w:p>
    <w:p w14:paraId="0E53CED9" w14:textId="77777777" w:rsidR="008644DA" w:rsidRPr="00C30B31" w:rsidRDefault="008644DA" w:rsidP="008644DA">
      <w:pPr>
        <w:spacing w:after="0" w:line="240" w:lineRule="auto"/>
        <w:jc w:val="both"/>
        <w:rPr>
          <w:rFonts w:ascii="Verdana" w:eastAsia="Calibri" w:hAnsi="Verdana" w:cs="Arial"/>
          <w:shd w:val="clear" w:color="auto" w:fill="FFFFFF"/>
        </w:rPr>
      </w:pPr>
    </w:p>
    <w:p w14:paraId="4033088A" w14:textId="77777777" w:rsidR="008644DA" w:rsidRPr="000B3BAE" w:rsidRDefault="008644DA" w:rsidP="008644DA">
      <w:pPr>
        <w:spacing w:after="0" w:line="240" w:lineRule="auto"/>
        <w:jc w:val="both"/>
        <w:rPr>
          <w:rFonts w:ascii="Verdana" w:eastAsia="Calibri" w:hAnsi="Verdana" w:cs="Arial"/>
          <w:kern w:val="2"/>
          <w:shd w:val="clear" w:color="auto" w:fill="FFFFFF"/>
          <w:lang w:val="es-ES_tradnl"/>
          <w14:ligatures w14:val="standardContextual"/>
        </w:rPr>
      </w:pPr>
      <w:r>
        <w:rPr>
          <w:rFonts w:ascii="Verdana" w:hAnsi="Verdana"/>
          <w:color w:val="000000"/>
        </w:rPr>
        <w:t>L</w:t>
      </w:r>
      <w:r w:rsidRPr="000B3BAE">
        <w:rPr>
          <w:rFonts w:ascii="Verdana" w:hAnsi="Verdana"/>
          <w:color w:val="000000"/>
        </w:rPr>
        <w:t>a Agencia Nacional de Contratación Pública – Colombia Compra Eficiente invita a las Entidades Estatales, a los actores del Sistema de Compra Pública y a la ciudadanía en general a conocer y participar en la actualización de la</w:t>
      </w:r>
      <w:r w:rsidRPr="000B3BAE">
        <w:rPr>
          <w:rStyle w:val="apple-converted-space"/>
          <w:rFonts w:ascii="Verdana" w:hAnsi="Verdana"/>
          <w:color w:val="000000"/>
        </w:rPr>
        <w:t> </w:t>
      </w:r>
      <w:r w:rsidRPr="000B3BAE">
        <w:rPr>
          <w:rFonts w:ascii="Verdana" w:hAnsi="Verdana"/>
          <w:b/>
          <w:bCs/>
          <w:i/>
          <w:iCs/>
          <w:color w:val="000000"/>
        </w:rPr>
        <w:t>Guía para la Elaboración de Estudios del Sector</w:t>
      </w:r>
      <w:r w:rsidRPr="000B3BAE">
        <w:rPr>
          <w:rFonts w:ascii="Verdana" w:hAnsi="Verdana"/>
          <w:color w:val="000000"/>
        </w:rPr>
        <w:t xml:space="preserve">. Esta herramienta orientadora facilita el análisis del mercado del bien, obra o servicio a contratar, y tiene como </w:t>
      </w:r>
      <w:r w:rsidRPr="000B3BAE">
        <w:rPr>
          <w:rFonts w:ascii="Verdana" w:hAnsi="Verdana"/>
          <w:color w:val="000000"/>
        </w:rPr>
        <w:lastRenderedPageBreak/>
        <w:t xml:space="preserve">propósito promover procesos de contratación más eficientes, competitivos, sostenibles e inclusivos. La guía se encuentra disponible para consulta y comentarios hasta el 22 de mayo de 2025, a través del siguiente </w:t>
      </w:r>
      <w:r w:rsidRPr="000B3BAE">
        <w:rPr>
          <w:rFonts w:ascii="Verdana" w:eastAsia="Calibri" w:hAnsi="Verdana" w:cs="Arial"/>
          <w:kern w:val="2"/>
          <w:shd w:val="clear" w:color="auto" w:fill="FFFFFF"/>
          <w:lang w:val="es-ES_tradnl"/>
          <w14:ligatures w14:val="standardContextual"/>
        </w:rPr>
        <w:t>enlace: </w:t>
      </w:r>
      <w:hyperlink r:id="rId14" w:tgtFrame="_blank" w:tooltip="https://nam02.safelinks.protection.outlook.com/?url=https%3A%2F%2Fwww.colombiacompra.gov.co%2Farchivos%2Fconvocatoria%2Fparticipacion-ciudadana-proyecto-de-la-guia-para-la-elaboracion-de-estudios-del-sector&amp;data=05%7C02%7Ccarlos.castrillon%40colombiacompra.gov" w:history="1">
        <w:r w:rsidRPr="000B3BAE">
          <w:rPr>
            <w:rFonts w:ascii="Verdana" w:eastAsia="Calibri" w:hAnsi="Verdana" w:cs="Arial"/>
            <w:kern w:val="2"/>
            <w:shd w:val="clear" w:color="auto" w:fill="FFFFFF"/>
            <w:lang w:val="es-ES_tradnl"/>
            <w14:ligatures w14:val="standardContextual"/>
          </w:rPr>
          <w:t>https://www.colombiacompra.gov.co/archivos/convocatoria/participacion-ciudadana-proyecto-de-la-guia-para-la-</w:t>
        </w:r>
      </w:hyperlink>
    </w:p>
    <w:p w14:paraId="00DB6855" w14:textId="77777777" w:rsidR="008644DA" w:rsidRPr="000B3BAE" w:rsidRDefault="008644DA" w:rsidP="008644DA">
      <w:pPr>
        <w:spacing w:after="0" w:line="240" w:lineRule="auto"/>
        <w:jc w:val="both"/>
        <w:rPr>
          <w:rFonts w:ascii="Verdana" w:eastAsia="Calibri" w:hAnsi="Verdana" w:cs="Arial"/>
          <w:kern w:val="2"/>
          <w:shd w:val="clear" w:color="auto" w:fill="FFFFFF"/>
          <w:lang w:val="es-ES_tradnl"/>
          <w14:ligatures w14:val="standardContextual"/>
        </w:rPr>
      </w:pPr>
    </w:p>
    <w:p w14:paraId="7C3E4251" w14:textId="77777777" w:rsidR="008644DA" w:rsidRPr="000B3BAE" w:rsidRDefault="008644DA" w:rsidP="008644DA">
      <w:pPr>
        <w:spacing w:after="0" w:line="240" w:lineRule="auto"/>
        <w:jc w:val="both"/>
        <w:rPr>
          <w:rFonts w:ascii="Verdana" w:hAnsi="Verdana"/>
          <w:color w:val="000000"/>
          <w:u w:val="single"/>
        </w:rPr>
      </w:pPr>
      <w:r w:rsidRPr="000B3BAE">
        <w:rPr>
          <w:rFonts w:ascii="Verdana" w:eastAsia="Calibri" w:hAnsi="Verdana" w:cs="Arial"/>
          <w:kern w:val="2"/>
          <w:shd w:val="clear" w:color="auto" w:fill="FFFFFF"/>
          <w:lang w:val="es-ES_tradnl"/>
          <w14:ligatures w14:val="standardContextual"/>
        </w:rPr>
        <w:t>De otra parte, te informamos que ya se encuentran disponibles los borradores de las nuevas versiones</w:t>
      </w:r>
      <w:r w:rsidRPr="000B3BAE">
        <w:rPr>
          <w:rFonts w:ascii="Verdana" w:hAnsi="Verdana"/>
          <w:color w:val="000000"/>
        </w:rPr>
        <w:t xml:space="preserve">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23 de mayo de 2025.  Puede consultar la información en el siguiente enlace:</w:t>
      </w:r>
      <w:r w:rsidRPr="000B3BAE">
        <w:rPr>
          <w:rStyle w:val="apple-converted-space"/>
          <w:rFonts w:ascii="Verdana" w:hAnsi="Verdana"/>
          <w:color w:val="000000"/>
        </w:rPr>
        <w:t> </w:t>
      </w:r>
      <w:hyperlink r:id="rId15" w:tgtFrame="_blank" w:tooltip="https://nam02.safelinks.protection.outlook.com/?url=https%3A%2F%2Fwww.colombiacompra.gov.co%2Fnormativa-y-relatoria%2Fdocumentos-tipo&amp;data=05%7C02%7Ccarlos.castrillon%40colombiacompra.gov.co%7C7cfff6dece924643582c08dd97bfed90%7C7b09041e245149d08cb179d5e3d8c1be" w:history="1">
        <w:r w:rsidRPr="000B3BAE">
          <w:rPr>
            <w:rStyle w:val="Hipervnculo"/>
            <w:rFonts w:ascii="Verdana" w:hAnsi="Verdana"/>
            <w:color w:val="0078D7"/>
          </w:rPr>
          <w:t>Documentos Tipo – ANCP Colombia Compra Eficiente</w:t>
        </w:r>
      </w:hyperlink>
      <w:r w:rsidRPr="000B3BAE">
        <w:rPr>
          <w:rFonts w:ascii="Verdana" w:hAnsi="Verdana"/>
          <w:color w:val="000000"/>
          <w:u w:val="single"/>
        </w:rPr>
        <w:t> </w:t>
      </w:r>
    </w:p>
    <w:p w14:paraId="7B831B87" w14:textId="77777777" w:rsidR="008644DA" w:rsidRPr="000B3BAE" w:rsidRDefault="008644DA" w:rsidP="008644DA">
      <w:pPr>
        <w:spacing w:after="0" w:line="240" w:lineRule="auto"/>
        <w:jc w:val="both"/>
        <w:rPr>
          <w:rFonts w:ascii="Verdana" w:hAnsi="Verdana"/>
          <w:color w:val="000000"/>
        </w:rPr>
      </w:pPr>
    </w:p>
    <w:p w14:paraId="6FC40A64" w14:textId="77777777" w:rsidR="008644DA" w:rsidRPr="000B3BAE" w:rsidRDefault="008644DA" w:rsidP="008644DA">
      <w:pPr>
        <w:spacing w:after="0" w:line="240" w:lineRule="auto"/>
        <w:jc w:val="both"/>
        <w:rPr>
          <w:rFonts w:ascii="Verdana" w:eastAsia="Calibri" w:hAnsi="Verdana" w:cs="Arial"/>
          <w:kern w:val="2"/>
          <w:shd w:val="clear" w:color="auto" w:fill="FFFFFF"/>
          <w:lang w:val="es-ES_tradnl"/>
          <w14:ligatures w14:val="standardContextual"/>
        </w:rPr>
      </w:pPr>
      <w:r w:rsidRPr="000B3BAE">
        <w:rPr>
          <w:rFonts w:ascii="Verdana" w:hAnsi="Verdana"/>
          <w:color w:val="000000"/>
        </w:rPr>
        <w:t>También le contamos que ya se encuentra disponible la</w:t>
      </w:r>
      <w:r w:rsidRPr="000B3BAE">
        <w:rPr>
          <w:rStyle w:val="apple-converted-space"/>
          <w:rFonts w:ascii="Verdana" w:hAnsi="Verdana"/>
          <w:color w:val="000000"/>
        </w:rPr>
        <w:t> </w:t>
      </w:r>
      <w:r w:rsidRPr="000B3BAE">
        <w:rPr>
          <w:rFonts w:ascii="Verdana" w:hAnsi="Verdana"/>
          <w:b/>
          <w:bCs/>
          <w:color w:val="000000"/>
        </w:rPr>
        <w:t>Guía de lineamientos de transparencia y selección objetiva para el departamento de La Guajira – Objetivo sexto constitucional de la Sentencia T-302 del 2017.</w:t>
      </w:r>
      <w:r w:rsidRPr="000B3BAE">
        <w:rPr>
          <w:rStyle w:val="apple-converted-space"/>
          <w:rFonts w:ascii="Verdana" w:hAnsi="Verdana"/>
          <w:b/>
          <w:bCs/>
          <w:color w:val="000000"/>
        </w:rPr>
        <w:t> </w:t>
      </w:r>
      <w:r w:rsidRPr="000B3BA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B3BAE">
        <w:rPr>
          <w:rFonts w:ascii="Verdana" w:hAnsi="Verdana"/>
          <w:color w:val="000000"/>
        </w:rPr>
        <w:t>Wayúu</w:t>
      </w:r>
      <w:proofErr w:type="spellEnd"/>
      <w:r w:rsidRPr="000B3BAE">
        <w:rPr>
          <w:rFonts w:ascii="Verdana" w:hAnsi="Verdana"/>
          <w:color w:val="000000"/>
        </w:rPr>
        <w:t xml:space="preserve">. Puede consultar la guía en el </w:t>
      </w:r>
      <w:r w:rsidRPr="000B3BAE">
        <w:rPr>
          <w:rFonts w:ascii="Verdana" w:eastAsia="Calibri" w:hAnsi="Verdana" w:cs="Arial"/>
          <w:kern w:val="2"/>
          <w:shd w:val="clear" w:color="auto" w:fill="FFFFFF"/>
          <w:lang w:val="es-ES_tradnl"/>
          <w14:ligatures w14:val="standardContextual"/>
        </w:rPr>
        <w:t>siguiente enlace: </w:t>
      </w:r>
      <w:hyperlink r:id="rId16" w:tgtFrame="_blank" w:tooltip="https://nam02.safelinks.protection.outlook.com/?url=https%3A%2F%2Fwww.colombiacompra.gov.co%2Fwp-content%2Fuploads%2F2025%2F05%2FGUIA-DE-LINEAMIENTOS-DE-TRANSPARENCIA-Y-SELECCION-OBJETIVA-1.0.pdf&amp;data=05%7C02%7Ccarlos.castrillon%40colombiacompra.gov.co%7C7cfff" w:history="1">
        <w:r w:rsidRPr="000B3BAE">
          <w:rPr>
            <w:rStyle w:val="Hipervnculo"/>
            <w:rFonts w:ascii="Verdana" w:hAnsi="Verdana"/>
            <w:color w:val="0078D7"/>
          </w:rPr>
          <w:t>Guía de lineamientos de transparencia y selección objetiva para el departamento de La Guajira – Objetivo sexto constitucional de la Sentencia T-302 del 2017</w:t>
        </w:r>
      </w:hyperlink>
      <w:r w:rsidRPr="000B3BAE">
        <w:rPr>
          <w:rStyle w:val="Hipervnculo"/>
          <w:rFonts w:ascii="Verdana" w:hAnsi="Verdana"/>
          <w:color w:val="0078D7"/>
        </w:rPr>
        <w:t>"</w:t>
      </w:r>
    </w:p>
    <w:p w14:paraId="4ECFA460" w14:textId="77777777" w:rsidR="008644DA" w:rsidRPr="0041536B" w:rsidRDefault="008644DA" w:rsidP="008644DA">
      <w:pPr>
        <w:spacing w:after="0" w:line="240" w:lineRule="auto"/>
        <w:jc w:val="both"/>
        <w:rPr>
          <w:rFonts w:ascii="Verdana" w:eastAsia="Calibri" w:hAnsi="Verdana" w:cs="Arial"/>
          <w:kern w:val="2"/>
          <w:shd w:val="clear" w:color="auto" w:fill="FFFFFF"/>
          <w:lang w:val="es-ES_tradnl"/>
          <w14:ligatures w14:val="standardContextual"/>
        </w:rPr>
      </w:pPr>
    </w:p>
    <w:p w14:paraId="0EE1CF12" w14:textId="77777777" w:rsidR="008644DA" w:rsidRPr="00C30B31" w:rsidRDefault="008644DA" w:rsidP="008644DA">
      <w:pPr>
        <w:spacing w:after="0" w:line="240" w:lineRule="auto"/>
        <w:jc w:val="both"/>
        <w:rPr>
          <w:rFonts w:ascii="Verdana" w:eastAsia="Calibri" w:hAnsi="Verdana" w:cs="Times New Roman"/>
        </w:rPr>
      </w:pPr>
      <w:r w:rsidRPr="0041536B">
        <w:rPr>
          <w:rFonts w:ascii="Verdana" w:eastAsia="Calibri" w:hAnsi="Verdana" w:cs="Arial"/>
          <w:kern w:val="2"/>
          <w:shd w:val="clear" w:color="auto" w:fill="FFFFFF"/>
          <w:lang w:val="es-ES_tradnl"/>
          <w14:ligatures w14:val="standardContextual"/>
        </w:rPr>
        <w:t>Por último, aprovechamos la oportunidad de manifestar la entera disposición de la Agencia Nacional</w:t>
      </w:r>
      <w:r w:rsidRPr="00C30B31">
        <w:rPr>
          <w:rFonts w:ascii="Verdana" w:eastAsia="Calibri" w:hAnsi="Verdana" w:cs="Times New Roman"/>
        </w:rPr>
        <w:t xml:space="preserve"> de Contratación Pública –Colombia Compra Eficiente– para atender las peticiones o solicitudes, así como para brindar el apoyo que se requiera en el marco de nuestras funciones a través de nuestros diferentes canales de atención: </w:t>
      </w:r>
    </w:p>
    <w:p w14:paraId="07D19100" w14:textId="77777777" w:rsidR="008644DA" w:rsidRPr="00C30B31" w:rsidRDefault="008644DA" w:rsidP="008644DA">
      <w:pPr>
        <w:spacing w:after="0" w:line="240" w:lineRule="auto"/>
        <w:jc w:val="both"/>
        <w:rPr>
          <w:rFonts w:ascii="Verdana" w:eastAsia="Calibri" w:hAnsi="Verdana" w:cs="Times New Roman"/>
        </w:rPr>
      </w:pPr>
    </w:p>
    <w:p w14:paraId="0DB46DF7" w14:textId="77777777" w:rsidR="008644DA" w:rsidRPr="00C30B31" w:rsidRDefault="008644DA" w:rsidP="008644DA">
      <w:pPr>
        <w:numPr>
          <w:ilvl w:val="0"/>
          <w:numId w:val="15"/>
        </w:numPr>
        <w:spacing w:after="0" w:line="240" w:lineRule="auto"/>
        <w:contextualSpacing/>
        <w:jc w:val="both"/>
        <w:rPr>
          <w:rFonts w:ascii="Verdana" w:eastAsia="Calibri" w:hAnsi="Verdana" w:cs="Times New Roman"/>
        </w:rPr>
      </w:pPr>
      <w:r w:rsidRPr="00C30B31">
        <w:rPr>
          <w:rFonts w:ascii="Verdana" w:eastAsia="Calibri" w:hAnsi="Verdana" w:cs="Times New Roman"/>
        </w:rPr>
        <w:t>Línea nacional gratuita o servicio a la ciudadanía: 01800 0520808</w:t>
      </w:r>
    </w:p>
    <w:p w14:paraId="5DEB62B6" w14:textId="77777777" w:rsidR="008644DA" w:rsidRPr="00C30B31" w:rsidRDefault="008644DA" w:rsidP="008644DA">
      <w:pPr>
        <w:numPr>
          <w:ilvl w:val="0"/>
          <w:numId w:val="15"/>
        </w:numPr>
        <w:spacing w:after="0" w:line="240" w:lineRule="auto"/>
        <w:contextualSpacing/>
        <w:jc w:val="both"/>
        <w:rPr>
          <w:rFonts w:ascii="Verdana" w:eastAsia="Calibri" w:hAnsi="Verdana" w:cs="Times New Roman"/>
        </w:rPr>
      </w:pPr>
      <w:r w:rsidRPr="00C30B31">
        <w:rPr>
          <w:rFonts w:ascii="Verdana" w:eastAsia="Calibri" w:hAnsi="Verdana" w:cs="Times New Roman"/>
        </w:rPr>
        <w:t>Línea en Bogotá (Mesa de servicio): +57 601 7456788</w:t>
      </w:r>
    </w:p>
    <w:p w14:paraId="2A36D2FC" w14:textId="77777777" w:rsidR="008644DA" w:rsidRPr="00C30B31" w:rsidRDefault="008644DA" w:rsidP="008644DA">
      <w:pPr>
        <w:numPr>
          <w:ilvl w:val="0"/>
          <w:numId w:val="15"/>
        </w:numPr>
        <w:spacing w:after="0" w:line="240" w:lineRule="auto"/>
        <w:contextualSpacing/>
        <w:jc w:val="both"/>
        <w:rPr>
          <w:rFonts w:ascii="Verdana" w:eastAsia="Calibri" w:hAnsi="Verdana" w:cs="Times New Roman"/>
        </w:rPr>
      </w:pPr>
      <w:r w:rsidRPr="00C30B31">
        <w:rPr>
          <w:rFonts w:ascii="Verdana" w:eastAsia="Calibri" w:hAnsi="Verdana" w:cs="Times New Roman"/>
        </w:rPr>
        <w:t>Línea de servicio y atención al ciudadano: +57 601 7956600</w:t>
      </w:r>
    </w:p>
    <w:p w14:paraId="1448D27C" w14:textId="77777777" w:rsidR="008644DA" w:rsidRPr="00C30B31" w:rsidRDefault="008644DA" w:rsidP="008644DA">
      <w:pPr>
        <w:numPr>
          <w:ilvl w:val="0"/>
          <w:numId w:val="15"/>
        </w:numPr>
        <w:spacing w:after="0" w:line="240" w:lineRule="auto"/>
        <w:contextualSpacing/>
        <w:jc w:val="both"/>
        <w:rPr>
          <w:rFonts w:ascii="Verdana" w:eastAsia="Calibri" w:hAnsi="Verdana" w:cs="Times New Roman"/>
        </w:rPr>
      </w:pPr>
      <w:r w:rsidRPr="00C30B31">
        <w:rPr>
          <w:rFonts w:ascii="Verdana" w:eastAsia="Calibri" w:hAnsi="Verdana" w:cs="Times New Roman"/>
        </w:rPr>
        <w:t xml:space="preserve">Página web: </w:t>
      </w:r>
      <w:hyperlink r:id="rId17" w:history="1">
        <w:r w:rsidRPr="00C30B31">
          <w:rPr>
            <w:rFonts w:ascii="Verdana" w:eastAsia="Calibri" w:hAnsi="Verdana" w:cs="Times New Roman"/>
            <w:color w:val="0000FF"/>
            <w:u w:val="single"/>
          </w:rPr>
          <w:t>www.colombiacompra.gov.co</w:t>
        </w:r>
      </w:hyperlink>
    </w:p>
    <w:p w14:paraId="48BF96B8" w14:textId="77777777" w:rsidR="008644DA" w:rsidRPr="00C30B31" w:rsidRDefault="008644DA" w:rsidP="008644DA">
      <w:pPr>
        <w:spacing w:after="0" w:line="240" w:lineRule="auto"/>
        <w:ind w:left="785"/>
        <w:contextualSpacing/>
        <w:jc w:val="both"/>
        <w:rPr>
          <w:rFonts w:ascii="Verdana" w:eastAsia="Calibri" w:hAnsi="Verdana" w:cs="Times New Roman"/>
        </w:rPr>
      </w:pPr>
    </w:p>
    <w:p w14:paraId="7905E91B" w14:textId="77777777" w:rsidR="008644DA" w:rsidRPr="00C30B31" w:rsidRDefault="008644DA" w:rsidP="008644DA">
      <w:pPr>
        <w:spacing w:after="0" w:line="240" w:lineRule="auto"/>
        <w:jc w:val="both"/>
        <w:rPr>
          <w:rFonts w:ascii="Verdana" w:eastAsia="Calibri" w:hAnsi="Verdana" w:cs="Times New Roman"/>
        </w:rPr>
      </w:pPr>
      <w:r w:rsidRPr="00C30B31">
        <w:rPr>
          <w:rFonts w:ascii="Verdana" w:eastAsia="Calibri" w:hAnsi="Verdana" w:cs="Times New Roman"/>
        </w:rPr>
        <w:t xml:space="preserve">Por último, lo invitamos a seguirnos en las redes sociales en las cuales se difunde información institucional: </w:t>
      </w:r>
    </w:p>
    <w:p w14:paraId="72CCAFF6" w14:textId="77777777" w:rsidR="008644DA" w:rsidRPr="00C30B31" w:rsidRDefault="008644DA" w:rsidP="008644DA">
      <w:pPr>
        <w:spacing w:after="0" w:line="240" w:lineRule="auto"/>
        <w:jc w:val="both"/>
        <w:rPr>
          <w:rFonts w:ascii="Verdana" w:eastAsia="Calibri" w:hAnsi="Verdana" w:cs="Arial"/>
          <w:color w:val="000000"/>
          <w:shd w:val="clear" w:color="auto" w:fill="FFFFFF"/>
        </w:rPr>
      </w:pPr>
      <w:r w:rsidRPr="00C30B31">
        <w:rPr>
          <w:rFonts w:ascii="Verdana" w:eastAsia="Calibri" w:hAnsi="Verdana" w:cs="Arial"/>
          <w:color w:val="000000"/>
          <w:shd w:val="clear" w:color="auto" w:fill="FFFFFF"/>
        </w:rPr>
        <w:t>  </w:t>
      </w:r>
    </w:p>
    <w:p w14:paraId="318753A6" w14:textId="77777777" w:rsidR="008644DA" w:rsidRPr="00C30B31" w:rsidRDefault="008644DA" w:rsidP="008644DA">
      <w:pPr>
        <w:spacing w:after="0" w:line="240" w:lineRule="auto"/>
        <w:jc w:val="both"/>
        <w:rPr>
          <w:rFonts w:ascii="Verdana" w:eastAsia="Calibri" w:hAnsi="Verdana" w:cs="Times New Roman"/>
        </w:rPr>
      </w:pPr>
      <w:r w:rsidRPr="00C30B31">
        <w:rPr>
          <w:rFonts w:ascii="Verdana" w:eastAsia="Calibri" w:hAnsi="Verdana" w:cs="Times New Roman"/>
        </w:rPr>
        <w:t xml:space="preserve">Twitter: </w:t>
      </w:r>
      <w:r w:rsidRPr="00C30B31">
        <w:rPr>
          <w:rFonts w:ascii="Verdana" w:eastAsia="Calibri" w:hAnsi="Verdana" w:cs="Times New Roman"/>
          <w:color w:val="4472C4"/>
          <w:u w:val="single"/>
        </w:rPr>
        <w:t>@colombiacompra</w:t>
      </w:r>
      <w:r w:rsidRPr="00C30B31">
        <w:rPr>
          <w:rFonts w:ascii="Verdana" w:eastAsia="Calibri" w:hAnsi="Verdana" w:cs="Times New Roman"/>
          <w:color w:val="4472C4"/>
        </w:rPr>
        <w:t xml:space="preserve"> </w:t>
      </w:r>
    </w:p>
    <w:p w14:paraId="2FA0D4B5" w14:textId="77777777" w:rsidR="008644DA" w:rsidRPr="00C30B31" w:rsidRDefault="008644DA" w:rsidP="008644DA">
      <w:pPr>
        <w:spacing w:after="0" w:line="240" w:lineRule="auto"/>
        <w:jc w:val="both"/>
        <w:rPr>
          <w:rFonts w:ascii="Verdana" w:eastAsia="Calibri" w:hAnsi="Verdana" w:cs="Times New Roman"/>
        </w:rPr>
      </w:pPr>
      <w:r w:rsidRPr="00C30B31">
        <w:rPr>
          <w:rFonts w:ascii="Verdana" w:eastAsia="Calibri" w:hAnsi="Verdana" w:cs="Times New Roman"/>
        </w:rPr>
        <w:t xml:space="preserve">Facebook: </w:t>
      </w:r>
      <w:proofErr w:type="spellStart"/>
      <w:r w:rsidRPr="00C30B31">
        <w:rPr>
          <w:rFonts w:ascii="Verdana" w:eastAsia="Calibri" w:hAnsi="Verdana" w:cs="Times New Roman"/>
          <w:color w:val="4472C4"/>
          <w:u w:val="single"/>
        </w:rPr>
        <w:t>ColombiaCompraEficiente</w:t>
      </w:r>
      <w:proofErr w:type="spellEnd"/>
    </w:p>
    <w:p w14:paraId="480CEF95" w14:textId="77777777" w:rsidR="008644DA" w:rsidRPr="00C30B31" w:rsidRDefault="008644DA" w:rsidP="008644DA">
      <w:pPr>
        <w:spacing w:after="0" w:line="240" w:lineRule="auto"/>
        <w:jc w:val="both"/>
        <w:rPr>
          <w:rFonts w:ascii="Verdana" w:eastAsia="Calibri" w:hAnsi="Verdana" w:cs="Times New Roman"/>
        </w:rPr>
      </w:pPr>
      <w:r w:rsidRPr="00C30B31">
        <w:rPr>
          <w:rFonts w:ascii="Verdana" w:eastAsia="Calibri" w:hAnsi="Verdana" w:cs="Times New Roman"/>
        </w:rPr>
        <w:t xml:space="preserve">LinkedIn: </w:t>
      </w:r>
      <w:r w:rsidRPr="00C30B31">
        <w:rPr>
          <w:rFonts w:ascii="Verdana" w:eastAsia="Calibri" w:hAnsi="Verdana" w:cs="Times New Roman"/>
          <w:color w:val="4472C4"/>
          <w:u w:val="single"/>
        </w:rPr>
        <w:t>Agencia Nacional de Contratación Pública - Colombia Compra Eficiente</w:t>
      </w:r>
      <w:r w:rsidRPr="00C30B31">
        <w:rPr>
          <w:rFonts w:ascii="Verdana" w:eastAsia="Calibri" w:hAnsi="Verdana" w:cs="Times New Roman"/>
          <w:color w:val="4472C4"/>
        </w:rPr>
        <w:t xml:space="preserve"> </w:t>
      </w:r>
      <w:r w:rsidRPr="00C30B31">
        <w:rPr>
          <w:rFonts w:ascii="Verdana" w:eastAsia="Calibri" w:hAnsi="Verdana" w:cs="Times New Roman"/>
        </w:rPr>
        <w:t xml:space="preserve">Instagram: </w:t>
      </w:r>
      <w:r w:rsidRPr="00C30B31">
        <w:rPr>
          <w:rFonts w:ascii="Verdana" w:eastAsia="Calibri" w:hAnsi="Verdana" w:cs="Times New Roman"/>
          <w:color w:val="4472C4"/>
          <w:u w:val="single"/>
        </w:rPr>
        <w:t>@colombiacompraeficiente_cce</w:t>
      </w:r>
    </w:p>
    <w:p w14:paraId="334FFA13" w14:textId="77777777" w:rsidR="008644DA" w:rsidRPr="00C30B31" w:rsidRDefault="008644DA" w:rsidP="008644DA">
      <w:pPr>
        <w:widowControl w:val="0"/>
        <w:autoSpaceDE w:val="0"/>
        <w:autoSpaceDN w:val="0"/>
        <w:spacing w:after="0" w:line="276" w:lineRule="auto"/>
        <w:jc w:val="both"/>
        <w:rPr>
          <w:rFonts w:ascii="Verdana" w:eastAsia="Calibri" w:hAnsi="Verdana" w:cs="Arial"/>
        </w:rPr>
      </w:pPr>
    </w:p>
    <w:p w14:paraId="1E3987AA" w14:textId="77777777" w:rsidR="008644DA" w:rsidRPr="00C30B31" w:rsidRDefault="008644DA" w:rsidP="008644DA">
      <w:pPr>
        <w:widowControl w:val="0"/>
        <w:autoSpaceDE w:val="0"/>
        <w:autoSpaceDN w:val="0"/>
        <w:spacing w:after="0" w:line="276" w:lineRule="auto"/>
        <w:jc w:val="both"/>
        <w:rPr>
          <w:rFonts w:ascii="Verdana" w:eastAsia="Calibri" w:hAnsi="Verdana" w:cs="Arial"/>
        </w:rPr>
      </w:pPr>
      <w:r w:rsidRPr="00C30B31">
        <w:rPr>
          <w:rFonts w:ascii="Verdana" w:eastAsia="Calibri"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01659A7" w14:textId="77777777" w:rsidR="008644DA" w:rsidRPr="00C30B31" w:rsidRDefault="008644DA" w:rsidP="008644DA">
      <w:pPr>
        <w:widowControl w:val="0"/>
        <w:autoSpaceDE w:val="0"/>
        <w:autoSpaceDN w:val="0"/>
        <w:spacing w:after="0" w:line="276" w:lineRule="auto"/>
        <w:jc w:val="both"/>
        <w:rPr>
          <w:rFonts w:ascii="Verdana" w:eastAsia="Calibri" w:hAnsi="Verdana" w:cs="Arial"/>
        </w:rPr>
      </w:pPr>
    </w:p>
    <w:p w14:paraId="147A2DCB" w14:textId="77777777" w:rsidR="008644DA" w:rsidRPr="00C30B31" w:rsidRDefault="008644DA" w:rsidP="008644DA">
      <w:pPr>
        <w:spacing w:after="0" w:line="240" w:lineRule="auto"/>
        <w:rPr>
          <w:rFonts w:ascii="Verdana" w:eastAsia="Calibri" w:hAnsi="Verdana" w:cs="Arial"/>
          <w:lang w:eastAsia="es-CO"/>
        </w:rPr>
      </w:pPr>
      <w:r w:rsidRPr="00C30B31">
        <w:rPr>
          <w:rFonts w:ascii="Verdana" w:eastAsia="Times New Roman" w:hAnsi="Verdana" w:cs="Arial"/>
          <w:lang w:eastAsia="es-CO"/>
        </w:rPr>
        <w:t>Atentamente,</w:t>
      </w:r>
      <w:r w:rsidRPr="00C30B31">
        <w:rPr>
          <w:rFonts w:ascii="Verdana" w:eastAsia="Calibri" w:hAnsi="Verdana" w:cs="Arial"/>
          <w:lang w:eastAsia="es-CO"/>
        </w:rPr>
        <w:t xml:space="preserve"> </w:t>
      </w:r>
    </w:p>
    <w:p w14:paraId="44FFAF50" w14:textId="77777777" w:rsidR="008644DA" w:rsidRPr="008644DA" w:rsidRDefault="008644DA" w:rsidP="008644DA">
      <w:pPr>
        <w:tabs>
          <w:tab w:val="left" w:pos="142"/>
          <w:tab w:val="left" w:pos="284"/>
        </w:tabs>
        <w:spacing w:after="0" w:line="276" w:lineRule="auto"/>
        <w:jc w:val="both"/>
        <w:rPr>
          <w:rFonts w:ascii="Verdana" w:hAnsi="Verdana" w:cs="Arial"/>
        </w:rPr>
      </w:pPr>
    </w:p>
    <w:p w14:paraId="079B7E48" w14:textId="2CACBFFD" w:rsidR="00443ADE" w:rsidRDefault="00D035BC" w:rsidP="00443ADE">
      <w:pPr>
        <w:tabs>
          <w:tab w:val="left" w:pos="1320"/>
        </w:tabs>
        <w:jc w:val="center"/>
        <w:rPr>
          <w:rFonts w:ascii="Century Gothic" w:hAnsi="Century Gothic"/>
        </w:rPr>
      </w:pPr>
      <w:r>
        <w:rPr>
          <w:rFonts w:ascii="Century Gothic" w:hAnsi="Century Gothic"/>
          <w:noProof/>
        </w:rPr>
        <w:drawing>
          <wp:inline distT="0" distB="0" distL="0" distR="0" wp14:anchorId="7A4E0840" wp14:editId="136238A0">
            <wp:extent cx="4231251" cy="1819275"/>
            <wp:effectExtent l="0" t="0" r="0" b="0"/>
            <wp:docPr id="274770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77090" name="Imagen 27477090"/>
                    <pic:cNvPicPr/>
                  </pic:nvPicPr>
                  <pic:blipFill>
                    <a:blip r:embed="rId18">
                      <a:extLst>
                        <a:ext uri="{28A0092B-C50C-407E-A947-70E740481C1C}">
                          <a14:useLocalDpi xmlns:a14="http://schemas.microsoft.com/office/drawing/2010/main" val="0"/>
                        </a:ext>
                      </a:extLst>
                    </a:blip>
                    <a:stretch>
                      <a:fillRect/>
                    </a:stretch>
                  </pic:blipFill>
                  <pic:spPr>
                    <a:xfrm>
                      <a:off x="0" y="0"/>
                      <a:ext cx="4233400" cy="182019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43ADE" w:rsidRPr="00454626" w14:paraId="2710CD54" w14:textId="77777777" w:rsidTr="28530690">
        <w:trPr>
          <w:trHeight w:val="315"/>
        </w:trPr>
        <w:tc>
          <w:tcPr>
            <w:tcW w:w="893" w:type="dxa"/>
            <w:vAlign w:val="center"/>
            <w:hideMark/>
          </w:tcPr>
          <w:p w14:paraId="734851F1" w14:textId="77777777" w:rsidR="00443ADE" w:rsidRPr="00454626" w:rsidRDefault="00443ADE" w:rsidP="002D5125">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387C76D3" w14:textId="0E4F7276" w:rsidR="00443ADE" w:rsidRPr="00454626" w:rsidRDefault="00443ADE" w:rsidP="002D5125">
            <w:pPr>
              <w:rPr>
                <w:rFonts w:ascii="Verdana" w:eastAsia="Arial" w:hAnsi="Verdana" w:cs="Arial"/>
                <w:sz w:val="16"/>
                <w:szCs w:val="16"/>
                <w:lang w:val="es-ES"/>
              </w:rPr>
            </w:pPr>
            <w:r>
              <w:rPr>
                <w:rFonts w:ascii="Verdana" w:eastAsia="Arial" w:hAnsi="Verdana" w:cs="Arial"/>
                <w:sz w:val="16"/>
                <w:szCs w:val="16"/>
                <w:lang w:val="es-ES"/>
              </w:rPr>
              <w:t>K</w:t>
            </w:r>
            <w:r w:rsidR="00CC0F19">
              <w:rPr>
                <w:rFonts w:ascii="Verdana" w:eastAsia="Arial" w:hAnsi="Verdana" w:cs="Arial"/>
                <w:sz w:val="16"/>
                <w:szCs w:val="16"/>
                <w:lang w:val="es-ES"/>
              </w:rPr>
              <w:t>arol Andrea Gonzalez Marín</w:t>
            </w:r>
          </w:p>
          <w:p w14:paraId="19E74243" w14:textId="77777777" w:rsidR="00443ADE" w:rsidRPr="00454626" w:rsidRDefault="00443ADE" w:rsidP="002D5125">
            <w:pPr>
              <w:rPr>
                <w:rFonts w:ascii="Verdana" w:eastAsia="Arial" w:hAnsi="Verdana" w:cs="Arial"/>
                <w:sz w:val="16"/>
                <w:szCs w:val="16"/>
                <w:lang w:val="es-ES_tradnl"/>
              </w:rPr>
            </w:pPr>
            <w:r w:rsidRPr="00454626">
              <w:rPr>
                <w:rFonts w:ascii="Verdana" w:eastAsia="Arial" w:hAnsi="Verdana" w:cs="Arial"/>
                <w:sz w:val="16"/>
                <w:szCs w:val="16"/>
                <w:lang w:val="es-ES_tradnl"/>
              </w:rPr>
              <w:t>Contratista de la Subdirección de Gestión Contractual</w:t>
            </w:r>
          </w:p>
          <w:p w14:paraId="57E5D45D" w14:textId="77777777" w:rsidR="00443ADE" w:rsidRPr="00454626" w:rsidRDefault="00443ADE" w:rsidP="002D5125">
            <w:pPr>
              <w:rPr>
                <w:rFonts w:ascii="Verdana" w:eastAsia="Arial" w:hAnsi="Verdana" w:cs="Arial"/>
                <w:sz w:val="16"/>
                <w:szCs w:val="16"/>
                <w:lang w:val="es-ES_tradnl"/>
              </w:rPr>
            </w:pPr>
          </w:p>
        </w:tc>
      </w:tr>
      <w:tr w:rsidR="00443ADE" w:rsidRPr="00454626" w14:paraId="314430D9" w14:textId="77777777" w:rsidTr="28530690">
        <w:trPr>
          <w:trHeight w:val="330"/>
        </w:trPr>
        <w:tc>
          <w:tcPr>
            <w:tcW w:w="893" w:type="dxa"/>
            <w:vAlign w:val="center"/>
            <w:hideMark/>
          </w:tcPr>
          <w:p w14:paraId="4AA1C550" w14:textId="77777777" w:rsidR="00443ADE" w:rsidRPr="00454626" w:rsidRDefault="00443ADE" w:rsidP="002D5125">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1B77F0" w14:textId="77777777" w:rsidR="00443ADE" w:rsidRDefault="00443ADE" w:rsidP="28530690">
            <w:pPr>
              <w:textAlignment w:val="baseline"/>
              <w:rPr>
                <w:rFonts w:ascii="Verdana" w:eastAsia="Times New Roman" w:hAnsi="Verdana" w:cs="Segoe UI"/>
                <w:sz w:val="16"/>
                <w:szCs w:val="16"/>
                <w:lang w:val="es-ES" w:eastAsia="es-ES"/>
              </w:rPr>
            </w:pPr>
            <w:r w:rsidRPr="28530690">
              <w:rPr>
                <w:rFonts w:ascii="Verdana" w:eastAsia="Times New Roman" w:hAnsi="Verdana" w:cs="Segoe UI"/>
                <w:sz w:val="16"/>
                <w:szCs w:val="16"/>
                <w:lang w:val="es-ES" w:eastAsia="es-ES"/>
              </w:rPr>
              <w:t xml:space="preserve">Adriana </w:t>
            </w:r>
            <w:proofErr w:type="spellStart"/>
            <w:r w:rsidRPr="28530690">
              <w:rPr>
                <w:rFonts w:ascii="Verdana" w:eastAsia="Times New Roman" w:hAnsi="Verdana" w:cs="Segoe UI"/>
                <w:sz w:val="16"/>
                <w:szCs w:val="16"/>
                <w:lang w:val="es-ES" w:eastAsia="es-ES"/>
              </w:rPr>
              <w:t>Katerine</w:t>
            </w:r>
            <w:proofErr w:type="spellEnd"/>
            <w:r w:rsidRPr="28530690">
              <w:rPr>
                <w:rFonts w:ascii="Verdana" w:eastAsia="Times New Roman" w:hAnsi="Verdana" w:cs="Segoe UI"/>
                <w:sz w:val="16"/>
                <w:szCs w:val="16"/>
                <w:lang w:val="es-ES" w:eastAsia="es-ES"/>
              </w:rPr>
              <w:t xml:space="preserve"> López Rodríguez </w:t>
            </w:r>
          </w:p>
          <w:p w14:paraId="27D4FEEA" w14:textId="77777777" w:rsidR="00443ADE" w:rsidRPr="00454626" w:rsidRDefault="00443ADE" w:rsidP="002D5125">
            <w:pPr>
              <w:textAlignment w:val="baseline"/>
              <w:rPr>
                <w:rFonts w:ascii="Verdana" w:eastAsia="Times New Roman" w:hAnsi="Verdana" w:cs="Segoe UI"/>
                <w:sz w:val="16"/>
                <w:szCs w:val="16"/>
                <w:lang w:val="es-ES_tradnl" w:eastAsia="es-ES_tradnl"/>
              </w:rPr>
            </w:pPr>
            <w:r w:rsidRPr="00454626">
              <w:rPr>
                <w:rFonts w:ascii="Verdana" w:eastAsia="Times New Roman" w:hAnsi="Verdana" w:cs="Arial"/>
                <w:sz w:val="16"/>
                <w:szCs w:val="16"/>
                <w:lang w:val="es-ES_tradnl" w:eastAsia="es-ES_tradnl"/>
              </w:rPr>
              <w:t>Contratista de la Subdirección de Gestión Contractual </w:t>
            </w:r>
          </w:p>
        </w:tc>
      </w:tr>
      <w:tr w:rsidR="00443ADE" w:rsidRPr="00454626" w14:paraId="28477EDC" w14:textId="77777777" w:rsidTr="28530690">
        <w:trPr>
          <w:trHeight w:val="300"/>
        </w:trPr>
        <w:tc>
          <w:tcPr>
            <w:tcW w:w="893" w:type="dxa"/>
            <w:vAlign w:val="center"/>
          </w:tcPr>
          <w:p w14:paraId="2012C682" w14:textId="77777777" w:rsidR="00443ADE" w:rsidRPr="00454626" w:rsidRDefault="00443ADE" w:rsidP="002D5125">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561C42" w14:textId="77777777" w:rsidR="00443ADE" w:rsidRPr="00454626" w:rsidRDefault="00443ADE" w:rsidP="002D5125">
            <w:pPr>
              <w:rPr>
                <w:rFonts w:ascii="Verdana" w:eastAsia="Calibri" w:hAnsi="Verdana" w:cs="Arial"/>
                <w:sz w:val="16"/>
                <w:szCs w:val="16"/>
                <w:lang w:val="es-ES" w:eastAsia="es-ES"/>
              </w:rPr>
            </w:pPr>
            <w:r w:rsidRPr="00454626">
              <w:rPr>
                <w:rFonts w:ascii="Verdana" w:eastAsia="Calibri" w:hAnsi="Verdana" w:cs="Arial"/>
                <w:sz w:val="16"/>
                <w:szCs w:val="16"/>
                <w:lang w:val="es-ES" w:eastAsia="es-ES"/>
              </w:rPr>
              <w:t xml:space="preserve">Carolina Quintero </w:t>
            </w:r>
            <w:proofErr w:type="spellStart"/>
            <w:r w:rsidRPr="00454626">
              <w:rPr>
                <w:rFonts w:ascii="Verdana" w:eastAsia="Calibri" w:hAnsi="Verdana" w:cs="Arial"/>
                <w:sz w:val="16"/>
                <w:szCs w:val="16"/>
                <w:lang w:val="es-ES" w:eastAsia="es-ES"/>
              </w:rPr>
              <w:t>Gacharná</w:t>
            </w:r>
            <w:proofErr w:type="spellEnd"/>
          </w:p>
          <w:p w14:paraId="0186B7D8" w14:textId="77777777" w:rsidR="00443ADE" w:rsidRPr="00454626" w:rsidRDefault="00443ADE" w:rsidP="002D5125">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Subdirectora de Gestión Contractual ANCP – CCE</w:t>
            </w:r>
          </w:p>
        </w:tc>
      </w:tr>
    </w:tbl>
    <w:p w14:paraId="59DA89E6" w14:textId="77777777" w:rsidR="00443ADE" w:rsidRPr="007F4029" w:rsidRDefault="00443ADE" w:rsidP="00443ADE">
      <w:pPr>
        <w:spacing w:line="276" w:lineRule="auto"/>
        <w:rPr>
          <w:rFonts w:ascii="Verdana" w:hAnsi="Verdana"/>
          <w:lang w:val="es-ES"/>
        </w:rPr>
      </w:pPr>
    </w:p>
    <w:bookmarkEnd w:id="0"/>
    <w:p w14:paraId="43AEFC6C" w14:textId="77777777" w:rsidR="00322A85" w:rsidRPr="0044528D" w:rsidRDefault="00322A85" w:rsidP="00322A85">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2B16A3E9" w14:textId="77777777" w:rsidR="00322A85" w:rsidRPr="0044528D" w:rsidRDefault="00322A85" w:rsidP="00322A85">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0F293BF4" w14:textId="79DE69A2" w:rsidR="00127233" w:rsidRPr="00046945" w:rsidRDefault="00322A85" w:rsidP="00046945">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sectPr w:rsidR="00127233" w:rsidRPr="00046945"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7FF74" w14:textId="77777777" w:rsidR="00C759BC" w:rsidRDefault="00C759BC" w:rsidP="004A1847">
      <w:pPr>
        <w:spacing w:after="0" w:line="240" w:lineRule="auto"/>
      </w:pPr>
      <w:r>
        <w:separator/>
      </w:r>
    </w:p>
  </w:endnote>
  <w:endnote w:type="continuationSeparator" w:id="0">
    <w:p w14:paraId="3FDD2663" w14:textId="77777777" w:rsidR="00C759BC" w:rsidRDefault="00C759BC" w:rsidP="004A1847">
      <w:pPr>
        <w:spacing w:after="0" w:line="240" w:lineRule="auto"/>
      </w:pPr>
      <w:r>
        <w:continuationSeparator/>
      </w:r>
    </w:p>
  </w:endnote>
  <w:endnote w:type="continuationNotice" w:id="1">
    <w:p w14:paraId="54A5B0D8" w14:textId="77777777" w:rsidR="00C759BC" w:rsidRDefault="00C759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rialMT">
    <w:altName w:val="Arial"/>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BE74F" w14:textId="77777777" w:rsidR="00C759BC" w:rsidRDefault="00C759BC" w:rsidP="004A1847">
      <w:pPr>
        <w:spacing w:after="0" w:line="240" w:lineRule="auto"/>
      </w:pPr>
      <w:r>
        <w:separator/>
      </w:r>
    </w:p>
  </w:footnote>
  <w:footnote w:type="continuationSeparator" w:id="0">
    <w:p w14:paraId="480EF63C" w14:textId="77777777" w:rsidR="00C759BC" w:rsidRDefault="00C759BC" w:rsidP="004A1847">
      <w:pPr>
        <w:spacing w:after="0" w:line="240" w:lineRule="auto"/>
      </w:pPr>
      <w:r>
        <w:continuationSeparator/>
      </w:r>
    </w:p>
  </w:footnote>
  <w:footnote w:type="continuationNotice" w:id="1">
    <w:p w14:paraId="56EE9BD2" w14:textId="77777777" w:rsidR="00C759BC" w:rsidRDefault="00C759BC">
      <w:pPr>
        <w:spacing w:after="0" w:line="240" w:lineRule="auto"/>
      </w:pPr>
    </w:p>
  </w:footnote>
  <w:footnote w:id="2">
    <w:p w14:paraId="2C448CF2" w14:textId="77777777" w:rsidR="006A0C2D" w:rsidRPr="0047233D" w:rsidRDefault="006A0C2D" w:rsidP="006A0C2D">
      <w:pPr>
        <w:pStyle w:val="Textonotapie"/>
        <w:rPr>
          <w:rFonts w:ascii="Verdana" w:hAnsi="Verdana"/>
          <w:sz w:val="16"/>
          <w:szCs w:val="16"/>
          <w:lang w:val="es-CO"/>
        </w:rPr>
      </w:pPr>
      <w:r w:rsidRPr="0047233D">
        <w:rPr>
          <w:rStyle w:val="Refdenotaalpie"/>
          <w:rFonts w:ascii="Verdana" w:hAnsi="Verdana"/>
          <w:sz w:val="16"/>
          <w:szCs w:val="16"/>
          <w:lang w:val="es-CO"/>
        </w:rPr>
        <w:footnoteRef/>
      </w:r>
      <w:r w:rsidRPr="0047233D">
        <w:rPr>
          <w:rFonts w:ascii="Verdana" w:hAnsi="Verdana"/>
          <w:sz w:val="16"/>
          <w:szCs w:val="16"/>
          <w:lang w:val="es-CO"/>
        </w:rPr>
        <w:t xml:space="preserve"> Estos Documentos Tipo pueden ser consultados en la página web de Colombia Compra Eficiente, a través del siguiente enlace: </w:t>
      </w:r>
      <w:hyperlink r:id="rId1" w:history="1">
        <w:r w:rsidRPr="0047233D">
          <w:rPr>
            <w:rStyle w:val="Hipervnculo"/>
            <w:rFonts w:ascii="Verdana" w:hAnsi="Verdana"/>
            <w:sz w:val="16"/>
            <w:szCs w:val="16"/>
            <w:lang w:val="es-CO"/>
          </w:rPr>
          <w:t>https://www.colombiacompra.gov.co/documentos-tipo/documentos-tipo</w:t>
        </w:r>
      </w:hyperlink>
      <w:r w:rsidRPr="0047233D">
        <w:rPr>
          <w:rFonts w:ascii="Verdana" w:hAnsi="Verdana"/>
          <w:sz w:val="16"/>
          <w:szCs w:val="16"/>
          <w:lang w:val="es-CO"/>
        </w:rPr>
        <w:t xml:space="preserve"> </w:t>
      </w:r>
    </w:p>
    <w:p w14:paraId="5CDFF0D6" w14:textId="77777777" w:rsidR="006A0C2D" w:rsidRPr="0047233D" w:rsidRDefault="006A0C2D" w:rsidP="006A0C2D">
      <w:pPr>
        <w:pStyle w:val="Textonotapie"/>
        <w:rPr>
          <w:rFonts w:ascii="Verdana" w:hAnsi="Verdana"/>
          <w:sz w:val="16"/>
          <w:szCs w:val="16"/>
          <w:lang w:val="es-CO"/>
        </w:rPr>
      </w:pPr>
    </w:p>
  </w:footnote>
  <w:footnote w:id="3">
    <w:p w14:paraId="1627222E" w14:textId="77777777" w:rsidR="006A0C2D" w:rsidRPr="0047233D" w:rsidRDefault="006A0C2D" w:rsidP="006A0C2D">
      <w:pPr>
        <w:pStyle w:val="Textonotapie"/>
        <w:ind w:firstLine="709"/>
        <w:jc w:val="both"/>
        <w:rPr>
          <w:rFonts w:ascii="Verdana" w:hAnsi="Verdana"/>
          <w:sz w:val="16"/>
          <w:szCs w:val="16"/>
          <w:lang w:val="es-CO"/>
        </w:rPr>
      </w:pPr>
      <w:r w:rsidRPr="0047233D">
        <w:rPr>
          <w:rStyle w:val="Refdenotaalpie"/>
          <w:rFonts w:ascii="Verdana" w:hAnsi="Verdana"/>
          <w:sz w:val="16"/>
          <w:szCs w:val="16"/>
          <w:lang w:val="es-CO"/>
        </w:rPr>
        <w:footnoteRef/>
      </w:r>
      <w:r w:rsidRPr="0047233D">
        <w:rPr>
          <w:rFonts w:ascii="Verdana" w:hAnsi="Verdana"/>
          <w:sz w:val="16"/>
          <w:szCs w:val="16"/>
          <w:lang w:val="es-CO"/>
        </w:rPr>
        <w:t xml:space="preserve"> Estos Documentos Tipo pueden ser consultados en la página web de Colombia Compra Eficiente, a través del siguiente enlace: </w:t>
      </w:r>
      <w:hyperlink r:id="rId2" w:history="1">
        <w:r w:rsidRPr="0047233D">
          <w:rPr>
            <w:rStyle w:val="Hipervnculo"/>
            <w:rFonts w:ascii="Verdana" w:hAnsi="Verdana"/>
            <w:sz w:val="16"/>
            <w:szCs w:val="16"/>
            <w:lang w:val="es-CO"/>
          </w:rPr>
          <w:t>https://www.colombiacompra.gov.co/documentos-tipo/documentos-tipo</w:t>
        </w:r>
      </w:hyperlink>
      <w:r w:rsidRPr="0047233D">
        <w:rPr>
          <w:rFonts w:ascii="Verdana" w:hAnsi="Verdana"/>
          <w:sz w:val="16"/>
          <w:szCs w:val="16"/>
          <w:lang w:val="es-CO"/>
        </w:rPr>
        <w:t xml:space="preserve"> </w:t>
      </w:r>
    </w:p>
  </w:footnote>
  <w:footnote w:id="4">
    <w:p w14:paraId="7656E96B" w14:textId="77777777" w:rsidR="006A0C2D" w:rsidRPr="0047233D" w:rsidRDefault="006A0C2D" w:rsidP="006A0C2D">
      <w:pPr>
        <w:spacing w:after="0" w:line="276" w:lineRule="auto"/>
        <w:jc w:val="both"/>
        <w:rPr>
          <w:rFonts w:ascii="Verdana" w:hAnsi="Verdana"/>
          <w:sz w:val="16"/>
          <w:szCs w:val="16"/>
        </w:rPr>
      </w:pPr>
    </w:p>
    <w:p w14:paraId="7F459C3D" w14:textId="77777777" w:rsidR="006A0C2D" w:rsidRPr="0047233D" w:rsidRDefault="006A0C2D" w:rsidP="006A0C2D">
      <w:pPr>
        <w:spacing w:after="0" w:line="276" w:lineRule="auto"/>
        <w:ind w:firstLine="708"/>
        <w:jc w:val="both"/>
        <w:rPr>
          <w:rFonts w:ascii="Verdana" w:eastAsia="Calibri" w:hAnsi="Verdana" w:cs="Arial"/>
          <w:bCs/>
          <w:sz w:val="16"/>
          <w:szCs w:val="16"/>
        </w:rPr>
      </w:pPr>
      <w:r w:rsidRPr="0047233D">
        <w:rPr>
          <w:rStyle w:val="Refdenotaalpie"/>
          <w:rFonts w:ascii="Verdana" w:hAnsi="Verdana"/>
          <w:sz w:val="16"/>
          <w:szCs w:val="16"/>
        </w:rPr>
        <w:footnoteRef/>
      </w:r>
      <w:r w:rsidRPr="0047233D">
        <w:rPr>
          <w:rFonts w:ascii="Verdana" w:hAnsi="Verdana"/>
          <w:sz w:val="16"/>
          <w:szCs w:val="16"/>
        </w:rPr>
        <w:t xml:space="preserve"> </w:t>
      </w:r>
      <w:r w:rsidRPr="0047233D">
        <w:rPr>
          <w:rFonts w:ascii="Verdana" w:eastAsia="Calibri" w:hAnsi="Verdana" w:cs="Arial"/>
          <w:bCs/>
          <w:sz w:val="16"/>
          <w:szCs w:val="16"/>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2C87BF6E" w14:textId="77777777" w:rsidR="006A0C2D" w:rsidRPr="0047233D" w:rsidRDefault="006A0C2D" w:rsidP="006A0C2D">
      <w:pPr>
        <w:spacing w:after="0" w:line="276" w:lineRule="auto"/>
        <w:jc w:val="both"/>
        <w:rPr>
          <w:rFonts w:ascii="Verdana" w:eastAsia="Calibri" w:hAnsi="Verdana" w:cs="Arial"/>
          <w:bCs/>
          <w:sz w:val="16"/>
          <w:szCs w:val="16"/>
        </w:rPr>
      </w:pPr>
    </w:p>
    <w:p w14:paraId="6EC7AEC2" w14:textId="77777777" w:rsidR="006A0C2D" w:rsidRPr="0047233D" w:rsidRDefault="006A0C2D" w:rsidP="006A0C2D">
      <w:pPr>
        <w:spacing w:after="0" w:line="276" w:lineRule="auto"/>
        <w:ind w:firstLine="708"/>
        <w:jc w:val="both"/>
        <w:rPr>
          <w:rFonts w:ascii="Verdana" w:eastAsia="Calibri" w:hAnsi="Verdana" w:cs="Arial"/>
          <w:bCs/>
          <w:sz w:val="16"/>
          <w:szCs w:val="16"/>
        </w:rPr>
      </w:pPr>
      <w:r w:rsidRPr="0047233D">
        <w:rPr>
          <w:rFonts w:ascii="Verdana" w:eastAsia="Calibri" w:hAnsi="Verdana" w:cs="Arial"/>
          <w:bCs/>
          <w:sz w:val="16"/>
          <w:szCs w:val="16"/>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7D883379" w14:textId="77777777" w:rsidR="006A0C2D" w:rsidRPr="0047233D" w:rsidRDefault="006A0C2D" w:rsidP="006A0C2D">
      <w:pPr>
        <w:spacing w:after="0" w:line="276" w:lineRule="auto"/>
        <w:jc w:val="both"/>
        <w:rPr>
          <w:rFonts w:ascii="Verdana" w:eastAsia="Calibri" w:hAnsi="Verdana" w:cs="Arial"/>
          <w:bCs/>
          <w:sz w:val="16"/>
          <w:szCs w:val="16"/>
        </w:rPr>
      </w:pPr>
    </w:p>
    <w:p w14:paraId="6D2B917B" w14:textId="77777777" w:rsidR="006A0C2D" w:rsidRPr="0047233D" w:rsidRDefault="006A0C2D" w:rsidP="006A0C2D">
      <w:pPr>
        <w:spacing w:after="0" w:line="276" w:lineRule="auto"/>
        <w:ind w:firstLine="708"/>
        <w:jc w:val="both"/>
        <w:rPr>
          <w:rFonts w:ascii="Verdana" w:eastAsia="Calibri" w:hAnsi="Verdana" w:cs="Arial"/>
          <w:bCs/>
          <w:sz w:val="16"/>
          <w:szCs w:val="16"/>
        </w:rPr>
      </w:pPr>
      <w:r w:rsidRPr="0047233D">
        <w:rPr>
          <w:rFonts w:ascii="Verdana" w:eastAsia="Calibri" w:hAnsi="Verdana" w:cs="Arial"/>
          <w:bCs/>
          <w:sz w:val="16"/>
          <w:szCs w:val="16"/>
        </w:rPr>
        <w:t>Resolución 456 del 10 de septiembre de 2024: “Por la cual se adopta la versión 4 de los documentos tipo para los procesos de selección de licitación de obra pública de infraestructura de transporte y se deroga la Resolución 240 de 2020”.</w:t>
      </w:r>
    </w:p>
    <w:p w14:paraId="3B790482" w14:textId="77777777" w:rsidR="006A0C2D" w:rsidRPr="0047233D" w:rsidRDefault="006A0C2D" w:rsidP="006A0C2D">
      <w:pPr>
        <w:spacing w:after="0" w:line="276" w:lineRule="auto"/>
        <w:jc w:val="both"/>
        <w:rPr>
          <w:rFonts w:ascii="Verdana" w:eastAsia="Calibri" w:hAnsi="Verdana" w:cs="Arial"/>
          <w:bCs/>
          <w:sz w:val="16"/>
          <w:szCs w:val="16"/>
        </w:rPr>
      </w:pPr>
    </w:p>
    <w:p w14:paraId="2CAECD90" w14:textId="77777777" w:rsidR="006A0C2D" w:rsidRPr="0047233D" w:rsidRDefault="006A0C2D" w:rsidP="006A0C2D">
      <w:pPr>
        <w:spacing w:after="0" w:line="276" w:lineRule="auto"/>
        <w:ind w:firstLine="708"/>
        <w:jc w:val="both"/>
        <w:rPr>
          <w:rFonts w:ascii="Verdana" w:eastAsia="Calibri" w:hAnsi="Verdana" w:cs="Arial"/>
          <w:bCs/>
          <w:sz w:val="16"/>
          <w:szCs w:val="16"/>
        </w:rPr>
      </w:pPr>
      <w:r w:rsidRPr="0047233D">
        <w:rPr>
          <w:rFonts w:ascii="Verdana" w:eastAsia="Calibri" w:hAnsi="Verdana" w:cs="Arial"/>
          <w:bCs/>
          <w:sz w:val="16"/>
          <w:szCs w:val="16"/>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4910DB16" w14:textId="77777777" w:rsidR="006A0C2D" w:rsidRPr="0047233D" w:rsidRDefault="006A0C2D" w:rsidP="006A0C2D">
      <w:pPr>
        <w:spacing w:after="0" w:line="276" w:lineRule="auto"/>
        <w:ind w:left="720"/>
        <w:jc w:val="both"/>
        <w:rPr>
          <w:rFonts w:ascii="Verdana" w:eastAsia="Calibri" w:hAnsi="Verdana" w:cs="Arial"/>
          <w:bCs/>
          <w:sz w:val="16"/>
          <w:szCs w:val="16"/>
        </w:rPr>
      </w:pPr>
    </w:p>
    <w:p w14:paraId="26B1C9AA" w14:textId="77777777" w:rsidR="006A0C2D" w:rsidRPr="0047233D" w:rsidRDefault="006A0C2D" w:rsidP="006A0C2D">
      <w:pPr>
        <w:spacing w:after="0" w:line="276" w:lineRule="auto"/>
        <w:ind w:firstLine="708"/>
        <w:jc w:val="both"/>
        <w:rPr>
          <w:rFonts w:ascii="Verdana" w:eastAsia="Calibri" w:hAnsi="Verdana" w:cs="Arial"/>
          <w:bCs/>
          <w:sz w:val="16"/>
          <w:szCs w:val="16"/>
        </w:rPr>
      </w:pPr>
      <w:r w:rsidRPr="0047233D">
        <w:rPr>
          <w:rFonts w:ascii="Verdana" w:eastAsia="Calibri" w:hAnsi="Verdana" w:cs="Arial"/>
          <w:bCs/>
          <w:sz w:val="16"/>
          <w:szCs w:val="16"/>
        </w:rPr>
        <w:t xml:space="preserve">Resolución 464 del 10 de septiembre de 2024: “Por la cual se actualizan los documentos tipo para los procesos de obra pública de infraestructura de transporte adelantados bajo la modalidad de mínima cuantía”. </w:t>
      </w:r>
    </w:p>
    <w:p w14:paraId="0D923D1A" w14:textId="77777777" w:rsidR="006A0C2D" w:rsidRPr="0047233D" w:rsidRDefault="006A0C2D" w:rsidP="006A0C2D">
      <w:pPr>
        <w:pStyle w:val="Textonotapie"/>
        <w:rPr>
          <w:rFonts w:ascii="Verdana" w:hAnsi="Verdana"/>
          <w:sz w:val="16"/>
          <w:szCs w:val="16"/>
          <w:lang w:val="es-CO"/>
        </w:rPr>
      </w:pPr>
    </w:p>
  </w:footnote>
  <w:footnote w:id="5">
    <w:p w14:paraId="3E3EC6B8" w14:textId="77777777" w:rsidR="006A0C2D" w:rsidRPr="0047233D" w:rsidRDefault="006A0C2D" w:rsidP="006A0C2D">
      <w:pPr>
        <w:pBdr>
          <w:top w:val="nil"/>
          <w:left w:val="nil"/>
          <w:bottom w:val="nil"/>
          <w:right w:val="nil"/>
          <w:between w:val="nil"/>
        </w:pBdr>
        <w:spacing w:after="0"/>
        <w:ind w:firstLine="709"/>
        <w:jc w:val="both"/>
        <w:rPr>
          <w:rFonts w:ascii="Verdana" w:eastAsia="Arial" w:hAnsi="Verdana" w:cs="Arial"/>
          <w:color w:val="000000"/>
          <w:sz w:val="16"/>
          <w:szCs w:val="16"/>
        </w:rPr>
      </w:pPr>
      <w:r w:rsidRPr="0047233D">
        <w:rPr>
          <w:rFonts w:ascii="Verdana" w:hAnsi="Verdana" w:cs="Arial"/>
          <w:sz w:val="16"/>
          <w:szCs w:val="16"/>
          <w:vertAlign w:val="superscript"/>
        </w:rPr>
        <w:footnoteRef/>
      </w:r>
      <w:r w:rsidRPr="0047233D">
        <w:rPr>
          <w:rFonts w:ascii="Verdana" w:eastAsia="Arial"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footnote>
  <w:footnote w:id="6">
    <w:p w14:paraId="095A4422" w14:textId="77777777" w:rsidR="006A0C2D" w:rsidRPr="0047233D" w:rsidRDefault="006A0C2D" w:rsidP="006A0C2D">
      <w:pPr>
        <w:pBdr>
          <w:top w:val="nil"/>
          <w:left w:val="nil"/>
          <w:bottom w:val="nil"/>
          <w:right w:val="nil"/>
          <w:between w:val="nil"/>
        </w:pBdr>
        <w:spacing w:after="0"/>
        <w:ind w:firstLine="709"/>
        <w:jc w:val="both"/>
        <w:rPr>
          <w:rFonts w:ascii="Verdana" w:eastAsia="Arial" w:hAnsi="Verdana" w:cs="Arial"/>
          <w:color w:val="000000"/>
          <w:sz w:val="16"/>
          <w:szCs w:val="16"/>
        </w:rPr>
      </w:pPr>
      <w:r w:rsidRPr="0047233D">
        <w:rPr>
          <w:rFonts w:ascii="Verdana" w:hAnsi="Verdana" w:cs="Arial"/>
          <w:sz w:val="16"/>
          <w:szCs w:val="16"/>
          <w:vertAlign w:val="superscript"/>
        </w:rPr>
        <w:footnoteRef/>
      </w:r>
      <w:r w:rsidRPr="0047233D">
        <w:rPr>
          <w:rFonts w:ascii="Verdana" w:eastAsia="Arial"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7">
    <w:p w14:paraId="66F4842C" w14:textId="77777777" w:rsidR="006A0C2D" w:rsidRPr="0047233D" w:rsidRDefault="006A0C2D" w:rsidP="006A0C2D">
      <w:pPr>
        <w:pBdr>
          <w:top w:val="nil"/>
          <w:left w:val="nil"/>
          <w:bottom w:val="nil"/>
          <w:right w:val="nil"/>
          <w:between w:val="nil"/>
        </w:pBdr>
        <w:spacing w:after="0"/>
        <w:ind w:firstLine="709"/>
        <w:jc w:val="both"/>
        <w:rPr>
          <w:rFonts w:ascii="Verdana" w:eastAsia="Arial" w:hAnsi="Verdana" w:cs="Arial"/>
          <w:color w:val="000000"/>
          <w:sz w:val="16"/>
          <w:szCs w:val="16"/>
        </w:rPr>
      </w:pPr>
      <w:r w:rsidRPr="0047233D">
        <w:rPr>
          <w:rFonts w:ascii="Verdana" w:hAnsi="Verdana" w:cs="Arial"/>
          <w:sz w:val="16"/>
          <w:szCs w:val="16"/>
          <w:vertAlign w:val="superscript"/>
        </w:rPr>
        <w:footnoteRef/>
      </w:r>
      <w:r w:rsidRPr="0047233D">
        <w:rPr>
          <w:rFonts w:ascii="Verdana" w:eastAsia="Arial" w:hAnsi="Verdana" w:cs="Arial"/>
          <w:color w:val="000000"/>
          <w:sz w:val="16"/>
          <w:szCs w:val="16"/>
        </w:rPr>
        <w:t xml:space="preserve"> Consejo de Estado. Sección Tercera, Subsección C. Sentencia del 26 de febrero de 2014. C.P. Enrique Gil Botero, Rad. 1999-00113-01 (25.804). </w:t>
      </w:r>
    </w:p>
  </w:footnote>
  <w:footnote w:id="8">
    <w:p w14:paraId="4D7F7230" w14:textId="77777777" w:rsidR="006A0C2D" w:rsidRPr="0047233D" w:rsidRDefault="006A0C2D" w:rsidP="006A0C2D">
      <w:pPr>
        <w:pBdr>
          <w:top w:val="nil"/>
          <w:left w:val="nil"/>
          <w:bottom w:val="nil"/>
          <w:right w:val="nil"/>
          <w:between w:val="nil"/>
        </w:pBdr>
        <w:spacing w:after="0"/>
        <w:ind w:firstLine="709"/>
        <w:jc w:val="both"/>
        <w:rPr>
          <w:rFonts w:ascii="Verdana" w:eastAsia="Arial" w:hAnsi="Verdana" w:cs="Arial"/>
          <w:color w:val="000000"/>
          <w:sz w:val="16"/>
          <w:szCs w:val="16"/>
        </w:rPr>
      </w:pPr>
      <w:r w:rsidRPr="0047233D">
        <w:rPr>
          <w:rFonts w:ascii="Verdana" w:hAnsi="Verdana" w:cs="Arial"/>
          <w:sz w:val="16"/>
          <w:szCs w:val="16"/>
          <w:vertAlign w:val="superscript"/>
        </w:rPr>
        <w:footnoteRef/>
      </w:r>
      <w:r w:rsidRPr="0047233D">
        <w:rPr>
          <w:rFonts w:ascii="Verdana" w:eastAsia="Arial" w:hAnsi="Verdana" w:cs="Arial"/>
          <w:color w:val="000000"/>
          <w:sz w:val="16"/>
          <w:szCs w:val="16"/>
          <w:vertAlign w:val="superscript"/>
        </w:rPr>
        <w:t xml:space="preserve"> </w:t>
      </w:r>
      <w:r w:rsidRPr="0047233D">
        <w:rPr>
          <w:rFonts w:ascii="Verdana" w:eastAsia="Arial"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9">
    <w:p w14:paraId="2D4C6BFD" w14:textId="77777777" w:rsidR="006A0C2D" w:rsidRPr="0047233D" w:rsidRDefault="006A0C2D" w:rsidP="006A0C2D">
      <w:pPr>
        <w:spacing w:after="0"/>
        <w:ind w:firstLine="709"/>
        <w:jc w:val="both"/>
        <w:rPr>
          <w:rFonts w:ascii="Verdana" w:eastAsia="Arial" w:hAnsi="Verdana" w:cs="Arial"/>
          <w:color w:val="000000"/>
          <w:sz w:val="16"/>
          <w:szCs w:val="16"/>
        </w:rPr>
      </w:pPr>
      <w:r w:rsidRPr="0047233D">
        <w:rPr>
          <w:rFonts w:ascii="Verdana" w:hAnsi="Verdana" w:cs="Arial"/>
          <w:sz w:val="16"/>
          <w:szCs w:val="16"/>
          <w:vertAlign w:val="superscript"/>
        </w:rPr>
        <w:footnoteRef/>
      </w:r>
      <w:r w:rsidRPr="0047233D">
        <w:rPr>
          <w:rFonts w:ascii="Verdana" w:eastAsia="Arial" w:hAnsi="Verdana" w:cs="Arial"/>
          <w:color w:val="000000"/>
          <w:sz w:val="16"/>
          <w:szCs w:val="16"/>
        </w:rPr>
        <w:t xml:space="preserve"> Decreto 2474 de 2008 (DEROGADO): “art. 10. Reglas de </w:t>
      </w:r>
      <w:r w:rsidRPr="0047233D">
        <w:rPr>
          <w:rFonts w:ascii="Verdana" w:eastAsia="Arial" w:hAnsi="Verdana" w:cs="Arial"/>
          <w:color w:val="000000"/>
          <w:sz w:val="16"/>
          <w:szCs w:val="16"/>
        </w:rPr>
        <w:t>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3">
        <w:r w:rsidRPr="0047233D">
          <w:rPr>
            <w:rFonts w:ascii="Verdana" w:eastAsia="Arial" w:hAnsi="Verdana" w:cs="Arial"/>
            <w:color w:val="000000"/>
            <w:sz w:val="16"/>
            <w:szCs w:val="16"/>
          </w:rPr>
          <w:t>Ley 1150 de 2007</w:t>
        </w:r>
      </w:hyperlink>
      <w:r w:rsidRPr="0047233D">
        <w:rPr>
          <w:rFonts w:ascii="Verdana" w:eastAsia="Arial" w:hAnsi="Verdana" w:cs="Arial"/>
          <w:color w:val="000000"/>
          <w:sz w:val="16"/>
          <w:szCs w:val="16"/>
        </w:rPr>
        <w:t> y en el presente decreto.</w:t>
      </w:r>
    </w:p>
    <w:p w14:paraId="67D78680" w14:textId="77777777" w:rsidR="006A0C2D" w:rsidRPr="0047233D" w:rsidRDefault="006A0C2D" w:rsidP="006A0C2D">
      <w:pPr>
        <w:spacing w:after="0"/>
        <w:ind w:firstLine="709"/>
        <w:jc w:val="both"/>
        <w:rPr>
          <w:rFonts w:ascii="Verdana" w:eastAsia="Arial" w:hAnsi="Verdana" w:cs="Arial"/>
          <w:color w:val="000000"/>
          <w:sz w:val="16"/>
          <w:szCs w:val="16"/>
        </w:rPr>
      </w:pPr>
      <w:r w:rsidRPr="0047233D">
        <w:rPr>
          <w:rFonts w:ascii="Verdana" w:eastAsia="Arial" w:hAnsi="Verdana" w:cs="Arial"/>
          <w:color w:val="000000"/>
          <w:sz w:val="16"/>
          <w:szCs w:val="16"/>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524FC22D" w14:textId="77777777" w:rsidR="006A0C2D" w:rsidRPr="0047233D" w:rsidRDefault="006A0C2D" w:rsidP="006A0C2D">
      <w:pPr>
        <w:spacing w:after="0"/>
        <w:ind w:firstLine="709"/>
        <w:jc w:val="both"/>
        <w:rPr>
          <w:rFonts w:ascii="Verdana" w:eastAsia="Arial" w:hAnsi="Verdana" w:cs="Arial"/>
          <w:color w:val="000000"/>
          <w:sz w:val="16"/>
          <w:szCs w:val="16"/>
        </w:rPr>
      </w:pPr>
      <w:r w:rsidRPr="0047233D">
        <w:rPr>
          <w:rFonts w:ascii="Verdana" w:eastAsia="Arial" w:hAnsi="Verdana" w:cs="Arial"/>
          <w:color w:val="000000"/>
          <w:sz w:val="16"/>
          <w:szCs w:val="16"/>
        </w:rPr>
        <w:t>Será rechazada la oferta del proponente que dentro del término previsto en el pliego o en la solicitud, no responda al requerimiento que le haga la entidad para subsanarla.</w:t>
      </w:r>
    </w:p>
    <w:p w14:paraId="58D924D8" w14:textId="77777777" w:rsidR="006A0C2D" w:rsidRPr="0047233D" w:rsidRDefault="006A0C2D" w:rsidP="006A0C2D">
      <w:pPr>
        <w:spacing w:after="0"/>
        <w:ind w:firstLine="709"/>
        <w:jc w:val="both"/>
        <w:rPr>
          <w:rFonts w:ascii="Verdana" w:eastAsia="Arial" w:hAnsi="Verdana" w:cs="Arial"/>
          <w:color w:val="000000"/>
          <w:sz w:val="16"/>
          <w:szCs w:val="16"/>
        </w:rPr>
      </w:pPr>
      <w:r w:rsidRPr="0047233D">
        <w:rPr>
          <w:rFonts w:ascii="Verdana" w:eastAsia="Arial" w:hAnsi="Verdana" w:cs="Arial"/>
          <w:color w:val="000000"/>
          <w:sz w:val="16"/>
          <w:szCs w:val="16"/>
        </w:rPr>
        <w:t>Cuando se utilice el mecanismo de subasta esta posibilidad deberá ejercerse hasta el momento previo a su realización, de conformidad con el artículo 22 del presente decreto.</w:t>
      </w:r>
    </w:p>
    <w:p w14:paraId="1D674CE9" w14:textId="77777777" w:rsidR="006A0C2D" w:rsidRPr="0047233D" w:rsidRDefault="006A0C2D" w:rsidP="006A0C2D">
      <w:pPr>
        <w:spacing w:after="0"/>
        <w:ind w:firstLine="709"/>
        <w:jc w:val="both"/>
        <w:rPr>
          <w:rFonts w:ascii="Verdana" w:eastAsia="Arial" w:hAnsi="Verdana" w:cs="Arial"/>
          <w:color w:val="000000"/>
          <w:sz w:val="16"/>
          <w:szCs w:val="16"/>
        </w:rPr>
      </w:pPr>
      <w:r w:rsidRPr="0047233D">
        <w:rPr>
          <w:rFonts w:ascii="Verdana" w:eastAsia="Arial" w:hAnsi="Verdana" w:cs="Arial"/>
          <w:color w:val="000000"/>
          <w:sz w:val="16"/>
          <w:szCs w:val="16"/>
        </w:rPr>
        <w:t xml:space="preserve">En ningún caso la entidad podrá señalar taxativamente los requisitos o documentos subsanables o no subsanables en el pliego de condiciones, </w:t>
      </w:r>
      <w:r w:rsidRPr="0047233D">
        <w:rPr>
          <w:rFonts w:ascii="Verdana" w:eastAsia="Arial" w:hAnsi="Verdana" w:cs="Arial"/>
          <w:i/>
          <w:color w:val="000000"/>
          <w:sz w:val="16"/>
          <w:szCs w:val="16"/>
        </w:rPr>
        <w:t>ni permitir que se subsane la falta de capacidad para presentar la oferta, ni que se acrediten circunstancias ocurridas con posterioridad al cierre del proceso</w:t>
      </w:r>
      <w:r w:rsidRPr="0047233D">
        <w:rPr>
          <w:rFonts w:ascii="Verdana" w:eastAsia="Arial" w:hAnsi="Verdana" w:cs="Arial"/>
          <w:color w:val="000000"/>
          <w:sz w:val="16"/>
          <w:szCs w:val="16"/>
        </w:rPr>
        <w:t xml:space="preserve">”. (Cursivas fuera de texto). </w:t>
      </w:r>
    </w:p>
  </w:footnote>
  <w:footnote w:id="10">
    <w:p w14:paraId="1EFE4357" w14:textId="77777777" w:rsidR="006A0C2D" w:rsidRPr="0047233D" w:rsidRDefault="006A0C2D" w:rsidP="006A0C2D">
      <w:pPr>
        <w:pBdr>
          <w:top w:val="nil"/>
          <w:left w:val="nil"/>
          <w:bottom w:val="nil"/>
          <w:right w:val="nil"/>
          <w:between w:val="nil"/>
        </w:pBdr>
        <w:spacing w:after="0"/>
        <w:ind w:firstLine="709"/>
        <w:jc w:val="both"/>
        <w:rPr>
          <w:rFonts w:ascii="Verdana" w:eastAsia="Arial" w:hAnsi="Verdana" w:cs="Arial"/>
          <w:color w:val="000000"/>
          <w:sz w:val="16"/>
          <w:szCs w:val="16"/>
        </w:rPr>
      </w:pPr>
      <w:r w:rsidRPr="0047233D">
        <w:rPr>
          <w:rFonts w:ascii="Verdana" w:hAnsi="Verdana" w:cs="Arial"/>
          <w:sz w:val="16"/>
          <w:szCs w:val="16"/>
          <w:vertAlign w:val="superscript"/>
        </w:rPr>
        <w:footnoteRef/>
      </w:r>
      <w:r w:rsidRPr="0047233D">
        <w:rPr>
          <w:rFonts w:ascii="Verdana" w:eastAsia="Arial" w:hAnsi="Verdana" w:cs="Arial"/>
          <w:color w:val="000000"/>
          <w:sz w:val="16"/>
          <w:szCs w:val="16"/>
        </w:rPr>
        <w:t xml:space="preserve"> Consejo de Estado, Sala de Consulta y Servicio Civil, concepto del 6 de noviembre de 2008. C.P. William Zambrano Cetina. Rad. 2008-00079-00(1927).</w:t>
      </w:r>
    </w:p>
  </w:footnote>
  <w:footnote w:id="11">
    <w:p w14:paraId="1B6A1907" w14:textId="77777777" w:rsidR="006A0C2D" w:rsidRPr="0047233D" w:rsidRDefault="006A0C2D" w:rsidP="006A0C2D">
      <w:pPr>
        <w:pBdr>
          <w:top w:val="nil"/>
          <w:left w:val="nil"/>
          <w:bottom w:val="nil"/>
          <w:right w:val="nil"/>
          <w:between w:val="nil"/>
        </w:pBdr>
        <w:spacing w:after="0"/>
        <w:ind w:firstLine="709"/>
        <w:jc w:val="both"/>
        <w:rPr>
          <w:rFonts w:ascii="Verdana" w:eastAsia="Arial" w:hAnsi="Verdana" w:cs="Arial"/>
          <w:color w:val="000000"/>
          <w:sz w:val="16"/>
          <w:szCs w:val="16"/>
        </w:rPr>
      </w:pPr>
      <w:r w:rsidRPr="0047233D">
        <w:rPr>
          <w:rFonts w:ascii="Verdana" w:hAnsi="Verdana" w:cs="Arial"/>
          <w:sz w:val="16"/>
          <w:szCs w:val="16"/>
          <w:vertAlign w:val="superscript"/>
        </w:rPr>
        <w:footnoteRef/>
      </w:r>
      <w:r w:rsidRPr="0047233D">
        <w:rPr>
          <w:rFonts w:ascii="Verdana" w:eastAsia="Arial" w:hAnsi="Verdana" w:cs="Arial"/>
          <w:color w:val="000000"/>
          <w:sz w:val="16"/>
          <w:szCs w:val="16"/>
        </w:rPr>
        <w:t xml:space="preserve"> Consejo de Estado, Sala de Consulta y Servicio Civil, concepto del 20 de mayo de 2010. C.P. Enrique José Arboleda Perdomo. Rad. 2010-00034-00(1992).</w:t>
      </w:r>
    </w:p>
    <w:p w14:paraId="504EF2C4" w14:textId="77777777" w:rsidR="006A0C2D" w:rsidRPr="0047233D" w:rsidRDefault="006A0C2D" w:rsidP="006A0C2D">
      <w:pPr>
        <w:pBdr>
          <w:top w:val="nil"/>
          <w:left w:val="nil"/>
          <w:bottom w:val="nil"/>
          <w:right w:val="nil"/>
          <w:between w:val="nil"/>
        </w:pBdr>
        <w:spacing w:after="0"/>
        <w:ind w:firstLine="709"/>
        <w:jc w:val="both"/>
        <w:rPr>
          <w:rFonts w:ascii="Verdana" w:eastAsia="Arial" w:hAnsi="Verdana" w:cs="Arial"/>
          <w:color w:val="000000"/>
          <w:sz w:val="16"/>
          <w:szCs w:val="16"/>
        </w:rPr>
      </w:pPr>
    </w:p>
  </w:footnote>
  <w:footnote w:id="12">
    <w:p w14:paraId="7FC41F24" w14:textId="77777777" w:rsidR="006A0C2D" w:rsidRPr="00CF50F1" w:rsidRDefault="006A0C2D" w:rsidP="006A0C2D">
      <w:pPr>
        <w:pStyle w:val="Textonotapie"/>
        <w:ind w:firstLine="708"/>
        <w:jc w:val="both"/>
        <w:rPr>
          <w:rFonts w:ascii="Arial" w:hAnsi="Arial" w:cs="Arial"/>
          <w:color w:val="000000"/>
          <w:sz w:val="10"/>
          <w:szCs w:val="10"/>
          <w:lang w:val="es-CO"/>
        </w:rPr>
      </w:pPr>
      <w:r w:rsidRPr="00CF50F1">
        <w:rPr>
          <w:rStyle w:val="Refdenotaalpie"/>
          <w:rFonts w:ascii="Arial" w:hAnsi="Arial" w:cs="Arial"/>
          <w:sz w:val="10"/>
          <w:szCs w:val="10"/>
        </w:rPr>
        <w:footnoteRef/>
      </w:r>
      <w:r w:rsidRPr="00CF50F1">
        <w:rPr>
          <w:rFonts w:ascii="Arial" w:hAnsi="Arial" w:cs="Arial"/>
          <w:sz w:val="10"/>
          <w:szCs w:val="10"/>
        </w:rPr>
        <w:t xml:space="preserve"> </w:t>
      </w:r>
      <w:r w:rsidRPr="00CF50F1">
        <w:rPr>
          <w:rFonts w:ascii="Arial" w:hAnsi="Arial" w:cs="Arial"/>
          <w:color w:val="000000"/>
          <w:sz w:val="10"/>
          <w:szCs w:val="10"/>
          <w:lang w:val="es-CO"/>
        </w:rPr>
        <w:t>Ley 1150 de 2007. «Artículo 5o. De la selección objetiva.</w:t>
      </w:r>
    </w:p>
    <w:p w14:paraId="21EBB565" w14:textId="77777777" w:rsidR="006A0C2D" w:rsidRPr="00CF50F1" w:rsidRDefault="006A0C2D" w:rsidP="006A0C2D">
      <w:pPr>
        <w:pStyle w:val="Textonotapie"/>
        <w:ind w:firstLine="708"/>
        <w:jc w:val="both"/>
        <w:rPr>
          <w:rFonts w:ascii="Arial" w:hAnsi="Arial" w:cs="Arial"/>
          <w:color w:val="000000"/>
          <w:sz w:val="10"/>
          <w:szCs w:val="10"/>
          <w:lang w:val="es-CO"/>
        </w:rPr>
      </w:pPr>
      <w:r w:rsidRPr="00CF50F1">
        <w:rPr>
          <w:rFonts w:ascii="Arial" w:hAnsi="Arial" w:cs="Arial"/>
          <w:color w:val="000000"/>
          <w:sz w:val="10"/>
          <w:szCs w:val="10"/>
          <w:lang w:val="es-CO"/>
        </w:rPr>
        <w:t>[...]</w:t>
      </w:r>
    </w:p>
    <w:p w14:paraId="6A9AAD58" w14:textId="77777777" w:rsidR="006A0C2D" w:rsidRPr="00CF50F1" w:rsidRDefault="006A0C2D" w:rsidP="006A0C2D">
      <w:pPr>
        <w:pStyle w:val="Textonotapie"/>
        <w:ind w:firstLine="708"/>
        <w:jc w:val="both"/>
        <w:rPr>
          <w:rFonts w:ascii="Arial" w:hAnsi="Arial" w:cs="Arial"/>
          <w:color w:val="000000"/>
          <w:sz w:val="10"/>
          <w:szCs w:val="10"/>
          <w:lang w:val="es-CO"/>
        </w:rPr>
      </w:pPr>
      <w:r w:rsidRPr="00CF50F1">
        <w:rPr>
          <w:rFonts w:ascii="Arial" w:hAnsi="Arial" w:cs="Arial"/>
          <w:color w:val="000000"/>
          <w:sz w:val="10"/>
          <w:szCs w:val="10"/>
          <w:lang w:val="es-CO"/>
        </w:rPr>
        <w:t xml:space="preserve">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w:t>
      </w:r>
    </w:p>
    <w:p w14:paraId="4AF8F803" w14:textId="77777777" w:rsidR="006A0C2D" w:rsidRPr="00CF50F1" w:rsidRDefault="006A0C2D" w:rsidP="006A0C2D">
      <w:pPr>
        <w:pStyle w:val="Textonotapie"/>
        <w:ind w:firstLine="708"/>
        <w:jc w:val="both"/>
        <w:rPr>
          <w:rFonts w:ascii="Arial" w:hAnsi="Arial" w:cs="Arial"/>
          <w:color w:val="000000"/>
          <w:sz w:val="10"/>
          <w:szCs w:val="10"/>
          <w:lang w:val="es-CO"/>
        </w:rPr>
      </w:pPr>
    </w:p>
    <w:p w14:paraId="4C4F6C45" w14:textId="77777777" w:rsidR="006A0C2D" w:rsidRPr="00CF50F1" w:rsidRDefault="006A0C2D" w:rsidP="006A0C2D">
      <w:pPr>
        <w:pStyle w:val="Textonotapie"/>
        <w:ind w:firstLine="708"/>
        <w:jc w:val="both"/>
        <w:rPr>
          <w:rFonts w:ascii="Arial" w:hAnsi="Arial" w:cs="Arial"/>
          <w:color w:val="000000"/>
          <w:sz w:val="10"/>
          <w:szCs w:val="10"/>
          <w:lang w:val="es-CO"/>
        </w:rPr>
      </w:pPr>
      <w:r w:rsidRPr="00CF50F1">
        <w:rPr>
          <w:rFonts w:ascii="Arial" w:hAnsi="Arial" w:cs="Arial"/>
          <w:color w:val="000000"/>
          <w:sz w:val="10"/>
          <w:szCs w:val="10"/>
          <w:lang w:val="es-CO"/>
        </w:rPr>
        <w:t>Durante el término otorgado para subsanar las ofertas, los proponentes no podrán acreditar circunstancias ocurridas con posterioridad al cierre del proceso».</w:t>
      </w:r>
    </w:p>
    <w:p w14:paraId="1DF98376" w14:textId="77777777" w:rsidR="006A0C2D" w:rsidRPr="00CF50F1" w:rsidRDefault="006A0C2D" w:rsidP="006A0C2D">
      <w:pPr>
        <w:pStyle w:val="Textonotapie"/>
        <w:ind w:firstLine="708"/>
        <w:jc w:val="both"/>
        <w:rPr>
          <w:rFonts w:ascii="Arial" w:hAnsi="Arial" w:cs="Arial"/>
          <w:color w:val="000000"/>
          <w:sz w:val="10"/>
          <w:szCs w:val="10"/>
          <w:lang w:val="es-CO"/>
        </w:rPr>
      </w:pPr>
      <w:r w:rsidRPr="00CF50F1">
        <w:rPr>
          <w:rFonts w:ascii="Arial" w:hAnsi="Arial" w:cs="Arial"/>
          <w:color w:val="000000"/>
          <w:sz w:val="10"/>
          <w:szCs w:val="10"/>
          <w:lang w:val="es-CO"/>
        </w:rPr>
        <w:t>[...]</w:t>
      </w:r>
    </w:p>
  </w:footnote>
  <w:footnote w:id="13">
    <w:p w14:paraId="08350B08" w14:textId="77777777" w:rsidR="006A0C2D" w:rsidRPr="00E452C9" w:rsidRDefault="006A0C2D" w:rsidP="006A0C2D">
      <w:pPr>
        <w:pStyle w:val="Textonotapie"/>
        <w:ind w:firstLine="708"/>
        <w:jc w:val="both"/>
        <w:rPr>
          <w:rFonts w:ascii="Verdana" w:hAnsi="Verdana" w:cs="Arial"/>
          <w:sz w:val="19"/>
          <w:szCs w:val="19"/>
          <w:lang w:val="es-CO"/>
        </w:rPr>
      </w:pPr>
      <w:r w:rsidRPr="00E452C9">
        <w:rPr>
          <w:rStyle w:val="Refdenotaalpie"/>
          <w:rFonts w:ascii="Verdana" w:hAnsi="Verdana" w:cs="Arial"/>
          <w:sz w:val="19"/>
          <w:szCs w:val="19"/>
        </w:rPr>
        <w:footnoteRef/>
      </w:r>
      <w:r w:rsidRPr="00E452C9">
        <w:rPr>
          <w:rFonts w:ascii="Verdana" w:hAnsi="Verdana" w:cs="Arial"/>
          <w:sz w:val="19"/>
          <w:szCs w:val="19"/>
        </w:rPr>
        <w:t xml:space="preserve"> «7o. De acuerdo con la naturaleza, objeto y cuantía del contrato, en los pliegos de condiciones, se señalará el plazo razonable dentro del cual la entidad deberá elaborar los estudios técnicos, económicos y jurídicos necesarios para la evaluación de las propuestas y para solicitar a los proponentes las aclaraciones y explicaciones que se estimen indispensables».</w:t>
      </w:r>
    </w:p>
  </w:footnote>
  <w:footnote w:id="14">
    <w:p w14:paraId="75F4D81E" w14:textId="77777777" w:rsidR="006A0C2D" w:rsidRPr="00E452C9" w:rsidRDefault="006A0C2D" w:rsidP="006A0C2D">
      <w:pPr>
        <w:pBdr>
          <w:top w:val="nil"/>
          <w:left w:val="nil"/>
          <w:bottom w:val="nil"/>
          <w:right w:val="nil"/>
          <w:between w:val="nil"/>
        </w:pBdr>
        <w:ind w:firstLine="709"/>
        <w:jc w:val="both"/>
        <w:rPr>
          <w:rFonts w:ascii="Verdana" w:eastAsia="Arial" w:hAnsi="Verdana" w:cs="Arial"/>
          <w:color w:val="000000"/>
          <w:sz w:val="19"/>
          <w:szCs w:val="19"/>
        </w:rPr>
      </w:pPr>
      <w:r w:rsidRPr="00E452C9">
        <w:rPr>
          <w:rFonts w:ascii="Verdana" w:hAnsi="Verdana" w:cs="Arial"/>
          <w:sz w:val="19"/>
          <w:szCs w:val="19"/>
          <w:vertAlign w:val="superscript"/>
        </w:rPr>
        <w:footnoteRef/>
      </w:r>
      <w:r w:rsidRPr="00E452C9">
        <w:rPr>
          <w:rFonts w:ascii="Verdana" w:eastAsia="Arial" w:hAnsi="Verdana" w:cs="Arial"/>
          <w:color w:val="000000"/>
          <w:sz w:val="19"/>
          <w:szCs w:val="19"/>
        </w:rPr>
        <w:t xml:space="preserve"> CONSEJO DE ESTADO. Sección Tercera. Subsección C. Sentencia del 12 de noviembre de 2014. </w:t>
      </w:r>
      <w:r w:rsidRPr="00E452C9">
        <w:rPr>
          <w:rFonts w:ascii="Verdana" w:eastAsia="Arial" w:hAnsi="Verdana" w:cs="Arial"/>
          <w:color w:val="000000"/>
          <w:sz w:val="19"/>
          <w:szCs w:val="19"/>
        </w:rPr>
        <w:t>Exp. 27.986. C.P. Enrique Gil Botero.</w:t>
      </w:r>
    </w:p>
  </w:footnote>
  <w:footnote w:id="15">
    <w:p w14:paraId="4D13E92A" w14:textId="77777777" w:rsidR="006A0C2D" w:rsidRPr="00E452C9" w:rsidRDefault="006A0C2D" w:rsidP="006A0C2D">
      <w:pPr>
        <w:pStyle w:val="Textonotapie"/>
        <w:ind w:firstLine="709"/>
        <w:jc w:val="both"/>
        <w:rPr>
          <w:rFonts w:ascii="Verdana" w:hAnsi="Verdana" w:cs="Arial"/>
          <w:sz w:val="19"/>
          <w:szCs w:val="19"/>
          <w:lang w:val="es-CO"/>
        </w:rPr>
      </w:pPr>
      <w:r w:rsidRPr="00E452C9">
        <w:rPr>
          <w:rStyle w:val="Refdenotaalpie"/>
          <w:rFonts w:ascii="Verdana" w:hAnsi="Verdana" w:cs="Arial"/>
          <w:sz w:val="19"/>
          <w:szCs w:val="19"/>
        </w:rPr>
        <w:footnoteRef/>
      </w:r>
      <w:r w:rsidRPr="00E452C9">
        <w:rPr>
          <w:rFonts w:ascii="Verdana" w:hAnsi="Verdana" w:cs="Arial"/>
          <w:sz w:val="19"/>
          <w:szCs w:val="19"/>
        </w:rPr>
        <w:t xml:space="preserve"> </w:t>
      </w:r>
      <w:r w:rsidRPr="00E452C9">
        <w:rPr>
          <w:rFonts w:ascii="Verdana" w:hAnsi="Verdana" w:cs="Arial"/>
          <w:bCs/>
          <w:sz w:val="19"/>
          <w:szCs w:val="19"/>
        </w:rPr>
        <w:t xml:space="preserve">En todo caso, conforme al parágrafo 3 del artículo 30 del Estatuto General de Contratación de la Administración pública, es necesario tener en cuenta que para los procesos de licitación para los contratistas de obra pública la oferta debe entregarse en dos sobres. El sobre numero 2 contiene la propuesta económica, y la norma dispone “[…] se mantendrá cerrado hasta la audiencia efectiva de adjudicación, momento en el cual se podrán hacer observaciones al informe de evaluación, las cuales se decidirán en la misma. Durante esta audiencia se dará apertura al sobre, se evaluará la oferta económica a través del mecanismo escogido mediante el método aleatorio que se establezca en los pliegos de condiciones, corriendo traslado a los proponentes habilitados en la misma diligencia solo para la revisión del aspecto económico y se establecerá el orden de elegibilidad”. </w:t>
      </w:r>
    </w:p>
  </w:footnote>
  <w:footnote w:id="16">
    <w:p w14:paraId="0FE4CA40" w14:textId="77777777" w:rsidR="006A0C2D" w:rsidRPr="00E452C9" w:rsidRDefault="006A0C2D" w:rsidP="006A0C2D">
      <w:pPr>
        <w:pBdr>
          <w:top w:val="nil"/>
          <w:left w:val="nil"/>
          <w:bottom w:val="nil"/>
          <w:right w:val="nil"/>
          <w:between w:val="nil"/>
        </w:pBdr>
        <w:ind w:firstLine="709"/>
        <w:jc w:val="both"/>
        <w:rPr>
          <w:rFonts w:ascii="Verdana" w:hAnsi="Verdana" w:cs="Arial"/>
          <w:color w:val="000000"/>
          <w:sz w:val="19"/>
          <w:szCs w:val="19"/>
        </w:rPr>
      </w:pPr>
      <w:r w:rsidRPr="00E452C9">
        <w:rPr>
          <w:rFonts w:ascii="Verdana" w:hAnsi="Verdana" w:cs="Arial"/>
          <w:sz w:val="19"/>
          <w:szCs w:val="19"/>
          <w:vertAlign w:val="superscript"/>
        </w:rPr>
        <w:footnoteRef/>
      </w:r>
      <w:r w:rsidRPr="00E452C9">
        <w:rPr>
          <w:rFonts w:ascii="Verdana" w:hAnsi="Verdana" w:cs="Arial"/>
          <w:color w:val="000000"/>
          <w:sz w:val="19"/>
          <w:szCs w:val="19"/>
        </w:rPr>
        <w:t xml:space="preserve"> </w:t>
      </w:r>
      <w:r w:rsidRPr="00E452C9">
        <w:rPr>
          <w:rFonts w:ascii="Verdana" w:eastAsia="Arial" w:hAnsi="Verdana" w:cs="Arial"/>
          <w:color w:val="000000"/>
          <w:sz w:val="19"/>
          <w:szCs w:val="19"/>
        </w:rPr>
        <w:t>Ibídem</w:t>
      </w:r>
      <w:r w:rsidRPr="00E452C9">
        <w:rPr>
          <w:rFonts w:ascii="Verdana" w:eastAsia="Arial" w:hAnsi="Verdana" w:cs="Arial"/>
          <w:i/>
          <w:color w:val="000000"/>
          <w:sz w:val="19"/>
          <w:szCs w:val="19"/>
        </w:rPr>
        <w:t>.</w:t>
      </w:r>
    </w:p>
  </w:footnote>
  <w:footnote w:id="17">
    <w:p w14:paraId="572FB27E" w14:textId="77777777" w:rsidR="006A0C2D" w:rsidRPr="00E452C9" w:rsidRDefault="006A0C2D" w:rsidP="006A0C2D">
      <w:pPr>
        <w:pBdr>
          <w:top w:val="nil"/>
          <w:left w:val="nil"/>
          <w:bottom w:val="nil"/>
          <w:right w:val="nil"/>
          <w:between w:val="nil"/>
        </w:pBdr>
        <w:ind w:firstLine="709"/>
        <w:jc w:val="both"/>
        <w:rPr>
          <w:rFonts w:ascii="Verdana" w:hAnsi="Verdana" w:cs="Arial"/>
          <w:color w:val="000000"/>
          <w:sz w:val="19"/>
          <w:szCs w:val="19"/>
        </w:rPr>
      </w:pPr>
      <w:r w:rsidRPr="00E452C9">
        <w:rPr>
          <w:rFonts w:ascii="Verdana" w:hAnsi="Verdana" w:cs="Arial"/>
          <w:sz w:val="19"/>
          <w:szCs w:val="19"/>
          <w:vertAlign w:val="superscript"/>
        </w:rPr>
        <w:footnoteRef/>
      </w:r>
      <w:r w:rsidRPr="00E452C9">
        <w:rPr>
          <w:rFonts w:ascii="Verdana" w:hAnsi="Verdana" w:cs="Arial"/>
          <w:color w:val="000000"/>
          <w:sz w:val="19"/>
          <w:szCs w:val="19"/>
        </w:rPr>
        <w:t xml:space="preserve"> </w:t>
      </w:r>
      <w:r w:rsidRPr="00E452C9">
        <w:rPr>
          <w:rFonts w:ascii="Verdana" w:hAnsi="Verdana" w:cs="Arial"/>
          <w:color w:val="000000"/>
          <w:sz w:val="19"/>
          <w:szCs w:val="19"/>
        </w:rPr>
        <w:t>Ibídem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1B13"/>
      </v:shape>
    </w:pict>
  </w:numPicBullet>
  <w:abstractNum w:abstractNumId="0" w15:restartNumberingAfterBreak="0">
    <w:nsid w:val="00863BB8"/>
    <w:multiLevelType w:val="hybridMultilevel"/>
    <w:tmpl w:val="2CF07730"/>
    <w:lvl w:ilvl="0" w:tplc="B1B26A72">
      <w:start w:val="1"/>
      <w:numFmt w:val="lowerRoman"/>
      <w:lvlText w:val="%1)"/>
      <w:lvlJc w:val="left"/>
      <w:pPr>
        <w:ind w:left="720" w:hanging="720"/>
      </w:pPr>
      <w:rPr>
        <w:rFonts w:eastAsia="Aptos" w:cs="ArialMT" w:hint="default"/>
        <w:color w:val="auto"/>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 w15:restartNumberingAfterBreak="0">
    <w:nsid w:val="01C06310"/>
    <w:multiLevelType w:val="multilevel"/>
    <w:tmpl w:val="1562CEC2"/>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9F9136E"/>
    <w:multiLevelType w:val="hybridMultilevel"/>
    <w:tmpl w:val="B4FA76CC"/>
    <w:lvl w:ilvl="0" w:tplc="96CED9E4">
      <w:start w:val="1"/>
      <w:numFmt w:val="lowerRoman"/>
      <w:lvlText w:val="%1)"/>
      <w:lvlJc w:val="left"/>
      <w:pPr>
        <w:ind w:left="720" w:hanging="720"/>
      </w:pPr>
      <w:rPr>
        <w:rFonts w:eastAsiaTheme="minorHAnsi" w:cs="Aria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5"/>
  </w:num>
  <w:num w:numId="7">
    <w:abstractNumId w:val="7"/>
  </w:num>
  <w:num w:numId="8">
    <w:abstractNumId w:val="14"/>
  </w:num>
  <w:num w:numId="9">
    <w:abstractNumId w:val="9"/>
  </w:num>
  <w:num w:numId="10">
    <w:abstractNumId w:val="13"/>
  </w:num>
  <w:num w:numId="11">
    <w:abstractNumId w:val="10"/>
  </w:num>
  <w:num w:numId="12">
    <w:abstractNumId w:val="2"/>
  </w:num>
  <w:num w:numId="13">
    <w:abstractNumId w:val="5"/>
  </w:num>
  <w:num w:numId="14">
    <w:abstractNumId w:val="16"/>
  </w:num>
  <w:num w:numId="15">
    <w:abstractNumId w:val="12"/>
  </w:num>
  <w:num w:numId="16">
    <w:abstractNumId w:val="1"/>
  </w:num>
  <w:num w:numId="17">
    <w:abstractNumId w:val="17"/>
  </w:num>
  <w:num w:numId="18">
    <w:abstractNumId w:val="0"/>
  </w:num>
  <w:num w:numId="19">
    <w:abstractNumId w:val="4"/>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4C6E"/>
    <w:rsid w:val="00082362"/>
    <w:rsid w:val="000A683E"/>
    <w:rsid w:val="000B19B9"/>
    <w:rsid w:val="000D0334"/>
    <w:rsid w:val="000F6486"/>
    <w:rsid w:val="001069F1"/>
    <w:rsid w:val="00125105"/>
    <w:rsid w:val="00127233"/>
    <w:rsid w:val="001E4177"/>
    <w:rsid w:val="001F7DC6"/>
    <w:rsid w:val="002421BB"/>
    <w:rsid w:val="0025796E"/>
    <w:rsid w:val="002624CD"/>
    <w:rsid w:val="002707A2"/>
    <w:rsid w:val="002951A0"/>
    <w:rsid w:val="002962BC"/>
    <w:rsid w:val="002A093D"/>
    <w:rsid w:val="002A0DD0"/>
    <w:rsid w:val="002A49AC"/>
    <w:rsid w:val="002A64FD"/>
    <w:rsid w:val="002C7A84"/>
    <w:rsid w:val="002D5125"/>
    <w:rsid w:val="002E4FD9"/>
    <w:rsid w:val="00322A85"/>
    <w:rsid w:val="00324168"/>
    <w:rsid w:val="003448F4"/>
    <w:rsid w:val="00374F5E"/>
    <w:rsid w:val="00377E3E"/>
    <w:rsid w:val="003A779E"/>
    <w:rsid w:val="003B0531"/>
    <w:rsid w:val="003D0F4D"/>
    <w:rsid w:val="003D5B0D"/>
    <w:rsid w:val="003E0499"/>
    <w:rsid w:val="003F3941"/>
    <w:rsid w:val="00406575"/>
    <w:rsid w:val="00414C74"/>
    <w:rsid w:val="00417B6A"/>
    <w:rsid w:val="0042722E"/>
    <w:rsid w:val="00443ADE"/>
    <w:rsid w:val="0044528D"/>
    <w:rsid w:val="004A1847"/>
    <w:rsid w:val="004A305D"/>
    <w:rsid w:val="004F21C4"/>
    <w:rsid w:val="004F685F"/>
    <w:rsid w:val="00525982"/>
    <w:rsid w:val="005566E8"/>
    <w:rsid w:val="00574867"/>
    <w:rsid w:val="00591460"/>
    <w:rsid w:val="005A6AFF"/>
    <w:rsid w:val="005C3777"/>
    <w:rsid w:val="005C5CDC"/>
    <w:rsid w:val="005D476C"/>
    <w:rsid w:val="006219F8"/>
    <w:rsid w:val="006302F7"/>
    <w:rsid w:val="00665D70"/>
    <w:rsid w:val="00677BB7"/>
    <w:rsid w:val="006900D9"/>
    <w:rsid w:val="006A0C2D"/>
    <w:rsid w:val="006A760C"/>
    <w:rsid w:val="00706C16"/>
    <w:rsid w:val="00756841"/>
    <w:rsid w:val="007649AB"/>
    <w:rsid w:val="00771D0C"/>
    <w:rsid w:val="007833AC"/>
    <w:rsid w:val="007B268C"/>
    <w:rsid w:val="007B7171"/>
    <w:rsid w:val="007C0C0F"/>
    <w:rsid w:val="007C3DC2"/>
    <w:rsid w:val="007E5497"/>
    <w:rsid w:val="00806F5F"/>
    <w:rsid w:val="00820278"/>
    <w:rsid w:val="008644DA"/>
    <w:rsid w:val="00867F95"/>
    <w:rsid w:val="008843B6"/>
    <w:rsid w:val="00891928"/>
    <w:rsid w:val="00897A3A"/>
    <w:rsid w:val="008A446D"/>
    <w:rsid w:val="008C6D5A"/>
    <w:rsid w:val="008D180B"/>
    <w:rsid w:val="008F0EA7"/>
    <w:rsid w:val="00923EEF"/>
    <w:rsid w:val="009419F9"/>
    <w:rsid w:val="0095685E"/>
    <w:rsid w:val="00961B09"/>
    <w:rsid w:val="00965334"/>
    <w:rsid w:val="0097093E"/>
    <w:rsid w:val="009A0DFA"/>
    <w:rsid w:val="009A4FD2"/>
    <w:rsid w:val="009B25A8"/>
    <w:rsid w:val="009B2D26"/>
    <w:rsid w:val="009C71FA"/>
    <w:rsid w:val="009C72E7"/>
    <w:rsid w:val="009D3058"/>
    <w:rsid w:val="009F3A13"/>
    <w:rsid w:val="00A122D3"/>
    <w:rsid w:val="00A17F13"/>
    <w:rsid w:val="00A20739"/>
    <w:rsid w:val="00A33C78"/>
    <w:rsid w:val="00A711EF"/>
    <w:rsid w:val="00A87711"/>
    <w:rsid w:val="00AA2ADE"/>
    <w:rsid w:val="00AB0ADB"/>
    <w:rsid w:val="00AB2C7C"/>
    <w:rsid w:val="00B00C0E"/>
    <w:rsid w:val="00B01B1A"/>
    <w:rsid w:val="00B24231"/>
    <w:rsid w:val="00B44A47"/>
    <w:rsid w:val="00B72CD3"/>
    <w:rsid w:val="00B72FFF"/>
    <w:rsid w:val="00B94A82"/>
    <w:rsid w:val="00BC3D36"/>
    <w:rsid w:val="00BD7F72"/>
    <w:rsid w:val="00C04B8C"/>
    <w:rsid w:val="00C04FB3"/>
    <w:rsid w:val="00C21620"/>
    <w:rsid w:val="00C330EB"/>
    <w:rsid w:val="00C754BE"/>
    <w:rsid w:val="00C759BC"/>
    <w:rsid w:val="00C76B1C"/>
    <w:rsid w:val="00CB6357"/>
    <w:rsid w:val="00CC0F19"/>
    <w:rsid w:val="00CC1B26"/>
    <w:rsid w:val="00D035BC"/>
    <w:rsid w:val="00D423A2"/>
    <w:rsid w:val="00D4744E"/>
    <w:rsid w:val="00D520D8"/>
    <w:rsid w:val="00D63AC2"/>
    <w:rsid w:val="00D7383B"/>
    <w:rsid w:val="00DA231B"/>
    <w:rsid w:val="00DC39FC"/>
    <w:rsid w:val="00DF5254"/>
    <w:rsid w:val="00E16408"/>
    <w:rsid w:val="00E20894"/>
    <w:rsid w:val="00E245AB"/>
    <w:rsid w:val="00E2764C"/>
    <w:rsid w:val="00E27F2E"/>
    <w:rsid w:val="00E50AFE"/>
    <w:rsid w:val="00E72E4E"/>
    <w:rsid w:val="00E75C92"/>
    <w:rsid w:val="00E771DC"/>
    <w:rsid w:val="00E8772A"/>
    <w:rsid w:val="00E90F6B"/>
    <w:rsid w:val="00E91734"/>
    <w:rsid w:val="00E92C27"/>
    <w:rsid w:val="00EA0E3D"/>
    <w:rsid w:val="00EC38A7"/>
    <w:rsid w:val="00EE1AA8"/>
    <w:rsid w:val="00F00339"/>
    <w:rsid w:val="00F25ADA"/>
    <w:rsid w:val="00F31EDC"/>
    <w:rsid w:val="00F462B3"/>
    <w:rsid w:val="00F5664F"/>
    <w:rsid w:val="00F666C4"/>
    <w:rsid w:val="00F76AFC"/>
    <w:rsid w:val="00F960E0"/>
    <w:rsid w:val="00FA4788"/>
    <w:rsid w:val="00FA47C0"/>
    <w:rsid w:val="00FB5DD1"/>
    <w:rsid w:val="00FC2B5D"/>
    <w:rsid w:val="00FF1449"/>
    <w:rsid w:val="1072F5BC"/>
    <w:rsid w:val="285306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EF674A7D-2DC6-4D21-BAF4-2B967AA08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43AD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43ADE"/>
    <w:rPr>
      <w:rFonts w:ascii="Geomanist Light" w:hAnsi="Geomanist Light"/>
      <w:lang w:val="es-ES"/>
    </w:rPr>
  </w:style>
  <w:style w:type="character" w:customStyle="1" w:styleId="superscript">
    <w:name w:val="superscript"/>
    <w:basedOn w:val="Fuentedeprrafopredeter"/>
    <w:rsid w:val="00443ADE"/>
  </w:style>
  <w:style w:type="character" w:customStyle="1" w:styleId="apple-converted-space">
    <w:name w:val="apple-converted-space"/>
    <w:basedOn w:val="Fuentedeprrafopredeter"/>
    <w:rsid w:val="008644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ogadagivannafreole@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normativa-y-relatoria%2Fdocumentos-tipo&amp;data=05%7C02%7Ccarlos.castrillon%40colombiacompra.gov.co%7C7cfff6dece924643582c08dd97bfed90%7C7b09041e245149d08cb179d5e3d8c1be%7C0%7C0%7C638833572791279343%7CUnknown%7CTWFpbGZsb3d8eyJFbXB0eU1hcGkiOnRydWUsIlYiOiIwLjAuMDAwMCIsIlAiOiJXaW4zMiIsIkFOIjoiTWFpbCIsIldUIjoyfQ%3D%3D%7C0%7C%7C%7C&amp;sdata=47Uz4IOYsgnD93wzIAxFBd4IE%2F0cu6nWd7qQuWuWIoU%3D&amp;reserved=0"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archivos%2Fconvocatoria%2Fparticipacion-ciudadana-proyecto-de-la-guia-para-la-elaboracion-de-estudios-del-sector&amp;data=05%7C02%7Ccarlos.castrillon%40colombiacompra.gov.co%7C7cfff6dece924643582c08dd97bfed90%7C7b09041e245149d08cb179d5e3d8c1be%7C0%7C0%7C638833572791256997%7CUnknown%7CTWFpbGZsb3d8eyJFbXB0eU1hcGkiOnRydWUsIlYiOiIwLjAuMDAwMCIsIlAiOiJXaW4zMiIsIkFOIjoiTWFpbCIsIldUIjoyfQ%3D%3D%7C0%7C%7C%7C&amp;sdata=VlGVgVWuuBuNxRVxi5od1flSbPE8xsjvWAhykoiD0qg%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lexbase.biz/lexbase/normas/leyes/2007/L1150de2007.htm" TargetMode="External"/><Relationship Id="rId2" Type="http://schemas.openxmlformats.org/officeDocument/2006/relationships/hyperlink" Target="https://www.colombiacompra.gov.co/documentos-tipo/documentos-tipo"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www.w3.org/XML/1998/namespace"/>
    <ds:schemaRef ds:uri="http://schemas.microsoft.com/office/2006/documentManagement/types"/>
    <ds:schemaRef ds:uri="http://schemas.openxmlformats.org/package/2006/metadata/core-properties"/>
    <ds:schemaRef ds:uri="http://purl.org/dc/dcmitype/"/>
    <ds:schemaRef ds:uri="http://purl.org/dc/term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B949548-FB28-4DA1-B4AD-D8AFBA542C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24</Pages>
  <Words>8852</Words>
  <Characters>48687</Characters>
  <Application>Microsoft Office Word</Application>
  <DocSecurity>0</DocSecurity>
  <Lines>405</Lines>
  <Paragraphs>114</Paragraphs>
  <ScaleCrop>false</ScaleCrop>
  <Company/>
  <LinksUpToDate>false</LinksUpToDate>
  <CharactersWithSpaces>57425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2023-01-11T00:18:00Z</cp:lastPrinted>
  <dcterms:created xsi:type="dcterms:W3CDTF">2025-10-16T14:35:00Z</dcterms:created>
  <dcterms:modified xsi:type="dcterms:W3CDTF">2025-10-16T14:35:00Z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