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FAEDBB" w14:textId="77777777" w:rsidR="006A5C24" w:rsidRPr="00B4318D" w:rsidRDefault="006A5C24" w:rsidP="006A5C24">
      <w:pPr>
        <w:spacing w:after="0" w:line="240" w:lineRule="auto"/>
        <w:jc w:val="both"/>
        <w:rPr>
          <w:rFonts w:ascii="Verdana" w:hAnsi="Verdana"/>
          <w:b/>
        </w:rPr>
      </w:pPr>
      <w:bookmarkStart w:id="0" w:name="_Hlk143780582"/>
      <w:r w:rsidRPr="00B4318D">
        <w:rPr>
          <w:rFonts w:ascii="Verdana" w:hAnsi="Verdana"/>
          <w:b/>
        </w:rPr>
        <w:t xml:space="preserve">LIQUIDACIÓN – Definición – Objetivo </w:t>
      </w:r>
    </w:p>
    <w:p w14:paraId="6E7ECFB6" w14:textId="77777777" w:rsidR="006A5C24" w:rsidRPr="00B4318D" w:rsidRDefault="006A5C24" w:rsidP="006A5C24">
      <w:pPr>
        <w:spacing w:after="0" w:line="240" w:lineRule="auto"/>
        <w:jc w:val="both"/>
        <w:rPr>
          <w:rFonts w:ascii="Verdana" w:hAnsi="Verdana"/>
          <w:b/>
        </w:rPr>
      </w:pPr>
    </w:p>
    <w:p w14:paraId="11F35C7A" w14:textId="77777777" w:rsidR="006A5C24" w:rsidRPr="00B4318D" w:rsidRDefault="006A5C24" w:rsidP="006A5C24">
      <w:pPr>
        <w:spacing w:after="0" w:line="240" w:lineRule="auto"/>
        <w:jc w:val="both"/>
        <w:rPr>
          <w:rFonts w:ascii="Verdana" w:hAnsi="Verdana"/>
          <w:sz w:val="20"/>
          <w:lang w:val="es-ES_tradnl"/>
        </w:rPr>
      </w:pPr>
      <w:r>
        <w:rPr>
          <w:rFonts w:ascii="Verdana" w:hAnsi="Verdana"/>
          <w:sz w:val="20"/>
          <w:lang w:val="es-ES_tradnl"/>
        </w:rPr>
        <w:t xml:space="preserve">[…] </w:t>
      </w:r>
      <w:r w:rsidRPr="00B4318D">
        <w:rPr>
          <w:rFonts w:ascii="Verdana" w:hAnsi="Verdana"/>
          <w:sz w:val="20"/>
          <w:lang w:val="es-ES_tradnl"/>
        </w:rPr>
        <w:t xml:space="preserve">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B4318D">
        <w:rPr>
          <w:rFonts w:ascii="Verdana" w:hAnsi="Verdana"/>
          <w:i/>
          <w:iCs/>
          <w:sz w:val="20"/>
          <w:lang w:val="es-ES_tradnl"/>
        </w:rPr>
        <w:t>liquidar</w:t>
      </w:r>
      <w:r w:rsidRPr="00B4318D">
        <w:rPr>
          <w:rFonts w:ascii="Verdana" w:hAnsi="Verdana"/>
          <w:sz w:val="20"/>
          <w:lang w:val="es-ES_tradnl"/>
        </w:rPr>
        <w:t xml:space="preserve"> supone un ajuste en relación con las cuentas y el estado de cumplimiento del contrato estatal y, por el otro, que la </w:t>
      </w:r>
      <w:r w:rsidRPr="00B4318D">
        <w:rPr>
          <w:rFonts w:ascii="Verdana" w:hAnsi="Verdana"/>
          <w:i/>
          <w:iCs/>
          <w:sz w:val="20"/>
          <w:lang w:val="es-ES_tradnl"/>
        </w:rPr>
        <w:t>liquidación</w:t>
      </w:r>
      <w:r w:rsidRPr="00B4318D">
        <w:rPr>
          <w:rFonts w:ascii="Verdana" w:hAnsi="Verdana"/>
          <w:sz w:val="20"/>
          <w:lang w:val="es-ES_tradnl"/>
        </w:rPr>
        <w:t xml:space="preserve"> debe incluir el análisis de las condiciones de calidad y oportunidad en la entrega de los bienes, obras o servicios, así como el balance económico y el comportamiento financiero del negocio.</w:t>
      </w:r>
    </w:p>
    <w:p w14:paraId="402F6267" w14:textId="77777777" w:rsidR="006A5C24" w:rsidRPr="00B4318D" w:rsidRDefault="006A5C24" w:rsidP="006A5C24">
      <w:pPr>
        <w:spacing w:after="0" w:line="240" w:lineRule="auto"/>
        <w:jc w:val="both"/>
        <w:rPr>
          <w:rFonts w:ascii="Verdana" w:hAnsi="Verdana"/>
          <w:b/>
        </w:rPr>
      </w:pPr>
    </w:p>
    <w:p w14:paraId="74DED817" w14:textId="77777777" w:rsidR="006A5C24" w:rsidRPr="00B4318D" w:rsidRDefault="006A5C24" w:rsidP="006A5C24">
      <w:pPr>
        <w:spacing w:after="0" w:line="240" w:lineRule="auto"/>
        <w:jc w:val="both"/>
        <w:rPr>
          <w:rFonts w:ascii="Verdana" w:hAnsi="Verdana"/>
          <w:b/>
        </w:rPr>
      </w:pPr>
      <w:r w:rsidRPr="00B4318D">
        <w:rPr>
          <w:rFonts w:ascii="Verdana" w:hAnsi="Verdana"/>
          <w:b/>
        </w:rPr>
        <w:t>LIQUIDACIÓN BILATERAL – Concepto – Fundamento normativo</w:t>
      </w:r>
    </w:p>
    <w:p w14:paraId="2414DFEC" w14:textId="77777777" w:rsidR="006A5C24" w:rsidRPr="00B4318D" w:rsidRDefault="006A5C24" w:rsidP="006A5C24">
      <w:pPr>
        <w:spacing w:after="0" w:line="240" w:lineRule="auto"/>
        <w:jc w:val="both"/>
        <w:rPr>
          <w:rFonts w:ascii="Verdana" w:hAnsi="Verdana"/>
          <w:b/>
        </w:rPr>
      </w:pPr>
    </w:p>
    <w:p w14:paraId="4FDF140F" w14:textId="77777777" w:rsidR="006A5C24" w:rsidRPr="00B4318D" w:rsidRDefault="006A5C24" w:rsidP="006A5C24">
      <w:pPr>
        <w:spacing w:after="0" w:line="240" w:lineRule="auto"/>
        <w:jc w:val="both"/>
        <w:rPr>
          <w:rFonts w:ascii="Verdana" w:hAnsi="Verdana"/>
          <w:sz w:val="20"/>
          <w:lang w:val="es-ES_tradnl"/>
        </w:rPr>
      </w:pPr>
      <w:r w:rsidRPr="00B4318D">
        <w:rPr>
          <w:rFonts w:ascii="Verdana" w:hAnsi="Verdana"/>
          <w:sz w:val="20"/>
          <w:lang w:val="es-ES_tradnl"/>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3C116D8C" w14:textId="77777777" w:rsidR="006A5C24" w:rsidRPr="00B4318D" w:rsidRDefault="006A5C24" w:rsidP="006A5C24">
      <w:pPr>
        <w:spacing w:after="0" w:line="240" w:lineRule="auto"/>
        <w:jc w:val="both"/>
        <w:rPr>
          <w:rFonts w:ascii="Verdana" w:hAnsi="Verdana"/>
          <w:sz w:val="20"/>
          <w:lang w:val="es-MX"/>
        </w:rPr>
      </w:pPr>
    </w:p>
    <w:p w14:paraId="03A4757F" w14:textId="77777777" w:rsidR="006A5C24" w:rsidRPr="00B4318D" w:rsidRDefault="006A5C24" w:rsidP="006A5C24">
      <w:pPr>
        <w:spacing w:after="0" w:line="240" w:lineRule="auto"/>
        <w:jc w:val="both"/>
        <w:rPr>
          <w:rFonts w:ascii="Verdana" w:hAnsi="Verdana"/>
          <w:sz w:val="20"/>
          <w:lang w:val="es-ES_tradnl"/>
        </w:rPr>
      </w:pPr>
      <w:r w:rsidRPr="00B4318D">
        <w:rPr>
          <w:rFonts w:ascii="Verdana" w:hAnsi="Verdana"/>
          <w:sz w:val="20"/>
          <w:lang w:val="es-MX"/>
        </w:rPr>
        <w:t xml:space="preserve">De </w:t>
      </w:r>
      <w:r w:rsidRPr="00B4318D">
        <w:rPr>
          <w:rFonts w:ascii="Verdana" w:hAnsi="Verdana"/>
          <w:sz w:val="20"/>
          <w:lang w:val="es-ES_tradnl"/>
        </w:rPr>
        <w:t xml:space="preserve">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 así como la probabilidad de que puedan surgir diferencias durante la ejecución del contrato; sin perjuicio de que, como se indicó, todos los contratos estatales de </w:t>
      </w:r>
      <w:r w:rsidRPr="00B4318D">
        <w:rPr>
          <w:rFonts w:ascii="Verdana" w:hAnsi="Verdana"/>
          <w:i/>
          <w:iCs/>
          <w:sz w:val="20"/>
          <w:lang w:val="es-ES_tradnl"/>
        </w:rPr>
        <w:t>tracto sucesivo</w:t>
      </w:r>
      <w:r w:rsidRPr="00B4318D">
        <w:rPr>
          <w:rFonts w:ascii="Verdana" w:hAnsi="Verdana"/>
          <w:sz w:val="20"/>
          <w:lang w:val="es-ES_tradnl"/>
        </w:rPr>
        <w:t xml:space="preserve"> o aquellos cuya ejecución se prolongue en el tiempo siempre deban liquidarse, convirtiéndose en estos contratos en una cláusula de la naturaleza, conforme a la clasificación prevista en el Código Civil.</w:t>
      </w:r>
    </w:p>
    <w:p w14:paraId="573C3040" w14:textId="77777777" w:rsidR="006A5C24" w:rsidRPr="00B4318D" w:rsidRDefault="006A5C24" w:rsidP="006A5C24">
      <w:pPr>
        <w:spacing w:after="0" w:line="240" w:lineRule="auto"/>
        <w:jc w:val="both"/>
        <w:rPr>
          <w:rFonts w:ascii="Verdana" w:hAnsi="Verdana"/>
          <w:b/>
          <w:lang w:val="es-ES_tradnl"/>
        </w:rPr>
      </w:pPr>
    </w:p>
    <w:p w14:paraId="3B13DA0C" w14:textId="77777777" w:rsidR="006A5C24" w:rsidRPr="00B4318D" w:rsidRDefault="006A5C24" w:rsidP="006A5C24">
      <w:pPr>
        <w:spacing w:after="0" w:line="240" w:lineRule="auto"/>
        <w:jc w:val="both"/>
        <w:rPr>
          <w:rFonts w:ascii="Verdana" w:hAnsi="Verdana"/>
          <w:b/>
        </w:rPr>
      </w:pPr>
      <w:r w:rsidRPr="00B4318D">
        <w:rPr>
          <w:rFonts w:ascii="Verdana" w:hAnsi="Verdana"/>
          <w:b/>
        </w:rPr>
        <w:t xml:space="preserve">LIQUIDACIÓN BILATERAL – </w:t>
      </w:r>
      <w:r>
        <w:rPr>
          <w:rFonts w:ascii="Verdana" w:hAnsi="Verdana"/>
          <w:b/>
        </w:rPr>
        <w:t xml:space="preserve">Ajustes – Revisiones </w:t>
      </w:r>
    </w:p>
    <w:p w14:paraId="03A0CD30" w14:textId="77777777" w:rsidR="006A5C24" w:rsidRPr="00B4318D" w:rsidRDefault="006A5C24" w:rsidP="006A5C24">
      <w:pPr>
        <w:spacing w:after="0" w:line="240" w:lineRule="auto"/>
        <w:jc w:val="both"/>
        <w:rPr>
          <w:rFonts w:ascii="Verdana" w:hAnsi="Verdana"/>
          <w:b/>
        </w:rPr>
      </w:pPr>
    </w:p>
    <w:p w14:paraId="4AEC6136" w14:textId="77777777" w:rsidR="006A5C24" w:rsidRPr="00CE3030" w:rsidRDefault="006A5C24" w:rsidP="006A5C24">
      <w:pPr>
        <w:spacing w:after="0" w:line="240" w:lineRule="auto"/>
        <w:jc w:val="both"/>
        <w:rPr>
          <w:rFonts w:ascii="Verdana" w:hAnsi="Verdana"/>
          <w:sz w:val="20"/>
        </w:rPr>
      </w:pPr>
      <w:r w:rsidRPr="00CE3030">
        <w:rPr>
          <w:rFonts w:ascii="Verdana" w:hAnsi="Verdana"/>
          <w:sz w:val="20"/>
        </w:rPr>
        <w:t xml:space="preserve">De igual modo, respecto al contenido de la liquidación, es importante tener en cuenta los incisos segundo y tercero del artículo 60 del EGCAP,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 </w:t>
      </w:r>
    </w:p>
    <w:p w14:paraId="695A25FD" w14:textId="77777777" w:rsidR="006A5C24" w:rsidRPr="00B4318D" w:rsidRDefault="006A5C24" w:rsidP="006A5C24">
      <w:pPr>
        <w:spacing w:after="0" w:line="240" w:lineRule="auto"/>
        <w:jc w:val="both"/>
        <w:rPr>
          <w:rFonts w:ascii="Verdana" w:hAnsi="Verdana"/>
          <w:b/>
        </w:rPr>
      </w:pPr>
      <w:r w:rsidRPr="00B4318D">
        <w:rPr>
          <w:rFonts w:ascii="Verdana" w:hAnsi="Verdana"/>
          <w:b/>
        </w:rPr>
        <w:t xml:space="preserve"> </w:t>
      </w:r>
    </w:p>
    <w:p w14:paraId="42703ECA" w14:textId="77777777" w:rsidR="006A5C24" w:rsidRPr="00B4318D" w:rsidRDefault="006A5C24" w:rsidP="006A5C24">
      <w:pPr>
        <w:spacing w:after="0" w:line="240" w:lineRule="auto"/>
        <w:jc w:val="both"/>
        <w:rPr>
          <w:rFonts w:ascii="Verdana" w:hAnsi="Verdana"/>
          <w:b/>
        </w:rPr>
      </w:pPr>
      <w:r w:rsidRPr="00B4318D">
        <w:rPr>
          <w:rFonts w:ascii="Verdana" w:hAnsi="Verdana"/>
          <w:b/>
        </w:rPr>
        <w:lastRenderedPageBreak/>
        <w:t xml:space="preserve">ENRIQUECIMIENTO SIN JUSTA CAUSA – Sentencia de Unificación del 19 de noviembre de 2012 – Alcance </w:t>
      </w:r>
    </w:p>
    <w:p w14:paraId="6725AA17" w14:textId="77777777" w:rsidR="006A5C24" w:rsidRPr="00B4318D" w:rsidRDefault="006A5C24" w:rsidP="006A5C24">
      <w:pPr>
        <w:spacing w:after="0" w:line="240" w:lineRule="auto"/>
        <w:jc w:val="both"/>
        <w:rPr>
          <w:rFonts w:ascii="Verdana" w:hAnsi="Verdana"/>
          <w:b/>
        </w:rPr>
      </w:pPr>
    </w:p>
    <w:p w14:paraId="2AFB24F9" w14:textId="77777777" w:rsidR="006A5C24" w:rsidRPr="00CE3030" w:rsidRDefault="006A5C24" w:rsidP="006A5C24">
      <w:pPr>
        <w:spacing w:after="0" w:line="240" w:lineRule="auto"/>
        <w:jc w:val="both"/>
        <w:rPr>
          <w:rFonts w:ascii="Verdana" w:hAnsi="Verdana"/>
          <w:sz w:val="20"/>
        </w:rPr>
      </w:pPr>
      <w:r w:rsidRPr="00CE3030">
        <w:rPr>
          <w:rFonts w:ascii="Verdana" w:hAnsi="Verdana"/>
          <w:sz w:val="20"/>
        </w:rPr>
        <w:t xml:space="preserve">[…] la Sala Plena del Consejo de Estado expidió la Sentencia de Unificación del 19 de noviembre de 2012, </w:t>
      </w:r>
      <w:r w:rsidRPr="00CE3030">
        <w:rPr>
          <w:rFonts w:ascii="Verdana" w:hAnsi="Verdana"/>
          <w:i/>
          <w:iCs/>
          <w:sz w:val="20"/>
        </w:rPr>
        <w:t>por regla general,</w:t>
      </w:r>
      <w:r w:rsidRPr="00CE3030">
        <w:rPr>
          <w:rFonts w:ascii="Verdana" w:hAnsi="Verdana"/>
          <w:sz w:val="20"/>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p>
    <w:p w14:paraId="7FC63E84" w14:textId="77777777" w:rsidR="006A5C24" w:rsidRPr="00CE3030" w:rsidRDefault="006A5C24" w:rsidP="006A5C24">
      <w:pPr>
        <w:spacing w:after="0" w:line="240" w:lineRule="auto"/>
        <w:jc w:val="both"/>
        <w:rPr>
          <w:rFonts w:ascii="Verdana" w:hAnsi="Verdana"/>
          <w:sz w:val="20"/>
        </w:rPr>
      </w:pPr>
    </w:p>
    <w:p w14:paraId="73595AE4" w14:textId="77777777" w:rsidR="006A5C24" w:rsidRPr="00CE3030" w:rsidRDefault="006A5C24" w:rsidP="006A5C24">
      <w:pPr>
        <w:spacing w:after="0" w:line="240" w:lineRule="auto"/>
        <w:jc w:val="both"/>
        <w:rPr>
          <w:rFonts w:ascii="Verdana" w:hAnsi="Verdana"/>
          <w:sz w:val="20"/>
        </w:rPr>
      </w:pPr>
      <w:r w:rsidRPr="00CE3030">
        <w:rPr>
          <w:rFonts w:ascii="Verdana" w:hAnsi="Verdana"/>
          <w:i/>
          <w:iCs/>
          <w:sz w:val="20"/>
        </w:rPr>
        <w:t>Excepcionalmente</w:t>
      </w:r>
      <w:r w:rsidRPr="00CE3030">
        <w:rPr>
          <w:rFonts w:ascii="Verdana" w:hAnsi="Verdana"/>
          <w:sz w:val="20"/>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ii) que fueran urgentes para evitar una lesión inminente e irreversible al derecho a la salud; y iii) cuando se omite el decreto de la urgencia manifiesta y concurren las circunstancias para que ésta hubiera sido declarada.  </w:t>
      </w:r>
    </w:p>
    <w:p w14:paraId="4600D04B" w14:textId="77777777" w:rsidR="006A5C24" w:rsidRPr="00B4318D" w:rsidRDefault="006A5C24" w:rsidP="006A5C24">
      <w:pPr>
        <w:spacing w:after="0" w:line="240" w:lineRule="auto"/>
        <w:jc w:val="both"/>
        <w:rPr>
          <w:rFonts w:ascii="Verdana" w:hAnsi="Verdana"/>
          <w:b/>
        </w:rPr>
      </w:pPr>
      <w:r w:rsidRPr="00B4318D">
        <w:rPr>
          <w:rFonts w:ascii="Verdana" w:hAnsi="Verdana"/>
          <w:b/>
        </w:rPr>
        <w:t xml:space="preserve"> </w:t>
      </w:r>
    </w:p>
    <w:p w14:paraId="2843A3A4" w14:textId="77777777" w:rsidR="006A5C24" w:rsidRPr="00B4318D" w:rsidRDefault="006A5C24" w:rsidP="006A5C24">
      <w:pPr>
        <w:spacing w:after="0" w:line="240" w:lineRule="auto"/>
        <w:jc w:val="both"/>
        <w:rPr>
          <w:rFonts w:ascii="Verdana" w:hAnsi="Verdana"/>
          <w:b/>
        </w:rPr>
      </w:pPr>
      <w:r w:rsidRPr="00B4318D">
        <w:rPr>
          <w:rFonts w:ascii="Verdana" w:hAnsi="Verdana"/>
          <w:b/>
        </w:rPr>
        <w:t xml:space="preserve">ENRIQUECIMIENTO SIN JUSTA CAUSA – Nueva Postura – Sentencia de Unificación Jurisprudencial – Elementos – Prueba de la Actividad - Circunstancia Excepcional - Procedencia.  </w:t>
      </w:r>
    </w:p>
    <w:p w14:paraId="45E98E9D" w14:textId="77777777" w:rsidR="006A5C24" w:rsidRPr="00CE3030" w:rsidRDefault="006A5C24" w:rsidP="006A5C24">
      <w:pPr>
        <w:spacing w:after="0" w:line="240" w:lineRule="auto"/>
        <w:jc w:val="both"/>
        <w:rPr>
          <w:rFonts w:ascii="Verdana" w:hAnsi="Verdana"/>
          <w:sz w:val="20"/>
        </w:rPr>
      </w:pPr>
    </w:p>
    <w:p w14:paraId="2C10F42E" w14:textId="77777777" w:rsidR="006A5C24" w:rsidRPr="00CE3030" w:rsidRDefault="006A5C24" w:rsidP="006A5C24">
      <w:pPr>
        <w:spacing w:after="0" w:line="240" w:lineRule="auto"/>
        <w:jc w:val="both"/>
        <w:rPr>
          <w:rFonts w:ascii="Verdana" w:hAnsi="Verdana"/>
          <w:sz w:val="20"/>
        </w:rPr>
      </w:pPr>
      <w:r w:rsidRPr="00CE3030">
        <w:rPr>
          <w:rFonts w:ascii="Verdana" w:hAnsi="Verdana"/>
          <w:sz w:val="20"/>
        </w:rPr>
        <w:t xml:space="preserve">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 </w:t>
      </w:r>
    </w:p>
    <w:p w14:paraId="217445B4" w14:textId="77777777" w:rsidR="006A5C24" w:rsidRPr="00CE3030" w:rsidRDefault="006A5C24" w:rsidP="006A5C24">
      <w:pPr>
        <w:spacing w:after="0" w:line="240" w:lineRule="auto"/>
        <w:jc w:val="both"/>
        <w:rPr>
          <w:rFonts w:ascii="Verdana" w:hAnsi="Verdana"/>
          <w:sz w:val="20"/>
        </w:rPr>
      </w:pPr>
      <w:r>
        <w:rPr>
          <w:rFonts w:ascii="Verdana" w:hAnsi="Verdana"/>
          <w:sz w:val="20"/>
        </w:rPr>
        <w:t>[…]</w:t>
      </w:r>
    </w:p>
    <w:p w14:paraId="04A2DEB0" w14:textId="77777777" w:rsidR="006A5C24" w:rsidRPr="00CE3030" w:rsidRDefault="006A5C24" w:rsidP="006A5C24">
      <w:pPr>
        <w:spacing w:after="0" w:line="240" w:lineRule="auto"/>
        <w:jc w:val="both"/>
        <w:rPr>
          <w:rFonts w:ascii="Verdana" w:hAnsi="Verdana"/>
          <w:sz w:val="20"/>
        </w:rPr>
      </w:pPr>
      <w:r w:rsidRPr="00CE3030">
        <w:rPr>
          <w:rFonts w:ascii="Verdana" w:hAnsi="Verdana"/>
          <w:sz w:val="20"/>
        </w:rPr>
        <w:t xml:space="preserve">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 </w:t>
      </w:r>
    </w:p>
    <w:p w14:paraId="7745C6AC" w14:textId="77777777" w:rsidR="006A5C24" w:rsidRDefault="006A5C24" w:rsidP="006A5C24">
      <w:pPr>
        <w:spacing w:after="0"/>
        <w:rPr>
          <w:rFonts w:ascii="Verdana" w:hAnsi="Verdana"/>
        </w:rPr>
      </w:pPr>
    </w:p>
    <w:p w14:paraId="5DF7F509" w14:textId="67BCEABA" w:rsidR="006A5C24" w:rsidRPr="006A5C24" w:rsidRDefault="006A5C24" w:rsidP="006A5C24">
      <w:pPr>
        <w:spacing w:after="0"/>
        <w:jc w:val="both"/>
        <w:rPr>
          <w:rFonts w:ascii="Verdana" w:hAnsi="Verdana"/>
          <w:b/>
        </w:rPr>
      </w:pPr>
      <w:r w:rsidRPr="006A5C24">
        <w:rPr>
          <w:rFonts w:ascii="Verdana" w:hAnsi="Verdana"/>
          <w:b/>
          <w:lang w:val="es-ES"/>
        </w:rPr>
        <w:t>LIQUIDACIÓN – Reconocimientos Económicos - Deber – Certificado de Disponibilidad Presupuestal – Registro Presupuestal.</w:t>
      </w:r>
    </w:p>
    <w:p w14:paraId="71B3DB8F" w14:textId="77777777" w:rsidR="006A5C24" w:rsidRDefault="006A5C24" w:rsidP="006A5C24">
      <w:pPr>
        <w:spacing w:after="0"/>
        <w:jc w:val="both"/>
        <w:rPr>
          <w:rFonts w:ascii="Verdana" w:hAnsi="Verdana"/>
        </w:rPr>
      </w:pPr>
    </w:p>
    <w:p w14:paraId="42861822" w14:textId="5BCAE81C" w:rsidR="006A5C24" w:rsidRDefault="006A5C24" w:rsidP="006A5C24">
      <w:pPr>
        <w:spacing w:after="0" w:line="240" w:lineRule="auto"/>
        <w:jc w:val="both"/>
        <w:rPr>
          <w:rFonts w:ascii="Verdana" w:hAnsi="Verdana"/>
          <w:bCs/>
          <w:lang w:val="es-ES"/>
        </w:rPr>
      </w:pPr>
      <w:r w:rsidRPr="006A5C24">
        <w:rPr>
          <w:rFonts w:ascii="Verdana" w:hAnsi="Verdana"/>
        </w:rPr>
        <w:t xml:space="preserve">Ahora bien, teniendo en cuenta que es posible reconocer obras extras o adicionales, así como asuntos derivados de ajustes o revisiones económicas por la entidad contratante, es necesario precisar que la liquidación del contrato, ya </w:t>
      </w:r>
      <w:r w:rsidRPr="006A5C24">
        <w:rPr>
          <w:rFonts w:ascii="Verdana" w:hAnsi="Verdana"/>
        </w:rPr>
        <w:lastRenderedPageBreak/>
        <w:t xml:space="preserve">sea que se derive de cualquiera de sus manifestaciones -liquidación bilateral, liquidación unilateral o liquidación judicial- debe contar con el Certificado de Disponibilidad Presupuestal –CDP- y el Registro Presupuestal, ya que dichos documentos se constituyen en requisitos para la ejecución y pago de las obligaciones que se estipularon y reconocieron en esta. Para reconocer y pagar las obras extras o las revisiones o ajustes derivadas de las transacciones en la liquidación, primero debe obtenerse un CDP con saldo disponible y luego tramitar el RP. En tal sentido, de conformidad con </w:t>
      </w:r>
      <w:r w:rsidRPr="006A5C24">
        <w:rPr>
          <w:rFonts w:ascii="Verdana" w:hAnsi="Verdana"/>
          <w:lang w:val="es-ES"/>
        </w:rPr>
        <w:t>la Ley 80 de 1993 y el Estatuto Orgánico de Presupuesto,</w:t>
      </w:r>
      <w:r w:rsidRPr="006A5C24">
        <w:rPr>
          <w:rFonts w:ascii="Verdana" w:hAnsi="Verdana"/>
          <w:bCs/>
          <w:lang w:val="es-ES"/>
        </w:rPr>
        <w:t xml:space="preserve"> las entidades estatales tienen el deber de contar con la disponibilidad de recursos para asumir gastos u obligaciones. Esta obligación es una expresión del principio de legalidad del gasto público que se enmarca en el mandato constitucional de la legalidad de las actuaciones públicas y que permea todo el régimen regulado por el</w:t>
      </w:r>
      <w:r w:rsidRPr="006A5C24">
        <w:rPr>
          <w:rFonts w:ascii="Verdana" w:hAnsi="Verdana"/>
          <w:lang w:val="es-ES"/>
        </w:rPr>
        <w:t xml:space="preserve"> Estatuto Orgánico del Presupuesto</w:t>
      </w:r>
      <w:r w:rsidRPr="006A5C24">
        <w:rPr>
          <w:rFonts w:ascii="Verdana" w:hAnsi="Verdana"/>
          <w:bCs/>
          <w:lang w:val="es-ES"/>
        </w:rPr>
        <w:t xml:space="preserve">. </w:t>
      </w:r>
    </w:p>
    <w:p w14:paraId="12375DD4" w14:textId="77777777" w:rsidR="006A5C24" w:rsidRPr="006A5C24" w:rsidRDefault="006A5C24" w:rsidP="006A5C24">
      <w:pPr>
        <w:spacing w:after="0" w:line="240" w:lineRule="auto"/>
        <w:jc w:val="both"/>
        <w:rPr>
          <w:rFonts w:ascii="Verdana" w:hAnsi="Verdana"/>
          <w:bCs/>
          <w:lang w:val="es-ES"/>
        </w:rPr>
      </w:pPr>
    </w:p>
    <w:p w14:paraId="2D589AD5" w14:textId="77777777" w:rsidR="006A5C24" w:rsidRPr="006A5C24" w:rsidRDefault="006A5C24" w:rsidP="006A5C24">
      <w:pPr>
        <w:spacing w:after="0" w:line="240" w:lineRule="auto"/>
        <w:jc w:val="both"/>
        <w:rPr>
          <w:rFonts w:ascii="Verdana" w:hAnsi="Verdana"/>
        </w:rPr>
      </w:pPr>
      <w:r w:rsidRPr="006A5C24">
        <w:rPr>
          <w:rFonts w:ascii="Verdana" w:hAnsi="Verdana"/>
          <w:bCs/>
          <w:lang w:val="es-ES"/>
        </w:rPr>
        <w:t xml:space="preserve">En este tipo de situaciones de reconocimientos y revisiones en la liquidación del contrato, su cumplimiento se refleja necesariamente mediante la expedición del </w:t>
      </w:r>
      <w:r w:rsidRPr="006A5C24">
        <w:rPr>
          <w:rFonts w:ascii="Verdana" w:hAnsi="Verdana"/>
          <w:lang w:val="es-ES"/>
        </w:rPr>
        <w:t xml:space="preserve">Certificado de Disponibilidad Presupuestal –CDP- de forma previa a que la entidad asuma obligaciones o compromisos de este tipo, como una garantía de la existencia de recursos suficientes para atender los gastos que serán asumidos por el Estado. Para </w:t>
      </w:r>
      <w:r w:rsidRPr="006A5C24">
        <w:rPr>
          <w:rFonts w:ascii="Verdana" w:hAnsi="Verdana"/>
        </w:rPr>
        <w:t xml:space="preserve">el reconocimiento efectivo de las revisiones y ajustes en la liquidación del contrato se exige a la entidad estatal contar con un Registro Presupuestal –RP- que consiste en la certificación de apropiación de presupuesto con destino al cumplimiento de las obligaciones pecuniarias estipuladas, ya sea en el acta de liquidación bilateral, el acto administrativo que liquida unilateralmente el contrato, o el acto administrativo de ejecución que se limita a cumplir la decisión judicial que liquida el contrato. </w:t>
      </w:r>
    </w:p>
    <w:p w14:paraId="21ACBF0E" w14:textId="3BCC305D" w:rsidR="006A5C24" w:rsidRDefault="006A5C24" w:rsidP="005133C3">
      <w:pPr>
        <w:spacing w:after="0"/>
        <w:rPr>
          <w:rFonts w:ascii="Verdana" w:hAnsi="Verdana"/>
        </w:rPr>
      </w:pPr>
    </w:p>
    <w:p w14:paraId="23683C8C" w14:textId="7E29589B" w:rsidR="006A5C24" w:rsidRDefault="006A5C24" w:rsidP="005133C3">
      <w:pPr>
        <w:spacing w:after="0"/>
        <w:rPr>
          <w:rFonts w:ascii="Verdana" w:hAnsi="Verdana"/>
        </w:rPr>
      </w:pPr>
    </w:p>
    <w:p w14:paraId="1339294C" w14:textId="5AA87DE5" w:rsidR="006A5C24" w:rsidRDefault="006A5C24" w:rsidP="005133C3">
      <w:pPr>
        <w:spacing w:after="0"/>
        <w:rPr>
          <w:rFonts w:ascii="Verdana" w:hAnsi="Verdana"/>
        </w:rPr>
      </w:pPr>
    </w:p>
    <w:p w14:paraId="0CF29126" w14:textId="3F509854" w:rsidR="006A5C24" w:rsidRDefault="006A5C24" w:rsidP="005133C3">
      <w:pPr>
        <w:spacing w:after="0"/>
        <w:rPr>
          <w:rFonts w:ascii="Verdana" w:hAnsi="Verdana"/>
        </w:rPr>
      </w:pPr>
    </w:p>
    <w:p w14:paraId="11F0AE21" w14:textId="45C8D3DE" w:rsidR="006A5C24" w:rsidRDefault="006A5C24" w:rsidP="005133C3">
      <w:pPr>
        <w:spacing w:after="0"/>
        <w:rPr>
          <w:rFonts w:ascii="Verdana" w:hAnsi="Verdana"/>
        </w:rPr>
      </w:pPr>
    </w:p>
    <w:p w14:paraId="4474D54C" w14:textId="60CFB3C9" w:rsidR="006A5C24" w:rsidRDefault="006A5C24" w:rsidP="005133C3">
      <w:pPr>
        <w:spacing w:after="0"/>
        <w:rPr>
          <w:rFonts w:ascii="Verdana" w:hAnsi="Verdana"/>
        </w:rPr>
      </w:pPr>
    </w:p>
    <w:p w14:paraId="1B30FEBD" w14:textId="351B23E2" w:rsidR="006A5C24" w:rsidRDefault="006A5C24" w:rsidP="005133C3">
      <w:pPr>
        <w:spacing w:after="0"/>
        <w:rPr>
          <w:rFonts w:ascii="Verdana" w:hAnsi="Verdana"/>
        </w:rPr>
      </w:pPr>
    </w:p>
    <w:p w14:paraId="6D3C6965" w14:textId="0EE20D9E" w:rsidR="006A5C24" w:rsidRDefault="006A5C24" w:rsidP="005133C3">
      <w:pPr>
        <w:spacing w:after="0"/>
        <w:rPr>
          <w:rFonts w:ascii="Verdana" w:hAnsi="Verdana"/>
        </w:rPr>
      </w:pPr>
    </w:p>
    <w:p w14:paraId="11311844" w14:textId="2F05A181" w:rsidR="006A5C24" w:rsidRDefault="006A5C24" w:rsidP="005133C3">
      <w:pPr>
        <w:spacing w:after="0"/>
        <w:rPr>
          <w:rFonts w:ascii="Verdana" w:hAnsi="Verdana"/>
        </w:rPr>
      </w:pPr>
    </w:p>
    <w:p w14:paraId="0611AEA1" w14:textId="6C0EA4F9" w:rsidR="006A5C24" w:rsidRDefault="006A5C24" w:rsidP="005133C3">
      <w:pPr>
        <w:spacing w:after="0"/>
        <w:rPr>
          <w:rFonts w:ascii="Verdana" w:hAnsi="Verdana"/>
        </w:rPr>
      </w:pPr>
    </w:p>
    <w:p w14:paraId="08DBCE1C" w14:textId="0E6F85AE" w:rsidR="006A5C24" w:rsidRDefault="006A5C24" w:rsidP="005133C3">
      <w:pPr>
        <w:spacing w:after="0"/>
        <w:rPr>
          <w:rFonts w:ascii="Verdana" w:hAnsi="Verdana"/>
        </w:rPr>
      </w:pPr>
    </w:p>
    <w:p w14:paraId="67681CEE" w14:textId="14EAD8CE" w:rsidR="006A5C24" w:rsidRDefault="006A5C24" w:rsidP="005133C3">
      <w:pPr>
        <w:spacing w:after="0"/>
        <w:rPr>
          <w:rFonts w:ascii="Verdana" w:hAnsi="Verdana"/>
        </w:rPr>
      </w:pPr>
    </w:p>
    <w:p w14:paraId="108C0B24" w14:textId="7B668067" w:rsidR="006A5C24" w:rsidRDefault="006A5C24" w:rsidP="005133C3">
      <w:pPr>
        <w:spacing w:after="0"/>
        <w:rPr>
          <w:rFonts w:ascii="Verdana" w:hAnsi="Verdana"/>
        </w:rPr>
      </w:pPr>
    </w:p>
    <w:p w14:paraId="2658F312" w14:textId="207E0A34" w:rsidR="006A5C24" w:rsidRDefault="006A5C24" w:rsidP="005133C3">
      <w:pPr>
        <w:spacing w:after="0"/>
        <w:rPr>
          <w:rFonts w:ascii="Verdana" w:hAnsi="Verdana"/>
        </w:rPr>
      </w:pPr>
    </w:p>
    <w:p w14:paraId="1E5A25FD" w14:textId="78EBDB77" w:rsidR="006A5C24" w:rsidRDefault="006A5C24" w:rsidP="005133C3">
      <w:pPr>
        <w:spacing w:after="0"/>
        <w:rPr>
          <w:rFonts w:ascii="Verdana" w:hAnsi="Verdana"/>
        </w:rPr>
      </w:pPr>
    </w:p>
    <w:p w14:paraId="265FBE2F" w14:textId="5FF11190" w:rsidR="006A5C24" w:rsidRDefault="006A5C24" w:rsidP="005133C3">
      <w:pPr>
        <w:spacing w:after="0"/>
        <w:rPr>
          <w:rFonts w:ascii="Verdana" w:hAnsi="Verdana"/>
        </w:rPr>
      </w:pPr>
    </w:p>
    <w:p w14:paraId="215C0476" w14:textId="2CE55611" w:rsidR="005133C3" w:rsidRPr="0044528D" w:rsidRDefault="008C3174" w:rsidP="005133C3">
      <w:pPr>
        <w:spacing w:after="0"/>
        <w:rPr>
          <w:rFonts w:ascii="Verdana" w:hAnsi="Verdana"/>
        </w:rPr>
      </w:pPr>
      <w:r w:rsidRPr="008C3174">
        <w:rPr>
          <w:rFonts w:ascii="Verdana" w:hAnsi="Verdana"/>
          <w:noProof/>
          <w:lang w:val="en-US"/>
        </w:rPr>
        <w:lastRenderedPageBreak/>
        <w:drawing>
          <wp:anchor distT="0" distB="0" distL="114300" distR="114300" simplePos="0" relativeHeight="251658240" behindDoc="0" locked="0" layoutInCell="1" allowOverlap="1" wp14:anchorId="2270BE6C" wp14:editId="522CE19A">
            <wp:simplePos x="0" y="0"/>
            <wp:positionH relativeFrom="column">
              <wp:posOffset>2888962</wp:posOffset>
            </wp:positionH>
            <wp:positionV relativeFrom="paragraph">
              <wp:posOffset>124691</wp:posOffset>
            </wp:positionV>
            <wp:extent cx="2825750" cy="780415"/>
            <wp:effectExtent l="0" t="0" r="0" b="63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25750" cy="780415"/>
                    </a:xfrm>
                    <a:prstGeom prst="rect">
                      <a:avLst/>
                    </a:prstGeom>
                    <a:noFill/>
                    <a:ln>
                      <a:noFill/>
                    </a:ln>
                  </pic:spPr>
                </pic:pic>
              </a:graphicData>
            </a:graphic>
          </wp:anchor>
        </w:drawing>
      </w:r>
      <w:r w:rsidR="006A5C24">
        <w:rPr>
          <w:rFonts w:ascii="Verdana" w:hAnsi="Verdana"/>
        </w:rPr>
        <w:t>Bogotá D.C., 7 de octubre de 2025</w:t>
      </w:r>
      <w:r w:rsidR="005133C3" w:rsidRPr="0044528D">
        <w:rPr>
          <w:rFonts w:ascii="Verdana" w:hAnsi="Verdana"/>
        </w:rPr>
        <w:tab/>
      </w:r>
    </w:p>
    <w:p w14:paraId="6223D511" w14:textId="77777777" w:rsidR="005133C3" w:rsidRPr="00A04C35" w:rsidRDefault="005133C3" w:rsidP="005133C3">
      <w:pPr>
        <w:spacing w:after="0"/>
        <w:rPr>
          <w:rFonts w:ascii="Verdana" w:hAnsi="Verdana"/>
        </w:rPr>
      </w:pPr>
    </w:p>
    <w:p w14:paraId="13B1E1D8" w14:textId="77777777" w:rsidR="005133C3" w:rsidRPr="00A04C35" w:rsidRDefault="005133C3" w:rsidP="005133C3">
      <w:pPr>
        <w:spacing w:after="0"/>
        <w:rPr>
          <w:rFonts w:ascii="Verdana" w:hAnsi="Verdana"/>
        </w:rPr>
      </w:pPr>
    </w:p>
    <w:p w14:paraId="2A31C7D4" w14:textId="77777777" w:rsidR="005133C3" w:rsidRPr="00A04C35" w:rsidRDefault="005133C3" w:rsidP="005133C3">
      <w:pPr>
        <w:spacing w:after="0" w:line="240" w:lineRule="auto"/>
        <w:rPr>
          <w:rFonts w:ascii="Verdana" w:eastAsia="Calibri" w:hAnsi="Verdana" w:cs="Times New Roman"/>
        </w:rPr>
      </w:pPr>
      <w:r>
        <w:rPr>
          <w:rFonts w:ascii="Verdana" w:hAnsi="Verdana"/>
        </w:rPr>
        <w:t>Señora</w:t>
      </w:r>
    </w:p>
    <w:p w14:paraId="52CBD7DF" w14:textId="77777777" w:rsidR="005133C3" w:rsidRPr="00A04C35" w:rsidRDefault="005133C3" w:rsidP="005133C3">
      <w:pPr>
        <w:spacing w:after="0" w:line="240" w:lineRule="auto"/>
        <w:rPr>
          <w:rFonts w:ascii="Verdana" w:eastAsia="Calibri" w:hAnsi="Verdana" w:cs="Times New Roman"/>
          <w:b/>
        </w:rPr>
      </w:pPr>
      <w:r>
        <w:rPr>
          <w:rFonts w:ascii="Verdana" w:eastAsia="Calibri" w:hAnsi="Verdana" w:cs="Times New Roman"/>
          <w:b/>
        </w:rPr>
        <w:t>María Juliana Yepes Berrocal</w:t>
      </w:r>
    </w:p>
    <w:p w14:paraId="71256744" w14:textId="77777777" w:rsidR="005133C3" w:rsidRDefault="004F5857" w:rsidP="005133C3">
      <w:pPr>
        <w:spacing w:after="0" w:line="256" w:lineRule="auto"/>
        <w:rPr>
          <w:rFonts w:ascii="Verdana" w:eastAsia="Calibri" w:hAnsi="Verdana" w:cs="Times New Roman"/>
        </w:rPr>
      </w:pPr>
      <w:hyperlink r:id="rId12" w:history="1">
        <w:r w:rsidR="005133C3" w:rsidRPr="0084465B">
          <w:rPr>
            <w:rStyle w:val="Hipervnculo"/>
            <w:rFonts w:ascii="Verdana" w:eastAsia="Calibri" w:hAnsi="Verdana" w:cs="Times New Roman"/>
          </w:rPr>
          <w:t>abogado@gomezgiraldo.com</w:t>
        </w:r>
      </w:hyperlink>
    </w:p>
    <w:p w14:paraId="42F79310" w14:textId="77777777" w:rsidR="005133C3" w:rsidRDefault="005133C3" w:rsidP="005133C3">
      <w:pPr>
        <w:spacing w:after="0" w:line="256" w:lineRule="auto"/>
        <w:rPr>
          <w:rFonts w:ascii="Verdana" w:eastAsia="Calibri" w:hAnsi="Verdana" w:cs="Times New Roman"/>
        </w:rPr>
      </w:pPr>
      <w:r>
        <w:rPr>
          <w:rFonts w:ascii="Verdana" w:eastAsia="Calibri" w:hAnsi="Verdana" w:cs="Times New Roman"/>
        </w:rPr>
        <w:t>Medellín, Antioquia</w:t>
      </w:r>
    </w:p>
    <w:p w14:paraId="2ED1B44A" w14:textId="77777777" w:rsidR="005133C3" w:rsidRDefault="005133C3" w:rsidP="005133C3">
      <w:pPr>
        <w:spacing w:after="0" w:line="256" w:lineRule="auto"/>
        <w:rPr>
          <w:rFonts w:ascii="Verdana" w:eastAsia="Calibri" w:hAnsi="Verdana" w:cs="Times New Roman"/>
        </w:rPr>
      </w:pPr>
    </w:p>
    <w:p w14:paraId="3DFE4ECE" w14:textId="77777777" w:rsidR="005133C3" w:rsidRPr="00A04C35" w:rsidRDefault="005133C3" w:rsidP="005133C3">
      <w:pPr>
        <w:spacing w:after="0" w:line="256" w:lineRule="auto"/>
        <w:rPr>
          <w:rFonts w:ascii="Verdana" w:eastAsia="Calibri" w:hAnsi="Verdana" w:cs="Times New Roman"/>
        </w:rPr>
      </w:pPr>
    </w:p>
    <w:p w14:paraId="6021F918" w14:textId="77777777" w:rsidR="005133C3" w:rsidRPr="00A04C35" w:rsidRDefault="005133C3" w:rsidP="005133C3">
      <w:pPr>
        <w:spacing w:after="0" w:line="256" w:lineRule="auto"/>
        <w:rPr>
          <w:rFonts w:ascii="Verdana" w:eastAsia="Calibri" w:hAnsi="Verdana" w:cs="Times New Roman"/>
          <w:b/>
          <w:bCs/>
          <w:lang w:val="es-ES"/>
        </w:rPr>
      </w:pPr>
      <w:r w:rsidRPr="00A04C35">
        <w:rPr>
          <w:rFonts w:ascii="Verdana" w:eastAsia="Calibri" w:hAnsi="Verdana" w:cs="Times New Roman"/>
          <w:b/>
          <w:bCs/>
        </w:rPr>
        <w:t xml:space="preserve">                                    </w:t>
      </w:r>
      <w:r>
        <w:rPr>
          <w:rFonts w:ascii="Verdana" w:eastAsia="Calibri" w:hAnsi="Verdana" w:cs="Times New Roman"/>
          <w:b/>
          <w:bCs/>
          <w:lang w:val="es-ES"/>
        </w:rPr>
        <w:t>Concepto C–1254</w:t>
      </w:r>
      <w:r w:rsidRPr="00A04C35">
        <w:rPr>
          <w:rFonts w:ascii="Verdana" w:eastAsia="Calibri" w:hAnsi="Verdana" w:cs="Times New Roman"/>
          <w:b/>
          <w:bCs/>
          <w:lang w:val="es-ES"/>
        </w:rPr>
        <w:t xml:space="preserve"> de 2025</w:t>
      </w:r>
      <w:bookmarkStart w:id="1" w:name="_GoBack"/>
      <w:bookmarkEnd w:id="1"/>
    </w:p>
    <w:p w14:paraId="125DF9C5" w14:textId="77777777" w:rsidR="005133C3" w:rsidRPr="00A04C35" w:rsidRDefault="005133C3" w:rsidP="005133C3">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133C3" w:rsidRPr="00A04C35" w14:paraId="5335521C" w14:textId="77777777" w:rsidTr="006F39F8">
        <w:trPr>
          <w:trHeight w:val="645"/>
        </w:trPr>
        <w:tc>
          <w:tcPr>
            <w:tcW w:w="2685" w:type="dxa"/>
            <w:hideMark/>
          </w:tcPr>
          <w:p w14:paraId="3A43AB32" w14:textId="77777777" w:rsidR="005133C3" w:rsidRPr="00A04C35" w:rsidRDefault="005133C3" w:rsidP="006F39F8">
            <w:pPr>
              <w:spacing w:line="256" w:lineRule="auto"/>
              <w:rPr>
                <w:rFonts w:ascii="Verdana" w:hAnsi="Verdana"/>
                <w:b/>
                <w:bCs/>
                <w:lang w:val="es-ES_tradnl"/>
              </w:rPr>
            </w:pPr>
            <w:r w:rsidRPr="00A04C35">
              <w:rPr>
                <w:rFonts w:ascii="Verdana" w:hAnsi="Verdana"/>
                <w:b/>
                <w:bCs/>
                <w:lang w:val="es-ES_tradnl"/>
              </w:rPr>
              <w:t xml:space="preserve">Temas:                   </w:t>
            </w:r>
          </w:p>
        </w:tc>
        <w:tc>
          <w:tcPr>
            <w:tcW w:w="6241" w:type="dxa"/>
            <w:hideMark/>
          </w:tcPr>
          <w:p w14:paraId="510B7295" w14:textId="77777777" w:rsidR="005133C3" w:rsidRPr="00A04C35" w:rsidRDefault="005133C3" w:rsidP="006F39F8">
            <w:pPr>
              <w:spacing w:line="276" w:lineRule="auto"/>
              <w:jc w:val="both"/>
              <w:rPr>
                <w:rFonts w:ascii="Verdana" w:hAnsi="Verdana" w:cs="Arial"/>
                <w:lang w:val="es-ES" w:eastAsia="es-ES"/>
              </w:rPr>
            </w:pPr>
            <w:r w:rsidRPr="00A04C35">
              <w:rPr>
                <w:rFonts w:ascii="Verdana" w:hAnsi="Verdana" w:cs="Arial"/>
                <w:lang w:val="es-ES" w:eastAsia="es-ES"/>
              </w:rPr>
              <w:t xml:space="preserve">LIQUIDACIÓN – Definición – Objetivo / LIQUIDACIÓN BILATERAL – Concepto – Fundamento normativo/ LIQUIDACIÓN BILATERAL – Ajustes – Revisiones – Ajustes </w:t>
            </w:r>
            <w:r>
              <w:rPr>
                <w:rFonts w:ascii="Verdana" w:hAnsi="Verdana" w:cs="Arial"/>
                <w:lang w:val="es-ES" w:eastAsia="es-ES"/>
              </w:rPr>
              <w:t xml:space="preserve">– Reconocimientos </w:t>
            </w:r>
            <w:r w:rsidRPr="00A04C35">
              <w:rPr>
                <w:rFonts w:ascii="Verdana" w:hAnsi="Verdana" w:cs="Arial"/>
                <w:lang w:val="es-ES" w:eastAsia="es-ES"/>
              </w:rPr>
              <w:t>/ ENRIQUECIMIENTO SIN JUSTA CAUSA – Sentencia de Unificación del 19 de noviembre de 2012 – Alcance / ENRIQUECIMIENTO SIN JUSTA CAUSA – Nueva Postura – Sentencia de Unificación Jurisprudencial – Elementos – Prueba de la Actividad - Circunst</w:t>
            </w:r>
            <w:r>
              <w:rPr>
                <w:rFonts w:ascii="Verdana" w:hAnsi="Verdana" w:cs="Arial"/>
                <w:lang w:val="es-ES" w:eastAsia="es-ES"/>
              </w:rPr>
              <w:t xml:space="preserve">ancia Excepcional – Procedencia / LIQUIDACIÓN – Reconocimientos Económicos - Deber – Certificado de Disponibilidad Presupuestal – Registro Presupuestal. </w:t>
            </w:r>
          </w:p>
        </w:tc>
        <w:tc>
          <w:tcPr>
            <w:tcW w:w="6237" w:type="dxa"/>
          </w:tcPr>
          <w:p w14:paraId="3F379AAA" w14:textId="77777777" w:rsidR="005133C3" w:rsidRPr="00A04C35" w:rsidRDefault="005133C3" w:rsidP="006F39F8">
            <w:pPr>
              <w:spacing w:line="256" w:lineRule="auto"/>
              <w:rPr>
                <w:rFonts w:ascii="Verdana" w:hAnsi="Verdana"/>
                <w:lang w:val="es-ES"/>
              </w:rPr>
            </w:pPr>
          </w:p>
        </w:tc>
      </w:tr>
      <w:tr w:rsidR="005133C3" w:rsidRPr="00A04C35" w14:paraId="530F89F5" w14:textId="77777777" w:rsidTr="006F39F8">
        <w:tc>
          <w:tcPr>
            <w:tcW w:w="2685" w:type="dxa"/>
          </w:tcPr>
          <w:p w14:paraId="3F9BDAA8" w14:textId="77777777" w:rsidR="005133C3" w:rsidRPr="00A04C35" w:rsidRDefault="005133C3" w:rsidP="006F39F8">
            <w:pPr>
              <w:spacing w:line="256" w:lineRule="auto"/>
              <w:rPr>
                <w:rFonts w:ascii="Verdana" w:hAnsi="Verdana"/>
                <w:lang w:val="es-ES_tradnl"/>
              </w:rPr>
            </w:pPr>
          </w:p>
          <w:p w14:paraId="59203ABE" w14:textId="77777777" w:rsidR="005133C3" w:rsidRPr="00A04C35" w:rsidRDefault="005133C3" w:rsidP="006F39F8">
            <w:pPr>
              <w:spacing w:line="256" w:lineRule="auto"/>
              <w:rPr>
                <w:rFonts w:ascii="Verdana" w:hAnsi="Verdana"/>
                <w:b/>
                <w:bCs/>
                <w:lang w:val="es-ES_tradnl"/>
              </w:rPr>
            </w:pPr>
            <w:r w:rsidRPr="00A04C35">
              <w:rPr>
                <w:rFonts w:ascii="Verdana" w:hAnsi="Verdana"/>
                <w:b/>
                <w:bCs/>
                <w:lang w:val="es-ES_tradnl"/>
              </w:rPr>
              <w:t xml:space="preserve">Radicación:               </w:t>
            </w:r>
          </w:p>
        </w:tc>
        <w:tc>
          <w:tcPr>
            <w:tcW w:w="6241" w:type="dxa"/>
          </w:tcPr>
          <w:p w14:paraId="447A7173" w14:textId="77777777" w:rsidR="005133C3" w:rsidRPr="00A04C35" w:rsidRDefault="005133C3" w:rsidP="006F39F8">
            <w:pPr>
              <w:spacing w:line="257" w:lineRule="auto"/>
              <w:rPr>
                <w:rFonts w:ascii="Verdana" w:hAnsi="Verdana"/>
                <w:lang w:val="es-ES_tradnl"/>
              </w:rPr>
            </w:pPr>
          </w:p>
          <w:p w14:paraId="285F2E3B" w14:textId="77777777" w:rsidR="005133C3" w:rsidRPr="00A04C35" w:rsidRDefault="005133C3" w:rsidP="006F39F8">
            <w:pPr>
              <w:spacing w:line="257" w:lineRule="auto"/>
              <w:jc w:val="both"/>
              <w:rPr>
                <w:rFonts w:ascii="Verdana" w:hAnsi="Verdana"/>
              </w:rPr>
            </w:pPr>
            <w:r w:rsidRPr="00A04C35">
              <w:rPr>
                <w:rFonts w:ascii="Verdana" w:hAnsi="Verdana"/>
                <w:lang w:val="es-ES_tradnl"/>
              </w:rPr>
              <w:t xml:space="preserve">Respuesta a consulta con radicado No. </w:t>
            </w:r>
            <w:r w:rsidRPr="00FA2AE1">
              <w:rPr>
                <w:rFonts w:ascii="Verdana" w:hAnsi="Verdana"/>
              </w:rPr>
              <w:t>1_2025_09_02_009480</w:t>
            </w:r>
          </w:p>
          <w:p w14:paraId="667D6506" w14:textId="77777777" w:rsidR="005133C3" w:rsidRPr="00A04C35" w:rsidRDefault="005133C3" w:rsidP="006F39F8">
            <w:pPr>
              <w:spacing w:line="257" w:lineRule="auto"/>
              <w:jc w:val="both"/>
              <w:rPr>
                <w:rFonts w:ascii="Verdana" w:hAnsi="Verdana"/>
              </w:rPr>
            </w:pPr>
          </w:p>
          <w:p w14:paraId="73997DFA" w14:textId="77777777" w:rsidR="005133C3" w:rsidRPr="00A04C35" w:rsidRDefault="005133C3" w:rsidP="006F39F8">
            <w:pPr>
              <w:spacing w:line="257" w:lineRule="auto"/>
              <w:jc w:val="both"/>
              <w:rPr>
                <w:rFonts w:ascii="Verdana" w:hAnsi="Verdana"/>
              </w:rPr>
            </w:pPr>
          </w:p>
        </w:tc>
        <w:tc>
          <w:tcPr>
            <w:tcW w:w="6237" w:type="dxa"/>
          </w:tcPr>
          <w:p w14:paraId="6282E81D" w14:textId="77777777" w:rsidR="005133C3" w:rsidRPr="00A04C35" w:rsidRDefault="005133C3" w:rsidP="006F39F8">
            <w:pPr>
              <w:spacing w:line="256" w:lineRule="auto"/>
              <w:rPr>
                <w:rFonts w:ascii="Verdana" w:hAnsi="Verdana"/>
                <w:lang w:val="es-ES_tradnl"/>
              </w:rPr>
            </w:pPr>
          </w:p>
        </w:tc>
      </w:tr>
    </w:tbl>
    <w:p w14:paraId="162C6BA6" w14:textId="77777777" w:rsidR="005133C3" w:rsidRPr="00A04C35" w:rsidRDefault="005133C3" w:rsidP="005133C3">
      <w:pPr>
        <w:spacing w:after="0" w:line="256" w:lineRule="auto"/>
        <w:rPr>
          <w:rFonts w:ascii="Verdana" w:eastAsia="Calibri" w:hAnsi="Verdana" w:cs="Times New Roman"/>
          <w:lang w:val="es-ES"/>
        </w:rPr>
      </w:pPr>
      <w:r>
        <w:rPr>
          <w:rFonts w:ascii="Verdana" w:eastAsia="Calibri" w:hAnsi="Verdana" w:cs="Times New Roman"/>
          <w:lang w:val="es-ES"/>
        </w:rPr>
        <w:t xml:space="preserve">Estimada Señora Yepes: </w:t>
      </w:r>
      <w:r w:rsidRPr="00A04C35">
        <w:rPr>
          <w:rFonts w:ascii="Verdana" w:eastAsia="Calibri" w:hAnsi="Verdana" w:cs="Times New Roman"/>
          <w:lang w:val="es-ES"/>
        </w:rPr>
        <w:t xml:space="preserve"> </w:t>
      </w:r>
    </w:p>
    <w:p w14:paraId="412A8B82" w14:textId="77777777" w:rsidR="005133C3" w:rsidRPr="00A04C35" w:rsidRDefault="005133C3" w:rsidP="005133C3">
      <w:pPr>
        <w:spacing w:after="0" w:line="256" w:lineRule="auto"/>
        <w:rPr>
          <w:rFonts w:ascii="Verdana" w:eastAsia="Calibri" w:hAnsi="Verdana" w:cs="Times New Roman"/>
          <w:lang w:val="es-ES"/>
        </w:rPr>
      </w:pPr>
    </w:p>
    <w:p w14:paraId="1836C9A7" w14:textId="77777777" w:rsidR="005133C3" w:rsidRPr="005D732A" w:rsidRDefault="005133C3" w:rsidP="005133C3">
      <w:pPr>
        <w:spacing w:after="0" w:line="276" w:lineRule="auto"/>
        <w:jc w:val="both"/>
        <w:rPr>
          <w:rFonts w:ascii="Verdana" w:hAnsi="Verdana" w:cs="Arial"/>
          <w:bCs/>
          <w:lang w:val="es-ES" w:eastAsia="es-ES" w:bidi="es-ES"/>
        </w:rPr>
      </w:pPr>
      <w:r w:rsidRPr="005D732A">
        <w:rPr>
          <w:rFonts w:ascii="Verdana" w:hAnsi="Verdana" w:cs="Arial"/>
          <w:bCs/>
          <w:lang w:val="es-ES" w:eastAsia="es-ES" w:bidi="es-ES"/>
        </w:rPr>
        <w:t xml:space="preserve">En ejercicio de la competencia otorgada por los artículos 3, numeral 5º, y 11, numeral 8º, del Decreto Ley 4170 de 2011, </w:t>
      </w:r>
      <w:r w:rsidRPr="005D732A">
        <w:rPr>
          <w:rFonts w:ascii="Verdana" w:hAnsi="Verdana" w:cs="Arial"/>
          <w:bCs/>
          <w:lang w:eastAsia="es-ES" w:bidi="es-ES"/>
        </w:rPr>
        <w:t xml:space="preserve">así como lo establecido por la Resolución 469 de 2025 expedida por esta Entidad, </w:t>
      </w:r>
      <w:r w:rsidRPr="005D732A">
        <w:rPr>
          <w:rFonts w:ascii="Verdana" w:hAnsi="Verdana" w:cs="Arial"/>
          <w:bCs/>
          <w:lang w:val="es-ES" w:eastAsia="es-ES" w:bidi="es-ES"/>
        </w:rPr>
        <w:t xml:space="preserve">la Agencia Nacional de Contratación Pública – Colombia Compra Eficiente– responde su solicitud de consulta del 2 de septiembre de 2025, en la cual manifiesta: </w:t>
      </w:r>
    </w:p>
    <w:p w14:paraId="08E2D3D4" w14:textId="77777777" w:rsidR="005133C3" w:rsidRDefault="005133C3" w:rsidP="005133C3">
      <w:pPr>
        <w:spacing w:after="0" w:line="240" w:lineRule="auto"/>
        <w:ind w:right="709"/>
        <w:jc w:val="both"/>
        <w:rPr>
          <w:rFonts w:ascii="ArialMT" w:hAnsi="ArialMT" w:cs="ArialMT"/>
          <w:sz w:val="24"/>
          <w:szCs w:val="24"/>
        </w:rPr>
      </w:pPr>
    </w:p>
    <w:p w14:paraId="00E51C6C" w14:textId="77777777" w:rsidR="005133C3" w:rsidRDefault="005133C3" w:rsidP="005133C3">
      <w:pPr>
        <w:spacing w:after="0" w:line="240" w:lineRule="auto"/>
        <w:ind w:left="709" w:right="709"/>
        <w:jc w:val="both"/>
        <w:rPr>
          <w:rFonts w:ascii="Verdana" w:eastAsia="Calibri" w:hAnsi="Verdana" w:cs="Times New Roman"/>
          <w:i/>
          <w:sz w:val="21"/>
          <w:szCs w:val="21"/>
        </w:rPr>
      </w:pPr>
      <w:r>
        <w:rPr>
          <w:rFonts w:ascii="Verdana" w:eastAsia="Calibri" w:hAnsi="Verdana" w:cs="Times New Roman"/>
          <w:sz w:val="21"/>
          <w:szCs w:val="21"/>
        </w:rPr>
        <w:t>“</w:t>
      </w:r>
      <w:r w:rsidRPr="00641C23">
        <w:rPr>
          <w:rFonts w:ascii="Verdana" w:eastAsia="Calibri" w:hAnsi="Verdana" w:cs="Times New Roman"/>
          <w:sz w:val="21"/>
          <w:szCs w:val="21"/>
        </w:rPr>
        <w:t>¿Resulta jurídicamente procedente expedir un Certificado de Disponibilidad Presupuestal (CDP) con posterioridad a la terminación de un contrato estatal, cuando en la etapa de liquidación bilateral o unilateral se reconocen obligaciones</w:t>
      </w:r>
      <w:r>
        <w:rPr>
          <w:rFonts w:ascii="Verdana" w:eastAsia="Calibri" w:hAnsi="Verdana" w:cs="Times New Roman"/>
          <w:sz w:val="21"/>
          <w:szCs w:val="21"/>
        </w:rPr>
        <w:t xml:space="preserve"> </w:t>
      </w:r>
      <w:r w:rsidRPr="00641C23">
        <w:rPr>
          <w:rFonts w:ascii="Verdana" w:eastAsia="Calibri" w:hAnsi="Verdana" w:cs="Times New Roman"/>
          <w:sz w:val="21"/>
          <w:szCs w:val="21"/>
        </w:rPr>
        <w:t xml:space="preserve">adicionales que requieren </w:t>
      </w:r>
      <w:r w:rsidRPr="00641C23">
        <w:rPr>
          <w:rFonts w:ascii="Verdana" w:eastAsia="Calibri" w:hAnsi="Verdana" w:cs="Times New Roman"/>
          <w:sz w:val="21"/>
          <w:szCs w:val="21"/>
        </w:rPr>
        <w:lastRenderedPageBreak/>
        <w:t>respaldo presupuestal para su pago de cualquier tipo v.gr reclamaciones económicas, transacciones económicas, obras adicionales reconocidas etc. etc.?</w:t>
      </w:r>
      <w:r w:rsidRPr="00641C23">
        <w:rPr>
          <w:rFonts w:ascii="Verdana" w:eastAsia="Calibri" w:hAnsi="Verdana" w:cs="Times New Roman"/>
          <w:i/>
          <w:iCs/>
          <w:sz w:val="21"/>
          <w:szCs w:val="21"/>
        </w:rPr>
        <w:t>”</w:t>
      </w:r>
      <w:r w:rsidRPr="00CF4C2E">
        <w:rPr>
          <w:rFonts w:ascii="Verdana" w:eastAsia="Calibri" w:hAnsi="Verdana" w:cs="Times New Roman"/>
          <w:sz w:val="21"/>
          <w:szCs w:val="21"/>
        </w:rPr>
        <w:t xml:space="preserve"> </w:t>
      </w:r>
      <w:r>
        <w:rPr>
          <w:rFonts w:ascii="Verdana" w:eastAsia="Calibri" w:hAnsi="Verdana" w:cs="Times New Roman"/>
          <w:sz w:val="21"/>
          <w:szCs w:val="21"/>
        </w:rPr>
        <w:t>(sic)</w:t>
      </w:r>
      <w:r w:rsidRPr="00641C23">
        <w:rPr>
          <w:rFonts w:ascii="Verdana" w:eastAsia="Calibri" w:hAnsi="Verdana" w:cs="Times New Roman"/>
          <w:i/>
          <w:sz w:val="21"/>
          <w:szCs w:val="21"/>
        </w:rPr>
        <w:t>.</w:t>
      </w:r>
    </w:p>
    <w:p w14:paraId="70801BBF" w14:textId="77777777" w:rsidR="005133C3" w:rsidRPr="00641C23" w:rsidRDefault="005133C3" w:rsidP="005133C3">
      <w:pPr>
        <w:spacing w:after="0" w:line="240" w:lineRule="auto"/>
        <w:ind w:left="709" w:right="709"/>
        <w:jc w:val="both"/>
        <w:rPr>
          <w:rFonts w:ascii="Verdana" w:eastAsia="Calibri" w:hAnsi="Verdana" w:cs="Times New Roman"/>
          <w:sz w:val="21"/>
          <w:szCs w:val="21"/>
        </w:rPr>
      </w:pPr>
    </w:p>
    <w:p w14:paraId="7DB55749" w14:textId="77777777" w:rsidR="005133C3" w:rsidRPr="00A04C35" w:rsidRDefault="005133C3" w:rsidP="005133C3">
      <w:pPr>
        <w:spacing w:after="120" w:line="276" w:lineRule="auto"/>
        <w:ind w:firstLine="709"/>
        <w:jc w:val="both"/>
        <w:rPr>
          <w:rFonts w:ascii="Verdana" w:eastAsia="Calibri" w:hAnsi="Verdana" w:cs="Times New Roman"/>
          <w:lang w:val="es-ES"/>
        </w:rPr>
      </w:pPr>
      <w:r w:rsidRPr="00A04C35">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0E27C4A" w14:textId="77777777" w:rsidR="005133C3" w:rsidRPr="00A04C35" w:rsidRDefault="005133C3" w:rsidP="005133C3">
      <w:pPr>
        <w:spacing w:after="0" w:line="276" w:lineRule="auto"/>
        <w:ind w:firstLine="708"/>
        <w:jc w:val="both"/>
        <w:rPr>
          <w:rFonts w:ascii="Verdana" w:eastAsia="Calibri" w:hAnsi="Verdana" w:cs="Times New Roman"/>
          <w:lang w:val="es-ES"/>
        </w:rPr>
      </w:pPr>
      <w:r w:rsidRPr="00A04C35">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BC6E497" w14:textId="77777777" w:rsidR="005133C3" w:rsidRPr="00A04C35" w:rsidRDefault="005133C3" w:rsidP="005133C3">
      <w:pPr>
        <w:spacing w:after="0" w:line="256" w:lineRule="auto"/>
        <w:rPr>
          <w:rFonts w:ascii="Verdana" w:eastAsia="Calibri" w:hAnsi="Verdana" w:cs="Times New Roman"/>
          <w:lang w:val="es-ES"/>
        </w:rPr>
      </w:pPr>
    </w:p>
    <w:p w14:paraId="183C8086" w14:textId="77777777" w:rsidR="005133C3" w:rsidRPr="00A04C35" w:rsidRDefault="005133C3" w:rsidP="005133C3">
      <w:pPr>
        <w:numPr>
          <w:ilvl w:val="0"/>
          <w:numId w:val="19"/>
        </w:numPr>
        <w:spacing w:after="0" w:line="256" w:lineRule="auto"/>
        <w:contextualSpacing/>
        <w:rPr>
          <w:rFonts w:ascii="Verdana" w:eastAsia="Calibri" w:hAnsi="Verdana" w:cs="Times New Roman"/>
          <w:b/>
          <w:bCs/>
          <w:lang w:val="es-ES"/>
        </w:rPr>
      </w:pPr>
      <w:r w:rsidRPr="00A04C35">
        <w:rPr>
          <w:rFonts w:ascii="Verdana" w:eastAsia="Calibri" w:hAnsi="Verdana" w:cs="Times New Roman"/>
          <w:b/>
          <w:bCs/>
          <w:lang w:val="es-ES"/>
        </w:rPr>
        <w:t>Problema planteado:</w:t>
      </w:r>
    </w:p>
    <w:p w14:paraId="641B5E55" w14:textId="77777777" w:rsidR="005133C3" w:rsidRPr="00A04C35" w:rsidRDefault="005133C3" w:rsidP="005133C3">
      <w:pPr>
        <w:spacing w:after="0" w:line="256" w:lineRule="auto"/>
        <w:rPr>
          <w:rFonts w:ascii="Verdana" w:eastAsia="Calibri" w:hAnsi="Verdana" w:cs="Times New Roman"/>
        </w:rPr>
      </w:pPr>
    </w:p>
    <w:p w14:paraId="08FED1ED" w14:textId="77777777" w:rsidR="005133C3" w:rsidRPr="00A04C35" w:rsidRDefault="005133C3" w:rsidP="005133C3">
      <w:pPr>
        <w:spacing w:after="0" w:line="276" w:lineRule="auto"/>
        <w:jc w:val="both"/>
        <w:rPr>
          <w:rFonts w:ascii="Verdana" w:eastAsia="Calibri" w:hAnsi="Verdana" w:cs="Times New Roman"/>
          <w:iCs/>
        </w:rPr>
      </w:pPr>
      <w:r w:rsidRPr="00A04C35">
        <w:rPr>
          <w:rFonts w:ascii="Verdana" w:eastAsia="Calibri" w:hAnsi="Verdana" w:cs="Times New Roman"/>
        </w:rPr>
        <w:t>De acuerdo con el contenido de su solicitud, esta Agencia procede a resolver el siguiente problema jurídico:</w:t>
      </w:r>
      <w:r w:rsidRPr="00A04C35">
        <w:rPr>
          <w:rFonts w:ascii="Verdana" w:eastAsia="Calibri" w:hAnsi="Verdana" w:cs="Times New Roman"/>
          <w:i/>
          <w:iCs/>
        </w:rPr>
        <w:t xml:space="preserve"> </w:t>
      </w:r>
      <w:r w:rsidRPr="00A04C35">
        <w:rPr>
          <w:rFonts w:ascii="Verdana" w:eastAsia="Calibri" w:hAnsi="Verdana" w:cs="Times New Roman"/>
          <w:iCs/>
        </w:rPr>
        <w:t xml:space="preserve">¿Es procedente </w:t>
      </w:r>
      <w:r w:rsidRPr="00A04C35">
        <w:rPr>
          <w:rFonts w:ascii="Verdana" w:eastAsia="Calibri" w:hAnsi="Verdana" w:cs="Times New Roman"/>
          <w:bCs/>
          <w:iCs/>
        </w:rPr>
        <w:t>en la liquidación de contratos</w:t>
      </w:r>
      <w:r>
        <w:rPr>
          <w:rFonts w:ascii="Verdana" w:eastAsia="Calibri" w:hAnsi="Verdana" w:cs="Times New Roman"/>
          <w:bCs/>
          <w:iCs/>
        </w:rPr>
        <w:t xml:space="preserve"> expedir un Certificado de Disponibilidad Presupuestal –CDP- y un Registro Presupuestal –RP-, a fin de reconocer el pago de reclamaciones económicas o de obras adicionales</w:t>
      </w:r>
      <w:r w:rsidRPr="00A04C35">
        <w:rPr>
          <w:rFonts w:ascii="Verdana" w:eastAsia="Calibri" w:hAnsi="Verdana" w:cs="Times New Roman"/>
          <w:bCs/>
          <w:iCs/>
        </w:rPr>
        <w:t>?</w:t>
      </w:r>
    </w:p>
    <w:p w14:paraId="32C82BEB" w14:textId="77777777" w:rsidR="005133C3" w:rsidRPr="00A04C35" w:rsidRDefault="005133C3" w:rsidP="005133C3">
      <w:pPr>
        <w:spacing w:after="0" w:line="276" w:lineRule="auto"/>
        <w:jc w:val="both"/>
        <w:rPr>
          <w:rFonts w:ascii="Verdana" w:eastAsia="Calibri" w:hAnsi="Verdana" w:cs="Times New Roman"/>
          <w:i/>
          <w:iCs/>
        </w:rPr>
      </w:pPr>
    </w:p>
    <w:p w14:paraId="4449A066" w14:textId="77777777" w:rsidR="005133C3" w:rsidRPr="00A04C35" w:rsidRDefault="005133C3" w:rsidP="005133C3">
      <w:pPr>
        <w:numPr>
          <w:ilvl w:val="0"/>
          <w:numId w:val="19"/>
        </w:numPr>
        <w:spacing w:after="0" w:line="256" w:lineRule="auto"/>
        <w:contextualSpacing/>
        <w:rPr>
          <w:rFonts w:ascii="Verdana" w:eastAsia="Calibri" w:hAnsi="Verdana" w:cs="Times New Roman"/>
          <w:b/>
          <w:bCs/>
          <w:lang w:val="es-ES"/>
        </w:rPr>
      </w:pPr>
      <w:r w:rsidRPr="00A04C35">
        <w:rPr>
          <w:rFonts w:ascii="Verdana" w:eastAsia="Calibri" w:hAnsi="Verdana" w:cs="Times New Roman"/>
          <w:b/>
          <w:bCs/>
          <w:lang w:val="es-ES"/>
        </w:rPr>
        <w:t>Respuesta:</w:t>
      </w:r>
    </w:p>
    <w:p w14:paraId="579B5493" w14:textId="77777777" w:rsidR="005133C3" w:rsidRPr="00A04C35" w:rsidRDefault="005133C3" w:rsidP="005133C3">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5133C3" w:rsidRPr="00A04C35" w14:paraId="0169799D" w14:textId="77777777" w:rsidTr="006F39F8">
        <w:trPr>
          <w:trHeight w:val="345"/>
          <w:jc w:val="center"/>
        </w:trPr>
        <w:tc>
          <w:tcPr>
            <w:tcW w:w="8784" w:type="dxa"/>
            <w:tcBorders>
              <w:bottom w:val="single" w:sz="4" w:space="0" w:color="auto"/>
            </w:tcBorders>
          </w:tcPr>
          <w:p w14:paraId="7D087E57" w14:textId="77777777" w:rsidR="005133C3" w:rsidRPr="00FA2AE1" w:rsidRDefault="005133C3" w:rsidP="006F39F8">
            <w:pPr>
              <w:tabs>
                <w:tab w:val="left" w:pos="709"/>
              </w:tabs>
              <w:spacing w:before="120" w:after="120" w:line="276" w:lineRule="auto"/>
              <w:jc w:val="both"/>
              <w:rPr>
                <w:rFonts w:ascii="Verdana" w:eastAsia="Calibri" w:hAnsi="Verdana" w:cs="Arial"/>
                <w:bCs/>
                <w:color w:val="000000" w:themeColor="text1"/>
                <w:lang w:val="es-ES"/>
              </w:rPr>
            </w:pPr>
            <w:r w:rsidRPr="00FA2AE1">
              <w:rPr>
                <w:rFonts w:ascii="Verdana" w:eastAsia="Times New Roman" w:hAnsi="Verdana" w:cs="Arial"/>
                <w:color w:val="000000"/>
                <w:bdr w:val="none" w:sz="0" w:space="0" w:color="auto" w:frame="1"/>
                <w:shd w:val="clear" w:color="auto" w:fill="FFFFFF"/>
                <w:lang w:eastAsia="es-ES_tradnl"/>
              </w:rPr>
              <w:t xml:space="preserve">Teniendo en cuenta las razones de la respuesta y el problema jurídico, objeto de consulta, es posible reconocer obras extras o adicionales, de acuerdo con la Sentencia de Unificación con Exp. </w:t>
            </w:r>
            <w:r w:rsidRPr="00F535EB">
              <w:rPr>
                <w:rFonts w:ascii="Verdana" w:hAnsi="Verdana"/>
              </w:rPr>
              <w:t>57464 del 31 de julio de 2025</w:t>
            </w:r>
            <w:r w:rsidRPr="00FA2AE1">
              <w:rPr>
                <w:rFonts w:ascii="Verdana" w:eastAsia="Times New Roman" w:hAnsi="Verdana" w:cs="Arial"/>
                <w:color w:val="000000"/>
                <w:bdr w:val="none" w:sz="0" w:space="0" w:color="auto" w:frame="1"/>
                <w:shd w:val="clear" w:color="auto" w:fill="FFFFFF"/>
                <w:lang w:eastAsia="es-ES_tradnl"/>
              </w:rPr>
              <w:t xml:space="preserve">, así como asuntos derivados de ajustes o revisiones económicas por la entidad </w:t>
            </w:r>
            <w:r w:rsidRPr="00FA2AE1">
              <w:rPr>
                <w:rFonts w:ascii="Verdana" w:eastAsia="Times New Roman" w:hAnsi="Verdana" w:cs="Arial"/>
                <w:color w:val="000000"/>
                <w:bdr w:val="none" w:sz="0" w:space="0" w:color="auto" w:frame="1"/>
                <w:shd w:val="clear" w:color="auto" w:fill="FFFFFF"/>
                <w:lang w:eastAsia="es-ES_tradnl"/>
              </w:rPr>
              <w:lastRenderedPageBreak/>
              <w:t xml:space="preserve">contratante, siendo necesario precisar que la liquidación del contrato, ya sea que se derive de cualquiera de sus manifestaciones -liquidación bilateral, liquidación unilateral o liquidación judicial- debe contar con el Certificado de Disponibilidad Presupuestal –CDP- y el Registro Presupuestal, ya que dichos documentos se constituyen en requisitos para la ejecución y pago de las obligaciones que se estipularon y reconocieron en esta. Para reconocer y pagar las obras extras o las revisiones o ajustes derivadas de las transacciones en la liquidación, primero debe obtenerse un CDP con saldo disponible y luego tramitar el RP. </w:t>
            </w:r>
            <w:r w:rsidRPr="00FA2AE1">
              <w:rPr>
                <w:rFonts w:ascii="Verdana" w:eastAsia="Calibri" w:hAnsi="Verdana" w:cs="Arial"/>
                <w:color w:val="000000" w:themeColor="text1"/>
              </w:rPr>
              <w:t xml:space="preserve">En tal sentido, de conformidad con </w:t>
            </w:r>
            <w:r w:rsidRPr="00FA2AE1">
              <w:rPr>
                <w:rFonts w:ascii="Verdana" w:eastAsia="Arial MT" w:hAnsi="Verdana" w:cs="Arial"/>
                <w:color w:val="000000" w:themeColor="text1"/>
                <w:lang w:val="es-ES"/>
              </w:rPr>
              <w:t>la Ley 80 de 1993 y el Estatuto Orgánico de Presupuesto,</w:t>
            </w:r>
            <w:r w:rsidRPr="00FA2AE1">
              <w:rPr>
                <w:rFonts w:ascii="Verdana" w:eastAsia="Calibri" w:hAnsi="Verdana" w:cs="Arial"/>
                <w:bCs/>
                <w:color w:val="000000" w:themeColor="text1"/>
                <w:lang w:val="es-ES"/>
              </w:rPr>
              <w:t xml:space="preserve"> las entidades estatales tienen el deber de contar con la disponibilidad de recursos para asumir gastos u obligaciones. Esta obligación es una expresión del principio de legalidad del gasto público que se enmarca en el mandato constitucional de la legalidad de las actuaciones públicas y que permea todo el régimen regulado por el</w:t>
            </w:r>
            <w:r w:rsidRPr="00FA2AE1">
              <w:rPr>
                <w:rFonts w:ascii="Verdana" w:eastAsia="Calibri" w:hAnsi="Verdana" w:cs="Arial"/>
                <w:color w:val="000000" w:themeColor="text1"/>
                <w:lang w:val="es-ES"/>
              </w:rPr>
              <w:t xml:space="preserve"> Estatuto Orgánico del Presupuesto</w:t>
            </w:r>
            <w:r w:rsidRPr="00FA2AE1">
              <w:rPr>
                <w:rFonts w:ascii="Verdana" w:eastAsia="Calibri" w:hAnsi="Verdana" w:cs="Arial"/>
                <w:bCs/>
                <w:color w:val="000000" w:themeColor="text1"/>
                <w:lang w:val="es-ES"/>
              </w:rPr>
              <w:t xml:space="preserve">. </w:t>
            </w:r>
          </w:p>
          <w:p w14:paraId="49E3C1DF" w14:textId="77777777" w:rsidR="005133C3" w:rsidRPr="00FA2AE1" w:rsidRDefault="005133C3" w:rsidP="006F39F8">
            <w:pPr>
              <w:spacing w:before="120"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sidRPr="00FA2AE1">
              <w:rPr>
                <w:rFonts w:ascii="Verdana" w:eastAsia="Calibri" w:hAnsi="Verdana" w:cs="Arial"/>
                <w:bCs/>
                <w:color w:val="000000" w:themeColor="text1"/>
                <w:lang w:val="es-ES"/>
              </w:rPr>
              <w:t xml:space="preserve">En este tipo de situaciones de reconocimientos y revisiones en la liquidación del contrato, su cumplimiento se refleja necesariamente mediante la expedición del </w:t>
            </w:r>
            <w:r w:rsidRPr="00FA2AE1">
              <w:rPr>
                <w:rFonts w:ascii="Verdana" w:eastAsia="Calibri" w:hAnsi="Verdana" w:cs="Arial"/>
                <w:color w:val="000000" w:themeColor="text1"/>
                <w:lang w:val="es-ES"/>
              </w:rPr>
              <w:t xml:space="preserve">Certificado de Disponibilidad Presupuestal </w:t>
            </w:r>
            <w:r w:rsidRPr="00FA2AE1">
              <w:rPr>
                <w:rFonts w:ascii="Verdana" w:eastAsia="Times New Roman" w:hAnsi="Verdana" w:cs="Arial"/>
                <w:color w:val="000000" w:themeColor="text1"/>
                <w:lang w:val="es-ES" w:eastAsia="es-ES_tradnl"/>
              </w:rPr>
              <w:t>–CDP-</w:t>
            </w:r>
            <w:r w:rsidRPr="00FA2AE1">
              <w:rPr>
                <w:rFonts w:ascii="Verdana" w:eastAsia="Calibri" w:hAnsi="Verdana" w:cs="Arial"/>
                <w:color w:val="000000" w:themeColor="text1"/>
                <w:lang w:val="es-ES"/>
              </w:rPr>
              <w:t xml:space="preserve"> de forma previa a que la entidad asuma obligaciones o compromisos de este tipo, como una garantía de la existencia de recursos suficientes para atender los gastos que serán asumidos por el Estado. Para </w:t>
            </w:r>
            <w:r w:rsidRPr="00FA2AE1">
              <w:rPr>
                <w:rFonts w:ascii="Verdana" w:eastAsia="Calibri" w:hAnsi="Verdana" w:cs="Arial"/>
                <w:color w:val="000000" w:themeColor="text1"/>
              </w:rPr>
              <w:t xml:space="preserve">el reconocimiento efectivo de las revisiones y ajustes en la liquidación del contrato se exige a la entidad estatal contar con un Registro Presupuestal –RP- que consiste en la certificación de apropiación de presupuesto con destino al cumplimiento de las obligaciones pecuniarias estipuladas, ya sea en el acta de liquidación bilateral, el acto administrativo que liquida unilateralmente el contrato, o el acto administrativo de ejecución que se limita a cumplir la decisión judicial que liquida el contrato. </w:t>
            </w:r>
          </w:p>
          <w:p w14:paraId="41916200" w14:textId="77777777" w:rsidR="005133C3" w:rsidRPr="00FA2AE1" w:rsidRDefault="005133C3" w:rsidP="006F39F8">
            <w:pPr>
              <w:widowControl w:val="0"/>
              <w:autoSpaceDE w:val="0"/>
              <w:autoSpaceDN w:val="0"/>
              <w:spacing w:before="120" w:after="120" w:line="276" w:lineRule="auto"/>
              <w:ind w:firstLine="708"/>
              <w:jc w:val="both"/>
              <w:rPr>
                <w:rFonts w:ascii="Verdana" w:hAnsi="Verdana"/>
              </w:rPr>
            </w:pPr>
            <w:r w:rsidRPr="00FA2AE1">
              <w:rPr>
                <w:rFonts w:ascii="Verdana" w:hAnsi="Verdana" w:cs="Arial"/>
                <w:lang w:eastAsia="es-ES"/>
              </w:rPr>
              <w:t>Al margen de la explicación precedente debe advertirse que el análisis requerido para resolver problemas específicos en torno a los reconocimientos económicos derivados de revisiones, ajustes, o el reconocimiento de ítems no previstos en el contrato, debe realizarse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w:t>
            </w:r>
          </w:p>
        </w:tc>
      </w:tr>
    </w:tbl>
    <w:p w14:paraId="466B26D2" w14:textId="77777777" w:rsidR="005133C3" w:rsidRPr="00A04C35" w:rsidRDefault="005133C3" w:rsidP="005133C3">
      <w:pPr>
        <w:spacing w:after="0" w:line="276" w:lineRule="auto"/>
        <w:jc w:val="both"/>
        <w:rPr>
          <w:rFonts w:ascii="Verdana" w:eastAsia="Calibri" w:hAnsi="Verdana" w:cs="Arial"/>
          <w:bCs/>
          <w:color w:val="000000" w:themeColor="text1"/>
        </w:rPr>
      </w:pPr>
    </w:p>
    <w:p w14:paraId="17BD1544" w14:textId="77777777" w:rsidR="005133C3" w:rsidRPr="00A04C35" w:rsidRDefault="005133C3" w:rsidP="005133C3">
      <w:pPr>
        <w:numPr>
          <w:ilvl w:val="0"/>
          <w:numId w:val="19"/>
        </w:numPr>
        <w:tabs>
          <w:tab w:val="left" w:pos="2268"/>
        </w:tabs>
        <w:spacing w:after="0" w:line="256" w:lineRule="auto"/>
        <w:rPr>
          <w:rFonts w:ascii="Verdana" w:eastAsia="Calibri" w:hAnsi="Verdana" w:cs="Times New Roman"/>
          <w:b/>
          <w:bCs/>
          <w:lang w:val="es-ES"/>
        </w:rPr>
      </w:pPr>
      <w:r w:rsidRPr="00A04C35">
        <w:rPr>
          <w:rFonts w:ascii="Verdana" w:eastAsia="Calibri" w:hAnsi="Verdana" w:cs="Times New Roman"/>
          <w:b/>
          <w:bCs/>
          <w:lang w:val="es-ES"/>
        </w:rPr>
        <w:t>Razones de la respuesta:</w:t>
      </w:r>
    </w:p>
    <w:p w14:paraId="4BE5A1E0" w14:textId="77777777" w:rsidR="005133C3" w:rsidRPr="00A04C35" w:rsidRDefault="005133C3" w:rsidP="005133C3">
      <w:pPr>
        <w:spacing w:after="0" w:line="256" w:lineRule="auto"/>
        <w:rPr>
          <w:rFonts w:ascii="Verdana" w:eastAsia="Calibri" w:hAnsi="Verdana" w:cs="Times New Roman"/>
          <w:b/>
          <w:bCs/>
          <w:lang w:val="es-ES"/>
        </w:rPr>
      </w:pPr>
    </w:p>
    <w:p w14:paraId="437FF5DA" w14:textId="77777777" w:rsidR="005133C3" w:rsidRPr="00A04C35" w:rsidRDefault="005133C3" w:rsidP="005133C3">
      <w:pPr>
        <w:spacing w:after="0" w:line="276" w:lineRule="auto"/>
        <w:jc w:val="both"/>
        <w:rPr>
          <w:rFonts w:ascii="Verdana" w:eastAsia="Calibri" w:hAnsi="Verdana" w:cs="Arial"/>
          <w:lang w:val="es-ES"/>
        </w:rPr>
      </w:pPr>
      <w:r w:rsidRPr="00A04C35">
        <w:rPr>
          <w:rFonts w:ascii="Verdana" w:eastAsia="Calibri" w:hAnsi="Verdana" w:cs="Arial"/>
          <w:lang w:val="es-ES"/>
        </w:rPr>
        <w:t xml:space="preserve">Lo anterior se sustenta en las siguientes consideraciones: </w:t>
      </w:r>
    </w:p>
    <w:p w14:paraId="1F07801E" w14:textId="77777777" w:rsidR="005133C3" w:rsidRPr="00A04C35" w:rsidRDefault="005133C3" w:rsidP="005133C3">
      <w:pPr>
        <w:spacing w:after="0" w:line="276" w:lineRule="auto"/>
        <w:jc w:val="both"/>
        <w:rPr>
          <w:rFonts w:ascii="Verdana" w:eastAsia="Calibri" w:hAnsi="Verdana" w:cs="Arial"/>
          <w:color w:val="000000" w:themeColor="text1"/>
          <w:lang w:val="es-ES"/>
        </w:rPr>
      </w:pPr>
      <w:bookmarkStart w:id="2" w:name="_Hlk78820161"/>
    </w:p>
    <w:p w14:paraId="7DCAC328" w14:textId="77777777" w:rsidR="005133C3" w:rsidRPr="00A04C35" w:rsidRDefault="005133C3" w:rsidP="005133C3">
      <w:pPr>
        <w:spacing w:after="0" w:line="276" w:lineRule="auto"/>
        <w:jc w:val="both"/>
        <w:rPr>
          <w:rFonts w:ascii="Verdana" w:eastAsia="Times New Roman" w:hAnsi="Verdana" w:cs="Arial"/>
          <w:color w:val="000000"/>
          <w:lang w:val="es-ES"/>
        </w:rPr>
      </w:pPr>
      <w:r w:rsidRPr="00A04C35">
        <w:rPr>
          <w:rFonts w:ascii="Verdana" w:eastAsia="Times New Roman" w:hAnsi="Verdana" w:cs="Arial"/>
          <w:color w:val="000000"/>
          <w:lang w:val="es-ES"/>
        </w:rPr>
        <w:t>i.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A04C35">
        <w:rPr>
          <w:rFonts w:ascii="Verdana" w:eastAsia="Times New Roman" w:hAnsi="Verdana" w:cs="Arial"/>
          <w:color w:val="000000"/>
          <w:vertAlign w:val="superscript"/>
          <w:lang w:val="es-ES"/>
        </w:rPr>
        <w:footnoteReference w:id="2"/>
      </w:r>
      <w:r w:rsidRPr="00A04C35">
        <w:rPr>
          <w:rFonts w:ascii="Verdana" w:eastAsia="Times New Roman" w:hAnsi="Verdana" w:cs="Arial"/>
          <w:color w:val="000000"/>
          <w:lang w:val="es-ES"/>
        </w:rPr>
        <w:t>. En armonía con lo anterior, la doctrina ha definido la liquidación de la siguiente manera:</w:t>
      </w:r>
    </w:p>
    <w:p w14:paraId="66ADC193" w14:textId="77777777" w:rsidR="005133C3" w:rsidRPr="00A04C35" w:rsidRDefault="005133C3" w:rsidP="005133C3">
      <w:pPr>
        <w:spacing w:after="0" w:line="240" w:lineRule="auto"/>
        <w:jc w:val="both"/>
        <w:rPr>
          <w:rFonts w:ascii="Verdana" w:eastAsia="Times New Roman" w:hAnsi="Verdana" w:cs="Arial"/>
          <w:color w:val="000000"/>
          <w:lang w:val="es-ES_tradnl"/>
        </w:rPr>
      </w:pPr>
    </w:p>
    <w:p w14:paraId="32E821E9" w14:textId="77777777" w:rsidR="005133C3" w:rsidRPr="00A04C35" w:rsidRDefault="005133C3" w:rsidP="005133C3">
      <w:pPr>
        <w:spacing w:after="0" w:line="240" w:lineRule="auto"/>
        <w:ind w:left="709" w:right="758"/>
        <w:jc w:val="both"/>
        <w:rPr>
          <w:rFonts w:ascii="Verdana" w:eastAsia="Times New Roman" w:hAnsi="Verdana" w:cs="Arial"/>
          <w:sz w:val="20"/>
          <w:szCs w:val="20"/>
          <w:lang w:val="es-MX"/>
        </w:rPr>
      </w:pPr>
      <w:r w:rsidRPr="00A04C35">
        <w:rPr>
          <w:rFonts w:ascii="Verdana" w:eastAsia="Times New Roman" w:hAnsi="Verdana" w:cs="Arial"/>
          <w:i/>
          <w:iCs/>
          <w:color w:val="000000"/>
          <w:sz w:val="20"/>
          <w:szCs w:val="20"/>
          <w:lang w:val="es-ES_tradnl"/>
        </w:rPr>
        <w:t>“</w:t>
      </w:r>
      <w:r w:rsidRPr="00A04C35">
        <w:rPr>
          <w:rFonts w:ascii="Verdana" w:eastAsia="Times New Roman" w:hAnsi="Verdana" w:cs="Arial"/>
          <w:sz w:val="20"/>
          <w:szCs w:val="20"/>
          <w:lang w:val="es-MX"/>
        </w:rPr>
        <w:t>[…]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A04C35">
        <w:rPr>
          <w:rFonts w:ascii="Verdana" w:eastAsia="Times New Roman" w:hAnsi="Verdana" w:cs="Arial"/>
          <w:sz w:val="20"/>
          <w:szCs w:val="20"/>
          <w:vertAlign w:val="superscript"/>
          <w:lang w:val="es-MX"/>
        </w:rPr>
        <w:footnoteReference w:id="3"/>
      </w:r>
      <w:r w:rsidRPr="00A04C35">
        <w:rPr>
          <w:rFonts w:ascii="Verdana" w:eastAsia="Times New Roman" w:hAnsi="Verdana" w:cs="Arial"/>
          <w:sz w:val="20"/>
          <w:szCs w:val="20"/>
          <w:lang w:val="es-MX"/>
        </w:rPr>
        <w:t>.</w:t>
      </w:r>
    </w:p>
    <w:p w14:paraId="0E69A4A4" w14:textId="77777777" w:rsidR="005133C3" w:rsidRPr="00A04C35" w:rsidRDefault="005133C3" w:rsidP="005133C3">
      <w:pPr>
        <w:spacing w:after="0" w:line="276" w:lineRule="auto"/>
        <w:jc w:val="both"/>
        <w:rPr>
          <w:rFonts w:ascii="Verdana" w:eastAsia="Times New Roman" w:hAnsi="Verdana" w:cs="Arial"/>
          <w:color w:val="000000"/>
          <w:lang w:val="es-ES_tradnl"/>
        </w:rPr>
      </w:pPr>
    </w:p>
    <w:p w14:paraId="05DDD583" w14:textId="77777777" w:rsidR="005133C3" w:rsidRPr="00A04C35" w:rsidRDefault="005133C3" w:rsidP="005133C3">
      <w:pPr>
        <w:spacing w:after="120" w:line="276" w:lineRule="auto"/>
        <w:ind w:firstLine="709"/>
        <w:jc w:val="both"/>
        <w:rPr>
          <w:rFonts w:ascii="Verdana" w:eastAsia="Times New Roman" w:hAnsi="Verdana" w:cs="Arial"/>
          <w:color w:val="000000"/>
          <w:sz w:val="21"/>
          <w:szCs w:val="21"/>
          <w:lang w:val="es-ES_tradnl" w:eastAsia="es-ES_tradnl"/>
        </w:rPr>
      </w:pPr>
      <w:r w:rsidRPr="00A04C35">
        <w:rPr>
          <w:rFonts w:ascii="Verdana" w:eastAsia="Times New Roman" w:hAnsi="Verdana" w:cs="Arial"/>
          <w:color w:val="000000"/>
          <w:szCs w:val="24"/>
          <w:lang w:val="es-ES_tradnl" w:eastAsia="es-ES_tradnl"/>
        </w:rPr>
        <w:t xml:space="preserve">Según lo expuesto, la liquidación es el ajuste de cuentas donde las partes hacen un balance económico, técnico y jurídico del cumplimiento de las </w:t>
      </w:r>
      <w:r w:rsidRPr="00A04C35">
        <w:rPr>
          <w:rFonts w:ascii="Verdana" w:eastAsia="Times New Roman" w:hAnsi="Verdana" w:cs="Arial"/>
          <w:color w:val="000000"/>
          <w:szCs w:val="24"/>
          <w:lang w:val="es-ES_tradnl" w:eastAsia="es-ES_tradnl"/>
        </w:rPr>
        <w:lastRenderedPageBreak/>
        <w:t xml:space="preserve">obligaciones que tienen a su cargo. Así lo manifestó el Consejo de Estado en la Sentencia del 20 de octubre de 2014, en la que consideró, por un lado, que </w:t>
      </w:r>
      <w:r w:rsidRPr="00A04C35">
        <w:rPr>
          <w:rFonts w:ascii="Verdana" w:eastAsia="Times New Roman" w:hAnsi="Verdana" w:cs="Arial"/>
          <w:i/>
          <w:iCs/>
          <w:color w:val="000000"/>
          <w:szCs w:val="24"/>
          <w:lang w:val="es-ES_tradnl" w:eastAsia="es-ES_tradnl"/>
        </w:rPr>
        <w:t>liquidar</w:t>
      </w:r>
      <w:r w:rsidRPr="00A04C35">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A04C35">
        <w:rPr>
          <w:rFonts w:ascii="Verdana" w:eastAsia="Times New Roman" w:hAnsi="Verdana" w:cs="Arial"/>
          <w:i/>
          <w:iCs/>
          <w:color w:val="000000"/>
          <w:szCs w:val="24"/>
          <w:lang w:val="es-ES_tradnl" w:eastAsia="es-ES_tradnl"/>
        </w:rPr>
        <w:t>liquidación</w:t>
      </w:r>
      <w:r w:rsidRPr="00A04C35">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A04C35">
        <w:rPr>
          <w:rFonts w:ascii="Verdana" w:eastAsia="Times New Roman" w:hAnsi="Verdana" w:cs="Arial"/>
          <w:color w:val="000000"/>
          <w:szCs w:val="24"/>
          <w:vertAlign w:val="superscript"/>
          <w:lang w:val="es-ES_tradnl" w:eastAsia="es-ES_tradnl"/>
        </w:rPr>
        <w:footnoteReference w:id="4"/>
      </w:r>
      <w:r w:rsidRPr="00A04C35">
        <w:rPr>
          <w:rFonts w:ascii="Verdana" w:eastAsia="Times New Roman" w:hAnsi="Verdana" w:cs="Arial"/>
          <w:color w:val="000000"/>
          <w:szCs w:val="24"/>
          <w:lang w:val="es-ES_tradnl" w:eastAsia="es-ES_tradnl"/>
        </w:rPr>
        <w:t xml:space="preserve">. </w:t>
      </w:r>
    </w:p>
    <w:p w14:paraId="2A54C354" w14:textId="77777777" w:rsidR="005133C3" w:rsidRPr="00A04C35" w:rsidRDefault="005133C3" w:rsidP="005133C3">
      <w:pPr>
        <w:spacing w:after="0" w:line="276" w:lineRule="auto"/>
        <w:ind w:firstLine="709"/>
        <w:jc w:val="both"/>
        <w:rPr>
          <w:rFonts w:ascii="Verdana" w:eastAsia="Times New Roman" w:hAnsi="Verdana" w:cs="Arial"/>
          <w:color w:val="000000"/>
          <w:lang w:val="es-ES_tradnl"/>
        </w:rPr>
      </w:pPr>
      <w:r w:rsidRPr="00A04C35">
        <w:rPr>
          <w:rFonts w:ascii="Verdana" w:eastAsia="Times New Roman" w:hAnsi="Verdana" w:cs="Arial"/>
          <w:color w:val="000000"/>
          <w:lang w:val="es-ES_tradnl"/>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10D644F6" w14:textId="77777777" w:rsidR="005133C3" w:rsidRPr="00A04C35" w:rsidRDefault="005133C3" w:rsidP="005133C3">
      <w:pPr>
        <w:spacing w:after="0" w:line="276" w:lineRule="auto"/>
        <w:ind w:firstLine="708"/>
        <w:jc w:val="both"/>
        <w:rPr>
          <w:rFonts w:ascii="Verdana" w:eastAsia="Times New Roman" w:hAnsi="Verdana" w:cs="Arial"/>
          <w:lang w:val="es-ES"/>
        </w:rPr>
      </w:pPr>
    </w:p>
    <w:p w14:paraId="072043DF" w14:textId="77777777" w:rsidR="005133C3" w:rsidRPr="00A04C35" w:rsidRDefault="005133C3" w:rsidP="005133C3">
      <w:pPr>
        <w:spacing w:after="0" w:line="240" w:lineRule="auto"/>
        <w:ind w:left="709" w:right="758"/>
        <w:jc w:val="both"/>
        <w:rPr>
          <w:rFonts w:ascii="Verdana" w:eastAsia="Times New Roman" w:hAnsi="Verdana" w:cs="Arial"/>
          <w:sz w:val="21"/>
          <w:szCs w:val="21"/>
          <w:lang w:val="es-MX"/>
        </w:rPr>
      </w:pPr>
      <w:r w:rsidRPr="00A04C35">
        <w:rPr>
          <w:rFonts w:ascii="Verdana" w:eastAsia="Times New Roman" w:hAnsi="Verdana" w:cs="Arial"/>
          <w:sz w:val="21"/>
          <w:szCs w:val="21"/>
          <w:lang w:val="es-ES"/>
        </w:rPr>
        <w:t>“</w:t>
      </w:r>
      <w:r w:rsidRPr="00A04C35">
        <w:rPr>
          <w:rFonts w:ascii="Verdana" w:eastAsia="Times New Roman" w:hAnsi="Verdana" w:cs="Arial"/>
          <w:sz w:val="21"/>
          <w:szCs w:val="21"/>
          <w:lang w:val="es-MX"/>
        </w:rPr>
        <w:t xml:space="preserve">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w:t>
      </w:r>
      <w:r w:rsidRPr="00A04C35">
        <w:rPr>
          <w:rFonts w:ascii="Verdana" w:eastAsia="Times New Roman" w:hAnsi="Verdana" w:cs="Arial"/>
          <w:sz w:val="23"/>
          <w:szCs w:val="23"/>
          <w:lang w:val="es-MX"/>
        </w:rPr>
        <w:t>‘</w:t>
      </w:r>
      <w:r w:rsidRPr="00A04C35">
        <w:rPr>
          <w:rFonts w:ascii="Verdana" w:eastAsia="Times New Roman" w:hAnsi="Verdana" w:cs="Arial"/>
          <w:sz w:val="21"/>
          <w:szCs w:val="21"/>
          <w:lang w:val="es-MX"/>
        </w:rPr>
        <w:t>los acuerdos, conciliaciones y transacciones a que llegaren las partes para poner fin a las divergencias presentadas y poder declararse a paz y salvo’”</w:t>
      </w:r>
      <w:r w:rsidRPr="00A04C35">
        <w:rPr>
          <w:rFonts w:ascii="Verdana" w:eastAsia="Times New Roman" w:hAnsi="Verdana" w:cs="Arial"/>
          <w:sz w:val="21"/>
          <w:szCs w:val="21"/>
          <w:vertAlign w:val="superscript"/>
          <w:lang w:val="es-MX"/>
        </w:rPr>
        <w:footnoteReference w:id="5"/>
      </w:r>
      <w:r w:rsidRPr="00A04C35">
        <w:rPr>
          <w:rFonts w:ascii="Verdana" w:eastAsia="Times New Roman" w:hAnsi="Verdana" w:cs="Arial"/>
          <w:sz w:val="21"/>
          <w:szCs w:val="21"/>
          <w:lang w:val="es-MX"/>
        </w:rPr>
        <w:t>.</w:t>
      </w:r>
    </w:p>
    <w:p w14:paraId="7BD885D2" w14:textId="77777777" w:rsidR="005133C3" w:rsidRPr="00A04C35" w:rsidRDefault="005133C3" w:rsidP="005133C3">
      <w:pPr>
        <w:spacing w:after="0" w:line="276" w:lineRule="auto"/>
        <w:ind w:left="709" w:right="758"/>
        <w:jc w:val="both"/>
        <w:rPr>
          <w:rFonts w:ascii="Verdana" w:eastAsia="Times New Roman" w:hAnsi="Verdana" w:cs="Arial"/>
          <w:lang w:val="es-MX"/>
        </w:rPr>
      </w:pPr>
    </w:p>
    <w:p w14:paraId="3C92B1E4" w14:textId="77777777" w:rsidR="005133C3" w:rsidRPr="00A04C35" w:rsidRDefault="005133C3" w:rsidP="005133C3">
      <w:pPr>
        <w:spacing w:after="0" w:line="276" w:lineRule="auto"/>
        <w:ind w:firstLine="708"/>
        <w:jc w:val="both"/>
        <w:rPr>
          <w:rFonts w:ascii="Verdana" w:eastAsia="Times New Roman" w:hAnsi="Verdana" w:cs="Arial"/>
          <w:color w:val="000000"/>
          <w:lang w:val="es-ES_tradnl"/>
        </w:rPr>
      </w:pPr>
      <w:r w:rsidRPr="00A04C35">
        <w:rPr>
          <w:rFonts w:ascii="Verdana" w:eastAsia="Times New Roman" w:hAnsi="Verdana" w:cs="Arial"/>
          <w:color w:val="000000"/>
          <w:lang w:val="es-MX"/>
        </w:rPr>
        <w:t xml:space="preserve">De </w:t>
      </w:r>
      <w:r w:rsidRPr="00A04C35">
        <w:rPr>
          <w:rFonts w:ascii="Verdana" w:eastAsia="Times New Roman" w:hAnsi="Verdana" w:cs="Arial"/>
          <w:color w:val="000000"/>
          <w:lang w:val="es-ES_tradnl"/>
        </w:rPr>
        <w:t xml:space="preserve">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Adicionalmente, en los contratos </w:t>
      </w:r>
      <w:r w:rsidRPr="00A04C35">
        <w:rPr>
          <w:rFonts w:ascii="Verdana" w:eastAsia="Times New Roman" w:hAnsi="Verdana" w:cs="Arial"/>
          <w:color w:val="000000"/>
          <w:lang w:val="es-ES_tradnl"/>
        </w:rPr>
        <w:lastRenderedPageBreak/>
        <w:t>las entidades estatales deben definir la oportunidad y forma de recibir el objeto contratado y, en cada caso, si un contrato requiere o no de liquidación, con arreglo a criterios tales como la naturaleza, objeto y plazo del contrato</w:t>
      </w:r>
      <w:r w:rsidRPr="00A04C35">
        <w:rPr>
          <w:rFonts w:ascii="Verdana" w:eastAsia="Times New Roman" w:hAnsi="Verdana" w:cs="Arial"/>
          <w:color w:val="000000"/>
          <w:vertAlign w:val="superscript"/>
          <w:lang w:val="es-ES_tradnl"/>
        </w:rPr>
        <w:footnoteReference w:id="6"/>
      </w:r>
      <w:r w:rsidRPr="00A04C35">
        <w:rPr>
          <w:rFonts w:ascii="Verdana" w:eastAsia="Times New Roman" w:hAnsi="Verdana" w:cs="Arial"/>
          <w:color w:val="000000"/>
          <w:lang w:val="es-ES_tradnl"/>
        </w:rPr>
        <w:t xml:space="preserve">, así como la probabilidad de que puedan surgir diferencias durante la ejecución del contrato; sin perjuicio de que, como se indicó, todos los contratos estatales de </w:t>
      </w:r>
      <w:r w:rsidRPr="00A04C35">
        <w:rPr>
          <w:rFonts w:ascii="Verdana" w:eastAsia="Times New Roman" w:hAnsi="Verdana" w:cs="Arial"/>
          <w:i/>
          <w:iCs/>
          <w:color w:val="000000"/>
          <w:lang w:val="es-ES_tradnl"/>
        </w:rPr>
        <w:t>tracto sucesivo</w:t>
      </w:r>
      <w:r w:rsidRPr="00A04C35">
        <w:rPr>
          <w:rFonts w:ascii="Verdana" w:eastAsia="Times New Roman" w:hAnsi="Verdana" w:cs="Arial"/>
          <w:color w:val="000000"/>
          <w:lang w:val="es-ES_tradnl"/>
        </w:rPr>
        <w:t xml:space="preserve"> o aquellos cuya ejecución se prolongue en el tiempo siempre deban liquidarse, convirtiéndose en estos contratos en una cláusula de la naturaleza, conforme a la clasificación prevista en el Código Civil.</w:t>
      </w:r>
    </w:p>
    <w:p w14:paraId="62BF412E" w14:textId="77777777" w:rsidR="005133C3" w:rsidRPr="00A04C35" w:rsidRDefault="005133C3" w:rsidP="005133C3">
      <w:pPr>
        <w:spacing w:after="0" w:line="276" w:lineRule="auto"/>
        <w:jc w:val="both"/>
        <w:rPr>
          <w:rFonts w:ascii="Verdana" w:eastAsia="Times New Roman" w:hAnsi="Verdana" w:cs="Arial"/>
          <w:color w:val="000000"/>
          <w:lang w:val="es-ES"/>
        </w:rPr>
      </w:pPr>
    </w:p>
    <w:p w14:paraId="5E347B3E" w14:textId="77777777" w:rsidR="005133C3" w:rsidRPr="00A04C35" w:rsidRDefault="005133C3" w:rsidP="005133C3">
      <w:pPr>
        <w:spacing w:after="0" w:line="276" w:lineRule="auto"/>
        <w:jc w:val="both"/>
        <w:rPr>
          <w:rFonts w:ascii="Verdana" w:hAnsi="Verdana"/>
        </w:rPr>
      </w:pPr>
      <w:r w:rsidRPr="00A04C35">
        <w:rPr>
          <w:rFonts w:ascii="Verdana" w:eastAsia="Times New Roman" w:hAnsi="Verdana" w:cs="Arial"/>
          <w:color w:val="000000"/>
          <w:lang w:val="es-ES"/>
        </w:rPr>
        <w:t xml:space="preserve">ii. </w:t>
      </w:r>
      <w:r w:rsidRPr="00A04C35">
        <w:rPr>
          <w:rFonts w:ascii="Verdana" w:hAnsi="Verdana"/>
        </w:rPr>
        <w:t xml:space="preserve">La liquidación bilateral es el negocio jurídico entre el contratista y la Administración, la cual está contenida en un acta en la que se estipula el ajuste de cuentas, originado por la terminación del contrato o por el disenso de las partes. En tal sentido, la liquidación bilateral o de mutuo acuerdo, tiene como finalidad principal el ajuste de cuentas entre los contratantes y precisar las prestaciones pendientes del contrato. Asimismo, Díaz Díez la define: </w:t>
      </w:r>
    </w:p>
    <w:p w14:paraId="1E68EB31" w14:textId="77777777" w:rsidR="005133C3" w:rsidRPr="00A04C35" w:rsidRDefault="005133C3" w:rsidP="005133C3">
      <w:pPr>
        <w:spacing w:after="0" w:line="240" w:lineRule="auto"/>
        <w:jc w:val="both"/>
        <w:rPr>
          <w:rFonts w:ascii="Verdana" w:hAnsi="Verdana"/>
        </w:rPr>
      </w:pPr>
    </w:p>
    <w:p w14:paraId="3A137F55" w14:textId="77777777" w:rsidR="005133C3" w:rsidRPr="00A04C35" w:rsidRDefault="005133C3" w:rsidP="005133C3">
      <w:pPr>
        <w:spacing w:after="0" w:line="240" w:lineRule="auto"/>
        <w:ind w:left="850" w:right="850"/>
        <w:jc w:val="both"/>
        <w:rPr>
          <w:rFonts w:ascii="Verdana" w:hAnsi="Verdana"/>
          <w:sz w:val="21"/>
          <w:szCs w:val="21"/>
        </w:rPr>
      </w:pPr>
      <w:r w:rsidRPr="00A04C35">
        <w:rPr>
          <w:rFonts w:ascii="Verdana" w:hAnsi="Verdana"/>
          <w:sz w:val="21"/>
          <w:szCs w:val="21"/>
        </w:rPr>
        <w:t>“La liquidación bilateral es el negocio jurídico, suscrito de común acuerdo entre las partes del contrato, plasmado en un acta en la que se expresa el ajuste de cuentas derivado de la terminación del objeto contractual o del disenso recíproco de los contratantes, y en la que, igualmente, se establece el estado de las obligaciones, con el fin de conseguir el correspondiente paz y salvo, o de prever, formalmente, las obligaciones pendientes, así como la fecha en la que se cumplirán</w:t>
      </w:r>
      <w:r w:rsidRPr="00A04C35">
        <w:rPr>
          <w:rFonts w:ascii="Verdana" w:hAnsi="Verdana"/>
          <w:color w:val="000000"/>
          <w:sz w:val="21"/>
          <w:szCs w:val="21"/>
        </w:rPr>
        <w:t>”</w:t>
      </w:r>
      <w:r w:rsidRPr="00A04C35">
        <w:rPr>
          <w:rFonts w:ascii="Verdana" w:hAnsi="Verdana"/>
          <w:sz w:val="21"/>
          <w:szCs w:val="21"/>
          <w:vertAlign w:val="superscript"/>
        </w:rPr>
        <w:footnoteReference w:id="7"/>
      </w:r>
      <w:r w:rsidRPr="00A04C35">
        <w:rPr>
          <w:rFonts w:ascii="Verdana" w:hAnsi="Verdana"/>
          <w:sz w:val="21"/>
          <w:szCs w:val="21"/>
        </w:rPr>
        <w:t xml:space="preserve">.  </w:t>
      </w:r>
    </w:p>
    <w:p w14:paraId="1908B320" w14:textId="77777777" w:rsidR="005133C3" w:rsidRPr="00A04C35" w:rsidRDefault="005133C3" w:rsidP="005133C3">
      <w:pPr>
        <w:spacing w:after="0" w:line="240" w:lineRule="auto"/>
        <w:jc w:val="both"/>
        <w:rPr>
          <w:rFonts w:ascii="Verdana" w:hAnsi="Verdana"/>
          <w:b/>
        </w:rPr>
      </w:pPr>
    </w:p>
    <w:p w14:paraId="7DCCA4E5" w14:textId="77777777" w:rsidR="005133C3" w:rsidRPr="00A04C35" w:rsidRDefault="005133C3" w:rsidP="005133C3">
      <w:pPr>
        <w:spacing w:after="120" w:line="276" w:lineRule="auto"/>
        <w:ind w:firstLine="709"/>
        <w:jc w:val="both"/>
        <w:rPr>
          <w:rFonts w:ascii="Verdana" w:hAnsi="Verdana"/>
        </w:rPr>
      </w:pPr>
      <w:r w:rsidRPr="00A04C35">
        <w:rPr>
          <w:rFonts w:ascii="Verdana" w:hAnsi="Verdana"/>
        </w:rPr>
        <w:t>Bajo esta misma idea, Juan Ángel Palacio Hincapié expresa que el acta de liquidación es un medio para conciliar y transigir las diferencias, evitando así pleitos futuros entre la Administración y el contratista por sobrecostos, compensaciones o reconocimientos en la ejecución del contrato</w:t>
      </w:r>
      <w:r w:rsidRPr="00A04C35">
        <w:rPr>
          <w:rFonts w:ascii="Verdana" w:hAnsi="Verdana"/>
          <w:vertAlign w:val="superscript"/>
        </w:rPr>
        <w:footnoteReference w:id="8"/>
      </w:r>
      <w:r w:rsidRPr="00A04C35">
        <w:rPr>
          <w:rFonts w:ascii="Verdana" w:hAnsi="Verdana"/>
        </w:rPr>
        <w:t xml:space="preserve">. Al respecto, el Consejo de Estado ha expresado entre otras cosas que la liquidación bilateral es el acuerdo entre las partes, para precisar los derechos y obligaciones que </w:t>
      </w:r>
      <w:r w:rsidRPr="00A04C35">
        <w:rPr>
          <w:rFonts w:ascii="Verdana" w:hAnsi="Verdana"/>
        </w:rPr>
        <w:lastRenderedPageBreak/>
        <w:t>subsisten, con el fin de extinguir definitivamente las relaciones jurídicas que se derivaron del contrato estatal</w:t>
      </w:r>
      <w:r w:rsidRPr="00A04C35">
        <w:rPr>
          <w:rFonts w:ascii="Verdana" w:hAnsi="Verdana"/>
          <w:vertAlign w:val="superscript"/>
        </w:rPr>
        <w:footnoteReference w:id="9"/>
      </w:r>
      <w:r w:rsidRPr="00A04C35">
        <w:rPr>
          <w:rFonts w:ascii="Verdana" w:hAnsi="Verdana"/>
        </w:rPr>
        <w:t xml:space="preserve">. </w:t>
      </w:r>
    </w:p>
    <w:p w14:paraId="2EDECFF7" w14:textId="77777777" w:rsidR="005133C3" w:rsidRPr="00A04C35" w:rsidRDefault="005133C3" w:rsidP="005133C3">
      <w:pPr>
        <w:spacing w:after="120" w:line="276" w:lineRule="auto"/>
        <w:ind w:firstLine="708"/>
        <w:jc w:val="both"/>
        <w:rPr>
          <w:rFonts w:ascii="Verdana" w:hAnsi="Verdana"/>
        </w:rPr>
      </w:pPr>
      <w:r w:rsidRPr="00A04C35">
        <w:rPr>
          <w:rFonts w:ascii="Verdana" w:hAnsi="Verdana"/>
        </w:rPr>
        <w:t>De las definiciones expuestas, se infiere que la liquidación bilateral o de mutuo acuerdo tiene una naturaleza negocial, es decir, es un negocio jurídico, lo que implica que es un acto cuya voluntad se encamina a la producción de efectos jurídicos. Se determina que ese negocio jurídico, se manifiesta en un acta que configura un título ejecutivo, pues contiene obligaciones claras, expresas y exigibles. Al comprender la liquidación como un negocio, implica aludir a sus elementos de existencia y de validez. Es así que, los requisitos o condiciones de esta cláusula como negocio jurídico</w:t>
      </w:r>
      <w:r w:rsidRPr="00A04C35">
        <w:rPr>
          <w:rFonts w:ascii="Verdana" w:hAnsi="Verdana"/>
          <w:vertAlign w:val="superscript"/>
        </w:rPr>
        <w:footnoteReference w:id="10"/>
      </w:r>
      <w:r w:rsidRPr="00A04C35">
        <w:rPr>
          <w:rFonts w:ascii="Verdana" w:hAnsi="Verdana"/>
        </w:rPr>
        <w:t xml:space="preserve"> son: i) la manifestación de voluntad de los sujetos de la relación jurídica, la cual debe exteriorizarse, ya que el derecho le interesa los actos que trascienden del fuero interno; y ii) el objeto jurídico, que consiste que la manifestación de voluntad debe encaminarse a la producción de efectos jurídicos, esto es, definir las obligaciones pendientes para el respectivo paz y salvo. </w:t>
      </w:r>
    </w:p>
    <w:p w14:paraId="34DD0A6D" w14:textId="77777777" w:rsidR="005133C3" w:rsidRPr="00A04C35" w:rsidRDefault="005133C3" w:rsidP="005133C3">
      <w:pPr>
        <w:spacing w:after="120" w:line="276" w:lineRule="auto"/>
        <w:ind w:firstLine="708"/>
        <w:jc w:val="both"/>
        <w:rPr>
          <w:rFonts w:ascii="Verdana" w:hAnsi="Verdana"/>
        </w:rPr>
      </w:pPr>
      <w:r w:rsidRPr="00A04C35">
        <w:rPr>
          <w:rFonts w:ascii="Verdana" w:hAnsi="Verdana"/>
        </w:rPr>
        <w:t>En cuanto a los elementos de validez de la liquidación bilateral, se remite a lo dispuesto en el artículo 1501 del Código Civil, esto es: i) que sea legalmente capaz, que significa que la persona se obligue por sí misma; ii) que haya un consentimiento del acto o declaración, la cual no puede adolecer de vicio –error, fuerza o dolo-; iii) que tenga un objeto lícito; y iv) una causa lícita. En tal sentido, Díaz Díez expresa que de la liquidación bilateral se desprende que si no se estipuló el desacuerdo en el acta, goza del principio de intangibilidad, por lo que no podrá debatir en sede judicial lo que no se estipuló por escrito</w:t>
      </w:r>
      <w:r w:rsidRPr="00A04C35">
        <w:rPr>
          <w:rFonts w:ascii="Verdana" w:hAnsi="Verdana"/>
          <w:vertAlign w:val="superscript"/>
        </w:rPr>
        <w:footnoteReference w:id="11"/>
      </w:r>
      <w:r w:rsidRPr="00A04C35">
        <w:rPr>
          <w:rFonts w:ascii="Verdana" w:hAnsi="Verdana"/>
        </w:rPr>
        <w:t xml:space="preserve">. </w:t>
      </w:r>
    </w:p>
    <w:p w14:paraId="1EE5CD51" w14:textId="77777777" w:rsidR="005133C3" w:rsidRPr="00A04C35" w:rsidRDefault="005133C3" w:rsidP="005133C3">
      <w:pPr>
        <w:spacing w:after="120" w:line="276" w:lineRule="auto"/>
        <w:ind w:firstLine="708"/>
        <w:jc w:val="both"/>
        <w:rPr>
          <w:rFonts w:ascii="Verdana" w:hAnsi="Verdana"/>
        </w:rPr>
      </w:pPr>
      <w:r w:rsidRPr="00A04C35">
        <w:rPr>
          <w:rFonts w:ascii="Verdana" w:hAnsi="Verdana"/>
        </w:rPr>
        <w:t xml:space="preserve">En el marco del acta de liquidación bilateral pueden consignarse desacuerdos, que se denominan dentro de la contratación estatal como salvedades, que son aquellas objeciones y diferencias frente al acta de liquidación propuesta por la entidad. Al respecto, el Consejo de Estado expresa </w:t>
      </w:r>
      <w:r w:rsidRPr="00A04C35">
        <w:rPr>
          <w:rFonts w:ascii="Verdana" w:hAnsi="Verdana"/>
        </w:rPr>
        <w:lastRenderedPageBreak/>
        <w:t>que toda salvedad debe ser expresa y concreta en el acta de liquidación bilateral, ya que es un presupuesto material para que se dicte una sentencia de fondo y prosperen las pretensiones en un futuro litigio judicial</w:t>
      </w:r>
      <w:r w:rsidRPr="00A04C35">
        <w:rPr>
          <w:rFonts w:ascii="Verdana" w:hAnsi="Verdana"/>
          <w:vertAlign w:val="superscript"/>
        </w:rPr>
        <w:footnoteReference w:id="12"/>
      </w:r>
      <w:r w:rsidRPr="00A04C35">
        <w:rPr>
          <w:rFonts w:ascii="Verdana" w:hAnsi="Verdana"/>
        </w:rPr>
        <w:t xml:space="preserve">. </w:t>
      </w:r>
    </w:p>
    <w:p w14:paraId="71026E78" w14:textId="77777777" w:rsidR="005133C3" w:rsidRDefault="005133C3" w:rsidP="005133C3">
      <w:pPr>
        <w:spacing w:after="120" w:line="276" w:lineRule="auto"/>
        <w:ind w:firstLine="708"/>
        <w:jc w:val="both"/>
        <w:rPr>
          <w:rFonts w:ascii="Verdana" w:hAnsi="Verdana"/>
        </w:rPr>
      </w:pPr>
      <w:r w:rsidRPr="00A04C35">
        <w:rPr>
          <w:rFonts w:ascii="Verdana" w:hAnsi="Verdana"/>
        </w:rPr>
        <w:t xml:space="preserve">Se precisa que, al suscribir el acta de liquidación bilateral con salvedades, el contratista está manifestando dos aspectos: i) acepta el contenido, en la que se salda algunas obligaciones; y ii) precisa aquellos asuntos respecto de los que se estipula la correspondiente salvedad, como manifestación de las diferencias en torno a la liquidación propuesta. De acuerdo a lo expresado, las salvedades que se consignen en el acta liquidación depende la posibilidad de acudir a la jurisdicción de lo contencioso administrativo para las reclamaciones y reconocimientos económicos, no previstos en el acta de liquidación. Sin embargo, es válido que, ante las salvedades, se posibilite la liquidación unilateral parcial por parte de la Administración, es decir, en aquellos aspectos donde se dejaron los desacuerdos, la entidad debe completar la liquidación del contrato. </w:t>
      </w:r>
      <w:bookmarkStart w:id="3" w:name="_Hlk82570391"/>
    </w:p>
    <w:p w14:paraId="0554EDD4" w14:textId="77777777" w:rsidR="005133C3" w:rsidRPr="00A04C35" w:rsidRDefault="005133C3" w:rsidP="005133C3">
      <w:pPr>
        <w:spacing w:after="120" w:line="276" w:lineRule="auto"/>
        <w:ind w:firstLine="708"/>
        <w:jc w:val="both"/>
        <w:rPr>
          <w:rFonts w:ascii="Verdana" w:eastAsia="Times New Roman" w:hAnsi="Verdana" w:cs="Arial"/>
          <w:color w:val="000000"/>
          <w:bdr w:val="none" w:sz="0" w:space="0" w:color="auto" w:frame="1"/>
          <w:shd w:val="clear" w:color="auto" w:fill="FFFFFF"/>
          <w:lang w:eastAsia="es-ES_tradnl"/>
        </w:rPr>
      </w:pPr>
      <w:r>
        <w:rPr>
          <w:rFonts w:ascii="Verdana" w:hAnsi="Verdana"/>
        </w:rPr>
        <w:t xml:space="preserve">En torno al contenido que debe contener la liquidación del contrato, </w:t>
      </w:r>
      <w:bookmarkEnd w:id="3"/>
      <w:r w:rsidRPr="00A04C35">
        <w:rPr>
          <w:rFonts w:ascii="Verdana" w:eastAsia="Times New Roman" w:hAnsi="Verdana" w:cs="Arial"/>
          <w:color w:val="000000"/>
          <w:bdr w:val="none" w:sz="0" w:space="0" w:color="auto" w:frame="1"/>
          <w:shd w:val="clear" w:color="auto" w:fill="FFFFFF"/>
          <w:lang w:eastAsia="es-ES_tradnl"/>
        </w:rPr>
        <w:t>es importante tener en cuenta los incisos segundo y tercero del artículo 60 del EGCAP,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w:t>
      </w:r>
      <w:r>
        <w:rPr>
          <w:rFonts w:ascii="Verdana" w:eastAsia="Times New Roman" w:hAnsi="Verdana" w:cs="Arial"/>
          <w:color w:val="000000"/>
          <w:bdr w:val="none" w:sz="0" w:space="0" w:color="auto" w:frame="1"/>
          <w:shd w:val="clear" w:color="auto" w:fill="FFFFFF"/>
          <w:lang w:eastAsia="es-ES_tradnl"/>
        </w:rPr>
        <w:t>. En torno al tema, Expósito Vélez expresa que con la liquidación se permite evidenciar el estado de ejecución del objeto pactado y las prestaciones anexas al mismo, en la que debe procederse a que se ajustan las cuentas que se generaron con ocasión del contrato, posibilitando los reconocimientos o indemnizaciones a favor del contratista o de la Administración, o precisando las sanciones al contratista que autorice a la entidad a retener las sumas adeudadas</w:t>
      </w:r>
      <w:r>
        <w:rPr>
          <w:rStyle w:val="Refdenotaalpie"/>
          <w:rFonts w:ascii="Verdana" w:eastAsia="Times New Roman" w:hAnsi="Verdana" w:cs="Arial"/>
          <w:color w:val="000000"/>
          <w:bdr w:val="none" w:sz="0" w:space="0" w:color="auto" w:frame="1"/>
          <w:shd w:val="clear" w:color="auto" w:fill="FFFFFF"/>
          <w:lang w:eastAsia="es-ES_tradnl"/>
        </w:rPr>
        <w:footnoteReference w:id="13"/>
      </w:r>
      <w:r>
        <w:rPr>
          <w:rFonts w:ascii="Verdana" w:eastAsia="Times New Roman" w:hAnsi="Verdana" w:cs="Arial"/>
          <w:color w:val="000000"/>
          <w:bdr w:val="none" w:sz="0" w:space="0" w:color="auto" w:frame="1"/>
          <w:shd w:val="clear" w:color="auto" w:fill="FFFFFF"/>
          <w:lang w:eastAsia="es-ES_tradnl"/>
        </w:rPr>
        <w:t>. Al respecto, Aida Patricia</w:t>
      </w:r>
      <w:r w:rsidRPr="00A04C35">
        <w:rPr>
          <w:rFonts w:ascii="Verdana" w:eastAsia="Times New Roman" w:hAnsi="Verdana" w:cs="Arial"/>
          <w:color w:val="000000"/>
          <w:bdr w:val="none" w:sz="0" w:space="0" w:color="auto" w:frame="1"/>
          <w:shd w:val="clear" w:color="auto" w:fill="FFFFFF"/>
          <w:lang w:eastAsia="es-ES_tradnl"/>
        </w:rPr>
        <w:t xml:space="preserve">: </w:t>
      </w:r>
    </w:p>
    <w:p w14:paraId="263497CA"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4AAFD595" w14:textId="77777777" w:rsidR="005133C3" w:rsidRPr="00A04C35" w:rsidRDefault="005133C3" w:rsidP="005133C3">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de la relación jurídica, con el propósito de que el negocio finalmente sea equivalente entre las partes”</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4"/>
      </w:r>
      <w:r w:rsidRPr="00A04C35">
        <w:rPr>
          <w:rFonts w:ascii="Verdana" w:eastAsia="Times New Roman" w:hAnsi="Verdana" w:cs="Arial"/>
          <w:color w:val="000000"/>
          <w:sz w:val="20"/>
          <w:szCs w:val="20"/>
          <w:bdr w:val="none" w:sz="0" w:space="0" w:color="auto" w:frame="1"/>
          <w:shd w:val="clear" w:color="auto" w:fill="FFFFFF"/>
          <w:lang w:eastAsia="es-ES_tradnl"/>
        </w:rPr>
        <w:t xml:space="preserve">. </w:t>
      </w:r>
    </w:p>
    <w:p w14:paraId="56A18D9E"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EC2D419" w14:textId="77777777" w:rsidR="005133C3" w:rsidRDefault="005133C3" w:rsidP="005133C3">
      <w:pPr>
        <w:tabs>
          <w:tab w:val="left" w:pos="709"/>
        </w:tabs>
        <w:spacing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No obstante, Aida Patricia Hernández Silva señala que hay 2 posturas en el Consejo de Estado, frente a la reclamación económica en el contrato estatal: i) amplia, que consiste en que las obras adicionales, sobrecostos y demás aspectos relacionados con la ejecución del contrato se le liquidan al contratista; ii) estricta, que alude a que se liquida al contratista aquellas prestaciones y contraprestaciones estipuladas en el contrato estatal, es decir, lo que este contenido en el objeto contractual</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5"/>
      </w:r>
      <w:r w:rsidRPr="00A04C35">
        <w:rPr>
          <w:rFonts w:ascii="Verdana" w:eastAsia="Times New Roman" w:hAnsi="Verdana" w:cs="Arial"/>
          <w:color w:val="000000"/>
          <w:bdr w:val="none" w:sz="0" w:space="0" w:color="auto" w:frame="1"/>
          <w:shd w:val="clear" w:color="auto" w:fill="FFFFFF"/>
          <w:lang w:eastAsia="es-ES_tradnl"/>
        </w:rPr>
        <w:t>. Al respecto, Cristian Díaz Díez defiende la posición amplia del Consejo de Estado, aduciendo que la liquidación busca entre otras cosas, el restablecimiento económico contractual</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6"/>
      </w:r>
      <w:r w:rsidRPr="00A04C35">
        <w:rPr>
          <w:rFonts w:ascii="Verdana" w:eastAsia="Times New Roman" w:hAnsi="Verdana" w:cs="Arial"/>
          <w:color w:val="000000"/>
          <w:bdr w:val="none" w:sz="0" w:space="0" w:color="auto" w:frame="1"/>
          <w:shd w:val="clear" w:color="auto" w:fill="FFFFFF"/>
          <w:lang w:eastAsia="es-ES_tradnl"/>
        </w:rPr>
        <w:t>, justificándose en el numeral 8 y 9 del artículo 4, y el numeral 1 del artículo 5 de la Ley 80 de 1993</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7"/>
      </w:r>
      <w:r w:rsidRPr="00A04C35">
        <w:rPr>
          <w:rFonts w:ascii="Verdana" w:eastAsia="Times New Roman" w:hAnsi="Verdana" w:cs="Arial"/>
          <w:color w:val="000000"/>
          <w:bdr w:val="none" w:sz="0" w:space="0" w:color="auto" w:frame="1"/>
          <w:shd w:val="clear" w:color="auto" w:fill="FFFFFF"/>
          <w:lang w:eastAsia="es-ES_tradnl"/>
        </w:rPr>
        <w:t xml:space="preserve">. </w:t>
      </w:r>
    </w:p>
    <w:p w14:paraId="634F738F"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lastRenderedPageBreak/>
        <w:tab/>
        <w:t xml:space="preserve">No obstante, la Sala Plena del Consejo de Estado expidió la Sentencia de Unificación del 19 de noviembre de 2012, </w:t>
      </w:r>
      <w:r w:rsidRPr="00A04C35">
        <w:rPr>
          <w:rFonts w:ascii="Verdana" w:eastAsia="Times New Roman" w:hAnsi="Verdana" w:cs="Arial"/>
          <w:i/>
          <w:iCs/>
          <w:color w:val="000000"/>
          <w:bdr w:val="none" w:sz="0" w:space="0" w:color="auto" w:frame="1"/>
          <w:shd w:val="clear" w:color="auto" w:fill="FFFFFF"/>
          <w:lang w:eastAsia="es-ES_tradnl"/>
        </w:rPr>
        <w:t>por regla general,</w:t>
      </w:r>
      <w:r w:rsidRPr="00A04C35">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8"/>
      </w:r>
      <w:r w:rsidRPr="00A04C35">
        <w:rPr>
          <w:rFonts w:ascii="Verdana" w:eastAsia="Times New Roman" w:hAnsi="Verdana" w:cs="Arial"/>
          <w:color w:val="000000"/>
          <w:bdr w:val="none" w:sz="0" w:space="0" w:color="auto" w:frame="1"/>
          <w:shd w:val="clear" w:color="auto" w:fill="FFFFFF"/>
          <w:lang w:eastAsia="es-ES_tradnl"/>
        </w:rPr>
        <w:t xml:space="preserve"> Dentro de esta línea:</w:t>
      </w:r>
    </w:p>
    <w:p w14:paraId="7A1122CA"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E70AA85" w14:textId="77777777" w:rsidR="005133C3" w:rsidRPr="00A04C35" w:rsidRDefault="005133C3" w:rsidP="005133C3">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“EL E.C. establece que en el acta de liquidación del contrato podrán efectuarse las transacciones a las que hubiere lugar. Se trata de un mecanismo de solucionar eventuales conflictos de orden contractual, por esto, no se podrán incorporar reconocimientos que se han causado y que 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suscribiendo un contrato de transacción con las formalidades establecidas en nuestro ordenamiento”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9"/>
      </w:r>
      <w:r w:rsidRPr="00A04C35">
        <w:rPr>
          <w:rFonts w:ascii="Verdana" w:eastAsia="Times New Roman" w:hAnsi="Verdana" w:cs="Arial"/>
          <w:color w:val="000000"/>
          <w:sz w:val="20"/>
          <w:szCs w:val="20"/>
          <w:bdr w:val="none" w:sz="0" w:space="0" w:color="auto" w:frame="1"/>
          <w:shd w:val="clear" w:color="auto" w:fill="FFFFFF"/>
          <w:lang w:eastAsia="es-ES_tradnl"/>
        </w:rPr>
        <w:t xml:space="preserve">.  </w:t>
      </w:r>
    </w:p>
    <w:p w14:paraId="434ABC5C" w14:textId="77777777" w:rsidR="005133C3" w:rsidRPr="00A04C35" w:rsidRDefault="005133C3" w:rsidP="005133C3">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2528DBA2" w14:textId="77777777" w:rsidR="005133C3" w:rsidRPr="00A04C35" w:rsidRDefault="005133C3" w:rsidP="005133C3">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i/>
          <w:iCs/>
          <w:color w:val="000000"/>
          <w:bdr w:val="none" w:sz="0" w:space="0" w:color="auto" w:frame="1"/>
          <w:shd w:val="clear" w:color="auto" w:fill="FFFFFF"/>
          <w:lang w:eastAsia="es-ES_tradnl"/>
        </w:rPr>
        <w:t>Excepcionalmente</w:t>
      </w:r>
      <w:r w:rsidRPr="00A04C35">
        <w:rPr>
          <w:rFonts w:ascii="Verdana" w:eastAsia="Times New Roman" w:hAnsi="Verdana" w:cs="Arial"/>
          <w:color w:val="000000"/>
          <w:bdr w:val="none" w:sz="0" w:space="0" w:color="auto" w:frame="1"/>
          <w:shd w:val="clear" w:color="auto" w:fill="FFFFFF"/>
          <w:lang w:eastAsia="es-ES_tradnl"/>
        </w:rPr>
        <w:t>,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ii) que fueran urgentes para evitar una lesión inminente e irreversible al derecho a la salud; y iii) cuando se omite el decreto de la urgencia manifiesta y concurren las circunstancias para que ésta hubiera sido declarada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0"/>
      </w:r>
      <w:r w:rsidRPr="00A04C35">
        <w:rPr>
          <w:rFonts w:ascii="Verdana" w:eastAsia="Times New Roman" w:hAnsi="Verdana" w:cs="Arial"/>
          <w:color w:val="000000"/>
          <w:bdr w:val="none" w:sz="0" w:space="0" w:color="auto" w:frame="1"/>
          <w:shd w:val="clear" w:color="auto" w:fill="FFFFFF"/>
          <w:lang w:eastAsia="es-ES_tradnl"/>
        </w:rPr>
        <w:t xml:space="preserve">.  </w:t>
      </w:r>
    </w:p>
    <w:p w14:paraId="2B7E90E6"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En todo caso, esta postura jurisprudencial consolidada cambió con la Sentencia de Unificación del 31 de julio de 2025, en la que se expresó la compensación del enriquecimiento sin justa causa no está condicionado a la </w:t>
      </w:r>
      <w:r w:rsidRPr="00A04C35">
        <w:rPr>
          <w:rFonts w:ascii="Verdana" w:eastAsia="Times New Roman" w:hAnsi="Verdana" w:cs="Arial"/>
          <w:color w:val="000000"/>
          <w:bdr w:val="none" w:sz="0" w:space="0" w:color="auto" w:frame="1"/>
          <w:shd w:val="clear" w:color="auto" w:fill="FFFFFF"/>
          <w:lang w:eastAsia="es-ES_tradnl"/>
        </w:rPr>
        <w:lastRenderedPageBreak/>
        <w:t>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1"/>
      </w:r>
      <w:r w:rsidRPr="00A04C35">
        <w:rPr>
          <w:rFonts w:ascii="Verdana" w:eastAsia="Times New Roman" w:hAnsi="Verdana" w:cs="Arial"/>
          <w:color w:val="000000"/>
          <w:bdr w:val="none" w:sz="0" w:space="0" w:color="auto" w:frame="1"/>
          <w:shd w:val="clear" w:color="auto" w:fill="FFFFFF"/>
          <w:lang w:eastAsia="es-ES_tradnl"/>
        </w:rPr>
        <w:t xml:space="preserve">. Dicho reconocimiento está supeditado a que la parte interesada demuestre la concurrencia de los siguientes elementos: </w:t>
      </w:r>
    </w:p>
    <w:p w14:paraId="31898020"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3052ACA" w14:textId="77777777" w:rsidR="005133C3" w:rsidRPr="00A04C35" w:rsidRDefault="005133C3" w:rsidP="005133C3">
      <w:pPr>
        <w:tabs>
          <w:tab w:val="left" w:pos="709"/>
        </w:tabs>
        <w:spacing w:after="0" w:line="240" w:lineRule="auto"/>
        <w:ind w:left="709" w:right="709"/>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“Ese reconocimiento, además, está supeditado a que se reúnan los siguientes elementos: (i) la existencia de una ventaja patrimonial en beneficio de la entidad; (ii) un empobrecimiento correlativo sufrido por el demandante, el cual pueda atribuirse al acrecimiento mencionado; (iii) la ausencia de causa jurídica en el desequilibrio producido, en cuanto a que no haya sido generada por un hecho o un acto jurídico, como tampoco por una disposición expresa de la ley; (iv) que el demandante carezca de cualquier otro mecanismo para reclamar la compensación, lo que pone en evidencia su subsidiariedad; y (v) la compensación no procede cuando con ella se pretende soslayar una disposición imperativa de la ley”</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22"/>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78472EB8"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DD8308C"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23"/>
      </w:r>
      <w:r w:rsidRPr="00A04C35">
        <w:rPr>
          <w:rFonts w:ascii="Verdana" w:eastAsia="Times New Roman" w:hAnsi="Verdana" w:cs="Arial"/>
          <w:color w:val="000000"/>
          <w:bdr w:val="none" w:sz="0" w:space="0" w:color="auto" w:frame="1"/>
          <w:shd w:val="clear" w:color="auto" w:fill="FFFFFF"/>
          <w:lang w:eastAsia="es-ES_tradnl"/>
        </w:rPr>
        <w:t xml:space="preserve">. De este modo, dicha Sentencia de Unificación expresa: </w:t>
      </w:r>
    </w:p>
    <w:p w14:paraId="49CB4466" w14:textId="77777777" w:rsidR="005133C3" w:rsidRPr="00A04C35" w:rsidRDefault="005133C3" w:rsidP="005133C3">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160BD938" w14:textId="77777777" w:rsidR="005133C3" w:rsidRPr="00A04C35" w:rsidRDefault="005133C3" w:rsidP="005133C3">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 xml:space="preserve">“Sobre lo primero, en torno a la configuración y procedencia del enriquecimiento sin justa causa cuando se han ejecutado actividades sin el respaldo de un contrato, en favor de entidades que -en su gestión- deben aplicar el Estatuto General de Contratación Pública, se decantó que la respectiva pretensión de compensación, cuando se carezca de otro mecanismo para reclamar, debe cumplir los presupuestos procesales de la reparación directa (incluso cuando se ha celebrado un contrato cuyo objeto se haya agotado para el momento de la extinción del plazo previsto y ante el desarrollo de actividades con posterioridad a la finalización), sin que sea exigible haber provocado una decisión por parte de la </w:t>
      </w:r>
      <w:r w:rsidRPr="00A04C35">
        <w:rPr>
          <w:rFonts w:ascii="Verdana" w:eastAsia="Times New Roman" w:hAnsi="Verdana" w:cs="Arial"/>
          <w:color w:val="000000"/>
          <w:sz w:val="20"/>
          <w:szCs w:val="20"/>
          <w:bdr w:val="none" w:sz="0" w:space="0" w:color="auto" w:frame="1"/>
          <w:shd w:val="clear" w:color="auto" w:fill="FFFFFF"/>
          <w:lang w:eastAsia="es-ES_tradnl"/>
        </w:rPr>
        <w:lastRenderedPageBreak/>
        <w:t>administración y, al satisfacerse, debe ser tramitada, pese a que el demandante mencione otro medio o guarde silencio sobre su denominación. Su prosperidad es absolutamente excepcional, depende de la plena prueba de la actividad desarrollada, sustentada en la demostración de una circunstancia extraordinaria y en razones de interés general, sin que, al respecto, se preestablezcan hipótesis fácticas taxativas; pero, sí se debe supeditar a la existencia de una ventaja patrimonial en beneficio de la demandada, un empobrecimiento correlativo sufrido por el demandante, la ausencia de causa jurídica en el desequilibrio producido y que no se haya soslayado la ley. Cumplido lo anterior, procede corregir el traslado patrimonial injustificado, mas no indemnizar un daño, salvo que el menoscabo emane de una conducta constitutiva de responsabilidad extracontractual del Estado, como una coacción o constreñimiento, que realmente constituyen eventos de falla del servicio”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24"/>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5F98FCDA" w14:textId="77777777" w:rsidR="005133C3" w:rsidRPr="00A04C35" w:rsidRDefault="005133C3" w:rsidP="005133C3">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0B292A4A" w14:textId="77777777" w:rsidR="005133C3" w:rsidRDefault="005133C3" w:rsidP="005133C3">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Conforme al artículo 10 de la Ley 1437 de 2011, “Al resolver los asuntos de su competencia, las autoridades aplicarán las disposiciones constitucionales, legales y reglamentarias de manera uniforme a situaciones que tengan los mismos supuestos fácticos y jurídicos. </w:t>
      </w:r>
      <w:r w:rsidRPr="00A04C35">
        <w:rPr>
          <w:rFonts w:ascii="Verdana" w:eastAsia="Times New Roman" w:hAnsi="Verdana" w:cs="Arial"/>
          <w:i/>
          <w:iCs/>
          <w:color w:val="000000"/>
          <w:bdr w:val="none" w:sz="0" w:space="0" w:color="auto" w:frame="1"/>
          <w:shd w:val="clear" w:color="auto" w:fill="FFFFFF"/>
          <w:lang w:eastAsia="es-ES_tradnl"/>
        </w:rPr>
        <w:t>Con este propósito, al adoptar las decisiones de su competencia, deberán tener en cuenta las sentencias de unificación jurisprudencial del Consejo de Estado en las que se interpreten y apliquen dichas normas</w:t>
      </w:r>
      <w:r w:rsidRPr="00A04C35">
        <w:rPr>
          <w:rFonts w:ascii="Verdana" w:eastAsia="Times New Roman" w:hAnsi="Verdana" w:cs="Arial"/>
          <w:color w:val="000000"/>
          <w:bdr w:val="none" w:sz="0" w:space="0" w:color="auto" w:frame="1"/>
          <w:shd w:val="clear" w:color="auto" w:fill="FFFFFF"/>
          <w:lang w:eastAsia="es-ES_tradnl"/>
        </w:rPr>
        <w:t>” (Énfasis fuera de texto). Por tanto, en la actualidad existe la posibilidad de reconocer en la liquidación actividades no incluidas o ítems no previstos dentro del contrato, pues no se limita a los supuestos planteados de la Sentencia de Unificación del 19 de noviembre de 2012, sino que se configuren los elementos del enriquecimiento sin justa causa, la prueba de la actividad, sumado a la circunstancia excepcional que se invoca.</w:t>
      </w:r>
    </w:p>
    <w:p w14:paraId="45480C5C" w14:textId="77777777" w:rsidR="005133C3" w:rsidRPr="00A1030D" w:rsidRDefault="005133C3" w:rsidP="005133C3">
      <w:pPr>
        <w:tabs>
          <w:tab w:val="left" w:pos="709"/>
        </w:tabs>
        <w:spacing w:after="120" w:line="276" w:lineRule="auto"/>
        <w:jc w:val="both"/>
        <w:rPr>
          <w:rFonts w:ascii="Verdana" w:eastAsia="Calibri" w:hAnsi="Verdana" w:cs="Arial"/>
          <w:bCs/>
          <w:color w:val="000000" w:themeColor="text1"/>
          <w:lang w:val="es-ES"/>
        </w:rPr>
      </w:pPr>
      <w:r>
        <w:rPr>
          <w:rFonts w:ascii="Verdana" w:eastAsia="Times New Roman" w:hAnsi="Verdana" w:cs="Arial"/>
          <w:color w:val="000000"/>
          <w:bdr w:val="none" w:sz="0" w:space="0" w:color="auto" w:frame="1"/>
          <w:shd w:val="clear" w:color="auto" w:fill="FFFFFF"/>
          <w:lang w:eastAsia="es-ES_tradnl"/>
        </w:rPr>
        <w:tab/>
        <w:t xml:space="preserve">Ahora bien, teniendo en cuenta que es posible reconocer obras extras o adicionales, así como asuntos derivados de ajustes o revisiones económicas por la entidad contratante, es necesario precisar que la liquidación del contrato, ya sea que se derive de cualquiera de sus manifestaciones -liquidación bilateral, liquidación unilateral o liquidación judicial- debe contar con el Certificado de Disponibilidad Presupuestal –CDP- y el Registro Presupuestal, ya que dichos documentos se constituyen en requisitos para la ejecución y pago de las obligaciones que se estipularon y reconocieron en esta. </w:t>
      </w:r>
      <w:r w:rsidRPr="00E64B7D">
        <w:rPr>
          <w:rFonts w:ascii="Verdana" w:eastAsia="Times New Roman" w:hAnsi="Verdana" w:cs="Arial"/>
          <w:color w:val="000000"/>
          <w:bdr w:val="none" w:sz="0" w:space="0" w:color="auto" w:frame="1"/>
          <w:shd w:val="clear" w:color="auto" w:fill="FFFFFF"/>
          <w:lang w:eastAsia="es-ES_tradnl"/>
        </w:rPr>
        <w:t>Para reconocer y pagar las obras extras</w:t>
      </w:r>
      <w:r>
        <w:rPr>
          <w:rFonts w:ascii="Verdana" w:eastAsia="Times New Roman" w:hAnsi="Verdana" w:cs="Arial"/>
          <w:color w:val="000000"/>
          <w:bdr w:val="none" w:sz="0" w:space="0" w:color="auto" w:frame="1"/>
          <w:shd w:val="clear" w:color="auto" w:fill="FFFFFF"/>
          <w:lang w:eastAsia="es-ES_tradnl"/>
        </w:rPr>
        <w:t xml:space="preserve"> o las revisiones o ajustes derivadas de las transacciones en la liquidación</w:t>
      </w:r>
      <w:r w:rsidRPr="00E64B7D">
        <w:rPr>
          <w:rFonts w:ascii="Verdana" w:eastAsia="Times New Roman" w:hAnsi="Verdana" w:cs="Arial"/>
          <w:color w:val="000000"/>
          <w:bdr w:val="none" w:sz="0" w:space="0" w:color="auto" w:frame="1"/>
          <w:shd w:val="clear" w:color="auto" w:fill="FFFFFF"/>
          <w:lang w:eastAsia="es-ES_tradnl"/>
        </w:rPr>
        <w:t>, primero debe obtener</w:t>
      </w:r>
      <w:r>
        <w:rPr>
          <w:rFonts w:ascii="Verdana" w:eastAsia="Times New Roman" w:hAnsi="Verdana" w:cs="Arial"/>
          <w:color w:val="000000"/>
          <w:bdr w:val="none" w:sz="0" w:space="0" w:color="auto" w:frame="1"/>
          <w:shd w:val="clear" w:color="auto" w:fill="FFFFFF"/>
          <w:lang w:eastAsia="es-ES_tradnl"/>
        </w:rPr>
        <w:t>se</w:t>
      </w:r>
      <w:r w:rsidRPr="00E64B7D">
        <w:rPr>
          <w:rFonts w:ascii="Verdana" w:eastAsia="Times New Roman" w:hAnsi="Verdana" w:cs="Arial"/>
          <w:color w:val="000000"/>
          <w:bdr w:val="none" w:sz="0" w:space="0" w:color="auto" w:frame="1"/>
          <w:shd w:val="clear" w:color="auto" w:fill="FFFFFF"/>
          <w:lang w:eastAsia="es-ES_tradnl"/>
        </w:rPr>
        <w:t xml:space="preserve"> un CDP con saldo dis</w:t>
      </w:r>
      <w:r>
        <w:rPr>
          <w:rFonts w:ascii="Verdana" w:eastAsia="Times New Roman" w:hAnsi="Verdana" w:cs="Arial"/>
          <w:color w:val="000000"/>
          <w:bdr w:val="none" w:sz="0" w:space="0" w:color="auto" w:frame="1"/>
          <w:shd w:val="clear" w:color="auto" w:fill="FFFFFF"/>
          <w:lang w:eastAsia="es-ES_tradnl"/>
        </w:rPr>
        <w:t xml:space="preserve">ponible y luego tramitar </w:t>
      </w:r>
      <w:r>
        <w:rPr>
          <w:rFonts w:ascii="Verdana" w:eastAsia="Times New Roman" w:hAnsi="Verdana" w:cs="Arial"/>
          <w:color w:val="000000"/>
          <w:bdr w:val="none" w:sz="0" w:space="0" w:color="auto" w:frame="1"/>
          <w:shd w:val="clear" w:color="auto" w:fill="FFFFFF"/>
          <w:lang w:eastAsia="es-ES_tradnl"/>
        </w:rPr>
        <w:lastRenderedPageBreak/>
        <w:t xml:space="preserve">el RP. </w:t>
      </w:r>
      <w:r>
        <w:rPr>
          <w:rFonts w:ascii="Verdana" w:eastAsia="Calibri" w:hAnsi="Verdana" w:cs="Arial"/>
          <w:color w:val="000000" w:themeColor="text1"/>
        </w:rPr>
        <w:t>En tal sentido</w:t>
      </w:r>
      <w:r w:rsidRPr="00A1030D">
        <w:rPr>
          <w:rFonts w:ascii="Verdana" w:eastAsia="Calibri" w:hAnsi="Verdana" w:cs="Arial"/>
          <w:color w:val="000000" w:themeColor="text1"/>
        </w:rPr>
        <w:t xml:space="preserve">, de conformidad con </w:t>
      </w:r>
      <w:r w:rsidRPr="00A1030D">
        <w:rPr>
          <w:rFonts w:ascii="Verdana" w:eastAsia="Arial MT" w:hAnsi="Verdana" w:cs="Arial"/>
          <w:color w:val="000000" w:themeColor="text1"/>
          <w:sz w:val="21"/>
          <w:szCs w:val="21"/>
          <w:lang w:val="es-ES"/>
        </w:rPr>
        <w:t>la Ley 80 de 1993</w:t>
      </w:r>
      <w:r w:rsidRPr="00A1030D">
        <w:rPr>
          <w:rFonts w:ascii="Verdana" w:eastAsia="Arial MT" w:hAnsi="Verdana" w:cs="Arial"/>
          <w:color w:val="000000" w:themeColor="text1"/>
          <w:sz w:val="21"/>
          <w:szCs w:val="21"/>
          <w:vertAlign w:val="superscript"/>
          <w:lang w:val="es-ES"/>
        </w:rPr>
        <w:footnoteReference w:id="25"/>
      </w:r>
      <w:r w:rsidRPr="00A1030D">
        <w:rPr>
          <w:rFonts w:ascii="Verdana" w:eastAsia="Arial MT" w:hAnsi="Verdana" w:cs="Arial"/>
          <w:color w:val="000000" w:themeColor="text1"/>
          <w:sz w:val="21"/>
          <w:szCs w:val="21"/>
          <w:lang w:val="es-ES"/>
        </w:rPr>
        <w:t xml:space="preserve"> y el Estatuto Orgánico de Presupuesto</w:t>
      </w:r>
      <w:r w:rsidRPr="00A1030D">
        <w:rPr>
          <w:rFonts w:ascii="Verdana" w:eastAsia="Arial MT" w:hAnsi="Verdana" w:cs="Arial"/>
          <w:color w:val="000000" w:themeColor="text1"/>
          <w:sz w:val="21"/>
          <w:szCs w:val="21"/>
          <w:vertAlign w:val="superscript"/>
          <w:lang w:val="es-ES"/>
        </w:rPr>
        <w:footnoteReference w:id="26"/>
      </w:r>
      <w:r w:rsidRPr="00A1030D">
        <w:rPr>
          <w:rFonts w:ascii="Verdana" w:eastAsia="Arial MT" w:hAnsi="Verdana" w:cs="Arial"/>
          <w:color w:val="000000" w:themeColor="text1"/>
          <w:sz w:val="21"/>
          <w:szCs w:val="21"/>
          <w:lang w:val="es-ES"/>
        </w:rPr>
        <w:t>,</w:t>
      </w:r>
      <w:r w:rsidRPr="00A1030D">
        <w:rPr>
          <w:rFonts w:ascii="Verdana" w:eastAsia="Calibri" w:hAnsi="Verdana" w:cs="Arial"/>
          <w:bCs/>
          <w:color w:val="000000" w:themeColor="text1"/>
          <w:lang w:val="es-ES"/>
        </w:rPr>
        <w:t xml:space="preserve"> las entidades estatales tienen el deber de contar con la disponibilidad de recursos para asumir gastos u obligaciones. Esta obligación es una expresión del principio de legalidad del gasto público que se enmarca en el mandato constitucional de la legalidad de las actuaciones públicas y que permea todo el régimen regulado por el</w:t>
      </w:r>
      <w:r w:rsidRPr="00A1030D">
        <w:rPr>
          <w:rFonts w:ascii="Verdana" w:eastAsia="Calibri" w:hAnsi="Verdana" w:cs="Arial"/>
          <w:color w:val="000000" w:themeColor="text1"/>
          <w:lang w:val="es-ES"/>
        </w:rPr>
        <w:t xml:space="preserve"> Estatuto Orgánico del Presupuesto</w:t>
      </w:r>
      <w:r w:rsidRPr="00A1030D">
        <w:rPr>
          <w:rFonts w:ascii="Verdana" w:eastAsia="Calibri" w:hAnsi="Verdana" w:cs="Arial"/>
          <w:bCs/>
          <w:color w:val="000000" w:themeColor="text1"/>
          <w:lang w:val="es-ES"/>
        </w:rPr>
        <w:t xml:space="preserve">. </w:t>
      </w:r>
    </w:p>
    <w:p w14:paraId="780EF717" w14:textId="77777777" w:rsidR="005133C3" w:rsidRPr="00A04C35" w:rsidRDefault="005133C3" w:rsidP="005133C3">
      <w:pPr>
        <w:spacing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sidRPr="00A1030D">
        <w:rPr>
          <w:rFonts w:ascii="Verdana" w:eastAsia="Calibri" w:hAnsi="Verdana" w:cs="Arial"/>
          <w:bCs/>
          <w:color w:val="000000" w:themeColor="text1"/>
          <w:lang w:val="es-ES"/>
        </w:rPr>
        <w:t xml:space="preserve">En </w:t>
      </w:r>
      <w:r>
        <w:rPr>
          <w:rFonts w:ascii="Verdana" w:eastAsia="Calibri" w:hAnsi="Verdana" w:cs="Arial"/>
          <w:bCs/>
          <w:color w:val="000000" w:themeColor="text1"/>
          <w:lang w:val="es-ES"/>
        </w:rPr>
        <w:t xml:space="preserve">este tipo de situaciones de reconocimientos y revisiones en la liquidación del contrato, </w:t>
      </w:r>
      <w:r w:rsidRPr="00A1030D">
        <w:rPr>
          <w:rFonts w:ascii="Verdana" w:eastAsia="Calibri" w:hAnsi="Verdana" w:cs="Arial"/>
          <w:bCs/>
          <w:color w:val="000000" w:themeColor="text1"/>
          <w:lang w:val="es-ES"/>
        </w:rPr>
        <w:t xml:space="preserve">su cumplimiento se refleja necesariamente mediante la expedición del </w:t>
      </w:r>
      <w:r w:rsidRPr="00A1030D">
        <w:rPr>
          <w:rFonts w:ascii="Verdana" w:eastAsia="Calibri" w:hAnsi="Verdana" w:cs="Arial"/>
          <w:color w:val="000000" w:themeColor="text1"/>
          <w:lang w:val="es-ES"/>
        </w:rPr>
        <w:t xml:space="preserve">Certificado de Disponibilidad Presupuestal </w:t>
      </w:r>
      <w:r>
        <w:rPr>
          <w:rFonts w:ascii="Verdana" w:eastAsia="Times New Roman" w:hAnsi="Verdana" w:cs="Arial"/>
          <w:color w:val="000000" w:themeColor="text1"/>
          <w:lang w:val="es-ES" w:eastAsia="es-ES_tradnl"/>
        </w:rPr>
        <w:t>–CDP-</w:t>
      </w:r>
      <w:r w:rsidRPr="00A1030D">
        <w:rPr>
          <w:rFonts w:ascii="Verdana" w:eastAsia="Calibri" w:hAnsi="Verdana" w:cs="Arial"/>
          <w:color w:val="000000" w:themeColor="text1"/>
          <w:lang w:val="es-ES"/>
        </w:rPr>
        <w:t xml:space="preserve"> de forma previa a que la entidad asuma obligaciones o compromisos de este tipo, como una garantía de la existencia de recursos suficientes para atender los gastos que será</w:t>
      </w:r>
      <w:r>
        <w:rPr>
          <w:rFonts w:ascii="Verdana" w:eastAsia="Calibri" w:hAnsi="Verdana" w:cs="Arial"/>
          <w:color w:val="000000" w:themeColor="text1"/>
          <w:lang w:val="es-ES"/>
        </w:rPr>
        <w:t>n asumidos por el Estado</w:t>
      </w:r>
      <w:r w:rsidRPr="00A1030D">
        <w:rPr>
          <w:rFonts w:ascii="Verdana" w:eastAsia="Calibri" w:hAnsi="Verdana" w:cs="Arial"/>
          <w:color w:val="000000" w:themeColor="text1"/>
          <w:lang w:val="es-ES"/>
        </w:rPr>
        <w:t xml:space="preserve">. Para </w:t>
      </w:r>
      <w:r>
        <w:rPr>
          <w:rFonts w:ascii="Verdana" w:eastAsia="Calibri" w:hAnsi="Verdana" w:cs="Arial"/>
          <w:color w:val="000000" w:themeColor="text1"/>
        </w:rPr>
        <w:t>el reconocimiento efectivo de las revisiones y ajustes en la liquidación del contrato</w:t>
      </w:r>
      <w:r w:rsidRPr="00A1030D">
        <w:rPr>
          <w:rFonts w:ascii="Verdana" w:eastAsia="Calibri" w:hAnsi="Verdana" w:cs="Arial"/>
          <w:color w:val="000000" w:themeColor="text1"/>
        </w:rPr>
        <w:t xml:space="preserve"> se exige a la entidad estatal conta</w:t>
      </w:r>
      <w:r>
        <w:rPr>
          <w:rFonts w:ascii="Verdana" w:eastAsia="Calibri" w:hAnsi="Verdana" w:cs="Arial"/>
          <w:color w:val="000000" w:themeColor="text1"/>
        </w:rPr>
        <w:t>r con un Registro Presupuestal –RP-</w:t>
      </w:r>
      <w:r w:rsidRPr="00A1030D">
        <w:rPr>
          <w:rFonts w:ascii="Verdana" w:eastAsia="Calibri" w:hAnsi="Verdana" w:cs="Arial"/>
          <w:color w:val="000000" w:themeColor="text1"/>
        </w:rPr>
        <w:t xml:space="preserve"> que consiste en la certificación de apropiación de presupuesto con destino al cumplimiento de </w:t>
      </w:r>
      <w:r>
        <w:rPr>
          <w:rFonts w:ascii="Verdana" w:eastAsia="Calibri" w:hAnsi="Verdana" w:cs="Arial"/>
          <w:color w:val="000000" w:themeColor="text1"/>
        </w:rPr>
        <w:t xml:space="preserve">las obligaciones pecuniarias estipuladas, ya sea en el acta de liquidación bilateral, el acto administrativo que liquida unilateralmente el contrato, o el acto administrativo de ejecución que se limita a cumplir la decisión judicial que liquida el contrato. </w:t>
      </w:r>
    </w:p>
    <w:p w14:paraId="712A2D1B" w14:textId="77777777" w:rsidR="005133C3" w:rsidRPr="00A04C35" w:rsidRDefault="005133C3" w:rsidP="005133C3">
      <w:pPr>
        <w:widowControl w:val="0"/>
        <w:autoSpaceDE w:val="0"/>
        <w:autoSpaceDN w:val="0"/>
        <w:spacing w:after="0" w:line="276" w:lineRule="auto"/>
        <w:ind w:firstLine="708"/>
        <w:jc w:val="both"/>
        <w:rPr>
          <w:rFonts w:ascii="Verdana" w:hAnsi="Verdana"/>
        </w:rPr>
      </w:pPr>
      <w:r w:rsidRPr="00A04C35">
        <w:rPr>
          <w:rFonts w:ascii="Verdana" w:hAnsi="Verdana" w:cs="Arial"/>
          <w:lang w:eastAsia="es-ES"/>
        </w:rPr>
        <w:t>Al margen de la explicación precedente debe advertirse que el análisis requerido para resolver problemas específicos en torno a los reconocim</w:t>
      </w:r>
      <w:r>
        <w:rPr>
          <w:rFonts w:ascii="Verdana" w:hAnsi="Verdana" w:cs="Arial"/>
          <w:lang w:eastAsia="es-ES"/>
        </w:rPr>
        <w:t>ientos económicos derivados de revisiones, ajustes, o el reconocimiento de</w:t>
      </w:r>
      <w:r w:rsidRPr="00A04C35">
        <w:rPr>
          <w:rFonts w:ascii="Verdana" w:hAnsi="Verdana" w:cs="Arial"/>
          <w:lang w:eastAsia="es-ES"/>
        </w:rPr>
        <w:t xml:space="preserve"> ítems no previstos en el contrato, debe realizarse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w:t>
      </w:r>
    </w:p>
    <w:p w14:paraId="7A115978" w14:textId="77777777" w:rsidR="005133C3" w:rsidRPr="00A04C35" w:rsidRDefault="005133C3" w:rsidP="005133C3">
      <w:pPr>
        <w:spacing w:before="120" w:after="0" w:line="276" w:lineRule="auto"/>
        <w:ind w:firstLine="709"/>
        <w:jc w:val="both"/>
        <w:rPr>
          <w:rFonts w:ascii="Verdana" w:hAnsi="Verdana" w:cs="Arial"/>
          <w:lang w:eastAsia="es-ES"/>
        </w:rPr>
      </w:pPr>
      <w:r w:rsidRPr="00A04C35">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A04C35">
        <w:rPr>
          <w:rFonts w:ascii="Verdana" w:hAnsi="Verdana" w:cs="Arial"/>
          <w:lang w:eastAsia="es-ES"/>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bookmarkEnd w:id="2"/>
    <w:p w14:paraId="06A249C2" w14:textId="77777777" w:rsidR="005133C3" w:rsidRPr="00A04C35" w:rsidRDefault="005133C3" w:rsidP="005133C3">
      <w:pPr>
        <w:spacing w:after="0" w:line="276" w:lineRule="auto"/>
        <w:jc w:val="both"/>
        <w:rPr>
          <w:rFonts w:ascii="Verdana" w:eastAsia="Calibri" w:hAnsi="Verdana" w:cs="Arial"/>
          <w:lang w:eastAsia="es-MX"/>
        </w:rPr>
      </w:pPr>
    </w:p>
    <w:p w14:paraId="1AF44004" w14:textId="77777777" w:rsidR="005133C3" w:rsidRPr="00A04C35" w:rsidRDefault="005133C3" w:rsidP="005133C3">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A04C35">
        <w:rPr>
          <w:rFonts w:ascii="Verdana" w:eastAsia="Century Gothic" w:hAnsi="Verdana" w:cs="Century Gothic"/>
          <w:b/>
          <w:bCs/>
          <w:lang w:val="es-ES"/>
        </w:rPr>
        <w:t xml:space="preserve">Referencias normativas, jurisprudenciales y otras fuentes </w:t>
      </w:r>
    </w:p>
    <w:p w14:paraId="27489732" w14:textId="77777777" w:rsidR="005133C3" w:rsidRPr="00A04C35" w:rsidRDefault="005133C3" w:rsidP="005133C3">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33C3" w:rsidRPr="00A04C35" w14:paraId="101AA1E8" w14:textId="77777777" w:rsidTr="006F39F8">
        <w:trPr>
          <w:trHeight w:val="856"/>
          <w:jc w:val="center"/>
        </w:trPr>
        <w:tc>
          <w:tcPr>
            <w:tcW w:w="8647" w:type="dxa"/>
          </w:tcPr>
          <w:p w14:paraId="26DD266B" w14:textId="77777777" w:rsidR="005133C3" w:rsidRPr="00A04C35" w:rsidRDefault="005133C3" w:rsidP="005133C3">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A04C35">
              <w:rPr>
                <w:rFonts w:ascii="Verdana" w:eastAsia="Arial MT" w:hAnsi="Verdana" w:cs="Arial"/>
                <w:lang w:val="es-ES" w:eastAsia="es-ES" w:bidi="es-ES"/>
              </w:rPr>
              <w:t xml:space="preserve">Código Civil, artículo 1501. </w:t>
            </w:r>
          </w:p>
          <w:p w14:paraId="0D1794C4" w14:textId="77777777" w:rsidR="005133C3" w:rsidRDefault="005133C3" w:rsidP="005133C3">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A04C35">
              <w:rPr>
                <w:rFonts w:ascii="Verdana" w:eastAsia="Arial MT" w:hAnsi="Verdana" w:cs="Arial"/>
                <w:lang w:val="es-ES" w:eastAsia="es-ES" w:bidi="es-ES"/>
              </w:rPr>
              <w:t>Ley 80 de 1993, artículos 4, 5, 32, 39, 41, 60. 61.</w:t>
            </w:r>
          </w:p>
          <w:p w14:paraId="5CB2D807" w14:textId="77777777" w:rsidR="005133C3" w:rsidRPr="00A04C35" w:rsidRDefault="005133C3" w:rsidP="005133C3">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111 de 1996, artículo 71. </w:t>
            </w:r>
            <w:r w:rsidRPr="00A04C35">
              <w:rPr>
                <w:rFonts w:ascii="Verdana" w:eastAsia="Arial MT" w:hAnsi="Verdana" w:cs="Arial"/>
                <w:lang w:val="es-ES" w:eastAsia="es-ES" w:bidi="es-ES"/>
              </w:rPr>
              <w:t xml:space="preserve"> </w:t>
            </w:r>
          </w:p>
          <w:p w14:paraId="5416608E" w14:textId="77777777" w:rsidR="005133C3" w:rsidRPr="00A04C35" w:rsidRDefault="005133C3" w:rsidP="005133C3">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A04C35">
              <w:rPr>
                <w:rFonts w:ascii="Verdana" w:eastAsia="Arial MT" w:hAnsi="Verdana" w:cs="Arial"/>
                <w:lang w:val="es-ES" w:eastAsia="es-ES" w:bidi="es-ES"/>
              </w:rPr>
              <w:t xml:space="preserve">Ley 1150 de 2007, artículos 2 y 11. </w:t>
            </w:r>
          </w:p>
          <w:p w14:paraId="79830385" w14:textId="77777777" w:rsidR="005133C3" w:rsidRPr="00A04C35" w:rsidRDefault="005133C3" w:rsidP="005133C3">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A04C35">
              <w:rPr>
                <w:rFonts w:ascii="Verdana" w:eastAsia="Arial MT" w:hAnsi="Verdana" w:cs="Arial"/>
                <w:lang w:val="es-ES" w:eastAsia="es-ES" w:bidi="es-ES"/>
              </w:rPr>
              <w:t>Decreto Ley 019 de 2012, artículo 217.</w:t>
            </w:r>
          </w:p>
          <w:p w14:paraId="322B00A6"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val="es-MX" w:eastAsia="es-ES" w:bidi="es-ES"/>
              </w:rPr>
            </w:pPr>
            <w:r w:rsidRPr="00A04C35">
              <w:rPr>
                <w:rFonts w:ascii="Verdana" w:eastAsia="Arial MT" w:hAnsi="Verdana" w:cs="Arial"/>
                <w:lang w:val="es-MX" w:eastAsia="es-ES" w:bidi="es-ES"/>
              </w:rPr>
              <w:t>CONSEJO DE ESTADO, Sala de Consulta y Servicio Civil. Concepto de 6 de agosto de 2003. C.P. Augusto Trejos. Rad. No. 1453.</w:t>
            </w:r>
          </w:p>
          <w:p w14:paraId="36C4B98C"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eastAsia="es-ES" w:bidi="es-ES"/>
              </w:rPr>
            </w:pPr>
            <w:r w:rsidRPr="00A04C35">
              <w:rPr>
                <w:rFonts w:ascii="Verdana" w:eastAsia="Arial MT" w:hAnsi="Verdana" w:cs="Arial"/>
                <w:lang w:eastAsia="es-ES" w:bidi="es-ES"/>
              </w:rPr>
              <w:t xml:space="preserve">CONSEJO DE ESTADO. Sección Tercera. Subsección C. Sentencia de 18 de julio de 2012. C.P. Jaime Orlando Santofimio Gamboa. Exp: 22.221. </w:t>
            </w:r>
          </w:p>
          <w:p w14:paraId="340EF026"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A04C35">
              <w:rPr>
                <w:rFonts w:ascii="Verdana" w:eastAsia="Arial MT" w:hAnsi="Verdana" w:cs="Arial"/>
                <w:lang w:eastAsia="es-ES" w:bidi="es-ES"/>
              </w:rPr>
              <w:t>CONSEJO DE ESTADO. Sala Plena. Sección Tercera. Sentencia de Unificación del 19 de noviembre de 2012. C.P. Jaime Orlando Santofimio Gamboa. Exp. 24987.</w:t>
            </w:r>
          </w:p>
          <w:p w14:paraId="3C1FB5CD"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eastAsia="es-ES" w:bidi="es-ES"/>
              </w:rPr>
            </w:pPr>
            <w:r w:rsidRPr="00A04C35">
              <w:rPr>
                <w:rFonts w:ascii="Verdana" w:eastAsia="Arial MT" w:hAnsi="Verdana" w:cs="Arial"/>
                <w:lang w:eastAsia="es-ES" w:bidi="es-ES"/>
              </w:rPr>
              <w:t>CONSEJO DE ESTADO. Sección Tercera. Subsección B. C.P. Sentencia del 27 de marzo de 2014. C.P. Danilo Rojas Betancourth. Exp. 20.912.</w:t>
            </w:r>
          </w:p>
          <w:p w14:paraId="278E44B4"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eastAsia="es-ES" w:bidi="es-ES"/>
              </w:rPr>
            </w:pPr>
            <w:r w:rsidRPr="00A04C35">
              <w:rPr>
                <w:rFonts w:ascii="Verdana" w:eastAsia="Arial MT" w:hAnsi="Verdana" w:cs="Arial"/>
                <w:lang w:eastAsia="es-ES" w:bidi="es-ES"/>
              </w:rPr>
              <w:t xml:space="preserve">CONSEJO DE ESTADO. Sección Tercera. Subsección C. Sentencia del 20 de octubre de 2014, C.P: Enrique Gil Botero. Exp. 27.777. </w:t>
            </w:r>
          </w:p>
          <w:p w14:paraId="17EE6EF5"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A04C35">
              <w:rPr>
                <w:rFonts w:ascii="Verdana" w:eastAsia="Arial MT" w:hAnsi="Verdana" w:cs="Arial"/>
                <w:lang w:val="es-MX" w:eastAsia="es-ES" w:bidi="es-ES"/>
              </w:rPr>
              <w:t xml:space="preserve">CONSEJO DE ESTADO. Sala Plena. Sección Tercera. Sentencia de Unificación del 31 de julio de 2025. C.P. Fernando Alexei Pardo Flórez. Exp. 57464. </w:t>
            </w:r>
          </w:p>
          <w:p w14:paraId="31235E02"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val="es-MX" w:eastAsia="es-ES" w:bidi="es-ES"/>
              </w:rPr>
            </w:pPr>
            <w:r w:rsidRPr="00A04C35">
              <w:rPr>
                <w:rFonts w:ascii="Verdana" w:eastAsia="Arial MT" w:hAnsi="Verdana" w:cs="Arial"/>
                <w:lang w:val="es-MX" w:eastAsia="es-ES" w:bidi="es-ES"/>
              </w:rPr>
              <w:t>DÍAZ DÍEZ, Cristian Andrés. La liquidación. Serie: Las Cláusulas del Contrato Estatal. Medellín: Librería Jurídica Sánchez y Centro de Estudios de Derecho Administrativo –CEDA–, 2013.</w:t>
            </w:r>
          </w:p>
          <w:p w14:paraId="34DA44A0"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val="es-MX" w:eastAsia="es-ES" w:bidi="es-ES"/>
              </w:rPr>
            </w:pPr>
            <w:r w:rsidRPr="00A04C35">
              <w:rPr>
                <w:rFonts w:ascii="Verdana" w:eastAsia="Arial MT" w:hAnsi="Verdana" w:cs="Arial"/>
                <w:lang w:val="es-MX" w:eastAsia="es-ES" w:bidi="es-ES"/>
              </w:rPr>
              <w:t xml:space="preserve">EXPOSITO, Juan Carlos. Forma y contenido del contrato estatal. </w:t>
            </w:r>
            <w:r w:rsidRPr="00A04C35">
              <w:rPr>
                <w:rFonts w:ascii="Verdana" w:eastAsia="Arial MT" w:hAnsi="Verdana" w:cs="Arial"/>
                <w:lang w:val="es-MX" w:eastAsia="es-ES" w:bidi="es-ES"/>
              </w:rPr>
              <w:lastRenderedPageBreak/>
              <w:t xml:space="preserve">Bogotá: Universidad Externado de Colombia, 2013. </w:t>
            </w:r>
          </w:p>
          <w:p w14:paraId="3487760F"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eastAsia="es-ES" w:bidi="es-ES"/>
              </w:rPr>
            </w:pPr>
            <w:r w:rsidRPr="00A04C35">
              <w:rPr>
                <w:rFonts w:ascii="Verdana" w:eastAsia="Arial MT" w:hAnsi="Verdana" w:cs="Arial"/>
                <w:lang w:eastAsia="es-ES" w:bidi="es-ES"/>
              </w:rPr>
              <w:t xml:space="preserve">HERNÁNDEZ SILVA, Aida Patricia. La liquidación del contrato estatal. En: Revista Digital de Derecho Administrativo. Universidad Externado de Colombia, N° 1, 2009. Disponible en línea: </w:t>
            </w:r>
            <w:hyperlink r:id="rId13" w:history="1">
              <w:r w:rsidRPr="00A04C35">
                <w:rPr>
                  <w:rFonts w:ascii="Verdana" w:eastAsia="Arial MT" w:hAnsi="Verdana" w:cs="Arial"/>
                  <w:color w:val="0000FF"/>
                  <w:u w:val="single"/>
                  <w:lang w:eastAsia="es-ES" w:bidi="es-ES"/>
                </w:rPr>
                <w:t>http://revistas.uexternado.edu.co/index.php/Deradm/article/view/2597</w:t>
              </w:r>
            </w:hyperlink>
            <w:r w:rsidRPr="00A04C35">
              <w:rPr>
                <w:rFonts w:ascii="Verdana" w:eastAsia="Arial MT" w:hAnsi="Verdana" w:cs="Arial"/>
                <w:lang w:eastAsia="es-ES" w:bidi="es-ES"/>
              </w:rPr>
              <w:t xml:space="preserve"> </w:t>
            </w:r>
          </w:p>
          <w:p w14:paraId="4BC8DF50"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eastAsia="es-ES" w:bidi="es-ES"/>
              </w:rPr>
            </w:pPr>
            <w:r w:rsidRPr="00A04C35">
              <w:rPr>
                <w:rFonts w:ascii="Verdana" w:eastAsia="Arial MT" w:hAnsi="Verdana" w:cs="Arial"/>
                <w:lang w:eastAsia="es-ES" w:bidi="es-ES"/>
              </w:rPr>
              <w:t>OSPINA FERNÁNDEZ, Guillermo; OSPINA ACOSTA, Eduardo. Teoría general del contrato y del negocio jurídico. Bogotá: Temis, 2005.</w:t>
            </w:r>
          </w:p>
          <w:p w14:paraId="742BCCF0"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eastAsia="es-ES" w:bidi="es-ES"/>
              </w:rPr>
            </w:pPr>
            <w:r w:rsidRPr="00A04C35">
              <w:rPr>
                <w:rFonts w:ascii="Verdana" w:eastAsia="Arial MT" w:hAnsi="Verdana" w:cs="Arial"/>
                <w:lang w:eastAsia="es-ES" w:bidi="es-ES"/>
              </w:rPr>
              <w:t>PALACIO HINCAPIÉ, Juan Ángel. Contratación de las entidades estatales. Medellín: Librería Jurídica Sánchez R. S.A.S., 2020, p. 626-627.</w:t>
            </w:r>
          </w:p>
          <w:p w14:paraId="4F61FAF6"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lang w:val="es-MX" w:eastAsia="es-ES" w:bidi="es-ES"/>
              </w:rPr>
            </w:pPr>
            <w:r w:rsidRPr="00A04C35">
              <w:rPr>
                <w:rFonts w:ascii="Verdana" w:eastAsia="Arial MT" w:hAnsi="Verdana" w:cs="Arial"/>
                <w:lang w:val="es-MX" w:eastAsia="es-ES" w:bidi="es-ES"/>
              </w:rPr>
              <w:t xml:space="preserve">PINO RICCI, Jorge. El régimen jurídico de los contratos estatales. Bogotá: Universidad Externado de Colombia, 2005. </w:t>
            </w:r>
          </w:p>
          <w:p w14:paraId="7CE59F3B" w14:textId="77777777" w:rsidR="005133C3" w:rsidRPr="00A04C35" w:rsidRDefault="005133C3" w:rsidP="005133C3">
            <w:pPr>
              <w:widowControl w:val="0"/>
              <w:numPr>
                <w:ilvl w:val="0"/>
                <w:numId w:val="20"/>
              </w:numPr>
              <w:autoSpaceDE w:val="0"/>
              <w:autoSpaceDN w:val="0"/>
              <w:spacing w:before="120" w:after="120" w:line="276" w:lineRule="auto"/>
              <w:jc w:val="both"/>
              <w:rPr>
                <w:rFonts w:ascii="Verdana" w:eastAsia="Arial MT" w:hAnsi="Verdana" w:cs="Arial"/>
                <w:vertAlign w:val="superscript"/>
                <w:lang w:val="es-MX" w:eastAsia="es-ES" w:bidi="es-ES"/>
              </w:rPr>
            </w:pPr>
            <w:r w:rsidRPr="00A04C35">
              <w:rPr>
                <w:rFonts w:ascii="Verdana" w:eastAsia="Arial MT" w:hAnsi="Verdana" w:cs="Arial"/>
                <w:lang w:val="es-MX" w:eastAsia="es-ES" w:bidi="es-ES"/>
              </w:rPr>
              <w:t xml:space="preserve">SANTOFIMIO GAMBOA, Jaime Orlando. Tratado de derecho administrativo: contratación indebida. Tomo IV. Bogotá: Universidad Externado de Colombia, 2004. </w:t>
            </w:r>
          </w:p>
        </w:tc>
      </w:tr>
    </w:tbl>
    <w:p w14:paraId="68C20457" w14:textId="77777777" w:rsidR="005133C3" w:rsidRPr="00A04C35" w:rsidRDefault="005133C3" w:rsidP="005133C3">
      <w:pPr>
        <w:widowControl w:val="0"/>
        <w:autoSpaceDE w:val="0"/>
        <w:autoSpaceDN w:val="0"/>
        <w:spacing w:after="0" w:line="276" w:lineRule="auto"/>
        <w:jc w:val="both"/>
        <w:rPr>
          <w:rFonts w:ascii="Verdana" w:hAnsi="Verdana" w:cs="Arial"/>
        </w:rPr>
      </w:pPr>
    </w:p>
    <w:p w14:paraId="762D6D3F" w14:textId="77777777" w:rsidR="005133C3" w:rsidRPr="00A04C35" w:rsidRDefault="005133C3" w:rsidP="005133C3">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A04C35">
        <w:rPr>
          <w:rFonts w:ascii="Verdana" w:eastAsia="Century Gothic" w:hAnsi="Verdana" w:cs="Century Gothic"/>
          <w:b/>
          <w:bCs/>
          <w:lang w:val="es-ES"/>
        </w:rPr>
        <w:t>Doctrina de la Agencia Nacional de Contratación Pública:</w:t>
      </w:r>
    </w:p>
    <w:p w14:paraId="47C4FC74" w14:textId="77777777" w:rsidR="005133C3" w:rsidRPr="00A04C35" w:rsidRDefault="005133C3" w:rsidP="005133C3">
      <w:pPr>
        <w:widowControl w:val="0"/>
        <w:autoSpaceDE w:val="0"/>
        <w:autoSpaceDN w:val="0"/>
        <w:spacing w:after="0" w:line="276" w:lineRule="auto"/>
        <w:jc w:val="both"/>
        <w:rPr>
          <w:rFonts w:ascii="Verdana" w:hAnsi="Verdana" w:cs="Arial"/>
        </w:rPr>
      </w:pPr>
    </w:p>
    <w:p w14:paraId="6B15BDA3" w14:textId="77777777" w:rsidR="005133C3" w:rsidRPr="00A04C35" w:rsidRDefault="005133C3" w:rsidP="005133C3">
      <w:pPr>
        <w:widowControl w:val="0"/>
        <w:autoSpaceDE w:val="0"/>
        <w:autoSpaceDN w:val="0"/>
        <w:spacing w:after="0" w:line="276" w:lineRule="auto"/>
        <w:jc w:val="both"/>
        <w:rPr>
          <w:rFonts w:ascii="Verdana" w:hAnsi="Verdana" w:cs="Arial"/>
          <w:shd w:val="clear" w:color="auto" w:fill="FFFFFF"/>
        </w:rPr>
      </w:pPr>
      <w:r w:rsidRPr="00A04C35">
        <w:rPr>
          <w:rFonts w:ascii="Verdana" w:hAnsi="Verdana" w:cs="Arial"/>
          <w:shd w:val="clear" w:color="auto" w:fill="FFFFFF"/>
        </w:rPr>
        <w:t xml:space="preserve">Esta 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 C-510 del 4 de junio de 2025, C-605 del 27 de junio de 2025, C-889 del 15 de agosto de 2025, </w:t>
      </w:r>
      <w:r>
        <w:rPr>
          <w:rFonts w:ascii="Verdana" w:hAnsi="Verdana" w:cs="Arial"/>
          <w:shd w:val="clear" w:color="auto" w:fill="FFFFFF"/>
        </w:rPr>
        <w:t xml:space="preserve">C-903 del 19 de agosto de 2025, </w:t>
      </w:r>
      <w:r w:rsidRPr="00A04C35">
        <w:rPr>
          <w:rFonts w:ascii="Verdana" w:hAnsi="Verdana" w:cs="Arial"/>
          <w:shd w:val="clear" w:color="auto" w:fill="FFFFFF"/>
        </w:rPr>
        <w:t>C-913 del 19 de agosto de 2025, entre otros. E</w:t>
      </w:r>
      <w:r w:rsidRPr="00A04C35">
        <w:rPr>
          <w:rFonts w:ascii="Verdana" w:hAnsi="Verdana" w:cs="Arial"/>
          <w:shd w:val="clear" w:color="auto" w:fill="FFFFFF"/>
          <w:lang w:val="es-ES"/>
        </w:rPr>
        <w:t xml:space="preserve">stos y otros </w:t>
      </w:r>
      <w:r w:rsidRPr="00A04C35">
        <w:rPr>
          <w:rFonts w:ascii="Verdana" w:hAnsi="Verdana"/>
        </w:rPr>
        <w:t>conceptos se encuentran disponibles para consulta en el Sistema de relatoría de la Agencia, al cual se puede acceder a través del siguiente enlace:</w:t>
      </w:r>
      <w:r w:rsidRPr="00A04C35">
        <w:rPr>
          <w:rFonts w:ascii="Verdana" w:hAnsi="Verdana" w:cs="Arial"/>
          <w:shd w:val="clear" w:color="auto" w:fill="FFFFFF"/>
        </w:rPr>
        <w:t xml:space="preserve"> </w:t>
      </w:r>
      <w:hyperlink r:id="rId14" w:history="1">
        <w:r w:rsidRPr="00A04C35">
          <w:rPr>
            <w:rFonts w:ascii="Verdana" w:hAnsi="Verdana" w:cs="Arial"/>
            <w:color w:val="0563C1" w:themeColor="hyperlink"/>
            <w:u w:val="single"/>
            <w:shd w:val="clear" w:color="auto" w:fill="FFFFFF"/>
          </w:rPr>
          <w:t>https://relatoria.colombiacompra.gov.co/busqueda/conceptos</w:t>
        </w:r>
      </w:hyperlink>
      <w:r w:rsidRPr="00A04C35">
        <w:rPr>
          <w:rFonts w:ascii="Verdana" w:hAnsi="Verdana" w:cs="Arial"/>
          <w:shd w:val="clear" w:color="auto" w:fill="FFFFFF"/>
        </w:rPr>
        <w:t>.</w:t>
      </w:r>
      <w:r w:rsidRPr="00A04C35">
        <w:rPr>
          <w:rFonts w:ascii="Verdana" w:hAnsi="Verdana" w:cs="Arial"/>
          <w:color w:val="FF0000"/>
          <w:shd w:val="clear" w:color="auto" w:fill="FFFFFF"/>
        </w:rPr>
        <w:t xml:space="preserve"> </w:t>
      </w:r>
      <w:r w:rsidRPr="00A04C35">
        <w:rPr>
          <w:rFonts w:ascii="Verdana" w:hAnsi="Verdana" w:cs="Arial"/>
          <w:color w:val="000000" w:themeColor="text1"/>
          <w:shd w:val="clear" w:color="auto" w:fill="FFFFFF"/>
        </w:rPr>
        <w:t>  </w:t>
      </w:r>
    </w:p>
    <w:p w14:paraId="3C190BB4" w14:textId="77777777" w:rsidR="005133C3" w:rsidRPr="00A04C35" w:rsidRDefault="005133C3" w:rsidP="005133C3">
      <w:pPr>
        <w:spacing w:after="0"/>
        <w:jc w:val="both"/>
        <w:rPr>
          <w:rFonts w:ascii="Verdana" w:hAnsi="Verdana"/>
        </w:rPr>
      </w:pPr>
    </w:p>
    <w:p w14:paraId="27E2CB0A" w14:textId="77777777" w:rsidR="005133C3" w:rsidRPr="00A04C35" w:rsidRDefault="005133C3" w:rsidP="005133C3">
      <w:pPr>
        <w:spacing w:after="0" w:line="256" w:lineRule="auto"/>
        <w:jc w:val="both"/>
        <w:rPr>
          <w:rFonts w:ascii="Verdana" w:eastAsia="Calibri" w:hAnsi="Verdana" w:cs="Times New Roman"/>
        </w:rPr>
      </w:pPr>
      <w:r w:rsidRPr="00A04C35">
        <w:rPr>
          <w:rFonts w:ascii="Verdana" w:eastAsia="Calibri" w:hAnsi="Verdana" w:cs="Times New Roman"/>
        </w:rPr>
        <w:t xml:space="preserve">Te informamos que ya se encuentra disponible la </w:t>
      </w:r>
      <w:r w:rsidRPr="00A04C35">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A04C35">
        <w:rPr>
          <w:rFonts w:ascii="Verdana" w:eastAsia="Calibri" w:hAnsi="Verdana" w:cs="Times New Roman"/>
        </w:rPr>
        <w:t xml:space="preserve">Esta Guía se expedide en el marco del cumplimiento de la orden proferida por la Honorable </w:t>
      </w:r>
      <w:r w:rsidRPr="00A04C35">
        <w:rPr>
          <w:rFonts w:ascii="Verdana" w:eastAsia="Calibri" w:hAnsi="Verdana" w:cs="Times New Roman"/>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4293FF85" w14:textId="77777777" w:rsidR="005133C3" w:rsidRPr="00A04C35" w:rsidRDefault="005133C3" w:rsidP="005133C3">
      <w:pPr>
        <w:spacing w:after="0" w:line="240" w:lineRule="auto"/>
        <w:jc w:val="both"/>
        <w:rPr>
          <w:rFonts w:ascii="Verdana" w:hAnsi="Verdana"/>
        </w:rPr>
      </w:pPr>
    </w:p>
    <w:p w14:paraId="42BE76B2" w14:textId="77777777" w:rsidR="005133C3" w:rsidRPr="00A04C35" w:rsidRDefault="005133C3" w:rsidP="005133C3">
      <w:pPr>
        <w:spacing w:after="0" w:line="256" w:lineRule="auto"/>
        <w:jc w:val="both"/>
        <w:rPr>
          <w:rFonts w:ascii="Verdana" w:eastAsia="Calibri" w:hAnsi="Verdana" w:cs="Times New Roman"/>
          <w:bCs/>
          <w:lang w:val="es-ES_tradnl"/>
        </w:rPr>
      </w:pPr>
      <w:r w:rsidRPr="00A04C3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FDC5B4A" w14:textId="77777777" w:rsidR="005133C3" w:rsidRPr="00A04C35" w:rsidRDefault="005133C3" w:rsidP="005133C3">
      <w:pPr>
        <w:spacing w:after="0" w:line="256" w:lineRule="auto"/>
        <w:jc w:val="both"/>
        <w:rPr>
          <w:rFonts w:ascii="Verdana" w:eastAsia="Calibri" w:hAnsi="Verdana" w:cs="Times New Roman"/>
        </w:rPr>
      </w:pPr>
    </w:p>
    <w:p w14:paraId="63A6EA71" w14:textId="77777777" w:rsidR="005133C3" w:rsidRPr="00A04C35" w:rsidRDefault="005133C3" w:rsidP="005133C3">
      <w:pPr>
        <w:spacing w:after="0" w:line="256" w:lineRule="auto"/>
        <w:jc w:val="both"/>
        <w:rPr>
          <w:rFonts w:ascii="Verdana" w:eastAsia="Calibri" w:hAnsi="Verdana" w:cs="Times New Roman"/>
        </w:rPr>
      </w:pPr>
      <w:r w:rsidRPr="00A04C35">
        <w:rPr>
          <w:rFonts w:ascii="Verdana" w:eastAsia="Calibri" w:hAnsi="Verdana" w:cs="Times New Roman"/>
        </w:rPr>
        <w:t>Atentamente,</w:t>
      </w:r>
    </w:p>
    <w:p w14:paraId="157CD29C" w14:textId="77777777" w:rsidR="005133C3" w:rsidRDefault="005133C3" w:rsidP="005133C3">
      <w:pPr>
        <w:spacing w:after="0" w:line="256" w:lineRule="auto"/>
        <w:jc w:val="center"/>
        <w:rPr>
          <w:rFonts w:ascii="Verdana" w:eastAsia="Times New Roman" w:hAnsi="Verdana" w:cs="Arial"/>
          <w:noProof/>
          <w:sz w:val="24"/>
          <w:szCs w:val="24"/>
          <w:lang w:val="en-US"/>
        </w:rPr>
      </w:pPr>
    </w:p>
    <w:p w14:paraId="70A8712D" w14:textId="58080998" w:rsidR="005133C3" w:rsidRDefault="008C3174" w:rsidP="005133C3">
      <w:pPr>
        <w:spacing w:after="0" w:line="256" w:lineRule="auto"/>
        <w:jc w:val="center"/>
        <w:rPr>
          <w:rFonts w:ascii="Verdana" w:eastAsia="Times New Roman" w:hAnsi="Verdana" w:cs="Arial"/>
          <w:noProof/>
          <w:sz w:val="24"/>
          <w:szCs w:val="24"/>
          <w:lang w:val="en-US"/>
        </w:rPr>
      </w:pPr>
      <w:r w:rsidRPr="002C3AD6">
        <w:rPr>
          <w:rFonts w:ascii="Century Gothic" w:hAnsi="Century Gothic"/>
          <w:noProof/>
          <w:lang w:val="en-US"/>
        </w:rPr>
        <w:drawing>
          <wp:inline distT="0" distB="0" distL="0" distR="0" wp14:anchorId="4764ECE0" wp14:editId="05E0335B">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p w14:paraId="090AC8A2" w14:textId="77777777" w:rsidR="005133C3" w:rsidRPr="00A04C35" w:rsidRDefault="005133C3" w:rsidP="005133C3">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133C3" w:rsidRPr="00A04C35" w14:paraId="47AF2829" w14:textId="77777777" w:rsidTr="006F39F8">
        <w:trPr>
          <w:trHeight w:val="409"/>
        </w:trPr>
        <w:tc>
          <w:tcPr>
            <w:tcW w:w="817" w:type="dxa"/>
            <w:tcBorders>
              <w:top w:val="nil"/>
              <w:left w:val="nil"/>
              <w:bottom w:val="nil"/>
              <w:right w:val="nil"/>
            </w:tcBorders>
            <w:vAlign w:val="center"/>
            <w:hideMark/>
          </w:tcPr>
          <w:p w14:paraId="7DBF96EF"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A0E55D8"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José Luis Sánchez Cardona</w:t>
            </w:r>
          </w:p>
          <w:p w14:paraId="53002598"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Contratista de la Subdirección de Gestión Contractual</w:t>
            </w:r>
          </w:p>
        </w:tc>
      </w:tr>
      <w:tr w:rsidR="005133C3" w:rsidRPr="00A04C35" w14:paraId="6B3E43CC" w14:textId="77777777" w:rsidTr="006F39F8">
        <w:trPr>
          <w:trHeight w:val="409"/>
        </w:trPr>
        <w:tc>
          <w:tcPr>
            <w:tcW w:w="817" w:type="dxa"/>
            <w:tcBorders>
              <w:top w:val="nil"/>
              <w:left w:val="nil"/>
              <w:bottom w:val="nil"/>
              <w:right w:val="nil"/>
            </w:tcBorders>
            <w:vAlign w:val="center"/>
            <w:hideMark/>
          </w:tcPr>
          <w:p w14:paraId="25A494F9"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5F3D366"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Alejandro Sarmiento Cantillo</w:t>
            </w:r>
          </w:p>
          <w:p w14:paraId="6601B9B5"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Gestor T1-15 de la Subdirección de Gestión Contractual </w:t>
            </w:r>
          </w:p>
        </w:tc>
      </w:tr>
      <w:tr w:rsidR="005133C3" w:rsidRPr="00A04C35" w14:paraId="53EC001B" w14:textId="77777777" w:rsidTr="006F39F8">
        <w:trPr>
          <w:trHeight w:val="389"/>
        </w:trPr>
        <w:tc>
          <w:tcPr>
            <w:tcW w:w="817" w:type="dxa"/>
            <w:tcBorders>
              <w:top w:val="nil"/>
              <w:left w:val="nil"/>
              <w:bottom w:val="nil"/>
              <w:right w:val="nil"/>
            </w:tcBorders>
            <w:vAlign w:val="center"/>
            <w:hideMark/>
          </w:tcPr>
          <w:p w14:paraId="4EBBCA4A"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54C695A"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Carolina Quintero Gacharná</w:t>
            </w:r>
          </w:p>
          <w:p w14:paraId="2F726DD3" w14:textId="77777777" w:rsidR="005133C3" w:rsidRPr="00A04C35" w:rsidRDefault="005133C3" w:rsidP="006F39F8">
            <w:pPr>
              <w:spacing w:after="0" w:line="256" w:lineRule="auto"/>
              <w:rPr>
                <w:rFonts w:ascii="Verdana" w:eastAsia="Calibri" w:hAnsi="Verdana" w:cs="Times New Roman"/>
                <w:sz w:val="16"/>
                <w:szCs w:val="16"/>
              </w:rPr>
            </w:pPr>
            <w:r w:rsidRPr="00A04C35">
              <w:rPr>
                <w:rFonts w:ascii="Verdana" w:eastAsia="Calibri" w:hAnsi="Verdana" w:cs="Times New Roman"/>
                <w:sz w:val="16"/>
                <w:szCs w:val="16"/>
              </w:rPr>
              <w:t>Subdirectora de Gestión Contractual ANCP – CCE</w:t>
            </w:r>
          </w:p>
        </w:tc>
      </w:tr>
      <w:bookmarkEnd w:id="0"/>
    </w:tbl>
    <w:p w14:paraId="1FCCFE73" w14:textId="77777777" w:rsidR="005133C3" w:rsidRPr="0044528D" w:rsidRDefault="005133C3" w:rsidP="005133C3">
      <w:pPr>
        <w:spacing w:after="0"/>
        <w:rPr>
          <w:rFonts w:ascii="Verdana" w:hAnsi="Verdana"/>
        </w:rPr>
      </w:pPr>
    </w:p>
    <w:p w14:paraId="7FC84BA9" w14:textId="46B1E912" w:rsidR="00F00796" w:rsidRPr="005133C3" w:rsidRDefault="00F00796" w:rsidP="005133C3"/>
    <w:sectPr w:rsidR="00F00796" w:rsidRPr="005133C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C1C6A8" w14:textId="77777777" w:rsidR="004F5857" w:rsidRDefault="004F5857" w:rsidP="004A1847">
      <w:pPr>
        <w:spacing w:after="0" w:line="240" w:lineRule="auto"/>
      </w:pPr>
      <w:r>
        <w:separator/>
      </w:r>
    </w:p>
  </w:endnote>
  <w:endnote w:type="continuationSeparator" w:id="0">
    <w:p w14:paraId="4B4E3D10" w14:textId="77777777" w:rsidR="004F5857" w:rsidRDefault="004F5857" w:rsidP="004A1847">
      <w:pPr>
        <w:spacing w:after="0" w:line="240" w:lineRule="auto"/>
      </w:pPr>
      <w:r>
        <w:continuationSeparator/>
      </w:r>
    </w:p>
  </w:endnote>
  <w:endnote w:type="continuationNotice" w:id="1">
    <w:p w14:paraId="1C82FDAF" w14:textId="77777777" w:rsidR="004F5857" w:rsidRDefault="004F58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Open Sans">
    <w:charset w:val="00"/>
    <w:family w:val="swiss"/>
    <w:pitch w:val="variable"/>
    <w:sig w:usb0="E00002EF" w:usb1="4000205B" w:usb2="00000028"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74713B" w:rsidRDefault="0074713B">
    <w:pPr>
      <w:pStyle w:val="Piedepgina"/>
    </w:pPr>
  </w:p>
  <w:p w14:paraId="594D6D9F" w14:textId="4DC55BC4" w:rsidR="0074713B" w:rsidRPr="00174B77" w:rsidRDefault="0074713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8C3174" w:rsidRPr="008C3174">
      <w:rPr>
        <w:rFonts w:ascii="Verdana" w:eastAsiaTheme="minorEastAsia" w:hAnsi="Verdana"/>
        <w:b/>
        <w:bCs/>
        <w:noProof/>
        <w:sz w:val="16"/>
        <w:szCs w:val="16"/>
      </w:rPr>
      <w:t>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74713B" w:rsidRDefault="0074713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74713B" w:rsidRPr="00E41027" w:rsidRDefault="0074713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74713B" w:rsidRDefault="0074713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488FCE" w14:textId="77777777" w:rsidR="004F5857" w:rsidRDefault="004F5857" w:rsidP="004A1847">
      <w:pPr>
        <w:spacing w:after="0" w:line="240" w:lineRule="auto"/>
      </w:pPr>
      <w:r>
        <w:separator/>
      </w:r>
    </w:p>
  </w:footnote>
  <w:footnote w:type="continuationSeparator" w:id="0">
    <w:p w14:paraId="3230F780" w14:textId="77777777" w:rsidR="004F5857" w:rsidRDefault="004F5857" w:rsidP="004A1847">
      <w:pPr>
        <w:spacing w:after="0" w:line="240" w:lineRule="auto"/>
      </w:pPr>
      <w:r>
        <w:continuationSeparator/>
      </w:r>
    </w:p>
  </w:footnote>
  <w:footnote w:type="continuationNotice" w:id="1">
    <w:p w14:paraId="0B4FD999" w14:textId="77777777" w:rsidR="004F5857" w:rsidRDefault="004F5857">
      <w:pPr>
        <w:spacing w:after="0" w:line="240" w:lineRule="auto"/>
      </w:pPr>
    </w:p>
  </w:footnote>
  <w:footnote w:id="2">
    <w:p w14:paraId="5C151AF5" w14:textId="77777777" w:rsidR="005133C3" w:rsidRDefault="005133C3" w:rsidP="005133C3">
      <w:pPr>
        <w:pStyle w:val="Textonotapie"/>
        <w:ind w:firstLine="708"/>
        <w:jc w:val="both"/>
        <w:rPr>
          <w:rFonts w:ascii="Verdana" w:hAnsi="Verdana" w:cs="Arial"/>
          <w:color w:val="000000"/>
          <w:sz w:val="16"/>
          <w:szCs w:val="16"/>
        </w:rPr>
      </w:pPr>
      <w:r w:rsidRPr="008001B7">
        <w:rPr>
          <w:rFonts w:ascii="Verdana" w:hAnsi="Verdana" w:cs="Arial"/>
          <w:color w:val="000000"/>
          <w:sz w:val="16"/>
          <w:szCs w:val="16"/>
          <w:vertAlign w:val="superscript"/>
        </w:rPr>
        <w:footnoteRef/>
      </w:r>
      <w:r w:rsidRPr="008001B7">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8001B7">
        <w:rPr>
          <w:rFonts w:ascii="Verdana" w:hAnsi="Verdana" w:cs="Arial"/>
          <w:color w:val="000000"/>
          <w:sz w:val="16"/>
          <w:szCs w:val="16"/>
          <w:shd w:val="clear" w:color="auto" w:fill="FFFFFF"/>
        </w:rPr>
        <w:t>” (</w:t>
      </w:r>
      <w:r w:rsidRPr="008001B7">
        <w:rPr>
          <w:rFonts w:ascii="Verdana" w:hAnsi="Verdana" w:cs="Arial"/>
          <w:color w:val="000000"/>
          <w:sz w:val="16"/>
          <w:szCs w:val="16"/>
        </w:rPr>
        <w:t>EXPOSITO, Juan Carlos. Forma y contenido del contrato estatal. Bogotá: Universidad Externado de Colombia, 2013. pp. 89 -90).</w:t>
      </w:r>
    </w:p>
    <w:p w14:paraId="30B80C5C" w14:textId="77777777" w:rsidR="005133C3" w:rsidRPr="008001B7" w:rsidRDefault="005133C3" w:rsidP="005133C3">
      <w:pPr>
        <w:pStyle w:val="Textonotapie"/>
        <w:ind w:firstLine="708"/>
        <w:jc w:val="both"/>
        <w:rPr>
          <w:rFonts w:ascii="Verdana" w:hAnsi="Verdana"/>
          <w:sz w:val="16"/>
          <w:szCs w:val="16"/>
        </w:rPr>
      </w:pPr>
    </w:p>
  </w:footnote>
  <w:footnote w:id="3">
    <w:p w14:paraId="1FBEF9B8" w14:textId="77777777" w:rsidR="005133C3" w:rsidRPr="008001B7" w:rsidRDefault="005133C3" w:rsidP="005133C3">
      <w:pPr>
        <w:pStyle w:val="Textonotapie"/>
        <w:ind w:firstLine="708"/>
        <w:jc w:val="both"/>
        <w:rPr>
          <w:rFonts w:ascii="Verdana" w:hAnsi="Verdana" w:cs="Arial"/>
          <w:color w:val="000000"/>
          <w:sz w:val="16"/>
          <w:szCs w:val="16"/>
        </w:rPr>
      </w:pPr>
      <w:r w:rsidRPr="008001B7">
        <w:rPr>
          <w:rFonts w:ascii="Verdana" w:hAnsi="Verdana" w:cs="Arial"/>
          <w:color w:val="000000"/>
          <w:sz w:val="16"/>
          <w:szCs w:val="16"/>
          <w:vertAlign w:val="superscript"/>
        </w:rPr>
        <w:footnoteRef/>
      </w:r>
      <w:r w:rsidRPr="008001B7">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4">
    <w:p w14:paraId="7C7EC894" w14:textId="77777777" w:rsidR="005133C3" w:rsidRPr="008001B7" w:rsidRDefault="005133C3" w:rsidP="005133C3">
      <w:pPr>
        <w:spacing w:after="0" w:line="240" w:lineRule="auto"/>
        <w:ind w:firstLine="708"/>
        <w:jc w:val="both"/>
        <w:rPr>
          <w:rFonts w:ascii="Verdana" w:hAnsi="Verdana" w:cs="Arial"/>
          <w:color w:val="000000"/>
          <w:sz w:val="16"/>
          <w:szCs w:val="16"/>
        </w:rPr>
      </w:pPr>
      <w:r w:rsidRPr="008001B7">
        <w:rPr>
          <w:rFonts w:ascii="Verdana" w:hAnsi="Verdana" w:cs="Arial"/>
          <w:color w:val="000000"/>
          <w:sz w:val="16"/>
          <w:szCs w:val="16"/>
          <w:vertAlign w:val="superscript"/>
        </w:rPr>
        <w:footnoteRef/>
      </w:r>
      <w:r w:rsidRPr="008001B7">
        <w:rPr>
          <w:rFonts w:ascii="Verdana" w:hAnsi="Verdana" w:cs="Arial"/>
          <w:color w:val="000000"/>
          <w:sz w:val="16"/>
          <w:szCs w:val="16"/>
        </w:rPr>
        <w:t xml:space="preserve"> CONSEJO DE ESTADO. Sección Tercera. Subsección C. Sentencia del 20 de octubre de 2014, C.P: Enrique Gil Botero.</w:t>
      </w:r>
      <w:r w:rsidRPr="008001B7">
        <w:rPr>
          <w:rFonts w:ascii="Verdana" w:hAnsi="Verdana"/>
          <w:sz w:val="16"/>
          <w:szCs w:val="16"/>
        </w:rPr>
        <w:t xml:space="preserve"> Exp. </w:t>
      </w:r>
      <w:r w:rsidRPr="008001B7">
        <w:rPr>
          <w:rFonts w:ascii="Verdana" w:hAnsi="Verdana" w:cs="Arial"/>
          <w:color w:val="000000"/>
          <w:sz w:val="16"/>
          <w:szCs w:val="16"/>
        </w:rPr>
        <w:t>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26E1D392" w14:textId="77777777" w:rsidR="005133C3" w:rsidRPr="008001B7" w:rsidRDefault="005133C3" w:rsidP="005133C3">
      <w:pPr>
        <w:spacing w:after="0" w:line="240" w:lineRule="auto"/>
        <w:ind w:firstLine="708"/>
        <w:jc w:val="both"/>
        <w:rPr>
          <w:rFonts w:ascii="Verdana" w:hAnsi="Verdana"/>
          <w:sz w:val="16"/>
          <w:szCs w:val="16"/>
        </w:rPr>
      </w:pPr>
    </w:p>
  </w:footnote>
  <w:footnote w:id="5">
    <w:p w14:paraId="407E60FB" w14:textId="77777777" w:rsidR="005133C3" w:rsidRPr="008001B7" w:rsidRDefault="005133C3" w:rsidP="005133C3">
      <w:pPr>
        <w:pStyle w:val="Textonotapie"/>
        <w:ind w:firstLine="708"/>
        <w:jc w:val="both"/>
        <w:rPr>
          <w:rFonts w:ascii="Verdana" w:hAnsi="Verdana" w:cs="Arial"/>
          <w:color w:val="000000"/>
          <w:sz w:val="16"/>
          <w:szCs w:val="16"/>
        </w:rPr>
      </w:pPr>
      <w:r w:rsidRPr="008001B7">
        <w:rPr>
          <w:rFonts w:ascii="Verdana" w:hAnsi="Verdana" w:cs="Arial"/>
          <w:color w:val="000000"/>
          <w:sz w:val="16"/>
          <w:szCs w:val="16"/>
          <w:vertAlign w:val="superscript"/>
        </w:rPr>
        <w:footnoteRef/>
      </w:r>
      <w:r w:rsidRPr="008001B7">
        <w:rPr>
          <w:rFonts w:ascii="Verdana" w:hAnsi="Verdana" w:cs="Arial"/>
          <w:color w:val="000000"/>
          <w:sz w:val="16"/>
          <w:szCs w:val="16"/>
        </w:rPr>
        <w:t xml:space="preserve"> EXPÓSITO VÉLEZ, Juan Carlos. Op. cit, p. 90.</w:t>
      </w:r>
    </w:p>
    <w:p w14:paraId="4B5B47F6" w14:textId="77777777" w:rsidR="005133C3" w:rsidRPr="008001B7" w:rsidRDefault="005133C3" w:rsidP="005133C3">
      <w:pPr>
        <w:pStyle w:val="Textonotapie"/>
        <w:ind w:firstLine="708"/>
        <w:jc w:val="both"/>
        <w:rPr>
          <w:rFonts w:ascii="Verdana" w:hAnsi="Verdana"/>
          <w:sz w:val="16"/>
          <w:szCs w:val="16"/>
        </w:rPr>
      </w:pPr>
    </w:p>
  </w:footnote>
  <w:footnote w:id="6">
    <w:p w14:paraId="07E48CDA" w14:textId="77777777" w:rsidR="005133C3" w:rsidRDefault="005133C3" w:rsidP="005133C3">
      <w:pPr>
        <w:pStyle w:val="Textonotapie"/>
        <w:ind w:firstLine="708"/>
        <w:jc w:val="both"/>
        <w:rPr>
          <w:rFonts w:ascii="Verdana" w:hAnsi="Verdana" w:cs="Arial"/>
          <w:color w:val="000000"/>
          <w:sz w:val="16"/>
          <w:szCs w:val="16"/>
        </w:rPr>
      </w:pPr>
      <w:r w:rsidRPr="008001B7">
        <w:rPr>
          <w:rFonts w:ascii="Verdana" w:hAnsi="Verdana" w:cs="Arial"/>
          <w:color w:val="000000"/>
          <w:sz w:val="16"/>
          <w:szCs w:val="16"/>
          <w:vertAlign w:val="superscript"/>
        </w:rPr>
        <w:footnoteRef/>
      </w:r>
      <w:r w:rsidRPr="008001B7">
        <w:rPr>
          <w:rFonts w:ascii="Verdana" w:hAnsi="Verdana" w:cs="Arial"/>
          <w:color w:val="000000"/>
          <w:sz w:val="16"/>
          <w:szCs w:val="16"/>
        </w:rPr>
        <w:t xml:space="preserve"> CONSEJO DE ESTADO, Sala de Consulta y Servicio Civil. Concepto de 6 de agosto de 2003. C.P. Augusto Trejos. Rad. No. 1453.</w:t>
      </w:r>
    </w:p>
    <w:p w14:paraId="65FC2A8F" w14:textId="77777777" w:rsidR="005133C3" w:rsidRPr="008001B7" w:rsidRDefault="005133C3" w:rsidP="005133C3">
      <w:pPr>
        <w:pStyle w:val="Textonotapie"/>
        <w:ind w:firstLine="708"/>
        <w:jc w:val="both"/>
        <w:rPr>
          <w:rFonts w:ascii="Verdana" w:hAnsi="Verdana"/>
          <w:sz w:val="16"/>
          <w:szCs w:val="16"/>
        </w:rPr>
      </w:pPr>
    </w:p>
  </w:footnote>
  <w:footnote w:id="7">
    <w:p w14:paraId="15F9A5F7" w14:textId="77777777" w:rsidR="005133C3" w:rsidRDefault="005133C3" w:rsidP="005133C3">
      <w:pPr>
        <w:pStyle w:val="Textonotapie"/>
        <w:ind w:firstLine="709"/>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DÍAZ DIEZ, Cristian. Op. cit.</w:t>
      </w:r>
      <w:r w:rsidRPr="008001B7">
        <w:rPr>
          <w:rFonts w:ascii="Verdana" w:hAnsi="Verdana"/>
          <w:i/>
          <w:sz w:val="16"/>
          <w:szCs w:val="16"/>
          <w:lang w:val="es-CO"/>
        </w:rPr>
        <w:t xml:space="preserve"> </w:t>
      </w:r>
      <w:r w:rsidRPr="008001B7">
        <w:rPr>
          <w:rFonts w:ascii="Verdana" w:hAnsi="Verdana"/>
          <w:sz w:val="16"/>
          <w:szCs w:val="16"/>
          <w:lang w:val="es-CO"/>
        </w:rPr>
        <w:t>p. 169</w:t>
      </w:r>
    </w:p>
    <w:p w14:paraId="2560AB6E" w14:textId="77777777" w:rsidR="005133C3" w:rsidRPr="008001B7" w:rsidRDefault="005133C3" w:rsidP="005133C3">
      <w:pPr>
        <w:pStyle w:val="Textonotapie"/>
        <w:ind w:firstLine="709"/>
        <w:rPr>
          <w:rFonts w:ascii="Verdana" w:hAnsi="Verdana"/>
          <w:sz w:val="16"/>
          <w:szCs w:val="16"/>
          <w:lang w:val="es-CO"/>
        </w:rPr>
      </w:pPr>
    </w:p>
  </w:footnote>
  <w:footnote w:id="8">
    <w:p w14:paraId="089D655E" w14:textId="77777777" w:rsidR="005133C3" w:rsidRPr="008001B7" w:rsidRDefault="005133C3" w:rsidP="005133C3">
      <w:pPr>
        <w:pStyle w:val="Textonotapie"/>
        <w:ind w:firstLine="709"/>
        <w:jc w:val="both"/>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PALACIO HINCAPIÉ, Juan Ángel. Contratación de las entidades estatales. Medellín: Librería Jurídica Sánchez R. S.A.S., 2020, p. 626-627.</w:t>
      </w:r>
    </w:p>
  </w:footnote>
  <w:footnote w:id="9">
    <w:p w14:paraId="194688CA" w14:textId="77777777" w:rsidR="005133C3" w:rsidRDefault="005133C3" w:rsidP="005133C3">
      <w:pPr>
        <w:pStyle w:val="Textonotapie"/>
        <w:ind w:firstLine="709"/>
        <w:jc w:val="both"/>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 xml:space="preserve">CONSEJO DE ESTADO. Sección Tercera. Subsección C. Sentencia de 18 de julio de 2012. C.P. Jaime Orlando Santofimio Gamboa. Exp: 22.221. Igualmente, se reitera en: Sección Tercera. Subsección C. Sentencia del 1 de abril de 2016. C.P. Jaime Orlando Santofimio Gamboa. Exp. 50.217. </w:t>
      </w:r>
    </w:p>
    <w:p w14:paraId="41FA655B" w14:textId="77777777" w:rsidR="005133C3" w:rsidRPr="008001B7" w:rsidRDefault="005133C3" w:rsidP="005133C3">
      <w:pPr>
        <w:pStyle w:val="Textonotapie"/>
        <w:ind w:firstLine="709"/>
        <w:jc w:val="both"/>
        <w:rPr>
          <w:rFonts w:ascii="Verdana" w:hAnsi="Verdana"/>
          <w:sz w:val="16"/>
          <w:szCs w:val="16"/>
          <w:lang w:val="es-CO"/>
        </w:rPr>
      </w:pPr>
    </w:p>
  </w:footnote>
  <w:footnote w:id="10">
    <w:p w14:paraId="3E0F21D6" w14:textId="77777777" w:rsidR="005133C3" w:rsidRDefault="005133C3" w:rsidP="005133C3">
      <w:pPr>
        <w:pStyle w:val="Textonotapie"/>
        <w:ind w:firstLine="709"/>
        <w:jc w:val="both"/>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 xml:space="preserve">Guillermo Ospina Fernández y Eduardo Ospina Acosta expresa sobre los elementos del acto o negocio jurídico lo siguiente: </w:t>
      </w:r>
      <w:r w:rsidRPr="008001B7">
        <w:rPr>
          <w:rFonts w:ascii="Verdana" w:hAnsi="Verdana"/>
          <w:sz w:val="16"/>
          <w:szCs w:val="16"/>
        </w:rPr>
        <w:t>“</w:t>
      </w:r>
      <w:r w:rsidRPr="008001B7">
        <w:rPr>
          <w:rFonts w:ascii="Verdana" w:hAnsi="Verdana"/>
          <w:sz w:val="16"/>
          <w:szCs w:val="16"/>
          <w:lang w:val="es-CO"/>
        </w:rPr>
        <w:t>De la definición que hemos formulado del acto jurídico como la manifestación de voluntad directa y reflexivamente encaminada a producir efectos jurídicos y de los anteriores análisis realizados en torno de la noción lógica del acto, resulta que sus elementos esenciales son dos, a saber: a) la manifestación de voluntad de uno o más sujetos de derecho, y b) el objeto jurídico a que dicha manifestación de voluntad se endereza</w:t>
      </w:r>
      <w:r w:rsidRPr="008001B7">
        <w:rPr>
          <w:rFonts w:ascii="Verdana" w:hAnsi="Verdana"/>
          <w:color w:val="000000"/>
          <w:sz w:val="16"/>
          <w:szCs w:val="16"/>
        </w:rPr>
        <w:t>”</w:t>
      </w:r>
      <w:r w:rsidRPr="008001B7">
        <w:rPr>
          <w:rFonts w:ascii="Verdana" w:hAnsi="Verdana"/>
          <w:sz w:val="16"/>
          <w:szCs w:val="16"/>
          <w:lang w:val="es-CO"/>
        </w:rPr>
        <w:t>. OSPINA FERNÁNDEZ, Guillermo; OSPINA ACOSTA, Eduardo. Teoría general del contrato y del negocio jurídico. Bogotá: Temis, 2005, p. 28.</w:t>
      </w:r>
    </w:p>
    <w:p w14:paraId="6591D70C" w14:textId="77777777" w:rsidR="005133C3" w:rsidRPr="008001B7" w:rsidRDefault="005133C3" w:rsidP="005133C3">
      <w:pPr>
        <w:pStyle w:val="Textonotapie"/>
        <w:ind w:firstLine="709"/>
        <w:jc w:val="both"/>
        <w:rPr>
          <w:rFonts w:ascii="Verdana" w:hAnsi="Verdana"/>
          <w:sz w:val="16"/>
          <w:szCs w:val="16"/>
          <w:lang w:val="es-CO"/>
        </w:rPr>
      </w:pPr>
    </w:p>
  </w:footnote>
  <w:footnote w:id="11">
    <w:p w14:paraId="26F3CC11" w14:textId="77777777" w:rsidR="005133C3" w:rsidRPr="008001B7" w:rsidRDefault="005133C3" w:rsidP="005133C3">
      <w:pPr>
        <w:pStyle w:val="Textonotapie"/>
        <w:ind w:firstLine="709"/>
        <w:jc w:val="both"/>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 xml:space="preserve">DÍAZ DÍEZ, Cristián Andrés. </w:t>
      </w:r>
      <w:r w:rsidRPr="008001B7">
        <w:rPr>
          <w:rFonts w:ascii="Verdana" w:hAnsi="Verdana"/>
          <w:i/>
          <w:sz w:val="16"/>
          <w:szCs w:val="16"/>
          <w:lang w:val="es-CO"/>
        </w:rPr>
        <w:t xml:space="preserve">Op cit. </w:t>
      </w:r>
      <w:r w:rsidRPr="008001B7">
        <w:rPr>
          <w:rFonts w:ascii="Verdana" w:hAnsi="Verdana"/>
          <w:sz w:val="16"/>
          <w:szCs w:val="16"/>
          <w:lang w:val="es-CO"/>
        </w:rPr>
        <w:t xml:space="preserve">p. 182. </w:t>
      </w:r>
    </w:p>
  </w:footnote>
  <w:footnote w:id="12">
    <w:p w14:paraId="71E86072" w14:textId="77777777" w:rsidR="005133C3" w:rsidRDefault="005133C3" w:rsidP="005133C3">
      <w:pPr>
        <w:pStyle w:val="Textonotapie"/>
        <w:ind w:firstLine="709"/>
        <w:jc w:val="both"/>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 xml:space="preserve">CONSEJO DE ESTADO. Sección Tercera. Subsección B. C.P. Sentencia del 27 de marzo de 2014. </w:t>
      </w:r>
      <w:r w:rsidRPr="00F535EB">
        <w:rPr>
          <w:rFonts w:ascii="Verdana" w:hAnsi="Verdana"/>
          <w:sz w:val="16"/>
          <w:szCs w:val="16"/>
          <w:lang w:val="es-CO"/>
        </w:rPr>
        <w:t>C.P. Danilo Rojas Betancourth. Exp. 20.912.</w:t>
      </w:r>
    </w:p>
    <w:p w14:paraId="7AC8DF0F" w14:textId="77777777" w:rsidR="005133C3" w:rsidRPr="00F535EB" w:rsidRDefault="005133C3" w:rsidP="005133C3">
      <w:pPr>
        <w:pStyle w:val="Textonotapie"/>
        <w:ind w:firstLine="709"/>
        <w:jc w:val="both"/>
        <w:rPr>
          <w:rFonts w:ascii="Verdana" w:hAnsi="Verdana"/>
          <w:sz w:val="16"/>
          <w:szCs w:val="16"/>
          <w:lang w:val="es-CO"/>
        </w:rPr>
      </w:pPr>
    </w:p>
  </w:footnote>
  <w:footnote w:id="13">
    <w:p w14:paraId="07224727" w14:textId="77777777" w:rsidR="005133C3" w:rsidRPr="008812FC" w:rsidRDefault="005133C3" w:rsidP="005133C3">
      <w:pPr>
        <w:pStyle w:val="Textonotapie"/>
        <w:ind w:firstLine="708"/>
        <w:rPr>
          <w:lang w:val="es-ES"/>
        </w:rPr>
      </w:pPr>
      <w:r>
        <w:rPr>
          <w:rStyle w:val="Refdenotaalpie"/>
        </w:rPr>
        <w:footnoteRef/>
      </w:r>
      <w:r>
        <w:t xml:space="preserve"> </w:t>
      </w:r>
      <w:r w:rsidRPr="008812FC">
        <w:t>EXPOSITO, Juan Carlos.</w:t>
      </w:r>
      <w:r>
        <w:t xml:space="preserve"> Op.cit., p. 91. </w:t>
      </w:r>
    </w:p>
  </w:footnote>
  <w:footnote w:id="14">
    <w:p w14:paraId="49104AA8" w14:textId="77777777" w:rsidR="005133C3" w:rsidRDefault="005133C3" w:rsidP="005133C3">
      <w:pPr>
        <w:pStyle w:val="Textonotapie"/>
        <w:ind w:firstLine="708"/>
        <w:jc w:val="both"/>
        <w:rPr>
          <w:rFonts w:ascii="Verdana" w:hAnsi="Verdana"/>
          <w:sz w:val="16"/>
          <w:szCs w:val="16"/>
        </w:rPr>
      </w:pPr>
      <w:r w:rsidRPr="008001B7">
        <w:rPr>
          <w:rStyle w:val="Refdenotaalpie"/>
          <w:rFonts w:ascii="Verdana" w:hAnsi="Verdana"/>
          <w:sz w:val="16"/>
          <w:szCs w:val="16"/>
        </w:rPr>
        <w:footnoteRef/>
      </w:r>
      <w:r w:rsidRPr="00F535EB">
        <w:rPr>
          <w:rFonts w:ascii="Verdana" w:hAnsi="Verdana"/>
          <w:sz w:val="16"/>
          <w:szCs w:val="16"/>
          <w:lang w:val="es-CO"/>
        </w:rPr>
        <w:t xml:space="preserve"> SANTOFIMIO GAMBOA, Jaime Orlando. </w:t>
      </w:r>
      <w:r w:rsidRPr="008001B7">
        <w:rPr>
          <w:rFonts w:ascii="Verdana" w:hAnsi="Verdana"/>
          <w:sz w:val="16"/>
          <w:szCs w:val="16"/>
        </w:rPr>
        <w:t>Tratado de derecho administrativo: contratación indebida. Tomo IV. Bogotá: Universidad Externado de Colombia, 2004. pp. 388-389.</w:t>
      </w:r>
    </w:p>
    <w:p w14:paraId="110CDE4F" w14:textId="77777777" w:rsidR="005133C3" w:rsidRPr="008001B7" w:rsidRDefault="005133C3" w:rsidP="005133C3">
      <w:pPr>
        <w:pStyle w:val="Textonotapie"/>
        <w:ind w:firstLine="708"/>
        <w:jc w:val="both"/>
        <w:rPr>
          <w:rFonts w:ascii="Verdana" w:hAnsi="Verdana"/>
          <w:sz w:val="16"/>
          <w:szCs w:val="16"/>
          <w:lang w:val="es-CO"/>
        </w:rPr>
      </w:pPr>
    </w:p>
  </w:footnote>
  <w:footnote w:id="15">
    <w:p w14:paraId="35B936EB" w14:textId="77777777" w:rsidR="005133C3" w:rsidRDefault="005133C3" w:rsidP="005133C3">
      <w:pPr>
        <w:pStyle w:val="Textonotapie"/>
        <w:ind w:firstLine="708"/>
        <w:jc w:val="both"/>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 xml:space="preserve">HERNÁNDEZ SILVA, Aida Patricia. La liquidación del contrato estatal. En: Revista Digital de Derecho Administrativo. Universidad Externado de Colombia, N° 1, 2009. Disponible en línea: </w:t>
      </w:r>
      <w:hyperlink r:id="rId1" w:history="1">
        <w:r w:rsidRPr="00717659">
          <w:rPr>
            <w:rStyle w:val="Hipervnculo"/>
            <w:rFonts w:ascii="Verdana" w:hAnsi="Verdana"/>
            <w:sz w:val="16"/>
            <w:szCs w:val="16"/>
            <w:lang w:val="es-CO"/>
          </w:rPr>
          <w:t>http://revistas.uexternado.edu.co/index.php/Deradm/article/view/2597 p. 1</w:t>
        </w:r>
      </w:hyperlink>
    </w:p>
    <w:p w14:paraId="1D7CB462" w14:textId="77777777" w:rsidR="005133C3" w:rsidRPr="008001B7" w:rsidRDefault="005133C3" w:rsidP="005133C3">
      <w:pPr>
        <w:pStyle w:val="Textonotapie"/>
        <w:ind w:firstLine="708"/>
        <w:jc w:val="both"/>
        <w:rPr>
          <w:rFonts w:ascii="Verdana" w:hAnsi="Verdana"/>
          <w:sz w:val="16"/>
          <w:szCs w:val="16"/>
          <w:lang w:val="es-CO"/>
        </w:rPr>
      </w:pPr>
    </w:p>
  </w:footnote>
  <w:footnote w:id="16">
    <w:p w14:paraId="5420D35D" w14:textId="77777777" w:rsidR="005133C3" w:rsidRDefault="005133C3" w:rsidP="005133C3">
      <w:pPr>
        <w:pStyle w:val="Textonotapie"/>
        <w:ind w:firstLine="708"/>
        <w:jc w:val="both"/>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DÍAZ DÍEZ, Cristián Andrés, Op.cit. p. 150-152.</w:t>
      </w:r>
    </w:p>
    <w:p w14:paraId="0A5986BB" w14:textId="77777777" w:rsidR="005133C3" w:rsidRPr="008001B7" w:rsidRDefault="005133C3" w:rsidP="005133C3">
      <w:pPr>
        <w:pStyle w:val="Textonotapie"/>
        <w:ind w:firstLine="708"/>
        <w:jc w:val="both"/>
        <w:rPr>
          <w:rFonts w:ascii="Verdana" w:hAnsi="Verdana"/>
          <w:sz w:val="16"/>
          <w:szCs w:val="16"/>
          <w:lang w:val="es-CO"/>
        </w:rPr>
      </w:pPr>
    </w:p>
  </w:footnote>
  <w:footnote w:id="17">
    <w:p w14:paraId="279275A6" w14:textId="77777777" w:rsidR="005133C3" w:rsidRPr="008001B7" w:rsidRDefault="005133C3" w:rsidP="005133C3">
      <w:pPr>
        <w:pStyle w:val="Textonotapie"/>
        <w:ind w:firstLine="708"/>
        <w:jc w:val="both"/>
        <w:rPr>
          <w:rFonts w:ascii="Verdana" w:hAnsi="Verdana" w:cs="Arial"/>
          <w:color w:val="000000"/>
          <w:sz w:val="16"/>
          <w:szCs w:val="16"/>
          <w:shd w:val="clear" w:color="auto" w:fill="FFFFFF"/>
          <w:lang w:val="es-CO"/>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Style w:val="Textoennegrita"/>
          <w:rFonts w:ascii="Verdana" w:hAnsi="Verdana"/>
          <w:color w:val="000000"/>
          <w:sz w:val="16"/>
          <w:szCs w:val="16"/>
          <w:shd w:val="clear" w:color="auto" w:fill="FFFFFF"/>
        </w:rPr>
        <w:t>Artículo</w:t>
      </w:r>
      <w:r w:rsidRPr="008001B7">
        <w:rPr>
          <w:rStyle w:val="Textoennegrita"/>
          <w:rFonts w:ascii="Verdana" w:hAnsi="Verdana"/>
          <w:color w:val="000000"/>
          <w:sz w:val="16"/>
          <w:szCs w:val="16"/>
          <w:shd w:val="clear" w:color="auto" w:fill="FFFFFF"/>
          <w:lang w:val="es-CO"/>
        </w:rPr>
        <w:t xml:space="preserve"> </w:t>
      </w:r>
      <w:r w:rsidRPr="008001B7">
        <w:rPr>
          <w:rStyle w:val="Textoennegrita"/>
          <w:rFonts w:ascii="Verdana" w:hAnsi="Verdana"/>
          <w:color w:val="000000"/>
          <w:sz w:val="16"/>
          <w:szCs w:val="16"/>
          <w:shd w:val="clear" w:color="auto" w:fill="FFFFFF"/>
        </w:rPr>
        <w:t>4.-</w:t>
      </w:r>
      <w:r w:rsidRPr="008001B7">
        <w:rPr>
          <w:rFonts w:ascii="Verdana" w:hAnsi="Verdana" w:cs="Arial"/>
          <w:i/>
          <w:iCs/>
          <w:color w:val="000000"/>
          <w:sz w:val="16"/>
          <w:szCs w:val="16"/>
          <w:shd w:val="clear" w:color="auto" w:fill="FFFFFF"/>
        </w:rPr>
        <w:t>De los Derechos y Deberes de las Entidades Estatales</w:t>
      </w:r>
      <w:r w:rsidRPr="008001B7">
        <w:rPr>
          <w:rFonts w:ascii="Verdana" w:hAnsi="Verdana" w:cs="Arial"/>
          <w:bCs/>
          <w:color w:val="000000"/>
          <w:sz w:val="16"/>
          <w:szCs w:val="16"/>
          <w:shd w:val="clear" w:color="auto" w:fill="FFFFFF"/>
        </w:rPr>
        <w:t>.</w:t>
      </w:r>
      <w:r w:rsidRPr="008001B7">
        <w:rPr>
          <w:rFonts w:ascii="Verdana" w:hAnsi="Verdana" w:cs="Arial"/>
          <w:color w:val="000000"/>
          <w:sz w:val="16"/>
          <w:szCs w:val="16"/>
          <w:shd w:val="clear" w:color="auto" w:fill="FFFFFF"/>
          <w:lang w:val="es-CO"/>
        </w:rPr>
        <w:t xml:space="preserve"> </w:t>
      </w:r>
      <w:r w:rsidRPr="008001B7">
        <w:rPr>
          <w:rFonts w:ascii="Verdana" w:hAnsi="Verdana" w:cs="Arial"/>
          <w:color w:val="000000"/>
          <w:sz w:val="16"/>
          <w:szCs w:val="16"/>
          <w:shd w:val="clear" w:color="auto" w:fill="FFFFFF"/>
        </w:rPr>
        <w:t>Para la consecución de los fines de que trata el artículo anterior, las entidades estatales: […]</w:t>
      </w:r>
    </w:p>
    <w:p w14:paraId="38B8203F" w14:textId="77777777" w:rsidR="005133C3" w:rsidRPr="008001B7" w:rsidRDefault="005133C3" w:rsidP="005133C3">
      <w:pPr>
        <w:pStyle w:val="Textonotapie"/>
        <w:ind w:firstLine="708"/>
        <w:jc w:val="both"/>
        <w:rPr>
          <w:rFonts w:ascii="Verdana" w:hAnsi="Verdana" w:cs="Arial"/>
          <w:color w:val="000000"/>
          <w:sz w:val="16"/>
          <w:szCs w:val="16"/>
          <w:shd w:val="clear" w:color="auto" w:fill="FFFFFF"/>
          <w:lang w:val="es-CO"/>
        </w:rPr>
      </w:pPr>
      <w:r w:rsidRPr="008001B7">
        <w:rPr>
          <w:rFonts w:ascii="Verdana" w:hAnsi="Verdana"/>
          <w:sz w:val="16"/>
          <w:szCs w:val="16"/>
          <w:lang w:val="es-CO"/>
        </w:rPr>
        <w:t>“</w:t>
      </w:r>
      <w:r w:rsidRPr="008001B7">
        <w:rPr>
          <w:rFonts w:ascii="Verdana" w:hAnsi="Verdana" w:cs="Arial"/>
          <w:color w:val="000000"/>
          <w:sz w:val="16"/>
          <w:szCs w:val="16"/>
          <w:shd w:val="clear" w:color="auto" w:fill="FFFFFF"/>
        </w:rPr>
        <w:t>8o.</w:t>
      </w:r>
      <w:r w:rsidRPr="008001B7">
        <w:rPr>
          <w:rFonts w:ascii="Verdana" w:hAnsi="Verdana" w:cs="Arial"/>
          <w:color w:val="000000"/>
          <w:sz w:val="16"/>
          <w:szCs w:val="16"/>
          <w:shd w:val="clear" w:color="auto" w:fill="FFFFFF"/>
          <w:lang w:val="es-CO"/>
        </w:rPr>
        <w:t xml:space="preserve"> </w:t>
      </w:r>
      <w:r w:rsidRPr="008001B7">
        <w:rPr>
          <w:rFonts w:ascii="Verdana" w:hAnsi="Verdana" w:cs="Arial"/>
          <w:color w:val="000000"/>
          <w:sz w:val="16"/>
          <w:szCs w:val="16"/>
          <w:shd w:val="clear" w:color="auto" w:fill="FFFFFF"/>
        </w:rPr>
        <w:t>Adoptarán las medidas necesarias para mantener durante el desarrollo y ejecución del contrato las condiciones técnicas, económicas y financieras existentes al momento de proponer en los casos en que se hubiere realizado licitación o </w:t>
      </w:r>
      <w:r w:rsidRPr="008001B7">
        <w:rPr>
          <w:rFonts w:ascii="Verdana" w:hAnsi="Verdana" w:cs="Arial"/>
          <w:color w:val="000000"/>
          <w:sz w:val="16"/>
          <w:szCs w:val="16"/>
          <w:u w:val="single"/>
          <w:shd w:val="clear" w:color="auto" w:fill="FFFFFF"/>
        </w:rPr>
        <w:t>concurs</w:t>
      </w:r>
      <w:r w:rsidRPr="008001B7">
        <w:rPr>
          <w:rFonts w:ascii="Verdana" w:hAnsi="Verdana" w:cs="Arial"/>
          <w:color w:val="000000"/>
          <w:sz w:val="16"/>
          <w:szCs w:val="16"/>
          <w:shd w:val="clear" w:color="auto" w:fill="FFFFFF"/>
        </w:rPr>
        <w:t>o, o de contratar en los casos de contratación directa. Para ello utilizarán los mecanismos de ajuste y revisión de precios, acudirán a los procedimientos de revisión y corrección de tales mecanismos si fracasan los supuestos o hipótesis para la ejecución y pactarán intereses moratorios.</w:t>
      </w:r>
    </w:p>
    <w:p w14:paraId="0AB9DA8B" w14:textId="77777777" w:rsidR="005133C3" w:rsidRPr="008001B7" w:rsidRDefault="005133C3" w:rsidP="005133C3">
      <w:pPr>
        <w:pStyle w:val="Textonotapie"/>
        <w:ind w:firstLine="708"/>
        <w:jc w:val="both"/>
        <w:rPr>
          <w:rFonts w:ascii="Verdana" w:hAnsi="Verdana" w:cs="Arial"/>
          <w:color w:val="000000"/>
          <w:sz w:val="16"/>
          <w:szCs w:val="16"/>
          <w:shd w:val="clear" w:color="auto" w:fill="FFFFFF"/>
          <w:lang w:val="es-CO"/>
        </w:rPr>
      </w:pPr>
      <w:r w:rsidRPr="008001B7">
        <w:rPr>
          <w:rFonts w:ascii="Verdana" w:hAnsi="Verdana" w:cs="Arial"/>
          <w:color w:val="000000"/>
          <w:sz w:val="16"/>
          <w:szCs w:val="16"/>
          <w:shd w:val="clear" w:color="auto" w:fill="FFFFFF"/>
        </w:rPr>
        <w:t>Sin perjuicio de la actualización o revisión de precios, en caso de no haberse pactado intereses moratorios, se aplicará la tasa equivalente al doble del interés legal civil sobre el valor histórico actualizado.</w:t>
      </w:r>
    </w:p>
    <w:p w14:paraId="1701CF2E" w14:textId="77777777" w:rsidR="005133C3" w:rsidRPr="008001B7" w:rsidRDefault="005133C3" w:rsidP="005133C3">
      <w:pPr>
        <w:pStyle w:val="Textonotapie"/>
        <w:ind w:firstLine="708"/>
        <w:jc w:val="both"/>
        <w:rPr>
          <w:rFonts w:ascii="Verdana" w:hAnsi="Verdana" w:cs="Arial"/>
          <w:color w:val="000000"/>
          <w:sz w:val="16"/>
          <w:szCs w:val="16"/>
          <w:shd w:val="clear" w:color="auto" w:fill="FFFFFF"/>
          <w:lang w:val="es-CO"/>
        </w:rPr>
      </w:pPr>
      <w:r w:rsidRPr="008001B7">
        <w:rPr>
          <w:rFonts w:ascii="Verdana" w:hAnsi="Verdana" w:cs="Arial"/>
          <w:color w:val="000000"/>
          <w:sz w:val="16"/>
          <w:szCs w:val="16"/>
          <w:shd w:val="clear" w:color="auto" w:fill="FFFFFF"/>
        </w:rPr>
        <w:t>9o. Actuarán de tal modo que por causas a ellas imputables, no sobrevenga una mayor onerosidad en el cumplimiento de las obligaciones a cargo del contratista. Con este fin, en el menor tiempo posible, corregirán los desajustes que pudieren presentarse y acordarán los mecanismos y procedimientos pertinentes para precaver o solucionar rápida y eficazmente las diferencias o situaciones litigiosas que llegaren a presentarse</w:t>
      </w:r>
      <w:r w:rsidRPr="008001B7">
        <w:rPr>
          <w:rFonts w:ascii="Verdana" w:hAnsi="Verdana"/>
          <w:color w:val="000000"/>
          <w:sz w:val="16"/>
          <w:szCs w:val="16"/>
        </w:rPr>
        <w:t>”</w:t>
      </w:r>
      <w:r w:rsidRPr="008001B7">
        <w:rPr>
          <w:rFonts w:ascii="Verdana" w:hAnsi="Verdana" w:cs="Arial"/>
          <w:color w:val="000000"/>
          <w:sz w:val="16"/>
          <w:szCs w:val="16"/>
          <w:shd w:val="clear" w:color="auto" w:fill="FFFFFF"/>
        </w:rPr>
        <w:t>.</w:t>
      </w:r>
    </w:p>
    <w:p w14:paraId="3B75D288" w14:textId="77777777" w:rsidR="005133C3" w:rsidRPr="008001B7" w:rsidRDefault="005133C3" w:rsidP="005133C3">
      <w:pPr>
        <w:pStyle w:val="Textonotapie"/>
        <w:ind w:firstLine="708"/>
        <w:jc w:val="both"/>
        <w:rPr>
          <w:rFonts w:ascii="Verdana" w:hAnsi="Verdana" w:cs="Arial"/>
          <w:color w:val="000000"/>
          <w:sz w:val="16"/>
          <w:szCs w:val="16"/>
          <w:shd w:val="clear" w:color="auto" w:fill="FFFFFF"/>
          <w:lang w:val="es-CO"/>
        </w:rPr>
      </w:pPr>
      <w:r w:rsidRPr="008001B7">
        <w:rPr>
          <w:rFonts w:ascii="Verdana" w:hAnsi="Verdana"/>
          <w:sz w:val="16"/>
          <w:szCs w:val="16"/>
        </w:rPr>
        <w:t>“</w:t>
      </w:r>
      <w:r w:rsidRPr="008001B7">
        <w:rPr>
          <w:rFonts w:ascii="Verdana" w:hAnsi="Verdana" w:cs="Arial"/>
          <w:bCs/>
          <w:color w:val="000000"/>
          <w:sz w:val="16"/>
          <w:szCs w:val="16"/>
          <w:shd w:val="clear" w:color="auto" w:fill="FFFFFF"/>
        </w:rPr>
        <w:t>Artículo</w:t>
      </w:r>
      <w:r w:rsidRPr="008001B7">
        <w:rPr>
          <w:rFonts w:ascii="Verdana" w:hAnsi="Verdana" w:cs="Arial"/>
          <w:bCs/>
          <w:color w:val="000000"/>
          <w:sz w:val="16"/>
          <w:szCs w:val="16"/>
          <w:shd w:val="clear" w:color="auto" w:fill="FFFFFF"/>
          <w:lang w:val="es-CO"/>
        </w:rPr>
        <w:t xml:space="preserve"> </w:t>
      </w:r>
      <w:r w:rsidRPr="008001B7">
        <w:rPr>
          <w:rFonts w:ascii="Verdana" w:hAnsi="Verdana" w:cs="Arial"/>
          <w:bCs/>
          <w:color w:val="000000"/>
          <w:sz w:val="16"/>
          <w:szCs w:val="16"/>
          <w:shd w:val="clear" w:color="auto" w:fill="FFFFFF"/>
        </w:rPr>
        <w:t>5.-</w:t>
      </w:r>
      <w:r w:rsidRPr="008001B7">
        <w:rPr>
          <w:rFonts w:ascii="Verdana" w:hAnsi="Verdana" w:cs="Arial"/>
          <w:i/>
          <w:iCs/>
          <w:color w:val="000000"/>
          <w:sz w:val="16"/>
          <w:szCs w:val="16"/>
          <w:shd w:val="clear" w:color="auto" w:fill="FFFFFF"/>
        </w:rPr>
        <w:t>De los Derechos y Deberes de los Contratistas</w:t>
      </w:r>
      <w:r w:rsidRPr="008001B7">
        <w:rPr>
          <w:rFonts w:ascii="Verdana" w:hAnsi="Verdana" w:cs="Arial"/>
          <w:color w:val="000000"/>
          <w:sz w:val="16"/>
          <w:szCs w:val="16"/>
          <w:shd w:val="clear" w:color="auto" w:fill="FFFFFF"/>
        </w:rPr>
        <w:t>. Para la realización de los fines de que trata el artículo 3o. de esta Ley, los contratistas:</w:t>
      </w:r>
    </w:p>
    <w:p w14:paraId="321A7570" w14:textId="77777777" w:rsidR="005133C3" w:rsidRPr="008001B7" w:rsidRDefault="005133C3" w:rsidP="005133C3">
      <w:pPr>
        <w:pStyle w:val="Textonotapie"/>
        <w:ind w:firstLine="708"/>
        <w:jc w:val="both"/>
        <w:rPr>
          <w:rFonts w:ascii="Verdana" w:hAnsi="Verdana" w:cs="Arial"/>
          <w:color w:val="000000"/>
          <w:sz w:val="16"/>
          <w:szCs w:val="16"/>
          <w:shd w:val="clear" w:color="auto" w:fill="FFFFFF"/>
          <w:lang w:val="es-CO"/>
        </w:rPr>
      </w:pPr>
      <w:r w:rsidRPr="008001B7">
        <w:rPr>
          <w:rFonts w:ascii="Verdana" w:hAnsi="Verdana" w:cs="Arial"/>
          <w:color w:val="000000"/>
          <w:sz w:val="16"/>
          <w:szCs w:val="16"/>
          <w:shd w:val="clear" w:color="auto" w:fill="FFFFFF"/>
        </w:rPr>
        <w:t>1o. Tendrán derecho a recibir oportunamente la remuneración pactada y a que el valor intrínseco de la misma no se altere o modifique durante la vigencia del contrato.</w:t>
      </w:r>
    </w:p>
    <w:p w14:paraId="3C180ED9" w14:textId="77777777" w:rsidR="005133C3" w:rsidRPr="008001B7" w:rsidRDefault="005133C3" w:rsidP="005133C3">
      <w:pPr>
        <w:pStyle w:val="Textonotapie"/>
        <w:ind w:firstLine="708"/>
        <w:jc w:val="both"/>
        <w:rPr>
          <w:rFonts w:ascii="Verdana" w:hAnsi="Verdana"/>
          <w:sz w:val="16"/>
          <w:szCs w:val="16"/>
          <w:lang w:val="es-CO"/>
        </w:rPr>
      </w:pPr>
      <w:r w:rsidRPr="008001B7">
        <w:rPr>
          <w:rFonts w:ascii="Verdana" w:hAnsi="Verdana" w:cs="Arial"/>
          <w:color w:val="000000"/>
          <w:sz w:val="16"/>
          <w:szCs w:val="16"/>
          <w:shd w:val="clear" w:color="auto" w:fill="FFFFFF"/>
        </w:rPr>
        <w:t>En consecuencia tendrán derecho, previa solicitud, a que la administración les restablezca el equilibrio de la ecuación económica del contrato a un punto de no pérdida por la ocurrencia de situaciones imprevistas que no sean imputables a los contratistas. Si dicho equilibrio se rompe por incumplimiento de la entidad estatal contratante, tendrá que restablecerse la ecuación surgida al momento del nacimiento del contrato</w:t>
      </w:r>
      <w:r w:rsidRPr="008001B7">
        <w:rPr>
          <w:rFonts w:ascii="Verdana" w:hAnsi="Verdana"/>
          <w:color w:val="000000"/>
          <w:sz w:val="16"/>
          <w:szCs w:val="16"/>
        </w:rPr>
        <w:t>”</w:t>
      </w:r>
      <w:r w:rsidRPr="008001B7">
        <w:rPr>
          <w:rFonts w:ascii="Verdana" w:hAnsi="Verdana" w:cs="Arial"/>
          <w:color w:val="000000"/>
          <w:sz w:val="16"/>
          <w:szCs w:val="16"/>
          <w:shd w:val="clear" w:color="auto" w:fill="FFFFFF"/>
        </w:rPr>
        <w:t>.</w:t>
      </w:r>
    </w:p>
  </w:footnote>
  <w:footnote w:id="18">
    <w:p w14:paraId="01FE676A" w14:textId="77777777" w:rsidR="005133C3" w:rsidRPr="008001B7" w:rsidRDefault="005133C3" w:rsidP="005133C3">
      <w:pPr>
        <w:pStyle w:val="Textonotapie"/>
        <w:ind w:firstLine="708"/>
        <w:rPr>
          <w:rFonts w:ascii="Verdana" w:hAnsi="Verdana"/>
          <w:sz w:val="16"/>
          <w:szCs w:val="16"/>
          <w:lang w:val="pt-BR"/>
        </w:rPr>
      </w:pPr>
      <w:r w:rsidRPr="008001B7">
        <w:rPr>
          <w:rStyle w:val="Refdenotaalpie"/>
          <w:rFonts w:ascii="Verdana" w:hAnsi="Verdana"/>
          <w:sz w:val="16"/>
          <w:szCs w:val="16"/>
        </w:rPr>
        <w:footnoteRef/>
      </w:r>
      <w:r w:rsidRPr="008001B7">
        <w:rPr>
          <w:rFonts w:ascii="Verdana" w:hAnsi="Verdana"/>
          <w:sz w:val="16"/>
          <w:szCs w:val="16"/>
        </w:rPr>
        <w:t xml:space="preserve"> CONSEJO DE ESTADO. Sala Plena. Sección Tercera. Sentencia de Unificación del 19 de noviembre de 2012. </w:t>
      </w:r>
      <w:r w:rsidRPr="008001B7">
        <w:rPr>
          <w:rFonts w:ascii="Verdana" w:hAnsi="Verdana"/>
          <w:sz w:val="16"/>
          <w:szCs w:val="16"/>
          <w:lang w:val="pt-BR"/>
        </w:rPr>
        <w:t>C.P. Jaime Orlando Santofimio Gamboa. Exp. 24987.</w:t>
      </w:r>
    </w:p>
  </w:footnote>
  <w:footnote w:id="19">
    <w:p w14:paraId="17D1F30D" w14:textId="77777777" w:rsidR="005133C3" w:rsidRPr="008001B7" w:rsidRDefault="005133C3" w:rsidP="005133C3">
      <w:pPr>
        <w:pStyle w:val="Textonotapie"/>
        <w:ind w:firstLine="708"/>
        <w:jc w:val="both"/>
        <w:rPr>
          <w:rFonts w:ascii="Verdana" w:hAnsi="Verdana"/>
          <w:sz w:val="16"/>
          <w:szCs w:val="16"/>
          <w:lang w:val="es-CO"/>
        </w:rPr>
      </w:pPr>
      <w:r w:rsidRPr="008001B7">
        <w:rPr>
          <w:rStyle w:val="Refdenotaalpie"/>
          <w:rFonts w:ascii="Verdana" w:hAnsi="Verdana"/>
          <w:sz w:val="16"/>
          <w:szCs w:val="16"/>
        </w:rPr>
        <w:footnoteRef/>
      </w:r>
      <w:r w:rsidRPr="008001B7">
        <w:rPr>
          <w:rFonts w:ascii="Verdana" w:hAnsi="Verdana"/>
          <w:sz w:val="16"/>
          <w:szCs w:val="16"/>
          <w:lang w:val="pt-BR"/>
        </w:rPr>
        <w:t xml:space="preserve"> PINO RICCI, Jorge. </w:t>
      </w:r>
      <w:r w:rsidRPr="008001B7">
        <w:rPr>
          <w:rFonts w:ascii="Verdana" w:hAnsi="Verdana"/>
          <w:sz w:val="16"/>
          <w:szCs w:val="16"/>
        </w:rPr>
        <w:t>El régimen jurídico de los contratos estatales. Bogotá: Universidad Externado de Colombia, 2005. pp. 376-377.</w:t>
      </w:r>
    </w:p>
  </w:footnote>
  <w:footnote w:id="20">
    <w:p w14:paraId="6C65ED46" w14:textId="77777777" w:rsidR="005133C3" w:rsidRPr="008001B7" w:rsidRDefault="005133C3" w:rsidP="005133C3">
      <w:pPr>
        <w:pStyle w:val="Textonotapie"/>
        <w:ind w:firstLine="708"/>
        <w:jc w:val="both"/>
        <w:rPr>
          <w:rFonts w:ascii="Verdana" w:hAnsi="Verdana"/>
          <w:sz w:val="16"/>
          <w:szCs w:val="16"/>
          <w:lang w:val="pt-BR"/>
        </w:rPr>
      </w:pPr>
      <w:r w:rsidRPr="008001B7">
        <w:rPr>
          <w:rStyle w:val="Refdenotaalpie"/>
          <w:rFonts w:ascii="Verdana" w:hAnsi="Verdana"/>
          <w:sz w:val="16"/>
          <w:szCs w:val="16"/>
        </w:rPr>
        <w:footnoteRef/>
      </w:r>
      <w:r w:rsidRPr="008001B7">
        <w:rPr>
          <w:rFonts w:ascii="Verdana" w:hAnsi="Verdana"/>
          <w:sz w:val="16"/>
          <w:szCs w:val="16"/>
        </w:rPr>
        <w:t xml:space="preserve"> </w:t>
      </w:r>
      <w:r w:rsidRPr="008001B7">
        <w:rPr>
          <w:rFonts w:ascii="Verdana" w:hAnsi="Verdana"/>
          <w:sz w:val="16"/>
          <w:szCs w:val="16"/>
          <w:lang w:val="es-CO"/>
        </w:rPr>
        <w:t xml:space="preserve">CONSEJO DE ESTADO. Sala Plena. Sección Tercera. Sentencia de Unificación del 19 de noviembre de 2012. </w:t>
      </w:r>
      <w:r w:rsidRPr="008001B7">
        <w:rPr>
          <w:rFonts w:ascii="Verdana" w:hAnsi="Verdana"/>
          <w:sz w:val="16"/>
          <w:szCs w:val="16"/>
          <w:lang w:val="pt-BR"/>
        </w:rPr>
        <w:t>C.P. Jaime Orlando Santofimio Gamboa. Exp. 24987.</w:t>
      </w:r>
    </w:p>
  </w:footnote>
  <w:footnote w:id="21">
    <w:p w14:paraId="1D4C8613" w14:textId="77777777" w:rsidR="005133C3" w:rsidRDefault="005133C3" w:rsidP="005133C3">
      <w:pPr>
        <w:pStyle w:val="Textonotapie"/>
        <w:ind w:firstLine="708"/>
        <w:jc w:val="both"/>
        <w:rPr>
          <w:rFonts w:ascii="Verdana" w:hAnsi="Verdana"/>
          <w:sz w:val="16"/>
          <w:szCs w:val="16"/>
          <w:lang w:val="pt-BR"/>
        </w:rPr>
      </w:pPr>
      <w:r w:rsidRPr="008001B7">
        <w:rPr>
          <w:rStyle w:val="Refdenotaalpie"/>
          <w:rFonts w:ascii="Verdana" w:hAnsi="Verdana"/>
          <w:sz w:val="16"/>
          <w:szCs w:val="16"/>
        </w:rPr>
        <w:footnoteRef/>
      </w:r>
      <w:r w:rsidRPr="008001B7">
        <w:rPr>
          <w:rFonts w:ascii="Verdana" w:hAnsi="Verdana"/>
          <w:sz w:val="16"/>
          <w:szCs w:val="16"/>
          <w:lang w:val="pt-BR"/>
        </w:rPr>
        <w:t xml:space="preserve"> CONSEJO DE ESTADO. </w:t>
      </w:r>
      <w:r w:rsidRPr="008001B7">
        <w:rPr>
          <w:rFonts w:ascii="Verdana" w:hAnsi="Verdana"/>
          <w:sz w:val="16"/>
          <w:szCs w:val="16"/>
        </w:rPr>
        <w:t xml:space="preserve">Sala Plena. Sección Tercera. Sentencia de Unificación del 31 de julio de 2025. </w:t>
      </w:r>
      <w:r w:rsidRPr="008001B7">
        <w:rPr>
          <w:rFonts w:ascii="Verdana" w:hAnsi="Verdana"/>
          <w:sz w:val="16"/>
          <w:szCs w:val="16"/>
          <w:lang w:val="pt-BR"/>
        </w:rPr>
        <w:t xml:space="preserve">C.P. Fernando Alexei Pardo Flórez. Exp. 57464. </w:t>
      </w:r>
    </w:p>
    <w:p w14:paraId="1BC05342" w14:textId="77777777" w:rsidR="005133C3" w:rsidRPr="008001B7" w:rsidRDefault="005133C3" w:rsidP="005133C3">
      <w:pPr>
        <w:pStyle w:val="Textonotapie"/>
        <w:ind w:firstLine="708"/>
        <w:jc w:val="both"/>
        <w:rPr>
          <w:rFonts w:ascii="Verdana" w:hAnsi="Verdana"/>
          <w:sz w:val="16"/>
          <w:szCs w:val="16"/>
          <w:lang w:val="pt-BR"/>
        </w:rPr>
      </w:pPr>
    </w:p>
  </w:footnote>
  <w:footnote w:id="22">
    <w:p w14:paraId="3C46C1F9" w14:textId="77777777" w:rsidR="005133C3" w:rsidRPr="008001B7" w:rsidRDefault="005133C3" w:rsidP="005133C3">
      <w:pPr>
        <w:pStyle w:val="Textonotapie"/>
        <w:ind w:firstLine="708"/>
        <w:rPr>
          <w:rFonts w:ascii="Verdana" w:hAnsi="Verdana"/>
          <w:sz w:val="16"/>
          <w:szCs w:val="16"/>
          <w:lang w:val="pt-BR"/>
        </w:rPr>
      </w:pPr>
      <w:r w:rsidRPr="008001B7">
        <w:rPr>
          <w:rStyle w:val="Refdenotaalpie"/>
          <w:rFonts w:ascii="Verdana" w:hAnsi="Verdana"/>
          <w:sz w:val="16"/>
          <w:szCs w:val="16"/>
        </w:rPr>
        <w:footnoteRef/>
      </w:r>
      <w:r w:rsidRPr="008001B7">
        <w:rPr>
          <w:rFonts w:ascii="Verdana" w:hAnsi="Verdana"/>
          <w:sz w:val="16"/>
          <w:szCs w:val="16"/>
          <w:lang w:val="pt-BR"/>
        </w:rPr>
        <w:t xml:space="preserve"> Ibídem. </w:t>
      </w:r>
    </w:p>
  </w:footnote>
  <w:footnote w:id="23">
    <w:p w14:paraId="018C53BD" w14:textId="77777777" w:rsidR="005133C3" w:rsidRPr="008001B7" w:rsidRDefault="005133C3" w:rsidP="005133C3">
      <w:pPr>
        <w:pStyle w:val="Textonotapie"/>
        <w:ind w:firstLine="708"/>
        <w:rPr>
          <w:rFonts w:ascii="Verdana" w:hAnsi="Verdana"/>
          <w:sz w:val="16"/>
          <w:szCs w:val="16"/>
          <w:lang w:val="pt-BR"/>
        </w:rPr>
      </w:pPr>
      <w:r w:rsidRPr="008001B7">
        <w:rPr>
          <w:rStyle w:val="Refdenotaalpie"/>
          <w:rFonts w:ascii="Verdana" w:hAnsi="Verdana"/>
          <w:sz w:val="16"/>
          <w:szCs w:val="16"/>
        </w:rPr>
        <w:footnoteRef/>
      </w:r>
      <w:r w:rsidRPr="008001B7">
        <w:rPr>
          <w:rFonts w:ascii="Verdana" w:hAnsi="Verdana"/>
          <w:sz w:val="16"/>
          <w:szCs w:val="16"/>
          <w:lang w:val="pt-BR"/>
        </w:rPr>
        <w:t xml:space="preserve"> Ibídem.  </w:t>
      </w:r>
    </w:p>
  </w:footnote>
  <w:footnote w:id="24">
    <w:p w14:paraId="7F752ACF" w14:textId="77777777" w:rsidR="005133C3" w:rsidRPr="008001B7" w:rsidRDefault="005133C3" w:rsidP="005133C3">
      <w:pPr>
        <w:pStyle w:val="Textonotapie"/>
        <w:ind w:firstLine="708"/>
        <w:rPr>
          <w:sz w:val="16"/>
          <w:szCs w:val="16"/>
          <w:lang w:val="pt-BR"/>
        </w:rPr>
      </w:pPr>
      <w:r w:rsidRPr="008001B7">
        <w:rPr>
          <w:rStyle w:val="Refdenotaalpie"/>
          <w:rFonts w:ascii="Verdana" w:hAnsi="Verdana"/>
          <w:sz w:val="16"/>
          <w:szCs w:val="16"/>
        </w:rPr>
        <w:footnoteRef/>
      </w:r>
      <w:r w:rsidRPr="008001B7">
        <w:rPr>
          <w:rFonts w:ascii="Verdana" w:hAnsi="Verdana"/>
          <w:sz w:val="16"/>
          <w:szCs w:val="16"/>
          <w:lang w:val="pt-BR"/>
        </w:rPr>
        <w:t xml:space="preserve"> Ibídem. </w:t>
      </w:r>
    </w:p>
  </w:footnote>
  <w:footnote w:id="25">
    <w:p w14:paraId="4CF84D66" w14:textId="77777777" w:rsidR="005133C3" w:rsidRDefault="005133C3" w:rsidP="005133C3">
      <w:pPr>
        <w:pStyle w:val="Textonotapie"/>
        <w:ind w:firstLine="709"/>
        <w:jc w:val="both"/>
        <w:rPr>
          <w:rFonts w:ascii="Verdana" w:hAnsi="Verdana" w:cs="Open Sans"/>
          <w:color w:val="000000" w:themeColor="text1"/>
          <w:sz w:val="16"/>
          <w:szCs w:val="16"/>
        </w:rPr>
      </w:pPr>
      <w:r w:rsidRPr="009913D3">
        <w:rPr>
          <w:rStyle w:val="Refdenotaalpie"/>
          <w:sz w:val="16"/>
          <w:szCs w:val="16"/>
        </w:rPr>
        <w:footnoteRef/>
      </w:r>
      <w:r w:rsidRPr="009913D3">
        <w:rPr>
          <w:sz w:val="16"/>
          <w:szCs w:val="16"/>
        </w:rPr>
        <w:t xml:space="preserve"> </w:t>
      </w:r>
      <w:r w:rsidRPr="009913D3">
        <w:rPr>
          <w:rFonts w:ascii="Verdana" w:hAnsi="Verdana"/>
          <w:color w:val="000000" w:themeColor="text1"/>
          <w:sz w:val="16"/>
          <w:szCs w:val="16"/>
        </w:rPr>
        <w:t xml:space="preserve">El </w:t>
      </w:r>
      <w:r w:rsidRPr="009913D3">
        <w:rPr>
          <w:rFonts w:ascii="Verdana" w:eastAsia="Times New Roman" w:hAnsi="Verdana" w:cs="Arial"/>
          <w:color w:val="000000" w:themeColor="text1"/>
          <w:sz w:val="16"/>
          <w:szCs w:val="16"/>
          <w:lang w:val="es-ES" w:eastAsia="es-ES_tradnl"/>
        </w:rPr>
        <w:t xml:space="preserve">numeral 6° del artículo 25 de la Ley 80 de 1993 dispone que: </w:t>
      </w:r>
      <w:r w:rsidRPr="009913D3">
        <w:rPr>
          <w:rFonts w:ascii="Verdana" w:hAnsi="Verdana" w:cs="Open Sans"/>
          <w:color w:val="000000" w:themeColor="text1"/>
          <w:sz w:val="16"/>
          <w:szCs w:val="16"/>
        </w:rPr>
        <w:t>Las entidades estatales abrirán licitaciones e iniciarán procesos de suscripción de contratos, cuando existan las respectivas partidas o disponibilidades presupuestales.</w:t>
      </w:r>
    </w:p>
    <w:p w14:paraId="6CBE0D5B" w14:textId="77777777" w:rsidR="005133C3" w:rsidRPr="009913D3" w:rsidRDefault="005133C3" w:rsidP="005133C3">
      <w:pPr>
        <w:pStyle w:val="Textonotapie"/>
        <w:ind w:firstLine="709"/>
        <w:jc w:val="both"/>
        <w:rPr>
          <w:rFonts w:ascii="Verdana" w:hAnsi="Verdana"/>
          <w:color w:val="000000" w:themeColor="text1"/>
          <w:sz w:val="16"/>
          <w:szCs w:val="16"/>
          <w:lang w:val="es-CO"/>
        </w:rPr>
      </w:pPr>
    </w:p>
  </w:footnote>
  <w:footnote w:id="26">
    <w:p w14:paraId="52134AF4" w14:textId="77777777" w:rsidR="005133C3" w:rsidRPr="009913D3" w:rsidRDefault="005133C3" w:rsidP="005133C3">
      <w:pPr>
        <w:pStyle w:val="Textonotapie"/>
        <w:ind w:firstLine="709"/>
        <w:jc w:val="both"/>
        <w:rPr>
          <w:rFonts w:ascii="Verdana" w:hAnsi="Verdana" w:cs="Arial"/>
          <w:color w:val="000000" w:themeColor="text1"/>
          <w:sz w:val="16"/>
          <w:szCs w:val="16"/>
          <w:lang w:val="es-CO" w:eastAsia="es-ES_tradnl"/>
        </w:rPr>
      </w:pPr>
      <w:r w:rsidRPr="009913D3">
        <w:rPr>
          <w:rStyle w:val="Refdenotaalpie"/>
          <w:rFonts w:ascii="Verdana" w:hAnsi="Verdana"/>
          <w:color w:val="000000" w:themeColor="text1"/>
          <w:sz w:val="16"/>
          <w:szCs w:val="16"/>
        </w:rPr>
        <w:footnoteRef/>
      </w:r>
      <w:r w:rsidRPr="009913D3">
        <w:rPr>
          <w:rFonts w:ascii="Verdana" w:hAnsi="Verdana"/>
          <w:color w:val="000000" w:themeColor="text1"/>
          <w:sz w:val="16"/>
          <w:szCs w:val="16"/>
        </w:rPr>
        <w:t xml:space="preserve"> El </w:t>
      </w:r>
      <w:r w:rsidRPr="009913D3">
        <w:rPr>
          <w:rFonts w:ascii="Verdana" w:eastAsia="Times New Roman" w:hAnsi="Verdana" w:cs="Arial"/>
          <w:color w:val="000000" w:themeColor="text1"/>
          <w:sz w:val="16"/>
          <w:szCs w:val="16"/>
          <w:lang w:val="es-ES" w:eastAsia="es-ES_tradnl"/>
        </w:rPr>
        <w:t xml:space="preserve">artículo 71 del Decreto 111 de 1996 –Estatuto Orgánico del Presupuesto- establece que: </w:t>
      </w:r>
      <w:r>
        <w:rPr>
          <w:rFonts w:ascii="Verdana" w:eastAsia="Times New Roman" w:hAnsi="Verdana" w:cs="Arial"/>
          <w:color w:val="000000" w:themeColor="text1"/>
          <w:sz w:val="16"/>
          <w:szCs w:val="16"/>
          <w:lang w:val="es-ES" w:eastAsia="es-ES_tradnl"/>
        </w:rPr>
        <w:t>“</w:t>
      </w:r>
      <w:r w:rsidRPr="009913D3">
        <w:rPr>
          <w:rFonts w:ascii="Verdana" w:hAnsi="Verdana" w:cs="Arial"/>
          <w:color w:val="000000" w:themeColor="text1"/>
          <w:sz w:val="16"/>
          <w:szCs w:val="16"/>
          <w:lang w:val="es-CO" w:eastAsia="es-ES_tradnl"/>
        </w:rPr>
        <w:t>Todos los actos administrativos que afecten las apropiaciones presupuestales deberán contar con certificados de disponibilidad previos que garanticen la existencia de apropiación suficiente para atender estos gastos.</w:t>
      </w:r>
    </w:p>
    <w:p w14:paraId="492F45E3" w14:textId="77777777" w:rsidR="005133C3" w:rsidRPr="009913D3" w:rsidRDefault="005133C3" w:rsidP="005133C3">
      <w:pPr>
        <w:pStyle w:val="Textonotapie"/>
        <w:ind w:firstLine="709"/>
        <w:jc w:val="both"/>
        <w:rPr>
          <w:rFonts w:ascii="Verdana" w:eastAsia="Times New Roman" w:hAnsi="Verdana" w:cs="Arial"/>
          <w:color w:val="1A1A1A" w:themeColor="background1" w:themeShade="1A"/>
          <w:sz w:val="16"/>
          <w:szCs w:val="16"/>
          <w:lang w:val="es-CO" w:eastAsia="es-ES_tradnl"/>
        </w:rPr>
      </w:pPr>
      <w:r w:rsidRPr="009913D3">
        <w:rPr>
          <w:rFonts w:ascii="Verdana" w:eastAsia="Times New Roman" w:hAnsi="Verdana" w:cs="Arial"/>
          <w:color w:val="000000" w:themeColor="text1"/>
          <w:sz w:val="16"/>
          <w:szCs w:val="16"/>
          <w:lang w:val="es-CO" w:eastAsia="es-ES_tradnl"/>
        </w:rPr>
        <w:t>Igualmente, estos compromisos deberán contar con registro presupuestal para que los recursos con él financiados no sean desviados a ningún otro fin</w:t>
      </w:r>
      <w:r>
        <w:rPr>
          <w:rFonts w:ascii="Verdana" w:eastAsia="Times New Roman" w:hAnsi="Verdana" w:cs="Arial"/>
          <w:color w:val="000000" w:themeColor="text1"/>
          <w:sz w:val="16"/>
          <w:szCs w:val="16"/>
          <w:lang w:val="es-CO" w:eastAsia="es-ES_tradnl"/>
        </w:rPr>
        <w:t xml:space="preserve"> </w:t>
      </w:r>
      <w:r w:rsidRPr="009D211A">
        <w:rPr>
          <w:rFonts w:ascii="Verdana" w:eastAsia="Times New Roman" w:hAnsi="Verdana" w:cs="Arial"/>
          <w:color w:val="000000" w:themeColor="text1"/>
          <w:sz w:val="16"/>
          <w:szCs w:val="16"/>
          <w:lang w:val="es-ES" w:eastAsia="es-ES_tradnl"/>
        </w:rPr>
        <w:t>[…]</w:t>
      </w:r>
      <w:r>
        <w:rPr>
          <w:rFonts w:ascii="Verdana" w:eastAsia="Times New Roman" w:hAnsi="Verdana" w:cs="Arial"/>
          <w:color w:val="000000" w:themeColor="text1"/>
          <w:sz w:val="16"/>
          <w:szCs w:val="16"/>
          <w:lang w:val="es-CO" w:eastAsia="es-ES_tradnl"/>
        </w:rPr>
        <w:t>”</w:t>
      </w:r>
      <w:r w:rsidRPr="009913D3">
        <w:rPr>
          <w:rFonts w:ascii="Verdana" w:eastAsia="Times New Roman" w:hAnsi="Verdana" w:cs="Arial"/>
          <w:color w:val="1A1A1A" w:themeColor="background1" w:themeShade="1A"/>
          <w:sz w:val="16"/>
          <w:szCs w:val="16"/>
          <w:lang w:val="es-CO" w:eastAsia="es-ES_tradnl"/>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4713B" w:rsidRDefault="0074713B">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4713B" w:rsidRDefault="0074713B">
    <w:pPr>
      <w:pStyle w:val="Encabezado"/>
    </w:pPr>
  </w:p>
  <w:p w14:paraId="3079FC11" w14:textId="77777777" w:rsidR="0074713B" w:rsidRDefault="0074713B" w:rsidP="004A305D">
    <w:pPr>
      <w:spacing w:after="0"/>
      <w:rPr>
        <w:rFonts w:ascii="Verdana" w:hAnsi="Verdana"/>
        <w:b/>
        <w:bCs/>
      </w:rPr>
    </w:pPr>
  </w:p>
  <w:p w14:paraId="5E18350A" w14:textId="705F7B76" w:rsidR="0074713B" w:rsidRPr="004A305D" w:rsidRDefault="0074713B" w:rsidP="00B01B1A">
    <w:pPr>
      <w:spacing w:after="0" w:line="120" w:lineRule="auto"/>
      <w:rPr>
        <w:rFonts w:ascii="Century Gothic" w:eastAsia="Geo" w:hAnsi="Century Gothic" w:cs="Geo"/>
        <w:sz w:val="16"/>
        <w:szCs w:val="16"/>
        <w:lang w:eastAsia="es-CO"/>
      </w:rPr>
    </w:pPr>
  </w:p>
  <w:p w14:paraId="1FD1C243" w14:textId="6D74A3CF" w:rsidR="0074713B" w:rsidRDefault="0074713B"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11.6pt;height:11.6pt" o:bullet="t">
        <v:imagedata r:id="rId1" o:title="mso1B13"/>
      </v:shape>
    </w:pict>
  </w:numPicBullet>
  <w:abstractNum w:abstractNumId="0" w15:restartNumberingAfterBreak="0">
    <w:nsid w:val="C106FD55"/>
    <w:multiLevelType w:val="hybridMultilevel"/>
    <w:tmpl w:val="8994ABC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EB70DFB"/>
    <w:multiLevelType w:val="hybridMultilevel"/>
    <w:tmpl w:val="0EAD77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0B64EC"/>
    <w:multiLevelType w:val="hybridMultilevel"/>
    <w:tmpl w:val="DC66CC38"/>
    <w:lvl w:ilvl="0" w:tplc="63D44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0E104D"/>
    <w:multiLevelType w:val="multilevel"/>
    <w:tmpl w:val="2EEEC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70783B2"/>
    <w:multiLevelType w:val="hybridMultilevel"/>
    <w:tmpl w:val="949ED62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7" w15:restartNumberingAfterBreak="0">
    <w:nsid w:val="59642751"/>
    <w:multiLevelType w:val="multilevel"/>
    <w:tmpl w:val="2C1221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AB17DA7"/>
    <w:multiLevelType w:val="hybridMultilevel"/>
    <w:tmpl w:val="920C6EDC"/>
    <w:lvl w:ilvl="0" w:tplc="A6C42E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5F5829CA"/>
    <w:multiLevelType w:val="hybridMultilevel"/>
    <w:tmpl w:val="1EA9E0D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2" w15:restartNumberingAfterBreak="0">
    <w:nsid w:val="65F522DD"/>
    <w:multiLevelType w:val="multilevel"/>
    <w:tmpl w:val="667C4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16"/>
  </w:num>
  <w:num w:numId="2">
    <w:abstractNumId w:val="5"/>
  </w:num>
  <w:num w:numId="3">
    <w:abstractNumId w:val="14"/>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35"/>
  </w:num>
  <w:num w:numId="7">
    <w:abstractNumId w:val="15"/>
  </w:num>
  <w:num w:numId="8">
    <w:abstractNumId w:val="34"/>
  </w:num>
  <w:num w:numId="9">
    <w:abstractNumId w:val="17"/>
  </w:num>
  <w:num w:numId="10">
    <w:abstractNumId w:val="33"/>
  </w:num>
  <w:num w:numId="11">
    <w:abstractNumId w:val="18"/>
  </w:num>
  <w:num w:numId="12">
    <w:abstractNumId w:val="3"/>
  </w:num>
  <w:num w:numId="13">
    <w:abstractNumId w:val="10"/>
  </w:num>
  <w:num w:numId="14">
    <w:abstractNumId w:val="36"/>
  </w:num>
  <w:num w:numId="15">
    <w:abstractNumId w:val="31"/>
  </w:num>
  <w:num w:numId="16">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9"/>
  </w:num>
  <w:num w:numId="19">
    <w:abstractNumId w:val="13"/>
  </w:num>
  <w:num w:numId="20">
    <w:abstractNumId w:val="20"/>
  </w:num>
  <w:num w:numId="21">
    <w:abstractNumId w:val="38"/>
  </w:num>
  <w:num w:numId="22">
    <w:abstractNumId w:val="23"/>
  </w:num>
  <w:num w:numId="23">
    <w:abstractNumId w:val="9"/>
  </w:num>
  <w:num w:numId="24">
    <w:abstractNumId w:val="21"/>
  </w:num>
  <w:num w:numId="25">
    <w:abstractNumId w:val="4"/>
  </w:num>
  <w:num w:numId="26">
    <w:abstractNumId w:val="7"/>
  </w:num>
  <w:num w:numId="27">
    <w:abstractNumId w:val="25"/>
  </w:num>
  <w:num w:numId="28">
    <w:abstractNumId w:val="8"/>
  </w:num>
  <w:num w:numId="29">
    <w:abstractNumId w:val="12"/>
  </w:num>
  <w:num w:numId="30">
    <w:abstractNumId w:val="2"/>
  </w:num>
  <w:num w:numId="31">
    <w:abstractNumId w:val="22"/>
  </w:num>
  <w:num w:numId="32">
    <w:abstractNumId w:val="26"/>
  </w:num>
  <w:num w:numId="33">
    <w:abstractNumId w:val="28"/>
  </w:num>
  <w:num w:numId="34">
    <w:abstractNumId w:val="11"/>
  </w:num>
  <w:num w:numId="35">
    <w:abstractNumId w:val="27"/>
  </w:num>
  <w:num w:numId="36">
    <w:abstractNumId w:val="0"/>
  </w:num>
  <w:num w:numId="37">
    <w:abstractNumId w:val="24"/>
  </w:num>
  <w:num w:numId="38">
    <w:abstractNumId w:val="1"/>
  </w:num>
  <w:num w:numId="39">
    <w:abstractNumId w:val="30"/>
  </w:num>
  <w:num w:numId="40">
    <w:abstractNumId w:val="37"/>
  </w:num>
  <w:num w:numId="41">
    <w:abstractNumId w:val="19"/>
  </w:num>
  <w:num w:numId="4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39A2"/>
    <w:rsid w:val="000062F3"/>
    <w:rsid w:val="0000797D"/>
    <w:rsid w:val="00007D41"/>
    <w:rsid w:val="00012B55"/>
    <w:rsid w:val="0001328B"/>
    <w:rsid w:val="000224F2"/>
    <w:rsid w:val="00023C3E"/>
    <w:rsid w:val="0002653B"/>
    <w:rsid w:val="00034682"/>
    <w:rsid w:val="00035E21"/>
    <w:rsid w:val="00042856"/>
    <w:rsid w:val="0004434A"/>
    <w:rsid w:val="00045117"/>
    <w:rsid w:val="0005281E"/>
    <w:rsid w:val="00055421"/>
    <w:rsid w:val="000560C1"/>
    <w:rsid w:val="0005617B"/>
    <w:rsid w:val="0005682C"/>
    <w:rsid w:val="00056D71"/>
    <w:rsid w:val="00061B2A"/>
    <w:rsid w:val="00062BAF"/>
    <w:rsid w:val="000630B9"/>
    <w:rsid w:val="000643B2"/>
    <w:rsid w:val="00064FD0"/>
    <w:rsid w:val="00065E80"/>
    <w:rsid w:val="00066BB4"/>
    <w:rsid w:val="0007022C"/>
    <w:rsid w:val="00071437"/>
    <w:rsid w:val="00071DE6"/>
    <w:rsid w:val="000754B0"/>
    <w:rsid w:val="00077439"/>
    <w:rsid w:val="000774B8"/>
    <w:rsid w:val="00082362"/>
    <w:rsid w:val="0008328D"/>
    <w:rsid w:val="00084D78"/>
    <w:rsid w:val="0009387A"/>
    <w:rsid w:val="0009387B"/>
    <w:rsid w:val="000963C6"/>
    <w:rsid w:val="000974AC"/>
    <w:rsid w:val="0009762F"/>
    <w:rsid w:val="000A31B9"/>
    <w:rsid w:val="000A3330"/>
    <w:rsid w:val="000A36D8"/>
    <w:rsid w:val="000A3D63"/>
    <w:rsid w:val="000A4FF3"/>
    <w:rsid w:val="000A683A"/>
    <w:rsid w:val="000A683E"/>
    <w:rsid w:val="000B19B9"/>
    <w:rsid w:val="000B2908"/>
    <w:rsid w:val="000B3001"/>
    <w:rsid w:val="000B6F36"/>
    <w:rsid w:val="000B7176"/>
    <w:rsid w:val="000C09A7"/>
    <w:rsid w:val="000C2889"/>
    <w:rsid w:val="000C3673"/>
    <w:rsid w:val="000C538B"/>
    <w:rsid w:val="000D0152"/>
    <w:rsid w:val="000D0334"/>
    <w:rsid w:val="000D0B4D"/>
    <w:rsid w:val="000D10DC"/>
    <w:rsid w:val="000D3477"/>
    <w:rsid w:val="000D3B29"/>
    <w:rsid w:val="000D4347"/>
    <w:rsid w:val="000D5184"/>
    <w:rsid w:val="000D6A6B"/>
    <w:rsid w:val="000D7956"/>
    <w:rsid w:val="000E06F4"/>
    <w:rsid w:val="000E1AC7"/>
    <w:rsid w:val="000E471A"/>
    <w:rsid w:val="000E4CE4"/>
    <w:rsid w:val="000E7B67"/>
    <w:rsid w:val="000F0C44"/>
    <w:rsid w:val="000F6486"/>
    <w:rsid w:val="000F669F"/>
    <w:rsid w:val="00101CEE"/>
    <w:rsid w:val="001063B3"/>
    <w:rsid w:val="00107ACA"/>
    <w:rsid w:val="001114A9"/>
    <w:rsid w:val="00111979"/>
    <w:rsid w:val="00116537"/>
    <w:rsid w:val="00120766"/>
    <w:rsid w:val="00121359"/>
    <w:rsid w:val="00122FA6"/>
    <w:rsid w:val="001240BD"/>
    <w:rsid w:val="00125105"/>
    <w:rsid w:val="001268F7"/>
    <w:rsid w:val="00126B2B"/>
    <w:rsid w:val="00127233"/>
    <w:rsid w:val="001372FC"/>
    <w:rsid w:val="00142F84"/>
    <w:rsid w:val="00143E81"/>
    <w:rsid w:val="00143FD9"/>
    <w:rsid w:val="00145047"/>
    <w:rsid w:val="00146C57"/>
    <w:rsid w:val="00150ADA"/>
    <w:rsid w:val="001569A8"/>
    <w:rsid w:val="0016332F"/>
    <w:rsid w:val="0016642E"/>
    <w:rsid w:val="001717E9"/>
    <w:rsid w:val="0017238A"/>
    <w:rsid w:val="001800BA"/>
    <w:rsid w:val="00180A30"/>
    <w:rsid w:val="00185772"/>
    <w:rsid w:val="00185EE9"/>
    <w:rsid w:val="00187F79"/>
    <w:rsid w:val="0019204C"/>
    <w:rsid w:val="00196F32"/>
    <w:rsid w:val="00197274"/>
    <w:rsid w:val="001A0B04"/>
    <w:rsid w:val="001A237A"/>
    <w:rsid w:val="001A26CF"/>
    <w:rsid w:val="001A2919"/>
    <w:rsid w:val="001B04F1"/>
    <w:rsid w:val="001B22E2"/>
    <w:rsid w:val="001B2CFE"/>
    <w:rsid w:val="001B46D3"/>
    <w:rsid w:val="001B4F98"/>
    <w:rsid w:val="001C13BD"/>
    <w:rsid w:val="001C222E"/>
    <w:rsid w:val="001C22F9"/>
    <w:rsid w:val="001C4F29"/>
    <w:rsid w:val="001D1C29"/>
    <w:rsid w:val="001D2CCC"/>
    <w:rsid w:val="001E3C06"/>
    <w:rsid w:val="001E4177"/>
    <w:rsid w:val="001F0A0F"/>
    <w:rsid w:val="001F114C"/>
    <w:rsid w:val="001F218E"/>
    <w:rsid w:val="001F4EFD"/>
    <w:rsid w:val="001F5606"/>
    <w:rsid w:val="001F5E13"/>
    <w:rsid w:val="001F684E"/>
    <w:rsid w:val="001F6D11"/>
    <w:rsid w:val="001F7DC6"/>
    <w:rsid w:val="00202886"/>
    <w:rsid w:val="00205476"/>
    <w:rsid w:val="00205784"/>
    <w:rsid w:val="00206823"/>
    <w:rsid w:val="00210946"/>
    <w:rsid w:val="00213510"/>
    <w:rsid w:val="0021372A"/>
    <w:rsid w:val="00215CEF"/>
    <w:rsid w:val="00217A08"/>
    <w:rsid w:val="00220B77"/>
    <w:rsid w:val="00221D27"/>
    <w:rsid w:val="0022287A"/>
    <w:rsid w:val="00222906"/>
    <w:rsid w:val="002249C4"/>
    <w:rsid w:val="00226742"/>
    <w:rsid w:val="002352F2"/>
    <w:rsid w:val="00237233"/>
    <w:rsid w:val="002421BB"/>
    <w:rsid w:val="00245707"/>
    <w:rsid w:val="00246A81"/>
    <w:rsid w:val="00250510"/>
    <w:rsid w:val="00251A5F"/>
    <w:rsid w:val="00252B30"/>
    <w:rsid w:val="002571BD"/>
    <w:rsid w:val="0025796E"/>
    <w:rsid w:val="002603E5"/>
    <w:rsid w:val="002638B2"/>
    <w:rsid w:val="002660F2"/>
    <w:rsid w:val="002664BB"/>
    <w:rsid w:val="002707A2"/>
    <w:rsid w:val="00277150"/>
    <w:rsid w:val="00281DD5"/>
    <w:rsid w:val="002826F0"/>
    <w:rsid w:val="002835A6"/>
    <w:rsid w:val="002844ED"/>
    <w:rsid w:val="00286FAD"/>
    <w:rsid w:val="00291E5A"/>
    <w:rsid w:val="002923AA"/>
    <w:rsid w:val="002951A0"/>
    <w:rsid w:val="002962BC"/>
    <w:rsid w:val="002A093D"/>
    <w:rsid w:val="002A0DD0"/>
    <w:rsid w:val="002A1D2F"/>
    <w:rsid w:val="002A1D6D"/>
    <w:rsid w:val="002A49AC"/>
    <w:rsid w:val="002A64FD"/>
    <w:rsid w:val="002A6BBF"/>
    <w:rsid w:val="002B1E57"/>
    <w:rsid w:val="002B1F7F"/>
    <w:rsid w:val="002B290B"/>
    <w:rsid w:val="002B33B8"/>
    <w:rsid w:val="002B61F2"/>
    <w:rsid w:val="002B7AD9"/>
    <w:rsid w:val="002C110E"/>
    <w:rsid w:val="002C379A"/>
    <w:rsid w:val="002C765E"/>
    <w:rsid w:val="002C7A84"/>
    <w:rsid w:val="002D13A1"/>
    <w:rsid w:val="002D3F0D"/>
    <w:rsid w:val="002E1D98"/>
    <w:rsid w:val="002E2C3F"/>
    <w:rsid w:val="002E4FD9"/>
    <w:rsid w:val="002E6F15"/>
    <w:rsid w:val="002F13FD"/>
    <w:rsid w:val="002F53FB"/>
    <w:rsid w:val="00303544"/>
    <w:rsid w:val="00303985"/>
    <w:rsid w:val="003039C1"/>
    <w:rsid w:val="00310DBE"/>
    <w:rsid w:val="00310E5C"/>
    <w:rsid w:val="003119D8"/>
    <w:rsid w:val="00313372"/>
    <w:rsid w:val="0031430F"/>
    <w:rsid w:val="00320BBD"/>
    <w:rsid w:val="003226F7"/>
    <w:rsid w:val="00322A85"/>
    <w:rsid w:val="00324168"/>
    <w:rsid w:val="00325755"/>
    <w:rsid w:val="0033032A"/>
    <w:rsid w:val="00330C97"/>
    <w:rsid w:val="00334C6A"/>
    <w:rsid w:val="00336C05"/>
    <w:rsid w:val="003409C8"/>
    <w:rsid w:val="00342675"/>
    <w:rsid w:val="00343512"/>
    <w:rsid w:val="003448F4"/>
    <w:rsid w:val="00344FAA"/>
    <w:rsid w:val="00345330"/>
    <w:rsid w:val="00347E58"/>
    <w:rsid w:val="00350480"/>
    <w:rsid w:val="003522B9"/>
    <w:rsid w:val="003528DF"/>
    <w:rsid w:val="00352C12"/>
    <w:rsid w:val="00354BCA"/>
    <w:rsid w:val="00354FEA"/>
    <w:rsid w:val="00361BA8"/>
    <w:rsid w:val="00362DEE"/>
    <w:rsid w:val="0036594E"/>
    <w:rsid w:val="003665EE"/>
    <w:rsid w:val="0037010E"/>
    <w:rsid w:val="00370E1E"/>
    <w:rsid w:val="003734F4"/>
    <w:rsid w:val="00374F5E"/>
    <w:rsid w:val="0037527B"/>
    <w:rsid w:val="00377E3E"/>
    <w:rsid w:val="003815B3"/>
    <w:rsid w:val="003815E8"/>
    <w:rsid w:val="00382181"/>
    <w:rsid w:val="00382F2F"/>
    <w:rsid w:val="00386CD9"/>
    <w:rsid w:val="00386D13"/>
    <w:rsid w:val="00391392"/>
    <w:rsid w:val="00392A49"/>
    <w:rsid w:val="00393812"/>
    <w:rsid w:val="0039606A"/>
    <w:rsid w:val="003A26D1"/>
    <w:rsid w:val="003A3B30"/>
    <w:rsid w:val="003A40E2"/>
    <w:rsid w:val="003A477B"/>
    <w:rsid w:val="003A779E"/>
    <w:rsid w:val="003B005A"/>
    <w:rsid w:val="003B0636"/>
    <w:rsid w:val="003B6385"/>
    <w:rsid w:val="003B78C4"/>
    <w:rsid w:val="003B7D19"/>
    <w:rsid w:val="003C0EC6"/>
    <w:rsid w:val="003C3FA5"/>
    <w:rsid w:val="003C5479"/>
    <w:rsid w:val="003D0F4D"/>
    <w:rsid w:val="003D1B5E"/>
    <w:rsid w:val="003D5B0D"/>
    <w:rsid w:val="003E0499"/>
    <w:rsid w:val="003E40F2"/>
    <w:rsid w:val="003E7EAA"/>
    <w:rsid w:val="003F00C9"/>
    <w:rsid w:val="003F08A7"/>
    <w:rsid w:val="003F1B32"/>
    <w:rsid w:val="003F3941"/>
    <w:rsid w:val="00400676"/>
    <w:rsid w:val="004008A9"/>
    <w:rsid w:val="0040480E"/>
    <w:rsid w:val="00406575"/>
    <w:rsid w:val="004069AB"/>
    <w:rsid w:val="00410906"/>
    <w:rsid w:val="0041655A"/>
    <w:rsid w:val="00426BE3"/>
    <w:rsid w:val="00426FD7"/>
    <w:rsid w:val="0042722E"/>
    <w:rsid w:val="00427DA0"/>
    <w:rsid w:val="00433729"/>
    <w:rsid w:val="00436F71"/>
    <w:rsid w:val="00440391"/>
    <w:rsid w:val="004405A4"/>
    <w:rsid w:val="004426AD"/>
    <w:rsid w:val="00442C7F"/>
    <w:rsid w:val="0044528D"/>
    <w:rsid w:val="0044798F"/>
    <w:rsid w:val="00450920"/>
    <w:rsid w:val="004530EA"/>
    <w:rsid w:val="00454D48"/>
    <w:rsid w:val="004550FC"/>
    <w:rsid w:val="004554F9"/>
    <w:rsid w:val="0046004D"/>
    <w:rsid w:val="00461A6A"/>
    <w:rsid w:val="004633DE"/>
    <w:rsid w:val="00463A7C"/>
    <w:rsid w:val="00465E71"/>
    <w:rsid w:val="00466040"/>
    <w:rsid w:val="004713E3"/>
    <w:rsid w:val="00471654"/>
    <w:rsid w:val="004734BD"/>
    <w:rsid w:val="00475854"/>
    <w:rsid w:val="00480BAF"/>
    <w:rsid w:val="00482608"/>
    <w:rsid w:val="00483749"/>
    <w:rsid w:val="00484809"/>
    <w:rsid w:val="00484BB1"/>
    <w:rsid w:val="004A0980"/>
    <w:rsid w:val="004A0B8B"/>
    <w:rsid w:val="004A1847"/>
    <w:rsid w:val="004A305D"/>
    <w:rsid w:val="004A3312"/>
    <w:rsid w:val="004A66E3"/>
    <w:rsid w:val="004B01B2"/>
    <w:rsid w:val="004B5C11"/>
    <w:rsid w:val="004B740F"/>
    <w:rsid w:val="004C28C6"/>
    <w:rsid w:val="004C4B37"/>
    <w:rsid w:val="004D026D"/>
    <w:rsid w:val="004D0BED"/>
    <w:rsid w:val="004D23A7"/>
    <w:rsid w:val="004E221E"/>
    <w:rsid w:val="004E2892"/>
    <w:rsid w:val="004E343A"/>
    <w:rsid w:val="004E4C0B"/>
    <w:rsid w:val="004E505B"/>
    <w:rsid w:val="004E7CE7"/>
    <w:rsid w:val="004F21C4"/>
    <w:rsid w:val="004F3012"/>
    <w:rsid w:val="004F3B9E"/>
    <w:rsid w:val="004F5559"/>
    <w:rsid w:val="004F5857"/>
    <w:rsid w:val="004F685F"/>
    <w:rsid w:val="004F7EC9"/>
    <w:rsid w:val="00503719"/>
    <w:rsid w:val="00504CBE"/>
    <w:rsid w:val="005053D6"/>
    <w:rsid w:val="00505795"/>
    <w:rsid w:val="005133C3"/>
    <w:rsid w:val="00514598"/>
    <w:rsid w:val="005163B5"/>
    <w:rsid w:val="0052543A"/>
    <w:rsid w:val="00525FDB"/>
    <w:rsid w:val="0052785C"/>
    <w:rsid w:val="00533E1B"/>
    <w:rsid w:val="00540C2D"/>
    <w:rsid w:val="0054111E"/>
    <w:rsid w:val="0054335F"/>
    <w:rsid w:val="00552502"/>
    <w:rsid w:val="00554BD4"/>
    <w:rsid w:val="005556B3"/>
    <w:rsid w:val="005566E8"/>
    <w:rsid w:val="00560CB5"/>
    <w:rsid w:val="00564F8B"/>
    <w:rsid w:val="00570339"/>
    <w:rsid w:val="00574122"/>
    <w:rsid w:val="00574867"/>
    <w:rsid w:val="00577D09"/>
    <w:rsid w:val="0058087F"/>
    <w:rsid w:val="0058337B"/>
    <w:rsid w:val="00591460"/>
    <w:rsid w:val="00592628"/>
    <w:rsid w:val="00597C75"/>
    <w:rsid w:val="005A0868"/>
    <w:rsid w:val="005A0CFB"/>
    <w:rsid w:val="005A282F"/>
    <w:rsid w:val="005A2AC9"/>
    <w:rsid w:val="005A6C21"/>
    <w:rsid w:val="005B2CCE"/>
    <w:rsid w:val="005B4055"/>
    <w:rsid w:val="005B58C1"/>
    <w:rsid w:val="005B6033"/>
    <w:rsid w:val="005C3777"/>
    <w:rsid w:val="005C5CDC"/>
    <w:rsid w:val="005D17C8"/>
    <w:rsid w:val="005D2B2B"/>
    <w:rsid w:val="005D476C"/>
    <w:rsid w:val="005D51C3"/>
    <w:rsid w:val="005D5F91"/>
    <w:rsid w:val="005D7B25"/>
    <w:rsid w:val="005E4601"/>
    <w:rsid w:val="005E6B74"/>
    <w:rsid w:val="005F3CE0"/>
    <w:rsid w:val="005F7C43"/>
    <w:rsid w:val="00601DFC"/>
    <w:rsid w:val="00605A00"/>
    <w:rsid w:val="00610812"/>
    <w:rsid w:val="00612CE7"/>
    <w:rsid w:val="00615F46"/>
    <w:rsid w:val="0062005D"/>
    <w:rsid w:val="006219F8"/>
    <w:rsid w:val="0063165E"/>
    <w:rsid w:val="00632C08"/>
    <w:rsid w:val="00641C23"/>
    <w:rsid w:val="00643912"/>
    <w:rsid w:val="00644F63"/>
    <w:rsid w:val="00650FF7"/>
    <w:rsid w:val="00656421"/>
    <w:rsid w:val="00660F6A"/>
    <w:rsid w:val="00663B19"/>
    <w:rsid w:val="00665032"/>
    <w:rsid w:val="00665D70"/>
    <w:rsid w:val="00671DAC"/>
    <w:rsid w:val="006747C7"/>
    <w:rsid w:val="006827AC"/>
    <w:rsid w:val="006859A3"/>
    <w:rsid w:val="006900D9"/>
    <w:rsid w:val="006920AE"/>
    <w:rsid w:val="00697B17"/>
    <w:rsid w:val="006A0008"/>
    <w:rsid w:val="006A10DF"/>
    <w:rsid w:val="006A2BDE"/>
    <w:rsid w:val="006A3147"/>
    <w:rsid w:val="006A5C24"/>
    <w:rsid w:val="006B14B5"/>
    <w:rsid w:val="006B25DE"/>
    <w:rsid w:val="006B442B"/>
    <w:rsid w:val="006B4CA3"/>
    <w:rsid w:val="006C0240"/>
    <w:rsid w:val="006C238E"/>
    <w:rsid w:val="006C5595"/>
    <w:rsid w:val="006D12F8"/>
    <w:rsid w:val="006D2F4E"/>
    <w:rsid w:val="006D4E33"/>
    <w:rsid w:val="006E1658"/>
    <w:rsid w:val="006E41C6"/>
    <w:rsid w:val="006F0D40"/>
    <w:rsid w:val="006F13EA"/>
    <w:rsid w:val="006F2501"/>
    <w:rsid w:val="006F49C9"/>
    <w:rsid w:val="00700975"/>
    <w:rsid w:val="00704D9B"/>
    <w:rsid w:val="00705E5F"/>
    <w:rsid w:val="00706C16"/>
    <w:rsid w:val="00711C85"/>
    <w:rsid w:val="0071458F"/>
    <w:rsid w:val="00714A71"/>
    <w:rsid w:val="0071627C"/>
    <w:rsid w:val="00723937"/>
    <w:rsid w:val="00723A7F"/>
    <w:rsid w:val="00723F2B"/>
    <w:rsid w:val="007312C3"/>
    <w:rsid w:val="007374E9"/>
    <w:rsid w:val="00737C53"/>
    <w:rsid w:val="00737DFA"/>
    <w:rsid w:val="0074713B"/>
    <w:rsid w:val="007534CA"/>
    <w:rsid w:val="00756841"/>
    <w:rsid w:val="00757EE9"/>
    <w:rsid w:val="0076066F"/>
    <w:rsid w:val="00762AA9"/>
    <w:rsid w:val="007649AB"/>
    <w:rsid w:val="007670E3"/>
    <w:rsid w:val="00771D0C"/>
    <w:rsid w:val="00771FD2"/>
    <w:rsid w:val="0078274D"/>
    <w:rsid w:val="007833AC"/>
    <w:rsid w:val="00784D58"/>
    <w:rsid w:val="00786FBF"/>
    <w:rsid w:val="00790AB7"/>
    <w:rsid w:val="007913EA"/>
    <w:rsid w:val="00791769"/>
    <w:rsid w:val="0079234D"/>
    <w:rsid w:val="00796340"/>
    <w:rsid w:val="007A23EA"/>
    <w:rsid w:val="007A5189"/>
    <w:rsid w:val="007A7C52"/>
    <w:rsid w:val="007B0D88"/>
    <w:rsid w:val="007B268C"/>
    <w:rsid w:val="007B7171"/>
    <w:rsid w:val="007B7D02"/>
    <w:rsid w:val="007C0C0F"/>
    <w:rsid w:val="007C2E67"/>
    <w:rsid w:val="007C3DC2"/>
    <w:rsid w:val="007C4E2B"/>
    <w:rsid w:val="007C6F85"/>
    <w:rsid w:val="007D0457"/>
    <w:rsid w:val="007D124A"/>
    <w:rsid w:val="007D43C9"/>
    <w:rsid w:val="007E1247"/>
    <w:rsid w:val="007E5497"/>
    <w:rsid w:val="007F28CA"/>
    <w:rsid w:val="007F52A4"/>
    <w:rsid w:val="007F60FB"/>
    <w:rsid w:val="007F7B94"/>
    <w:rsid w:val="008001B7"/>
    <w:rsid w:val="00800789"/>
    <w:rsid w:val="00804981"/>
    <w:rsid w:val="00806CD3"/>
    <w:rsid w:val="00806F5F"/>
    <w:rsid w:val="00811270"/>
    <w:rsid w:val="00811D7F"/>
    <w:rsid w:val="00811E4F"/>
    <w:rsid w:val="008163D7"/>
    <w:rsid w:val="00820278"/>
    <w:rsid w:val="00826415"/>
    <w:rsid w:val="008322FC"/>
    <w:rsid w:val="00834554"/>
    <w:rsid w:val="00834B31"/>
    <w:rsid w:val="00840ADC"/>
    <w:rsid w:val="00841A23"/>
    <w:rsid w:val="00843902"/>
    <w:rsid w:val="00843928"/>
    <w:rsid w:val="00843BF7"/>
    <w:rsid w:val="008449B3"/>
    <w:rsid w:val="0084615E"/>
    <w:rsid w:val="00846276"/>
    <w:rsid w:val="00850E23"/>
    <w:rsid w:val="00851137"/>
    <w:rsid w:val="00853978"/>
    <w:rsid w:val="0085432F"/>
    <w:rsid w:val="00856C43"/>
    <w:rsid w:val="00864209"/>
    <w:rsid w:val="00865414"/>
    <w:rsid w:val="00873217"/>
    <w:rsid w:val="0087325B"/>
    <w:rsid w:val="00877EBA"/>
    <w:rsid w:val="0088002A"/>
    <w:rsid w:val="008812FC"/>
    <w:rsid w:val="00881ABA"/>
    <w:rsid w:val="008841E9"/>
    <w:rsid w:val="008843B6"/>
    <w:rsid w:val="008853C1"/>
    <w:rsid w:val="00886C89"/>
    <w:rsid w:val="00887569"/>
    <w:rsid w:val="00891928"/>
    <w:rsid w:val="00894B8B"/>
    <w:rsid w:val="008961BA"/>
    <w:rsid w:val="008A00A4"/>
    <w:rsid w:val="008A446D"/>
    <w:rsid w:val="008A6432"/>
    <w:rsid w:val="008A7A64"/>
    <w:rsid w:val="008A7F08"/>
    <w:rsid w:val="008B2F0E"/>
    <w:rsid w:val="008B5A2E"/>
    <w:rsid w:val="008C15F2"/>
    <w:rsid w:val="008C3174"/>
    <w:rsid w:val="008D180B"/>
    <w:rsid w:val="008D1BDB"/>
    <w:rsid w:val="008D5ACA"/>
    <w:rsid w:val="008D6CDA"/>
    <w:rsid w:val="008D7227"/>
    <w:rsid w:val="008E1F92"/>
    <w:rsid w:val="008E7333"/>
    <w:rsid w:val="008E7B09"/>
    <w:rsid w:val="008E7D4C"/>
    <w:rsid w:val="008F0EA7"/>
    <w:rsid w:val="008F1CA9"/>
    <w:rsid w:val="008F5BEE"/>
    <w:rsid w:val="008F7BB9"/>
    <w:rsid w:val="00904692"/>
    <w:rsid w:val="00910097"/>
    <w:rsid w:val="00911C7C"/>
    <w:rsid w:val="0091561E"/>
    <w:rsid w:val="00920849"/>
    <w:rsid w:val="00922F57"/>
    <w:rsid w:val="00923EEF"/>
    <w:rsid w:val="009325CC"/>
    <w:rsid w:val="0093558D"/>
    <w:rsid w:val="009411F5"/>
    <w:rsid w:val="009419F9"/>
    <w:rsid w:val="0094476F"/>
    <w:rsid w:val="00945B9F"/>
    <w:rsid w:val="009464B3"/>
    <w:rsid w:val="00950BE2"/>
    <w:rsid w:val="0095126A"/>
    <w:rsid w:val="00953AA4"/>
    <w:rsid w:val="00955305"/>
    <w:rsid w:val="00956010"/>
    <w:rsid w:val="0095685E"/>
    <w:rsid w:val="00957293"/>
    <w:rsid w:val="009572D9"/>
    <w:rsid w:val="009600D2"/>
    <w:rsid w:val="00961409"/>
    <w:rsid w:val="00961B09"/>
    <w:rsid w:val="00962300"/>
    <w:rsid w:val="00965334"/>
    <w:rsid w:val="0097093E"/>
    <w:rsid w:val="009725F1"/>
    <w:rsid w:val="00976025"/>
    <w:rsid w:val="00976800"/>
    <w:rsid w:val="00976F04"/>
    <w:rsid w:val="009800BE"/>
    <w:rsid w:val="00981E40"/>
    <w:rsid w:val="00982E41"/>
    <w:rsid w:val="00983B79"/>
    <w:rsid w:val="00983EEA"/>
    <w:rsid w:val="00984649"/>
    <w:rsid w:val="009858BE"/>
    <w:rsid w:val="00993A7C"/>
    <w:rsid w:val="009A0DFA"/>
    <w:rsid w:val="009A3C2C"/>
    <w:rsid w:val="009A4A40"/>
    <w:rsid w:val="009B2D26"/>
    <w:rsid w:val="009B3595"/>
    <w:rsid w:val="009B5228"/>
    <w:rsid w:val="009B6C8C"/>
    <w:rsid w:val="009B780F"/>
    <w:rsid w:val="009C2DD0"/>
    <w:rsid w:val="009C3AC7"/>
    <w:rsid w:val="009C5D8C"/>
    <w:rsid w:val="009C71FA"/>
    <w:rsid w:val="009C72E7"/>
    <w:rsid w:val="009D0555"/>
    <w:rsid w:val="009D1086"/>
    <w:rsid w:val="009D3058"/>
    <w:rsid w:val="009D3A11"/>
    <w:rsid w:val="009D44C4"/>
    <w:rsid w:val="009D6427"/>
    <w:rsid w:val="009D67FD"/>
    <w:rsid w:val="009E2BCC"/>
    <w:rsid w:val="009E4636"/>
    <w:rsid w:val="009E5A30"/>
    <w:rsid w:val="009E7C05"/>
    <w:rsid w:val="009F3831"/>
    <w:rsid w:val="009F3832"/>
    <w:rsid w:val="009F3A13"/>
    <w:rsid w:val="009F4AB2"/>
    <w:rsid w:val="009F73F7"/>
    <w:rsid w:val="00A02465"/>
    <w:rsid w:val="00A03415"/>
    <w:rsid w:val="00A046BF"/>
    <w:rsid w:val="00A04A81"/>
    <w:rsid w:val="00A04C35"/>
    <w:rsid w:val="00A1030D"/>
    <w:rsid w:val="00A122D3"/>
    <w:rsid w:val="00A1409A"/>
    <w:rsid w:val="00A14D3D"/>
    <w:rsid w:val="00A17F13"/>
    <w:rsid w:val="00A20739"/>
    <w:rsid w:val="00A211D0"/>
    <w:rsid w:val="00A23361"/>
    <w:rsid w:val="00A2417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44D1C"/>
    <w:rsid w:val="00A52D82"/>
    <w:rsid w:val="00A53F57"/>
    <w:rsid w:val="00A56959"/>
    <w:rsid w:val="00A56FCA"/>
    <w:rsid w:val="00A57315"/>
    <w:rsid w:val="00A57BE7"/>
    <w:rsid w:val="00A6004A"/>
    <w:rsid w:val="00A613C2"/>
    <w:rsid w:val="00A64336"/>
    <w:rsid w:val="00A7332E"/>
    <w:rsid w:val="00A745FA"/>
    <w:rsid w:val="00A74DE6"/>
    <w:rsid w:val="00A75866"/>
    <w:rsid w:val="00A75875"/>
    <w:rsid w:val="00A8086A"/>
    <w:rsid w:val="00A80F32"/>
    <w:rsid w:val="00A828F1"/>
    <w:rsid w:val="00A830AD"/>
    <w:rsid w:val="00A83B1B"/>
    <w:rsid w:val="00A87F7D"/>
    <w:rsid w:val="00A9244C"/>
    <w:rsid w:val="00A94D14"/>
    <w:rsid w:val="00A95106"/>
    <w:rsid w:val="00A956B2"/>
    <w:rsid w:val="00A95A1A"/>
    <w:rsid w:val="00AA1328"/>
    <w:rsid w:val="00AA23BB"/>
    <w:rsid w:val="00AB0ADB"/>
    <w:rsid w:val="00AB3FD1"/>
    <w:rsid w:val="00AC0DF9"/>
    <w:rsid w:val="00AC0EAB"/>
    <w:rsid w:val="00AC4701"/>
    <w:rsid w:val="00AC49A2"/>
    <w:rsid w:val="00AD73E2"/>
    <w:rsid w:val="00AE2631"/>
    <w:rsid w:val="00AE3D6C"/>
    <w:rsid w:val="00AF1BEC"/>
    <w:rsid w:val="00AF2C90"/>
    <w:rsid w:val="00AF54CA"/>
    <w:rsid w:val="00B009B8"/>
    <w:rsid w:val="00B01B1A"/>
    <w:rsid w:val="00B0268A"/>
    <w:rsid w:val="00B0410F"/>
    <w:rsid w:val="00B07DDD"/>
    <w:rsid w:val="00B137B3"/>
    <w:rsid w:val="00B14E03"/>
    <w:rsid w:val="00B16798"/>
    <w:rsid w:val="00B26B98"/>
    <w:rsid w:val="00B35201"/>
    <w:rsid w:val="00B35ADC"/>
    <w:rsid w:val="00B37C24"/>
    <w:rsid w:val="00B40FBC"/>
    <w:rsid w:val="00B427E2"/>
    <w:rsid w:val="00B4318D"/>
    <w:rsid w:val="00B46F27"/>
    <w:rsid w:val="00B47FD7"/>
    <w:rsid w:val="00B51F75"/>
    <w:rsid w:val="00B52169"/>
    <w:rsid w:val="00B53E27"/>
    <w:rsid w:val="00B558AF"/>
    <w:rsid w:val="00B615BA"/>
    <w:rsid w:val="00B62D8B"/>
    <w:rsid w:val="00B64355"/>
    <w:rsid w:val="00B72CD3"/>
    <w:rsid w:val="00B72FFF"/>
    <w:rsid w:val="00B76CEB"/>
    <w:rsid w:val="00B80CC6"/>
    <w:rsid w:val="00B8257D"/>
    <w:rsid w:val="00B82B8B"/>
    <w:rsid w:val="00B86FE2"/>
    <w:rsid w:val="00B91186"/>
    <w:rsid w:val="00B93423"/>
    <w:rsid w:val="00B93E58"/>
    <w:rsid w:val="00B948E8"/>
    <w:rsid w:val="00BA0A22"/>
    <w:rsid w:val="00BA1D33"/>
    <w:rsid w:val="00BA2EF4"/>
    <w:rsid w:val="00BA6BE0"/>
    <w:rsid w:val="00BB22DA"/>
    <w:rsid w:val="00BB2C9D"/>
    <w:rsid w:val="00BC0036"/>
    <w:rsid w:val="00BC05A6"/>
    <w:rsid w:val="00BC24FA"/>
    <w:rsid w:val="00BC27B5"/>
    <w:rsid w:val="00BC3D36"/>
    <w:rsid w:val="00BC4B34"/>
    <w:rsid w:val="00BC7498"/>
    <w:rsid w:val="00BD3434"/>
    <w:rsid w:val="00BD424C"/>
    <w:rsid w:val="00BD4BCA"/>
    <w:rsid w:val="00BD7CC5"/>
    <w:rsid w:val="00BD7F72"/>
    <w:rsid w:val="00BE03BC"/>
    <w:rsid w:val="00BE0A18"/>
    <w:rsid w:val="00BF0D99"/>
    <w:rsid w:val="00BF1049"/>
    <w:rsid w:val="00BF1201"/>
    <w:rsid w:val="00BF1D4A"/>
    <w:rsid w:val="00BF230F"/>
    <w:rsid w:val="00BF26BA"/>
    <w:rsid w:val="00C002E3"/>
    <w:rsid w:val="00C012CC"/>
    <w:rsid w:val="00C04FB3"/>
    <w:rsid w:val="00C050BC"/>
    <w:rsid w:val="00C06C4F"/>
    <w:rsid w:val="00C11604"/>
    <w:rsid w:val="00C147D0"/>
    <w:rsid w:val="00C159C1"/>
    <w:rsid w:val="00C16346"/>
    <w:rsid w:val="00C17497"/>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7281"/>
    <w:rsid w:val="00C577E7"/>
    <w:rsid w:val="00C57E63"/>
    <w:rsid w:val="00C65D65"/>
    <w:rsid w:val="00C66D80"/>
    <w:rsid w:val="00C67703"/>
    <w:rsid w:val="00C7173F"/>
    <w:rsid w:val="00C730B6"/>
    <w:rsid w:val="00C7352F"/>
    <w:rsid w:val="00C7482D"/>
    <w:rsid w:val="00C754BE"/>
    <w:rsid w:val="00C76466"/>
    <w:rsid w:val="00C76B1C"/>
    <w:rsid w:val="00C775E0"/>
    <w:rsid w:val="00C82239"/>
    <w:rsid w:val="00C829ED"/>
    <w:rsid w:val="00C90209"/>
    <w:rsid w:val="00C915DD"/>
    <w:rsid w:val="00C91B94"/>
    <w:rsid w:val="00C92665"/>
    <w:rsid w:val="00C95BAE"/>
    <w:rsid w:val="00CA4272"/>
    <w:rsid w:val="00CA6A9D"/>
    <w:rsid w:val="00CA7F6B"/>
    <w:rsid w:val="00CB2F3F"/>
    <w:rsid w:val="00CB6357"/>
    <w:rsid w:val="00CB704C"/>
    <w:rsid w:val="00CC0FA3"/>
    <w:rsid w:val="00CC1428"/>
    <w:rsid w:val="00CC1B26"/>
    <w:rsid w:val="00CC49F7"/>
    <w:rsid w:val="00CC54DB"/>
    <w:rsid w:val="00CC7787"/>
    <w:rsid w:val="00CD087D"/>
    <w:rsid w:val="00CD1E7E"/>
    <w:rsid w:val="00CD41CB"/>
    <w:rsid w:val="00CD5EE0"/>
    <w:rsid w:val="00CE02A2"/>
    <w:rsid w:val="00CE04FF"/>
    <w:rsid w:val="00CE3030"/>
    <w:rsid w:val="00CE3273"/>
    <w:rsid w:val="00CE509A"/>
    <w:rsid w:val="00CE5414"/>
    <w:rsid w:val="00CF241F"/>
    <w:rsid w:val="00CF7826"/>
    <w:rsid w:val="00D0157A"/>
    <w:rsid w:val="00D036D8"/>
    <w:rsid w:val="00D038ED"/>
    <w:rsid w:val="00D06D26"/>
    <w:rsid w:val="00D10B75"/>
    <w:rsid w:val="00D13351"/>
    <w:rsid w:val="00D15E25"/>
    <w:rsid w:val="00D17A40"/>
    <w:rsid w:val="00D20368"/>
    <w:rsid w:val="00D22361"/>
    <w:rsid w:val="00D22598"/>
    <w:rsid w:val="00D26924"/>
    <w:rsid w:val="00D35468"/>
    <w:rsid w:val="00D413F6"/>
    <w:rsid w:val="00D4231B"/>
    <w:rsid w:val="00D423A2"/>
    <w:rsid w:val="00D45E4A"/>
    <w:rsid w:val="00D520D8"/>
    <w:rsid w:val="00D52961"/>
    <w:rsid w:val="00D52E96"/>
    <w:rsid w:val="00D55048"/>
    <w:rsid w:val="00D56C6D"/>
    <w:rsid w:val="00D57FA4"/>
    <w:rsid w:val="00D57FE6"/>
    <w:rsid w:val="00D62DE7"/>
    <w:rsid w:val="00D63AC2"/>
    <w:rsid w:val="00D665B4"/>
    <w:rsid w:val="00D673D0"/>
    <w:rsid w:val="00D7080D"/>
    <w:rsid w:val="00D7156A"/>
    <w:rsid w:val="00D7383B"/>
    <w:rsid w:val="00D7609E"/>
    <w:rsid w:val="00D81A63"/>
    <w:rsid w:val="00D81D25"/>
    <w:rsid w:val="00D85C60"/>
    <w:rsid w:val="00D86C54"/>
    <w:rsid w:val="00D86E8B"/>
    <w:rsid w:val="00D91F8B"/>
    <w:rsid w:val="00D9383B"/>
    <w:rsid w:val="00D93B61"/>
    <w:rsid w:val="00D94C40"/>
    <w:rsid w:val="00D954A1"/>
    <w:rsid w:val="00DA231B"/>
    <w:rsid w:val="00DA23A0"/>
    <w:rsid w:val="00DA7F66"/>
    <w:rsid w:val="00DB186F"/>
    <w:rsid w:val="00DB6C5A"/>
    <w:rsid w:val="00DB77B8"/>
    <w:rsid w:val="00DC0BDA"/>
    <w:rsid w:val="00DC39FC"/>
    <w:rsid w:val="00DC4385"/>
    <w:rsid w:val="00DC484F"/>
    <w:rsid w:val="00DC4C27"/>
    <w:rsid w:val="00DC51BC"/>
    <w:rsid w:val="00DC5A3E"/>
    <w:rsid w:val="00DC6805"/>
    <w:rsid w:val="00DC78A7"/>
    <w:rsid w:val="00DC793F"/>
    <w:rsid w:val="00DE05E5"/>
    <w:rsid w:val="00DE0708"/>
    <w:rsid w:val="00DE3067"/>
    <w:rsid w:val="00DE3BDD"/>
    <w:rsid w:val="00DE4629"/>
    <w:rsid w:val="00DE58C9"/>
    <w:rsid w:val="00DE6EAA"/>
    <w:rsid w:val="00DF11FD"/>
    <w:rsid w:val="00DF4771"/>
    <w:rsid w:val="00DF5254"/>
    <w:rsid w:val="00E052F2"/>
    <w:rsid w:val="00E12426"/>
    <w:rsid w:val="00E13584"/>
    <w:rsid w:val="00E14EB2"/>
    <w:rsid w:val="00E16408"/>
    <w:rsid w:val="00E20894"/>
    <w:rsid w:val="00E2397D"/>
    <w:rsid w:val="00E23B70"/>
    <w:rsid w:val="00E245AB"/>
    <w:rsid w:val="00E26239"/>
    <w:rsid w:val="00E2701B"/>
    <w:rsid w:val="00E2764C"/>
    <w:rsid w:val="00E27F2E"/>
    <w:rsid w:val="00E308A4"/>
    <w:rsid w:val="00E35539"/>
    <w:rsid w:val="00E413EA"/>
    <w:rsid w:val="00E47F28"/>
    <w:rsid w:val="00E50AFE"/>
    <w:rsid w:val="00E51636"/>
    <w:rsid w:val="00E52E49"/>
    <w:rsid w:val="00E577AC"/>
    <w:rsid w:val="00E578B6"/>
    <w:rsid w:val="00E61547"/>
    <w:rsid w:val="00E61702"/>
    <w:rsid w:val="00E64B7D"/>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A7"/>
    <w:rsid w:val="00ED042A"/>
    <w:rsid w:val="00ED0D4A"/>
    <w:rsid w:val="00ED4E37"/>
    <w:rsid w:val="00EE1AA8"/>
    <w:rsid w:val="00EE6DCD"/>
    <w:rsid w:val="00EF26C3"/>
    <w:rsid w:val="00EF419E"/>
    <w:rsid w:val="00EF4469"/>
    <w:rsid w:val="00EF489F"/>
    <w:rsid w:val="00F00796"/>
    <w:rsid w:val="00F11213"/>
    <w:rsid w:val="00F11600"/>
    <w:rsid w:val="00F11BAA"/>
    <w:rsid w:val="00F13CBC"/>
    <w:rsid w:val="00F177C1"/>
    <w:rsid w:val="00F17EB6"/>
    <w:rsid w:val="00F238F2"/>
    <w:rsid w:val="00F24580"/>
    <w:rsid w:val="00F248A2"/>
    <w:rsid w:val="00F260AA"/>
    <w:rsid w:val="00F27B26"/>
    <w:rsid w:val="00F308B8"/>
    <w:rsid w:val="00F30B1C"/>
    <w:rsid w:val="00F31EDC"/>
    <w:rsid w:val="00F34D02"/>
    <w:rsid w:val="00F34E84"/>
    <w:rsid w:val="00F36DF8"/>
    <w:rsid w:val="00F36EE8"/>
    <w:rsid w:val="00F40BAD"/>
    <w:rsid w:val="00F42D36"/>
    <w:rsid w:val="00F45507"/>
    <w:rsid w:val="00F462B3"/>
    <w:rsid w:val="00F50DC9"/>
    <w:rsid w:val="00F5184B"/>
    <w:rsid w:val="00F5491E"/>
    <w:rsid w:val="00F55081"/>
    <w:rsid w:val="00F55168"/>
    <w:rsid w:val="00F5664F"/>
    <w:rsid w:val="00F61ABB"/>
    <w:rsid w:val="00F626C4"/>
    <w:rsid w:val="00F63482"/>
    <w:rsid w:val="00F64532"/>
    <w:rsid w:val="00F64D9E"/>
    <w:rsid w:val="00F664EC"/>
    <w:rsid w:val="00F666C4"/>
    <w:rsid w:val="00F7684C"/>
    <w:rsid w:val="00F76AFC"/>
    <w:rsid w:val="00F80CBE"/>
    <w:rsid w:val="00F85198"/>
    <w:rsid w:val="00F85237"/>
    <w:rsid w:val="00F939CB"/>
    <w:rsid w:val="00F9479C"/>
    <w:rsid w:val="00F965EE"/>
    <w:rsid w:val="00F97949"/>
    <w:rsid w:val="00FA0D92"/>
    <w:rsid w:val="00FA1110"/>
    <w:rsid w:val="00FA1361"/>
    <w:rsid w:val="00FA2AE1"/>
    <w:rsid w:val="00FA34EC"/>
    <w:rsid w:val="00FA358D"/>
    <w:rsid w:val="00FA47C0"/>
    <w:rsid w:val="00FA623D"/>
    <w:rsid w:val="00FA6D5B"/>
    <w:rsid w:val="00FB4425"/>
    <w:rsid w:val="00FB5615"/>
    <w:rsid w:val="00FB5DD1"/>
    <w:rsid w:val="00FB5F87"/>
    <w:rsid w:val="00FC07B5"/>
    <w:rsid w:val="00FC2B5D"/>
    <w:rsid w:val="00FC6192"/>
    <w:rsid w:val="00FD00BB"/>
    <w:rsid w:val="00FD00E9"/>
    <w:rsid w:val="00FD03E3"/>
    <w:rsid w:val="00FD108E"/>
    <w:rsid w:val="00FD653F"/>
    <w:rsid w:val="00FE122A"/>
    <w:rsid w:val="00FE1913"/>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3C3"/>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customStyle="1" w:styleId="apple-converted-space">
    <w:name w:val="apple-converted-space"/>
    <w:basedOn w:val="Fuentedeprrafopredeter"/>
    <w:rsid w:val="006F49C9"/>
  </w:style>
  <w:style w:type="table" w:customStyle="1" w:styleId="Tablaconcuadrcula11">
    <w:name w:val="Tabla con cuadrícula11"/>
    <w:basedOn w:val="Tablanormal"/>
    <w:next w:val="Tablaconcuadrcula"/>
    <w:uiPriority w:val="39"/>
    <w:qFormat/>
    <w:rsid w:val="00A04C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A04C3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204977">
      <w:bodyDiv w:val="1"/>
      <w:marLeft w:val="0"/>
      <w:marRight w:val="0"/>
      <w:marTop w:val="0"/>
      <w:marBottom w:val="0"/>
      <w:divBdr>
        <w:top w:val="none" w:sz="0" w:space="0" w:color="auto"/>
        <w:left w:val="none" w:sz="0" w:space="0" w:color="auto"/>
        <w:bottom w:val="none" w:sz="0" w:space="0" w:color="auto"/>
        <w:right w:val="none" w:sz="0" w:space="0" w:color="auto"/>
      </w:divBdr>
      <w:divsChild>
        <w:div w:id="1670258128">
          <w:marLeft w:val="0"/>
          <w:marRight w:val="0"/>
          <w:marTop w:val="0"/>
          <w:marBottom w:val="0"/>
          <w:divBdr>
            <w:top w:val="none" w:sz="0" w:space="0" w:color="auto"/>
            <w:left w:val="none" w:sz="0" w:space="0" w:color="auto"/>
            <w:bottom w:val="none" w:sz="0" w:space="0" w:color="auto"/>
            <w:right w:val="none" w:sz="0" w:space="0" w:color="auto"/>
          </w:divBdr>
          <w:divsChild>
            <w:div w:id="1637953745">
              <w:marLeft w:val="0"/>
              <w:marRight w:val="0"/>
              <w:marTop w:val="0"/>
              <w:marBottom w:val="0"/>
              <w:divBdr>
                <w:top w:val="none" w:sz="0" w:space="0" w:color="auto"/>
                <w:left w:val="none" w:sz="0" w:space="0" w:color="auto"/>
                <w:bottom w:val="none" w:sz="0" w:space="0" w:color="auto"/>
                <w:right w:val="none" w:sz="0" w:space="0" w:color="auto"/>
              </w:divBdr>
              <w:divsChild>
                <w:div w:id="5539274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837529108">
          <w:marLeft w:val="0"/>
          <w:marRight w:val="0"/>
          <w:marTop w:val="0"/>
          <w:marBottom w:val="0"/>
          <w:divBdr>
            <w:top w:val="none" w:sz="0" w:space="0" w:color="auto"/>
            <w:left w:val="none" w:sz="0" w:space="0" w:color="auto"/>
            <w:bottom w:val="none" w:sz="0" w:space="0" w:color="auto"/>
            <w:right w:val="none" w:sz="0" w:space="0" w:color="auto"/>
          </w:divBdr>
          <w:divsChild>
            <w:div w:id="1404066445">
              <w:marLeft w:val="0"/>
              <w:marRight w:val="0"/>
              <w:marTop w:val="0"/>
              <w:marBottom w:val="0"/>
              <w:divBdr>
                <w:top w:val="none" w:sz="0" w:space="0" w:color="auto"/>
                <w:left w:val="none" w:sz="0" w:space="0" w:color="auto"/>
                <w:bottom w:val="none" w:sz="0" w:space="0" w:color="auto"/>
                <w:right w:val="none" w:sz="0" w:space="0" w:color="auto"/>
              </w:divBdr>
              <w:divsChild>
                <w:div w:id="131599233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984235792">
          <w:marLeft w:val="0"/>
          <w:marRight w:val="0"/>
          <w:marTop w:val="0"/>
          <w:marBottom w:val="0"/>
          <w:divBdr>
            <w:top w:val="none" w:sz="0" w:space="0" w:color="auto"/>
            <w:left w:val="none" w:sz="0" w:space="0" w:color="auto"/>
            <w:bottom w:val="none" w:sz="0" w:space="0" w:color="auto"/>
            <w:right w:val="none" w:sz="0" w:space="0" w:color="auto"/>
          </w:divBdr>
          <w:divsChild>
            <w:div w:id="1390376925">
              <w:marLeft w:val="0"/>
              <w:marRight w:val="0"/>
              <w:marTop w:val="0"/>
              <w:marBottom w:val="0"/>
              <w:divBdr>
                <w:top w:val="none" w:sz="0" w:space="0" w:color="auto"/>
                <w:left w:val="none" w:sz="0" w:space="0" w:color="auto"/>
                <w:bottom w:val="none" w:sz="0" w:space="0" w:color="auto"/>
                <w:right w:val="none" w:sz="0" w:space="0" w:color="auto"/>
              </w:divBdr>
              <w:divsChild>
                <w:div w:id="585194299">
                  <w:marLeft w:val="0"/>
                  <w:marRight w:val="0"/>
                  <w:marTop w:val="0"/>
                  <w:marBottom w:val="0"/>
                  <w:divBdr>
                    <w:top w:val="none" w:sz="0" w:space="0" w:color="auto"/>
                    <w:left w:val="none" w:sz="0" w:space="0" w:color="auto"/>
                    <w:bottom w:val="none" w:sz="0" w:space="0" w:color="auto"/>
                    <w:right w:val="none" w:sz="0" w:space="0" w:color="auto"/>
                  </w:divBdr>
                  <w:divsChild>
                    <w:div w:id="1234468273">
                      <w:marLeft w:val="0"/>
                      <w:marRight w:val="0"/>
                      <w:marTop w:val="0"/>
                      <w:marBottom w:val="0"/>
                      <w:divBdr>
                        <w:top w:val="none" w:sz="0" w:space="0" w:color="auto"/>
                        <w:left w:val="none" w:sz="0" w:space="0" w:color="auto"/>
                        <w:bottom w:val="none" w:sz="0" w:space="0" w:color="auto"/>
                        <w:right w:val="none" w:sz="0" w:space="0" w:color="auto"/>
                      </w:divBdr>
                      <w:divsChild>
                        <w:div w:id="1998418407">
                          <w:marLeft w:val="0"/>
                          <w:marRight w:val="0"/>
                          <w:marTop w:val="0"/>
                          <w:marBottom w:val="0"/>
                          <w:divBdr>
                            <w:top w:val="none" w:sz="0" w:space="0" w:color="auto"/>
                            <w:left w:val="none" w:sz="0" w:space="0" w:color="auto"/>
                            <w:bottom w:val="none" w:sz="0" w:space="0" w:color="auto"/>
                            <w:right w:val="none" w:sz="0" w:space="0" w:color="auto"/>
                          </w:divBdr>
                          <w:divsChild>
                            <w:div w:id="2012756014">
                              <w:marLeft w:val="0"/>
                              <w:marRight w:val="0"/>
                              <w:marTop w:val="0"/>
                              <w:marBottom w:val="0"/>
                              <w:divBdr>
                                <w:top w:val="none" w:sz="0" w:space="0" w:color="auto"/>
                                <w:left w:val="none" w:sz="0" w:space="0" w:color="auto"/>
                                <w:bottom w:val="none" w:sz="0" w:space="0" w:color="auto"/>
                                <w:right w:val="none" w:sz="0" w:space="0" w:color="auto"/>
                              </w:divBdr>
                            </w:div>
                            <w:div w:id="156856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950491">
                  <w:marLeft w:val="0"/>
                  <w:marRight w:val="0"/>
                  <w:marTop w:val="0"/>
                  <w:marBottom w:val="0"/>
                  <w:divBdr>
                    <w:top w:val="none" w:sz="0" w:space="0" w:color="auto"/>
                    <w:left w:val="none" w:sz="0" w:space="0" w:color="auto"/>
                    <w:bottom w:val="none" w:sz="0" w:space="0" w:color="auto"/>
                    <w:right w:val="none" w:sz="0" w:space="0" w:color="auto"/>
                  </w:divBdr>
                  <w:divsChild>
                    <w:div w:id="1543833253">
                      <w:marLeft w:val="0"/>
                      <w:marRight w:val="0"/>
                      <w:marTop w:val="0"/>
                      <w:marBottom w:val="0"/>
                      <w:divBdr>
                        <w:top w:val="none" w:sz="0" w:space="0" w:color="auto"/>
                        <w:left w:val="none" w:sz="0" w:space="0" w:color="auto"/>
                        <w:bottom w:val="none" w:sz="0" w:space="0" w:color="auto"/>
                        <w:right w:val="none" w:sz="0" w:space="0" w:color="auto"/>
                      </w:divBdr>
                      <w:divsChild>
                        <w:div w:id="1844080383">
                          <w:marLeft w:val="0"/>
                          <w:marRight w:val="0"/>
                          <w:marTop w:val="0"/>
                          <w:marBottom w:val="0"/>
                          <w:divBdr>
                            <w:top w:val="none" w:sz="0" w:space="0" w:color="auto"/>
                            <w:left w:val="none" w:sz="0" w:space="0" w:color="auto"/>
                            <w:bottom w:val="none" w:sz="0" w:space="0" w:color="auto"/>
                            <w:right w:val="none" w:sz="0" w:space="0" w:color="auto"/>
                          </w:divBdr>
                          <w:divsChild>
                            <w:div w:id="104935054">
                              <w:marLeft w:val="0"/>
                              <w:marRight w:val="0"/>
                              <w:marTop w:val="0"/>
                              <w:marBottom w:val="0"/>
                              <w:divBdr>
                                <w:top w:val="none" w:sz="0" w:space="0" w:color="auto"/>
                                <w:left w:val="none" w:sz="0" w:space="0" w:color="auto"/>
                                <w:bottom w:val="none" w:sz="0" w:space="0" w:color="auto"/>
                                <w:right w:val="none" w:sz="0" w:space="0" w:color="auto"/>
                              </w:divBdr>
                            </w:div>
                            <w:div w:id="41517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7016294">
          <w:marLeft w:val="0"/>
          <w:marRight w:val="0"/>
          <w:marTop w:val="0"/>
          <w:marBottom w:val="0"/>
          <w:divBdr>
            <w:top w:val="none" w:sz="0" w:space="0" w:color="auto"/>
            <w:left w:val="none" w:sz="0" w:space="0" w:color="auto"/>
            <w:bottom w:val="none" w:sz="0" w:space="0" w:color="auto"/>
            <w:right w:val="none" w:sz="0" w:space="0" w:color="auto"/>
          </w:divBdr>
          <w:divsChild>
            <w:div w:id="1944413723">
              <w:marLeft w:val="0"/>
              <w:marRight w:val="0"/>
              <w:marTop w:val="0"/>
              <w:marBottom w:val="0"/>
              <w:divBdr>
                <w:top w:val="none" w:sz="0" w:space="0" w:color="auto"/>
                <w:left w:val="none" w:sz="0" w:space="0" w:color="auto"/>
                <w:bottom w:val="none" w:sz="0" w:space="0" w:color="auto"/>
                <w:right w:val="none" w:sz="0" w:space="0" w:color="auto"/>
              </w:divBdr>
              <w:divsChild>
                <w:div w:id="112927845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81509552">
          <w:marLeft w:val="0"/>
          <w:marRight w:val="0"/>
          <w:marTop w:val="0"/>
          <w:marBottom w:val="0"/>
          <w:divBdr>
            <w:top w:val="none" w:sz="0" w:space="0" w:color="auto"/>
            <w:left w:val="none" w:sz="0" w:space="0" w:color="auto"/>
            <w:bottom w:val="none" w:sz="0" w:space="0" w:color="auto"/>
            <w:right w:val="none" w:sz="0" w:space="0" w:color="auto"/>
          </w:divBdr>
          <w:divsChild>
            <w:div w:id="1895388071">
              <w:marLeft w:val="0"/>
              <w:marRight w:val="0"/>
              <w:marTop w:val="0"/>
              <w:marBottom w:val="0"/>
              <w:divBdr>
                <w:top w:val="none" w:sz="0" w:space="0" w:color="auto"/>
                <w:left w:val="none" w:sz="0" w:space="0" w:color="auto"/>
                <w:bottom w:val="none" w:sz="0" w:space="0" w:color="auto"/>
                <w:right w:val="none" w:sz="0" w:space="0" w:color="auto"/>
              </w:divBdr>
              <w:divsChild>
                <w:div w:id="1844272962">
                  <w:marLeft w:val="0"/>
                  <w:marRight w:val="0"/>
                  <w:marTop w:val="0"/>
                  <w:marBottom w:val="0"/>
                  <w:divBdr>
                    <w:top w:val="none" w:sz="0" w:space="0" w:color="auto"/>
                    <w:left w:val="none" w:sz="0" w:space="0" w:color="auto"/>
                    <w:bottom w:val="none" w:sz="0" w:space="0" w:color="auto"/>
                    <w:right w:val="none" w:sz="0" w:space="0" w:color="auto"/>
                  </w:divBdr>
                  <w:divsChild>
                    <w:div w:id="1732120426">
                      <w:marLeft w:val="0"/>
                      <w:marRight w:val="0"/>
                      <w:marTop w:val="0"/>
                      <w:marBottom w:val="0"/>
                      <w:divBdr>
                        <w:top w:val="none" w:sz="0" w:space="0" w:color="auto"/>
                        <w:left w:val="none" w:sz="0" w:space="0" w:color="auto"/>
                        <w:bottom w:val="none" w:sz="0" w:space="0" w:color="auto"/>
                        <w:right w:val="none" w:sz="0" w:space="0" w:color="auto"/>
                      </w:divBdr>
                      <w:divsChild>
                        <w:div w:id="1916745151">
                          <w:marLeft w:val="0"/>
                          <w:marRight w:val="0"/>
                          <w:marTop w:val="0"/>
                          <w:marBottom w:val="0"/>
                          <w:divBdr>
                            <w:top w:val="none" w:sz="0" w:space="0" w:color="auto"/>
                            <w:left w:val="none" w:sz="0" w:space="0" w:color="auto"/>
                            <w:bottom w:val="none" w:sz="0" w:space="0" w:color="auto"/>
                            <w:right w:val="none" w:sz="0" w:space="0" w:color="auto"/>
                          </w:divBdr>
                          <w:divsChild>
                            <w:div w:id="652754733">
                              <w:marLeft w:val="0"/>
                              <w:marRight w:val="0"/>
                              <w:marTop w:val="0"/>
                              <w:marBottom w:val="0"/>
                              <w:divBdr>
                                <w:top w:val="none" w:sz="0" w:space="0" w:color="auto"/>
                                <w:left w:val="none" w:sz="0" w:space="0" w:color="auto"/>
                                <w:bottom w:val="none" w:sz="0" w:space="0" w:color="auto"/>
                                <w:right w:val="none" w:sz="0" w:space="0" w:color="auto"/>
                              </w:divBdr>
                            </w:div>
                            <w:div w:id="12585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984311">
                  <w:marLeft w:val="0"/>
                  <w:marRight w:val="0"/>
                  <w:marTop w:val="0"/>
                  <w:marBottom w:val="0"/>
                  <w:divBdr>
                    <w:top w:val="none" w:sz="0" w:space="0" w:color="auto"/>
                    <w:left w:val="none" w:sz="0" w:space="0" w:color="auto"/>
                    <w:bottom w:val="none" w:sz="0" w:space="0" w:color="auto"/>
                    <w:right w:val="none" w:sz="0" w:space="0" w:color="auto"/>
                  </w:divBdr>
                  <w:divsChild>
                    <w:div w:id="1333678581">
                      <w:marLeft w:val="0"/>
                      <w:marRight w:val="0"/>
                      <w:marTop w:val="0"/>
                      <w:marBottom w:val="0"/>
                      <w:divBdr>
                        <w:top w:val="none" w:sz="0" w:space="0" w:color="auto"/>
                        <w:left w:val="none" w:sz="0" w:space="0" w:color="auto"/>
                        <w:bottom w:val="none" w:sz="0" w:space="0" w:color="auto"/>
                        <w:right w:val="none" w:sz="0" w:space="0" w:color="auto"/>
                      </w:divBdr>
                      <w:divsChild>
                        <w:div w:id="1193297864">
                          <w:marLeft w:val="0"/>
                          <w:marRight w:val="0"/>
                          <w:marTop w:val="0"/>
                          <w:marBottom w:val="0"/>
                          <w:divBdr>
                            <w:top w:val="none" w:sz="0" w:space="0" w:color="auto"/>
                            <w:left w:val="none" w:sz="0" w:space="0" w:color="auto"/>
                            <w:bottom w:val="none" w:sz="0" w:space="0" w:color="auto"/>
                            <w:right w:val="none" w:sz="0" w:space="0" w:color="auto"/>
                          </w:divBdr>
                          <w:divsChild>
                            <w:div w:id="467823375">
                              <w:marLeft w:val="0"/>
                              <w:marRight w:val="0"/>
                              <w:marTop w:val="0"/>
                              <w:marBottom w:val="0"/>
                              <w:divBdr>
                                <w:top w:val="none" w:sz="0" w:space="0" w:color="auto"/>
                                <w:left w:val="none" w:sz="0" w:space="0" w:color="auto"/>
                                <w:bottom w:val="none" w:sz="0" w:space="0" w:color="auto"/>
                                <w:right w:val="none" w:sz="0" w:space="0" w:color="auto"/>
                              </w:divBdr>
                            </w:div>
                            <w:div w:id="140183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734089">
          <w:marLeft w:val="0"/>
          <w:marRight w:val="0"/>
          <w:marTop w:val="0"/>
          <w:marBottom w:val="0"/>
          <w:divBdr>
            <w:top w:val="none" w:sz="0" w:space="0" w:color="auto"/>
            <w:left w:val="none" w:sz="0" w:space="0" w:color="auto"/>
            <w:bottom w:val="none" w:sz="0" w:space="0" w:color="auto"/>
            <w:right w:val="none" w:sz="0" w:space="0" w:color="auto"/>
          </w:divBdr>
          <w:divsChild>
            <w:div w:id="1128352804">
              <w:marLeft w:val="0"/>
              <w:marRight w:val="0"/>
              <w:marTop w:val="0"/>
              <w:marBottom w:val="0"/>
              <w:divBdr>
                <w:top w:val="none" w:sz="0" w:space="0" w:color="auto"/>
                <w:left w:val="none" w:sz="0" w:space="0" w:color="auto"/>
                <w:bottom w:val="none" w:sz="0" w:space="0" w:color="auto"/>
                <w:right w:val="none" w:sz="0" w:space="0" w:color="auto"/>
              </w:divBdr>
              <w:divsChild>
                <w:div w:id="178533980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75255212">
          <w:marLeft w:val="0"/>
          <w:marRight w:val="0"/>
          <w:marTop w:val="0"/>
          <w:marBottom w:val="0"/>
          <w:divBdr>
            <w:top w:val="none" w:sz="0" w:space="0" w:color="auto"/>
            <w:left w:val="none" w:sz="0" w:space="0" w:color="auto"/>
            <w:bottom w:val="none" w:sz="0" w:space="0" w:color="auto"/>
            <w:right w:val="none" w:sz="0" w:space="0" w:color="auto"/>
          </w:divBdr>
          <w:divsChild>
            <w:div w:id="4792527">
              <w:marLeft w:val="0"/>
              <w:marRight w:val="0"/>
              <w:marTop w:val="0"/>
              <w:marBottom w:val="0"/>
              <w:divBdr>
                <w:top w:val="none" w:sz="0" w:space="0" w:color="auto"/>
                <w:left w:val="none" w:sz="0" w:space="0" w:color="auto"/>
                <w:bottom w:val="none" w:sz="0" w:space="0" w:color="auto"/>
                <w:right w:val="none" w:sz="0" w:space="0" w:color="auto"/>
              </w:divBdr>
              <w:divsChild>
                <w:div w:id="208622241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01683548">
      <w:bodyDiv w:val="1"/>
      <w:marLeft w:val="0"/>
      <w:marRight w:val="0"/>
      <w:marTop w:val="0"/>
      <w:marBottom w:val="0"/>
      <w:divBdr>
        <w:top w:val="none" w:sz="0" w:space="0" w:color="auto"/>
        <w:left w:val="none" w:sz="0" w:space="0" w:color="auto"/>
        <w:bottom w:val="none" w:sz="0" w:space="0" w:color="auto"/>
        <w:right w:val="none" w:sz="0" w:space="0" w:color="auto"/>
      </w:divBdr>
      <w:divsChild>
        <w:div w:id="2077315810">
          <w:marLeft w:val="0"/>
          <w:marRight w:val="0"/>
          <w:marTop w:val="0"/>
          <w:marBottom w:val="0"/>
          <w:divBdr>
            <w:top w:val="none" w:sz="0" w:space="0" w:color="auto"/>
            <w:left w:val="none" w:sz="0" w:space="0" w:color="auto"/>
            <w:bottom w:val="none" w:sz="0" w:space="0" w:color="auto"/>
            <w:right w:val="none" w:sz="0" w:space="0" w:color="auto"/>
          </w:divBdr>
          <w:divsChild>
            <w:div w:id="1513566415">
              <w:marLeft w:val="0"/>
              <w:marRight w:val="0"/>
              <w:marTop w:val="0"/>
              <w:marBottom w:val="0"/>
              <w:divBdr>
                <w:top w:val="none" w:sz="0" w:space="0" w:color="auto"/>
                <w:left w:val="none" w:sz="0" w:space="0" w:color="auto"/>
                <w:bottom w:val="none" w:sz="0" w:space="0" w:color="auto"/>
                <w:right w:val="none" w:sz="0" w:space="0" w:color="auto"/>
              </w:divBdr>
              <w:divsChild>
                <w:div w:id="109258080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11004911">
          <w:marLeft w:val="0"/>
          <w:marRight w:val="0"/>
          <w:marTop w:val="0"/>
          <w:marBottom w:val="0"/>
          <w:divBdr>
            <w:top w:val="none" w:sz="0" w:space="0" w:color="auto"/>
            <w:left w:val="none" w:sz="0" w:space="0" w:color="auto"/>
            <w:bottom w:val="none" w:sz="0" w:space="0" w:color="auto"/>
            <w:right w:val="none" w:sz="0" w:space="0" w:color="auto"/>
          </w:divBdr>
          <w:divsChild>
            <w:div w:id="1130392718">
              <w:marLeft w:val="0"/>
              <w:marRight w:val="0"/>
              <w:marTop w:val="0"/>
              <w:marBottom w:val="0"/>
              <w:divBdr>
                <w:top w:val="none" w:sz="0" w:space="0" w:color="auto"/>
                <w:left w:val="none" w:sz="0" w:space="0" w:color="auto"/>
                <w:bottom w:val="none" w:sz="0" w:space="0" w:color="auto"/>
                <w:right w:val="none" w:sz="0" w:space="0" w:color="auto"/>
              </w:divBdr>
              <w:divsChild>
                <w:div w:id="141558789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795709089">
          <w:marLeft w:val="0"/>
          <w:marRight w:val="0"/>
          <w:marTop w:val="0"/>
          <w:marBottom w:val="0"/>
          <w:divBdr>
            <w:top w:val="none" w:sz="0" w:space="0" w:color="auto"/>
            <w:left w:val="none" w:sz="0" w:space="0" w:color="auto"/>
            <w:bottom w:val="none" w:sz="0" w:space="0" w:color="auto"/>
            <w:right w:val="none" w:sz="0" w:space="0" w:color="auto"/>
          </w:divBdr>
          <w:divsChild>
            <w:div w:id="201326735">
              <w:marLeft w:val="0"/>
              <w:marRight w:val="0"/>
              <w:marTop w:val="0"/>
              <w:marBottom w:val="0"/>
              <w:divBdr>
                <w:top w:val="none" w:sz="0" w:space="0" w:color="auto"/>
                <w:left w:val="none" w:sz="0" w:space="0" w:color="auto"/>
                <w:bottom w:val="none" w:sz="0" w:space="0" w:color="auto"/>
                <w:right w:val="none" w:sz="0" w:space="0" w:color="auto"/>
              </w:divBdr>
              <w:divsChild>
                <w:div w:id="97918552">
                  <w:marLeft w:val="0"/>
                  <w:marRight w:val="0"/>
                  <w:marTop w:val="0"/>
                  <w:marBottom w:val="0"/>
                  <w:divBdr>
                    <w:top w:val="none" w:sz="0" w:space="0" w:color="auto"/>
                    <w:left w:val="none" w:sz="0" w:space="0" w:color="auto"/>
                    <w:bottom w:val="none" w:sz="0" w:space="0" w:color="auto"/>
                    <w:right w:val="none" w:sz="0" w:space="0" w:color="auto"/>
                  </w:divBdr>
                  <w:divsChild>
                    <w:div w:id="1375158787">
                      <w:marLeft w:val="0"/>
                      <w:marRight w:val="0"/>
                      <w:marTop w:val="0"/>
                      <w:marBottom w:val="0"/>
                      <w:divBdr>
                        <w:top w:val="none" w:sz="0" w:space="0" w:color="auto"/>
                        <w:left w:val="none" w:sz="0" w:space="0" w:color="auto"/>
                        <w:bottom w:val="none" w:sz="0" w:space="0" w:color="auto"/>
                        <w:right w:val="none" w:sz="0" w:space="0" w:color="auto"/>
                      </w:divBdr>
                      <w:divsChild>
                        <w:div w:id="1816604264">
                          <w:marLeft w:val="0"/>
                          <w:marRight w:val="0"/>
                          <w:marTop w:val="0"/>
                          <w:marBottom w:val="0"/>
                          <w:divBdr>
                            <w:top w:val="none" w:sz="0" w:space="0" w:color="auto"/>
                            <w:left w:val="none" w:sz="0" w:space="0" w:color="auto"/>
                            <w:bottom w:val="none" w:sz="0" w:space="0" w:color="auto"/>
                            <w:right w:val="none" w:sz="0" w:space="0" w:color="auto"/>
                          </w:divBdr>
                          <w:divsChild>
                            <w:div w:id="333531818">
                              <w:marLeft w:val="0"/>
                              <w:marRight w:val="0"/>
                              <w:marTop w:val="0"/>
                              <w:marBottom w:val="0"/>
                              <w:divBdr>
                                <w:top w:val="none" w:sz="0" w:space="0" w:color="auto"/>
                                <w:left w:val="none" w:sz="0" w:space="0" w:color="auto"/>
                                <w:bottom w:val="none" w:sz="0" w:space="0" w:color="auto"/>
                                <w:right w:val="none" w:sz="0" w:space="0" w:color="auto"/>
                              </w:divBdr>
                            </w:div>
                            <w:div w:id="190922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459176">
                  <w:marLeft w:val="0"/>
                  <w:marRight w:val="0"/>
                  <w:marTop w:val="0"/>
                  <w:marBottom w:val="0"/>
                  <w:divBdr>
                    <w:top w:val="none" w:sz="0" w:space="0" w:color="auto"/>
                    <w:left w:val="none" w:sz="0" w:space="0" w:color="auto"/>
                    <w:bottom w:val="none" w:sz="0" w:space="0" w:color="auto"/>
                    <w:right w:val="none" w:sz="0" w:space="0" w:color="auto"/>
                  </w:divBdr>
                  <w:divsChild>
                    <w:div w:id="1335649121">
                      <w:marLeft w:val="0"/>
                      <w:marRight w:val="0"/>
                      <w:marTop w:val="0"/>
                      <w:marBottom w:val="0"/>
                      <w:divBdr>
                        <w:top w:val="none" w:sz="0" w:space="0" w:color="auto"/>
                        <w:left w:val="none" w:sz="0" w:space="0" w:color="auto"/>
                        <w:bottom w:val="none" w:sz="0" w:space="0" w:color="auto"/>
                        <w:right w:val="none" w:sz="0" w:space="0" w:color="auto"/>
                      </w:divBdr>
                      <w:divsChild>
                        <w:div w:id="1425302140">
                          <w:marLeft w:val="0"/>
                          <w:marRight w:val="0"/>
                          <w:marTop w:val="0"/>
                          <w:marBottom w:val="0"/>
                          <w:divBdr>
                            <w:top w:val="none" w:sz="0" w:space="0" w:color="auto"/>
                            <w:left w:val="none" w:sz="0" w:space="0" w:color="auto"/>
                            <w:bottom w:val="none" w:sz="0" w:space="0" w:color="auto"/>
                            <w:right w:val="none" w:sz="0" w:space="0" w:color="auto"/>
                          </w:divBdr>
                          <w:divsChild>
                            <w:div w:id="652224877">
                              <w:marLeft w:val="0"/>
                              <w:marRight w:val="0"/>
                              <w:marTop w:val="0"/>
                              <w:marBottom w:val="0"/>
                              <w:divBdr>
                                <w:top w:val="none" w:sz="0" w:space="0" w:color="auto"/>
                                <w:left w:val="none" w:sz="0" w:space="0" w:color="auto"/>
                                <w:bottom w:val="none" w:sz="0" w:space="0" w:color="auto"/>
                                <w:right w:val="none" w:sz="0" w:space="0" w:color="auto"/>
                              </w:divBdr>
                            </w:div>
                            <w:div w:id="137777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6195966">
          <w:marLeft w:val="0"/>
          <w:marRight w:val="0"/>
          <w:marTop w:val="0"/>
          <w:marBottom w:val="0"/>
          <w:divBdr>
            <w:top w:val="none" w:sz="0" w:space="0" w:color="auto"/>
            <w:left w:val="none" w:sz="0" w:space="0" w:color="auto"/>
            <w:bottom w:val="none" w:sz="0" w:space="0" w:color="auto"/>
            <w:right w:val="none" w:sz="0" w:space="0" w:color="auto"/>
          </w:divBdr>
          <w:divsChild>
            <w:div w:id="1807046339">
              <w:marLeft w:val="0"/>
              <w:marRight w:val="0"/>
              <w:marTop w:val="0"/>
              <w:marBottom w:val="0"/>
              <w:divBdr>
                <w:top w:val="none" w:sz="0" w:space="0" w:color="auto"/>
                <w:left w:val="none" w:sz="0" w:space="0" w:color="auto"/>
                <w:bottom w:val="none" w:sz="0" w:space="0" w:color="auto"/>
                <w:right w:val="none" w:sz="0" w:space="0" w:color="auto"/>
              </w:divBdr>
              <w:divsChild>
                <w:div w:id="109571401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753488">
          <w:marLeft w:val="0"/>
          <w:marRight w:val="0"/>
          <w:marTop w:val="0"/>
          <w:marBottom w:val="0"/>
          <w:divBdr>
            <w:top w:val="none" w:sz="0" w:space="0" w:color="auto"/>
            <w:left w:val="none" w:sz="0" w:space="0" w:color="auto"/>
            <w:bottom w:val="none" w:sz="0" w:space="0" w:color="auto"/>
            <w:right w:val="none" w:sz="0" w:space="0" w:color="auto"/>
          </w:divBdr>
          <w:divsChild>
            <w:div w:id="582102356">
              <w:marLeft w:val="0"/>
              <w:marRight w:val="0"/>
              <w:marTop w:val="0"/>
              <w:marBottom w:val="0"/>
              <w:divBdr>
                <w:top w:val="none" w:sz="0" w:space="0" w:color="auto"/>
                <w:left w:val="none" w:sz="0" w:space="0" w:color="auto"/>
                <w:bottom w:val="none" w:sz="0" w:space="0" w:color="auto"/>
                <w:right w:val="none" w:sz="0" w:space="0" w:color="auto"/>
              </w:divBdr>
              <w:divsChild>
                <w:div w:id="1198738673">
                  <w:marLeft w:val="0"/>
                  <w:marRight w:val="0"/>
                  <w:marTop w:val="0"/>
                  <w:marBottom w:val="0"/>
                  <w:divBdr>
                    <w:top w:val="none" w:sz="0" w:space="0" w:color="auto"/>
                    <w:left w:val="none" w:sz="0" w:space="0" w:color="auto"/>
                    <w:bottom w:val="none" w:sz="0" w:space="0" w:color="auto"/>
                    <w:right w:val="none" w:sz="0" w:space="0" w:color="auto"/>
                  </w:divBdr>
                  <w:divsChild>
                    <w:div w:id="735859142">
                      <w:marLeft w:val="0"/>
                      <w:marRight w:val="0"/>
                      <w:marTop w:val="0"/>
                      <w:marBottom w:val="0"/>
                      <w:divBdr>
                        <w:top w:val="none" w:sz="0" w:space="0" w:color="auto"/>
                        <w:left w:val="none" w:sz="0" w:space="0" w:color="auto"/>
                        <w:bottom w:val="none" w:sz="0" w:space="0" w:color="auto"/>
                        <w:right w:val="none" w:sz="0" w:space="0" w:color="auto"/>
                      </w:divBdr>
                      <w:divsChild>
                        <w:div w:id="1238630841">
                          <w:marLeft w:val="0"/>
                          <w:marRight w:val="0"/>
                          <w:marTop w:val="0"/>
                          <w:marBottom w:val="0"/>
                          <w:divBdr>
                            <w:top w:val="none" w:sz="0" w:space="0" w:color="auto"/>
                            <w:left w:val="none" w:sz="0" w:space="0" w:color="auto"/>
                            <w:bottom w:val="none" w:sz="0" w:space="0" w:color="auto"/>
                            <w:right w:val="none" w:sz="0" w:space="0" w:color="auto"/>
                          </w:divBdr>
                          <w:divsChild>
                            <w:div w:id="178860826">
                              <w:marLeft w:val="0"/>
                              <w:marRight w:val="0"/>
                              <w:marTop w:val="0"/>
                              <w:marBottom w:val="0"/>
                              <w:divBdr>
                                <w:top w:val="none" w:sz="0" w:space="0" w:color="auto"/>
                                <w:left w:val="none" w:sz="0" w:space="0" w:color="auto"/>
                                <w:bottom w:val="none" w:sz="0" w:space="0" w:color="auto"/>
                                <w:right w:val="none" w:sz="0" w:space="0" w:color="auto"/>
                              </w:divBdr>
                            </w:div>
                            <w:div w:id="35207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08829">
                  <w:marLeft w:val="0"/>
                  <w:marRight w:val="0"/>
                  <w:marTop w:val="0"/>
                  <w:marBottom w:val="0"/>
                  <w:divBdr>
                    <w:top w:val="none" w:sz="0" w:space="0" w:color="auto"/>
                    <w:left w:val="none" w:sz="0" w:space="0" w:color="auto"/>
                    <w:bottom w:val="none" w:sz="0" w:space="0" w:color="auto"/>
                    <w:right w:val="none" w:sz="0" w:space="0" w:color="auto"/>
                  </w:divBdr>
                  <w:divsChild>
                    <w:div w:id="814566649">
                      <w:marLeft w:val="0"/>
                      <w:marRight w:val="0"/>
                      <w:marTop w:val="0"/>
                      <w:marBottom w:val="0"/>
                      <w:divBdr>
                        <w:top w:val="none" w:sz="0" w:space="0" w:color="auto"/>
                        <w:left w:val="none" w:sz="0" w:space="0" w:color="auto"/>
                        <w:bottom w:val="none" w:sz="0" w:space="0" w:color="auto"/>
                        <w:right w:val="none" w:sz="0" w:space="0" w:color="auto"/>
                      </w:divBdr>
                      <w:divsChild>
                        <w:div w:id="2065520517">
                          <w:marLeft w:val="0"/>
                          <w:marRight w:val="0"/>
                          <w:marTop w:val="0"/>
                          <w:marBottom w:val="0"/>
                          <w:divBdr>
                            <w:top w:val="none" w:sz="0" w:space="0" w:color="auto"/>
                            <w:left w:val="none" w:sz="0" w:space="0" w:color="auto"/>
                            <w:bottom w:val="none" w:sz="0" w:space="0" w:color="auto"/>
                            <w:right w:val="none" w:sz="0" w:space="0" w:color="auto"/>
                          </w:divBdr>
                          <w:divsChild>
                            <w:div w:id="1218275937">
                              <w:marLeft w:val="0"/>
                              <w:marRight w:val="0"/>
                              <w:marTop w:val="0"/>
                              <w:marBottom w:val="0"/>
                              <w:divBdr>
                                <w:top w:val="none" w:sz="0" w:space="0" w:color="auto"/>
                                <w:left w:val="none" w:sz="0" w:space="0" w:color="auto"/>
                                <w:bottom w:val="none" w:sz="0" w:space="0" w:color="auto"/>
                                <w:right w:val="none" w:sz="0" w:space="0" w:color="auto"/>
                              </w:divBdr>
                            </w:div>
                            <w:div w:id="87700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8893578">
          <w:marLeft w:val="0"/>
          <w:marRight w:val="0"/>
          <w:marTop w:val="0"/>
          <w:marBottom w:val="0"/>
          <w:divBdr>
            <w:top w:val="none" w:sz="0" w:space="0" w:color="auto"/>
            <w:left w:val="none" w:sz="0" w:space="0" w:color="auto"/>
            <w:bottom w:val="none" w:sz="0" w:space="0" w:color="auto"/>
            <w:right w:val="none" w:sz="0" w:space="0" w:color="auto"/>
          </w:divBdr>
          <w:divsChild>
            <w:div w:id="2125611911">
              <w:marLeft w:val="0"/>
              <w:marRight w:val="0"/>
              <w:marTop w:val="0"/>
              <w:marBottom w:val="0"/>
              <w:divBdr>
                <w:top w:val="none" w:sz="0" w:space="0" w:color="auto"/>
                <w:left w:val="none" w:sz="0" w:space="0" w:color="auto"/>
                <w:bottom w:val="none" w:sz="0" w:space="0" w:color="auto"/>
                <w:right w:val="none" w:sz="0" w:space="0" w:color="auto"/>
              </w:divBdr>
              <w:divsChild>
                <w:div w:id="61105943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79210146">
          <w:marLeft w:val="0"/>
          <w:marRight w:val="0"/>
          <w:marTop w:val="0"/>
          <w:marBottom w:val="0"/>
          <w:divBdr>
            <w:top w:val="none" w:sz="0" w:space="0" w:color="auto"/>
            <w:left w:val="none" w:sz="0" w:space="0" w:color="auto"/>
            <w:bottom w:val="none" w:sz="0" w:space="0" w:color="auto"/>
            <w:right w:val="none" w:sz="0" w:space="0" w:color="auto"/>
          </w:divBdr>
          <w:divsChild>
            <w:div w:id="2046327551">
              <w:marLeft w:val="0"/>
              <w:marRight w:val="0"/>
              <w:marTop w:val="0"/>
              <w:marBottom w:val="0"/>
              <w:divBdr>
                <w:top w:val="none" w:sz="0" w:space="0" w:color="auto"/>
                <w:left w:val="none" w:sz="0" w:space="0" w:color="auto"/>
                <w:bottom w:val="none" w:sz="0" w:space="0" w:color="auto"/>
                <w:right w:val="none" w:sz="0" w:space="0" w:color="auto"/>
              </w:divBdr>
              <w:divsChild>
                <w:div w:id="552296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27484145">
      <w:bodyDiv w:val="1"/>
      <w:marLeft w:val="0"/>
      <w:marRight w:val="0"/>
      <w:marTop w:val="0"/>
      <w:marBottom w:val="0"/>
      <w:divBdr>
        <w:top w:val="none" w:sz="0" w:space="0" w:color="auto"/>
        <w:left w:val="none" w:sz="0" w:space="0" w:color="auto"/>
        <w:bottom w:val="none" w:sz="0" w:space="0" w:color="auto"/>
        <w:right w:val="none" w:sz="0" w:space="0" w:color="auto"/>
      </w:divBdr>
      <w:divsChild>
        <w:div w:id="1115900701">
          <w:marLeft w:val="0"/>
          <w:marRight w:val="0"/>
          <w:marTop w:val="0"/>
          <w:marBottom w:val="0"/>
          <w:divBdr>
            <w:top w:val="none" w:sz="0" w:space="0" w:color="auto"/>
            <w:left w:val="none" w:sz="0" w:space="0" w:color="auto"/>
            <w:bottom w:val="none" w:sz="0" w:space="0" w:color="auto"/>
            <w:right w:val="none" w:sz="0" w:space="0" w:color="auto"/>
          </w:divBdr>
          <w:divsChild>
            <w:div w:id="1206136013">
              <w:marLeft w:val="0"/>
              <w:marRight w:val="0"/>
              <w:marTop w:val="0"/>
              <w:marBottom w:val="0"/>
              <w:divBdr>
                <w:top w:val="none" w:sz="0" w:space="0" w:color="auto"/>
                <w:left w:val="none" w:sz="0" w:space="0" w:color="auto"/>
                <w:bottom w:val="none" w:sz="0" w:space="0" w:color="auto"/>
                <w:right w:val="none" w:sz="0" w:space="0" w:color="auto"/>
              </w:divBdr>
              <w:divsChild>
                <w:div w:id="17859535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38782661">
          <w:marLeft w:val="0"/>
          <w:marRight w:val="0"/>
          <w:marTop w:val="0"/>
          <w:marBottom w:val="0"/>
          <w:divBdr>
            <w:top w:val="none" w:sz="0" w:space="0" w:color="auto"/>
            <w:left w:val="none" w:sz="0" w:space="0" w:color="auto"/>
            <w:bottom w:val="none" w:sz="0" w:space="0" w:color="auto"/>
            <w:right w:val="none" w:sz="0" w:space="0" w:color="auto"/>
          </w:divBdr>
          <w:divsChild>
            <w:div w:id="241186964">
              <w:marLeft w:val="0"/>
              <w:marRight w:val="0"/>
              <w:marTop w:val="0"/>
              <w:marBottom w:val="0"/>
              <w:divBdr>
                <w:top w:val="none" w:sz="0" w:space="0" w:color="auto"/>
                <w:left w:val="none" w:sz="0" w:space="0" w:color="auto"/>
                <w:bottom w:val="none" w:sz="0" w:space="0" w:color="auto"/>
                <w:right w:val="none" w:sz="0" w:space="0" w:color="auto"/>
              </w:divBdr>
              <w:divsChild>
                <w:div w:id="107855074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72120781">
          <w:marLeft w:val="0"/>
          <w:marRight w:val="0"/>
          <w:marTop w:val="0"/>
          <w:marBottom w:val="0"/>
          <w:divBdr>
            <w:top w:val="none" w:sz="0" w:space="0" w:color="auto"/>
            <w:left w:val="none" w:sz="0" w:space="0" w:color="auto"/>
            <w:bottom w:val="none" w:sz="0" w:space="0" w:color="auto"/>
            <w:right w:val="none" w:sz="0" w:space="0" w:color="auto"/>
          </w:divBdr>
          <w:divsChild>
            <w:div w:id="1510830379">
              <w:marLeft w:val="0"/>
              <w:marRight w:val="0"/>
              <w:marTop w:val="0"/>
              <w:marBottom w:val="0"/>
              <w:divBdr>
                <w:top w:val="none" w:sz="0" w:space="0" w:color="auto"/>
                <w:left w:val="none" w:sz="0" w:space="0" w:color="auto"/>
                <w:bottom w:val="none" w:sz="0" w:space="0" w:color="auto"/>
                <w:right w:val="none" w:sz="0" w:space="0" w:color="auto"/>
              </w:divBdr>
              <w:divsChild>
                <w:div w:id="704519897">
                  <w:marLeft w:val="0"/>
                  <w:marRight w:val="0"/>
                  <w:marTop w:val="0"/>
                  <w:marBottom w:val="0"/>
                  <w:divBdr>
                    <w:top w:val="none" w:sz="0" w:space="0" w:color="auto"/>
                    <w:left w:val="none" w:sz="0" w:space="0" w:color="auto"/>
                    <w:bottom w:val="none" w:sz="0" w:space="0" w:color="auto"/>
                    <w:right w:val="none" w:sz="0" w:space="0" w:color="auto"/>
                  </w:divBdr>
                  <w:divsChild>
                    <w:div w:id="381100706">
                      <w:marLeft w:val="0"/>
                      <w:marRight w:val="0"/>
                      <w:marTop w:val="0"/>
                      <w:marBottom w:val="0"/>
                      <w:divBdr>
                        <w:top w:val="none" w:sz="0" w:space="0" w:color="auto"/>
                        <w:left w:val="none" w:sz="0" w:space="0" w:color="auto"/>
                        <w:bottom w:val="none" w:sz="0" w:space="0" w:color="auto"/>
                        <w:right w:val="none" w:sz="0" w:space="0" w:color="auto"/>
                      </w:divBdr>
                      <w:divsChild>
                        <w:div w:id="1954436933">
                          <w:marLeft w:val="0"/>
                          <w:marRight w:val="0"/>
                          <w:marTop w:val="0"/>
                          <w:marBottom w:val="0"/>
                          <w:divBdr>
                            <w:top w:val="none" w:sz="0" w:space="0" w:color="auto"/>
                            <w:left w:val="none" w:sz="0" w:space="0" w:color="auto"/>
                            <w:bottom w:val="none" w:sz="0" w:space="0" w:color="auto"/>
                            <w:right w:val="none" w:sz="0" w:space="0" w:color="auto"/>
                          </w:divBdr>
                          <w:divsChild>
                            <w:div w:id="698895282">
                              <w:marLeft w:val="0"/>
                              <w:marRight w:val="0"/>
                              <w:marTop w:val="0"/>
                              <w:marBottom w:val="0"/>
                              <w:divBdr>
                                <w:top w:val="none" w:sz="0" w:space="0" w:color="auto"/>
                                <w:left w:val="none" w:sz="0" w:space="0" w:color="auto"/>
                                <w:bottom w:val="none" w:sz="0" w:space="0" w:color="auto"/>
                                <w:right w:val="none" w:sz="0" w:space="0" w:color="auto"/>
                              </w:divBdr>
                            </w:div>
                            <w:div w:id="47915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718905">
                  <w:marLeft w:val="0"/>
                  <w:marRight w:val="0"/>
                  <w:marTop w:val="0"/>
                  <w:marBottom w:val="0"/>
                  <w:divBdr>
                    <w:top w:val="none" w:sz="0" w:space="0" w:color="auto"/>
                    <w:left w:val="none" w:sz="0" w:space="0" w:color="auto"/>
                    <w:bottom w:val="none" w:sz="0" w:space="0" w:color="auto"/>
                    <w:right w:val="none" w:sz="0" w:space="0" w:color="auto"/>
                  </w:divBdr>
                  <w:divsChild>
                    <w:div w:id="316961434">
                      <w:marLeft w:val="0"/>
                      <w:marRight w:val="0"/>
                      <w:marTop w:val="0"/>
                      <w:marBottom w:val="0"/>
                      <w:divBdr>
                        <w:top w:val="none" w:sz="0" w:space="0" w:color="auto"/>
                        <w:left w:val="none" w:sz="0" w:space="0" w:color="auto"/>
                        <w:bottom w:val="none" w:sz="0" w:space="0" w:color="auto"/>
                        <w:right w:val="none" w:sz="0" w:space="0" w:color="auto"/>
                      </w:divBdr>
                      <w:divsChild>
                        <w:div w:id="67270972">
                          <w:marLeft w:val="0"/>
                          <w:marRight w:val="0"/>
                          <w:marTop w:val="0"/>
                          <w:marBottom w:val="0"/>
                          <w:divBdr>
                            <w:top w:val="none" w:sz="0" w:space="0" w:color="auto"/>
                            <w:left w:val="none" w:sz="0" w:space="0" w:color="auto"/>
                            <w:bottom w:val="none" w:sz="0" w:space="0" w:color="auto"/>
                            <w:right w:val="none" w:sz="0" w:space="0" w:color="auto"/>
                          </w:divBdr>
                          <w:divsChild>
                            <w:div w:id="1858696245">
                              <w:marLeft w:val="0"/>
                              <w:marRight w:val="0"/>
                              <w:marTop w:val="0"/>
                              <w:marBottom w:val="0"/>
                              <w:divBdr>
                                <w:top w:val="none" w:sz="0" w:space="0" w:color="auto"/>
                                <w:left w:val="none" w:sz="0" w:space="0" w:color="auto"/>
                                <w:bottom w:val="none" w:sz="0" w:space="0" w:color="auto"/>
                                <w:right w:val="none" w:sz="0" w:space="0" w:color="auto"/>
                              </w:divBdr>
                            </w:div>
                            <w:div w:id="136231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4597412">
          <w:marLeft w:val="0"/>
          <w:marRight w:val="0"/>
          <w:marTop w:val="0"/>
          <w:marBottom w:val="0"/>
          <w:divBdr>
            <w:top w:val="none" w:sz="0" w:space="0" w:color="auto"/>
            <w:left w:val="none" w:sz="0" w:space="0" w:color="auto"/>
            <w:bottom w:val="none" w:sz="0" w:space="0" w:color="auto"/>
            <w:right w:val="none" w:sz="0" w:space="0" w:color="auto"/>
          </w:divBdr>
          <w:divsChild>
            <w:div w:id="5326398">
              <w:marLeft w:val="0"/>
              <w:marRight w:val="0"/>
              <w:marTop w:val="0"/>
              <w:marBottom w:val="0"/>
              <w:divBdr>
                <w:top w:val="none" w:sz="0" w:space="0" w:color="auto"/>
                <w:left w:val="none" w:sz="0" w:space="0" w:color="auto"/>
                <w:bottom w:val="none" w:sz="0" w:space="0" w:color="auto"/>
                <w:right w:val="none" w:sz="0" w:space="0" w:color="auto"/>
              </w:divBdr>
              <w:divsChild>
                <w:div w:id="7644331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28743911">
          <w:marLeft w:val="0"/>
          <w:marRight w:val="0"/>
          <w:marTop w:val="0"/>
          <w:marBottom w:val="0"/>
          <w:divBdr>
            <w:top w:val="none" w:sz="0" w:space="0" w:color="auto"/>
            <w:left w:val="none" w:sz="0" w:space="0" w:color="auto"/>
            <w:bottom w:val="none" w:sz="0" w:space="0" w:color="auto"/>
            <w:right w:val="none" w:sz="0" w:space="0" w:color="auto"/>
          </w:divBdr>
          <w:divsChild>
            <w:div w:id="2135632686">
              <w:marLeft w:val="0"/>
              <w:marRight w:val="0"/>
              <w:marTop w:val="0"/>
              <w:marBottom w:val="0"/>
              <w:divBdr>
                <w:top w:val="none" w:sz="0" w:space="0" w:color="auto"/>
                <w:left w:val="none" w:sz="0" w:space="0" w:color="auto"/>
                <w:bottom w:val="none" w:sz="0" w:space="0" w:color="auto"/>
                <w:right w:val="none" w:sz="0" w:space="0" w:color="auto"/>
              </w:divBdr>
              <w:divsChild>
                <w:div w:id="857081908">
                  <w:marLeft w:val="0"/>
                  <w:marRight w:val="0"/>
                  <w:marTop w:val="0"/>
                  <w:marBottom w:val="0"/>
                  <w:divBdr>
                    <w:top w:val="none" w:sz="0" w:space="0" w:color="auto"/>
                    <w:left w:val="none" w:sz="0" w:space="0" w:color="auto"/>
                    <w:bottom w:val="none" w:sz="0" w:space="0" w:color="auto"/>
                    <w:right w:val="none" w:sz="0" w:space="0" w:color="auto"/>
                  </w:divBdr>
                  <w:divsChild>
                    <w:div w:id="1500805316">
                      <w:marLeft w:val="0"/>
                      <w:marRight w:val="0"/>
                      <w:marTop w:val="0"/>
                      <w:marBottom w:val="0"/>
                      <w:divBdr>
                        <w:top w:val="none" w:sz="0" w:space="0" w:color="auto"/>
                        <w:left w:val="none" w:sz="0" w:space="0" w:color="auto"/>
                        <w:bottom w:val="none" w:sz="0" w:space="0" w:color="auto"/>
                        <w:right w:val="none" w:sz="0" w:space="0" w:color="auto"/>
                      </w:divBdr>
                      <w:divsChild>
                        <w:div w:id="1613972370">
                          <w:marLeft w:val="0"/>
                          <w:marRight w:val="0"/>
                          <w:marTop w:val="0"/>
                          <w:marBottom w:val="0"/>
                          <w:divBdr>
                            <w:top w:val="none" w:sz="0" w:space="0" w:color="auto"/>
                            <w:left w:val="none" w:sz="0" w:space="0" w:color="auto"/>
                            <w:bottom w:val="none" w:sz="0" w:space="0" w:color="auto"/>
                            <w:right w:val="none" w:sz="0" w:space="0" w:color="auto"/>
                          </w:divBdr>
                          <w:divsChild>
                            <w:div w:id="1439249979">
                              <w:marLeft w:val="0"/>
                              <w:marRight w:val="0"/>
                              <w:marTop w:val="0"/>
                              <w:marBottom w:val="0"/>
                              <w:divBdr>
                                <w:top w:val="none" w:sz="0" w:space="0" w:color="auto"/>
                                <w:left w:val="none" w:sz="0" w:space="0" w:color="auto"/>
                                <w:bottom w:val="none" w:sz="0" w:space="0" w:color="auto"/>
                                <w:right w:val="none" w:sz="0" w:space="0" w:color="auto"/>
                              </w:divBdr>
                            </w:div>
                            <w:div w:id="16660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572312">
                  <w:marLeft w:val="0"/>
                  <w:marRight w:val="0"/>
                  <w:marTop w:val="0"/>
                  <w:marBottom w:val="0"/>
                  <w:divBdr>
                    <w:top w:val="none" w:sz="0" w:space="0" w:color="auto"/>
                    <w:left w:val="none" w:sz="0" w:space="0" w:color="auto"/>
                    <w:bottom w:val="none" w:sz="0" w:space="0" w:color="auto"/>
                    <w:right w:val="none" w:sz="0" w:space="0" w:color="auto"/>
                  </w:divBdr>
                  <w:divsChild>
                    <w:div w:id="969748909">
                      <w:marLeft w:val="0"/>
                      <w:marRight w:val="0"/>
                      <w:marTop w:val="0"/>
                      <w:marBottom w:val="0"/>
                      <w:divBdr>
                        <w:top w:val="none" w:sz="0" w:space="0" w:color="auto"/>
                        <w:left w:val="none" w:sz="0" w:space="0" w:color="auto"/>
                        <w:bottom w:val="none" w:sz="0" w:space="0" w:color="auto"/>
                        <w:right w:val="none" w:sz="0" w:space="0" w:color="auto"/>
                      </w:divBdr>
                      <w:divsChild>
                        <w:div w:id="1873807389">
                          <w:marLeft w:val="0"/>
                          <w:marRight w:val="0"/>
                          <w:marTop w:val="0"/>
                          <w:marBottom w:val="0"/>
                          <w:divBdr>
                            <w:top w:val="none" w:sz="0" w:space="0" w:color="auto"/>
                            <w:left w:val="none" w:sz="0" w:space="0" w:color="auto"/>
                            <w:bottom w:val="none" w:sz="0" w:space="0" w:color="auto"/>
                            <w:right w:val="none" w:sz="0" w:space="0" w:color="auto"/>
                          </w:divBdr>
                          <w:divsChild>
                            <w:div w:id="1191920383">
                              <w:marLeft w:val="0"/>
                              <w:marRight w:val="0"/>
                              <w:marTop w:val="0"/>
                              <w:marBottom w:val="0"/>
                              <w:divBdr>
                                <w:top w:val="none" w:sz="0" w:space="0" w:color="auto"/>
                                <w:left w:val="none" w:sz="0" w:space="0" w:color="auto"/>
                                <w:bottom w:val="none" w:sz="0" w:space="0" w:color="auto"/>
                                <w:right w:val="none" w:sz="0" w:space="0" w:color="auto"/>
                              </w:divBdr>
                            </w:div>
                            <w:div w:id="151002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4678362">
          <w:marLeft w:val="0"/>
          <w:marRight w:val="0"/>
          <w:marTop w:val="0"/>
          <w:marBottom w:val="0"/>
          <w:divBdr>
            <w:top w:val="none" w:sz="0" w:space="0" w:color="auto"/>
            <w:left w:val="none" w:sz="0" w:space="0" w:color="auto"/>
            <w:bottom w:val="none" w:sz="0" w:space="0" w:color="auto"/>
            <w:right w:val="none" w:sz="0" w:space="0" w:color="auto"/>
          </w:divBdr>
          <w:divsChild>
            <w:div w:id="281112411">
              <w:marLeft w:val="0"/>
              <w:marRight w:val="0"/>
              <w:marTop w:val="0"/>
              <w:marBottom w:val="0"/>
              <w:divBdr>
                <w:top w:val="none" w:sz="0" w:space="0" w:color="auto"/>
                <w:left w:val="none" w:sz="0" w:space="0" w:color="auto"/>
                <w:bottom w:val="none" w:sz="0" w:space="0" w:color="auto"/>
                <w:right w:val="none" w:sz="0" w:space="0" w:color="auto"/>
              </w:divBdr>
              <w:divsChild>
                <w:div w:id="181490785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96236560">
          <w:marLeft w:val="0"/>
          <w:marRight w:val="0"/>
          <w:marTop w:val="0"/>
          <w:marBottom w:val="0"/>
          <w:divBdr>
            <w:top w:val="none" w:sz="0" w:space="0" w:color="auto"/>
            <w:left w:val="none" w:sz="0" w:space="0" w:color="auto"/>
            <w:bottom w:val="none" w:sz="0" w:space="0" w:color="auto"/>
            <w:right w:val="none" w:sz="0" w:space="0" w:color="auto"/>
          </w:divBdr>
          <w:divsChild>
            <w:div w:id="1781948125">
              <w:marLeft w:val="0"/>
              <w:marRight w:val="0"/>
              <w:marTop w:val="0"/>
              <w:marBottom w:val="0"/>
              <w:divBdr>
                <w:top w:val="none" w:sz="0" w:space="0" w:color="auto"/>
                <w:left w:val="none" w:sz="0" w:space="0" w:color="auto"/>
                <w:bottom w:val="none" w:sz="0" w:space="0" w:color="auto"/>
                <w:right w:val="none" w:sz="0" w:space="0" w:color="auto"/>
              </w:divBdr>
              <w:divsChild>
                <w:div w:id="92550017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revistas.uexternado.edu.co/index.php/Deradm/article/view/2597"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bogado@gomezgiraldo.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revistas.uexternado.edu.co/index.php/Deradm/article/view/2597%20p.%20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D646BE12-E043-44FA-89C7-8071A6981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19</Pages>
  <Words>6174</Words>
  <Characters>35192</Characters>
  <Application>Microsoft Office Word</Application>
  <DocSecurity>0</DocSecurity>
  <Lines>293</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2025-02-25T15:45:00Z</cp:lastPrinted>
  <dcterms:created xsi:type="dcterms:W3CDTF">2025-10-07T10:45:00Z</dcterms:created>
  <dcterms:modified xsi:type="dcterms:W3CDTF">2025-10-08T12:14:00Z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