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72F27F" w14:textId="77777777" w:rsidR="00380822" w:rsidRPr="00380822" w:rsidRDefault="00380822" w:rsidP="00380822">
      <w:pPr>
        <w:spacing w:after="0"/>
        <w:jc w:val="both"/>
        <w:rPr>
          <w:rFonts w:ascii="Verdana" w:eastAsia="Times New Roman" w:hAnsi="Verdana" w:cs="Arial"/>
        </w:rPr>
      </w:pPr>
      <w:bookmarkStart w:id="0" w:name="_Hlk143780582"/>
      <w:r w:rsidRPr="00380822">
        <w:rPr>
          <w:rFonts w:ascii="Verdana" w:eastAsia="Times New Roman" w:hAnsi="Verdana" w:cs="Arial"/>
          <w:b/>
          <w:bCs/>
          <w:lang w:val="es-ES_tradnl" w:eastAsia="es-ES"/>
        </w:rPr>
        <w:t xml:space="preserve">DOCUMENTOS TIPO – Generalidades – </w:t>
      </w:r>
      <w:r w:rsidRPr="00380822">
        <w:rPr>
          <w:rFonts w:ascii="Verdana" w:eastAsia="Times New Roman" w:hAnsi="Verdana" w:cs="Times New Roman"/>
          <w:b/>
          <w:bCs/>
          <w:kern w:val="2"/>
          <w:lang w:val="es-ES_tradnl" w:eastAsia="es-ES"/>
        </w:rPr>
        <w:t xml:space="preserve">Obligatoriedad </w:t>
      </w:r>
    </w:p>
    <w:p w14:paraId="26CDF351" w14:textId="77777777" w:rsidR="00380822" w:rsidRPr="00380822" w:rsidRDefault="00380822" w:rsidP="00380822">
      <w:pPr>
        <w:snapToGrid w:val="0"/>
        <w:spacing w:after="0" w:line="240" w:lineRule="auto"/>
        <w:jc w:val="both"/>
        <w:rPr>
          <w:rFonts w:ascii="Verdana" w:eastAsia="Times New Roman" w:hAnsi="Verdana" w:cs="Arial"/>
          <w:b/>
          <w:bCs/>
          <w:lang w:val="es-ES_tradnl" w:eastAsia="es-ES"/>
        </w:rPr>
      </w:pPr>
    </w:p>
    <w:p w14:paraId="45FC2399" w14:textId="77777777" w:rsidR="00380822" w:rsidRPr="00380822" w:rsidRDefault="00380822" w:rsidP="00380822">
      <w:pPr>
        <w:snapToGrid w:val="0"/>
        <w:spacing w:after="0" w:line="240" w:lineRule="auto"/>
        <w:jc w:val="both"/>
        <w:rPr>
          <w:rFonts w:ascii="Verdana" w:eastAsia="Times New Roman" w:hAnsi="Verdana" w:cs="Arial"/>
          <w:sz w:val="20"/>
          <w:szCs w:val="20"/>
          <w:lang w:val="es-ES_tradnl"/>
        </w:rPr>
      </w:pPr>
      <w:r w:rsidRPr="00380822">
        <w:rPr>
          <w:rFonts w:ascii="Verdana" w:eastAsia="Times New Roman" w:hAnsi="Verdana" w:cs="Arial"/>
          <w:sz w:val="20"/>
          <w:szCs w:val="20"/>
          <w:lang w:val="es-ES_tradnl"/>
        </w:rPr>
        <w:t>Los Documentos Tipo expedidos por esta Agencia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w:t>
      </w:r>
    </w:p>
    <w:p w14:paraId="2E997591" w14:textId="77777777" w:rsidR="00CF45F4" w:rsidRDefault="00CF45F4" w:rsidP="00380822">
      <w:pPr>
        <w:jc w:val="both"/>
        <w:rPr>
          <w:rFonts w:ascii="Verdana" w:eastAsia="Calibri" w:hAnsi="Verdana" w:cs="Arial"/>
          <w:b/>
          <w:bCs/>
        </w:rPr>
      </w:pPr>
    </w:p>
    <w:p w14:paraId="7A1C01EF" w14:textId="6B6D84FD" w:rsidR="00380822" w:rsidRPr="00380822" w:rsidRDefault="00380822" w:rsidP="00380822">
      <w:pPr>
        <w:jc w:val="both"/>
        <w:rPr>
          <w:rFonts w:ascii="Verdana" w:eastAsia="Calibri" w:hAnsi="Verdana" w:cs="Arial"/>
          <w:b/>
          <w:bCs/>
        </w:rPr>
      </w:pPr>
      <w:r w:rsidRPr="00380822">
        <w:rPr>
          <w:rFonts w:ascii="Verdana" w:eastAsia="Calibri" w:hAnsi="Verdana" w:cs="Arial"/>
          <w:b/>
          <w:bCs/>
        </w:rPr>
        <w:t>CORRECCIÓN ARITMÉTICA – Documento Base − Operaciones aritméticas</w:t>
      </w:r>
    </w:p>
    <w:p w14:paraId="1F831899" w14:textId="77777777" w:rsidR="00380822" w:rsidRPr="00CF45F4" w:rsidRDefault="00380822" w:rsidP="00380822">
      <w:pPr>
        <w:spacing w:after="120"/>
        <w:jc w:val="both"/>
        <w:rPr>
          <w:rFonts w:ascii="Verdana" w:eastAsia="Aptos" w:hAnsi="Verdana" w:cs="Arial"/>
          <w:sz w:val="20"/>
          <w:szCs w:val="20"/>
        </w:rPr>
      </w:pPr>
      <w:r w:rsidRPr="00CF45F4">
        <w:rPr>
          <w:rFonts w:ascii="Verdana" w:eastAsia="Calibri" w:hAnsi="Verdana" w:cs="Arial"/>
          <w:sz w:val="20"/>
          <w:szCs w:val="20"/>
        </w:rPr>
        <w:t xml:space="preserve">El “Documento Base o Pliego Tipo” contempla la forma de corregir las operaciones aritméticas y las aproximaciones de las cifras decimales. Por lo tanto, la entidad durante la etapa de evaluación de las ofertas económicas de los proponentes habilitados debe verificar, con base en la información registrada en el “Formulario 1 – Formulario de Presupuesto Oficial”, cada una de las operaciones aritméticas que permitan verificar el valor real ofertado por el proponente. </w:t>
      </w:r>
    </w:p>
    <w:p w14:paraId="03537948" w14:textId="77777777" w:rsidR="00380822" w:rsidRPr="00CF45F4" w:rsidRDefault="00380822" w:rsidP="00380822">
      <w:pPr>
        <w:jc w:val="both"/>
        <w:rPr>
          <w:rFonts w:ascii="Verdana" w:eastAsia="Calibri" w:hAnsi="Verdana" w:cs="Arial"/>
          <w:sz w:val="20"/>
          <w:szCs w:val="20"/>
        </w:rPr>
      </w:pPr>
      <w:r w:rsidRPr="00CF45F4">
        <w:rPr>
          <w:rFonts w:ascii="Verdana" w:eastAsia="Calibri" w:hAnsi="Verdana" w:cs="Arial"/>
          <w:sz w:val="20"/>
          <w:szCs w:val="20"/>
        </w:rPr>
        <w:t>La entidad debe realizar la verificación de los valores ofertados y la corrección aritmética, cuando esta se requiera, para cada una de las cifras registradas en el “Formulario 1 – Formulario de Presupuesto Oficial” que tengan operaciones aritméticas y previo a seleccionar y aplicar el método de ponderación que corresponda de acuerdo con el numeral 4.1.4 del Documento Base. Realizado lo anterior, la entidad tomará el valor total de la propuesta económica corregida para asignar el puntaje por este criterio de ponderación.</w:t>
      </w:r>
    </w:p>
    <w:p w14:paraId="34606E83" w14:textId="77777777" w:rsidR="00380822" w:rsidRPr="00380822" w:rsidRDefault="00380822" w:rsidP="00380822">
      <w:pPr>
        <w:spacing w:after="12"/>
        <w:jc w:val="both"/>
        <w:rPr>
          <w:rFonts w:ascii="Verdana" w:eastAsia="Aptos" w:hAnsi="Verdana" w:cs="Arial"/>
          <w:b/>
          <w:bCs/>
        </w:rPr>
      </w:pPr>
      <w:r w:rsidRPr="00380822">
        <w:rPr>
          <w:rFonts w:ascii="Verdana" w:eastAsia="Aptos" w:hAnsi="Verdana" w:cs="Arial"/>
          <w:b/>
          <w:bCs/>
        </w:rPr>
        <w:t xml:space="preserve">DOCUMENTOS TIPO – Formulario 1 – Verificación – Entidad estatal – Valores ofertados – Corrección aritmética </w:t>
      </w:r>
    </w:p>
    <w:p w14:paraId="727C69A3" w14:textId="77777777" w:rsidR="00380822" w:rsidRPr="00380822" w:rsidRDefault="00380822" w:rsidP="00380822">
      <w:pPr>
        <w:spacing w:after="12"/>
        <w:ind w:left="181"/>
        <w:jc w:val="both"/>
        <w:rPr>
          <w:rFonts w:ascii="Verdana" w:eastAsia="Aptos" w:hAnsi="Verdana" w:cs="Arial"/>
          <w:b/>
          <w:bCs/>
        </w:rPr>
      </w:pPr>
    </w:p>
    <w:p w14:paraId="29ED7F16" w14:textId="77777777" w:rsidR="00380822" w:rsidRPr="00CF45F4" w:rsidRDefault="00380822" w:rsidP="00380822">
      <w:pPr>
        <w:spacing w:after="12"/>
        <w:jc w:val="both"/>
        <w:rPr>
          <w:rFonts w:ascii="Verdana" w:eastAsia="Aptos" w:hAnsi="Verdana" w:cs="Arial"/>
          <w:sz w:val="20"/>
          <w:szCs w:val="20"/>
        </w:rPr>
      </w:pPr>
      <w:r w:rsidRPr="00CF45F4">
        <w:rPr>
          <w:rFonts w:ascii="Verdana" w:eastAsia="Aptos" w:hAnsi="Verdana" w:cs="Arial"/>
          <w:sz w:val="20"/>
          <w:szCs w:val="20"/>
        </w:rPr>
        <w:t>La entidad debe realizar la verificación de los valores ofertados y la corrección aritmética, cuando se requiera, para cada una de las cifras registradas en el “Formulario 1 – Formulario de Presupuesto Oficial” que tengan operaciones aritméticas y previo a seleccionar y aplicar el método de ponderación que corresponda, de acuerdo con el numeral 4.1.4 del “Documento Base”. Realizado lo anterior, la entidad tomará el valor total de la propuesta económica para asignar el puntaje por este criterio de ponderación.</w:t>
      </w:r>
    </w:p>
    <w:p w14:paraId="30897217" w14:textId="77777777" w:rsidR="00CF45F4" w:rsidRDefault="00CF45F4" w:rsidP="00380822">
      <w:pPr>
        <w:snapToGrid w:val="0"/>
        <w:spacing w:after="0" w:line="276" w:lineRule="auto"/>
        <w:jc w:val="both"/>
        <w:rPr>
          <w:rFonts w:ascii="Verdana" w:eastAsia="Times New Roman" w:hAnsi="Verdana" w:cs="Arial"/>
          <w:b/>
          <w:bCs/>
          <w:lang w:val="es-ES_tradnl"/>
        </w:rPr>
      </w:pPr>
    </w:p>
    <w:p w14:paraId="173145FD" w14:textId="73737CD8" w:rsidR="00380822" w:rsidRPr="00380822" w:rsidRDefault="00380822" w:rsidP="00380822">
      <w:pPr>
        <w:snapToGrid w:val="0"/>
        <w:spacing w:after="0" w:line="276" w:lineRule="auto"/>
        <w:jc w:val="both"/>
        <w:rPr>
          <w:rFonts w:ascii="Verdana" w:eastAsia="Times New Roman" w:hAnsi="Verdana" w:cs="Arial"/>
          <w:b/>
          <w:bCs/>
          <w:lang w:val="es-ES_tradnl"/>
        </w:rPr>
      </w:pPr>
      <w:r w:rsidRPr="00380822">
        <w:rPr>
          <w:rFonts w:ascii="Verdana" w:eastAsia="Times New Roman" w:hAnsi="Verdana" w:cs="Arial"/>
          <w:b/>
          <w:bCs/>
          <w:lang w:val="es-ES_tradnl"/>
        </w:rPr>
        <w:t>DOCUMENTOS TIPO – Infraestructura de transporte – Versión 4 – Oferta económica – Formulario 1 – Formulario de Presupuesto Oficial – SECOP II</w:t>
      </w:r>
    </w:p>
    <w:p w14:paraId="5856A9F7" w14:textId="77777777" w:rsidR="00380822" w:rsidRPr="00380822" w:rsidRDefault="00380822" w:rsidP="00380822">
      <w:pPr>
        <w:snapToGrid w:val="0"/>
        <w:spacing w:after="0" w:line="240" w:lineRule="auto"/>
        <w:jc w:val="both"/>
        <w:rPr>
          <w:rFonts w:ascii="Verdana" w:eastAsia="Times New Roman" w:hAnsi="Verdana" w:cs="Arial"/>
          <w:lang w:val="es-ES_tradnl"/>
        </w:rPr>
      </w:pPr>
    </w:p>
    <w:p w14:paraId="0FC34545" w14:textId="77777777" w:rsidR="00380822" w:rsidRPr="00380822" w:rsidRDefault="00380822" w:rsidP="00380822">
      <w:pPr>
        <w:widowControl w:val="0"/>
        <w:autoSpaceDE w:val="0"/>
        <w:autoSpaceDN w:val="0"/>
        <w:snapToGrid w:val="0"/>
        <w:spacing w:after="0" w:line="240" w:lineRule="auto"/>
        <w:jc w:val="both"/>
        <w:rPr>
          <w:rFonts w:ascii="Verdana" w:eastAsia="Times New Roman" w:hAnsi="Verdana" w:cs="Arial"/>
          <w:kern w:val="2"/>
          <w:sz w:val="20"/>
          <w:szCs w:val="20"/>
          <w:lang w:val="es-ES" w:eastAsia="es-MX"/>
        </w:rPr>
      </w:pPr>
      <w:r w:rsidRPr="00380822">
        <w:rPr>
          <w:rFonts w:ascii="Verdana" w:eastAsia="Times New Roman" w:hAnsi="Verdana" w:cs="Arial"/>
          <w:kern w:val="2"/>
          <w:sz w:val="20"/>
          <w:szCs w:val="20"/>
          <w:lang w:val="es-ES" w:eastAsia="es-MX"/>
        </w:rPr>
        <w:t xml:space="preserve">En los documentos tipo de obra de infraestructura de transporte, el “Formulario 1 – Formulario de Presupuesto Oficial” tiene dos connotaciones: i) por un lado, es el </w:t>
      </w:r>
      <w:r w:rsidRPr="00380822">
        <w:rPr>
          <w:rFonts w:ascii="Verdana" w:eastAsia="Times New Roman" w:hAnsi="Verdana" w:cs="Arial"/>
          <w:kern w:val="2"/>
          <w:sz w:val="20"/>
          <w:szCs w:val="20"/>
          <w:lang w:val="es-ES" w:eastAsia="es-MX"/>
        </w:rPr>
        <w:lastRenderedPageBreak/>
        <w:t xml:space="preserve">formulario sobre el cual la entidad estructura y presenta el presupuesto oficial del procedimiento de contratación; y </w:t>
      </w:r>
      <w:proofErr w:type="spellStart"/>
      <w:r w:rsidRPr="00380822">
        <w:rPr>
          <w:rFonts w:ascii="Verdana" w:eastAsia="Times New Roman" w:hAnsi="Verdana" w:cs="Arial"/>
          <w:kern w:val="2"/>
          <w:sz w:val="20"/>
          <w:szCs w:val="20"/>
          <w:lang w:val="es-ES" w:eastAsia="es-MX"/>
        </w:rPr>
        <w:t>ii</w:t>
      </w:r>
      <w:proofErr w:type="spellEnd"/>
      <w:r w:rsidRPr="00380822">
        <w:rPr>
          <w:rFonts w:ascii="Verdana" w:eastAsia="Times New Roman" w:hAnsi="Verdana" w:cs="Arial"/>
          <w:kern w:val="2"/>
          <w:sz w:val="20"/>
          <w:szCs w:val="20"/>
          <w:lang w:val="es-ES" w:eastAsia="es-MX"/>
        </w:rPr>
        <w:t>) por el otro, es el formulario sobre el cual los proponentes elaboran y presentan su oferta económica. Específicamente, frente a la propuesta económica, el documento base señala que la misma se debe elaborar a partir del “Formulario 1– Formulario de Presupuesto Oficial” y la presentación debe hacerse con sujeción a lo dispuesto en los numerales “2.3. ELABORACIÓN Y PRESENTACIÓN DE LA OFERTA” y “4.1. OFERTA ECONÓMICA” del referido documento base. El propósito de esto es evitar la duplicidad de información y permitir que las propuestas económicas sean evaluadas con las variables, cantidades, unidades de medida y reglas consideradas por la entidad al estructurar su presupuesto oficial.</w:t>
      </w:r>
    </w:p>
    <w:p w14:paraId="5145280E" w14:textId="77777777" w:rsidR="00380822" w:rsidRPr="00380822" w:rsidRDefault="00380822" w:rsidP="00380822">
      <w:pPr>
        <w:spacing w:after="0" w:line="240" w:lineRule="auto"/>
        <w:jc w:val="both"/>
        <w:rPr>
          <w:rFonts w:ascii="Verdana" w:eastAsia="Times New Roman" w:hAnsi="Verdana" w:cs="Arial"/>
          <w:sz w:val="20"/>
          <w:szCs w:val="20"/>
          <w:lang w:val="es-ES"/>
        </w:rPr>
      </w:pPr>
      <w:r w:rsidRPr="00380822">
        <w:rPr>
          <w:rFonts w:ascii="Verdana" w:eastAsia="Times New Roman" w:hAnsi="Verdana" w:cs="Arial"/>
          <w:sz w:val="20"/>
          <w:szCs w:val="20"/>
          <w:lang w:val="es-ES"/>
        </w:rPr>
        <w:t>[…]</w:t>
      </w:r>
    </w:p>
    <w:p w14:paraId="651E7F92" w14:textId="77777777" w:rsidR="00380822" w:rsidRPr="00380822" w:rsidRDefault="00380822" w:rsidP="00380822">
      <w:pPr>
        <w:widowControl w:val="0"/>
        <w:autoSpaceDE w:val="0"/>
        <w:autoSpaceDN w:val="0"/>
        <w:snapToGrid w:val="0"/>
        <w:spacing w:after="0" w:line="240" w:lineRule="auto"/>
        <w:jc w:val="both"/>
        <w:rPr>
          <w:rFonts w:ascii="Verdana" w:eastAsia="Times New Roman" w:hAnsi="Verdana" w:cs="Arial"/>
          <w:iCs/>
          <w:kern w:val="2"/>
          <w:sz w:val="20"/>
          <w:szCs w:val="20"/>
          <w:lang w:val="es-ES_tradnl" w:eastAsia="es-ES"/>
        </w:rPr>
      </w:pPr>
      <w:r w:rsidRPr="00380822">
        <w:rPr>
          <w:rFonts w:ascii="Verdana" w:eastAsia="Times New Roman" w:hAnsi="Verdana" w:cs="Arial"/>
          <w:kern w:val="2"/>
          <w:sz w:val="20"/>
          <w:szCs w:val="20"/>
          <w:lang w:val="es-ES_tradnl" w:eastAsia="es-MX"/>
        </w:rPr>
        <w:t xml:space="preserve">Teniendo en cuenta el objeto de su consulta, es importante señalar que, el numeral “2.3. ELABORACIÓN Y PRESENTACIÓN DE LA OFERTA” del documento base de los documentos tipo en comento, contiene una </w:t>
      </w:r>
      <w:r w:rsidRPr="00380822">
        <w:rPr>
          <w:rFonts w:ascii="Verdana" w:eastAsia="Times New Roman" w:hAnsi="Verdana" w:cs="Arial"/>
          <w:i/>
          <w:iCs/>
          <w:kern w:val="2"/>
          <w:sz w:val="20"/>
          <w:szCs w:val="20"/>
          <w:lang w:val="es-ES_tradnl" w:eastAsia="es-MX"/>
        </w:rPr>
        <w:t>Nota,</w:t>
      </w:r>
      <w:r w:rsidRPr="00380822">
        <w:rPr>
          <w:rFonts w:ascii="Verdana" w:eastAsia="Times New Roman" w:hAnsi="Verdana" w:cs="Arial"/>
          <w:kern w:val="2"/>
          <w:sz w:val="20"/>
          <w:szCs w:val="20"/>
          <w:lang w:val="es-ES_tradnl" w:eastAsia="es-MX"/>
        </w:rPr>
        <w:t xml:space="preserve"> que establece que, </w:t>
      </w:r>
      <w:r w:rsidRPr="00380822">
        <w:rPr>
          <w:rFonts w:ascii="Verdana" w:eastAsia="Times New Roman" w:hAnsi="Verdana" w:cs="Arial"/>
          <w:i/>
          <w:iCs/>
          <w:kern w:val="2"/>
          <w:sz w:val="20"/>
          <w:szCs w:val="20"/>
          <w:lang w:val="es-ES_tradnl" w:eastAsia="es-MX"/>
        </w:rPr>
        <w:t>“[e]n caso de discrepancias entre los valores señalados en el Formulario 1 – Formulario de Presupuesto Oficial y el valor presentado en el SECOP II, prevalecerá el valor presentado en el SECOP II.”</w:t>
      </w:r>
    </w:p>
    <w:p w14:paraId="5E10DFC0" w14:textId="77777777" w:rsidR="00380822" w:rsidRPr="00380822" w:rsidRDefault="00380822" w:rsidP="00380822">
      <w:pPr>
        <w:spacing w:after="12"/>
        <w:jc w:val="both"/>
        <w:rPr>
          <w:rFonts w:ascii="Verdana" w:eastAsia="Aptos" w:hAnsi="Verdana" w:cs="Arial"/>
          <w:lang w:val="es-ES_tradnl"/>
        </w:rPr>
      </w:pPr>
    </w:p>
    <w:p w14:paraId="4864AF2D" w14:textId="77777777" w:rsidR="00380822" w:rsidRPr="00380822" w:rsidRDefault="00380822" w:rsidP="00380822">
      <w:pPr>
        <w:spacing w:after="12"/>
        <w:jc w:val="both"/>
        <w:rPr>
          <w:rFonts w:ascii="Verdana" w:eastAsia="Aptos" w:hAnsi="Verdana" w:cs="Arial"/>
          <w:lang w:val="es-ES_tradnl"/>
        </w:rPr>
      </w:pPr>
    </w:p>
    <w:p w14:paraId="59A136CD" w14:textId="77777777" w:rsidR="00380822" w:rsidRPr="00380822" w:rsidRDefault="00380822" w:rsidP="00380822">
      <w:pPr>
        <w:spacing w:after="12"/>
        <w:jc w:val="both"/>
        <w:rPr>
          <w:rFonts w:ascii="Verdana" w:eastAsia="Aptos" w:hAnsi="Verdana" w:cs="Arial"/>
          <w:lang w:val="es-ES_tradnl"/>
        </w:rPr>
      </w:pPr>
    </w:p>
    <w:p w14:paraId="18C02E11" w14:textId="77777777" w:rsidR="00380822" w:rsidRPr="00380822" w:rsidRDefault="00380822" w:rsidP="00380822">
      <w:pPr>
        <w:spacing w:after="12"/>
        <w:jc w:val="both"/>
        <w:rPr>
          <w:rFonts w:ascii="Verdana" w:eastAsia="Aptos" w:hAnsi="Verdana" w:cs="Arial"/>
          <w:lang w:val="es-ES_tradnl"/>
        </w:rPr>
      </w:pPr>
    </w:p>
    <w:p w14:paraId="1FB4029E" w14:textId="77777777" w:rsidR="00380822" w:rsidRPr="00380822" w:rsidRDefault="00380822" w:rsidP="00380822">
      <w:pPr>
        <w:spacing w:after="12"/>
        <w:jc w:val="both"/>
        <w:rPr>
          <w:rFonts w:ascii="Verdana" w:eastAsia="Aptos" w:hAnsi="Verdana" w:cs="Arial"/>
          <w:lang w:val="es-ES_tradnl"/>
        </w:rPr>
      </w:pPr>
    </w:p>
    <w:p w14:paraId="57D522F7" w14:textId="77777777" w:rsidR="00380822" w:rsidRPr="00380822" w:rsidRDefault="00380822" w:rsidP="00380822">
      <w:pPr>
        <w:spacing w:after="12"/>
        <w:jc w:val="both"/>
        <w:rPr>
          <w:rFonts w:ascii="Verdana" w:eastAsia="Aptos" w:hAnsi="Verdana" w:cs="Arial"/>
          <w:lang w:val="es-ES_tradnl"/>
        </w:rPr>
      </w:pPr>
    </w:p>
    <w:p w14:paraId="26AB4715" w14:textId="77777777" w:rsidR="00380822" w:rsidRPr="00380822" w:rsidRDefault="00380822" w:rsidP="00380822">
      <w:pPr>
        <w:spacing w:after="12"/>
        <w:jc w:val="both"/>
        <w:rPr>
          <w:rFonts w:ascii="Verdana" w:eastAsia="Aptos" w:hAnsi="Verdana" w:cs="Arial"/>
          <w:lang w:val="es-ES_tradnl"/>
        </w:rPr>
      </w:pPr>
    </w:p>
    <w:p w14:paraId="13D2B2F2" w14:textId="77777777" w:rsidR="00380822" w:rsidRPr="00380822" w:rsidRDefault="00380822" w:rsidP="00380822">
      <w:pPr>
        <w:spacing w:after="12"/>
        <w:jc w:val="both"/>
        <w:rPr>
          <w:rFonts w:ascii="Verdana" w:eastAsia="Aptos" w:hAnsi="Verdana" w:cs="Arial"/>
          <w:lang w:val="es-ES_tradnl"/>
        </w:rPr>
      </w:pPr>
    </w:p>
    <w:p w14:paraId="152797E0" w14:textId="77777777" w:rsidR="00380822" w:rsidRPr="00380822" w:rsidRDefault="00380822" w:rsidP="00380822">
      <w:pPr>
        <w:spacing w:after="12"/>
        <w:jc w:val="both"/>
        <w:rPr>
          <w:rFonts w:ascii="Verdana" w:eastAsia="Aptos" w:hAnsi="Verdana" w:cs="Arial"/>
          <w:lang w:val="es-ES_tradnl"/>
        </w:rPr>
      </w:pPr>
    </w:p>
    <w:p w14:paraId="2AFA3B6D" w14:textId="77777777" w:rsidR="00380822" w:rsidRPr="00380822" w:rsidRDefault="00380822" w:rsidP="00380822">
      <w:pPr>
        <w:spacing w:after="12"/>
        <w:jc w:val="both"/>
        <w:rPr>
          <w:rFonts w:ascii="Verdana" w:eastAsia="Aptos" w:hAnsi="Verdana" w:cs="Arial"/>
          <w:lang w:val="es-ES_tradnl"/>
        </w:rPr>
      </w:pPr>
    </w:p>
    <w:p w14:paraId="5CC69046" w14:textId="77777777" w:rsidR="00380822" w:rsidRPr="00380822" w:rsidRDefault="00380822" w:rsidP="00380822">
      <w:pPr>
        <w:spacing w:after="12"/>
        <w:jc w:val="both"/>
        <w:rPr>
          <w:rFonts w:ascii="Verdana" w:eastAsia="Aptos" w:hAnsi="Verdana" w:cs="Arial"/>
          <w:lang w:val="es-ES_tradnl"/>
        </w:rPr>
      </w:pPr>
    </w:p>
    <w:p w14:paraId="4899B8CD" w14:textId="77777777" w:rsidR="00380822" w:rsidRPr="00380822" w:rsidRDefault="00380822" w:rsidP="00380822">
      <w:pPr>
        <w:spacing w:after="12"/>
        <w:jc w:val="both"/>
        <w:rPr>
          <w:rFonts w:ascii="Verdana" w:eastAsia="Aptos" w:hAnsi="Verdana" w:cs="Arial"/>
          <w:lang w:val="es-ES_tradnl"/>
        </w:rPr>
      </w:pPr>
    </w:p>
    <w:p w14:paraId="4C53757A" w14:textId="77777777" w:rsidR="00380822" w:rsidRPr="00380822" w:rsidRDefault="00380822" w:rsidP="00380822">
      <w:pPr>
        <w:spacing w:after="12"/>
        <w:jc w:val="both"/>
        <w:rPr>
          <w:rFonts w:ascii="Verdana" w:eastAsia="Aptos" w:hAnsi="Verdana" w:cs="Arial"/>
          <w:lang w:val="es-ES_tradnl"/>
        </w:rPr>
      </w:pPr>
    </w:p>
    <w:p w14:paraId="38CE9D77" w14:textId="77777777" w:rsidR="00380822" w:rsidRDefault="00380822" w:rsidP="00380822">
      <w:pPr>
        <w:spacing w:after="12"/>
        <w:jc w:val="both"/>
        <w:rPr>
          <w:rFonts w:ascii="Verdana" w:eastAsia="Aptos" w:hAnsi="Verdana" w:cs="Arial"/>
          <w:lang w:val="es-ES_tradnl"/>
        </w:rPr>
      </w:pPr>
    </w:p>
    <w:p w14:paraId="2EBC5553" w14:textId="77777777" w:rsidR="00380822" w:rsidRDefault="00380822" w:rsidP="00380822">
      <w:pPr>
        <w:spacing w:after="12"/>
        <w:jc w:val="both"/>
        <w:rPr>
          <w:rFonts w:ascii="Verdana" w:eastAsia="Aptos" w:hAnsi="Verdana" w:cs="Arial"/>
          <w:lang w:val="es-ES_tradnl"/>
        </w:rPr>
      </w:pPr>
    </w:p>
    <w:p w14:paraId="5AC4305C" w14:textId="77777777" w:rsidR="00380822" w:rsidRDefault="00380822" w:rsidP="00380822">
      <w:pPr>
        <w:spacing w:after="12"/>
        <w:jc w:val="both"/>
        <w:rPr>
          <w:rFonts w:ascii="Verdana" w:eastAsia="Aptos" w:hAnsi="Verdana" w:cs="Arial"/>
          <w:lang w:val="es-ES_tradnl"/>
        </w:rPr>
      </w:pPr>
    </w:p>
    <w:p w14:paraId="552A6F18" w14:textId="77777777" w:rsidR="00380822" w:rsidRDefault="00380822" w:rsidP="00380822">
      <w:pPr>
        <w:spacing w:after="12"/>
        <w:jc w:val="both"/>
        <w:rPr>
          <w:rFonts w:ascii="Verdana" w:eastAsia="Aptos" w:hAnsi="Verdana" w:cs="Arial"/>
          <w:lang w:val="es-ES_tradnl"/>
        </w:rPr>
      </w:pPr>
    </w:p>
    <w:p w14:paraId="66DB3322" w14:textId="77777777" w:rsidR="00380822" w:rsidRDefault="00380822" w:rsidP="00380822">
      <w:pPr>
        <w:spacing w:after="12"/>
        <w:jc w:val="both"/>
        <w:rPr>
          <w:rFonts w:ascii="Verdana" w:eastAsia="Aptos" w:hAnsi="Verdana" w:cs="Arial"/>
          <w:lang w:val="es-ES_tradnl"/>
        </w:rPr>
      </w:pPr>
    </w:p>
    <w:p w14:paraId="41213DA0" w14:textId="77777777" w:rsidR="00380822" w:rsidRDefault="00380822" w:rsidP="00380822">
      <w:pPr>
        <w:spacing w:after="12"/>
        <w:jc w:val="both"/>
        <w:rPr>
          <w:rFonts w:ascii="Verdana" w:eastAsia="Aptos" w:hAnsi="Verdana" w:cs="Arial"/>
          <w:lang w:val="es-ES_tradnl"/>
        </w:rPr>
      </w:pPr>
    </w:p>
    <w:p w14:paraId="1D518C11" w14:textId="77777777" w:rsidR="00380822" w:rsidRPr="00380822" w:rsidRDefault="00380822" w:rsidP="00380822">
      <w:pPr>
        <w:spacing w:after="12"/>
        <w:jc w:val="both"/>
        <w:rPr>
          <w:rFonts w:ascii="Verdana" w:eastAsia="Aptos" w:hAnsi="Verdana" w:cs="Arial"/>
          <w:lang w:val="es-ES_tradnl"/>
        </w:rPr>
      </w:pPr>
    </w:p>
    <w:p w14:paraId="697BB765" w14:textId="77777777" w:rsidR="00380822" w:rsidRPr="00380822" w:rsidRDefault="00380822" w:rsidP="00380822">
      <w:pPr>
        <w:spacing w:after="0" w:line="240" w:lineRule="auto"/>
        <w:rPr>
          <w:rFonts w:ascii="Verdana" w:eastAsia="Aptos" w:hAnsi="Verdana" w:cs="Arial"/>
          <w:lang w:val="es-ES_tradnl"/>
        </w:rPr>
      </w:pPr>
    </w:p>
    <w:p w14:paraId="4A377D60" w14:textId="77777777" w:rsidR="00380822" w:rsidRPr="00380822" w:rsidRDefault="00380822" w:rsidP="00380822">
      <w:pPr>
        <w:spacing w:after="0" w:line="240" w:lineRule="auto"/>
        <w:rPr>
          <w:rFonts w:ascii="Verdana" w:eastAsia="Aptos" w:hAnsi="Verdana" w:cs="Arial"/>
          <w:lang w:val="es-ES_tradnl"/>
        </w:rPr>
      </w:pPr>
    </w:p>
    <w:p w14:paraId="4DD1A3FD" w14:textId="77777777" w:rsidR="00380822" w:rsidRPr="00380822" w:rsidRDefault="00380822" w:rsidP="00380822">
      <w:pPr>
        <w:spacing w:after="0" w:line="240" w:lineRule="auto"/>
        <w:rPr>
          <w:rFonts w:ascii="Verdana" w:eastAsia="Aptos" w:hAnsi="Verdana" w:cs="Arial"/>
          <w:lang w:val="es-ES_tradnl"/>
        </w:rPr>
      </w:pPr>
    </w:p>
    <w:p w14:paraId="7E8D1220" w14:textId="77777777" w:rsidR="00380822" w:rsidRPr="00380822" w:rsidRDefault="00380822" w:rsidP="00380822">
      <w:pPr>
        <w:spacing w:after="0" w:line="240" w:lineRule="auto"/>
        <w:rPr>
          <w:rFonts w:ascii="Verdana" w:eastAsia="Geomanist Light" w:hAnsi="Verdana" w:cs="Arial"/>
          <w:color w:val="000000"/>
          <w:lang w:val="es-MX"/>
        </w:rPr>
      </w:pPr>
    </w:p>
    <w:p w14:paraId="20CC6931" w14:textId="77777777" w:rsidR="001B7817" w:rsidRDefault="001B7817" w:rsidP="00380822">
      <w:pPr>
        <w:rPr>
          <w:rFonts w:ascii="Verdana" w:eastAsia="Aptos" w:hAnsi="Verdana" w:cs="Arial"/>
        </w:rPr>
      </w:pPr>
    </w:p>
    <w:p w14:paraId="04FD4113" w14:textId="6AD24C77" w:rsidR="00380822" w:rsidRPr="00380822" w:rsidRDefault="00380822" w:rsidP="00380822">
      <w:pPr>
        <w:rPr>
          <w:rFonts w:ascii="Verdana" w:eastAsia="Geomanist Light" w:hAnsi="Verdana" w:cs="Arial"/>
          <w:color w:val="000000"/>
          <w:lang w:val="es-MX"/>
        </w:rPr>
      </w:pPr>
      <w:r w:rsidRPr="00380822">
        <w:rPr>
          <w:rFonts w:ascii="Verdana" w:eastAsia="Aptos" w:hAnsi="Verdana" w:cs="Arial"/>
        </w:rPr>
        <w:lastRenderedPageBreak/>
        <w:t>Bogotá D.C., [Día] [</w:t>
      </w:r>
      <w:proofErr w:type="spellStart"/>
      <w:r w:rsidRPr="00380822">
        <w:rPr>
          <w:rFonts w:ascii="Verdana" w:eastAsia="Aptos" w:hAnsi="Verdana" w:cs="Arial"/>
        </w:rPr>
        <w:t>Mes.NombreCapitalizado</w:t>
      </w:r>
      <w:proofErr w:type="spellEnd"/>
      <w:r w:rsidRPr="00380822">
        <w:rPr>
          <w:rFonts w:ascii="Verdana" w:eastAsia="Aptos" w:hAnsi="Verdana" w:cs="Arial"/>
        </w:rPr>
        <w:t>] [Año]</w:t>
      </w:r>
      <w:r w:rsidRPr="00380822">
        <w:rPr>
          <w:rFonts w:ascii="Verdana" w:eastAsia="Aptos" w:hAnsi="Verdana" w:cs="Arial"/>
        </w:rPr>
        <w:tab/>
      </w:r>
    </w:p>
    <w:p w14:paraId="02B63BAA" w14:textId="1CC24CD9" w:rsidR="00380822" w:rsidRPr="00380822" w:rsidRDefault="00380822" w:rsidP="00380822">
      <w:pPr>
        <w:spacing w:after="0"/>
        <w:rPr>
          <w:rFonts w:ascii="Verdana" w:eastAsia="Aptos" w:hAnsi="Verdana" w:cs="Arial"/>
        </w:rPr>
      </w:pPr>
    </w:p>
    <w:p w14:paraId="241BA05B" w14:textId="0737C775" w:rsidR="00380822" w:rsidRPr="00380822" w:rsidRDefault="009954C5" w:rsidP="00380822">
      <w:pPr>
        <w:spacing w:after="0" w:line="240" w:lineRule="auto"/>
        <w:jc w:val="both"/>
        <w:rPr>
          <w:rFonts w:ascii="Verdana" w:eastAsia="Calibri" w:hAnsi="Verdana" w:cs="Arial"/>
          <w:lang w:eastAsia="es-ES"/>
        </w:rPr>
      </w:pPr>
      <w:r w:rsidRPr="0068414E">
        <w:rPr>
          <w:rFonts w:ascii="Verdana" w:eastAsia="Calibri" w:hAnsi="Verdana" w:cs="Arial"/>
          <w:b/>
          <w:bCs/>
          <w:noProof/>
          <w:color w:val="000000"/>
          <w:lang w:val="es-ES_tradnl" w:eastAsia="es-ES_tradnl"/>
        </w:rPr>
        <w:drawing>
          <wp:anchor distT="0" distB="0" distL="114300" distR="114300" simplePos="0" relativeHeight="251657216" behindDoc="0" locked="0" layoutInCell="1" allowOverlap="1" wp14:anchorId="79924E22" wp14:editId="2863AE8A">
            <wp:simplePos x="0" y="0"/>
            <wp:positionH relativeFrom="column">
              <wp:posOffset>2910840</wp:posOffset>
            </wp:positionH>
            <wp:positionV relativeFrom="paragraph">
              <wp:posOffset>7427</wp:posOffset>
            </wp:positionV>
            <wp:extent cx="3067478" cy="828791"/>
            <wp:effectExtent l="0" t="0" r="0" b="9525"/>
            <wp:wrapSquare wrapText="bothSides"/>
            <wp:docPr id="1126619702"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6619702"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3067478" cy="828791"/>
                    </a:xfrm>
                    <a:prstGeom prst="rect">
                      <a:avLst/>
                    </a:prstGeom>
                  </pic:spPr>
                </pic:pic>
              </a:graphicData>
            </a:graphic>
          </wp:anchor>
        </w:drawing>
      </w:r>
      <w:r w:rsidR="00380822" w:rsidRPr="00380822">
        <w:rPr>
          <w:rFonts w:ascii="Verdana" w:eastAsia="Calibri" w:hAnsi="Verdana" w:cs="Arial"/>
          <w:lang w:eastAsia="es-ES"/>
        </w:rPr>
        <w:t>Señores</w:t>
      </w:r>
    </w:p>
    <w:p w14:paraId="52E3945B" w14:textId="4D86A2FE" w:rsidR="00380822" w:rsidRPr="00380822" w:rsidRDefault="00380822" w:rsidP="00380822">
      <w:pPr>
        <w:spacing w:after="0" w:line="240" w:lineRule="auto"/>
        <w:jc w:val="both"/>
        <w:rPr>
          <w:rFonts w:ascii="Verdana" w:eastAsia="Calibri" w:hAnsi="Verdana" w:cs="Arial"/>
          <w:b/>
          <w:bCs/>
          <w:lang w:eastAsia="es-ES"/>
        </w:rPr>
      </w:pPr>
      <w:r w:rsidRPr="00380822">
        <w:rPr>
          <w:rFonts w:ascii="Verdana" w:eastAsia="Calibri" w:hAnsi="Verdana" w:cs="Arial"/>
          <w:b/>
          <w:bCs/>
          <w:lang w:eastAsia="es-ES"/>
        </w:rPr>
        <w:t>HMR INGENIERIA S.A.S</w:t>
      </w:r>
    </w:p>
    <w:p w14:paraId="7FBF5AF8" w14:textId="77777777" w:rsidR="00380822" w:rsidRPr="00380822" w:rsidRDefault="00380822" w:rsidP="00380822">
      <w:pPr>
        <w:spacing w:after="0" w:line="240" w:lineRule="auto"/>
        <w:jc w:val="both"/>
        <w:rPr>
          <w:rFonts w:ascii="Verdana" w:eastAsia="Calibri" w:hAnsi="Verdana" w:cs="Arial"/>
          <w:u w:val="single"/>
          <w:lang w:eastAsia="es-ES"/>
        </w:rPr>
      </w:pPr>
      <w:hyperlink r:id="rId11" w:history="1">
        <w:r w:rsidRPr="00380822">
          <w:rPr>
            <w:rFonts w:ascii="Verdana" w:eastAsia="Calibri" w:hAnsi="Verdana" w:cs="Arial"/>
            <w:color w:val="0000FF"/>
            <w:u w:val="single"/>
            <w:lang w:eastAsia="es-ES"/>
          </w:rPr>
          <w:t>licitacioneshmringenieria@gmail.com</w:t>
        </w:r>
      </w:hyperlink>
      <w:r w:rsidRPr="00380822">
        <w:rPr>
          <w:rFonts w:ascii="Verdana" w:eastAsia="Calibri" w:hAnsi="Verdana" w:cs="Arial"/>
          <w:lang w:eastAsia="es-ES"/>
        </w:rPr>
        <w:t xml:space="preserve"> </w:t>
      </w:r>
    </w:p>
    <w:p w14:paraId="6B11DC38" w14:textId="076485C4" w:rsidR="00380822" w:rsidRPr="00380822" w:rsidRDefault="00380822" w:rsidP="00380822">
      <w:pPr>
        <w:spacing w:after="0" w:line="240" w:lineRule="auto"/>
        <w:rPr>
          <w:rFonts w:ascii="Verdana" w:eastAsia="Calibri" w:hAnsi="Verdana" w:cs="Arial"/>
          <w:lang w:val="es-ES" w:eastAsia="es-ES"/>
        </w:rPr>
      </w:pPr>
      <w:r w:rsidRPr="00380822">
        <w:rPr>
          <w:rFonts w:ascii="Verdana" w:eastAsia="Calibri" w:hAnsi="Verdana" w:cs="Arial"/>
          <w:lang w:val="es-ES" w:eastAsia="es-ES"/>
        </w:rPr>
        <w:t>Bogotá D.C.</w:t>
      </w:r>
    </w:p>
    <w:p w14:paraId="273A4190" w14:textId="77777777" w:rsidR="00380822" w:rsidRPr="00380822" w:rsidRDefault="00380822" w:rsidP="00380822">
      <w:pPr>
        <w:spacing w:after="0" w:line="240" w:lineRule="auto"/>
        <w:rPr>
          <w:rFonts w:ascii="Verdana" w:eastAsia="Calibri" w:hAnsi="Verdana" w:cs="Arial"/>
          <w:b/>
          <w:bCs/>
          <w:color w:val="000000"/>
          <w:lang w:val="es-ES_tradnl" w:eastAsia="es-ES_tradnl"/>
        </w:rPr>
      </w:pPr>
    </w:p>
    <w:p w14:paraId="00F1F67A" w14:textId="19CA76AF" w:rsidR="00380822" w:rsidRPr="00380822" w:rsidRDefault="00380822" w:rsidP="0068414E">
      <w:pPr>
        <w:spacing w:after="0" w:line="240" w:lineRule="auto"/>
        <w:jc w:val="right"/>
        <w:rPr>
          <w:rFonts w:ascii="Verdana" w:eastAsia="Calibri" w:hAnsi="Verdana" w:cs="Arial"/>
          <w:b/>
          <w:bCs/>
          <w:color w:val="000000"/>
          <w:lang w:val="es-ES_tradnl" w:eastAsia="es-ES_tradnl"/>
        </w:rPr>
      </w:pPr>
    </w:p>
    <w:p w14:paraId="5D894C88" w14:textId="77777777" w:rsidR="00380822" w:rsidRPr="00380822" w:rsidRDefault="00380822" w:rsidP="00380822">
      <w:pPr>
        <w:spacing w:after="0" w:line="240" w:lineRule="auto"/>
        <w:jc w:val="right"/>
        <w:rPr>
          <w:rFonts w:ascii="Verdana" w:eastAsia="Calibri" w:hAnsi="Verdana" w:cs="Arial"/>
          <w:b/>
          <w:bCs/>
          <w:color w:val="000000"/>
          <w:lang w:val="es-ES_tradnl" w:eastAsia="es-ES_tradnl"/>
        </w:rPr>
      </w:pPr>
    </w:p>
    <w:tbl>
      <w:tblPr>
        <w:tblStyle w:val="Tablaconcuadrcula"/>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68"/>
        <w:gridCol w:w="6946"/>
      </w:tblGrid>
      <w:tr w:rsidR="00380822" w:rsidRPr="00380822" w14:paraId="451BB4FC" w14:textId="77777777" w:rsidTr="00961DFB">
        <w:trPr>
          <w:trHeight w:val="884"/>
        </w:trPr>
        <w:tc>
          <w:tcPr>
            <w:tcW w:w="2268" w:type="dxa"/>
          </w:tcPr>
          <w:p w14:paraId="7749EFAC" w14:textId="77777777" w:rsidR="00380822" w:rsidRPr="00380822" w:rsidRDefault="00380822" w:rsidP="00380822">
            <w:pPr>
              <w:jc w:val="both"/>
              <w:rPr>
                <w:rFonts w:ascii="Verdana" w:eastAsia="Calibri" w:hAnsi="Verdana" w:cs="Arial"/>
                <w:b/>
                <w:bCs/>
                <w:color w:val="7030A0"/>
                <w:lang w:val="es-ES_tradnl" w:eastAsia="es-ES_tradnl"/>
              </w:rPr>
            </w:pPr>
          </w:p>
        </w:tc>
        <w:tc>
          <w:tcPr>
            <w:tcW w:w="6946" w:type="dxa"/>
          </w:tcPr>
          <w:p w14:paraId="6A7C7EDC" w14:textId="77777777" w:rsidR="00380822" w:rsidRPr="00380822" w:rsidRDefault="00380822" w:rsidP="00380822">
            <w:pPr>
              <w:jc w:val="both"/>
              <w:rPr>
                <w:rFonts w:ascii="Verdana" w:eastAsia="Calibri" w:hAnsi="Verdana" w:cs="Arial"/>
                <w:b/>
                <w:bCs/>
                <w:color w:val="7030A0"/>
                <w:lang w:val="es-ES" w:eastAsia="es-ES"/>
              </w:rPr>
            </w:pPr>
            <w:r w:rsidRPr="00380822">
              <w:rPr>
                <w:rFonts w:ascii="Verdana" w:eastAsia="Calibri" w:hAnsi="Verdana" w:cs="Arial"/>
                <w:b/>
                <w:bCs/>
                <w:lang w:val="es-ES" w:eastAsia="es-ES"/>
              </w:rPr>
              <w:t>Concepto C- 1255 de 2024</w:t>
            </w:r>
          </w:p>
        </w:tc>
      </w:tr>
      <w:tr w:rsidR="00380822" w:rsidRPr="00380822" w14:paraId="16E9CD92" w14:textId="77777777" w:rsidTr="00961DFB">
        <w:trPr>
          <w:trHeight w:val="884"/>
        </w:trPr>
        <w:tc>
          <w:tcPr>
            <w:tcW w:w="2268" w:type="dxa"/>
          </w:tcPr>
          <w:p w14:paraId="52FAF313" w14:textId="77777777" w:rsidR="00380822" w:rsidRPr="00380822" w:rsidRDefault="00380822" w:rsidP="00380822">
            <w:pPr>
              <w:jc w:val="both"/>
              <w:rPr>
                <w:rFonts w:ascii="Verdana" w:eastAsia="Calibri" w:hAnsi="Verdana" w:cs="Arial"/>
                <w:b/>
                <w:bCs/>
                <w:lang w:val="es-ES_tradnl" w:eastAsia="es-ES_tradnl"/>
              </w:rPr>
            </w:pPr>
            <w:r w:rsidRPr="00380822">
              <w:rPr>
                <w:rFonts w:ascii="Verdana" w:eastAsia="Calibri" w:hAnsi="Verdana" w:cs="Arial"/>
                <w:b/>
                <w:bCs/>
                <w:lang w:val="es-ES_tradnl" w:eastAsia="es-ES_tradnl"/>
              </w:rPr>
              <w:t xml:space="preserve">Temas:                   </w:t>
            </w:r>
          </w:p>
        </w:tc>
        <w:tc>
          <w:tcPr>
            <w:tcW w:w="6946" w:type="dxa"/>
          </w:tcPr>
          <w:p w14:paraId="004BFD58" w14:textId="77777777" w:rsidR="00380822" w:rsidRPr="00380822" w:rsidRDefault="00380822" w:rsidP="00380822">
            <w:pPr>
              <w:jc w:val="both"/>
              <w:rPr>
                <w:rFonts w:ascii="Verdana" w:eastAsia="Times New Roman" w:hAnsi="Verdana" w:cs="Arial"/>
              </w:rPr>
            </w:pPr>
            <w:r w:rsidRPr="00380822">
              <w:rPr>
                <w:rFonts w:ascii="Verdana" w:eastAsia="Times New Roman" w:hAnsi="Verdana" w:cs="Arial"/>
                <w:lang w:val="es-ES_tradnl" w:eastAsia="es-ES"/>
              </w:rPr>
              <w:t xml:space="preserve">DOCUMENTOS TIPO – Generalidades – </w:t>
            </w:r>
            <w:r w:rsidRPr="00380822">
              <w:rPr>
                <w:rFonts w:ascii="Verdana" w:eastAsia="Times New Roman" w:hAnsi="Verdana" w:cs="Times New Roman"/>
                <w:kern w:val="2"/>
                <w:lang w:val="es-ES_tradnl" w:eastAsia="es-ES"/>
              </w:rPr>
              <w:t xml:space="preserve">Obligatoriedad </w:t>
            </w:r>
          </w:p>
          <w:p w14:paraId="7E42B97C" w14:textId="77777777" w:rsidR="00380822" w:rsidRPr="00380822" w:rsidRDefault="00380822" w:rsidP="00380822">
            <w:pPr>
              <w:snapToGrid w:val="0"/>
              <w:spacing w:line="276" w:lineRule="auto"/>
              <w:jc w:val="both"/>
              <w:rPr>
                <w:rFonts w:ascii="Verdana" w:eastAsia="Times New Roman" w:hAnsi="Verdana" w:cs="Arial"/>
                <w:lang w:val="es-ES_tradnl"/>
              </w:rPr>
            </w:pPr>
            <w:r w:rsidRPr="00380822">
              <w:rPr>
                <w:rFonts w:ascii="Verdana" w:eastAsia="Calibri" w:hAnsi="Verdana" w:cs="Arial"/>
                <w:lang w:val="es-ES_tradnl" w:eastAsia="es-ES_tradnl"/>
              </w:rPr>
              <w:t>CORRECCIÓN ARITMÉTICA – Documento Base − Operaciones aritméticas / DOCUMENTOS TIPO – Formulario 1 – Verificación – Entidad estatal – Valores ofertados – Corrección aritmética /</w:t>
            </w:r>
            <w:r w:rsidRPr="00380822">
              <w:rPr>
                <w:rFonts w:ascii="Verdana" w:eastAsia="Times New Roman" w:hAnsi="Verdana" w:cs="Arial"/>
                <w:lang w:val="es-ES_tradnl"/>
              </w:rPr>
              <w:t xml:space="preserve"> DOCUMENTOS TIPO – Infraestructura de transporte – Versión 4 – Oferta económica – Formulario 1 – Formulario de Presupuesto Oficial – SECOP II</w:t>
            </w:r>
          </w:p>
          <w:p w14:paraId="60D2C3CE" w14:textId="77777777" w:rsidR="00380822" w:rsidRPr="00380822" w:rsidRDefault="00380822" w:rsidP="00380822">
            <w:pPr>
              <w:spacing w:after="12"/>
              <w:jc w:val="both"/>
              <w:rPr>
                <w:rFonts w:ascii="Verdana" w:eastAsia="Calibri" w:hAnsi="Verdana" w:cs="Arial"/>
                <w:lang w:val="es-ES_tradnl" w:eastAsia="es-ES_tradnl"/>
              </w:rPr>
            </w:pPr>
            <w:r w:rsidRPr="00380822">
              <w:rPr>
                <w:rFonts w:ascii="Verdana" w:eastAsia="Calibri" w:hAnsi="Verdana" w:cs="Arial"/>
                <w:lang w:val="es-ES_tradnl" w:eastAsia="es-ES_tradnl"/>
              </w:rPr>
              <w:t xml:space="preserve"> </w:t>
            </w:r>
          </w:p>
          <w:p w14:paraId="10AEA482" w14:textId="77777777" w:rsidR="00380822" w:rsidRPr="00380822" w:rsidRDefault="00380822" w:rsidP="00380822">
            <w:pPr>
              <w:jc w:val="both"/>
              <w:rPr>
                <w:rFonts w:ascii="Verdana" w:eastAsia="Calibri" w:hAnsi="Verdana" w:cs="Arial"/>
                <w:lang w:val="es-ES_tradnl" w:eastAsia="es-ES_tradnl"/>
              </w:rPr>
            </w:pPr>
            <w:r w:rsidRPr="00380822">
              <w:rPr>
                <w:rFonts w:ascii="Verdana" w:eastAsia="Calibri" w:hAnsi="Verdana" w:cs="Arial"/>
                <w:b/>
                <w:bCs/>
              </w:rPr>
              <w:t xml:space="preserve"> </w:t>
            </w:r>
          </w:p>
        </w:tc>
      </w:tr>
      <w:tr w:rsidR="00380822" w:rsidRPr="00380822" w14:paraId="341CAC28" w14:textId="77777777" w:rsidTr="00961DFB">
        <w:tc>
          <w:tcPr>
            <w:tcW w:w="2268" w:type="dxa"/>
          </w:tcPr>
          <w:p w14:paraId="22801250" w14:textId="77777777" w:rsidR="00380822" w:rsidRPr="00380822" w:rsidRDefault="00380822" w:rsidP="00380822">
            <w:pPr>
              <w:jc w:val="both"/>
              <w:rPr>
                <w:rFonts w:ascii="Verdana" w:eastAsia="Calibri" w:hAnsi="Verdana" w:cs="Arial"/>
                <w:b/>
                <w:lang w:val="es-ES_tradnl" w:eastAsia="es-ES_tradnl"/>
              </w:rPr>
            </w:pPr>
            <w:r w:rsidRPr="00380822">
              <w:rPr>
                <w:rFonts w:ascii="Verdana" w:eastAsia="Calibri" w:hAnsi="Verdana" w:cs="Arial"/>
                <w:b/>
                <w:lang w:val="es-ES_tradnl" w:eastAsia="es-ES_tradnl"/>
              </w:rPr>
              <w:t>Radicación:</w:t>
            </w:r>
            <w:r w:rsidRPr="00380822">
              <w:rPr>
                <w:rFonts w:ascii="Verdana" w:eastAsia="Calibri" w:hAnsi="Verdana" w:cs="Arial"/>
                <w:lang w:val="es-ES_tradnl" w:eastAsia="es-ES_tradnl"/>
              </w:rPr>
              <w:t xml:space="preserve">               </w:t>
            </w:r>
          </w:p>
        </w:tc>
        <w:tc>
          <w:tcPr>
            <w:tcW w:w="6946" w:type="dxa"/>
          </w:tcPr>
          <w:p w14:paraId="264B4A5A" w14:textId="77777777" w:rsidR="00380822" w:rsidRPr="00380822" w:rsidRDefault="00380822" w:rsidP="00380822">
            <w:pPr>
              <w:rPr>
                <w:rFonts w:ascii="Verdana" w:eastAsia="Times New Roman" w:hAnsi="Verdana" w:cs="Calibri"/>
                <w:color w:val="000000"/>
                <w:lang w:val="es-419" w:eastAsia="es-419"/>
              </w:rPr>
            </w:pPr>
            <w:r w:rsidRPr="00380822">
              <w:rPr>
                <w:rFonts w:ascii="Verdana" w:eastAsia="Calibri" w:hAnsi="Verdana" w:cs="Arial"/>
                <w:lang w:val="es-ES_tradnl" w:eastAsia="es-ES_tradnl"/>
              </w:rPr>
              <w:t>Respuesta a consulta con radicado 1_2025_09_03_009525</w:t>
            </w:r>
          </w:p>
          <w:p w14:paraId="31701685" w14:textId="77777777" w:rsidR="00380822" w:rsidRPr="00380822" w:rsidRDefault="00380822" w:rsidP="00380822">
            <w:pPr>
              <w:jc w:val="both"/>
              <w:rPr>
                <w:rFonts w:ascii="Verdana" w:eastAsia="Calibri" w:hAnsi="Verdana" w:cs="Arial"/>
                <w:lang w:val="es-ES_tradnl" w:eastAsia="es-ES_tradnl"/>
              </w:rPr>
            </w:pPr>
          </w:p>
        </w:tc>
      </w:tr>
    </w:tbl>
    <w:p w14:paraId="4B054B14" w14:textId="77777777" w:rsidR="00380822" w:rsidRPr="00380822" w:rsidRDefault="00380822" w:rsidP="00380822">
      <w:pPr>
        <w:spacing w:after="0" w:line="240" w:lineRule="auto"/>
        <w:jc w:val="both"/>
        <w:rPr>
          <w:rFonts w:ascii="Verdana" w:eastAsia="Calibri" w:hAnsi="Verdana" w:cs="Arial"/>
          <w:color w:val="000000"/>
          <w:lang w:val="es-ES_tradnl" w:eastAsia="es-ES_tradnl"/>
        </w:rPr>
      </w:pPr>
    </w:p>
    <w:p w14:paraId="251E2239" w14:textId="77777777" w:rsidR="00380822" w:rsidRPr="00380822" w:rsidRDefault="00380822" w:rsidP="00380822">
      <w:pPr>
        <w:spacing w:after="0" w:line="276" w:lineRule="auto"/>
        <w:jc w:val="both"/>
        <w:rPr>
          <w:rFonts w:ascii="Verdana" w:eastAsia="Calibri" w:hAnsi="Verdana" w:cs="Arial"/>
          <w:lang w:val="es-ES" w:eastAsia="es-ES"/>
        </w:rPr>
      </w:pPr>
      <w:r w:rsidRPr="00380822">
        <w:rPr>
          <w:rFonts w:ascii="Verdana" w:eastAsia="Calibri" w:hAnsi="Verdana" w:cs="Arial"/>
          <w:lang w:val="es-ES" w:eastAsia="es-ES"/>
        </w:rPr>
        <w:t xml:space="preserve">Estimados </w:t>
      </w:r>
      <w:r w:rsidRPr="00380822">
        <w:rPr>
          <w:rFonts w:ascii="Verdana" w:eastAsia="Aptos" w:hAnsi="Verdana" w:cs="Arial"/>
          <w:lang w:val="es-MX"/>
        </w:rPr>
        <w:t>señores HRM Ingeniería</w:t>
      </w:r>
      <w:r w:rsidRPr="00380822">
        <w:rPr>
          <w:rFonts w:ascii="Verdana" w:eastAsia="Calibri" w:hAnsi="Verdana" w:cs="Arial"/>
          <w:lang w:val="es-ES" w:eastAsia="es-ES"/>
        </w:rPr>
        <w:t xml:space="preserve">; </w:t>
      </w:r>
    </w:p>
    <w:p w14:paraId="1013A406" w14:textId="77777777" w:rsidR="00380822" w:rsidRPr="00380822" w:rsidRDefault="00380822" w:rsidP="00380822">
      <w:pPr>
        <w:tabs>
          <w:tab w:val="left" w:pos="3768"/>
        </w:tabs>
        <w:spacing w:after="0" w:line="276" w:lineRule="auto"/>
        <w:jc w:val="both"/>
        <w:rPr>
          <w:rFonts w:ascii="Verdana" w:eastAsia="Calibri" w:hAnsi="Verdana" w:cs="Arial"/>
          <w:color w:val="000000"/>
          <w:lang w:val="es-ES" w:eastAsia="es-ES"/>
        </w:rPr>
      </w:pPr>
      <w:r w:rsidRPr="00380822">
        <w:rPr>
          <w:rFonts w:ascii="Verdana" w:eastAsia="Calibri" w:hAnsi="Verdana" w:cs="Arial"/>
          <w:color w:val="000000"/>
          <w:lang w:val="es-ES" w:eastAsia="es-ES"/>
        </w:rPr>
        <w:tab/>
      </w:r>
    </w:p>
    <w:p w14:paraId="5C884050" w14:textId="77777777" w:rsidR="00380822" w:rsidRPr="00380822" w:rsidRDefault="00380822" w:rsidP="00380822">
      <w:pPr>
        <w:spacing w:after="0" w:line="276" w:lineRule="auto"/>
        <w:jc w:val="both"/>
        <w:rPr>
          <w:rFonts w:ascii="Verdana" w:eastAsia="Calibri" w:hAnsi="Verdana" w:cs="Arial"/>
          <w:lang w:val="es-ES" w:eastAsia="es-ES"/>
        </w:rPr>
      </w:pPr>
      <w:r w:rsidRPr="00380822">
        <w:rPr>
          <w:rFonts w:ascii="Verdana" w:eastAsia="Calibri" w:hAnsi="Verdana" w:cs="Arial"/>
          <w:lang w:val="es-ES" w:eastAsia="es-ES"/>
        </w:rPr>
        <w:t>En ejercicio de la competencia otorgada por los artículos 3, numeral 5º, y 11, numeral 8º, del Decreto Ley 4170 de 2011,</w:t>
      </w:r>
      <w:r w:rsidRPr="00380822">
        <w:rPr>
          <w:rFonts w:ascii="Verdana" w:eastAsia="Arial MT" w:hAnsi="Verdana" w:cs="Arial MT"/>
          <w:lang w:val="es-ES" w:eastAsia="es-ES"/>
        </w:rPr>
        <w:t xml:space="preserve"> </w:t>
      </w:r>
      <w:r w:rsidRPr="00380822">
        <w:rPr>
          <w:rFonts w:ascii="Verdana" w:eastAsia="Aptos" w:hAnsi="Verdana" w:cs="Arial"/>
        </w:rPr>
        <w:t xml:space="preserve">así como lo establecido en el artículo 4 de la Resolución 1707 de 2018 expedida por esta Entidad, </w:t>
      </w:r>
      <w:r w:rsidRPr="00380822">
        <w:rPr>
          <w:rFonts w:ascii="Verdana" w:eastAsia="Calibri" w:hAnsi="Verdana" w:cs="Arial"/>
          <w:lang w:val="es-ES" w:eastAsia="es-ES"/>
        </w:rPr>
        <w:t xml:space="preserve">la Agencia Nacional de Contratación Pública – Colombia Compra Eficiente– responde su solicitud radicada en esta entidad el 03 de septiembre de 2025, en la cual manifiesta lo siguiente: </w:t>
      </w:r>
    </w:p>
    <w:p w14:paraId="72181780" w14:textId="77777777" w:rsidR="00380822" w:rsidRPr="00380822" w:rsidRDefault="00380822" w:rsidP="00380822">
      <w:pPr>
        <w:spacing w:after="0" w:line="240" w:lineRule="auto"/>
        <w:ind w:left="709" w:right="709"/>
        <w:jc w:val="both"/>
        <w:rPr>
          <w:rFonts w:ascii="Verdana" w:eastAsia="Aptos" w:hAnsi="Verdana" w:cs="Arial"/>
          <w:shd w:val="clear" w:color="auto" w:fill="FFFFFF"/>
        </w:rPr>
      </w:pPr>
      <w:bookmarkStart w:id="1" w:name="_Hlk95313578"/>
    </w:p>
    <w:bookmarkEnd w:id="1"/>
    <w:p w14:paraId="214A6C8F" w14:textId="77777777" w:rsidR="00380822" w:rsidRPr="00380822" w:rsidRDefault="00380822" w:rsidP="00380822">
      <w:pPr>
        <w:spacing w:after="0" w:line="276" w:lineRule="auto"/>
        <w:ind w:left="709" w:right="758"/>
        <w:jc w:val="both"/>
        <w:rPr>
          <w:rFonts w:ascii="Verdana" w:eastAsia="Aptos" w:hAnsi="Verdana" w:cs="Arial"/>
          <w:sz w:val="20"/>
          <w:szCs w:val="20"/>
        </w:rPr>
      </w:pPr>
      <w:r w:rsidRPr="00380822">
        <w:rPr>
          <w:rFonts w:ascii="Verdana" w:eastAsia="Century Gothic" w:hAnsi="Verdana" w:cs="Century Gothic"/>
          <w:i/>
          <w:iCs/>
        </w:rPr>
        <w:t>“</w:t>
      </w:r>
      <w:r w:rsidRPr="00380822">
        <w:rPr>
          <w:rFonts w:ascii="Verdana" w:eastAsia="Century Gothic" w:hAnsi="Verdana" w:cs="Century Gothic"/>
          <w:b/>
          <w:bCs/>
          <w:sz w:val="20"/>
          <w:szCs w:val="20"/>
        </w:rPr>
        <w:t>Asunto</w:t>
      </w:r>
      <w:r w:rsidRPr="00380822">
        <w:rPr>
          <w:rFonts w:ascii="Verdana" w:eastAsia="Aptos" w:hAnsi="Verdana" w:cs="Arial"/>
          <w:sz w:val="20"/>
          <w:szCs w:val="20"/>
        </w:rPr>
        <w:t>: Observación sobre aplicación de causal de rechazo en escenarios de correcciones aritméticas – Pliegos Tipo de Infraestructura Vial.</w:t>
      </w:r>
    </w:p>
    <w:p w14:paraId="3F336285" w14:textId="77777777" w:rsidR="00380822" w:rsidRPr="00380822" w:rsidRDefault="00380822" w:rsidP="00380822">
      <w:pPr>
        <w:spacing w:after="0" w:line="276" w:lineRule="auto"/>
        <w:ind w:left="709" w:right="758"/>
        <w:jc w:val="both"/>
        <w:rPr>
          <w:rFonts w:ascii="Verdana" w:eastAsia="Aptos" w:hAnsi="Verdana" w:cs="Arial"/>
          <w:sz w:val="20"/>
          <w:szCs w:val="20"/>
        </w:rPr>
      </w:pPr>
    </w:p>
    <w:p w14:paraId="3157677A" w14:textId="77777777" w:rsidR="00380822" w:rsidRPr="00380822" w:rsidRDefault="00380822" w:rsidP="00380822">
      <w:pPr>
        <w:spacing w:after="0" w:line="276" w:lineRule="auto"/>
        <w:ind w:left="709" w:right="758"/>
        <w:jc w:val="both"/>
        <w:rPr>
          <w:rFonts w:ascii="Verdana" w:eastAsia="Aptos" w:hAnsi="Verdana" w:cs="Arial"/>
          <w:b/>
          <w:bCs/>
          <w:sz w:val="20"/>
          <w:szCs w:val="20"/>
        </w:rPr>
      </w:pPr>
      <w:r w:rsidRPr="00380822">
        <w:rPr>
          <w:rFonts w:ascii="Verdana" w:eastAsia="Aptos" w:hAnsi="Verdana" w:cs="Arial"/>
          <w:b/>
          <w:bCs/>
          <w:sz w:val="20"/>
          <w:szCs w:val="20"/>
        </w:rPr>
        <w:t xml:space="preserve"> Respetados señores de Colombia Compra Eficiente: </w:t>
      </w:r>
    </w:p>
    <w:p w14:paraId="01298106" w14:textId="77777777" w:rsidR="00380822" w:rsidRPr="00380822" w:rsidRDefault="00380822" w:rsidP="00380822">
      <w:pPr>
        <w:spacing w:after="0" w:line="276" w:lineRule="auto"/>
        <w:ind w:left="709" w:right="758"/>
        <w:jc w:val="both"/>
        <w:rPr>
          <w:rFonts w:ascii="Verdana" w:eastAsia="Aptos" w:hAnsi="Verdana" w:cs="Arial"/>
          <w:sz w:val="20"/>
          <w:szCs w:val="20"/>
        </w:rPr>
      </w:pPr>
    </w:p>
    <w:p w14:paraId="30478485" w14:textId="77777777" w:rsidR="00380822" w:rsidRPr="00380822" w:rsidRDefault="00380822" w:rsidP="00380822">
      <w:pPr>
        <w:spacing w:after="0" w:line="276" w:lineRule="auto"/>
        <w:ind w:left="709" w:right="758"/>
        <w:jc w:val="both"/>
        <w:rPr>
          <w:rFonts w:ascii="Verdana" w:eastAsia="Aptos" w:hAnsi="Verdana" w:cs="Arial"/>
          <w:b/>
          <w:bCs/>
          <w:sz w:val="20"/>
          <w:szCs w:val="20"/>
        </w:rPr>
      </w:pPr>
      <w:r w:rsidRPr="00380822">
        <w:rPr>
          <w:rFonts w:ascii="Verdana" w:eastAsia="Aptos" w:hAnsi="Verdana" w:cs="Arial"/>
          <w:sz w:val="20"/>
          <w:szCs w:val="20"/>
        </w:rPr>
        <w:lastRenderedPageBreak/>
        <w:t xml:space="preserve">En atención a las funciones de regulación que les asisten en materia de contratación pública, de manera respetuosa me permito elevar la siguiente observación y solicitud de aclaración en el marco de los </w:t>
      </w:r>
      <w:r w:rsidRPr="00380822">
        <w:rPr>
          <w:rFonts w:ascii="Verdana" w:eastAsia="Aptos" w:hAnsi="Verdana" w:cs="Arial"/>
          <w:b/>
          <w:bCs/>
          <w:sz w:val="20"/>
          <w:szCs w:val="20"/>
        </w:rPr>
        <w:t>Pliegos Tipo para infraestructura vial en todas sus versiones:</w:t>
      </w:r>
    </w:p>
    <w:p w14:paraId="42B3A4C7" w14:textId="77777777" w:rsidR="00380822" w:rsidRPr="00380822" w:rsidRDefault="00380822" w:rsidP="00380822">
      <w:pPr>
        <w:spacing w:after="0" w:line="276" w:lineRule="auto"/>
        <w:ind w:left="709" w:right="758"/>
        <w:jc w:val="both"/>
        <w:rPr>
          <w:rFonts w:ascii="Verdana" w:eastAsia="Aptos" w:hAnsi="Verdana" w:cs="Arial"/>
          <w:sz w:val="20"/>
          <w:szCs w:val="20"/>
        </w:rPr>
      </w:pPr>
    </w:p>
    <w:p w14:paraId="00C5500F" w14:textId="77777777" w:rsidR="00380822" w:rsidRPr="00380822" w:rsidRDefault="00380822" w:rsidP="00380822">
      <w:pPr>
        <w:spacing w:after="0" w:line="276" w:lineRule="auto"/>
        <w:ind w:left="709" w:right="758"/>
        <w:jc w:val="both"/>
        <w:rPr>
          <w:rFonts w:ascii="Verdana" w:eastAsia="Aptos" w:hAnsi="Verdana" w:cs="Arial"/>
          <w:sz w:val="20"/>
          <w:szCs w:val="20"/>
        </w:rPr>
      </w:pPr>
      <w:r w:rsidRPr="00380822">
        <w:rPr>
          <w:rFonts w:ascii="Verdana" w:eastAsia="Aptos" w:hAnsi="Verdana" w:cs="Arial"/>
          <w:sz w:val="20"/>
          <w:szCs w:val="20"/>
        </w:rPr>
        <w:t xml:space="preserve"> Cuando un oferente presenta dentro del </w:t>
      </w:r>
      <w:r w:rsidRPr="00380822">
        <w:rPr>
          <w:rFonts w:ascii="Verdana" w:eastAsia="Aptos" w:hAnsi="Verdana" w:cs="Arial"/>
          <w:b/>
          <w:bCs/>
          <w:sz w:val="20"/>
          <w:szCs w:val="20"/>
        </w:rPr>
        <w:t>Sobre 2</w:t>
      </w:r>
      <w:r w:rsidRPr="00380822">
        <w:rPr>
          <w:rFonts w:ascii="Verdana" w:eastAsia="Aptos" w:hAnsi="Verdana" w:cs="Arial"/>
          <w:sz w:val="20"/>
          <w:szCs w:val="20"/>
        </w:rPr>
        <w:t xml:space="preserve"> los documentos correspondientes a la </w:t>
      </w:r>
      <w:r w:rsidRPr="00380822">
        <w:rPr>
          <w:rFonts w:ascii="Verdana" w:eastAsia="Aptos" w:hAnsi="Verdana" w:cs="Arial"/>
          <w:b/>
          <w:bCs/>
          <w:sz w:val="20"/>
          <w:szCs w:val="20"/>
        </w:rPr>
        <w:t>oferta</w:t>
      </w:r>
      <w:r w:rsidRPr="00380822">
        <w:rPr>
          <w:rFonts w:ascii="Verdana" w:eastAsia="Aptos" w:hAnsi="Verdana" w:cs="Arial"/>
          <w:sz w:val="20"/>
          <w:szCs w:val="20"/>
        </w:rPr>
        <w:t xml:space="preserve"> </w:t>
      </w:r>
      <w:r w:rsidRPr="00380822">
        <w:rPr>
          <w:rFonts w:ascii="Verdana" w:eastAsia="Aptos" w:hAnsi="Verdana" w:cs="Arial"/>
          <w:b/>
          <w:bCs/>
          <w:sz w:val="20"/>
          <w:szCs w:val="20"/>
        </w:rPr>
        <w:t>económica</w:t>
      </w:r>
      <w:r w:rsidRPr="00380822">
        <w:rPr>
          <w:rFonts w:ascii="Verdana" w:eastAsia="Aptos" w:hAnsi="Verdana" w:cs="Arial"/>
          <w:sz w:val="20"/>
          <w:szCs w:val="20"/>
        </w:rPr>
        <w:t>, y los valores consignados son coincidentes en:</w:t>
      </w:r>
    </w:p>
    <w:p w14:paraId="2C9CFE81" w14:textId="77777777" w:rsidR="00380822" w:rsidRPr="00380822" w:rsidRDefault="00380822" w:rsidP="00380822">
      <w:pPr>
        <w:spacing w:after="0" w:line="276" w:lineRule="auto"/>
        <w:ind w:left="709" w:right="758"/>
        <w:jc w:val="both"/>
        <w:rPr>
          <w:rFonts w:ascii="Verdana" w:eastAsia="Aptos" w:hAnsi="Verdana" w:cs="Arial"/>
          <w:sz w:val="20"/>
          <w:szCs w:val="20"/>
        </w:rPr>
      </w:pPr>
    </w:p>
    <w:p w14:paraId="1DDC7767" w14:textId="77777777" w:rsidR="00380822" w:rsidRPr="00380822" w:rsidRDefault="00380822" w:rsidP="00380822">
      <w:pPr>
        <w:spacing w:after="0" w:line="276" w:lineRule="auto"/>
        <w:ind w:left="709" w:right="758"/>
        <w:jc w:val="both"/>
        <w:rPr>
          <w:rFonts w:ascii="Verdana" w:eastAsia="Aptos" w:hAnsi="Verdana" w:cs="Arial"/>
          <w:sz w:val="20"/>
          <w:szCs w:val="20"/>
        </w:rPr>
      </w:pPr>
      <w:r w:rsidRPr="00380822">
        <w:rPr>
          <w:rFonts w:ascii="Verdana" w:eastAsia="Aptos" w:hAnsi="Verdana" w:cs="Arial"/>
          <w:sz w:val="20"/>
          <w:szCs w:val="20"/>
        </w:rPr>
        <w:t xml:space="preserve"> • El archivo en formato Excel,</w:t>
      </w:r>
    </w:p>
    <w:p w14:paraId="2DDD75E9" w14:textId="77777777" w:rsidR="00380822" w:rsidRPr="00380822" w:rsidRDefault="00380822" w:rsidP="00380822">
      <w:pPr>
        <w:spacing w:after="0" w:line="276" w:lineRule="auto"/>
        <w:ind w:left="709" w:right="758"/>
        <w:jc w:val="both"/>
        <w:rPr>
          <w:rFonts w:ascii="Verdana" w:eastAsia="Aptos" w:hAnsi="Verdana" w:cs="Arial"/>
          <w:sz w:val="20"/>
          <w:szCs w:val="20"/>
        </w:rPr>
      </w:pPr>
      <w:r w:rsidRPr="00380822">
        <w:rPr>
          <w:rFonts w:ascii="Verdana" w:eastAsia="Aptos" w:hAnsi="Verdana" w:cs="Arial"/>
          <w:sz w:val="20"/>
          <w:szCs w:val="20"/>
        </w:rPr>
        <w:t xml:space="preserve"> • El archivo en formato PDF </w:t>
      </w:r>
    </w:p>
    <w:p w14:paraId="2401326B" w14:textId="77777777" w:rsidR="00380822" w:rsidRPr="00380822" w:rsidRDefault="00380822" w:rsidP="00380822">
      <w:pPr>
        <w:spacing w:after="0" w:line="276" w:lineRule="auto"/>
        <w:ind w:left="709" w:right="758"/>
        <w:jc w:val="both"/>
        <w:rPr>
          <w:rFonts w:ascii="Verdana" w:eastAsia="Aptos" w:hAnsi="Verdana" w:cs="Arial"/>
          <w:sz w:val="20"/>
          <w:szCs w:val="20"/>
        </w:rPr>
      </w:pPr>
      <w:r w:rsidRPr="00380822">
        <w:rPr>
          <w:rFonts w:ascii="Verdana" w:eastAsia="Aptos" w:hAnsi="Verdana" w:cs="Arial"/>
          <w:sz w:val="20"/>
          <w:szCs w:val="20"/>
        </w:rPr>
        <w:t>• El valor diligenciado en el cuestionario de SECOP II,</w:t>
      </w:r>
    </w:p>
    <w:p w14:paraId="5CF7E8A1" w14:textId="77777777" w:rsidR="00380822" w:rsidRPr="00380822" w:rsidRDefault="00380822" w:rsidP="00380822">
      <w:pPr>
        <w:spacing w:after="0" w:line="276" w:lineRule="auto"/>
        <w:ind w:left="709" w:right="758"/>
        <w:jc w:val="both"/>
        <w:rPr>
          <w:rFonts w:ascii="Verdana" w:eastAsia="Aptos" w:hAnsi="Verdana" w:cs="Arial"/>
          <w:sz w:val="20"/>
          <w:szCs w:val="20"/>
        </w:rPr>
      </w:pPr>
    </w:p>
    <w:p w14:paraId="2DA46210" w14:textId="77777777" w:rsidR="00380822" w:rsidRPr="00380822" w:rsidRDefault="00380822" w:rsidP="00380822">
      <w:pPr>
        <w:spacing w:after="0" w:line="276" w:lineRule="auto"/>
        <w:ind w:left="709" w:right="758"/>
        <w:jc w:val="both"/>
        <w:rPr>
          <w:rFonts w:ascii="Verdana" w:eastAsia="Aptos" w:hAnsi="Verdana" w:cs="Arial"/>
          <w:sz w:val="20"/>
          <w:szCs w:val="20"/>
        </w:rPr>
      </w:pPr>
      <w:r w:rsidRPr="00380822">
        <w:rPr>
          <w:rFonts w:ascii="Verdana" w:eastAsia="Aptos" w:hAnsi="Verdana" w:cs="Arial"/>
          <w:sz w:val="20"/>
          <w:szCs w:val="20"/>
        </w:rPr>
        <w:t xml:space="preserve"> pero al momento de realizar la </w:t>
      </w:r>
      <w:r w:rsidRPr="00380822">
        <w:rPr>
          <w:rFonts w:ascii="Verdana" w:eastAsia="Aptos" w:hAnsi="Verdana" w:cs="Arial"/>
          <w:b/>
          <w:bCs/>
          <w:sz w:val="20"/>
          <w:szCs w:val="20"/>
        </w:rPr>
        <w:t>evaluación económica</w:t>
      </w:r>
      <w:r w:rsidRPr="00380822">
        <w:rPr>
          <w:rFonts w:ascii="Verdana" w:eastAsia="Aptos" w:hAnsi="Verdana" w:cs="Arial"/>
          <w:sz w:val="20"/>
          <w:szCs w:val="20"/>
        </w:rPr>
        <w:t xml:space="preserve"> la Entidad contratante aplica lo dispuesto en el </w:t>
      </w:r>
      <w:r w:rsidRPr="00380822">
        <w:rPr>
          <w:rFonts w:ascii="Verdana" w:eastAsia="Aptos" w:hAnsi="Verdana" w:cs="Arial"/>
          <w:b/>
          <w:bCs/>
          <w:sz w:val="20"/>
          <w:szCs w:val="20"/>
        </w:rPr>
        <w:t>numeral 4.1.2. – Correcciones aritméticas</w:t>
      </w:r>
      <w:r w:rsidRPr="00380822">
        <w:rPr>
          <w:rFonts w:ascii="Verdana" w:eastAsia="Aptos" w:hAnsi="Verdana" w:cs="Arial"/>
          <w:sz w:val="20"/>
          <w:szCs w:val="20"/>
        </w:rPr>
        <w:t xml:space="preserve">, generándose un ajuste al valor inicialmente presentado (lo que ocasiona una diferencia en pesos entre el valor corregido y el consignado en el cuestionario), surge la siguiente inquietud:   </w:t>
      </w:r>
    </w:p>
    <w:p w14:paraId="1652BB75" w14:textId="77777777" w:rsidR="00380822" w:rsidRPr="00380822" w:rsidRDefault="00380822" w:rsidP="00380822">
      <w:pPr>
        <w:spacing w:after="0" w:line="276" w:lineRule="auto"/>
        <w:ind w:left="709" w:right="758"/>
        <w:jc w:val="both"/>
        <w:rPr>
          <w:rFonts w:ascii="Verdana" w:eastAsia="Aptos" w:hAnsi="Verdana" w:cs="Arial"/>
          <w:sz w:val="20"/>
          <w:szCs w:val="20"/>
        </w:rPr>
      </w:pPr>
      <w:r w:rsidRPr="00380822">
        <w:rPr>
          <w:rFonts w:ascii="Verdana" w:eastAsia="Aptos" w:hAnsi="Verdana" w:cs="Arial"/>
          <w:sz w:val="20"/>
          <w:szCs w:val="20"/>
        </w:rPr>
        <w:t xml:space="preserve"> </w:t>
      </w:r>
    </w:p>
    <w:p w14:paraId="7EEE4174" w14:textId="77777777" w:rsidR="00380822" w:rsidRPr="00380822" w:rsidRDefault="00380822" w:rsidP="00380822">
      <w:pPr>
        <w:spacing w:after="0" w:line="276" w:lineRule="auto"/>
        <w:ind w:left="709" w:right="758"/>
        <w:jc w:val="both"/>
        <w:rPr>
          <w:rFonts w:ascii="Verdana" w:eastAsia="Aptos" w:hAnsi="Verdana" w:cs="Arial"/>
          <w:sz w:val="20"/>
          <w:szCs w:val="20"/>
        </w:rPr>
      </w:pPr>
      <w:r w:rsidRPr="00380822">
        <w:rPr>
          <w:rFonts w:ascii="Verdana" w:eastAsia="Aptos" w:hAnsi="Verdana" w:cs="Arial"/>
          <w:sz w:val="20"/>
          <w:szCs w:val="20"/>
        </w:rPr>
        <w:t xml:space="preserve">¿Debe entenderse que, en este escenario, corresponde aplicar la </w:t>
      </w:r>
      <w:r w:rsidRPr="00380822">
        <w:rPr>
          <w:rFonts w:ascii="Verdana" w:eastAsia="Aptos" w:hAnsi="Verdana" w:cs="Arial"/>
          <w:b/>
          <w:bCs/>
          <w:sz w:val="20"/>
          <w:szCs w:val="20"/>
        </w:rPr>
        <w:t>causal de rechazo “V. Presentar más de una oferta económica con valores distintos en el Sobre 2”</w:t>
      </w:r>
      <w:r w:rsidRPr="00380822">
        <w:rPr>
          <w:rFonts w:ascii="Verdana" w:eastAsia="Aptos" w:hAnsi="Verdana" w:cs="Arial"/>
          <w:sz w:val="20"/>
          <w:szCs w:val="20"/>
        </w:rPr>
        <w:t xml:space="preserve">, pese a que la diferencia obedece estrictamente a una </w:t>
      </w:r>
      <w:r w:rsidRPr="00380822">
        <w:rPr>
          <w:rFonts w:ascii="Verdana" w:eastAsia="Aptos" w:hAnsi="Verdana" w:cs="Arial"/>
          <w:b/>
          <w:bCs/>
          <w:sz w:val="20"/>
          <w:szCs w:val="20"/>
        </w:rPr>
        <w:t>corrección aritmética avalada por el propio Pliego Tipo</w:t>
      </w:r>
      <w:r w:rsidRPr="00380822">
        <w:rPr>
          <w:rFonts w:ascii="Verdana" w:eastAsia="Aptos" w:hAnsi="Verdana" w:cs="Arial"/>
          <w:sz w:val="20"/>
          <w:szCs w:val="20"/>
        </w:rPr>
        <w:t xml:space="preserve">, y no a la presentación voluntaria de múltiples valores por parte del oferente? </w:t>
      </w:r>
    </w:p>
    <w:p w14:paraId="15520A10" w14:textId="77777777" w:rsidR="00380822" w:rsidRPr="00380822" w:rsidRDefault="00380822" w:rsidP="00380822">
      <w:pPr>
        <w:spacing w:after="0" w:line="276" w:lineRule="auto"/>
        <w:ind w:left="709" w:right="758"/>
        <w:jc w:val="both"/>
        <w:rPr>
          <w:rFonts w:ascii="Verdana" w:eastAsia="Aptos" w:hAnsi="Verdana" w:cs="Arial"/>
          <w:sz w:val="20"/>
          <w:szCs w:val="20"/>
        </w:rPr>
      </w:pPr>
    </w:p>
    <w:p w14:paraId="0758B24D" w14:textId="77777777" w:rsidR="00380822" w:rsidRPr="00380822" w:rsidRDefault="00380822" w:rsidP="00380822">
      <w:pPr>
        <w:spacing w:after="0" w:line="276" w:lineRule="auto"/>
        <w:ind w:left="709" w:right="758"/>
        <w:jc w:val="both"/>
        <w:rPr>
          <w:rFonts w:ascii="Verdana" w:eastAsia="Aptos" w:hAnsi="Verdana" w:cs="Arial"/>
          <w:sz w:val="20"/>
          <w:szCs w:val="20"/>
        </w:rPr>
      </w:pPr>
      <w:r w:rsidRPr="00380822">
        <w:rPr>
          <w:rFonts w:ascii="Verdana" w:eastAsia="Aptos" w:hAnsi="Verdana" w:cs="Arial"/>
          <w:sz w:val="20"/>
          <w:szCs w:val="20"/>
        </w:rPr>
        <w:t xml:space="preserve">La solicitud puntual a CCE consiste en que, en su calidad de ente regulador, se pronuncie de manera </w:t>
      </w:r>
      <w:r w:rsidRPr="00380822">
        <w:rPr>
          <w:rFonts w:ascii="Verdana" w:eastAsia="Aptos" w:hAnsi="Verdana" w:cs="Arial"/>
          <w:b/>
          <w:bCs/>
          <w:sz w:val="20"/>
          <w:szCs w:val="20"/>
        </w:rPr>
        <w:t>explícita y puntual</w:t>
      </w:r>
      <w:r w:rsidRPr="00380822">
        <w:rPr>
          <w:rFonts w:ascii="Verdana" w:eastAsia="Aptos" w:hAnsi="Verdana" w:cs="Arial"/>
          <w:sz w:val="20"/>
          <w:szCs w:val="20"/>
        </w:rPr>
        <w:t xml:space="preserve"> sobre este escenario, aclarando si: </w:t>
      </w:r>
    </w:p>
    <w:p w14:paraId="70BCE712" w14:textId="77777777" w:rsidR="00380822" w:rsidRPr="00380822" w:rsidRDefault="00380822" w:rsidP="00380822">
      <w:pPr>
        <w:spacing w:after="0" w:line="276" w:lineRule="auto"/>
        <w:ind w:left="709" w:right="758"/>
        <w:jc w:val="both"/>
        <w:rPr>
          <w:rFonts w:ascii="Verdana" w:eastAsia="Aptos" w:hAnsi="Verdana" w:cs="Arial"/>
          <w:sz w:val="20"/>
          <w:szCs w:val="20"/>
        </w:rPr>
      </w:pPr>
    </w:p>
    <w:p w14:paraId="19F99919" w14:textId="77777777" w:rsidR="00380822" w:rsidRPr="00380822" w:rsidRDefault="00380822" w:rsidP="00380822">
      <w:pPr>
        <w:spacing w:after="0" w:line="276" w:lineRule="auto"/>
        <w:ind w:left="709" w:right="758"/>
        <w:jc w:val="both"/>
        <w:rPr>
          <w:rFonts w:ascii="Verdana" w:eastAsia="Aptos" w:hAnsi="Verdana" w:cs="Arial"/>
          <w:sz w:val="20"/>
          <w:szCs w:val="20"/>
        </w:rPr>
      </w:pPr>
      <w:r w:rsidRPr="00380822">
        <w:rPr>
          <w:rFonts w:ascii="Verdana" w:eastAsia="Aptos" w:hAnsi="Verdana" w:cs="Arial"/>
          <w:sz w:val="20"/>
          <w:szCs w:val="20"/>
        </w:rPr>
        <w:t>1. La corrección aritmética efectuada por la Entidad debe considerarse válida y prevalente sobre los valores inicialmente consignados, sin dar lugar a rechazo de la propuesta, o</w:t>
      </w:r>
    </w:p>
    <w:p w14:paraId="17731BCB" w14:textId="77777777" w:rsidR="00380822" w:rsidRPr="00380822" w:rsidRDefault="00380822" w:rsidP="00380822">
      <w:pPr>
        <w:spacing w:after="0" w:line="276" w:lineRule="auto"/>
        <w:ind w:left="709" w:right="758"/>
        <w:jc w:val="both"/>
        <w:rPr>
          <w:rFonts w:ascii="Verdana" w:eastAsia="Aptos" w:hAnsi="Verdana" w:cs="Arial"/>
          <w:sz w:val="20"/>
          <w:szCs w:val="20"/>
        </w:rPr>
      </w:pPr>
    </w:p>
    <w:p w14:paraId="35FDE7B4" w14:textId="77777777" w:rsidR="00380822" w:rsidRPr="00380822" w:rsidRDefault="00380822" w:rsidP="00380822">
      <w:pPr>
        <w:spacing w:after="0" w:line="276" w:lineRule="auto"/>
        <w:ind w:left="709" w:right="758"/>
        <w:jc w:val="both"/>
        <w:rPr>
          <w:rFonts w:ascii="Verdana" w:eastAsia="Aptos" w:hAnsi="Verdana" w:cs="Arial"/>
          <w:sz w:val="20"/>
          <w:szCs w:val="20"/>
        </w:rPr>
      </w:pPr>
      <w:r w:rsidRPr="00380822">
        <w:rPr>
          <w:rFonts w:ascii="Verdana" w:eastAsia="Aptos" w:hAnsi="Verdana" w:cs="Arial"/>
          <w:sz w:val="20"/>
          <w:szCs w:val="20"/>
        </w:rPr>
        <w:t xml:space="preserve"> 2. Debe entenderse que la diferencia generada por la corrección aritmética activa la causal de rechazo prevista, incluso cuando los documentos iniciales del oferente eran coherentes entre sí. </w:t>
      </w:r>
    </w:p>
    <w:p w14:paraId="68AEBDA1" w14:textId="77777777" w:rsidR="00380822" w:rsidRPr="00380822" w:rsidRDefault="00380822" w:rsidP="00380822">
      <w:pPr>
        <w:spacing w:after="0" w:line="276" w:lineRule="auto"/>
        <w:ind w:left="709" w:right="758"/>
        <w:jc w:val="both"/>
        <w:rPr>
          <w:rFonts w:ascii="Verdana" w:eastAsia="Aptos" w:hAnsi="Verdana" w:cs="Arial"/>
          <w:sz w:val="20"/>
          <w:szCs w:val="20"/>
        </w:rPr>
      </w:pPr>
    </w:p>
    <w:p w14:paraId="12ADB025" w14:textId="77777777" w:rsidR="00380822" w:rsidRPr="00380822" w:rsidRDefault="00380822" w:rsidP="00380822">
      <w:pPr>
        <w:spacing w:after="0" w:line="276" w:lineRule="auto"/>
        <w:ind w:left="709" w:right="758"/>
        <w:jc w:val="both"/>
        <w:rPr>
          <w:rFonts w:ascii="Verdana" w:eastAsia="Century Gothic" w:hAnsi="Verdana" w:cs="Century Gothic"/>
          <w:i/>
          <w:iCs/>
          <w:sz w:val="20"/>
          <w:szCs w:val="20"/>
        </w:rPr>
      </w:pPr>
      <w:r w:rsidRPr="00380822">
        <w:rPr>
          <w:rFonts w:ascii="Verdana" w:eastAsia="Aptos" w:hAnsi="Verdana" w:cs="Arial"/>
          <w:sz w:val="20"/>
          <w:szCs w:val="20"/>
        </w:rPr>
        <w:t xml:space="preserve">Con esta precisión, se busca dotar a las Entidades Estatales y a los proponentes de una </w:t>
      </w:r>
      <w:r w:rsidRPr="00380822">
        <w:rPr>
          <w:rFonts w:ascii="Verdana" w:eastAsia="Aptos" w:hAnsi="Verdana" w:cs="Arial"/>
          <w:b/>
          <w:bCs/>
          <w:sz w:val="20"/>
          <w:szCs w:val="20"/>
        </w:rPr>
        <w:t>interpretación uniforme</w:t>
      </w:r>
      <w:r w:rsidRPr="00380822">
        <w:rPr>
          <w:rFonts w:ascii="Verdana" w:eastAsia="Aptos" w:hAnsi="Verdana" w:cs="Arial"/>
          <w:sz w:val="20"/>
          <w:szCs w:val="20"/>
        </w:rPr>
        <w:t>, que garantice seguridad jurídica y evite posibles controversias en los procesos de contratación bajo Pliegos Tipo</w:t>
      </w:r>
      <w:r w:rsidRPr="00380822">
        <w:rPr>
          <w:rFonts w:ascii="Verdana" w:eastAsia="Century Gothic" w:hAnsi="Verdana" w:cs="Century Gothic"/>
          <w:i/>
          <w:iCs/>
          <w:sz w:val="20"/>
          <w:szCs w:val="20"/>
        </w:rPr>
        <w:t xml:space="preserve">” </w:t>
      </w:r>
      <w:r w:rsidRPr="00380822">
        <w:rPr>
          <w:rFonts w:ascii="Verdana" w:eastAsia="Century Gothic" w:hAnsi="Verdana" w:cs="Century Gothic"/>
          <w:sz w:val="20"/>
          <w:szCs w:val="20"/>
        </w:rPr>
        <w:t>[SIC]</w:t>
      </w:r>
    </w:p>
    <w:p w14:paraId="2C4B2913" w14:textId="77777777" w:rsidR="00380822" w:rsidRPr="00380822" w:rsidRDefault="00380822" w:rsidP="00380822">
      <w:pPr>
        <w:spacing w:after="120" w:line="276" w:lineRule="auto"/>
        <w:ind w:firstLine="709"/>
        <w:jc w:val="both"/>
        <w:rPr>
          <w:rFonts w:ascii="Verdana" w:eastAsia="Calibri" w:hAnsi="Verdana" w:cs="Arial"/>
          <w:color w:val="000000"/>
          <w:lang w:val="es-ES" w:eastAsia="es-ES"/>
        </w:rPr>
      </w:pPr>
    </w:p>
    <w:p w14:paraId="5A738921" w14:textId="77777777" w:rsidR="00380822" w:rsidRPr="00380822" w:rsidRDefault="00380822" w:rsidP="00380822">
      <w:pPr>
        <w:spacing w:after="120" w:line="276" w:lineRule="auto"/>
        <w:ind w:firstLine="709"/>
        <w:jc w:val="both"/>
        <w:rPr>
          <w:rFonts w:ascii="Verdana" w:eastAsia="Calibri" w:hAnsi="Verdana" w:cs="Arial"/>
          <w:color w:val="000000"/>
          <w:lang w:val="es-ES_tradnl" w:eastAsia="es-ES_tradnl"/>
        </w:rPr>
      </w:pPr>
      <w:r w:rsidRPr="00380822">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380822">
        <w:rPr>
          <w:rFonts w:ascii="Verdana" w:eastAsia="Calibri" w:hAnsi="Verdana" w:cs="Arial"/>
          <w:color w:val="000000"/>
          <w:lang w:val="es-ES_tradnl" w:eastAsia="es-ES_tradnl"/>
        </w:rPr>
        <w:tab/>
      </w:r>
    </w:p>
    <w:p w14:paraId="1D609EEB" w14:textId="77777777" w:rsidR="00380822" w:rsidRPr="00380822" w:rsidRDefault="00380822" w:rsidP="00380822">
      <w:pPr>
        <w:spacing w:after="0" w:line="276" w:lineRule="auto"/>
        <w:ind w:firstLine="709"/>
        <w:jc w:val="both"/>
        <w:rPr>
          <w:rFonts w:ascii="Verdana" w:eastAsia="Calibri" w:hAnsi="Verdana" w:cs="Arial"/>
          <w:color w:val="000000"/>
          <w:lang w:val="es-ES" w:eastAsia="es-ES"/>
        </w:rPr>
      </w:pPr>
      <w:r w:rsidRPr="00380822">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w:t>
      </w:r>
      <w:r w:rsidRPr="00380822">
        <w:rPr>
          <w:rFonts w:ascii="Verdana" w:eastAsia="Calibri" w:hAnsi="Verdana" w:cs="Arial"/>
          <w:color w:val="7030A0"/>
          <w:lang w:val="es-ES" w:eastAsia="es-ES"/>
        </w:rPr>
        <w:t xml:space="preserve"> </w:t>
      </w:r>
      <w:r w:rsidRPr="00380822">
        <w:rPr>
          <w:rFonts w:ascii="Verdana" w:eastAsia="Calibri" w:hAnsi="Verdana" w:cs="Arial"/>
          <w:color w:val="000000"/>
          <w:lang w:val="es-ES" w:eastAsia="es-ES"/>
        </w:rPr>
        <w:t>jurídico</w:t>
      </w:r>
      <w:r w:rsidRPr="00380822">
        <w:rPr>
          <w:rFonts w:ascii="Verdana" w:eastAsia="Calibri" w:hAnsi="Verdana" w:cs="Arial"/>
          <w:color w:val="7030A0"/>
          <w:lang w:val="es-ES" w:eastAsia="es-ES"/>
        </w:rPr>
        <w:t xml:space="preserve"> </w:t>
      </w:r>
      <w:r w:rsidRPr="00380822">
        <w:rPr>
          <w:rFonts w:ascii="Verdana" w:eastAsia="Calibri" w:hAnsi="Verdana" w:cs="Arial"/>
          <w:color w:val="000000"/>
          <w:lang w:val="es-ES" w:eastAsia="es-ES"/>
        </w:rPr>
        <w:t xml:space="preserve">de su consulta. </w:t>
      </w:r>
    </w:p>
    <w:p w14:paraId="1EBD4E60" w14:textId="77777777" w:rsidR="00380822" w:rsidRPr="00380822" w:rsidRDefault="00380822" w:rsidP="00380822">
      <w:pPr>
        <w:spacing w:after="0" w:line="276" w:lineRule="auto"/>
        <w:ind w:firstLine="709"/>
        <w:jc w:val="both"/>
        <w:rPr>
          <w:rFonts w:ascii="Verdana" w:eastAsia="Calibri" w:hAnsi="Verdana" w:cs="Arial"/>
          <w:color w:val="000000"/>
          <w:lang w:val="es-ES" w:eastAsia="es-ES"/>
        </w:rPr>
      </w:pPr>
    </w:p>
    <w:p w14:paraId="5F748AC5" w14:textId="77777777" w:rsidR="00380822" w:rsidRPr="00380822" w:rsidRDefault="00380822" w:rsidP="00380822">
      <w:pPr>
        <w:numPr>
          <w:ilvl w:val="0"/>
          <w:numId w:val="16"/>
        </w:numPr>
        <w:tabs>
          <w:tab w:val="left" w:pos="142"/>
          <w:tab w:val="left" w:pos="284"/>
        </w:tabs>
        <w:spacing w:after="0" w:line="276" w:lineRule="auto"/>
        <w:ind w:left="0" w:firstLine="0"/>
        <w:contextualSpacing/>
        <w:jc w:val="both"/>
        <w:rPr>
          <w:rFonts w:ascii="Verdana" w:eastAsia="Century Gothic" w:hAnsi="Verdana" w:cs="Century Gothic"/>
          <w:b/>
          <w:bCs/>
        </w:rPr>
      </w:pPr>
      <w:r w:rsidRPr="00380822">
        <w:rPr>
          <w:rFonts w:ascii="Verdana" w:eastAsia="Century Gothic" w:hAnsi="Verdana" w:cs="Century Gothic"/>
          <w:b/>
          <w:bCs/>
        </w:rPr>
        <w:t>Problema planteado:</w:t>
      </w:r>
    </w:p>
    <w:p w14:paraId="14FC95DD" w14:textId="77777777" w:rsidR="00380822" w:rsidRPr="00380822" w:rsidRDefault="00380822" w:rsidP="00380822">
      <w:pPr>
        <w:tabs>
          <w:tab w:val="left" w:pos="426"/>
        </w:tabs>
        <w:spacing w:after="0" w:line="276" w:lineRule="auto"/>
        <w:jc w:val="both"/>
        <w:rPr>
          <w:rFonts w:ascii="Verdana" w:eastAsia="Century Gothic" w:hAnsi="Verdana" w:cs="Century Gothic"/>
          <w:lang w:val="es-ES"/>
        </w:rPr>
      </w:pPr>
    </w:p>
    <w:p w14:paraId="390E0126" w14:textId="77777777" w:rsidR="00380822" w:rsidRPr="00380822" w:rsidRDefault="00380822" w:rsidP="00380822">
      <w:pPr>
        <w:jc w:val="both"/>
        <w:rPr>
          <w:rFonts w:ascii="Verdana" w:eastAsia="Aptos" w:hAnsi="Verdana" w:cs="Arial"/>
          <w:b/>
          <w:bCs/>
          <w:lang w:val="es-ES"/>
        </w:rPr>
      </w:pPr>
      <w:r w:rsidRPr="00380822">
        <w:rPr>
          <w:rFonts w:ascii="Verdana" w:eastAsia="Century Gothic" w:hAnsi="Verdana" w:cs="Century Gothic"/>
        </w:rPr>
        <w:t>De acuerdo con el contenido de su solicitud, esta Agencia resolverá los siguientes problemas jurídicos en el marco de los Documentos Tipo vigentes, así: ¿La corrección aritmética efectuada por la Entidad debe considerarse valida y prevalente sobre los valores inicialmente consignados?  y ¿La diferencia generada por la corrección aritmética activa la causal de rechazo prevista en el documento tipo?</w:t>
      </w:r>
    </w:p>
    <w:p w14:paraId="694EDBAE" w14:textId="77777777" w:rsidR="00380822" w:rsidRPr="00380822" w:rsidRDefault="00380822" w:rsidP="00380822">
      <w:pPr>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380822">
        <w:rPr>
          <w:rFonts w:ascii="Verdana" w:eastAsia="Century Gothic" w:hAnsi="Verdana" w:cs="Century Gothic"/>
          <w:b/>
          <w:bCs/>
        </w:rPr>
        <w:t>Respuesta:</w:t>
      </w:r>
    </w:p>
    <w:p w14:paraId="114E89FD" w14:textId="77777777" w:rsidR="00380822" w:rsidRPr="00380822" w:rsidRDefault="00380822" w:rsidP="00380822">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380822" w:rsidRPr="00380822" w14:paraId="7E1F937F" w14:textId="77777777" w:rsidTr="00961DFB">
        <w:tc>
          <w:tcPr>
            <w:tcW w:w="8828" w:type="dxa"/>
          </w:tcPr>
          <w:p w14:paraId="0D107858" w14:textId="77777777" w:rsidR="00380822" w:rsidRPr="00380822" w:rsidRDefault="00380822" w:rsidP="00380822">
            <w:pPr>
              <w:numPr>
                <w:ilvl w:val="0"/>
                <w:numId w:val="21"/>
              </w:numPr>
              <w:contextualSpacing/>
              <w:jc w:val="both"/>
              <w:rPr>
                <w:rFonts w:ascii="Verdana" w:eastAsia="Aptos" w:hAnsi="Verdana" w:cs="Arial"/>
              </w:rPr>
            </w:pPr>
            <w:r w:rsidRPr="00380822">
              <w:rPr>
                <w:rFonts w:ascii="Verdana" w:eastAsia="Aptos" w:hAnsi="Verdana" w:cs="Arial"/>
              </w:rPr>
              <w:t xml:space="preserve">Al respecto, es importante indicar que las correcciones aritméticas están contempladas para corregir las operaciones aritméticas y las aproximaciones de las cifras decimales, con el objetivo de verificar el valor real ofertado por el proponente. </w:t>
            </w:r>
          </w:p>
          <w:p w14:paraId="4BE57BBE" w14:textId="77777777" w:rsidR="00380822" w:rsidRPr="00380822" w:rsidRDefault="00380822" w:rsidP="00380822">
            <w:pPr>
              <w:jc w:val="both"/>
              <w:rPr>
                <w:rFonts w:ascii="Verdana" w:eastAsia="Aptos" w:hAnsi="Verdana" w:cs="Arial"/>
              </w:rPr>
            </w:pPr>
          </w:p>
          <w:p w14:paraId="3DC91592" w14:textId="77777777" w:rsidR="00380822" w:rsidRPr="00380822" w:rsidRDefault="00380822" w:rsidP="00380822">
            <w:pPr>
              <w:jc w:val="both"/>
              <w:rPr>
                <w:rFonts w:ascii="Verdana" w:eastAsia="Aptos" w:hAnsi="Verdana" w:cs="Arial"/>
              </w:rPr>
            </w:pPr>
            <w:r w:rsidRPr="00380822">
              <w:rPr>
                <w:rFonts w:ascii="Verdana" w:eastAsia="Aptos" w:hAnsi="Verdana" w:cs="Arial"/>
              </w:rPr>
              <w:t xml:space="preserve">Ahora bien, tomando en consideración las reglas planteadas en el documento tipo de infraestructura de transporte (versión 4), se puede evidenciar, lo anteriormente señalado. El documento base de infraestructura de transporte </w:t>
            </w:r>
            <w:r w:rsidRPr="00380822">
              <w:rPr>
                <w:rFonts w:ascii="Verdana" w:eastAsia="Aptos" w:hAnsi="Verdana" w:cs="Arial"/>
              </w:rPr>
              <w:lastRenderedPageBreak/>
              <w:t>en el numeral 4.1.2 Correcciones aritméticas, establece las reglas para efectuar la corrección aritmética de las ofertas económicas.</w:t>
            </w:r>
          </w:p>
          <w:p w14:paraId="664D4AF1" w14:textId="77777777" w:rsidR="00380822" w:rsidRPr="00380822" w:rsidRDefault="00380822" w:rsidP="00380822">
            <w:pPr>
              <w:ind w:left="708"/>
              <w:jc w:val="both"/>
              <w:rPr>
                <w:rFonts w:ascii="Verdana" w:eastAsia="Aptos" w:hAnsi="Verdana" w:cs="Arial"/>
              </w:rPr>
            </w:pPr>
          </w:p>
          <w:p w14:paraId="3E40F5A3" w14:textId="77777777" w:rsidR="00380822" w:rsidRPr="00380822" w:rsidRDefault="00380822" w:rsidP="00380822">
            <w:pPr>
              <w:jc w:val="both"/>
              <w:textAlignment w:val="baseline"/>
              <w:rPr>
                <w:rFonts w:ascii="Verdana" w:eastAsia="Aptos" w:hAnsi="Verdana" w:cs="Arial"/>
              </w:rPr>
            </w:pPr>
            <w:r w:rsidRPr="00380822">
              <w:rPr>
                <w:rFonts w:ascii="Verdana" w:eastAsia="Aptos" w:hAnsi="Verdana" w:cs="Arial"/>
              </w:rPr>
              <w:t xml:space="preserve">La </w:t>
            </w:r>
            <w:r w:rsidRPr="00380822" w:rsidDel="6C1472D9">
              <w:rPr>
                <w:rFonts w:ascii="Verdana" w:eastAsia="Aptos" w:hAnsi="Verdana" w:cs="Arial"/>
              </w:rPr>
              <w:t>E</w:t>
            </w:r>
            <w:r w:rsidRPr="00380822">
              <w:rPr>
                <w:rFonts w:ascii="Verdana" w:eastAsia="Aptos" w:hAnsi="Verdana" w:cs="Arial"/>
              </w:rPr>
              <w:t>ntidad solo efectuará correcciones aritméticas originadas por: </w:t>
            </w:r>
          </w:p>
          <w:p w14:paraId="5D1C523E" w14:textId="77777777" w:rsidR="00380822" w:rsidRPr="00380822" w:rsidRDefault="00380822" w:rsidP="00380822">
            <w:pPr>
              <w:numPr>
                <w:ilvl w:val="0"/>
                <w:numId w:val="20"/>
              </w:numPr>
              <w:contextualSpacing/>
              <w:jc w:val="both"/>
              <w:textAlignment w:val="baseline"/>
              <w:rPr>
                <w:rFonts w:ascii="Verdana" w:eastAsia="Aptos" w:hAnsi="Verdana" w:cs="Arial"/>
              </w:rPr>
            </w:pPr>
            <w:r w:rsidRPr="00380822">
              <w:rPr>
                <w:rFonts w:ascii="Verdana" w:eastAsia="Aptos" w:hAnsi="Verdana" w:cs="Arial"/>
              </w:rPr>
              <w:t>Las operaciones aritméticas a que haya lugar en la propuesta económica, cuando exista un error que surja de un cálculo meramente aritmético cuando la operación ha sido erróneamente realizada. </w:t>
            </w:r>
          </w:p>
          <w:p w14:paraId="228C012C" w14:textId="77777777" w:rsidR="00380822" w:rsidRPr="00380822" w:rsidRDefault="00380822" w:rsidP="00380822">
            <w:pPr>
              <w:ind w:left="846"/>
              <w:contextualSpacing/>
              <w:jc w:val="both"/>
              <w:textAlignment w:val="baseline"/>
              <w:rPr>
                <w:rFonts w:ascii="Verdana" w:eastAsia="Aptos" w:hAnsi="Verdana" w:cs="Arial"/>
              </w:rPr>
            </w:pPr>
          </w:p>
          <w:p w14:paraId="7015B6FE" w14:textId="77777777" w:rsidR="00380822" w:rsidRPr="00380822" w:rsidRDefault="00380822" w:rsidP="00380822">
            <w:pPr>
              <w:numPr>
                <w:ilvl w:val="0"/>
                <w:numId w:val="20"/>
              </w:numPr>
              <w:contextualSpacing/>
              <w:jc w:val="both"/>
              <w:textAlignment w:val="baseline"/>
              <w:rPr>
                <w:rFonts w:ascii="Verdana" w:eastAsia="Aptos" w:hAnsi="Verdana" w:cs="Arial"/>
              </w:rPr>
            </w:pPr>
            <w:r w:rsidRPr="00380822">
              <w:rPr>
                <w:rFonts w:ascii="Verdana" w:eastAsia="Aptos" w:hAnsi="Verdana" w:cs="Arial"/>
              </w:rPr>
              <w:t>El ajuste al peso ya sea por exceso o por defecto de los precios unitarios contenidos en la propuesta económica y del valor del IVA, así: cuando la fracción decimal del peso sea igual o superior a punto cinco (0.5) se aproximará por exceso al número entero siguiente del peso y cuando la fracción decimal del peso sea inferior a punto cinco (0.5) se aproximará por defecto al número entero. </w:t>
            </w:r>
          </w:p>
          <w:p w14:paraId="0C1A2F74" w14:textId="77777777" w:rsidR="00380822" w:rsidRPr="00380822" w:rsidRDefault="00380822" w:rsidP="00380822">
            <w:pPr>
              <w:ind w:left="720"/>
              <w:contextualSpacing/>
              <w:rPr>
                <w:rFonts w:ascii="Verdana" w:eastAsia="Aptos" w:hAnsi="Verdana" w:cs="Arial"/>
              </w:rPr>
            </w:pPr>
          </w:p>
          <w:p w14:paraId="639B2E4F" w14:textId="77777777" w:rsidR="00380822" w:rsidRPr="00380822" w:rsidRDefault="00380822" w:rsidP="00380822">
            <w:pPr>
              <w:ind w:left="846"/>
              <w:contextualSpacing/>
              <w:jc w:val="both"/>
              <w:textAlignment w:val="baseline"/>
              <w:rPr>
                <w:rFonts w:ascii="Verdana" w:eastAsia="Aptos" w:hAnsi="Verdana" w:cs="Arial"/>
              </w:rPr>
            </w:pPr>
          </w:p>
          <w:p w14:paraId="534C7D3E" w14:textId="77777777" w:rsidR="00380822" w:rsidRPr="00380822" w:rsidRDefault="00380822" w:rsidP="00380822">
            <w:pPr>
              <w:jc w:val="both"/>
              <w:rPr>
                <w:rFonts w:ascii="Verdana" w:eastAsia="Aptos" w:hAnsi="Verdana" w:cs="Arial"/>
              </w:rPr>
            </w:pPr>
            <w:r w:rsidRPr="00380822">
              <w:rPr>
                <w:rFonts w:ascii="Verdana" w:eastAsia="Aptos" w:hAnsi="Verdana" w:cs="Arial"/>
              </w:rPr>
              <w:t xml:space="preserve">La corrección aritmética realizada por la Entidad es considerada validad y prevalece sobre los valores consignados inicialmente por el oferente, por ello la </w:t>
            </w:r>
            <w:r w:rsidRPr="00380822" w:rsidDel="6C1472D9">
              <w:rPr>
                <w:rFonts w:ascii="Verdana" w:eastAsia="Aptos" w:hAnsi="Verdana" w:cs="Arial"/>
              </w:rPr>
              <w:t>E</w:t>
            </w:r>
            <w:r w:rsidRPr="00380822">
              <w:rPr>
                <w:rFonts w:ascii="Verdana" w:eastAsia="Aptos" w:hAnsi="Verdana" w:cs="Arial"/>
              </w:rPr>
              <w:t xml:space="preserve">ntidad a partir del valor total corregido de las propuestas asignará el puntaje de conformidad con el método de ponderación que se haya seleccionado. </w:t>
            </w:r>
          </w:p>
          <w:p w14:paraId="386D869F" w14:textId="77777777" w:rsidR="00380822" w:rsidRPr="00380822" w:rsidRDefault="00380822" w:rsidP="00380822">
            <w:pPr>
              <w:jc w:val="both"/>
              <w:rPr>
                <w:rFonts w:ascii="Verdana" w:eastAsia="Aptos" w:hAnsi="Verdana" w:cs="Arial"/>
              </w:rPr>
            </w:pPr>
          </w:p>
          <w:p w14:paraId="5CD24618" w14:textId="77777777" w:rsidR="00380822" w:rsidRPr="00380822" w:rsidRDefault="00380822" w:rsidP="00380822">
            <w:pPr>
              <w:numPr>
                <w:ilvl w:val="0"/>
                <w:numId w:val="21"/>
              </w:numPr>
              <w:spacing w:line="276" w:lineRule="auto"/>
              <w:contextualSpacing/>
              <w:jc w:val="both"/>
              <w:rPr>
                <w:rFonts w:ascii="Verdana" w:eastAsia="Aptos" w:hAnsi="Verdana" w:cs="Arial"/>
              </w:rPr>
            </w:pPr>
            <w:r w:rsidRPr="00380822">
              <w:rPr>
                <w:rFonts w:ascii="Verdana" w:eastAsia="Aptos" w:hAnsi="Verdana" w:cs="Arial"/>
              </w:rPr>
              <w:t>Frente a la causal de rechazo “V. Presentar más de una oferta económica con valores distintos en el Sobre 2”, es relevante indicar que en el análisis realizado no se logra traslucir que existan dos ofertas, esto debido a que lo que se presenta son documentos propios de una sola oferta, a saber,</w:t>
            </w:r>
          </w:p>
          <w:p w14:paraId="09D7F9BD" w14:textId="77777777" w:rsidR="00380822" w:rsidRPr="00380822" w:rsidRDefault="00380822" w:rsidP="00380822">
            <w:pPr>
              <w:spacing w:line="276" w:lineRule="auto"/>
              <w:ind w:left="709" w:right="758"/>
              <w:jc w:val="both"/>
              <w:rPr>
                <w:rFonts w:ascii="Verdana" w:eastAsia="Aptos" w:hAnsi="Verdana" w:cs="Arial"/>
              </w:rPr>
            </w:pPr>
          </w:p>
          <w:p w14:paraId="3D94742B" w14:textId="77777777" w:rsidR="00380822" w:rsidRPr="00380822" w:rsidRDefault="00380822" w:rsidP="00380822">
            <w:pPr>
              <w:spacing w:line="276" w:lineRule="auto"/>
              <w:ind w:left="709" w:right="758"/>
              <w:jc w:val="both"/>
              <w:rPr>
                <w:rFonts w:ascii="Verdana" w:eastAsia="Aptos" w:hAnsi="Verdana" w:cs="Arial"/>
              </w:rPr>
            </w:pPr>
            <w:r w:rsidRPr="00380822">
              <w:rPr>
                <w:rFonts w:ascii="Verdana" w:eastAsia="Aptos" w:hAnsi="Verdana" w:cs="Arial"/>
              </w:rPr>
              <w:t>“El archivo en formato Excel,</w:t>
            </w:r>
          </w:p>
          <w:p w14:paraId="03396B6B" w14:textId="77777777" w:rsidR="00380822" w:rsidRPr="00380822" w:rsidRDefault="00380822" w:rsidP="00380822">
            <w:pPr>
              <w:spacing w:line="276" w:lineRule="auto"/>
              <w:ind w:left="709" w:right="758"/>
              <w:jc w:val="both"/>
              <w:rPr>
                <w:rFonts w:ascii="Verdana" w:eastAsia="Aptos" w:hAnsi="Verdana" w:cs="Arial"/>
              </w:rPr>
            </w:pPr>
            <w:r w:rsidRPr="00380822">
              <w:rPr>
                <w:rFonts w:ascii="Verdana" w:eastAsia="Aptos" w:hAnsi="Verdana" w:cs="Arial"/>
              </w:rPr>
              <w:t xml:space="preserve"> El archivo en formato PDF </w:t>
            </w:r>
          </w:p>
          <w:p w14:paraId="4CDA9A86" w14:textId="77777777" w:rsidR="00380822" w:rsidRPr="00380822" w:rsidRDefault="00380822" w:rsidP="00380822">
            <w:pPr>
              <w:ind w:left="720"/>
              <w:contextualSpacing/>
              <w:jc w:val="both"/>
              <w:rPr>
                <w:rFonts w:ascii="Verdana" w:eastAsia="Aptos" w:hAnsi="Verdana" w:cs="Arial"/>
              </w:rPr>
            </w:pPr>
            <w:r w:rsidRPr="00380822">
              <w:rPr>
                <w:rFonts w:ascii="Verdana" w:eastAsia="Aptos" w:hAnsi="Verdana" w:cs="Arial"/>
              </w:rPr>
              <w:t xml:space="preserve"> El valor diligenciado en el cuestionario de SECOP II “ </w:t>
            </w:r>
          </w:p>
          <w:p w14:paraId="7966D86D" w14:textId="77777777" w:rsidR="00380822" w:rsidRPr="00380822" w:rsidRDefault="00380822" w:rsidP="00380822">
            <w:pPr>
              <w:jc w:val="both"/>
              <w:rPr>
                <w:rFonts w:ascii="Verdana" w:eastAsia="Aptos" w:hAnsi="Verdana" w:cs="Arial"/>
              </w:rPr>
            </w:pPr>
          </w:p>
          <w:p w14:paraId="7989C4F5" w14:textId="77777777" w:rsidR="00380822" w:rsidRPr="00380822" w:rsidRDefault="00380822" w:rsidP="00380822">
            <w:pPr>
              <w:jc w:val="both"/>
              <w:rPr>
                <w:rFonts w:ascii="Verdana" w:eastAsia="Aptos" w:hAnsi="Verdana" w:cs="Arial"/>
              </w:rPr>
            </w:pPr>
            <w:r w:rsidRPr="00380822">
              <w:rPr>
                <w:rFonts w:ascii="Verdana" w:eastAsia="Aptos" w:hAnsi="Verdana" w:cs="Arial"/>
              </w:rPr>
              <w:t xml:space="preserve">A juicio de esta agencia, lo que se puede presentar con la corrección aritmética es que los valores varíen en cada uno de los documentos presentados, para lo cual el documento tipo objeto de análisis, presenta la solución a la posible discrepancia.  </w:t>
            </w:r>
          </w:p>
          <w:p w14:paraId="3555D27B" w14:textId="77777777" w:rsidR="00380822" w:rsidRPr="00380822" w:rsidRDefault="00380822" w:rsidP="00380822">
            <w:pPr>
              <w:jc w:val="both"/>
              <w:rPr>
                <w:rFonts w:ascii="Verdana" w:eastAsia="Aptos" w:hAnsi="Verdana" w:cs="Arial"/>
              </w:rPr>
            </w:pPr>
          </w:p>
          <w:p w14:paraId="38788CAE" w14:textId="77777777" w:rsidR="00380822" w:rsidRPr="00380822" w:rsidRDefault="00380822" w:rsidP="00380822">
            <w:pPr>
              <w:jc w:val="both"/>
              <w:rPr>
                <w:rFonts w:ascii="Verdana" w:eastAsia="Aptos" w:hAnsi="Verdana" w:cs="Arial"/>
              </w:rPr>
            </w:pPr>
            <w:r w:rsidRPr="00380822">
              <w:rPr>
                <w:rFonts w:ascii="Verdana" w:eastAsia="Aptos" w:hAnsi="Verdana" w:cs="Arial"/>
              </w:rPr>
              <w:t>Así las cosas, el documento base de licitación de infraestructura de transporte Versión 4, dispone.</w:t>
            </w:r>
          </w:p>
          <w:p w14:paraId="03B9BA71" w14:textId="77777777" w:rsidR="00380822" w:rsidRPr="00380822" w:rsidRDefault="00380822" w:rsidP="00380822">
            <w:pPr>
              <w:jc w:val="both"/>
              <w:rPr>
                <w:rFonts w:ascii="Verdana" w:eastAsia="Aptos" w:hAnsi="Verdana" w:cs="Arial"/>
              </w:rPr>
            </w:pPr>
          </w:p>
          <w:p w14:paraId="0732429E" w14:textId="77777777" w:rsidR="00380822" w:rsidRPr="00380822" w:rsidRDefault="00380822" w:rsidP="00380822">
            <w:pPr>
              <w:jc w:val="both"/>
              <w:rPr>
                <w:rFonts w:ascii="Verdana" w:eastAsia="Aptos" w:hAnsi="Verdana" w:cs="Arial"/>
                <w:b/>
                <w:bCs/>
              </w:rPr>
            </w:pPr>
            <w:r w:rsidRPr="00380822">
              <w:rPr>
                <w:rFonts w:ascii="Verdana" w:eastAsia="Aptos" w:hAnsi="Verdana" w:cs="Arial"/>
                <w:b/>
                <w:bCs/>
              </w:rPr>
              <w:t>2.3.2 SOBRE NO. 2</w:t>
            </w:r>
          </w:p>
          <w:p w14:paraId="2E325867" w14:textId="77777777" w:rsidR="00380822" w:rsidRPr="00380822" w:rsidRDefault="00380822" w:rsidP="00380822">
            <w:pPr>
              <w:jc w:val="both"/>
              <w:rPr>
                <w:rFonts w:ascii="Verdana" w:eastAsia="Aptos" w:hAnsi="Verdana" w:cs="Arial"/>
                <w:b/>
                <w:bCs/>
              </w:rPr>
            </w:pPr>
          </w:p>
          <w:p w14:paraId="5C763950" w14:textId="77777777" w:rsidR="00380822" w:rsidRPr="00380822" w:rsidRDefault="00380822" w:rsidP="00380822">
            <w:pPr>
              <w:jc w:val="both"/>
              <w:rPr>
                <w:rFonts w:ascii="Verdana" w:eastAsia="Aptos" w:hAnsi="Verdana" w:cs="Arial"/>
              </w:rPr>
            </w:pPr>
            <w:r w:rsidRPr="00380822">
              <w:rPr>
                <w:rFonts w:ascii="Verdana" w:eastAsia="Aptos" w:hAnsi="Verdana" w:cs="Arial"/>
              </w:rPr>
              <w:t xml:space="preserve">“Contiene únicamente la oferta económica del proponente y debe tener las siguientes características: </w:t>
            </w:r>
          </w:p>
          <w:p w14:paraId="3E81A05B" w14:textId="77777777" w:rsidR="00380822" w:rsidRPr="00380822" w:rsidRDefault="00380822" w:rsidP="00380822">
            <w:pPr>
              <w:numPr>
                <w:ilvl w:val="0"/>
                <w:numId w:val="22"/>
              </w:numPr>
              <w:contextualSpacing/>
              <w:jc w:val="both"/>
              <w:rPr>
                <w:rFonts w:ascii="Verdana" w:eastAsia="Aptos" w:hAnsi="Verdana" w:cs="Arial"/>
              </w:rPr>
            </w:pPr>
            <w:r w:rsidRPr="00380822">
              <w:rPr>
                <w:rFonts w:ascii="Verdana" w:eastAsia="Aptos" w:hAnsi="Verdana" w:cs="Arial"/>
              </w:rPr>
              <w:t>[Para los procesos adelantados en el SECOP I] El proponente debe presentar el Sobre 2 en físico. Sin perjuicio de lo anterior, el proponente podrá presentar el contenido del sobre 2 en medio magnético u óptico debidamente sellado. El medio magnético u óptico que contiene la información de la oferta económica debe ser distinto al que contiene la información del Sobre 1. [Para los procesos en SECOP II, el Sobre 2 debe presentarse en el cuestionario destinado para ello en el Módulo de “Licitación de Obra Pública” y no podrá ser entregado en físico].</w:t>
            </w:r>
          </w:p>
          <w:p w14:paraId="0DF1AB4A" w14:textId="77777777" w:rsidR="00380822" w:rsidRPr="00380822" w:rsidRDefault="00380822" w:rsidP="00380822">
            <w:pPr>
              <w:numPr>
                <w:ilvl w:val="0"/>
                <w:numId w:val="22"/>
              </w:numPr>
              <w:contextualSpacing/>
              <w:jc w:val="both"/>
              <w:rPr>
                <w:rFonts w:ascii="Verdana" w:eastAsia="Aptos" w:hAnsi="Verdana" w:cs="Arial"/>
              </w:rPr>
            </w:pPr>
            <w:r w:rsidRPr="00380822">
              <w:rPr>
                <w:rFonts w:ascii="Verdana" w:eastAsia="Aptos" w:hAnsi="Verdana" w:cs="Arial"/>
              </w:rPr>
              <w:t xml:space="preserve">[Para los procesos adelantados en el SECOP I] Debe incluir la propuesta económica debidamente diligenciada, de conformidad con todos y cada uno de los ítems exigidos y relacionados en el Formulario 1 – Formulario de Presupuesto Oficial. </w:t>
            </w:r>
          </w:p>
          <w:p w14:paraId="0B44DC66" w14:textId="77777777" w:rsidR="00380822" w:rsidRPr="00380822" w:rsidRDefault="00380822" w:rsidP="00380822">
            <w:pPr>
              <w:numPr>
                <w:ilvl w:val="0"/>
                <w:numId w:val="22"/>
              </w:numPr>
              <w:contextualSpacing/>
              <w:jc w:val="both"/>
              <w:rPr>
                <w:rFonts w:ascii="Verdana" w:eastAsia="Aptos" w:hAnsi="Verdana" w:cs="Arial"/>
              </w:rPr>
            </w:pPr>
            <w:r w:rsidRPr="00380822">
              <w:rPr>
                <w:rFonts w:ascii="Verdana" w:eastAsia="Aptos" w:hAnsi="Verdana" w:cs="Arial"/>
              </w:rPr>
              <w:t>[Para los procesos adelantados en el SECOP I] La información en físico y en medio magnético u óptico debe ser idéntica. En caso de presentarse discrepancias entre la información consignada en medio físico y la información incluida en el medio magnético, prevalecerá la información consignada físicamente.</w:t>
            </w:r>
          </w:p>
          <w:p w14:paraId="6BC7F677" w14:textId="77777777" w:rsidR="00380822" w:rsidRPr="00380822" w:rsidRDefault="00380822" w:rsidP="00380822">
            <w:pPr>
              <w:numPr>
                <w:ilvl w:val="0"/>
                <w:numId w:val="22"/>
              </w:numPr>
              <w:contextualSpacing/>
              <w:jc w:val="both"/>
              <w:rPr>
                <w:rFonts w:ascii="Verdana" w:eastAsia="Aptos" w:hAnsi="Verdana" w:cs="Arial"/>
              </w:rPr>
            </w:pPr>
            <w:r w:rsidRPr="00380822">
              <w:rPr>
                <w:rFonts w:ascii="Verdana" w:eastAsia="Aptos" w:hAnsi="Verdana" w:cs="Arial"/>
              </w:rPr>
              <w:t>[Para los procesos adelantados en el SECOP I] La propuesta debe presentarse firmada.</w:t>
            </w:r>
          </w:p>
          <w:p w14:paraId="71472305" w14:textId="77777777" w:rsidR="00380822" w:rsidRPr="00380822" w:rsidRDefault="00380822" w:rsidP="00380822">
            <w:pPr>
              <w:jc w:val="both"/>
              <w:rPr>
                <w:rFonts w:ascii="Verdana" w:eastAsia="Aptos" w:hAnsi="Verdana" w:cs="Arial"/>
              </w:rPr>
            </w:pPr>
          </w:p>
          <w:p w14:paraId="51177751" w14:textId="77777777" w:rsidR="00380822" w:rsidRPr="00380822" w:rsidRDefault="00380822" w:rsidP="00380822">
            <w:pPr>
              <w:jc w:val="both"/>
              <w:rPr>
                <w:rFonts w:ascii="Verdana" w:eastAsia="Aptos" w:hAnsi="Verdana" w:cs="Arial"/>
              </w:rPr>
            </w:pPr>
            <w:r w:rsidRPr="00380822">
              <w:rPr>
                <w:rFonts w:ascii="Verdana" w:eastAsia="Aptos" w:hAnsi="Verdana" w:cs="Arial"/>
                <w:b/>
                <w:bCs/>
              </w:rPr>
              <w:t>Nota</w:t>
            </w:r>
            <w:r w:rsidRPr="00380822">
              <w:rPr>
                <w:rFonts w:ascii="Verdana" w:eastAsia="Aptos" w:hAnsi="Verdana" w:cs="Arial"/>
              </w:rPr>
              <w:t>: En caso de discrepancias entre los valores señalados en el Formulario 1 – Formulario de Presupuesto Oficial y el valor presentado en el SECOP II, prevalecerá el valor presentado en el SECOP II.”</w:t>
            </w:r>
          </w:p>
          <w:p w14:paraId="0C494C0D" w14:textId="77777777" w:rsidR="00380822" w:rsidRPr="00380822" w:rsidRDefault="00380822" w:rsidP="00380822">
            <w:pPr>
              <w:jc w:val="both"/>
              <w:rPr>
                <w:rFonts w:ascii="Verdana" w:eastAsia="Aptos" w:hAnsi="Verdana" w:cs="Arial"/>
              </w:rPr>
            </w:pPr>
          </w:p>
          <w:p w14:paraId="72F7383B" w14:textId="77777777" w:rsidR="00380822" w:rsidRPr="00380822" w:rsidRDefault="00380822" w:rsidP="00380822">
            <w:pPr>
              <w:jc w:val="both"/>
              <w:rPr>
                <w:rFonts w:ascii="Verdana" w:eastAsia="Aptos" w:hAnsi="Verdana" w:cs="Arial"/>
              </w:rPr>
            </w:pPr>
            <w:r w:rsidRPr="00380822">
              <w:rPr>
                <w:rFonts w:ascii="Verdana" w:eastAsia="Aptos" w:hAnsi="Verdana" w:cs="Arial"/>
              </w:rPr>
              <w:t xml:space="preserve">De lo anterior se tiene que, no se aplica la causal de rechazo por no tratarse de dos o más ofertas económicas, y, en caso de existir discrepancias entre el Formulario 1 – Formulario de Presupuesto Oficial y el valor presentado en el SECOP II, prevalecerá el valor presentado en el SECOP II. </w:t>
            </w:r>
          </w:p>
          <w:p w14:paraId="11352167" w14:textId="77777777" w:rsidR="00380822" w:rsidRPr="00380822" w:rsidRDefault="00380822" w:rsidP="00380822">
            <w:pPr>
              <w:jc w:val="both"/>
              <w:rPr>
                <w:rFonts w:ascii="Verdana" w:eastAsia="Aptos" w:hAnsi="Verdana" w:cs="Arial"/>
              </w:rPr>
            </w:pPr>
          </w:p>
          <w:p w14:paraId="3E4F2A89" w14:textId="77777777" w:rsidR="00380822" w:rsidRPr="00380822" w:rsidRDefault="00380822" w:rsidP="00380822">
            <w:pPr>
              <w:spacing w:line="276" w:lineRule="auto"/>
              <w:jc w:val="both"/>
              <w:rPr>
                <w:rFonts w:ascii="Verdana" w:eastAsia="Aptos" w:hAnsi="Verdana" w:cs="Arial"/>
              </w:rPr>
            </w:pPr>
          </w:p>
        </w:tc>
      </w:tr>
    </w:tbl>
    <w:p w14:paraId="1C6A6527" w14:textId="77777777" w:rsidR="00380822" w:rsidRPr="00380822" w:rsidRDefault="00380822" w:rsidP="00380822">
      <w:pPr>
        <w:tabs>
          <w:tab w:val="left" w:pos="142"/>
          <w:tab w:val="left" w:pos="284"/>
        </w:tabs>
        <w:spacing w:after="0" w:line="276" w:lineRule="auto"/>
        <w:jc w:val="both"/>
        <w:rPr>
          <w:rFonts w:ascii="Verdana" w:eastAsia="Century Gothic" w:hAnsi="Verdana" w:cs="Century Gothic"/>
          <w:b/>
          <w:bCs/>
          <w:lang w:val="es-ES"/>
        </w:rPr>
      </w:pPr>
    </w:p>
    <w:p w14:paraId="38B73FF1" w14:textId="77777777" w:rsidR="00380822" w:rsidRPr="00380822" w:rsidRDefault="00380822" w:rsidP="00380822">
      <w:pPr>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380822">
        <w:rPr>
          <w:rFonts w:ascii="Verdana" w:eastAsia="Century Gothic" w:hAnsi="Verdana" w:cs="Century Gothic"/>
          <w:b/>
          <w:bCs/>
        </w:rPr>
        <w:t>Razones de la respuesta:</w:t>
      </w:r>
    </w:p>
    <w:p w14:paraId="691CD1EC" w14:textId="77777777" w:rsidR="00380822" w:rsidRPr="00380822" w:rsidRDefault="00380822" w:rsidP="00380822">
      <w:pPr>
        <w:spacing w:after="0" w:line="276" w:lineRule="auto"/>
        <w:jc w:val="both"/>
        <w:rPr>
          <w:rFonts w:ascii="Verdana" w:eastAsia="Calibri" w:hAnsi="Verdana" w:cs="Arial"/>
          <w:color w:val="7030A0"/>
          <w:lang w:val="es-ES"/>
        </w:rPr>
      </w:pPr>
    </w:p>
    <w:p w14:paraId="11AE2E9E" w14:textId="77777777" w:rsidR="00380822" w:rsidRPr="00380822" w:rsidRDefault="00380822" w:rsidP="00380822">
      <w:pPr>
        <w:spacing w:after="0" w:line="276" w:lineRule="auto"/>
        <w:jc w:val="both"/>
        <w:rPr>
          <w:rFonts w:ascii="Verdana" w:eastAsia="Calibri" w:hAnsi="Verdana" w:cs="Arial"/>
          <w:lang w:val="es-ES"/>
        </w:rPr>
      </w:pPr>
      <w:r w:rsidRPr="00380822">
        <w:rPr>
          <w:rFonts w:ascii="Verdana" w:eastAsia="Calibri" w:hAnsi="Verdana" w:cs="Arial"/>
          <w:lang w:val="es-ES"/>
        </w:rPr>
        <w:t xml:space="preserve">Lo anterior se sustenta en las siguientes consideraciones: </w:t>
      </w:r>
    </w:p>
    <w:p w14:paraId="623F1BBE" w14:textId="77777777" w:rsidR="00380822" w:rsidRPr="00380822" w:rsidRDefault="00380822" w:rsidP="00380822">
      <w:pPr>
        <w:spacing w:after="0" w:line="276" w:lineRule="auto"/>
        <w:jc w:val="both"/>
        <w:rPr>
          <w:rFonts w:ascii="Verdana" w:eastAsia="Calibri" w:hAnsi="Verdana" w:cs="Arial"/>
          <w:lang w:val="es-ES"/>
        </w:rPr>
      </w:pPr>
    </w:p>
    <w:p w14:paraId="2A1838A4" w14:textId="77777777" w:rsidR="00380822" w:rsidRPr="00380822" w:rsidRDefault="00380822" w:rsidP="00380822">
      <w:pPr>
        <w:numPr>
          <w:ilvl w:val="0"/>
          <w:numId w:val="18"/>
        </w:numPr>
        <w:spacing w:after="0" w:line="276" w:lineRule="auto"/>
        <w:contextualSpacing/>
        <w:jc w:val="both"/>
        <w:rPr>
          <w:rFonts w:ascii="Verdana" w:eastAsia="Calibri" w:hAnsi="Verdana" w:cs="Arial"/>
          <w:lang w:val="es-ES"/>
        </w:rPr>
      </w:pPr>
      <w:r w:rsidRPr="00380822">
        <w:rPr>
          <w:rFonts w:ascii="Verdana" w:eastAsia="Calibri" w:hAnsi="Verdana" w:cs="Arial"/>
          <w:lang w:val="es-ES"/>
        </w:rPr>
        <w:t xml:space="preserve">Los Documentos Tipo expedidos por esta Agencia en ejercicio de la potestad otorgada por la Ley 2022 de 2020 son de obligatoria observancia por parte de las Entidades Estatales sometidas al Estatuto General de </w:t>
      </w:r>
      <w:r w:rsidRPr="00380822">
        <w:rPr>
          <w:rFonts w:ascii="Verdana" w:eastAsia="Calibri" w:hAnsi="Verdana" w:cs="Arial"/>
          <w:lang w:val="es-ES"/>
        </w:rPr>
        <w:lastRenderedPageBreak/>
        <w:t xml:space="preserve">Contratación de la Administración Pública –EGCAP–. Debido a esto, tales entidades deben aplicar de manera forzosa los Documentos Tipo para desarrollar los Procesos de Contratación en los objetos y modalidades cobijadas por los Documentos Tipo. </w:t>
      </w:r>
    </w:p>
    <w:p w14:paraId="7E41C5A3" w14:textId="77777777" w:rsidR="00380822" w:rsidRPr="00380822" w:rsidRDefault="00380822" w:rsidP="00380822">
      <w:pPr>
        <w:spacing w:after="0" w:line="276" w:lineRule="auto"/>
        <w:ind w:left="720"/>
        <w:contextualSpacing/>
        <w:jc w:val="both"/>
        <w:rPr>
          <w:rFonts w:ascii="Verdana" w:eastAsia="Calibri" w:hAnsi="Verdana" w:cs="Arial"/>
          <w:lang w:val="es-ES"/>
        </w:rPr>
      </w:pPr>
    </w:p>
    <w:p w14:paraId="3C480B28" w14:textId="77777777" w:rsidR="00380822" w:rsidRPr="00380822" w:rsidRDefault="00380822" w:rsidP="00380822">
      <w:pPr>
        <w:numPr>
          <w:ilvl w:val="0"/>
          <w:numId w:val="18"/>
        </w:numPr>
        <w:snapToGrid w:val="0"/>
        <w:spacing w:after="120" w:line="276" w:lineRule="auto"/>
        <w:contextualSpacing/>
        <w:jc w:val="both"/>
        <w:rPr>
          <w:rFonts w:ascii="Verdana" w:eastAsia="Aptos" w:hAnsi="Verdana" w:cs="Arial"/>
          <w:lang w:val="es-ES_tradnl"/>
        </w:rPr>
      </w:pPr>
      <w:r w:rsidRPr="00380822">
        <w:rPr>
          <w:rFonts w:ascii="Verdana" w:eastAsia="Aptos" w:hAnsi="Verdana" w:cs="Times New Roman"/>
          <w:lang w:val="es-ES_tradnl"/>
        </w:rPr>
        <w:t>Para el sector de infraestructura de transporte, la Agencia Nacional de Contratación Pública – Colombia Compra Eficiente ha expedido Documentos Tipo</w:t>
      </w:r>
      <w:r w:rsidRPr="00380822">
        <w:rPr>
          <w:rFonts w:ascii="Aptos" w:eastAsia="Aptos" w:hAnsi="Aptos" w:cs="Arial"/>
          <w:vertAlign w:val="superscript"/>
          <w:lang w:val="es-ES_tradnl"/>
        </w:rPr>
        <w:footnoteReference w:id="1"/>
      </w:r>
      <w:r w:rsidRPr="00380822">
        <w:rPr>
          <w:rFonts w:ascii="Verdana" w:eastAsia="Aptos" w:hAnsi="Verdana" w:cs="Times New Roman"/>
          <w:lang w:val="es-ES_tradnl"/>
        </w:rPr>
        <w:t xml:space="preserve"> para contratar obras públicas de infraestructura de transporte bajo las modalidades de selección de licitación pública, selección abreviada de menor cuantía y mínima cuantía. Así mismo, esta Agencia ha expedido documentos tipo de concurso de méritos para contratar la interventoría y la consultoría de estudios de ingeniería de infraestructura de transporte. </w:t>
      </w:r>
    </w:p>
    <w:p w14:paraId="32E0CAA2" w14:textId="77777777" w:rsidR="00380822" w:rsidRPr="00380822" w:rsidRDefault="00380822" w:rsidP="00380822">
      <w:pPr>
        <w:ind w:left="720"/>
        <w:contextualSpacing/>
        <w:rPr>
          <w:rFonts w:ascii="Verdana" w:eastAsia="Aptos" w:hAnsi="Verdana" w:cs="Arial"/>
          <w:lang w:val="es-ES_tradnl"/>
        </w:rPr>
      </w:pPr>
    </w:p>
    <w:p w14:paraId="74CA7F2B" w14:textId="77777777" w:rsidR="00380822" w:rsidRPr="00380822" w:rsidRDefault="00380822" w:rsidP="00380822">
      <w:pPr>
        <w:snapToGrid w:val="0"/>
        <w:spacing w:after="120" w:line="276" w:lineRule="auto"/>
        <w:ind w:left="720"/>
        <w:contextualSpacing/>
        <w:jc w:val="both"/>
        <w:rPr>
          <w:rFonts w:ascii="Verdana" w:eastAsia="Aptos" w:hAnsi="Verdana" w:cs="Arial"/>
          <w:lang w:val="es-ES_tradnl"/>
        </w:rPr>
      </w:pPr>
    </w:p>
    <w:p w14:paraId="177D780E" w14:textId="77777777" w:rsidR="00380822" w:rsidRPr="00380822" w:rsidRDefault="00380822" w:rsidP="00380822">
      <w:pPr>
        <w:numPr>
          <w:ilvl w:val="0"/>
          <w:numId w:val="18"/>
        </w:numPr>
        <w:snapToGrid w:val="0"/>
        <w:spacing w:after="120" w:line="276" w:lineRule="auto"/>
        <w:contextualSpacing/>
        <w:jc w:val="both"/>
        <w:rPr>
          <w:rFonts w:ascii="Verdana" w:eastAsia="Aptos" w:hAnsi="Verdana" w:cs="Arial"/>
          <w:lang w:val="es-ES_tradnl"/>
        </w:rPr>
      </w:pPr>
      <w:r w:rsidRPr="00380822">
        <w:rPr>
          <w:rFonts w:ascii="Verdana" w:eastAsia="Aptos" w:hAnsi="Verdana" w:cs="Arial"/>
          <w:lang w:val="es-ES_tradnl"/>
        </w:rPr>
        <w:t>Recientemente, esta Agencia expidió la Resolución No. 465 de 2024 “Por la cual se adopta la versión -4- de los Documentos Tipo para los procesos de selección de licitación de obra pública del sector de infraestructura de transporte y se deroga la Resolución 240 de 2020”. Estos documentos aplican a los procesos de selección de licitación de obra pública de infraestructura de transporte, cuyo aviso de convocatoria de publique a partir del 3 de febrero de 2025.</w:t>
      </w:r>
    </w:p>
    <w:p w14:paraId="4373660F" w14:textId="77777777" w:rsidR="00380822" w:rsidRPr="00380822" w:rsidRDefault="00380822" w:rsidP="00380822">
      <w:pPr>
        <w:snapToGrid w:val="0"/>
        <w:spacing w:after="120" w:line="276" w:lineRule="auto"/>
        <w:ind w:left="720"/>
        <w:contextualSpacing/>
        <w:jc w:val="both"/>
        <w:rPr>
          <w:rFonts w:ascii="Verdana" w:eastAsia="Aptos" w:hAnsi="Verdana" w:cs="Arial"/>
          <w:lang w:val="es-ES_tradnl"/>
        </w:rPr>
      </w:pPr>
    </w:p>
    <w:p w14:paraId="3D1F3766" w14:textId="77777777" w:rsidR="00380822" w:rsidRPr="00380822" w:rsidRDefault="00380822" w:rsidP="00380822">
      <w:pPr>
        <w:numPr>
          <w:ilvl w:val="0"/>
          <w:numId w:val="18"/>
        </w:numPr>
        <w:snapToGrid w:val="0"/>
        <w:spacing w:after="120" w:line="276" w:lineRule="auto"/>
        <w:contextualSpacing/>
        <w:jc w:val="both"/>
        <w:rPr>
          <w:rFonts w:ascii="Verdana" w:eastAsia="Aptos" w:hAnsi="Verdana" w:cs="Arial"/>
          <w:kern w:val="2"/>
          <w:lang w:val="es-ES_tradnl" w:eastAsia="es-ES"/>
        </w:rPr>
      </w:pPr>
      <w:r w:rsidRPr="00380822">
        <w:rPr>
          <w:rFonts w:ascii="Verdana" w:eastAsia="Aptos" w:hAnsi="Verdana" w:cs="Arial"/>
          <w:kern w:val="2"/>
          <w:lang w:val="es-ES_tradnl" w:eastAsia="es-MX"/>
        </w:rPr>
        <w:t xml:space="preserve">Ahora bien, los documentos tipo de infraestructura de transporte, contemplan el “Formulario 1 – Formulario de Presupuesto Oficial”, empleado por la entidad para elaborar y presentar el presupuesto oficial, y mediante el cual el proponente estructura la oferta económica. </w:t>
      </w:r>
    </w:p>
    <w:p w14:paraId="719D17BF" w14:textId="77777777" w:rsidR="00380822" w:rsidRPr="00380822" w:rsidRDefault="00380822" w:rsidP="00380822">
      <w:pPr>
        <w:numPr>
          <w:ilvl w:val="0"/>
          <w:numId w:val="18"/>
        </w:numPr>
        <w:spacing w:after="0" w:line="276" w:lineRule="auto"/>
        <w:contextualSpacing/>
        <w:jc w:val="both"/>
        <w:rPr>
          <w:rFonts w:ascii="Verdana" w:eastAsia="Calibri" w:hAnsi="Verdana" w:cs="Arial"/>
          <w:lang w:val="es-ES"/>
        </w:rPr>
      </w:pPr>
      <w:r w:rsidRPr="00380822">
        <w:rPr>
          <w:rFonts w:ascii="Verdana" w:eastAsia="Aptos" w:hAnsi="Verdana" w:cs="Arial"/>
          <w:kern w:val="2"/>
          <w:lang w:val="es-ES_tradnl" w:eastAsia="es-MX"/>
        </w:rPr>
        <w:t>Este formulario lo prepara la entidad en la etapa de planeación y le permite definir el valor oficial estimado del proceso de contratación. Por tanto, las entidades estatales para su elaboración deben tener en cuenta diferentes variables</w:t>
      </w:r>
      <w:r w:rsidRPr="00380822">
        <w:rPr>
          <w:rFonts w:ascii="Verdana" w:eastAsia="Aptos" w:hAnsi="Verdana" w:cs="Times New Roman"/>
          <w:kern w:val="2"/>
          <w:vertAlign w:val="superscript"/>
          <w:lang w:val="es-ES_tradnl" w:eastAsia="es-MX"/>
        </w:rPr>
        <w:footnoteReference w:id="2"/>
      </w:r>
      <w:r w:rsidRPr="00380822">
        <w:rPr>
          <w:rFonts w:ascii="Verdana" w:eastAsia="Aptos" w:hAnsi="Verdana" w:cs="Arial"/>
          <w:kern w:val="2"/>
          <w:lang w:val="es-ES_tradnl" w:eastAsia="es-MX"/>
        </w:rPr>
        <w:t>, como el objeto, alcance, obras a ejecutar, actividades, cantidades, particularidades de la zona de ejecución del proyecto, disponibilidad y distancia de fuentes de materiales, entre otros.</w:t>
      </w:r>
    </w:p>
    <w:p w14:paraId="32A4F678" w14:textId="77777777" w:rsidR="00380822" w:rsidRPr="00380822" w:rsidRDefault="00380822" w:rsidP="00380822">
      <w:pPr>
        <w:spacing w:after="0" w:line="276" w:lineRule="auto"/>
        <w:ind w:left="720"/>
        <w:contextualSpacing/>
        <w:jc w:val="both"/>
        <w:rPr>
          <w:rFonts w:ascii="Verdana" w:eastAsia="Calibri" w:hAnsi="Verdana" w:cs="Arial"/>
          <w:lang w:val="es-ES"/>
        </w:rPr>
      </w:pPr>
    </w:p>
    <w:p w14:paraId="7D902BA3" w14:textId="77777777" w:rsidR="00380822" w:rsidRPr="00380822" w:rsidRDefault="00380822" w:rsidP="00380822">
      <w:pPr>
        <w:widowControl w:val="0"/>
        <w:numPr>
          <w:ilvl w:val="0"/>
          <w:numId w:val="18"/>
        </w:numPr>
        <w:autoSpaceDE w:val="0"/>
        <w:autoSpaceDN w:val="0"/>
        <w:snapToGrid w:val="0"/>
        <w:spacing w:after="120" w:line="276" w:lineRule="auto"/>
        <w:contextualSpacing/>
        <w:jc w:val="both"/>
        <w:rPr>
          <w:rFonts w:ascii="Verdana" w:eastAsia="Times New Roman" w:hAnsi="Verdana" w:cs="Arial"/>
          <w:kern w:val="2"/>
          <w:lang w:val="es-ES" w:eastAsia="es-MX"/>
        </w:rPr>
      </w:pPr>
      <w:r w:rsidRPr="00380822">
        <w:rPr>
          <w:rFonts w:ascii="Verdana" w:eastAsia="Times New Roman" w:hAnsi="Verdana" w:cs="Arial"/>
          <w:kern w:val="2"/>
          <w:lang w:val="es-ES" w:eastAsia="es-MX"/>
        </w:rPr>
        <w:t xml:space="preserve">En los documentos tipo de obra de infraestructura de transporte, el “Formulario 1 – Formulario de Presupuesto Oficial” tiene dos connotaciones: i) por un lado, es el formulario sobre el cual la entidad estructura y presenta el presupuesto oficial del procedimiento de contratación; y </w:t>
      </w:r>
      <w:proofErr w:type="spellStart"/>
      <w:r w:rsidRPr="00380822">
        <w:rPr>
          <w:rFonts w:ascii="Verdana" w:eastAsia="Times New Roman" w:hAnsi="Verdana" w:cs="Arial"/>
          <w:kern w:val="2"/>
          <w:lang w:val="es-ES" w:eastAsia="es-MX"/>
        </w:rPr>
        <w:t>ii</w:t>
      </w:r>
      <w:proofErr w:type="spellEnd"/>
      <w:r w:rsidRPr="00380822">
        <w:rPr>
          <w:rFonts w:ascii="Verdana" w:eastAsia="Times New Roman" w:hAnsi="Verdana" w:cs="Arial"/>
          <w:kern w:val="2"/>
          <w:lang w:val="es-ES" w:eastAsia="es-MX"/>
        </w:rPr>
        <w:t>) por el otro, es el formulario sobre el cual los proponentes elaboran y presentan su oferta económica. Específicamente, frente a la propuesta económica, el documento base señala que la misma se debe elaborar a partir del “Formulario 1– Formulario de Presupuesto Oficial” y la presentación debe hacerse con sujeción a lo dispuesto en los numerales “2.3. ELABORACIÓN Y PRESENTACIÓN DE LA OFERTA” y “4.1. OFERTA ECONÓMICA” del referido documento base. El propósito de esto es evitar la duplicidad de información y permitir que las propuestas económicas sean evaluadas con las variables, cantidades, unidades de medida y reglas consideradas por la entidad al estructurar su presupuesto oficial.</w:t>
      </w:r>
    </w:p>
    <w:p w14:paraId="1EE70873" w14:textId="77777777" w:rsidR="00380822" w:rsidRPr="00380822" w:rsidRDefault="00380822" w:rsidP="00380822">
      <w:pPr>
        <w:widowControl w:val="0"/>
        <w:numPr>
          <w:ilvl w:val="0"/>
          <w:numId w:val="18"/>
        </w:numPr>
        <w:autoSpaceDE w:val="0"/>
        <w:autoSpaceDN w:val="0"/>
        <w:snapToGrid w:val="0"/>
        <w:spacing w:after="120" w:line="276" w:lineRule="auto"/>
        <w:contextualSpacing/>
        <w:jc w:val="both"/>
        <w:rPr>
          <w:rFonts w:ascii="Verdana" w:eastAsia="Times New Roman" w:hAnsi="Verdana" w:cs="Arial"/>
          <w:kern w:val="2"/>
          <w:lang w:val="es-ES" w:eastAsia="es-ES"/>
        </w:rPr>
      </w:pPr>
      <w:r w:rsidRPr="00380822">
        <w:rPr>
          <w:rFonts w:ascii="Verdana" w:eastAsia="Times New Roman" w:hAnsi="Verdana" w:cs="Arial"/>
          <w:kern w:val="2"/>
          <w:lang w:val="es-ES" w:eastAsia="es-ES"/>
        </w:rPr>
        <w:t xml:space="preserve">En ese contexto, se tiene que, en la primera hoja del Formulario 1, que corresponde al presupuesto oficial, la entidad debe enlistar los </w:t>
      </w:r>
      <w:r w:rsidRPr="00380822">
        <w:rPr>
          <w:rFonts w:ascii="Verdana" w:eastAsia="Times New Roman" w:hAnsi="Verdana" w:cs="Arial"/>
          <w:i/>
          <w:iCs/>
          <w:kern w:val="2"/>
          <w:lang w:val="es-ES" w:eastAsia="es-ES"/>
        </w:rPr>
        <w:t xml:space="preserve">ítems de pago </w:t>
      </w:r>
      <w:r w:rsidRPr="00380822">
        <w:rPr>
          <w:rFonts w:ascii="Verdana" w:eastAsia="Times New Roman" w:hAnsi="Verdana" w:cs="Arial"/>
          <w:kern w:val="2"/>
          <w:lang w:val="es-ES" w:eastAsia="es-ES"/>
        </w:rPr>
        <w:t xml:space="preserve">de los bienes, obras o servicios que se requieren para la ejecución de la obra pública de infraestructura de transporte. Además, es posible establecer: i) sus especificaciones generales y particulares, </w:t>
      </w:r>
      <w:proofErr w:type="spellStart"/>
      <w:r w:rsidRPr="00380822">
        <w:rPr>
          <w:rFonts w:ascii="Verdana" w:eastAsia="Times New Roman" w:hAnsi="Verdana" w:cs="Arial"/>
          <w:kern w:val="2"/>
          <w:lang w:val="es-ES" w:eastAsia="es-ES"/>
        </w:rPr>
        <w:t>ii</w:t>
      </w:r>
      <w:proofErr w:type="spellEnd"/>
      <w:r w:rsidRPr="00380822">
        <w:rPr>
          <w:rFonts w:ascii="Verdana" w:eastAsia="Times New Roman" w:hAnsi="Verdana" w:cs="Arial"/>
          <w:kern w:val="2"/>
          <w:lang w:val="es-ES" w:eastAsia="es-ES"/>
        </w:rPr>
        <w:t xml:space="preserve">) la descripción, </w:t>
      </w:r>
      <w:proofErr w:type="spellStart"/>
      <w:r w:rsidRPr="00380822">
        <w:rPr>
          <w:rFonts w:ascii="Verdana" w:eastAsia="Times New Roman" w:hAnsi="Verdana" w:cs="Arial"/>
          <w:kern w:val="2"/>
          <w:lang w:val="es-ES" w:eastAsia="es-ES"/>
        </w:rPr>
        <w:t>iii</w:t>
      </w:r>
      <w:proofErr w:type="spellEnd"/>
      <w:r w:rsidRPr="00380822">
        <w:rPr>
          <w:rFonts w:ascii="Verdana" w:eastAsia="Times New Roman" w:hAnsi="Verdana" w:cs="Arial"/>
          <w:kern w:val="2"/>
          <w:lang w:val="es-ES" w:eastAsia="es-ES"/>
        </w:rPr>
        <w:t xml:space="preserve">) la unidad de medida, </w:t>
      </w:r>
      <w:proofErr w:type="spellStart"/>
      <w:r w:rsidRPr="00380822">
        <w:rPr>
          <w:rFonts w:ascii="Verdana" w:eastAsia="Times New Roman" w:hAnsi="Verdana" w:cs="Arial"/>
          <w:kern w:val="2"/>
          <w:lang w:val="es-ES" w:eastAsia="es-ES"/>
        </w:rPr>
        <w:t>iv</w:t>
      </w:r>
      <w:proofErr w:type="spellEnd"/>
      <w:r w:rsidRPr="00380822">
        <w:rPr>
          <w:rFonts w:ascii="Verdana" w:eastAsia="Times New Roman" w:hAnsi="Verdana" w:cs="Arial"/>
          <w:kern w:val="2"/>
          <w:lang w:val="es-ES" w:eastAsia="es-ES"/>
        </w:rPr>
        <w:t xml:space="preserve">) la cantidad, v) el valor unitario y vi) el valor total de los </w:t>
      </w:r>
      <w:r w:rsidRPr="00380822">
        <w:rPr>
          <w:rFonts w:ascii="Verdana" w:eastAsia="Times New Roman" w:hAnsi="Verdana" w:cs="Arial"/>
          <w:i/>
          <w:iCs/>
          <w:kern w:val="2"/>
          <w:lang w:val="es-ES" w:eastAsia="es-ES"/>
        </w:rPr>
        <w:t>ítems.</w:t>
      </w:r>
    </w:p>
    <w:p w14:paraId="203BDD8D" w14:textId="77777777" w:rsidR="00380822" w:rsidRPr="00380822" w:rsidRDefault="00380822" w:rsidP="00380822">
      <w:pPr>
        <w:widowControl w:val="0"/>
        <w:autoSpaceDE w:val="0"/>
        <w:autoSpaceDN w:val="0"/>
        <w:snapToGrid w:val="0"/>
        <w:spacing w:after="120" w:line="276" w:lineRule="auto"/>
        <w:ind w:left="720"/>
        <w:contextualSpacing/>
        <w:jc w:val="both"/>
        <w:rPr>
          <w:rFonts w:ascii="Verdana" w:eastAsia="Times New Roman" w:hAnsi="Verdana" w:cs="Arial"/>
          <w:kern w:val="2"/>
          <w:lang w:val="es-ES" w:eastAsia="es-ES"/>
        </w:rPr>
      </w:pPr>
    </w:p>
    <w:p w14:paraId="33AF1F6C" w14:textId="77777777" w:rsidR="00380822" w:rsidRPr="00380822" w:rsidRDefault="00380822" w:rsidP="00380822">
      <w:pPr>
        <w:widowControl w:val="0"/>
        <w:numPr>
          <w:ilvl w:val="0"/>
          <w:numId w:val="18"/>
        </w:numPr>
        <w:autoSpaceDE w:val="0"/>
        <w:autoSpaceDN w:val="0"/>
        <w:snapToGrid w:val="0"/>
        <w:spacing w:after="120" w:line="276" w:lineRule="auto"/>
        <w:contextualSpacing/>
        <w:jc w:val="both"/>
        <w:rPr>
          <w:rFonts w:ascii="Verdana" w:eastAsia="Times New Roman" w:hAnsi="Verdana" w:cs="Arial"/>
          <w:iCs/>
          <w:kern w:val="2"/>
          <w:lang w:val="es-ES_tradnl" w:eastAsia="es-ES"/>
        </w:rPr>
      </w:pPr>
      <w:r w:rsidRPr="00380822">
        <w:rPr>
          <w:rFonts w:ascii="Verdana" w:eastAsia="Times New Roman" w:hAnsi="Verdana" w:cs="Arial"/>
          <w:kern w:val="2"/>
          <w:lang w:val="es-ES_tradnl" w:eastAsia="es-MX"/>
        </w:rPr>
        <w:t xml:space="preserve">Teniendo en cuenta el objeto de su consulta, es importante señalar que, el numeral “2.3. ELABORACIÓN Y PRESENTACIÓN DE LA OFERTA” del documento base de los documentos tipo en comento, contiene una </w:t>
      </w:r>
      <w:r w:rsidRPr="00380822">
        <w:rPr>
          <w:rFonts w:ascii="Verdana" w:eastAsia="Times New Roman" w:hAnsi="Verdana" w:cs="Arial"/>
          <w:i/>
          <w:iCs/>
          <w:kern w:val="2"/>
          <w:lang w:val="es-ES_tradnl" w:eastAsia="es-MX"/>
        </w:rPr>
        <w:t>Nota,</w:t>
      </w:r>
      <w:r w:rsidRPr="00380822">
        <w:rPr>
          <w:rFonts w:ascii="Verdana" w:eastAsia="Times New Roman" w:hAnsi="Verdana" w:cs="Arial"/>
          <w:kern w:val="2"/>
          <w:lang w:val="es-ES_tradnl" w:eastAsia="es-MX"/>
        </w:rPr>
        <w:t xml:space="preserve"> que establece que, </w:t>
      </w:r>
      <w:r w:rsidRPr="00380822">
        <w:rPr>
          <w:rFonts w:ascii="Verdana" w:eastAsia="Times New Roman" w:hAnsi="Verdana" w:cs="Arial"/>
          <w:i/>
          <w:iCs/>
          <w:kern w:val="2"/>
          <w:lang w:val="es-ES_tradnl" w:eastAsia="es-MX"/>
        </w:rPr>
        <w:t>“[e]n caso de discrepancias entre los valores señalados en el Formulario 1 – Formulario de Presupuesto Oficial y el valor presentado en el SECOP II, prevalecerá el valor presentado en el SECOP II.”</w:t>
      </w:r>
    </w:p>
    <w:p w14:paraId="60554AB9" w14:textId="77777777" w:rsidR="00380822" w:rsidRPr="00380822" w:rsidRDefault="00380822" w:rsidP="00380822">
      <w:pPr>
        <w:numPr>
          <w:ilvl w:val="0"/>
          <w:numId w:val="18"/>
        </w:numPr>
        <w:snapToGrid w:val="0"/>
        <w:spacing w:after="120" w:line="276" w:lineRule="auto"/>
        <w:contextualSpacing/>
        <w:jc w:val="both"/>
        <w:rPr>
          <w:rFonts w:ascii="Verdana" w:eastAsia="Times New Roman" w:hAnsi="Verdana" w:cs="Arial"/>
          <w:lang w:val="es-ES_tradnl"/>
        </w:rPr>
      </w:pPr>
      <w:r w:rsidRPr="00380822">
        <w:rPr>
          <w:rFonts w:ascii="Verdana" w:eastAsia="Times New Roman" w:hAnsi="Verdana" w:cs="Arial"/>
          <w:lang w:val="es-ES_tradnl"/>
        </w:rPr>
        <w:t>Al respecto, debe advertirse que, indistintamente de los valores que figuren en el Formulario 1 y el SECOP II, prevalecerán los consignados en el SECOP II.</w:t>
      </w:r>
    </w:p>
    <w:p w14:paraId="432088E7" w14:textId="77777777" w:rsidR="00380822" w:rsidRPr="00380822" w:rsidRDefault="00380822" w:rsidP="00380822">
      <w:pPr>
        <w:snapToGrid w:val="0"/>
        <w:spacing w:after="120" w:line="276" w:lineRule="auto"/>
        <w:ind w:left="720"/>
        <w:contextualSpacing/>
        <w:jc w:val="both"/>
        <w:rPr>
          <w:rFonts w:ascii="Verdana" w:eastAsia="Times New Roman" w:hAnsi="Verdana" w:cs="Arial"/>
          <w:lang w:val="es-ES_tradnl"/>
        </w:rPr>
      </w:pPr>
    </w:p>
    <w:p w14:paraId="5230DCC2" w14:textId="77777777" w:rsidR="00380822" w:rsidRPr="00380822" w:rsidRDefault="00380822" w:rsidP="00380822">
      <w:pPr>
        <w:numPr>
          <w:ilvl w:val="0"/>
          <w:numId w:val="18"/>
        </w:numPr>
        <w:snapToGrid w:val="0"/>
        <w:spacing w:after="120" w:line="240" w:lineRule="auto"/>
        <w:contextualSpacing/>
        <w:jc w:val="both"/>
        <w:rPr>
          <w:rFonts w:ascii="Verdana" w:eastAsia="Times New Roman" w:hAnsi="Verdana" w:cs="Arial"/>
          <w:lang w:val="es-ES"/>
        </w:rPr>
      </w:pPr>
      <w:r w:rsidRPr="00380822">
        <w:rPr>
          <w:rFonts w:ascii="Verdana" w:eastAsia="Times New Roman" w:hAnsi="Verdana" w:cs="Arial"/>
          <w:lang w:val="es-ES"/>
        </w:rPr>
        <w:t xml:space="preserve">Por lo tanto, cuando este tipo de situaciones se presenten en desarrollo de procesos de contratación, corresponderá a las entidades estatales, en </w:t>
      </w:r>
      <w:r w:rsidRPr="00380822">
        <w:rPr>
          <w:rFonts w:ascii="Verdana" w:eastAsia="Times New Roman" w:hAnsi="Verdana" w:cs="Arial"/>
          <w:lang w:val="es-ES"/>
        </w:rPr>
        <w:lastRenderedPageBreak/>
        <w:t>el marco de su autonomía, adelantar las acciones procedentes y necesarias, con el fin hacer prevalecer los valores de la oferta contemplados en el SECOP II y continuar con el desarrollo del proceso, conforme al régimen jurídico aplicable.</w:t>
      </w:r>
    </w:p>
    <w:p w14:paraId="3791EC53" w14:textId="77777777" w:rsidR="00380822" w:rsidRPr="00380822" w:rsidRDefault="00380822" w:rsidP="00380822">
      <w:pPr>
        <w:spacing w:line="240" w:lineRule="auto"/>
        <w:ind w:left="720"/>
        <w:contextualSpacing/>
        <w:rPr>
          <w:rFonts w:ascii="Verdana" w:eastAsia="Times New Roman" w:hAnsi="Verdana" w:cs="Arial"/>
          <w:lang w:val="es-ES"/>
        </w:rPr>
      </w:pPr>
    </w:p>
    <w:p w14:paraId="7423EA91" w14:textId="77777777" w:rsidR="00380822" w:rsidRPr="00380822" w:rsidRDefault="00380822" w:rsidP="00380822">
      <w:pPr>
        <w:snapToGrid w:val="0"/>
        <w:spacing w:after="120" w:line="240" w:lineRule="auto"/>
        <w:ind w:left="720"/>
        <w:contextualSpacing/>
        <w:jc w:val="both"/>
        <w:rPr>
          <w:rFonts w:ascii="Verdana" w:eastAsia="Times New Roman" w:hAnsi="Verdana" w:cs="Arial"/>
          <w:lang w:val="es-ES"/>
        </w:rPr>
      </w:pPr>
    </w:p>
    <w:p w14:paraId="20EAA248" w14:textId="77777777" w:rsidR="00380822" w:rsidRPr="00380822" w:rsidRDefault="00380822" w:rsidP="00380822">
      <w:pPr>
        <w:numPr>
          <w:ilvl w:val="0"/>
          <w:numId w:val="18"/>
        </w:numPr>
        <w:snapToGrid w:val="0"/>
        <w:spacing w:after="120" w:line="240" w:lineRule="auto"/>
        <w:contextualSpacing/>
        <w:jc w:val="both"/>
        <w:rPr>
          <w:rFonts w:ascii="Verdana" w:eastAsia="Times New Roman" w:hAnsi="Verdana" w:cs="Arial"/>
          <w:lang w:val="es-ES"/>
        </w:rPr>
      </w:pPr>
      <w:r w:rsidRPr="00380822">
        <w:rPr>
          <w:rFonts w:ascii="Verdana" w:eastAsia="Times New Roman" w:hAnsi="Verdana" w:cs="Arial"/>
          <w:lang w:val="es-ES"/>
        </w:rPr>
        <w:t xml:space="preserve">En todo caso, debe advertirse que, la precitada </w:t>
      </w:r>
      <w:r w:rsidRPr="00380822">
        <w:rPr>
          <w:rFonts w:ascii="Verdana" w:eastAsia="Times New Roman" w:hAnsi="Verdana" w:cs="Arial"/>
          <w:i/>
          <w:iCs/>
          <w:lang w:val="es-ES"/>
        </w:rPr>
        <w:t xml:space="preserve">Nota </w:t>
      </w:r>
      <w:r w:rsidRPr="00380822">
        <w:rPr>
          <w:rFonts w:ascii="Verdana" w:eastAsia="Times New Roman" w:hAnsi="Verdana" w:cs="Arial"/>
          <w:lang w:val="es-ES"/>
        </w:rPr>
        <w:t xml:space="preserve">debe ser entendida respecto al valor total consignado en el Formulario 1 y aquel presentado en SECOP II. De esta manera, lo importante será que ambos valores totales coincidan –tanto el del Formulario 1 como el del SECOP II– cuando, conforme al proceso de contratación, la entidad solicite lo mismo, so pena de que prevalezca el valor señalado en SECOP II.  </w:t>
      </w:r>
    </w:p>
    <w:p w14:paraId="64606352" w14:textId="77777777" w:rsidR="00380822" w:rsidRPr="00380822" w:rsidRDefault="00380822" w:rsidP="00380822">
      <w:pPr>
        <w:snapToGrid w:val="0"/>
        <w:spacing w:after="120" w:line="276" w:lineRule="auto"/>
        <w:ind w:left="720"/>
        <w:contextualSpacing/>
        <w:jc w:val="both"/>
        <w:rPr>
          <w:rFonts w:ascii="Verdana" w:eastAsia="Times New Roman" w:hAnsi="Verdana" w:cs="Arial"/>
          <w:lang w:val="es-ES"/>
        </w:rPr>
      </w:pPr>
    </w:p>
    <w:p w14:paraId="60CF1F59" w14:textId="77777777" w:rsidR="00380822" w:rsidRPr="00380822" w:rsidRDefault="00380822" w:rsidP="00380822">
      <w:pPr>
        <w:numPr>
          <w:ilvl w:val="0"/>
          <w:numId w:val="18"/>
        </w:numPr>
        <w:spacing w:line="240" w:lineRule="auto"/>
        <w:contextualSpacing/>
        <w:jc w:val="both"/>
        <w:rPr>
          <w:rFonts w:ascii="Verdana" w:eastAsia="Calibri" w:hAnsi="Verdana" w:cs="Arial"/>
          <w:lang w:val="es-ES"/>
        </w:rPr>
      </w:pPr>
      <w:r w:rsidRPr="00380822">
        <w:rPr>
          <w:rFonts w:ascii="Verdana" w:eastAsia="Calibri" w:hAnsi="Verdana" w:cs="Arial"/>
          <w:lang w:val="es-ES"/>
        </w:rPr>
        <w:t>La corrección aritmética en los procesos de selección tiene como finalidad exclusiva enmendar errores de cálculo en las operaciones matemáticas de las ofertas —como sumas, restas, multiplicaciones o divisiones—, de manera que el valor total corresponda al resultado correcto de las operaciones presentadas por el proponente. En consecuencia, dicha figura no puede extenderse a modificaciones que alteren las condiciones materiales de la oferta, tales como la adición, supresión, variación o modificación de ítems o de las cantidades señaladas por la entidad en el presupuesto oficial.</w:t>
      </w:r>
    </w:p>
    <w:p w14:paraId="04F27C04" w14:textId="77777777" w:rsidR="00380822" w:rsidRPr="00380822" w:rsidRDefault="00380822" w:rsidP="00380822">
      <w:pPr>
        <w:spacing w:line="240" w:lineRule="auto"/>
        <w:ind w:left="720"/>
        <w:contextualSpacing/>
        <w:jc w:val="both"/>
        <w:rPr>
          <w:rFonts w:ascii="Verdana" w:eastAsia="Calibri" w:hAnsi="Verdana" w:cs="Arial"/>
          <w:lang w:val="es-ES"/>
        </w:rPr>
      </w:pPr>
    </w:p>
    <w:p w14:paraId="658C6165" w14:textId="77777777" w:rsidR="00380822" w:rsidRPr="00380822" w:rsidRDefault="00380822" w:rsidP="00380822">
      <w:pPr>
        <w:spacing w:line="240" w:lineRule="auto"/>
        <w:ind w:left="720"/>
        <w:contextualSpacing/>
        <w:jc w:val="both"/>
        <w:rPr>
          <w:rFonts w:ascii="Verdana" w:eastAsia="Calibri" w:hAnsi="Verdana" w:cs="Arial"/>
          <w:lang w:val="es-ES"/>
        </w:rPr>
      </w:pPr>
      <w:r w:rsidRPr="00380822">
        <w:rPr>
          <w:rFonts w:ascii="Verdana" w:eastAsia="Calibri" w:hAnsi="Verdana" w:cs="Arial"/>
          <w:lang w:val="es-ES"/>
        </w:rPr>
        <w:t>En efecto, los pliegos de condiciones constituyen la regla de juego que rige el proceso de selección, y el proponente, al presentar su oferta, debe ajustarse a los parámetros definidos por la entidad estatal. Cualquier alteración sustancial de esos parámetros no configura un error aritmético, sino una modificación de la propuesta frente a las condiciones establecidas por la entidad, lo cual, puede constituir una causal de rechazo de la oferta por falta de correspondencia con los pliegos de condiciones, circunstancia que deberá evaluarse en cada caso en concreto.</w:t>
      </w:r>
    </w:p>
    <w:p w14:paraId="55814585" w14:textId="77777777" w:rsidR="00380822" w:rsidRPr="00380822" w:rsidRDefault="00380822" w:rsidP="00380822">
      <w:pPr>
        <w:spacing w:after="0" w:line="276" w:lineRule="auto"/>
        <w:ind w:left="720"/>
        <w:contextualSpacing/>
        <w:jc w:val="both"/>
        <w:rPr>
          <w:rFonts w:ascii="Verdana" w:eastAsia="Calibri" w:hAnsi="Verdana" w:cs="Arial"/>
          <w:lang w:val="es-ES"/>
        </w:rPr>
      </w:pPr>
    </w:p>
    <w:p w14:paraId="5B54D362" w14:textId="77777777" w:rsidR="00380822" w:rsidRPr="00380822" w:rsidRDefault="00380822" w:rsidP="00380822">
      <w:pPr>
        <w:spacing w:after="0" w:line="276" w:lineRule="auto"/>
        <w:ind w:left="720"/>
        <w:contextualSpacing/>
        <w:jc w:val="both"/>
        <w:rPr>
          <w:rFonts w:ascii="Verdana" w:eastAsia="Calibri" w:hAnsi="Verdana" w:cs="Arial"/>
          <w:lang w:val="es-ES"/>
        </w:rPr>
      </w:pPr>
    </w:p>
    <w:p w14:paraId="603E4F29" w14:textId="77777777" w:rsidR="00380822" w:rsidRPr="00380822" w:rsidRDefault="00380822" w:rsidP="00380822">
      <w:pPr>
        <w:numPr>
          <w:ilvl w:val="0"/>
          <w:numId w:val="18"/>
        </w:numPr>
        <w:spacing w:after="0" w:line="276" w:lineRule="auto"/>
        <w:contextualSpacing/>
        <w:jc w:val="both"/>
        <w:rPr>
          <w:rFonts w:ascii="Verdana" w:eastAsia="Calibri" w:hAnsi="Verdana" w:cs="Arial"/>
          <w:lang w:val="es-ES"/>
        </w:rPr>
      </w:pPr>
      <w:r w:rsidRPr="00380822">
        <w:rPr>
          <w:rFonts w:ascii="Verdana" w:eastAsia="Calibri" w:hAnsi="Verdana" w:cs="Arial"/>
          <w:lang w:val="es-ES"/>
        </w:rPr>
        <w:t>El numeral 4.1.2 del Documento Base de Infraestructura de Transporte establece las reglas para efectuar la corrección aritmética de las ofertas económicas, así:</w:t>
      </w:r>
    </w:p>
    <w:p w14:paraId="516FBBB3" w14:textId="77777777" w:rsidR="00380822" w:rsidRPr="00380822" w:rsidRDefault="00380822" w:rsidP="00380822">
      <w:pPr>
        <w:spacing w:after="120"/>
        <w:ind w:left="709" w:right="709"/>
        <w:jc w:val="both"/>
        <w:rPr>
          <w:rFonts w:ascii="Arial" w:eastAsia="Calibri" w:hAnsi="Arial" w:cs="Arial"/>
          <w:b/>
          <w:bCs/>
          <w:sz w:val="21"/>
          <w:szCs w:val="21"/>
        </w:rPr>
      </w:pPr>
    </w:p>
    <w:p w14:paraId="468099C5" w14:textId="77777777" w:rsidR="00380822" w:rsidRPr="00380822" w:rsidRDefault="00380822" w:rsidP="00380822">
      <w:pPr>
        <w:spacing w:after="120"/>
        <w:ind w:left="709" w:right="709"/>
        <w:jc w:val="both"/>
        <w:rPr>
          <w:rFonts w:ascii="Arial" w:eastAsia="Calibri" w:hAnsi="Arial" w:cs="Arial"/>
          <w:b/>
          <w:bCs/>
          <w:sz w:val="21"/>
          <w:szCs w:val="21"/>
        </w:rPr>
      </w:pPr>
      <w:r w:rsidRPr="00380822">
        <w:rPr>
          <w:rFonts w:ascii="Arial" w:eastAsia="Calibri" w:hAnsi="Arial" w:cs="Arial"/>
          <w:b/>
          <w:bCs/>
          <w:sz w:val="21"/>
          <w:szCs w:val="21"/>
        </w:rPr>
        <w:t>“4.1.2. CORRECCIONES ARITMÉTICAS</w:t>
      </w:r>
    </w:p>
    <w:p w14:paraId="4E97E8F1" w14:textId="77777777" w:rsidR="00380822" w:rsidRPr="00380822" w:rsidRDefault="00380822" w:rsidP="00380822">
      <w:pPr>
        <w:spacing w:after="120"/>
        <w:ind w:left="709" w:right="709"/>
        <w:jc w:val="both"/>
        <w:rPr>
          <w:rFonts w:ascii="Arial" w:eastAsia="Calibri" w:hAnsi="Arial" w:cs="Arial"/>
          <w:sz w:val="21"/>
          <w:szCs w:val="21"/>
        </w:rPr>
      </w:pPr>
      <w:r w:rsidRPr="00380822">
        <w:rPr>
          <w:rFonts w:ascii="Arial" w:eastAsia="Calibri" w:hAnsi="Arial" w:cs="Arial"/>
          <w:sz w:val="21"/>
          <w:szCs w:val="21"/>
        </w:rPr>
        <w:t>La Entidad solo efectuará correcciones aritméticas originadas por:</w:t>
      </w:r>
    </w:p>
    <w:p w14:paraId="34D03F3E" w14:textId="77777777" w:rsidR="00380822" w:rsidRPr="00380822" w:rsidRDefault="00380822" w:rsidP="00380822">
      <w:pPr>
        <w:spacing w:after="120"/>
        <w:ind w:left="709" w:right="709"/>
        <w:jc w:val="both"/>
        <w:rPr>
          <w:rFonts w:ascii="Arial" w:eastAsia="Calibri" w:hAnsi="Arial" w:cs="Arial"/>
          <w:sz w:val="21"/>
          <w:szCs w:val="21"/>
        </w:rPr>
      </w:pPr>
      <w:r w:rsidRPr="00380822">
        <w:rPr>
          <w:rFonts w:ascii="Arial" w:eastAsia="Calibri" w:hAnsi="Arial" w:cs="Arial"/>
          <w:sz w:val="21"/>
          <w:szCs w:val="21"/>
        </w:rPr>
        <w:lastRenderedPageBreak/>
        <w:t>A. Todas las operaciones aritméticas a que haya lugar en la propuesta económica, cuando exista un error que surja de un cálculo meramente aritmético cuando la operación ha sido erróneamente realizada.</w:t>
      </w:r>
    </w:p>
    <w:p w14:paraId="3416F142" w14:textId="77777777" w:rsidR="00380822" w:rsidRPr="00380822" w:rsidRDefault="00380822" w:rsidP="00380822">
      <w:pPr>
        <w:spacing w:after="120"/>
        <w:ind w:left="709" w:right="709"/>
        <w:jc w:val="both"/>
        <w:rPr>
          <w:rFonts w:ascii="Arial" w:eastAsia="Calibri" w:hAnsi="Arial" w:cs="Arial"/>
          <w:sz w:val="21"/>
          <w:szCs w:val="21"/>
        </w:rPr>
      </w:pPr>
      <w:r w:rsidRPr="00380822">
        <w:rPr>
          <w:rFonts w:ascii="Arial" w:eastAsia="Calibri" w:hAnsi="Arial" w:cs="Arial"/>
          <w:sz w:val="21"/>
          <w:szCs w:val="21"/>
        </w:rPr>
        <w:t>B. El ajuste al peso ya sea por exceso o por defecto de los precios unitarios contenidos en la propuesta económica de las operaciones aritméticas a que haya lugar y del valor del IVA, así: cuando la fracción decimal del peso sea igual o superior a punto cinco (0.5) se aproximará por exceso al número entero siguiente del peso y cuando la fracción decimal del peso sea inferior a punto cinco (0.5) se aproximará por defecto al número entero.</w:t>
      </w:r>
    </w:p>
    <w:p w14:paraId="6F32529B" w14:textId="77777777" w:rsidR="00380822" w:rsidRPr="00380822" w:rsidRDefault="00380822" w:rsidP="00380822">
      <w:pPr>
        <w:ind w:left="709" w:right="709"/>
        <w:jc w:val="both"/>
        <w:rPr>
          <w:rFonts w:ascii="Arial" w:eastAsia="Calibri" w:hAnsi="Arial" w:cs="Arial"/>
          <w:sz w:val="21"/>
          <w:szCs w:val="21"/>
        </w:rPr>
      </w:pPr>
      <w:r w:rsidRPr="00380822">
        <w:rPr>
          <w:rFonts w:ascii="Arial" w:eastAsia="Calibri" w:hAnsi="Arial" w:cs="Arial"/>
          <w:sz w:val="21"/>
          <w:szCs w:val="21"/>
        </w:rPr>
        <w:t>La Entidad a partir del valor total corregido de las propuestas asignará el puntaje de conformidad con el proceso del numeral 4.1.4.”</w:t>
      </w:r>
    </w:p>
    <w:p w14:paraId="7897F825" w14:textId="77777777" w:rsidR="00380822" w:rsidRPr="00380822" w:rsidRDefault="00380822" w:rsidP="00380822">
      <w:pPr>
        <w:widowControl w:val="0"/>
        <w:autoSpaceDE w:val="0"/>
        <w:autoSpaceDN w:val="0"/>
        <w:spacing w:before="8" w:after="0" w:line="240" w:lineRule="auto"/>
        <w:ind w:left="100"/>
        <w:rPr>
          <w:rFonts w:ascii="Verdana" w:eastAsia="Verdana" w:hAnsi="Verdana" w:cs="Verdana"/>
          <w:sz w:val="20"/>
          <w:lang w:val="es-ES"/>
        </w:rPr>
      </w:pPr>
    </w:p>
    <w:p w14:paraId="79179CBF" w14:textId="77777777" w:rsidR="00380822" w:rsidRPr="00380822" w:rsidRDefault="00380822" w:rsidP="00380822">
      <w:pPr>
        <w:numPr>
          <w:ilvl w:val="0"/>
          <w:numId w:val="19"/>
        </w:numPr>
        <w:spacing w:after="120" w:line="276" w:lineRule="auto"/>
        <w:contextualSpacing/>
        <w:jc w:val="both"/>
        <w:rPr>
          <w:rFonts w:ascii="Verdana" w:eastAsia="Calibri" w:hAnsi="Verdana" w:cs="Arial"/>
          <w:lang w:val="es-ES"/>
        </w:rPr>
      </w:pPr>
      <w:bookmarkStart w:id="2" w:name="_Hlk57053692"/>
      <w:r w:rsidRPr="00380822">
        <w:rPr>
          <w:rFonts w:ascii="Verdana" w:eastAsia="Calibri" w:hAnsi="Verdana" w:cs="Arial"/>
          <w:lang w:val="es-ES"/>
        </w:rPr>
        <w:t xml:space="preserve">El “Documento Base o Pliego Tipo” contempla la forma de corregir las operaciones aritméticas y las aproximaciones de las cifras decimales. Por lo tanto, la entidad durante la etapa de evaluación de las ofertas económicas de los proponentes habilitados debe verificar, con base en la información registrada en el “Formulario 1 – Formulario de Presupuesto Oficial”, cada una de las operaciones aritméticas que permitan verificar el valor real ofertado por el proponente. </w:t>
      </w:r>
    </w:p>
    <w:p w14:paraId="19E54E97" w14:textId="77777777" w:rsidR="00380822" w:rsidRPr="00380822" w:rsidRDefault="00380822" w:rsidP="00380822">
      <w:pPr>
        <w:spacing w:after="120" w:line="276" w:lineRule="auto"/>
        <w:ind w:left="720"/>
        <w:contextualSpacing/>
        <w:jc w:val="both"/>
        <w:rPr>
          <w:rFonts w:ascii="Verdana" w:eastAsia="Calibri" w:hAnsi="Verdana" w:cs="Arial"/>
          <w:lang w:val="es-ES"/>
        </w:rPr>
      </w:pPr>
    </w:p>
    <w:p w14:paraId="0D04AC6F" w14:textId="77777777" w:rsidR="00380822" w:rsidRPr="00380822" w:rsidRDefault="00380822" w:rsidP="00380822">
      <w:pPr>
        <w:numPr>
          <w:ilvl w:val="0"/>
          <w:numId w:val="19"/>
        </w:numPr>
        <w:spacing w:after="120" w:line="276" w:lineRule="auto"/>
        <w:contextualSpacing/>
        <w:jc w:val="both"/>
        <w:rPr>
          <w:rFonts w:ascii="Verdana" w:eastAsia="Calibri" w:hAnsi="Verdana" w:cs="Arial"/>
          <w:lang w:val="es-ES"/>
        </w:rPr>
      </w:pPr>
      <w:r w:rsidRPr="00380822">
        <w:rPr>
          <w:rFonts w:ascii="Verdana" w:eastAsia="Calibri" w:hAnsi="Verdana" w:cs="Arial"/>
          <w:lang w:val="es-ES"/>
        </w:rPr>
        <w:t>La entidad debe realizar la verificación de los valores ofertados y la corrección aritmética, cuando esta se requiera, para cada una de las cifras registradas en el “Formulario 1 – Formulario de Presupuesto Oficial” que tengan operaciones aritméticas y previo a seleccionar y aplicar el método de ponderación que corresponda de acuerdo con el numeral 4.1.4 del Documento Base. Realizado lo anterior, la entidad tomará el valor total de la propuesta económica corregida para asignar el puntaje por este criterio de ponderación.</w:t>
      </w:r>
      <w:bookmarkEnd w:id="2"/>
    </w:p>
    <w:p w14:paraId="0757CCEF" w14:textId="77777777" w:rsidR="00380822" w:rsidRPr="00380822" w:rsidRDefault="00380822" w:rsidP="00380822">
      <w:pPr>
        <w:ind w:left="720"/>
        <w:contextualSpacing/>
        <w:rPr>
          <w:rFonts w:ascii="Verdana" w:eastAsia="Calibri" w:hAnsi="Verdana" w:cs="Arial"/>
          <w:lang w:val="es-ES"/>
        </w:rPr>
      </w:pPr>
    </w:p>
    <w:p w14:paraId="4E5D9F8D" w14:textId="77777777" w:rsidR="00380822" w:rsidRPr="00380822" w:rsidRDefault="00380822" w:rsidP="00380822">
      <w:pPr>
        <w:spacing w:after="120" w:line="276" w:lineRule="auto"/>
        <w:ind w:left="720"/>
        <w:contextualSpacing/>
        <w:jc w:val="both"/>
        <w:rPr>
          <w:rFonts w:ascii="Verdana" w:eastAsia="Calibri" w:hAnsi="Verdana" w:cs="Arial"/>
          <w:lang w:val="es-ES"/>
        </w:rPr>
      </w:pPr>
    </w:p>
    <w:p w14:paraId="78BEBCEF" w14:textId="77777777" w:rsidR="00380822" w:rsidRPr="00380822" w:rsidRDefault="00380822" w:rsidP="00380822">
      <w:pPr>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380822">
        <w:rPr>
          <w:rFonts w:ascii="Verdana" w:eastAsia="Century Gothic" w:hAnsi="Verdana" w:cs="Century Gothic"/>
          <w:b/>
          <w:bCs/>
        </w:rPr>
        <w:t>Referencias normativas, jurisprudenciales y otras fuentes:</w:t>
      </w:r>
    </w:p>
    <w:p w14:paraId="48631F6D" w14:textId="77777777" w:rsidR="00380822" w:rsidRPr="00380822" w:rsidRDefault="00380822" w:rsidP="00380822">
      <w:pPr>
        <w:widowControl w:val="0"/>
        <w:autoSpaceDE w:val="0"/>
        <w:autoSpaceDN w:val="0"/>
        <w:spacing w:after="0" w:line="276" w:lineRule="auto"/>
        <w:jc w:val="both"/>
        <w:rPr>
          <w:rFonts w:ascii="Verdana" w:eastAsia="Aptos"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80822" w:rsidRPr="00380822" w14:paraId="3DB40E80" w14:textId="77777777" w:rsidTr="00961DFB">
        <w:trPr>
          <w:trHeight w:val="870"/>
        </w:trPr>
        <w:tc>
          <w:tcPr>
            <w:tcW w:w="8647" w:type="dxa"/>
          </w:tcPr>
          <w:p w14:paraId="1DB96327" w14:textId="77777777" w:rsidR="00380822" w:rsidRPr="00380822" w:rsidRDefault="00380822" w:rsidP="00380822">
            <w:pPr>
              <w:widowControl w:val="0"/>
              <w:numPr>
                <w:ilvl w:val="0"/>
                <w:numId w:val="17"/>
              </w:numPr>
              <w:autoSpaceDE w:val="0"/>
              <w:autoSpaceDN w:val="0"/>
              <w:spacing w:after="120" w:line="276" w:lineRule="auto"/>
              <w:jc w:val="both"/>
              <w:rPr>
                <w:rFonts w:ascii="Verdana" w:eastAsia="Calibri" w:hAnsi="Verdana" w:cs="Arial"/>
              </w:rPr>
            </w:pPr>
            <w:r w:rsidRPr="00380822">
              <w:rPr>
                <w:rFonts w:ascii="Verdana" w:eastAsia="Calibri" w:hAnsi="Verdana" w:cs="Arial"/>
              </w:rPr>
              <w:t xml:space="preserve">Ley 2022 de 2020, artículo 1. </w:t>
            </w:r>
          </w:p>
          <w:p w14:paraId="6C1D9EBD" w14:textId="77777777" w:rsidR="00380822" w:rsidRPr="00380822" w:rsidRDefault="00380822" w:rsidP="00380822">
            <w:pPr>
              <w:widowControl w:val="0"/>
              <w:numPr>
                <w:ilvl w:val="0"/>
                <w:numId w:val="17"/>
              </w:numPr>
              <w:autoSpaceDE w:val="0"/>
              <w:autoSpaceDN w:val="0"/>
              <w:spacing w:after="120" w:line="276" w:lineRule="auto"/>
              <w:jc w:val="both"/>
              <w:rPr>
                <w:rFonts w:ascii="Verdana" w:eastAsia="Calibri" w:hAnsi="Verdana" w:cs="Arial"/>
              </w:rPr>
            </w:pPr>
            <w:r w:rsidRPr="00380822">
              <w:rPr>
                <w:rFonts w:ascii="Verdana" w:eastAsia="Calibri" w:hAnsi="Verdana" w:cs="Arial"/>
              </w:rPr>
              <w:t>Ley 1882 de 2018, articulo 1</w:t>
            </w:r>
          </w:p>
          <w:p w14:paraId="475FB51E" w14:textId="77777777" w:rsidR="00380822" w:rsidRPr="00380822" w:rsidRDefault="00380822" w:rsidP="00380822">
            <w:pPr>
              <w:widowControl w:val="0"/>
              <w:numPr>
                <w:ilvl w:val="0"/>
                <w:numId w:val="17"/>
              </w:numPr>
              <w:autoSpaceDE w:val="0"/>
              <w:autoSpaceDN w:val="0"/>
              <w:spacing w:after="120" w:line="276" w:lineRule="auto"/>
              <w:jc w:val="both"/>
              <w:rPr>
                <w:rFonts w:ascii="Verdana" w:eastAsia="Aptos" w:hAnsi="Verdana" w:cs="Arial"/>
              </w:rPr>
            </w:pPr>
            <w:r w:rsidRPr="00380822">
              <w:rPr>
                <w:rFonts w:ascii="Verdana" w:eastAsia="Calibri" w:hAnsi="Verdana" w:cs="Arial"/>
              </w:rPr>
              <w:t>Documentos Tipo de infraestructura de transporte. Disponibles en:</w:t>
            </w:r>
            <w:r w:rsidRPr="00380822">
              <w:rPr>
                <w:rFonts w:ascii="Aptos" w:eastAsia="Aptos" w:hAnsi="Aptos" w:cs="Arial"/>
              </w:rPr>
              <w:t xml:space="preserve"> </w:t>
            </w:r>
            <w:hyperlink r:id="rId12" w:history="1">
              <w:r w:rsidRPr="00380822">
                <w:rPr>
                  <w:rFonts w:ascii="Verdana" w:eastAsia="Calibri" w:hAnsi="Verdana" w:cs="Arial"/>
                  <w:color w:val="0000FF"/>
                  <w:u w:val="single"/>
                </w:rPr>
                <w:t>https://www.colombiacompra.gov.co/content/documentos-tipo-para-licitacion-de-obra-publica-de-infraestructura-de-transporte-version-</w:t>
              </w:r>
              <w:r w:rsidRPr="00380822">
                <w:rPr>
                  <w:rFonts w:ascii="Verdana" w:eastAsia="Calibri" w:hAnsi="Verdana" w:cs="Arial"/>
                  <w:color w:val="0000FF"/>
                  <w:u w:val="single"/>
                </w:rPr>
                <w:lastRenderedPageBreak/>
                <w:t>04</w:t>
              </w:r>
            </w:hyperlink>
            <w:r w:rsidRPr="00380822">
              <w:rPr>
                <w:rFonts w:ascii="Verdana" w:eastAsia="Calibri" w:hAnsi="Verdana" w:cs="Arial"/>
              </w:rPr>
              <w:t xml:space="preserve">  </w:t>
            </w:r>
          </w:p>
        </w:tc>
      </w:tr>
    </w:tbl>
    <w:p w14:paraId="3F9D0CBB" w14:textId="77777777" w:rsidR="00380822" w:rsidRPr="00380822" w:rsidRDefault="00380822" w:rsidP="00380822">
      <w:pPr>
        <w:widowControl w:val="0"/>
        <w:autoSpaceDE w:val="0"/>
        <w:autoSpaceDN w:val="0"/>
        <w:spacing w:after="0" w:line="276" w:lineRule="auto"/>
        <w:jc w:val="both"/>
        <w:rPr>
          <w:rFonts w:ascii="Verdana" w:eastAsia="Aptos" w:hAnsi="Verdana" w:cs="Arial"/>
        </w:rPr>
      </w:pPr>
    </w:p>
    <w:p w14:paraId="06FE3FAC" w14:textId="77777777" w:rsidR="00380822" w:rsidRPr="00380822" w:rsidRDefault="00380822" w:rsidP="00380822">
      <w:pPr>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380822">
        <w:rPr>
          <w:rFonts w:ascii="Verdana" w:eastAsia="Century Gothic" w:hAnsi="Verdana" w:cs="Century Gothic"/>
          <w:b/>
          <w:bCs/>
        </w:rPr>
        <w:t>Doctrina de la Agencia Nacional de Contratación Pública:</w:t>
      </w:r>
    </w:p>
    <w:p w14:paraId="62DD65E0" w14:textId="77777777" w:rsidR="00380822" w:rsidRPr="00380822" w:rsidRDefault="00380822" w:rsidP="00380822">
      <w:pPr>
        <w:widowControl w:val="0"/>
        <w:autoSpaceDE w:val="0"/>
        <w:autoSpaceDN w:val="0"/>
        <w:spacing w:after="0" w:line="276" w:lineRule="auto"/>
        <w:jc w:val="both"/>
        <w:rPr>
          <w:rFonts w:ascii="Verdana" w:eastAsia="Aptos" w:hAnsi="Verdana" w:cs="Arial"/>
          <w:color w:val="7030A0"/>
          <w:shd w:val="clear" w:color="auto" w:fill="FFFFFF"/>
          <w:lang w:val="es-ES"/>
        </w:rPr>
      </w:pPr>
    </w:p>
    <w:p w14:paraId="629A2BA6" w14:textId="77777777" w:rsidR="00380822" w:rsidRPr="00380822" w:rsidRDefault="00380822" w:rsidP="00380822">
      <w:pPr>
        <w:spacing w:after="0" w:line="276" w:lineRule="auto"/>
        <w:jc w:val="both"/>
        <w:rPr>
          <w:rFonts w:ascii="Verdana" w:eastAsia="Calibri" w:hAnsi="Verdana" w:cs="Arial"/>
          <w:shd w:val="clear" w:color="auto" w:fill="FFFFFF"/>
          <w:lang w:val="es-ES"/>
        </w:rPr>
      </w:pPr>
      <w:r w:rsidRPr="00380822">
        <w:rPr>
          <w:rFonts w:ascii="Verdana" w:eastAsia="Calibri" w:hAnsi="Verdana" w:cs="Arial"/>
          <w:shd w:val="clear" w:color="auto" w:fill="FFFFFF"/>
          <w:lang w:val="es-ES"/>
        </w:rPr>
        <w:t xml:space="preserve">La Agencia Nacional de Contratación Pública – Colombia Compra Eficiente analizó el fundamento normativo de los documentos tipo en la contratación estatal, entre otros, en los siguientes conceptos: C-599 del 26 de octubre de 2021, C-643 del 17 de noviembre de 2021 y C-356 del 6 de julio de 2022, C-654 del 7 de octubre de 2022, C-874 del 22 de diciembre de 2022, C-909 del 5 de enero de 2023, C-945 del 17 de febrero de 2023, C-042 del 29 de marzo de 2023, C-051 del 28 de abril de 2023, C-299 del 24 de julio de 2023 y C-290 del 28 de julio de 2023.   </w:t>
      </w:r>
      <w:r w:rsidRPr="00380822">
        <w:rPr>
          <w:rFonts w:ascii="Verdana" w:eastAsia="Calibri" w:hAnsi="Verdana" w:cs="Arial"/>
          <w:shd w:val="clear" w:color="auto" w:fill="FFFFFF"/>
          <w:lang w:val="es-ES_tradnl"/>
        </w:rPr>
        <w:t xml:space="preserve">De igual modo, esta Agencia se refirió a las causales de rechazo incorporadas en los pliegos de condiciones, en los conceptos C-321 del 17 de mayo de 2022, C-113 del 22 de marzo de 2022, C-178, C-186 del 12 de abril de 2022, C-406 del 2 de octubre de 2023, C-128 del 2 de agosto de 2024, C-047 del 28 de febrero de 2025, C-326 del 25 de abril de 2025 </w:t>
      </w:r>
      <w:r w:rsidRPr="00380822">
        <w:rPr>
          <w:rFonts w:ascii="Verdana" w:eastAsia="Calibri" w:hAnsi="Verdana" w:cs="Arial"/>
          <w:shd w:val="clear" w:color="auto" w:fill="FFFFFF"/>
          <w:lang w:val="es-ES"/>
        </w:rPr>
        <w:t xml:space="preserve">etc. También se pronunció sobre el Formulario 1 – Formulario de Presupuesto Oficial de los Documentos Tipo, en los conceptos con radicado No. C – 016 de 2020 del 21 de abril de 2020, C – 037 de 2020 del 28 de enero de 2020, C – 038 de 2020 del 28 de enero de 2020, C – 093 de 2020 del 28 de febrero de 2020, C – 133 del 30 de marzo de 2020, C – 153 del 1 de abril de 2020, C – 704 del 11 de diciembre del 2020, C – 070 del 16 de marzo de 2021, C – 204 del 6 de mayo de 2021, C – 435 de 1 de septiembre de 2021, C – 640 del 12 de noviembre de 2021, C – 121 del 13 de junio de 2024, C-131 del 30 de julio de 2024 y C-352 del 2 de mayo de 2025. Estos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w:t>
      </w:r>
    </w:p>
    <w:p w14:paraId="4F896103" w14:textId="77777777" w:rsidR="00380822" w:rsidRPr="00380822" w:rsidRDefault="00380822" w:rsidP="00380822">
      <w:pPr>
        <w:widowControl w:val="0"/>
        <w:autoSpaceDE w:val="0"/>
        <w:autoSpaceDN w:val="0"/>
        <w:spacing w:after="0" w:line="276" w:lineRule="auto"/>
        <w:jc w:val="both"/>
        <w:rPr>
          <w:rFonts w:ascii="Verdana" w:eastAsia="Aptos" w:hAnsi="Verdana" w:cs="Arial"/>
          <w:color w:val="FF0000"/>
          <w:shd w:val="clear" w:color="auto" w:fill="FFFFFF"/>
          <w:lang w:val="es-ES"/>
        </w:rPr>
      </w:pPr>
    </w:p>
    <w:p w14:paraId="645B8488" w14:textId="77777777" w:rsidR="00380822" w:rsidRPr="00380822" w:rsidRDefault="00380822" w:rsidP="00380822">
      <w:pPr>
        <w:widowControl w:val="0"/>
        <w:autoSpaceDE w:val="0"/>
        <w:autoSpaceDN w:val="0"/>
        <w:spacing w:after="0" w:line="276" w:lineRule="auto"/>
        <w:jc w:val="both"/>
        <w:rPr>
          <w:rFonts w:ascii="Verdana" w:eastAsia="Aptos" w:hAnsi="Verdana" w:cs="Arial"/>
          <w:color w:val="FF0000"/>
          <w:shd w:val="clear" w:color="auto" w:fill="FFFFFF"/>
          <w:lang w:val="es-ES"/>
        </w:rPr>
      </w:pPr>
    </w:p>
    <w:p w14:paraId="25F84A72" w14:textId="77777777" w:rsidR="00380822" w:rsidRPr="00380822" w:rsidRDefault="00380822" w:rsidP="00380822">
      <w:pPr>
        <w:spacing w:after="0" w:line="240" w:lineRule="auto"/>
        <w:jc w:val="both"/>
        <w:rPr>
          <w:rFonts w:ascii="Verdana" w:eastAsia="Aptos" w:hAnsi="Verdana" w:cs="Arial"/>
        </w:rPr>
      </w:pPr>
      <w:r w:rsidRPr="00380822">
        <w:rPr>
          <w:rFonts w:ascii="Verdana" w:eastAsia="Aptos" w:hAnsi="Verdana" w:cs="Arial"/>
        </w:rPr>
        <w:t xml:space="preserve">Por último, lo invitamos a seguirnos en las redes sociales en las cuales se difunde información institucional: </w:t>
      </w:r>
    </w:p>
    <w:p w14:paraId="414CC69D" w14:textId="77777777" w:rsidR="00380822" w:rsidRPr="00380822" w:rsidRDefault="00380822" w:rsidP="00380822">
      <w:pPr>
        <w:spacing w:after="0" w:line="240" w:lineRule="auto"/>
        <w:jc w:val="both"/>
        <w:rPr>
          <w:rFonts w:ascii="Verdana" w:eastAsia="Aptos" w:hAnsi="Verdana" w:cs="Arial"/>
        </w:rPr>
      </w:pPr>
    </w:p>
    <w:p w14:paraId="396C4EA6" w14:textId="77777777" w:rsidR="00380822" w:rsidRPr="00380822" w:rsidRDefault="00380822" w:rsidP="00380822">
      <w:pPr>
        <w:spacing w:after="0" w:line="240" w:lineRule="auto"/>
        <w:jc w:val="both"/>
        <w:rPr>
          <w:rFonts w:ascii="Verdana" w:eastAsia="Aptos" w:hAnsi="Verdana" w:cs="Arial"/>
        </w:rPr>
      </w:pPr>
      <w:r w:rsidRPr="00380822">
        <w:rPr>
          <w:rFonts w:ascii="Verdana" w:eastAsia="Aptos" w:hAnsi="Verdana" w:cs="Arial"/>
        </w:rPr>
        <w:t xml:space="preserve">Twitter: </w:t>
      </w:r>
      <w:r w:rsidRPr="00380822">
        <w:rPr>
          <w:rFonts w:ascii="Verdana" w:eastAsia="Aptos" w:hAnsi="Verdana" w:cs="Arial"/>
          <w:color w:val="156082"/>
          <w:u w:val="single"/>
        </w:rPr>
        <w:t>@colombiacompra</w:t>
      </w:r>
      <w:r w:rsidRPr="00380822">
        <w:rPr>
          <w:rFonts w:ascii="Verdana" w:eastAsia="Aptos" w:hAnsi="Verdana" w:cs="Arial"/>
          <w:color w:val="156082"/>
        </w:rPr>
        <w:t xml:space="preserve"> </w:t>
      </w:r>
    </w:p>
    <w:p w14:paraId="0B121970" w14:textId="77777777" w:rsidR="00380822" w:rsidRPr="00380822" w:rsidRDefault="00380822" w:rsidP="00380822">
      <w:pPr>
        <w:spacing w:after="0" w:line="240" w:lineRule="auto"/>
        <w:jc w:val="both"/>
        <w:rPr>
          <w:rFonts w:ascii="Verdana" w:eastAsia="Aptos" w:hAnsi="Verdana" w:cs="Arial"/>
        </w:rPr>
      </w:pPr>
      <w:r w:rsidRPr="00380822">
        <w:rPr>
          <w:rFonts w:ascii="Verdana" w:eastAsia="Aptos" w:hAnsi="Verdana" w:cs="Arial"/>
        </w:rPr>
        <w:t xml:space="preserve">Facebook: </w:t>
      </w:r>
      <w:proofErr w:type="spellStart"/>
      <w:r w:rsidRPr="00380822">
        <w:rPr>
          <w:rFonts w:ascii="Verdana" w:eastAsia="Aptos" w:hAnsi="Verdana" w:cs="Arial"/>
          <w:color w:val="156082"/>
          <w:u w:val="single"/>
        </w:rPr>
        <w:t>ColombiaCompraEficiente</w:t>
      </w:r>
      <w:proofErr w:type="spellEnd"/>
    </w:p>
    <w:p w14:paraId="50669D13" w14:textId="77777777" w:rsidR="00380822" w:rsidRPr="00380822" w:rsidRDefault="00380822" w:rsidP="00380822">
      <w:pPr>
        <w:spacing w:after="0" w:line="240" w:lineRule="auto"/>
        <w:jc w:val="both"/>
        <w:rPr>
          <w:rFonts w:ascii="Verdana" w:eastAsia="Aptos" w:hAnsi="Verdana" w:cs="Arial"/>
        </w:rPr>
      </w:pPr>
      <w:r w:rsidRPr="00380822">
        <w:rPr>
          <w:rFonts w:ascii="Verdana" w:eastAsia="Aptos" w:hAnsi="Verdana" w:cs="Arial"/>
        </w:rPr>
        <w:lastRenderedPageBreak/>
        <w:t xml:space="preserve">LinkedIn: </w:t>
      </w:r>
      <w:r w:rsidRPr="00380822">
        <w:rPr>
          <w:rFonts w:ascii="Verdana" w:eastAsia="Aptos" w:hAnsi="Verdana" w:cs="Arial"/>
          <w:color w:val="156082"/>
          <w:u w:val="single"/>
        </w:rPr>
        <w:t>Agencia Nacional de Contratación Pública - Colombia Compra Eficiente</w:t>
      </w:r>
      <w:r w:rsidRPr="00380822">
        <w:rPr>
          <w:rFonts w:ascii="Verdana" w:eastAsia="Aptos" w:hAnsi="Verdana" w:cs="Arial"/>
          <w:color w:val="156082"/>
        </w:rPr>
        <w:t xml:space="preserve"> </w:t>
      </w:r>
      <w:r w:rsidRPr="00380822">
        <w:rPr>
          <w:rFonts w:ascii="Verdana" w:eastAsia="Aptos" w:hAnsi="Verdana" w:cs="Arial"/>
        </w:rPr>
        <w:t xml:space="preserve">Instagram: </w:t>
      </w:r>
      <w:r w:rsidRPr="00380822">
        <w:rPr>
          <w:rFonts w:ascii="Verdana" w:eastAsia="Aptos" w:hAnsi="Verdana" w:cs="Arial"/>
          <w:color w:val="156082"/>
          <w:u w:val="single"/>
        </w:rPr>
        <w:t>@colombiacompraeficiente_cce</w:t>
      </w:r>
    </w:p>
    <w:p w14:paraId="0BA4D55F" w14:textId="77777777" w:rsidR="00380822" w:rsidRPr="00380822" w:rsidRDefault="00380822" w:rsidP="00380822">
      <w:pPr>
        <w:widowControl w:val="0"/>
        <w:autoSpaceDE w:val="0"/>
        <w:autoSpaceDN w:val="0"/>
        <w:spacing w:after="0" w:line="276" w:lineRule="auto"/>
        <w:jc w:val="both"/>
        <w:rPr>
          <w:rFonts w:ascii="Verdana" w:eastAsia="Aptos" w:hAnsi="Verdana" w:cs="Arial"/>
        </w:rPr>
      </w:pPr>
    </w:p>
    <w:p w14:paraId="4D9A4D77" w14:textId="77777777" w:rsidR="00380822" w:rsidRPr="00380822" w:rsidRDefault="00380822" w:rsidP="00380822">
      <w:pPr>
        <w:widowControl w:val="0"/>
        <w:autoSpaceDE w:val="0"/>
        <w:autoSpaceDN w:val="0"/>
        <w:spacing w:after="0" w:line="276" w:lineRule="auto"/>
        <w:jc w:val="both"/>
        <w:rPr>
          <w:rFonts w:ascii="Verdana" w:eastAsia="Aptos" w:hAnsi="Verdana" w:cs="Arial"/>
          <w:lang w:val="es-ES_tradnl"/>
        </w:rPr>
      </w:pPr>
      <w:r w:rsidRPr="00380822">
        <w:rPr>
          <w:rFonts w:ascii="Verdana" w:eastAsia="Aptos" w:hAnsi="Verdana" w:cs="Arial"/>
        </w:rPr>
        <w:t xml:space="preserve">Este concepto tiene el alcance previsto en el artículo 28 del Código de Procedimiento Administrativo y de lo Contencioso Administrativo </w:t>
      </w:r>
      <w:r w:rsidRPr="00380822">
        <w:rPr>
          <w:rFonts w:ascii="Verdana" w:eastAsia="Aptos" w:hAnsi="Verdana" w:cs="Arial"/>
          <w:lang w:val="es-ES_tradnl"/>
        </w:rPr>
        <w:t>y las expresiones aquí utilizadas con mayúscula inicial deben ser entendidas con el significado que les otorga el artículo 2.2.1.1.1.3.1. del Decreto 1082 de 2015.</w:t>
      </w:r>
    </w:p>
    <w:p w14:paraId="339AB1A9" w14:textId="77777777" w:rsidR="00380822" w:rsidRPr="00380822" w:rsidRDefault="00380822" w:rsidP="00380822">
      <w:pPr>
        <w:widowControl w:val="0"/>
        <w:autoSpaceDE w:val="0"/>
        <w:autoSpaceDN w:val="0"/>
        <w:spacing w:after="0" w:line="276" w:lineRule="auto"/>
        <w:jc w:val="both"/>
        <w:rPr>
          <w:rFonts w:ascii="Verdana" w:eastAsia="Aptos" w:hAnsi="Verdana" w:cs="Arial"/>
        </w:rPr>
      </w:pPr>
    </w:p>
    <w:p w14:paraId="509E7BA8" w14:textId="77777777" w:rsidR="00380822" w:rsidRPr="00380822" w:rsidRDefault="00380822" w:rsidP="00380822">
      <w:pPr>
        <w:spacing w:after="0" w:line="240" w:lineRule="auto"/>
        <w:rPr>
          <w:rFonts w:ascii="Verdana" w:eastAsia="Aptos" w:hAnsi="Verdana" w:cs="Arial"/>
          <w:lang w:eastAsia="es-CO"/>
        </w:rPr>
      </w:pPr>
      <w:r w:rsidRPr="00380822">
        <w:rPr>
          <w:rFonts w:ascii="Verdana" w:eastAsia="Times New Roman" w:hAnsi="Verdana" w:cs="Arial"/>
          <w:lang w:eastAsia="es-CO"/>
        </w:rPr>
        <w:t>Atentamente,</w:t>
      </w:r>
      <w:r w:rsidRPr="00380822">
        <w:rPr>
          <w:rFonts w:ascii="Verdana" w:eastAsia="Aptos" w:hAnsi="Verdana" w:cs="Arial"/>
          <w:lang w:eastAsia="es-CO"/>
        </w:rPr>
        <w:t xml:space="preserve"> </w:t>
      </w:r>
    </w:p>
    <w:p w14:paraId="6AFABF02" w14:textId="77777777" w:rsidR="00380822" w:rsidRPr="00380822" w:rsidRDefault="00380822" w:rsidP="00380822">
      <w:pPr>
        <w:spacing w:after="0" w:line="240" w:lineRule="auto"/>
        <w:rPr>
          <w:rFonts w:ascii="Verdana" w:eastAsia="Aptos" w:hAnsi="Verdana" w:cs="Arial"/>
          <w:lang w:eastAsia="es-CO"/>
        </w:rPr>
      </w:pPr>
    </w:p>
    <w:p w14:paraId="307EADE8" w14:textId="77777777" w:rsidR="00380822" w:rsidRPr="00380822" w:rsidRDefault="00380822" w:rsidP="00380822">
      <w:pPr>
        <w:spacing w:after="0" w:line="240" w:lineRule="auto"/>
        <w:rPr>
          <w:rFonts w:ascii="Verdana" w:eastAsia="Aptos" w:hAnsi="Verdana" w:cs="Arial"/>
          <w:lang w:eastAsia="es-CO"/>
        </w:rPr>
      </w:pPr>
    </w:p>
    <w:p w14:paraId="06E272A1" w14:textId="1249A853" w:rsidR="00380822" w:rsidRPr="00380822" w:rsidRDefault="00636FB3" w:rsidP="00380822">
      <w:pPr>
        <w:spacing w:line="276" w:lineRule="auto"/>
        <w:jc w:val="center"/>
        <w:rPr>
          <w:rFonts w:ascii="Verdana" w:eastAsia="Aptos" w:hAnsi="Verdana" w:cs="Arial"/>
          <w:color w:val="000000"/>
          <w:lang w:val="es-ES_tradnl" w:eastAsia="es-CO"/>
        </w:rPr>
      </w:pPr>
      <w:r w:rsidRPr="00636FB3">
        <w:rPr>
          <w:rFonts w:ascii="Century Gothic" w:eastAsia="Aptos" w:hAnsi="Century Gothic" w:cs="Times New Roman"/>
          <w:noProof/>
          <w:kern w:val="2"/>
          <w14:ligatures w14:val="standardContextual"/>
        </w:rPr>
        <w:drawing>
          <wp:inline distT="0" distB="0" distL="0" distR="0" wp14:anchorId="2ECB2D81" wp14:editId="439D6DED">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3"/>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380822" w:rsidRPr="00380822" w14:paraId="2AD28DDE" w14:textId="77777777" w:rsidTr="00961DFB">
        <w:trPr>
          <w:trHeight w:val="315"/>
        </w:trPr>
        <w:tc>
          <w:tcPr>
            <w:tcW w:w="893" w:type="dxa"/>
            <w:vAlign w:val="center"/>
            <w:hideMark/>
          </w:tcPr>
          <w:p w14:paraId="385439B2" w14:textId="77777777" w:rsidR="00380822" w:rsidRPr="00380822" w:rsidRDefault="00380822" w:rsidP="00380822">
            <w:pPr>
              <w:contextualSpacing/>
              <w:rPr>
                <w:rFonts w:ascii="Verdana" w:eastAsia="Aptos" w:hAnsi="Verdana" w:cs="Arial"/>
                <w:sz w:val="16"/>
                <w:szCs w:val="16"/>
                <w:lang w:val="es-ES" w:eastAsia="es-ES"/>
              </w:rPr>
            </w:pPr>
            <w:r w:rsidRPr="00380822">
              <w:rPr>
                <w:rFonts w:ascii="Verdana" w:eastAsia="Aptos" w:hAnsi="Verdana" w:cs="Arial"/>
                <w:sz w:val="16"/>
                <w:szCs w:val="16"/>
                <w:lang w:val="es-ES" w:eastAsia="es-ES"/>
              </w:rPr>
              <w:t>Elaboró:</w:t>
            </w:r>
          </w:p>
        </w:tc>
        <w:tc>
          <w:tcPr>
            <w:tcW w:w="5628" w:type="dxa"/>
            <w:tcBorders>
              <w:top w:val="nil"/>
              <w:left w:val="nil"/>
              <w:right w:val="nil"/>
            </w:tcBorders>
            <w:vAlign w:val="center"/>
            <w:hideMark/>
          </w:tcPr>
          <w:p w14:paraId="123625C7" w14:textId="77777777" w:rsidR="00380822" w:rsidRPr="00380822" w:rsidRDefault="00380822" w:rsidP="00380822">
            <w:pPr>
              <w:contextualSpacing/>
              <w:rPr>
                <w:rFonts w:ascii="Verdana" w:eastAsia="Aptos" w:hAnsi="Verdana" w:cs="Arial"/>
                <w:sz w:val="16"/>
                <w:szCs w:val="16"/>
              </w:rPr>
            </w:pPr>
            <w:proofErr w:type="spellStart"/>
            <w:r w:rsidRPr="00380822">
              <w:rPr>
                <w:rFonts w:ascii="Verdana" w:eastAsia="Aptos" w:hAnsi="Verdana" w:cs="Arial"/>
                <w:sz w:val="16"/>
                <w:szCs w:val="16"/>
              </w:rPr>
              <w:t>Hector</w:t>
            </w:r>
            <w:proofErr w:type="spellEnd"/>
            <w:r w:rsidRPr="00380822">
              <w:rPr>
                <w:rFonts w:ascii="Verdana" w:eastAsia="Aptos" w:hAnsi="Verdana" w:cs="Arial"/>
                <w:sz w:val="16"/>
                <w:szCs w:val="16"/>
              </w:rPr>
              <w:t xml:space="preserve"> Luis Quiñones </w:t>
            </w:r>
            <w:proofErr w:type="spellStart"/>
            <w:r w:rsidRPr="00380822">
              <w:rPr>
                <w:rFonts w:ascii="Verdana" w:eastAsia="Aptos" w:hAnsi="Verdana" w:cs="Arial"/>
                <w:sz w:val="16"/>
                <w:szCs w:val="16"/>
              </w:rPr>
              <w:t>Quiñones</w:t>
            </w:r>
            <w:proofErr w:type="spellEnd"/>
            <w:r w:rsidRPr="00380822">
              <w:rPr>
                <w:rFonts w:ascii="Verdana" w:eastAsia="Aptos" w:hAnsi="Verdana" w:cs="Arial"/>
                <w:sz w:val="16"/>
                <w:szCs w:val="16"/>
              </w:rPr>
              <w:t xml:space="preserve"> </w:t>
            </w:r>
          </w:p>
          <w:p w14:paraId="4253FB0A" w14:textId="77777777" w:rsidR="00380822" w:rsidRPr="00380822" w:rsidRDefault="00380822" w:rsidP="00380822">
            <w:pPr>
              <w:contextualSpacing/>
              <w:rPr>
                <w:rFonts w:ascii="Verdana" w:eastAsia="Aptos" w:hAnsi="Verdana" w:cs="Arial"/>
                <w:sz w:val="16"/>
                <w:szCs w:val="16"/>
              </w:rPr>
            </w:pPr>
            <w:r w:rsidRPr="00380822">
              <w:rPr>
                <w:rFonts w:ascii="Verdana" w:eastAsia="Aptos" w:hAnsi="Verdana" w:cs="Arial"/>
                <w:sz w:val="16"/>
                <w:szCs w:val="16"/>
              </w:rPr>
              <w:t>Contratista de la Subdirección de Gestión Contractual</w:t>
            </w:r>
          </w:p>
        </w:tc>
      </w:tr>
      <w:tr w:rsidR="00380822" w:rsidRPr="00380822" w14:paraId="4BFAFB0D" w14:textId="77777777" w:rsidTr="00961DFB">
        <w:trPr>
          <w:trHeight w:val="330"/>
        </w:trPr>
        <w:tc>
          <w:tcPr>
            <w:tcW w:w="893" w:type="dxa"/>
            <w:vAlign w:val="center"/>
            <w:hideMark/>
          </w:tcPr>
          <w:p w14:paraId="6A995251" w14:textId="77777777" w:rsidR="00380822" w:rsidRPr="00380822" w:rsidRDefault="00380822" w:rsidP="00380822">
            <w:pPr>
              <w:contextualSpacing/>
              <w:rPr>
                <w:rFonts w:ascii="Verdana" w:eastAsia="Aptos" w:hAnsi="Verdana" w:cs="Arial"/>
                <w:sz w:val="16"/>
                <w:szCs w:val="16"/>
                <w:lang w:val="es-ES" w:eastAsia="es-ES"/>
              </w:rPr>
            </w:pPr>
            <w:r w:rsidRPr="00380822">
              <w:rPr>
                <w:rFonts w:ascii="Verdana" w:eastAsia="Aptos" w:hAnsi="Verdana" w:cs="Arial"/>
                <w:sz w:val="16"/>
                <w:szCs w:val="16"/>
                <w:lang w:val="es-ES" w:eastAsia="es-ES"/>
              </w:rPr>
              <w:t>Revisó:</w:t>
            </w:r>
          </w:p>
        </w:tc>
        <w:tc>
          <w:tcPr>
            <w:tcW w:w="5628" w:type="dxa"/>
            <w:vAlign w:val="center"/>
          </w:tcPr>
          <w:p w14:paraId="16F7D102" w14:textId="5E61FFFC" w:rsidR="00380822" w:rsidRPr="00380822" w:rsidRDefault="000D1894" w:rsidP="00380822">
            <w:pPr>
              <w:contextualSpacing/>
              <w:rPr>
                <w:rFonts w:ascii="Verdana" w:eastAsia="Aptos" w:hAnsi="Verdana" w:cs="Arial"/>
                <w:sz w:val="16"/>
                <w:szCs w:val="16"/>
              </w:rPr>
            </w:pPr>
            <w:r>
              <w:rPr>
                <w:rFonts w:ascii="Verdana" w:eastAsia="Aptos" w:hAnsi="Verdana" w:cs="Arial"/>
                <w:sz w:val="16"/>
                <w:szCs w:val="16"/>
              </w:rPr>
              <w:t xml:space="preserve">Juan David </w:t>
            </w:r>
            <w:proofErr w:type="spellStart"/>
            <w:r>
              <w:rPr>
                <w:rFonts w:ascii="Verdana" w:eastAsia="Aptos" w:hAnsi="Verdana" w:cs="Arial"/>
                <w:sz w:val="16"/>
                <w:szCs w:val="16"/>
              </w:rPr>
              <w:t>Cardenas</w:t>
            </w:r>
            <w:proofErr w:type="spellEnd"/>
            <w:r>
              <w:rPr>
                <w:rFonts w:ascii="Verdana" w:eastAsia="Aptos" w:hAnsi="Verdana" w:cs="Arial"/>
                <w:sz w:val="16"/>
                <w:szCs w:val="16"/>
              </w:rPr>
              <w:t xml:space="preserve"> Cabeza</w:t>
            </w:r>
          </w:p>
          <w:p w14:paraId="3C19FC90" w14:textId="77777777" w:rsidR="00380822" w:rsidRPr="00380822" w:rsidRDefault="00380822" w:rsidP="00380822">
            <w:pPr>
              <w:contextualSpacing/>
              <w:textAlignment w:val="baseline"/>
              <w:rPr>
                <w:rFonts w:ascii="Verdana" w:eastAsia="Times New Roman" w:hAnsi="Verdana" w:cs="Segoe UI"/>
                <w:sz w:val="16"/>
                <w:szCs w:val="16"/>
                <w:lang w:eastAsia="es-CO"/>
              </w:rPr>
            </w:pPr>
            <w:r w:rsidRPr="00380822">
              <w:rPr>
                <w:rFonts w:ascii="Verdana" w:eastAsia="Times New Roman" w:hAnsi="Verdana" w:cs="Times New Roman"/>
                <w:sz w:val="16"/>
                <w:szCs w:val="16"/>
                <w:lang w:eastAsia="es-CO"/>
              </w:rPr>
              <w:t>Contratista de la Subdirección de Gestión Contractual</w:t>
            </w:r>
          </w:p>
        </w:tc>
      </w:tr>
      <w:tr w:rsidR="00380822" w:rsidRPr="00380822" w14:paraId="72CD31D5" w14:textId="77777777" w:rsidTr="00961DF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0"/>
        </w:trPr>
        <w:tc>
          <w:tcPr>
            <w:tcW w:w="893" w:type="dxa"/>
            <w:tcBorders>
              <w:top w:val="nil"/>
              <w:left w:val="nil"/>
              <w:bottom w:val="nil"/>
              <w:right w:val="nil"/>
            </w:tcBorders>
            <w:vAlign w:val="center"/>
          </w:tcPr>
          <w:p w14:paraId="767DFA49" w14:textId="77777777" w:rsidR="00380822" w:rsidRPr="00380822" w:rsidRDefault="00380822" w:rsidP="00380822">
            <w:pPr>
              <w:contextualSpacing/>
              <w:rPr>
                <w:rFonts w:ascii="Verdana" w:eastAsia="Aptos" w:hAnsi="Verdana" w:cs="Arial"/>
                <w:sz w:val="16"/>
                <w:szCs w:val="16"/>
                <w:lang w:val="es-ES" w:eastAsia="es-ES"/>
              </w:rPr>
            </w:pPr>
            <w:r w:rsidRPr="00380822">
              <w:rPr>
                <w:rFonts w:ascii="Verdana" w:eastAsia="Aptos" w:hAnsi="Verdana" w:cs="Arial"/>
                <w:sz w:val="16"/>
                <w:szCs w:val="16"/>
                <w:lang w:val="es-ES" w:eastAsia="es-ES"/>
              </w:rPr>
              <w:t>Aprobó:</w:t>
            </w:r>
          </w:p>
        </w:tc>
        <w:tc>
          <w:tcPr>
            <w:tcW w:w="5628" w:type="dxa"/>
            <w:tcBorders>
              <w:top w:val="nil"/>
              <w:left w:val="nil"/>
              <w:bottom w:val="nil"/>
              <w:right w:val="nil"/>
            </w:tcBorders>
            <w:vAlign w:val="center"/>
          </w:tcPr>
          <w:p w14:paraId="59F7B72E" w14:textId="77777777" w:rsidR="00380822" w:rsidRPr="00380822" w:rsidRDefault="00380822" w:rsidP="00380822">
            <w:pPr>
              <w:contextualSpacing/>
              <w:rPr>
                <w:rFonts w:ascii="Verdana" w:eastAsia="Calibri" w:hAnsi="Verdana" w:cs="Arial"/>
                <w:sz w:val="16"/>
                <w:szCs w:val="16"/>
                <w:lang w:val="pt-BR" w:eastAsia="es-ES"/>
              </w:rPr>
            </w:pPr>
            <w:r w:rsidRPr="00380822">
              <w:rPr>
                <w:rFonts w:ascii="Verdana" w:eastAsia="Calibri" w:hAnsi="Verdana" w:cs="Arial"/>
                <w:sz w:val="16"/>
                <w:szCs w:val="16"/>
                <w:lang w:val="pt-BR" w:eastAsia="es-ES"/>
              </w:rPr>
              <w:t xml:space="preserve">Carolina Quintero </w:t>
            </w:r>
            <w:proofErr w:type="spellStart"/>
            <w:r w:rsidRPr="00380822">
              <w:rPr>
                <w:rFonts w:ascii="Verdana" w:eastAsia="Calibri" w:hAnsi="Verdana" w:cs="Arial"/>
                <w:sz w:val="16"/>
                <w:szCs w:val="16"/>
                <w:lang w:val="pt-BR" w:eastAsia="es-ES"/>
              </w:rPr>
              <w:t>Gacharná</w:t>
            </w:r>
            <w:proofErr w:type="spellEnd"/>
          </w:p>
          <w:p w14:paraId="0F3B58E0" w14:textId="77777777" w:rsidR="00380822" w:rsidRPr="00380822" w:rsidRDefault="00380822" w:rsidP="00380822">
            <w:pPr>
              <w:contextualSpacing/>
              <w:rPr>
                <w:rFonts w:ascii="Verdana" w:eastAsia="Calibri" w:hAnsi="Verdana" w:cs="Arial"/>
                <w:sz w:val="16"/>
                <w:szCs w:val="16"/>
                <w:lang w:val="pt-BR" w:eastAsia="es-ES"/>
              </w:rPr>
            </w:pPr>
            <w:r w:rsidRPr="00380822">
              <w:rPr>
                <w:rFonts w:ascii="Verdana" w:eastAsia="Calibri" w:hAnsi="Verdana" w:cs="Arial"/>
                <w:sz w:val="16"/>
                <w:szCs w:val="16"/>
                <w:lang w:eastAsia="es-ES"/>
              </w:rPr>
              <w:t>Subdirectora</w:t>
            </w:r>
            <w:r w:rsidRPr="00380822">
              <w:rPr>
                <w:rFonts w:ascii="Verdana" w:eastAsia="Calibri" w:hAnsi="Verdana" w:cs="Arial"/>
                <w:sz w:val="16"/>
                <w:szCs w:val="16"/>
                <w:lang w:val="pt-BR" w:eastAsia="es-ES"/>
              </w:rPr>
              <w:t xml:space="preserve"> de Gestión </w:t>
            </w:r>
            <w:proofErr w:type="spellStart"/>
            <w:r w:rsidRPr="00380822">
              <w:rPr>
                <w:rFonts w:ascii="Verdana" w:eastAsia="Calibri" w:hAnsi="Verdana" w:cs="Arial"/>
                <w:sz w:val="16"/>
                <w:szCs w:val="16"/>
                <w:lang w:val="pt-BR" w:eastAsia="es-ES"/>
              </w:rPr>
              <w:t>Contractual</w:t>
            </w:r>
            <w:proofErr w:type="spellEnd"/>
            <w:r w:rsidRPr="00380822">
              <w:rPr>
                <w:rFonts w:ascii="Verdana" w:eastAsia="Calibri" w:hAnsi="Verdana" w:cs="Arial"/>
                <w:sz w:val="16"/>
                <w:szCs w:val="16"/>
                <w:lang w:val="pt-BR" w:eastAsia="es-ES"/>
              </w:rPr>
              <w:t xml:space="preserve"> ANCP – CCE</w:t>
            </w:r>
          </w:p>
        </w:tc>
      </w:tr>
    </w:tbl>
    <w:p w14:paraId="44FDBBE1" w14:textId="77777777" w:rsidR="00380822" w:rsidRPr="00380822" w:rsidRDefault="00380822" w:rsidP="00380822">
      <w:pPr>
        <w:spacing w:after="0" w:line="240" w:lineRule="auto"/>
        <w:rPr>
          <w:rFonts w:ascii="Verdana" w:eastAsia="Times New Roman" w:hAnsi="Verdana" w:cs="Arial"/>
          <w:lang w:eastAsia="es-ES"/>
        </w:rPr>
      </w:pPr>
    </w:p>
    <w:p w14:paraId="551D782F" w14:textId="77777777" w:rsidR="00380822" w:rsidRPr="00380822" w:rsidRDefault="00380822" w:rsidP="00380822">
      <w:pPr>
        <w:rPr>
          <w:rFonts w:ascii="Verdana" w:eastAsia="Aptos" w:hAnsi="Verdana" w:cs="Arial"/>
        </w:rPr>
      </w:pPr>
    </w:p>
    <w:p w14:paraId="66988DEC" w14:textId="77777777" w:rsidR="00380822" w:rsidRPr="00380822" w:rsidRDefault="00380822" w:rsidP="00380822">
      <w:pPr>
        <w:spacing w:after="0"/>
        <w:rPr>
          <w:rFonts w:ascii="Verdana" w:eastAsia="Aptos" w:hAnsi="Verdana" w:cs="Arial"/>
        </w:rPr>
      </w:pPr>
      <w:r w:rsidRPr="00380822">
        <w:rPr>
          <w:rFonts w:ascii="Verdana" w:eastAsia="Aptos" w:hAnsi="Verdana" w:cs="Arial"/>
        </w:rPr>
        <w:tab/>
      </w:r>
    </w:p>
    <w:p w14:paraId="05897154" w14:textId="77777777" w:rsidR="00380822" w:rsidRPr="00380822" w:rsidRDefault="00380822" w:rsidP="00380822">
      <w:pPr>
        <w:spacing w:after="0"/>
        <w:rPr>
          <w:rFonts w:ascii="Verdana" w:eastAsia="Aptos" w:hAnsi="Verdana" w:cs="Arial"/>
        </w:rPr>
      </w:pPr>
    </w:p>
    <w:p w14:paraId="04CD47C9" w14:textId="77777777" w:rsidR="00380822" w:rsidRPr="00380822" w:rsidRDefault="00380822" w:rsidP="00380822">
      <w:pPr>
        <w:spacing w:after="0"/>
        <w:rPr>
          <w:rFonts w:ascii="Verdana" w:eastAsia="Aptos" w:hAnsi="Verdana" w:cs="Arial"/>
        </w:rPr>
      </w:pPr>
    </w:p>
    <w:bookmarkEnd w:id="0"/>
    <w:p w14:paraId="0F293BF4" w14:textId="3B475EFF" w:rsidR="00127233" w:rsidRPr="0004487D" w:rsidRDefault="00127233" w:rsidP="0004487D"/>
    <w:sectPr w:rsidR="00127233" w:rsidRPr="0004487D"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A0F233" w14:textId="77777777" w:rsidR="009B25A8" w:rsidRDefault="009B25A8" w:rsidP="004A1847">
      <w:pPr>
        <w:spacing w:after="0" w:line="240" w:lineRule="auto"/>
      </w:pPr>
      <w:r>
        <w:separator/>
      </w:r>
    </w:p>
  </w:endnote>
  <w:endnote w:type="continuationSeparator" w:id="0">
    <w:p w14:paraId="42E43FDB" w14:textId="77777777" w:rsidR="009B25A8" w:rsidRDefault="009B25A8"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380822">
      <w:rPr>
        <w:rFonts w:ascii="Verdana" w:eastAsia="Times New Roman" w:hAnsi="Verdana" w:cs="Times New Roman"/>
        <w:b/>
        <w:bCs/>
        <w:sz w:val="16"/>
        <w:szCs w:val="16"/>
        <w:lang w:val="es-ES"/>
      </w:rPr>
      <w:t xml:space="preserve">pág. </w:t>
    </w:r>
    <w:r w:rsidRPr="00380822">
      <w:rPr>
        <w:rFonts w:ascii="Verdana" w:eastAsia="Times New Roman" w:hAnsi="Verdana"/>
        <w:b/>
        <w:bCs/>
        <w:sz w:val="16"/>
        <w:szCs w:val="16"/>
      </w:rPr>
      <w:fldChar w:fldCharType="begin"/>
    </w:r>
    <w:r w:rsidRPr="002E1330">
      <w:rPr>
        <w:rFonts w:ascii="Verdana" w:hAnsi="Verdana"/>
        <w:b/>
        <w:bCs/>
        <w:sz w:val="16"/>
        <w:szCs w:val="16"/>
      </w:rPr>
      <w:instrText>PAGE    \* MERGEFORMAT</w:instrText>
    </w:r>
    <w:r w:rsidRPr="00380822">
      <w:rPr>
        <w:rFonts w:ascii="Verdana" w:eastAsia="Times New Roman" w:hAnsi="Verdana"/>
        <w:b/>
        <w:bCs/>
        <w:sz w:val="16"/>
        <w:szCs w:val="16"/>
      </w:rPr>
      <w:fldChar w:fldCharType="separate"/>
    </w:r>
    <w:r w:rsidRPr="00380822">
      <w:rPr>
        <w:rFonts w:ascii="Verdana" w:eastAsia="Times New Roman" w:hAnsi="Verdana"/>
        <w:b/>
        <w:bCs/>
        <w:sz w:val="16"/>
        <w:szCs w:val="16"/>
      </w:rPr>
      <w:t>1</w:t>
    </w:r>
    <w:r w:rsidRPr="00380822">
      <w:rPr>
        <w:rFonts w:ascii="Verdana" w:eastAsia="Times New Roman" w:hAnsi="Verdana" w:cs="Times New Roman"/>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85B0AC" w14:textId="77777777" w:rsidR="009B25A8" w:rsidRDefault="009B25A8" w:rsidP="004A1847">
      <w:pPr>
        <w:spacing w:after="0" w:line="240" w:lineRule="auto"/>
      </w:pPr>
      <w:r>
        <w:separator/>
      </w:r>
    </w:p>
  </w:footnote>
  <w:footnote w:type="continuationSeparator" w:id="0">
    <w:p w14:paraId="0480898D" w14:textId="77777777" w:rsidR="009B25A8" w:rsidRDefault="009B25A8" w:rsidP="004A1847">
      <w:pPr>
        <w:spacing w:after="0" w:line="240" w:lineRule="auto"/>
      </w:pPr>
      <w:r>
        <w:continuationSeparator/>
      </w:r>
    </w:p>
  </w:footnote>
  <w:footnote w:id="1">
    <w:p w14:paraId="57FCC566" w14:textId="77777777" w:rsidR="00380822" w:rsidRDefault="00380822" w:rsidP="00380822">
      <w:pPr>
        <w:pStyle w:val="Textonotapie"/>
        <w:ind w:firstLine="709"/>
        <w:jc w:val="both"/>
      </w:pPr>
      <w:r w:rsidRPr="00D0663A">
        <w:rPr>
          <w:rFonts w:ascii="Verdana" w:hAnsi="Verdana"/>
          <w:sz w:val="18"/>
          <w:szCs w:val="18"/>
          <w:vertAlign w:val="superscript"/>
        </w:rPr>
        <w:footnoteRef/>
      </w:r>
      <w:r w:rsidRPr="00D0663A">
        <w:rPr>
          <w:rFonts w:ascii="Verdana" w:hAnsi="Verdana"/>
          <w:sz w:val="18"/>
          <w:szCs w:val="18"/>
        </w:rPr>
        <w:t xml:space="preserve"> Estos Documentos Tipo pueden ser consultados en la página web de Colombia Compra Eficiente, a través del siguiente enlace: </w:t>
      </w:r>
      <w:hyperlink r:id="rId1" w:history="1">
        <w:r w:rsidRPr="00D0663A">
          <w:rPr>
            <w:rStyle w:val="Hipervnculo"/>
            <w:rFonts w:ascii="Verdana" w:hAnsi="Verdana" w:cs="Arial"/>
            <w:sz w:val="18"/>
            <w:szCs w:val="18"/>
          </w:rPr>
          <w:t>https://www.colombiacompra.gov.co/documentos-tipo/documentos-tipo</w:t>
        </w:r>
      </w:hyperlink>
      <w:r w:rsidRPr="00D0663A">
        <w:rPr>
          <w:rFonts w:ascii="Verdana" w:hAnsi="Verdana"/>
          <w:sz w:val="18"/>
          <w:szCs w:val="18"/>
        </w:rPr>
        <w:t xml:space="preserve"> </w:t>
      </w:r>
    </w:p>
  </w:footnote>
  <w:footnote w:id="2">
    <w:p w14:paraId="172DBE29" w14:textId="77777777" w:rsidR="00380822" w:rsidRDefault="00380822" w:rsidP="00380822">
      <w:pPr>
        <w:pStyle w:val="Textonotapie"/>
        <w:ind w:firstLine="708"/>
        <w:jc w:val="both"/>
      </w:pPr>
      <w:r w:rsidRPr="00D0663A">
        <w:rPr>
          <w:rFonts w:ascii="Verdana" w:hAnsi="Verdana"/>
          <w:color w:val="000000"/>
          <w:sz w:val="18"/>
          <w:szCs w:val="18"/>
          <w:vertAlign w:val="superscript"/>
        </w:rPr>
        <w:footnoteRef/>
      </w:r>
      <w:r w:rsidRPr="00D0663A">
        <w:rPr>
          <w:rFonts w:ascii="Verdana" w:hAnsi="Verdana"/>
          <w:color w:val="000000"/>
          <w:sz w:val="18"/>
          <w:szCs w:val="18"/>
        </w:rPr>
        <w:t xml:space="preserve"> Artículo 2.2.1.1.2.1.1. del Decreto 1082 de 2015.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2410D30"/>
    <w:multiLevelType w:val="hybridMultilevel"/>
    <w:tmpl w:val="2D849206"/>
    <w:lvl w:ilvl="0" w:tplc="3C2CE0C2">
      <w:start w:val="1"/>
      <w:numFmt w:val="upperLetter"/>
      <w:lvlText w:val="%1."/>
      <w:lvlJc w:val="left"/>
      <w:pPr>
        <w:ind w:left="846" w:hanging="420"/>
      </w:pPr>
      <w:rPr>
        <w:rFonts w:hint="default"/>
      </w:rPr>
    </w:lvl>
    <w:lvl w:ilvl="1" w:tplc="240A0019" w:tentative="1">
      <w:start w:val="1"/>
      <w:numFmt w:val="lowerLetter"/>
      <w:lvlText w:val="%2."/>
      <w:lvlJc w:val="left"/>
      <w:pPr>
        <w:ind w:left="1506" w:hanging="360"/>
      </w:pPr>
    </w:lvl>
    <w:lvl w:ilvl="2" w:tplc="240A001B" w:tentative="1">
      <w:start w:val="1"/>
      <w:numFmt w:val="lowerRoman"/>
      <w:lvlText w:val="%3."/>
      <w:lvlJc w:val="right"/>
      <w:pPr>
        <w:ind w:left="2226" w:hanging="180"/>
      </w:pPr>
    </w:lvl>
    <w:lvl w:ilvl="3" w:tplc="240A000F" w:tentative="1">
      <w:start w:val="1"/>
      <w:numFmt w:val="decimal"/>
      <w:lvlText w:val="%4."/>
      <w:lvlJc w:val="left"/>
      <w:pPr>
        <w:ind w:left="2946" w:hanging="360"/>
      </w:pPr>
    </w:lvl>
    <w:lvl w:ilvl="4" w:tplc="240A0019" w:tentative="1">
      <w:start w:val="1"/>
      <w:numFmt w:val="lowerLetter"/>
      <w:lvlText w:val="%5."/>
      <w:lvlJc w:val="left"/>
      <w:pPr>
        <w:ind w:left="3666" w:hanging="360"/>
      </w:pPr>
    </w:lvl>
    <w:lvl w:ilvl="5" w:tplc="240A001B" w:tentative="1">
      <w:start w:val="1"/>
      <w:numFmt w:val="lowerRoman"/>
      <w:lvlText w:val="%6."/>
      <w:lvlJc w:val="right"/>
      <w:pPr>
        <w:ind w:left="4386" w:hanging="180"/>
      </w:pPr>
    </w:lvl>
    <w:lvl w:ilvl="6" w:tplc="240A000F" w:tentative="1">
      <w:start w:val="1"/>
      <w:numFmt w:val="decimal"/>
      <w:lvlText w:val="%7."/>
      <w:lvlJc w:val="left"/>
      <w:pPr>
        <w:ind w:left="5106" w:hanging="360"/>
      </w:pPr>
    </w:lvl>
    <w:lvl w:ilvl="7" w:tplc="240A0019" w:tentative="1">
      <w:start w:val="1"/>
      <w:numFmt w:val="lowerLetter"/>
      <w:lvlText w:val="%8."/>
      <w:lvlJc w:val="left"/>
      <w:pPr>
        <w:ind w:left="5826" w:hanging="360"/>
      </w:pPr>
    </w:lvl>
    <w:lvl w:ilvl="8" w:tplc="240A001B" w:tentative="1">
      <w:start w:val="1"/>
      <w:numFmt w:val="lowerRoman"/>
      <w:lvlText w:val="%9."/>
      <w:lvlJc w:val="right"/>
      <w:pPr>
        <w:ind w:left="6546" w:hanging="180"/>
      </w:p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81913CC"/>
    <w:multiLevelType w:val="hybridMultilevel"/>
    <w:tmpl w:val="AC501110"/>
    <w:lvl w:ilvl="0" w:tplc="F43C4DF8">
      <w:start w:val="1"/>
      <w:numFmt w:val="lowerRoman"/>
      <w:lvlText w:val="%1."/>
      <w:lvlJc w:val="left"/>
      <w:pPr>
        <w:ind w:left="720" w:hanging="72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8"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31077D0"/>
    <w:multiLevelType w:val="hybridMultilevel"/>
    <w:tmpl w:val="F62C7C0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1CC6F5F"/>
    <w:multiLevelType w:val="hybridMultilevel"/>
    <w:tmpl w:val="D2B6286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7F121B22"/>
    <w:multiLevelType w:val="hybridMultilevel"/>
    <w:tmpl w:val="4D9A8CA4"/>
    <w:lvl w:ilvl="0" w:tplc="7996F5C0">
      <w:start w:val="1"/>
      <w:numFmt w:val="upperLetter"/>
      <w:lvlText w:val="%1."/>
      <w:lvlJc w:val="left"/>
      <w:pPr>
        <w:ind w:left="710" w:hanging="71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num w:numId="1" w16cid:durableId="948779781">
    <w:abstractNumId w:val="9"/>
  </w:num>
  <w:num w:numId="2" w16cid:durableId="19822139">
    <w:abstractNumId w:val="2"/>
  </w:num>
  <w:num w:numId="3" w16cid:durableId="876742304">
    <w:abstractNumId w:val="6"/>
  </w:num>
  <w:num w:numId="4" w16cid:durableId="24518640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6"/>
  </w:num>
  <w:num w:numId="7" w16cid:durableId="1946422806">
    <w:abstractNumId w:val="8"/>
  </w:num>
  <w:num w:numId="8" w16cid:durableId="152644682">
    <w:abstractNumId w:val="15"/>
  </w:num>
  <w:num w:numId="9" w16cid:durableId="1317221377">
    <w:abstractNumId w:val="10"/>
  </w:num>
  <w:num w:numId="10" w16cid:durableId="1471245386">
    <w:abstractNumId w:val="14"/>
  </w:num>
  <w:num w:numId="11" w16cid:durableId="289172385">
    <w:abstractNumId w:val="11"/>
  </w:num>
  <w:num w:numId="12" w16cid:durableId="1470781324">
    <w:abstractNumId w:val="1"/>
  </w:num>
  <w:num w:numId="13" w16cid:durableId="1512908409">
    <w:abstractNumId w:val="4"/>
  </w:num>
  <w:num w:numId="14" w16cid:durableId="895897244">
    <w:abstractNumId w:val="17"/>
  </w:num>
  <w:num w:numId="15" w16cid:durableId="390349800">
    <w:abstractNumId w:val="13"/>
  </w:num>
  <w:num w:numId="16" w16cid:durableId="197010639">
    <w:abstractNumId w:val="0"/>
  </w:num>
  <w:num w:numId="17" w16cid:durableId="271860312">
    <w:abstractNumId w:val="18"/>
  </w:num>
  <w:num w:numId="18" w16cid:durableId="1492209491">
    <w:abstractNumId w:val="7"/>
  </w:num>
  <w:num w:numId="19" w16cid:durableId="464003108">
    <w:abstractNumId w:val="12"/>
  </w:num>
  <w:num w:numId="20" w16cid:durableId="614020149">
    <w:abstractNumId w:val="3"/>
  </w:num>
  <w:num w:numId="21" w16cid:durableId="1700424850">
    <w:abstractNumId w:val="5"/>
  </w:num>
  <w:num w:numId="22" w16cid:durableId="195817638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71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2698"/>
    <w:rsid w:val="0004487D"/>
    <w:rsid w:val="00046945"/>
    <w:rsid w:val="00061B2A"/>
    <w:rsid w:val="00082362"/>
    <w:rsid w:val="000A683E"/>
    <w:rsid w:val="000B19B9"/>
    <w:rsid w:val="000D0334"/>
    <w:rsid w:val="000D1894"/>
    <w:rsid w:val="000F4921"/>
    <w:rsid w:val="000F6486"/>
    <w:rsid w:val="00117909"/>
    <w:rsid w:val="00125105"/>
    <w:rsid w:val="00127233"/>
    <w:rsid w:val="001A3802"/>
    <w:rsid w:val="001B7817"/>
    <w:rsid w:val="001E4177"/>
    <w:rsid w:val="001F7DC6"/>
    <w:rsid w:val="002421BB"/>
    <w:rsid w:val="0025796E"/>
    <w:rsid w:val="002707A2"/>
    <w:rsid w:val="00290773"/>
    <w:rsid w:val="002951A0"/>
    <w:rsid w:val="002962BC"/>
    <w:rsid w:val="002A093D"/>
    <w:rsid w:val="002A0DD0"/>
    <w:rsid w:val="002A49AC"/>
    <w:rsid w:val="002A64FD"/>
    <w:rsid w:val="002C7A84"/>
    <w:rsid w:val="002E4FD9"/>
    <w:rsid w:val="00322A85"/>
    <w:rsid w:val="00324168"/>
    <w:rsid w:val="003448F4"/>
    <w:rsid w:val="00374F5E"/>
    <w:rsid w:val="00377E3E"/>
    <w:rsid w:val="00380822"/>
    <w:rsid w:val="003A779E"/>
    <w:rsid w:val="003C1A10"/>
    <w:rsid w:val="003D0F4D"/>
    <w:rsid w:val="003D5B0D"/>
    <w:rsid w:val="003E0499"/>
    <w:rsid w:val="003F3941"/>
    <w:rsid w:val="00406575"/>
    <w:rsid w:val="00414C74"/>
    <w:rsid w:val="0042722E"/>
    <w:rsid w:val="0044528D"/>
    <w:rsid w:val="00484C8C"/>
    <w:rsid w:val="004A1847"/>
    <w:rsid w:val="004A2823"/>
    <w:rsid w:val="004A305D"/>
    <w:rsid w:val="004F21C4"/>
    <w:rsid w:val="004F685F"/>
    <w:rsid w:val="005566E8"/>
    <w:rsid w:val="00574867"/>
    <w:rsid w:val="00591460"/>
    <w:rsid w:val="005C3777"/>
    <w:rsid w:val="005C5CDC"/>
    <w:rsid w:val="005D476C"/>
    <w:rsid w:val="006219F8"/>
    <w:rsid w:val="006302F7"/>
    <w:rsid w:val="00636FB3"/>
    <w:rsid w:val="00637574"/>
    <w:rsid w:val="00665D70"/>
    <w:rsid w:val="0068414E"/>
    <w:rsid w:val="006900D9"/>
    <w:rsid w:val="006A760C"/>
    <w:rsid w:val="00706C16"/>
    <w:rsid w:val="00756841"/>
    <w:rsid w:val="007649AB"/>
    <w:rsid w:val="00771D0C"/>
    <w:rsid w:val="007833AC"/>
    <w:rsid w:val="007B268C"/>
    <w:rsid w:val="007B7171"/>
    <w:rsid w:val="007C0C0F"/>
    <w:rsid w:val="007C3DC2"/>
    <w:rsid w:val="007E5497"/>
    <w:rsid w:val="00806F5F"/>
    <w:rsid w:val="00820278"/>
    <w:rsid w:val="00867F95"/>
    <w:rsid w:val="008843B6"/>
    <w:rsid w:val="00891928"/>
    <w:rsid w:val="00897A3A"/>
    <w:rsid w:val="008A446D"/>
    <w:rsid w:val="008D180B"/>
    <w:rsid w:val="008F0EA7"/>
    <w:rsid w:val="00923EEF"/>
    <w:rsid w:val="009419F9"/>
    <w:rsid w:val="0095685E"/>
    <w:rsid w:val="00961B09"/>
    <w:rsid w:val="00965334"/>
    <w:rsid w:val="0097093E"/>
    <w:rsid w:val="009954C5"/>
    <w:rsid w:val="009A0DFA"/>
    <w:rsid w:val="009B25A8"/>
    <w:rsid w:val="009B2D26"/>
    <w:rsid w:val="009C71FA"/>
    <w:rsid w:val="009C72E7"/>
    <w:rsid w:val="009D3058"/>
    <w:rsid w:val="009F3A13"/>
    <w:rsid w:val="00A122D3"/>
    <w:rsid w:val="00A17F13"/>
    <w:rsid w:val="00A20739"/>
    <w:rsid w:val="00A33C78"/>
    <w:rsid w:val="00AB0ADB"/>
    <w:rsid w:val="00B00C0E"/>
    <w:rsid w:val="00B01B1A"/>
    <w:rsid w:val="00B44A47"/>
    <w:rsid w:val="00B72CD3"/>
    <w:rsid w:val="00B72FFF"/>
    <w:rsid w:val="00BC3D36"/>
    <w:rsid w:val="00BD3FC7"/>
    <w:rsid w:val="00BD7F72"/>
    <w:rsid w:val="00C04FB3"/>
    <w:rsid w:val="00C330EB"/>
    <w:rsid w:val="00C754BE"/>
    <w:rsid w:val="00C76B1C"/>
    <w:rsid w:val="00CB6357"/>
    <w:rsid w:val="00CC1B26"/>
    <w:rsid w:val="00CF45F4"/>
    <w:rsid w:val="00D32EB3"/>
    <w:rsid w:val="00D423A2"/>
    <w:rsid w:val="00D520D8"/>
    <w:rsid w:val="00D63AC2"/>
    <w:rsid w:val="00D7383B"/>
    <w:rsid w:val="00DA231B"/>
    <w:rsid w:val="00DC39FC"/>
    <w:rsid w:val="00DF525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31EDC"/>
    <w:rsid w:val="00F462B3"/>
    <w:rsid w:val="00F5664F"/>
    <w:rsid w:val="00F666C4"/>
    <w:rsid w:val="00F76AFC"/>
    <w:rsid w:val="00FA47C0"/>
    <w:rsid w:val="00FB5DD1"/>
    <w:rsid w:val="00FC2B5D"/>
    <w:rsid w:val="00FF1449"/>
  </w:rsids>
  <m:mathPr>
    <m:mathFont m:val="Cambria Math"/>
    <m:brkBin m:val="before"/>
    <m:brkBinSub m:val="--"/>
    <m:smallFrac m:val="0"/>
    <m:dispDef/>
    <m:lMargin m:val="0"/>
    <m:rMargin m:val="0"/>
    <m:defJc m:val="centerGroup"/>
    <m:wrapIndent m:val="1440"/>
    <m:intLim m:val="subSup"/>
    <m:naryLim m:val="undOvr"/>
  </m:mathPr>
  <w:themeFontLang w:val="es-CO" w:bidi="ar-SA"/>
  <w:clrSchemeMapping w:bg1="light1" w:t1="dark1" w:bg2="light2" w:t2="dark2" w:accent1="accent1" w:accent2="accent2" w:accent3="accent3" w:accent4="accent4" w:accent5="accent5" w:accent6="accent6" w:hyperlink="hyperlink" w:followedHyperlink="followedHyperlink"/>
  <w:shapeDefaults>
    <o:shapedefaults v:ext="edit" spidmax="7169"/>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
    <w:basedOn w:val="Fuentedeprrafopredeter"/>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content/documentos-tipo-para-licitacion-de-obra-publica-de-infraestructura-de-transporte-version-04"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licitacioneshmringenieria@gmail.com"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purl.org/dc/dcmitype/"/>
    <ds:schemaRef ds:uri="9d85dbaf-23eb-4e57-a637-93dcacc8b1a1"/>
    <ds:schemaRef ds:uri="http://schemas.openxmlformats.org/package/2006/metadata/core-properties"/>
    <ds:schemaRef ds:uri="http://purl.org/dc/elements/1.1/"/>
    <ds:schemaRef ds:uri="http://schemas.microsoft.com/office/2006/metadata/properties"/>
    <ds:schemaRef ds:uri="http://schemas.microsoft.com/office/infopath/2007/PartnerControls"/>
    <ds:schemaRef ds:uri="http://schemas.microsoft.com/office/2006/documentManagement/types"/>
    <ds:schemaRef ds:uri="http://purl.org/dc/terms/"/>
    <ds:schemaRef ds:uri="a6cb9e4b-f1d1-4245-83ec-6cad768d538a"/>
    <ds:schemaRef ds:uri="http://www.w3.org/XML/1998/namespace"/>
  </ds:schemaRefs>
</ds:datastoreItem>
</file>

<file path=customXml/itemProps2.xml><?xml version="1.0" encoding="utf-8"?>
<ds:datastoreItem xmlns:ds="http://schemas.openxmlformats.org/officeDocument/2006/customXml" ds:itemID="{5DF5007E-53F8-4FFC-A220-5E0B27134FB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8</TotalTime>
  <Pages>13</Pages>
  <Words>3809</Words>
  <Characters>20684</Characters>
  <Application>Microsoft Office Word</Application>
  <DocSecurity>0</DocSecurity>
  <Lines>504</Lines>
  <Paragraphs>127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2025-10-16T20:42:00Z</dcterms:created>
  <dcterms:modified xsi:type="dcterms:W3CDTF">2025-10-16T20:42:00Z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