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A60AC" w14:textId="77777777" w:rsidR="00DB6275" w:rsidRPr="00DB6275" w:rsidRDefault="00DB6275" w:rsidP="00DB6275">
      <w:pPr>
        <w:spacing w:before="100" w:beforeAutospacing="1" w:after="100" w:afterAutospacing="1" w:line="240" w:lineRule="auto"/>
        <w:jc w:val="both"/>
        <w:rPr>
          <w:rFonts w:ascii="Verdana" w:eastAsia="Times New Roman" w:hAnsi="Verdana" w:cs="Times New Roman"/>
          <w:b/>
          <w:bCs/>
          <w:lang w:eastAsia="es-MX"/>
        </w:rPr>
      </w:pPr>
      <w:r w:rsidRPr="00DB6275">
        <w:rPr>
          <w:rFonts w:ascii="Verdana" w:eastAsia="Times New Roman" w:hAnsi="Verdana" w:cs="Times New Roman"/>
          <w:b/>
          <w:bCs/>
          <w:lang w:eastAsia="es-MX"/>
        </w:rPr>
        <w:t xml:space="preserve">PROPONENTE EXTRANJERO – CALIDAD DEL PROPONENTE Y APODERADO </w:t>
      </w:r>
    </w:p>
    <w:p w14:paraId="0ED063C6" w14:textId="017CDB01" w:rsidR="00DB6275" w:rsidRPr="00DB6275" w:rsidRDefault="00DB6275" w:rsidP="00DB6275">
      <w:pPr>
        <w:spacing w:before="100" w:beforeAutospacing="1" w:after="100" w:afterAutospacing="1" w:line="240" w:lineRule="auto"/>
        <w:jc w:val="both"/>
        <w:rPr>
          <w:rFonts w:ascii="Verdana" w:eastAsia="Times New Roman" w:hAnsi="Verdana" w:cs="Times New Roman"/>
          <w:lang w:eastAsia="es-MX"/>
        </w:rPr>
      </w:pPr>
      <w:r w:rsidRPr="00DB6275">
        <w:rPr>
          <w:rFonts w:ascii="Verdana" w:eastAsia="Times New Roman" w:hAnsi="Verdana" w:cs="Times New Roman"/>
          <w:lang w:eastAsia="es-MX"/>
        </w:rPr>
        <w:t>El sujeto que ostenta la calidad de proponente es la persona, natural o jurídica, que presenta una oferta y quien debe acreditar el cumplimiento de los requisitos habilitantes (aptitud jurídica, financiera, organizacional y experiencia) . La figura del apoderado es de naturaleza representativa; actúa en nombre y por cuenta de su poderdante (la compañía extranjera), pero no lo sustituye en sus obligaciones ni en su calidad de oferente. Por lo tanto, la responsabilidad de mantener la oferta y ejecutar el contrato recae exclusivamente sobre la compañía extranjera.</w:t>
      </w:r>
    </w:p>
    <w:p w14:paraId="57BF90C1" w14:textId="77777777" w:rsidR="00DB6275" w:rsidRPr="00DB6275" w:rsidRDefault="00DB6275" w:rsidP="00DB6275">
      <w:pPr>
        <w:spacing w:before="100" w:beforeAutospacing="1" w:after="100" w:afterAutospacing="1" w:line="240" w:lineRule="auto"/>
        <w:jc w:val="both"/>
        <w:rPr>
          <w:rFonts w:ascii="Verdana" w:eastAsia="Times New Roman" w:hAnsi="Verdana" w:cs="Times New Roman"/>
          <w:b/>
          <w:bCs/>
          <w:lang w:eastAsia="es-MX"/>
        </w:rPr>
      </w:pPr>
      <w:r w:rsidRPr="00DB6275">
        <w:rPr>
          <w:rFonts w:ascii="Verdana" w:eastAsia="Times New Roman" w:hAnsi="Verdana" w:cs="Times New Roman"/>
          <w:b/>
          <w:bCs/>
          <w:lang w:eastAsia="es-MX"/>
        </w:rPr>
        <w:t xml:space="preserve">GARANTÍA DE SERIEDAD DE LA OFERTA – TITULARIDAD </w:t>
      </w:r>
    </w:p>
    <w:p w14:paraId="6B906277" w14:textId="7A3A6B23" w:rsidR="00DB6275" w:rsidRPr="00DB6275" w:rsidRDefault="00DB6275" w:rsidP="00DB6275">
      <w:pPr>
        <w:spacing w:before="100" w:beforeAutospacing="1" w:after="100" w:afterAutospacing="1" w:line="240" w:lineRule="auto"/>
        <w:jc w:val="both"/>
        <w:rPr>
          <w:rFonts w:ascii="Verdana" w:eastAsia="Times New Roman" w:hAnsi="Verdana" w:cs="Times New Roman"/>
          <w:lang w:eastAsia="es-MX"/>
        </w:rPr>
      </w:pPr>
      <w:r w:rsidRPr="00DB6275">
        <w:rPr>
          <w:rFonts w:ascii="Verdana" w:eastAsia="Times New Roman" w:hAnsi="Verdana" w:cs="Times New Roman"/>
          <w:lang w:eastAsia="es-MX"/>
        </w:rPr>
        <w:t>Las garantías, como la póliza de seriedad, buscan amparar a la entidad frente al incumplimiento del proponente. En consecuencia, la garantía debe ser tomada por y expedida a nombre de quien asume la responsabilidad principal, es decir, el oferente (la compañía extranjera). Si la póliza se expidiera a nombre del apoderado, existiría una incongruencia, pues cubriría a una persona que no es la proponente, no acreditó los requisitos y no será la contratista, lo cual desnaturaliza la garantía y podría ser causal de rechazo.</w:t>
      </w:r>
    </w:p>
    <w:p w14:paraId="72CF1B38" w14:textId="77777777" w:rsidR="00DB6275" w:rsidRPr="00DB6275" w:rsidRDefault="00DB6275" w:rsidP="00DB6275">
      <w:pPr>
        <w:spacing w:before="100" w:beforeAutospacing="1" w:after="100" w:afterAutospacing="1" w:line="240" w:lineRule="auto"/>
        <w:jc w:val="both"/>
        <w:rPr>
          <w:rFonts w:ascii="Verdana" w:eastAsia="Times New Roman" w:hAnsi="Verdana" w:cs="Times New Roman"/>
          <w:b/>
          <w:bCs/>
          <w:lang w:eastAsia="es-MX"/>
        </w:rPr>
      </w:pPr>
      <w:r w:rsidRPr="00DB6275">
        <w:rPr>
          <w:rFonts w:ascii="Verdana" w:eastAsia="Times New Roman" w:hAnsi="Verdana" w:cs="Times New Roman"/>
          <w:b/>
          <w:bCs/>
          <w:lang w:eastAsia="es-MX"/>
        </w:rPr>
        <w:t xml:space="preserve">REGISTRO ÚNICO DE PROPONENTES (RUP) – DEBER DE ACREDITACIÓN </w:t>
      </w:r>
    </w:p>
    <w:p w14:paraId="1D1E70A2" w14:textId="6B212D2E" w:rsidR="00DB6275" w:rsidRPr="00DB6275" w:rsidRDefault="00DB6275" w:rsidP="00DB6275">
      <w:pPr>
        <w:spacing w:before="100" w:beforeAutospacing="1" w:after="100" w:afterAutospacing="1" w:line="240" w:lineRule="auto"/>
        <w:jc w:val="both"/>
        <w:rPr>
          <w:rFonts w:ascii="Verdana" w:eastAsia="Times New Roman" w:hAnsi="Verdana" w:cs="Times New Roman"/>
          <w:lang w:eastAsia="es-MX"/>
        </w:rPr>
      </w:pPr>
      <w:r w:rsidRPr="00DB6275">
        <w:rPr>
          <w:rFonts w:ascii="Verdana" w:eastAsia="Times New Roman" w:hAnsi="Verdana" w:cs="Times New Roman"/>
          <w:lang w:eastAsia="es-MX"/>
        </w:rPr>
        <w:t>Las personas jurídicas extranjeras con domicilio o sucursal en Colombia están obligadas a inscribirse en el RUP para acreditar sus requisitos habilitantes. Para ellas, el RUP es la plena prueba de dichas condiciones. Quedan exceptuadas de esta obligación las personas extranjeras sin domicilio ni sucursal en Colombia, quienes deberán acreditar su capacidad directamente ante la entidad estatal, según lo indiquen los pliegos de condiciones.</w:t>
      </w:r>
    </w:p>
    <w:p w14:paraId="6BF54EF6" w14:textId="77777777" w:rsidR="00DB6275" w:rsidRPr="00DB6275" w:rsidRDefault="00DB6275" w:rsidP="00774F14">
      <w:pPr>
        <w:pStyle w:val="Textoindependiente"/>
        <w:spacing w:before="168"/>
        <w:rPr>
          <w:rFonts w:ascii="Verdana" w:hAnsi="Verdana"/>
        </w:rPr>
      </w:pPr>
    </w:p>
    <w:p w14:paraId="738336AE" w14:textId="77777777" w:rsidR="00DB6275" w:rsidRDefault="00DB6275" w:rsidP="00774F14">
      <w:pPr>
        <w:pStyle w:val="Textoindependiente"/>
        <w:spacing w:before="168"/>
        <w:rPr>
          <w:rFonts w:ascii="Verdana" w:hAnsi="Verdana"/>
        </w:rPr>
      </w:pPr>
    </w:p>
    <w:p w14:paraId="1DAB3C36" w14:textId="77777777" w:rsidR="00DB6275" w:rsidRDefault="00DB6275" w:rsidP="00774F14">
      <w:pPr>
        <w:pStyle w:val="Textoindependiente"/>
        <w:spacing w:before="168"/>
        <w:rPr>
          <w:rFonts w:ascii="Verdana" w:hAnsi="Verdana"/>
        </w:rPr>
      </w:pPr>
    </w:p>
    <w:p w14:paraId="0505084C" w14:textId="77777777" w:rsidR="00DB6275" w:rsidRDefault="00DB6275" w:rsidP="00774F14">
      <w:pPr>
        <w:pStyle w:val="Textoindependiente"/>
        <w:spacing w:before="168"/>
        <w:rPr>
          <w:rFonts w:ascii="Verdana" w:hAnsi="Verdana"/>
        </w:rPr>
      </w:pPr>
    </w:p>
    <w:p w14:paraId="5531ACFA" w14:textId="77777777" w:rsidR="00DB6275" w:rsidRDefault="00DB6275" w:rsidP="00774F14">
      <w:pPr>
        <w:pStyle w:val="Textoindependiente"/>
        <w:spacing w:before="168"/>
        <w:rPr>
          <w:rFonts w:ascii="Verdana" w:hAnsi="Verdana"/>
        </w:rPr>
      </w:pPr>
    </w:p>
    <w:p w14:paraId="714B9B0A" w14:textId="68490AD6" w:rsidR="00774F14" w:rsidRPr="00774F14" w:rsidRDefault="00774F14" w:rsidP="00774F14">
      <w:pPr>
        <w:pStyle w:val="Textoindependiente"/>
        <w:spacing w:before="168"/>
        <w:rPr>
          <w:rFonts w:ascii="Verdana" w:hAnsi="Verdana"/>
        </w:rPr>
      </w:pPr>
      <w:r w:rsidRPr="00774F14">
        <w:rPr>
          <w:rFonts w:ascii="Verdana" w:hAnsi="Verdana"/>
          <w:noProof/>
        </w:rPr>
        <w:lastRenderedPageBreak/>
        <w:drawing>
          <wp:anchor distT="0" distB="0" distL="0" distR="0" simplePos="0" relativeHeight="251659264" behindDoc="0" locked="0" layoutInCell="1" allowOverlap="1" wp14:anchorId="7E6A9844" wp14:editId="5A605EDD">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774F14">
        <w:rPr>
          <w:rFonts w:ascii="Verdana" w:hAnsi="Verdana"/>
        </w:rPr>
        <w:t>Bogotá</w:t>
      </w:r>
      <w:r w:rsidRPr="00774F14">
        <w:rPr>
          <w:rFonts w:ascii="Verdana" w:hAnsi="Verdana"/>
          <w:spacing w:val="-6"/>
        </w:rPr>
        <w:t xml:space="preserve"> </w:t>
      </w:r>
      <w:r w:rsidRPr="00774F14">
        <w:rPr>
          <w:rFonts w:ascii="Verdana" w:hAnsi="Verdana"/>
        </w:rPr>
        <w:t>D.C.,</w:t>
      </w:r>
      <w:r w:rsidRPr="00774F14">
        <w:rPr>
          <w:rFonts w:ascii="Verdana" w:hAnsi="Verdana"/>
          <w:spacing w:val="-4"/>
        </w:rPr>
        <w:t xml:space="preserve"> </w:t>
      </w:r>
      <w:r w:rsidRPr="00774F14">
        <w:rPr>
          <w:rFonts w:ascii="Verdana" w:hAnsi="Verdana"/>
        </w:rPr>
        <w:t>16</w:t>
      </w:r>
      <w:r w:rsidRPr="00774F14">
        <w:rPr>
          <w:rFonts w:ascii="Verdana" w:hAnsi="Verdana"/>
          <w:spacing w:val="-3"/>
        </w:rPr>
        <w:t xml:space="preserve"> </w:t>
      </w:r>
      <w:r w:rsidRPr="00774F14">
        <w:rPr>
          <w:rFonts w:ascii="Verdana" w:hAnsi="Verdana"/>
        </w:rPr>
        <w:t>Octubre</w:t>
      </w:r>
      <w:r w:rsidRPr="00774F14">
        <w:rPr>
          <w:rFonts w:ascii="Verdana" w:hAnsi="Verdana"/>
          <w:spacing w:val="-2"/>
        </w:rPr>
        <w:t xml:space="preserve"> </w:t>
      </w:r>
      <w:r w:rsidRPr="00774F14">
        <w:rPr>
          <w:rFonts w:ascii="Verdana" w:hAnsi="Verdana"/>
          <w:spacing w:val="-4"/>
        </w:rPr>
        <w:t>2025</w:t>
      </w:r>
    </w:p>
    <w:p w14:paraId="53C14F47" w14:textId="77777777" w:rsidR="00871B59" w:rsidRPr="00774F14" w:rsidRDefault="00871B59" w:rsidP="00871B59">
      <w:pPr>
        <w:spacing w:after="0" w:line="240" w:lineRule="auto"/>
        <w:jc w:val="both"/>
        <w:rPr>
          <w:rFonts w:ascii="Verdana" w:eastAsia="Calibri" w:hAnsi="Verdana" w:cs="Arial"/>
          <w:color w:val="000000"/>
        </w:rPr>
      </w:pPr>
    </w:p>
    <w:p w14:paraId="5A192B3D" w14:textId="54212F91" w:rsidR="00871B59" w:rsidRDefault="00871B59" w:rsidP="002C480A">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0E168636" w14:textId="0DE9E96E" w:rsidR="00871B59" w:rsidRPr="00446BD2" w:rsidRDefault="002C480A" w:rsidP="00446BD2">
      <w:pPr>
        <w:spacing w:after="0" w:line="240" w:lineRule="auto"/>
        <w:jc w:val="both"/>
        <w:rPr>
          <w:rFonts w:ascii="Verdana" w:eastAsia="Calibri" w:hAnsi="Verdana" w:cs="Arial"/>
          <w:lang w:val="es-ES" w:eastAsia="es-ES"/>
        </w:rPr>
      </w:pPr>
      <w:r>
        <w:rPr>
          <w:rFonts w:ascii="Verdana" w:eastAsia="Calibri" w:hAnsi="Verdana" w:cs="Arial"/>
          <w:lang w:val="es-ES" w:eastAsia="es-ES"/>
        </w:rPr>
        <w:t>Anónimo</w:t>
      </w:r>
    </w:p>
    <w:p w14:paraId="112775F3"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6D0308D" w14:textId="77777777" w:rsidTr="002607A7">
        <w:trPr>
          <w:trHeight w:val="884"/>
        </w:trPr>
        <w:tc>
          <w:tcPr>
            <w:tcW w:w="2689" w:type="dxa"/>
          </w:tcPr>
          <w:p w14:paraId="31E4A4D3"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2B93F950" w14:textId="10BB6A69"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C92F82">
              <w:rPr>
                <w:rFonts w:ascii="Verdana" w:eastAsia="Calibri" w:hAnsi="Verdana" w:cs="Arial"/>
                <w:b/>
                <w:bCs/>
                <w:lang w:val="es-ES" w:eastAsia="es-ES"/>
              </w:rPr>
              <w:t>-1256 de 2025</w:t>
            </w:r>
          </w:p>
        </w:tc>
      </w:tr>
      <w:tr w:rsidR="00871B59" w:rsidRPr="00593A5F" w14:paraId="03F9259C" w14:textId="77777777" w:rsidTr="002607A7">
        <w:trPr>
          <w:trHeight w:val="884"/>
        </w:trPr>
        <w:tc>
          <w:tcPr>
            <w:tcW w:w="2689" w:type="dxa"/>
          </w:tcPr>
          <w:p w14:paraId="5BE37DCB"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15DB627" w14:textId="4136964B" w:rsidR="00871B59" w:rsidRPr="00EB484B" w:rsidRDefault="00EB484B" w:rsidP="002607A7">
            <w:pPr>
              <w:spacing w:line="276" w:lineRule="auto"/>
              <w:jc w:val="both"/>
              <w:rPr>
                <w:rFonts w:ascii="Verdana" w:hAnsi="Verdana"/>
              </w:rPr>
            </w:pPr>
            <w:r w:rsidRPr="00AF634C">
              <w:rPr>
                <w:rFonts w:ascii="Verdana" w:hAnsi="Verdana"/>
              </w:rPr>
              <w:t>PROPONENTE EXTRANJERO – apoderado – garantía de seriedad de la oferta – REGISTRO ÚNICO DE PROPONENTES (RUP) – deber de acreditación de requisitos habilitantes.</w:t>
            </w:r>
          </w:p>
          <w:p w14:paraId="4321D51A" w14:textId="77777777" w:rsidR="00871B59" w:rsidRPr="00593A5F" w:rsidRDefault="00871B59" w:rsidP="002607A7">
            <w:pPr>
              <w:spacing w:line="276" w:lineRule="auto"/>
              <w:jc w:val="both"/>
              <w:rPr>
                <w:rFonts w:ascii="Verdana" w:eastAsia="Calibri" w:hAnsi="Verdana" w:cs="Arial"/>
                <w:lang w:val="es-ES" w:eastAsia="es-ES"/>
              </w:rPr>
            </w:pPr>
          </w:p>
        </w:tc>
      </w:tr>
      <w:tr w:rsidR="00871B59" w:rsidRPr="00593A5F" w14:paraId="7D99236B" w14:textId="77777777" w:rsidTr="002607A7">
        <w:tc>
          <w:tcPr>
            <w:tcW w:w="2689" w:type="dxa"/>
          </w:tcPr>
          <w:p w14:paraId="08247903" w14:textId="77777777" w:rsidR="00871B59" w:rsidRPr="00BB3663" w:rsidRDefault="00871B59" w:rsidP="002607A7">
            <w:pPr>
              <w:jc w:val="both"/>
              <w:rPr>
                <w:rFonts w:ascii="Verdana" w:eastAsia="Calibri" w:hAnsi="Verdana" w:cs="Arial"/>
                <w:b/>
                <w:color w:val="000000" w:themeColor="text1"/>
                <w:lang w:val="es-ES_tradnl" w:eastAsia="es-ES_tradnl"/>
              </w:rPr>
            </w:pPr>
            <w:r w:rsidRPr="00BB3663">
              <w:rPr>
                <w:rFonts w:ascii="Verdana" w:eastAsia="Calibri" w:hAnsi="Verdana" w:cs="Arial"/>
                <w:b/>
                <w:color w:val="000000" w:themeColor="text1"/>
                <w:lang w:val="es-ES_tradnl" w:eastAsia="es-ES_tradnl"/>
              </w:rPr>
              <w:t>Radicación:</w:t>
            </w:r>
            <w:r w:rsidRPr="00BB3663">
              <w:rPr>
                <w:rFonts w:ascii="Verdana" w:eastAsia="Calibri" w:hAnsi="Verdana" w:cs="Arial"/>
                <w:color w:val="000000" w:themeColor="text1"/>
                <w:lang w:val="es-ES_tradnl" w:eastAsia="es-ES_tradnl"/>
              </w:rPr>
              <w:t xml:space="preserve">               </w:t>
            </w:r>
          </w:p>
        </w:tc>
        <w:tc>
          <w:tcPr>
            <w:tcW w:w="6100" w:type="dxa"/>
          </w:tcPr>
          <w:p w14:paraId="7A43296D" w14:textId="48B2C7AB" w:rsidR="00871B59" w:rsidRPr="00BB3663" w:rsidRDefault="00871B59" w:rsidP="002607A7">
            <w:pPr>
              <w:jc w:val="both"/>
              <w:rPr>
                <w:rFonts w:ascii="Verdana" w:eastAsia="Calibri" w:hAnsi="Verdana" w:cs="Arial"/>
                <w:color w:val="000000" w:themeColor="text1"/>
                <w:lang w:val="es-ES_tradnl" w:eastAsia="es-ES_tradnl"/>
              </w:rPr>
            </w:pPr>
            <w:r w:rsidRPr="00BB3663">
              <w:rPr>
                <w:rFonts w:ascii="Verdana" w:eastAsia="Calibri" w:hAnsi="Verdana" w:cs="Arial"/>
                <w:color w:val="000000" w:themeColor="text1"/>
                <w:lang w:val="es-ES_tradnl" w:eastAsia="es-ES_tradnl"/>
              </w:rPr>
              <w:t xml:space="preserve">Respuesta a consulta con radicado No. </w:t>
            </w:r>
            <w:r w:rsidR="00BB3663" w:rsidRPr="00BB3663">
              <w:rPr>
                <w:rFonts w:ascii="Verdana" w:hAnsi="Verdana" w:cs="Segoe UI"/>
                <w:color w:val="000000" w:themeColor="text1"/>
                <w:shd w:val="clear" w:color="auto" w:fill="FFFFFF"/>
              </w:rPr>
              <w:t>1_2025_09_03_009546</w:t>
            </w:r>
          </w:p>
        </w:tc>
      </w:tr>
    </w:tbl>
    <w:p w14:paraId="76F0C491"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0DB1E2E5"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7C5A142D" w14:textId="696B491A" w:rsidR="00871B59" w:rsidRPr="00334B90" w:rsidRDefault="00871B59" w:rsidP="00871B59">
      <w:pPr>
        <w:spacing w:after="0" w:line="276" w:lineRule="auto"/>
        <w:jc w:val="both"/>
        <w:rPr>
          <w:rFonts w:ascii="Verdana" w:eastAsia="Calibri" w:hAnsi="Verdana" w:cs="Arial"/>
          <w:color w:val="000000" w:themeColor="text1"/>
          <w:lang w:val="es-ES" w:eastAsia="es-ES"/>
        </w:rPr>
      </w:pPr>
      <w:r w:rsidRPr="00334B90">
        <w:rPr>
          <w:rFonts w:ascii="Verdana" w:eastAsia="Calibri" w:hAnsi="Verdana" w:cs="Arial"/>
          <w:color w:val="000000" w:themeColor="text1"/>
          <w:lang w:val="es-ES" w:eastAsia="es-ES"/>
        </w:rPr>
        <w:t>Estimado señor</w:t>
      </w:r>
      <w:r w:rsidR="00C92F82" w:rsidRPr="00334B90">
        <w:rPr>
          <w:rFonts w:ascii="Verdana" w:eastAsia="Calibri" w:hAnsi="Verdana" w:cs="Arial"/>
          <w:color w:val="000000" w:themeColor="text1"/>
          <w:lang w:val="es-ES" w:eastAsia="es-ES"/>
        </w:rPr>
        <w:t xml:space="preserve"> </w:t>
      </w:r>
      <w:r w:rsidR="00334B90" w:rsidRPr="00334B90">
        <w:rPr>
          <w:rFonts w:ascii="Verdana" w:eastAsia="Calibri" w:hAnsi="Verdana" w:cs="Arial"/>
          <w:color w:val="000000" w:themeColor="text1"/>
          <w:lang w:val="es-ES" w:eastAsia="es-ES"/>
        </w:rPr>
        <w:t>Anónimo</w:t>
      </w:r>
      <w:r w:rsidR="00C92F82" w:rsidRPr="00334B90">
        <w:rPr>
          <w:rFonts w:ascii="Verdana" w:eastAsia="Calibri" w:hAnsi="Verdana" w:cs="Arial"/>
          <w:color w:val="000000" w:themeColor="text1"/>
          <w:lang w:val="es-ES" w:eastAsia="es-ES"/>
        </w:rPr>
        <w:t xml:space="preserve">: </w:t>
      </w:r>
      <w:r w:rsidRPr="00334B90">
        <w:rPr>
          <w:rFonts w:ascii="Verdana" w:eastAsia="Calibri" w:hAnsi="Verdana" w:cs="Arial"/>
          <w:color w:val="000000" w:themeColor="text1"/>
          <w:lang w:val="es-ES" w:eastAsia="es-ES"/>
        </w:rPr>
        <w:t xml:space="preserve"> </w:t>
      </w:r>
    </w:p>
    <w:p w14:paraId="26C4E9E7"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69D5669" w14:textId="74D29750" w:rsidR="00871B59" w:rsidRDefault="00871B59" w:rsidP="00334B90">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334B90">
        <w:rPr>
          <w:rFonts w:ascii="Verdana" w:eastAsia="Calibri" w:hAnsi="Verdana" w:cs="Arial"/>
          <w:color w:val="000000" w:themeColor="text1"/>
          <w:lang w:val="es-ES" w:eastAsia="es-ES"/>
        </w:rPr>
        <w:t xml:space="preserve">consulta de fecha </w:t>
      </w:r>
      <w:r w:rsidR="00334B90" w:rsidRPr="00334B90">
        <w:rPr>
          <w:rFonts w:ascii="Verdana" w:eastAsia="Calibri" w:hAnsi="Verdana" w:cs="Arial"/>
          <w:color w:val="000000" w:themeColor="text1"/>
          <w:lang w:val="es-ES" w:eastAsia="es-ES"/>
        </w:rPr>
        <w:t xml:space="preserve">03 </w:t>
      </w:r>
      <w:r w:rsidRPr="00334B90">
        <w:rPr>
          <w:rFonts w:ascii="Verdana" w:eastAsia="Calibri" w:hAnsi="Verdana" w:cs="Arial"/>
          <w:color w:val="000000" w:themeColor="text1"/>
          <w:lang w:val="es-ES" w:eastAsia="es-ES"/>
        </w:rPr>
        <w:t xml:space="preserve">de </w:t>
      </w:r>
      <w:r w:rsidR="00334B90" w:rsidRPr="00334B90">
        <w:rPr>
          <w:rFonts w:ascii="Verdana" w:eastAsia="Calibri" w:hAnsi="Verdana" w:cs="Arial"/>
          <w:color w:val="000000" w:themeColor="text1"/>
          <w:lang w:val="es-ES" w:eastAsia="es-ES"/>
        </w:rPr>
        <w:t>septiembre</w:t>
      </w:r>
      <w:r w:rsidRPr="00334B90">
        <w:rPr>
          <w:rFonts w:ascii="Verdana" w:eastAsia="Calibri" w:hAnsi="Verdana" w:cs="Arial"/>
          <w:color w:val="000000" w:themeColor="text1"/>
          <w:lang w:val="es-ES" w:eastAsia="es-ES"/>
        </w:rPr>
        <w:t xml:space="preserve"> de 20</w:t>
      </w:r>
      <w:r w:rsidR="00334B90" w:rsidRPr="00334B90">
        <w:rPr>
          <w:rFonts w:ascii="Verdana" w:eastAsia="Calibri" w:hAnsi="Verdana" w:cs="Arial"/>
          <w:color w:val="000000" w:themeColor="text1"/>
          <w:lang w:val="es-ES" w:eastAsia="es-ES"/>
        </w:rPr>
        <w:t>25</w:t>
      </w:r>
      <w:r w:rsidRPr="00334B90">
        <w:rPr>
          <w:rFonts w:ascii="Verdana" w:eastAsia="Calibri" w:hAnsi="Verdana" w:cs="Arial"/>
          <w:color w:val="000000" w:themeColor="text1"/>
          <w:lang w:val="es-ES" w:eastAsia="es-ES"/>
        </w:rPr>
        <w:t>, en la cual manifiesta lo siguiente:</w:t>
      </w:r>
      <w:r w:rsidR="00BB3663">
        <w:rPr>
          <w:rFonts w:ascii="Verdana" w:eastAsia="Calibri" w:hAnsi="Verdana" w:cs="Arial"/>
          <w:color w:val="7030A0"/>
          <w:lang w:val="es-ES" w:eastAsia="es-ES"/>
        </w:rPr>
        <w:t xml:space="preserve"> </w:t>
      </w:r>
    </w:p>
    <w:p w14:paraId="5F47907E" w14:textId="77777777" w:rsidR="00334B90" w:rsidRDefault="00334B90" w:rsidP="00334B90">
      <w:pPr>
        <w:spacing w:after="0" w:line="276" w:lineRule="auto"/>
        <w:jc w:val="both"/>
        <w:rPr>
          <w:rFonts w:ascii="Verdana" w:eastAsia="Calibri" w:hAnsi="Verdana" w:cs="Arial"/>
          <w:color w:val="7030A0"/>
          <w:lang w:val="es-ES" w:eastAsia="es-ES"/>
        </w:rPr>
      </w:pPr>
    </w:p>
    <w:p w14:paraId="2BFEBD81" w14:textId="11717E78" w:rsidR="00334B90" w:rsidRPr="00334B90" w:rsidRDefault="00334B90" w:rsidP="00334B90">
      <w:pPr>
        <w:spacing w:after="0" w:line="276" w:lineRule="auto"/>
        <w:ind w:left="709" w:right="709"/>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w:t>
      </w:r>
      <w:r w:rsidRPr="00334B90">
        <w:rPr>
          <w:rFonts w:ascii="Verdana" w:eastAsia="Calibri" w:hAnsi="Verdana" w:cs="Arial"/>
          <w:color w:val="000000" w:themeColor="text1"/>
          <w:lang w:val="es-ES" w:eastAsia="es-ES"/>
        </w:rPr>
        <w:t>Necesito aclarar una duda, cuando actuó dentro de un proceso de contratación como apoderado de una compañía extranjera, en el caso de la póliza, esta debe ser expedida a nombre del oferente que en este caso sería la compañía extranjera o a nombre de mi compañía que está actuando como apoderada en Colombia, o los dos casos son válidos</w:t>
      </w:r>
      <w:r>
        <w:rPr>
          <w:rFonts w:ascii="Verdana" w:eastAsia="Calibri" w:hAnsi="Verdana" w:cs="Arial"/>
          <w:color w:val="000000" w:themeColor="text1"/>
          <w:lang w:val="es-ES" w:eastAsia="es-ES"/>
        </w:rPr>
        <w:t>”</w:t>
      </w:r>
    </w:p>
    <w:p w14:paraId="5C20E718" w14:textId="77777777" w:rsidR="00334B90" w:rsidRPr="00334B90" w:rsidRDefault="00334B90" w:rsidP="00334B90">
      <w:pPr>
        <w:spacing w:after="0" w:line="276" w:lineRule="auto"/>
        <w:jc w:val="both"/>
        <w:rPr>
          <w:rFonts w:ascii="Verdana" w:eastAsia="Calibri" w:hAnsi="Verdana" w:cs="Arial"/>
          <w:color w:val="7030A0"/>
          <w:lang w:val="es-ES" w:eastAsia="es-ES"/>
        </w:rPr>
      </w:pPr>
    </w:p>
    <w:p w14:paraId="6D08E152"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593A5F">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8B8E534" w14:textId="51EE064F"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w:t>
      </w:r>
      <w:r w:rsidR="00334B90">
        <w:rPr>
          <w:rFonts w:ascii="Verdana" w:eastAsia="Calibri" w:hAnsi="Verdana" w:cs="Arial"/>
          <w:color w:val="000000"/>
          <w:lang w:val="es-ES" w:eastAsia="es-ES"/>
        </w:rPr>
        <w:t xml:space="preserve"> señalando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334B90">
        <w:rPr>
          <w:rFonts w:ascii="Verdana" w:eastAsia="Calibri" w:hAnsi="Verdana" w:cs="Arial"/>
          <w:color w:val="000000"/>
          <w:lang w:val="es-ES" w:eastAsia="es-ES"/>
        </w:rPr>
        <w:t>.</w:t>
      </w:r>
    </w:p>
    <w:p w14:paraId="383DAA46"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30BA039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B29831C"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3297CAA6" w14:textId="3976F821" w:rsidR="00871B59" w:rsidRPr="00446BD2" w:rsidRDefault="00871B59" w:rsidP="1F9252E4">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el siguiente problemas jurídico: </w:t>
      </w:r>
      <w:r w:rsidR="00446BD2" w:rsidRPr="00446BD2">
        <w:rPr>
          <w:rFonts w:ascii="Verdana" w:hAnsi="Verdana"/>
        </w:rPr>
        <w:t>¿Debe la póliza de garantía de seriedad de la oferta, ser expedida a nombre de la compañía extranjera que actúa como proponente, o puede ser expedida a nombre de la sociedad colombiana que la representa legalmente en calidad de apoderada?</w:t>
      </w:r>
    </w:p>
    <w:p w14:paraId="0446175A" w14:textId="77777777" w:rsidR="00871B59" w:rsidRPr="00593A5F" w:rsidRDefault="00871B59" w:rsidP="00871B59">
      <w:pPr>
        <w:spacing w:after="0" w:line="276" w:lineRule="auto"/>
        <w:jc w:val="both"/>
        <w:rPr>
          <w:rFonts w:ascii="Verdana" w:eastAsia="Calibri" w:hAnsi="Verdana" w:cs="Arial"/>
          <w:color w:val="7030A0"/>
          <w:lang w:val="es-ES"/>
        </w:rPr>
      </w:pPr>
    </w:p>
    <w:p w14:paraId="0FFA9165"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1AA87DED"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39CE544A" w14:textId="77777777" w:rsidTr="002607A7">
        <w:tc>
          <w:tcPr>
            <w:tcW w:w="8828" w:type="dxa"/>
          </w:tcPr>
          <w:p w14:paraId="3EFC5856" w14:textId="77777777" w:rsidR="00446BD2" w:rsidRPr="00306363" w:rsidRDefault="00446BD2" w:rsidP="00446BD2">
            <w:pPr>
              <w:spacing w:after="120" w:line="276" w:lineRule="auto"/>
              <w:jc w:val="both"/>
              <w:rPr>
                <w:rFonts w:ascii="Verdana" w:eastAsia="Arial MT" w:hAnsi="Verdana" w:cs="Arial"/>
                <w:lang w:eastAsia="es-ES" w:bidi="es-ES"/>
              </w:rPr>
            </w:pPr>
            <w:r w:rsidRPr="00306363">
              <w:rPr>
                <w:rFonts w:ascii="Verdana" w:eastAsia="Times New Roman" w:hAnsi="Verdana" w:cs="Times New Roman"/>
                <w:lang w:eastAsia="es-MX"/>
              </w:rPr>
              <w:t>El sujeto que ostenta la calidad de proponente es la persona, natural o jurídica, que presenta una oferta para celebrar un contrato con una entidad estatal. Como se ha detallado, este es quien debe acreditar el cumplimiento de los requisitos habilitantes, ya sea a través del RUP o directamente ante la entidad, para demostrar su aptitud jurídica, financiera, organizacional y su experiencia. En el caso que nos ocupa, la proponente es, sin lugar a dudas, la compañía extranjera.</w:t>
            </w:r>
            <w:r>
              <w:rPr>
                <w:rFonts w:ascii="Verdana" w:eastAsia="Arial MT" w:hAnsi="Verdana" w:cs="Arial"/>
                <w:lang w:eastAsia="es-ES" w:bidi="es-ES"/>
              </w:rPr>
              <w:t xml:space="preserve"> </w:t>
            </w:r>
            <w:r w:rsidRPr="00306363">
              <w:rPr>
                <w:rFonts w:ascii="Verdana" w:eastAsia="Times New Roman" w:hAnsi="Verdana" w:cs="Times New Roman"/>
                <w:lang w:eastAsia="es-MX"/>
              </w:rPr>
              <w:t xml:space="preserve">La figura del apoderado es de naturaleza representativa. El apoderado actúa en nombre y por cuenta de su poderdante (la compañía </w:t>
            </w:r>
            <w:r w:rsidRPr="00306363">
              <w:rPr>
                <w:rFonts w:ascii="Verdana" w:eastAsia="Times New Roman" w:hAnsi="Verdana" w:cs="Times New Roman"/>
                <w:lang w:eastAsia="es-MX"/>
              </w:rPr>
              <w:lastRenderedPageBreak/>
              <w:t>extranjera), pero no lo sustituye en sus obligaciones ni en su calidad de oferente. Por lo tanto, la responsabilidad de mantener la oferta, suscribir el contrato en caso de adjudicación y ejecutar las obligaciones contractuales recae exclusivamente sobre la compañía extranjera, no sobre su representante legal en Colombia.</w:t>
            </w:r>
          </w:p>
          <w:p w14:paraId="71D5C3EA" w14:textId="77777777" w:rsidR="00446BD2" w:rsidRPr="00306363" w:rsidRDefault="00446BD2" w:rsidP="00446BD2">
            <w:pPr>
              <w:spacing w:after="120" w:line="276" w:lineRule="auto"/>
              <w:ind w:firstLine="708"/>
              <w:jc w:val="both"/>
              <w:rPr>
                <w:rFonts w:ascii="Verdana" w:eastAsia="Arial MT" w:hAnsi="Verdana" w:cs="Arial"/>
                <w:lang w:eastAsia="es-ES" w:bidi="es-ES"/>
              </w:rPr>
            </w:pPr>
            <w:r>
              <w:rPr>
                <w:rFonts w:ascii="Verdana" w:eastAsia="Times New Roman" w:hAnsi="Verdana" w:cs="Times New Roman"/>
                <w:lang w:eastAsia="es-MX"/>
              </w:rPr>
              <w:t>De otra parte, l</w:t>
            </w:r>
            <w:r w:rsidRPr="00306363">
              <w:rPr>
                <w:rFonts w:ascii="Verdana" w:eastAsia="Times New Roman" w:hAnsi="Verdana" w:cs="Times New Roman"/>
                <w:lang w:eastAsia="es-MX"/>
              </w:rPr>
              <w:t>as garantías en la contratación estatal, como la póliza de seriedad de la oferta, tienen como finalidad amparar a la entidad pública frente a los riesgos derivados del incumplimiento del proponente. En consecuencia, la garantía debe ser tomada por y expedida a nombre de quien asume la responsabilidad principal, es decir, el oferente.</w:t>
            </w:r>
            <w:r>
              <w:rPr>
                <w:rFonts w:ascii="Verdana" w:eastAsia="Arial MT" w:hAnsi="Verdana" w:cs="Arial"/>
                <w:lang w:eastAsia="es-ES" w:bidi="es-ES"/>
              </w:rPr>
              <w:t xml:space="preserve"> </w:t>
            </w:r>
            <w:r w:rsidRPr="00306363">
              <w:rPr>
                <w:rFonts w:ascii="Verdana" w:eastAsia="Times New Roman" w:hAnsi="Verdana" w:cs="Times New Roman"/>
                <w:lang w:eastAsia="es-MX"/>
              </w:rPr>
              <w:t>Si la póliza se expidiera a nombre de la compañía que actúa como apoderada, se presentaría</w:t>
            </w:r>
            <w:r>
              <w:rPr>
                <w:rFonts w:ascii="Verdana" w:eastAsia="Times New Roman" w:hAnsi="Verdana" w:cs="Times New Roman"/>
                <w:lang w:eastAsia="es-MX"/>
              </w:rPr>
              <w:t xml:space="preserve"> incongruencia en la responsabilidad asumida,</w:t>
            </w:r>
            <w:r w:rsidRPr="00306363">
              <w:rPr>
                <w:rFonts w:ascii="Verdana" w:eastAsia="Times New Roman" w:hAnsi="Verdana" w:cs="Times New Roman"/>
                <w:lang w:eastAsia="es-MX"/>
              </w:rPr>
              <w:t xml:space="preserve"> la garantía estaría cubriendo a una persona jurídica que no es la proponente, que no acreditó los requisitos habilitantes y que no será la futura contratista. Esto desnaturaliza el propósito de la garantía y podría ser causal de rechazo de la oferta, al no cumplirse con los requisitos del pliego de condiciones.</w:t>
            </w:r>
          </w:p>
          <w:p w14:paraId="4CF3A358" w14:textId="61ACE9B7" w:rsidR="00871B59" w:rsidRPr="00446BD2" w:rsidRDefault="00446BD2" w:rsidP="00446BD2">
            <w:pPr>
              <w:spacing w:after="120" w:line="276" w:lineRule="auto"/>
              <w:ind w:firstLine="708"/>
              <w:jc w:val="both"/>
              <w:rPr>
                <w:rFonts w:ascii="Verdana" w:eastAsia="Arial MT" w:hAnsi="Verdana" w:cs="Arial"/>
                <w:lang w:eastAsia="es-ES" w:bidi="es-ES"/>
              </w:rPr>
            </w:pPr>
            <w:r w:rsidRPr="00306363">
              <w:rPr>
                <w:rFonts w:ascii="Verdana" w:eastAsia="Times New Roman" w:hAnsi="Verdana" w:cs="Times New Roman"/>
                <w:lang w:eastAsia="es-MX"/>
              </w:rPr>
              <w:t xml:space="preserve">Por lo tanto, la póliza de garantía </w:t>
            </w:r>
            <w:r>
              <w:rPr>
                <w:rFonts w:ascii="Verdana" w:eastAsia="Times New Roman" w:hAnsi="Verdana" w:cs="Times New Roman"/>
                <w:lang w:eastAsia="es-MX"/>
              </w:rPr>
              <w:t>debería ser</w:t>
            </w:r>
            <w:r w:rsidRPr="00306363">
              <w:rPr>
                <w:rFonts w:ascii="Verdana" w:eastAsia="Times New Roman" w:hAnsi="Verdana" w:cs="Times New Roman"/>
                <w:lang w:eastAsia="es-MX"/>
              </w:rPr>
              <w:t xml:space="preserve"> la compañía extranjera que figura como proponente en el proceso de contratación.</w:t>
            </w:r>
            <w:r>
              <w:rPr>
                <w:rFonts w:ascii="Verdana" w:eastAsia="Times New Roman" w:hAnsi="Verdana" w:cs="Times New Roman"/>
                <w:lang w:eastAsia="es-MX"/>
              </w:rPr>
              <w:t xml:space="preserve"> L</w:t>
            </w:r>
            <w:r w:rsidRPr="00306363">
              <w:rPr>
                <w:rFonts w:ascii="Verdana" w:eastAsia="Times New Roman" w:hAnsi="Verdana" w:cs="Times New Roman"/>
                <w:lang w:eastAsia="es-MX"/>
              </w:rPr>
              <w:t>os documentos de la oferta</w:t>
            </w:r>
            <w:r>
              <w:rPr>
                <w:rFonts w:ascii="Verdana" w:eastAsia="Times New Roman" w:hAnsi="Verdana" w:cs="Times New Roman"/>
                <w:lang w:eastAsia="es-MX"/>
              </w:rPr>
              <w:t xml:space="preserve"> pueden ser firmados por la compañía que actúa en calidad de representante legal en Colombia</w:t>
            </w:r>
            <w:r w:rsidRPr="00306363">
              <w:rPr>
                <w:rFonts w:ascii="Verdana" w:eastAsia="Times New Roman" w:hAnsi="Verdana" w:cs="Times New Roman"/>
                <w:lang w:eastAsia="es-MX"/>
              </w:rPr>
              <w:t xml:space="preserve">, pero la titularidad de las obligaciones y de las garantías que las respaldan </w:t>
            </w:r>
            <w:r>
              <w:rPr>
                <w:rFonts w:ascii="Verdana" w:eastAsia="Times New Roman" w:hAnsi="Verdana" w:cs="Times New Roman"/>
                <w:lang w:eastAsia="es-MX"/>
              </w:rPr>
              <w:t xml:space="preserve">dicha propuesta </w:t>
            </w:r>
            <w:r w:rsidRPr="00306363">
              <w:rPr>
                <w:rFonts w:ascii="Verdana" w:eastAsia="Times New Roman" w:hAnsi="Verdana" w:cs="Times New Roman"/>
                <w:lang w:eastAsia="es-MX"/>
              </w:rPr>
              <w:t>debe corresponder siempre al proponente.</w:t>
            </w:r>
          </w:p>
        </w:tc>
      </w:tr>
    </w:tbl>
    <w:p w14:paraId="3B84753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392CDF9"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11F4AC5E" w14:textId="77777777" w:rsidR="00871B59" w:rsidRPr="00593A5F" w:rsidRDefault="00871B59" w:rsidP="00871B59">
      <w:pPr>
        <w:spacing w:after="0" w:line="276" w:lineRule="auto"/>
        <w:jc w:val="both"/>
        <w:rPr>
          <w:rFonts w:ascii="Verdana" w:eastAsia="Calibri" w:hAnsi="Verdana" w:cs="Arial"/>
          <w:color w:val="7030A0"/>
          <w:lang w:val="es-ES"/>
        </w:rPr>
      </w:pPr>
    </w:p>
    <w:p w14:paraId="72853CA1" w14:textId="77777777" w:rsidR="00871B5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1F39708" w14:textId="77777777" w:rsidR="00C92F82" w:rsidRDefault="00C92F82" w:rsidP="00871B59">
      <w:pPr>
        <w:spacing w:after="0" w:line="276" w:lineRule="auto"/>
        <w:jc w:val="both"/>
        <w:rPr>
          <w:rFonts w:ascii="Verdana" w:eastAsia="Calibri" w:hAnsi="Verdana" w:cs="Arial"/>
          <w:lang w:val="es-ES"/>
        </w:rPr>
      </w:pPr>
    </w:p>
    <w:p w14:paraId="63736B3E" w14:textId="77777777" w:rsidR="00C92F82" w:rsidRPr="00B24FF1" w:rsidRDefault="00C92F82" w:rsidP="00C92F82">
      <w:pPr>
        <w:spacing w:after="120" w:line="276" w:lineRule="auto"/>
        <w:jc w:val="both"/>
        <w:rPr>
          <w:rFonts w:ascii="Verdana" w:hAnsi="Verdana" w:cs="Arial"/>
          <w:lang w:val="es-ES"/>
        </w:rPr>
      </w:pPr>
      <w:r>
        <w:rPr>
          <w:rFonts w:ascii="Verdana" w:hAnsi="Verdana" w:cs="Arial"/>
          <w:lang w:val="es-ES"/>
        </w:rPr>
        <w:t>En relación con los procesos de selección sometidos al EGCAP, l</w:t>
      </w:r>
      <w:r w:rsidRPr="00B24FF1">
        <w:rPr>
          <w:rFonts w:ascii="Verdana" w:hAnsi="Verdana" w:cs="Arial"/>
          <w:lang w:val="es-ES"/>
        </w:rPr>
        <w:t xml:space="preserve">a Agencia Nacional de Contratación Pública – Colombia Compra Eficiente </w:t>
      </w:r>
      <w:r>
        <w:rPr>
          <w:rFonts w:ascii="Verdana" w:hAnsi="Verdana" w:cs="Arial"/>
          <w:lang w:val="es-ES"/>
        </w:rPr>
        <w:t>emitió el</w:t>
      </w:r>
      <w:r w:rsidRPr="00B24FF1">
        <w:rPr>
          <w:rFonts w:ascii="Verdana" w:hAnsi="Verdana" w:cs="Arial"/>
          <w:lang w:val="es-ES"/>
        </w:rPr>
        <w:t xml:space="preserve"> </w:t>
      </w:r>
      <w:r>
        <w:rPr>
          <w:rFonts w:ascii="Verdana" w:hAnsi="Verdana" w:cs="Arial"/>
          <w:lang w:val="es-ES"/>
        </w:rPr>
        <w:t>“</w:t>
      </w:r>
      <w:r w:rsidRPr="00B24FF1">
        <w:rPr>
          <w:rFonts w:ascii="Verdana" w:hAnsi="Verdana" w:cs="Arial"/>
          <w:i/>
          <w:iCs/>
          <w:lang w:val="es-ES"/>
        </w:rPr>
        <w:t>Manual para determinar y verificar los requisitos habilitantes en los Procesos de Contratación</w:t>
      </w:r>
      <w:r>
        <w:rPr>
          <w:rFonts w:ascii="Verdana" w:hAnsi="Verdana" w:cs="Arial"/>
          <w:i/>
          <w:iCs/>
          <w:lang w:val="es-ES"/>
        </w:rPr>
        <w:t>”</w:t>
      </w:r>
      <w:r w:rsidRPr="00B24FF1">
        <w:rPr>
          <w:rFonts w:ascii="Verdana" w:hAnsi="Verdana" w:cs="Arial"/>
          <w:lang w:val="es-ES"/>
        </w:rPr>
        <w:t xml:space="preserve">, </w:t>
      </w:r>
      <w:r>
        <w:rPr>
          <w:rFonts w:ascii="Verdana" w:hAnsi="Verdana" w:cs="Arial"/>
          <w:lang w:val="es-ES"/>
        </w:rPr>
        <w:t xml:space="preserve">donde </w:t>
      </w:r>
      <w:r w:rsidRPr="00B24FF1">
        <w:rPr>
          <w:rFonts w:ascii="Verdana" w:hAnsi="Verdana" w:cs="Arial"/>
          <w:lang w:val="es-ES"/>
        </w:rPr>
        <w:t xml:space="preserve">precisó que estos tienen como fin primordial medir </w:t>
      </w:r>
      <w:r>
        <w:rPr>
          <w:rFonts w:ascii="Verdana" w:hAnsi="Verdana" w:cs="Arial"/>
        </w:rPr>
        <w:t>“</w:t>
      </w:r>
      <w:r w:rsidRPr="00B24FF1">
        <w:rPr>
          <w:rFonts w:ascii="Verdana" w:hAnsi="Verdana" w:cs="Arial"/>
          <w:lang w:val="es-ES"/>
        </w:rPr>
        <w:t xml:space="preserve">la aptitud del proponente para participar en un </w:t>
      </w:r>
      <w:r>
        <w:rPr>
          <w:rFonts w:ascii="Verdana" w:hAnsi="Verdana" w:cs="Arial"/>
          <w:lang w:val="es-ES"/>
        </w:rPr>
        <w:t>p</w:t>
      </w:r>
      <w:r w:rsidRPr="00B24FF1">
        <w:rPr>
          <w:rFonts w:ascii="Verdana" w:hAnsi="Verdana" w:cs="Arial"/>
          <w:lang w:val="es-ES"/>
        </w:rPr>
        <w:t xml:space="preserve">roceso de </w:t>
      </w:r>
      <w:r>
        <w:rPr>
          <w:rFonts w:ascii="Verdana" w:hAnsi="Verdana" w:cs="Arial"/>
          <w:lang w:val="es-ES"/>
        </w:rPr>
        <w:t>c</w:t>
      </w:r>
      <w:r w:rsidRPr="00B24FF1">
        <w:rPr>
          <w:rFonts w:ascii="Verdana" w:hAnsi="Verdana" w:cs="Arial"/>
          <w:lang w:val="es-ES"/>
        </w:rPr>
        <w:t xml:space="preserve">ontratación como oferente y están referidos a su capacidad jurídica, financiera, organizacional y </w:t>
      </w:r>
      <w:r w:rsidRPr="00B24FF1">
        <w:rPr>
          <w:rFonts w:ascii="Verdana" w:hAnsi="Verdana" w:cs="Arial"/>
          <w:lang w:val="es-ES"/>
        </w:rPr>
        <w:lastRenderedPageBreak/>
        <w:t>su experiencia</w:t>
      </w:r>
      <w:r>
        <w:rPr>
          <w:rFonts w:ascii="Verdana" w:hAnsi="Verdana" w:cs="Arial"/>
          <w:lang w:val="es-ES"/>
        </w:rPr>
        <w:t>”</w:t>
      </w:r>
      <w:r w:rsidRPr="00B24FF1">
        <w:rPr>
          <w:rFonts w:ascii="Verdana" w:hAnsi="Verdana" w:cs="Arial"/>
          <w:lang w:val="es-ES"/>
        </w:rPr>
        <w:t>. Su propósito es establecer unas condiciones mínimas para los proponentes</w:t>
      </w:r>
      <w:r>
        <w:rPr>
          <w:rFonts w:ascii="Verdana" w:hAnsi="Verdana" w:cs="Arial"/>
          <w:lang w:val="es-ES"/>
        </w:rPr>
        <w:t xml:space="preserve"> </w:t>
      </w:r>
      <w:r w:rsidRPr="00B24FF1">
        <w:rPr>
          <w:rFonts w:ascii="Verdana" w:hAnsi="Verdana" w:cs="Arial"/>
          <w:lang w:val="es-ES"/>
        </w:rPr>
        <w:t xml:space="preserve">de tal manera que la </w:t>
      </w:r>
      <w:r>
        <w:rPr>
          <w:rFonts w:ascii="Verdana" w:hAnsi="Verdana" w:cs="Arial"/>
          <w:lang w:val="es-ES"/>
        </w:rPr>
        <w:t>e</w:t>
      </w:r>
      <w:r w:rsidRPr="00B24FF1">
        <w:rPr>
          <w:rFonts w:ascii="Verdana" w:hAnsi="Verdana" w:cs="Arial"/>
          <w:lang w:val="es-ES"/>
        </w:rPr>
        <w:t xml:space="preserve">ntidad </w:t>
      </w:r>
      <w:r>
        <w:rPr>
          <w:rFonts w:ascii="Verdana" w:hAnsi="Verdana" w:cs="Arial"/>
          <w:lang w:val="es-ES"/>
        </w:rPr>
        <w:t>e</w:t>
      </w:r>
      <w:r w:rsidRPr="00B24FF1">
        <w:rPr>
          <w:rFonts w:ascii="Verdana" w:hAnsi="Verdana" w:cs="Arial"/>
          <w:lang w:val="es-ES"/>
        </w:rPr>
        <w:t xml:space="preserve">statal sólo evalúe las ofertas de aquellos que están en condiciones de cumplir con el objeto del </w:t>
      </w:r>
      <w:r>
        <w:rPr>
          <w:rFonts w:ascii="Verdana" w:hAnsi="Verdana" w:cs="Arial"/>
          <w:lang w:val="es-ES"/>
        </w:rPr>
        <w:t>p</w:t>
      </w:r>
      <w:r w:rsidRPr="00B24FF1">
        <w:rPr>
          <w:rFonts w:ascii="Verdana" w:hAnsi="Verdana" w:cs="Arial"/>
          <w:lang w:val="es-ES"/>
        </w:rPr>
        <w:t xml:space="preserve">roceso de </w:t>
      </w:r>
      <w:r>
        <w:rPr>
          <w:rFonts w:ascii="Verdana" w:hAnsi="Verdana" w:cs="Arial"/>
          <w:lang w:val="es-ES"/>
        </w:rPr>
        <w:t>c</w:t>
      </w:r>
      <w:r w:rsidRPr="00B24FF1">
        <w:rPr>
          <w:rFonts w:ascii="Verdana" w:hAnsi="Verdana" w:cs="Arial"/>
          <w:lang w:val="es-ES"/>
        </w:rPr>
        <w:t>ontratación.</w:t>
      </w:r>
    </w:p>
    <w:p w14:paraId="5DE615F1" w14:textId="77777777" w:rsidR="00C92F82" w:rsidRPr="00B24FF1" w:rsidRDefault="00C92F82" w:rsidP="00C92F82">
      <w:pPr>
        <w:spacing w:after="120" w:line="276" w:lineRule="auto"/>
        <w:ind w:firstLine="708"/>
        <w:jc w:val="both"/>
        <w:rPr>
          <w:rFonts w:ascii="Verdana" w:hAnsi="Verdana" w:cs="Arial"/>
          <w:lang w:val="es-ES"/>
        </w:rPr>
      </w:pPr>
      <w:r w:rsidRPr="00B24FF1">
        <w:rPr>
          <w:rFonts w:ascii="Verdana" w:hAnsi="Verdana" w:cs="Arial"/>
          <w:lang w:val="es-ES"/>
        </w:rPr>
        <w:t xml:space="preserve">Las </w:t>
      </w:r>
      <w:r>
        <w:rPr>
          <w:rFonts w:ascii="Verdana" w:hAnsi="Verdana" w:cs="Arial"/>
          <w:lang w:val="es-ES"/>
        </w:rPr>
        <w:t>e</w:t>
      </w:r>
      <w:r w:rsidRPr="00B24FF1">
        <w:rPr>
          <w:rFonts w:ascii="Verdana" w:hAnsi="Verdana" w:cs="Arial"/>
          <w:lang w:val="es-ES"/>
        </w:rPr>
        <w:t xml:space="preserve">ntidades </w:t>
      </w:r>
      <w:r>
        <w:rPr>
          <w:rFonts w:ascii="Verdana" w:hAnsi="Verdana" w:cs="Arial"/>
          <w:lang w:val="es-ES"/>
        </w:rPr>
        <w:t>e</w:t>
      </w:r>
      <w:r w:rsidRPr="00B24FF1">
        <w:rPr>
          <w:rFonts w:ascii="Verdana" w:hAnsi="Verdana" w:cs="Arial"/>
          <w:lang w:val="es-ES"/>
        </w:rPr>
        <w:t>statales, durante la etapa de planeación del contrato, deben estudiar y determinar los requisitos habilitantes que establecerán en los pliegos de condiciones, los cuales deben ser adecuados y proporcionales a la naturaleza, al valor del contrato, a la forma de pago, a los riesgos, al plazo y a la complejidad de la ejecución del objeto, como lo prevén el numeral 1 del artículo 5 de la Ley 1150 de 2007 y el artículo 2.2.1.1.1.6.2 del Decreto 1082 de 2015</w:t>
      </w:r>
      <w:r w:rsidRPr="00B24FF1">
        <w:rPr>
          <w:rFonts w:ascii="Verdana" w:hAnsi="Verdana" w:cs="Arial"/>
          <w:vertAlign w:val="superscript"/>
          <w:lang w:val="es-ES"/>
        </w:rPr>
        <w:footnoteReference w:id="2"/>
      </w:r>
      <w:r w:rsidRPr="00B24FF1">
        <w:rPr>
          <w:rFonts w:ascii="Verdana" w:hAnsi="Verdana" w:cs="Arial"/>
          <w:lang w:val="es-ES"/>
        </w:rPr>
        <w:t>.</w:t>
      </w:r>
      <w:r>
        <w:rPr>
          <w:rFonts w:ascii="Verdana" w:hAnsi="Verdana" w:cs="Arial"/>
          <w:lang w:val="es-ES"/>
        </w:rPr>
        <w:t xml:space="preserve"> </w:t>
      </w:r>
      <w:r w:rsidRPr="00B24FF1">
        <w:rPr>
          <w:rFonts w:ascii="Verdana" w:hAnsi="Verdana" w:cs="Arial"/>
          <w:lang w:val="es-ES"/>
        </w:rPr>
        <w:t xml:space="preserve">En consecuencia, una vez los requisitos de habilitación son fijados por la </w:t>
      </w:r>
      <w:r>
        <w:rPr>
          <w:rFonts w:ascii="Verdana" w:hAnsi="Verdana" w:cs="Arial"/>
          <w:lang w:val="es-ES"/>
        </w:rPr>
        <w:t>e</w:t>
      </w:r>
      <w:r w:rsidRPr="00B24FF1">
        <w:rPr>
          <w:rFonts w:ascii="Verdana" w:hAnsi="Verdana" w:cs="Arial"/>
          <w:lang w:val="es-ES"/>
        </w:rPr>
        <w:t xml:space="preserve">ntidad </w:t>
      </w:r>
      <w:r>
        <w:rPr>
          <w:rFonts w:ascii="Verdana" w:hAnsi="Verdana" w:cs="Arial"/>
          <w:lang w:val="es-ES"/>
        </w:rPr>
        <w:t>e</w:t>
      </w:r>
      <w:r w:rsidRPr="00B24FF1">
        <w:rPr>
          <w:rFonts w:ascii="Verdana" w:hAnsi="Verdana" w:cs="Arial"/>
          <w:lang w:val="es-ES"/>
        </w:rPr>
        <w:t>statal, quienes presenten ofertas deben acreditar que los cumplen. En caso contrario, las propuestas deberán rechazarse.</w:t>
      </w:r>
    </w:p>
    <w:p w14:paraId="5EE4B862" w14:textId="77777777" w:rsidR="00C92F82" w:rsidRDefault="00C92F82" w:rsidP="00C92F82">
      <w:pPr>
        <w:spacing w:after="120" w:line="276" w:lineRule="auto"/>
        <w:ind w:firstLine="708"/>
        <w:jc w:val="both"/>
        <w:rPr>
          <w:rFonts w:ascii="Verdana" w:hAnsi="Verdana" w:cs="Arial"/>
          <w:lang w:val="es-ES"/>
        </w:rPr>
      </w:pPr>
      <w:r>
        <w:rPr>
          <w:rFonts w:ascii="Verdana" w:hAnsi="Verdana" w:cs="Arial"/>
          <w:lang w:val="es-ES"/>
        </w:rPr>
        <w:t>Ahora bien, en Colombia existe e</w:t>
      </w:r>
      <w:r w:rsidRPr="00B24FF1">
        <w:rPr>
          <w:rFonts w:ascii="Verdana" w:hAnsi="Verdana" w:cs="Arial"/>
          <w:lang w:val="es-ES"/>
        </w:rPr>
        <w:t>l Registro Único de Proponentes</w:t>
      </w:r>
      <w:r>
        <w:rPr>
          <w:rFonts w:ascii="Verdana" w:hAnsi="Verdana" w:cs="Arial"/>
          <w:lang w:val="es-ES"/>
        </w:rPr>
        <w:t xml:space="preserve"> – RUP que se exige para un gran número de procesos de contratación. Dicho registro se convierte en</w:t>
      </w:r>
      <w:r w:rsidRPr="00B24FF1">
        <w:rPr>
          <w:rFonts w:ascii="Verdana" w:hAnsi="Verdana" w:cs="Arial"/>
          <w:lang w:val="es-ES"/>
        </w:rPr>
        <w:t xml:space="preserve"> el instrumento a través del cual los proponentes acreditan la capacidad financiera, jurídica, organizacional y la experiencia, y es plena prueba de las circunstancias que se hagan constar</w:t>
      </w:r>
      <w:r w:rsidRPr="00B24FF1">
        <w:rPr>
          <w:rFonts w:ascii="Verdana" w:hAnsi="Verdana" w:cs="Arial"/>
          <w:vertAlign w:val="superscript"/>
          <w:lang w:val="es-ES"/>
        </w:rPr>
        <w:footnoteReference w:id="3"/>
      </w:r>
      <w:r w:rsidRPr="00B24FF1">
        <w:rPr>
          <w:rFonts w:ascii="Verdana" w:hAnsi="Verdana" w:cs="Arial"/>
          <w:lang w:val="es-ES"/>
        </w:rPr>
        <w:t xml:space="preserve">. </w:t>
      </w:r>
      <w:r w:rsidRPr="003C0FAD">
        <w:rPr>
          <w:rFonts w:ascii="Verdana" w:hAnsi="Verdana" w:cs="Arial"/>
        </w:rPr>
        <w:t xml:space="preserve">El propósito del RUP es contar </w:t>
      </w:r>
      <w:proofErr w:type="spellStart"/>
      <w:r w:rsidRPr="003C0FAD">
        <w:rPr>
          <w:rFonts w:ascii="Verdana" w:hAnsi="Verdana" w:cs="Arial"/>
          <w:i/>
          <w:iCs/>
        </w:rPr>
        <w:t>ex-ante</w:t>
      </w:r>
      <w:proofErr w:type="spellEnd"/>
      <w:r w:rsidRPr="003C0FAD">
        <w:rPr>
          <w:rFonts w:ascii="Verdana" w:hAnsi="Verdana" w:cs="Arial"/>
        </w:rPr>
        <w:t xml:space="preserve"> con la información de los posibles interesados en procesos de compra y tener en único registro la información estándar que los interesados deben presentar en los </w:t>
      </w:r>
      <w:r>
        <w:rPr>
          <w:rFonts w:ascii="Verdana" w:hAnsi="Verdana" w:cs="Arial"/>
        </w:rPr>
        <w:t>p</w:t>
      </w:r>
      <w:r w:rsidRPr="003C0FAD">
        <w:rPr>
          <w:rFonts w:ascii="Verdana" w:hAnsi="Verdana" w:cs="Arial"/>
        </w:rPr>
        <w:t xml:space="preserve">rocesos de </w:t>
      </w:r>
      <w:r>
        <w:rPr>
          <w:rFonts w:ascii="Verdana" w:hAnsi="Verdana" w:cs="Arial"/>
        </w:rPr>
        <w:t>c</w:t>
      </w:r>
      <w:r w:rsidRPr="003C0FAD">
        <w:rPr>
          <w:rFonts w:ascii="Verdana" w:hAnsi="Verdana" w:cs="Arial"/>
        </w:rPr>
        <w:t>ontratación</w:t>
      </w:r>
      <w:r>
        <w:rPr>
          <w:rStyle w:val="Refdenotaalpie"/>
          <w:rFonts w:ascii="Verdana" w:hAnsi="Verdana" w:cs="Arial"/>
        </w:rPr>
        <w:footnoteReference w:id="4"/>
      </w:r>
      <w:r w:rsidRPr="003C0FAD">
        <w:rPr>
          <w:rFonts w:ascii="Verdana" w:hAnsi="Verdana" w:cs="Arial"/>
        </w:rPr>
        <w:t>.</w:t>
      </w:r>
    </w:p>
    <w:p w14:paraId="07826EC8" w14:textId="77777777" w:rsidR="00C92F82" w:rsidRDefault="00C92F82" w:rsidP="00C92F82">
      <w:pPr>
        <w:spacing w:after="0" w:line="276" w:lineRule="auto"/>
        <w:ind w:firstLine="708"/>
        <w:jc w:val="both"/>
        <w:rPr>
          <w:rFonts w:ascii="Verdana" w:hAnsi="Verdana" w:cs="Arial"/>
          <w:lang w:val="es-ES"/>
        </w:rPr>
      </w:pPr>
      <w:r w:rsidRPr="00B24FF1">
        <w:rPr>
          <w:rFonts w:ascii="Verdana" w:hAnsi="Verdana" w:cs="Arial"/>
          <w:lang w:val="es-ES"/>
        </w:rPr>
        <w:t xml:space="preserve">En efecto, el artículo 6 de la Ley 1150 de 2007 prevé </w:t>
      </w:r>
      <w:r>
        <w:rPr>
          <w:rFonts w:ascii="Verdana" w:hAnsi="Verdana" w:cs="Arial"/>
          <w:lang w:val="es-ES"/>
        </w:rPr>
        <w:t>lo siguiente:</w:t>
      </w:r>
    </w:p>
    <w:p w14:paraId="31E0A6B4" w14:textId="77777777" w:rsidR="00C92F82" w:rsidRDefault="00C92F82" w:rsidP="00C92F82">
      <w:pPr>
        <w:spacing w:after="0" w:line="276" w:lineRule="auto"/>
        <w:ind w:firstLine="708"/>
        <w:jc w:val="both"/>
        <w:rPr>
          <w:rFonts w:ascii="Verdana" w:hAnsi="Verdana" w:cs="Arial"/>
          <w:lang w:val="es-ES"/>
        </w:rPr>
      </w:pPr>
    </w:p>
    <w:p w14:paraId="12681C23" w14:textId="77777777" w:rsidR="00C92F82" w:rsidRPr="00B72F80" w:rsidRDefault="00C92F82" w:rsidP="00C92F82">
      <w:pPr>
        <w:spacing w:after="0" w:line="240" w:lineRule="auto"/>
        <w:ind w:left="709" w:right="709"/>
        <w:jc w:val="both"/>
        <w:rPr>
          <w:rFonts w:ascii="Verdana" w:hAnsi="Verdana" w:cs="Arial"/>
          <w:sz w:val="20"/>
          <w:szCs w:val="20"/>
        </w:rPr>
      </w:pPr>
      <w:r w:rsidRPr="00B72F80">
        <w:rPr>
          <w:rFonts w:ascii="Verdana" w:hAnsi="Verdana" w:cs="Arial"/>
          <w:sz w:val="20"/>
          <w:szCs w:val="20"/>
        </w:rPr>
        <w:lastRenderedPageBreak/>
        <w:t>Artículo 6. </w:t>
      </w:r>
      <w:r w:rsidRPr="00B72F80">
        <w:rPr>
          <w:rFonts w:ascii="Verdana" w:hAnsi="Verdana" w:cs="Arial"/>
          <w:i/>
          <w:iCs/>
          <w:sz w:val="20"/>
          <w:szCs w:val="20"/>
        </w:rPr>
        <w:t xml:space="preserve">De la verificación de las condiciones de los proponentes. </w:t>
      </w:r>
      <w:r w:rsidRPr="00B72F80">
        <w:rPr>
          <w:rFonts w:ascii="Verdana" w:hAnsi="Verdana" w:cs="Arial"/>
          <w:b/>
          <w:bCs/>
          <w:sz w:val="20"/>
          <w:szCs w:val="20"/>
        </w:rPr>
        <w:t>Todas las personas naturales o jurídicas</w:t>
      </w:r>
      <w:r w:rsidRPr="00B72F80">
        <w:rPr>
          <w:rFonts w:ascii="Verdana" w:hAnsi="Verdana" w:cs="Arial"/>
          <w:sz w:val="20"/>
          <w:szCs w:val="20"/>
        </w:rPr>
        <w:t xml:space="preserve"> nacionales o </w:t>
      </w:r>
      <w:r w:rsidRPr="00B72F80">
        <w:rPr>
          <w:rFonts w:ascii="Verdana" w:hAnsi="Verdana" w:cs="Arial"/>
          <w:b/>
          <w:bCs/>
          <w:sz w:val="20"/>
          <w:szCs w:val="20"/>
        </w:rPr>
        <w:t>extranjeras</w:t>
      </w:r>
      <w:r w:rsidRPr="00B72F80">
        <w:rPr>
          <w:rFonts w:ascii="Verdana" w:hAnsi="Verdana" w:cs="Arial"/>
          <w:sz w:val="20"/>
          <w:szCs w:val="20"/>
        </w:rPr>
        <w:t xml:space="preserve"> </w:t>
      </w:r>
      <w:r w:rsidRPr="00B72F80">
        <w:rPr>
          <w:rFonts w:ascii="Verdana" w:hAnsi="Verdana" w:cs="Arial"/>
          <w:b/>
          <w:bCs/>
          <w:sz w:val="20"/>
          <w:szCs w:val="20"/>
        </w:rPr>
        <w:t>domiciliadas o con sucursal en Colombia, que aspiren a celebrar contratos con las entidades estatales, se inscribirán en el Registro Único de Proponentes del Registro Único Empresarial de la Cámara de Comercio con jurisdicción en su domicilio principal.</w:t>
      </w:r>
      <w:r w:rsidRPr="00B72F80">
        <w:rPr>
          <w:rFonts w:ascii="Verdana" w:hAnsi="Verdana" w:cs="Arial"/>
          <w:sz w:val="20"/>
          <w:szCs w:val="20"/>
        </w:rPr>
        <w:t>  </w:t>
      </w:r>
    </w:p>
    <w:p w14:paraId="3F0C2EE6" w14:textId="77777777" w:rsidR="00C92F82" w:rsidRPr="00B72F80" w:rsidRDefault="00C92F82" w:rsidP="00C92F82">
      <w:pPr>
        <w:spacing w:after="0" w:line="240" w:lineRule="auto"/>
        <w:ind w:left="709" w:right="709"/>
        <w:jc w:val="both"/>
        <w:rPr>
          <w:rFonts w:ascii="Verdana" w:hAnsi="Verdana" w:cs="Arial"/>
          <w:sz w:val="20"/>
          <w:szCs w:val="20"/>
        </w:rPr>
      </w:pPr>
      <w:r w:rsidRPr="00B72F80">
        <w:rPr>
          <w:rFonts w:ascii="Verdana" w:hAnsi="Verdana" w:cs="Arial"/>
          <w:sz w:val="20"/>
          <w:szCs w:val="20"/>
        </w:rPr>
        <w:t>  </w:t>
      </w:r>
    </w:p>
    <w:p w14:paraId="517012A2" w14:textId="77777777" w:rsidR="00C92F82" w:rsidRPr="00B72F80" w:rsidRDefault="00C92F82" w:rsidP="00C92F82">
      <w:pPr>
        <w:spacing w:after="0" w:line="240" w:lineRule="auto"/>
        <w:ind w:left="709" w:right="709"/>
        <w:jc w:val="both"/>
        <w:rPr>
          <w:rFonts w:ascii="Verdana" w:hAnsi="Verdana" w:cs="Arial"/>
          <w:sz w:val="20"/>
          <w:szCs w:val="20"/>
        </w:rPr>
      </w:pPr>
      <w:r w:rsidRPr="00B72F80">
        <w:rPr>
          <w:rFonts w:ascii="Verdana" w:hAnsi="Verdana" w:cs="Arial"/>
          <w:sz w:val="20"/>
          <w:szCs w:val="20"/>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p>
    <w:p w14:paraId="5387ABF7" w14:textId="77777777" w:rsidR="00C92F82" w:rsidRPr="00B72F80" w:rsidRDefault="00C92F82" w:rsidP="00C92F82">
      <w:pPr>
        <w:spacing w:after="0" w:line="240" w:lineRule="auto"/>
        <w:ind w:left="709" w:right="709"/>
        <w:jc w:val="both"/>
        <w:rPr>
          <w:rFonts w:ascii="Verdana" w:hAnsi="Verdana" w:cs="Arial"/>
          <w:sz w:val="20"/>
          <w:szCs w:val="20"/>
        </w:rPr>
      </w:pPr>
      <w:r w:rsidRPr="00B72F80">
        <w:rPr>
          <w:rFonts w:ascii="Verdana" w:hAnsi="Verdana" w:cs="Arial"/>
          <w:sz w:val="20"/>
          <w:szCs w:val="20"/>
        </w:rPr>
        <w:t>  </w:t>
      </w:r>
    </w:p>
    <w:p w14:paraId="16DCF7C7" w14:textId="77777777" w:rsidR="00C92F82" w:rsidRPr="00B72F80" w:rsidRDefault="00C92F82" w:rsidP="00C92F82">
      <w:pPr>
        <w:spacing w:after="0" w:line="240" w:lineRule="auto"/>
        <w:ind w:left="709" w:right="709"/>
        <w:jc w:val="both"/>
        <w:rPr>
          <w:rFonts w:ascii="Verdana" w:hAnsi="Verdana" w:cs="Arial"/>
          <w:sz w:val="20"/>
          <w:szCs w:val="20"/>
          <w:lang w:val="es-ES"/>
        </w:rPr>
      </w:pPr>
      <w:r w:rsidRPr="00B72F80">
        <w:rPr>
          <w:rFonts w:ascii="Verdana" w:hAnsi="Verdana" w:cs="Arial"/>
          <w:sz w:val="20"/>
          <w:szCs w:val="20"/>
        </w:rPr>
        <w:t xml:space="preserve">En dicho registro constará la información relacionada con la experiencia, capacidad jurídica, financiera y de organización del proponente y su clasificación </w:t>
      </w:r>
      <w:r w:rsidRPr="00B72F80">
        <w:rPr>
          <w:rFonts w:ascii="Verdana" w:hAnsi="Verdana" w:cs="Arial"/>
          <w:sz w:val="20"/>
          <w:szCs w:val="20"/>
          <w:lang w:val="es-ES"/>
        </w:rPr>
        <w:t>[…]</w:t>
      </w:r>
      <w:r w:rsidRPr="00B72F80">
        <w:rPr>
          <w:rFonts w:ascii="Verdana" w:hAnsi="Verdana" w:cs="Arial"/>
          <w:sz w:val="20"/>
          <w:szCs w:val="20"/>
        </w:rPr>
        <w:t>”</w:t>
      </w:r>
      <w:r w:rsidRPr="00B72F80">
        <w:rPr>
          <w:rFonts w:ascii="Verdana" w:hAnsi="Verdana" w:cs="Arial"/>
          <w:sz w:val="20"/>
          <w:szCs w:val="20"/>
          <w:lang w:val="es-ES"/>
        </w:rPr>
        <w:t>. [Énfasis por fuera de texto legal]</w:t>
      </w:r>
    </w:p>
    <w:p w14:paraId="361A46FD" w14:textId="77777777" w:rsidR="00C92F82" w:rsidRPr="00B24FF1" w:rsidRDefault="00C92F82" w:rsidP="00C92F82">
      <w:pPr>
        <w:spacing w:after="0" w:line="240" w:lineRule="auto"/>
        <w:ind w:left="709" w:right="709"/>
        <w:jc w:val="both"/>
        <w:rPr>
          <w:rFonts w:ascii="Verdana" w:hAnsi="Verdana" w:cs="Arial"/>
          <w:lang w:val="es-ES"/>
        </w:rPr>
      </w:pPr>
    </w:p>
    <w:p w14:paraId="29222C82" w14:textId="77777777" w:rsidR="00C92F82" w:rsidRDefault="00C92F82" w:rsidP="00C92F82">
      <w:pPr>
        <w:spacing w:after="120" w:line="276" w:lineRule="auto"/>
        <w:ind w:firstLine="708"/>
        <w:jc w:val="both"/>
        <w:rPr>
          <w:rFonts w:ascii="Verdana" w:hAnsi="Verdana" w:cs="Arial"/>
          <w:lang w:val="es-ES"/>
        </w:rPr>
      </w:pPr>
      <w:r>
        <w:rPr>
          <w:rFonts w:ascii="Verdana" w:hAnsi="Verdana" w:cs="Arial"/>
          <w:lang w:val="es-ES"/>
        </w:rPr>
        <w:t>Así mismo, la misma norma establece que el RUP</w:t>
      </w:r>
      <w:r w:rsidRPr="00D2703D">
        <w:rPr>
          <w:rFonts w:ascii="Arial" w:hAnsi="Arial" w:cs="Arial"/>
          <w:color w:val="000000"/>
          <w:sz w:val="21"/>
          <w:szCs w:val="21"/>
        </w:rPr>
        <w:t xml:space="preserve"> </w:t>
      </w:r>
      <w:r w:rsidRPr="00D2703D">
        <w:rPr>
          <w:rFonts w:ascii="Verdana" w:hAnsi="Verdana" w:cs="Arial"/>
        </w:rPr>
        <w:t xml:space="preserve">será plena prueba de las circunstancias que en ella se hagan constar y que hayan sido verificadas por las </w:t>
      </w:r>
      <w:r>
        <w:rPr>
          <w:rFonts w:ascii="Verdana" w:hAnsi="Verdana" w:cs="Arial"/>
        </w:rPr>
        <w:t>c</w:t>
      </w:r>
      <w:r w:rsidRPr="00D2703D">
        <w:rPr>
          <w:rFonts w:ascii="Verdana" w:hAnsi="Verdana" w:cs="Arial"/>
        </w:rPr>
        <w:t xml:space="preserve">ámaras de </w:t>
      </w:r>
      <w:r>
        <w:rPr>
          <w:rFonts w:ascii="Verdana" w:hAnsi="Verdana" w:cs="Arial"/>
        </w:rPr>
        <w:t>c</w:t>
      </w:r>
      <w:r w:rsidRPr="00D2703D">
        <w:rPr>
          <w:rFonts w:ascii="Verdana" w:hAnsi="Verdana" w:cs="Arial"/>
        </w:rPr>
        <w:t xml:space="preserve">omercio. En </w:t>
      </w:r>
      <w:r>
        <w:rPr>
          <w:rFonts w:ascii="Verdana" w:hAnsi="Verdana" w:cs="Arial"/>
        </w:rPr>
        <w:t>consecuencia</w:t>
      </w:r>
      <w:r w:rsidRPr="00D2703D">
        <w:rPr>
          <w:rFonts w:ascii="Verdana" w:hAnsi="Verdana" w:cs="Arial"/>
        </w:rPr>
        <w:t xml:space="preserve">, la verificación de las condiciones establecidas en el numeral 1 del artículo 5 de la </w:t>
      </w:r>
      <w:r>
        <w:rPr>
          <w:rFonts w:ascii="Verdana" w:hAnsi="Verdana" w:cs="Arial"/>
        </w:rPr>
        <w:t>L</w:t>
      </w:r>
      <w:r w:rsidRPr="00D2703D">
        <w:rPr>
          <w:rFonts w:ascii="Verdana" w:hAnsi="Verdana" w:cs="Arial"/>
        </w:rPr>
        <w:t>ey</w:t>
      </w:r>
      <w:r>
        <w:rPr>
          <w:rFonts w:ascii="Verdana" w:hAnsi="Verdana" w:cs="Arial"/>
        </w:rPr>
        <w:t xml:space="preserve"> 1150 de 2007</w:t>
      </w:r>
      <w:r w:rsidRPr="00D2703D">
        <w:rPr>
          <w:rFonts w:ascii="Verdana" w:hAnsi="Verdana" w:cs="Arial"/>
        </w:rPr>
        <w:t xml:space="preserve">, se demostrará exclusivamente con el respectivo certificado del RUP </w:t>
      </w:r>
      <w:r>
        <w:rPr>
          <w:rFonts w:ascii="Verdana" w:hAnsi="Verdana" w:cs="Arial"/>
        </w:rPr>
        <w:t>donde consten las condiciones del proponente extranjero</w:t>
      </w:r>
      <w:r w:rsidRPr="00D2703D">
        <w:rPr>
          <w:rFonts w:ascii="Verdana" w:hAnsi="Verdana" w:cs="Arial"/>
        </w:rPr>
        <w:t xml:space="preserve">. </w:t>
      </w:r>
      <w:r>
        <w:rPr>
          <w:rFonts w:ascii="Verdana" w:hAnsi="Verdana" w:cs="Arial"/>
        </w:rPr>
        <w:t>En ese orden,</w:t>
      </w:r>
      <w:r w:rsidRPr="00D2703D">
        <w:rPr>
          <w:rFonts w:ascii="Verdana" w:hAnsi="Verdana" w:cs="Arial"/>
        </w:rPr>
        <w:t xml:space="preserve"> las </w:t>
      </w:r>
      <w:r>
        <w:rPr>
          <w:rFonts w:ascii="Verdana" w:hAnsi="Verdana" w:cs="Arial"/>
        </w:rPr>
        <w:t>e</w:t>
      </w:r>
      <w:r w:rsidRPr="00D2703D">
        <w:rPr>
          <w:rFonts w:ascii="Verdana" w:hAnsi="Verdana" w:cs="Arial"/>
        </w:rPr>
        <w:t xml:space="preserve">ntidades </w:t>
      </w:r>
      <w:r>
        <w:rPr>
          <w:rFonts w:ascii="Verdana" w:hAnsi="Verdana" w:cs="Arial"/>
        </w:rPr>
        <w:t>e</w:t>
      </w:r>
      <w:r w:rsidRPr="00D2703D">
        <w:rPr>
          <w:rFonts w:ascii="Verdana" w:hAnsi="Verdana" w:cs="Arial"/>
        </w:rPr>
        <w:t xml:space="preserve">statales </w:t>
      </w:r>
      <w:r>
        <w:rPr>
          <w:rFonts w:ascii="Verdana" w:hAnsi="Verdana" w:cs="Arial"/>
        </w:rPr>
        <w:t xml:space="preserve">no pueden ni tienen autorizado la </w:t>
      </w:r>
      <w:r w:rsidRPr="00D2703D">
        <w:rPr>
          <w:rFonts w:ascii="Verdana" w:hAnsi="Verdana" w:cs="Arial"/>
        </w:rPr>
        <w:t>exig</w:t>
      </w:r>
      <w:r>
        <w:rPr>
          <w:rFonts w:ascii="Verdana" w:hAnsi="Verdana" w:cs="Arial"/>
        </w:rPr>
        <w:t xml:space="preserve">encia de documentos distintos al RUP, así como también tienen los </w:t>
      </w:r>
      <w:r w:rsidRPr="00D2703D">
        <w:rPr>
          <w:rFonts w:ascii="Verdana" w:hAnsi="Verdana" w:cs="Arial"/>
        </w:rPr>
        <w:t xml:space="preserve">proponentes </w:t>
      </w:r>
      <w:r>
        <w:rPr>
          <w:rFonts w:ascii="Verdana" w:hAnsi="Verdana" w:cs="Arial"/>
        </w:rPr>
        <w:t xml:space="preserve">proscritos la posibilidad de </w:t>
      </w:r>
      <w:r w:rsidRPr="00D2703D">
        <w:rPr>
          <w:rFonts w:ascii="Verdana" w:hAnsi="Verdana" w:cs="Arial"/>
        </w:rPr>
        <w:t xml:space="preserve">aportar documentación </w:t>
      </w:r>
      <w:r>
        <w:rPr>
          <w:rFonts w:ascii="Verdana" w:hAnsi="Verdana" w:cs="Arial"/>
        </w:rPr>
        <w:t>que deba presentarse para la inscripción en el RUP</w:t>
      </w:r>
      <w:r w:rsidRPr="00D2703D">
        <w:rPr>
          <w:rFonts w:ascii="Verdana" w:hAnsi="Verdana" w:cs="Arial"/>
        </w:rPr>
        <w:t>. </w:t>
      </w:r>
    </w:p>
    <w:p w14:paraId="1F122D7A" w14:textId="77777777" w:rsidR="00C92F82" w:rsidRPr="00B24FF1" w:rsidRDefault="00C92F82" w:rsidP="00C92F82">
      <w:pPr>
        <w:spacing w:after="120" w:line="276" w:lineRule="auto"/>
        <w:ind w:firstLine="708"/>
        <w:jc w:val="both"/>
        <w:rPr>
          <w:rFonts w:ascii="Verdana" w:hAnsi="Verdana" w:cs="Arial"/>
          <w:lang w:val="es-ES"/>
        </w:rPr>
      </w:pPr>
      <w:r w:rsidRPr="00B24FF1">
        <w:rPr>
          <w:rFonts w:ascii="Verdana" w:hAnsi="Verdana" w:cs="Arial"/>
          <w:lang w:val="es-ES"/>
        </w:rPr>
        <w:t xml:space="preserve">No obstante, lo anterior, las personas naturales o jurídicas extranjeras, </w:t>
      </w:r>
      <w:r>
        <w:rPr>
          <w:rFonts w:ascii="Verdana" w:hAnsi="Verdana" w:cs="Arial"/>
          <w:lang w:val="es-ES"/>
        </w:rPr>
        <w:t>con</w:t>
      </w:r>
      <w:r w:rsidRPr="00B24FF1">
        <w:rPr>
          <w:rFonts w:ascii="Verdana" w:hAnsi="Verdana" w:cs="Arial"/>
          <w:lang w:val="es-ES"/>
        </w:rPr>
        <w:t xml:space="preserve"> domicilio o sucursal en Colombia, están obligadas a inscribirse en el Registro único de Proponentes – RUP</w:t>
      </w:r>
      <w:r>
        <w:rPr>
          <w:rFonts w:ascii="Verdana" w:hAnsi="Verdana" w:cs="Arial"/>
          <w:lang w:val="es-ES"/>
        </w:rPr>
        <w:t xml:space="preserve">, con excepción de aquellos proponentes o proveedores </w:t>
      </w:r>
      <w:r w:rsidRPr="006C4316">
        <w:rPr>
          <w:rFonts w:ascii="Verdana" w:hAnsi="Verdana" w:cs="Arial"/>
        </w:rPr>
        <w:t>extranjeros sin domicilio</w:t>
      </w:r>
      <w:r>
        <w:rPr>
          <w:rFonts w:ascii="Verdana" w:hAnsi="Verdana" w:cs="Arial"/>
        </w:rPr>
        <w:t xml:space="preserve"> ni sucursal</w:t>
      </w:r>
      <w:r w:rsidRPr="006C4316">
        <w:rPr>
          <w:rFonts w:ascii="Verdana" w:hAnsi="Verdana" w:cs="Arial"/>
        </w:rPr>
        <w:t xml:space="preserve"> en Colombia</w:t>
      </w:r>
      <w:r>
        <w:rPr>
          <w:rFonts w:ascii="Verdana" w:hAnsi="Verdana" w:cs="Arial"/>
        </w:rPr>
        <w:t xml:space="preserve">, de manera que estos últimos </w:t>
      </w:r>
      <w:r w:rsidRPr="006C4316">
        <w:rPr>
          <w:rFonts w:ascii="Verdana" w:hAnsi="Verdana" w:cs="Arial"/>
        </w:rPr>
        <w:t xml:space="preserve">deben acreditar esta información directamente ante la </w:t>
      </w:r>
      <w:r>
        <w:rPr>
          <w:rFonts w:ascii="Verdana" w:hAnsi="Verdana" w:cs="Arial"/>
        </w:rPr>
        <w:t>e</w:t>
      </w:r>
      <w:r w:rsidRPr="006C4316">
        <w:rPr>
          <w:rFonts w:ascii="Verdana" w:hAnsi="Verdana" w:cs="Arial"/>
        </w:rPr>
        <w:t xml:space="preserve">ntidad </w:t>
      </w:r>
      <w:r>
        <w:rPr>
          <w:rFonts w:ascii="Verdana" w:hAnsi="Verdana" w:cs="Arial"/>
        </w:rPr>
        <w:t>e</w:t>
      </w:r>
      <w:r w:rsidRPr="006C4316">
        <w:rPr>
          <w:rFonts w:ascii="Verdana" w:hAnsi="Verdana" w:cs="Arial"/>
        </w:rPr>
        <w:t xml:space="preserve">statal que adelanta el </w:t>
      </w:r>
      <w:r>
        <w:rPr>
          <w:rFonts w:ascii="Verdana" w:hAnsi="Verdana" w:cs="Arial"/>
        </w:rPr>
        <w:t>p</w:t>
      </w:r>
      <w:r w:rsidRPr="006C4316">
        <w:rPr>
          <w:rFonts w:ascii="Verdana" w:hAnsi="Verdana" w:cs="Arial"/>
        </w:rPr>
        <w:t xml:space="preserve">roceso de </w:t>
      </w:r>
      <w:r>
        <w:rPr>
          <w:rFonts w:ascii="Verdana" w:hAnsi="Verdana" w:cs="Arial"/>
        </w:rPr>
        <w:t>c</w:t>
      </w:r>
      <w:r w:rsidRPr="006C4316">
        <w:rPr>
          <w:rFonts w:ascii="Verdana" w:hAnsi="Verdana" w:cs="Arial"/>
        </w:rPr>
        <w:t xml:space="preserve">ontratación en la forma indicada en los </w:t>
      </w:r>
      <w:r w:rsidRPr="006C4316">
        <w:rPr>
          <w:rFonts w:ascii="Verdana" w:hAnsi="Verdana" w:cs="Arial"/>
        </w:rPr>
        <w:lastRenderedPageBreak/>
        <w:t>pliegos de condiciones</w:t>
      </w:r>
      <w:r>
        <w:rPr>
          <w:rFonts w:ascii="Verdana" w:hAnsi="Verdana" w:cs="Arial"/>
        </w:rPr>
        <w:t xml:space="preserve">. </w:t>
      </w:r>
      <w:r w:rsidRPr="00B24FF1">
        <w:rPr>
          <w:rFonts w:ascii="Verdana" w:hAnsi="Verdana" w:cs="Arial"/>
          <w:lang w:val="es-ES"/>
        </w:rPr>
        <w:t xml:space="preserve">Sobre este punto, como lo expuso la Agencia Nacional de Contratación Pública – Colombia Compra Eficiente, en el </w:t>
      </w:r>
      <w:r>
        <w:rPr>
          <w:rFonts w:ascii="Verdana" w:hAnsi="Verdana" w:cs="Arial"/>
          <w:i/>
          <w:iCs/>
          <w:lang w:val="es-ES"/>
        </w:rPr>
        <w:t>“</w:t>
      </w:r>
      <w:r w:rsidRPr="00B24FF1">
        <w:rPr>
          <w:rFonts w:ascii="Verdana" w:hAnsi="Verdana" w:cs="Arial"/>
          <w:i/>
          <w:iCs/>
          <w:lang w:val="es-ES"/>
        </w:rPr>
        <w:t>Manual para Determinar y Verificar los Requisitos Habilitantes en los Procesos de Contratación</w:t>
      </w:r>
      <w:r>
        <w:rPr>
          <w:rFonts w:ascii="Verdana" w:hAnsi="Verdana" w:cs="Arial"/>
          <w:i/>
          <w:iCs/>
          <w:lang w:val="es-ES"/>
        </w:rPr>
        <w:t>”</w:t>
      </w:r>
      <w:r w:rsidRPr="00B24FF1">
        <w:rPr>
          <w:rFonts w:ascii="Verdana" w:hAnsi="Verdana" w:cs="Arial"/>
          <w:lang w:val="es-ES"/>
        </w:rPr>
        <w:t xml:space="preserve">, se sugiere </w:t>
      </w:r>
      <w:r>
        <w:rPr>
          <w:rFonts w:ascii="Verdana" w:hAnsi="Verdana" w:cs="Arial"/>
          <w:lang w:val="es-ES"/>
        </w:rPr>
        <w:t>“</w:t>
      </w:r>
      <w:r w:rsidRPr="00B24FF1">
        <w:rPr>
          <w:rFonts w:ascii="Verdana" w:hAnsi="Verdana" w:cs="Arial"/>
          <w:lang w:val="es-ES"/>
        </w:rPr>
        <w:t>incluir en los pliegos de condiciones modelos de certificados con los cuales los proponentes acrediten los requisitos habilitantes</w:t>
      </w:r>
      <w:r>
        <w:rPr>
          <w:rFonts w:ascii="Verdana" w:hAnsi="Verdana" w:cs="Arial"/>
          <w:lang w:val="es-ES"/>
        </w:rPr>
        <w:t>”</w:t>
      </w:r>
      <w:r>
        <w:rPr>
          <w:rStyle w:val="Refdenotaalpie"/>
          <w:rFonts w:ascii="Verdana" w:hAnsi="Verdana" w:cs="Arial"/>
          <w:lang w:val="es-ES"/>
        </w:rPr>
        <w:footnoteReference w:id="5"/>
      </w:r>
      <w:r w:rsidRPr="00B24FF1">
        <w:rPr>
          <w:rFonts w:ascii="Verdana" w:hAnsi="Verdana" w:cs="Arial"/>
          <w:lang w:val="es-ES"/>
        </w:rPr>
        <w:t>.</w:t>
      </w:r>
    </w:p>
    <w:p w14:paraId="17676848" w14:textId="77777777" w:rsidR="00C92F82" w:rsidRDefault="00C92F82" w:rsidP="00C92F82">
      <w:pPr>
        <w:spacing w:after="120" w:line="276" w:lineRule="auto"/>
        <w:ind w:firstLine="708"/>
        <w:jc w:val="both"/>
        <w:rPr>
          <w:rFonts w:ascii="Verdana" w:eastAsia="Arial MT" w:hAnsi="Verdana" w:cs="Arial"/>
          <w:lang w:eastAsia="es-ES" w:bidi="es-ES"/>
        </w:rPr>
      </w:pPr>
      <w:r>
        <w:rPr>
          <w:rFonts w:ascii="Verdana" w:eastAsia="Arial MT" w:hAnsi="Verdana" w:cs="Arial"/>
          <w:lang w:eastAsia="es-ES" w:bidi="es-ES"/>
        </w:rPr>
        <w:t xml:space="preserve">Lo expuesto se encuentra en consonancia con lo regulado en el artículo </w:t>
      </w:r>
      <w:r w:rsidRPr="00E07C04">
        <w:rPr>
          <w:rFonts w:ascii="Verdana" w:eastAsia="Arial MT" w:hAnsi="Verdana" w:cs="Arial"/>
          <w:lang w:eastAsia="es-ES" w:bidi="es-ES"/>
        </w:rPr>
        <w:t>2.2.1.1.1.5.1.</w:t>
      </w:r>
      <w:r>
        <w:rPr>
          <w:rFonts w:ascii="Verdana" w:eastAsia="Arial MT" w:hAnsi="Verdana" w:cs="Arial"/>
          <w:lang w:eastAsia="es-ES" w:bidi="es-ES"/>
        </w:rPr>
        <w:t xml:space="preserve"> del Decreto 1082 de 2015, según el cual, “</w:t>
      </w:r>
      <w:r w:rsidRPr="00BF6B19">
        <w:rPr>
          <w:rFonts w:ascii="Verdana" w:eastAsia="Arial MT" w:hAnsi="Verdana" w:cs="Arial"/>
          <w:lang w:eastAsia="es-ES" w:bidi="es-ES"/>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Pr>
          <w:rFonts w:ascii="Verdana" w:eastAsia="Arial MT" w:hAnsi="Verdana" w:cs="Arial"/>
          <w:lang w:eastAsia="es-ES" w:bidi="es-ES"/>
        </w:rPr>
        <w:t>”.</w:t>
      </w:r>
    </w:p>
    <w:p w14:paraId="75184627" w14:textId="77777777" w:rsidR="00C92F82" w:rsidRDefault="00C92F82" w:rsidP="00C92F82">
      <w:pPr>
        <w:spacing w:after="120" w:line="276" w:lineRule="auto"/>
        <w:ind w:firstLine="708"/>
        <w:jc w:val="both"/>
        <w:rPr>
          <w:rFonts w:ascii="Verdana" w:eastAsia="Arial MT" w:hAnsi="Verdana" w:cs="Arial"/>
          <w:lang w:eastAsia="es-ES" w:bidi="es-ES"/>
        </w:rPr>
      </w:pPr>
      <w:r>
        <w:rPr>
          <w:rFonts w:ascii="Verdana" w:eastAsia="Arial MT" w:hAnsi="Verdana" w:cs="Arial"/>
          <w:lang w:eastAsia="es-ES" w:bidi="es-ES"/>
        </w:rPr>
        <w:t xml:space="preserve">En suma, de conformidad con el artículo 6 de la Ley 1150 de 2007 y el artículo </w:t>
      </w:r>
      <w:r w:rsidRPr="00E07C04">
        <w:rPr>
          <w:rFonts w:ascii="Verdana" w:eastAsia="Arial MT" w:hAnsi="Verdana" w:cs="Arial"/>
          <w:lang w:eastAsia="es-ES" w:bidi="es-ES"/>
        </w:rPr>
        <w:t xml:space="preserve">2.2.1.1.1.5.1. </w:t>
      </w:r>
      <w:r>
        <w:rPr>
          <w:rFonts w:ascii="Verdana" w:eastAsia="Arial MT" w:hAnsi="Verdana" w:cs="Arial"/>
          <w:lang w:eastAsia="es-ES" w:bidi="es-ES"/>
        </w:rPr>
        <w:t xml:space="preserve">del Decreto 1082 de 2015, dentro de los sujetos obligados a inscribirse en el </w:t>
      </w:r>
      <w:r w:rsidRPr="005E4011">
        <w:rPr>
          <w:rFonts w:ascii="Verdana" w:eastAsia="Arial MT" w:hAnsi="Verdana" w:cs="Arial"/>
          <w:lang w:val="es-ES" w:eastAsia="es-ES" w:bidi="es-ES"/>
        </w:rPr>
        <w:t xml:space="preserve">Registro Único de Proponentes </w:t>
      </w:r>
      <w:r>
        <w:rPr>
          <w:rFonts w:ascii="Verdana" w:eastAsia="Arial MT" w:hAnsi="Verdana" w:cs="Arial"/>
          <w:lang w:val="es-ES" w:eastAsia="es-ES" w:bidi="es-ES"/>
        </w:rPr>
        <w:t xml:space="preserve">– RUP </w:t>
      </w:r>
      <w:r w:rsidRPr="005E4011">
        <w:rPr>
          <w:rFonts w:ascii="Verdana" w:eastAsia="Arial MT" w:hAnsi="Verdana" w:cs="Arial"/>
          <w:lang w:val="es-ES" w:eastAsia="es-ES" w:bidi="es-ES"/>
        </w:rPr>
        <w:t xml:space="preserve">del Registro único Empresarial de la Cámara de Comercio </w:t>
      </w:r>
      <w:r>
        <w:rPr>
          <w:rFonts w:ascii="Verdana" w:eastAsia="Arial MT" w:hAnsi="Verdana" w:cs="Arial"/>
          <w:lang w:eastAsia="es-ES" w:bidi="es-ES"/>
        </w:rPr>
        <w:t>se encuentran las personas naturales o jurídicas extranjeras con domicilio o con sucursal en Colombia, en los siguientes dos casos: a</w:t>
      </w:r>
      <w:r w:rsidRPr="00C43861">
        <w:rPr>
          <w:rFonts w:ascii="Verdana" w:eastAsia="Arial MT" w:hAnsi="Verdana" w:cs="Arial"/>
          <w:lang w:eastAsia="es-ES" w:bidi="es-ES"/>
        </w:rPr>
        <w:t xml:space="preserve">) </w:t>
      </w:r>
      <w:r>
        <w:rPr>
          <w:rFonts w:ascii="Verdana" w:eastAsia="Arial MT" w:hAnsi="Verdana" w:cs="Arial"/>
          <w:lang w:eastAsia="es-ES" w:bidi="es-ES"/>
        </w:rPr>
        <w:t xml:space="preserve">cuando </w:t>
      </w:r>
      <w:r w:rsidRPr="00C43861">
        <w:rPr>
          <w:rFonts w:ascii="Verdana" w:eastAsia="Arial MT" w:hAnsi="Verdana" w:cs="Arial"/>
          <w:lang w:eastAsia="es-ES" w:bidi="es-ES"/>
        </w:rPr>
        <w:t xml:space="preserve">el procedimiento de contratación </w:t>
      </w:r>
      <w:r>
        <w:rPr>
          <w:rFonts w:ascii="Verdana" w:eastAsia="Arial MT" w:hAnsi="Verdana" w:cs="Arial"/>
          <w:lang w:eastAsia="es-ES" w:bidi="es-ES"/>
        </w:rPr>
        <w:t xml:space="preserve">en el que participarán </w:t>
      </w:r>
      <w:r w:rsidRPr="00C43861">
        <w:rPr>
          <w:rFonts w:ascii="Verdana" w:eastAsia="Arial MT" w:hAnsi="Verdana" w:cs="Arial"/>
          <w:lang w:eastAsia="es-ES" w:bidi="es-ES"/>
        </w:rPr>
        <w:t>sea de aquellos en los cuales no se exceptúa el RUP, de acuerdo con el inciso segundo del artículo 6 de la Ley 1150 de 2007</w:t>
      </w:r>
      <w:r>
        <w:rPr>
          <w:rFonts w:ascii="Verdana" w:eastAsia="Arial MT" w:hAnsi="Verdana" w:cs="Arial"/>
          <w:lang w:eastAsia="es-ES" w:bidi="es-ES"/>
        </w:rPr>
        <w:t xml:space="preserve"> y b</w:t>
      </w:r>
      <w:r w:rsidRPr="00C43861">
        <w:rPr>
          <w:rFonts w:ascii="Verdana" w:eastAsia="Arial MT" w:hAnsi="Verdana" w:cs="Arial"/>
          <w:lang w:eastAsia="es-ES" w:bidi="es-ES"/>
        </w:rPr>
        <w:t xml:space="preserve">) </w:t>
      </w:r>
      <w:r>
        <w:rPr>
          <w:rFonts w:ascii="Verdana" w:eastAsia="Arial MT" w:hAnsi="Verdana" w:cs="Arial"/>
          <w:lang w:eastAsia="es-ES" w:bidi="es-ES"/>
        </w:rPr>
        <w:t>cuando pretendan celebrar</w:t>
      </w:r>
      <w:r w:rsidRPr="00C43861">
        <w:rPr>
          <w:rFonts w:ascii="Verdana" w:eastAsia="Arial MT" w:hAnsi="Verdana" w:cs="Arial"/>
          <w:lang w:eastAsia="es-ES" w:bidi="es-ES"/>
        </w:rPr>
        <w:t xml:space="preserve"> contratos estatales</w:t>
      </w:r>
      <w:r>
        <w:rPr>
          <w:rFonts w:ascii="Verdana" w:eastAsia="Arial MT" w:hAnsi="Verdana" w:cs="Arial"/>
          <w:lang w:eastAsia="es-ES" w:bidi="es-ES"/>
        </w:rPr>
        <w:t xml:space="preserve">. De manera que solo quedarían exceptuadas de esta obligación de inscripción en el RUP </w:t>
      </w:r>
      <w:r w:rsidRPr="00084A28">
        <w:rPr>
          <w:rFonts w:ascii="Verdana" w:eastAsia="Arial MT" w:hAnsi="Verdana" w:cs="Arial"/>
          <w:lang w:eastAsia="es-ES" w:bidi="es-ES"/>
        </w:rPr>
        <w:t>las personas extranjeras sin domicilio o sucursal en Colombia</w:t>
      </w:r>
      <w:r>
        <w:rPr>
          <w:rFonts w:ascii="Verdana" w:eastAsia="Arial MT" w:hAnsi="Verdana" w:cs="Arial"/>
          <w:lang w:eastAsia="es-ES" w:bidi="es-ES"/>
        </w:rPr>
        <w:t xml:space="preserve">. </w:t>
      </w:r>
    </w:p>
    <w:p w14:paraId="0EDA48B1" w14:textId="77777777" w:rsidR="00306363" w:rsidRDefault="00C92F82" w:rsidP="00306363">
      <w:pPr>
        <w:spacing w:after="120" w:line="276" w:lineRule="auto"/>
        <w:ind w:firstLine="708"/>
        <w:jc w:val="both"/>
        <w:rPr>
          <w:rFonts w:ascii="Verdana" w:eastAsia="Arial MT" w:hAnsi="Verdana" w:cs="Arial"/>
          <w:lang w:eastAsia="es-ES" w:bidi="es-ES"/>
        </w:rPr>
      </w:pPr>
      <w:r>
        <w:rPr>
          <w:rFonts w:ascii="Verdana" w:eastAsia="Arial MT" w:hAnsi="Verdana" w:cs="Arial"/>
          <w:lang w:eastAsia="es-ES" w:bidi="es-ES"/>
        </w:rPr>
        <w:t xml:space="preserve">En otras palabras, las personas extranjeras con sucursal en Colombia a deberán cumplir siempre con los requisitos habilitantes establecidos por la entidad estatal en los procesos de selección de contratistas en los que se presenten. Ahora bien, la acreditación de tales requisitos habilitantes dependerá del procedimiento de selección y la naturaleza del objeto a contratar. En ese sentido, la acreditación deberá efectuarse mediante el RUP si el </w:t>
      </w:r>
      <w:r w:rsidRPr="00C43861">
        <w:rPr>
          <w:rFonts w:ascii="Verdana" w:eastAsia="Arial MT" w:hAnsi="Verdana" w:cs="Arial"/>
          <w:lang w:eastAsia="es-ES" w:bidi="es-ES"/>
        </w:rPr>
        <w:t xml:space="preserve">procedimiento de contratación </w:t>
      </w:r>
      <w:r>
        <w:rPr>
          <w:rFonts w:ascii="Verdana" w:eastAsia="Arial MT" w:hAnsi="Verdana" w:cs="Arial"/>
          <w:lang w:eastAsia="es-ES" w:bidi="es-ES"/>
        </w:rPr>
        <w:t>en el que participarán es</w:t>
      </w:r>
      <w:r w:rsidRPr="00C43861">
        <w:rPr>
          <w:rFonts w:ascii="Verdana" w:eastAsia="Arial MT" w:hAnsi="Verdana" w:cs="Arial"/>
          <w:lang w:eastAsia="es-ES" w:bidi="es-ES"/>
        </w:rPr>
        <w:t xml:space="preserve"> </w:t>
      </w:r>
      <w:r>
        <w:rPr>
          <w:rFonts w:ascii="Verdana" w:eastAsia="Arial MT" w:hAnsi="Verdana" w:cs="Arial"/>
          <w:lang w:eastAsia="es-ES" w:bidi="es-ES"/>
        </w:rPr>
        <w:t>parte de</w:t>
      </w:r>
      <w:r w:rsidRPr="00C43861">
        <w:rPr>
          <w:rFonts w:ascii="Verdana" w:eastAsia="Arial MT" w:hAnsi="Verdana" w:cs="Arial"/>
          <w:lang w:eastAsia="es-ES" w:bidi="es-ES"/>
        </w:rPr>
        <w:t xml:space="preserve"> aquellos en los cuales no se exceptúa el RUP</w:t>
      </w:r>
      <w:r>
        <w:rPr>
          <w:rFonts w:ascii="Verdana" w:eastAsia="Arial MT" w:hAnsi="Verdana" w:cs="Arial"/>
          <w:lang w:eastAsia="es-ES" w:bidi="es-ES"/>
        </w:rPr>
        <w:t xml:space="preserve"> y resulta obligatoria su exigencia. Por otro lado, si el </w:t>
      </w:r>
      <w:r>
        <w:rPr>
          <w:rFonts w:ascii="Verdana" w:eastAsia="Arial MT" w:hAnsi="Verdana" w:cs="Arial"/>
          <w:lang w:eastAsia="es-ES" w:bidi="es-ES"/>
        </w:rPr>
        <w:lastRenderedPageBreak/>
        <w:t xml:space="preserve">procedimiento de contratación hace parte de los procedimientos exceptuados a los que hace referencia el inciso segundo del artículo 6 de la Ley 1150 de 2007, la entidad estatal deberá verificar directamente el cumplimiento de los requisitos habilitantes mediante documentos adicionales que acrediten la información referente a </w:t>
      </w:r>
      <w:r w:rsidRPr="0061585E">
        <w:rPr>
          <w:rFonts w:ascii="Verdana" w:eastAsia="Arial MT" w:hAnsi="Verdana" w:cs="Arial"/>
          <w:lang w:eastAsia="es-ES" w:bidi="es-ES"/>
        </w:rPr>
        <w:t>experiencia, capacidad jurídica, financiera y de organización</w:t>
      </w:r>
      <w:r>
        <w:rPr>
          <w:rFonts w:ascii="Verdana" w:eastAsia="Arial MT" w:hAnsi="Verdana" w:cs="Arial"/>
          <w:lang w:eastAsia="es-ES" w:bidi="es-ES"/>
        </w:rPr>
        <w:t xml:space="preserve">. Adicionalmente, es deber de las entidades estatales verificar que dichas personas extranjeras, con sucursal en Colombia, acrediten </w:t>
      </w:r>
      <w:r w:rsidRPr="00D21078">
        <w:rPr>
          <w:rFonts w:ascii="Verdana" w:eastAsia="Arial MT" w:hAnsi="Verdana" w:cs="Arial"/>
          <w:lang w:eastAsia="es-ES" w:bidi="es-ES"/>
        </w:rPr>
        <w:t>que su duración no será inferior a la del plazo del contrato y un año más</w:t>
      </w:r>
      <w:r>
        <w:rPr>
          <w:rFonts w:ascii="Verdana" w:eastAsia="Arial MT" w:hAnsi="Verdana" w:cs="Arial"/>
          <w:lang w:eastAsia="es-ES" w:bidi="es-ES"/>
        </w:rPr>
        <w:t>.</w:t>
      </w:r>
    </w:p>
    <w:p w14:paraId="7746DFFF" w14:textId="77777777" w:rsidR="00306363" w:rsidRPr="00306363" w:rsidRDefault="00306363" w:rsidP="00306363">
      <w:pPr>
        <w:spacing w:after="120" w:line="276" w:lineRule="auto"/>
        <w:ind w:firstLine="708"/>
        <w:jc w:val="both"/>
        <w:rPr>
          <w:rFonts w:ascii="Verdana" w:eastAsia="Arial MT" w:hAnsi="Verdana" w:cs="Arial"/>
          <w:lang w:eastAsia="es-ES" w:bidi="es-ES"/>
        </w:rPr>
      </w:pPr>
      <w:r w:rsidRPr="00306363">
        <w:rPr>
          <w:rFonts w:ascii="Verdana" w:eastAsia="Times New Roman" w:hAnsi="Verdana" w:cs="Times New Roman"/>
          <w:lang w:eastAsia="es-MX"/>
        </w:rPr>
        <w:t>Explicado lo anterior, y de acuerdo con el marco normativo que define quién es el proponente y cómo se acreditan sus capacidades, es posible abordar directamente la cuestión sobre la titularidad de las garantías exigidas dentro del proceso de contratación.</w:t>
      </w:r>
    </w:p>
    <w:p w14:paraId="171A4531" w14:textId="1F5B61C5" w:rsidR="00306363" w:rsidRPr="00306363" w:rsidRDefault="00306363" w:rsidP="00306363">
      <w:pPr>
        <w:spacing w:after="120" w:line="276" w:lineRule="auto"/>
        <w:ind w:firstLine="708"/>
        <w:jc w:val="both"/>
        <w:rPr>
          <w:rFonts w:ascii="Verdana" w:eastAsia="Arial MT" w:hAnsi="Verdana" w:cs="Arial"/>
          <w:lang w:eastAsia="es-ES" w:bidi="es-ES"/>
        </w:rPr>
      </w:pPr>
      <w:r w:rsidRPr="00306363">
        <w:rPr>
          <w:rFonts w:ascii="Verdana" w:eastAsia="Times New Roman" w:hAnsi="Verdana" w:cs="Times New Roman"/>
          <w:lang w:eastAsia="es-MX"/>
        </w:rPr>
        <w:t>El sujeto que ostenta la calidad de proponente es la persona, natural o jurídica, que presenta una oferta para celebrar un contrato con una entidad estatal. Como se ha detallado, este es quien debe acreditar el cumplimiento de los requisitos habilitantes, ya sea a través del RUP o directamente ante la entidad, para demostrar su aptitud jurídica, financiera, organizacional y su experiencia. En el caso que nos ocupa, la proponente es, sin lugar a dudas, la compañía extranjera.</w:t>
      </w:r>
      <w:r>
        <w:rPr>
          <w:rFonts w:ascii="Verdana" w:eastAsia="Arial MT" w:hAnsi="Verdana" w:cs="Arial"/>
          <w:lang w:eastAsia="es-ES" w:bidi="es-ES"/>
        </w:rPr>
        <w:t xml:space="preserve"> </w:t>
      </w:r>
      <w:r w:rsidRPr="00306363">
        <w:rPr>
          <w:rFonts w:ascii="Verdana" w:eastAsia="Times New Roman" w:hAnsi="Verdana" w:cs="Times New Roman"/>
          <w:lang w:eastAsia="es-MX"/>
        </w:rPr>
        <w:t>La figura del apoderado es de naturaleza representativa. El apoderado actúa en nombre y por cuenta de su poderdante (la compañía extranjera), pero no lo sustituye en sus obligaciones ni en su calidad de oferente. Por lo tanto, la responsabilidad de mantener la oferta, suscribir el contrato en caso de adjudicación y ejecutar las obligaciones contractuales recae exclusivamente sobre la compañía extranjera, no sobre su representante legal en Colombia.</w:t>
      </w:r>
    </w:p>
    <w:p w14:paraId="7E47CA6C" w14:textId="1B300B44" w:rsidR="00306363" w:rsidRPr="00306363" w:rsidRDefault="00306363" w:rsidP="00306363">
      <w:pPr>
        <w:spacing w:after="120" w:line="276" w:lineRule="auto"/>
        <w:ind w:firstLine="708"/>
        <w:jc w:val="both"/>
        <w:rPr>
          <w:rFonts w:ascii="Verdana" w:eastAsia="Arial MT" w:hAnsi="Verdana" w:cs="Arial"/>
          <w:lang w:eastAsia="es-ES" w:bidi="es-ES"/>
        </w:rPr>
      </w:pPr>
      <w:r>
        <w:rPr>
          <w:rFonts w:ascii="Verdana" w:eastAsia="Times New Roman" w:hAnsi="Verdana" w:cs="Times New Roman"/>
          <w:lang w:eastAsia="es-MX"/>
        </w:rPr>
        <w:t>De otra parte, l</w:t>
      </w:r>
      <w:r w:rsidRPr="00306363">
        <w:rPr>
          <w:rFonts w:ascii="Verdana" w:eastAsia="Times New Roman" w:hAnsi="Verdana" w:cs="Times New Roman"/>
          <w:lang w:eastAsia="es-MX"/>
        </w:rPr>
        <w:t>as garantías en la contratación estatal, como la póliza de seriedad de la oferta, tienen como finalidad amparar a la entidad pública frente a los riesgos derivados del incumplimiento del proponente. En consecuencia, la garantía debe ser tomada por y expedida a nombre de quien asume la responsabilidad principal, es decir, el oferente.</w:t>
      </w:r>
      <w:r>
        <w:rPr>
          <w:rFonts w:ascii="Verdana" w:eastAsia="Arial MT" w:hAnsi="Verdana" w:cs="Arial"/>
          <w:lang w:eastAsia="es-ES" w:bidi="es-ES"/>
        </w:rPr>
        <w:t xml:space="preserve"> </w:t>
      </w:r>
      <w:r w:rsidRPr="00306363">
        <w:rPr>
          <w:rFonts w:ascii="Verdana" w:eastAsia="Times New Roman" w:hAnsi="Verdana" w:cs="Times New Roman"/>
          <w:lang w:eastAsia="es-MX"/>
        </w:rPr>
        <w:t>Si la póliza se expidiera a nombre de la compañía que actúa como apoderada, se presentaría</w:t>
      </w:r>
      <w:r>
        <w:rPr>
          <w:rFonts w:ascii="Verdana" w:eastAsia="Times New Roman" w:hAnsi="Verdana" w:cs="Times New Roman"/>
          <w:lang w:eastAsia="es-MX"/>
        </w:rPr>
        <w:t xml:space="preserve"> incongruencia en la responsabilidad asumida,</w:t>
      </w:r>
      <w:r w:rsidRPr="00306363">
        <w:rPr>
          <w:rFonts w:ascii="Verdana" w:eastAsia="Times New Roman" w:hAnsi="Verdana" w:cs="Times New Roman"/>
          <w:lang w:eastAsia="es-MX"/>
        </w:rPr>
        <w:t xml:space="preserve"> la garantía estaría cubriendo a una persona jurídica que no es la proponente, que no acreditó los requisitos habilitantes y que no </w:t>
      </w:r>
      <w:r w:rsidRPr="00306363">
        <w:rPr>
          <w:rFonts w:ascii="Verdana" w:eastAsia="Times New Roman" w:hAnsi="Verdana" w:cs="Times New Roman"/>
          <w:lang w:eastAsia="es-MX"/>
        </w:rPr>
        <w:lastRenderedPageBreak/>
        <w:t>será la futura contratista. Esto desnaturaliza el propósito de la garantía y podría ser causal de rechazo de la oferta, al no cumplirse con los requisitos del pliego de condiciones.</w:t>
      </w:r>
    </w:p>
    <w:p w14:paraId="7C73EC50" w14:textId="660D5798" w:rsidR="00983695" w:rsidRPr="00306363" w:rsidRDefault="00306363" w:rsidP="00306363">
      <w:pPr>
        <w:spacing w:after="120" w:line="276" w:lineRule="auto"/>
        <w:ind w:firstLine="708"/>
        <w:jc w:val="both"/>
        <w:rPr>
          <w:rFonts w:ascii="Verdana" w:eastAsia="Arial MT" w:hAnsi="Verdana" w:cs="Arial"/>
          <w:lang w:eastAsia="es-ES" w:bidi="es-ES"/>
        </w:rPr>
      </w:pPr>
      <w:r w:rsidRPr="00306363">
        <w:rPr>
          <w:rFonts w:ascii="Verdana" w:eastAsia="Times New Roman" w:hAnsi="Verdana" w:cs="Times New Roman"/>
          <w:lang w:eastAsia="es-MX"/>
        </w:rPr>
        <w:t xml:space="preserve">Por lo tanto, la póliza de garantía </w:t>
      </w:r>
      <w:r>
        <w:rPr>
          <w:rFonts w:ascii="Verdana" w:eastAsia="Times New Roman" w:hAnsi="Verdana" w:cs="Times New Roman"/>
          <w:lang w:eastAsia="es-MX"/>
        </w:rPr>
        <w:t>debería ser</w:t>
      </w:r>
      <w:r w:rsidRPr="00306363">
        <w:rPr>
          <w:rFonts w:ascii="Verdana" w:eastAsia="Times New Roman" w:hAnsi="Verdana" w:cs="Times New Roman"/>
          <w:lang w:eastAsia="es-MX"/>
        </w:rPr>
        <w:t xml:space="preserve"> la compañía extranjera que figura como proponente en el proceso de contratación.</w:t>
      </w:r>
      <w:r>
        <w:rPr>
          <w:rFonts w:ascii="Verdana" w:eastAsia="Times New Roman" w:hAnsi="Verdana" w:cs="Times New Roman"/>
          <w:lang w:eastAsia="es-MX"/>
        </w:rPr>
        <w:t xml:space="preserve"> L</w:t>
      </w:r>
      <w:r w:rsidRPr="00306363">
        <w:rPr>
          <w:rFonts w:ascii="Verdana" w:eastAsia="Times New Roman" w:hAnsi="Verdana" w:cs="Times New Roman"/>
          <w:lang w:eastAsia="es-MX"/>
        </w:rPr>
        <w:t>os documentos de la oferta</w:t>
      </w:r>
      <w:r>
        <w:rPr>
          <w:rFonts w:ascii="Verdana" w:eastAsia="Times New Roman" w:hAnsi="Verdana" w:cs="Times New Roman"/>
          <w:lang w:eastAsia="es-MX"/>
        </w:rPr>
        <w:t xml:space="preserve"> pueden ser firmados por la compañía que actúa en calidad de representante legal en Colombia</w:t>
      </w:r>
      <w:r w:rsidRPr="00306363">
        <w:rPr>
          <w:rFonts w:ascii="Verdana" w:eastAsia="Times New Roman" w:hAnsi="Verdana" w:cs="Times New Roman"/>
          <w:lang w:eastAsia="es-MX"/>
        </w:rPr>
        <w:t xml:space="preserve">, pero la titularidad de las obligaciones y de las garantías que las respaldan </w:t>
      </w:r>
      <w:r>
        <w:rPr>
          <w:rFonts w:ascii="Verdana" w:eastAsia="Times New Roman" w:hAnsi="Verdana" w:cs="Times New Roman"/>
          <w:lang w:eastAsia="es-MX"/>
        </w:rPr>
        <w:t xml:space="preserve">dicha propuesta </w:t>
      </w:r>
      <w:r w:rsidRPr="00306363">
        <w:rPr>
          <w:rFonts w:ascii="Verdana" w:eastAsia="Times New Roman" w:hAnsi="Verdana" w:cs="Times New Roman"/>
          <w:lang w:eastAsia="es-MX"/>
        </w:rPr>
        <w:t>debe corresponder siempre al proponente.</w:t>
      </w:r>
    </w:p>
    <w:p w14:paraId="7861ADA5"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564F8B33" w14:textId="77777777" w:rsidR="00871B59" w:rsidRPr="00446BD2" w:rsidRDefault="00871B59" w:rsidP="00446BD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446BD2" w14:paraId="31B30D0D" w14:textId="77777777" w:rsidTr="002607A7">
        <w:trPr>
          <w:trHeight w:val="870"/>
        </w:trPr>
        <w:tc>
          <w:tcPr>
            <w:tcW w:w="8647" w:type="dxa"/>
          </w:tcPr>
          <w:p w14:paraId="1B336464" w14:textId="74AF706C" w:rsidR="00446BD2" w:rsidRPr="00446BD2" w:rsidRDefault="00446BD2" w:rsidP="00446BD2">
            <w:pPr>
              <w:pStyle w:val="NormalWeb"/>
              <w:numPr>
                <w:ilvl w:val="0"/>
                <w:numId w:val="9"/>
              </w:numPr>
              <w:spacing w:line="276" w:lineRule="auto"/>
              <w:rPr>
                <w:rFonts w:ascii="Verdana" w:hAnsi="Verdana"/>
                <w:sz w:val="22"/>
                <w:szCs w:val="22"/>
              </w:rPr>
            </w:pPr>
            <w:r w:rsidRPr="00446BD2">
              <w:rPr>
                <w:rStyle w:val="citation-260"/>
                <w:rFonts w:ascii="Verdana" w:hAnsi="Verdana"/>
                <w:sz w:val="22"/>
                <w:szCs w:val="22"/>
              </w:rPr>
              <w:t>Ley 1150 de 2007, artículos 5 y 6</w:t>
            </w:r>
            <w:r w:rsidRPr="00446BD2">
              <w:rPr>
                <w:rFonts w:ascii="Verdana" w:hAnsi="Verdana"/>
                <w:sz w:val="22"/>
                <w:szCs w:val="22"/>
              </w:rPr>
              <w:t>.</w:t>
            </w:r>
          </w:p>
          <w:p w14:paraId="1D9F0D79" w14:textId="30A05F2B" w:rsidR="00446BD2" w:rsidRPr="00446BD2" w:rsidRDefault="00446BD2" w:rsidP="00446BD2">
            <w:pPr>
              <w:pStyle w:val="NormalWeb"/>
              <w:numPr>
                <w:ilvl w:val="0"/>
                <w:numId w:val="9"/>
              </w:numPr>
              <w:spacing w:line="276" w:lineRule="auto"/>
              <w:rPr>
                <w:rFonts w:ascii="Verdana" w:hAnsi="Verdana"/>
                <w:sz w:val="22"/>
                <w:szCs w:val="22"/>
              </w:rPr>
            </w:pPr>
            <w:r w:rsidRPr="00446BD2">
              <w:rPr>
                <w:rStyle w:val="citation-259"/>
                <w:rFonts w:ascii="Verdana" w:hAnsi="Verdana"/>
                <w:sz w:val="22"/>
                <w:szCs w:val="22"/>
              </w:rPr>
              <w:t>Decreto 1082 de 2015, artículos 2.2.1.1.1.6.2 y 2.2.1.1.1.5.1</w:t>
            </w:r>
            <w:r w:rsidRPr="00446BD2">
              <w:rPr>
                <w:rFonts w:ascii="Verdana" w:hAnsi="Verdana"/>
                <w:sz w:val="22"/>
                <w:szCs w:val="22"/>
              </w:rPr>
              <w:t>.</w:t>
            </w:r>
          </w:p>
          <w:p w14:paraId="79D496D2" w14:textId="2AF2EA47" w:rsidR="00446BD2" w:rsidRPr="00446BD2" w:rsidRDefault="00446BD2" w:rsidP="00446BD2">
            <w:pPr>
              <w:pStyle w:val="NormalWeb"/>
              <w:numPr>
                <w:ilvl w:val="0"/>
                <w:numId w:val="9"/>
              </w:numPr>
              <w:spacing w:line="276" w:lineRule="auto"/>
              <w:jc w:val="both"/>
              <w:rPr>
                <w:rFonts w:ascii="Verdana" w:hAnsi="Verdana"/>
                <w:sz w:val="22"/>
                <w:szCs w:val="22"/>
              </w:rPr>
            </w:pPr>
            <w:r w:rsidRPr="00446BD2">
              <w:rPr>
                <w:rStyle w:val="citation-258"/>
                <w:rFonts w:ascii="Verdana" w:hAnsi="Verdana"/>
                <w:sz w:val="22"/>
                <w:szCs w:val="22"/>
              </w:rPr>
              <w:t>Manual para determinar y verificar los requisitos habilitantes en los Procesos de Contratación</w:t>
            </w:r>
            <w:r w:rsidRPr="00446BD2">
              <w:rPr>
                <w:rFonts w:ascii="Verdana" w:hAnsi="Verdana"/>
                <w:sz w:val="22"/>
                <w:szCs w:val="22"/>
              </w:rPr>
              <w:t>.</w:t>
            </w:r>
            <w:r>
              <w:rPr>
                <w:rFonts w:ascii="Verdana" w:hAnsi="Verdana"/>
                <w:sz w:val="22"/>
                <w:szCs w:val="22"/>
              </w:rPr>
              <w:t xml:space="preserve"> </w:t>
            </w:r>
            <w:hyperlink r:id="rId12" w:history="1">
              <w:r w:rsidRPr="00AD790C">
                <w:rPr>
                  <w:rStyle w:val="Hipervnculo"/>
                  <w:rFonts w:ascii="Verdana" w:hAnsi="Verdana"/>
                  <w:sz w:val="22"/>
                  <w:szCs w:val="22"/>
                </w:rPr>
                <w:t>https://www.colombiacompra.gov.co/wp-content/uploads/2024/08/cce-eicp-ma-04._manual_requisitos_habilitantes_v3_29-09-2023.pdf</w:t>
              </w:r>
            </w:hyperlink>
            <w:r>
              <w:rPr>
                <w:rFonts w:ascii="Verdana" w:hAnsi="Verdana"/>
                <w:sz w:val="22"/>
                <w:szCs w:val="22"/>
              </w:rPr>
              <w:t xml:space="preserve"> </w:t>
            </w:r>
          </w:p>
          <w:p w14:paraId="62F6D0BF" w14:textId="442D906C" w:rsidR="00871B59" w:rsidRPr="00446BD2" w:rsidRDefault="00446BD2" w:rsidP="00446BD2">
            <w:pPr>
              <w:pStyle w:val="NormalWeb"/>
              <w:numPr>
                <w:ilvl w:val="0"/>
                <w:numId w:val="9"/>
              </w:numPr>
              <w:spacing w:line="276" w:lineRule="auto"/>
              <w:rPr>
                <w:rFonts w:ascii="Verdana" w:hAnsi="Verdana"/>
                <w:sz w:val="22"/>
                <w:szCs w:val="22"/>
              </w:rPr>
            </w:pPr>
            <w:r w:rsidRPr="00446BD2">
              <w:rPr>
                <w:rFonts w:ascii="Verdana" w:hAnsi="Verdana"/>
                <w:sz w:val="22"/>
                <w:szCs w:val="22"/>
              </w:rPr>
              <w:t>Guía para la participación de Proveedores Extranjeros en Procesos de Contratación</w:t>
            </w:r>
            <w:r>
              <w:rPr>
                <w:rFonts w:ascii="Verdana" w:hAnsi="Verdana"/>
                <w:sz w:val="22"/>
                <w:szCs w:val="22"/>
              </w:rPr>
              <w:t xml:space="preserve">, </w:t>
            </w:r>
            <w:hyperlink r:id="rId13" w:history="1">
              <w:r w:rsidRPr="00AD790C">
                <w:rPr>
                  <w:rStyle w:val="Hipervnculo"/>
                  <w:rFonts w:ascii="Verdana" w:hAnsi="Verdana"/>
                  <w:sz w:val="22"/>
                  <w:szCs w:val="22"/>
                </w:rPr>
                <w:t>https://www.colombiacompra.gov.co/wp-content/uploads/2024/08/cce_guia_proveedores_extranjeros.pdf</w:t>
              </w:r>
            </w:hyperlink>
            <w:r>
              <w:rPr>
                <w:rFonts w:ascii="Verdana" w:hAnsi="Verdana"/>
                <w:sz w:val="22"/>
                <w:szCs w:val="22"/>
              </w:rPr>
              <w:t xml:space="preserve"> </w:t>
            </w:r>
          </w:p>
        </w:tc>
      </w:tr>
    </w:tbl>
    <w:p w14:paraId="3D086C9C" w14:textId="77777777" w:rsidR="00871B59" w:rsidRPr="00593A5F" w:rsidRDefault="00871B59" w:rsidP="00871B59">
      <w:pPr>
        <w:widowControl w:val="0"/>
        <w:autoSpaceDE w:val="0"/>
        <w:autoSpaceDN w:val="0"/>
        <w:spacing w:after="0" w:line="276" w:lineRule="auto"/>
        <w:jc w:val="both"/>
        <w:rPr>
          <w:rFonts w:ascii="Verdana" w:hAnsi="Verdana" w:cs="Arial"/>
        </w:rPr>
      </w:pPr>
    </w:p>
    <w:p w14:paraId="073B820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10F8FD59" w14:textId="583C95D8" w:rsidR="00871B59" w:rsidRDefault="00871B59" w:rsidP="00871B59">
      <w:pPr>
        <w:widowControl w:val="0"/>
        <w:autoSpaceDE w:val="0"/>
        <w:autoSpaceDN w:val="0"/>
        <w:spacing w:after="0" w:line="276" w:lineRule="auto"/>
        <w:jc w:val="both"/>
        <w:rPr>
          <w:rFonts w:ascii="Verdana" w:hAnsi="Verdana" w:cs="Arial"/>
        </w:rPr>
      </w:pPr>
    </w:p>
    <w:p w14:paraId="2F767B3B" w14:textId="77777777" w:rsidR="0027442B" w:rsidRPr="00AE7E03" w:rsidRDefault="0027442B" w:rsidP="0027442B">
      <w:pPr>
        <w:widowControl w:val="0"/>
        <w:autoSpaceDE w:val="0"/>
        <w:autoSpaceDN w:val="0"/>
        <w:spacing w:after="0" w:line="276" w:lineRule="auto"/>
        <w:jc w:val="both"/>
        <w:rPr>
          <w:rFonts w:ascii="Verdana" w:eastAsia="Arial" w:hAnsi="Verdana" w:cs="Arial"/>
          <w:lang w:val="es-MX" w:eastAsia="es-ES"/>
        </w:rPr>
      </w:pPr>
      <w:r w:rsidRPr="006E7036">
        <w:rPr>
          <w:rFonts w:ascii="Verdana" w:eastAsia="Aptos" w:hAnsi="Verdana" w:cs="Arial"/>
          <w:shd w:val="clear" w:color="auto" w:fill="FFFFFF"/>
          <w:lang w:val="es-ES"/>
        </w:rPr>
        <w:t xml:space="preserve">Sobre los requisitos habilitantes en los procesos de contratación pública, esta Subdirección se ha referido en los Conceptos </w:t>
      </w:r>
      <w:r w:rsidRPr="006E7036">
        <w:rPr>
          <w:rFonts w:ascii="Verdana" w:eastAsia="Calibri" w:hAnsi="Verdana" w:cs="Arial"/>
          <w:lang w:val="es-ES_tradnl" w:eastAsia="es-MX"/>
        </w:rPr>
        <w:t xml:space="preserve">C-120 del 3 de marzo de 2020, C-204 del 31 de marzo de 2020, C-099 del 6 de abril de 2020, C-195 del 13 de abril de 2020, C-013 del 17 de abril de 2020, C-330 del 27 de mayo de 2020, C-396 de 16 de julio de 2020, C-142 del 30 de marzo de 2022, C-337 del 18 de agosto de 2023, </w:t>
      </w:r>
      <w:r w:rsidRPr="006E7036">
        <w:rPr>
          <w:rFonts w:ascii="Verdana" w:eastAsia="Aptos" w:hAnsi="Verdana" w:cs="Arial"/>
          <w:shd w:val="clear" w:color="auto" w:fill="FFFFFF"/>
          <w:lang w:val="es-ES"/>
        </w:rPr>
        <w:t>C-246 del 16 de julio de 2024, C-277 del 16 de julio de 2024, C-193 del 19 de julio de 2024, C-178 del 29 de julio de 2024, C-204 del 29 de julio de 2024, C-278 del 31 de julio de 2024, C-201 del 02 de agosto de 2024, C-349 del 15 de agosto de 2024, C-291 del 20 de agosto de 2024</w:t>
      </w:r>
      <w:r w:rsidRPr="00FC49A2">
        <w:rPr>
          <w:rFonts w:ascii="Verdana" w:eastAsia="Aptos" w:hAnsi="Verdana" w:cs="Arial"/>
          <w:shd w:val="clear" w:color="auto" w:fill="FFFFFF"/>
          <w:lang w:val="es-ES"/>
        </w:rPr>
        <w:t xml:space="preserve">, </w:t>
      </w:r>
      <w:r w:rsidRPr="00506295">
        <w:rPr>
          <w:rFonts w:ascii="Verdana" w:eastAsia="Calibri" w:hAnsi="Verdana" w:cs="Arial"/>
          <w:lang w:eastAsia="es-ES_tradnl"/>
        </w:rPr>
        <w:t>entre otros</w:t>
      </w:r>
      <w:r w:rsidRPr="00BE151B">
        <w:rPr>
          <w:rFonts w:ascii="Verdana" w:eastAsia="Calibri" w:hAnsi="Verdana" w:cs="Arial"/>
          <w:lang w:eastAsia="es-ES_tradnl"/>
        </w:rPr>
        <w:t>.</w:t>
      </w:r>
      <w:r>
        <w:rPr>
          <w:rFonts w:ascii="Verdana" w:eastAsia="Calibri" w:hAnsi="Verdana" w:cs="Arial"/>
          <w:lang w:eastAsia="es-ES_tradnl"/>
        </w:rPr>
        <w:t xml:space="preserve"> Así mismo, en los conceptos C-032 del 16 de abril de 2040, C-102 del 8 de julio </w:t>
      </w:r>
      <w:r>
        <w:rPr>
          <w:rFonts w:ascii="Verdana" w:eastAsia="Calibri" w:hAnsi="Verdana" w:cs="Arial"/>
          <w:lang w:eastAsia="es-ES_tradnl"/>
        </w:rPr>
        <w:lastRenderedPageBreak/>
        <w:t>de 2024, C-370 del 3 de septiembre de 202 y C-445 del 16 de mayo de 2025, abordó temas relacionados con la participación de proponentes extranjeros en procesos de selección de contratistas del Estado</w:t>
      </w:r>
      <w:r>
        <w:rPr>
          <w:rFonts w:ascii="Verdana" w:eastAsia="Calibri" w:hAnsi="Verdana" w:cs="Arial"/>
          <w:lang w:val="es-ES" w:eastAsia="es-ES"/>
        </w:rPr>
        <w:t xml:space="preserve">, </w:t>
      </w:r>
      <w:r w:rsidRPr="00B60BC4">
        <w:rPr>
          <w:rFonts w:ascii="Verdana" w:eastAsia="Calibri" w:hAnsi="Verdana" w:cs="Arial"/>
          <w:lang w:val="es-ES_tradnl" w:eastAsia="es-ES_tradnl"/>
        </w:rPr>
        <w:t>entre otros</w:t>
      </w:r>
      <w:r w:rsidRPr="00E96AE3">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F624DC3" w14:textId="77777777" w:rsidR="0027442B" w:rsidRPr="0065720B" w:rsidRDefault="0027442B" w:rsidP="0027442B">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94E2F0C" w14:textId="77777777" w:rsidR="0027442B" w:rsidRPr="00505CD6" w:rsidRDefault="0027442B" w:rsidP="0027442B">
      <w:pPr>
        <w:widowControl w:val="0"/>
        <w:autoSpaceDE w:val="0"/>
        <w:autoSpaceDN w:val="0"/>
        <w:spacing w:after="0" w:line="276" w:lineRule="auto"/>
        <w:jc w:val="both"/>
        <w:rPr>
          <w:rFonts w:ascii="Verdana" w:hAnsi="Verdana" w:cs="Arial"/>
          <w:color w:val="000000" w:themeColor="text1"/>
          <w:shd w:val="clear" w:color="auto" w:fill="FFFFFF"/>
        </w:rPr>
      </w:pPr>
    </w:p>
    <w:p w14:paraId="376FA6EB" w14:textId="77777777" w:rsidR="0027442B" w:rsidRPr="00103B90" w:rsidRDefault="0027442B" w:rsidP="0027442B">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51634AC1" w14:textId="77777777" w:rsidR="0027442B" w:rsidRPr="00103B90" w:rsidRDefault="0027442B" w:rsidP="0027442B">
      <w:pPr>
        <w:widowControl w:val="0"/>
        <w:autoSpaceDE w:val="0"/>
        <w:autoSpaceDN w:val="0"/>
        <w:spacing w:after="0" w:line="276" w:lineRule="auto"/>
        <w:jc w:val="both"/>
        <w:rPr>
          <w:rFonts w:ascii="Verdana" w:hAnsi="Verdana"/>
        </w:rPr>
      </w:pPr>
    </w:p>
    <w:p w14:paraId="6937AF98" w14:textId="77777777" w:rsidR="0027442B" w:rsidRPr="00505CD6" w:rsidRDefault="0027442B" w:rsidP="0027442B">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18584020" w14:textId="77777777" w:rsidR="0027442B" w:rsidRPr="00505CD6" w:rsidRDefault="0027442B" w:rsidP="0027442B">
      <w:pPr>
        <w:widowControl w:val="0"/>
        <w:autoSpaceDE w:val="0"/>
        <w:autoSpaceDN w:val="0"/>
        <w:spacing w:after="0" w:line="276" w:lineRule="auto"/>
        <w:jc w:val="both"/>
        <w:rPr>
          <w:rFonts w:ascii="Verdana" w:hAnsi="Verdana" w:cs="Arial"/>
        </w:rPr>
      </w:pPr>
    </w:p>
    <w:p w14:paraId="0CA0C04E" w14:textId="77777777" w:rsidR="0027442B" w:rsidRDefault="0027442B" w:rsidP="0027442B">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DFE180D" w14:textId="77777777" w:rsidR="0027442B" w:rsidRDefault="0027442B" w:rsidP="0027442B">
      <w:pPr>
        <w:spacing w:line="276" w:lineRule="auto"/>
        <w:jc w:val="center"/>
        <w:rPr>
          <w:noProof/>
        </w:rPr>
      </w:pPr>
    </w:p>
    <w:p w14:paraId="09B2E7E2" w14:textId="49C977D8" w:rsidR="0027442B" w:rsidRDefault="00DB6275" w:rsidP="0027442B">
      <w:pPr>
        <w:widowControl w:val="0"/>
        <w:autoSpaceDE w:val="0"/>
        <w:autoSpaceDN w:val="0"/>
        <w:spacing w:after="0" w:line="276" w:lineRule="auto"/>
        <w:jc w:val="center"/>
        <w:rPr>
          <w:rFonts w:ascii="Verdana" w:hAnsi="Verdana"/>
          <w:noProof/>
        </w:rPr>
      </w:pPr>
      <w:r>
        <w:rPr>
          <w:noProof/>
        </w:rPr>
        <w:drawing>
          <wp:inline distT="0" distB="0" distL="0" distR="0" wp14:anchorId="5107733B" wp14:editId="25DC8F81">
            <wp:extent cx="3716020" cy="1602105"/>
            <wp:effectExtent l="0" t="0" r="0" b="0"/>
            <wp:docPr id="48927859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16020" cy="1602105"/>
                    </a:xfrm>
                    <a:prstGeom prst="rect">
                      <a:avLst/>
                    </a:prstGeom>
                    <a:noFill/>
                    <a:ln>
                      <a:noFill/>
                    </a:ln>
                  </pic:spPr>
                </pic:pic>
              </a:graphicData>
            </a:graphic>
          </wp:inline>
        </w:drawing>
      </w:r>
    </w:p>
    <w:p w14:paraId="222DB201" w14:textId="77777777" w:rsidR="0027442B" w:rsidRPr="0027442B" w:rsidRDefault="0027442B" w:rsidP="0027442B">
      <w:pPr>
        <w:rPr>
          <w:rFonts w:ascii="Verdana"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27442B" w:rsidRPr="00F3272B" w14:paraId="06456D19" w14:textId="77777777" w:rsidTr="00B66D77">
        <w:trPr>
          <w:trHeight w:val="315"/>
        </w:trPr>
        <w:tc>
          <w:tcPr>
            <w:tcW w:w="893" w:type="dxa"/>
            <w:vAlign w:val="center"/>
            <w:hideMark/>
          </w:tcPr>
          <w:p w14:paraId="01313374" w14:textId="77777777" w:rsidR="0027442B" w:rsidRPr="00F3272B" w:rsidRDefault="0027442B"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578F9965" w14:textId="77777777" w:rsidR="0027442B" w:rsidRPr="00F3272B" w:rsidRDefault="0027442B" w:rsidP="00B66D77">
            <w:pPr>
              <w:spacing w:line="276" w:lineRule="auto"/>
              <w:contextualSpacing/>
              <w:rPr>
                <w:rStyle w:val="normaltextrun"/>
                <w:rFonts w:ascii="Verdana" w:eastAsia="Arial" w:hAnsi="Verdana" w:cs="Arial"/>
                <w:sz w:val="18"/>
                <w:szCs w:val="18"/>
              </w:rPr>
            </w:pPr>
            <w:r w:rsidRPr="00F3272B">
              <w:rPr>
                <w:rStyle w:val="normaltextrun"/>
                <w:rFonts w:ascii="Verdana" w:eastAsia="Arial" w:hAnsi="Verdana" w:cs="Arial"/>
                <w:sz w:val="18"/>
                <w:szCs w:val="18"/>
              </w:rPr>
              <w:t>Andrea del Pilar Garzón Sánchez.</w:t>
            </w:r>
          </w:p>
          <w:p w14:paraId="3AFC90A2" w14:textId="77777777" w:rsidR="0027442B" w:rsidRPr="00F3272B" w:rsidRDefault="0027442B" w:rsidP="00B66D77">
            <w:pPr>
              <w:spacing w:line="276" w:lineRule="auto"/>
              <w:contextualSpacing/>
              <w:rPr>
                <w:rFonts w:ascii="Verdana" w:eastAsia="Arial" w:hAnsi="Verdana" w:cs="Arial"/>
                <w:color w:val="7030A0"/>
                <w:sz w:val="18"/>
                <w:szCs w:val="18"/>
              </w:rPr>
            </w:pPr>
            <w:r w:rsidRPr="00F3272B">
              <w:rPr>
                <w:rStyle w:val="normaltextrun"/>
                <w:rFonts w:ascii="Verdana" w:eastAsia="Arial" w:hAnsi="Verdana" w:cs="Arial"/>
                <w:sz w:val="18"/>
                <w:szCs w:val="18"/>
              </w:rPr>
              <w:t>Contratista de la Subdirección de Gestión Contractual</w:t>
            </w:r>
          </w:p>
        </w:tc>
      </w:tr>
      <w:tr w:rsidR="0027442B" w:rsidRPr="00F3272B" w14:paraId="77D4247D" w14:textId="77777777" w:rsidTr="00B66D77">
        <w:trPr>
          <w:trHeight w:val="330"/>
        </w:trPr>
        <w:tc>
          <w:tcPr>
            <w:tcW w:w="893" w:type="dxa"/>
            <w:vAlign w:val="center"/>
            <w:hideMark/>
          </w:tcPr>
          <w:p w14:paraId="30770E2E" w14:textId="77777777" w:rsidR="0027442B" w:rsidRPr="00F3272B" w:rsidRDefault="0027442B"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67DA18" w14:textId="77777777" w:rsidR="0027442B" w:rsidRPr="00F3272B" w:rsidRDefault="0027442B" w:rsidP="00B66D77">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F3272B">
              <w:rPr>
                <w:rStyle w:val="normaltextrun"/>
                <w:rFonts w:ascii="Verdana" w:hAnsi="Verdana" w:cs="Arial"/>
                <w:sz w:val="18"/>
                <w:szCs w:val="18"/>
                <w:lang w:val="es-ES"/>
              </w:rPr>
              <w:t xml:space="preserve">Diana Lucia Saavedra </w:t>
            </w:r>
          </w:p>
          <w:p w14:paraId="4526AD53" w14:textId="77777777" w:rsidR="0027442B" w:rsidRPr="00F3272B" w:rsidRDefault="0027442B" w:rsidP="00B66D77">
            <w:pPr>
              <w:pStyle w:val="paragraph"/>
              <w:spacing w:before="0" w:beforeAutospacing="0" w:after="0" w:afterAutospacing="0" w:line="276" w:lineRule="auto"/>
              <w:contextualSpacing/>
              <w:textAlignment w:val="baseline"/>
              <w:rPr>
                <w:rFonts w:ascii="Verdana" w:hAnsi="Verdana" w:cs="Segoe UI"/>
                <w:sz w:val="18"/>
                <w:szCs w:val="18"/>
              </w:rPr>
            </w:pPr>
            <w:r w:rsidRPr="00F3272B">
              <w:rPr>
                <w:rStyle w:val="normaltextrun"/>
                <w:rFonts w:ascii="Verdana" w:hAnsi="Verdana" w:cs="Arial"/>
                <w:sz w:val="18"/>
                <w:szCs w:val="18"/>
                <w:lang w:val="es-ES"/>
              </w:rPr>
              <w:t>Contratista de la Subdirección de Gestión Contractual</w:t>
            </w:r>
            <w:r w:rsidRPr="00F3272B">
              <w:rPr>
                <w:rStyle w:val="eop"/>
                <w:rFonts w:ascii="Verdana" w:hAnsi="Verdana" w:cs="Arial"/>
                <w:sz w:val="18"/>
                <w:szCs w:val="18"/>
              </w:rPr>
              <w:t> </w:t>
            </w:r>
          </w:p>
        </w:tc>
      </w:tr>
      <w:tr w:rsidR="0027442B" w:rsidRPr="00F3272B" w14:paraId="01E9E573" w14:textId="77777777" w:rsidTr="00B66D77">
        <w:trPr>
          <w:trHeight w:val="300"/>
        </w:trPr>
        <w:tc>
          <w:tcPr>
            <w:tcW w:w="893" w:type="dxa"/>
            <w:vAlign w:val="center"/>
          </w:tcPr>
          <w:p w14:paraId="2088B95C" w14:textId="77777777" w:rsidR="0027442B" w:rsidRPr="00F3272B" w:rsidRDefault="0027442B"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3BD21E" w14:textId="77777777" w:rsidR="0027442B" w:rsidRPr="00F3272B" w:rsidRDefault="0027442B" w:rsidP="00B66D77">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val="pt-BR" w:eastAsia="es-ES"/>
              </w:rPr>
              <w:t xml:space="preserve">Carolina Quintero </w:t>
            </w:r>
            <w:proofErr w:type="spellStart"/>
            <w:r w:rsidRPr="00F3272B">
              <w:rPr>
                <w:rFonts w:ascii="Verdana" w:eastAsia="Calibri" w:hAnsi="Verdana" w:cs="Arial"/>
                <w:sz w:val="18"/>
                <w:szCs w:val="18"/>
                <w:lang w:val="pt-BR" w:eastAsia="es-ES"/>
              </w:rPr>
              <w:t>Gacharná</w:t>
            </w:r>
            <w:proofErr w:type="spellEnd"/>
          </w:p>
          <w:p w14:paraId="69F89E9D" w14:textId="77777777" w:rsidR="0027442B" w:rsidRPr="00F3272B" w:rsidRDefault="0027442B" w:rsidP="00B66D77">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eastAsia="es-ES"/>
              </w:rPr>
              <w:t>Subdirectora</w:t>
            </w:r>
            <w:r w:rsidRPr="00F3272B">
              <w:rPr>
                <w:rFonts w:ascii="Verdana" w:eastAsia="Calibri" w:hAnsi="Verdana" w:cs="Arial"/>
                <w:sz w:val="18"/>
                <w:szCs w:val="18"/>
                <w:lang w:val="pt-BR" w:eastAsia="es-ES"/>
              </w:rPr>
              <w:t xml:space="preserve"> de Gestión </w:t>
            </w:r>
            <w:proofErr w:type="spellStart"/>
            <w:r w:rsidRPr="00F3272B">
              <w:rPr>
                <w:rFonts w:ascii="Verdana" w:eastAsia="Calibri" w:hAnsi="Verdana" w:cs="Arial"/>
                <w:sz w:val="18"/>
                <w:szCs w:val="18"/>
                <w:lang w:val="pt-BR" w:eastAsia="es-ES"/>
              </w:rPr>
              <w:t>Contractual</w:t>
            </w:r>
            <w:proofErr w:type="spellEnd"/>
            <w:r w:rsidRPr="00F3272B">
              <w:rPr>
                <w:rFonts w:ascii="Verdana" w:eastAsia="Calibri" w:hAnsi="Verdana" w:cs="Arial"/>
                <w:sz w:val="18"/>
                <w:szCs w:val="18"/>
                <w:lang w:val="pt-BR" w:eastAsia="es-ES"/>
              </w:rPr>
              <w:t xml:space="preserve"> ANCP – CCE</w:t>
            </w:r>
          </w:p>
        </w:tc>
      </w:tr>
    </w:tbl>
    <w:p w14:paraId="5A227298" w14:textId="77777777" w:rsidR="0027442B" w:rsidRPr="0027442B" w:rsidRDefault="0027442B" w:rsidP="0027442B">
      <w:pPr>
        <w:rPr>
          <w:rFonts w:ascii="Verdana" w:hAnsi="Verdana" w:cs="Arial"/>
        </w:rPr>
      </w:pPr>
    </w:p>
    <w:sectPr w:rsidR="0027442B" w:rsidRPr="0027442B"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BB4CED" w14:textId="77777777" w:rsidR="00A700D1" w:rsidRDefault="00A700D1" w:rsidP="00B30448">
      <w:pPr>
        <w:spacing w:after="0" w:line="240" w:lineRule="auto"/>
      </w:pPr>
      <w:r>
        <w:separator/>
      </w:r>
    </w:p>
  </w:endnote>
  <w:endnote w:type="continuationSeparator" w:id="0">
    <w:p w14:paraId="2CB7DB76" w14:textId="77777777" w:rsidR="00A700D1" w:rsidRDefault="00A700D1" w:rsidP="00B30448">
      <w:pPr>
        <w:spacing w:after="0" w:line="240" w:lineRule="auto"/>
      </w:pPr>
      <w:r>
        <w:continuationSeparator/>
      </w:r>
    </w:p>
  </w:endnote>
  <w:endnote w:type="continuationNotice" w:id="1">
    <w:p w14:paraId="381AF339" w14:textId="77777777" w:rsidR="00A700D1" w:rsidRDefault="00A700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ED543" w14:textId="77777777" w:rsidR="000849D5" w:rsidRDefault="000849D5" w:rsidP="000849D5">
    <w:pPr>
      <w:spacing w:after="0"/>
      <w:rPr>
        <w:rFonts w:ascii="Verdana" w:hAnsi="Verdana"/>
        <w:b/>
        <w:bCs/>
        <w:sz w:val="20"/>
        <w:szCs w:val="20"/>
      </w:rPr>
    </w:pPr>
  </w:p>
  <w:p w14:paraId="53A84EC5"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AE2B6D3"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668CC5F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41949F87"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7DB8DA5A" w14:textId="77777777" w:rsidR="000849D5" w:rsidRPr="007D04B2" w:rsidRDefault="000849D5" w:rsidP="000849D5">
    <w:pPr>
      <w:pStyle w:val="Piedepgina"/>
    </w:pPr>
  </w:p>
  <w:p w14:paraId="379DA68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FA590" w14:textId="77777777" w:rsidR="00A700D1" w:rsidRDefault="00A700D1" w:rsidP="00B30448">
      <w:pPr>
        <w:spacing w:after="0" w:line="240" w:lineRule="auto"/>
      </w:pPr>
      <w:r>
        <w:separator/>
      </w:r>
    </w:p>
  </w:footnote>
  <w:footnote w:type="continuationSeparator" w:id="0">
    <w:p w14:paraId="27396F1F" w14:textId="77777777" w:rsidR="00A700D1" w:rsidRDefault="00A700D1" w:rsidP="00B30448">
      <w:pPr>
        <w:spacing w:after="0" w:line="240" w:lineRule="auto"/>
      </w:pPr>
      <w:r>
        <w:continuationSeparator/>
      </w:r>
    </w:p>
  </w:footnote>
  <w:footnote w:type="continuationNotice" w:id="1">
    <w:p w14:paraId="0A266597" w14:textId="77777777" w:rsidR="00A700D1" w:rsidRDefault="00A700D1">
      <w:pPr>
        <w:spacing w:after="0" w:line="240" w:lineRule="auto"/>
      </w:pPr>
    </w:p>
  </w:footnote>
  <w:footnote w:id="2">
    <w:p w14:paraId="29AC390E" w14:textId="77777777" w:rsidR="00C92F82" w:rsidRPr="004B36AC" w:rsidRDefault="00C92F82" w:rsidP="00C92F82">
      <w:pPr>
        <w:spacing w:after="0" w:line="240" w:lineRule="auto"/>
        <w:ind w:left="100" w:right="105" w:firstLine="709"/>
        <w:contextualSpacing/>
        <w:jc w:val="both"/>
        <w:rPr>
          <w:rFonts w:ascii="Verdana" w:hAnsi="Verdana" w:cs="Arial"/>
          <w:sz w:val="16"/>
          <w:szCs w:val="16"/>
        </w:rPr>
      </w:pPr>
      <w:r w:rsidRPr="004B36AC">
        <w:rPr>
          <w:rStyle w:val="Refdenotaalpie"/>
          <w:rFonts w:ascii="Verdana" w:hAnsi="Verdana" w:cs="Arial"/>
          <w:sz w:val="16"/>
          <w:szCs w:val="16"/>
        </w:rPr>
        <w:footnoteRef/>
      </w:r>
      <w:r w:rsidRPr="004B36AC">
        <w:rPr>
          <w:rFonts w:ascii="Verdana" w:hAnsi="Verdana" w:cs="Arial"/>
          <w:sz w:val="16"/>
          <w:szCs w:val="16"/>
        </w:rPr>
        <w:t xml:space="preserve"> Así, por ejemplo, en un proceso de contratación de obra pública con un “presupuesto oficial de 100 SMMLV, la experiencia exigida es proporcional si la Entidad Estatal exige que los proponentes hayan participado en Procesos de Contratación de 50 SMMLV del mismo tipo de obra”, como lo indicó la Agencia Nacional de Contratación Pública – Colombia Compra Eficiente en el Manual para determinar y verificar los requisitos habilitantes en los Procesos de Contratación.</w:t>
      </w:r>
    </w:p>
    <w:p w14:paraId="4F15A36E" w14:textId="77777777" w:rsidR="00C92F82" w:rsidRPr="004B36AC" w:rsidRDefault="00C92F82" w:rsidP="00C92F82">
      <w:pPr>
        <w:pStyle w:val="Textonotapie"/>
        <w:ind w:firstLine="709"/>
        <w:contextualSpacing/>
        <w:jc w:val="both"/>
        <w:rPr>
          <w:rFonts w:ascii="Verdana" w:hAnsi="Verdana"/>
          <w:sz w:val="16"/>
          <w:szCs w:val="16"/>
        </w:rPr>
      </w:pPr>
    </w:p>
  </w:footnote>
  <w:footnote w:id="3">
    <w:p w14:paraId="0C2B8888" w14:textId="77777777" w:rsidR="00C92F82" w:rsidRPr="004B36AC" w:rsidRDefault="00C92F82" w:rsidP="00C92F82">
      <w:pPr>
        <w:pStyle w:val="Textonotapie"/>
        <w:ind w:firstLine="709"/>
        <w:contextualSpacing/>
        <w:jc w:val="both"/>
        <w:rPr>
          <w:rFonts w:ascii="Verdana" w:hAnsi="Verdana"/>
          <w:sz w:val="16"/>
          <w:szCs w:val="16"/>
        </w:rPr>
      </w:pPr>
      <w:r w:rsidRPr="004B36AC">
        <w:rPr>
          <w:rStyle w:val="Refdenotaalpie"/>
          <w:rFonts w:ascii="Verdana" w:hAnsi="Verdana"/>
          <w:sz w:val="16"/>
          <w:szCs w:val="16"/>
        </w:rPr>
        <w:footnoteRef/>
      </w:r>
      <w:r w:rsidRPr="004B36AC">
        <w:rPr>
          <w:rFonts w:ascii="Verdana" w:hAnsi="Verdana"/>
          <w:sz w:val="16"/>
          <w:szCs w:val="16"/>
        </w:rPr>
        <w:t xml:space="preserve"> Sin perjuicio de aquellos eventos en los cuales la inscripción en el RUP no es obligatoria, caso en el cual “corresponderá a las entidades contratantes cumplir con la labor de verificación” de los requisitos habilitantes, como lo prevé el artículo 6 de la Ley 1150 de 2007.</w:t>
      </w:r>
    </w:p>
    <w:p w14:paraId="7D218D83" w14:textId="77777777" w:rsidR="00C92F82" w:rsidRPr="004B36AC" w:rsidRDefault="00C92F82" w:rsidP="00C92F82">
      <w:pPr>
        <w:pStyle w:val="Textonotapie"/>
        <w:ind w:firstLine="709"/>
        <w:contextualSpacing/>
        <w:jc w:val="both"/>
        <w:rPr>
          <w:rFonts w:ascii="Verdana" w:hAnsi="Verdana"/>
          <w:sz w:val="16"/>
          <w:szCs w:val="16"/>
        </w:rPr>
      </w:pPr>
    </w:p>
  </w:footnote>
  <w:footnote w:id="4">
    <w:p w14:paraId="0B3EDF11" w14:textId="77777777" w:rsidR="00C92F82" w:rsidRPr="004B36AC" w:rsidRDefault="00C92F82" w:rsidP="00C92F82">
      <w:pPr>
        <w:pStyle w:val="Textonotapie"/>
        <w:ind w:firstLine="709"/>
        <w:contextualSpacing/>
        <w:jc w:val="both"/>
        <w:rPr>
          <w:rFonts w:ascii="Verdana" w:hAnsi="Verdana"/>
          <w:sz w:val="16"/>
          <w:szCs w:val="16"/>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cs="Arial"/>
          <w:sz w:val="16"/>
          <w:szCs w:val="16"/>
          <w:lang w:val="es-ES"/>
        </w:rPr>
        <w:t xml:space="preserve">Guía para la participación de Proveedores Extranjeros en Procesos de Contratación: </w:t>
      </w:r>
      <w:hyperlink r:id="rId1" w:history="1">
        <w:r w:rsidRPr="004B36AC">
          <w:rPr>
            <w:rStyle w:val="Hipervnculo"/>
            <w:rFonts w:ascii="Verdana" w:hAnsi="Verdana" w:cs="Arial"/>
            <w:sz w:val="16"/>
            <w:szCs w:val="16"/>
            <w:lang w:val="es-ES"/>
          </w:rPr>
          <w:t>https://www.colombiacompra.gov.co/sites/cce_public/files/cce_documents/cce_guia_proveedores_extranjeros.pdf</w:t>
        </w:r>
      </w:hyperlink>
      <w:r w:rsidRPr="004B36AC">
        <w:rPr>
          <w:rFonts w:ascii="Verdana" w:hAnsi="Verdana" w:cs="Arial"/>
          <w:sz w:val="16"/>
          <w:szCs w:val="16"/>
          <w:lang w:val="es-ES"/>
        </w:rPr>
        <w:t xml:space="preserve"> Pág. 8.</w:t>
      </w:r>
    </w:p>
  </w:footnote>
  <w:footnote w:id="5">
    <w:p w14:paraId="0600480D" w14:textId="77777777" w:rsidR="00C92F82" w:rsidRPr="004B36AC" w:rsidRDefault="00C92F82" w:rsidP="00C92F82">
      <w:pPr>
        <w:pStyle w:val="Textonotapie"/>
        <w:ind w:firstLine="709"/>
        <w:contextualSpacing/>
        <w:jc w:val="both"/>
        <w:rPr>
          <w:rFonts w:ascii="Verdana" w:hAnsi="Verdana"/>
          <w:sz w:val="16"/>
          <w:szCs w:val="16"/>
          <w:lang w:val="es-CO"/>
        </w:rPr>
      </w:pPr>
      <w:r w:rsidRPr="004B36AC">
        <w:rPr>
          <w:rStyle w:val="Refdenotaalpie"/>
          <w:rFonts w:ascii="Verdana" w:hAnsi="Verdana"/>
          <w:sz w:val="16"/>
          <w:szCs w:val="16"/>
        </w:rPr>
        <w:footnoteRef/>
      </w:r>
      <w:r w:rsidRPr="004B36AC">
        <w:rPr>
          <w:rFonts w:ascii="Verdana" w:hAnsi="Verdana"/>
          <w:sz w:val="16"/>
          <w:szCs w:val="16"/>
        </w:rPr>
        <w:t xml:space="preserve"> </w:t>
      </w:r>
      <w:r w:rsidRPr="004B36AC">
        <w:rPr>
          <w:rFonts w:ascii="Verdana" w:hAnsi="Verdana"/>
          <w:sz w:val="16"/>
          <w:szCs w:val="16"/>
          <w:lang w:val="es-CO"/>
        </w:rPr>
        <w:t xml:space="preserve">Manual Para Determinar y Verificar los Requisitos Habilitantes en los Procesos de Contratación: </w:t>
      </w:r>
      <w:hyperlink r:id="rId2" w:history="1">
        <w:r w:rsidRPr="004B36AC">
          <w:rPr>
            <w:rStyle w:val="Hipervnculo"/>
            <w:rFonts w:ascii="Verdana" w:hAnsi="Verdana"/>
            <w:sz w:val="16"/>
            <w:szCs w:val="16"/>
            <w:lang w:val="es-CO"/>
          </w:rPr>
          <w:t>https://www.colombiacompra.gov.co/sites/cce_public/files/cce_documents/cce-eicp-ma-04._manual_requisitos_habilitantes_v3_29-09-2023.pdf</w:t>
        </w:r>
      </w:hyperlink>
      <w:r w:rsidRPr="004B36AC">
        <w:rPr>
          <w:rFonts w:ascii="Verdana" w:hAnsi="Verdana"/>
          <w:sz w:val="16"/>
          <w:szCs w:val="16"/>
          <w:lang w:val="es-CO"/>
        </w:rPr>
        <w:t xml:space="preserve"> Pág. 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C4024"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095AA947" wp14:editId="761CB958">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46FF59C8" wp14:editId="4D242E6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9E59A1E" w14:textId="77777777" w:rsidR="00515FB5" w:rsidRDefault="00515FB5" w:rsidP="00515FB5">
    <w:pPr>
      <w:pStyle w:val="Encabezado"/>
    </w:pPr>
  </w:p>
  <w:p w14:paraId="1856401A" w14:textId="77777777" w:rsidR="00515FB5" w:rsidRDefault="00515FB5" w:rsidP="00515FB5">
    <w:pPr>
      <w:pStyle w:val="Encabezado"/>
    </w:pPr>
  </w:p>
  <w:p w14:paraId="3FE5D8B2" w14:textId="77777777" w:rsidR="00515FB5" w:rsidRDefault="00515FB5" w:rsidP="00515FB5">
    <w:pPr>
      <w:pStyle w:val="Encabezado"/>
    </w:pPr>
  </w:p>
  <w:p w14:paraId="6FB707CB" w14:textId="77777777" w:rsidR="00515FB5" w:rsidRPr="00AB7B56" w:rsidRDefault="00515FB5" w:rsidP="00515FB5">
    <w:pPr>
      <w:pStyle w:val="Encabezado"/>
    </w:pPr>
  </w:p>
  <w:p w14:paraId="5BB2DC7F"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B030EEA"/>
    <w:multiLevelType w:val="hybridMultilevel"/>
    <w:tmpl w:val="C6F67A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9" w15:restartNumberingAfterBreak="0">
    <w:nsid w:val="5A791E83"/>
    <w:multiLevelType w:val="hybridMultilevel"/>
    <w:tmpl w:val="A7F62254"/>
    <w:lvl w:ilvl="0" w:tplc="2756727E">
      <w:numFmt w:val="bullet"/>
      <w:lvlText w:val=""/>
      <w:lvlJc w:val="left"/>
      <w:pPr>
        <w:ind w:left="740" w:hanging="380"/>
      </w:pPr>
      <w:rPr>
        <w:rFonts w:ascii="Verdana" w:eastAsiaTheme="minorHAnsi" w:hAnsi="Verdana"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8"/>
  </w:num>
  <w:num w:numId="6" w16cid:durableId="1082990391">
    <w:abstractNumId w:val="1"/>
  </w:num>
  <w:num w:numId="7" w16cid:durableId="1492209491">
    <w:abstractNumId w:val="4"/>
  </w:num>
  <w:num w:numId="8" w16cid:durableId="679089576">
    <w:abstractNumId w:val="6"/>
  </w:num>
  <w:num w:numId="9" w16cid:durableId="1929149015">
    <w:abstractNumId w:val="7"/>
  </w:num>
  <w:num w:numId="10" w16cid:durableId="171222526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86E"/>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7442B"/>
    <w:rsid w:val="00282705"/>
    <w:rsid w:val="00286491"/>
    <w:rsid w:val="002A0F8D"/>
    <w:rsid w:val="002B6E44"/>
    <w:rsid w:val="002B74B1"/>
    <w:rsid w:val="002C480A"/>
    <w:rsid w:val="002E1DB5"/>
    <w:rsid w:val="002F6CCB"/>
    <w:rsid w:val="0030461E"/>
    <w:rsid w:val="00306363"/>
    <w:rsid w:val="003107A1"/>
    <w:rsid w:val="0032756A"/>
    <w:rsid w:val="00334B90"/>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D16AA"/>
    <w:rsid w:val="003E5CCC"/>
    <w:rsid w:val="003F086E"/>
    <w:rsid w:val="003F519B"/>
    <w:rsid w:val="0040544F"/>
    <w:rsid w:val="00406A19"/>
    <w:rsid w:val="0041222D"/>
    <w:rsid w:val="0041483E"/>
    <w:rsid w:val="00415369"/>
    <w:rsid w:val="00430492"/>
    <w:rsid w:val="00446BD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C63EE"/>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2757A"/>
    <w:rsid w:val="00735062"/>
    <w:rsid w:val="00746BA5"/>
    <w:rsid w:val="00751D23"/>
    <w:rsid w:val="00770577"/>
    <w:rsid w:val="00774F14"/>
    <w:rsid w:val="00777666"/>
    <w:rsid w:val="0078159B"/>
    <w:rsid w:val="00782E10"/>
    <w:rsid w:val="0078706B"/>
    <w:rsid w:val="00790836"/>
    <w:rsid w:val="00797131"/>
    <w:rsid w:val="007A3C1D"/>
    <w:rsid w:val="007B285D"/>
    <w:rsid w:val="007C6BC6"/>
    <w:rsid w:val="00801DCA"/>
    <w:rsid w:val="00807D79"/>
    <w:rsid w:val="00811AD6"/>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00D1"/>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B3663"/>
    <w:rsid w:val="00BC7632"/>
    <w:rsid w:val="00BD48A9"/>
    <w:rsid w:val="00BD630F"/>
    <w:rsid w:val="00BD7EC6"/>
    <w:rsid w:val="00BE73FA"/>
    <w:rsid w:val="00BF6B4B"/>
    <w:rsid w:val="00C0174E"/>
    <w:rsid w:val="00C0511C"/>
    <w:rsid w:val="00C20ACF"/>
    <w:rsid w:val="00C22307"/>
    <w:rsid w:val="00C23469"/>
    <w:rsid w:val="00C30C62"/>
    <w:rsid w:val="00C35D18"/>
    <w:rsid w:val="00C371DF"/>
    <w:rsid w:val="00C42055"/>
    <w:rsid w:val="00C44B4C"/>
    <w:rsid w:val="00C46734"/>
    <w:rsid w:val="00C47A86"/>
    <w:rsid w:val="00C53220"/>
    <w:rsid w:val="00C92F82"/>
    <w:rsid w:val="00CA3347"/>
    <w:rsid w:val="00CC299A"/>
    <w:rsid w:val="00CD03E3"/>
    <w:rsid w:val="00CE6BDA"/>
    <w:rsid w:val="00D03DBE"/>
    <w:rsid w:val="00D072C0"/>
    <w:rsid w:val="00D34C82"/>
    <w:rsid w:val="00D3757A"/>
    <w:rsid w:val="00D504A9"/>
    <w:rsid w:val="00D5206D"/>
    <w:rsid w:val="00D7177D"/>
    <w:rsid w:val="00D81311"/>
    <w:rsid w:val="00DB201E"/>
    <w:rsid w:val="00DB6275"/>
    <w:rsid w:val="00DC0E68"/>
    <w:rsid w:val="00DD25ED"/>
    <w:rsid w:val="00DE0D6E"/>
    <w:rsid w:val="00E1610C"/>
    <w:rsid w:val="00E16D73"/>
    <w:rsid w:val="00E23E9E"/>
    <w:rsid w:val="00E25722"/>
    <w:rsid w:val="00E27F0A"/>
    <w:rsid w:val="00E31BEB"/>
    <w:rsid w:val="00E4231E"/>
    <w:rsid w:val="00E4302C"/>
    <w:rsid w:val="00E44AC7"/>
    <w:rsid w:val="00E45F4B"/>
    <w:rsid w:val="00E60A16"/>
    <w:rsid w:val="00E72D20"/>
    <w:rsid w:val="00E82B6E"/>
    <w:rsid w:val="00E94258"/>
    <w:rsid w:val="00E96C18"/>
    <w:rsid w:val="00EA25C9"/>
    <w:rsid w:val="00EA2E61"/>
    <w:rsid w:val="00EA7D7F"/>
    <w:rsid w:val="00EB02F4"/>
    <w:rsid w:val="00EB2FA2"/>
    <w:rsid w:val="00EB484B"/>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3EBE"/>
    <w:rsid w:val="00F34E90"/>
    <w:rsid w:val="00F356D6"/>
    <w:rsid w:val="00F4212C"/>
    <w:rsid w:val="00F53BE2"/>
    <w:rsid w:val="00F55684"/>
    <w:rsid w:val="00F64D5A"/>
    <w:rsid w:val="00F709CD"/>
    <w:rsid w:val="00F8118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245DB3"/>
  <w15:docId w15:val="{9FED12AE-5981-7746-8EE1-81BDE273A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paragraph" w:styleId="Ttulo3">
    <w:name w:val="heading 3"/>
    <w:basedOn w:val="Normal"/>
    <w:link w:val="Ttulo3Car"/>
    <w:uiPriority w:val="9"/>
    <w:qFormat/>
    <w:rsid w:val="00306363"/>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Ttulo3Car">
    <w:name w:val="Título 3 Car"/>
    <w:basedOn w:val="Fuentedeprrafopredeter"/>
    <w:link w:val="Ttulo3"/>
    <w:uiPriority w:val="9"/>
    <w:rsid w:val="00306363"/>
    <w:rPr>
      <w:rFonts w:ascii="Times New Roman" w:eastAsia="Times New Roman" w:hAnsi="Times New Roman" w:cs="Times New Roman"/>
      <w:b/>
      <w:bCs/>
      <w:sz w:val="27"/>
      <w:szCs w:val="27"/>
      <w:lang w:eastAsia="es-MX"/>
    </w:rPr>
  </w:style>
  <w:style w:type="character" w:customStyle="1" w:styleId="citation-251">
    <w:name w:val="citation-251"/>
    <w:basedOn w:val="Fuentedeprrafopredeter"/>
    <w:rsid w:val="00306363"/>
  </w:style>
  <w:style w:type="character" w:customStyle="1" w:styleId="citation-250">
    <w:name w:val="citation-250"/>
    <w:basedOn w:val="Fuentedeprrafopredeter"/>
    <w:rsid w:val="00306363"/>
  </w:style>
  <w:style w:type="character" w:customStyle="1" w:styleId="mdc-buttonlabel">
    <w:name w:val="mdc-button__label"/>
    <w:basedOn w:val="Fuentedeprrafopredeter"/>
    <w:rsid w:val="00306363"/>
  </w:style>
  <w:style w:type="character" w:customStyle="1" w:styleId="citation-260">
    <w:name w:val="citation-260"/>
    <w:basedOn w:val="Fuentedeprrafopredeter"/>
    <w:rsid w:val="00446BD2"/>
  </w:style>
  <w:style w:type="character" w:customStyle="1" w:styleId="citation-259">
    <w:name w:val="citation-259"/>
    <w:basedOn w:val="Fuentedeprrafopredeter"/>
    <w:rsid w:val="00446BD2"/>
  </w:style>
  <w:style w:type="character" w:customStyle="1" w:styleId="citation-258">
    <w:name w:val="citation-258"/>
    <w:basedOn w:val="Fuentedeprrafopredeter"/>
    <w:rsid w:val="00446BD2"/>
  </w:style>
  <w:style w:type="character" w:customStyle="1" w:styleId="citation-138">
    <w:name w:val="citation-138"/>
    <w:basedOn w:val="Fuentedeprrafopredeter"/>
    <w:rsid w:val="00DB6275"/>
  </w:style>
  <w:style w:type="character" w:customStyle="1" w:styleId="citation-137">
    <w:name w:val="citation-137"/>
    <w:basedOn w:val="Fuentedeprrafopredeter"/>
    <w:rsid w:val="00DB6275"/>
  </w:style>
  <w:style w:type="character" w:customStyle="1" w:styleId="citation-136">
    <w:name w:val="citation-136"/>
    <w:basedOn w:val="Fuentedeprrafopredeter"/>
    <w:rsid w:val="00DB6275"/>
  </w:style>
  <w:style w:type="character" w:customStyle="1" w:styleId="citation-135">
    <w:name w:val="citation-135"/>
    <w:basedOn w:val="Fuentedeprrafopredeter"/>
    <w:rsid w:val="00DB6275"/>
  </w:style>
  <w:style w:type="character" w:customStyle="1" w:styleId="citation-134">
    <w:name w:val="citation-134"/>
    <w:basedOn w:val="Fuentedeprrafopredeter"/>
    <w:rsid w:val="00DB6275"/>
  </w:style>
  <w:style w:type="character" w:customStyle="1" w:styleId="citation-133">
    <w:name w:val="citation-133"/>
    <w:basedOn w:val="Fuentedeprrafopredeter"/>
    <w:rsid w:val="00DB6275"/>
  </w:style>
  <w:style w:type="character" w:customStyle="1" w:styleId="citation-132">
    <w:name w:val="citation-132"/>
    <w:basedOn w:val="Fuentedeprrafopredeter"/>
    <w:rsid w:val="00DB6275"/>
  </w:style>
  <w:style w:type="character" w:customStyle="1" w:styleId="citation-131">
    <w:name w:val="citation-131"/>
    <w:basedOn w:val="Fuentedeprrafopredeter"/>
    <w:rsid w:val="00DB6275"/>
  </w:style>
  <w:style w:type="character" w:customStyle="1" w:styleId="citation-130">
    <w:name w:val="citation-130"/>
    <w:basedOn w:val="Fuentedeprrafopredeter"/>
    <w:rsid w:val="00DB62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cce_guia_proveedores_extranjeros.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s/cce-eicp-ma-04._manual_requisitos_habilitantes_v3_29-09-2023.pdf" TargetMode="External"/><Relationship Id="rId1" Type="http://schemas.openxmlformats.org/officeDocument/2006/relationships/hyperlink" Target="https://www.colombiacompra.gov.co/sites/cce_public/files/cce_documents/cce_guia_proveedores_extranjer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purl.org/dc/elements/1.1/"/>
    <ds:schemaRef ds:uri="9d85dbaf-23eb-4e57-a637-93dcacc8b1a1"/>
    <ds:schemaRef ds:uri="http://schemas.microsoft.com/office/infopath/2007/PartnerControls"/>
    <ds:schemaRef ds:uri="http://schemas.microsoft.com/office/2006/documentManagement/types"/>
    <ds:schemaRef ds:uri="http://schemas.openxmlformats.org/package/2006/metadata/core-properties"/>
    <ds:schemaRef ds:uri="a6cb9e4b-f1d1-4245-83ec-6cad768d538a"/>
    <ds:schemaRef ds:uri="http://www.w3.org/XML/1998/namespace"/>
    <ds:schemaRef ds:uri="http://purl.org/dc/dcmitype/"/>
    <ds:schemaRef ds:uri="http://purl.org/dc/te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11</Pages>
  <Words>3175</Words>
  <Characters>17466</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helena Diaz</cp:lastModifiedBy>
  <cp:revision>2</cp:revision>
  <dcterms:created xsi:type="dcterms:W3CDTF">2025-10-22T16:57:00Z</dcterms:created>
  <dcterms:modified xsi:type="dcterms:W3CDTF">2025-10-22T16:57:00Z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