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9817B" w14:textId="77777777" w:rsidR="00665EBB" w:rsidRPr="00AF1555" w:rsidRDefault="00665EBB" w:rsidP="00665EBB">
      <w:pPr>
        <w:tabs>
          <w:tab w:val="left" w:pos="426"/>
        </w:tabs>
        <w:spacing w:after="0" w:line="240" w:lineRule="auto"/>
        <w:jc w:val="both"/>
        <w:rPr>
          <w:rFonts w:ascii="Verdana" w:hAnsi="Verdana" w:cs="Arial"/>
          <w:b/>
          <w:lang w:eastAsia="es-CO"/>
        </w:rPr>
      </w:pPr>
      <w:bookmarkStart w:id="0" w:name="_Hlk143780582"/>
      <w:r>
        <w:rPr>
          <w:rFonts w:ascii="Verdana" w:hAnsi="Verdana" w:cs="Arial"/>
          <w:b/>
          <w:lang w:eastAsia="es-CO"/>
        </w:rPr>
        <w:t>CÁMARAS DE COMERCIO</w:t>
      </w:r>
      <w:r w:rsidRPr="00607390">
        <w:rPr>
          <w:rFonts w:ascii="Verdana" w:hAnsi="Verdana" w:cs="Arial"/>
          <w:b/>
          <w:lang w:eastAsia="es-CO"/>
        </w:rPr>
        <w:t xml:space="preserve"> – </w:t>
      </w:r>
      <w:r>
        <w:rPr>
          <w:rFonts w:ascii="Verdana" w:hAnsi="Verdana" w:cs="Arial"/>
          <w:b/>
          <w:lang w:eastAsia="es-CO"/>
        </w:rPr>
        <w:t xml:space="preserve">Naturaleza jurídica </w:t>
      </w:r>
      <w:r w:rsidRPr="00607390">
        <w:rPr>
          <w:rFonts w:ascii="Verdana" w:hAnsi="Verdana" w:cs="Arial"/>
          <w:b/>
          <w:lang w:eastAsia="es-CO"/>
        </w:rPr>
        <w:t>–</w:t>
      </w:r>
      <w:r>
        <w:rPr>
          <w:rFonts w:ascii="Verdana" w:hAnsi="Verdana" w:cs="Arial"/>
          <w:b/>
          <w:lang w:eastAsia="es-CO"/>
        </w:rPr>
        <w:t xml:space="preserve"> Descentralización por colaboración  </w:t>
      </w:r>
      <w:r w:rsidRPr="00AF1555">
        <w:rPr>
          <w:rFonts w:ascii="Verdana" w:hAnsi="Verdana" w:cs="Arial"/>
          <w:b/>
          <w:lang w:eastAsia="es-CO"/>
        </w:rPr>
        <w:t xml:space="preserve">  </w:t>
      </w:r>
    </w:p>
    <w:p w14:paraId="25595567" w14:textId="77777777" w:rsidR="00665EBB" w:rsidRPr="00AF1555" w:rsidRDefault="00665EBB" w:rsidP="00665EBB">
      <w:pPr>
        <w:tabs>
          <w:tab w:val="left" w:pos="426"/>
        </w:tabs>
        <w:spacing w:after="0" w:line="240" w:lineRule="auto"/>
        <w:jc w:val="both"/>
        <w:rPr>
          <w:rFonts w:ascii="Verdana" w:hAnsi="Verdana" w:cs="Arial"/>
          <w:b/>
          <w:sz w:val="20"/>
          <w:szCs w:val="20"/>
          <w:lang w:eastAsia="es-CO"/>
        </w:rPr>
      </w:pPr>
    </w:p>
    <w:p w14:paraId="6F2E24DC" w14:textId="77777777" w:rsidR="00665EBB" w:rsidRDefault="00665EBB" w:rsidP="00665EBB">
      <w:pPr>
        <w:spacing w:after="0" w:line="240" w:lineRule="auto"/>
        <w:jc w:val="both"/>
        <w:rPr>
          <w:rFonts w:ascii="Verdana" w:hAnsi="Verdana" w:cs="Arial"/>
          <w:bCs/>
          <w:sz w:val="20"/>
          <w:szCs w:val="20"/>
          <w:lang w:val="es-ES" w:eastAsia="es-CO"/>
        </w:rPr>
      </w:pPr>
      <w:r>
        <w:rPr>
          <w:rFonts w:ascii="Verdana" w:hAnsi="Verdana" w:cs="Arial"/>
          <w:bCs/>
          <w:sz w:val="20"/>
          <w:szCs w:val="20"/>
          <w:lang w:eastAsia="es-CO"/>
        </w:rPr>
        <w:t xml:space="preserve">[…] </w:t>
      </w:r>
      <w:r w:rsidRPr="006F6A89">
        <w:rPr>
          <w:rFonts w:ascii="Verdana" w:hAnsi="Verdana" w:cs="Arial"/>
          <w:bCs/>
          <w:sz w:val="20"/>
          <w:szCs w:val="20"/>
          <w:lang w:eastAsia="es-CO"/>
        </w:rPr>
        <w:t xml:space="preserve">el artículo 2.2.2.38.1.1 del Decreto 1074 del 2015 resalta a las cámaras de comercio como particulares, por lo que estas instituciones </w:t>
      </w:r>
      <w:r w:rsidRPr="006F6A89">
        <w:rPr>
          <w:rFonts w:ascii="Verdana" w:hAnsi="Verdana" w:cs="Arial"/>
          <w:bCs/>
          <w:sz w:val="20"/>
          <w:szCs w:val="20"/>
          <w:lang w:val="es-ES" w:eastAsia="es-CO"/>
        </w:rPr>
        <w:t>–al carecer de naturaleza pública– no son entes descentralizados territorialmente ni por servicios</w:t>
      </w:r>
      <w:r w:rsidRPr="006F6A89">
        <w:rPr>
          <w:rFonts w:ascii="Verdana" w:hAnsi="Verdana" w:cs="Arial"/>
          <w:bCs/>
          <w:sz w:val="20"/>
          <w:szCs w:val="20"/>
          <w:lang w:eastAsia="es-CO"/>
        </w:rPr>
        <w:t xml:space="preserve">. Por ello, la norma precitada dispone que “[…] son personas jurídicas de derecho privado, de carácter corporativo, gremial y sin ánimo de lucro, administradas y gobernadas por los comerciantes matriculados en el respectivo registro mercantil que tengan la calidad de afiliados […]”. Como el legislador les atribuye el ejercicio de algunas funciones registrales, de certificación y de publicidad, se trata de una forma de </w:t>
      </w:r>
      <w:r w:rsidRPr="006F6A89">
        <w:rPr>
          <w:rFonts w:ascii="Verdana" w:hAnsi="Verdana" w:cs="Arial"/>
          <w:bCs/>
          <w:i/>
          <w:iCs/>
          <w:sz w:val="20"/>
          <w:szCs w:val="20"/>
          <w:lang w:eastAsia="es-CO"/>
        </w:rPr>
        <w:t>descentralización por colaboración</w:t>
      </w:r>
      <w:r w:rsidRPr="006F6A89">
        <w:rPr>
          <w:rFonts w:ascii="Verdana" w:hAnsi="Verdana" w:cs="Arial"/>
          <w:bCs/>
          <w:sz w:val="20"/>
          <w:szCs w:val="20"/>
          <w:lang w:eastAsia="es-CO"/>
        </w:rPr>
        <w:t xml:space="preserve"> en los términos de los artículos 123 </w:t>
      </w:r>
      <w:r w:rsidRPr="006F6A89">
        <w:rPr>
          <w:rFonts w:ascii="Verdana" w:hAnsi="Verdana" w:cs="Arial"/>
          <w:bCs/>
          <w:sz w:val="20"/>
          <w:szCs w:val="20"/>
          <w:lang w:val="es-ES" w:eastAsia="es-CO"/>
        </w:rPr>
        <w:t>–inc. 3º–</w:t>
      </w:r>
      <w:r w:rsidRPr="006F6A89">
        <w:rPr>
          <w:rFonts w:ascii="Verdana" w:hAnsi="Verdana" w:cs="Arial"/>
          <w:bCs/>
          <w:sz w:val="20"/>
          <w:szCs w:val="20"/>
          <w:lang w:eastAsia="es-CO"/>
        </w:rPr>
        <w:t xml:space="preserve"> y 210 </w:t>
      </w:r>
      <w:r w:rsidRPr="006F6A89">
        <w:rPr>
          <w:rFonts w:ascii="Verdana" w:hAnsi="Verdana" w:cs="Arial"/>
          <w:bCs/>
          <w:sz w:val="20"/>
          <w:szCs w:val="20"/>
          <w:lang w:val="es-ES" w:eastAsia="es-CO"/>
        </w:rPr>
        <w:t>–inc. 2º–</w:t>
      </w:r>
      <w:r w:rsidRPr="006F6A89">
        <w:rPr>
          <w:rFonts w:ascii="Verdana" w:hAnsi="Verdana" w:cs="Arial"/>
          <w:bCs/>
          <w:sz w:val="20"/>
          <w:szCs w:val="20"/>
          <w:lang w:eastAsia="es-CO"/>
        </w:rPr>
        <w:t xml:space="preserve"> de la Constitución Política de 1991</w:t>
      </w:r>
      <w:r w:rsidRPr="0006328C">
        <w:rPr>
          <w:rFonts w:ascii="Verdana" w:hAnsi="Verdana" w:cs="Arial"/>
          <w:bCs/>
          <w:sz w:val="20"/>
          <w:szCs w:val="20"/>
          <w:lang w:val="es-ES" w:eastAsia="es-CO"/>
        </w:rPr>
        <w:t>.</w:t>
      </w:r>
    </w:p>
    <w:p w14:paraId="584900F5" w14:textId="77777777" w:rsidR="00665EBB" w:rsidRDefault="00665EBB" w:rsidP="00665EBB">
      <w:pPr>
        <w:spacing w:after="0" w:line="240" w:lineRule="auto"/>
        <w:jc w:val="both"/>
        <w:rPr>
          <w:rFonts w:ascii="Verdana" w:hAnsi="Verdana" w:cs="Arial"/>
          <w:bCs/>
          <w:sz w:val="20"/>
          <w:szCs w:val="20"/>
          <w:lang w:val="es-ES" w:eastAsia="es-CO"/>
        </w:rPr>
      </w:pPr>
    </w:p>
    <w:p w14:paraId="03B6ACB8" w14:textId="77777777" w:rsidR="00665EBB" w:rsidRPr="00AF1555" w:rsidRDefault="00665EBB" w:rsidP="00665EBB">
      <w:pPr>
        <w:tabs>
          <w:tab w:val="left" w:pos="426"/>
        </w:tabs>
        <w:spacing w:after="0" w:line="240" w:lineRule="auto"/>
        <w:jc w:val="both"/>
        <w:rPr>
          <w:rFonts w:ascii="Verdana" w:hAnsi="Verdana" w:cs="Arial"/>
          <w:b/>
          <w:lang w:eastAsia="es-CO"/>
        </w:rPr>
      </w:pPr>
      <w:r>
        <w:rPr>
          <w:rFonts w:ascii="Verdana" w:hAnsi="Verdana" w:cs="Arial"/>
          <w:b/>
          <w:lang w:eastAsia="es-CO"/>
        </w:rPr>
        <w:t>RÉGIMEN CONTRACTUAL</w:t>
      </w:r>
      <w:r w:rsidRPr="00607390">
        <w:rPr>
          <w:rFonts w:ascii="Verdana" w:hAnsi="Verdana" w:cs="Arial"/>
          <w:b/>
          <w:lang w:eastAsia="es-CO"/>
        </w:rPr>
        <w:t xml:space="preserve"> – </w:t>
      </w:r>
      <w:r>
        <w:rPr>
          <w:rFonts w:ascii="Verdana" w:hAnsi="Verdana" w:cs="Arial"/>
          <w:b/>
          <w:lang w:eastAsia="es-CO"/>
        </w:rPr>
        <w:t xml:space="preserve">Cámaras de comercio  </w:t>
      </w:r>
      <w:r w:rsidRPr="00AF1555">
        <w:rPr>
          <w:rFonts w:ascii="Verdana" w:hAnsi="Verdana" w:cs="Arial"/>
          <w:b/>
          <w:lang w:eastAsia="es-CO"/>
        </w:rPr>
        <w:t xml:space="preserve">  </w:t>
      </w:r>
    </w:p>
    <w:p w14:paraId="120CD009" w14:textId="77777777" w:rsidR="00665EBB" w:rsidRPr="00AF1555" w:rsidRDefault="00665EBB" w:rsidP="00665EBB">
      <w:pPr>
        <w:tabs>
          <w:tab w:val="left" w:pos="426"/>
        </w:tabs>
        <w:spacing w:after="0" w:line="240" w:lineRule="auto"/>
        <w:jc w:val="both"/>
        <w:rPr>
          <w:rFonts w:ascii="Verdana" w:hAnsi="Verdana" w:cs="Arial"/>
          <w:b/>
          <w:sz w:val="20"/>
          <w:szCs w:val="20"/>
          <w:lang w:eastAsia="es-CO"/>
        </w:rPr>
      </w:pPr>
    </w:p>
    <w:p w14:paraId="10959DCC" w14:textId="77777777" w:rsidR="00665EBB" w:rsidRPr="007C42DF" w:rsidRDefault="00665EBB" w:rsidP="00665EBB">
      <w:pPr>
        <w:spacing w:after="0" w:line="240" w:lineRule="auto"/>
        <w:jc w:val="both"/>
        <w:rPr>
          <w:rFonts w:ascii="Verdana" w:hAnsi="Verdana" w:cs="Arial"/>
          <w:bCs/>
          <w:sz w:val="20"/>
          <w:szCs w:val="20"/>
          <w:lang w:eastAsia="es-CO"/>
        </w:rPr>
      </w:pPr>
      <w:r>
        <w:rPr>
          <w:rFonts w:ascii="Verdana" w:hAnsi="Verdana" w:cs="Arial"/>
          <w:bCs/>
          <w:sz w:val="20"/>
          <w:szCs w:val="20"/>
          <w:lang w:eastAsia="es-CO"/>
        </w:rPr>
        <w:t xml:space="preserve">[…] </w:t>
      </w:r>
      <w:r>
        <w:rPr>
          <w:rFonts w:ascii="Verdana" w:hAnsi="Verdana" w:cs="Arial"/>
          <w:bCs/>
          <w:sz w:val="20"/>
          <w:szCs w:val="20"/>
          <w:lang w:val="es-ES" w:eastAsia="es-CO"/>
        </w:rPr>
        <w:t>c</w:t>
      </w:r>
      <w:proofErr w:type="spellStart"/>
      <w:r w:rsidRPr="007C42DF">
        <w:rPr>
          <w:rFonts w:ascii="Verdana" w:hAnsi="Verdana" w:cs="Arial"/>
          <w:bCs/>
          <w:sz w:val="20"/>
          <w:szCs w:val="20"/>
          <w:lang w:eastAsia="es-CO"/>
        </w:rPr>
        <w:t>omo</w:t>
      </w:r>
      <w:proofErr w:type="spellEnd"/>
      <w:r w:rsidRPr="007C42DF">
        <w:rPr>
          <w:rFonts w:ascii="Verdana" w:hAnsi="Verdana" w:cs="Arial"/>
          <w:bCs/>
          <w:sz w:val="20"/>
          <w:szCs w:val="20"/>
          <w:lang w:eastAsia="es-CO"/>
        </w:rPr>
        <w:t xml:space="preserve"> particulares que desarrollan actividades administrativas, las cámaras de comercio no son entidades estatales sometidas o exceptuadas de la Ley 80 de 1993, pues –pese a ejercer determinadas funciones públicas– siguen siendo sujetos de derecho privado. Lo anterior, no obsta para que a los particulares que reciban el ejercicio de funciones administrativas conforme a los artículos 110 y siguientes de la Ley 489 de 1998 se les extienda la aplicación del Estatuto General de Contratación de la Administración Pública. </w:t>
      </w:r>
    </w:p>
    <w:p w14:paraId="56D35B3F" w14:textId="77777777" w:rsidR="00665EBB" w:rsidRPr="007C42DF" w:rsidRDefault="00665EBB" w:rsidP="00665EBB">
      <w:pPr>
        <w:spacing w:after="0" w:line="240" w:lineRule="auto"/>
        <w:jc w:val="both"/>
        <w:rPr>
          <w:rFonts w:ascii="Verdana" w:hAnsi="Verdana" w:cs="Arial"/>
          <w:bCs/>
          <w:sz w:val="20"/>
          <w:szCs w:val="20"/>
          <w:lang w:val="es-ES" w:eastAsia="es-CO"/>
        </w:rPr>
      </w:pPr>
    </w:p>
    <w:p w14:paraId="05606C50" w14:textId="77777777" w:rsidR="00665EBB" w:rsidRPr="002A22E2" w:rsidRDefault="00665EBB" w:rsidP="00665EBB">
      <w:pPr>
        <w:contextualSpacing/>
        <w:jc w:val="both"/>
        <w:rPr>
          <w:rFonts w:ascii="Verdana" w:eastAsia="Calibri" w:hAnsi="Verdana" w:cs="Arial"/>
          <w:b/>
          <w:bCs/>
        </w:rPr>
      </w:pPr>
      <w:r w:rsidRPr="002A22E2">
        <w:rPr>
          <w:rFonts w:ascii="Verdana" w:eastAsia="Calibri" w:hAnsi="Verdana" w:cs="Arial"/>
          <w:b/>
          <w:bCs/>
        </w:rPr>
        <w:t>EMPRESAS SOCIALES DEL ESTADO – Régimen jurídico – Reglas aplicables</w:t>
      </w:r>
    </w:p>
    <w:p w14:paraId="5F27E62B" w14:textId="77777777" w:rsidR="00665EBB" w:rsidRPr="002A22E2" w:rsidRDefault="00665EBB" w:rsidP="00665EBB">
      <w:pPr>
        <w:spacing w:line="240" w:lineRule="auto"/>
        <w:contextualSpacing/>
        <w:jc w:val="both"/>
        <w:rPr>
          <w:rFonts w:ascii="Verdana" w:eastAsia="Calibri" w:hAnsi="Verdana" w:cs="Arial"/>
          <w:color w:val="EE0000"/>
          <w:sz w:val="20"/>
          <w:szCs w:val="20"/>
        </w:rPr>
      </w:pPr>
    </w:p>
    <w:p w14:paraId="18B5E6CD" w14:textId="77777777" w:rsidR="00665EBB" w:rsidRPr="002A22E2" w:rsidRDefault="00665EBB" w:rsidP="00665EBB">
      <w:pPr>
        <w:spacing w:line="240" w:lineRule="auto"/>
        <w:contextualSpacing/>
        <w:jc w:val="both"/>
        <w:rPr>
          <w:rFonts w:ascii="Verdana" w:eastAsia="Calibri" w:hAnsi="Verdana" w:cs="Arial"/>
          <w:sz w:val="20"/>
          <w:szCs w:val="20"/>
        </w:rPr>
      </w:pPr>
      <w:r w:rsidRPr="002A22E2">
        <w:rPr>
          <w:rFonts w:ascii="Verdana" w:eastAsia="Calibri" w:hAnsi="Verdana" w:cs="Arial"/>
          <w:sz w:val="20"/>
          <w:szCs w:val="20"/>
        </w:rPr>
        <w:t xml:space="preserve">[…] dentro de la estructura de la Administración pública se encuentran las entidades descentralizadas por servicios, y dentro de dicha categoría se ubican las empresas sociales del Estado, las cuales, sin perjuicio del control de tutela, tienen personería jurídica, autonomía administrativa y patrimonio propio. Estas entidades, de acuerdo con lo que establece el artículo 83 de la Ley 489 de 1998, son creadas por la Nación o por las entidades territoriales para la prestación en forma directa de servicios de salud. Su régimen jurídico lo conforman las Leyes 100 de 1993 y 344 de 1996, así como también la Ley 489 de 1998, pero esta última únicamente en relación con los asuntos no regulados en las dos leyes mencionadas o en las normas que las reglamentan y complementan o en las que pudieran llegar a hacerlo. </w:t>
      </w:r>
    </w:p>
    <w:p w14:paraId="1563FE86" w14:textId="77777777" w:rsidR="00665EBB" w:rsidRPr="002A22E2" w:rsidRDefault="00665EBB" w:rsidP="00665EBB">
      <w:pPr>
        <w:spacing w:line="240" w:lineRule="auto"/>
        <w:contextualSpacing/>
        <w:jc w:val="both"/>
        <w:rPr>
          <w:rFonts w:ascii="Verdana" w:eastAsia="Calibri" w:hAnsi="Verdana" w:cs="Arial"/>
          <w:sz w:val="20"/>
          <w:szCs w:val="20"/>
        </w:rPr>
      </w:pPr>
    </w:p>
    <w:p w14:paraId="38280910" w14:textId="77777777" w:rsidR="00665EBB" w:rsidRPr="009B0A7A" w:rsidRDefault="00665EBB" w:rsidP="00665EBB">
      <w:pPr>
        <w:spacing w:after="0" w:line="240" w:lineRule="auto"/>
        <w:jc w:val="both"/>
        <w:rPr>
          <w:rFonts w:ascii="Verdana" w:hAnsi="Verdana"/>
          <w:b/>
        </w:rPr>
      </w:pPr>
      <w:r w:rsidRPr="009B0A7A">
        <w:rPr>
          <w:rFonts w:ascii="Verdana" w:hAnsi="Verdana" w:cs="Arial"/>
          <w:b/>
          <w:bCs/>
          <w:lang w:val="es-ES_tradnl" w:eastAsia="es-ES" w:bidi="es-ES"/>
        </w:rPr>
        <w:t>PRINCIPIO DE PUBLICIDAD – SECOP – Documentos del proceso – Deber de publicación</w:t>
      </w:r>
    </w:p>
    <w:p w14:paraId="72F06EFF" w14:textId="77777777" w:rsidR="00665EBB" w:rsidRPr="007C42DF" w:rsidRDefault="00665EBB" w:rsidP="00665EBB">
      <w:pPr>
        <w:spacing w:after="0" w:line="240" w:lineRule="auto"/>
        <w:jc w:val="both"/>
        <w:rPr>
          <w:rFonts w:ascii="Verdana" w:eastAsia="Geomanist Light" w:hAnsi="Verdana" w:cs="Arial"/>
          <w:color w:val="000000" w:themeColor="text1"/>
          <w:sz w:val="20"/>
          <w:szCs w:val="20"/>
        </w:rPr>
      </w:pPr>
    </w:p>
    <w:p w14:paraId="0CDF11B8" w14:textId="77777777" w:rsidR="00665EBB" w:rsidRDefault="00665EBB" w:rsidP="00665EBB">
      <w:pPr>
        <w:spacing w:after="0" w:line="240" w:lineRule="auto"/>
        <w:jc w:val="both"/>
        <w:rPr>
          <w:rFonts w:ascii="Verdana" w:eastAsia="Geomanist Light" w:hAnsi="Verdana" w:cs="Arial"/>
          <w:color w:val="000000" w:themeColor="text1"/>
          <w:lang w:val="es-MX"/>
        </w:rPr>
      </w:pPr>
      <w:r w:rsidRPr="007C42DF">
        <w:rPr>
          <w:rFonts w:ascii="Verdana" w:eastAsia="Geomanist Light" w:hAnsi="Verdana" w:cs="Arial"/>
          <w:color w:val="000000" w:themeColor="text1"/>
          <w:sz w:val="20"/>
          <w:szCs w:val="20"/>
          <w:lang w:val="es-MX"/>
        </w:rPr>
        <w:t xml:space="preserve">el principio de publicidad impone a las autoridades el deber de dar a conocer sus actos, contratos y decisiones, para que se divulguen y eventualmente se controlen dichas actuaciones. Es por eso </w:t>
      </w:r>
      <w:proofErr w:type="gramStart"/>
      <w:r w:rsidRPr="007C42DF">
        <w:rPr>
          <w:rFonts w:ascii="Verdana" w:eastAsia="Geomanist Light" w:hAnsi="Verdana" w:cs="Arial"/>
          <w:color w:val="000000" w:themeColor="text1"/>
          <w:sz w:val="20"/>
          <w:szCs w:val="20"/>
          <w:lang w:val="es-MX"/>
        </w:rPr>
        <w:t>que</w:t>
      </w:r>
      <w:proofErr w:type="gramEnd"/>
      <w:r w:rsidRPr="007C42DF">
        <w:rPr>
          <w:rFonts w:ascii="Verdana" w:eastAsia="Geomanist Light" w:hAnsi="Verdana" w:cs="Arial"/>
          <w:color w:val="000000" w:themeColor="text1"/>
          <w:sz w:val="20"/>
          <w:szCs w:val="20"/>
          <w:lang w:val="es-MX"/>
        </w:rPr>
        <w:t xml:space="preserve">, en la contratación estatal, el literal c), del artículo 3, de la Ley 1150 de 2007 establece el Sistema Electrónico para la Contratación Pública –SECOP– como un mecanismo que “contará con la información oficial de la contratación realizada </w:t>
      </w:r>
      <w:r w:rsidRPr="007C42DF">
        <w:rPr>
          <w:rFonts w:ascii="Verdana" w:eastAsia="Geomanist Light" w:hAnsi="Verdana" w:cs="Arial"/>
          <w:color w:val="000000" w:themeColor="text1"/>
          <w:sz w:val="20"/>
          <w:szCs w:val="20"/>
          <w:lang w:val="es-MX"/>
        </w:rPr>
        <w:lastRenderedPageBreak/>
        <w:t>con dineros públicos, para lo cual establecerá los patrones a que haya lugar y se encargará de su difusión a través de canales electrónicos”</w:t>
      </w:r>
      <w:r>
        <w:rPr>
          <w:rFonts w:ascii="Verdana" w:eastAsia="Geomanist Light" w:hAnsi="Verdana" w:cs="Arial"/>
          <w:color w:val="000000" w:themeColor="text1"/>
          <w:sz w:val="20"/>
          <w:szCs w:val="20"/>
          <w:lang w:val="es-MX"/>
        </w:rPr>
        <w:t xml:space="preserve">. </w:t>
      </w:r>
      <w:r w:rsidRPr="007C42DF">
        <w:rPr>
          <w:rFonts w:ascii="Verdana" w:eastAsia="Geomanist Light" w:hAnsi="Verdana" w:cs="Arial"/>
          <w:color w:val="000000" w:themeColor="text1"/>
          <w:sz w:val="20"/>
          <w:szCs w:val="20"/>
          <w:lang w:val="es-MX"/>
        </w:rPr>
        <w:t xml:space="preserve">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w:t>
      </w:r>
      <w:proofErr w:type="gramStart"/>
      <w:r w:rsidRPr="007C42DF">
        <w:rPr>
          <w:rFonts w:ascii="Verdana" w:eastAsia="Geomanist Light" w:hAnsi="Verdana" w:cs="Arial"/>
          <w:color w:val="000000" w:themeColor="text1"/>
          <w:sz w:val="20"/>
          <w:szCs w:val="20"/>
          <w:lang w:val="es-MX"/>
        </w:rPr>
        <w:t>legal ”</w:t>
      </w:r>
      <w:proofErr w:type="gramEnd"/>
      <w:r w:rsidRPr="007C42DF">
        <w:rPr>
          <w:rFonts w:ascii="Verdana" w:eastAsia="Geomanist Light" w:hAnsi="Verdana" w:cs="Arial"/>
          <w:color w:val="000000" w:themeColor="text1"/>
          <w:sz w:val="20"/>
          <w:szCs w:val="20"/>
          <w:lang w:val="es-MX"/>
        </w:rPr>
        <w:t xml:space="preserve">. El principio de transparencia en la información alude al deber de los sujetos de proporcionar y facilitar el acceso a la misma en los términos más amplios posibles, y a través de los medios y procedimientos legales. En el artículo 5 de dicha ley, se incluye dentro de la lista de sujetos obligados a todas las entidades públicas y, además, en el literal c) a las personas naturales y jurídicas, públicas o privadas, que presten </w:t>
      </w:r>
      <w:proofErr w:type="gramStart"/>
      <w:r w:rsidRPr="007C42DF">
        <w:rPr>
          <w:rFonts w:ascii="Verdana" w:eastAsia="Geomanist Light" w:hAnsi="Verdana" w:cs="Arial"/>
          <w:color w:val="000000" w:themeColor="text1"/>
          <w:sz w:val="20"/>
          <w:szCs w:val="20"/>
          <w:lang w:val="es-MX"/>
        </w:rPr>
        <w:t>función pública y servicios públicos</w:t>
      </w:r>
      <w:proofErr w:type="gramEnd"/>
      <w:r w:rsidRPr="007C42DF">
        <w:rPr>
          <w:rFonts w:ascii="Verdana" w:eastAsia="Geomanist Light" w:hAnsi="Verdana" w:cs="Arial"/>
          <w:color w:val="000000" w:themeColor="text1"/>
          <w:sz w:val="20"/>
          <w:szCs w:val="20"/>
          <w:lang w:val="es-MX"/>
        </w:rPr>
        <w:t xml:space="preserve"> respecto de la información directamente relacionada con la prestación del servicio público, adicionalmente, en el literal g) incluyó a las entidades que administren recursos de naturaleza u origen público.</w:t>
      </w:r>
    </w:p>
    <w:p w14:paraId="64B774AB" w14:textId="77777777" w:rsidR="00665EBB" w:rsidRDefault="00665EBB" w:rsidP="00665EBB">
      <w:pPr>
        <w:spacing w:after="0" w:line="240" w:lineRule="auto"/>
        <w:rPr>
          <w:rFonts w:ascii="Verdana" w:eastAsia="Geomanist Light" w:hAnsi="Verdana" w:cs="Arial"/>
          <w:color w:val="000000" w:themeColor="text1"/>
          <w:lang w:val="es-MX"/>
        </w:rPr>
      </w:pPr>
    </w:p>
    <w:p w14:paraId="6D03A021" w14:textId="77777777" w:rsidR="00665EBB" w:rsidRPr="009A153B" w:rsidRDefault="00665EBB" w:rsidP="00665EBB">
      <w:pPr>
        <w:pStyle w:val="s17"/>
        <w:spacing w:before="0" w:beforeAutospacing="0" w:after="0" w:afterAutospacing="0"/>
        <w:jc w:val="both"/>
        <w:rPr>
          <w:rFonts w:ascii="Verdana" w:eastAsia="Geomanist Light" w:hAnsi="Verdana" w:cs="Arial"/>
          <w:b/>
          <w:bCs/>
          <w:color w:val="000000" w:themeColor="text1"/>
        </w:rPr>
      </w:pPr>
      <w:r w:rsidRPr="009A153B">
        <w:rPr>
          <w:rFonts w:ascii="Verdana" w:eastAsia="Calibri" w:hAnsi="Verdana" w:cs="Arial"/>
          <w:b/>
          <w:bCs/>
          <w:color w:val="000000" w:themeColor="text1"/>
          <w:sz w:val="22"/>
          <w:szCs w:val="22"/>
          <w:lang w:val="es-ES" w:eastAsia="es-ES"/>
        </w:rPr>
        <w:t xml:space="preserve">DOCUMENTOS DEL PROCESO </w:t>
      </w:r>
      <w:r w:rsidRPr="009A153B">
        <w:rPr>
          <w:rFonts w:ascii="Verdana" w:eastAsia="Calibri" w:hAnsi="Verdana" w:cs="Arial"/>
          <w:b/>
          <w:bCs/>
          <w:sz w:val="22"/>
          <w:szCs w:val="22"/>
          <w:lang w:val="es-ES"/>
        </w:rPr>
        <w:t>– Noción – Deber de publicación</w:t>
      </w:r>
    </w:p>
    <w:p w14:paraId="3F23144A" w14:textId="77777777" w:rsidR="00665EBB" w:rsidRPr="009A153B" w:rsidRDefault="00665EBB" w:rsidP="00665EBB">
      <w:pPr>
        <w:pStyle w:val="s17"/>
        <w:spacing w:before="0" w:beforeAutospacing="0" w:after="0" w:afterAutospacing="0"/>
        <w:jc w:val="both"/>
        <w:rPr>
          <w:rFonts w:ascii="Verdana" w:eastAsia="Geomanist Light" w:hAnsi="Verdana" w:cs="Arial"/>
          <w:b/>
          <w:bCs/>
          <w:color w:val="000000" w:themeColor="text1"/>
        </w:rPr>
      </w:pPr>
    </w:p>
    <w:p w14:paraId="3FCE2FED" w14:textId="77777777" w:rsidR="00665EBB" w:rsidRPr="00665EBB" w:rsidRDefault="00665EBB" w:rsidP="00665EBB">
      <w:pPr>
        <w:spacing w:after="0" w:line="240" w:lineRule="auto"/>
        <w:jc w:val="both"/>
        <w:rPr>
          <w:rFonts w:ascii="Verdana" w:eastAsia="Calibri" w:hAnsi="Verdana" w:cs="Arial"/>
          <w:sz w:val="20"/>
          <w:szCs w:val="20"/>
          <w:lang w:val="es-ES"/>
        </w:rPr>
      </w:pPr>
      <w:r w:rsidRPr="00665EBB">
        <w:rPr>
          <w:rFonts w:ascii="Verdana" w:eastAsia="Calibri" w:hAnsi="Verdana" w:cs="Arial"/>
          <w:sz w:val="20"/>
          <w:szCs w:val="20"/>
          <w:lang w:val="es-ES"/>
        </w:rPr>
        <w:t xml:space="preserve">(…)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proofErr w:type="spellStart"/>
      <w:r w:rsidRPr="00665EBB">
        <w:rPr>
          <w:rFonts w:ascii="Verdana" w:eastAsia="Calibri" w:hAnsi="Verdana" w:cs="Arial"/>
          <w:sz w:val="20"/>
          <w:szCs w:val="20"/>
          <w:lang w:val="es-ES"/>
        </w:rPr>
        <w:t>Ibídem</w:t>
      </w:r>
      <w:proofErr w:type="spellEnd"/>
      <w:r w:rsidRPr="00665EBB">
        <w:rPr>
          <w:rFonts w:ascii="Verdana" w:eastAsia="Calibri" w:hAnsi="Verdana" w:cs="Arial"/>
          <w:sz w:val="20"/>
          <w:szCs w:val="20"/>
          <w:lang w:val="es-ES"/>
        </w:rPr>
        <w:t xml:space="preserve">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p>
    <w:p w14:paraId="64117727" w14:textId="77777777" w:rsidR="00665EBB" w:rsidRPr="00287DD8" w:rsidRDefault="00665EBB" w:rsidP="00665EBB">
      <w:pPr>
        <w:spacing w:after="0" w:line="240" w:lineRule="auto"/>
        <w:rPr>
          <w:rFonts w:ascii="Verdana" w:eastAsia="Geomanist Light" w:hAnsi="Verdana" w:cs="Arial"/>
          <w:color w:val="000000" w:themeColor="text1"/>
          <w:lang w:val="es-ES"/>
        </w:rPr>
      </w:pPr>
    </w:p>
    <w:p w14:paraId="0D150E21" w14:textId="77777777" w:rsidR="00665EBB" w:rsidRDefault="00665EBB" w:rsidP="00665EBB">
      <w:pPr>
        <w:spacing w:after="0" w:line="240" w:lineRule="auto"/>
        <w:rPr>
          <w:rFonts w:ascii="Verdana" w:eastAsia="Geomanist Light" w:hAnsi="Verdana" w:cs="Arial"/>
          <w:color w:val="000000" w:themeColor="text1"/>
          <w:lang w:val="es-MX"/>
        </w:rPr>
      </w:pPr>
    </w:p>
    <w:p w14:paraId="7BCBBE3C" w14:textId="77777777" w:rsidR="00665EBB" w:rsidRDefault="00665EBB" w:rsidP="00665EBB">
      <w:pPr>
        <w:spacing w:after="0" w:line="240" w:lineRule="auto"/>
        <w:rPr>
          <w:rFonts w:ascii="Verdana" w:eastAsia="Geomanist Light" w:hAnsi="Verdana" w:cs="Arial"/>
          <w:color w:val="000000" w:themeColor="text1"/>
          <w:lang w:val="es-MX"/>
        </w:rPr>
      </w:pPr>
    </w:p>
    <w:p w14:paraId="784A5B62" w14:textId="77777777" w:rsidR="00665EBB" w:rsidRDefault="00665EBB" w:rsidP="00E245AB">
      <w:pPr>
        <w:spacing w:after="0"/>
        <w:rPr>
          <w:rFonts w:ascii="Verdana" w:hAnsi="Verdana"/>
        </w:rPr>
      </w:pPr>
    </w:p>
    <w:p w14:paraId="4BB962AF" w14:textId="77777777" w:rsidR="00665EBB" w:rsidRDefault="00665EBB" w:rsidP="00E245AB">
      <w:pPr>
        <w:spacing w:after="0"/>
        <w:rPr>
          <w:rFonts w:ascii="Verdana" w:hAnsi="Verdana"/>
        </w:rPr>
      </w:pPr>
    </w:p>
    <w:p w14:paraId="36FF968C" w14:textId="77777777" w:rsidR="00665EBB" w:rsidRDefault="00665EBB" w:rsidP="00E245AB">
      <w:pPr>
        <w:spacing w:after="0"/>
        <w:rPr>
          <w:rFonts w:ascii="Verdana" w:hAnsi="Verdana"/>
        </w:rPr>
      </w:pPr>
    </w:p>
    <w:p w14:paraId="476B4228" w14:textId="77777777" w:rsidR="00665EBB" w:rsidRDefault="00665EBB" w:rsidP="00E245AB">
      <w:pPr>
        <w:spacing w:after="0"/>
        <w:rPr>
          <w:rFonts w:ascii="Verdana" w:hAnsi="Verdana"/>
        </w:rPr>
      </w:pPr>
    </w:p>
    <w:p w14:paraId="3B7914C4" w14:textId="77777777" w:rsidR="00665EBB" w:rsidRDefault="00665EBB" w:rsidP="00E245AB">
      <w:pPr>
        <w:spacing w:after="0"/>
        <w:rPr>
          <w:rFonts w:ascii="Verdana" w:hAnsi="Verdana"/>
        </w:rPr>
      </w:pPr>
    </w:p>
    <w:p w14:paraId="3E233284" w14:textId="77777777" w:rsidR="00665EBB" w:rsidRDefault="00665EBB" w:rsidP="00E245AB">
      <w:pPr>
        <w:spacing w:after="0"/>
        <w:rPr>
          <w:rFonts w:ascii="Verdana" w:hAnsi="Verdana"/>
        </w:rPr>
      </w:pPr>
    </w:p>
    <w:p w14:paraId="606408D5" w14:textId="77777777" w:rsidR="00665EBB" w:rsidRDefault="00665EBB" w:rsidP="00E245AB">
      <w:pPr>
        <w:spacing w:after="0"/>
        <w:rPr>
          <w:rFonts w:ascii="Verdana" w:hAnsi="Verdana"/>
        </w:rPr>
      </w:pPr>
    </w:p>
    <w:p w14:paraId="21C3BB1A" w14:textId="77777777" w:rsidR="00665EBB" w:rsidRDefault="00665EBB" w:rsidP="00E245AB">
      <w:pPr>
        <w:spacing w:after="0"/>
        <w:rPr>
          <w:rFonts w:ascii="Verdana" w:hAnsi="Verdana"/>
        </w:rPr>
      </w:pPr>
    </w:p>
    <w:p w14:paraId="6C474E0D" w14:textId="77777777" w:rsidR="00D6020E" w:rsidRDefault="00D6020E" w:rsidP="00E245AB">
      <w:pPr>
        <w:spacing w:after="0"/>
        <w:rPr>
          <w:rFonts w:ascii="Verdana" w:hAnsi="Verdana"/>
        </w:rPr>
      </w:pPr>
    </w:p>
    <w:p w14:paraId="72139CEB" w14:textId="77777777" w:rsidR="00665EBB" w:rsidRDefault="00665EBB" w:rsidP="00E245AB">
      <w:pPr>
        <w:spacing w:after="0"/>
        <w:rPr>
          <w:rFonts w:ascii="Verdana" w:hAnsi="Verdana"/>
        </w:rPr>
      </w:pPr>
    </w:p>
    <w:p w14:paraId="10827142" w14:textId="77777777" w:rsidR="00665EBB" w:rsidRDefault="00665EBB" w:rsidP="00E245AB">
      <w:pPr>
        <w:spacing w:after="0"/>
        <w:rPr>
          <w:rFonts w:ascii="Verdana" w:hAnsi="Verdana"/>
        </w:rPr>
      </w:pPr>
    </w:p>
    <w:p w14:paraId="63719B53" w14:textId="77777777" w:rsidR="00665EBB" w:rsidRDefault="00665EBB" w:rsidP="00E245AB">
      <w:pPr>
        <w:spacing w:after="0"/>
        <w:rPr>
          <w:rFonts w:ascii="Verdana" w:hAnsi="Verdana"/>
        </w:rPr>
      </w:pPr>
    </w:p>
    <w:p w14:paraId="3FE2184B" w14:textId="773FBE39" w:rsidR="00E245AB" w:rsidRPr="0044528D" w:rsidRDefault="00897A3A" w:rsidP="00E245AB">
      <w:pPr>
        <w:spacing w:after="0"/>
        <w:rPr>
          <w:rFonts w:ascii="Verdana" w:hAnsi="Verdana"/>
        </w:rPr>
      </w:pPr>
      <w:r w:rsidRPr="0044528D">
        <w:rPr>
          <w:rFonts w:ascii="Verdana" w:hAnsi="Verdana"/>
        </w:rPr>
        <w:lastRenderedPageBreak/>
        <w:t xml:space="preserve">Bogotá D.C., </w:t>
      </w:r>
      <w:r w:rsidR="00B24024">
        <w:rPr>
          <w:rFonts w:ascii="Verdana" w:hAnsi="Verdana"/>
        </w:rPr>
        <w:t>15 de octubre de 2025</w:t>
      </w:r>
      <w:r w:rsidR="00891928" w:rsidRPr="0044528D">
        <w:rPr>
          <w:rFonts w:ascii="Verdana" w:hAnsi="Verdana"/>
        </w:rPr>
        <w:tab/>
      </w:r>
    </w:p>
    <w:p w14:paraId="5FCADBF9" w14:textId="21F03775" w:rsidR="00E245AB" w:rsidRPr="0044528D" w:rsidRDefault="00E245AB" w:rsidP="00E245AB">
      <w:pPr>
        <w:spacing w:after="0"/>
        <w:rPr>
          <w:rFonts w:ascii="Verdana" w:hAnsi="Verdana"/>
        </w:rPr>
      </w:pPr>
    </w:p>
    <w:p w14:paraId="15E86645" w14:textId="178C3B2E" w:rsidR="00E85C97" w:rsidRPr="00AF1555" w:rsidRDefault="00B24024" w:rsidP="00E85C97">
      <w:pPr>
        <w:tabs>
          <w:tab w:val="left" w:pos="709"/>
        </w:tabs>
        <w:spacing w:after="0" w:line="240" w:lineRule="auto"/>
        <w:jc w:val="both"/>
        <w:rPr>
          <w:rFonts w:ascii="Verdana" w:eastAsia="Calibri" w:hAnsi="Verdana" w:cs="Arial"/>
          <w:bCs/>
          <w:sz w:val="20"/>
          <w:szCs w:val="20"/>
          <w:lang w:val="es-ES_tradnl" w:eastAsia="es-ES_tradnl"/>
        </w:rPr>
      </w:pPr>
      <w:r w:rsidRPr="00B24024">
        <w:rPr>
          <w:rFonts w:ascii="Verdana" w:eastAsia="Calibri" w:hAnsi="Verdana" w:cs="Arial"/>
          <w:noProof/>
          <w:lang w:val="es-ES" w:eastAsia="es-ES"/>
        </w:rPr>
        <w:drawing>
          <wp:anchor distT="0" distB="0" distL="114300" distR="114300" simplePos="0" relativeHeight="251658240" behindDoc="1" locked="0" layoutInCell="1" allowOverlap="1" wp14:anchorId="6964B86E" wp14:editId="688FD0D8">
            <wp:simplePos x="0" y="0"/>
            <wp:positionH relativeFrom="column">
              <wp:posOffset>2745105</wp:posOffset>
            </wp:positionH>
            <wp:positionV relativeFrom="paragraph">
              <wp:posOffset>24765</wp:posOffset>
            </wp:positionV>
            <wp:extent cx="2611120" cy="836295"/>
            <wp:effectExtent l="0" t="0" r="0" b="1905"/>
            <wp:wrapNone/>
            <wp:docPr id="33748433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48433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11120" cy="836295"/>
                    </a:xfrm>
                    <a:prstGeom prst="rect">
                      <a:avLst/>
                    </a:prstGeom>
                  </pic:spPr>
                </pic:pic>
              </a:graphicData>
            </a:graphic>
            <wp14:sizeRelH relativeFrom="margin">
              <wp14:pctWidth>0</wp14:pctWidth>
            </wp14:sizeRelH>
            <wp14:sizeRelV relativeFrom="margin">
              <wp14:pctHeight>0</wp14:pctHeight>
            </wp14:sizeRelV>
          </wp:anchor>
        </w:drawing>
      </w:r>
    </w:p>
    <w:p w14:paraId="7E4D7BFF" w14:textId="724CD0DA" w:rsidR="00E85C97" w:rsidRPr="00B96799" w:rsidRDefault="00E85C97" w:rsidP="00E85C97">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7D9ADC78" w14:textId="7F3DA607" w:rsidR="00E85C97" w:rsidRDefault="00E85C97" w:rsidP="00E85C97">
      <w:pPr>
        <w:spacing w:after="0" w:line="240" w:lineRule="auto"/>
        <w:rPr>
          <w:rFonts w:ascii="Verdana" w:eastAsia="Calibri" w:hAnsi="Verdana" w:cs="Arial"/>
          <w:b/>
          <w:lang w:eastAsia="es-ES_tradnl"/>
        </w:rPr>
      </w:pPr>
      <w:r w:rsidRPr="001B65A5">
        <w:rPr>
          <w:rFonts w:ascii="Verdana" w:eastAsia="Calibri" w:hAnsi="Verdana" w:cs="Arial"/>
          <w:b/>
          <w:lang w:eastAsia="es-ES_tradnl"/>
        </w:rPr>
        <w:t xml:space="preserve">Alejandro Nieto Osorio </w:t>
      </w:r>
    </w:p>
    <w:p w14:paraId="3908EB18" w14:textId="27D778C0" w:rsidR="00E85C97" w:rsidRPr="00A8067B" w:rsidRDefault="00E85C97" w:rsidP="00E85C97">
      <w:pPr>
        <w:spacing w:after="0" w:line="240" w:lineRule="auto"/>
        <w:rPr>
          <w:rFonts w:ascii="Verdana" w:eastAsia="Calibri" w:hAnsi="Verdana" w:cs="Arial"/>
          <w:lang w:val="es-ES" w:eastAsia="es-ES"/>
        </w:rPr>
      </w:pPr>
      <w:r w:rsidRPr="00F34941">
        <w:rPr>
          <w:rFonts w:ascii="Verdana" w:eastAsia="Calibri" w:hAnsi="Verdana" w:cs="Arial"/>
          <w:lang w:val="es-ES" w:eastAsia="es-ES"/>
        </w:rPr>
        <w:t>nietoosorioalejandro@gmail.com</w:t>
      </w:r>
      <w:r w:rsidR="00B24024" w:rsidRPr="00B24024">
        <w:rPr>
          <w:noProof/>
        </w:rPr>
        <w:t xml:space="preserve"> </w:t>
      </w:r>
    </w:p>
    <w:p w14:paraId="262FC92B" w14:textId="77777777" w:rsidR="00E85C97" w:rsidRDefault="00E85C97" w:rsidP="00E85C97">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12453B1C" w14:textId="77777777" w:rsidR="00E85C97" w:rsidRPr="00593A5F" w:rsidRDefault="00E85C97" w:rsidP="00E85C97">
      <w:pPr>
        <w:spacing w:after="0" w:line="240" w:lineRule="auto"/>
        <w:rPr>
          <w:rFonts w:ascii="Verdana" w:eastAsia="Calibri" w:hAnsi="Verdana" w:cs="Arial"/>
          <w:b/>
          <w:bCs/>
          <w:color w:val="000000"/>
          <w:lang w:val="es-ES_tradnl" w:eastAsia="es-ES_tradnl"/>
        </w:rPr>
      </w:pPr>
    </w:p>
    <w:p w14:paraId="04F95567" w14:textId="77777777" w:rsidR="00E85C97" w:rsidRPr="00593A5F" w:rsidRDefault="00E85C97" w:rsidP="00E85C9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85C97" w:rsidRPr="00593A5F" w14:paraId="66FAB4F1" w14:textId="77777777" w:rsidTr="0060171C">
        <w:trPr>
          <w:trHeight w:val="68"/>
        </w:trPr>
        <w:tc>
          <w:tcPr>
            <w:tcW w:w="2689" w:type="dxa"/>
          </w:tcPr>
          <w:p w14:paraId="6C4DF4AE" w14:textId="77777777" w:rsidR="00E85C97" w:rsidRPr="00C00976" w:rsidRDefault="00E85C97" w:rsidP="0060643C">
            <w:pPr>
              <w:jc w:val="both"/>
              <w:rPr>
                <w:rFonts w:ascii="Verdana" w:eastAsia="Calibri" w:hAnsi="Verdana" w:cs="Arial"/>
                <w:b/>
                <w:bCs/>
                <w:color w:val="7030A0"/>
                <w:lang w:val="es-ES_tradnl" w:eastAsia="es-ES_tradnl"/>
              </w:rPr>
            </w:pPr>
          </w:p>
        </w:tc>
        <w:tc>
          <w:tcPr>
            <w:tcW w:w="6100" w:type="dxa"/>
          </w:tcPr>
          <w:p w14:paraId="4B1E075B" w14:textId="77777777" w:rsidR="00E85C97" w:rsidRDefault="00E85C97" w:rsidP="0060643C">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1259 de 2025</w:t>
            </w:r>
          </w:p>
          <w:p w14:paraId="05B0B41F" w14:textId="77777777" w:rsidR="00F01BF0" w:rsidRPr="00C00976" w:rsidRDefault="00F01BF0" w:rsidP="0060643C">
            <w:pPr>
              <w:jc w:val="both"/>
              <w:rPr>
                <w:rFonts w:ascii="Verdana" w:eastAsia="Calibri" w:hAnsi="Verdana" w:cs="Arial"/>
                <w:b/>
                <w:bCs/>
                <w:color w:val="7030A0"/>
                <w:lang w:val="es-ES" w:eastAsia="es-ES"/>
              </w:rPr>
            </w:pPr>
          </w:p>
        </w:tc>
      </w:tr>
      <w:tr w:rsidR="00E85C97" w:rsidRPr="00593A5F" w14:paraId="11C0F1A0" w14:textId="77777777" w:rsidTr="0060643C">
        <w:trPr>
          <w:trHeight w:val="884"/>
        </w:trPr>
        <w:tc>
          <w:tcPr>
            <w:tcW w:w="2689" w:type="dxa"/>
          </w:tcPr>
          <w:p w14:paraId="3AFC7DC8" w14:textId="77777777" w:rsidR="00E85C97" w:rsidRPr="00593A5F" w:rsidRDefault="00E85C97" w:rsidP="0060643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37241A5" w14:textId="77777777" w:rsidR="00E85C97" w:rsidRPr="00A11406" w:rsidRDefault="00E85C97" w:rsidP="0060643C">
            <w:pPr>
              <w:jc w:val="both"/>
              <w:rPr>
                <w:rFonts w:ascii="Verdana" w:eastAsia="Calibri" w:hAnsi="Verdana" w:cs="Arial"/>
                <w:lang w:val="es-ES" w:eastAsia="es-ES"/>
              </w:rPr>
            </w:pPr>
            <w:r w:rsidRPr="006F6A89">
              <w:rPr>
                <w:rFonts w:ascii="Verdana" w:eastAsia="Calibri" w:hAnsi="Verdana" w:cs="Arial"/>
                <w:lang w:val="es-ES" w:eastAsia="es-ES"/>
              </w:rPr>
              <w:t xml:space="preserve">CÁMARAS DE COMERCIO – Naturaleza jurídica – Descentralización por colaboración </w:t>
            </w:r>
            <w:r>
              <w:rPr>
                <w:rFonts w:ascii="Verdana" w:eastAsia="Calibri" w:hAnsi="Verdana" w:cs="Arial"/>
                <w:lang w:val="es-ES" w:eastAsia="es-ES"/>
              </w:rPr>
              <w:t xml:space="preserve">/ </w:t>
            </w:r>
            <w:r w:rsidRPr="006F6A89">
              <w:rPr>
                <w:rFonts w:ascii="Verdana" w:eastAsia="Calibri" w:hAnsi="Verdana" w:cs="Arial"/>
                <w:lang w:val="es-ES" w:eastAsia="es-ES"/>
              </w:rPr>
              <w:t>RÉGIMEN CONTRACTUAL – Cámaras de comercio /</w:t>
            </w:r>
            <w:r w:rsidRPr="1D134702">
              <w:rPr>
                <w:rFonts w:ascii="Verdana" w:eastAsia="Calibri" w:hAnsi="Verdana" w:cs="Arial"/>
                <w:color w:val="000000" w:themeColor="text1"/>
                <w:lang w:val="es-ES" w:eastAsia="es-ES"/>
              </w:rPr>
              <w:t xml:space="preserve"> EMPRESAS SOCIALES DEL ESTADO – Régimen jurídico – Reglas aplicables</w:t>
            </w:r>
            <w:r>
              <w:rPr>
                <w:rFonts w:ascii="Verdana" w:eastAsia="Calibri" w:hAnsi="Verdana" w:cs="Arial"/>
                <w:color w:val="000000" w:themeColor="text1"/>
                <w:lang w:val="es-ES" w:eastAsia="es-ES"/>
              </w:rPr>
              <w:t xml:space="preserve"> </w:t>
            </w:r>
            <w:r w:rsidRPr="007C42DF">
              <w:rPr>
                <w:rFonts w:ascii="Verdana" w:eastAsia="Calibri" w:hAnsi="Verdana" w:cs="Arial"/>
                <w:lang w:val="es-ES" w:eastAsia="es-ES"/>
              </w:rPr>
              <w:t xml:space="preserve">/ </w:t>
            </w:r>
            <w:r w:rsidRPr="0047048A">
              <w:rPr>
                <w:rFonts w:ascii="Verdana" w:eastAsia="Calibri" w:hAnsi="Verdana" w:cs="Arial"/>
                <w:lang w:val="es-ES" w:eastAsia="es-ES"/>
              </w:rPr>
              <w:t>PRINCIPIO DE PUBLICIDAD – SECOP – Documentos del proceso – Deber de publicación</w:t>
            </w:r>
            <w:r>
              <w:rPr>
                <w:rFonts w:ascii="Verdana" w:eastAsia="Calibri" w:hAnsi="Verdana" w:cs="Arial"/>
                <w:lang w:val="es-ES" w:eastAsia="es-ES"/>
              </w:rPr>
              <w:t xml:space="preserve">/ </w:t>
            </w:r>
            <w:r w:rsidRPr="00B0785F">
              <w:rPr>
                <w:rFonts w:ascii="Verdana" w:eastAsia="Calibri" w:hAnsi="Verdana" w:cs="Arial"/>
                <w:lang w:val="es-ES" w:eastAsia="es-ES"/>
              </w:rPr>
              <w:t>DOCUMENTOS DEL PROCESO – Noción – Deber de publicación</w:t>
            </w:r>
            <w:r>
              <w:rPr>
                <w:rFonts w:ascii="Verdana" w:eastAsia="Calibri" w:hAnsi="Verdana" w:cs="Arial"/>
                <w:lang w:val="es-ES" w:eastAsia="es-ES"/>
              </w:rPr>
              <w:t>.</w:t>
            </w:r>
          </w:p>
          <w:p w14:paraId="514CFE34" w14:textId="77777777" w:rsidR="00E85C97" w:rsidRPr="00593A5F" w:rsidRDefault="00E85C97" w:rsidP="0060643C">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E85C97" w:rsidRPr="008E6AD9" w14:paraId="51E1BBE8" w14:textId="77777777" w:rsidTr="0060643C">
        <w:tc>
          <w:tcPr>
            <w:tcW w:w="2689" w:type="dxa"/>
          </w:tcPr>
          <w:p w14:paraId="32024DB5" w14:textId="77777777" w:rsidR="00E85C97" w:rsidRPr="008E6AD9" w:rsidRDefault="00E85C97" w:rsidP="0060643C">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D6BF6A4" w14:textId="1169BE83" w:rsidR="00E85C97" w:rsidRPr="008E6AD9" w:rsidRDefault="00E85C97" w:rsidP="0060643C">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 xml:space="preserve">consulta con radicado No. </w:t>
            </w:r>
            <w:r w:rsidRPr="00A85D6C">
              <w:rPr>
                <w:rFonts w:ascii="Verdana" w:eastAsia="Calibri" w:hAnsi="Verdana" w:cs="Arial"/>
                <w:lang w:val="es-ES_tradnl" w:eastAsia="es-ES_tradnl"/>
              </w:rPr>
              <w:t>1_2025_09_04_009590</w:t>
            </w:r>
            <w:r>
              <w:rPr>
                <w:rFonts w:ascii="Verdana" w:eastAsia="Calibri" w:hAnsi="Verdana" w:cs="Arial"/>
                <w:lang w:val="es-ES_tradnl" w:eastAsia="es-ES_tradnl"/>
              </w:rPr>
              <w:t xml:space="preserve">                                   </w:t>
            </w:r>
          </w:p>
        </w:tc>
      </w:tr>
    </w:tbl>
    <w:p w14:paraId="5BF29450" w14:textId="77777777" w:rsidR="00E85C97" w:rsidRPr="00593A5F" w:rsidRDefault="00E85C97" w:rsidP="00E85C97">
      <w:pPr>
        <w:spacing w:after="0" w:line="240" w:lineRule="auto"/>
        <w:jc w:val="both"/>
        <w:rPr>
          <w:rFonts w:ascii="Verdana" w:eastAsia="Calibri" w:hAnsi="Verdana" w:cs="Arial"/>
          <w:color w:val="000000"/>
          <w:lang w:val="es-ES_tradnl" w:eastAsia="es-ES_tradnl"/>
        </w:rPr>
      </w:pPr>
    </w:p>
    <w:p w14:paraId="0430A386" w14:textId="77777777" w:rsidR="00E85C97" w:rsidRPr="00593A5F" w:rsidRDefault="00E85C97" w:rsidP="00E85C97">
      <w:pPr>
        <w:spacing w:after="0" w:line="240" w:lineRule="auto"/>
        <w:jc w:val="both"/>
        <w:rPr>
          <w:rFonts w:ascii="Verdana" w:eastAsia="Calibri" w:hAnsi="Verdana" w:cs="Arial"/>
          <w:color w:val="000000"/>
          <w:lang w:val="es-ES_tradnl" w:eastAsia="es-ES_tradnl"/>
        </w:rPr>
      </w:pPr>
    </w:p>
    <w:p w14:paraId="58FDF2B7" w14:textId="77777777" w:rsidR="00E85C97" w:rsidRPr="008E6AD9" w:rsidRDefault="00E85C97" w:rsidP="00E85C97">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señor</w:t>
      </w:r>
      <w:r>
        <w:rPr>
          <w:rFonts w:ascii="Verdana" w:eastAsia="Calibri" w:hAnsi="Verdana" w:cs="Arial"/>
          <w:lang w:val="es-ES" w:eastAsia="es-ES"/>
        </w:rPr>
        <w:t xml:space="preserve"> Alejandro</w:t>
      </w:r>
      <w:r w:rsidRPr="008E6AD9">
        <w:rPr>
          <w:rFonts w:ascii="Verdana" w:eastAsia="Calibri" w:hAnsi="Verdana" w:cs="Arial"/>
          <w:lang w:val="es-ES" w:eastAsia="es-ES"/>
        </w:rPr>
        <w:t xml:space="preserve">: </w:t>
      </w:r>
    </w:p>
    <w:p w14:paraId="215548AC" w14:textId="77777777" w:rsidR="00E85C97" w:rsidRDefault="00E85C97" w:rsidP="00E85C9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FD1C16E" w14:textId="77777777" w:rsidR="00E85C97" w:rsidRPr="00593A5F" w:rsidRDefault="00E85C97" w:rsidP="00E85C97">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3F6B45">
        <w:rPr>
          <w:rFonts w:ascii="Verdana" w:eastAsia="Calibri" w:hAnsi="Verdana" w:cs="Arial"/>
          <w:lang w:val="es-ES" w:eastAsia="es-ES"/>
        </w:rPr>
        <w:t>fecha 4 de septiembre de 2025, en la cual manifiesta lo siguiente</w:t>
      </w:r>
      <w:r w:rsidRPr="00664609">
        <w:rPr>
          <w:rFonts w:ascii="Verdana" w:eastAsia="Calibri" w:hAnsi="Verdana" w:cs="Arial"/>
          <w:lang w:val="es-ES" w:eastAsia="es-ES"/>
        </w:rPr>
        <w:t xml:space="preserve">: </w:t>
      </w:r>
    </w:p>
    <w:p w14:paraId="0CF675BA" w14:textId="77777777" w:rsidR="00E85C97" w:rsidRPr="00272A7B" w:rsidRDefault="00E85C97" w:rsidP="00E85C97">
      <w:pPr>
        <w:pStyle w:val="Prrafodelista"/>
        <w:tabs>
          <w:tab w:val="left" w:pos="142"/>
          <w:tab w:val="left" w:pos="284"/>
        </w:tabs>
        <w:spacing w:after="0" w:line="276" w:lineRule="auto"/>
        <w:ind w:left="0"/>
        <w:jc w:val="both"/>
        <w:rPr>
          <w:rFonts w:ascii="Verdana" w:eastAsia="Century Gothic" w:hAnsi="Verdana" w:cs="Century Gothic"/>
          <w:b/>
          <w:bCs/>
        </w:rPr>
      </w:pPr>
    </w:p>
    <w:p w14:paraId="660F0F19" w14:textId="77777777" w:rsidR="00E85C97" w:rsidRPr="00D210F5" w:rsidRDefault="00E85C97" w:rsidP="00E85C97">
      <w:pPr>
        <w:spacing w:after="120" w:line="240" w:lineRule="auto"/>
        <w:ind w:left="709" w:right="709"/>
        <w:jc w:val="both"/>
        <w:rPr>
          <w:rStyle w:val="normaltextrun"/>
          <w:rFonts w:ascii="Verdana" w:hAnsi="Verdana" w:cs="Arial"/>
          <w:sz w:val="20"/>
          <w:szCs w:val="20"/>
          <w:shd w:val="clear" w:color="auto" w:fill="FFFFFF"/>
          <w:lang w:val="es-ES"/>
        </w:rPr>
      </w:pPr>
      <w:bookmarkStart w:id="1" w:name="_Hlk95313578"/>
      <w:r w:rsidRPr="00D210F5">
        <w:rPr>
          <w:rFonts w:ascii="Verdana" w:eastAsia="Century Gothic" w:hAnsi="Verdana" w:cs="Century Gothic"/>
          <w:sz w:val="20"/>
          <w:szCs w:val="20"/>
          <w:lang w:val="es-ES"/>
        </w:rPr>
        <w:t>“</w:t>
      </w:r>
      <w:bookmarkEnd w:id="1"/>
      <w:r w:rsidRPr="00D210F5">
        <w:rPr>
          <w:rFonts w:ascii="Verdana" w:eastAsia="Century Gothic" w:hAnsi="Verdana" w:cs="Century Gothic"/>
          <w:sz w:val="20"/>
          <w:szCs w:val="20"/>
          <w:lang w:val="es-ES"/>
        </w:rPr>
        <w:t>[…]</w:t>
      </w:r>
    </w:p>
    <w:p w14:paraId="6AC32A90" w14:textId="77777777" w:rsidR="00E85C97" w:rsidRPr="001138EE" w:rsidRDefault="00E85C97" w:rsidP="00E85C97">
      <w:pPr>
        <w:spacing w:after="120" w:line="240" w:lineRule="auto"/>
        <w:ind w:left="709" w:right="709"/>
        <w:jc w:val="both"/>
        <w:rPr>
          <w:rFonts w:ascii="Verdana" w:eastAsia="Century Gothic" w:hAnsi="Verdana" w:cs="Century Gothic"/>
          <w:sz w:val="20"/>
          <w:szCs w:val="20"/>
        </w:rPr>
      </w:pPr>
      <w:r w:rsidRPr="001138EE">
        <w:rPr>
          <w:rFonts w:ascii="Verdana" w:eastAsia="Century Gothic" w:hAnsi="Verdana" w:cs="Century Gothic"/>
          <w:sz w:val="20"/>
          <w:szCs w:val="20"/>
        </w:rPr>
        <w:t>1. ¿Las entidades estatales sometidas a régimen especial de contratación, como</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las Cámaras de Comercio y las Empresas Sociales del Estado, se encuentran</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obligadas a publicar en el SECOP II sus procesos contractuales?</w:t>
      </w:r>
    </w:p>
    <w:p w14:paraId="5C44D983" w14:textId="77777777" w:rsidR="00E85C97" w:rsidRPr="001138EE" w:rsidRDefault="00E85C97" w:rsidP="00E85C97">
      <w:pPr>
        <w:spacing w:after="120" w:line="240" w:lineRule="auto"/>
        <w:ind w:left="709" w:right="709"/>
        <w:jc w:val="both"/>
        <w:rPr>
          <w:rFonts w:ascii="Verdana" w:eastAsia="Century Gothic" w:hAnsi="Verdana" w:cs="Century Gothic"/>
          <w:sz w:val="20"/>
          <w:szCs w:val="20"/>
        </w:rPr>
      </w:pPr>
      <w:r w:rsidRPr="001138EE">
        <w:rPr>
          <w:rFonts w:ascii="Verdana" w:eastAsia="Century Gothic" w:hAnsi="Verdana" w:cs="Century Gothic"/>
          <w:sz w:val="20"/>
          <w:szCs w:val="20"/>
        </w:rPr>
        <w:t>2. En caso afirmativo, agradecería confirmar si la obligación de publicación</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comprende todos los documentos que hacen parte del proceso contractual</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(pliegos, actas, informes, etc.), o si únicamente se debe publicar el contrato</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suscrito.</w:t>
      </w:r>
    </w:p>
    <w:p w14:paraId="58595273" w14:textId="77777777" w:rsidR="00E85C97" w:rsidRPr="001138EE" w:rsidRDefault="00E85C97" w:rsidP="00E85C97">
      <w:pPr>
        <w:spacing w:after="120" w:line="240" w:lineRule="auto"/>
        <w:ind w:left="709" w:right="709"/>
        <w:jc w:val="both"/>
        <w:rPr>
          <w:rFonts w:ascii="Verdana" w:eastAsia="Century Gothic" w:hAnsi="Verdana" w:cs="Century Gothic"/>
          <w:sz w:val="20"/>
          <w:szCs w:val="20"/>
        </w:rPr>
      </w:pPr>
      <w:r w:rsidRPr="001138EE">
        <w:rPr>
          <w:rFonts w:ascii="Verdana" w:eastAsia="Century Gothic" w:hAnsi="Verdana" w:cs="Century Gothic"/>
          <w:sz w:val="20"/>
          <w:szCs w:val="20"/>
        </w:rPr>
        <w:lastRenderedPageBreak/>
        <w:t>3. En el evento de que una entidad sujeta a régimen especial publique únicamente</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el contrato en el SECOP II, ¿ello constituiría un incumplimiento de las</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obligaciones normativas en materia de publicidad contractual?</w:t>
      </w:r>
    </w:p>
    <w:p w14:paraId="75BCFA23" w14:textId="77777777" w:rsidR="00E85C97" w:rsidRPr="00D210F5" w:rsidRDefault="00E85C97" w:rsidP="00E85C97">
      <w:pPr>
        <w:spacing w:after="120" w:line="240" w:lineRule="auto"/>
        <w:ind w:left="709" w:right="709"/>
        <w:jc w:val="both"/>
        <w:rPr>
          <w:rFonts w:ascii="Verdana" w:eastAsia="Century Gothic" w:hAnsi="Verdana" w:cs="Century Gothic"/>
          <w:sz w:val="20"/>
          <w:szCs w:val="20"/>
        </w:rPr>
      </w:pPr>
      <w:r w:rsidRPr="001138EE">
        <w:rPr>
          <w:rFonts w:ascii="Verdana" w:eastAsia="Century Gothic" w:hAnsi="Verdana" w:cs="Century Gothic"/>
          <w:sz w:val="20"/>
          <w:szCs w:val="20"/>
        </w:rPr>
        <w:t>4. Para efectos de la publicación en el SECOP II, el término de tres (3) días</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establecido en el artículo 2.2.1.1.1.7.1 del Decreto 1082 de 2015, ¿debe</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contabilizarse a partir de la fecha de elaboración del documento respectivo o</w:t>
      </w:r>
      <w:r>
        <w:rPr>
          <w:rFonts w:ascii="Verdana" w:eastAsia="Century Gothic" w:hAnsi="Verdana" w:cs="Century Gothic"/>
          <w:sz w:val="20"/>
          <w:szCs w:val="20"/>
        </w:rPr>
        <w:t xml:space="preserve"> </w:t>
      </w:r>
      <w:r w:rsidRPr="001138EE">
        <w:rPr>
          <w:rFonts w:ascii="Verdana" w:eastAsia="Century Gothic" w:hAnsi="Verdana" w:cs="Century Gothic"/>
          <w:sz w:val="20"/>
          <w:szCs w:val="20"/>
        </w:rPr>
        <w:t xml:space="preserve">desde la fecha de celebración del contrato? </w:t>
      </w:r>
      <w:r w:rsidRPr="00D210F5">
        <w:rPr>
          <w:rFonts w:ascii="Verdana" w:eastAsia="Century Gothic" w:hAnsi="Verdana" w:cs="Century Gothic"/>
          <w:sz w:val="20"/>
          <w:szCs w:val="20"/>
        </w:rPr>
        <w:t>[…]</w:t>
      </w:r>
    </w:p>
    <w:p w14:paraId="6DD51449" w14:textId="77777777" w:rsidR="00E85C97" w:rsidRPr="00D210F5" w:rsidRDefault="00E85C97" w:rsidP="00E85C97">
      <w:pPr>
        <w:spacing w:after="0" w:line="240" w:lineRule="auto"/>
        <w:ind w:left="709" w:right="709"/>
        <w:jc w:val="both"/>
        <w:rPr>
          <w:rFonts w:ascii="Verdana" w:eastAsia="Century Gothic" w:hAnsi="Verdana" w:cs="Century Gothic"/>
          <w:sz w:val="20"/>
          <w:szCs w:val="20"/>
        </w:rPr>
      </w:pPr>
      <w:r w:rsidRPr="00D210F5">
        <w:rPr>
          <w:rFonts w:ascii="Verdana" w:eastAsia="Century Gothic" w:hAnsi="Verdana" w:cs="Century Gothic"/>
          <w:sz w:val="20"/>
          <w:szCs w:val="20"/>
        </w:rPr>
        <w:t>[…]</w:t>
      </w:r>
      <w:r w:rsidRPr="00D210F5">
        <w:rPr>
          <w:rFonts w:ascii="Verdana" w:eastAsia="Century Gothic" w:hAnsi="Verdana" w:cs="Century Gothic"/>
          <w:sz w:val="20"/>
          <w:szCs w:val="20"/>
          <w:lang w:val="es-ES"/>
        </w:rPr>
        <w:t>”.</w:t>
      </w:r>
      <w:r w:rsidRPr="00D210F5">
        <w:rPr>
          <w:rFonts w:ascii="Verdana" w:eastAsia="Century Gothic" w:hAnsi="Verdana" w:cs="Century Gothic"/>
          <w:sz w:val="18"/>
          <w:szCs w:val="18"/>
          <w:lang w:val="es-ES"/>
        </w:rPr>
        <w:t xml:space="preserve"> </w:t>
      </w:r>
    </w:p>
    <w:p w14:paraId="2278333A" w14:textId="77777777" w:rsidR="00E85C97" w:rsidRPr="008E6AD9" w:rsidRDefault="00E85C97" w:rsidP="00E85C97">
      <w:pPr>
        <w:pStyle w:val="Prrafodelista"/>
        <w:tabs>
          <w:tab w:val="left" w:pos="142"/>
          <w:tab w:val="left" w:pos="284"/>
        </w:tabs>
        <w:spacing w:after="0" w:line="276" w:lineRule="auto"/>
        <w:ind w:left="0"/>
        <w:jc w:val="both"/>
        <w:rPr>
          <w:rFonts w:ascii="Verdana" w:eastAsia="Century Gothic" w:hAnsi="Verdana" w:cs="Century Gothic"/>
          <w:b/>
          <w:bCs/>
        </w:rPr>
      </w:pPr>
    </w:p>
    <w:p w14:paraId="7851F18A" w14:textId="77777777" w:rsidR="00E85C97" w:rsidRPr="00A652FF" w:rsidRDefault="00E85C97" w:rsidP="00E85C97">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AAC212F" w14:textId="77777777" w:rsidR="00E85C97" w:rsidRDefault="00E85C97" w:rsidP="00E85C97">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Conforme lo expuesto, en aras de satisfacer el derecho fundamental de petición se resolverá su </w:t>
      </w:r>
      <w:r>
        <w:rPr>
          <w:rFonts w:ascii="Verdana" w:eastAsia="Calibri" w:hAnsi="Verdana" w:cs="Arial"/>
          <w:color w:val="000000"/>
          <w:lang w:val="es-ES" w:eastAsia="es-ES"/>
        </w:rPr>
        <w:t>solicitud</w:t>
      </w:r>
      <w:r w:rsidRPr="00593A5F">
        <w:rPr>
          <w:rFonts w:ascii="Verdana" w:eastAsia="Calibri" w:hAnsi="Verdana" w:cs="Arial"/>
          <w:color w:val="000000"/>
          <w:lang w:val="es-ES" w:eastAsia="es-ES"/>
        </w:rPr>
        <w:t xml:space="preserve">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que hayan motivado la petición</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881F133" w14:textId="77777777" w:rsidR="00E85C97" w:rsidRPr="00593A5F" w:rsidRDefault="00E85C97" w:rsidP="00B45665">
      <w:pPr>
        <w:spacing w:after="0" w:line="276" w:lineRule="auto"/>
        <w:ind w:firstLine="709"/>
        <w:jc w:val="both"/>
        <w:rPr>
          <w:rFonts w:ascii="Verdana" w:eastAsia="Calibri" w:hAnsi="Verdana" w:cs="Arial"/>
          <w:color w:val="000000"/>
          <w:lang w:val="es-ES" w:eastAsia="es-ES"/>
        </w:rPr>
      </w:pPr>
    </w:p>
    <w:p w14:paraId="6C0F055F" w14:textId="77777777" w:rsidR="00E85C97" w:rsidRPr="00593A5F" w:rsidRDefault="00E85C97" w:rsidP="006017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174DF12B" w14:textId="77777777" w:rsidR="00E85C97" w:rsidRPr="00593A5F" w:rsidRDefault="00E85C97" w:rsidP="00B45665">
      <w:pPr>
        <w:tabs>
          <w:tab w:val="left" w:pos="426"/>
        </w:tabs>
        <w:spacing w:after="0" w:line="276" w:lineRule="auto"/>
        <w:jc w:val="both"/>
        <w:rPr>
          <w:rFonts w:ascii="Verdana" w:eastAsia="Century Gothic" w:hAnsi="Verdana" w:cs="Century Gothic"/>
          <w:lang w:val="es-ES"/>
        </w:rPr>
      </w:pPr>
    </w:p>
    <w:p w14:paraId="2429C894" w14:textId="7C4041D1" w:rsidR="00E85C97" w:rsidRPr="00593A5F" w:rsidRDefault="00E85C97" w:rsidP="00B45665">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w:t>
      </w:r>
      <w:r w:rsidRPr="003B3BDB">
        <w:rPr>
          <w:rFonts w:ascii="Verdana" w:eastAsia="Century Gothic" w:hAnsi="Verdana" w:cs="Century Gothic"/>
        </w:rPr>
        <w:t xml:space="preserve">contenido de su </w:t>
      </w:r>
      <w:r w:rsidRPr="000B433F">
        <w:rPr>
          <w:rFonts w:ascii="Verdana" w:eastAsia="Century Gothic" w:hAnsi="Verdana" w:cs="Century Gothic"/>
        </w:rPr>
        <w:t>solicitud, esta Agencia resolverá el siguiente problema jurídico: i. ¿</w:t>
      </w:r>
      <w:r w:rsidRPr="00287DD8">
        <w:rPr>
          <w:rFonts w:ascii="Verdana" w:eastAsia="Century Gothic" w:hAnsi="Verdana" w:cs="Century Gothic"/>
        </w:rPr>
        <w:t>E</w:t>
      </w:r>
      <w:r w:rsidRPr="000B433F">
        <w:rPr>
          <w:rFonts w:ascii="Verdana" w:eastAsia="Century Gothic" w:hAnsi="Verdana" w:cs="Century Gothic"/>
        </w:rPr>
        <w:t xml:space="preserve">stán obligadas las Cámaras de Comercio </w:t>
      </w:r>
      <w:r w:rsidRPr="00287DD8">
        <w:rPr>
          <w:rFonts w:ascii="Verdana" w:eastAsia="Century Gothic" w:hAnsi="Verdana" w:cs="Century Gothic"/>
        </w:rPr>
        <w:t xml:space="preserve">y las </w:t>
      </w:r>
      <w:r w:rsidR="00712B2F">
        <w:rPr>
          <w:rFonts w:ascii="Verdana" w:eastAsia="Century Gothic" w:hAnsi="Verdana" w:cs="Century Gothic"/>
        </w:rPr>
        <w:t>E</w:t>
      </w:r>
      <w:r w:rsidR="00712B2F" w:rsidRPr="00287DD8">
        <w:rPr>
          <w:rFonts w:ascii="Verdana" w:eastAsia="Century Gothic" w:hAnsi="Verdana" w:cs="Century Gothic"/>
        </w:rPr>
        <w:t xml:space="preserve">mpresas </w:t>
      </w:r>
      <w:r w:rsidR="00712B2F">
        <w:rPr>
          <w:rFonts w:ascii="Verdana" w:eastAsia="Century Gothic" w:hAnsi="Verdana" w:cs="Century Gothic"/>
        </w:rPr>
        <w:t>S</w:t>
      </w:r>
      <w:r w:rsidR="00712B2F" w:rsidRPr="00287DD8">
        <w:rPr>
          <w:rFonts w:ascii="Verdana" w:eastAsia="Century Gothic" w:hAnsi="Verdana" w:cs="Century Gothic"/>
        </w:rPr>
        <w:t xml:space="preserve">ociales </w:t>
      </w:r>
      <w:r w:rsidR="007E260D">
        <w:rPr>
          <w:rFonts w:ascii="Verdana" w:eastAsia="Century Gothic" w:hAnsi="Verdana" w:cs="Century Gothic"/>
        </w:rPr>
        <w:t xml:space="preserve">del Estado </w:t>
      </w:r>
      <w:r w:rsidRPr="000B433F">
        <w:rPr>
          <w:rFonts w:ascii="Verdana" w:eastAsia="Century Gothic" w:hAnsi="Verdana" w:cs="Century Gothic"/>
        </w:rPr>
        <w:t xml:space="preserve">a publicar </w:t>
      </w:r>
      <w:r w:rsidRPr="00287DD8">
        <w:rPr>
          <w:rFonts w:ascii="Verdana" w:eastAsia="Century Gothic" w:hAnsi="Verdana" w:cs="Century Gothic"/>
        </w:rPr>
        <w:t xml:space="preserve">su actividad contractual en el SECOP II? </w:t>
      </w:r>
      <w:proofErr w:type="spellStart"/>
      <w:r w:rsidRPr="000B433F">
        <w:rPr>
          <w:rFonts w:ascii="Verdana" w:eastAsia="Calibri" w:hAnsi="Verdana" w:cs="Arial"/>
          <w:bCs/>
          <w:color w:val="000000" w:themeColor="text1"/>
        </w:rPr>
        <w:t>ii</w:t>
      </w:r>
      <w:proofErr w:type="spellEnd"/>
      <w:r w:rsidRPr="000B433F">
        <w:rPr>
          <w:rFonts w:ascii="Verdana" w:eastAsia="Calibri" w:hAnsi="Verdana" w:cs="Arial"/>
          <w:bCs/>
          <w:color w:val="000000" w:themeColor="text1"/>
        </w:rPr>
        <w:t xml:space="preserve">. </w:t>
      </w:r>
      <w:r w:rsidRPr="000B433F">
        <w:rPr>
          <w:rFonts w:ascii="Verdana" w:eastAsia="Century Gothic" w:hAnsi="Verdana" w:cs="Century Gothic"/>
        </w:rPr>
        <w:t xml:space="preserve">¿Cuáles documentos del proceso deben ser publicados </w:t>
      </w:r>
      <w:r>
        <w:rPr>
          <w:rFonts w:ascii="Verdana" w:eastAsia="Century Gothic" w:hAnsi="Verdana" w:cs="Century Gothic"/>
        </w:rPr>
        <w:t>y cuál es el término para hacerlo</w:t>
      </w:r>
      <w:r w:rsidRPr="004B69DE">
        <w:rPr>
          <w:rFonts w:ascii="Verdana" w:eastAsia="Century Gothic" w:hAnsi="Verdana" w:cs="Century Gothic"/>
        </w:rPr>
        <w:t>?</w:t>
      </w:r>
    </w:p>
    <w:p w14:paraId="720093F4" w14:textId="77777777" w:rsidR="00E85C97" w:rsidRPr="004B140F" w:rsidRDefault="00E85C97" w:rsidP="00B45665">
      <w:pPr>
        <w:pStyle w:val="Textoindependiente"/>
        <w:spacing w:line="276" w:lineRule="auto"/>
        <w:ind w:left="260" w:right="253"/>
        <w:jc w:val="both"/>
        <w:rPr>
          <w:rFonts w:eastAsia="Calibri" w:cs="Arial"/>
          <w:color w:val="7030A0"/>
        </w:rPr>
      </w:pPr>
      <w:r w:rsidRPr="004D7DD2">
        <w:rPr>
          <w:rFonts w:eastAsia="Century Gothic" w:cs="Century Gothic"/>
        </w:rPr>
        <w:t xml:space="preserve"> </w:t>
      </w:r>
      <w:r>
        <w:rPr>
          <w:rFonts w:eastAsia="Century Gothic" w:cs="Century Gothic"/>
        </w:rPr>
        <w:t xml:space="preserve"> </w:t>
      </w:r>
      <w:r w:rsidRPr="00C00976">
        <w:rPr>
          <w:rFonts w:eastAsia="Century Gothic" w:cs="Century Gothic"/>
          <w:color w:val="7030A0"/>
        </w:rPr>
        <w:t xml:space="preserve"> </w:t>
      </w:r>
      <w:r>
        <w:rPr>
          <w:rFonts w:eastAsia="Century Gothic" w:cs="Century Gothic"/>
          <w:color w:val="7030A0"/>
        </w:rPr>
        <w:t xml:space="preserve"> </w:t>
      </w:r>
    </w:p>
    <w:p w14:paraId="1B38EEB4" w14:textId="77777777" w:rsidR="00E85C97" w:rsidRPr="00593A5F" w:rsidRDefault="00E85C97" w:rsidP="00B4566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722A3AFE" w14:textId="77777777" w:rsidR="00E85C97" w:rsidRPr="00593A5F" w:rsidRDefault="00E85C97" w:rsidP="00B4566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5C97" w:rsidRPr="00593A5F" w14:paraId="1EDF0CDC" w14:textId="77777777" w:rsidTr="0060643C">
        <w:trPr>
          <w:jc w:val="center"/>
        </w:trPr>
        <w:tc>
          <w:tcPr>
            <w:tcW w:w="8828" w:type="dxa"/>
          </w:tcPr>
          <w:p w14:paraId="592606AD" w14:textId="77777777" w:rsidR="00E85C97" w:rsidRDefault="00E85C97" w:rsidP="0060643C">
            <w:pPr>
              <w:pStyle w:val="Prrafodelista"/>
              <w:numPr>
                <w:ilvl w:val="0"/>
                <w:numId w:val="19"/>
              </w:numPr>
              <w:spacing w:after="120" w:line="276" w:lineRule="auto"/>
              <w:ind w:left="0" w:firstLine="0"/>
              <w:jc w:val="both"/>
              <w:rPr>
                <w:rFonts w:ascii="Verdana" w:eastAsia="Calibri" w:hAnsi="Verdana" w:cs="Arial"/>
                <w:color w:val="000000" w:themeColor="text1"/>
                <w:lang w:eastAsia="es-ES"/>
              </w:rPr>
            </w:pPr>
            <w:bookmarkStart w:id="2" w:name="_Hlk171694685"/>
            <w:r>
              <w:rPr>
                <w:rFonts w:ascii="Verdana" w:eastAsia="Calibri" w:hAnsi="Verdana" w:cs="Arial"/>
                <w:color w:val="000000" w:themeColor="text1"/>
                <w:lang w:eastAsia="es-ES"/>
              </w:rPr>
              <w:lastRenderedPageBreak/>
              <w:t>L</w:t>
            </w:r>
            <w:r w:rsidRPr="005B504E">
              <w:rPr>
                <w:rFonts w:ascii="Verdana" w:eastAsia="Calibri" w:hAnsi="Verdana" w:cs="Arial"/>
                <w:color w:val="000000" w:themeColor="text1"/>
                <w:lang w:eastAsia="es-ES"/>
              </w:rPr>
              <w:t xml:space="preserve">as </w:t>
            </w:r>
            <w:r>
              <w:rPr>
                <w:rFonts w:ascii="Verdana" w:eastAsia="Calibri" w:hAnsi="Verdana" w:cs="Arial"/>
                <w:color w:val="000000" w:themeColor="text1"/>
                <w:lang w:eastAsia="es-ES"/>
              </w:rPr>
              <w:t>C</w:t>
            </w:r>
            <w:r w:rsidRPr="005B504E">
              <w:rPr>
                <w:rFonts w:ascii="Verdana" w:eastAsia="Calibri" w:hAnsi="Verdana" w:cs="Arial"/>
                <w:color w:val="000000" w:themeColor="text1"/>
                <w:lang w:eastAsia="es-ES"/>
              </w:rPr>
              <w:t>á</w:t>
            </w:r>
            <w:r>
              <w:rPr>
                <w:rFonts w:ascii="Verdana" w:eastAsia="Calibri" w:hAnsi="Verdana" w:cs="Arial"/>
                <w:color w:val="000000" w:themeColor="text1"/>
                <w:lang w:eastAsia="es-ES"/>
              </w:rPr>
              <w:t>maras de Comercio</w:t>
            </w:r>
            <w:r w:rsidRPr="005B504E">
              <w:rPr>
                <w:rFonts w:ascii="Verdana" w:eastAsia="Calibri" w:hAnsi="Verdana" w:cs="Arial"/>
                <w:color w:val="000000" w:themeColor="text1"/>
                <w:lang w:eastAsia="es-ES"/>
              </w:rPr>
              <w:t xml:space="preserve"> </w:t>
            </w:r>
            <w:r>
              <w:rPr>
                <w:rFonts w:ascii="Verdana" w:eastAsia="Arial" w:hAnsi="Verdana" w:cs="Arial"/>
                <w:color w:val="000000"/>
              </w:rPr>
              <w:t xml:space="preserve">son </w:t>
            </w:r>
            <w:r w:rsidRPr="00557EBA">
              <w:rPr>
                <w:rFonts w:ascii="Verdana" w:eastAsia="Arial" w:hAnsi="Verdana" w:cs="Arial"/>
                <w:color w:val="000000"/>
              </w:rPr>
              <w:t xml:space="preserve">instituciones </w:t>
            </w:r>
            <w:r>
              <w:rPr>
                <w:rFonts w:ascii="Verdana" w:eastAsia="Arial" w:hAnsi="Verdana" w:cs="Arial"/>
                <w:color w:val="000000"/>
              </w:rPr>
              <w:t>d</w:t>
            </w:r>
            <w:r w:rsidRPr="00557EBA">
              <w:rPr>
                <w:rFonts w:ascii="Verdana" w:eastAsia="Arial" w:hAnsi="Verdana" w:cs="Arial"/>
                <w:color w:val="000000"/>
              </w:rPr>
              <w:t>e orden legal con personería jurídica, creadas por el Gobierno Nacional, de oficio o a petición de los comerciantes del territorio donde hayan de operar</w:t>
            </w:r>
            <w:r>
              <w:rPr>
                <w:rFonts w:ascii="Verdana" w:eastAsia="Arial" w:hAnsi="Verdana" w:cs="Arial"/>
                <w:color w:val="000000"/>
              </w:rPr>
              <w:t>. Dichas instituciones se encuentran habilitadas para el ejercicio de determinadas funciones públicas como, por ejemplo, l</w:t>
            </w:r>
            <w:r w:rsidRPr="00557EBA">
              <w:rPr>
                <w:rFonts w:ascii="Verdana" w:eastAsia="Arial" w:hAnsi="Verdana" w:cs="Arial"/>
                <w:color w:val="000000"/>
              </w:rPr>
              <w:t>levar el registro mercantil y certificar sobre los actos y documentos inscritos</w:t>
            </w:r>
            <w:r>
              <w:rPr>
                <w:rFonts w:ascii="Verdana" w:eastAsia="Arial" w:hAnsi="Verdana" w:cs="Arial"/>
                <w:color w:val="000000"/>
              </w:rPr>
              <w:t xml:space="preserve"> en éste </w:t>
            </w:r>
            <w:r w:rsidRPr="00593A5F">
              <w:rPr>
                <w:rFonts w:ascii="Verdana" w:eastAsia="Calibri" w:hAnsi="Verdana" w:cs="Arial"/>
                <w:color w:val="000000" w:themeColor="text1"/>
                <w:lang w:eastAsia="es-ES"/>
              </w:rPr>
              <w:t>–</w:t>
            </w:r>
            <w:r>
              <w:rPr>
                <w:rFonts w:ascii="Verdana" w:eastAsia="Calibri" w:hAnsi="Verdana" w:cs="Arial"/>
                <w:color w:val="000000" w:themeColor="text1"/>
                <w:lang w:eastAsia="es-ES"/>
              </w:rPr>
              <w:t>art. 86.3 del Código de Comercio</w:t>
            </w:r>
            <w:r w:rsidRPr="00593A5F">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administrar el registro único de proponentes </w:t>
            </w:r>
            <w:r w:rsidRPr="00593A5F">
              <w:rPr>
                <w:rFonts w:ascii="Verdana" w:eastAsia="Calibri" w:hAnsi="Verdana" w:cs="Arial"/>
                <w:color w:val="000000" w:themeColor="text1"/>
                <w:lang w:eastAsia="es-ES"/>
              </w:rPr>
              <w:t>–</w:t>
            </w:r>
            <w:r>
              <w:rPr>
                <w:rFonts w:ascii="Verdana" w:eastAsia="Calibri" w:hAnsi="Verdana" w:cs="Arial"/>
                <w:color w:val="000000" w:themeColor="text1"/>
                <w:lang w:eastAsia="es-ES"/>
              </w:rPr>
              <w:t>art. 6 de la Ley 1150 de 2007</w:t>
            </w:r>
            <w:r w:rsidRPr="00593A5F">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o llevar el registro único empresarial y social </w:t>
            </w:r>
            <w:r w:rsidRPr="00593A5F">
              <w:rPr>
                <w:rFonts w:ascii="Verdana" w:eastAsia="Calibri" w:hAnsi="Verdana" w:cs="Arial"/>
                <w:color w:val="000000" w:themeColor="text1"/>
                <w:lang w:eastAsia="es-ES"/>
              </w:rPr>
              <w:t>–</w:t>
            </w:r>
            <w:r>
              <w:rPr>
                <w:rFonts w:ascii="Verdana" w:eastAsia="Calibri" w:hAnsi="Verdana" w:cs="Arial"/>
                <w:color w:val="000000" w:themeColor="text1"/>
                <w:lang w:eastAsia="es-ES"/>
              </w:rPr>
              <w:t>art. 116 del Decreto Ley 019 de 2012</w:t>
            </w:r>
            <w:r w:rsidRPr="00593A5F">
              <w:rPr>
                <w:rFonts w:ascii="Verdana" w:eastAsia="Calibri" w:hAnsi="Verdana" w:cs="Arial"/>
                <w:color w:val="000000" w:themeColor="text1"/>
                <w:lang w:eastAsia="es-ES"/>
              </w:rPr>
              <w:t>–</w:t>
            </w:r>
            <w:r>
              <w:rPr>
                <w:rFonts w:ascii="Verdana" w:eastAsia="Calibri" w:hAnsi="Verdana" w:cs="Arial"/>
                <w:color w:val="000000" w:themeColor="text1"/>
                <w:lang w:eastAsia="es-ES"/>
              </w:rPr>
              <w:t>.</w:t>
            </w:r>
            <w:r>
              <w:rPr>
                <w:rFonts w:ascii="Verdana" w:eastAsia="Arial" w:hAnsi="Verdana" w:cs="Arial"/>
                <w:color w:val="000000"/>
              </w:rPr>
              <w:t xml:space="preserve"> </w:t>
            </w:r>
            <w:r w:rsidRPr="005B504E">
              <w:rPr>
                <w:rFonts w:ascii="Verdana" w:eastAsia="Calibri" w:hAnsi="Verdana" w:cs="Arial"/>
                <w:color w:val="000000" w:themeColor="text1"/>
                <w:lang w:eastAsia="es-ES"/>
              </w:rPr>
              <w:t>y, en virtud de lo dispuesto en el artículo 3 de la Ley 1150 de 2007, la Ley 1712 de 2014 y el artículo 53 de la Ley 2195 de 2022, se encuentran obligadas a publicar en el SECOP II los documentos de su actividad contractual cuya fuente de financiación sea con recursos públicos, sin perjuicio de estar sometidas a</w:t>
            </w:r>
            <w:r>
              <w:rPr>
                <w:rFonts w:ascii="Verdana" w:eastAsia="Calibri" w:hAnsi="Verdana" w:cs="Arial"/>
                <w:color w:val="000000" w:themeColor="text1"/>
                <w:lang w:eastAsia="es-ES"/>
              </w:rPr>
              <w:t xml:space="preserve"> </w:t>
            </w:r>
            <w:r w:rsidRPr="005B504E">
              <w:rPr>
                <w:rFonts w:ascii="Verdana" w:eastAsia="Calibri" w:hAnsi="Verdana" w:cs="Arial"/>
                <w:color w:val="000000" w:themeColor="text1"/>
                <w:lang w:eastAsia="es-ES"/>
              </w:rPr>
              <w:t>regímenes de derecho privado.</w:t>
            </w:r>
          </w:p>
          <w:p w14:paraId="22DB03F9" w14:textId="7DAB84E0" w:rsidR="00E85C97" w:rsidRDefault="003F175B" w:rsidP="0060643C">
            <w:pPr>
              <w:spacing w:after="120" w:line="276" w:lineRule="auto"/>
              <w:ind w:firstLine="709"/>
              <w:jc w:val="both"/>
              <w:rPr>
                <w:rFonts w:ascii="Verdana" w:eastAsia="Arial" w:hAnsi="Verdana" w:cs="Arial"/>
                <w:lang w:val="es-ES"/>
              </w:rPr>
            </w:pPr>
            <w:r>
              <w:rPr>
                <w:rFonts w:ascii="Verdana" w:eastAsia="Arial" w:hAnsi="Verdana" w:cs="Arial"/>
                <w:lang w:val="es-ES"/>
              </w:rPr>
              <w:t>En relación con</w:t>
            </w:r>
            <w:r w:rsidR="00E85C97" w:rsidRPr="000F6530">
              <w:rPr>
                <w:rFonts w:ascii="Verdana" w:eastAsia="Arial" w:hAnsi="Verdana" w:cs="Arial"/>
                <w:lang w:val="es-ES"/>
              </w:rPr>
              <w:t xml:space="preserve"> las Empresas Sociales</w:t>
            </w:r>
            <w:r w:rsidR="00E85C97">
              <w:rPr>
                <w:rFonts w:ascii="Verdana" w:eastAsia="Arial" w:hAnsi="Verdana" w:cs="Arial"/>
                <w:lang w:val="es-ES"/>
              </w:rPr>
              <w:t xml:space="preserve"> </w:t>
            </w:r>
            <w:r w:rsidR="00E85C97" w:rsidRPr="000F6530">
              <w:rPr>
                <w:rFonts w:ascii="Verdana" w:eastAsia="Arial" w:hAnsi="Verdana" w:cs="Arial"/>
                <w:lang w:val="es-ES"/>
              </w:rPr>
              <w:t>del Estado, el Ministerio de Salud y</w:t>
            </w:r>
            <w:r w:rsidR="00E85C97" w:rsidRPr="000F6530">
              <w:rPr>
                <w:rFonts w:ascii="Verdana" w:eastAsia="Arial" w:hAnsi="Verdana" w:cs="Arial"/>
                <w:spacing w:val="1"/>
                <w:lang w:val="es-ES"/>
              </w:rPr>
              <w:t xml:space="preserve"> </w:t>
            </w:r>
            <w:r w:rsidR="00E85C97" w:rsidRPr="000F6530">
              <w:rPr>
                <w:rFonts w:ascii="Verdana" w:eastAsia="Arial" w:hAnsi="Verdana" w:cs="Arial"/>
                <w:lang w:val="es-ES"/>
              </w:rPr>
              <w:t>Protección Social, expidió la Resolución No. 5185 de 2013, modificado por la Resolución 1440 del 14 de agosto de 2024, mediante la cual se fijan los lineamientos</w:t>
            </w:r>
            <w:r w:rsidR="00E85C97" w:rsidRPr="000F6530">
              <w:rPr>
                <w:rFonts w:ascii="Verdana" w:eastAsia="Arial" w:hAnsi="Verdana" w:cs="Arial"/>
                <w:spacing w:val="1"/>
                <w:lang w:val="es-ES"/>
              </w:rPr>
              <w:t xml:space="preserve"> </w:t>
            </w:r>
            <w:r w:rsidR="00E85C97" w:rsidRPr="000F6530">
              <w:rPr>
                <w:rFonts w:ascii="Verdana" w:eastAsia="Arial" w:hAnsi="Verdana" w:cs="Arial"/>
                <w:lang w:val="es-ES"/>
              </w:rPr>
              <w:t>para</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que</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tales</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entidades</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adopten</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los</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manuales</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de</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contratación</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que</w:t>
            </w:r>
            <w:r w:rsidR="00E85C97" w:rsidRPr="000F6530">
              <w:rPr>
                <w:rFonts w:ascii="Verdana" w:eastAsia="Arial" w:hAnsi="Verdana" w:cs="Arial"/>
                <w:spacing w:val="-9"/>
                <w:lang w:val="es-ES"/>
              </w:rPr>
              <w:t xml:space="preserve"> </w:t>
            </w:r>
            <w:r w:rsidR="00E85C97" w:rsidRPr="000F6530">
              <w:rPr>
                <w:rFonts w:ascii="Verdana" w:eastAsia="Arial" w:hAnsi="Verdana" w:cs="Arial"/>
                <w:lang w:val="es-ES"/>
              </w:rPr>
              <w:t>regirán</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su</w:t>
            </w:r>
            <w:r w:rsidR="00E85C97" w:rsidRPr="000F6530">
              <w:rPr>
                <w:rFonts w:ascii="Verdana" w:eastAsia="Arial" w:hAnsi="Verdana" w:cs="Arial"/>
                <w:spacing w:val="-10"/>
                <w:lang w:val="es-ES"/>
              </w:rPr>
              <w:t xml:space="preserve"> </w:t>
            </w:r>
            <w:r w:rsidR="00E85C97" w:rsidRPr="000F6530">
              <w:rPr>
                <w:rFonts w:ascii="Verdana" w:eastAsia="Arial" w:hAnsi="Verdana" w:cs="Arial"/>
                <w:lang w:val="es-ES"/>
              </w:rPr>
              <w:t>actividad</w:t>
            </w:r>
            <w:r w:rsidR="00E85C97" w:rsidRPr="000F6530">
              <w:rPr>
                <w:rFonts w:ascii="Verdana" w:eastAsia="Arial" w:hAnsi="Verdana" w:cs="Arial"/>
                <w:spacing w:val="-59"/>
                <w:lang w:val="es-ES"/>
              </w:rPr>
              <w:t xml:space="preserve"> </w:t>
            </w:r>
            <w:r w:rsidR="00E85C97" w:rsidRPr="000F6530">
              <w:rPr>
                <w:rFonts w:ascii="Verdana" w:eastAsia="Arial" w:hAnsi="Verdana" w:cs="Arial"/>
                <w:lang w:val="es-ES"/>
              </w:rPr>
              <w:t>contractual. En las disposiciones de Resolución No. 5185 de 2013 se reitera el régimen de</w:t>
            </w:r>
            <w:r w:rsidR="00E85C97" w:rsidRPr="000F6530">
              <w:rPr>
                <w:rFonts w:ascii="Verdana" w:eastAsia="Arial" w:hAnsi="Verdana" w:cs="Arial"/>
                <w:spacing w:val="1"/>
                <w:lang w:val="es-ES"/>
              </w:rPr>
              <w:t xml:space="preserve"> </w:t>
            </w:r>
            <w:r w:rsidR="00E85C97" w:rsidRPr="000F6530">
              <w:rPr>
                <w:rFonts w:ascii="Verdana" w:eastAsia="Arial" w:hAnsi="Verdana" w:cs="Arial"/>
                <w:lang w:val="es-ES"/>
              </w:rPr>
              <w:t>contratación</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de</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estas</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entidades</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–Art.2–,</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se</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alude</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a</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los</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fines</w:t>
            </w:r>
            <w:r w:rsidR="00E85C97" w:rsidRPr="000F6530">
              <w:rPr>
                <w:rFonts w:ascii="Verdana" w:eastAsia="Arial" w:hAnsi="Verdana" w:cs="Arial"/>
                <w:spacing w:val="-11"/>
                <w:lang w:val="es-ES"/>
              </w:rPr>
              <w:t xml:space="preserve"> </w:t>
            </w:r>
            <w:r w:rsidR="00E85C97" w:rsidRPr="000F6530">
              <w:rPr>
                <w:rFonts w:ascii="Verdana" w:eastAsia="Arial" w:hAnsi="Verdana" w:cs="Arial"/>
                <w:lang w:val="es-ES"/>
              </w:rPr>
              <w:t>de</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la</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contratación</w:t>
            </w:r>
            <w:r w:rsidR="00E85C97" w:rsidRPr="000F6530">
              <w:rPr>
                <w:rFonts w:ascii="Verdana" w:eastAsia="Arial" w:hAnsi="Verdana" w:cs="Arial"/>
                <w:spacing w:val="-12"/>
                <w:lang w:val="es-ES"/>
              </w:rPr>
              <w:t xml:space="preserve"> </w:t>
            </w:r>
            <w:r w:rsidR="00E85C97" w:rsidRPr="000F6530">
              <w:rPr>
                <w:rFonts w:ascii="Verdana" w:eastAsia="Arial" w:hAnsi="Verdana" w:cs="Arial"/>
                <w:lang w:val="es-ES"/>
              </w:rPr>
              <w:t>–Art.</w:t>
            </w:r>
            <w:r w:rsidR="00E85C97" w:rsidRPr="000F6530">
              <w:rPr>
                <w:rFonts w:ascii="Verdana" w:eastAsia="Arial" w:hAnsi="Verdana" w:cs="Arial"/>
                <w:spacing w:val="-11"/>
                <w:lang w:val="es-ES"/>
              </w:rPr>
              <w:t xml:space="preserve"> </w:t>
            </w:r>
            <w:r w:rsidR="00E85C97" w:rsidRPr="000F6530">
              <w:rPr>
                <w:rFonts w:ascii="Verdana" w:eastAsia="Arial" w:hAnsi="Verdana" w:cs="Arial"/>
                <w:lang w:val="es-ES"/>
              </w:rPr>
              <w:t>3–,</w:t>
            </w:r>
            <w:r w:rsidR="00E85C97" w:rsidRPr="000F6530">
              <w:rPr>
                <w:rFonts w:ascii="Verdana" w:eastAsia="Arial" w:hAnsi="Verdana" w:cs="Arial"/>
                <w:spacing w:val="1"/>
                <w:lang w:val="es-ES"/>
              </w:rPr>
              <w:t xml:space="preserve"> </w:t>
            </w:r>
            <w:r w:rsidR="00E85C97" w:rsidRPr="000F6530">
              <w:rPr>
                <w:rFonts w:ascii="Verdana" w:eastAsia="Arial" w:hAnsi="Verdana" w:cs="Arial"/>
                <w:lang w:val="es-ES"/>
              </w:rPr>
              <w:t>se establece los principios a observarse en el desarrollo de la contratación –Art. 4–, se</w:t>
            </w:r>
            <w:r w:rsidR="00E85C97" w:rsidRPr="000F6530">
              <w:rPr>
                <w:rFonts w:ascii="Verdana" w:eastAsia="Arial" w:hAnsi="Verdana" w:cs="Arial"/>
                <w:spacing w:val="-59"/>
                <w:lang w:val="es-ES"/>
              </w:rPr>
              <w:t xml:space="preserve">  </w:t>
            </w:r>
            <w:r w:rsidR="00E85C97" w:rsidRPr="000F6530">
              <w:rPr>
                <w:rFonts w:ascii="Verdana" w:eastAsia="Arial" w:hAnsi="Verdana" w:cs="Arial"/>
                <w:lang w:val="es-ES"/>
              </w:rPr>
              <w:t>hace referencia a las modalidades y mecanismos de selección –Art. 5–, se reitera la</w:t>
            </w:r>
            <w:r w:rsidR="00E85C97" w:rsidRPr="000F6530">
              <w:rPr>
                <w:rFonts w:ascii="Verdana" w:eastAsia="Arial" w:hAnsi="Verdana" w:cs="Arial"/>
                <w:spacing w:val="1"/>
                <w:lang w:val="es-ES"/>
              </w:rPr>
              <w:t xml:space="preserve"> </w:t>
            </w:r>
            <w:r w:rsidR="00E85C97" w:rsidRPr="000F6530">
              <w:rPr>
                <w:rFonts w:ascii="Verdana" w:eastAsia="Arial" w:hAnsi="Verdana" w:cs="Arial"/>
                <w:lang w:val="es-ES"/>
              </w:rPr>
              <w:t>aplicabilidad del régimen de inhabilidades e incompatibilidades–Art. 6–, se establece la</w:t>
            </w:r>
            <w:r w:rsidR="00E85C97" w:rsidRPr="000F6530">
              <w:rPr>
                <w:rFonts w:ascii="Verdana" w:eastAsia="Arial" w:hAnsi="Verdana" w:cs="Arial"/>
                <w:spacing w:val="-59"/>
                <w:lang w:val="es-ES"/>
              </w:rPr>
              <w:t xml:space="preserve"> </w:t>
            </w:r>
            <w:r w:rsidR="00E85C97" w:rsidRPr="000F6530">
              <w:rPr>
                <w:rFonts w:ascii="Verdana" w:eastAsia="Arial" w:hAnsi="Verdana" w:cs="Arial"/>
                <w:lang w:val="es-ES"/>
              </w:rPr>
              <w:t>obligación de publicar un Plan Anual de Adquisiciones–Art. 7–, se alude al proceso de contratación –Art 8–, se refiere a la fase de planeación –Art 9–, se dispone sobre la fase de selección –Art 10–, sobre la fase de contratación, y se regulan otros</w:t>
            </w:r>
            <w:r w:rsidR="00E85C97" w:rsidRPr="000F6530">
              <w:rPr>
                <w:rFonts w:ascii="Verdana" w:eastAsia="Arial" w:hAnsi="Verdana" w:cs="Arial"/>
                <w:spacing w:val="1"/>
                <w:lang w:val="es-ES"/>
              </w:rPr>
              <w:t xml:space="preserve"> </w:t>
            </w:r>
            <w:r w:rsidR="00E85C97" w:rsidRPr="000F6530">
              <w:rPr>
                <w:rFonts w:ascii="Verdana" w:eastAsia="Arial" w:hAnsi="Verdana" w:cs="Arial"/>
                <w:lang w:val="es-ES"/>
              </w:rPr>
              <w:t xml:space="preserve">aspectos. </w:t>
            </w:r>
          </w:p>
          <w:p w14:paraId="47343B3A" w14:textId="77777777" w:rsidR="00E85C97" w:rsidRDefault="00E85C97" w:rsidP="0060643C">
            <w:pPr>
              <w:spacing w:after="120" w:line="276" w:lineRule="auto"/>
              <w:ind w:firstLine="709"/>
              <w:jc w:val="both"/>
              <w:rPr>
                <w:rFonts w:ascii="Verdana" w:eastAsia="Arial" w:hAnsi="Verdana" w:cs="Arial"/>
                <w:lang w:val="es-ES"/>
              </w:rPr>
            </w:pPr>
            <w:r w:rsidRPr="007C42DF">
              <w:rPr>
                <w:rFonts w:ascii="Verdana" w:eastAsia="Arial" w:hAnsi="Verdana" w:cs="Arial"/>
                <w:lang w:val="es-ES"/>
              </w:rPr>
              <w:t>En cuanto a la contratación y ejecución de los contratos,</w:t>
            </w:r>
            <w:r w:rsidRPr="007C42DF">
              <w:rPr>
                <w:rFonts w:ascii="Verdana" w:eastAsia="Arial" w:hAnsi="Verdana" w:cs="Arial"/>
                <w:spacing w:val="-2"/>
                <w:lang w:val="es-ES"/>
              </w:rPr>
              <w:t xml:space="preserve"> </w:t>
            </w:r>
            <w:r w:rsidRPr="007C42DF">
              <w:rPr>
                <w:rFonts w:ascii="Verdana" w:eastAsia="Arial" w:hAnsi="Verdana" w:cs="Arial"/>
                <w:lang w:val="es-ES"/>
              </w:rPr>
              <w:t>son</w:t>
            </w:r>
            <w:r w:rsidRPr="007C42DF">
              <w:rPr>
                <w:rFonts w:ascii="Verdana" w:eastAsia="Arial" w:hAnsi="Verdana" w:cs="Arial"/>
                <w:spacing w:val="-1"/>
                <w:lang w:val="es-ES"/>
              </w:rPr>
              <w:t xml:space="preserve"> </w:t>
            </w:r>
            <w:r w:rsidRPr="007C42DF">
              <w:rPr>
                <w:rFonts w:ascii="Verdana" w:eastAsia="Arial" w:hAnsi="Verdana" w:cs="Arial"/>
                <w:lang w:val="es-ES"/>
              </w:rPr>
              <w:t>relevantes</w:t>
            </w:r>
            <w:r w:rsidRPr="007C42DF">
              <w:rPr>
                <w:rFonts w:ascii="Verdana" w:eastAsia="Arial" w:hAnsi="Verdana" w:cs="Arial"/>
                <w:spacing w:val="-2"/>
                <w:lang w:val="es-ES"/>
              </w:rPr>
              <w:t xml:space="preserve"> </w:t>
            </w:r>
            <w:r w:rsidRPr="007C42DF">
              <w:rPr>
                <w:rFonts w:ascii="Verdana" w:eastAsia="Arial" w:hAnsi="Verdana" w:cs="Arial"/>
                <w:lang w:val="es-ES"/>
              </w:rPr>
              <w:t>los</w:t>
            </w:r>
            <w:r w:rsidRPr="007C42DF">
              <w:rPr>
                <w:rFonts w:ascii="Verdana" w:eastAsia="Arial" w:hAnsi="Verdana" w:cs="Arial"/>
                <w:spacing w:val="-2"/>
                <w:lang w:val="es-ES"/>
              </w:rPr>
              <w:t xml:space="preserve"> </w:t>
            </w:r>
            <w:r w:rsidRPr="007C42DF">
              <w:rPr>
                <w:rFonts w:ascii="Verdana" w:eastAsia="Arial" w:hAnsi="Verdana" w:cs="Arial"/>
                <w:lang w:val="es-ES"/>
              </w:rPr>
              <w:t xml:space="preserve">artículos 11 y 12 de la citada resolución. Por su parte el artículo 14 de la resolución establece que las Empresas Sociales del Estado están obligadas a publicar oportunamente su actividad contractual en el SECOP. </w:t>
            </w:r>
          </w:p>
          <w:p w14:paraId="39D0FCC2" w14:textId="0C46110C" w:rsidR="00E85C97" w:rsidRDefault="00E85C97" w:rsidP="0060643C">
            <w:pPr>
              <w:spacing w:after="120" w:line="276" w:lineRule="auto"/>
              <w:ind w:firstLine="709"/>
              <w:jc w:val="both"/>
              <w:rPr>
                <w:rFonts w:ascii="Verdana" w:eastAsia="Calibri" w:hAnsi="Verdana" w:cs="Arial"/>
              </w:rPr>
            </w:pPr>
            <w:r>
              <w:rPr>
                <w:rFonts w:ascii="Verdana" w:eastAsia="Calibri" w:hAnsi="Verdana" w:cs="Arial"/>
              </w:rPr>
              <w:t xml:space="preserve"> </w:t>
            </w:r>
            <w:r w:rsidR="00106D7D">
              <w:rPr>
                <w:rFonts w:ascii="Verdana" w:eastAsia="Calibri" w:hAnsi="Verdana" w:cs="Arial"/>
              </w:rPr>
              <w:t>Respecto</w:t>
            </w:r>
            <w:r w:rsidR="00F37F4D">
              <w:rPr>
                <w:rFonts w:ascii="Verdana" w:eastAsia="Calibri" w:hAnsi="Verdana" w:cs="Arial"/>
              </w:rPr>
              <w:t xml:space="preserve"> de</w:t>
            </w:r>
            <w:r w:rsidR="00106D7D">
              <w:rPr>
                <w:rFonts w:ascii="Verdana" w:eastAsia="Calibri" w:hAnsi="Verdana" w:cs="Arial"/>
              </w:rPr>
              <w:t xml:space="preserve">l deber de publicidad de las personas jurídicas antes mencionadas, </w:t>
            </w:r>
            <w:r>
              <w:rPr>
                <w:rFonts w:ascii="Verdana" w:eastAsia="Calibri" w:hAnsi="Verdana" w:cs="Arial"/>
              </w:rPr>
              <w:t>es necesario señalar que e</w:t>
            </w:r>
            <w:r w:rsidRPr="001E35FA">
              <w:rPr>
                <w:rFonts w:ascii="Verdana" w:eastAsia="Calibri" w:hAnsi="Verdana" w:cs="Arial"/>
              </w:rPr>
              <w:t>l artículo 53 de la Ley 2195 de 2022 establec</w:t>
            </w:r>
            <w:r>
              <w:rPr>
                <w:rFonts w:ascii="Verdana" w:eastAsia="Calibri" w:hAnsi="Verdana" w:cs="Arial"/>
              </w:rPr>
              <w:t>ió de forma expresa  el deber de l</w:t>
            </w:r>
            <w:r w:rsidRPr="00842456">
              <w:rPr>
                <w:rFonts w:ascii="Verdana" w:eastAsia="Calibri" w:hAnsi="Verdana" w:cs="Arial"/>
              </w:rPr>
              <w:t xml:space="preserve">as entidades estatales que por disposición legal cuenten con un régimen contractual excepcional al del Estatuto General de Contratación de la Administración Pública, </w:t>
            </w:r>
            <w:r>
              <w:rPr>
                <w:rFonts w:ascii="Verdana" w:eastAsia="Calibri" w:hAnsi="Verdana" w:cs="Arial"/>
              </w:rPr>
              <w:t xml:space="preserve">aplicar los </w:t>
            </w:r>
            <w:r>
              <w:rPr>
                <w:rFonts w:ascii="Verdana" w:eastAsia="Calibri" w:hAnsi="Verdana" w:cs="Arial"/>
              </w:rPr>
              <w:lastRenderedPageBreak/>
              <w:t xml:space="preserve">principios de la función administrativa y </w:t>
            </w:r>
            <w:r w:rsidRPr="00EB7870">
              <w:rPr>
                <w:rFonts w:ascii="Verdana" w:eastAsia="Calibri" w:hAnsi="Verdana" w:cs="Arial"/>
              </w:rPr>
              <w:t xml:space="preserve">de la gestión fiscal de que tratan los </w:t>
            </w:r>
            <w:r w:rsidRPr="00E34E6B">
              <w:rPr>
                <w:rFonts w:ascii="Verdana" w:eastAsia="Calibri" w:hAnsi="Verdana" w:cs="Arial"/>
              </w:rPr>
              <w:t>artículos </w:t>
            </w:r>
            <w:hyperlink r:id="rId12" w:anchor="209" w:history="1">
              <w:r w:rsidRPr="00E34E6B">
                <w:rPr>
                  <w:rStyle w:val="Hipervnculo"/>
                  <w:rFonts w:ascii="Verdana" w:eastAsia="Calibri" w:hAnsi="Verdana" w:cs="Arial"/>
                </w:rPr>
                <w:t>209</w:t>
              </w:r>
            </w:hyperlink>
            <w:r w:rsidRPr="00E34E6B">
              <w:rPr>
                <w:rFonts w:ascii="Verdana" w:eastAsia="Calibri" w:hAnsi="Verdana" w:cs="Arial"/>
              </w:rPr>
              <w:t> y </w:t>
            </w:r>
            <w:hyperlink r:id="rId13" w:anchor="267" w:history="1">
              <w:r w:rsidRPr="00E34E6B">
                <w:rPr>
                  <w:rStyle w:val="Hipervnculo"/>
                  <w:rFonts w:ascii="Verdana" w:eastAsia="Calibri" w:hAnsi="Verdana" w:cs="Arial"/>
                </w:rPr>
                <w:t>267</w:t>
              </w:r>
            </w:hyperlink>
            <w:r w:rsidRPr="00E34E6B">
              <w:rPr>
                <w:rFonts w:ascii="Verdana" w:eastAsia="Calibri" w:hAnsi="Verdana" w:cs="Arial"/>
              </w:rPr>
              <w:t> de l</w:t>
            </w:r>
            <w:r w:rsidRPr="00842456">
              <w:rPr>
                <w:rFonts w:ascii="Verdana" w:eastAsia="Calibri" w:hAnsi="Verdana" w:cs="Arial"/>
              </w:rPr>
              <w:t>a Constitución Política</w:t>
            </w:r>
            <w:r>
              <w:rPr>
                <w:rFonts w:ascii="Verdana" w:eastAsia="Calibri" w:hAnsi="Verdana" w:cs="Arial"/>
              </w:rPr>
              <w:t xml:space="preserve"> y en virtud de los  cuales d</w:t>
            </w:r>
            <w:r w:rsidRPr="00EB7870">
              <w:rPr>
                <w:rFonts w:ascii="Verdana" w:eastAsia="Calibri" w:hAnsi="Verdana" w:cs="Arial"/>
              </w:rPr>
              <w:t>eberán publicar los documentos relacionados con su actividad contractual en el Sistema Electrónico para la Contratación Pública (SECOP II) o la plataforma transaccional que haga sus veces.</w:t>
            </w:r>
          </w:p>
          <w:p w14:paraId="217D6C67" w14:textId="77777777" w:rsidR="00E85C97" w:rsidRDefault="00E85C97" w:rsidP="0060643C">
            <w:pPr>
              <w:spacing w:after="120" w:line="276" w:lineRule="auto"/>
              <w:ind w:firstLine="709"/>
              <w:jc w:val="both"/>
              <w:rPr>
                <w:rFonts w:ascii="Verdana" w:hAnsi="Verdana" w:cs="Arial"/>
                <w:shd w:val="clear" w:color="auto" w:fill="FFFFFF"/>
              </w:rPr>
            </w:pPr>
            <w:proofErr w:type="spellStart"/>
            <w:r>
              <w:rPr>
                <w:rFonts w:ascii="Verdana" w:eastAsia="Calibri" w:hAnsi="Verdana" w:cs="Arial"/>
              </w:rPr>
              <w:t>ii</w:t>
            </w:r>
            <w:proofErr w:type="spellEnd"/>
            <w:r>
              <w:rPr>
                <w:rFonts w:ascii="Verdana" w:eastAsia="Calibri" w:hAnsi="Verdana" w:cs="Arial"/>
              </w:rPr>
              <w:t>. Ahora bien, el té</w:t>
            </w:r>
            <w:r w:rsidRPr="00EB7870">
              <w:rPr>
                <w:rFonts w:ascii="Verdana" w:eastAsia="Calibri" w:hAnsi="Verdana" w:cs="Arial"/>
              </w:rPr>
              <w:t xml:space="preserve">rmino para publicar los documentos </w:t>
            </w:r>
            <w:r>
              <w:rPr>
                <w:rFonts w:ascii="Verdana" w:eastAsia="Calibri" w:hAnsi="Verdana" w:cs="Arial"/>
              </w:rPr>
              <w:t xml:space="preserve">del proceso </w:t>
            </w:r>
            <w:r w:rsidRPr="00425947">
              <w:rPr>
                <w:rFonts w:ascii="Verdana" w:eastAsia="Calibri" w:hAnsi="Verdana" w:cs="Arial"/>
              </w:rPr>
              <w:t>y los actos administrativos del Proceso de Contratación</w:t>
            </w:r>
            <w:r>
              <w:rPr>
                <w:rFonts w:ascii="Verdana" w:eastAsia="Calibri" w:hAnsi="Verdana" w:cs="Arial"/>
              </w:rPr>
              <w:t xml:space="preserve"> </w:t>
            </w:r>
            <w:r w:rsidRPr="00EB7870">
              <w:rPr>
                <w:rFonts w:ascii="Verdana" w:eastAsia="Calibri" w:hAnsi="Verdana" w:cs="Arial"/>
              </w:rPr>
              <w:t xml:space="preserve">en el SECOP </w:t>
            </w:r>
            <w:r>
              <w:rPr>
                <w:rFonts w:ascii="Verdana" w:eastAsia="Calibri" w:hAnsi="Verdana" w:cs="Arial"/>
              </w:rPr>
              <w:t xml:space="preserve">se encuentra establecido </w:t>
            </w:r>
            <w:r w:rsidRPr="00EB7870">
              <w:rPr>
                <w:rFonts w:ascii="Verdana" w:eastAsia="Calibri" w:hAnsi="Verdana" w:cs="Arial"/>
              </w:rPr>
              <w:t>artículo 2.2.1.1.1.7.1 del Decreto 1082 de 2015, esto es, dentro de los tres (3) días siguientes a la expedición del documento</w:t>
            </w:r>
            <w:r>
              <w:rPr>
                <w:rFonts w:ascii="Verdana" w:eastAsia="Calibri" w:hAnsi="Verdana" w:cs="Arial"/>
              </w:rPr>
              <w:t xml:space="preserve">. En concordancia con lo anterior, esta Agencia expidió </w:t>
            </w:r>
            <w:r w:rsidRPr="001E35FA">
              <w:rPr>
                <w:rFonts w:ascii="Verdana" w:eastAsia="Calibri" w:hAnsi="Verdana" w:cs="Arial"/>
                <w:lang w:val="es-ES"/>
              </w:rPr>
              <w:t xml:space="preserve">la Circular Externa No. 002 del 23 de agosto de 2024, </w:t>
            </w:r>
            <w:r>
              <w:rPr>
                <w:rFonts w:ascii="Verdana" w:eastAsia="Calibri" w:hAnsi="Verdana" w:cs="Arial"/>
                <w:lang w:val="es-ES"/>
              </w:rPr>
              <w:t>la cual ratifica</w:t>
            </w:r>
            <w:r w:rsidRPr="001E35FA">
              <w:rPr>
                <w:rFonts w:ascii="Verdana" w:eastAsia="Calibri" w:hAnsi="Verdana" w:cs="Arial"/>
                <w:lang w:val="es-ES"/>
              </w:rPr>
              <w:t xml:space="preserve"> que “[…] el término que tienen las Entidades Estatales que por disposición legal cuenten con un régimen contractual excepcional al del Estatuto General de Contratación de la Administración Pública para publicar en el SECOP II es de tres (3) días posterior a su expedición”. </w:t>
            </w:r>
            <w:r w:rsidRPr="0046037D">
              <w:rPr>
                <w:rFonts w:ascii="Verdana" w:eastAsia="Calibri" w:hAnsi="Verdana" w:cs="Arial"/>
                <w:lang w:val="es-ES"/>
              </w:rPr>
              <w:t>Lo</w:t>
            </w:r>
            <w:r>
              <w:rPr>
                <w:rFonts w:ascii="Verdana" w:eastAsia="Calibri" w:hAnsi="Verdana" w:cs="Arial"/>
                <w:lang w:val="es-ES"/>
              </w:rPr>
              <w:t xml:space="preserve"> </w:t>
            </w:r>
            <w:r w:rsidRPr="0046037D">
              <w:rPr>
                <w:rFonts w:ascii="Verdana" w:eastAsia="Calibri" w:hAnsi="Verdana" w:cs="Arial"/>
                <w:lang w:val="es-ES"/>
              </w:rPr>
              <w:t>anterior, sin perjuicio de que dichas entidades hagan uso transaccional de la</w:t>
            </w:r>
            <w:r>
              <w:rPr>
                <w:rFonts w:ascii="Verdana" w:eastAsia="Calibri" w:hAnsi="Verdana" w:cs="Arial"/>
                <w:lang w:val="es-ES"/>
              </w:rPr>
              <w:t xml:space="preserve"> </w:t>
            </w:r>
            <w:r w:rsidRPr="0046037D">
              <w:rPr>
                <w:rFonts w:ascii="Verdana" w:eastAsia="Calibri" w:hAnsi="Verdana" w:cs="Arial"/>
                <w:lang w:val="es-ES"/>
              </w:rPr>
              <w:t>plataforma,</w:t>
            </w:r>
            <w:r>
              <w:rPr>
                <w:rFonts w:ascii="Verdana" w:eastAsia="Calibri" w:hAnsi="Verdana" w:cs="Arial"/>
                <w:lang w:val="es-ES"/>
              </w:rPr>
              <w:t xml:space="preserve"> en este </w:t>
            </w:r>
            <w:r w:rsidRPr="0046037D">
              <w:rPr>
                <w:rFonts w:ascii="Verdana" w:eastAsia="Calibri" w:hAnsi="Verdana" w:cs="Arial"/>
                <w:lang w:val="es-ES"/>
              </w:rPr>
              <w:t>caso la publicación de los documentos deberá hacerse en</w:t>
            </w:r>
            <w:r>
              <w:rPr>
                <w:rFonts w:ascii="Verdana" w:eastAsia="Calibri" w:hAnsi="Verdana" w:cs="Arial"/>
                <w:lang w:val="es-ES"/>
              </w:rPr>
              <w:t xml:space="preserve"> </w:t>
            </w:r>
            <w:r w:rsidRPr="0046037D">
              <w:rPr>
                <w:rFonts w:ascii="Verdana" w:eastAsia="Calibri" w:hAnsi="Verdana" w:cs="Arial"/>
                <w:lang w:val="es-ES"/>
              </w:rPr>
              <w:t xml:space="preserve">tiempo real, </w:t>
            </w:r>
            <w:proofErr w:type="gramStart"/>
            <w:r w:rsidRPr="0046037D">
              <w:rPr>
                <w:rFonts w:ascii="Verdana" w:eastAsia="Calibri" w:hAnsi="Verdana" w:cs="Arial"/>
                <w:lang w:val="es-ES"/>
              </w:rPr>
              <w:t>de acuerdo al</w:t>
            </w:r>
            <w:proofErr w:type="gramEnd"/>
            <w:r w:rsidRPr="0046037D">
              <w:rPr>
                <w:rFonts w:ascii="Verdana" w:eastAsia="Calibri" w:hAnsi="Verdana" w:cs="Arial"/>
                <w:lang w:val="es-ES"/>
              </w:rPr>
              <w:t xml:space="preserve"> cronograma definido para el proceso de selección.</w:t>
            </w:r>
          </w:p>
          <w:p w14:paraId="63B481A9" w14:textId="77777777" w:rsidR="00E85C97" w:rsidRPr="003F6B45" w:rsidRDefault="00E85C97" w:rsidP="0060643C">
            <w:pPr>
              <w:tabs>
                <w:tab w:val="left" w:pos="709"/>
              </w:tabs>
              <w:spacing w:before="120" w:after="120" w:line="276" w:lineRule="auto"/>
              <w:ind w:firstLine="709"/>
              <w:jc w:val="both"/>
              <w:rPr>
                <w:rFonts w:eastAsia="Calibri"/>
                <w:color w:val="000000" w:themeColor="text1"/>
                <w:lang w:eastAsia="es-ES"/>
              </w:rPr>
            </w:pPr>
            <w:r w:rsidRPr="00C530EF">
              <w:rPr>
                <w:rFonts w:ascii="Verdana" w:hAnsi="Verdana" w:cs="Arial"/>
                <w:shd w:val="clear" w:color="auto" w:fill="FFFFFF"/>
              </w:rPr>
              <w:t>Por otra parte,</w:t>
            </w:r>
            <w:r>
              <w:rPr>
                <w:rFonts w:ascii="Verdana" w:hAnsi="Verdana" w:cs="Arial"/>
                <w:shd w:val="clear" w:color="auto" w:fill="FFFFFF"/>
              </w:rPr>
              <w:t xml:space="preserve"> e</w:t>
            </w:r>
            <w:r w:rsidRPr="00C7575C">
              <w:rPr>
                <w:rFonts w:ascii="Verdana" w:hAnsi="Verdana" w:cs="Arial"/>
                <w:shd w:val="clear" w:color="auto" w:fill="FFFFFF"/>
              </w:rPr>
              <w:t xml:space="preserve">n cuanto a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C7575C">
              <w:rPr>
                <w:rFonts w:ascii="Verdana" w:hAnsi="Verdana" w:cs="Arial"/>
                <w:shd w:val="clear" w:color="auto" w:fill="FFFFFF"/>
              </w:rPr>
              <w:t>postcontractual</w:t>
            </w:r>
            <w:proofErr w:type="spellEnd"/>
            <w:r w:rsidRPr="00C7575C">
              <w:rPr>
                <w:rFonts w:ascii="Verdana" w:hAnsi="Verdana" w:cs="Arial"/>
                <w:shd w:val="clear" w:color="auto" w:fill="FFFFFF"/>
              </w:rPr>
              <w:t>”</w:t>
            </w:r>
            <w:r>
              <w:rPr>
                <w:rFonts w:ascii="Verdana" w:hAnsi="Verdana" w:cs="Arial"/>
                <w:shd w:val="clear" w:color="auto" w:fill="FFFFFF"/>
              </w:rPr>
              <w:t xml:space="preserve">. </w:t>
            </w:r>
            <w:r w:rsidRPr="00E12572">
              <w:rPr>
                <w:rFonts w:ascii="Verdana" w:hAnsi="Verdana" w:cs="Arial"/>
                <w:shd w:val="clear" w:color="auto" w:fill="FFFFFF"/>
              </w:rPr>
              <w:t>Por 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w:t>
            </w:r>
          </w:p>
        </w:tc>
      </w:tr>
    </w:tbl>
    <w:p w14:paraId="6DFD0CF1" w14:textId="77777777" w:rsidR="00E85C97" w:rsidRPr="00593A5F" w:rsidRDefault="00E85C97" w:rsidP="00E85C97">
      <w:pPr>
        <w:tabs>
          <w:tab w:val="left" w:pos="142"/>
          <w:tab w:val="left" w:pos="284"/>
        </w:tabs>
        <w:spacing w:after="0" w:line="276" w:lineRule="auto"/>
        <w:jc w:val="both"/>
        <w:rPr>
          <w:rFonts w:ascii="Verdana" w:eastAsia="Century Gothic" w:hAnsi="Verdana" w:cs="Century Gothic"/>
          <w:b/>
          <w:bCs/>
          <w:lang w:val="es-ES"/>
        </w:rPr>
      </w:pPr>
    </w:p>
    <w:bookmarkEnd w:id="2"/>
    <w:p w14:paraId="1FE65C29" w14:textId="77777777" w:rsidR="00E85C97" w:rsidRPr="00593A5F" w:rsidRDefault="00E85C97" w:rsidP="00E85C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Razones de la respuesta:</w:t>
      </w:r>
    </w:p>
    <w:p w14:paraId="636A45DE" w14:textId="77777777" w:rsidR="00E85C97" w:rsidRPr="00593A5F" w:rsidRDefault="00E85C97" w:rsidP="00E85C97">
      <w:pPr>
        <w:spacing w:after="0" w:line="276" w:lineRule="auto"/>
        <w:jc w:val="both"/>
        <w:rPr>
          <w:rFonts w:ascii="Verdana" w:eastAsia="Calibri" w:hAnsi="Verdana" w:cs="Arial"/>
          <w:color w:val="7030A0"/>
          <w:lang w:val="es-ES"/>
        </w:rPr>
      </w:pPr>
    </w:p>
    <w:p w14:paraId="7F073F98" w14:textId="77777777" w:rsidR="00E85C97" w:rsidRDefault="00E85C97" w:rsidP="00E85C9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41FA447" w14:textId="77777777" w:rsidR="00E85C97" w:rsidRDefault="00E85C97" w:rsidP="00E85C97">
      <w:pPr>
        <w:spacing w:after="0" w:line="276" w:lineRule="auto"/>
        <w:jc w:val="both"/>
        <w:rPr>
          <w:rFonts w:ascii="Verdana" w:eastAsia="Calibri" w:hAnsi="Verdana" w:cs="Arial"/>
          <w:lang w:val="es-ES"/>
        </w:rPr>
      </w:pPr>
    </w:p>
    <w:p w14:paraId="338C0C82" w14:textId="05E3890B" w:rsidR="00E85C97" w:rsidRDefault="00E85C97" w:rsidP="0004137F">
      <w:pPr>
        <w:spacing w:after="120" w:line="276" w:lineRule="auto"/>
        <w:ind w:firstLine="709"/>
        <w:jc w:val="both"/>
        <w:rPr>
          <w:rFonts w:ascii="Verdana" w:eastAsia="Arial" w:hAnsi="Verdana" w:cs="Arial"/>
          <w:color w:val="000000"/>
        </w:rPr>
      </w:pPr>
      <w:r>
        <w:rPr>
          <w:rFonts w:ascii="Verdana" w:hAnsi="Verdana" w:cs="Arial"/>
          <w:lang w:val="es-ES"/>
        </w:rPr>
        <w:lastRenderedPageBreak/>
        <w:t xml:space="preserve">i. Para abordar el primer problema jurídico, es importante señalar que </w:t>
      </w:r>
      <w:r w:rsidRPr="07E9C141">
        <w:rPr>
          <w:rFonts w:ascii="Verdana" w:eastAsia="Arial" w:hAnsi="Verdana" w:cs="Arial"/>
          <w:color w:val="000000" w:themeColor="text1"/>
          <w:lang w:val="es-ES"/>
        </w:rPr>
        <w:t xml:space="preserve">las </w:t>
      </w:r>
      <w:r w:rsidR="6D2FD199" w:rsidRPr="07E9C141">
        <w:rPr>
          <w:rFonts w:ascii="Verdana" w:eastAsia="Arial" w:hAnsi="Verdana" w:cs="Arial"/>
          <w:color w:val="000000" w:themeColor="text1"/>
          <w:lang w:val="es-ES"/>
        </w:rPr>
        <w:t>C</w:t>
      </w:r>
      <w:r w:rsidRPr="07E9C141">
        <w:rPr>
          <w:rFonts w:ascii="Verdana" w:eastAsia="Arial" w:hAnsi="Verdana" w:cs="Arial"/>
          <w:color w:val="000000" w:themeColor="text1"/>
          <w:lang w:val="es-ES"/>
        </w:rPr>
        <w:t xml:space="preserve">ámaras de </w:t>
      </w:r>
      <w:r w:rsidR="3CBD881C" w:rsidRPr="07E9C141">
        <w:rPr>
          <w:rFonts w:ascii="Verdana" w:eastAsia="Arial" w:hAnsi="Verdana" w:cs="Arial"/>
          <w:color w:val="000000" w:themeColor="text1"/>
          <w:lang w:val="es-ES"/>
        </w:rPr>
        <w:t>C</w:t>
      </w:r>
      <w:r w:rsidRPr="07E9C141">
        <w:rPr>
          <w:rFonts w:ascii="Verdana" w:eastAsia="Arial" w:hAnsi="Verdana" w:cs="Arial"/>
          <w:color w:val="000000" w:themeColor="text1"/>
          <w:lang w:val="es-ES"/>
        </w:rPr>
        <w:t xml:space="preserve">omercio se encuentran definidas en el artículo 78 del Decreto Ley 410 de 1971 como “[…] </w:t>
      </w:r>
      <w:r w:rsidRPr="07E9C141">
        <w:rPr>
          <w:rFonts w:ascii="Verdana" w:eastAsia="Arial" w:hAnsi="Verdana" w:cs="Arial"/>
          <w:color w:val="000000" w:themeColor="text1"/>
        </w:rPr>
        <w:t xml:space="preserve">instituciones de orden legal con personería jurídica, creadas por el Gobierno Nacional, de oficio o a petición de los comerciantes del territorio donde hayan de operar […]”. Dichas instituciones se encuentran habilitadas para el ejercicio de determinadas funciones públicas como, por ejemplo, llevar el registro mercantil y certificar sobre los actos y documentos inscritos en éste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art. 86.3 del Código de Comercio</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administrar el registro único de proponentes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art. 6 de la Ley 1150 de 2007</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o llevar el registro único empresarial y social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art. 116 del Decreto Ley 019 de 2012</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w:t>
      </w:r>
      <w:r w:rsidRPr="07E9C141">
        <w:rPr>
          <w:rFonts w:ascii="Verdana" w:eastAsia="Arial" w:hAnsi="Verdana" w:cs="Arial"/>
          <w:color w:val="000000" w:themeColor="text1"/>
        </w:rPr>
        <w:t xml:space="preserve"> </w:t>
      </w:r>
    </w:p>
    <w:p w14:paraId="1EC8A8FA" w14:textId="77777777" w:rsidR="00E85C97" w:rsidRDefault="00E85C97" w:rsidP="0004137F">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Pese a lo anterior, la jurisprudencia de la Corte Constitucional no les reconoce la naturaleza de entidades estatales. Por ejemplo, la Sentencia C-144 de 1993, con ponencia del Magistrado Eduardo Cifuentes Muñoz, explica que “[…] </w:t>
      </w:r>
      <w:r w:rsidRPr="004515A6">
        <w:rPr>
          <w:rFonts w:ascii="Verdana" w:eastAsia="Arial" w:hAnsi="Verdana" w:cs="Arial"/>
          <w:color w:val="000000"/>
        </w:rPr>
        <w:t xml:space="preserve">Si bien nominalmente se consideran </w:t>
      </w:r>
      <w:r>
        <w:rPr>
          <w:rFonts w:ascii="Verdana" w:eastAsia="Arial" w:hAnsi="Verdana" w:cs="Arial"/>
          <w:color w:val="000000"/>
        </w:rPr>
        <w:t>‘</w:t>
      </w:r>
      <w:r w:rsidRPr="004515A6">
        <w:rPr>
          <w:rFonts w:ascii="Verdana" w:eastAsia="Arial" w:hAnsi="Verdana" w:cs="Arial"/>
          <w:color w:val="000000"/>
        </w:rPr>
        <w:t>instituciones de orden legal</w:t>
      </w:r>
      <w:r>
        <w:rPr>
          <w:rFonts w:ascii="Verdana" w:eastAsia="Arial" w:hAnsi="Verdana" w:cs="Arial"/>
          <w:color w:val="000000"/>
        </w:rPr>
        <w:t>’</w:t>
      </w:r>
      <w:r w:rsidRPr="004515A6">
        <w:rPr>
          <w:rFonts w:ascii="Verdana" w:eastAsia="Arial" w:hAnsi="Verdana" w:cs="Arial"/>
          <w:color w:val="000000"/>
        </w:rPr>
        <w:t xml:space="preserve"> (C. de Co. art. 78), creadas por el Gobierno, lo cierto es que ellas se integran por los comerciantes inscritos en su respectivo registro mercantil. La técnica </w:t>
      </w:r>
      <w:proofErr w:type="spellStart"/>
      <w:r w:rsidRPr="004515A6">
        <w:rPr>
          <w:rFonts w:ascii="Verdana" w:eastAsia="Arial" w:hAnsi="Verdana" w:cs="Arial"/>
          <w:color w:val="000000"/>
        </w:rPr>
        <w:t>autorizatoria</w:t>
      </w:r>
      <w:proofErr w:type="spellEnd"/>
      <w:r w:rsidRPr="004515A6">
        <w:rPr>
          <w:rFonts w:ascii="Verdana" w:eastAsia="Arial" w:hAnsi="Verdana" w:cs="Arial"/>
          <w:color w:val="000000"/>
        </w:rPr>
        <w:t xml:space="preserve"> y la participación que ella reserva a la </w:t>
      </w:r>
      <w:proofErr w:type="gramStart"/>
      <w:r w:rsidRPr="004515A6">
        <w:rPr>
          <w:rFonts w:ascii="Verdana" w:eastAsia="Arial" w:hAnsi="Verdana" w:cs="Arial"/>
          <w:color w:val="000000"/>
        </w:rPr>
        <w:t>autoridad pública</w:t>
      </w:r>
      <w:proofErr w:type="gramEnd"/>
      <w:r w:rsidRPr="004515A6">
        <w:rPr>
          <w:rFonts w:ascii="Verdana" w:eastAsia="Arial" w:hAnsi="Verdana" w:cs="Arial"/>
          <w:color w:val="000000"/>
        </w:rPr>
        <w:t xml:space="preserve"> habida consideración de las funciones que cumplen las cámaras de comercio, no permite concluir por sí solas su naturaleza pública</w:t>
      </w:r>
      <w:r>
        <w:rPr>
          <w:rFonts w:ascii="Verdana" w:eastAsia="Arial" w:hAnsi="Verdana" w:cs="Arial"/>
          <w:color w:val="000000"/>
        </w:rPr>
        <w:t xml:space="preserve"> […]”. Por su parte, la Sentencia C-135 de 2016, con ponencia del Magistrado Luis Ernesto Vargas Silva, agrega que las cámaras de comercio “[…] </w:t>
      </w:r>
      <w:r w:rsidRPr="00790470">
        <w:rPr>
          <w:rFonts w:ascii="Verdana" w:eastAsia="Arial" w:hAnsi="Verdana" w:cs="Arial"/>
          <w:color w:val="000000"/>
        </w:rPr>
        <w:t>En su calidad de particulares se encuentran sometidas a los principios de la función administrativa que establece el artículo 209 de la Constitución Política, respecto del cumplimiento de las funciones públicas encomendadas, sin que ello implique una mutación en su condición de sujeto sometido al régimen privado en lo atinente a su organización y al desarrollo de sus actividades propias, las cuales se encuentran bajo la vigilancia y control de la Superintendencia de Industria y Comercio</w:t>
      </w:r>
      <w:r>
        <w:rPr>
          <w:rFonts w:ascii="Verdana" w:eastAsia="Arial" w:hAnsi="Verdana" w:cs="Arial"/>
          <w:color w:val="000000"/>
        </w:rPr>
        <w:t>”.</w:t>
      </w:r>
    </w:p>
    <w:p w14:paraId="130738D1" w14:textId="37C712B5" w:rsidR="00E85C97" w:rsidRDefault="00E85C97" w:rsidP="0004137F">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Asimismo, el artículo </w:t>
      </w:r>
      <w:r w:rsidRPr="001D3358">
        <w:rPr>
          <w:rFonts w:ascii="Verdana" w:eastAsia="Arial" w:hAnsi="Verdana" w:cs="Arial"/>
          <w:color w:val="000000"/>
        </w:rPr>
        <w:t>2.2.2.38.1.1</w:t>
      </w:r>
      <w:r>
        <w:rPr>
          <w:rFonts w:ascii="Verdana" w:eastAsia="Arial" w:hAnsi="Verdana" w:cs="Arial"/>
          <w:color w:val="000000"/>
        </w:rPr>
        <w:t xml:space="preserve"> del Decreto 1074 del 2015 resalta a las </w:t>
      </w:r>
      <w:r w:rsidR="04BBEE34">
        <w:rPr>
          <w:rFonts w:ascii="Verdana" w:eastAsia="Arial" w:hAnsi="Verdana" w:cs="Arial"/>
          <w:color w:val="000000"/>
        </w:rPr>
        <w:t>C</w:t>
      </w:r>
      <w:r>
        <w:rPr>
          <w:rFonts w:ascii="Verdana" w:eastAsia="Arial" w:hAnsi="Verdana" w:cs="Arial"/>
          <w:color w:val="000000"/>
        </w:rPr>
        <w:t xml:space="preserve">ámaras de </w:t>
      </w:r>
      <w:r w:rsidR="6716BCD5">
        <w:rPr>
          <w:rFonts w:ascii="Verdana" w:eastAsia="Arial" w:hAnsi="Verdana" w:cs="Arial"/>
          <w:color w:val="000000"/>
        </w:rPr>
        <w:t>C</w:t>
      </w:r>
      <w:r>
        <w:rPr>
          <w:rFonts w:ascii="Verdana" w:eastAsia="Arial" w:hAnsi="Verdana" w:cs="Arial"/>
          <w:color w:val="000000"/>
        </w:rPr>
        <w:t xml:space="preserve">omercio como particulares, por lo que estas instituciones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al carecer de naturaleza pública</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no son entes descentralizados territorialmente ni por servicios</w:t>
      </w:r>
      <w:r>
        <w:rPr>
          <w:rFonts w:ascii="Verdana" w:eastAsia="Arial" w:hAnsi="Verdana" w:cs="Arial"/>
          <w:color w:val="000000"/>
        </w:rPr>
        <w:t>. Por ello, la norma precitada dispone que “[…] s</w:t>
      </w:r>
      <w:r w:rsidRPr="00D24134">
        <w:rPr>
          <w:rFonts w:ascii="Verdana" w:eastAsia="Arial" w:hAnsi="Verdana" w:cs="Arial"/>
          <w:color w:val="000000"/>
        </w:rPr>
        <w:t>on personas jurídicas de derecho privado, de carácter corporativo, gremial y sin ánimo de lucro, administradas y gobernadas por los comerciantes matriculados en el respectivo registro mercantil que tengan la calidad de afiliados</w:t>
      </w:r>
      <w:r>
        <w:rPr>
          <w:rFonts w:ascii="Verdana" w:eastAsia="Arial" w:hAnsi="Verdana" w:cs="Arial"/>
          <w:color w:val="000000"/>
        </w:rPr>
        <w:t xml:space="preserve"> […]”. Como el legislador les atribuye el ejercicio de algunas funciones registrales, de certificación y de publicidad, se trata de una forma de </w:t>
      </w:r>
      <w:r w:rsidRPr="00BF3DC2">
        <w:rPr>
          <w:rFonts w:ascii="Verdana" w:eastAsia="Arial" w:hAnsi="Verdana" w:cs="Arial"/>
          <w:i/>
          <w:iCs/>
          <w:color w:val="000000"/>
        </w:rPr>
        <w:t xml:space="preserve">descentralización por </w:t>
      </w:r>
      <w:r w:rsidRPr="00BF3DC2">
        <w:rPr>
          <w:rFonts w:ascii="Verdana" w:eastAsia="Arial" w:hAnsi="Verdana" w:cs="Arial"/>
          <w:i/>
          <w:iCs/>
          <w:color w:val="000000"/>
        </w:rPr>
        <w:lastRenderedPageBreak/>
        <w:t>colaboración</w:t>
      </w:r>
      <w:r>
        <w:rPr>
          <w:rFonts w:ascii="Verdana" w:eastAsia="Arial" w:hAnsi="Verdana" w:cs="Arial"/>
          <w:color w:val="000000"/>
        </w:rPr>
        <w:t xml:space="preserve"> en los términos de los artículos 123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inc. 3º</w:t>
      </w:r>
      <w:r w:rsidRPr="00593A5F">
        <w:rPr>
          <w:rFonts w:ascii="Verdana" w:eastAsia="Calibri" w:hAnsi="Verdana" w:cs="Arial"/>
          <w:color w:val="000000" w:themeColor="text1"/>
          <w:lang w:val="es-ES" w:eastAsia="es-ES"/>
        </w:rPr>
        <w:t>–</w:t>
      </w:r>
      <w:r>
        <w:rPr>
          <w:rFonts w:ascii="Verdana" w:eastAsia="Arial" w:hAnsi="Verdana" w:cs="Arial"/>
          <w:color w:val="000000"/>
        </w:rPr>
        <w:t xml:space="preserve"> y 210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inc. 2º</w:t>
      </w:r>
      <w:r w:rsidRPr="00593A5F">
        <w:rPr>
          <w:rFonts w:ascii="Verdana" w:eastAsia="Calibri" w:hAnsi="Verdana" w:cs="Arial"/>
          <w:color w:val="000000" w:themeColor="text1"/>
          <w:lang w:val="es-ES" w:eastAsia="es-ES"/>
        </w:rPr>
        <w:t>–</w:t>
      </w:r>
      <w:r>
        <w:rPr>
          <w:rFonts w:ascii="Verdana" w:eastAsia="Arial" w:hAnsi="Verdana" w:cs="Arial"/>
          <w:color w:val="000000"/>
        </w:rPr>
        <w:t xml:space="preserve"> de la Constitución Política de 1991</w:t>
      </w:r>
      <w:r>
        <w:rPr>
          <w:rStyle w:val="Refdenotaalpie"/>
          <w:rFonts w:ascii="Verdana" w:eastAsia="Arial" w:hAnsi="Verdana" w:cs="Arial"/>
          <w:color w:val="000000"/>
        </w:rPr>
        <w:footnoteReference w:id="1"/>
      </w:r>
      <w:r>
        <w:rPr>
          <w:rFonts w:ascii="Verdana" w:eastAsia="Arial" w:hAnsi="Verdana" w:cs="Arial"/>
          <w:color w:val="000000"/>
        </w:rPr>
        <w:t>.</w:t>
      </w:r>
    </w:p>
    <w:p w14:paraId="171B7408" w14:textId="77777777" w:rsidR="00E85C97" w:rsidRDefault="00E85C97" w:rsidP="0004137F">
      <w:pPr>
        <w:spacing w:after="120" w:line="276" w:lineRule="auto"/>
        <w:ind w:firstLine="709"/>
        <w:jc w:val="both"/>
        <w:rPr>
          <w:rFonts w:ascii="Verdana" w:eastAsia="Calibri" w:hAnsi="Verdana" w:cs="Arial"/>
          <w:color w:val="000000" w:themeColor="text1"/>
          <w:lang w:val="es-ES" w:eastAsia="es-ES"/>
        </w:rPr>
      </w:pPr>
      <w:r>
        <w:rPr>
          <w:rFonts w:ascii="Verdana" w:eastAsia="Arial" w:hAnsi="Verdana" w:cs="Arial"/>
          <w:color w:val="000000"/>
        </w:rPr>
        <w:t xml:space="preserve">Como particulares que desarrollan actividades administrativas, las Cámaras de Comercio no son entidades estatales sometidas o exceptuadas de la Ley 80 de 1993, pues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pese a ejercer determinadas funciones públicas</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siguen siendo sujetos de derecho privado. Lo anterior, no obsta para que a los particulares que reciban el ejercicio de funciones administrativas conforme a los artículos 110 y siguientes de la Ley 489 de 1998 se les extienda la aplicación del Estatuto General de Contratación de la Administración Pública. </w:t>
      </w:r>
    </w:p>
    <w:p w14:paraId="133F2309" w14:textId="77777777" w:rsidR="00E85C97" w:rsidRDefault="00E85C97" w:rsidP="0060171C">
      <w:pPr>
        <w:pStyle w:val="Textoindependiente"/>
        <w:spacing w:after="120" w:line="276" w:lineRule="auto"/>
        <w:ind w:firstLine="709"/>
        <w:jc w:val="both"/>
      </w:pPr>
      <w:r>
        <w:t xml:space="preserve">Ahora bien, el principio de publicidad impone a las autoridades el deber de dar a conocer sus actos, contratos y decisiones, para que se divulguen y eventualmente se controlen dichas actuaciones. Es por eso </w:t>
      </w:r>
      <w:proofErr w:type="gramStart"/>
      <w:r>
        <w:t>que</w:t>
      </w:r>
      <w:proofErr w:type="gramEnd"/>
      <w:r>
        <w:t>, en la contratación</w:t>
      </w:r>
      <w:r>
        <w:rPr>
          <w:spacing w:val="-17"/>
        </w:rPr>
        <w:t xml:space="preserve"> </w:t>
      </w:r>
      <w:r>
        <w:t>estatal,</w:t>
      </w:r>
      <w:r>
        <w:rPr>
          <w:spacing w:val="-17"/>
        </w:rPr>
        <w:t xml:space="preserve"> </w:t>
      </w:r>
      <w:r>
        <w:t>el</w:t>
      </w:r>
      <w:r>
        <w:rPr>
          <w:spacing w:val="-17"/>
        </w:rPr>
        <w:t xml:space="preserve"> </w:t>
      </w:r>
      <w:r>
        <w:t>literal</w:t>
      </w:r>
      <w:r>
        <w:rPr>
          <w:spacing w:val="-17"/>
        </w:rPr>
        <w:t xml:space="preserve"> </w:t>
      </w:r>
      <w:r>
        <w:t>c),</w:t>
      </w:r>
      <w:r>
        <w:rPr>
          <w:spacing w:val="-17"/>
        </w:rPr>
        <w:t xml:space="preserve"> </w:t>
      </w:r>
      <w:r>
        <w:t>del</w:t>
      </w:r>
      <w:r>
        <w:rPr>
          <w:spacing w:val="-17"/>
        </w:rPr>
        <w:t xml:space="preserve"> </w:t>
      </w:r>
      <w:r>
        <w:t>artículo</w:t>
      </w:r>
      <w:r>
        <w:rPr>
          <w:spacing w:val="-4"/>
        </w:rPr>
        <w:t xml:space="preserve"> </w:t>
      </w:r>
      <w:r>
        <w:t>3,</w:t>
      </w:r>
      <w:r>
        <w:rPr>
          <w:spacing w:val="-17"/>
        </w:rPr>
        <w:t xml:space="preserve"> </w:t>
      </w:r>
      <w:r>
        <w:t>de</w:t>
      </w:r>
      <w:r>
        <w:rPr>
          <w:spacing w:val="-18"/>
        </w:rPr>
        <w:t xml:space="preserve"> </w:t>
      </w:r>
      <w:r>
        <w:t>la</w:t>
      </w:r>
      <w:r>
        <w:rPr>
          <w:spacing w:val="-19"/>
        </w:rPr>
        <w:t xml:space="preserve"> </w:t>
      </w:r>
      <w:r>
        <w:t>Ley</w:t>
      </w:r>
      <w:r>
        <w:rPr>
          <w:spacing w:val="-18"/>
        </w:rPr>
        <w:t xml:space="preserve"> </w:t>
      </w:r>
      <w:r>
        <w:t>1150</w:t>
      </w:r>
      <w:r>
        <w:rPr>
          <w:spacing w:val="-17"/>
        </w:rPr>
        <w:t xml:space="preserve"> </w:t>
      </w:r>
      <w:r>
        <w:t>de</w:t>
      </w:r>
      <w:r>
        <w:rPr>
          <w:spacing w:val="-18"/>
        </w:rPr>
        <w:t xml:space="preserve"> </w:t>
      </w:r>
      <w:r>
        <w:t>2007</w:t>
      </w:r>
      <w:r>
        <w:rPr>
          <w:spacing w:val="-17"/>
        </w:rPr>
        <w:t xml:space="preserve"> </w:t>
      </w:r>
      <w:r>
        <w:t>establece el Sistema Electrónico para la Contratación Pública –SECOP– como un mecanismo que “contará con la información oficial de la contratación realizada con</w:t>
      </w:r>
      <w:r>
        <w:rPr>
          <w:spacing w:val="-20"/>
        </w:rPr>
        <w:t xml:space="preserve"> </w:t>
      </w:r>
      <w:r>
        <w:t>dineros</w:t>
      </w:r>
      <w:r>
        <w:rPr>
          <w:spacing w:val="-19"/>
        </w:rPr>
        <w:t xml:space="preserve"> </w:t>
      </w:r>
      <w:r>
        <w:t>públicos,</w:t>
      </w:r>
      <w:r>
        <w:rPr>
          <w:spacing w:val="-19"/>
        </w:rPr>
        <w:t xml:space="preserve"> </w:t>
      </w:r>
      <w:r>
        <w:t>para</w:t>
      </w:r>
      <w:r>
        <w:rPr>
          <w:spacing w:val="-20"/>
        </w:rPr>
        <w:t xml:space="preserve"> </w:t>
      </w:r>
      <w:r>
        <w:t>lo</w:t>
      </w:r>
      <w:r>
        <w:rPr>
          <w:spacing w:val="-19"/>
        </w:rPr>
        <w:t xml:space="preserve"> </w:t>
      </w:r>
      <w:r>
        <w:t>cual</w:t>
      </w:r>
      <w:r>
        <w:rPr>
          <w:spacing w:val="-12"/>
        </w:rPr>
        <w:t xml:space="preserve"> </w:t>
      </w:r>
      <w:r>
        <w:t>establecerá</w:t>
      </w:r>
      <w:r>
        <w:rPr>
          <w:spacing w:val="-10"/>
        </w:rPr>
        <w:t xml:space="preserve"> </w:t>
      </w:r>
      <w:r>
        <w:t>los</w:t>
      </w:r>
      <w:r>
        <w:rPr>
          <w:spacing w:val="-12"/>
        </w:rPr>
        <w:t xml:space="preserve"> </w:t>
      </w:r>
      <w:r>
        <w:t>patrones</w:t>
      </w:r>
      <w:r>
        <w:rPr>
          <w:spacing w:val="-12"/>
        </w:rPr>
        <w:t xml:space="preserve"> </w:t>
      </w:r>
      <w:r>
        <w:t>a</w:t>
      </w:r>
      <w:r>
        <w:rPr>
          <w:spacing w:val="-14"/>
        </w:rPr>
        <w:t xml:space="preserve"> </w:t>
      </w:r>
      <w:r>
        <w:t>que</w:t>
      </w:r>
      <w:r>
        <w:rPr>
          <w:spacing w:val="-10"/>
        </w:rPr>
        <w:t xml:space="preserve"> </w:t>
      </w:r>
      <w:r>
        <w:t>haya</w:t>
      </w:r>
      <w:r>
        <w:rPr>
          <w:spacing w:val="-14"/>
        </w:rPr>
        <w:t xml:space="preserve"> </w:t>
      </w:r>
      <w:r>
        <w:t>lugar</w:t>
      </w:r>
      <w:r>
        <w:rPr>
          <w:spacing w:val="-11"/>
        </w:rPr>
        <w:t xml:space="preserve"> </w:t>
      </w:r>
      <w:r>
        <w:t>y</w:t>
      </w:r>
      <w:r>
        <w:rPr>
          <w:spacing w:val="-12"/>
        </w:rPr>
        <w:t xml:space="preserve"> </w:t>
      </w:r>
      <w:r>
        <w:t xml:space="preserve">se encargará de su difusión a través de canales electrónicos” </w:t>
      </w:r>
    </w:p>
    <w:p w14:paraId="782FD8B9" w14:textId="77777777" w:rsidR="00E85C97" w:rsidRDefault="00E85C97" w:rsidP="0060171C">
      <w:pPr>
        <w:pStyle w:val="Textoindependiente"/>
        <w:spacing w:after="120" w:line="276" w:lineRule="auto"/>
        <w:ind w:firstLine="709"/>
        <w:jc w:val="both"/>
      </w:pPr>
      <w:bookmarkStart w:id="3" w:name="_bookmark5"/>
      <w:bookmarkStart w:id="4" w:name="_bookmark6"/>
      <w:bookmarkEnd w:id="3"/>
      <w:bookmarkEnd w:id="4"/>
      <w:r>
        <w:t>De otra parte, la Ley 1712 de 2014 –Ley estatutaria que regula la transparencia y el derecho de acceso a la información y a los documentos públicos–, identifica como principios que orientan el derecho de acceso a la información</w:t>
      </w:r>
      <w:r>
        <w:rPr>
          <w:spacing w:val="-9"/>
        </w:rPr>
        <w:t xml:space="preserve"> </w:t>
      </w:r>
      <w:r>
        <w:t>pública,</w:t>
      </w:r>
      <w:r>
        <w:rPr>
          <w:spacing w:val="-5"/>
        </w:rPr>
        <w:t xml:space="preserve"> </w:t>
      </w:r>
      <w:r>
        <w:t>el</w:t>
      </w:r>
      <w:r>
        <w:rPr>
          <w:spacing w:val="-4"/>
        </w:rPr>
        <w:t xml:space="preserve"> </w:t>
      </w:r>
      <w:r>
        <w:t>de</w:t>
      </w:r>
      <w:r>
        <w:rPr>
          <w:spacing w:val="-10"/>
        </w:rPr>
        <w:t xml:space="preserve"> </w:t>
      </w:r>
      <w:r>
        <w:t>máxima</w:t>
      </w:r>
      <w:r>
        <w:rPr>
          <w:spacing w:val="-7"/>
        </w:rPr>
        <w:t xml:space="preserve"> </w:t>
      </w:r>
      <w:r>
        <w:t>publicidad,</w:t>
      </w:r>
      <w:r>
        <w:rPr>
          <w:spacing w:val="-5"/>
        </w:rPr>
        <w:t xml:space="preserve"> </w:t>
      </w:r>
      <w:r>
        <w:t>transparencia</w:t>
      </w:r>
      <w:r>
        <w:rPr>
          <w:spacing w:val="-7"/>
        </w:rPr>
        <w:t xml:space="preserve"> </w:t>
      </w:r>
      <w:r>
        <w:t>en</w:t>
      </w:r>
      <w:r>
        <w:rPr>
          <w:spacing w:val="-4"/>
        </w:rPr>
        <w:t xml:space="preserve"> </w:t>
      </w:r>
      <w:r>
        <w:t>la</w:t>
      </w:r>
      <w:r>
        <w:rPr>
          <w:spacing w:val="-7"/>
        </w:rPr>
        <w:t xml:space="preserve"> </w:t>
      </w:r>
      <w:r>
        <w:t>información</w:t>
      </w:r>
      <w:r>
        <w:rPr>
          <w:spacing w:val="-4"/>
        </w:rPr>
        <w:t xml:space="preserve"> </w:t>
      </w:r>
      <w:r>
        <w:t>y buena</w:t>
      </w:r>
      <w:r>
        <w:rPr>
          <w:spacing w:val="-3"/>
        </w:rPr>
        <w:t xml:space="preserve"> </w:t>
      </w:r>
      <w:r>
        <w:t>fe.</w:t>
      </w:r>
      <w:r>
        <w:rPr>
          <w:spacing w:val="-1"/>
        </w:rPr>
        <w:t xml:space="preserve"> </w:t>
      </w:r>
      <w:r>
        <w:t>El principio de</w:t>
      </w:r>
      <w:r>
        <w:rPr>
          <w:spacing w:val="-1"/>
        </w:rPr>
        <w:t xml:space="preserve"> </w:t>
      </w:r>
      <w:r>
        <w:t>máxima</w:t>
      </w:r>
      <w:r>
        <w:rPr>
          <w:spacing w:val="-3"/>
        </w:rPr>
        <w:t xml:space="preserve"> </w:t>
      </w:r>
      <w:r>
        <w:t>publicidad</w:t>
      </w:r>
      <w:r>
        <w:rPr>
          <w:spacing w:val="-3"/>
        </w:rPr>
        <w:t xml:space="preserve"> </w:t>
      </w:r>
      <w:r>
        <w:t>establece</w:t>
      </w:r>
      <w:r>
        <w:rPr>
          <w:spacing w:val="-1"/>
        </w:rPr>
        <w:t xml:space="preserve"> </w:t>
      </w:r>
      <w:r>
        <w:t>que</w:t>
      </w:r>
      <w:r>
        <w:rPr>
          <w:spacing w:val="-1"/>
        </w:rPr>
        <w:t xml:space="preserve"> </w:t>
      </w:r>
      <w:r>
        <w:t>“toda</w:t>
      </w:r>
      <w:r>
        <w:rPr>
          <w:spacing w:val="-3"/>
        </w:rPr>
        <w:t xml:space="preserve"> </w:t>
      </w:r>
      <w:r>
        <w:t>información</w:t>
      </w:r>
      <w:r>
        <w:rPr>
          <w:spacing w:val="-5"/>
        </w:rPr>
        <w:t xml:space="preserve"> </w:t>
      </w:r>
      <w:r>
        <w:t>en posesión,</w:t>
      </w:r>
      <w:r>
        <w:rPr>
          <w:spacing w:val="-15"/>
        </w:rPr>
        <w:t xml:space="preserve"> </w:t>
      </w:r>
      <w:r>
        <w:t>bajo</w:t>
      </w:r>
      <w:r>
        <w:rPr>
          <w:spacing w:val="-14"/>
        </w:rPr>
        <w:t xml:space="preserve"> </w:t>
      </w:r>
      <w:r>
        <w:t>control</w:t>
      </w:r>
      <w:r>
        <w:rPr>
          <w:spacing w:val="-15"/>
        </w:rPr>
        <w:t xml:space="preserve"> </w:t>
      </w:r>
      <w:r>
        <w:t>o</w:t>
      </w:r>
      <w:r>
        <w:rPr>
          <w:spacing w:val="-14"/>
        </w:rPr>
        <w:t xml:space="preserve"> </w:t>
      </w:r>
      <w:r>
        <w:t>custodia</w:t>
      </w:r>
      <w:r>
        <w:rPr>
          <w:spacing w:val="-12"/>
        </w:rPr>
        <w:t xml:space="preserve"> </w:t>
      </w:r>
      <w:r>
        <w:t>de</w:t>
      </w:r>
      <w:r>
        <w:rPr>
          <w:spacing w:val="-16"/>
        </w:rPr>
        <w:t xml:space="preserve"> </w:t>
      </w:r>
      <w:r>
        <w:t>un</w:t>
      </w:r>
      <w:r>
        <w:rPr>
          <w:spacing w:val="-10"/>
        </w:rPr>
        <w:t xml:space="preserve"> </w:t>
      </w:r>
      <w:r>
        <w:t>sujeto</w:t>
      </w:r>
      <w:r>
        <w:rPr>
          <w:spacing w:val="-9"/>
        </w:rPr>
        <w:t xml:space="preserve"> </w:t>
      </w:r>
      <w:r>
        <w:t>obligado</w:t>
      </w:r>
      <w:r>
        <w:rPr>
          <w:spacing w:val="-14"/>
        </w:rPr>
        <w:t xml:space="preserve"> </w:t>
      </w:r>
      <w:r>
        <w:t>es</w:t>
      </w:r>
      <w:r>
        <w:rPr>
          <w:spacing w:val="-10"/>
        </w:rPr>
        <w:t xml:space="preserve"> </w:t>
      </w:r>
      <w:r>
        <w:t>pública</w:t>
      </w:r>
      <w:r>
        <w:rPr>
          <w:spacing w:val="-13"/>
        </w:rPr>
        <w:t xml:space="preserve"> </w:t>
      </w:r>
      <w:r>
        <w:t>y</w:t>
      </w:r>
      <w:r>
        <w:rPr>
          <w:spacing w:val="-16"/>
        </w:rPr>
        <w:t xml:space="preserve"> </w:t>
      </w:r>
      <w:r>
        <w:t>no</w:t>
      </w:r>
      <w:r>
        <w:rPr>
          <w:spacing w:val="-9"/>
        </w:rPr>
        <w:t xml:space="preserve"> </w:t>
      </w:r>
      <w:r>
        <w:t>podrá</w:t>
      </w:r>
      <w:r>
        <w:rPr>
          <w:spacing w:val="-17"/>
        </w:rPr>
        <w:t xml:space="preserve"> </w:t>
      </w:r>
      <w:r>
        <w:t>ser reservada</w:t>
      </w:r>
      <w:r>
        <w:rPr>
          <w:spacing w:val="-3"/>
        </w:rPr>
        <w:t xml:space="preserve"> </w:t>
      </w:r>
      <w:r>
        <w:t>o limitada</w:t>
      </w:r>
      <w:r>
        <w:rPr>
          <w:spacing w:val="-3"/>
        </w:rPr>
        <w:t xml:space="preserve"> </w:t>
      </w:r>
      <w:r>
        <w:t>sino por</w:t>
      </w:r>
      <w:r>
        <w:rPr>
          <w:spacing w:val="-4"/>
        </w:rPr>
        <w:t xml:space="preserve"> </w:t>
      </w:r>
      <w:r>
        <w:t>disposición</w:t>
      </w:r>
      <w:r>
        <w:rPr>
          <w:spacing w:val="-5"/>
        </w:rPr>
        <w:t xml:space="preserve"> </w:t>
      </w:r>
      <w:r>
        <w:t>constitucional</w:t>
      </w:r>
      <w:r>
        <w:rPr>
          <w:spacing w:val="-5"/>
        </w:rPr>
        <w:t xml:space="preserve"> </w:t>
      </w:r>
      <w:r>
        <w:t>o legal</w:t>
      </w:r>
      <w:r>
        <w:rPr>
          <w:rStyle w:val="Refdenotaalpie"/>
        </w:rPr>
        <w:footnoteReference w:id="2"/>
      </w:r>
      <w:r>
        <w:t>”.</w:t>
      </w:r>
      <w:r>
        <w:rPr>
          <w:spacing w:val="-2"/>
        </w:rPr>
        <w:t xml:space="preserve"> </w:t>
      </w:r>
      <w:r>
        <w:t>El</w:t>
      </w:r>
      <w:r>
        <w:rPr>
          <w:spacing w:val="-1"/>
        </w:rPr>
        <w:t xml:space="preserve"> </w:t>
      </w:r>
      <w:r>
        <w:t xml:space="preserve">principio de </w:t>
      </w:r>
      <w:r>
        <w:lastRenderedPageBreak/>
        <w:t>transparencia en la información alude al deber de los</w:t>
      </w:r>
      <w:r>
        <w:rPr>
          <w:spacing w:val="-2"/>
        </w:rPr>
        <w:t xml:space="preserve"> </w:t>
      </w:r>
      <w:r>
        <w:t>sujetos</w:t>
      </w:r>
      <w:r>
        <w:rPr>
          <w:spacing w:val="-2"/>
        </w:rPr>
        <w:t xml:space="preserve"> </w:t>
      </w:r>
      <w:r>
        <w:t>de proporcionar y facilitar el acceso a la misma en los términos más amplios posibles, y a través de</w:t>
      </w:r>
      <w:r>
        <w:rPr>
          <w:spacing w:val="-20"/>
        </w:rPr>
        <w:t xml:space="preserve"> </w:t>
      </w:r>
      <w:r>
        <w:t>los</w:t>
      </w:r>
      <w:r>
        <w:rPr>
          <w:spacing w:val="-19"/>
        </w:rPr>
        <w:t xml:space="preserve"> </w:t>
      </w:r>
      <w:r>
        <w:t>medios</w:t>
      </w:r>
      <w:r>
        <w:rPr>
          <w:spacing w:val="-2"/>
        </w:rPr>
        <w:t xml:space="preserve"> </w:t>
      </w:r>
      <w:r>
        <w:t>y</w:t>
      </w:r>
      <w:r>
        <w:rPr>
          <w:spacing w:val="-3"/>
        </w:rPr>
        <w:t xml:space="preserve"> </w:t>
      </w:r>
      <w:r>
        <w:t>procedimientos</w:t>
      </w:r>
      <w:r>
        <w:rPr>
          <w:spacing w:val="-2"/>
        </w:rPr>
        <w:t xml:space="preserve"> </w:t>
      </w:r>
      <w:r>
        <w:t>legales.</w:t>
      </w:r>
      <w:r>
        <w:rPr>
          <w:spacing w:val="-2"/>
        </w:rPr>
        <w:t xml:space="preserve"> </w:t>
      </w:r>
      <w:r>
        <w:t>En</w:t>
      </w:r>
      <w:r>
        <w:rPr>
          <w:spacing w:val="-2"/>
        </w:rPr>
        <w:t xml:space="preserve"> </w:t>
      </w:r>
      <w:r>
        <w:t>el</w:t>
      </w:r>
      <w:r>
        <w:rPr>
          <w:spacing w:val="-2"/>
        </w:rPr>
        <w:t xml:space="preserve"> </w:t>
      </w:r>
      <w:r>
        <w:t>artículo</w:t>
      </w:r>
      <w:r>
        <w:rPr>
          <w:spacing w:val="-2"/>
        </w:rPr>
        <w:t xml:space="preserve"> </w:t>
      </w:r>
      <w:r>
        <w:t>5</w:t>
      </w:r>
      <w:r>
        <w:rPr>
          <w:spacing w:val="-2"/>
        </w:rPr>
        <w:t xml:space="preserve"> </w:t>
      </w:r>
      <w:r>
        <w:t>de</w:t>
      </w:r>
      <w:r>
        <w:rPr>
          <w:spacing w:val="-3"/>
        </w:rPr>
        <w:t xml:space="preserve"> </w:t>
      </w:r>
      <w:r>
        <w:t>dicha</w:t>
      </w:r>
      <w:r>
        <w:rPr>
          <w:spacing w:val="-5"/>
        </w:rPr>
        <w:t xml:space="preserve"> </w:t>
      </w:r>
      <w:r>
        <w:t>ley,</w:t>
      </w:r>
      <w:r>
        <w:rPr>
          <w:spacing w:val="-3"/>
        </w:rPr>
        <w:t xml:space="preserve"> </w:t>
      </w:r>
      <w:r>
        <w:t>se</w:t>
      </w:r>
      <w:r>
        <w:rPr>
          <w:spacing w:val="-3"/>
        </w:rPr>
        <w:t xml:space="preserve"> </w:t>
      </w:r>
      <w:r>
        <w:t>incluye dentro de la lista de sujetos obligados a</w:t>
      </w:r>
      <w:r>
        <w:rPr>
          <w:spacing w:val="-1"/>
        </w:rPr>
        <w:t xml:space="preserve"> </w:t>
      </w:r>
      <w:r>
        <w:t>todas las entidades públicas y, además, en el literal c)</w:t>
      </w:r>
      <w:r>
        <w:rPr>
          <w:spacing w:val="-3"/>
        </w:rPr>
        <w:t xml:space="preserve"> </w:t>
      </w:r>
      <w:r>
        <w:t xml:space="preserve">a las personas naturales y jurídicas, públicas o privadas, que presten </w:t>
      </w:r>
      <w:proofErr w:type="gramStart"/>
      <w:r>
        <w:rPr>
          <w:i/>
        </w:rPr>
        <w:t>función pública</w:t>
      </w:r>
      <w:r>
        <w:rPr>
          <w:i/>
          <w:spacing w:val="-12"/>
        </w:rPr>
        <w:t xml:space="preserve"> </w:t>
      </w:r>
      <w:r>
        <w:rPr>
          <w:i/>
        </w:rPr>
        <w:t>y</w:t>
      </w:r>
      <w:r>
        <w:rPr>
          <w:i/>
          <w:spacing w:val="-9"/>
        </w:rPr>
        <w:t xml:space="preserve"> </w:t>
      </w:r>
      <w:r>
        <w:rPr>
          <w:i/>
        </w:rPr>
        <w:t>servicios</w:t>
      </w:r>
      <w:r>
        <w:rPr>
          <w:i/>
          <w:spacing w:val="-9"/>
        </w:rPr>
        <w:t xml:space="preserve"> </w:t>
      </w:r>
      <w:r>
        <w:rPr>
          <w:i/>
        </w:rPr>
        <w:t>públicos</w:t>
      </w:r>
      <w:proofErr w:type="gramEnd"/>
      <w:r>
        <w:rPr>
          <w:i/>
          <w:spacing w:val="-2"/>
        </w:rPr>
        <w:t xml:space="preserve"> </w:t>
      </w:r>
      <w:r>
        <w:t>respecto</w:t>
      </w:r>
      <w:r>
        <w:rPr>
          <w:spacing w:val="-8"/>
        </w:rPr>
        <w:t xml:space="preserve"> </w:t>
      </w:r>
      <w:r>
        <w:t>de</w:t>
      </w:r>
      <w:r>
        <w:rPr>
          <w:spacing w:val="-10"/>
        </w:rPr>
        <w:t xml:space="preserve"> </w:t>
      </w:r>
      <w:r>
        <w:t>la</w:t>
      </w:r>
      <w:r>
        <w:rPr>
          <w:spacing w:val="-11"/>
        </w:rPr>
        <w:t xml:space="preserve"> </w:t>
      </w:r>
      <w:r>
        <w:t>información</w:t>
      </w:r>
      <w:r>
        <w:rPr>
          <w:spacing w:val="-9"/>
        </w:rPr>
        <w:t xml:space="preserve"> </w:t>
      </w:r>
      <w:r>
        <w:t>directamente</w:t>
      </w:r>
      <w:r>
        <w:rPr>
          <w:spacing w:val="-10"/>
        </w:rPr>
        <w:t xml:space="preserve"> </w:t>
      </w:r>
      <w:r>
        <w:t>relacionada con la prestación del servicio público, adicionalmente, en el literal g) incluyó a las entidades que administren recursos de naturaleza u origen público</w:t>
      </w:r>
      <w:r>
        <w:rPr>
          <w:rStyle w:val="Refdenotaalpie"/>
        </w:rPr>
        <w:footnoteReference w:id="3"/>
      </w:r>
      <w:r>
        <w:t xml:space="preserve">. </w:t>
      </w:r>
    </w:p>
    <w:p w14:paraId="5E9A23D9" w14:textId="77777777" w:rsidR="00E85C97" w:rsidRDefault="00E85C97" w:rsidP="0060171C">
      <w:pPr>
        <w:pStyle w:val="Textoindependiente"/>
        <w:spacing w:after="120" w:line="276" w:lineRule="auto"/>
        <w:ind w:firstLine="709"/>
        <w:jc w:val="both"/>
      </w:pPr>
      <w:bookmarkStart w:id="5" w:name="_bookmark7"/>
      <w:bookmarkStart w:id="6" w:name="_bookmark8"/>
      <w:bookmarkEnd w:id="5"/>
      <w:bookmarkEnd w:id="6"/>
      <w:r>
        <w:t>Uno de los deberes definidos en la Ley 1712 de 2014, que deben acatar los sujetos obligados, es publicar la información contractual en el SECOP. En efecto,</w:t>
      </w:r>
      <w:r>
        <w:rPr>
          <w:spacing w:val="-7"/>
        </w:rPr>
        <w:t xml:space="preserve"> </w:t>
      </w:r>
      <w:r>
        <w:t>el</w:t>
      </w:r>
      <w:r>
        <w:rPr>
          <w:spacing w:val="-11"/>
        </w:rPr>
        <w:t xml:space="preserve"> </w:t>
      </w:r>
      <w:r>
        <w:t>literal</w:t>
      </w:r>
      <w:r>
        <w:rPr>
          <w:spacing w:val="-11"/>
        </w:rPr>
        <w:t xml:space="preserve"> </w:t>
      </w:r>
      <w:r>
        <w:t>e)</w:t>
      </w:r>
      <w:r>
        <w:rPr>
          <w:spacing w:val="-6"/>
        </w:rPr>
        <w:t xml:space="preserve"> </w:t>
      </w:r>
      <w:r>
        <w:t>del</w:t>
      </w:r>
      <w:r>
        <w:rPr>
          <w:spacing w:val="-6"/>
        </w:rPr>
        <w:t xml:space="preserve"> </w:t>
      </w:r>
      <w:r>
        <w:t>artículo</w:t>
      </w:r>
      <w:r>
        <w:rPr>
          <w:spacing w:val="-10"/>
        </w:rPr>
        <w:t xml:space="preserve"> </w:t>
      </w:r>
      <w:r>
        <w:t>9</w:t>
      </w:r>
      <w:r>
        <w:rPr>
          <w:spacing w:val="-6"/>
        </w:rPr>
        <w:t xml:space="preserve"> </w:t>
      </w:r>
      <w:r>
        <w:t>señala</w:t>
      </w:r>
      <w:r>
        <w:rPr>
          <w:spacing w:val="-13"/>
        </w:rPr>
        <w:t xml:space="preserve"> </w:t>
      </w:r>
      <w:r>
        <w:t>que</w:t>
      </w:r>
      <w:r>
        <w:rPr>
          <w:spacing w:val="-8"/>
        </w:rPr>
        <w:t xml:space="preserve"> </w:t>
      </w:r>
      <w:r>
        <w:t>los</w:t>
      </w:r>
      <w:r>
        <w:rPr>
          <w:spacing w:val="-11"/>
        </w:rPr>
        <w:t xml:space="preserve"> </w:t>
      </w:r>
      <w:r>
        <w:t>sujetos</w:t>
      </w:r>
      <w:r>
        <w:rPr>
          <w:spacing w:val="-11"/>
        </w:rPr>
        <w:t xml:space="preserve"> </w:t>
      </w:r>
      <w:r>
        <w:t>obligados</w:t>
      </w:r>
      <w:r>
        <w:rPr>
          <w:spacing w:val="-6"/>
        </w:rPr>
        <w:t xml:space="preserve"> </w:t>
      </w:r>
      <w:r>
        <w:t>deben</w:t>
      </w:r>
      <w:r>
        <w:rPr>
          <w:spacing w:val="-11"/>
        </w:rPr>
        <w:t xml:space="preserve"> </w:t>
      </w:r>
      <w:r>
        <w:t>publicar la</w:t>
      </w:r>
      <w:r>
        <w:rPr>
          <w:spacing w:val="-12"/>
        </w:rPr>
        <w:t xml:space="preserve"> </w:t>
      </w:r>
      <w:r>
        <w:t>información</w:t>
      </w:r>
      <w:r>
        <w:rPr>
          <w:spacing w:val="-10"/>
        </w:rPr>
        <w:t xml:space="preserve"> </w:t>
      </w:r>
      <w:r>
        <w:t>relativo</w:t>
      </w:r>
      <w:r>
        <w:rPr>
          <w:spacing w:val="-9"/>
        </w:rPr>
        <w:t xml:space="preserve"> </w:t>
      </w:r>
      <w:r>
        <w:t>a</w:t>
      </w:r>
      <w:r>
        <w:rPr>
          <w:spacing w:val="-8"/>
        </w:rPr>
        <w:t xml:space="preserve"> </w:t>
      </w:r>
      <w:r>
        <w:t>su</w:t>
      </w:r>
      <w:r>
        <w:rPr>
          <w:spacing w:val="-4"/>
        </w:rPr>
        <w:t xml:space="preserve"> </w:t>
      </w:r>
      <w:r>
        <w:t>contratación.</w:t>
      </w:r>
      <w:r>
        <w:rPr>
          <w:spacing w:val="-5"/>
        </w:rPr>
        <w:t xml:space="preserve"> </w:t>
      </w:r>
      <w:r>
        <w:t>Así</w:t>
      </w:r>
      <w:r>
        <w:rPr>
          <w:spacing w:val="-5"/>
        </w:rPr>
        <w:t xml:space="preserve"> </w:t>
      </w:r>
      <w:r>
        <w:t>mismo,</w:t>
      </w:r>
      <w:r>
        <w:rPr>
          <w:spacing w:val="-10"/>
        </w:rPr>
        <w:t xml:space="preserve"> </w:t>
      </w:r>
      <w:r>
        <w:t>de</w:t>
      </w:r>
      <w:r>
        <w:rPr>
          <w:spacing w:val="-7"/>
        </w:rPr>
        <w:t xml:space="preserve"> </w:t>
      </w:r>
      <w:r>
        <w:t>acuerdo</w:t>
      </w:r>
      <w:r>
        <w:rPr>
          <w:spacing w:val="-9"/>
        </w:rPr>
        <w:t xml:space="preserve"> </w:t>
      </w:r>
      <w:r>
        <w:t>con</w:t>
      </w:r>
      <w:r>
        <w:rPr>
          <w:spacing w:val="-5"/>
        </w:rPr>
        <w:t xml:space="preserve"> </w:t>
      </w:r>
      <w:r>
        <w:t>el</w:t>
      </w:r>
      <w:r>
        <w:rPr>
          <w:spacing w:val="-5"/>
        </w:rPr>
        <w:t xml:space="preserve"> </w:t>
      </w:r>
      <w:r>
        <w:t>literal</w:t>
      </w:r>
      <w:r>
        <w:rPr>
          <w:spacing w:val="-5"/>
        </w:rPr>
        <w:t xml:space="preserve"> </w:t>
      </w:r>
      <w:r>
        <w:t>g) del</w:t>
      </w:r>
      <w:r>
        <w:rPr>
          <w:spacing w:val="-20"/>
        </w:rPr>
        <w:t xml:space="preserve"> </w:t>
      </w:r>
      <w:r>
        <w:t>artículo</w:t>
      </w:r>
      <w:r>
        <w:rPr>
          <w:spacing w:val="-19"/>
        </w:rPr>
        <w:t xml:space="preserve"> </w:t>
      </w:r>
      <w:r>
        <w:t>11</w:t>
      </w:r>
      <w:r>
        <w:rPr>
          <w:spacing w:val="-19"/>
        </w:rPr>
        <w:t xml:space="preserve"> </w:t>
      </w:r>
      <w:r>
        <w:t>de</w:t>
      </w:r>
      <w:r>
        <w:rPr>
          <w:spacing w:val="-20"/>
        </w:rPr>
        <w:t xml:space="preserve"> </w:t>
      </w:r>
      <w:r>
        <w:t>la</w:t>
      </w:r>
      <w:r>
        <w:rPr>
          <w:spacing w:val="-19"/>
        </w:rPr>
        <w:t xml:space="preserve"> </w:t>
      </w:r>
      <w:r>
        <w:t>misma</w:t>
      </w:r>
      <w:r>
        <w:rPr>
          <w:spacing w:val="-19"/>
        </w:rPr>
        <w:t xml:space="preserve"> </w:t>
      </w:r>
      <w:r>
        <w:t>Ley,</w:t>
      </w:r>
      <w:r>
        <w:rPr>
          <w:spacing w:val="-18"/>
        </w:rPr>
        <w:t xml:space="preserve"> </w:t>
      </w:r>
      <w:r>
        <w:t>todos</w:t>
      </w:r>
      <w:r>
        <w:rPr>
          <w:spacing w:val="-20"/>
        </w:rPr>
        <w:t xml:space="preserve"> </w:t>
      </w:r>
      <w:r>
        <w:t>los</w:t>
      </w:r>
      <w:r>
        <w:rPr>
          <w:spacing w:val="-16"/>
        </w:rPr>
        <w:t xml:space="preserve"> </w:t>
      </w:r>
      <w:r>
        <w:t>destinatarios</w:t>
      </w:r>
      <w:r>
        <w:rPr>
          <w:spacing w:val="-17"/>
        </w:rPr>
        <w:t xml:space="preserve"> </w:t>
      </w:r>
      <w:r>
        <w:t>de</w:t>
      </w:r>
      <w:r>
        <w:rPr>
          <w:spacing w:val="-20"/>
        </w:rPr>
        <w:t xml:space="preserve"> </w:t>
      </w:r>
      <w:r>
        <w:t>la</w:t>
      </w:r>
      <w:r>
        <w:rPr>
          <w:spacing w:val="-19"/>
        </w:rPr>
        <w:t xml:space="preserve"> </w:t>
      </w:r>
      <w:r>
        <w:t>ley</w:t>
      </w:r>
      <w:r>
        <w:rPr>
          <w:spacing w:val="-18"/>
        </w:rPr>
        <w:t xml:space="preserve"> </w:t>
      </w:r>
      <w:r>
        <w:t>de</w:t>
      </w:r>
      <w:r>
        <w:rPr>
          <w:spacing w:val="-18"/>
        </w:rPr>
        <w:t xml:space="preserve"> </w:t>
      </w:r>
      <w:r>
        <w:t>transparencia deben</w:t>
      </w:r>
      <w:r>
        <w:rPr>
          <w:spacing w:val="-18"/>
        </w:rPr>
        <w:t xml:space="preserve"> </w:t>
      </w:r>
      <w:r>
        <w:t>garantizar</w:t>
      </w:r>
      <w:r>
        <w:rPr>
          <w:spacing w:val="-16"/>
        </w:rPr>
        <w:t xml:space="preserve"> </w:t>
      </w:r>
      <w:r>
        <w:t>la</w:t>
      </w:r>
      <w:r>
        <w:rPr>
          <w:spacing w:val="-18"/>
        </w:rPr>
        <w:t xml:space="preserve"> </w:t>
      </w:r>
      <w:r>
        <w:t>publicidad</w:t>
      </w:r>
      <w:r>
        <w:rPr>
          <w:spacing w:val="-18"/>
        </w:rPr>
        <w:t xml:space="preserve"> </w:t>
      </w:r>
      <w:r>
        <w:t>de</w:t>
      </w:r>
      <w:r>
        <w:rPr>
          <w:spacing w:val="-17"/>
        </w:rPr>
        <w:t xml:space="preserve"> </w:t>
      </w:r>
      <w:r>
        <w:t>“sus</w:t>
      </w:r>
      <w:r>
        <w:rPr>
          <w:spacing w:val="-17"/>
        </w:rPr>
        <w:t xml:space="preserve"> </w:t>
      </w:r>
      <w:r>
        <w:t>procedimientos,</w:t>
      </w:r>
      <w:r>
        <w:rPr>
          <w:spacing w:val="-20"/>
        </w:rPr>
        <w:t xml:space="preserve"> </w:t>
      </w:r>
      <w:r>
        <w:t>lineamientos,</w:t>
      </w:r>
      <w:r>
        <w:rPr>
          <w:spacing w:val="-16"/>
        </w:rPr>
        <w:t xml:space="preserve"> </w:t>
      </w:r>
      <w:r>
        <w:t>políticas</w:t>
      </w:r>
      <w:r>
        <w:rPr>
          <w:spacing w:val="-17"/>
        </w:rPr>
        <w:t xml:space="preserve"> </w:t>
      </w:r>
      <w:r>
        <w:t>en materia</w:t>
      </w:r>
      <w:r>
        <w:rPr>
          <w:spacing w:val="-3"/>
        </w:rPr>
        <w:t xml:space="preserve"> </w:t>
      </w:r>
      <w:r>
        <w:t>de</w:t>
      </w:r>
      <w:r>
        <w:rPr>
          <w:spacing w:val="-7"/>
        </w:rPr>
        <w:t xml:space="preserve"> </w:t>
      </w:r>
      <w:r>
        <w:t>adquisiciones</w:t>
      </w:r>
      <w:r>
        <w:rPr>
          <w:spacing w:val="-6"/>
        </w:rPr>
        <w:t xml:space="preserve"> </w:t>
      </w:r>
      <w:r>
        <w:t>y</w:t>
      </w:r>
      <w:r>
        <w:rPr>
          <w:spacing w:val="-6"/>
        </w:rPr>
        <w:t xml:space="preserve"> </w:t>
      </w:r>
      <w:r>
        <w:t>compras,</w:t>
      </w:r>
      <w:r>
        <w:rPr>
          <w:spacing w:val="-2"/>
        </w:rPr>
        <w:t xml:space="preserve"> </w:t>
      </w:r>
      <w:r>
        <w:t>así</w:t>
      </w:r>
      <w:r>
        <w:rPr>
          <w:spacing w:val="-6"/>
        </w:rPr>
        <w:t xml:space="preserve"> </w:t>
      </w:r>
      <w:r>
        <w:t>como</w:t>
      </w:r>
      <w:r>
        <w:rPr>
          <w:spacing w:val="-5"/>
        </w:rPr>
        <w:t xml:space="preserve"> </w:t>
      </w:r>
      <w:r>
        <w:t>todos</w:t>
      </w:r>
      <w:r>
        <w:rPr>
          <w:spacing w:val="-6"/>
        </w:rPr>
        <w:t xml:space="preserve"> </w:t>
      </w:r>
      <w:r>
        <w:t>los</w:t>
      </w:r>
      <w:r>
        <w:rPr>
          <w:spacing w:val="-6"/>
        </w:rPr>
        <w:t xml:space="preserve"> </w:t>
      </w:r>
      <w:r>
        <w:t>datos</w:t>
      </w:r>
      <w:r>
        <w:rPr>
          <w:spacing w:val="-6"/>
        </w:rPr>
        <w:t xml:space="preserve"> </w:t>
      </w:r>
      <w:r>
        <w:t>de</w:t>
      </w:r>
      <w:r>
        <w:rPr>
          <w:spacing w:val="-3"/>
        </w:rPr>
        <w:t xml:space="preserve"> </w:t>
      </w:r>
      <w:r>
        <w:t>adjudicación</w:t>
      </w:r>
      <w:r>
        <w:rPr>
          <w:spacing w:val="-6"/>
        </w:rPr>
        <w:t xml:space="preserve"> </w:t>
      </w:r>
      <w:r>
        <w:t>y ejecución</w:t>
      </w:r>
      <w:r>
        <w:rPr>
          <w:spacing w:val="-17"/>
        </w:rPr>
        <w:t xml:space="preserve"> </w:t>
      </w:r>
      <w:r>
        <w:t>de</w:t>
      </w:r>
      <w:r>
        <w:rPr>
          <w:spacing w:val="-14"/>
        </w:rPr>
        <w:t xml:space="preserve"> </w:t>
      </w:r>
      <w:r>
        <w:t>contratos,</w:t>
      </w:r>
      <w:r>
        <w:rPr>
          <w:spacing w:val="-12"/>
        </w:rPr>
        <w:t xml:space="preserve"> </w:t>
      </w:r>
      <w:r>
        <w:t>incluidos</w:t>
      </w:r>
      <w:r>
        <w:rPr>
          <w:spacing w:val="-17"/>
        </w:rPr>
        <w:t xml:space="preserve"> </w:t>
      </w:r>
      <w:r>
        <w:t>concursos</w:t>
      </w:r>
      <w:r>
        <w:rPr>
          <w:spacing w:val="-17"/>
        </w:rPr>
        <w:t xml:space="preserve"> </w:t>
      </w:r>
      <w:r>
        <w:t>y</w:t>
      </w:r>
      <w:r>
        <w:rPr>
          <w:spacing w:val="-18"/>
        </w:rPr>
        <w:t xml:space="preserve"> </w:t>
      </w:r>
      <w:r>
        <w:t>licitaciones”,</w:t>
      </w:r>
      <w:r>
        <w:rPr>
          <w:spacing w:val="-17"/>
        </w:rPr>
        <w:t xml:space="preserve"> </w:t>
      </w:r>
      <w:r>
        <w:t>información</w:t>
      </w:r>
      <w:r>
        <w:rPr>
          <w:spacing w:val="-17"/>
        </w:rPr>
        <w:t xml:space="preserve"> </w:t>
      </w:r>
      <w:r>
        <w:t>esta,</w:t>
      </w:r>
      <w:r>
        <w:rPr>
          <w:spacing w:val="-13"/>
        </w:rPr>
        <w:t xml:space="preserve"> </w:t>
      </w:r>
      <w:r>
        <w:t>que también</w:t>
      </w:r>
      <w:r>
        <w:rPr>
          <w:spacing w:val="-6"/>
        </w:rPr>
        <w:t xml:space="preserve"> </w:t>
      </w:r>
      <w:r>
        <w:t>debe estar en el SECOP, adicionalmente el</w:t>
      </w:r>
      <w:r>
        <w:rPr>
          <w:spacing w:val="40"/>
        </w:rPr>
        <w:t xml:space="preserve"> </w:t>
      </w:r>
      <w:r>
        <w:t>Decreto 1081 de 2015</w:t>
      </w:r>
      <w:r>
        <w:rPr>
          <w:rStyle w:val="Refdenotaalpie"/>
        </w:rPr>
        <w:footnoteReference w:id="4"/>
      </w:r>
      <w:r>
        <w:t xml:space="preserve"> reglamentó la materia estableciendo que la información contractual de los sujetos obligados que </w:t>
      </w:r>
      <w:r>
        <w:rPr>
          <w:i/>
        </w:rPr>
        <w:t xml:space="preserve">“contratan con cargo a recursos públicos”, </w:t>
      </w:r>
      <w:r>
        <w:t xml:space="preserve">debe hacerse </w:t>
      </w:r>
      <w:r>
        <w:lastRenderedPageBreak/>
        <w:t>en el Sistema Electrónico para la Contratación Pública – SECOP–.</w:t>
      </w:r>
    </w:p>
    <w:p w14:paraId="5A5E125F" w14:textId="77777777" w:rsidR="00E85C97" w:rsidRDefault="00E85C97" w:rsidP="0004137F">
      <w:pPr>
        <w:pStyle w:val="Textoindependiente"/>
        <w:spacing w:before="122" w:line="276" w:lineRule="auto"/>
        <w:ind w:right="258" w:firstLine="709"/>
        <w:jc w:val="both"/>
      </w:pPr>
      <w:r>
        <w:t>Ahora bien, las disposiciones normativas anteriormente mencionadas fueron complementadas con la expedición de la Ley 2195 de 2022, “Por medio de la cual</w:t>
      </w:r>
      <w:r>
        <w:rPr>
          <w:spacing w:val="-3"/>
        </w:rPr>
        <w:t xml:space="preserve"> </w:t>
      </w:r>
      <w:r>
        <w:t>se</w:t>
      </w:r>
      <w:r>
        <w:rPr>
          <w:spacing w:val="-4"/>
        </w:rPr>
        <w:t xml:space="preserve"> </w:t>
      </w:r>
      <w:r>
        <w:t>adoptan medidas en materia de</w:t>
      </w:r>
      <w:r>
        <w:rPr>
          <w:spacing w:val="-4"/>
        </w:rPr>
        <w:t xml:space="preserve"> </w:t>
      </w:r>
      <w:r>
        <w:t>transparencia, prevención y</w:t>
      </w:r>
      <w:r>
        <w:rPr>
          <w:spacing w:val="-4"/>
        </w:rPr>
        <w:t xml:space="preserve"> </w:t>
      </w:r>
      <w:r>
        <w:t>lucha contra la corrupción y se dictan otras disposiciones”. Según el artículo 1, esta Ley “[…] tiene por objeto adoptar disposiciones tendientes a prevenir los actos de corrupción, a reforzar la articulación y coordinación de las entidades del Estado y a recuperar los daños ocasionados por dichos actos con el fin de asegurar</w:t>
      </w:r>
      <w:r>
        <w:rPr>
          <w:spacing w:val="-20"/>
        </w:rPr>
        <w:t xml:space="preserve"> </w:t>
      </w:r>
      <w:r>
        <w:t>promover</w:t>
      </w:r>
      <w:r>
        <w:rPr>
          <w:spacing w:val="-19"/>
        </w:rPr>
        <w:t xml:space="preserve"> </w:t>
      </w:r>
      <w:r>
        <w:t>la</w:t>
      </w:r>
      <w:r>
        <w:rPr>
          <w:spacing w:val="-19"/>
        </w:rPr>
        <w:t xml:space="preserve"> </w:t>
      </w:r>
      <w:r>
        <w:t>cultura</w:t>
      </w:r>
      <w:r>
        <w:rPr>
          <w:spacing w:val="-20"/>
        </w:rPr>
        <w:t xml:space="preserve"> </w:t>
      </w:r>
      <w:r>
        <w:t>de</w:t>
      </w:r>
      <w:r>
        <w:rPr>
          <w:spacing w:val="-19"/>
        </w:rPr>
        <w:t xml:space="preserve"> </w:t>
      </w:r>
      <w:r>
        <w:t>la</w:t>
      </w:r>
      <w:r>
        <w:rPr>
          <w:spacing w:val="-20"/>
        </w:rPr>
        <w:t xml:space="preserve"> </w:t>
      </w:r>
      <w:r>
        <w:t>legalidad</w:t>
      </w:r>
      <w:r>
        <w:rPr>
          <w:spacing w:val="-19"/>
        </w:rPr>
        <w:t xml:space="preserve"> </w:t>
      </w:r>
      <w:r>
        <w:t>e</w:t>
      </w:r>
      <w:r>
        <w:rPr>
          <w:spacing w:val="-19"/>
        </w:rPr>
        <w:t xml:space="preserve"> </w:t>
      </w:r>
      <w:r>
        <w:t>integridad</w:t>
      </w:r>
      <w:r>
        <w:rPr>
          <w:spacing w:val="-20"/>
        </w:rPr>
        <w:t xml:space="preserve"> </w:t>
      </w:r>
      <w:r>
        <w:t>y</w:t>
      </w:r>
      <w:r>
        <w:rPr>
          <w:spacing w:val="-19"/>
        </w:rPr>
        <w:t xml:space="preserve"> </w:t>
      </w:r>
      <w:r>
        <w:t>recuperar</w:t>
      </w:r>
      <w:r>
        <w:rPr>
          <w:spacing w:val="-19"/>
        </w:rPr>
        <w:t xml:space="preserve"> </w:t>
      </w:r>
      <w:r>
        <w:t>la</w:t>
      </w:r>
      <w:r>
        <w:rPr>
          <w:spacing w:val="-20"/>
        </w:rPr>
        <w:t xml:space="preserve"> </w:t>
      </w:r>
      <w:r>
        <w:t>confianza ciudadana</w:t>
      </w:r>
      <w:r>
        <w:rPr>
          <w:spacing w:val="-16"/>
        </w:rPr>
        <w:t xml:space="preserve"> </w:t>
      </w:r>
      <w:r>
        <w:t>y</w:t>
      </w:r>
      <w:r>
        <w:rPr>
          <w:spacing w:val="-13"/>
        </w:rPr>
        <w:t xml:space="preserve"> </w:t>
      </w:r>
      <w:r>
        <w:t>el</w:t>
      </w:r>
      <w:r>
        <w:rPr>
          <w:spacing w:val="-13"/>
        </w:rPr>
        <w:t xml:space="preserve"> </w:t>
      </w:r>
      <w:r>
        <w:t>respeto</w:t>
      </w:r>
      <w:r>
        <w:rPr>
          <w:spacing w:val="-12"/>
        </w:rPr>
        <w:t xml:space="preserve"> </w:t>
      </w:r>
      <w:r>
        <w:t>por</w:t>
      </w:r>
      <w:r>
        <w:rPr>
          <w:spacing w:val="-12"/>
        </w:rPr>
        <w:t xml:space="preserve"> </w:t>
      </w:r>
      <w:r>
        <w:t>lo</w:t>
      </w:r>
      <w:r>
        <w:rPr>
          <w:spacing w:val="-7"/>
        </w:rPr>
        <w:t xml:space="preserve"> </w:t>
      </w:r>
      <w:r>
        <w:t>público”.</w:t>
      </w:r>
      <w:r>
        <w:rPr>
          <w:spacing w:val="-13"/>
        </w:rPr>
        <w:t xml:space="preserve"> </w:t>
      </w:r>
      <w:r>
        <w:t>Dentro</w:t>
      </w:r>
      <w:r>
        <w:rPr>
          <w:spacing w:val="-20"/>
        </w:rPr>
        <w:t xml:space="preserve"> </w:t>
      </w:r>
      <w:r>
        <w:t>del</w:t>
      </w:r>
      <w:r>
        <w:rPr>
          <w:spacing w:val="-12"/>
        </w:rPr>
        <w:t xml:space="preserve"> </w:t>
      </w:r>
      <w:r>
        <w:t>capítulo</w:t>
      </w:r>
      <w:r>
        <w:rPr>
          <w:spacing w:val="-12"/>
        </w:rPr>
        <w:t xml:space="preserve"> </w:t>
      </w:r>
      <w:r>
        <w:t>VIII</w:t>
      </w:r>
      <w:r>
        <w:rPr>
          <w:spacing w:val="-16"/>
        </w:rPr>
        <w:t xml:space="preserve"> </w:t>
      </w:r>
      <w:r>
        <w:t>de</w:t>
      </w:r>
      <w:r>
        <w:rPr>
          <w:spacing w:val="-14"/>
        </w:rPr>
        <w:t xml:space="preserve"> </w:t>
      </w:r>
      <w:r>
        <w:t>la</w:t>
      </w:r>
      <w:r>
        <w:rPr>
          <w:spacing w:val="-15"/>
        </w:rPr>
        <w:t xml:space="preserve"> </w:t>
      </w:r>
      <w:r>
        <w:t>mencionada Ley, que lleva por título “Disposiciones en materia contractual para la moralización y la transparencia”, se ubica el artículo 53, mediante el cual se adiciona</w:t>
      </w:r>
      <w:r>
        <w:rPr>
          <w:spacing w:val="-9"/>
        </w:rPr>
        <w:t xml:space="preserve"> </w:t>
      </w:r>
      <w:r>
        <w:t>el</w:t>
      </w:r>
      <w:r>
        <w:rPr>
          <w:spacing w:val="-7"/>
        </w:rPr>
        <w:t xml:space="preserve"> </w:t>
      </w:r>
      <w:r>
        <w:t>artículo</w:t>
      </w:r>
      <w:r>
        <w:rPr>
          <w:spacing w:val="-6"/>
        </w:rPr>
        <w:t xml:space="preserve"> </w:t>
      </w:r>
      <w:r>
        <w:t>13</w:t>
      </w:r>
      <w:r>
        <w:rPr>
          <w:spacing w:val="-12"/>
        </w:rPr>
        <w:t xml:space="preserve"> </w:t>
      </w:r>
      <w:r>
        <w:t>de</w:t>
      </w:r>
      <w:r>
        <w:rPr>
          <w:spacing w:val="-13"/>
        </w:rPr>
        <w:t xml:space="preserve"> </w:t>
      </w:r>
      <w:r>
        <w:t>la</w:t>
      </w:r>
      <w:r>
        <w:rPr>
          <w:spacing w:val="-14"/>
        </w:rPr>
        <w:t xml:space="preserve"> </w:t>
      </w:r>
      <w:r>
        <w:t>Ley</w:t>
      </w:r>
      <w:r>
        <w:rPr>
          <w:spacing w:val="-7"/>
        </w:rPr>
        <w:t xml:space="preserve"> </w:t>
      </w:r>
      <w:r>
        <w:t>1150</w:t>
      </w:r>
      <w:r>
        <w:rPr>
          <w:spacing w:val="-12"/>
        </w:rPr>
        <w:t xml:space="preserve"> </w:t>
      </w:r>
      <w:r>
        <w:t>de</w:t>
      </w:r>
      <w:r>
        <w:rPr>
          <w:spacing w:val="-8"/>
        </w:rPr>
        <w:t xml:space="preserve"> </w:t>
      </w:r>
      <w:r>
        <w:t>2007.</w:t>
      </w:r>
      <w:r>
        <w:rPr>
          <w:spacing w:val="-7"/>
        </w:rPr>
        <w:t xml:space="preserve"> </w:t>
      </w:r>
      <w:r>
        <w:t>La</w:t>
      </w:r>
      <w:r>
        <w:rPr>
          <w:spacing w:val="-14"/>
        </w:rPr>
        <w:t xml:space="preserve"> </w:t>
      </w:r>
      <w:r>
        <w:t>referida</w:t>
      </w:r>
      <w:r>
        <w:rPr>
          <w:spacing w:val="-9"/>
        </w:rPr>
        <w:t xml:space="preserve"> </w:t>
      </w:r>
      <w:r>
        <w:t>disposición</w:t>
      </w:r>
      <w:r>
        <w:rPr>
          <w:spacing w:val="-11"/>
        </w:rPr>
        <w:t xml:space="preserve"> </w:t>
      </w:r>
      <w:r>
        <w:t>les</w:t>
      </w:r>
      <w:r>
        <w:rPr>
          <w:spacing w:val="-12"/>
        </w:rPr>
        <w:t xml:space="preserve"> </w:t>
      </w:r>
      <w:r>
        <w:t>asigna a las entidades estatales que por disposición legal cuenten con un régimen contractual excepcional al del Estatuto General de Contratación de la Administración Pública – en adelante EGCAP, la obligación de publicar los documentos</w:t>
      </w:r>
      <w:r>
        <w:rPr>
          <w:spacing w:val="-8"/>
        </w:rPr>
        <w:t xml:space="preserve"> </w:t>
      </w:r>
      <w:r>
        <w:t>relacionados</w:t>
      </w:r>
      <w:r>
        <w:rPr>
          <w:spacing w:val="-8"/>
        </w:rPr>
        <w:t xml:space="preserve"> </w:t>
      </w:r>
      <w:r>
        <w:t>con</w:t>
      </w:r>
      <w:r>
        <w:rPr>
          <w:spacing w:val="-7"/>
        </w:rPr>
        <w:t xml:space="preserve"> </w:t>
      </w:r>
      <w:r>
        <w:t>su</w:t>
      </w:r>
      <w:r>
        <w:rPr>
          <w:spacing w:val="-8"/>
        </w:rPr>
        <w:t xml:space="preserve"> </w:t>
      </w:r>
      <w:r>
        <w:t>actividad</w:t>
      </w:r>
      <w:r>
        <w:rPr>
          <w:spacing w:val="-9"/>
        </w:rPr>
        <w:t xml:space="preserve"> </w:t>
      </w:r>
      <w:r>
        <w:t>contractual</w:t>
      </w:r>
      <w:r>
        <w:rPr>
          <w:spacing w:val="-7"/>
        </w:rPr>
        <w:t xml:space="preserve"> </w:t>
      </w:r>
      <w:r>
        <w:t>en</w:t>
      </w:r>
      <w:r>
        <w:rPr>
          <w:spacing w:val="-8"/>
        </w:rPr>
        <w:t xml:space="preserve"> </w:t>
      </w:r>
      <w:r>
        <w:t>el</w:t>
      </w:r>
      <w:r>
        <w:rPr>
          <w:spacing w:val="-7"/>
        </w:rPr>
        <w:t xml:space="preserve"> </w:t>
      </w:r>
      <w:r>
        <w:t>Sistema</w:t>
      </w:r>
      <w:r>
        <w:rPr>
          <w:spacing w:val="-11"/>
        </w:rPr>
        <w:t xml:space="preserve"> </w:t>
      </w:r>
      <w:r>
        <w:rPr>
          <w:spacing w:val="-2"/>
        </w:rPr>
        <w:t>Electrónico</w:t>
      </w:r>
      <w:bookmarkStart w:id="7" w:name="_bookmark9"/>
      <w:bookmarkEnd w:id="7"/>
      <w:r>
        <w:t xml:space="preserve"> para</w:t>
      </w:r>
      <w:r>
        <w:rPr>
          <w:spacing w:val="-6"/>
        </w:rPr>
        <w:t xml:space="preserve"> </w:t>
      </w:r>
      <w:r>
        <w:t>la</w:t>
      </w:r>
      <w:r>
        <w:rPr>
          <w:spacing w:val="-5"/>
        </w:rPr>
        <w:t xml:space="preserve"> </w:t>
      </w:r>
      <w:r>
        <w:t>Contratación</w:t>
      </w:r>
      <w:r>
        <w:rPr>
          <w:spacing w:val="-8"/>
        </w:rPr>
        <w:t xml:space="preserve"> </w:t>
      </w:r>
      <w:r>
        <w:t>Pública –SECOP</w:t>
      </w:r>
      <w:r>
        <w:rPr>
          <w:spacing w:val="-11"/>
        </w:rPr>
        <w:t xml:space="preserve"> </w:t>
      </w:r>
      <w:r>
        <w:t>II–</w:t>
      </w:r>
      <w:r>
        <w:rPr>
          <w:spacing w:val="-8"/>
        </w:rPr>
        <w:t xml:space="preserve"> </w:t>
      </w:r>
      <w:r>
        <w:t>o</w:t>
      </w:r>
      <w:r>
        <w:rPr>
          <w:spacing w:val="-7"/>
        </w:rPr>
        <w:t xml:space="preserve"> </w:t>
      </w:r>
      <w:r>
        <w:t>la</w:t>
      </w:r>
      <w:r>
        <w:rPr>
          <w:spacing w:val="-15"/>
        </w:rPr>
        <w:t xml:space="preserve"> </w:t>
      </w:r>
      <w:r>
        <w:t>plataforma</w:t>
      </w:r>
      <w:r>
        <w:rPr>
          <w:spacing w:val="-6"/>
        </w:rPr>
        <w:t xml:space="preserve"> </w:t>
      </w:r>
      <w:r>
        <w:t>transaccional</w:t>
      </w:r>
      <w:r>
        <w:rPr>
          <w:spacing w:val="-3"/>
        </w:rPr>
        <w:t xml:space="preserve"> </w:t>
      </w:r>
      <w:r>
        <w:t>que</w:t>
      </w:r>
      <w:r>
        <w:rPr>
          <w:spacing w:val="-10"/>
        </w:rPr>
        <w:t xml:space="preserve"> </w:t>
      </w:r>
      <w:r>
        <w:t>haga sus veces. Al respecto, la norma citada, de manera expresa, señala:</w:t>
      </w:r>
    </w:p>
    <w:p w14:paraId="1F2E134F" w14:textId="77777777" w:rsidR="0004137F" w:rsidRDefault="0004137F" w:rsidP="0060171C">
      <w:pPr>
        <w:pStyle w:val="Textoindependiente"/>
        <w:spacing w:line="276" w:lineRule="auto"/>
        <w:ind w:right="258" w:firstLine="709"/>
        <w:jc w:val="both"/>
      </w:pPr>
    </w:p>
    <w:p w14:paraId="65F3BED8" w14:textId="77777777" w:rsidR="00E85C97" w:rsidRDefault="00E85C97" w:rsidP="00FF056D">
      <w:pPr>
        <w:spacing w:after="0" w:line="240" w:lineRule="auto"/>
        <w:ind w:left="970" w:right="992"/>
        <w:jc w:val="both"/>
        <w:rPr>
          <w:rFonts w:ascii="Verdana" w:hAnsi="Verdana"/>
          <w:sz w:val="20"/>
        </w:rPr>
      </w:pPr>
      <w:r w:rsidRPr="007C42DF">
        <w:rPr>
          <w:rFonts w:ascii="Verdana" w:hAnsi="Verdana"/>
          <w:sz w:val="20"/>
        </w:rPr>
        <w:t>“Adiciónese</w:t>
      </w:r>
      <w:r w:rsidRPr="007C42DF">
        <w:rPr>
          <w:rFonts w:ascii="Verdana" w:hAnsi="Verdana"/>
          <w:spacing w:val="-10"/>
          <w:sz w:val="20"/>
        </w:rPr>
        <w:t xml:space="preserve"> </w:t>
      </w:r>
      <w:r w:rsidRPr="007C42DF">
        <w:rPr>
          <w:rFonts w:ascii="Verdana" w:hAnsi="Verdana"/>
          <w:sz w:val="20"/>
        </w:rPr>
        <w:t>los</w:t>
      </w:r>
      <w:r w:rsidRPr="007C42DF">
        <w:rPr>
          <w:rFonts w:ascii="Verdana" w:hAnsi="Verdana"/>
          <w:spacing w:val="-10"/>
          <w:sz w:val="20"/>
        </w:rPr>
        <w:t xml:space="preserve"> </w:t>
      </w:r>
      <w:r w:rsidRPr="007C42DF">
        <w:rPr>
          <w:rFonts w:ascii="Verdana" w:hAnsi="Verdana"/>
          <w:sz w:val="20"/>
        </w:rPr>
        <w:t>siguientes</w:t>
      </w:r>
      <w:r w:rsidRPr="007C42DF">
        <w:rPr>
          <w:rFonts w:ascii="Verdana" w:hAnsi="Verdana"/>
          <w:spacing w:val="-10"/>
          <w:sz w:val="20"/>
        </w:rPr>
        <w:t xml:space="preserve"> </w:t>
      </w:r>
      <w:r w:rsidRPr="007C42DF">
        <w:rPr>
          <w:rFonts w:ascii="Verdana" w:hAnsi="Verdana"/>
          <w:sz w:val="20"/>
        </w:rPr>
        <w:t>incisos</w:t>
      </w:r>
      <w:r w:rsidRPr="007C42DF">
        <w:rPr>
          <w:rFonts w:ascii="Verdana" w:hAnsi="Verdana"/>
          <w:spacing w:val="-10"/>
          <w:sz w:val="20"/>
        </w:rPr>
        <w:t xml:space="preserve"> </w:t>
      </w:r>
      <w:r w:rsidRPr="007C42DF">
        <w:rPr>
          <w:rFonts w:ascii="Verdana" w:hAnsi="Verdana"/>
          <w:sz w:val="20"/>
        </w:rPr>
        <w:t>al</w:t>
      </w:r>
      <w:r w:rsidRPr="007C42DF">
        <w:rPr>
          <w:rFonts w:ascii="Verdana" w:hAnsi="Verdana"/>
          <w:spacing w:val="-10"/>
          <w:sz w:val="20"/>
        </w:rPr>
        <w:t xml:space="preserve"> </w:t>
      </w:r>
      <w:r w:rsidRPr="007C42DF">
        <w:rPr>
          <w:rFonts w:ascii="Verdana" w:hAnsi="Verdana"/>
          <w:sz w:val="20"/>
        </w:rPr>
        <w:t>artículo</w:t>
      </w:r>
      <w:r w:rsidRPr="007C42DF">
        <w:rPr>
          <w:rFonts w:ascii="Verdana" w:hAnsi="Verdana"/>
          <w:spacing w:val="-11"/>
          <w:sz w:val="20"/>
        </w:rPr>
        <w:t xml:space="preserve"> </w:t>
      </w:r>
      <w:r w:rsidRPr="007C42DF">
        <w:rPr>
          <w:rFonts w:ascii="Verdana" w:hAnsi="Verdana"/>
          <w:sz w:val="20"/>
        </w:rPr>
        <w:t>13</w:t>
      </w:r>
      <w:r w:rsidRPr="007C42DF">
        <w:rPr>
          <w:rFonts w:ascii="Verdana" w:hAnsi="Verdana"/>
          <w:spacing w:val="-12"/>
          <w:sz w:val="20"/>
        </w:rPr>
        <w:t xml:space="preserve"> </w:t>
      </w:r>
      <w:r w:rsidRPr="007C42DF">
        <w:rPr>
          <w:rFonts w:ascii="Verdana" w:hAnsi="Verdana"/>
          <w:sz w:val="20"/>
        </w:rPr>
        <w:t>de</w:t>
      </w:r>
      <w:r w:rsidRPr="007C42DF">
        <w:rPr>
          <w:rFonts w:ascii="Verdana" w:hAnsi="Verdana"/>
          <w:spacing w:val="-10"/>
          <w:sz w:val="20"/>
        </w:rPr>
        <w:t xml:space="preserve"> </w:t>
      </w:r>
      <w:r w:rsidRPr="007C42DF">
        <w:rPr>
          <w:rFonts w:ascii="Verdana" w:hAnsi="Verdana"/>
          <w:sz w:val="20"/>
        </w:rPr>
        <w:t>la</w:t>
      </w:r>
      <w:r w:rsidRPr="007C42DF">
        <w:rPr>
          <w:rFonts w:ascii="Verdana" w:hAnsi="Verdana"/>
          <w:spacing w:val="-10"/>
          <w:sz w:val="20"/>
        </w:rPr>
        <w:t xml:space="preserve"> </w:t>
      </w:r>
      <w:r w:rsidRPr="007C42DF">
        <w:rPr>
          <w:rFonts w:ascii="Verdana" w:hAnsi="Verdana"/>
          <w:sz w:val="20"/>
        </w:rPr>
        <w:t>Ley</w:t>
      </w:r>
      <w:r w:rsidRPr="007C42DF">
        <w:rPr>
          <w:rFonts w:ascii="Verdana" w:hAnsi="Verdana"/>
          <w:spacing w:val="-10"/>
          <w:sz w:val="20"/>
        </w:rPr>
        <w:t xml:space="preserve"> </w:t>
      </w:r>
      <w:r w:rsidRPr="007C42DF">
        <w:rPr>
          <w:rFonts w:ascii="Verdana" w:hAnsi="Verdana"/>
          <w:sz w:val="20"/>
        </w:rPr>
        <w:t>1150</w:t>
      </w:r>
      <w:r w:rsidRPr="007C42DF">
        <w:rPr>
          <w:rFonts w:ascii="Verdana" w:hAnsi="Verdana"/>
          <w:spacing w:val="-12"/>
          <w:sz w:val="20"/>
        </w:rPr>
        <w:t xml:space="preserve"> </w:t>
      </w:r>
      <w:r w:rsidRPr="007C42DF">
        <w:rPr>
          <w:rFonts w:ascii="Verdana" w:hAnsi="Verdana"/>
          <w:sz w:val="20"/>
        </w:rPr>
        <w:t>de</w:t>
      </w:r>
      <w:r w:rsidRPr="007C42DF">
        <w:rPr>
          <w:rFonts w:ascii="Verdana" w:hAnsi="Verdana"/>
          <w:spacing w:val="-10"/>
          <w:sz w:val="20"/>
        </w:rPr>
        <w:t xml:space="preserve"> </w:t>
      </w:r>
      <w:r w:rsidRPr="007C42DF">
        <w:rPr>
          <w:rFonts w:ascii="Verdana" w:hAnsi="Verdana"/>
          <w:sz w:val="20"/>
        </w:rPr>
        <w:t>2007,</w:t>
      </w:r>
      <w:r w:rsidRPr="007C42DF">
        <w:rPr>
          <w:rFonts w:ascii="Verdana" w:hAnsi="Verdana"/>
          <w:spacing w:val="-9"/>
          <w:sz w:val="20"/>
        </w:rPr>
        <w:t xml:space="preserve"> </w:t>
      </w:r>
      <w:r w:rsidRPr="007C42DF">
        <w:rPr>
          <w:rFonts w:ascii="Verdana" w:hAnsi="Verdana"/>
          <w:sz w:val="20"/>
        </w:rPr>
        <w:t>el cual quedará así:</w:t>
      </w:r>
    </w:p>
    <w:p w14:paraId="77852BA8" w14:textId="77777777" w:rsidR="00FF056D" w:rsidRPr="007C42DF" w:rsidRDefault="00FF056D" w:rsidP="0060171C">
      <w:pPr>
        <w:spacing w:after="0" w:line="240" w:lineRule="auto"/>
        <w:ind w:left="970" w:right="992"/>
        <w:jc w:val="both"/>
        <w:rPr>
          <w:rFonts w:ascii="Verdana" w:hAnsi="Verdana"/>
          <w:sz w:val="20"/>
        </w:rPr>
      </w:pPr>
    </w:p>
    <w:p w14:paraId="52ED59BB" w14:textId="77777777" w:rsidR="00E85C97" w:rsidRDefault="00E85C97" w:rsidP="00FF056D">
      <w:pPr>
        <w:spacing w:after="0" w:line="240" w:lineRule="auto"/>
        <w:ind w:left="970" w:right="971"/>
        <w:jc w:val="both"/>
        <w:rPr>
          <w:rFonts w:ascii="Verdana" w:hAnsi="Verdana"/>
          <w:sz w:val="20"/>
        </w:rPr>
      </w:pPr>
      <w:r w:rsidRPr="007C42DF">
        <w:rPr>
          <w:rFonts w:ascii="Verdana" w:hAnsi="Verdana"/>
          <w:sz w:val="20"/>
        </w:rPr>
        <w:t>Artículo 13. PRINCIPIOS GENERALES DE LA ACTIVIDAD CONTRACTUAL PARA ENTIDADES NO SOMETIDAS AL ESTATUTO GENERAL DE CONTRATACIÓN</w:t>
      </w:r>
      <w:r w:rsidRPr="007C42DF">
        <w:rPr>
          <w:rFonts w:ascii="Verdana" w:hAnsi="Verdana"/>
          <w:spacing w:val="76"/>
          <w:w w:val="150"/>
          <w:sz w:val="20"/>
        </w:rPr>
        <w:t xml:space="preserve"> </w:t>
      </w:r>
      <w:r w:rsidRPr="007C42DF">
        <w:rPr>
          <w:rFonts w:ascii="Verdana" w:hAnsi="Verdana"/>
          <w:sz w:val="20"/>
        </w:rPr>
        <w:t>DE</w:t>
      </w:r>
      <w:r w:rsidRPr="007C42DF">
        <w:rPr>
          <w:rFonts w:ascii="Verdana" w:hAnsi="Verdana"/>
          <w:spacing w:val="75"/>
          <w:w w:val="150"/>
          <w:sz w:val="20"/>
        </w:rPr>
        <w:t xml:space="preserve"> </w:t>
      </w:r>
      <w:r w:rsidRPr="007C42DF">
        <w:rPr>
          <w:rFonts w:ascii="Verdana" w:hAnsi="Verdana"/>
          <w:sz w:val="20"/>
        </w:rPr>
        <w:t>LA</w:t>
      </w:r>
      <w:r w:rsidRPr="007C42DF">
        <w:rPr>
          <w:rFonts w:ascii="Verdana" w:hAnsi="Verdana"/>
          <w:spacing w:val="78"/>
          <w:w w:val="150"/>
          <w:sz w:val="20"/>
        </w:rPr>
        <w:t xml:space="preserve"> </w:t>
      </w:r>
      <w:r w:rsidRPr="007C42DF">
        <w:rPr>
          <w:rFonts w:ascii="Verdana" w:hAnsi="Verdana"/>
          <w:sz w:val="20"/>
        </w:rPr>
        <w:t>ADMINISTRACIÓN</w:t>
      </w:r>
      <w:r w:rsidRPr="007C42DF">
        <w:rPr>
          <w:rFonts w:ascii="Verdana" w:hAnsi="Verdana"/>
          <w:spacing w:val="76"/>
          <w:w w:val="150"/>
          <w:sz w:val="20"/>
        </w:rPr>
        <w:t xml:space="preserve"> </w:t>
      </w:r>
      <w:r w:rsidRPr="007C42DF">
        <w:rPr>
          <w:rFonts w:ascii="Verdana" w:hAnsi="Verdana"/>
          <w:sz w:val="20"/>
        </w:rPr>
        <w:t>PÚBLICA.</w:t>
      </w:r>
      <w:r w:rsidRPr="007C42DF">
        <w:rPr>
          <w:rFonts w:ascii="Verdana" w:hAnsi="Verdana"/>
          <w:spacing w:val="78"/>
          <w:w w:val="150"/>
          <w:sz w:val="20"/>
        </w:rPr>
        <w:t xml:space="preserve"> </w:t>
      </w:r>
      <w:r w:rsidRPr="007C42DF">
        <w:rPr>
          <w:rFonts w:ascii="Verdana" w:hAnsi="Verdana"/>
          <w:sz w:val="20"/>
        </w:rPr>
        <w:t>Las</w:t>
      </w:r>
      <w:r w:rsidRPr="007C42DF">
        <w:rPr>
          <w:rFonts w:ascii="Verdana" w:hAnsi="Verdana"/>
          <w:spacing w:val="76"/>
          <w:w w:val="150"/>
          <w:sz w:val="20"/>
        </w:rPr>
        <w:t xml:space="preserve"> </w:t>
      </w:r>
      <w:r w:rsidRPr="007C42DF">
        <w:rPr>
          <w:rFonts w:ascii="Verdana" w:hAnsi="Verdana"/>
          <w:spacing w:val="-2"/>
          <w:sz w:val="20"/>
        </w:rPr>
        <w:t>entidades</w:t>
      </w:r>
      <w:r>
        <w:rPr>
          <w:rFonts w:ascii="Verdana" w:hAnsi="Verdana"/>
          <w:spacing w:val="-2"/>
          <w:sz w:val="20"/>
        </w:rPr>
        <w:t xml:space="preserve"> </w:t>
      </w:r>
      <w:r w:rsidRPr="007C42DF">
        <w:rPr>
          <w:rFonts w:ascii="Verdana" w:hAnsi="Verdana"/>
          <w:sz w:val="20"/>
        </w:rPr>
        <w:t>estatales que por disposición legal cuenten con un régimen contractual excepcional al del Estatuto General de Contratación de la Administración Pública,</w:t>
      </w:r>
      <w:r w:rsidRPr="007C42DF">
        <w:rPr>
          <w:rFonts w:ascii="Verdana" w:hAnsi="Verdana"/>
          <w:spacing w:val="-7"/>
          <w:sz w:val="20"/>
        </w:rPr>
        <w:t xml:space="preserve"> </w:t>
      </w:r>
      <w:r w:rsidRPr="007C42DF">
        <w:rPr>
          <w:rFonts w:ascii="Verdana" w:hAnsi="Verdana"/>
          <w:sz w:val="20"/>
        </w:rPr>
        <w:t>aplicarán</w:t>
      </w:r>
      <w:r w:rsidRPr="007C42DF">
        <w:rPr>
          <w:rFonts w:ascii="Verdana" w:hAnsi="Verdana"/>
          <w:spacing w:val="-11"/>
          <w:sz w:val="20"/>
        </w:rPr>
        <w:t xml:space="preserve"> </w:t>
      </w:r>
      <w:r w:rsidRPr="007C42DF">
        <w:rPr>
          <w:rFonts w:ascii="Verdana" w:hAnsi="Verdana"/>
          <w:sz w:val="20"/>
        </w:rPr>
        <w:t>en</w:t>
      </w:r>
      <w:r w:rsidRPr="007C42DF">
        <w:rPr>
          <w:rFonts w:ascii="Verdana" w:hAnsi="Verdana"/>
          <w:spacing w:val="-11"/>
          <w:sz w:val="20"/>
        </w:rPr>
        <w:t xml:space="preserve"> </w:t>
      </w:r>
      <w:r w:rsidRPr="007C42DF">
        <w:rPr>
          <w:rFonts w:ascii="Verdana" w:hAnsi="Verdana"/>
          <w:sz w:val="20"/>
        </w:rPr>
        <w:t>desarrollo</w:t>
      </w:r>
      <w:r w:rsidRPr="007C42DF">
        <w:rPr>
          <w:rFonts w:ascii="Verdana" w:hAnsi="Verdana"/>
          <w:spacing w:val="-6"/>
          <w:sz w:val="20"/>
        </w:rPr>
        <w:t xml:space="preserve"> </w:t>
      </w:r>
      <w:r w:rsidRPr="007C42DF">
        <w:rPr>
          <w:rFonts w:ascii="Verdana" w:hAnsi="Verdana"/>
          <w:sz w:val="20"/>
        </w:rPr>
        <w:t>de</w:t>
      </w:r>
      <w:r w:rsidRPr="007C42DF">
        <w:rPr>
          <w:rFonts w:ascii="Verdana" w:hAnsi="Verdana"/>
          <w:spacing w:val="-8"/>
          <w:sz w:val="20"/>
        </w:rPr>
        <w:t xml:space="preserve"> </w:t>
      </w:r>
      <w:r w:rsidRPr="007C42DF">
        <w:rPr>
          <w:rFonts w:ascii="Verdana" w:hAnsi="Verdana"/>
          <w:sz w:val="20"/>
        </w:rPr>
        <w:t>su</w:t>
      </w:r>
      <w:r w:rsidRPr="007C42DF">
        <w:rPr>
          <w:rFonts w:ascii="Verdana" w:hAnsi="Verdana"/>
          <w:spacing w:val="-11"/>
          <w:sz w:val="20"/>
        </w:rPr>
        <w:t xml:space="preserve"> </w:t>
      </w:r>
      <w:r w:rsidRPr="007C42DF">
        <w:rPr>
          <w:rFonts w:ascii="Verdana" w:hAnsi="Verdana"/>
          <w:sz w:val="20"/>
        </w:rPr>
        <w:t>actividad</w:t>
      </w:r>
      <w:r w:rsidRPr="007C42DF">
        <w:rPr>
          <w:rFonts w:ascii="Verdana" w:hAnsi="Verdana"/>
          <w:spacing w:val="-9"/>
          <w:sz w:val="20"/>
        </w:rPr>
        <w:t xml:space="preserve"> </w:t>
      </w:r>
      <w:r w:rsidRPr="007C42DF">
        <w:rPr>
          <w:rFonts w:ascii="Verdana" w:hAnsi="Verdana"/>
          <w:sz w:val="20"/>
        </w:rPr>
        <w:t>contractual,</w:t>
      </w:r>
      <w:r w:rsidRPr="007C42DF">
        <w:rPr>
          <w:rFonts w:ascii="Verdana" w:hAnsi="Verdana"/>
          <w:spacing w:val="-7"/>
          <w:sz w:val="20"/>
        </w:rPr>
        <w:t xml:space="preserve"> </w:t>
      </w:r>
      <w:r w:rsidRPr="007C42DF">
        <w:rPr>
          <w:rFonts w:ascii="Verdana" w:hAnsi="Verdana"/>
          <w:sz w:val="20"/>
        </w:rPr>
        <w:t>acorde</w:t>
      </w:r>
      <w:r w:rsidRPr="007C42DF">
        <w:rPr>
          <w:rFonts w:ascii="Verdana" w:hAnsi="Verdana"/>
          <w:spacing w:val="-9"/>
          <w:sz w:val="20"/>
        </w:rPr>
        <w:t xml:space="preserve"> </w:t>
      </w:r>
      <w:r w:rsidRPr="007C42DF">
        <w:rPr>
          <w:rFonts w:ascii="Verdana" w:hAnsi="Verdana"/>
          <w:sz w:val="20"/>
        </w:rPr>
        <w:t>con</w:t>
      </w:r>
      <w:r w:rsidRPr="007C42DF">
        <w:rPr>
          <w:rFonts w:ascii="Verdana" w:hAnsi="Verdana"/>
          <w:spacing w:val="-11"/>
          <w:sz w:val="20"/>
        </w:rPr>
        <w:t xml:space="preserve"> </w:t>
      </w:r>
      <w:r w:rsidRPr="007C42DF">
        <w:rPr>
          <w:rFonts w:ascii="Verdana" w:hAnsi="Verdana"/>
          <w:sz w:val="20"/>
        </w:rPr>
        <w:t>su régimen legal especial, los principios de la función administrativa y de la gestión fiscal de que tratan los artículos 209 y 267 de la Constitución Política, respectivamente según sea el caso y estarán sometidas al régimen</w:t>
      </w:r>
      <w:r w:rsidRPr="007C42DF">
        <w:rPr>
          <w:rFonts w:ascii="Verdana" w:hAnsi="Verdana"/>
          <w:spacing w:val="-13"/>
          <w:sz w:val="20"/>
        </w:rPr>
        <w:t xml:space="preserve"> </w:t>
      </w:r>
      <w:r w:rsidRPr="007C42DF">
        <w:rPr>
          <w:rFonts w:ascii="Verdana" w:hAnsi="Verdana"/>
          <w:sz w:val="20"/>
        </w:rPr>
        <w:t>de</w:t>
      </w:r>
      <w:r w:rsidRPr="007C42DF">
        <w:rPr>
          <w:rFonts w:ascii="Verdana" w:hAnsi="Verdana"/>
          <w:spacing w:val="-10"/>
          <w:sz w:val="20"/>
        </w:rPr>
        <w:t xml:space="preserve"> </w:t>
      </w:r>
      <w:r w:rsidRPr="007C42DF">
        <w:rPr>
          <w:rFonts w:ascii="Verdana" w:hAnsi="Verdana"/>
          <w:sz w:val="20"/>
        </w:rPr>
        <w:t>inhabilidades</w:t>
      </w:r>
      <w:r w:rsidRPr="007C42DF">
        <w:rPr>
          <w:rFonts w:ascii="Verdana" w:hAnsi="Verdana"/>
          <w:spacing w:val="-11"/>
          <w:sz w:val="20"/>
        </w:rPr>
        <w:t xml:space="preserve"> </w:t>
      </w:r>
      <w:r w:rsidRPr="007C42DF">
        <w:rPr>
          <w:rFonts w:ascii="Verdana" w:hAnsi="Verdana"/>
          <w:sz w:val="20"/>
        </w:rPr>
        <w:t>e</w:t>
      </w:r>
      <w:r w:rsidRPr="007C42DF">
        <w:rPr>
          <w:rFonts w:ascii="Verdana" w:hAnsi="Verdana"/>
          <w:spacing w:val="-11"/>
          <w:sz w:val="20"/>
        </w:rPr>
        <w:t xml:space="preserve"> </w:t>
      </w:r>
      <w:r w:rsidRPr="007C42DF">
        <w:rPr>
          <w:rFonts w:ascii="Verdana" w:hAnsi="Verdana"/>
          <w:sz w:val="20"/>
        </w:rPr>
        <w:t>incompatibilidades</w:t>
      </w:r>
      <w:r w:rsidRPr="007C42DF">
        <w:rPr>
          <w:rFonts w:ascii="Verdana" w:hAnsi="Verdana"/>
          <w:spacing w:val="-15"/>
          <w:sz w:val="20"/>
        </w:rPr>
        <w:t xml:space="preserve"> </w:t>
      </w:r>
      <w:r w:rsidRPr="007C42DF">
        <w:rPr>
          <w:rFonts w:ascii="Verdana" w:hAnsi="Verdana"/>
          <w:sz w:val="20"/>
        </w:rPr>
        <w:t>previsto</w:t>
      </w:r>
      <w:r w:rsidRPr="007C42DF">
        <w:rPr>
          <w:rFonts w:ascii="Verdana" w:hAnsi="Verdana"/>
          <w:spacing w:val="-13"/>
          <w:sz w:val="20"/>
        </w:rPr>
        <w:t xml:space="preserve"> </w:t>
      </w:r>
      <w:r w:rsidRPr="007C42DF">
        <w:rPr>
          <w:rFonts w:ascii="Verdana" w:hAnsi="Verdana"/>
          <w:sz w:val="20"/>
        </w:rPr>
        <w:t>legalmente</w:t>
      </w:r>
      <w:r w:rsidRPr="007C42DF">
        <w:rPr>
          <w:rFonts w:ascii="Verdana" w:hAnsi="Verdana"/>
          <w:spacing w:val="-11"/>
          <w:sz w:val="20"/>
        </w:rPr>
        <w:t xml:space="preserve"> </w:t>
      </w:r>
      <w:r w:rsidRPr="007C42DF">
        <w:rPr>
          <w:rFonts w:ascii="Verdana" w:hAnsi="Verdana"/>
          <w:sz w:val="20"/>
        </w:rPr>
        <w:t>para</w:t>
      </w:r>
      <w:r w:rsidRPr="007C42DF">
        <w:rPr>
          <w:rFonts w:ascii="Verdana" w:hAnsi="Verdana"/>
          <w:spacing w:val="-12"/>
          <w:sz w:val="20"/>
        </w:rPr>
        <w:t xml:space="preserve"> </w:t>
      </w:r>
      <w:r w:rsidRPr="007C42DF">
        <w:rPr>
          <w:rFonts w:ascii="Verdana" w:hAnsi="Verdana"/>
          <w:sz w:val="20"/>
        </w:rPr>
        <w:t>la contratación estatal.</w:t>
      </w:r>
    </w:p>
    <w:p w14:paraId="751BB409" w14:textId="77777777" w:rsidR="00FF056D" w:rsidRPr="007C42DF" w:rsidRDefault="00FF056D" w:rsidP="0060171C">
      <w:pPr>
        <w:spacing w:after="0" w:line="240" w:lineRule="auto"/>
        <w:ind w:left="970" w:right="971"/>
        <w:jc w:val="both"/>
        <w:rPr>
          <w:rFonts w:ascii="Verdana" w:hAnsi="Verdana"/>
          <w:sz w:val="20"/>
        </w:rPr>
      </w:pPr>
    </w:p>
    <w:p w14:paraId="49B72FE2" w14:textId="77777777" w:rsidR="00E85C97" w:rsidRDefault="00E85C97" w:rsidP="00FF056D">
      <w:pPr>
        <w:spacing w:after="0" w:line="240" w:lineRule="auto"/>
        <w:ind w:left="970" w:right="972"/>
        <w:jc w:val="both"/>
        <w:rPr>
          <w:rFonts w:ascii="Verdana" w:hAnsi="Verdana"/>
          <w:i/>
          <w:sz w:val="20"/>
        </w:rPr>
      </w:pPr>
      <w:r w:rsidRPr="007C42DF">
        <w:rPr>
          <w:rFonts w:ascii="Verdana" w:hAnsi="Verdana"/>
          <w:i/>
          <w:sz w:val="20"/>
        </w:rPr>
        <w:t>En</w:t>
      </w:r>
      <w:r w:rsidRPr="007C42DF">
        <w:rPr>
          <w:rFonts w:ascii="Verdana" w:hAnsi="Verdana"/>
          <w:i/>
          <w:spacing w:val="-18"/>
          <w:sz w:val="20"/>
        </w:rPr>
        <w:t xml:space="preserve"> </w:t>
      </w:r>
      <w:r w:rsidRPr="007C42DF">
        <w:rPr>
          <w:rFonts w:ascii="Verdana" w:hAnsi="Verdana"/>
          <w:i/>
          <w:sz w:val="20"/>
        </w:rPr>
        <w:t>desarrollo</w:t>
      </w:r>
      <w:r w:rsidRPr="007C42DF">
        <w:rPr>
          <w:rFonts w:ascii="Verdana" w:hAnsi="Verdana"/>
          <w:i/>
          <w:spacing w:val="-18"/>
          <w:sz w:val="20"/>
        </w:rPr>
        <w:t xml:space="preserve"> </w:t>
      </w:r>
      <w:r w:rsidRPr="007C42DF">
        <w:rPr>
          <w:rFonts w:ascii="Verdana" w:hAnsi="Verdana"/>
          <w:i/>
          <w:sz w:val="20"/>
        </w:rPr>
        <w:t>de</w:t>
      </w:r>
      <w:r w:rsidRPr="007C42DF">
        <w:rPr>
          <w:rFonts w:ascii="Verdana" w:hAnsi="Verdana"/>
          <w:i/>
          <w:spacing w:val="-17"/>
          <w:sz w:val="20"/>
        </w:rPr>
        <w:t xml:space="preserve"> </w:t>
      </w:r>
      <w:r w:rsidRPr="007C42DF">
        <w:rPr>
          <w:rFonts w:ascii="Verdana" w:hAnsi="Verdana"/>
          <w:i/>
          <w:sz w:val="20"/>
        </w:rPr>
        <w:t>los</w:t>
      </w:r>
      <w:r w:rsidRPr="007C42DF">
        <w:rPr>
          <w:rFonts w:ascii="Verdana" w:hAnsi="Verdana"/>
          <w:i/>
          <w:spacing w:val="-18"/>
          <w:sz w:val="20"/>
        </w:rPr>
        <w:t xml:space="preserve"> </w:t>
      </w:r>
      <w:r w:rsidRPr="007C42DF">
        <w:rPr>
          <w:rFonts w:ascii="Verdana" w:hAnsi="Verdana"/>
          <w:i/>
          <w:sz w:val="20"/>
        </w:rPr>
        <w:t>anteriores</w:t>
      </w:r>
      <w:r w:rsidRPr="007C42DF">
        <w:rPr>
          <w:rFonts w:ascii="Verdana" w:hAnsi="Verdana"/>
          <w:i/>
          <w:spacing w:val="-17"/>
          <w:sz w:val="20"/>
        </w:rPr>
        <w:t xml:space="preserve"> </w:t>
      </w:r>
      <w:r w:rsidRPr="007C42DF">
        <w:rPr>
          <w:rFonts w:ascii="Verdana" w:hAnsi="Verdana"/>
          <w:i/>
          <w:sz w:val="20"/>
        </w:rPr>
        <w:t>principios,</w:t>
      </w:r>
      <w:r w:rsidRPr="007C42DF">
        <w:rPr>
          <w:rFonts w:ascii="Verdana" w:hAnsi="Verdana"/>
          <w:i/>
          <w:spacing w:val="-18"/>
          <w:sz w:val="20"/>
        </w:rPr>
        <w:t xml:space="preserve"> </w:t>
      </w:r>
      <w:r w:rsidRPr="007C42DF">
        <w:rPr>
          <w:rFonts w:ascii="Verdana" w:hAnsi="Verdana"/>
          <w:i/>
          <w:sz w:val="20"/>
        </w:rPr>
        <w:t>deberán</w:t>
      </w:r>
      <w:r w:rsidRPr="007C42DF">
        <w:rPr>
          <w:rFonts w:ascii="Verdana" w:hAnsi="Verdana"/>
          <w:i/>
          <w:spacing w:val="-18"/>
          <w:sz w:val="20"/>
        </w:rPr>
        <w:t xml:space="preserve"> </w:t>
      </w:r>
      <w:r w:rsidRPr="007C42DF">
        <w:rPr>
          <w:rFonts w:ascii="Verdana" w:hAnsi="Verdana"/>
          <w:i/>
          <w:sz w:val="20"/>
        </w:rPr>
        <w:t>publicar</w:t>
      </w:r>
      <w:r w:rsidRPr="007C42DF">
        <w:rPr>
          <w:rFonts w:ascii="Verdana" w:hAnsi="Verdana"/>
          <w:i/>
          <w:spacing w:val="-17"/>
          <w:sz w:val="20"/>
        </w:rPr>
        <w:t xml:space="preserve"> </w:t>
      </w:r>
      <w:r w:rsidRPr="007C42DF">
        <w:rPr>
          <w:rFonts w:ascii="Verdana" w:hAnsi="Verdana"/>
          <w:i/>
          <w:sz w:val="20"/>
        </w:rPr>
        <w:t>los</w:t>
      </w:r>
      <w:r w:rsidRPr="007C42DF">
        <w:rPr>
          <w:rFonts w:ascii="Verdana" w:hAnsi="Verdana"/>
          <w:i/>
          <w:spacing w:val="-18"/>
          <w:sz w:val="20"/>
        </w:rPr>
        <w:t xml:space="preserve"> </w:t>
      </w:r>
      <w:r w:rsidRPr="007C42DF">
        <w:rPr>
          <w:rFonts w:ascii="Verdana" w:hAnsi="Verdana"/>
          <w:i/>
          <w:sz w:val="20"/>
        </w:rPr>
        <w:t>documentos relacionados con su actividad contractual en el Sistema Electrónico para la</w:t>
      </w:r>
      <w:r w:rsidRPr="007C42DF">
        <w:rPr>
          <w:rFonts w:ascii="Verdana" w:hAnsi="Verdana"/>
          <w:i/>
          <w:spacing w:val="-16"/>
          <w:sz w:val="20"/>
        </w:rPr>
        <w:t xml:space="preserve"> </w:t>
      </w:r>
      <w:r w:rsidRPr="007C42DF">
        <w:rPr>
          <w:rFonts w:ascii="Verdana" w:hAnsi="Verdana"/>
          <w:i/>
          <w:sz w:val="20"/>
        </w:rPr>
        <w:t>Contratación</w:t>
      </w:r>
      <w:r w:rsidRPr="007C42DF">
        <w:rPr>
          <w:rFonts w:ascii="Verdana" w:hAnsi="Verdana"/>
          <w:i/>
          <w:spacing w:val="-18"/>
          <w:sz w:val="20"/>
        </w:rPr>
        <w:t xml:space="preserve"> </w:t>
      </w:r>
      <w:r w:rsidRPr="007C42DF">
        <w:rPr>
          <w:rFonts w:ascii="Verdana" w:hAnsi="Verdana"/>
          <w:i/>
          <w:sz w:val="20"/>
        </w:rPr>
        <w:t>Pública</w:t>
      </w:r>
      <w:r w:rsidRPr="007C42DF">
        <w:rPr>
          <w:rFonts w:ascii="Verdana" w:hAnsi="Verdana"/>
          <w:i/>
          <w:spacing w:val="-9"/>
          <w:sz w:val="20"/>
        </w:rPr>
        <w:t xml:space="preserve"> </w:t>
      </w:r>
      <w:r w:rsidRPr="007C42DF">
        <w:rPr>
          <w:rFonts w:ascii="Verdana" w:hAnsi="Verdana"/>
          <w:i/>
          <w:sz w:val="20"/>
        </w:rPr>
        <w:t>–SECOP</w:t>
      </w:r>
      <w:r w:rsidRPr="007C42DF">
        <w:rPr>
          <w:rFonts w:ascii="Verdana" w:hAnsi="Verdana"/>
          <w:i/>
          <w:spacing w:val="-17"/>
          <w:sz w:val="20"/>
        </w:rPr>
        <w:t xml:space="preserve"> </w:t>
      </w:r>
      <w:r w:rsidRPr="007C42DF">
        <w:rPr>
          <w:rFonts w:ascii="Verdana" w:hAnsi="Verdana"/>
          <w:i/>
          <w:sz w:val="20"/>
        </w:rPr>
        <w:t>II–</w:t>
      </w:r>
      <w:r w:rsidRPr="007C42DF">
        <w:rPr>
          <w:rFonts w:ascii="Verdana" w:hAnsi="Verdana"/>
          <w:i/>
          <w:spacing w:val="-18"/>
          <w:sz w:val="20"/>
        </w:rPr>
        <w:t xml:space="preserve"> </w:t>
      </w:r>
      <w:r w:rsidRPr="007C42DF">
        <w:rPr>
          <w:rFonts w:ascii="Verdana" w:hAnsi="Verdana"/>
          <w:i/>
          <w:sz w:val="20"/>
        </w:rPr>
        <w:t>o</w:t>
      </w:r>
      <w:r w:rsidRPr="007C42DF">
        <w:rPr>
          <w:rFonts w:ascii="Verdana" w:hAnsi="Verdana"/>
          <w:i/>
          <w:spacing w:val="-18"/>
          <w:sz w:val="20"/>
        </w:rPr>
        <w:t xml:space="preserve"> </w:t>
      </w:r>
      <w:r w:rsidRPr="007C42DF">
        <w:rPr>
          <w:rFonts w:ascii="Verdana" w:hAnsi="Verdana"/>
          <w:i/>
          <w:sz w:val="20"/>
        </w:rPr>
        <w:t>la</w:t>
      </w:r>
      <w:r w:rsidRPr="007C42DF">
        <w:rPr>
          <w:rFonts w:ascii="Verdana" w:hAnsi="Verdana"/>
          <w:i/>
          <w:spacing w:val="-15"/>
          <w:sz w:val="20"/>
        </w:rPr>
        <w:t xml:space="preserve"> </w:t>
      </w:r>
      <w:r w:rsidRPr="007C42DF">
        <w:rPr>
          <w:rFonts w:ascii="Verdana" w:hAnsi="Verdana"/>
          <w:i/>
          <w:sz w:val="20"/>
        </w:rPr>
        <w:t>plataforma</w:t>
      </w:r>
      <w:r w:rsidRPr="007C42DF">
        <w:rPr>
          <w:rFonts w:ascii="Verdana" w:hAnsi="Verdana"/>
          <w:i/>
          <w:spacing w:val="-16"/>
          <w:sz w:val="20"/>
        </w:rPr>
        <w:t xml:space="preserve"> </w:t>
      </w:r>
      <w:r w:rsidRPr="007C42DF">
        <w:rPr>
          <w:rFonts w:ascii="Verdana" w:hAnsi="Verdana"/>
          <w:i/>
          <w:sz w:val="20"/>
        </w:rPr>
        <w:t>transaccional</w:t>
      </w:r>
      <w:r w:rsidRPr="007C42DF">
        <w:rPr>
          <w:rFonts w:ascii="Verdana" w:hAnsi="Verdana"/>
          <w:i/>
          <w:spacing w:val="-16"/>
          <w:sz w:val="20"/>
        </w:rPr>
        <w:t xml:space="preserve"> </w:t>
      </w:r>
      <w:r w:rsidRPr="007C42DF">
        <w:rPr>
          <w:rFonts w:ascii="Verdana" w:hAnsi="Verdana"/>
          <w:i/>
          <w:sz w:val="20"/>
        </w:rPr>
        <w:t>que</w:t>
      </w:r>
      <w:r w:rsidRPr="007C42DF">
        <w:rPr>
          <w:rFonts w:ascii="Verdana" w:hAnsi="Verdana"/>
          <w:i/>
          <w:spacing w:val="-16"/>
          <w:sz w:val="20"/>
        </w:rPr>
        <w:t xml:space="preserve"> </w:t>
      </w:r>
      <w:r w:rsidRPr="007C42DF">
        <w:rPr>
          <w:rFonts w:ascii="Verdana" w:hAnsi="Verdana"/>
          <w:i/>
          <w:sz w:val="20"/>
        </w:rPr>
        <w:t xml:space="preserve">haga sus veces. Para los efectos de este artículo, </w:t>
      </w:r>
      <w:r w:rsidRPr="007C42DF">
        <w:rPr>
          <w:rFonts w:ascii="Verdana" w:hAnsi="Verdana"/>
          <w:i/>
          <w:sz w:val="20"/>
        </w:rPr>
        <w:lastRenderedPageBreak/>
        <w:t>se entiende por actividad contractual los documentos, contratos, actos e información</w:t>
      </w:r>
      <w:r w:rsidRPr="007C42DF">
        <w:rPr>
          <w:rFonts w:ascii="Verdana" w:hAnsi="Verdana"/>
          <w:i/>
          <w:spacing w:val="-2"/>
          <w:sz w:val="20"/>
        </w:rPr>
        <w:t xml:space="preserve"> </w:t>
      </w:r>
      <w:r w:rsidRPr="007C42DF">
        <w:rPr>
          <w:rFonts w:ascii="Verdana" w:hAnsi="Verdana"/>
          <w:i/>
          <w:sz w:val="20"/>
        </w:rPr>
        <w:t>generada</w:t>
      </w:r>
      <w:r w:rsidRPr="007C42DF">
        <w:rPr>
          <w:rFonts w:ascii="Verdana" w:hAnsi="Verdana"/>
          <w:i/>
          <w:spacing w:val="-1"/>
          <w:sz w:val="20"/>
        </w:rPr>
        <w:t xml:space="preserve"> </w:t>
      </w:r>
      <w:r w:rsidRPr="007C42DF">
        <w:rPr>
          <w:rFonts w:ascii="Verdana" w:hAnsi="Verdana"/>
          <w:i/>
          <w:sz w:val="20"/>
        </w:rPr>
        <w:t xml:space="preserve">por oferentes, contratista, contratante, supervisor o interventor, tanto en la etapa precontractual, como en la contractual y la </w:t>
      </w:r>
      <w:proofErr w:type="spellStart"/>
      <w:r w:rsidRPr="007C42DF">
        <w:rPr>
          <w:rFonts w:ascii="Verdana" w:hAnsi="Verdana"/>
          <w:i/>
          <w:sz w:val="20"/>
        </w:rPr>
        <w:t>postcontractual</w:t>
      </w:r>
      <w:proofErr w:type="spellEnd"/>
      <w:r w:rsidRPr="007C42DF">
        <w:rPr>
          <w:rFonts w:ascii="Verdana" w:hAnsi="Verdana"/>
          <w:i/>
          <w:sz w:val="20"/>
        </w:rPr>
        <w:t>.</w:t>
      </w:r>
    </w:p>
    <w:p w14:paraId="1700A6EE" w14:textId="77777777" w:rsidR="00FF056D" w:rsidRPr="007C42DF" w:rsidRDefault="00FF056D" w:rsidP="0060171C">
      <w:pPr>
        <w:spacing w:after="0" w:line="240" w:lineRule="auto"/>
        <w:ind w:left="970" w:right="972"/>
        <w:jc w:val="both"/>
        <w:rPr>
          <w:rFonts w:ascii="Verdana" w:hAnsi="Verdana"/>
          <w:i/>
          <w:sz w:val="20"/>
        </w:rPr>
      </w:pPr>
    </w:p>
    <w:p w14:paraId="13B4D56F" w14:textId="77777777" w:rsidR="00E85C97" w:rsidRPr="007C42DF" w:rsidRDefault="00E85C97" w:rsidP="0060171C">
      <w:pPr>
        <w:spacing w:after="0" w:line="240" w:lineRule="auto"/>
        <w:ind w:left="970" w:right="980"/>
        <w:jc w:val="both"/>
        <w:rPr>
          <w:rFonts w:ascii="Verdana" w:hAnsi="Verdana"/>
          <w:sz w:val="20"/>
        </w:rPr>
      </w:pPr>
      <w:r w:rsidRPr="007C42DF">
        <w:rPr>
          <w:rFonts w:ascii="Verdana" w:hAnsi="Verdana"/>
          <w:sz w:val="20"/>
        </w:rPr>
        <w:t xml:space="preserve">A partir de la </w:t>
      </w:r>
      <w:proofErr w:type="gramStart"/>
      <w:r w:rsidRPr="007C42DF">
        <w:rPr>
          <w:rFonts w:ascii="Verdana" w:hAnsi="Verdana"/>
          <w:sz w:val="20"/>
        </w:rPr>
        <w:t>entrada en vigencia</w:t>
      </w:r>
      <w:proofErr w:type="gramEnd"/>
      <w:r w:rsidRPr="007C42DF">
        <w:rPr>
          <w:rFonts w:ascii="Verdana" w:hAnsi="Verdana"/>
          <w:sz w:val="20"/>
        </w:rPr>
        <w:t xml:space="preserve"> de la presente Ley, se establecerá un periodo de transición de seis (6) meses, para que las entidades den cumplimiento</w:t>
      </w:r>
      <w:r w:rsidRPr="007C42DF">
        <w:rPr>
          <w:rFonts w:ascii="Verdana" w:hAnsi="Verdana"/>
          <w:spacing w:val="-2"/>
          <w:sz w:val="20"/>
        </w:rPr>
        <w:t xml:space="preserve"> </w:t>
      </w:r>
      <w:r w:rsidRPr="007C42DF">
        <w:rPr>
          <w:rFonts w:ascii="Verdana" w:hAnsi="Verdana"/>
          <w:sz w:val="20"/>
        </w:rPr>
        <w:t>efectivo</w:t>
      </w:r>
      <w:r w:rsidRPr="007C42DF">
        <w:rPr>
          <w:rFonts w:ascii="Verdana" w:hAnsi="Verdana"/>
          <w:spacing w:val="-2"/>
          <w:sz w:val="20"/>
        </w:rPr>
        <w:t xml:space="preserve"> </w:t>
      </w:r>
      <w:r w:rsidRPr="007C42DF">
        <w:rPr>
          <w:rFonts w:ascii="Verdana" w:hAnsi="Verdana"/>
          <w:sz w:val="20"/>
        </w:rPr>
        <w:t>a</w:t>
      </w:r>
      <w:r w:rsidRPr="007C42DF">
        <w:rPr>
          <w:rFonts w:ascii="Verdana" w:hAnsi="Verdana"/>
          <w:spacing w:val="-2"/>
          <w:sz w:val="20"/>
        </w:rPr>
        <w:t xml:space="preserve"> </w:t>
      </w:r>
      <w:r w:rsidRPr="007C42DF">
        <w:rPr>
          <w:rFonts w:ascii="Verdana" w:hAnsi="Verdana"/>
          <w:sz w:val="20"/>
        </w:rPr>
        <w:t>lo</w:t>
      </w:r>
      <w:r w:rsidRPr="007C42DF">
        <w:rPr>
          <w:rFonts w:ascii="Verdana" w:hAnsi="Verdana"/>
          <w:spacing w:val="-2"/>
          <w:sz w:val="20"/>
        </w:rPr>
        <w:t xml:space="preserve"> </w:t>
      </w:r>
      <w:r w:rsidRPr="007C42DF">
        <w:rPr>
          <w:rFonts w:ascii="Verdana" w:hAnsi="Verdana"/>
          <w:sz w:val="20"/>
        </w:rPr>
        <w:t>aquí</w:t>
      </w:r>
      <w:r w:rsidRPr="007C42DF">
        <w:rPr>
          <w:rFonts w:ascii="Verdana" w:hAnsi="Verdana"/>
          <w:spacing w:val="-1"/>
          <w:sz w:val="20"/>
        </w:rPr>
        <w:t xml:space="preserve"> </w:t>
      </w:r>
      <w:r w:rsidRPr="007C42DF">
        <w:rPr>
          <w:rFonts w:ascii="Verdana" w:hAnsi="Verdana"/>
          <w:sz w:val="20"/>
        </w:rPr>
        <w:t>establecido. (Cursiva</w:t>
      </w:r>
      <w:r w:rsidRPr="007C42DF">
        <w:rPr>
          <w:rFonts w:ascii="Verdana" w:hAnsi="Verdana"/>
          <w:spacing w:val="-1"/>
          <w:sz w:val="20"/>
        </w:rPr>
        <w:t xml:space="preserve"> </w:t>
      </w:r>
      <w:r w:rsidRPr="007C42DF">
        <w:rPr>
          <w:rFonts w:ascii="Verdana" w:hAnsi="Verdana"/>
          <w:sz w:val="20"/>
        </w:rPr>
        <w:t>fuera</w:t>
      </w:r>
      <w:r w:rsidRPr="007C42DF">
        <w:rPr>
          <w:rFonts w:ascii="Verdana" w:hAnsi="Verdana"/>
          <w:spacing w:val="-2"/>
          <w:sz w:val="20"/>
        </w:rPr>
        <w:t xml:space="preserve"> </w:t>
      </w:r>
      <w:r w:rsidRPr="007C42DF">
        <w:rPr>
          <w:rFonts w:ascii="Verdana" w:hAnsi="Verdana"/>
          <w:sz w:val="20"/>
        </w:rPr>
        <w:t>del</w:t>
      </w:r>
      <w:r w:rsidRPr="007C42DF">
        <w:rPr>
          <w:rFonts w:ascii="Verdana" w:hAnsi="Verdana"/>
          <w:spacing w:val="-1"/>
          <w:sz w:val="20"/>
        </w:rPr>
        <w:t xml:space="preserve"> </w:t>
      </w:r>
      <w:r w:rsidRPr="007C42DF">
        <w:rPr>
          <w:rFonts w:ascii="Verdana" w:hAnsi="Verdana"/>
          <w:sz w:val="20"/>
        </w:rPr>
        <w:t>original)</w:t>
      </w:r>
      <w:proofErr w:type="gramStart"/>
      <w:r w:rsidRPr="007C42DF">
        <w:rPr>
          <w:rFonts w:ascii="Verdana" w:hAnsi="Verdana"/>
          <w:sz w:val="20"/>
        </w:rPr>
        <w:t>.</w:t>
      </w:r>
      <w:r w:rsidRPr="007C42DF">
        <w:rPr>
          <w:rFonts w:ascii="Verdana" w:hAnsi="Verdana"/>
          <w:spacing w:val="-47"/>
          <w:sz w:val="20"/>
        </w:rPr>
        <w:t xml:space="preserve"> </w:t>
      </w:r>
      <w:r w:rsidRPr="007C42DF">
        <w:rPr>
          <w:rFonts w:ascii="Verdana" w:hAnsi="Verdana"/>
          <w:sz w:val="20"/>
        </w:rPr>
        <w:t>”</w:t>
      </w:r>
      <w:proofErr w:type="gramEnd"/>
    </w:p>
    <w:p w14:paraId="318CCA63" w14:textId="77777777" w:rsidR="00FF056D" w:rsidRDefault="00FF056D" w:rsidP="0060171C">
      <w:pPr>
        <w:pStyle w:val="Textoindependiente"/>
        <w:spacing w:line="276" w:lineRule="auto"/>
        <w:ind w:right="261" w:firstLine="709"/>
        <w:jc w:val="both"/>
      </w:pPr>
    </w:p>
    <w:p w14:paraId="1B6CBF1F" w14:textId="5DDAE4EA" w:rsidR="00E85C97" w:rsidRDefault="00E85C97" w:rsidP="00FF056D">
      <w:pPr>
        <w:pStyle w:val="Textoindependiente"/>
        <w:spacing w:after="120" w:line="276" w:lineRule="auto"/>
        <w:ind w:right="259" w:firstLine="709"/>
        <w:jc w:val="both"/>
      </w:pPr>
      <w:r>
        <w:t>Como puede observarse, aunque la publicación en el SECOP de los documentos</w:t>
      </w:r>
      <w:r>
        <w:rPr>
          <w:spacing w:val="-8"/>
        </w:rPr>
        <w:t xml:space="preserve"> </w:t>
      </w:r>
      <w:r>
        <w:t>relacionados</w:t>
      </w:r>
      <w:r>
        <w:rPr>
          <w:spacing w:val="-8"/>
        </w:rPr>
        <w:t xml:space="preserve"> </w:t>
      </w:r>
      <w:r>
        <w:t>con</w:t>
      </w:r>
      <w:r>
        <w:rPr>
          <w:spacing w:val="-8"/>
        </w:rPr>
        <w:t xml:space="preserve"> </w:t>
      </w:r>
      <w:r>
        <w:t>la</w:t>
      </w:r>
      <w:r>
        <w:rPr>
          <w:spacing w:val="-10"/>
        </w:rPr>
        <w:t xml:space="preserve"> </w:t>
      </w:r>
      <w:r>
        <w:t>actividad</w:t>
      </w:r>
      <w:r>
        <w:rPr>
          <w:spacing w:val="-10"/>
        </w:rPr>
        <w:t xml:space="preserve"> </w:t>
      </w:r>
      <w:r>
        <w:t>contractual</w:t>
      </w:r>
      <w:r>
        <w:rPr>
          <w:spacing w:val="-8"/>
        </w:rPr>
        <w:t xml:space="preserve"> </w:t>
      </w:r>
      <w:r>
        <w:t>ya</w:t>
      </w:r>
      <w:r>
        <w:rPr>
          <w:spacing w:val="-11"/>
        </w:rPr>
        <w:t xml:space="preserve"> </w:t>
      </w:r>
      <w:r>
        <w:t>era</w:t>
      </w:r>
      <w:r>
        <w:rPr>
          <w:spacing w:val="-10"/>
        </w:rPr>
        <w:t xml:space="preserve"> </w:t>
      </w:r>
      <w:r>
        <w:t>obligatoria</w:t>
      </w:r>
      <w:r>
        <w:rPr>
          <w:spacing w:val="-10"/>
        </w:rPr>
        <w:t xml:space="preserve"> </w:t>
      </w:r>
      <w:r>
        <w:t>para</w:t>
      </w:r>
      <w:r>
        <w:rPr>
          <w:spacing w:val="-10"/>
        </w:rPr>
        <w:t xml:space="preserve"> </w:t>
      </w:r>
      <w:r>
        <w:t>las entidades</w:t>
      </w:r>
      <w:r>
        <w:rPr>
          <w:spacing w:val="-8"/>
        </w:rPr>
        <w:t xml:space="preserve"> </w:t>
      </w:r>
      <w:r>
        <w:t>que</w:t>
      </w:r>
      <w:r>
        <w:rPr>
          <w:spacing w:val="-9"/>
        </w:rPr>
        <w:t xml:space="preserve"> </w:t>
      </w:r>
      <w:r>
        <w:t>cuentan</w:t>
      </w:r>
      <w:r>
        <w:rPr>
          <w:spacing w:val="-8"/>
        </w:rPr>
        <w:t xml:space="preserve"> </w:t>
      </w:r>
      <w:r>
        <w:t>con</w:t>
      </w:r>
      <w:r>
        <w:rPr>
          <w:spacing w:val="-11"/>
        </w:rPr>
        <w:t xml:space="preserve"> </w:t>
      </w:r>
      <w:r>
        <w:t>un</w:t>
      </w:r>
      <w:r>
        <w:rPr>
          <w:spacing w:val="-11"/>
        </w:rPr>
        <w:t xml:space="preserve"> </w:t>
      </w:r>
      <w:r>
        <w:t>régimen</w:t>
      </w:r>
      <w:r>
        <w:rPr>
          <w:spacing w:val="-11"/>
        </w:rPr>
        <w:t xml:space="preserve"> </w:t>
      </w:r>
      <w:r>
        <w:t>especial,</w:t>
      </w:r>
      <w:r>
        <w:rPr>
          <w:spacing w:val="-8"/>
        </w:rPr>
        <w:t xml:space="preserve"> </w:t>
      </w:r>
      <w:r>
        <w:t>el</w:t>
      </w:r>
      <w:r>
        <w:rPr>
          <w:spacing w:val="-8"/>
        </w:rPr>
        <w:t xml:space="preserve"> </w:t>
      </w:r>
      <w:r>
        <w:t>artículo</w:t>
      </w:r>
      <w:r>
        <w:rPr>
          <w:spacing w:val="-11"/>
        </w:rPr>
        <w:t xml:space="preserve"> </w:t>
      </w:r>
      <w:r>
        <w:t>53</w:t>
      </w:r>
      <w:r>
        <w:rPr>
          <w:spacing w:val="-12"/>
        </w:rPr>
        <w:t xml:space="preserve"> </w:t>
      </w:r>
      <w:r>
        <w:t>de</w:t>
      </w:r>
      <w:r>
        <w:rPr>
          <w:spacing w:val="-9"/>
        </w:rPr>
        <w:t xml:space="preserve"> </w:t>
      </w:r>
      <w:r>
        <w:t>la</w:t>
      </w:r>
      <w:r>
        <w:rPr>
          <w:spacing w:val="-14"/>
        </w:rPr>
        <w:t xml:space="preserve"> </w:t>
      </w:r>
      <w:r>
        <w:t>Ley</w:t>
      </w:r>
      <w:r>
        <w:rPr>
          <w:spacing w:val="-12"/>
        </w:rPr>
        <w:t xml:space="preserve"> </w:t>
      </w:r>
      <w:r>
        <w:t>2195</w:t>
      </w:r>
      <w:r>
        <w:rPr>
          <w:spacing w:val="-12"/>
        </w:rPr>
        <w:t xml:space="preserve"> </w:t>
      </w:r>
      <w:r>
        <w:t>de 2022</w:t>
      </w:r>
      <w:r>
        <w:rPr>
          <w:spacing w:val="-7"/>
        </w:rPr>
        <w:t xml:space="preserve"> </w:t>
      </w:r>
      <w:r>
        <w:t>–que</w:t>
      </w:r>
      <w:r>
        <w:rPr>
          <w:spacing w:val="-9"/>
        </w:rPr>
        <w:t xml:space="preserve"> </w:t>
      </w:r>
      <w:r>
        <w:t>modifica</w:t>
      </w:r>
      <w:r>
        <w:rPr>
          <w:spacing w:val="-14"/>
        </w:rPr>
        <w:t xml:space="preserve"> </w:t>
      </w:r>
      <w:r>
        <w:t>el</w:t>
      </w:r>
      <w:r>
        <w:rPr>
          <w:spacing w:val="-8"/>
        </w:rPr>
        <w:t xml:space="preserve"> </w:t>
      </w:r>
      <w:r>
        <w:t>artículo 13</w:t>
      </w:r>
      <w:r>
        <w:rPr>
          <w:spacing w:val="-12"/>
        </w:rPr>
        <w:t xml:space="preserve"> </w:t>
      </w:r>
      <w:r>
        <w:t>de</w:t>
      </w:r>
      <w:r>
        <w:rPr>
          <w:spacing w:val="-9"/>
        </w:rPr>
        <w:t xml:space="preserve"> </w:t>
      </w:r>
      <w:r>
        <w:t>la</w:t>
      </w:r>
      <w:r>
        <w:rPr>
          <w:spacing w:val="-9"/>
        </w:rPr>
        <w:t xml:space="preserve"> </w:t>
      </w:r>
      <w:r>
        <w:t>Ley</w:t>
      </w:r>
      <w:r>
        <w:rPr>
          <w:spacing w:val="-12"/>
        </w:rPr>
        <w:t xml:space="preserve"> </w:t>
      </w:r>
      <w:r>
        <w:t>1150</w:t>
      </w:r>
      <w:r>
        <w:rPr>
          <w:spacing w:val="-8"/>
        </w:rPr>
        <w:t xml:space="preserve"> </w:t>
      </w:r>
      <w:r>
        <w:t>de</w:t>
      </w:r>
      <w:r>
        <w:rPr>
          <w:spacing w:val="-9"/>
        </w:rPr>
        <w:t xml:space="preserve"> </w:t>
      </w:r>
      <w:r>
        <w:t>2007–</w:t>
      </w:r>
      <w:r>
        <w:rPr>
          <w:spacing w:val="-7"/>
        </w:rPr>
        <w:t xml:space="preserve"> </w:t>
      </w:r>
      <w:r>
        <w:t>establece</w:t>
      </w:r>
      <w:r>
        <w:rPr>
          <w:spacing w:val="-9"/>
        </w:rPr>
        <w:t xml:space="preserve"> </w:t>
      </w:r>
      <w:r>
        <w:t>con</w:t>
      </w:r>
      <w:r>
        <w:rPr>
          <w:spacing w:val="-8"/>
        </w:rPr>
        <w:t xml:space="preserve"> </w:t>
      </w:r>
      <w:r>
        <w:t>mayor precisión</w:t>
      </w:r>
      <w:r>
        <w:rPr>
          <w:spacing w:val="-20"/>
        </w:rPr>
        <w:t xml:space="preserve"> </w:t>
      </w:r>
      <w:r>
        <w:t>esta</w:t>
      </w:r>
      <w:r>
        <w:rPr>
          <w:spacing w:val="-19"/>
        </w:rPr>
        <w:t xml:space="preserve"> </w:t>
      </w:r>
      <w:r>
        <w:t>obligación</w:t>
      </w:r>
      <w:r>
        <w:rPr>
          <w:spacing w:val="-19"/>
        </w:rPr>
        <w:t xml:space="preserve"> </w:t>
      </w:r>
      <w:r>
        <w:t>y</w:t>
      </w:r>
      <w:r>
        <w:rPr>
          <w:spacing w:val="-19"/>
        </w:rPr>
        <w:t xml:space="preserve"> </w:t>
      </w:r>
      <w:r>
        <w:t>la</w:t>
      </w:r>
      <w:r>
        <w:rPr>
          <w:spacing w:val="-20"/>
        </w:rPr>
        <w:t xml:space="preserve"> </w:t>
      </w:r>
      <w:r>
        <w:t>complementa</w:t>
      </w:r>
      <w:r>
        <w:rPr>
          <w:spacing w:val="-19"/>
        </w:rPr>
        <w:t xml:space="preserve"> </w:t>
      </w:r>
      <w:r>
        <w:t>con</w:t>
      </w:r>
      <w:r>
        <w:rPr>
          <w:spacing w:val="-18"/>
        </w:rPr>
        <w:t xml:space="preserve"> </w:t>
      </w:r>
      <w:r>
        <w:t>la</w:t>
      </w:r>
      <w:r>
        <w:rPr>
          <w:spacing w:val="-20"/>
        </w:rPr>
        <w:t xml:space="preserve"> </w:t>
      </w:r>
      <w:r>
        <w:t>exigencia</w:t>
      </w:r>
      <w:r>
        <w:rPr>
          <w:spacing w:val="-19"/>
        </w:rPr>
        <w:t xml:space="preserve"> </w:t>
      </w:r>
      <w:r>
        <w:t>de</w:t>
      </w:r>
      <w:r>
        <w:rPr>
          <w:spacing w:val="-19"/>
        </w:rPr>
        <w:t xml:space="preserve"> </w:t>
      </w:r>
      <w:r>
        <w:t>emplear</w:t>
      </w:r>
      <w:r>
        <w:rPr>
          <w:spacing w:val="-17"/>
        </w:rPr>
        <w:t xml:space="preserve"> </w:t>
      </w:r>
      <w:r>
        <w:t>el</w:t>
      </w:r>
      <w:r>
        <w:rPr>
          <w:spacing w:val="-18"/>
        </w:rPr>
        <w:t xml:space="preserve"> </w:t>
      </w:r>
      <w:r>
        <w:t>SECOP II.</w:t>
      </w:r>
      <w:r>
        <w:rPr>
          <w:spacing w:val="-20"/>
        </w:rPr>
        <w:t xml:space="preserve"> </w:t>
      </w:r>
      <w:r>
        <w:t>En</w:t>
      </w:r>
      <w:r>
        <w:rPr>
          <w:spacing w:val="-17"/>
        </w:rPr>
        <w:t xml:space="preserve"> </w:t>
      </w:r>
      <w:r>
        <w:t>otras</w:t>
      </w:r>
      <w:r>
        <w:rPr>
          <w:spacing w:val="-16"/>
        </w:rPr>
        <w:t xml:space="preserve"> </w:t>
      </w:r>
      <w:r>
        <w:t>palabras,</w:t>
      </w:r>
      <w:r>
        <w:rPr>
          <w:spacing w:val="-16"/>
        </w:rPr>
        <w:t xml:space="preserve"> </w:t>
      </w:r>
      <w:r>
        <w:t>a</w:t>
      </w:r>
      <w:r>
        <w:rPr>
          <w:spacing w:val="-18"/>
        </w:rPr>
        <w:t xml:space="preserve"> </w:t>
      </w:r>
      <w:r>
        <w:t>través</w:t>
      </w:r>
      <w:r>
        <w:rPr>
          <w:spacing w:val="-16"/>
        </w:rPr>
        <w:t xml:space="preserve"> </w:t>
      </w:r>
      <w:r>
        <w:t>del</w:t>
      </w:r>
      <w:r>
        <w:rPr>
          <w:spacing w:val="-16"/>
        </w:rPr>
        <w:t xml:space="preserve"> </w:t>
      </w:r>
      <w:r>
        <w:t>artículo</w:t>
      </w:r>
      <w:r>
        <w:rPr>
          <w:spacing w:val="-15"/>
        </w:rPr>
        <w:t xml:space="preserve"> </w:t>
      </w:r>
      <w:r>
        <w:t>53</w:t>
      </w:r>
      <w:r>
        <w:rPr>
          <w:spacing w:val="-16"/>
        </w:rPr>
        <w:t xml:space="preserve"> </w:t>
      </w:r>
      <w:r>
        <w:t>de</w:t>
      </w:r>
      <w:r>
        <w:rPr>
          <w:spacing w:val="-17"/>
        </w:rPr>
        <w:t xml:space="preserve"> </w:t>
      </w:r>
      <w:r>
        <w:t>la</w:t>
      </w:r>
      <w:r>
        <w:rPr>
          <w:spacing w:val="-18"/>
        </w:rPr>
        <w:t xml:space="preserve"> </w:t>
      </w:r>
      <w:r>
        <w:t>Ley</w:t>
      </w:r>
      <w:r>
        <w:rPr>
          <w:spacing w:val="-17"/>
        </w:rPr>
        <w:t xml:space="preserve"> </w:t>
      </w:r>
      <w:r>
        <w:t>2195</w:t>
      </w:r>
      <w:r>
        <w:rPr>
          <w:spacing w:val="-16"/>
        </w:rPr>
        <w:t xml:space="preserve"> </w:t>
      </w:r>
      <w:r>
        <w:t>de</w:t>
      </w:r>
      <w:r>
        <w:rPr>
          <w:spacing w:val="-17"/>
        </w:rPr>
        <w:t xml:space="preserve"> </w:t>
      </w:r>
      <w:r>
        <w:t>2022</w:t>
      </w:r>
      <w:r>
        <w:rPr>
          <w:spacing w:val="-20"/>
        </w:rPr>
        <w:t xml:space="preserve"> </w:t>
      </w:r>
      <w:r>
        <w:t>el</w:t>
      </w:r>
      <w:r>
        <w:rPr>
          <w:spacing w:val="-15"/>
        </w:rPr>
        <w:t xml:space="preserve"> </w:t>
      </w:r>
      <w:r>
        <w:t>Congreso de la República dispone que las entidades estatales exceptuadas del EGCAP deben</w:t>
      </w:r>
      <w:r>
        <w:rPr>
          <w:spacing w:val="-4"/>
        </w:rPr>
        <w:t xml:space="preserve"> </w:t>
      </w:r>
      <w:r>
        <w:t>publicar</w:t>
      </w:r>
      <w:r>
        <w:rPr>
          <w:spacing w:val="-3"/>
        </w:rPr>
        <w:t xml:space="preserve"> </w:t>
      </w:r>
      <w:r>
        <w:t>en</w:t>
      </w:r>
      <w:r>
        <w:rPr>
          <w:spacing w:val="-4"/>
        </w:rPr>
        <w:t xml:space="preserve"> </w:t>
      </w:r>
      <w:r>
        <w:t>el</w:t>
      </w:r>
      <w:r>
        <w:rPr>
          <w:spacing w:val="-8"/>
        </w:rPr>
        <w:t xml:space="preserve"> </w:t>
      </w:r>
      <w:r>
        <w:t>SECOP</w:t>
      </w:r>
      <w:r>
        <w:rPr>
          <w:spacing w:val="-7"/>
        </w:rPr>
        <w:t xml:space="preserve"> </w:t>
      </w:r>
      <w:r>
        <w:t>II –es</w:t>
      </w:r>
      <w:r>
        <w:rPr>
          <w:spacing w:val="-8"/>
        </w:rPr>
        <w:t xml:space="preserve"> </w:t>
      </w:r>
      <w:r>
        <w:t>decir</w:t>
      </w:r>
      <w:r>
        <w:rPr>
          <w:spacing w:val="-7"/>
        </w:rPr>
        <w:t xml:space="preserve"> </w:t>
      </w:r>
      <w:r>
        <w:t>en</w:t>
      </w:r>
      <w:r>
        <w:rPr>
          <w:spacing w:val="-4"/>
        </w:rPr>
        <w:t xml:space="preserve"> </w:t>
      </w:r>
      <w:r>
        <w:t>la</w:t>
      </w:r>
      <w:r>
        <w:rPr>
          <w:spacing w:val="-15"/>
        </w:rPr>
        <w:t xml:space="preserve"> </w:t>
      </w:r>
      <w:r>
        <w:t>plataforma</w:t>
      </w:r>
      <w:r>
        <w:rPr>
          <w:spacing w:val="-7"/>
        </w:rPr>
        <w:t xml:space="preserve"> </w:t>
      </w:r>
      <w:r>
        <w:t>transaccional</w:t>
      </w:r>
      <w:r>
        <w:rPr>
          <w:spacing w:val="-4"/>
        </w:rPr>
        <w:t xml:space="preserve"> </w:t>
      </w:r>
      <w:r>
        <w:t>vigente– su actividad contractual.</w:t>
      </w:r>
    </w:p>
    <w:p w14:paraId="35ECB9CA" w14:textId="77777777" w:rsidR="00E85C97" w:rsidRDefault="00E85C97" w:rsidP="0060171C">
      <w:pPr>
        <w:pStyle w:val="Textoindependiente"/>
        <w:spacing w:after="120" w:line="276" w:lineRule="auto"/>
        <w:ind w:right="251" w:firstLine="709"/>
        <w:jc w:val="both"/>
      </w:pPr>
      <w:r>
        <w:t>Ahora</w:t>
      </w:r>
      <w:r>
        <w:rPr>
          <w:spacing w:val="-6"/>
        </w:rPr>
        <w:t xml:space="preserve"> </w:t>
      </w:r>
      <w:r>
        <w:t>bien,</w:t>
      </w:r>
      <w:r>
        <w:rPr>
          <w:spacing w:val="-8"/>
        </w:rPr>
        <w:t xml:space="preserve"> </w:t>
      </w:r>
      <w:r>
        <w:t>cabe</w:t>
      </w:r>
      <w:r>
        <w:rPr>
          <w:spacing w:val="-4"/>
        </w:rPr>
        <w:t xml:space="preserve"> </w:t>
      </w:r>
      <w:r>
        <w:t>destacar</w:t>
      </w:r>
      <w:r>
        <w:rPr>
          <w:spacing w:val="-2"/>
        </w:rPr>
        <w:t xml:space="preserve"> </w:t>
      </w:r>
      <w:r>
        <w:t>que,</w:t>
      </w:r>
      <w:r>
        <w:rPr>
          <w:spacing w:val="-4"/>
        </w:rPr>
        <w:t xml:space="preserve"> </w:t>
      </w:r>
      <w:r>
        <w:t>cuando</w:t>
      </w:r>
      <w:r>
        <w:rPr>
          <w:spacing w:val="-7"/>
        </w:rPr>
        <w:t xml:space="preserve"> </w:t>
      </w:r>
      <w:r>
        <w:t>la</w:t>
      </w:r>
      <w:r>
        <w:rPr>
          <w:spacing w:val="-5"/>
        </w:rPr>
        <w:t xml:space="preserve"> </w:t>
      </w:r>
      <w:r>
        <w:t>norma</w:t>
      </w:r>
      <w:r>
        <w:rPr>
          <w:spacing w:val="-6"/>
        </w:rPr>
        <w:t xml:space="preserve"> </w:t>
      </w:r>
      <w:r>
        <w:t>trascrita</w:t>
      </w:r>
      <w:r>
        <w:rPr>
          <w:spacing w:val="-6"/>
        </w:rPr>
        <w:t xml:space="preserve"> </w:t>
      </w:r>
      <w:r>
        <w:t>hace</w:t>
      </w:r>
      <w:r>
        <w:rPr>
          <w:spacing w:val="-9"/>
        </w:rPr>
        <w:t xml:space="preserve"> </w:t>
      </w:r>
      <w:r>
        <w:t>referencia a que el mencionado deber de publicidad debe cumplirse en el SECOP II o “la plataforma</w:t>
      </w:r>
      <w:r>
        <w:rPr>
          <w:spacing w:val="-20"/>
        </w:rPr>
        <w:t xml:space="preserve"> </w:t>
      </w:r>
      <w:r>
        <w:t>transaccional</w:t>
      </w:r>
      <w:r>
        <w:rPr>
          <w:spacing w:val="-17"/>
        </w:rPr>
        <w:t xml:space="preserve"> </w:t>
      </w:r>
      <w:r>
        <w:t>que</w:t>
      </w:r>
      <w:r>
        <w:rPr>
          <w:spacing w:val="-19"/>
        </w:rPr>
        <w:t xml:space="preserve"> </w:t>
      </w:r>
      <w:r>
        <w:t>haga</w:t>
      </w:r>
      <w:r>
        <w:rPr>
          <w:spacing w:val="-20"/>
        </w:rPr>
        <w:t xml:space="preserve"> </w:t>
      </w:r>
      <w:r>
        <w:t>sus</w:t>
      </w:r>
      <w:r>
        <w:rPr>
          <w:spacing w:val="-17"/>
        </w:rPr>
        <w:t xml:space="preserve"> </w:t>
      </w:r>
      <w:r>
        <w:t>veces”,</w:t>
      </w:r>
      <w:r>
        <w:rPr>
          <w:spacing w:val="-18"/>
        </w:rPr>
        <w:t xml:space="preserve"> </w:t>
      </w:r>
      <w:r>
        <w:t>esta</w:t>
      </w:r>
      <w:r>
        <w:rPr>
          <w:spacing w:val="-20"/>
        </w:rPr>
        <w:t xml:space="preserve"> </w:t>
      </w:r>
      <w:r>
        <w:t>expresión</w:t>
      </w:r>
      <w:r>
        <w:rPr>
          <w:spacing w:val="-17"/>
        </w:rPr>
        <w:t xml:space="preserve"> </w:t>
      </w:r>
      <w:r>
        <w:t>debe</w:t>
      </w:r>
      <w:r>
        <w:rPr>
          <w:spacing w:val="-19"/>
        </w:rPr>
        <w:t xml:space="preserve"> </w:t>
      </w:r>
      <w:r>
        <w:t>interpretarse en</w:t>
      </w:r>
      <w:r>
        <w:rPr>
          <w:spacing w:val="-7"/>
        </w:rPr>
        <w:t xml:space="preserve"> </w:t>
      </w:r>
      <w:r>
        <w:t>el</w:t>
      </w:r>
      <w:r>
        <w:rPr>
          <w:spacing w:val="-7"/>
        </w:rPr>
        <w:t xml:space="preserve"> </w:t>
      </w:r>
      <w:r>
        <w:t>sentido</w:t>
      </w:r>
      <w:r>
        <w:rPr>
          <w:spacing w:val="-6"/>
        </w:rPr>
        <w:t xml:space="preserve"> </w:t>
      </w:r>
      <w:r>
        <w:t>de</w:t>
      </w:r>
      <w:r>
        <w:rPr>
          <w:spacing w:val="-8"/>
        </w:rPr>
        <w:t xml:space="preserve"> </w:t>
      </w:r>
      <w:r>
        <w:t>que</w:t>
      </w:r>
      <w:r>
        <w:rPr>
          <w:spacing w:val="-8"/>
        </w:rPr>
        <w:t xml:space="preserve"> </w:t>
      </w:r>
      <w:r>
        <w:t>si</w:t>
      </w:r>
      <w:r>
        <w:rPr>
          <w:spacing w:val="-12"/>
        </w:rPr>
        <w:t xml:space="preserve"> </w:t>
      </w:r>
      <w:r>
        <w:t>bien</w:t>
      </w:r>
      <w:r>
        <w:rPr>
          <w:spacing w:val="-7"/>
        </w:rPr>
        <w:t xml:space="preserve"> </w:t>
      </w:r>
      <w:r>
        <w:t>el</w:t>
      </w:r>
      <w:r>
        <w:rPr>
          <w:spacing w:val="-7"/>
        </w:rPr>
        <w:t xml:space="preserve"> </w:t>
      </w:r>
      <w:r>
        <w:t>SECOP</w:t>
      </w:r>
      <w:r>
        <w:rPr>
          <w:spacing w:val="-10"/>
        </w:rPr>
        <w:t xml:space="preserve"> </w:t>
      </w:r>
      <w:r>
        <w:t>II</w:t>
      </w:r>
      <w:r>
        <w:rPr>
          <w:spacing w:val="-5"/>
        </w:rPr>
        <w:t xml:space="preserve"> </w:t>
      </w:r>
      <w:r>
        <w:t>es</w:t>
      </w:r>
      <w:r>
        <w:rPr>
          <w:spacing w:val="-12"/>
        </w:rPr>
        <w:t xml:space="preserve"> </w:t>
      </w:r>
      <w:r>
        <w:t>la</w:t>
      </w:r>
      <w:r>
        <w:rPr>
          <w:spacing w:val="-14"/>
        </w:rPr>
        <w:t xml:space="preserve"> </w:t>
      </w:r>
      <w:r>
        <w:t>plataforma</w:t>
      </w:r>
      <w:r>
        <w:rPr>
          <w:spacing w:val="-9"/>
        </w:rPr>
        <w:t xml:space="preserve"> </w:t>
      </w:r>
      <w:r>
        <w:t>oficial</w:t>
      </w:r>
      <w:r>
        <w:rPr>
          <w:spacing w:val="-7"/>
        </w:rPr>
        <w:t xml:space="preserve"> </w:t>
      </w:r>
      <w:r>
        <w:t>que</w:t>
      </w:r>
      <w:r>
        <w:rPr>
          <w:spacing w:val="-8"/>
        </w:rPr>
        <w:t xml:space="preserve"> </w:t>
      </w:r>
      <w:r>
        <w:t>actualmente se utiliza como mecanismo transaccional, en caso de que en el futuro dicha plataforma sea remplazada por otra que tenga una denominación distinta, las entidades que tienen un régimen exceptuado deberán continuar publicando la documentación</w:t>
      </w:r>
      <w:r>
        <w:rPr>
          <w:spacing w:val="-10"/>
        </w:rPr>
        <w:t xml:space="preserve"> </w:t>
      </w:r>
      <w:r>
        <w:t>de</w:t>
      </w:r>
      <w:r>
        <w:rPr>
          <w:spacing w:val="-11"/>
        </w:rPr>
        <w:t xml:space="preserve"> </w:t>
      </w:r>
      <w:r>
        <w:t>su</w:t>
      </w:r>
      <w:r>
        <w:rPr>
          <w:spacing w:val="-14"/>
        </w:rPr>
        <w:t xml:space="preserve"> </w:t>
      </w:r>
      <w:r>
        <w:t>actividad</w:t>
      </w:r>
      <w:r>
        <w:rPr>
          <w:spacing w:val="-12"/>
        </w:rPr>
        <w:t xml:space="preserve"> </w:t>
      </w:r>
      <w:r>
        <w:t>contractual</w:t>
      </w:r>
      <w:r>
        <w:rPr>
          <w:spacing w:val="-10"/>
        </w:rPr>
        <w:t xml:space="preserve"> </w:t>
      </w:r>
      <w:r>
        <w:t>en</w:t>
      </w:r>
      <w:r>
        <w:rPr>
          <w:spacing w:val="-18"/>
        </w:rPr>
        <w:t xml:space="preserve"> </w:t>
      </w:r>
      <w:r>
        <w:t>la</w:t>
      </w:r>
      <w:r>
        <w:rPr>
          <w:spacing w:val="-12"/>
        </w:rPr>
        <w:t xml:space="preserve"> </w:t>
      </w:r>
      <w:r>
        <w:t>nueva</w:t>
      </w:r>
      <w:r>
        <w:rPr>
          <w:spacing w:val="-13"/>
        </w:rPr>
        <w:t xml:space="preserve"> </w:t>
      </w:r>
      <w:r>
        <w:t>plataforma</w:t>
      </w:r>
      <w:r>
        <w:rPr>
          <w:spacing w:val="-12"/>
        </w:rPr>
        <w:t xml:space="preserve"> </w:t>
      </w:r>
      <w:r>
        <w:t>transaccional que para efecto se cree. En ese sentido, la expresión “la plataforma que haga sus</w:t>
      </w:r>
      <w:r>
        <w:rPr>
          <w:spacing w:val="-13"/>
        </w:rPr>
        <w:t xml:space="preserve"> </w:t>
      </w:r>
      <w:r>
        <w:t>veces”</w:t>
      </w:r>
      <w:r>
        <w:rPr>
          <w:spacing w:val="-14"/>
        </w:rPr>
        <w:t xml:space="preserve"> </w:t>
      </w:r>
      <w:r>
        <w:t>no</w:t>
      </w:r>
      <w:r>
        <w:rPr>
          <w:spacing w:val="-17"/>
        </w:rPr>
        <w:t xml:space="preserve"> </w:t>
      </w:r>
      <w:r>
        <w:t>puede</w:t>
      </w:r>
      <w:r>
        <w:rPr>
          <w:spacing w:val="-14"/>
        </w:rPr>
        <w:t xml:space="preserve"> </w:t>
      </w:r>
      <w:r>
        <w:t>interpretarse</w:t>
      </w:r>
      <w:r>
        <w:rPr>
          <w:spacing w:val="-14"/>
        </w:rPr>
        <w:t xml:space="preserve"> </w:t>
      </w:r>
      <w:r>
        <w:t>como</w:t>
      </w:r>
      <w:r>
        <w:rPr>
          <w:spacing w:val="-12"/>
        </w:rPr>
        <w:t xml:space="preserve"> </w:t>
      </w:r>
      <w:r>
        <w:t>una</w:t>
      </w:r>
      <w:r>
        <w:rPr>
          <w:spacing w:val="-15"/>
        </w:rPr>
        <w:t xml:space="preserve"> </w:t>
      </w:r>
      <w:r>
        <w:t>autorización</w:t>
      </w:r>
      <w:r>
        <w:rPr>
          <w:spacing w:val="-13"/>
        </w:rPr>
        <w:t xml:space="preserve"> </w:t>
      </w:r>
      <w:r>
        <w:t>para</w:t>
      </w:r>
      <w:r>
        <w:rPr>
          <w:spacing w:val="-15"/>
        </w:rPr>
        <w:t xml:space="preserve"> </w:t>
      </w:r>
      <w:r>
        <w:t>que</w:t>
      </w:r>
      <w:r>
        <w:rPr>
          <w:spacing w:val="-14"/>
        </w:rPr>
        <w:t xml:space="preserve"> </w:t>
      </w:r>
      <w:r>
        <w:t>las</w:t>
      </w:r>
      <w:r>
        <w:rPr>
          <w:spacing w:val="-13"/>
        </w:rPr>
        <w:t xml:space="preserve"> </w:t>
      </w:r>
      <w:r>
        <w:t>entidades obligadas</w:t>
      </w:r>
      <w:r>
        <w:rPr>
          <w:spacing w:val="-3"/>
        </w:rPr>
        <w:t xml:space="preserve"> </w:t>
      </w:r>
      <w:r>
        <w:t>en</w:t>
      </w:r>
      <w:r>
        <w:rPr>
          <w:spacing w:val="-3"/>
        </w:rPr>
        <w:t xml:space="preserve"> </w:t>
      </w:r>
      <w:r>
        <w:t>virtud</w:t>
      </w:r>
      <w:r>
        <w:rPr>
          <w:spacing w:val="-10"/>
        </w:rPr>
        <w:t xml:space="preserve"> </w:t>
      </w:r>
      <w:r>
        <w:t>del</w:t>
      </w:r>
      <w:r>
        <w:rPr>
          <w:spacing w:val="-3"/>
        </w:rPr>
        <w:t xml:space="preserve"> </w:t>
      </w:r>
      <w:r>
        <w:t>artículo</w:t>
      </w:r>
      <w:r>
        <w:rPr>
          <w:spacing w:val="-7"/>
        </w:rPr>
        <w:t xml:space="preserve"> </w:t>
      </w:r>
      <w:r>
        <w:t>53</w:t>
      </w:r>
      <w:r>
        <w:rPr>
          <w:spacing w:val="-8"/>
        </w:rPr>
        <w:t xml:space="preserve"> </w:t>
      </w:r>
      <w:r>
        <w:t>de</w:t>
      </w:r>
      <w:r>
        <w:rPr>
          <w:spacing w:val="-4"/>
        </w:rPr>
        <w:t xml:space="preserve"> </w:t>
      </w:r>
      <w:r>
        <w:t>la</w:t>
      </w:r>
      <w:r>
        <w:rPr>
          <w:spacing w:val="-10"/>
        </w:rPr>
        <w:t xml:space="preserve"> </w:t>
      </w:r>
      <w:r>
        <w:t>Ley</w:t>
      </w:r>
      <w:r>
        <w:rPr>
          <w:spacing w:val="-9"/>
        </w:rPr>
        <w:t xml:space="preserve"> </w:t>
      </w:r>
      <w:r>
        <w:t>2195</w:t>
      </w:r>
      <w:r>
        <w:rPr>
          <w:spacing w:val="-3"/>
        </w:rPr>
        <w:t xml:space="preserve"> </w:t>
      </w:r>
      <w:r>
        <w:t>de</w:t>
      </w:r>
      <w:r>
        <w:rPr>
          <w:spacing w:val="-4"/>
        </w:rPr>
        <w:t xml:space="preserve"> </w:t>
      </w:r>
      <w:r>
        <w:t>2022</w:t>
      </w:r>
      <w:r>
        <w:rPr>
          <w:spacing w:val="-8"/>
        </w:rPr>
        <w:t xml:space="preserve"> </w:t>
      </w:r>
      <w:r>
        <w:t>empleen</w:t>
      </w:r>
      <w:r>
        <w:rPr>
          <w:spacing w:val="-3"/>
        </w:rPr>
        <w:t xml:space="preserve"> </w:t>
      </w:r>
      <w:r>
        <w:t>sus</w:t>
      </w:r>
      <w:r>
        <w:rPr>
          <w:spacing w:val="-8"/>
        </w:rPr>
        <w:t xml:space="preserve"> </w:t>
      </w:r>
      <w:r>
        <w:t>páginas web</w:t>
      </w:r>
      <w:r>
        <w:rPr>
          <w:spacing w:val="-1"/>
        </w:rPr>
        <w:t xml:space="preserve"> </w:t>
      </w:r>
      <w:r>
        <w:t>o sus</w:t>
      </w:r>
      <w:r>
        <w:rPr>
          <w:spacing w:val="-3"/>
        </w:rPr>
        <w:t xml:space="preserve"> </w:t>
      </w:r>
      <w:r>
        <w:t>propios portales electrónicos</w:t>
      </w:r>
      <w:r>
        <w:rPr>
          <w:spacing w:val="-3"/>
        </w:rPr>
        <w:t xml:space="preserve"> </w:t>
      </w:r>
      <w:r>
        <w:t>para</w:t>
      </w:r>
      <w:r>
        <w:rPr>
          <w:spacing w:val="-2"/>
        </w:rPr>
        <w:t xml:space="preserve"> </w:t>
      </w:r>
      <w:r>
        <w:t>cumplir con</w:t>
      </w:r>
      <w:r>
        <w:rPr>
          <w:spacing w:val="-3"/>
        </w:rPr>
        <w:t xml:space="preserve"> </w:t>
      </w:r>
      <w:r>
        <w:t>el</w:t>
      </w:r>
      <w:r>
        <w:rPr>
          <w:spacing w:val="-3"/>
        </w:rPr>
        <w:t xml:space="preserve"> </w:t>
      </w:r>
      <w:r>
        <w:t>deber de</w:t>
      </w:r>
      <w:r>
        <w:rPr>
          <w:spacing w:val="-1"/>
        </w:rPr>
        <w:t xml:space="preserve"> </w:t>
      </w:r>
      <w:r>
        <w:t>publicidad que</w:t>
      </w:r>
      <w:r>
        <w:rPr>
          <w:spacing w:val="-17"/>
        </w:rPr>
        <w:t xml:space="preserve"> </w:t>
      </w:r>
      <w:r>
        <w:t>les</w:t>
      </w:r>
      <w:r>
        <w:rPr>
          <w:spacing w:val="-16"/>
        </w:rPr>
        <w:t xml:space="preserve"> </w:t>
      </w:r>
      <w:r>
        <w:t>asiste.</w:t>
      </w:r>
      <w:r>
        <w:rPr>
          <w:spacing w:val="-12"/>
        </w:rPr>
        <w:t xml:space="preserve"> </w:t>
      </w:r>
      <w:r>
        <w:t>Con</w:t>
      </w:r>
      <w:r>
        <w:rPr>
          <w:spacing w:val="-16"/>
        </w:rPr>
        <w:t xml:space="preserve"> </w:t>
      </w:r>
      <w:r>
        <w:t>esto</w:t>
      </w:r>
      <w:r>
        <w:rPr>
          <w:spacing w:val="-15"/>
        </w:rPr>
        <w:t xml:space="preserve"> </w:t>
      </w:r>
      <w:r>
        <w:t>se</w:t>
      </w:r>
      <w:r>
        <w:rPr>
          <w:spacing w:val="-17"/>
        </w:rPr>
        <w:t xml:space="preserve"> </w:t>
      </w:r>
      <w:r>
        <w:t>logra</w:t>
      </w:r>
      <w:r>
        <w:rPr>
          <w:spacing w:val="-18"/>
        </w:rPr>
        <w:t xml:space="preserve"> </w:t>
      </w:r>
      <w:r>
        <w:t>que</w:t>
      </w:r>
      <w:r>
        <w:rPr>
          <w:spacing w:val="-17"/>
        </w:rPr>
        <w:t xml:space="preserve"> </w:t>
      </w:r>
      <w:r>
        <w:t>la</w:t>
      </w:r>
      <w:r>
        <w:rPr>
          <w:spacing w:val="-18"/>
        </w:rPr>
        <w:t xml:space="preserve"> </w:t>
      </w:r>
      <w:r>
        <w:t>ciudadanía</w:t>
      </w:r>
      <w:r>
        <w:rPr>
          <w:spacing w:val="-18"/>
        </w:rPr>
        <w:t xml:space="preserve"> </w:t>
      </w:r>
      <w:r>
        <w:t>pueda</w:t>
      </w:r>
      <w:r>
        <w:rPr>
          <w:spacing w:val="-18"/>
        </w:rPr>
        <w:t xml:space="preserve"> </w:t>
      </w:r>
      <w:r>
        <w:t>encontrar</w:t>
      </w:r>
      <w:r>
        <w:rPr>
          <w:spacing w:val="-15"/>
        </w:rPr>
        <w:t xml:space="preserve"> </w:t>
      </w:r>
      <w:r>
        <w:t>en</w:t>
      </w:r>
      <w:r>
        <w:rPr>
          <w:spacing w:val="-16"/>
        </w:rPr>
        <w:t xml:space="preserve"> </w:t>
      </w:r>
      <w:r>
        <w:t>un</w:t>
      </w:r>
      <w:r>
        <w:rPr>
          <w:spacing w:val="-16"/>
        </w:rPr>
        <w:t xml:space="preserve"> </w:t>
      </w:r>
      <w:r>
        <w:t>mismo sistema la gestión de la actividad contractual del Estado, garantizándose en mayor grado la transparencia y el acceso a la documentación pública.</w:t>
      </w:r>
    </w:p>
    <w:p w14:paraId="55A056B2" w14:textId="77777777" w:rsidR="00E85C97" w:rsidRDefault="00E85C97" w:rsidP="0060171C">
      <w:pPr>
        <w:pStyle w:val="Textoindependiente"/>
        <w:spacing w:after="120" w:line="276" w:lineRule="auto"/>
        <w:ind w:right="256" w:firstLine="709"/>
        <w:jc w:val="both"/>
      </w:pPr>
      <w:r>
        <w:t xml:space="preserve">En cuanto a los documentos que deben ser publicados en el SECOP II a efectos de dar cumplimiento al mandato consagrado en el artículo 53 de la Ley 2195 de 2022, es preciso advertir que la disposición hace referencia a los </w:t>
      </w:r>
      <w:r>
        <w:lastRenderedPageBreak/>
        <w:t>documentos</w:t>
      </w:r>
      <w:r>
        <w:rPr>
          <w:spacing w:val="-5"/>
        </w:rPr>
        <w:t xml:space="preserve"> </w:t>
      </w:r>
      <w:r>
        <w:t>relacionados</w:t>
      </w:r>
      <w:r>
        <w:rPr>
          <w:spacing w:val="-5"/>
        </w:rPr>
        <w:t xml:space="preserve"> </w:t>
      </w:r>
      <w:r>
        <w:t>con</w:t>
      </w:r>
      <w:r>
        <w:rPr>
          <w:spacing w:val="-9"/>
        </w:rPr>
        <w:t xml:space="preserve"> </w:t>
      </w:r>
      <w:r>
        <w:t xml:space="preserve">su </w:t>
      </w:r>
      <w:r>
        <w:rPr>
          <w:i/>
        </w:rPr>
        <w:t>actividad</w:t>
      </w:r>
      <w:r>
        <w:rPr>
          <w:i/>
          <w:spacing w:val="-6"/>
        </w:rPr>
        <w:t xml:space="preserve"> </w:t>
      </w:r>
      <w:r>
        <w:rPr>
          <w:i/>
        </w:rPr>
        <w:t xml:space="preserve">contractual, </w:t>
      </w:r>
      <w:r>
        <w:t>la</w:t>
      </w:r>
      <w:r>
        <w:rPr>
          <w:spacing w:val="-6"/>
        </w:rPr>
        <w:t xml:space="preserve"> </w:t>
      </w:r>
      <w:r>
        <w:t>cual</w:t>
      </w:r>
      <w:r>
        <w:rPr>
          <w:spacing w:val="-5"/>
        </w:rPr>
        <w:t xml:space="preserve"> </w:t>
      </w:r>
      <w:r>
        <w:t>define</w:t>
      </w:r>
      <w:r>
        <w:rPr>
          <w:spacing w:val="-5"/>
        </w:rPr>
        <w:t xml:space="preserve"> </w:t>
      </w:r>
      <w:r>
        <w:t>como</w:t>
      </w:r>
      <w:r>
        <w:rPr>
          <w:spacing w:val="-4"/>
        </w:rPr>
        <w:t xml:space="preserve"> </w:t>
      </w:r>
      <w:r>
        <w:t xml:space="preserve">“[…] los documentos, contratos, actos e información generada por oferentes, contratista, contratante, supervisor o interventor, tanto en la etapa precontractual, como en la contractual y la </w:t>
      </w:r>
      <w:proofErr w:type="spellStart"/>
      <w:r>
        <w:t>postcontractual</w:t>
      </w:r>
      <w:proofErr w:type="spellEnd"/>
      <w:r>
        <w:t>”. En ese sentido, el artículo 53 de la Ley 2195 de 2022 establece el deber de publicar toda aquella información</w:t>
      </w:r>
      <w:r>
        <w:rPr>
          <w:spacing w:val="-20"/>
        </w:rPr>
        <w:t xml:space="preserve"> </w:t>
      </w:r>
      <w:r>
        <w:t>relacionada</w:t>
      </w:r>
      <w:r>
        <w:rPr>
          <w:spacing w:val="-17"/>
        </w:rPr>
        <w:t xml:space="preserve"> </w:t>
      </w:r>
      <w:r>
        <w:t>con</w:t>
      </w:r>
      <w:r>
        <w:rPr>
          <w:spacing w:val="-19"/>
        </w:rPr>
        <w:t xml:space="preserve"> </w:t>
      </w:r>
      <w:r>
        <w:t>el</w:t>
      </w:r>
      <w:r>
        <w:rPr>
          <w:spacing w:val="-15"/>
        </w:rPr>
        <w:t xml:space="preserve"> </w:t>
      </w:r>
      <w:r>
        <w:t>respectivo</w:t>
      </w:r>
      <w:r>
        <w:rPr>
          <w:spacing w:val="-14"/>
        </w:rPr>
        <w:t xml:space="preserve"> </w:t>
      </w:r>
      <w:r>
        <w:t xml:space="preserve">contrato, </w:t>
      </w:r>
      <w:r>
        <w:rPr>
          <w:u w:val="single"/>
        </w:rPr>
        <w:t>sin</w:t>
      </w:r>
      <w:r>
        <w:rPr>
          <w:spacing w:val="-14"/>
          <w:u w:val="single"/>
        </w:rPr>
        <w:t xml:space="preserve"> </w:t>
      </w:r>
      <w:r>
        <w:rPr>
          <w:u w:val="single"/>
        </w:rPr>
        <w:t>incluir</w:t>
      </w:r>
      <w:r>
        <w:rPr>
          <w:spacing w:val="-14"/>
          <w:u w:val="single"/>
        </w:rPr>
        <w:t xml:space="preserve"> </w:t>
      </w:r>
      <w:r>
        <w:rPr>
          <w:u w:val="single"/>
        </w:rPr>
        <w:t>ninguna</w:t>
      </w:r>
      <w:r>
        <w:rPr>
          <w:spacing w:val="-20"/>
          <w:u w:val="single"/>
        </w:rPr>
        <w:t xml:space="preserve"> </w:t>
      </w:r>
      <w:r>
        <w:rPr>
          <w:u w:val="single"/>
        </w:rPr>
        <w:t>excepción</w:t>
      </w:r>
      <w:r>
        <w:t xml:space="preserve"> </w:t>
      </w:r>
      <w:r>
        <w:rPr>
          <w:u w:val="single"/>
        </w:rPr>
        <w:t>relacionada con la naturaleza u objeto contractual</w:t>
      </w:r>
      <w:r>
        <w:t>. Por lo tanto, para que las entidades exceptuadas cumplan con el deber de publicidad consagrado en el artículo 53 de la Ley 2195 de 2022, se requiere que publiquen en el SECOP II todo</w:t>
      </w:r>
      <w:r>
        <w:rPr>
          <w:spacing w:val="-20"/>
        </w:rPr>
        <w:t xml:space="preserve"> </w:t>
      </w:r>
      <w:r>
        <w:t>documento</w:t>
      </w:r>
      <w:r>
        <w:rPr>
          <w:spacing w:val="-19"/>
        </w:rPr>
        <w:t xml:space="preserve"> </w:t>
      </w:r>
      <w:r>
        <w:t>expedido</w:t>
      </w:r>
      <w:r>
        <w:rPr>
          <w:spacing w:val="-19"/>
        </w:rPr>
        <w:t xml:space="preserve"> </w:t>
      </w:r>
      <w:r>
        <w:t>durante</w:t>
      </w:r>
      <w:r>
        <w:rPr>
          <w:spacing w:val="-20"/>
        </w:rPr>
        <w:t xml:space="preserve"> </w:t>
      </w:r>
      <w:r>
        <w:t>las</w:t>
      </w:r>
      <w:r>
        <w:rPr>
          <w:spacing w:val="-19"/>
        </w:rPr>
        <w:t xml:space="preserve"> </w:t>
      </w:r>
      <w:r>
        <w:t>diferentes</w:t>
      </w:r>
      <w:r>
        <w:rPr>
          <w:spacing w:val="-20"/>
        </w:rPr>
        <w:t xml:space="preserve"> </w:t>
      </w:r>
      <w:r>
        <w:t>etapas</w:t>
      </w:r>
      <w:r>
        <w:rPr>
          <w:spacing w:val="-19"/>
        </w:rPr>
        <w:t xml:space="preserve"> </w:t>
      </w:r>
      <w:r>
        <w:t>del</w:t>
      </w:r>
      <w:r>
        <w:rPr>
          <w:spacing w:val="-19"/>
        </w:rPr>
        <w:t xml:space="preserve"> </w:t>
      </w:r>
      <w:r>
        <w:t>proceso</w:t>
      </w:r>
      <w:r>
        <w:rPr>
          <w:spacing w:val="-15"/>
        </w:rPr>
        <w:t xml:space="preserve"> </w:t>
      </w:r>
      <w:r>
        <w:t>contractual, lo que abarca tanto la fase previa a su celebración, como la ejecución y la fase posterior a su ejecución.</w:t>
      </w:r>
    </w:p>
    <w:p w14:paraId="032ABC1D" w14:textId="77777777" w:rsidR="00E85C97" w:rsidRDefault="00E85C97" w:rsidP="0060171C">
      <w:pPr>
        <w:pStyle w:val="Textoindependiente"/>
        <w:spacing w:after="120" w:line="276" w:lineRule="auto"/>
        <w:ind w:right="259" w:firstLine="709"/>
        <w:jc w:val="both"/>
      </w:pPr>
      <w:r>
        <w:t>Sin perjuicio de lo anterior, vale la pena aclarar que el cumplimiento del deber de publicar la documentación contractual debe armonizarse con las normas</w:t>
      </w:r>
      <w:r>
        <w:rPr>
          <w:spacing w:val="-7"/>
        </w:rPr>
        <w:t xml:space="preserve"> </w:t>
      </w:r>
      <w:r>
        <w:t>aplicables</w:t>
      </w:r>
      <w:r>
        <w:rPr>
          <w:spacing w:val="-7"/>
        </w:rPr>
        <w:t xml:space="preserve"> </w:t>
      </w:r>
      <w:r>
        <w:t>al</w:t>
      </w:r>
      <w:r>
        <w:rPr>
          <w:spacing w:val="-7"/>
        </w:rPr>
        <w:t xml:space="preserve"> </w:t>
      </w:r>
      <w:r>
        <w:t>tipo</w:t>
      </w:r>
      <w:r>
        <w:rPr>
          <w:spacing w:val="-6"/>
        </w:rPr>
        <w:t xml:space="preserve"> </w:t>
      </w:r>
      <w:r>
        <w:t>de</w:t>
      </w:r>
      <w:r>
        <w:rPr>
          <w:spacing w:val="-8"/>
        </w:rPr>
        <w:t xml:space="preserve"> </w:t>
      </w:r>
      <w:r>
        <w:t>información</w:t>
      </w:r>
      <w:r>
        <w:rPr>
          <w:spacing w:val="-11"/>
        </w:rPr>
        <w:t xml:space="preserve"> </w:t>
      </w:r>
      <w:r>
        <w:t>que</w:t>
      </w:r>
      <w:r>
        <w:rPr>
          <w:spacing w:val="-13"/>
        </w:rPr>
        <w:t xml:space="preserve"> </w:t>
      </w:r>
      <w:r>
        <w:t>estas</w:t>
      </w:r>
      <w:r>
        <w:rPr>
          <w:spacing w:val="-7"/>
        </w:rPr>
        <w:t xml:space="preserve"> </w:t>
      </w:r>
      <w:r>
        <w:t>contienen,</w:t>
      </w:r>
      <w:r>
        <w:rPr>
          <w:spacing w:val="-7"/>
        </w:rPr>
        <w:t xml:space="preserve"> </w:t>
      </w:r>
      <w:r>
        <w:t>para</w:t>
      </w:r>
      <w:r>
        <w:rPr>
          <w:spacing w:val="-9"/>
        </w:rPr>
        <w:t xml:space="preserve"> </w:t>
      </w:r>
      <w:r>
        <w:t>garantizar</w:t>
      </w:r>
      <w:r>
        <w:rPr>
          <w:spacing w:val="-6"/>
        </w:rPr>
        <w:t xml:space="preserve"> </w:t>
      </w:r>
      <w:r>
        <w:t>la reserva</w:t>
      </w:r>
      <w:r>
        <w:rPr>
          <w:spacing w:val="5"/>
        </w:rPr>
        <w:t xml:space="preserve"> </w:t>
      </w:r>
      <w:r>
        <w:t>de</w:t>
      </w:r>
      <w:r>
        <w:rPr>
          <w:spacing w:val="6"/>
        </w:rPr>
        <w:t xml:space="preserve"> </w:t>
      </w:r>
      <w:r>
        <w:t>algunos</w:t>
      </w:r>
      <w:r>
        <w:rPr>
          <w:spacing w:val="4"/>
        </w:rPr>
        <w:t xml:space="preserve"> </w:t>
      </w:r>
      <w:r>
        <w:t>documentos</w:t>
      </w:r>
      <w:r>
        <w:rPr>
          <w:spacing w:val="3"/>
        </w:rPr>
        <w:t xml:space="preserve"> </w:t>
      </w:r>
      <w:r>
        <w:t>o</w:t>
      </w:r>
      <w:r>
        <w:rPr>
          <w:spacing w:val="4"/>
        </w:rPr>
        <w:t xml:space="preserve"> </w:t>
      </w:r>
      <w:r>
        <w:t>de</w:t>
      </w:r>
      <w:r>
        <w:rPr>
          <w:spacing w:val="2"/>
        </w:rPr>
        <w:t xml:space="preserve"> </w:t>
      </w:r>
      <w:r>
        <w:t>una</w:t>
      </w:r>
      <w:r>
        <w:rPr>
          <w:spacing w:val="1"/>
        </w:rPr>
        <w:t xml:space="preserve"> </w:t>
      </w:r>
      <w:r>
        <w:t>parte</w:t>
      </w:r>
      <w:r>
        <w:rPr>
          <w:spacing w:val="6"/>
        </w:rPr>
        <w:t xml:space="preserve"> </w:t>
      </w:r>
      <w:r>
        <w:t>de</w:t>
      </w:r>
      <w:r>
        <w:rPr>
          <w:spacing w:val="6"/>
        </w:rPr>
        <w:t xml:space="preserve"> </w:t>
      </w:r>
      <w:r>
        <w:t>estos</w:t>
      </w:r>
      <w:r>
        <w:rPr>
          <w:rStyle w:val="Refdenotaalpie"/>
        </w:rPr>
        <w:footnoteReference w:id="5"/>
      </w:r>
      <w:r>
        <w:t>.</w:t>
      </w:r>
      <w:r>
        <w:rPr>
          <w:spacing w:val="8"/>
        </w:rPr>
        <w:t xml:space="preserve"> </w:t>
      </w:r>
      <w:r>
        <w:t>Lo</w:t>
      </w:r>
      <w:r>
        <w:rPr>
          <w:spacing w:val="5"/>
        </w:rPr>
        <w:t xml:space="preserve"> </w:t>
      </w:r>
      <w:r>
        <w:t>anterior</w:t>
      </w:r>
      <w:r>
        <w:rPr>
          <w:spacing w:val="4"/>
        </w:rPr>
        <w:t xml:space="preserve"> </w:t>
      </w:r>
      <w:r>
        <w:rPr>
          <w:spacing w:val="-2"/>
        </w:rPr>
        <w:t>significa</w:t>
      </w:r>
      <w:bookmarkStart w:id="8" w:name="_bookmark10"/>
      <w:bookmarkEnd w:id="8"/>
      <w:r>
        <w:t xml:space="preserve"> que, respecto de datos sensibles, información sometida a reserva o de la cual proceda</w:t>
      </w:r>
      <w:r>
        <w:rPr>
          <w:spacing w:val="-20"/>
        </w:rPr>
        <w:t xml:space="preserve"> </w:t>
      </w:r>
      <w:r>
        <w:t>un</w:t>
      </w:r>
      <w:r>
        <w:rPr>
          <w:spacing w:val="-19"/>
        </w:rPr>
        <w:t xml:space="preserve"> </w:t>
      </w:r>
      <w:r>
        <w:t>tratamiento</w:t>
      </w:r>
      <w:r>
        <w:rPr>
          <w:spacing w:val="-19"/>
        </w:rPr>
        <w:t xml:space="preserve"> </w:t>
      </w:r>
      <w:r>
        <w:t>especial</w:t>
      </w:r>
      <w:r>
        <w:rPr>
          <w:spacing w:val="-20"/>
        </w:rPr>
        <w:t xml:space="preserve"> </w:t>
      </w:r>
      <w:r>
        <w:t>que</w:t>
      </w:r>
      <w:r>
        <w:rPr>
          <w:spacing w:val="-19"/>
        </w:rPr>
        <w:t xml:space="preserve"> </w:t>
      </w:r>
      <w:r>
        <w:t>impida</w:t>
      </w:r>
      <w:r>
        <w:rPr>
          <w:spacing w:val="-20"/>
        </w:rPr>
        <w:t xml:space="preserve"> </w:t>
      </w:r>
      <w:r>
        <w:t>su</w:t>
      </w:r>
      <w:r>
        <w:rPr>
          <w:spacing w:val="-19"/>
        </w:rPr>
        <w:t xml:space="preserve"> </w:t>
      </w:r>
      <w:r>
        <w:t>publicidad,</w:t>
      </w:r>
      <w:r>
        <w:rPr>
          <w:spacing w:val="-19"/>
        </w:rPr>
        <w:t xml:space="preserve"> </w:t>
      </w:r>
      <w:r>
        <w:t>las</w:t>
      </w:r>
      <w:r>
        <w:rPr>
          <w:spacing w:val="-20"/>
        </w:rPr>
        <w:t xml:space="preserve"> </w:t>
      </w:r>
      <w:r>
        <w:t>entidades</w:t>
      </w:r>
      <w:r>
        <w:rPr>
          <w:spacing w:val="-19"/>
        </w:rPr>
        <w:t xml:space="preserve"> </w:t>
      </w:r>
      <w:r>
        <w:t>deberán proceder de conformidad con el tratamiento que impongan tales normas.</w:t>
      </w:r>
    </w:p>
    <w:p w14:paraId="197F6906" w14:textId="77777777" w:rsidR="00E85C97" w:rsidRDefault="00E85C97" w:rsidP="0060171C">
      <w:pPr>
        <w:pStyle w:val="Textoindependiente"/>
        <w:spacing w:after="120" w:line="276" w:lineRule="auto"/>
        <w:ind w:right="250" w:firstLine="709"/>
        <w:jc w:val="both"/>
        <w:rPr>
          <w:spacing w:val="-14"/>
        </w:rPr>
      </w:pPr>
      <w:r>
        <w:t>Así</w:t>
      </w:r>
      <w:r>
        <w:rPr>
          <w:spacing w:val="-20"/>
        </w:rPr>
        <w:t xml:space="preserve"> </w:t>
      </w:r>
      <w:r>
        <w:t>las</w:t>
      </w:r>
      <w:r>
        <w:rPr>
          <w:spacing w:val="-19"/>
        </w:rPr>
        <w:t xml:space="preserve"> </w:t>
      </w:r>
      <w:r>
        <w:t>cosas,</w:t>
      </w:r>
      <w:r>
        <w:rPr>
          <w:spacing w:val="-19"/>
        </w:rPr>
        <w:t xml:space="preserve"> </w:t>
      </w:r>
      <w:r>
        <w:t>dado</w:t>
      </w:r>
      <w:r>
        <w:rPr>
          <w:spacing w:val="-20"/>
        </w:rPr>
        <w:t xml:space="preserve"> </w:t>
      </w:r>
      <w:r>
        <w:t>que</w:t>
      </w:r>
      <w:r>
        <w:rPr>
          <w:spacing w:val="-19"/>
        </w:rPr>
        <w:t xml:space="preserve"> </w:t>
      </w:r>
      <w:r>
        <w:t>el</w:t>
      </w:r>
      <w:r>
        <w:rPr>
          <w:spacing w:val="-20"/>
        </w:rPr>
        <w:t xml:space="preserve"> </w:t>
      </w:r>
      <w:r>
        <w:t>artículo</w:t>
      </w:r>
      <w:r>
        <w:rPr>
          <w:spacing w:val="-19"/>
        </w:rPr>
        <w:t xml:space="preserve"> </w:t>
      </w:r>
      <w:r>
        <w:t>53</w:t>
      </w:r>
      <w:r>
        <w:rPr>
          <w:spacing w:val="-19"/>
        </w:rPr>
        <w:t xml:space="preserve"> </w:t>
      </w:r>
      <w:r>
        <w:t>de</w:t>
      </w:r>
      <w:r>
        <w:rPr>
          <w:spacing w:val="-20"/>
        </w:rPr>
        <w:t xml:space="preserve"> </w:t>
      </w:r>
      <w:r>
        <w:t>la</w:t>
      </w:r>
      <w:r>
        <w:rPr>
          <w:spacing w:val="-19"/>
        </w:rPr>
        <w:t xml:space="preserve"> </w:t>
      </w:r>
      <w:r>
        <w:t>Ley</w:t>
      </w:r>
      <w:r>
        <w:rPr>
          <w:spacing w:val="-19"/>
        </w:rPr>
        <w:t xml:space="preserve"> </w:t>
      </w:r>
      <w:r>
        <w:t>2195</w:t>
      </w:r>
      <w:r>
        <w:rPr>
          <w:spacing w:val="-20"/>
        </w:rPr>
        <w:t xml:space="preserve"> </w:t>
      </w:r>
      <w:r>
        <w:t>de</w:t>
      </w:r>
      <w:r>
        <w:rPr>
          <w:spacing w:val="-19"/>
        </w:rPr>
        <w:t xml:space="preserve"> </w:t>
      </w:r>
      <w:r>
        <w:t>2022</w:t>
      </w:r>
      <w:r>
        <w:rPr>
          <w:spacing w:val="-19"/>
        </w:rPr>
        <w:t xml:space="preserve"> </w:t>
      </w:r>
      <w:r>
        <w:t>complementó las</w:t>
      </w:r>
      <w:r>
        <w:rPr>
          <w:spacing w:val="-7"/>
        </w:rPr>
        <w:t xml:space="preserve"> </w:t>
      </w:r>
      <w:r>
        <w:t>disposiciones</w:t>
      </w:r>
      <w:r>
        <w:rPr>
          <w:spacing w:val="-7"/>
        </w:rPr>
        <w:t xml:space="preserve"> </w:t>
      </w:r>
      <w:r>
        <w:t>ya</w:t>
      </w:r>
      <w:r>
        <w:rPr>
          <w:spacing w:val="-10"/>
        </w:rPr>
        <w:t xml:space="preserve"> </w:t>
      </w:r>
      <w:r>
        <w:t>establecidas</w:t>
      </w:r>
      <w:r>
        <w:rPr>
          <w:spacing w:val="-7"/>
        </w:rPr>
        <w:t xml:space="preserve"> </w:t>
      </w:r>
      <w:r>
        <w:t>en</w:t>
      </w:r>
      <w:r>
        <w:rPr>
          <w:spacing w:val="-7"/>
        </w:rPr>
        <w:t xml:space="preserve"> </w:t>
      </w:r>
      <w:r>
        <w:t>la</w:t>
      </w:r>
      <w:r>
        <w:rPr>
          <w:spacing w:val="-9"/>
        </w:rPr>
        <w:t xml:space="preserve"> </w:t>
      </w:r>
      <w:r>
        <w:t>Ley</w:t>
      </w:r>
      <w:r>
        <w:rPr>
          <w:spacing w:val="-7"/>
        </w:rPr>
        <w:t xml:space="preserve"> </w:t>
      </w:r>
      <w:r>
        <w:t>1150</w:t>
      </w:r>
      <w:r>
        <w:rPr>
          <w:spacing w:val="-7"/>
        </w:rPr>
        <w:t xml:space="preserve"> </w:t>
      </w:r>
      <w:r>
        <w:t>de</w:t>
      </w:r>
      <w:r>
        <w:rPr>
          <w:spacing w:val="-8"/>
        </w:rPr>
        <w:t xml:space="preserve"> </w:t>
      </w:r>
      <w:r>
        <w:t>2007,</w:t>
      </w:r>
      <w:r>
        <w:rPr>
          <w:spacing w:val="-7"/>
        </w:rPr>
        <w:t xml:space="preserve"> </w:t>
      </w:r>
      <w:r>
        <w:t>la</w:t>
      </w:r>
      <w:r>
        <w:rPr>
          <w:spacing w:val="-9"/>
        </w:rPr>
        <w:t xml:space="preserve"> </w:t>
      </w:r>
      <w:r>
        <w:lastRenderedPageBreak/>
        <w:t>lectura</w:t>
      </w:r>
      <w:r>
        <w:rPr>
          <w:spacing w:val="-9"/>
        </w:rPr>
        <w:t xml:space="preserve"> </w:t>
      </w:r>
      <w:r>
        <w:t>que</w:t>
      </w:r>
      <w:r>
        <w:rPr>
          <w:spacing w:val="-12"/>
        </w:rPr>
        <w:t xml:space="preserve"> </w:t>
      </w:r>
      <w:r>
        <w:t>se</w:t>
      </w:r>
      <w:r>
        <w:rPr>
          <w:spacing w:val="-8"/>
        </w:rPr>
        <w:t xml:space="preserve"> </w:t>
      </w:r>
      <w:r>
        <w:t>haga de dicho artículo debe efectuarse de forma sistemática.</w:t>
      </w:r>
      <w:r>
        <w:rPr>
          <w:spacing w:val="40"/>
        </w:rPr>
        <w:t xml:space="preserve"> </w:t>
      </w:r>
      <w:r>
        <w:t>En este sentido, debe señalarse</w:t>
      </w:r>
      <w:r>
        <w:rPr>
          <w:spacing w:val="-4"/>
        </w:rPr>
        <w:t xml:space="preserve"> </w:t>
      </w:r>
      <w:r>
        <w:t xml:space="preserve">que </w:t>
      </w:r>
      <w:r>
        <w:rPr>
          <w:i/>
        </w:rPr>
        <w:t>contratación</w:t>
      </w:r>
      <w:r>
        <w:rPr>
          <w:i/>
          <w:spacing w:val="-3"/>
        </w:rPr>
        <w:t xml:space="preserve"> </w:t>
      </w:r>
      <w:r>
        <w:rPr>
          <w:i/>
        </w:rPr>
        <w:t>con</w:t>
      </w:r>
      <w:r>
        <w:rPr>
          <w:i/>
          <w:spacing w:val="-3"/>
        </w:rPr>
        <w:t xml:space="preserve"> </w:t>
      </w:r>
      <w:r>
        <w:rPr>
          <w:i/>
        </w:rPr>
        <w:t>cargo</w:t>
      </w:r>
      <w:r>
        <w:rPr>
          <w:i/>
          <w:spacing w:val="-2"/>
        </w:rPr>
        <w:t xml:space="preserve"> </w:t>
      </w:r>
      <w:r>
        <w:rPr>
          <w:i/>
        </w:rPr>
        <w:t>a</w:t>
      </w:r>
      <w:r>
        <w:rPr>
          <w:i/>
          <w:spacing w:val="-6"/>
        </w:rPr>
        <w:t xml:space="preserve"> </w:t>
      </w:r>
      <w:r>
        <w:rPr>
          <w:i/>
        </w:rPr>
        <w:t>recursos</w:t>
      </w:r>
      <w:r>
        <w:rPr>
          <w:i/>
          <w:spacing w:val="-3"/>
        </w:rPr>
        <w:t xml:space="preserve"> </w:t>
      </w:r>
      <w:r>
        <w:rPr>
          <w:i/>
        </w:rPr>
        <w:t xml:space="preserve">públicos </w:t>
      </w:r>
      <w:r>
        <w:t>es</w:t>
      </w:r>
      <w:r>
        <w:rPr>
          <w:spacing w:val="-3"/>
        </w:rPr>
        <w:t xml:space="preserve"> </w:t>
      </w:r>
      <w:r>
        <w:t>un</w:t>
      </w:r>
      <w:r>
        <w:rPr>
          <w:spacing w:val="-8"/>
        </w:rPr>
        <w:t xml:space="preserve"> </w:t>
      </w:r>
      <w:r>
        <w:t>concepto</w:t>
      </w:r>
      <w:r>
        <w:rPr>
          <w:spacing w:val="-2"/>
        </w:rPr>
        <w:t xml:space="preserve"> </w:t>
      </w:r>
      <w:r>
        <w:t>al</w:t>
      </w:r>
      <w:r>
        <w:rPr>
          <w:spacing w:val="-3"/>
        </w:rPr>
        <w:t xml:space="preserve"> </w:t>
      </w:r>
      <w:r>
        <w:t>que alude expresamente la Ley 1150 de 2007, incluso desde el mismo título, pues este indica que dicha Ley es “Por medio de la cual se introducen medidas para la eficiencia y la transparencia en la Ley 80 de 1993 y se dictan otras disposiciones</w:t>
      </w:r>
      <w:r>
        <w:rPr>
          <w:spacing w:val="-14"/>
        </w:rPr>
        <w:t xml:space="preserve"> </w:t>
      </w:r>
      <w:r>
        <w:t>generales</w:t>
      </w:r>
      <w:r>
        <w:rPr>
          <w:spacing w:val="-14"/>
        </w:rPr>
        <w:t xml:space="preserve"> </w:t>
      </w:r>
      <w:r>
        <w:t>sobre</w:t>
      </w:r>
      <w:r>
        <w:rPr>
          <w:spacing w:val="-15"/>
        </w:rPr>
        <w:t xml:space="preserve"> </w:t>
      </w:r>
      <w:r>
        <w:t>la</w:t>
      </w:r>
      <w:r>
        <w:rPr>
          <w:spacing w:val="-16"/>
        </w:rPr>
        <w:t xml:space="preserve"> </w:t>
      </w:r>
      <w:r>
        <w:t>contratación</w:t>
      </w:r>
      <w:r>
        <w:rPr>
          <w:spacing w:val="-14"/>
        </w:rPr>
        <w:t xml:space="preserve"> </w:t>
      </w:r>
      <w:r>
        <w:t xml:space="preserve">con </w:t>
      </w:r>
      <w:r>
        <w:rPr>
          <w:i/>
        </w:rPr>
        <w:t>Recursos</w:t>
      </w:r>
      <w:r>
        <w:rPr>
          <w:i/>
          <w:spacing w:val="-18"/>
        </w:rPr>
        <w:t xml:space="preserve"> </w:t>
      </w:r>
      <w:r>
        <w:rPr>
          <w:i/>
        </w:rPr>
        <w:t>Públicos</w:t>
      </w:r>
      <w:r>
        <w:t>”.</w:t>
      </w:r>
      <w:r>
        <w:rPr>
          <w:spacing w:val="-14"/>
        </w:rPr>
        <w:t xml:space="preserve"> </w:t>
      </w:r>
    </w:p>
    <w:p w14:paraId="47ECBF68" w14:textId="77777777" w:rsidR="00E85C97" w:rsidRDefault="00E85C97" w:rsidP="0060171C">
      <w:pPr>
        <w:pStyle w:val="Textoindependiente"/>
        <w:spacing w:after="120" w:line="276" w:lineRule="auto"/>
        <w:ind w:right="250" w:firstLine="709"/>
        <w:jc w:val="both"/>
      </w:pPr>
      <w:r>
        <w:t xml:space="preserve">Asimismo, la terminología </w:t>
      </w:r>
      <w:r>
        <w:rPr>
          <w:i/>
        </w:rPr>
        <w:t xml:space="preserve">contratación con cargo recursos públicos </w:t>
      </w:r>
      <w:r>
        <w:t>se encuentra en el artículo</w:t>
      </w:r>
      <w:r>
        <w:rPr>
          <w:spacing w:val="-20"/>
        </w:rPr>
        <w:t xml:space="preserve"> </w:t>
      </w:r>
      <w:r>
        <w:t>primero,</w:t>
      </w:r>
      <w:r>
        <w:rPr>
          <w:spacing w:val="-19"/>
        </w:rPr>
        <w:t xml:space="preserve"> </w:t>
      </w:r>
      <w:r>
        <w:t>al</w:t>
      </w:r>
      <w:r>
        <w:rPr>
          <w:spacing w:val="-7"/>
        </w:rPr>
        <w:t xml:space="preserve"> </w:t>
      </w:r>
      <w:r>
        <w:t>definir</w:t>
      </w:r>
      <w:r>
        <w:rPr>
          <w:spacing w:val="-3"/>
        </w:rPr>
        <w:t xml:space="preserve"> </w:t>
      </w:r>
      <w:r>
        <w:t>el</w:t>
      </w:r>
      <w:r>
        <w:rPr>
          <w:spacing w:val="-3"/>
        </w:rPr>
        <w:t xml:space="preserve"> </w:t>
      </w:r>
      <w:r>
        <w:t>ámbito</w:t>
      </w:r>
      <w:r>
        <w:rPr>
          <w:spacing w:val="-3"/>
        </w:rPr>
        <w:t xml:space="preserve"> </w:t>
      </w:r>
      <w:r>
        <w:t>de</w:t>
      </w:r>
      <w:r>
        <w:rPr>
          <w:spacing w:val="-4"/>
        </w:rPr>
        <w:t xml:space="preserve"> </w:t>
      </w:r>
      <w:r>
        <w:t>aplicación</w:t>
      </w:r>
      <w:r>
        <w:rPr>
          <w:spacing w:val="-3"/>
        </w:rPr>
        <w:t xml:space="preserve"> </w:t>
      </w:r>
      <w:r>
        <w:t>de</w:t>
      </w:r>
      <w:r>
        <w:rPr>
          <w:spacing w:val="-4"/>
        </w:rPr>
        <w:t xml:space="preserve"> </w:t>
      </w:r>
      <w:r>
        <w:t>sus</w:t>
      </w:r>
      <w:r>
        <w:rPr>
          <w:spacing w:val="-3"/>
        </w:rPr>
        <w:t xml:space="preserve"> </w:t>
      </w:r>
      <w:r>
        <w:t>disposiciones</w:t>
      </w:r>
      <w:r>
        <w:rPr>
          <w:rStyle w:val="Refdenotaalpie"/>
        </w:rPr>
        <w:footnoteReference w:id="6"/>
      </w:r>
      <w:r>
        <w:rPr>
          <w:spacing w:val="-2"/>
        </w:rPr>
        <w:t xml:space="preserve"> </w:t>
      </w:r>
      <w:r>
        <w:t>y</w:t>
      </w:r>
      <w:r>
        <w:rPr>
          <w:spacing w:val="-4"/>
        </w:rPr>
        <w:t xml:space="preserve"> </w:t>
      </w:r>
      <w:r>
        <w:t>en</w:t>
      </w:r>
      <w:r>
        <w:rPr>
          <w:spacing w:val="-3"/>
        </w:rPr>
        <w:t xml:space="preserve"> </w:t>
      </w:r>
      <w:r>
        <w:t>el literal c) del artículo 3 –del que surge el deber de publicar en el SECOP–, que expresamente establece que ese aparte del artículo se aplica a la “</w:t>
      </w:r>
      <w:r>
        <w:rPr>
          <w:i/>
        </w:rPr>
        <w:t>contratación realizada con dineros públicos</w:t>
      </w:r>
      <w:r>
        <w:t>”. Esta interpretación concuerda con el ámbito al que se encuentran destinadas las disposiciones del Título II de dicha norma, titulado</w:t>
      </w:r>
      <w:r>
        <w:rPr>
          <w:spacing w:val="40"/>
        </w:rPr>
        <w:t xml:space="preserve"> </w:t>
      </w:r>
      <w:r>
        <w:t>“DISPOSICIONES</w:t>
      </w:r>
      <w:r>
        <w:rPr>
          <w:spacing w:val="40"/>
        </w:rPr>
        <w:t xml:space="preserve"> </w:t>
      </w:r>
      <w:r>
        <w:t>GENERALES</w:t>
      </w:r>
      <w:r>
        <w:rPr>
          <w:spacing w:val="40"/>
        </w:rPr>
        <w:t xml:space="preserve"> </w:t>
      </w:r>
      <w:r>
        <w:t>PARA</w:t>
      </w:r>
      <w:r>
        <w:rPr>
          <w:spacing w:val="40"/>
        </w:rPr>
        <w:t xml:space="preserve"> </w:t>
      </w:r>
      <w:r>
        <w:t>LA</w:t>
      </w:r>
      <w:r>
        <w:rPr>
          <w:spacing w:val="40"/>
        </w:rPr>
        <w:t xml:space="preserve"> </w:t>
      </w:r>
      <w:r>
        <w:t>CONTRATACION</w:t>
      </w:r>
      <w:r>
        <w:rPr>
          <w:spacing w:val="40"/>
        </w:rPr>
        <w:t xml:space="preserve"> </w:t>
      </w:r>
      <w:r>
        <w:t>CON RECURSOS</w:t>
      </w:r>
      <w:r>
        <w:rPr>
          <w:spacing w:val="-13"/>
        </w:rPr>
        <w:t xml:space="preserve"> </w:t>
      </w:r>
      <w:r>
        <w:t>PUBLICOS”,</w:t>
      </w:r>
      <w:r>
        <w:rPr>
          <w:spacing w:val="-8"/>
        </w:rPr>
        <w:t xml:space="preserve"> </w:t>
      </w:r>
      <w:r>
        <w:t>en</w:t>
      </w:r>
      <w:r>
        <w:rPr>
          <w:spacing w:val="-8"/>
        </w:rPr>
        <w:t xml:space="preserve"> </w:t>
      </w:r>
      <w:r>
        <w:t>el</w:t>
      </w:r>
      <w:r>
        <w:rPr>
          <w:spacing w:val="-13"/>
        </w:rPr>
        <w:t xml:space="preserve"> </w:t>
      </w:r>
      <w:r>
        <w:t>cual</w:t>
      </w:r>
      <w:r>
        <w:rPr>
          <w:spacing w:val="-8"/>
        </w:rPr>
        <w:t xml:space="preserve"> </w:t>
      </w:r>
      <w:r>
        <w:t>se</w:t>
      </w:r>
      <w:r>
        <w:rPr>
          <w:spacing w:val="-13"/>
        </w:rPr>
        <w:t xml:space="preserve"> </w:t>
      </w:r>
      <w:r>
        <w:t>ubica</w:t>
      </w:r>
      <w:r>
        <w:rPr>
          <w:spacing w:val="-10"/>
        </w:rPr>
        <w:t xml:space="preserve"> </w:t>
      </w:r>
      <w:r>
        <w:t>el</w:t>
      </w:r>
      <w:r>
        <w:rPr>
          <w:spacing w:val="-13"/>
        </w:rPr>
        <w:t xml:space="preserve"> </w:t>
      </w:r>
      <w:r>
        <w:t>artículo</w:t>
      </w:r>
      <w:r>
        <w:rPr>
          <w:spacing w:val="-7"/>
        </w:rPr>
        <w:t xml:space="preserve"> </w:t>
      </w:r>
      <w:r>
        <w:t>13</w:t>
      </w:r>
      <w:r>
        <w:rPr>
          <w:spacing w:val="-8"/>
        </w:rPr>
        <w:t xml:space="preserve"> </w:t>
      </w:r>
      <w:r>
        <w:t>que</w:t>
      </w:r>
      <w:r>
        <w:rPr>
          <w:spacing w:val="-13"/>
        </w:rPr>
        <w:t xml:space="preserve"> </w:t>
      </w:r>
      <w:r>
        <w:t>fue</w:t>
      </w:r>
      <w:r>
        <w:rPr>
          <w:spacing w:val="-9"/>
        </w:rPr>
        <w:t xml:space="preserve"> </w:t>
      </w:r>
      <w:r>
        <w:t>modificado por el artículo 53 de la Ley 2195 de 2022.</w:t>
      </w:r>
    </w:p>
    <w:p w14:paraId="3BFB3BDA" w14:textId="77777777" w:rsidR="009369CF" w:rsidRDefault="009369CF" w:rsidP="0060171C">
      <w:pPr>
        <w:pStyle w:val="Textoindependiente"/>
        <w:spacing w:after="120" w:line="276" w:lineRule="auto"/>
        <w:ind w:right="250" w:firstLine="709"/>
        <w:jc w:val="both"/>
      </w:pPr>
    </w:p>
    <w:p w14:paraId="6077DA69" w14:textId="77777777" w:rsidR="00E85C97" w:rsidRDefault="00E85C97" w:rsidP="006D03D1">
      <w:pPr>
        <w:pStyle w:val="Textoindependiente"/>
        <w:spacing w:before="115" w:line="276" w:lineRule="auto"/>
        <w:ind w:right="265" w:firstLine="709"/>
        <w:jc w:val="both"/>
      </w:pPr>
      <w:r>
        <w:t>Por</w:t>
      </w:r>
      <w:r>
        <w:rPr>
          <w:spacing w:val="-12"/>
        </w:rPr>
        <w:t xml:space="preserve"> </w:t>
      </w:r>
      <w:r>
        <w:t>otro</w:t>
      </w:r>
      <w:r>
        <w:rPr>
          <w:spacing w:val="-12"/>
        </w:rPr>
        <w:t xml:space="preserve"> </w:t>
      </w:r>
      <w:r>
        <w:t>lado,</w:t>
      </w:r>
      <w:r>
        <w:rPr>
          <w:spacing w:val="-9"/>
        </w:rPr>
        <w:t xml:space="preserve"> </w:t>
      </w:r>
      <w:r>
        <w:t>el</w:t>
      </w:r>
      <w:r>
        <w:rPr>
          <w:spacing w:val="-8"/>
        </w:rPr>
        <w:t xml:space="preserve"> </w:t>
      </w:r>
      <w:r>
        <w:t>Decreto</w:t>
      </w:r>
      <w:r>
        <w:rPr>
          <w:spacing w:val="-12"/>
        </w:rPr>
        <w:t xml:space="preserve"> </w:t>
      </w:r>
      <w:r>
        <w:t>103 de 2015,</w:t>
      </w:r>
      <w:r>
        <w:rPr>
          <w:spacing w:val="-13"/>
        </w:rPr>
        <w:t xml:space="preserve"> </w:t>
      </w:r>
      <w:r>
        <w:t>mediante</w:t>
      </w:r>
      <w:r>
        <w:rPr>
          <w:spacing w:val="-9"/>
        </w:rPr>
        <w:t xml:space="preserve"> </w:t>
      </w:r>
      <w:r>
        <w:t>el</w:t>
      </w:r>
      <w:r>
        <w:rPr>
          <w:spacing w:val="-8"/>
        </w:rPr>
        <w:t xml:space="preserve"> </w:t>
      </w:r>
      <w:r>
        <w:t>cual</w:t>
      </w:r>
      <w:r>
        <w:rPr>
          <w:spacing w:val="-8"/>
        </w:rPr>
        <w:t xml:space="preserve"> </w:t>
      </w:r>
      <w:r>
        <w:t>se</w:t>
      </w:r>
      <w:r>
        <w:rPr>
          <w:spacing w:val="-14"/>
        </w:rPr>
        <w:t xml:space="preserve"> </w:t>
      </w:r>
      <w:r>
        <w:t>reglamentó</w:t>
      </w:r>
      <w:r>
        <w:rPr>
          <w:spacing w:val="-8"/>
        </w:rPr>
        <w:t xml:space="preserve"> </w:t>
      </w:r>
      <w:r>
        <w:t>la</w:t>
      </w:r>
      <w:r>
        <w:rPr>
          <w:spacing w:val="-15"/>
        </w:rPr>
        <w:t xml:space="preserve"> </w:t>
      </w:r>
      <w:r>
        <w:t>Ley</w:t>
      </w:r>
      <w:r>
        <w:rPr>
          <w:spacing w:val="-8"/>
        </w:rPr>
        <w:t xml:space="preserve"> </w:t>
      </w:r>
      <w:r>
        <w:t>1712 de</w:t>
      </w:r>
      <w:r>
        <w:rPr>
          <w:spacing w:val="-20"/>
        </w:rPr>
        <w:t xml:space="preserve"> </w:t>
      </w:r>
      <w:r>
        <w:t>2014,</w:t>
      </w:r>
      <w:r>
        <w:rPr>
          <w:spacing w:val="-18"/>
        </w:rPr>
        <w:t xml:space="preserve"> </w:t>
      </w:r>
      <w:r>
        <w:t>y</w:t>
      </w:r>
      <w:r>
        <w:rPr>
          <w:spacing w:val="-18"/>
        </w:rPr>
        <w:t xml:space="preserve"> </w:t>
      </w:r>
      <w:r>
        <w:t>que</w:t>
      </w:r>
      <w:r>
        <w:rPr>
          <w:spacing w:val="-18"/>
        </w:rPr>
        <w:t xml:space="preserve"> </w:t>
      </w:r>
      <w:r>
        <w:t>fue</w:t>
      </w:r>
      <w:r>
        <w:rPr>
          <w:spacing w:val="-18"/>
        </w:rPr>
        <w:t xml:space="preserve"> </w:t>
      </w:r>
      <w:r>
        <w:t>compilado</w:t>
      </w:r>
      <w:r>
        <w:rPr>
          <w:spacing w:val="-8"/>
        </w:rPr>
        <w:t xml:space="preserve"> </w:t>
      </w:r>
      <w:r>
        <w:t>en</w:t>
      </w:r>
      <w:r>
        <w:rPr>
          <w:spacing w:val="-18"/>
        </w:rPr>
        <w:t xml:space="preserve"> </w:t>
      </w:r>
      <w:r>
        <w:t>los</w:t>
      </w:r>
      <w:r>
        <w:rPr>
          <w:spacing w:val="-18"/>
        </w:rPr>
        <w:t xml:space="preserve"> </w:t>
      </w:r>
      <w:r>
        <w:t>artículos</w:t>
      </w:r>
      <w:r>
        <w:rPr>
          <w:spacing w:val="-20"/>
        </w:rPr>
        <w:t xml:space="preserve"> </w:t>
      </w:r>
      <w:r>
        <w:t>2.1.1.1.1.</w:t>
      </w:r>
      <w:r>
        <w:rPr>
          <w:spacing w:val="-17"/>
        </w:rPr>
        <w:t xml:space="preserve"> </w:t>
      </w:r>
      <w:r>
        <w:t>al</w:t>
      </w:r>
      <w:r>
        <w:rPr>
          <w:spacing w:val="-18"/>
        </w:rPr>
        <w:t xml:space="preserve"> </w:t>
      </w:r>
      <w:r>
        <w:t>2.1.1.6.1.</w:t>
      </w:r>
      <w:r>
        <w:rPr>
          <w:spacing w:val="-18"/>
        </w:rPr>
        <w:t xml:space="preserve"> </w:t>
      </w:r>
      <w:r>
        <w:t>del</w:t>
      </w:r>
      <w:r>
        <w:rPr>
          <w:spacing w:val="-18"/>
        </w:rPr>
        <w:t xml:space="preserve"> </w:t>
      </w:r>
      <w:r>
        <w:t>Decreto 1081 de 2015–,</w:t>
      </w:r>
      <w:r>
        <w:rPr>
          <w:spacing w:val="40"/>
        </w:rPr>
        <w:t xml:space="preserve"> </w:t>
      </w:r>
      <w:r>
        <w:t>señala:</w:t>
      </w:r>
      <w:bookmarkStart w:id="9" w:name="_bookmark11"/>
      <w:bookmarkEnd w:id="9"/>
    </w:p>
    <w:p w14:paraId="6732D69C" w14:textId="77777777" w:rsidR="006D03D1" w:rsidRDefault="006D03D1" w:rsidP="0060171C">
      <w:pPr>
        <w:pStyle w:val="Textoindependiente"/>
        <w:spacing w:before="115" w:line="276" w:lineRule="auto"/>
        <w:ind w:right="265" w:firstLine="709"/>
        <w:jc w:val="both"/>
      </w:pPr>
    </w:p>
    <w:p w14:paraId="7102E1FB" w14:textId="77777777" w:rsidR="00E85C97" w:rsidRDefault="00E85C97" w:rsidP="001D1CFD">
      <w:pPr>
        <w:pStyle w:val="Textoindependiente"/>
        <w:ind w:left="709" w:right="709"/>
        <w:jc w:val="both"/>
        <w:rPr>
          <w:sz w:val="20"/>
          <w:szCs w:val="20"/>
        </w:rPr>
      </w:pPr>
      <w:r w:rsidRPr="00034A60">
        <w:rPr>
          <w:sz w:val="20"/>
          <w:szCs w:val="20"/>
        </w:rPr>
        <w:t xml:space="preserve">“Artículo 7°. Publicación de la información contractual. De conformidad con el literal (c) del artículo 3° de la Ley 1150 de 2007, el sistema de información del Estado en el cual los </w:t>
      </w:r>
      <w:r w:rsidRPr="007A06AD">
        <w:rPr>
          <w:i/>
          <w:iCs/>
          <w:sz w:val="20"/>
          <w:szCs w:val="20"/>
        </w:rPr>
        <w:t>sujetos obligados que contratan con cargo a recursos públicos deben cumplir la obligación de publicar la información de su gestión contractual es el Sistema Electrónico para la Contratación Pública</w:t>
      </w:r>
      <w:r w:rsidRPr="00034A60">
        <w:rPr>
          <w:sz w:val="20"/>
          <w:szCs w:val="20"/>
        </w:rPr>
        <w:t xml:space="preserve"> (</w:t>
      </w:r>
      <w:proofErr w:type="spellStart"/>
      <w:r w:rsidRPr="00034A60">
        <w:rPr>
          <w:sz w:val="20"/>
          <w:szCs w:val="20"/>
        </w:rPr>
        <w:t>Secop</w:t>
      </w:r>
      <w:proofErr w:type="spellEnd"/>
      <w:r w:rsidRPr="00034A60">
        <w:rPr>
          <w:sz w:val="20"/>
          <w:szCs w:val="20"/>
        </w:rPr>
        <w:t>).</w:t>
      </w:r>
    </w:p>
    <w:p w14:paraId="190C02B4" w14:textId="77777777" w:rsidR="00EF1409" w:rsidRPr="00034A60" w:rsidRDefault="00EF1409" w:rsidP="0060171C">
      <w:pPr>
        <w:pStyle w:val="Textoindependiente"/>
        <w:ind w:left="709" w:right="709"/>
        <w:jc w:val="both"/>
        <w:rPr>
          <w:sz w:val="20"/>
          <w:szCs w:val="20"/>
        </w:rPr>
      </w:pPr>
    </w:p>
    <w:p w14:paraId="16A45358" w14:textId="77777777" w:rsidR="00E85C97" w:rsidRDefault="00E85C97" w:rsidP="001D1CFD">
      <w:pPr>
        <w:pStyle w:val="Textoindependiente"/>
        <w:ind w:left="709" w:right="709"/>
        <w:jc w:val="both"/>
        <w:rPr>
          <w:sz w:val="20"/>
          <w:szCs w:val="20"/>
        </w:rPr>
      </w:pPr>
      <w:r w:rsidRPr="00034A60">
        <w:rPr>
          <w:sz w:val="20"/>
          <w:szCs w:val="20"/>
        </w:rPr>
        <w:t>Los sujetos obligados que contratan con cargo a recursos públicos deben publicar la información de su gestión contractual en el plazo previsto en el artículo 19 del Decreto 1510 de 2013, o el que lo modifique, sustituya o adicione.</w:t>
      </w:r>
    </w:p>
    <w:p w14:paraId="0331E141" w14:textId="77777777" w:rsidR="00EF1409" w:rsidRPr="00034A60" w:rsidRDefault="00EF1409" w:rsidP="0060171C">
      <w:pPr>
        <w:pStyle w:val="Textoindependiente"/>
        <w:ind w:left="709" w:right="709"/>
        <w:jc w:val="both"/>
        <w:rPr>
          <w:sz w:val="20"/>
          <w:szCs w:val="20"/>
        </w:rPr>
      </w:pPr>
    </w:p>
    <w:p w14:paraId="391E25DE" w14:textId="77777777" w:rsidR="00E85C97" w:rsidRDefault="00E85C97" w:rsidP="001D1CFD">
      <w:pPr>
        <w:pStyle w:val="Textoindependiente"/>
        <w:ind w:left="709" w:right="709"/>
        <w:jc w:val="both"/>
        <w:rPr>
          <w:sz w:val="20"/>
          <w:szCs w:val="20"/>
        </w:rPr>
      </w:pPr>
      <w:r w:rsidRPr="00DF57CD">
        <w:rPr>
          <w:i/>
          <w:iCs/>
          <w:sz w:val="20"/>
          <w:szCs w:val="20"/>
        </w:rPr>
        <w:t xml:space="preserve">Los sujetos obligados que contratan con recursos públicos y recursos </w:t>
      </w:r>
      <w:proofErr w:type="gramStart"/>
      <w:r w:rsidRPr="00DF57CD">
        <w:rPr>
          <w:i/>
          <w:iCs/>
          <w:sz w:val="20"/>
          <w:szCs w:val="20"/>
        </w:rPr>
        <w:lastRenderedPageBreak/>
        <w:t>privados,</w:t>
      </w:r>
      <w:proofErr w:type="gramEnd"/>
      <w:r w:rsidRPr="00DF57CD">
        <w:rPr>
          <w:i/>
          <w:iCs/>
          <w:sz w:val="20"/>
          <w:szCs w:val="20"/>
        </w:rPr>
        <w:t xml:space="preserve"> deben publicar la información de su gestión contractual con cargo a recursos públicos en el Sistema Electrónico para la Contratación Pública</w:t>
      </w:r>
      <w:r w:rsidRPr="00034A60">
        <w:rPr>
          <w:sz w:val="20"/>
          <w:szCs w:val="20"/>
        </w:rPr>
        <w:t xml:space="preserve"> (</w:t>
      </w:r>
      <w:proofErr w:type="spellStart"/>
      <w:r w:rsidRPr="00034A60">
        <w:rPr>
          <w:sz w:val="20"/>
          <w:szCs w:val="20"/>
        </w:rPr>
        <w:t>Secop</w:t>
      </w:r>
      <w:proofErr w:type="spellEnd"/>
      <w:r w:rsidRPr="00034A60">
        <w:rPr>
          <w:sz w:val="20"/>
          <w:szCs w:val="20"/>
        </w:rPr>
        <w:t>). (Cursivas fuera del texto original).”</w:t>
      </w:r>
    </w:p>
    <w:p w14:paraId="318F57F9" w14:textId="77777777" w:rsidR="00B57FE5" w:rsidRPr="00034A60" w:rsidRDefault="00B57FE5" w:rsidP="0060171C">
      <w:pPr>
        <w:pStyle w:val="Textoindependiente"/>
        <w:spacing w:line="276" w:lineRule="auto"/>
        <w:ind w:left="709" w:right="709"/>
        <w:jc w:val="both"/>
        <w:rPr>
          <w:sz w:val="20"/>
          <w:szCs w:val="20"/>
        </w:rPr>
      </w:pPr>
    </w:p>
    <w:p w14:paraId="549F99C0" w14:textId="77777777" w:rsidR="00E85C97" w:rsidRDefault="00E85C97" w:rsidP="0060171C">
      <w:pPr>
        <w:pStyle w:val="Textoindependiente"/>
        <w:spacing w:after="120" w:line="276" w:lineRule="auto"/>
        <w:ind w:right="49" w:firstLine="709"/>
        <w:jc w:val="both"/>
      </w:pPr>
      <w:r>
        <w:t>De las normas antes citadas es posible establecer que 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w:t>
      </w:r>
      <w:r>
        <w:rPr>
          <w:spacing w:val="-20"/>
        </w:rPr>
        <w:t xml:space="preserve"> </w:t>
      </w:r>
      <w:r>
        <w:t>a</w:t>
      </w:r>
      <w:r>
        <w:rPr>
          <w:spacing w:val="-10"/>
        </w:rPr>
        <w:t xml:space="preserve"> </w:t>
      </w:r>
      <w:r>
        <w:t>aquella actividad contractual cuya fuente de financiación provenga de recursos públicos.</w:t>
      </w:r>
    </w:p>
    <w:p w14:paraId="09DA4E5E" w14:textId="77777777" w:rsidR="00E85C97" w:rsidRDefault="00E85C97" w:rsidP="00EF1409">
      <w:pPr>
        <w:pStyle w:val="Textoindependiente"/>
        <w:spacing w:line="276" w:lineRule="auto"/>
        <w:ind w:right="255" w:firstLine="709"/>
        <w:jc w:val="both"/>
      </w:pPr>
      <w:r>
        <w:t>En</w:t>
      </w:r>
      <w:r>
        <w:rPr>
          <w:spacing w:val="8"/>
        </w:rPr>
        <w:t xml:space="preserve"> </w:t>
      </w:r>
      <w:r>
        <w:t>consonancia</w:t>
      </w:r>
      <w:r>
        <w:rPr>
          <w:spacing w:val="2"/>
        </w:rPr>
        <w:t xml:space="preserve"> </w:t>
      </w:r>
      <w:r>
        <w:t>con</w:t>
      </w:r>
      <w:r>
        <w:rPr>
          <w:spacing w:val="4"/>
        </w:rPr>
        <w:t xml:space="preserve"> </w:t>
      </w:r>
      <w:r>
        <w:t>la</w:t>
      </w:r>
      <w:r>
        <w:rPr>
          <w:spacing w:val="6"/>
        </w:rPr>
        <w:t xml:space="preserve"> </w:t>
      </w:r>
      <w:r>
        <w:t>interpretación</w:t>
      </w:r>
      <w:r>
        <w:rPr>
          <w:spacing w:val="9"/>
        </w:rPr>
        <w:t xml:space="preserve"> </w:t>
      </w:r>
      <w:r>
        <w:t>antes</w:t>
      </w:r>
      <w:r>
        <w:rPr>
          <w:spacing w:val="8"/>
        </w:rPr>
        <w:t xml:space="preserve"> </w:t>
      </w:r>
      <w:r>
        <w:t>expuesta,</w:t>
      </w:r>
      <w:r>
        <w:rPr>
          <w:spacing w:val="25"/>
        </w:rPr>
        <w:t xml:space="preserve"> </w:t>
      </w:r>
      <w:r>
        <w:t>la</w:t>
      </w:r>
      <w:r>
        <w:rPr>
          <w:spacing w:val="8"/>
        </w:rPr>
        <w:t xml:space="preserve"> </w:t>
      </w:r>
      <w:r>
        <w:t>Circular</w:t>
      </w:r>
      <w:r>
        <w:rPr>
          <w:spacing w:val="3"/>
        </w:rPr>
        <w:t xml:space="preserve"> </w:t>
      </w:r>
      <w:r>
        <w:t>002</w:t>
      </w:r>
      <w:r>
        <w:rPr>
          <w:spacing w:val="9"/>
        </w:rPr>
        <w:t xml:space="preserve"> </w:t>
      </w:r>
      <w:r>
        <w:rPr>
          <w:spacing w:val="-5"/>
        </w:rPr>
        <w:t xml:space="preserve">del </w:t>
      </w:r>
      <w:r>
        <w:t>1 de junio de 2022</w:t>
      </w:r>
      <w:r>
        <w:rPr>
          <w:rStyle w:val="Refdenotaalpie"/>
        </w:rPr>
        <w:footnoteReference w:id="7"/>
      </w:r>
      <w:r>
        <w:t>, dictada por el Departamento Administrativo de la Presidencia de la República, a través de la cual fueron impartidas instrucciones relacionadas con la aplicación del artículo 53 de la Ley 2195 de 2022, en el numeral I –denominado “Publicación de los documentos contractuales en el SECOP II”–, señala:</w:t>
      </w:r>
      <w:bookmarkStart w:id="10" w:name="_bookmark12"/>
      <w:bookmarkEnd w:id="10"/>
    </w:p>
    <w:p w14:paraId="2CF42EC6" w14:textId="77777777" w:rsidR="00EF1409" w:rsidRDefault="00EF1409" w:rsidP="0060171C">
      <w:pPr>
        <w:pStyle w:val="Textoindependiente"/>
        <w:spacing w:line="276" w:lineRule="auto"/>
        <w:ind w:right="255" w:firstLine="709"/>
        <w:jc w:val="both"/>
      </w:pPr>
    </w:p>
    <w:p w14:paraId="16FD2A0B" w14:textId="77777777" w:rsidR="00E85C97" w:rsidRDefault="00E85C97" w:rsidP="00EF1409">
      <w:pPr>
        <w:tabs>
          <w:tab w:val="left" w:pos="7797"/>
        </w:tabs>
        <w:spacing w:after="0" w:line="240" w:lineRule="auto"/>
        <w:ind w:left="709" w:right="709"/>
        <w:jc w:val="both"/>
        <w:rPr>
          <w:rFonts w:ascii="Verdana" w:hAnsi="Verdana"/>
          <w:sz w:val="20"/>
          <w:szCs w:val="20"/>
        </w:rPr>
      </w:pPr>
      <w:r w:rsidRPr="007C42DF">
        <w:rPr>
          <w:rFonts w:ascii="Verdana" w:hAnsi="Verdana"/>
          <w:sz w:val="20"/>
          <w:szCs w:val="20"/>
        </w:rPr>
        <w:t xml:space="preserve">“El Sistema Electrónico de Contratación Pública – SECOP – es una herramienta tecnológica de apoyo a la contratación pública, en la cual se encuentra la información oficial de la contratación realizada </w:t>
      </w:r>
      <w:r w:rsidRPr="007C42DF">
        <w:rPr>
          <w:rFonts w:ascii="Verdana" w:hAnsi="Verdana"/>
          <w:i/>
          <w:sz w:val="20"/>
          <w:szCs w:val="20"/>
        </w:rPr>
        <w:t>con dineros públicos</w:t>
      </w:r>
      <w:r w:rsidRPr="007C42DF">
        <w:rPr>
          <w:rFonts w:ascii="Verdana" w:hAnsi="Verdana"/>
          <w:sz w:val="20"/>
          <w:szCs w:val="20"/>
        </w:rPr>
        <w:t>.</w:t>
      </w:r>
      <w:r w:rsidRPr="007C42DF">
        <w:rPr>
          <w:rFonts w:ascii="Verdana" w:hAnsi="Verdana"/>
          <w:spacing w:val="-6"/>
          <w:sz w:val="20"/>
          <w:szCs w:val="20"/>
        </w:rPr>
        <w:t xml:space="preserve"> </w:t>
      </w:r>
      <w:r w:rsidRPr="007C42DF">
        <w:rPr>
          <w:rFonts w:ascii="Verdana" w:hAnsi="Verdana"/>
          <w:sz w:val="20"/>
          <w:szCs w:val="20"/>
        </w:rPr>
        <w:t>Lo</w:t>
      </w:r>
      <w:r w:rsidRPr="007C42DF">
        <w:rPr>
          <w:rFonts w:ascii="Verdana" w:hAnsi="Verdana"/>
          <w:spacing w:val="-10"/>
          <w:sz w:val="20"/>
          <w:szCs w:val="20"/>
        </w:rPr>
        <w:t xml:space="preserve"> </w:t>
      </w:r>
      <w:r w:rsidRPr="007C42DF">
        <w:rPr>
          <w:rFonts w:ascii="Verdana" w:hAnsi="Verdana"/>
          <w:sz w:val="20"/>
          <w:szCs w:val="20"/>
        </w:rPr>
        <w:t>anterior,</w:t>
      </w:r>
      <w:r w:rsidRPr="007C42DF">
        <w:rPr>
          <w:rFonts w:ascii="Verdana" w:hAnsi="Verdana"/>
          <w:spacing w:val="-7"/>
          <w:sz w:val="20"/>
          <w:szCs w:val="20"/>
        </w:rPr>
        <w:t xml:space="preserve"> </w:t>
      </w:r>
      <w:r w:rsidRPr="007C42DF">
        <w:rPr>
          <w:rFonts w:ascii="Verdana" w:hAnsi="Verdana"/>
          <w:sz w:val="20"/>
          <w:szCs w:val="20"/>
        </w:rPr>
        <w:t>de</w:t>
      </w:r>
      <w:r w:rsidRPr="007C42DF">
        <w:rPr>
          <w:rFonts w:ascii="Verdana" w:hAnsi="Verdana"/>
          <w:spacing w:val="-2"/>
          <w:sz w:val="20"/>
          <w:szCs w:val="20"/>
        </w:rPr>
        <w:t xml:space="preserve"> </w:t>
      </w:r>
      <w:r w:rsidRPr="007C42DF">
        <w:rPr>
          <w:rFonts w:ascii="Verdana" w:hAnsi="Verdana"/>
          <w:sz w:val="20"/>
          <w:szCs w:val="20"/>
        </w:rPr>
        <w:t>conformidad</w:t>
      </w:r>
      <w:r w:rsidRPr="007C42DF">
        <w:rPr>
          <w:rFonts w:ascii="Verdana" w:hAnsi="Verdana"/>
          <w:spacing w:val="-3"/>
          <w:sz w:val="20"/>
          <w:szCs w:val="20"/>
        </w:rPr>
        <w:t xml:space="preserve"> </w:t>
      </w:r>
      <w:r w:rsidRPr="007C42DF">
        <w:rPr>
          <w:rFonts w:ascii="Verdana" w:hAnsi="Verdana"/>
          <w:sz w:val="20"/>
          <w:szCs w:val="20"/>
        </w:rPr>
        <w:t>con</w:t>
      </w:r>
      <w:r w:rsidRPr="007C42DF">
        <w:rPr>
          <w:rFonts w:ascii="Verdana" w:hAnsi="Verdana"/>
          <w:spacing w:val="-5"/>
          <w:sz w:val="20"/>
          <w:szCs w:val="20"/>
        </w:rPr>
        <w:t xml:space="preserve"> </w:t>
      </w:r>
      <w:r w:rsidRPr="007C42DF">
        <w:rPr>
          <w:rFonts w:ascii="Verdana" w:hAnsi="Verdana"/>
          <w:sz w:val="20"/>
          <w:szCs w:val="20"/>
        </w:rPr>
        <w:t>lo</w:t>
      </w:r>
      <w:r w:rsidRPr="007C42DF">
        <w:rPr>
          <w:rFonts w:ascii="Verdana" w:hAnsi="Verdana"/>
          <w:spacing w:val="-9"/>
          <w:sz w:val="20"/>
          <w:szCs w:val="20"/>
        </w:rPr>
        <w:t xml:space="preserve"> </w:t>
      </w:r>
      <w:r w:rsidRPr="007C42DF">
        <w:rPr>
          <w:rFonts w:ascii="Verdana" w:hAnsi="Verdana"/>
          <w:sz w:val="20"/>
          <w:szCs w:val="20"/>
        </w:rPr>
        <w:t>establecido</w:t>
      </w:r>
      <w:r w:rsidRPr="007C42DF">
        <w:rPr>
          <w:rFonts w:ascii="Verdana" w:hAnsi="Verdana"/>
          <w:spacing w:val="-10"/>
          <w:sz w:val="20"/>
          <w:szCs w:val="20"/>
        </w:rPr>
        <w:t xml:space="preserve"> </w:t>
      </w:r>
      <w:r w:rsidRPr="007C42DF">
        <w:rPr>
          <w:rFonts w:ascii="Verdana" w:hAnsi="Verdana"/>
          <w:sz w:val="20"/>
          <w:szCs w:val="20"/>
        </w:rPr>
        <w:t>en</w:t>
      </w:r>
      <w:r w:rsidRPr="007C42DF">
        <w:rPr>
          <w:rFonts w:ascii="Verdana" w:hAnsi="Verdana"/>
          <w:spacing w:val="-10"/>
          <w:sz w:val="20"/>
          <w:szCs w:val="20"/>
        </w:rPr>
        <w:t xml:space="preserve"> </w:t>
      </w:r>
      <w:r w:rsidRPr="007C42DF">
        <w:rPr>
          <w:rFonts w:ascii="Verdana" w:hAnsi="Verdana"/>
          <w:sz w:val="20"/>
          <w:szCs w:val="20"/>
        </w:rPr>
        <w:t>el</w:t>
      </w:r>
      <w:r w:rsidRPr="007C42DF">
        <w:rPr>
          <w:rFonts w:ascii="Verdana" w:hAnsi="Verdana"/>
          <w:spacing w:val="-8"/>
          <w:sz w:val="20"/>
          <w:szCs w:val="20"/>
        </w:rPr>
        <w:t xml:space="preserve"> </w:t>
      </w:r>
      <w:r w:rsidRPr="007C42DF">
        <w:rPr>
          <w:rFonts w:ascii="Verdana" w:hAnsi="Verdana"/>
          <w:sz w:val="20"/>
          <w:szCs w:val="20"/>
        </w:rPr>
        <w:t>literal</w:t>
      </w:r>
      <w:r w:rsidRPr="007C42DF">
        <w:rPr>
          <w:rFonts w:ascii="Verdana" w:hAnsi="Verdana"/>
          <w:spacing w:val="-8"/>
          <w:sz w:val="20"/>
          <w:szCs w:val="20"/>
        </w:rPr>
        <w:t xml:space="preserve"> </w:t>
      </w:r>
      <w:r w:rsidRPr="007C42DF">
        <w:rPr>
          <w:rFonts w:ascii="Verdana" w:hAnsi="Verdana"/>
          <w:sz w:val="20"/>
          <w:szCs w:val="20"/>
        </w:rPr>
        <w:t>c)</w:t>
      </w:r>
      <w:r w:rsidRPr="007C42DF">
        <w:rPr>
          <w:rFonts w:ascii="Verdana" w:hAnsi="Verdana"/>
          <w:spacing w:val="-4"/>
          <w:sz w:val="20"/>
          <w:szCs w:val="20"/>
        </w:rPr>
        <w:t xml:space="preserve"> </w:t>
      </w:r>
      <w:r w:rsidRPr="007C42DF">
        <w:rPr>
          <w:rFonts w:ascii="Verdana" w:hAnsi="Verdana"/>
          <w:sz w:val="20"/>
          <w:szCs w:val="20"/>
        </w:rPr>
        <w:t>del artículo 3 de la Ley 1150 de 2007.</w:t>
      </w:r>
    </w:p>
    <w:p w14:paraId="498AAE4D" w14:textId="77777777" w:rsidR="00326A93" w:rsidRPr="007C42DF" w:rsidRDefault="00326A93" w:rsidP="0060171C">
      <w:pPr>
        <w:tabs>
          <w:tab w:val="left" w:pos="7797"/>
        </w:tabs>
        <w:spacing w:after="0" w:line="240" w:lineRule="auto"/>
        <w:ind w:left="709" w:right="709"/>
        <w:jc w:val="both"/>
        <w:rPr>
          <w:rFonts w:ascii="Verdana" w:hAnsi="Verdana"/>
          <w:sz w:val="20"/>
          <w:szCs w:val="20"/>
        </w:rPr>
      </w:pPr>
    </w:p>
    <w:p w14:paraId="5B87004D" w14:textId="77777777" w:rsidR="00E85C97" w:rsidRPr="007C42DF" w:rsidRDefault="00E85C97" w:rsidP="0060171C">
      <w:pPr>
        <w:tabs>
          <w:tab w:val="left" w:pos="7797"/>
        </w:tabs>
        <w:spacing w:after="0" w:line="240" w:lineRule="auto"/>
        <w:ind w:left="709" w:right="709"/>
        <w:jc w:val="both"/>
        <w:rPr>
          <w:rFonts w:ascii="Verdana" w:hAnsi="Verdana"/>
          <w:sz w:val="20"/>
          <w:szCs w:val="20"/>
        </w:rPr>
      </w:pPr>
      <w:r w:rsidRPr="007C42DF">
        <w:rPr>
          <w:rFonts w:ascii="Verdana" w:hAnsi="Verdana"/>
          <w:sz w:val="20"/>
          <w:szCs w:val="20"/>
        </w:rPr>
        <w:t>En</w:t>
      </w:r>
      <w:r w:rsidRPr="007C42DF">
        <w:rPr>
          <w:rFonts w:ascii="Verdana" w:hAnsi="Verdana"/>
          <w:spacing w:val="-4"/>
          <w:sz w:val="20"/>
          <w:szCs w:val="20"/>
        </w:rPr>
        <w:t xml:space="preserve"> </w:t>
      </w:r>
      <w:r w:rsidRPr="007C42DF">
        <w:rPr>
          <w:rFonts w:ascii="Verdana" w:hAnsi="Verdana"/>
          <w:sz w:val="20"/>
          <w:szCs w:val="20"/>
        </w:rPr>
        <w:t>ese</w:t>
      </w:r>
      <w:r w:rsidRPr="007C42DF">
        <w:rPr>
          <w:rFonts w:ascii="Verdana" w:hAnsi="Verdana"/>
          <w:spacing w:val="-2"/>
          <w:sz w:val="20"/>
          <w:szCs w:val="20"/>
        </w:rPr>
        <w:t xml:space="preserve"> </w:t>
      </w:r>
      <w:r w:rsidRPr="007C42DF">
        <w:rPr>
          <w:rFonts w:ascii="Verdana" w:hAnsi="Verdana"/>
          <w:sz w:val="20"/>
          <w:szCs w:val="20"/>
        </w:rPr>
        <w:t>sentido,</w:t>
      </w:r>
      <w:r w:rsidRPr="007C42DF">
        <w:rPr>
          <w:rFonts w:ascii="Verdana" w:hAnsi="Verdana"/>
          <w:spacing w:val="-1"/>
          <w:sz w:val="20"/>
          <w:szCs w:val="20"/>
        </w:rPr>
        <w:t xml:space="preserve"> </w:t>
      </w:r>
      <w:r w:rsidRPr="007C42DF">
        <w:rPr>
          <w:rFonts w:ascii="Verdana" w:hAnsi="Verdana"/>
          <w:sz w:val="20"/>
          <w:szCs w:val="20"/>
        </w:rPr>
        <w:t>las</w:t>
      </w:r>
      <w:r w:rsidRPr="007C42DF">
        <w:rPr>
          <w:rFonts w:ascii="Verdana" w:hAnsi="Verdana"/>
          <w:spacing w:val="-2"/>
          <w:sz w:val="20"/>
          <w:szCs w:val="20"/>
        </w:rPr>
        <w:t xml:space="preserve"> </w:t>
      </w:r>
      <w:r w:rsidRPr="007C42DF">
        <w:rPr>
          <w:rFonts w:ascii="Verdana" w:hAnsi="Verdana"/>
          <w:sz w:val="20"/>
          <w:szCs w:val="20"/>
        </w:rPr>
        <w:t>entidades</w:t>
      </w:r>
      <w:r w:rsidRPr="007C42DF">
        <w:rPr>
          <w:rFonts w:ascii="Verdana" w:hAnsi="Verdana"/>
          <w:spacing w:val="-2"/>
          <w:sz w:val="20"/>
          <w:szCs w:val="20"/>
        </w:rPr>
        <w:t xml:space="preserve"> </w:t>
      </w:r>
      <w:r w:rsidRPr="007C42DF">
        <w:rPr>
          <w:rFonts w:ascii="Verdana" w:hAnsi="Verdana"/>
          <w:sz w:val="20"/>
          <w:szCs w:val="20"/>
        </w:rPr>
        <w:t>obligadas</w:t>
      </w:r>
      <w:r w:rsidRPr="007C42DF">
        <w:rPr>
          <w:rFonts w:ascii="Verdana" w:hAnsi="Verdana"/>
          <w:spacing w:val="-2"/>
          <w:sz w:val="20"/>
          <w:szCs w:val="20"/>
        </w:rPr>
        <w:t xml:space="preserve"> </w:t>
      </w:r>
      <w:r w:rsidRPr="007C42DF">
        <w:rPr>
          <w:rFonts w:ascii="Verdana" w:hAnsi="Verdana"/>
          <w:sz w:val="20"/>
          <w:szCs w:val="20"/>
        </w:rPr>
        <w:t>en</w:t>
      </w:r>
      <w:r w:rsidRPr="007C42DF">
        <w:rPr>
          <w:rFonts w:ascii="Verdana" w:hAnsi="Verdana"/>
          <w:spacing w:val="-4"/>
          <w:sz w:val="20"/>
          <w:szCs w:val="20"/>
        </w:rPr>
        <w:t xml:space="preserve"> </w:t>
      </w:r>
      <w:r w:rsidRPr="007C42DF">
        <w:rPr>
          <w:rFonts w:ascii="Verdana" w:hAnsi="Verdana"/>
          <w:sz w:val="20"/>
          <w:szCs w:val="20"/>
        </w:rPr>
        <w:t>virtud</w:t>
      </w:r>
      <w:r w:rsidRPr="007C42DF">
        <w:rPr>
          <w:rFonts w:ascii="Verdana" w:hAnsi="Verdana"/>
          <w:spacing w:val="-3"/>
          <w:sz w:val="20"/>
          <w:szCs w:val="20"/>
        </w:rPr>
        <w:t xml:space="preserve"> </w:t>
      </w:r>
      <w:r w:rsidRPr="007C42DF">
        <w:rPr>
          <w:rFonts w:ascii="Verdana" w:hAnsi="Verdana"/>
          <w:sz w:val="20"/>
          <w:szCs w:val="20"/>
        </w:rPr>
        <w:t>del</w:t>
      </w:r>
      <w:r w:rsidRPr="007C42DF">
        <w:rPr>
          <w:rFonts w:ascii="Verdana" w:hAnsi="Verdana"/>
          <w:spacing w:val="-3"/>
          <w:sz w:val="20"/>
          <w:szCs w:val="20"/>
        </w:rPr>
        <w:t xml:space="preserve"> </w:t>
      </w:r>
      <w:r w:rsidRPr="007C42DF">
        <w:rPr>
          <w:rFonts w:ascii="Verdana" w:hAnsi="Verdana"/>
          <w:sz w:val="20"/>
          <w:szCs w:val="20"/>
        </w:rPr>
        <w:t>artículo</w:t>
      </w:r>
      <w:r w:rsidRPr="007C42DF">
        <w:rPr>
          <w:rFonts w:ascii="Verdana" w:hAnsi="Verdana"/>
          <w:spacing w:val="-4"/>
          <w:sz w:val="20"/>
          <w:szCs w:val="20"/>
        </w:rPr>
        <w:t xml:space="preserve"> </w:t>
      </w:r>
      <w:r w:rsidRPr="007C42DF">
        <w:rPr>
          <w:rFonts w:ascii="Verdana" w:hAnsi="Verdana"/>
          <w:sz w:val="20"/>
          <w:szCs w:val="20"/>
        </w:rPr>
        <w:t>53</w:t>
      </w:r>
      <w:r w:rsidRPr="007C42DF">
        <w:rPr>
          <w:rFonts w:ascii="Verdana" w:hAnsi="Verdana"/>
          <w:spacing w:val="-5"/>
          <w:sz w:val="20"/>
          <w:szCs w:val="20"/>
        </w:rPr>
        <w:t xml:space="preserve"> </w:t>
      </w:r>
      <w:r w:rsidRPr="007C42DF">
        <w:rPr>
          <w:rFonts w:ascii="Verdana" w:hAnsi="Verdana"/>
          <w:sz w:val="20"/>
          <w:szCs w:val="20"/>
        </w:rPr>
        <w:t>de</w:t>
      </w:r>
      <w:r w:rsidRPr="007C42DF">
        <w:rPr>
          <w:rFonts w:ascii="Verdana" w:hAnsi="Verdana"/>
          <w:spacing w:val="-2"/>
          <w:sz w:val="20"/>
          <w:szCs w:val="20"/>
        </w:rPr>
        <w:t xml:space="preserve"> </w:t>
      </w:r>
      <w:r w:rsidRPr="007C42DF">
        <w:rPr>
          <w:rFonts w:ascii="Verdana" w:hAnsi="Verdana"/>
          <w:sz w:val="20"/>
          <w:szCs w:val="20"/>
        </w:rPr>
        <w:t>la Ley 2195</w:t>
      </w:r>
      <w:r w:rsidRPr="007C42DF">
        <w:rPr>
          <w:rFonts w:ascii="Verdana" w:hAnsi="Verdana"/>
          <w:spacing w:val="-3"/>
          <w:sz w:val="20"/>
          <w:szCs w:val="20"/>
        </w:rPr>
        <w:t xml:space="preserve"> </w:t>
      </w:r>
      <w:r w:rsidRPr="007C42DF">
        <w:rPr>
          <w:rFonts w:ascii="Verdana" w:hAnsi="Verdana"/>
          <w:sz w:val="20"/>
          <w:szCs w:val="20"/>
        </w:rPr>
        <w:t>de 2022, deberán</w:t>
      </w:r>
      <w:r w:rsidRPr="007C42DF">
        <w:rPr>
          <w:rFonts w:ascii="Verdana" w:hAnsi="Verdana"/>
          <w:spacing w:val="-3"/>
          <w:sz w:val="20"/>
          <w:szCs w:val="20"/>
        </w:rPr>
        <w:t xml:space="preserve"> </w:t>
      </w:r>
      <w:r w:rsidRPr="007C42DF">
        <w:rPr>
          <w:rFonts w:ascii="Verdana" w:hAnsi="Verdana"/>
          <w:sz w:val="20"/>
          <w:szCs w:val="20"/>
        </w:rPr>
        <w:t>realizar la publicación</w:t>
      </w:r>
      <w:r w:rsidRPr="007C42DF">
        <w:rPr>
          <w:rFonts w:ascii="Verdana" w:hAnsi="Verdana"/>
          <w:spacing w:val="-2"/>
          <w:sz w:val="20"/>
          <w:szCs w:val="20"/>
        </w:rPr>
        <w:t xml:space="preserve"> </w:t>
      </w:r>
      <w:r w:rsidRPr="007C42DF">
        <w:rPr>
          <w:rFonts w:ascii="Verdana" w:hAnsi="Verdana"/>
          <w:sz w:val="20"/>
          <w:szCs w:val="20"/>
        </w:rPr>
        <w:t>en</w:t>
      </w:r>
      <w:r w:rsidRPr="007C42DF">
        <w:rPr>
          <w:rFonts w:ascii="Verdana" w:hAnsi="Verdana"/>
          <w:spacing w:val="-2"/>
          <w:sz w:val="20"/>
          <w:szCs w:val="20"/>
        </w:rPr>
        <w:t xml:space="preserve"> </w:t>
      </w:r>
      <w:r w:rsidRPr="007C42DF">
        <w:rPr>
          <w:rFonts w:ascii="Verdana" w:hAnsi="Verdana"/>
          <w:sz w:val="20"/>
          <w:szCs w:val="20"/>
        </w:rPr>
        <w:t>el SECOP</w:t>
      </w:r>
      <w:r w:rsidRPr="007C42DF">
        <w:rPr>
          <w:rFonts w:ascii="Verdana" w:hAnsi="Verdana"/>
          <w:spacing w:val="-1"/>
          <w:sz w:val="20"/>
          <w:szCs w:val="20"/>
        </w:rPr>
        <w:t xml:space="preserve"> </w:t>
      </w:r>
      <w:r w:rsidRPr="007C42DF">
        <w:rPr>
          <w:rFonts w:ascii="Verdana" w:hAnsi="Verdana"/>
          <w:sz w:val="20"/>
          <w:szCs w:val="20"/>
        </w:rPr>
        <w:t xml:space="preserve">II </w:t>
      </w:r>
      <w:r w:rsidRPr="007C42DF">
        <w:rPr>
          <w:rFonts w:ascii="Verdana" w:hAnsi="Verdana"/>
          <w:i/>
          <w:sz w:val="20"/>
          <w:szCs w:val="20"/>
        </w:rPr>
        <w:t xml:space="preserve">de aquellos documentos relacionados con la actividad contractual que se realice con dineros públicos </w:t>
      </w:r>
      <w:r w:rsidRPr="007C42DF">
        <w:rPr>
          <w:rFonts w:ascii="Verdana" w:hAnsi="Verdana"/>
          <w:sz w:val="20"/>
          <w:szCs w:val="20"/>
        </w:rPr>
        <w:t>[…] (Cursivas fuera del texto original)”</w:t>
      </w:r>
    </w:p>
    <w:p w14:paraId="652365E8" w14:textId="77777777" w:rsidR="00E85C97" w:rsidRDefault="00E85C97" w:rsidP="00E85C97">
      <w:pPr>
        <w:pStyle w:val="Textoindependiente"/>
        <w:spacing w:before="60"/>
        <w:rPr>
          <w:sz w:val="20"/>
        </w:rPr>
      </w:pPr>
    </w:p>
    <w:p w14:paraId="1A09709E" w14:textId="4062A8A8" w:rsidR="00E85C97" w:rsidRDefault="00E85C97" w:rsidP="0060171C">
      <w:pPr>
        <w:pStyle w:val="Textoindependiente"/>
        <w:spacing w:after="120" w:line="276" w:lineRule="auto"/>
        <w:ind w:right="267" w:firstLine="708"/>
        <w:jc w:val="both"/>
      </w:pPr>
      <w:r>
        <w:lastRenderedPageBreak/>
        <w:t>De conformidad con lo expuesto, teniendo en cuenta que el artículo 53 complementa la disposición contenida en el artículo 3 de la Ley 1150 de 2007, debe</w:t>
      </w:r>
      <w:r>
        <w:rPr>
          <w:spacing w:val="-4"/>
        </w:rPr>
        <w:t xml:space="preserve"> </w:t>
      </w:r>
      <w:r>
        <w:t>entenderse</w:t>
      </w:r>
      <w:r>
        <w:rPr>
          <w:spacing w:val="-4"/>
        </w:rPr>
        <w:t xml:space="preserve"> </w:t>
      </w:r>
      <w:r>
        <w:t>que</w:t>
      </w:r>
      <w:r>
        <w:rPr>
          <w:spacing w:val="-4"/>
        </w:rPr>
        <w:t xml:space="preserve"> </w:t>
      </w:r>
      <w:r>
        <w:t>la</w:t>
      </w:r>
      <w:r>
        <w:rPr>
          <w:spacing w:val="-5"/>
        </w:rPr>
        <w:t xml:space="preserve"> </w:t>
      </w:r>
      <w:r>
        <w:t>contratación</w:t>
      </w:r>
      <w:r>
        <w:rPr>
          <w:spacing w:val="-3"/>
        </w:rPr>
        <w:t xml:space="preserve"> </w:t>
      </w:r>
      <w:r>
        <w:t>a</w:t>
      </w:r>
      <w:r>
        <w:rPr>
          <w:spacing w:val="-6"/>
        </w:rPr>
        <w:t xml:space="preserve"> </w:t>
      </w:r>
      <w:r>
        <w:t>la</w:t>
      </w:r>
      <w:r>
        <w:rPr>
          <w:spacing w:val="-9"/>
        </w:rPr>
        <w:t xml:space="preserve"> </w:t>
      </w:r>
      <w:r>
        <w:t>que</w:t>
      </w:r>
      <w:r>
        <w:rPr>
          <w:spacing w:val="-8"/>
        </w:rPr>
        <w:t xml:space="preserve"> </w:t>
      </w:r>
      <w:r>
        <w:t>se</w:t>
      </w:r>
      <w:r>
        <w:rPr>
          <w:spacing w:val="-4"/>
        </w:rPr>
        <w:t xml:space="preserve"> </w:t>
      </w:r>
      <w:r>
        <w:t>refiere</w:t>
      </w:r>
      <w:r>
        <w:rPr>
          <w:spacing w:val="-9"/>
        </w:rPr>
        <w:t xml:space="preserve"> </w:t>
      </w:r>
      <w:r>
        <w:t>es</w:t>
      </w:r>
      <w:r>
        <w:rPr>
          <w:spacing w:val="-8"/>
        </w:rPr>
        <w:t xml:space="preserve"> </w:t>
      </w:r>
      <w:r>
        <w:t>aquella</w:t>
      </w:r>
      <w:r>
        <w:rPr>
          <w:spacing w:val="-5"/>
        </w:rPr>
        <w:t xml:space="preserve"> </w:t>
      </w:r>
      <w:r>
        <w:t>realizada</w:t>
      </w:r>
      <w:r>
        <w:rPr>
          <w:spacing w:val="-6"/>
        </w:rPr>
        <w:t xml:space="preserve"> </w:t>
      </w:r>
      <w:r>
        <w:t xml:space="preserve">con </w:t>
      </w:r>
      <w:r>
        <w:rPr>
          <w:i/>
        </w:rPr>
        <w:t>recursos públicos</w:t>
      </w:r>
      <w:r>
        <w:t>, cuya información es la que debe publicarse en el SECOP II, acorde con la interpretación sistemática que permite armonizar el referido artículo</w:t>
      </w:r>
      <w:r>
        <w:rPr>
          <w:spacing w:val="-14"/>
        </w:rPr>
        <w:t xml:space="preserve"> </w:t>
      </w:r>
      <w:r>
        <w:t>53</w:t>
      </w:r>
      <w:r>
        <w:rPr>
          <w:spacing w:val="-18"/>
        </w:rPr>
        <w:t xml:space="preserve"> </w:t>
      </w:r>
      <w:r>
        <w:t>de</w:t>
      </w:r>
      <w:r>
        <w:rPr>
          <w:spacing w:val="-14"/>
        </w:rPr>
        <w:t xml:space="preserve"> </w:t>
      </w:r>
      <w:r>
        <w:t>la</w:t>
      </w:r>
      <w:r>
        <w:rPr>
          <w:spacing w:val="-19"/>
        </w:rPr>
        <w:t xml:space="preserve"> </w:t>
      </w:r>
      <w:r>
        <w:t>Ley</w:t>
      </w:r>
      <w:r>
        <w:rPr>
          <w:spacing w:val="-19"/>
        </w:rPr>
        <w:t xml:space="preserve"> </w:t>
      </w:r>
      <w:r>
        <w:t>2195</w:t>
      </w:r>
      <w:r>
        <w:rPr>
          <w:spacing w:val="-18"/>
        </w:rPr>
        <w:t xml:space="preserve"> </w:t>
      </w:r>
      <w:r>
        <w:t>de</w:t>
      </w:r>
      <w:r>
        <w:rPr>
          <w:spacing w:val="-14"/>
        </w:rPr>
        <w:t xml:space="preserve"> </w:t>
      </w:r>
      <w:r>
        <w:t>2022</w:t>
      </w:r>
      <w:r>
        <w:rPr>
          <w:spacing w:val="-20"/>
        </w:rPr>
        <w:t xml:space="preserve"> </w:t>
      </w:r>
      <w:r>
        <w:t>con</w:t>
      </w:r>
      <w:r>
        <w:rPr>
          <w:spacing w:val="-16"/>
        </w:rPr>
        <w:t xml:space="preserve"> </w:t>
      </w:r>
      <w:r>
        <w:t>todo</w:t>
      </w:r>
      <w:r>
        <w:rPr>
          <w:spacing w:val="-17"/>
        </w:rPr>
        <w:t xml:space="preserve"> </w:t>
      </w:r>
      <w:r>
        <w:t>el</w:t>
      </w:r>
      <w:r>
        <w:rPr>
          <w:spacing w:val="-13"/>
        </w:rPr>
        <w:t xml:space="preserve"> </w:t>
      </w:r>
      <w:r>
        <w:t>contexto</w:t>
      </w:r>
      <w:r>
        <w:rPr>
          <w:spacing w:val="-12"/>
        </w:rPr>
        <w:t xml:space="preserve"> </w:t>
      </w:r>
      <w:r>
        <w:t>normativo</w:t>
      </w:r>
      <w:r>
        <w:rPr>
          <w:spacing w:val="-12"/>
        </w:rPr>
        <w:t xml:space="preserve"> </w:t>
      </w:r>
      <w:r>
        <w:t>que</w:t>
      </w:r>
      <w:r>
        <w:rPr>
          <w:spacing w:val="-19"/>
        </w:rPr>
        <w:t xml:space="preserve"> </w:t>
      </w:r>
      <w:r>
        <w:t>establece que en dicha plataforma se debe publicar solo la información relativa a la actividad contractual con dineros públicos.</w:t>
      </w:r>
    </w:p>
    <w:p w14:paraId="7732101F" w14:textId="77777777" w:rsidR="00E85C97" w:rsidRDefault="00E85C97" w:rsidP="00326A93">
      <w:pPr>
        <w:pStyle w:val="Textoindependiente"/>
        <w:spacing w:line="276" w:lineRule="auto"/>
        <w:ind w:right="252" w:firstLine="708"/>
        <w:jc w:val="both"/>
      </w:pPr>
      <w:r>
        <w:t>Ahora bien, sobre la procedencia de los recursos para efectos de la publicidad de la actividad contractual de las entidades exceptuadas, es preciso indicar que la Agencia Nacional de Contratación Pública – Colombia Compra Eficiente</w:t>
      </w:r>
      <w:r>
        <w:rPr>
          <w:spacing w:val="-20"/>
        </w:rPr>
        <w:t xml:space="preserve"> </w:t>
      </w:r>
      <w:r>
        <w:t>expidió</w:t>
      </w:r>
      <w:r>
        <w:rPr>
          <w:spacing w:val="-19"/>
        </w:rPr>
        <w:t xml:space="preserve"> </w:t>
      </w:r>
      <w:r>
        <w:t>Circular</w:t>
      </w:r>
      <w:r>
        <w:rPr>
          <w:spacing w:val="-19"/>
        </w:rPr>
        <w:t xml:space="preserve"> </w:t>
      </w:r>
      <w:r>
        <w:t>Externa</w:t>
      </w:r>
      <w:r>
        <w:rPr>
          <w:spacing w:val="-20"/>
        </w:rPr>
        <w:t xml:space="preserve"> </w:t>
      </w:r>
      <w:r>
        <w:t>002</w:t>
      </w:r>
      <w:r>
        <w:rPr>
          <w:spacing w:val="-19"/>
        </w:rPr>
        <w:t xml:space="preserve"> </w:t>
      </w:r>
      <w:r>
        <w:t>del</w:t>
      </w:r>
      <w:r>
        <w:rPr>
          <w:spacing w:val="-20"/>
        </w:rPr>
        <w:t xml:space="preserve"> </w:t>
      </w:r>
      <w:r>
        <w:t>23</w:t>
      </w:r>
      <w:r>
        <w:rPr>
          <w:spacing w:val="-19"/>
        </w:rPr>
        <w:t xml:space="preserve"> </w:t>
      </w:r>
      <w:r>
        <w:t>de</w:t>
      </w:r>
      <w:r>
        <w:rPr>
          <w:spacing w:val="-19"/>
        </w:rPr>
        <w:t xml:space="preserve"> </w:t>
      </w:r>
      <w:r>
        <w:t>agosto</w:t>
      </w:r>
      <w:r>
        <w:rPr>
          <w:spacing w:val="-20"/>
        </w:rPr>
        <w:t xml:space="preserve"> </w:t>
      </w:r>
      <w:r>
        <w:t>de</w:t>
      </w:r>
      <w:r>
        <w:rPr>
          <w:spacing w:val="-19"/>
        </w:rPr>
        <w:t xml:space="preserve"> </w:t>
      </w:r>
      <w:r>
        <w:t>2024,</w:t>
      </w:r>
      <w:r>
        <w:rPr>
          <w:spacing w:val="-18"/>
        </w:rPr>
        <w:t xml:space="preserve"> </w:t>
      </w:r>
      <w:r>
        <w:t>en</w:t>
      </w:r>
      <w:r>
        <w:rPr>
          <w:spacing w:val="-20"/>
        </w:rPr>
        <w:t xml:space="preserve"> </w:t>
      </w:r>
      <w:r>
        <w:t>la</w:t>
      </w:r>
      <w:r>
        <w:rPr>
          <w:spacing w:val="-19"/>
        </w:rPr>
        <w:t xml:space="preserve"> </w:t>
      </w:r>
      <w:r>
        <w:t>cual</w:t>
      </w:r>
      <w:r>
        <w:rPr>
          <w:spacing w:val="-16"/>
        </w:rPr>
        <w:t xml:space="preserve"> </w:t>
      </w:r>
      <w:r>
        <w:t>señaló lo siguiente:</w:t>
      </w:r>
    </w:p>
    <w:p w14:paraId="6080A68C" w14:textId="77777777" w:rsidR="00326A93" w:rsidRDefault="00326A93" w:rsidP="0060171C">
      <w:pPr>
        <w:pStyle w:val="Textoindependiente"/>
        <w:spacing w:line="276" w:lineRule="auto"/>
        <w:ind w:right="252" w:firstLine="708"/>
        <w:jc w:val="both"/>
      </w:pPr>
    </w:p>
    <w:p w14:paraId="56A17457" w14:textId="77777777" w:rsidR="00E85C97" w:rsidRDefault="00E85C97" w:rsidP="00BE28BA">
      <w:pPr>
        <w:spacing w:after="0" w:line="240" w:lineRule="auto"/>
        <w:ind w:left="709" w:right="709"/>
        <w:jc w:val="both"/>
        <w:rPr>
          <w:rFonts w:ascii="Verdana" w:hAnsi="Verdana"/>
          <w:sz w:val="20"/>
          <w:szCs w:val="20"/>
        </w:rPr>
      </w:pPr>
      <w:r w:rsidRPr="007C42DF">
        <w:rPr>
          <w:rFonts w:ascii="Verdana" w:hAnsi="Verdana"/>
          <w:sz w:val="20"/>
          <w:szCs w:val="20"/>
        </w:rPr>
        <w:t>“La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w:t>
      </w:r>
      <w:r w:rsidRPr="007C42DF">
        <w:rPr>
          <w:rFonts w:ascii="Verdana" w:hAnsi="Verdana"/>
          <w:spacing w:val="-1"/>
          <w:sz w:val="20"/>
          <w:szCs w:val="20"/>
        </w:rPr>
        <w:t xml:space="preserve"> </w:t>
      </w:r>
      <w:r w:rsidRPr="007C42DF">
        <w:rPr>
          <w:rFonts w:ascii="Verdana" w:hAnsi="Verdana"/>
          <w:sz w:val="20"/>
          <w:szCs w:val="20"/>
        </w:rPr>
        <w:t>fuente de</w:t>
      </w:r>
      <w:r w:rsidRPr="007C42DF">
        <w:rPr>
          <w:rFonts w:ascii="Verdana" w:hAnsi="Verdana"/>
          <w:spacing w:val="-4"/>
          <w:sz w:val="20"/>
          <w:szCs w:val="20"/>
        </w:rPr>
        <w:t xml:space="preserve"> </w:t>
      </w:r>
      <w:r w:rsidRPr="007C42DF">
        <w:rPr>
          <w:rFonts w:ascii="Verdana" w:hAnsi="Verdana"/>
          <w:sz w:val="20"/>
          <w:szCs w:val="20"/>
        </w:rPr>
        <w:t>financiación</w:t>
      </w:r>
      <w:r w:rsidRPr="007C42DF">
        <w:rPr>
          <w:rFonts w:ascii="Verdana" w:hAnsi="Verdana"/>
          <w:spacing w:val="-2"/>
          <w:sz w:val="20"/>
          <w:szCs w:val="20"/>
        </w:rPr>
        <w:t xml:space="preserve"> </w:t>
      </w:r>
      <w:r w:rsidRPr="007C42DF">
        <w:rPr>
          <w:rFonts w:ascii="Verdana" w:hAnsi="Verdana"/>
          <w:sz w:val="20"/>
          <w:szCs w:val="20"/>
        </w:rPr>
        <w:t>provenga</w:t>
      </w:r>
      <w:r w:rsidRPr="007C42DF">
        <w:rPr>
          <w:rFonts w:ascii="Verdana" w:hAnsi="Verdana"/>
          <w:spacing w:val="-5"/>
          <w:sz w:val="20"/>
          <w:szCs w:val="20"/>
        </w:rPr>
        <w:t xml:space="preserve"> </w:t>
      </w:r>
      <w:r w:rsidRPr="007C42DF">
        <w:rPr>
          <w:rFonts w:ascii="Verdana" w:hAnsi="Verdana"/>
          <w:sz w:val="20"/>
          <w:szCs w:val="20"/>
        </w:rPr>
        <w:t>de recursos públicos.</w:t>
      </w:r>
      <w:r w:rsidRPr="007C42DF">
        <w:rPr>
          <w:rFonts w:ascii="Verdana" w:hAnsi="Verdana"/>
          <w:spacing w:val="-3"/>
          <w:sz w:val="20"/>
          <w:szCs w:val="20"/>
        </w:rPr>
        <w:t xml:space="preserve"> </w:t>
      </w:r>
      <w:r w:rsidRPr="007C42DF">
        <w:rPr>
          <w:rFonts w:ascii="Verdana" w:hAnsi="Verdana"/>
          <w:sz w:val="20"/>
          <w:szCs w:val="20"/>
        </w:rPr>
        <w:t>De conformidad con lo expuesto, teniendo en cuenta que el artículo 53 complementa la disposición contenida en el artículo 3 de la Ley 1150 de 2007, debe entenderse que la contratación a la que se refiere es aquella realizada</w:t>
      </w:r>
      <w:r w:rsidRPr="007C42DF">
        <w:rPr>
          <w:rFonts w:ascii="Verdana" w:hAnsi="Verdana"/>
          <w:spacing w:val="-18"/>
          <w:sz w:val="20"/>
          <w:szCs w:val="20"/>
        </w:rPr>
        <w:t xml:space="preserve"> </w:t>
      </w:r>
      <w:r w:rsidRPr="007C42DF">
        <w:rPr>
          <w:rFonts w:ascii="Verdana" w:hAnsi="Verdana"/>
          <w:sz w:val="20"/>
          <w:szCs w:val="20"/>
        </w:rPr>
        <w:t>con</w:t>
      </w:r>
      <w:r w:rsidRPr="007C42DF">
        <w:rPr>
          <w:rFonts w:ascii="Verdana" w:hAnsi="Verdana"/>
          <w:spacing w:val="-18"/>
          <w:sz w:val="20"/>
          <w:szCs w:val="20"/>
        </w:rPr>
        <w:t xml:space="preserve"> </w:t>
      </w:r>
      <w:r w:rsidRPr="007C42DF">
        <w:rPr>
          <w:rFonts w:ascii="Verdana" w:hAnsi="Verdana"/>
          <w:sz w:val="20"/>
          <w:szCs w:val="20"/>
        </w:rPr>
        <w:t>recursos</w:t>
      </w:r>
      <w:r w:rsidRPr="007C42DF">
        <w:rPr>
          <w:rFonts w:ascii="Verdana" w:hAnsi="Verdana"/>
          <w:spacing w:val="-16"/>
          <w:sz w:val="20"/>
          <w:szCs w:val="20"/>
        </w:rPr>
        <w:t xml:space="preserve"> </w:t>
      </w:r>
      <w:r w:rsidRPr="007C42DF">
        <w:rPr>
          <w:rFonts w:ascii="Verdana" w:hAnsi="Verdana"/>
          <w:sz w:val="20"/>
          <w:szCs w:val="20"/>
        </w:rPr>
        <w:t>públicos,</w:t>
      </w:r>
      <w:r w:rsidRPr="007C42DF">
        <w:rPr>
          <w:rFonts w:ascii="Verdana" w:hAnsi="Verdana"/>
          <w:spacing w:val="-15"/>
          <w:sz w:val="20"/>
          <w:szCs w:val="20"/>
        </w:rPr>
        <w:t xml:space="preserve"> </w:t>
      </w:r>
      <w:r w:rsidRPr="007C42DF">
        <w:rPr>
          <w:rFonts w:ascii="Verdana" w:hAnsi="Verdana"/>
          <w:sz w:val="20"/>
          <w:szCs w:val="20"/>
        </w:rPr>
        <w:t>cuya</w:t>
      </w:r>
      <w:r w:rsidRPr="007C42DF">
        <w:rPr>
          <w:rFonts w:ascii="Verdana" w:hAnsi="Verdana"/>
          <w:spacing w:val="-17"/>
          <w:sz w:val="20"/>
          <w:szCs w:val="20"/>
        </w:rPr>
        <w:t xml:space="preserve"> </w:t>
      </w:r>
      <w:r w:rsidRPr="007C42DF">
        <w:rPr>
          <w:rFonts w:ascii="Verdana" w:hAnsi="Verdana"/>
          <w:sz w:val="20"/>
          <w:szCs w:val="20"/>
        </w:rPr>
        <w:t>información</w:t>
      </w:r>
      <w:r w:rsidRPr="007C42DF">
        <w:rPr>
          <w:rFonts w:ascii="Verdana" w:hAnsi="Verdana"/>
          <w:spacing w:val="-18"/>
          <w:sz w:val="20"/>
          <w:szCs w:val="20"/>
        </w:rPr>
        <w:t xml:space="preserve"> </w:t>
      </w:r>
      <w:r w:rsidRPr="007C42DF">
        <w:rPr>
          <w:rFonts w:ascii="Verdana" w:hAnsi="Verdana"/>
          <w:sz w:val="20"/>
          <w:szCs w:val="20"/>
        </w:rPr>
        <w:t>es</w:t>
      </w:r>
      <w:r w:rsidRPr="007C42DF">
        <w:rPr>
          <w:rFonts w:ascii="Verdana" w:hAnsi="Verdana"/>
          <w:spacing w:val="-16"/>
          <w:sz w:val="20"/>
          <w:szCs w:val="20"/>
        </w:rPr>
        <w:t xml:space="preserve"> </w:t>
      </w:r>
      <w:r w:rsidRPr="007C42DF">
        <w:rPr>
          <w:rFonts w:ascii="Verdana" w:hAnsi="Verdana"/>
          <w:sz w:val="20"/>
          <w:szCs w:val="20"/>
        </w:rPr>
        <w:t>la</w:t>
      </w:r>
      <w:r w:rsidRPr="007C42DF">
        <w:rPr>
          <w:rFonts w:ascii="Verdana" w:hAnsi="Verdana"/>
          <w:spacing w:val="-1"/>
          <w:sz w:val="20"/>
          <w:szCs w:val="20"/>
        </w:rPr>
        <w:t xml:space="preserve"> </w:t>
      </w:r>
      <w:r w:rsidRPr="007C42DF">
        <w:rPr>
          <w:rFonts w:ascii="Verdana" w:hAnsi="Verdana"/>
          <w:sz w:val="20"/>
          <w:szCs w:val="20"/>
        </w:rPr>
        <w:t>que</w:t>
      </w:r>
      <w:r w:rsidRPr="007C42DF">
        <w:rPr>
          <w:rFonts w:ascii="Verdana" w:hAnsi="Verdana"/>
          <w:spacing w:val="-17"/>
          <w:sz w:val="20"/>
          <w:szCs w:val="20"/>
        </w:rPr>
        <w:t xml:space="preserve"> </w:t>
      </w:r>
      <w:r w:rsidRPr="007C42DF">
        <w:rPr>
          <w:rFonts w:ascii="Verdana" w:hAnsi="Verdana"/>
          <w:sz w:val="20"/>
          <w:szCs w:val="20"/>
        </w:rPr>
        <w:t>debe</w:t>
      </w:r>
      <w:r w:rsidRPr="007C42DF">
        <w:rPr>
          <w:rFonts w:ascii="Verdana" w:hAnsi="Verdana"/>
          <w:spacing w:val="-16"/>
          <w:sz w:val="20"/>
          <w:szCs w:val="20"/>
        </w:rPr>
        <w:t xml:space="preserve"> </w:t>
      </w:r>
      <w:r w:rsidRPr="007C42DF">
        <w:rPr>
          <w:rFonts w:ascii="Verdana" w:hAnsi="Verdana"/>
          <w:sz w:val="20"/>
          <w:szCs w:val="20"/>
        </w:rPr>
        <w:t>publicarse en el SECOP II”.</w:t>
      </w:r>
    </w:p>
    <w:p w14:paraId="0821FD1A" w14:textId="77777777" w:rsidR="00BE28BA" w:rsidRDefault="00BE28BA" w:rsidP="0060171C">
      <w:pPr>
        <w:spacing w:after="0" w:line="276" w:lineRule="auto"/>
        <w:ind w:left="709" w:right="709"/>
        <w:jc w:val="both"/>
        <w:rPr>
          <w:sz w:val="20"/>
        </w:rPr>
      </w:pPr>
    </w:p>
    <w:p w14:paraId="0AF909D9" w14:textId="77777777" w:rsidR="00E85C97" w:rsidRDefault="00E85C97" w:rsidP="00BE28BA">
      <w:pPr>
        <w:pStyle w:val="Textoindependiente"/>
        <w:spacing w:line="276" w:lineRule="auto"/>
        <w:ind w:right="278" w:firstLine="709"/>
        <w:jc w:val="both"/>
      </w:pPr>
      <w:r>
        <w:t>Conforme a lo anterior, esta Agencia entiende que, en aplicación del artículo 53 de la Ley 2195 de 2022, las entidades exceptuadas están obligadas a</w:t>
      </w:r>
      <w:r>
        <w:rPr>
          <w:spacing w:val="76"/>
        </w:rPr>
        <w:t xml:space="preserve"> </w:t>
      </w:r>
      <w:r>
        <w:t>publicar</w:t>
      </w:r>
      <w:r>
        <w:rPr>
          <w:spacing w:val="42"/>
          <w:w w:val="150"/>
        </w:rPr>
        <w:t xml:space="preserve"> </w:t>
      </w:r>
      <w:r>
        <w:t>en</w:t>
      </w:r>
      <w:r>
        <w:rPr>
          <w:spacing w:val="79"/>
        </w:rPr>
        <w:t xml:space="preserve"> </w:t>
      </w:r>
      <w:r>
        <w:t>el</w:t>
      </w:r>
      <w:r>
        <w:rPr>
          <w:spacing w:val="74"/>
        </w:rPr>
        <w:t xml:space="preserve"> </w:t>
      </w:r>
      <w:r>
        <w:t>SECOP</w:t>
      </w:r>
      <w:r>
        <w:rPr>
          <w:spacing w:val="77"/>
        </w:rPr>
        <w:t xml:space="preserve"> </w:t>
      </w:r>
      <w:r>
        <w:t>II</w:t>
      </w:r>
      <w:r>
        <w:rPr>
          <w:spacing w:val="42"/>
          <w:w w:val="150"/>
        </w:rPr>
        <w:t xml:space="preserve"> </w:t>
      </w:r>
      <w:r>
        <w:t>los</w:t>
      </w:r>
      <w:r>
        <w:rPr>
          <w:spacing w:val="75"/>
        </w:rPr>
        <w:t xml:space="preserve"> </w:t>
      </w:r>
      <w:r>
        <w:t>documentos</w:t>
      </w:r>
      <w:r>
        <w:rPr>
          <w:spacing w:val="41"/>
          <w:w w:val="150"/>
        </w:rPr>
        <w:t xml:space="preserve"> </w:t>
      </w:r>
      <w:r>
        <w:t>relacionados</w:t>
      </w:r>
      <w:r>
        <w:rPr>
          <w:spacing w:val="41"/>
          <w:w w:val="150"/>
        </w:rPr>
        <w:t xml:space="preserve"> </w:t>
      </w:r>
      <w:r>
        <w:t>con</w:t>
      </w:r>
      <w:r>
        <w:rPr>
          <w:spacing w:val="75"/>
        </w:rPr>
        <w:t xml:space="preserve"> </w:t>
      </w:r>
      <w:r>
        <w:t>su</w:t>
      </w:r>
      <w:r>
        <w:rPr>
          <w:spacing w:val="75"/>
        </w:rPr>
        <w:t xml:space="preserve"> </w:t>
      </w:r>
      <w:r>
        <w:rPr>
          <w:spacing w:val="-2"/>
        </w:rPr>
        <w:t>actividad contractual</w:t>
      </w:r>
      <w:r>
        <w:t xml:space="preserve"> cuando esta se financie con recursos públicos, aun cuando se rijan por</w:t>
      </w:r>
      <w:r>
        <w:rPr>
          <w:spacing w:val="-3"/>
        </w:rPr>
        <w:t xml:space="preserve"> </w:t>
      </w:r>
      <w:r>
        <w:t>un</w:t>
      </w:r>
      <w:r>
        <w:rPr>
          <w:spacing w:val="-9"/>
        </w:rPr>
        <w:t xml:space="preserve"> </w:t>
      </w:r>
      <w:r>
        <w:t>régimen</w:t>
      </w:r>
      <w:r>
        <w:rPr>
          <w:spacing w:val="-9"/>
        </w:rPr>
        <w:t xml:space="preserve"> </w:t>
      </w:r>
      <w:r>
        <w:t>de</w:t>
      </w:r>
      <w:r>
        <w:rPr>
          <w:spacing w:val="-5"/>
        </w:rPr>
        <w:t xml:space="preserve"> </w:t>
      </w:r>
      <w:r>
        <w:t>derecho</w:t>
      </w:r>
      <w:r>
        <w:rPr>
          <w:spacing w:val="-3"/>
        </w:rPr>
        <w:t xml:space="preserve"> </w:t>
      </w:r>
      <w:r>
        <w:t>privado.</w:t>
      </w:r>
      <w:r>
        <w:rPr>
          <w:spacing w:val="-9"/>
        </w:rPr>
        <w:t xml:space="preserve"> </w:t>
      </w:r>
      <w:r>
        <w:t>Respecto de los recursos manejados por las Cámaras de Comercio, la Corte Constitucional en sentencia C- 167/95 manifestó:</w:t>
      </w:r>
    </w:p>
    <w:p w14:paraId="4F28463F" w14:textId="77777777" w:rsidR="00BE28BA" w:rsidRDefault="00BE28BA" w:rsidP="0060171C">
      <w:pPr>
        <w:pStyle w:val="Textoindependiente"/>
        <w:spacing w:line="276" w:lineRule="auto"/>
        <w:ind w:right="278" w:firstLine="709"/>
        <w:jc w:val="both"/>
      </w:pPr>
    </w:p>
    <w:p w14:paraId="0EFB6DF3" w14:textId="77777777" w:rsidR="00E85C97" w:rsidRPr="007C42DF" w:rsidRDefault="00E85C97" w:rsidP="0060171C">
      <w:pPr>
        <w:pStyle w:val="Textoindependiente"/>
        <w:ind w:left="709" w:right="709"/>
        <w:jc w:val="both"/>
        <w:rPr>
          <w:i/>
          <w:iCs/>
          <w:sz w:val="20"/>
          <w:szCs w:val="20"/>
          <w:lang w:val="es-CO"/>
        </w:rPr>
      </w:pPr>
      <w:r>
        <w:t xml:space="preserve"> </w:t>
      </w:r>
      <w:r w:rsidRPr="007C42DF">
        <w:rPr>
          <w:sz w:val="20"/>
          <w:szCs w:val="20"/>
        </w:rPr>
        <w:t>“</w:t>
      </w:r>
      <w:r w:rsidRPr="007C42DF">
        <w:rPr>
          <w:sz w:val="20"/>
          <w:szCs w:val="20"/>
          <w:lang w:val="es-CO"/>
        </w:rPr>
        <w:t xml:space="preserve">…para esta Corporación es racional entender que, si el registro mercantil implica la prestación de un servicio público, su financiamiento debe asegurarse mediante un ingreso percibido por la Cámara de Comercio en forma de tasa, cuyo destino no es el acrecimiento del patrimonio de la entidad, tal como lo entiende el libelista, sino para asegurar la adecuada prestación de este servicio </w:t>
      </w:r>
      <w:proofErr w:type="spellStart"/>
      <w:r w:rsidRPr="007C42DF">
        <w:rPr>
          <w:sz w:val="20"/>
          <w:szCs w:val="20"/>
          <w:lang w:val="es-CO"/>
        </w:rPr>
        <w:t>publico</w:t>
      </w:r>
      <w:proofErr w:type="spellEnd"/>
      <w:r w:rsidRPr="007C42DF">
        <w:rPr>
          <w:sz w:val="20"/>
          <w:szCs w:val="20"/>
          <w:lang w:val="es-CO"/>
        </w:rPr>
        <w:t xml:space="preserve">, vale decir que para la recuperación del </w:t>
      </w:r>
      <w:r w:rsidRPr="007C42DF">
        <w:rPr>
          <w:i/>
          <w:iCs/>
          <w:sz w:val="20"/>
          <w:szCs w:val="20"/>
          <w:lang w:val="es-CO"/>
        </w:rPr>
        <w:lastRenderedPageBreak/>
        <w:t>costo total o parcial del servicio, que es consustancial a la naturaleza de este ingreso público. Si bien es cierto que no es objeto de discusión por parte del libelista, conviene precisar y recordar la jurisprudencia de esta Corporación (Sentencia C-465 de 1993), en donde se estableció el concepto de tasa como ingreso tributario, para concluir que en este caso específico, este ingreso no se puede considerar como ingreso privado de las Cámaras de Comercio (…), pues únicamente posee el propósito de financiar la función pública del registro mercantil; no es un título adquisitivo de dominio para la persona jurídica de derecho privado que la presta (…), en consecuencia, los recursos económicos provenientes del ejercicio de tales funciones, como el registro público mercantil se traducen en la generación y conformación de fondos públicos…”.</w:t>
      </w:r>
    </w:p>
    <w:p w14:paraId="5EB5CBE2" w14:textId="77777777" w:rsidR="00E85C97" w:rsidRDefault="00E85C97" w:rsidP="00E85C97">
      <w:pPr>
        <w:pStyle w:val="Textoindependiente"/>
        <w:spacing w:line="276" w:lineRule="auto"/>
        <w:ind w:left="260" w:right="758" w:firstLine="449"/>
        <w:jc w:val="both"/>
        <w:rPr>
          <w:i/>
          <w:iCs/>
          <w:lang w:val="es-CO"/>
        </w:rPr>
      </w:pPr>
    </w:p>
    <w:p w14:paraId="7F5B7750" w14:textId="77777777" w:rsidR="00E85C97" w:rsidRDefault="00E85C97" w:rsidP="002C1765">
      <w:pPr>
        <w:pStyle w:val="Textoindependiente"/>
        <w:spacing w:after="120" w:line="276" w:lineRule="auto"/>
        <w:ind w:right="277" w:firstLine="709"/>
        <w:jc w:val="both"/>
        <w:rPr>
          <w:lang w:val="es-CO"/>
        </w:rPr>
      </w:pPr>
      <w:r>
        <w:t xml:space="preserve">Así mismo, en concepto </w:t>
      </w:r>
      <w:r w:rsidRPr="00DD00A9">
        <w:rPr>
          <w:lang w:val="es-CO"/>
        </w:rPr>
        <w:t>2025 de 2011</w:t>
      </w:r>
      <w:r>
        <w:rPr>
          <w:lang w:val="es-CO"/>
        </w:rPr>
        <w:t xml:space="preserve">, </w:t>
      </w:r>
      <w:r>
        <w:t>el Consejo de Estado manifestó: “</w:t>
      </w:r>
      <w:r w:rsidRPr="006970D0">
        <w:rPr>
          <w:lang w:val="es-CO"/>
        </w:rPr>
        <w:t>De lo expresado por la doctrina de la Sala y la jurisprudencia de la Corte Constitucional, y en su momento por la de la Corte Suprema de Justicia, cabe extraer las siguientes conclusiones:</w:t>
      </w:r>
      <w:r>
        <w:rPr>
          <w:lang w:val="es-CO"/>
        </w:rPr>
        <w:t xml:space="preserve"> </w:t>
      </w:r>
      <w:r>
        <w:t xml:space="preserve">[…] </w:t>
      </w:r>
      <w:r w:rsidRPr="006970D0">
        <w:rPr>
          <w:lang w:val="es-CO"/>
        </w:rPr>
        <w:t xml:space="preserve"> </w:t>
      </w:r>
      <w:proofErr w:type="spellStart"/>
      <w:r w:rsidRPr="006970D0">
        <w:rPr>
          <w:lang w:val="es-CO"/>
        </w:rPr>
        <w:t>iii</w:t>
      </w:r>
      <w:proofErr w:type="spellEnd"/>
      <w:r w:rsidRPr="006970D0">
        <w:rPr>
          <w:lang w:val="es-CO"/>
        </w:rPr>
        <w:t>) En el caso bajo estudio, los ingresos de las cámaras de comercio a título de tasa se encuentran vinculados a la función pública de llevar el registro mercantil y certificar sobre los documentos y actos en él inscritos y, por tanto, son dineros fiscales que conforman fondos públicos.</w:t>
      </w:r>
      <w:r w:rsidRPr="003B79C7">
        <w:t xml:space="preserve"> </w:t>
      </w:r>
      <w:r>
        <w:t>[…]</w:t>
      </w:r>
      <w:r>
        <w:rPr>
          <w:lang w:val="es-CO"/>
        </w:rPr>
        <w:t>”</w:t>
      </w:r>
    </w:p>
    <w:p w14:paraId="72FD2C93" w14:textId="77777777" w:rsidR="00E85C97" w:rsidRDefault="00E85C97" w:rsidP="002C1765">
      <w:pPr>
        <w:widowControl w:val="0"/>
        <w:autoSpaceDE w:val="0"/>
        <w:autoSpaceDN w:val="0"/>
        <w:spacing w:after="120" w:line="276" w:lineRule="auto"/>
        <w:ind w:firstLine="709"/>
        <w:jc w:val="both"/>
        <w:rPr>
          <w:rFonts w:ascii="Verdana" w:eastAsia="Calibri" w:hAnsi="Verdana" w:cs="Arial"/>
        </w:rPr>
      </w:pPr>
      <w:r w:rsidRPr="007D6C48">
        <w:rPr>
          <w:rFonts w:ascii="Verdana" w:eastAsia="Calibri" w:hAnsi="Verdana" w:cs="Arial"/>
        </w:rPr>
        <w:t>En consecuencia, independientemente del régimen jurídico aplicable —sea de derecho privado o de régimen especial—, toda entidad que adelante procesos contractuales con cargo a recursos públicos están obligada a realizar la correspondiente publicación en el SECOP</w:t>
      </w:r>
      <w:r>
        <w:rPr>
          <w:rFonts w:ascii="Verdana" w:eastAsia="Calibri" w:hAnsi="Verdana" w:cs="Arial"/>
        </w:rPr>
        <w:t>.</w:t>
      </w:r>
    </w:p>
    <w:p w14:paraId="75A3EE9F" w14:textId="77777777" w:rsidR="00E85C97" w:rsidRPr="003F2272" w:rsidRDefault="00E85C97" w:rsidP="002C1765">
      <w:pPr>
        <w:spacing w:after="120" w:line="276" w:lineRule="auto"/>
        <w:ind w:firstLine="709"/>
        <w:jc w:val="both"/>
        <w:rPr>
          <w:rFonts w:ascii="Verdana" w:eastAsia="Calibri" w:hAnsi="Verdana" w:cs="Arial"/>
          <w:color w:val="000000" w:themeColor="text1"/>
        </w:rPr>
      </w:pPr>
      <w:r>
        <w:rPr>
          <w:rFonts w:ascii="Verdana" w:eastAsia="Calibri" w:hAnsi="Verdana" w:cs="Arial"/>
        </w:rPr>
        <w:t>Frente a las Empresas Sociales del Estado, e</w:t>
      </w:r>
      <w:r w:rsidRPr="1D134702">
        <w:rPr>
          <w:rFonts w:ascii="Verdana" w:eastAsia="Calibri" w:hAnsi="Verdana" w:cs="Arial"/>
          <w:color w:val="000000" w:themeColor="text1"/>
        </w:rPr>
        <w:t>l</w:t>
      </w:r>
      <w:r w:rsidRPr="003F2272">
        <w:rPr>
          <w:rFonts w:ascii="Verdana" w:eastAsia="Calibri" w:hAnsi="Verdana" w:cs="Arial"/>
          <w:color w:val="000000" w:themeColor="text1"/>
        </w:rPr>
        <w:t xml:space="preserve"> ordenamiento jurídico colombiano contempla como categoría única la noción de “contratos estatales”, pero acepta la posibilidad de que dichos contratos tengan regímenes jurídicos diferenciados. En virtud de ello se afirma que hay contratos estatales sometidos al </w:t>
      </w:r>
      <w:r w:rsidRPr="1D134702">
        <w:rPr>
          <w:rFonts w:ascii="Verdana" w:eastAsia="Calibri" w:hAnsi="Verdana" w:cs="Arial"/>
          <w:color w:val="000000" w:themeColor="text1"/>
        </w:rPr>
        <w:t>Estatuto General de Contratación de la Administración Pública – en adelante EGCAP -</w:t>
      </w:r>
      <w:r w:rsidRPr="003F2272">
        <w:rPr>
          <w:rFonts w:ascii="Verdana" w:eastAsia="Calibri" w:hAnsi="Verdana" w:cs="Arial"/>
          <w:color w:val="000000" w:themeColor="text1"/>
        </w:rPr>
        <w:t xml:space="preserve"> (Leyes 80 de 1993, 1150 de 2007 y disposiciones complementarias) y contratos estatales sometidos a reglas especiales, usualmente al derecho privado.</w:t>
      </w:r>
    </w:p>
    <w:p w14:paraId="2D064745" w14:textId="77777777" w:rsidR="00E85C97" w:rsidRDefault="00E85C97" w:rsidP="00E85C9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w:t>
      </w:r>
      <w:r w:rsidRPr="003F2272">
        <w:rPr>
          <w:rFonts w:ascii="Verdana" w:eastAsia="Calibri" w:hAnsi="Verdana" w:cs="Arial"/>
          <w:color w:val="000000" w:themeColor="text1"/>
        </w:rPr>
        <w:t>entro de la estructura de la Administración pública se encuentran las entidades descentralizadas por servicios, y dentro de dicha categoría se ubican las E</w:t>
      </w:r>
      <w:r>
        <w:rPr>
          <w:rFonts w:ascii="Verdana" w:eastAsia="Calibri" w:hAnsi="Verdana" w:cs="Arial"/>
          <w:color w:val="000000" w:themeColor="text1"/>
        </w:rPr>
        <w:t>mpresas</w:t>
      </w:r>
      <w:r w:rsidRPr="003F2272">
        <w:rPr>
          <w:rFonts w:ascii="Verdana" w:eastAsia="Calibri" w:hAnsi="Verdana" w:cs="Arial"/>
          <w:color w:val="000000" w:themeColor="text1"/>
        </w:rPr>
        <w:t xml:space="preserve"> Sociales del Estado, a las que se refiere en su consulta, las cuales, sin perjuicio del control de tutela, tienen personería jurídica, autonomía administrativa y patrimonio propio.</w:t>
      </w:r>
      <w:r w:rsidRPr="003F2272">
        <w:rPr>
          <w:rFonts w:ascii="Verdana" w:eastAsia="Calibri" w:hAnsi="Verdana" w:cs="Arial"/>
          <w:b/>
          <w:bCs/>
          <w:color w:val="000000" w:themeColor="text1"/>
        </w:rPr>
        <w:t xml:space="preserve"> </w:t>
      </w:r>
      <w:r w:rsidRPr="003F2272">
        <w:rPr>
          <w:rFonts w:ascii="Verdana" w:eastAsia="Calibri" w:hAnsi="Verdana" w:cs="Arial"/>
          <w:color w:val="000000" w:themeColor="text1"/>
        </w:rPr>
        <w:t xml:space="preserve">Estas entidades, de acuerdo con lo que establece el artículo 83 de la Ley 489 de 1998, son “creadas por la Nación o por </w:t>
      </w:r>
      <w:r w:rsidRPr="003F2272">
        <w:rPr>
          <w:rFonts w:ascii="Verdana" w:eastAsia="Calibri" w:hAnsi="Verdana" w:cs="Arial"/>
          <w:color w:val="000000" w:themeColor="text1"/>
        </w:rPr>
        <w:lastRenderedPageBreak/>
        <w:t xml:space="preserve">las entidades territoriales para la prestación en forma directa de servicios de salud”. Su régimen jurídico lo conforman las Leyes 100 de 1993 y 344 de 1996, así como también la Ley 489 de 1998, pero esta última únicamente en relación con los asuntos no regulados en las dos leyes mencionadas o en las normas que las reglamentan y complementan o en las que pudieran llegar a hacerlo. </w:t>
      </w:r>
    </w:p>
    <w:p w14:paraId="64E8DF22" w14:textId="77777777" w:rsidR="00E85C97" w:rsidRPr="003F2272" w:rsidRDefault="00E85C97" w:rsidP="0060171C">
      <w:pPr>
        <w:spacing w:before="120" w:after="0" w:line="276" w:lineRule="auto"/>
        <w:ind w:firstLine="708"/>
        <w:jc w:val="both"/>
        <w:rPr>
          <w:rFonts w:ascii="Verdana" w:eastAsia="Calibri" w:hAnsi="Verdana" w:cs="Arial"/>
          <w:color w:val="000000" w:themeColor="text1"/>
        </w:rPr>
      </w:pPr>
      <w:r w:rsidRPr="003F2272">
        <w:rPr>
          <w:rFonts w:ascii="Verdana" w:eastAsia="Calibri" w:hAnsi="Verdana" w:cs="Arial"/>
          <w:color w:val="000000" w:themeColor="text1"/>
          <w:lang w:val="es-ES"/>
        </w:rPr>
        <w:t>El artículo 194 de la Ley 100 de 1993 señala:</w:t>
      </w:r>
    </w:p>
    <w:p w14:paraId="54C4F69D" w14:textId="77777777" w:rsidR="00E85C97" w:rsidRPr="003F2272" w:rsidRDefault="00E85C97" w:rsidP="00E85C97">
      <w:pPr>
        <w:spacing w:after="0" w:line="276" w:lineRule="auto"/>
        <w:ind w:left="709" w:right="758"/>
        <w:jc w:val="both"/>
        <w:rPr>
          <w:rFonts w:ascii="Verdana" w:eastAsia="Calibri" w:hAnsi="Verdana" w:cs="Arial"/>
          <w:color w:val="000000" w:themeColor="text1"/>
          <w:lang w:val="es-ES"/>
        </w:rPr>
      </w:pPr>
    </w:p>
    <w:p w14:paraId="2335C804" w14:textId="77777777" w:rsidR="00E85C97" w:rsidRPr="003F2272" w:rsidRDefault="00E85C97" w:rsidP="0060171C">
      <w:pPr>
        <w:spacing w:after="0" w:line="240" w:lineRule="auto"/>
        <w:ind w:left="709" w:right="709"/>
        <w:jc w:val="both"/>
        <w:rPr>
          <w:rFonts w:ascii="Verdana" w:eastAsia="Calibri" w:hAnsi="Verdana" w:cs="Arial"/>
          <w:color w:val="000000" w:themeColor="text1"/>
          <w:sz w:val="20"/>
          <w:szCs w:val="20"/>
        </w:rPr>
      </w:pPr>
      <w:r w:rsidRPr="003F2272">
        <w:rPr>
          <w:rFonts w:ascii="Verdana" w:eastAsia="Calibri" w:hAnsi="Verdana" w:cs="Arial"/>
          <w:color w:val="000000" w:themeColor="text1"/>
          <w:sz w:val="20"/>
          <w:szCs w:val="20"/>
        </w:rPr>
        <w:t xml:space="preserve">“Artículo 194. </w:t>
      </w:r>
      <w:r w:rsidRPr="003F2272">
        <w:rPr>
          <w:rFonts w:ascii="Verdana" w:eastAsia="Calibri" w:hAnsi="Verdana" w:cs="Arial"/>
          <w:i/>
          <w:iCs/>
          <w:color w:val="000000" w:themeColor="text1"/>
          <w:sz w:val="20"/>
          <w:szCs w:val="20"/>
        </w:rPr>
        <w:t>Naturaleza</w:t>
      </w:r>
      <w:r w:rsidRPr="003F2272">
        <w:rPr>
          <w:rFonts w:ascii="Verdana" w:eastAsia="Calibri" w:hAnsi="Verdana" w:cs="Arial"/>
          <w:color w:val="000000" w:themeColor="text1"/>
          <w:sz w:val="20"/>
          <w:szCs w:val="20"/>
        </w:rPr>
        <w:t>.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61471944" w14:textId="77777777" w:rsidR="00E85C97" w:rsidRPr="003F2272" w:rsidRDefault="00E85C97" w:rsidP="002C1765">
      <w:pPr>
        <w:spacing w:after="0" w:line="276" w:lineRule="auto"/>
        <w:jc w:val="both"/>
        <w:rPr>
          <w:rFonts w:ascii="Verdana" w:eastAsia="Calibri" w:hAnsi="Verdana" w:cs="Arial"/>
          <w:color w:val="000000" w:themeColor="text1"/>
          <w:lang w:val="es-ES"/>
        </w:rPr>
      </w:pPr>
      <w:r w:rsidRPr="003F2272">
        <w:rPr>
          <w:rFonts w:ascii="Verdana" w:eastAsia="Calibri" w:hAnsi="Verdana" w:cs="Arial"/>
          <w:color w:val="000000" w:themeColor="text1"/>
          <w:lang w:val="es-ES"/>
        </w:rPr>
        <w:tab/>
        <w:t xml:space="preserve"> </w:t>
      </w:r>
    </w:p>
    <w:p w14:paraId="7FA14168" w14:textId="77777777" w:rsidR="00E85C97" w:rsidRPr="003F2272" w:rsidRDefault="00E85C97" w:rsidP="002C1765">
      <w:pPr>
        <w:spacing w:after="0" w:line="276" w:lineRule="auto"/>
        <w:jc w:val="both"/>
        <w:rPr>
          <w:rFonts w:ascii="Verdana" w:eastAsia="Calibri" w:hAnsi="Verdana" w:cs="Arial"/>
          <w:color w:val="000000" w:themeColor="text1"/>
          <w:lang w:val="es-ES"/>
        </w:rPr>
      </w:pPr>
      <w:r w:rsidRPr="003F2272">
        <w:rPr>
          <w:rFonts w:ascii="Verdana" w:eastAsia="Calibri" w:hAnsi="Verdana" w:cs="Arial"/>
          <w:color w:val="000000" w:themeColor="text1"/>
          <w:lang w:val="es-ES"/>
        </w:rPr>
        <w:tab/>
        <w:t xml:space="preserve">Por otro lado, el artículo 195 </w:t>
      </w:r>
      <w:r w:rsidRPr="003F2272">
        <w:rPr>
          <w:rFonts w:ascii="Verdana" w:eastAsia="Calibri" w:hAnsi="Verdana" w:cs="Arial"/>
          <w:i/>
          <w:iCs/>
          <w:color w:val="000000" w:themeColor="text1"/>
          <w:lang w:val="es-ES"/>
        </w:rPr>
        <w:t>ibidem</w:t>
      </w:r>
      <w:r w:rsidRPr="003F2272">
        <w:rPr>
          <w:rFonts w:ascii="Verdana" w:eastAsia="Calibri" w:hAnsi="Verdana" w:cs="Arial"/>
          <w:color w:val="000000" w:themeColor="text1"/>
          <w:lang w:val="es-ES"/>
        </w:rPr>
        <w:t xml:space="preserve"> establece que dichas entidades estatales se someterán al régimen jurídico establecido en sus numerales. Particularmente, en materia contractual, en su numeral 6 dicha disposición consagra que se regirán por el derecho privado, pero tendrán la facultad de incorporar en el texto contractual las cláusulas exorbitantes previstas en el EGCAP. A continuación, se cita el contenido del numeral 6:</w:t>
      </w:r>
    </w:p>
    <w:p w14:paraId="68572EB6" w14:textId="77777777" w:rsidR="00E85C97" w:rsidRPr="003F2272" w:rsidRDefault="00E85C97" w:rsidP="002C1765">
      <w:pPr>
        <w:spacing w:after="0" w:line="276" w:lineRule="auto"/>
        <w:jc w:val="both"/>
        <w:rPr>
          <w:rFonts w:ascii="Verdana" w:eastAsia="Calibri" w:hAnsi="Verdana" w:cs="Arial"/>
          <w:color w:val="000000" w:themeColor="text1"/>
          <w:lang w:val="es-ES"/>
        </w:rPr>
      </w:pPr>
    </w:p>
    <w:p w14:paraId="73A7E6BD" w14:textId="77777777" w:rsidR="00E85C97" w:rsidRPr="003F2272" w:rsidRDefault="00E85C97" w:rsidP="00E85C97">
      <w:pPr>
        <w:spacing w:after="0" w:line="240" w:lineRule="auto"/>
        <w:ind w:left="709" w:right="709"/>
        <w:jc w:val="both"/>
        <w:rPr>
          <w:rFonts w:ascii="Verdana" w:eastAsia="Calibri" w:hAnsi="Verdana" w:cs="Arial"/>
          <w:color w:val="000000" w:themeColor="text1"/>
          <w:sz w:val="20"/>
          <w:szCs w:val="20"/>
        </w:rPr>
      </w:pPr>
      <w:r w:rsidRPr="003F2272">
        <w:rPr>
          <w:rFonts w:ascii="Verdana" w:eastAsia="Calibri" w:hAnsi="Verdana" w:cs="Arial"/>
          <w:color w:val="000000" w:themeColor="text1"/>
          <w:sz w:val="20"/>
          <w:szCs w:val="20"/>
        </w:rPr>
        <w:t xml:space="preserve">“Artículo 195. </w:t>
      </w:r>
      <w:r w:rsidRPr="003F2272">
        <w:rPr>
          <w:rFonts w:ascii="Verdana" w:eastAsia="Calibri" w:hAnsi="Verdana" w:cs="Arial"/>
          <w:i/>
          <w:iCs/>
          <w:color w:val="000000" w:themeColor="text1"/>
          <w:sz w:val="20"/>
          <w:szCs w:val="20"/>
        </w:rPr>
        <w:t>Régimen jurídico</w:t>
      </w:r>
      <w:r w:rsidRPr="003F2272">
        <w:rPr>
          <w:rFonts w:ascii="Verdana" w:eastAsia="Calibri" w:hAnsi="Verdana" w:cs="Arial"/>
          <w:color w:val="000000" w:themeColor="text1"/>
          <w:sz w:val="20"/>
          <w:szCs w:val="20"/>
        </w:rPr>
        <w:t>. Las Empresas Sociales de Salud se someterán al siguiente régimen jurídico: </w:t>
      </w:r>
    </w:p>
    <w:p w14:paraId="0B4BCCB6" w14:textId="77777777" w:rsidR="00E85C97" w:rsidRPr="003F2272" w:rsidRDefault="00E85C97" w:rsidP="00E85C97">
      <w:pPr>
        <w:spacing w:after="0" w:line="240" w:lineRule="auto"/>
        <w:ind w:left="709" w:right="709"/>
        <w:jc w:val="both"/>
        <w:rPr>
          <w:rFonts w:ascii="Verdana" w:eastAsia="Calibri" w:hAnsi="Verdana" w:cs="Arial"/>
          <w:color w:val="000000" w:themeColor="text1"/>
          <w:sz w:val="20"/>
          <w:szCs w:val="20"/>
        </w:rPr>
      </w:pPr>
    </w:p>
    <w:p w14:paraId="75F912E4" w14:textId="77777777" w:rsidR="00E85C97" w:rsidRPr="003F2272" w:rsidRDefault="00E85C97" w:rsidP="00E85C97">
      <w:pPr>
        <w:spacing w:after="0" w:line="240" w:lineRule="auto"/>
        <w:ind w:left="709" w:right="709"/>
        <w:jc w:val="both"/>
        <w:rPr>
          <w:rFonts w:ascii="Verdana" w:eastAsia="Calibri" w:hAnsi="Verdana" w:cs="Arial"/>
          <w:color w:val="000000" w:themeColor="text1"/>
          <w:sz w:val="20"/>
          <w:szCs w:val="20"/>
        </w:rPr>
      </w:pPr>
      <w:r w:rsidRPr="003F2272">
        <w:rPr>
          <w:rFonts w:ascii="Verdana" w:eastAsia="Calibri" w:hAnsi="Verdana" w:cs="Arial"/>
          <w:color w:val="000000" w:themeColor="text1"/>
          <w:sz w:val="20"/>
          <w:szCs w:val="20"/>
        </w:rPr>
        <w:t>[…]</w:t>
      </w:r>
    </w:p>
    <w:p w14:paraId="6F56BE8B" w14:textId="77777777" w:rsidR="00E85C97" w:rsidRPr="003F2272" w:rsidRDefault="00E85C97" w:rsidP="00E85C97">
      <w:pPr>
        <w:spacing w:after="0" w:line="240" w:lineRule="auto"/>
        <w:ind w:left="709" w:right="709"/>
        <w:jc w:val="both"/>
        <w:rPr>
          <w:rFonts w:ascii="Verdana" w:eastAsia="Calibri" w:hAnsi="Verdana" w:cs="Arial"/>
          <w:color w:val="000000" w:themeColor="text1"/>
          <w:sz w:val="20"/>
          <w:szCs w:val="20"/>
        </w:rPr>
      </w:pPr>
    </w:p>
    <w:p w14:paraId="6DD8D54D" w14:textId="77777777" w:rsidR="00E85C97" w:rsidRPr="003F2272" w:rsidRDefault="00E85C97" w:rsidP="00E85C97">
      <w:pPr>
        <w:spacing w:after="0" w:line="240" w:lineRule="auto"/>
        <w:ind w:left="709" w:right="709"/>
        <w:jc w:val="both"/>
        <w:rPr>
          <w:rFonts w:ascii="Verdana" w:eastAsia="Calibri" w:hAnsi="Verdana" w:cs="Arial"/>
          <w:color w:val="000000" w:themeColor="text1"/>
          <w:sz w:val="20"/>
          <w:szCs w:val="20"/>
        </w:rPr>
      </w:pPr>
      <w:r w:rsidRPr="003F2272">
        <w:rPr>
          <w:rFonts w:ascii="Verdana" w:eastAsia="Calibri" w:hAnsi="Verdana" w:cs="Arial"/>
          <w:color w:val="000000" w:themeColor="text1"/>
          <w:sz w:val="20"/>
          <w:szCs w:val="20"/>
        </w:rPr>
        <w:t>6. En materia contractual se regirá por el derecho privado, pero podrá discrecionalmente utilizar las cláusulas exorbitantes previstas en el estatuto General de Contratación de la administración pública</w:t>
      </w:r>
      <w:r w:rsidRPr="1D134702">
        <w:rPr>
          <w:rFonts w:ascii="Verdana" w:eastAsia="Calibri" w:hAnsi="Verdana" w:cs="Arial"/>
          <w:color w:val="000000" w:themeColor="text1"/>
          <w:sz w:val="20"/>
          <w:szCs w:val="20"/>
        </w:rPr>
        <w:t>”.</w:t>
      </w:r>
      <w:r w:rsidRPr="003F2272">
        <w:rPr>
          <w:rFonts w:ascii="Verdana" w:eastAsia="Calibri" w:hAnsi="Verdana" w:cs="Arial"/>
          <w:color w:val="000000" w:themeColor="text1"/>
          <w:sz w:val="20"/>
          <w:szCs w:val="20"/>
        </w:rPr>
        <w:t> </w:t>
      </w:r>
    </w:p>
    <w:p w14:paraId="327BE016" w14:textId="77777777" w:rsidR="00E85C97" w:rsidRPr="003F2272" w:rsidRDefault="00E85C97" w:rsidP="00E85C97">
      <w:pPr>
        <w:spacing w:after="0" w:line="276" w:lineRule="auto"/>
        <w:ind w:left="709" w:right="709"/>
        <w:jc w:val="both"/>
        <w:rPr>
          <w:rFonts w:ascii="Verdana" w:eastAsia="Calibri" w:hAnsi="Verdana" w:cs="Arial"/>
          <w:color w:val="000000" w:themeColor="text1"/>
          <w:sz w:val="21"/>
          <w:szCs w:val="21"/>
        </w:rPr>
      </w:pPr>
    </w:p>
    <w:p w14:paraId="5550823C" w14:textId="77777777" w:rsidR="00E85C97" w:rsidRPr="003F2272" w:rsidRDefault="00E85C97" w:rsidP="002C1765">
      <w:pPr>
        <w:spacing w:after="120" w:line="276" w:lineRule="auto"/>
        <w:ind w:firstLine="709"/>
        <w:jc w:val="both"/>
        <w:rPr>
          <w:rFonts w:ascii="Verdana" w:eastAsia="Calibri" w:hAnsi="Verdana" w:cs="Arial"/>
          <w:color w:val="000000" w:themeColor="text1"/>
        </w:rPr>
      </w:pPr>
      <w:bookmarkStart w:id="11" w:name="_Hlk41238857"/>
      <w:r w:rsidRPr="003F2272">
        <w:rPr>
          <w:rFonts w:ascii="Verdana" w:eastAsia="Calibri" w:hAnsi="Verdana" w:cs="Arial"/>
          <w:color w:val="000000" w:themeColor="text1"/>
        </w:rPr>
        <w:t>Al referirse al régimen contractual de las Empresas Sociales del Estado,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w:t>
      </w:r>
      <w:r w:rsidRPr="003F2272">
        <w:rPr>
          <w:rFonts w:ascii="Verdana" w:eastAsia="Calibri" w:hAnsi="Verdana" w:cs="Arial"/>
          <w:color w:val="000000" w:themeColor="text1"/>
          <w:vertAlign w:val="superscript"/>
        </w:rPr>
        <w:footnoteReference w:id="8"/>
      </w:r>
      <w:r w:rsidRPr="003F2272">
        <w:rPr>
          <w:rFonts w:ascii="Verdana" w:eastAsia="Calibri" w:hAnsi="Verdana" w:cs="Arial"/>
          <w:color w:val="000000" w:themeColor="text1"/>
        </w:rPr>
        <w:t>.</w:t>
      </w:r>
    </w:p>
    <w:bookmarkEnd w:id="11"/>
    <w:p w14:paraId="0CA11443" w14:textId="77777777" w:rsidR="00E85C97" w:rsidRPr="003F2272" w:rsidRDefault="00E85C97" w:rsidP="002C1765">
      <w:pPr>
        <w:spacing w:after="120" w:line="276" w:lineRule="auto"/>
        <w:ind w:firstLine="709"/>
        <w:jc w:val="both"/>
        <w:rPr>
          <w:rFonts w:ascii="Verdana" w:eastAsia="Calibri" w:hAnsi="Verdana" w:cs="Arial"/>
          <w:color w:val="000000" w:themeColor="text1"/>
        </w:rPr>
      </w:pPr>
      <w:r w:rsidRPr="003F2272">
        <w:rPr>
          <w:rFonts w:ascii="Verdana" w:eastAsia="Calibri" w:hAnsi="Verdana" w:cs="Arial"/>
          <w:color w:val="000000" w:themeColor="text1"/>
        </w:rPr>
        <w:lastRenderedPageBreak/>
        <w:t xml:space="preserve">Por otro lado, en relación con los requisitos de existencia y formación de los contratos celebrados por las Empresas Sociales del Estado, se tiene que debido a que se trata de entidades excluidas de la aplicación del EGCAP, “para predicar el nacimiento a la vida jurídica de los negocios por ellas celebrados no se observarán las formalidades contempladas por los artículos 39 y 41 de esa compilación normativa y para esos efectos deberá acudirse a las disposiciones que la legislación comercial y civil contemple respecto de la tipología contractual que </w:t>
      </w:r>
      <w:r w:rsidRPr="00DC7EA2">
        <w:rPr>
          <w:rFonts w:ascii="Verdana" w:eastAsia="Calibri" w:hAnsi="Verdana" w:cs="Arial"/>
          <w:color w:val="000000" w:themeColor="text1"/>
        </w:rPr>
        <w:t>co</w:t>
      </w:r>
      <w:r w:rsidRPr="007C42DF">
        <w:rPr>
          <w:rFonts w:ascii="Verdana" w:eastAsia="Calibri" w:hAnsi="Verdana" w:cs="Arial"/>
          <w:color w:val="000000" w:themeColor="text1"/>
        </w:rPr>
        <w:t>rrespond</w:t>
      </w:r>
      <w:r w:rsidRPr="00DC7EA2">
        <w:rPr>
          <w:rFonts w:ascii="Verdana" w:eastAsia="Calibri" w:hAnsi="Verdana" w:cs="Arial"/>
          <w:color w:val="000000" w:themeColor="text1"/>
        </w:rPr>
        <w:t>a</w:t>
      </w:r>
      <w:r w:rsidRPr="003F2272">
        <w:rPr>
          <w:rFonts w:ascii="Verdana" w:eastAsia="Calibri" w:hAnsi="Verdana" w:cs="Arial"/>
          <w:color w:val="000000" w:themeColor="text1"/>
        </w:rPr>
        <w:t>”</w:t>
      </w:r>
      <w:r w:rsidRPr="003F2272">
        <w:rPr>
          <w:rFonts w:ascii="Verdana" w:eastAsia="Calibri" w:hAnsi="Verdana" w:cs="Arial"/>
          <w:color w:val="000000" w:themeColor="text1"/>
          <w:vertAlign w:val="superscript"/>
        </w:rPr>
        <w:footnoteReference w:id="9"/>
      </w:r>
      <w:r w:rsidRPr="003F2272">
        <w:rPr>
          <w:rFonts w:ascii="Verdana" w:eastAsia="Calibri" w:hAnsi="Verdana" w:cs="Arial"/>
          <w:color w:val="000000" w:themeColor="text1"/>
        </w:rPr>
        <w:t xml:space="preserve">. </w:t>
      </w:r>
    </w:p>
    <w:p w14:paraId="1A93075D" w14:textId="77777777" w:rsidR="00E85C97" w:rsidRPr="003F2272" w:rsidRDefault="00E85C97" w:rsidP="002C1765">
      <w:pPr>
        <w:spacing w:after="120" w:line="276" w:lineRule="auto"/>
        <w:ind w:firstLine="709"/>
        <w:jc w:val="both"/>
        <w:rPr>
          <w:rFonts w:ascii="Verdana" w:eastAsia="Arial" w:hAnsi="Verdana" w:cs="Arial"/>
        </w:rPr>
      </w:pPr>
      <w:r w:rsidRPr="003F2272">
        <w:rPr>
          <w:rFonts w:ascii="Verdana" w:eastAsia="Arial" w:hAnsi="Verdana" w:cs="Arial"/>
        </w:rPr>
        <w:t>Ahora bien, puede decirse que una de las reglas para las Empresas Sociales del Estado, derivada de las normas de derecho público que irradian su régimen jurídico,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158E3708" w14:textId="14C1B079" w:rsidR="00E85C97" w:rsidRPr="003F2272" w:rsidRDefault="003F175B" w:rsidP="002C1765">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En relación con</w:t>
      </w:r>
      <w:r w:rsidR="00E85C97" w:rsidRPr="003F2272">
        <w:rPr>
          <w:rFonts w:ascii="Verdana" w:eastAsia="Arial" w:hAnsi="Verdana" w:cs="Arial"/>
          <w:lang w:val="es-ES"/>
        </w:rPr>
        <w:t xml:space="preserve"> las Empresas Sociales del Estado, el Ministerio de Salud y</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Protección Social, expidió la Resolución No. 5185 de 2013, modificado por la Resolución 1440 del 14 de agosto de 2024</w:t>
      </w:r>
      <w:r w:rsidR="00E85C97" w:rsidRPr="003F2272">
        <w:rPr>
          <w:rFonts w:ascii="Verdana" w:eastAsia="Arial" w:hAnsi="Verdana" w:cs="Arial"/>
          <w:vertAlign w:val="superscript"/>
          <w:lang w:val="es-ES"/>
        </w:rPr>
        <w:footnoteReference w:id="10"/>
      </w:r>
      <w:r w:rsidR="00E85C97" w:rsidRPr="003F2272">
        <w:rPr>
          <w:rFonts w:ascii="Verdana" w:eastAsia="Arial" w:hAnsi="Verdana" w:cs="Arial"/>
          <w:lang w:val="es-ES"/>
        </w:rPr>
        <w:t>, mediante la cual se fijan los lineamientos</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para</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que</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tales</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entidades</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adopten</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los</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manuales</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de</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contratación</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que</w:t>
      </w:r>
      <w:r w:rsidR="00E85C97" w:rsidRPr="003F2272">
        <w:rPr>
          <w:rFonts w:ascii="Verdana" w:eastAsia="Arial" w:hAnsi="Verdana" w:cs="Arial"/>
          <w:spacing w:val="-9"/>
          <w:lang w:val="es-ES"/>
        </w:rPr>
        <w:t xml:space="preserve"> </w:t>
      </w:r>
      <w:r w:rsidR="00E85C97" w:rsidRPr="003F2272">
        <w:rPr>
          <w:rFonts w:ascii="Verdana" w:eastAsia="Arial" w:hAnsi="Verdana" w:cs="Arial"/>
          <w:lang w:val="es-ES"/>
        </w:rPr>
        <w:t>regirán</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su</w:t>
      </w:r>
      <w:r w:rsidR="00E85C97" w:rsidRPr="003F2272">
        <w:rPr>
          <w:rFonts w:ascii="Verdana" w:eastAsia="Arial" w:hAnsi="Verdana" w:cs="Arial"/>
          <w:spacing w:val="-10"/>
          <w:lang w:val="es-ES"/>
        </w:rPr>
        <w:t xml:space="preserve"> </w:t>
      </w:r>
      <w:r w:rsidR="00E85C97" w:rsidRPr="003F2272">
        <w:rPr>
          <w:rFonts w:ascii="Verdana" w:eastAsia="Arial" w:hAnsi="Verdana" w:cs="Arial"/>
          <w:lang w:val="es-ES"/>
        </w:rPr>
        <w:t>actividad</w:t>
      </w:r>
      <w:r w:rsidR="00E85C97" w:rsidRPr="003F2272">
        <w:rPr>
          <w:rFonts w:ascii="Verdana" w:eastAsia="Arial" w:hAnsi="Verdana" w:cs="Arial"/>
          <w:spacing w:val="-59"/>
          <w:lang w:val="es-ES"/>
        </w:rPr>
        <w:t xml:space="preserve"> </w:t>
      </w:r>
      <w:r w:rsidR="00E85C97" w:rsidRPr="003F2272">
        <w:rPr>
          <w:rFonts w:ascii="Verdana" w:eastAsia="Arial" w:hAnsi="Verdana" w:cs="Arial"/>
          <w:lang w:val="es-ES"/>
        </w:rPr>
        <w:t>contractual. Este acto administrativo, dictado en ejercicio de las facultades conferidas</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por el artículo 76 de la Ley 1438 de 2011</w:t>
      </w:r>
      <w:r w:rsidR="00E85C97" w:rsidRPr="003F2272">
        <w:rPr>
          <w:rFonts w:ascii="Verdana" w:eastAsia="Arial" w:hAnsi="Verdana" w:cs="Arial"/>
          <w:vertAlign w:val="superscript"/>
          <w:lang w:val="es-ES"/>
        </w:rPr>
        <w:footnoteReference w:id="11"/>
      </w:r>
      <w:r w:rsidR="00E85C97" w:rsidRPr="003F2272">
        <w:rPr>
          <w:rFonts w:ascii="Verdana" w:eastAsia="Arial" w:hAnsi="Verdana" w:cs="Arial"/>
          <w:lang w:val="es-ES"/>
        </w:rPr>
        <w:t xml:space="preserve">, contiene </w:t>
      </w:r>
      <w:r w:rsidR="00E85C97" w:rsidRPr="003F2272">
        <w:rPr>
          <w:rFonts w:ascii="Verdana" w:eastAsia="Arial" w:hAnsi="Verdana" w:cs="Arial"/>
          <w:lang w:val="es-ES"/>
        </w:rPr>
        <w:lastRenderedPageBreak/>
        <w:t>varios criterios que se deberán</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cuenta</w:t>
      </w:r>
      <w:r w:rsidR="00E85C97" w:rsidRPr="003F2272">
        <w:rPr>
          <w:rFonts w:ascii="Verdana" w:eastAsia="Arial" w:hAnsi="Verdana" w:cs="Arial"/>
          <w:spacing w:val="-2"/>
          <w:lang w:val="es-ES"/>
        </w:rPr>
        <w:t xml:space="preserve"> </w:t>
      </w:r>
      <w:r w:rsidR="00E85C97" w:rsidRPr="003F2272">
        <w:rPr>
          <w:rFonts w:ascii="Verdana" w:eastAsia="Arial" w:hAnsi="Verdana" w:cs="Arial"/>
          <w:lang w:val="es-ES"/>
        </w:rPr>
        <w:t>a</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la</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hora</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de</w:t>
      </w:r>
      <w:r w:rsidR="00E85C97" w:rsidRPr="003F2272">
        <w:rPr>
          <w:rFonts w:ascii="Verdana" w:eastAsia="Arial" w:hAnsi="Verdana" w:cs="Arial"/>
          <w:spacing w:val="-2"/>
          <w:lang w:val="es-ES"/>
        </w:rPr>
        <w:t xml:space="preserve"> </w:t>
      </w:r>
      <w:r w:rsidR="00E85C97" w:rsidRPr="003F2272">
        <w:rPr>
          <w:rFonts w:ascii="Verdana" w:eastAsia="Arial" w:hAnsi="Verdana" w:cs="Arial"/>
          <w:lang w:val="es-ES"/>
        </w:rPr>
        <w:t>adoptar</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los</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manuales</w:t>
      </w:r>
      <w:r w:rsidR="00E85C97" w:rsidRPr="003F2272">
        <w:rPr>
          <w:rFonts w:ascii="Verdana" w:eastAsia="Arial" w:hAnsi="Verdana" w:cs="Arial"/>
          <w:spacing w:val="-1"/>
          <w:lang w:val="es-ES"/>
        </w:rPr>
        <w:t xml:space="preserve"> </w:t>
      </w:r>
      <w:r w:rsidR="00E85C97" w:rsidRPr="003F2272">
        <w:rPr>
          <w:rFonts w:ascii="Verdana" w:eastAsia="Arial" w:hAnsi="Verdana" w:cs="Arial"/>
          <w:lang w:val="es-ES"/>
        </w:rPr>
        <w:t>de</w:t>
      </w:r>
      <w:r w:rsidR="00E85C97" w:rsidRPr="003F2272">
        <w:rPr>
          <w:rFonts w:ascii="Verdana" w:eastAsia="Arial" w:hAnsi="Verdana" w:cs="Arial"/>
          <w:spacing w:val="-2"/>
          <w:lang w:val="es-ES"/>
        </w:rPr>
        <w:t xml:space="preserve"> </w:t>
      </w:r>
      <w:r w:rsidR="00E85C97" w:rsidRPr="003F2272">
        <w:rPr>
          <w:rFonts w:ascii="Verdana" w:eastAsia="Arial" w:hAnsi="Verdana" w:cs="Arial"/>
          <w:lang w:val="es-ES"/>
        </w:rPr>
        <w:t>contratación.</w:t>
      </w:r>
    </w:p>
    <w:p w14:paraId="0BE1E2E2" w14:textId="77777777" w:rsidR="00E85C97" w:rsidRPr="003F2272" w:rsidRDefault="00E85C97" w:rsidP="002C1765">
      <w:pPr>
        <w:widowControl w:val="0"/>
        <w:autoSpaceDE w:val="0"/>
        <w:autoSpaceDN w:val="0"/>
        <w:spacing w:after="120" w:line="276" w:lineRule="auto"/>
        <w:ind w:firstLine="709"/>
        <w:jc w:val="both"/>
        <w:rPr>
          <w:rFonts w:ascii="Verdana" w:eastAsia="Arial" w:hAnsi="Verdana" w:cs="Arial"/>
          <w:lang w:val="es-ES"/>
        </w:rPr>
      </w:pPr>
      <w:r w:rsidRPr="003F2272">
        <w:rPr>
          <w:rFonts w:ascii="Verdana" w:eastAsia="Arial" w:hAnsi="Verdana" w:cs="Arial"/>
          <w:lang w:val="es-ES"/>
        </w:rPr>
        <w:t xml:space="preserve">En las disposiciones de </w:t>
      </w:r>
      <w:r>
        <w:rPr>
          <w:rFonts w:ascii="Verdana" w:eastAsia="Arial" w:hAnsi="Verdana" w:cs="Arial"/>
          <w:lang w:val="es-ES"/>
        </w:rPr>
        <w:t xml:space="preserve">la </w:t>
      </w:r>
      <w:r w:rsidRPr="003F2272">
        <w:rPr>
          <w:rFonts w:ascii="Verdana" w:eastAsia="Arial" w:hAnsi="Verdana" w:cs="Arial"/>
          <w:lang w:val="es-ES"/>
        </w:rPr>
        <w:t>Resolución No. 5185 de 2013 se reitera el régimen de</w:t>
      </w:r>
      <w:r w:rsidRPr="003F2272">
        <w:rPr>
          <w:rFonts w:ascii="Verdana" w:eastAsia="Arial" w:hAnsi="Verdana" w:cs="Arial"/>
          <w:spacing w:val="1"/>
          <w:lang w:val="es-ES"/>
        </w:rPr>
        <w:t xml:space="preserve"> </w:t>
      </w:r>
      <w:r w:rsidRPr="003F2272">
        <w:rPr>
          <w:rFonts w:ascii="Verdana" w:eastAsia="Arial" w:hAnsi="Verdana" w:cs="Arial"/>
          <w:lang w:val="es-ES"/>
        </w:rPr>
        <w:t>contratación</w:t>
      </w:r>
      <w:r w:rsidRPr="003F2272">
        <w:rPr>
          <w:rFonts w:ascii="Verdana" w:eastAsia="Arial" w:hAnsi="Verdana" w:cs="Arial"/>
          <w:spacing w:val="-12"/>
          <w:lang w:val="es-ES"/>
        </w:rPr>
        <w:t xml:space="preserve"> </w:t>
      </w:r>
      <w:r w:rsidRPr="003F2272">
        <w:rPr>
          <w:rFonts w:ascii="Verdana" w:eastAsia="Arial" w:hAnsi="Verdana" w:cs="Arial"/>
          <w:lang w:val="es-ES"/>
        </w:rPr>
        <w:t>de</w:t>
      </w:r>
      <w:r w:rsidRPr="003F2272">
        <w:rPr>
          <w:rFonts w:ascii="Verdana" w:eastAsia="Arial" w:hAnsi="Verdana" w:cs="Arial"/>
          <w:spacing w:val="-12"/>
          <w:lang w:val="es-ES"/>
        </w:rPr>
        <w:t xml:space="preserve"> </w:t>
      </w:r>
      <w:r w:rsidRPr="003F2272">
        <w:rPr>
          <w:rFonts w:ascii="Verdana" w:eastAsia="Arial" w:hAnsi="Verdana" w:cs="Arial"/>
          <w:lang w:val="es-ES"/>
        </w:rPr>
        <w:t>estas</w:t>
      </w:r>
      <w:r w:rsidRPr="003F2272">
        <w:rPr>
          <w:rFonts w:ascii="Verdana" w:eastAsia="Arial" w:hAnsi="Verdana" w:cs="Arial"/>
          <w:spacing w:val="-12"/>
          <w:lang w:val="es-ES"/>
        </w:rPr>
        <w:t xml:space="preserve"> </w:t>
      </w:r>
      <w:r w:rsidRPr="003F2272">
        <w:rPr>
          <w:rFonts w:ascii="Verdana" w:eastAsia="Arial" w:hAnsi="Verdana" w:cs="Arial"/>
          <w:lang w:val="es-ES"/>
        </w:rPr>
        <w:t>entidades</w:t>
      </w:r>
      <w:r w:rsidRPr="003F2272">
        <w:rPr>
          <w:rFonts w:ascii="Verdana" w:eastAsia="Arial" w:hAnsi="Verdana" w:cs="Arial"/>
          <w:spacing w:val="-12"/>
          <w:lang w:val="es-ES"/>
        </w:rPr>
        <w:t xml:space="preserve"> </w:t>
      </w:r>
      <w:r w:rsidRPr="003F2272">
        <w:rPr>
          <w:rFonts w:ascii="Verdana" w:eastAsia="Arial" w:hAnsi="Verdana" w:cs="Arial"/>
          <w:lang w:val="es-ES"/>
        </w:rPr>
        <w:t>–Art.2–,</w:t>
      </w:r>
      <w:r w:rsidRPr="003F2272">
        <w:rPr>
          <w:rFonts w:ascii="Verdana" w:eastAsia="Arial" w:hAnsi="Verdana" w:cs="Arial"/>
          <w:spacing w:val="-12"/>
          <w:lang w:val="es-ES"/>
        </w:rPr>
        <w:t xml:space="preserve"> </w:t>
      </w:r>
      <w:r w:rsidRPr="003F2272">
        <w:rPr>
          <w:rFonts w:ascii="Verdana" w:eastAsia="Arial" w:hAnsi="Verdana" w:cs="Arial"/>
          <w:lang w:val="es-ES"/>
        </w:rPr>
        <w:t>se</w:t>
      </w:r>
      <w:r w:rsidRPr="003F2272">
        <w:rPr>
          <w:rFonts w:ascii="Verdana" w:eastAsia="Arial" w:hAnsi="Verdana" w:cs="Arial"/>
          <w:spacing w:val="-12"/>
          <w:lang w:val="es-ES"/>
        </w:rPr>
        <w:t xml:space="preserve"> </w:t>
      </w:r>
      <w:r w:rsidRPr="003F2272">
        <w:rPr>
          <w:rFonts w:ascii="Verdana" w:eastAsia="Arial" w:hAnsi="Verdana" w:cs="Arial"/>
          <w:lang w:val="es-ES"/>
        </w:rPr>
        <w:t>alude</w:t>
      </w:r>
      <w:r w:rsidRPr="003F2272">
        <w:rPr>
          <w:rFonts w:ascii="Verdana" w:eastAsia="Arial" w:hAnsi="Verdana" w:cs="Arial"/>
          <w:spacing w:val="-12"/>
          <w:lang w:val="es-ES"/>
        </w:rPr>
        <w:t xml:space="preserve"> </w:t>
      </w:r>
      <w:r w:rsidRPr="003F2272">
        <w:rPr>
          <w:rFonts w:ascii="Verdana" w:eastAsia="Arial" w:hAnsi="Verdana" w:cs="Arial"/>
          <w:lang w:val="es-ES"/>
        </w:rPr>
        <w:t>a</w:t>
      </w:r>
      <w:r w:rsidRPr="003F2272">
        <w:rPr>
          <w:rFonts w:ascii="Verdana" w:eastAsia="Arial" w:hAnsi="Verdana" w:cs="Arial"/>
          <w:spacing w:val="-12"/>
          <w:lang w:val="es-ES"/>
        </w:rPr>
        <w:t xml:space="preserve"> </w:t>
      </w:r>
      <w:r w:rsidRPr="003F2272">
        <w:rPr>
          <w:rFonts w:ascii="Verdana" w:eastAsia="Arial" w:hAnsi="Verdana" w:cs="Arial"/>
          <w:lang w:val="es-ES"/>
        </w:rPr>
        <w:t>los</w:t>
      </w:r>
      <w:r w:rsidRPr="003F2272">
        <w:rPr>
          <w:rFonts w:ascii="Verdana" w:eastAsia="Arial" w:hAnsi="Verdana" w:cs="Arial"/>
          <w:spacing w:val="-12"/>
          <w:lang w:val="es-ES"/>
        </w:rPr>
        <w:t xml:space="preserve"> </w:t>
      </w:r>
      <w:r w:rsidRPr="003F2272">
        <w:rPr>
          <w:rFonts w:ascii="Verdana" w:eastAsia="Arial" w:hAnsi="Verdana" w:cs="Arial"/>
          <w:lang w:val="es-ES"/>
        </w:rPr>
        <w:t>fines</w:t>
      </w:r>
      <w:r w:rsidRPr="003F2272">
        <w:rPr>
          <w:rFonts w:ascii="Verdana" w:eastAsia="Arial" w:hAnsi="Verdana" w:cs="Arial"/>
          <w:spacing w:val="-11"/>
          <w:lang w:val="es-ES"/>
        </w:rPr>
        <w:t xml:space="preserve"> </w:t>
      </w:r>
      <w:r w:rsidRPr="003F2272">
        <w:rPr>
          <w:rFonts w:ascii="Verdana" w:eastAsia="Arial" w:hAnsi="Verdana" w:cs="Arial"/>
          <w:lang w:val="es-ES"/>
        </w:rPr>
        <w:t>de</w:t>
      </w:r>
      <w:r w:rsidRPr="003F2272">
        <w:rPr>
          <w:rFonts w:ascii="Verdana" w:eastAsia="Arial" w:hAnsi="Verdana" w:cs="Arial"/>
          <w:spacing w:val="-12"/>
          <w:lang w:val="es-ES"/>
        </w:rPr>
        <w:t xml:space="preserve"> </w:t>
      </w:r>
      <w:r w:rsidRPr="003F2272">
        <w:rPr>
          <w:rFonts w:ascii="Verdana" w:eastAsia="Arial" w:hAnsi="Verdana" w:cs="Arial"/>
          <w:lang w:val="es-ES"/>
        </w:rPr>
        <w:t>la</w:t>
      </w:r>
      <w:r w:rsidRPr="003F2272">
        <w:rPr>
          <w:rFonts w:ascii="Verdana" w:eastAsia="Arial" w:hAnsi="Verdana" w:cs="Arial"/>
          <w:spacing w:val="-12"/>
          <w:lang w:val="es-ES"/>
        </w:rPr>
        <w:t xml:space="preserve"> </w:t>
      </w:r>
      <w:r w:rsidRPr="003F2272">
        <w:rPr>
          <w:rFonts w:ascii="Verdana" w:eastAsia="Arial" w:hAnsi="Verdana" w:cs="Arial"/>
          <w:lang w:val="es-ES"/>
        </w:rPr>
        <w:t>contratación</w:t>
      </w:r>
      <w:r w:rsidRPr="003F2272">
        <w:rPr>
          <w:rFonts w:ascii="Verdana" w:eastAsia="Arial" w:hAnsi="Verdana" w:cs="Arial"/>
          <w:spacing w:val="-12"/>
          <w:lang w:val="es-ES"/>
        </w:rPr>
        <w:t xml:space="preserve"> </w:t>
      </w:r>
      <w:r w:rsidRPr="003F2272">
        <w:rPr>
          <w:rFonts w:ascii="Verdana" w:eastAsia="Arial" w:hAnsi="Verdana" w:cs="Arial"/>
          <w:lang w:val="es-ES"/>
        </w:rPr>
        <w:t>–Art.</w:t>
      </w:r>
      <w:r w:rsidRPr="003F2272">
        <w:rPr>
          <w:rFonts w:ascii="Verdana" w:eastAsia="Arial" w:hAnsi="Verdana" w:cs="Arial"/>
          <w:spacing w:val="-11"/>
          <w:lang w:val="es-ES"/>
        </w:rPr>
        <w:t xml:space="preserve"> </w:t>
      </w:r>
      <w:r w:rsidRPr="003F2272">
        <w:rPr>
          <w:rFonts w:ascii="Verdana" w:eastAsia="Arial" w:hAnsi="Verdana" w:cs="Arial"/>
          <w:lang w:val="es-ES"/>
        </w:rPr>
        <w:t>3–,</w:t>
      </w:r>
      <w:r w:rsidRPr="003F2272">
        <w:rPr>
          <w:rFonts w:ascii="Verdana" w:eastAsia="Arial" w:hAnsi="Verdana" w:cs="Arial"/>
          <w:spacing w:val="1"/>
          <w:lang w:val="es-ES"/>
        </w:rPr>
        <w:t xml:space="preserve"> </w:t>
      </w:r>
      <w:r w:rsidRPr="003F2272">
        <w:rPr>
          <w:rFonts w:ascii="Verdana" w:eastAsia="Arial" w:hAnsi="Verdana" w:cs="Arial"/>
          <w:lang w:val="es-ES"/>
        </w:rPr>
        <w:t>se establece los principios a observarse en el desarrollo de la contratación –Art. 4–, se</w:t>
      </w:r>
      <w:r w:rsidRPr="003F2272">
        <w:rPr>
          <w:rFonts w:ascii="Verdana" w:eastAsia="Arial" w:hAnsi="Verdana" w:cs="Arial"/>
          <w:spacing w:val="-59"/>
          <w:lang w:val="es-ES"/>
        </w:rPr>
        <w:t xml:space="preserve">  </w:t>
      </w:r>
      <w:r w:rsidRPr="003F2272">
        <w:rPr>
          <w:rFonts w:ascii="Verdana" w:eastAsia="Arial" w:hAnsi="Verdana" w:cs="Arial"/>
          <w:lang w:val="es-ES"/>
        </w:rPr>
        <w:t>hace referencia a las modalidades y mecanismos de selección –Art. 5–, se reitera la</w:t>
      </w:r>
      <w:r w:rsidRPr="003F2272">
        <w:rPr>
          <w:rFonts w:ascii="Verdana" w:eastAsia="Arial" w:hAnsi="Verdana" w:cs="Arial"/>
          <w:spacing w:val="1"/>
          <w:lang w:val="es-ES"/>
        </w:rPr>
        <w:t xml:space="preserve"> </w:t>
      </w:r>
      <w:r w:rsidRPr="003F2272">
        <w:rPr>
          <w:rFonts w:ascii="Verdana" w:eastAsia="Arial" w:hAnsi="Verdana" w:cs="Arial"/>
          <w:lang w:val="es-ES"/>
        </w:rPr>
        <w:t>aplicabilidad del régimen de inhabilidades e incompatibilidades–Art. 6–, se establece la</w:t>
      </w:r>
      <w:r w:rsidRPr="003F2272">
        <w:rPr>
          <w:rFonts w:ascii="Verdana" w:eastAsia="Arial" w:hAnsi="Verdana" w:cs="Arial"/>
          <w:spacing w:val="-59"/>
          <w:lang w:val="es-ES"/>
        </w:rPr>
        <w:t xml:space="preserve"> </w:t>
      </w:r>
      <w:r w:rsidRPr="003F2272">
        <w:rPr>
          <w:rFonts w:ascii="Verdana" w:eastAsia="Arial" w:hAnsi="Verdana" w:cs="Arial"/>
          <w:lang w:val="es-ES"/>
        </w:rPr>
        <w:t>obligación de publicar un Plan Anual de Adquisiciones–Art. 7–, se alude al proceso de contratación –Art 8–, se refiere a la fase de planeación –Art 9–, se dispone sobre la fase de selección –Art 10–, sobre la fase de contratación, y se regulan otros</w:t>
      </w:r>
      <w:r w:rsidRPr="003F2272">
        <w:rPr>
          <w:rFonts w:ascii="Verdana" w:eastAsia="Arial" w:hAnsi="Verdana" w:cs="Arial"/>
          <w:spacing w:val="1"/>
          <w:lang w:val="es-ES"/>
        </w:rPr>
        <w:t xml:space="preserve"> </w:t>
      </w:r>
      <w:r w:rsidRPr="003F2272">
        <w:rPr>
          <w:rFonts w:ascii="Verdana" w:eastAsia="Arial" w:hAnsi="Verdana" w:cs="Arial"/>
          <w:lang w:val="es-ES"/>
        </w:rPr>
        <w:t>aspectos. En cuanto a la contratación y ejecución de los contratos,</w:t>
      </w:r>
      <w:r w:rsidRPr="003F2272">
        <w:rPr>
          <w:rFonts w:ascii="Verdana" w:eastAsia="Arial" w:hAnsi="Verdana" w:cs="Arial"/>
          <w:spacing w:val="-2"/>
          <w:lang w:val="es-ES"/>
        </w:rPr>
        <w:t xml:space="preserve"> </w:t>
      </w:r>
      <w:r w:rsidRPr="003F2272">
        <w:rPr>
          <w:rFonts w:ascii="Verdana" w:eastAsia="Arial" w:hAnsi="Verdana" w:cs="Arial"/>
          <w:lang w:val="es-ES"/>
        </w:rPr>
        <w:t>son</w:t>
      </w:r>
      <w:r w:rsidRPr="003F2272">
        <w:rPr>
          <w:rFonts w:ascii="Verdana" w:eastAsia="Arial" w:hAnsi="Verdana" w:cs="Arial"/>
          <w:spacing w:val="-1"/>
          <w:lang w:val="es-ES"/>
        </w:rPr>
        <w:t xml:space="preserve"> </w:t>
      </w:r>
      <w:r w:rsidRPr="003F2272">
        <w:rPr>
          <w:rFonts w:ascii="Verdana" w:eastAsia="Arial" w:hAnsi="Verdana" w:cs="Arial"/>
          <w:lang w:val="es-ES"/>
        </w:rPr>
        <w:t>relevantes</w:t>
      </w:r>
      <w:r w:rsidRPr="003F2272">
        <w:rPr>
          <w:rFonts w:ascii="Verdana" w:eastAsia="Arial" w:hAnsi="Verdana" w:cs="Arial"/>
          <w:spacing w:val="-2"/>
          <w:lang w:val="es-ES"/>
        </w:rPr>
        <w:t xml:space="preserve"> </w:t>
      </w:r>
      <w:r w:rsidRPr="003F2272">
        <w:rPr>
          <w:rFonts w:ascii="Verdana" w:eastAsia="Arial" w:hAnsi="Verdana" w:cs="Arial"/>
          <w:lang w:val="es-ES"/>
        </w:rPr>
        <w:t>los</w:t>
      </w:r>
      <w:r w:rsidRPr="003F2272">
        <w:rPr>
          <w:rFonts w:ascii="Verdana" w:eastAsia="Arial" w:hAnsi="Verdana" w:cs="Arial"/>
          <w:spacing w:val="-2"/>
          <w:lang w:val="es-ES"/>
        </w:rPr>
        <w:t xml:space="preserve"> </w:t>
      </w:r>
      <w:r w:rsidRPr="003F2272">
        <w:rPr>
          <w:rFonts w:ascii="Verdana" w:eastAsia="Arial" w:hAnsi="Verdana" w:cs="Arial"/>
          <w:lang w:val="es-ES"/>
        </w:rPr>
        <w:t>artículos 11</w:t>
      </w:r>
      <w:r w:rsidRPr="003F2272">
        <w:rPr>
          <w:rFonts w:ascii="Verdana" w:eastAsia="Arial" w:hAnsi="Verdana" w:cs="Arial"/>
          <w:vertAlign w:val="superscript"/>
          <w:lang w:val="es-ES"/>
        </w:rPr>
        <w:footnoteReference w:id="12"/>
      </w:r>
      <w:r w:rsidRPr="003F2272">
        <w:rPr>
          <w:rFonts w:ascii="Verdana" w:eastAsia="Arial" w:hAnsi="Verdana" w:cs="Arial"/>
          <w:lang w:val="es-ES"/>
        </w:rPr>
        <w:t xml:space="preserve"> y 12</w:t>
      </w:r>
      <w:r w:rsidRPr="003F2272">
        <w:rPr>
          <w:rFonts w:ascii="Verdana" w:eastAsia="Arial" w:hAnsi="Verdana" w:cs="Arial"/>
          <w:vertAlign w:val="superscript"/>
          <w:lang w:val="es-ES"/>
        </w:rPr>
        <w:footnoteReference w:id="13"/>
      </w:r>
      <w:r w:rsidRPr="003F2272">
        <w:rPr>
          <w:rFonts w:ascii="Verdana" w:eastAsia="Arial" w:hAnsi="Verdana" w:cs="Arial"/>
          <w:lang w:val="es-ES"/>
        </w:rPr>
        <w:t xml:space="preserve"> de la citada resolución. Por su parte el artículo 14</w:t>
      </w:r>
      <w:r w:rsidRPr="003F2272">
        <w:rPr>
          <w:rFonts w:ascii="Verdana" w:eastAsia="Arial" w:hAnsi="Verdana" w:cs="Arial"/>
          <w:vertAlign w:val="superscript"/>
          <w:lang w:val="es-ES"/>
        </w:rPr>
        <w:footnoteReference w:id="14"/>
      </w:r>
      <w:r w:rsidRPr="003F2272">
        <w:rPr>
          <w:rFonts w:ascii="Verdana" w:eastAsia="Arial" w:hAnsi="Verdana" w:cs="Arial"/>
          <w:lang w:val="es-ES"/>
        </w:rPr>
        <w:t xml:space="preserve"> de la resolución establece que las Empresas Sociales del Estado están obligadas a publicar oportunamente su actividad contractual en el SECOP.  </w:t>
      </w:r>
    </w:p>
    <w:p w14:paraId="73C9BBAF" w14:textId="77777777" w:rsidR="00E85C97" w:rsidRDefault="00E85C97" w:rsidP="002C1765">
      <w:pPr>
        <w:spacing w:after="120" w:line="276" w:lineRule="auto"/>
        <w:ind w:firstLine="709"/>
        <w:jc w:val="both"/>
        <w:rPr>
          <w:rFonts w:ascii="Verdana" w:eastAsia="Calibri" w:hAnsi="Verdana" w:cs="Arial"/>
        </w:rPr>
      </w:pPr>
      <w:r>
        <w:rPr>
          <w:rStyle w:val="s15"/>
          <w:rFonts w:ascii="Verdana" w:hAnsi="Verdana"/>
          <w:color w:val="000000"/>
        </w:rPr>
        <w:lastRenderedPageBreak/>
        <w:t>Finalmente</w:t>
      </w:r>
      <w:r>
        <w:rPr>
          <w:rFonts w:ascii="Verdana" w:eastAsia="Calibri" w:hAnsi="Verdana" w:cs="Arial"/>
        </w:rPr>
        <w:t>, es necesario señalar que e</w:t>
      </w:r>
      <w:r w:rsidRPr="001E35FA">
        <w:rPr>
          <w:rFonts w:ascii="Verdana" w:eastAsia="Calibri" w:hAnsi="Verdana" w:cs="Arial"/>
        </w:rPr>
        <w:t>l artículo 53 de la Ley 2195 de 2022 establec</w:t>
      </w:r>
      <w:r>
        <w:rPr>
          <w:rFonts w:ascii="Verdana" w:eastAsia="Calibri" w:hAnsi="Verdana" w:cs="Arial"/>
        </w:rPr>
        <w:t>ió de forma expresa  el deber de l</w:t>
      </w:r>
      <w:r w:rsidRPr="00842456">
        <w:rPr>
          <w:rFonts w:ascii="Verdana" w:eastAsia="Calibri" w:hAnsi="Verdana" w:cs="Arial"/>
        </w:rPr>
        <w:t xml:space="preserve">as entidades estatales que por disposición legal cuenten con un régimen contractual excepcional al del Estatuto General de Contratación de la Administración Pública, </w:t>
      </w:r>
      <w:r>
        <w:rPr>
          <w:rFonts w:ascii="Verdana" w:eastAsia="Calibri" w:hAnsi="Verdana" w:cs="Arial"/>
        </w:rPr>
        <w:t xml:space="preserve">aplicar los principios de la función administrativa y </w:t>
      </w:r>
      <w:r w:rsidRPr="00EB7870">
        <w:rPr>
          <w:rFonts w:ascii="Verdana" w:eastAsia="Calibri" w:hAnsi="Verdana" w:cs="Arial"/>
        </w:rPr>
        <w:t xml:space="preserve">de la gestión fiscal de que tratan los </w:t>
      </w:r>
      <w:r w:rsidRPr="00E34E6B">
        <w:rPr>
          <w:rFonts w:ascii="Verdana" w:eastAsia="Calibri" w:hAnsi="Verdana" w:cs="Arial"/>
        </w:rPr>
        <w:t>artículos </w:t>
      </w:r>
      <w:hyperlink r:id="rId14" w:anchor="209" w:history="1">
        <w:r w:rsidRPr="00E34E6B">
          <w:rPr>
            <w:rStyle w:val="Hipervnculo"/>
            <w:rFonts w:ascii="Verdana" w:eastAsia="Calibri" w:hAnsi="Verdana" w:cs="Arial"/>
          </w:rPr>
          <w:t>209</w:t>
        </w:r>
      </w:hyperlink>
      <w:r w:rsidRPr="00E34E6B">
        <w:rPr>
          <w:rFonts w:ascii="Verdana" w:eastAsia="Calibri" w:hAnsi="Verdana" w:cs="Arial"/>
        </w:rPr>
        <w:t> y </w:t>
      </w:r>
      <w:hyperlink r:id="rId15" w:anchor="267" w:history="1">
        <w:r w:rsidRPr="00E34E6B">
          <w:rPr>
            <w:rStyle w:val="Hipervnculo"/>
            <w:rFonts w:ascii="Verdana" w:eastAsia="Calibri" w:hAnsi="Verdana" w:cs="Arial"/>
          </w:rPr>
          <w:t>267</w:t>
        </w:r>
      </w:hyperlink>
      <w:r w:rsidRPr="00E34E6B">
        <w:rPr>
          <w:rFonts w:ascii="Verdana" w:eastAsia="Calibri" w:hAnsi="Verdana" w:cs="Arial"/>
        </w:rPr>
        <w:t> de l</w:t>
      </w:r>
      <w:r w:rsidRPr="00842456">
        <w:rPr>
          <w:rFonts w:ascii="Verdana" w:eastAsia="Calibri" w:hAnsi="Verdana" w:cs="Arial"/>
        </w:rPr>
        <w:t>a Constitución Política</w:t>
      </w:r>
      <w:r>
        <w:rPr>
          <w:rFonts w:ascii="Verdana" w:eastAsia="Calibri" w:hAnsi="Verdana" w:cs="Arial"/>
        </w:rPr>
        <w:t xml:space="preserve"> y en virtud de los  cuales d</w:t>
      </w:r>
      <w:r w:rsidRPr="00EB7870">
        <w:rPr>
          <w:rFonts w:ascii="Verdana" w:eastAsia="Calibri" w:hAnsi="Verdana" w:cs="Arial"/>
        </w:rPr>
        <w:t>eberán publicar los documentos relacionados con su actividad contractual en el Sistema Electrónico para la Contratación Pública (SECOP II) o la plataforma transaccional que haga sus veces.</w:t>
      </w:r>
    </w:p>
    <w:p w14:paraId="1D3222A3" w14:textId="77777777" w:rsidR="00E85C97" w:rsidRDefault="00E85C97" w:rsidP="002C1765">
      <w:pPr>
        <w:spacing w:after="120" w:line="276" w:lineRule="auto"/>
        <w:ind w:firstLine="709"/>
        <w:jc w:val="both"/>
        <w:rPr>
          <w:rFonts w:ascii="Verdana" w:hAnsi="Verdana" w:cs="Arial"/>
          <w:shd w:val="clear" w:color="auto" w:fill="FFFFFF"/>
        </w:rPr>
      </w:pPr>
      <w:proofErr w:type="spellStart"/>
      <w:r>
        <w:rPr>
          <w:rFonts w:ascii="Verdana" w:eastAsia="Calibri" w:hAnsi="Verdana" w:cs="Arial"/>
        </w:rPr>
        <w:t>ii</w:t>
      </w:r>
      <w:proofErr w:type="spellEnd"/>
      <w:r>
        <w:rPr>
          <w:rFonts w:ascii="Verdana" w:eastAsia="Calibri" w:hAnsi="Verdana" w:cs="Arial"/>
        </w:rPr>
        <w:t>. Ahora bien, el té</w:t>
      </w:r>
      <w:r w:rsidRPr="00EB7870">
        <w:rPr>
          <w:rFonts w:ascii="Verdana" w:eastAsia="Calibri" w:hAnsi="Verdana" w:cs="Arial"/>
        </w:rPr>
        <w:t xml:space="preserve">rmino para publicar los documentos </w:t>
      </w:r>
      <w:r>
        <w:rPr>
          <w:rFonts w:ascii="Verdana" w:eastAsia="Calibri" w:hAnsi="Verdana" w:cs="Arial"/>
        </w:rPr>
        <w:t xml:space="preserve">del proceso </w:t>
      </w:r>
      <w:r w:rsidRPr="00425947">
        <w:rPr>
          <w:rFonts w:ascii="Verdana" w:eastAsia="Calibri" w:hAnsi="Verdana" w:cs="Arial"/>
        </w:rPr>
        <w:t>y los actos administrativos del Proceso de Contratación</w:t>
      </w:r>
      <w:r>
        <w:rPr>
          <w:rFonts w:ascii="Verdana" w:eastAsia="Calibri" w:hAnsi="Verdana" w:cs="Arial"/>
        </w:rPr>
        <w:t xml:space="preserve"> </w:t>
      </w:r>
      <w:r w:rsidRPr="00EB7870">
        <w:rPr>
          <w:rFonts w:ascii="Verdana" w:eastAsia="Calibri" w:hAnsi="Verdana" w:cs="Arial"/>
        </w:rPr>
        <w:t xml:space="preserve">en el SECOP </w:t>
      </w:r>
      <w:r>
        <w:rPr>
          <w:rFonts w:ascii="Verdana" w:eastAsia="Calibri" w:hAnsi="Verdana" w:cs="Arial"/>
        </w:rPr>
        <w:t xml:space="preserve">se encuentra establecido </w:t>
      </w:r>
      <w:r w:rsidRPr="00EB7870">
        <w:rPr>
          <w:rFonts w:ascii="Verdana" w:eastAsia="Calibri" w:hAnsi="Verdana" w:cs="Arial"/>
        </w:rPr>
        <w:t>artículo 2.2.1.1.1.7.1 del Decreto 1082 de 2015, esto es, dentro de los tres (3) días siguientes a la expedición del documento</w:t>
      </w:r>
      <w:r>
        <w:rPr>
          <w:rFonts w:ascii="Verdana" w:eastAsia="Calibri" w:hAnsi="Verdana" w:cs="Arial"/>
        </w:rPr>
        <w:t xml:space="preserve">. En concordancia con lo anterior, esta Agencia expidió </w:t>
      </w:r>
      <w:r w:rsidRPr="001E35FA">
        <w:rPr>
          <w:rFonts w:ascii="Verdana" w:eastAsia="Calibri" w:hAnsi="Verdana" w:cs="Arial"/>
          <w:lang w:val="es-ES"/>
        </w:rPr>
        <w:t xml:space="preserve">la Circular Externa No. 002 del 23 de agosto de 2024, </w:t>
      </w:r>
      <w:r>
        <w:rPr>
          <w:rFonts w:ascii="Verdana" w:eastAsia="Calibri" w:hAnsi="Verdana" w:cs="Arial"/>
          <w:lang w:val="es-ES"/>
        </w:rPr>
        <w:t>la cual ratifica</w:t>
      </w:r>
      <w:r w:rsidRPr="001E35FA">
        <w:rPr>
          <w:rFonts w:ascii="Verdana" w:eastAsia="Calibri" w:hAnsi="Verdana" w:cs="Arial"/>
          <w:lang w:val="es-ES"/>
        </w:rPr>
        <w:t xml:space="preserve"> que “[…] el término que tienen las Entidades Estatales que por disposición legal cuenten con un régimen contractual excepcional al del Estatuto General de Contratación de la Administración Pública para publicar en el SECOP II es de tres (3) días posterior a su expedición”. </w:t>
      </w:r>
      <w:r w:rsidRPr="0046037D">
        <w:rPr>
          <w:rFonts w:ascii="Verdana" w:eastAsia="Calibri" w:hAnsi="Verdana" w:cs="Arial"/>
          <w:lang w:val="es-ES"/>
        </w:rPr>
        <w:t>Lo</w:t>
      </w:r>
      <w:r>
        <w:rPr>
          <w:rFonts w:ascii="Verdana" w:eastAsia="Calibri" w:hAnsi="Verdana" w:cs="Arial"/>
          <w:lang w:val="es-ES"/>
        </w:rPr>
        <w:t xml:space="preserve"> </w:t>
      </w:r>
      <w:r w:rsidRPr="0046037D">
        <w:rPr>
          <w:rFonts w:ascii="Verdana" w:eastAsia="Calibri" w:hAnsi="Verdana" w:cs="Arial"/>
          <w:lang w:val="es-ES"/>
        </w:rPr>
        <w:t>anterior, sin perjuicio de que dichas entidades hagan uso transaccional de la</w:t>
      </w:r>
      <w:r>
        <w:rPr>
          <w:rFonts w:ascii="Verdana" w:eastAsia="Calibri" w:hAnsi="Verdana" w:cs="Arial"/>
          <w:lang w:val="es-ES"/>
        </w:rPr>
        <w:t xml:space="preserve"> </w:t>
      </w:r>
      <w:r w:rsidRPr="0046037D">
        <w:rPr>
          <w:rFonts w:ascii="Verdana" w:eastAsia="Calibri" w:hAnsi="Verdana" w:cs="Arial"/>
          <w:lang w:val="es-ES"/>
        </w:rPr>
        <w:t>plataforma,</w:t>
      </w:r>
      <w:r>
        <w:rPr>
          <w:rFonts w:ascii="Verdana" w:eastAsia="Calibri" w:hAnsi="Verdana" w:cs="Arial"/>
          <w:lang w:val="es-ES"/>
        </w:rPr>
        <w:t xml:space="preserve"> en este </w:t>
      </w:r>
      <w:r w:rsidRPr="0046037D">
        <w:rPr>
          <w:rFonts w:ascii="Verdana" w:eastAsia="Calibri" w:hAnsi="Verdana" w:cs="Arial"/>
          <w:lang w:val="es-ES"/>
        </w:rPr>
        <w:t>caso la publicación de los documentos deberá hacerse en</w:t>
      </w:r>
      <w:r>
        <w:rPr>
          <w:rFonts w:ascii="Verdana" w:eastAsia="Calibri" w:hAnsi="Verdana" w:cs="Arial"/>
          <w:lang w:val="es-ES"/>
        </w:rPr>
        <w:t xml:space="preserve"> </w:t>
      </w:r>
      <w:r w:rsidRPr="0046037D">
        <w:rPr>
          <w:rFonts w:ascii="Verdana" w:eastAsia="Calibri" w:hAnsi="Verdana" w:cs="Arial"/>
          <w:lang w:val="es-ES"/>
        </w:rPr>
        <w:t xml:space="preserve">tiempo real, </w:t>
      </w:r>
      <w:proofErr w:type="gramStart"/>
      <w:r w:rsidRPr="0046037D">
        <w:rPr>
          <w:rFonts w:ascii="Verdana" w:eastAsia="Calibri" w:hAnsi="Verdana" w:cs="Arial"/>
          <w:lang w:val="es-ES"/>
        </w:rPr>
        <w:t>de acuerdo al</w:t>
      </w:r>
      <w:proofErr w:type="gramEnd"/>
      <w:r w:rsidRPr="0046037D">
        <w:rPr>
          <w:rFonts w:ascii="Verdana" w:eastAsia="Calibri" w:hAnsi="Verdana" w:cs="Arial"/>
          <w:lang w:val="es-ES"/>
        </w:rPr>
        <w:t xml:space="preserve"> cronograma definido para el proceso de selección.</w:t>
      </w:r>
    </w:p>
    <w:p w14:paraId="276776A5" w14:textId="77777777" w:rsidR="00E85C97" w:rsidRPr="00AB24F3" w:rsidRDefault="00E85C97" w:rsidP="0060171C">
      <w:pPr>
        <w:tabs>
          <w:tab w:val="left" w:pos="709"/>
        </w:tabs>
        <w:spacing w:after="120" w:line="276" w:lineRule="auto"/>
        <w:ind w:firstLine="709"/>
        <w:jc w:val="both"/>
        <w:rPr>
          <w:rFonts w:ascii="Verdana" w:hAnsi="Verdana" w:cs="Arial"/>
          <w:shd w:val="clear" w:color="auto" w:fill="FFFFFF"/>
        </w:rPr>
      </w:pPr>
      <w:r w:rsidRPr="00C530EF">
        <w:rPr>
          <w:rFonts w:ascii="Verdana" w:hAnsi="Verdana" w:cs="Arial"/>
          <w:shd w:val="clear" w:color="auto" w:fill="FFFFFF"/>
        </w:rPr>
        <w:t>Por otra parte,</w:t>
      </w:r>
      <w:r>
        <w:rPr>
          <w:rFonts w:ascii="Verdana" w:hAnsi="Verdana" w:cs="Arial"/>
          <w:shd w:val="clear" w:color="auto" w:fill="FFFFFF"/>
        </w:rPr>
        <w:t xml:space="preserve"> e</w:t>
      </w:r>
      <w:r w:rsidRPr="00C7575C">
        <w:rPr>
          <w:rFonts w:ascii="Verdana" w:hAnsi="Verdana" w:cs="Arial"/>
          <w:shd w:val="clear" w:color="auto" w:fill="FFFFFF"/>
        </w:rPr>
        <w:t xml:space="preserve">n cuanto a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C7575C">
        <w:rPr>
          <w:rFonts w:ascii="Verdana" w:hAnsi="Verdana" w:cs="Arial"/>
          <w:shd w:val="clear" w:color="auto" w:fill="FFFFFF"/>
        </w:rPr>
        <w:t>postcontractual</w:t>
      </w:r>
      <w:proofErr w:type="spellEnd"/>
      <w:r w:rsidRPr="00C7575C">
        <w:rPr>
          <w:rFonts w:ascii="Verdana" w:hAnsi="Verdana" w:cs="Arial"/>
          <w:shd w:val="clear" w:color="auto" w:fill="FFFFFF"/>
        </w:rPr>
        <w:t>”</w:t>
      </w:r>
      <w:r>
        <w:rPr>
          <w:rFonts w:ascii="Verdana" w:hAnsi="Verdana" w:cs="Arial"/>
          <w:shd w:val="clear" w:color="auto" w:fill="FFFFFF"/>
        </w:rPr>
        <w:t xml:space="preserve">. </w:t>
      </w:r>
      <w:r w:rsidRPr="00E12572">
        <w:rPr>
          <w:rFonts w:ascii="Verdana" w:hAnsi="Verdana" w:cs="Arial"/>
          <w:shd w:val="clear" w:color="auto" w:fill="FFFFFF"/>
        </w:rPr>
        <w:t>Por 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w:t>
      </w:r>
    </w:p>
    <w:p w14:paraId="473F70F5" w14:textId="77777777" w:rsidR="00E85C97" w:rsidRDefault="00E85C97" w:rsidP="0060171C">
      <w:pPr>
        <w:pStyle w:val="Textoindependiente"/>
        <w:spacing w:after="120" w:line="276" w:lineRule="auto"/>
        <w:ind w:right="255" w:firstLine="709"/>
        <w:jc w:val="both"/>
      </w:pPr>
      <w:r>
        <w:t xml:space="preserve">La expresión Documentos del Proceso está definida en el artículo 2.2.1.1.1.3.1. del Decreto 1082 de 2015, donde se establece que: “son: (a) los estudios y documentos previos; (b) el aviso de convocatoria; (c) los pliegos </w:t>
      </w:r>
      <w:r>
        <w:lastRenderedPageBreak/>
        <w:t>de condiciones o la invitación; (d) las adendas; (e) la oferta; (f) el informe de evaluación; (g) el contrato;</w:t>
      </w:r>
      <w:r>
        <w:rPr>
          <w:spacing w:val="-7"/>
        </w:rPr>
        <w:t xml:space="preserve"> </w:t>
      </w:r>
      <w:r>
        <w:t>y</w:t>
      </w:r>
      <w:r>
        <w:rPr>
          <w:spacing w:val="-7"/>
        </w:rPr>
        <w:t xml:space="preserve"> </w:t>
      </w:r>
      <w:r>
        <w:t>cualquier</w:t>
      </w:r>
      <w:r>
        <w:rPr>
          <w:spacing w:val="-6"/>
        </w:rPr>
        <w:t xml:space="preserve"> </w:t>
      </w:r>
      <w:r>
        <w:t>otro</w:t>
      </w:r>
      <w:r>
        <w:rPr>
          <w:spacing w:val="-6"/>
        </w:rPr>
        <w:t xml:space="preserve"> </w:t>
      </w:r>
      <w:r>
        <w:t>documento</w:t>
      </w:r>
      <w:r>
        <w:rPr>
          <w:spacing w:val="-6"/>
        </w:rPr>
        <w:t xml:space="preserve"> </w:t>
      </w:r>
      <w:r>
        <w:t>expedido</w:t>
      </w:r>
      <w:r>
        <w:rPr>
          <w:spacing w:val="-6"/>
        </w:rPr>
        <w:t xml:space="preserve"> </w:t>
      </w:r>
      <w:r>
        <w:t>por</w:t>
      </w:r>
      <w:r>
        <w:rPr>
          <w:spacing w:val="-6"/>
        </w:rPr>
        <w:t xml:space="preserve"> </w:t>
      </w:r>
      <w:r>
        <w:t>la</w:t>
      </w:r>
      <w:r>
        <w:rPr>
          <w:spacing w:val="-9"/>
        </w:rPr>
        <w:t xml:space="preserve"> </w:t>
      </w:r>
      <w:r>
        <w:t>Entidad</w:t>
      </w:r>
      <w:r>
        <w:rPr>
          <w:spacing w:val="-9"/>
        </w:rPr>
        <w:t xml:space="preserve"> </w:t>
      </w:r>
      <w:r>
        <w:t>Estatal</w:t>
      </w:r>
      <w:r>
        <w:rPr>
          <w:spacing w:val="-7"/>
        </w:rPr>
        <w:t xml:space="preserve"> </w:t>
      </w:r>
      <w:r>
        <w:t>durante</w:t>
      </w:r>
      <w:r>
        <w:rPr>
          <w:spacing w:val="-8"/>
        </w:rPr>
        <w:t xml:space="preserve"> </w:t>
      </w:r>
      <w:r>
        <w:t>el Proceso de Contratación”.</w:t>
      </w:r>
    </w:p>
    <w:p w14:paraId="67DD38C0" w14:textId="77777777" w:rsidR="00E85C97" w:rsidRDefault="00E85C97" w:rsidP="0060171C">
      <w:pPr>
        <w:pStyle w:val="Textoindependiente"/>
        <w:spacing w:after="120" w:line="276" w:lineRule="auto"/>
        <w:ind w:right="254" w:firstLine="709"/>
        <w:jc w:val="both"/>
      </w:pPr>
      <w:r>
        <w:t>En consecuencia,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recoge en la noción de Documentos del Proceso “cualquier otro documento</w:t>
      </w:r>
      <w:r>
        <w:rPr>
          <w:spacing w:val="-8"/>
        </w:rPr>
        <w:t xml:space="preserve"> </w:t>
      </w:r>
      <w:r>
        <w:t>expedido</w:t>
      </w:r>
      <w:r>
        <w:rPr>
          <w:spacing w:val="-8"/>
        </w:rPr>
        <w:t xml:space="preserve"> </w:t>
      </w:r>
      <w:r>
        <w:t>por</w:t>
      </w:r>
      <w:r>
        <w:rPr>
          <w:spacing w:val="-8"/>
        </w:rPr>
        <w:t xml:space="preserve"> </w:t>
      </w:r>
      <w:r>
        <w:t>la</w:t>
      </w:r>
      <w:r>
        <w:rPr>
          <w:spacing w:val="-15"/>
        </w:rPr>
        <w:t xml:space="preserve"> </w:t>
      </w:r>
      <w:r>
        <w:t>Entidad</w:t>
      </w:r>
      <w:r>
        <w:rPr>
          <w:spacing w:val="-11"/>
        </w:rPr>
        <w:t xml:space="preserve"> </w:t>
      </w:r>
      <w:r>
        <w:t>Estatal</w:t>
      </w:r>
      <w:r>
        <w:rPr>
          <w:spacing w:val="-9"/>
        </w:rPr>
        <w:t xml:space="preserve"> </w:t>
      </w:r>
      <w:r>
        <w:t>durante</w:t>
      </w:r>
      <w:r>
        <w:rPr>
          <w:spacing w:val="-10"/>
        </w:rPr>
        <w:t xml:space="preserve"> </w:t>
      </w:r>
      <w:r>
        <w:t>el</w:t>
      </w:r>
      <w:r>
        <w:rPr>
          <w:spacing w:val="-9"/>
        </w:rPr>
        <w:t xml:space="preserve"> </w:t>
      </w:r>
      <w:r>
        <w:t>Proceso</w:t>
      </w:r>
      <w:r>
        <w:rPr>
          <w:spacing w:val="-12"/>
        </w:rPr>
        <w:t xml:space="preserve"> </w:t>
      </w:r>
      <w:r>
        <w:t>de</w:t>
      </w:r>
      <w:r>
        <w:rPr>
          <w:spacing w:val="-10"/>
        </w:rPr>
        <w:t xml:space="preserve"> </w:t>
      </w:r>
      <w:r>
        <w:t>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w:t>
      </w:r>
      <w:r>
        <w:rPr>
          <w:spacing w:val="-1"/>
        </w:rPr>
        <w:t xml:space="preserve"> </w:t>
      </w:r>
      <w:r>
        <w:t>ambiental</w:t>
      </w:r>
      <w:r>
        <w:rPr>
          <w:spacing w:val="-1"/>
        </w:rPr>
        <w:t xml:space="preserve"> </w:t>
      </w:r>
      <w:r>
        <w:t>de</w:t>
      </w:r>
      <w:r>
        <w:rPr>
          <w:spacing w:val="-2"/>
        </w:rPr>
        <w:t xml:space="preserve"> </w:t>
      </w:r>
      <w:r>
        <w:t>las</w:t>
      </w:r>
      <w:r>
        <w:rPr>
          <w:spacing w:val="-1"/>
        </w:rPr>
        <w:t xml:space="preserve"> </w:t>
      </w:r>
      <w:r>
        <w:t>obras</w:t>
      </w:r>
      <w:r>
        <w:rPr>
          <w:spacing w:val="-1"/>
        </w:rPr>
        <w:t xml:space="preserve"> </w:t>
      </w:r>
      <w:r>
        <w:t>o bienes o el</w:t>
      </w:r>
      <w:r>
        <w:rPr>
          <w:spacing w:val="-1"/>
        </w:rPr>
        <w:t xml:space="preserve"> </w:t>
      </w:r>
      <w:r>
        <w:t>vencimiento del</w:t>
      </w:r>
      <w:r>
        <w:rPr>
          <w:spacing w:val="-1"/>
        </w:rPr>
        <w:t xml:space="preserve"> </w:t>
      </w:r>
      <w:r>
        <w:t>plazo,</w:t>
      </w:r>
      <w:r>
        <w:rPr>
          <w:spacing w:val="-2"/>
        </w:rPr>
        <w:t xml:space="preserve"> </w:t>
      </w:r>
      <w:r>
        <w:t>lo que ocurra más tarde”.</w:t>
      </w:r>
    </w:p>
    <w:p w14:paraId="2CD6FE1C" w14:textId="77777777" w:rsidR="00E85C97" w:rsidRDefault="00E85C97" w:rsidP="0060171C">
      <w:pPr>
        <w:pStyle w:val="Textoindependiente"/>
        <w:spacing w:after="120" w:line="276" w:lineRule="auto"/>
        <w:ind w:right="266" w:firstLine="709"/>
        <w:jc w:val="both"/>
      </w:pPr>
      <w:r>
        <w:t>Nótese que la</w:t>
      </w:r>
      <w:r>
        <w:rPr>
          <w:spacing w:val="-6"/>
        </w:rPr>
        <w:t xml:space="preserve"> </w:t>
      </w:r>
      <w:r>
        <w:t>norma</w:t>
      </w:r>
      <w:r>
        <w:rPr>
          <w:spacing w:val="-1"/>
        </w:rPr>
        <w:t xml:space="preserve"> </w:t>
      </w:r>
      <w:r>
        <w:t>hace</w:t>
      </w:r>
      <w:r>
        <w:rPr>
          <w:spacing w:val="-4"/>
        </w:rPr>
        <w:t xml:space="preserve"> </w:t>
      </w:r>
      <w:r>
        <w:t>referencia</w:t>
      </w:r>
      <w:r>
        <w:rPr>
          <w:spacing w:val="-5"/>
        </w:rPr>
        <w:t xml:space="preserve"> </w:t>
      </w:r>
      <w:r>
        <w:t>a</w:t>
      </w:r>
      <w:r>
        <w:rPr>
          <w:spacing w:val="-6"/>
        </w:rPr>
        <w:t xml:space="preserve"> </w:t>
      </w:r>
      <w:r>
        <w:t>los</w:t>
      </w:r>
      <w:r>
        <w:rPr>
          <w:spacing w:val="-3"/>
        </w:rPr>
        <w:t xml:space="preserve"> </w:t>
      </w:r>
      <w:r>
        <w:t>documentos “expedidos por</w:t>
      </w:r>
      <w:r>
        <w:rPr>
          <w:spacing w:val="-2"/>
        </w:rPr>
        <w:t xml:space="preserve"> </w:t>
      </w:r>
      <w:r>
        <w:t>la entidad</w:t>
      </w:r>
      <w:r>
        <w:rPr>
          <w:spacing w:val="-6"/>
        </w:rPr>
        <w:t xml:space="preserve"> </w:t>
      </w:r>
      <w:r>
        <w:t>estatal”</w:t>
      </w:r>
      <w:r>
        <w:rPr>
          <w:spacing w:val="-5"/>
        </w:rPr>
        <w:t xml:space="preserve"> </w:t>
      </w:r>
      <w:r>
        <w:t>durante</w:t>
      </w:r>
      <w:r>
        <w:rPr>
          <w:spacing w:val="-5"/>
        </w:rPr>
        <w:t xml:space="preserve"> </w:t>
      </w:r>
      <w:r>
        <w:t>el</w:t>
      </w:r>
      <w:r>
        <w:rPr>
          <w:spacing w:val="-4"/>
        </w:rPr>
        <w:t xml:space="preserve"> </w:t>
      </w:r>
      <w:r>
        <w:t>proceso</w:t>
      </w:r>
      <w:r>
        <w:rPr>
          <w:spacing w:val="-3"/>
        </w:rPr>
        <w:t xml:space="preserve"> </w:t>
      </w:r>
      <w:r>
        <w:t>de</w:t>
      </w:r>
      <w:r>
        <w:rPr>
          <w:spacing w:val="-5"/>
        </w:rPr>
        <w:t xml:space="preserve"> </w:t>
      </w:r>
      <w:r>
        <w:t>contratación,</w:t>
      </w:r>
      <w:r>
        <w:rPr>
          <w:spacing w:val="-5"/>
        </w:rPr>
        <w:t xml:space="preserve"> </w:t>
      </w:r>
      <w:r>
        <w:t>excluyendo</w:t>
      </w:r>
      <w:r>
        <w:rPr>
          <w:spacing w:val="-3"/>
        </w:rPr>
        <w:t xml:space="preserve"> </w:t>
      </w:r>
      <w:r>
        <w:t>de</w:t>
      </w:r>
      <w:r>
        <w:rPr>
          <w:spacing w:val="-5"/>
        </w:rPr>
        <w:t xml:space="preserve"> </w:t>
      </w:r>
      <w:r>
        <w:t>la</w:t>
      </w:r>
      <w:r>
        <w:rPr>
          <w:spacing w:val="-6"/>
        </w:rPr>
        <w:t xml:space="preserve"> </w:t>
      </w:r>
      <w:r>
        <w:t>noción</w:t>
      </w:r>
      <w:r>
        <w:rPr>
          <w:spacing w:val="-4"/>
        </w:rPr>
        <w:t xml:space="preserve"> </w:t>
      </w:r>
      <w:r>
        <w:t>de Documentos</w:t>
      </w:r>
      <w:r>
        <w:rPr>
          <w:spacing w:val="-8"/>
        </w:rPr>
        <w:t xml:space="preserve"> </w:t>
      </w:r>
      <w:r>
        <w:t>del</w:t>
      </w:r>
      <w:r>
        <w:rPr>
          <w:spacing w:val="-3"/>
        </w:rPr>
        <w:t xml:space="preserve"> </w:t>
      </w:r>
      <w:r>
        <w:t>Proceso</w:t>
      </w:r>
      <w:r>
        <w:rPr>
          <w:spacing w:val="-2"/>
        </w:rPr>
        <w:t xml:space="preserve"> </w:t>
      </w:r>
      <w:r>
        <w:t>los</w:t>
      </w:r>
      <w:r>
        <w:rPr>
          <w:spacing w:val="-3"/>
        </w:rPr>
        <w:t xml:space="preserve"> </w:t>
      </w:r>
      <w:r>
        <w:t>expedidos</w:t>
      </w:r>
      <w:r>
        <w:rPr>
          <w:spacing w:val="-3"/>
        </w:rPr>
        <w:t xml:space="preserve"> </w:t>
      </w:r>
      <w:r>
        <w:t>por</w:t>
      </w:r>
      <w:r>
        <w:rPr>
          <w:spacing w:val="-7"/>
        </w:rPr>
        <w:t xml:space="preserve"> </w:t>
      </w:r>
      <w:r>
        <w:t>un</w:t>
      </w:r>
      <w:r>
        <w:rPr>
          <w:spacing w:val="-8"/>
        </w:rPr>
        <w:t xml:space="preserve"> </w:t>
      </w:r>
      <w:r>
        <w:t>sujeto</w:t>
      </w:r>
      <w:r>
        <w:rPr>
          <w:spacing w:val="-2"/>
        </w:rPr>
        <w:t xml:space="preserve"> </w:t>
      </w:r>
      <w:r>
        <w:t>distinto</w:t>
      </w:r>
      <w:r>
        <w:rPr>
          <w:spacing w:val="-2"/>
        </w:rPr>
        <w:t xml:space="preserve"> </w:t>
      </w:r>
      <w:r>
        <w:t>a</w:t>
      </w:r>
      <w:r>
        <w:rPr>
          <w:spacing w:val="-11"/>
        </w:rPr>
        <w:t xml:space="preserve"> </w:t>
      </w:r>
      <w:r>
        <w:t>la</w:t>
      </w:r>
      <w:r>
        <w:rPr>
          <w:spacing w:val="-5"/>
        </w:rPr>
        <w:t xml:space="preserve"> </w:t>
      </w:r>
      <w:r>
        <w:t>entidad,</w:t>
      </w:r>
      <w:r>
        <w:rPr>
          <w:spacing w:val="-4"/>
        </w:rPr>
        <w:t xml:space="preserve"> </w:t>
      </w:r>
      <w:r>
        <w:t>salvo la oferta, la cual se incluye expresamente en el referido artículo 2.2.1.1.1.3.1. En ese sentido, la interpretación sistemática</w:t>
      </w:r>
      <w:r>
        <w:rPr>
          <w:spacing w:val="-1"/>
        </w:rPr>
        <w:t xml:space="preserve"> </w:t>
      </w:r>
      <w:r>
        <w:t>de los preceptos del Decreto 1082 de 2015, de acuerdo con el principio de publicidad, inicialmente, indica que las Entidades Estatales tienen la obligación de publicar todos los documentos que expidan</w:t>
      </w:r>
      <w:r>
        <w:rPr>
          <w:spacing w:val="77"/>
        </w:rPr>
        <w:t xml:space="preserve"> </w:t>
      </w:r>
      <w:r>
        <w:t>con</w:t>
      </w:r>
      <w:r>
        <w:rPr>
          <w:spacing w:val="73"/>
        </w:rPr>
        <w:t xml:space="preserve"> </w:t>
      </w:r>
      <w:r>
        <w:t>ocasión</w:t>
      </w:r>
      <w:r>
        <w:rPr>
          <w:spacing w:val="73"/>
        </w:rPr>
        <w:t xml:space="preserve"> </w:t>
      </w:r>
      <w:r>
        <w:t>del</w:t>
      </w:r>
      <w:r>
        <w:rPr>
          <w:spacing w:val="71"/>
        </w:rPr>
        <w:t xml:space="preserve"> </w:t>
      </w:r>
      <w:r>
        <w:t>Proceso</w:t>
      </w:r>
      <w:r>
        <w:rPr>
          <w:spacing w:val="73"/>
        </w:rPr>
        <w:t xml:space="preserve"> </w:t>
      </w:r>
      <w:r>
        <w:t>de</w:t>
      </w:r>
      <w:r>
        <w:rPr>
          <w:spacing w:val="70"/>
        </w:rPr>
        <w:t xml:space="preserve"> </w:t>
      </w:r>
      <w:r>
        <w:t>Contratación,</w:t>
      </w:r>
      <w:r>
        <w:rPr>
          <w:spacing w:val="76"/>
        </w:rPr>
        <w:t xml:space="preserve"> </w:t>
      </w:r>
      <w:r>
        <w:t>es</w:t>
      </w:r>
      <w:r>
        <w:rPr>
          <w:spacing w:val="77"/>
        </w:rPr>
        <w:t xml:space="preserve"> </w:t>
      </w:r>
      <w:r>
        <w:t>decir</w:t>
      </w:r>
      <w:r>
        <w:rPr>
          <w:spacing w:val="77"/>
        </w:rPr>
        <w:t xml:space="preserve"> </w:t>
      </w:r>
      <w:r>
        <w:t>que</w:t>
      </w:r>
      <w:r>
        <w:rPr>
          <w:spacing w:val="75"/>
        </w:rPr>
        <w:t xml:space="preserve"> </w:t>
      </w:r>
      <w:r>
        <w:t>todos</w:t>
      </w:r>
      <w:r>
        <w:rPr>
          <w:spacing w:val="71"/>
        </w:rPr>
        <w:t xml:space="preserve"> </w:t>
      </w:r>
      <w:r>
        <w:t>los documentos</w:t>
      </w:r>
      <w:r>
        <w:rPr>
          <w:spacing w:val="40"/>
        </w:rPr>
        <w:t xml:space="preserve"> </w:t>
      </w:r>
      <w:r>
        <w:t>expedidos</w:t>
      </w:r>
      <w:r>
        <w:rPr>
          <w:spacing w:val="40"/>
        </w:rPr>
        <w:t xml:space="preserve"> </w:t>
      </w:r>
      <w:r>
        <w:t>por</w:t>
      </w:r>
      <w:r>
        <w:rPr>
          <w:spacing w:val="40"/>
        </w:rPr>
        <w:t xml:space="preserve"> </w:t>
      </w:r>
      <w:r>
        <w:t>la</w:t>
      </w:r>
      <w:r>
        <w:rPr>
          <w:spacing w:val="40"/>
        </w:rPr>
        <w:t xml:space="preserve"> </w:t>
      </w:r>
      <w:r>
        <w:t>entidad</w:t>
      </w:r>
      <w:r>
        <w:rPr>
          <w:spacing w:val="40"/>
        </w:rPr>
        <w:t xml:space="preserve"> </w:t>
      </w:r>
      <w:r>
        <w:t>durante</w:t>
      </w:r>
      <w:r>
        <w:rPr>
          <w:spacing w:val="40"/>
        </w:rPr>
        <w:t xml:space="preserve"> </w:t>
      </w:r>
      <w:r>
        <w:t>las</w:t>
      </w:r>
      <w:r>
        <w:rPr>
          <w:spacing w:val="40"/>
        </w:rPr>
        <w:t xml:space="preserve"> </w:t>
      </w:r>
      <w:r>
        <w:t>etapas</w:t>
      </w:r>
      <w:r>
        <w:rPr>
          <w:spacing w:val="40"/>
        </w:rPr>
        <w:t xml:space="preserve"> </w:t>
      </w:r>
      <w:r>
        <w:t>precontractual,</w:t>
      </w:r>
      <w:r>
        <w:rPr>
          <w:spacing w:val="40"/>
        </w:rPr>
        <w:t xml:space="preserve"> </w:t>
      </w:r>
      <w:r>
        <w:t xml:space="preserve">de ejecución y </w:t>
      </w:r>
      <w:proofErr w:type="spellStart"/>
      <w:r>
        <w:t>postcontractual</w:t>
      </w:r>
      <w:proofErr w:type="spellEnd"/>
      <w:r>
        <w:t xml:space="preserve"> deberán ser publicados en SECOP ll.</w:t>
      </w:r>
    </w:p>
    <w:p w14:paraId="4EDF4246" w14:textId="77777777" w:rsidR="00E85C97" w:rsidRPr="00392ACA" w:rsidRDefault="00E85C97" w:rsidP="0060171C">
      <w:pPr>
        <w:tabs>
          <w:tab w:val="left" w:pos="709"/>
        </w:tabs>
        <w:spacing w:after="0" w:line="276" w:lineRule="auto"/>
        <w:ind w:firstLine="709"/>
        <w:jc w:val="both"/>
        <w:rPr>
          <w:rFonts w:ascii="Verdana" w:eastAsia="Calibri" w:hAnsi="Verdana" w:cs="Arial"/>
          <w:color w:val="000000" w:themeColor="text1"/>
          <w:lang w:val="es-ES"/>
        </w:rPr>
      </w:pPr>
      <w:r w:rsidRPr="001941FD">
        <w:rPr>
          <w:rStyle w:val="s15"/>
          <w:rFonts w:ascii="Verdana" w:hAnsi="Verdana"/>
          <w:color w:val="000000"/>
        </w:rPr>
        <w:t xml:space="preserve">Al margen de la explicación precedente debe advertirse que el análisis requerido para resolver problemas específicos en torno a la gestión contractual </w:t>
      </w:r>
      <w:r>
        <w:rPr>
          <w:rStyle w:val="s15"/>
          <w:rFonts w:ascii="Verdana" w:hAnsi="Verdana"/>
          <w:color w:val="000000"/>
        </w:rPr>
        <w:t xml:space="preserve">de las entidades </w:t>
      </w:r>
      <w:r w:rsidRPr="001941FD">
        <w:rPr>
          <w:rStyle w:val="s15"/>
          <w:rFonts w:ascii="Verdana" w:hAnsi="Verdana"/>
          <w:color w:val="000000"/>
        </w:rPr>
        <w:t>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w:t>
      </w:r>
      <w:r>
        <w:rPr>
          <w:rStyle w:val="s15"/>
          <w:rFonts w:ascii="Verdana" w:hAnsi="Verdana"/>
          <w:color w:val="000000"/>
        </w:rPr>
        <w:t>.</w:t>
      </w:r>
      <w:r w:rsidRPr="001941FD">
        <w:rPr>
          <w:rStyle w:val="s15"/>
          <w:rFonts w:ascii="Verdana" w:hAnsi="Verdana"/>
          <w:color w:val="000000"/>
        </w:rPr>
        <w:t xml:space="preserve"> Así, cada entidad definirá la forma de adelantar su gestión contractual, sin que sea atribución de Colombia Compra Eficiente validar sus actuaciones.</w:t>
      </w:r>
    </w:p>
    <w:p w14:paraId="65FE69EB" w14:textId="77777777" w:rsidR="00E85C97" w:rsidRPr="00866E89" w:rsidRDefault="00E85C97" w:rsidP="00E85C97">
      <w:pPr>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 </w:t>
      </w:r>
    </w:p>
    <w:p w14:paraId="6C324B30" w14:textId="77777777" w:rsidR="00E85C97" w:rsidRPr="00593A5F" w:rsidRDefault="00E85C97" w:rsidP="00E85C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Referencias normativas:</w:t>
      </w:r>
    </w:p>
    <w:p w14:paraId="607B6313" w14:textId="77777777" w:rsidR="00E85C97" w:rsidRPr="00593A5F" w:rsidRDefault="00E85C97" w:rsidP="00E85C9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85C97" w:rsidRPr="002407CE" w14:paraId="7841C7AE" w14:textId="77777777" w:rsidTr="0060643C">
        <w:trPr>
          <w:trHeight w:val="870"/>
          <w:jc w:val="center"/>
        </w:trPr>
        <w:tc>
          <w:tcPr>
            <w:tcW w:w="8647" w:type="dxa"/>
          </w:tcPr>
          <w:p w14:paraId="7894CCCE"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Constitución Política de 1991, artículos 123, 209, 210, 267 y 352.</w:t>
            </w:r>
          </w:p>
          <w:p w14:paraId="7F81F32B"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 xml:space="preserve">Ley 80 de 1993, artículos 2, 13, 32, 39,40 y 41. </w:t>
            </w:r>
          </w:p>
          <w:p w14:paraId="375AAE09"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Ley 1150 de 2007, artículos 2, 3, 6 y 13.</w:t>
            </w:r>
          </w:p>
          <w:p w14:paraId="2CD35B06"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Ley 489 de 1998, artículos 110 a 114.</w:t>
            </w:r>
          </w:p>
          <w:p w14:paraId="4357C128"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Decreto 111 de 1996, artículo 110.</w:t>
            </w:r>
          </w:p>
          <w:p w14:paraId="1899FC6B"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Decreto 019 de 2012, artículo 116.</w:t>
            </w:r>
          </w:p>
          <w:p w14:paraId="66754306"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Decreto 1074 del 2015, artículo 2.2.2.38.1.1.</w:t>
            </w:r>
          </w:p>
          <w:p w14:paraId="3B993930"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Decreto Ley 410 de 1971, articulo 78</w:t>
            </w:r>
          </w:p>
          <w:p w14:paraId="0033B185"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 xml:space="preserve">Ley 1712 de 2014 </w:t>
            </w:r>
          </w:p>
          <w:p w14:paraId="5A2DEEF1"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Decreto 1081 de 2015</w:t>
            </w:r>
          </w:p>
          <w:p w14:paraId="2F347329"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Ley 2195 de 2022, articulo 53</w:t>
            </w:r>
          </w:p>
          <w:p w14:paraId="0A32CB6F" w14:textId="77777777" w:rsidR="00E85C97" w:rsidRPr="00CA1FC4" w:rsidRDefault="00E85C97" w:rsidP="0060643C">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Resolución No. 5185 de 2013, modificado por la Resolución 1440 del 14 de agosto de 2024</w:t>
            </w:r>
          </w:p>
          <w:p w14:paraId="43D9092C" w14:textId="67737E96" w:rsidR="00E85C97" w:rsidRPr="001D733B" w:rsidRDefault="00E85C97" w:rsidP="0075644E">
            <w:pPr>
              <w:pStyle w:val="Prrafodelista"/>
              <w:widowControl w:val="0"/>
              <w:numPr>
                <w:ilvl w:val="0"/>
                <w:numId w:val="17"/>
              </w:numPr>
              <w:autoSpaceDE w:val="0"/>
              <w:autoSpaceDN w:val="0"/>
              <w:spacing w:after="120" w:line="276" w:lineRule="auto"/>
              <w:jc w:val="both"/>
              <w:rPr>
                <w:rFonts w:ascii="Verdana" w:hAnsi="Verdana" w:cs="Arial"/>
              </w:rPr>
            </w:pPr>
            <w:r w:rsidRPr="00CA1FC4">
              <w:rPr>
                <w:rFonts w:ascii="Verdana" w:hAnsi="Verdana" w:cs="Arial"/>
              </w:rPr>
              <w:t xml:space="preserve"> Decreto 1082 de 2015, artículo 2.2.1.1.1.7.1</w:t>
            </w:r>
          </w:p>
        </w:tc>
      </w:tr>
    </w:tbl>
    <w:p w14:paraId="0E96513B" w14:textId="77777777" w:rsidR="00E85C97" w:rsidRPr="002407CE" w:rsidRDefault="00E85C97" w:rsidP="00E85C97">
      <w:pPr>
        <w:widowControl w:val="0"/>
        <w:autoSpaceDE w:val="0"/>
        <w:autoSpaceDN w:val="0"/>
        <w:spacing w:after="0" w:line="276" w:lineRule="auto"/>
        <w:jc w:val="both"/>
        <w:rPr>
          <w:rFonts w:ascii="Verdana" w:hAnsi="Verdana" w:cs="Arial"/>
        </w:rPr>
      </w:pPr>
    </w:p>
    <w:p w14:paraId="37B6F104" w14:textId="77777777" w:rsidR="00E85C97" w:rsidRPr="00593A5F" w:rsidRDefault="00E85C97" w:rsidP="00E85C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 xml:space="preserve"> Doctrina de la Agencia Nacional de Contratación Pública</w:t>
      </w:r>
      <w:r w:rsidRPr="00593A5F">
        <w:rPr>
          <w:rFonts w:ascii="Verdana" w:eastAsia="Century Gothic" w:hAnsi="Verdana" w:cs="Century Gothic"/>
          <w:b/>
          <w:bCs/>
        </w:rPr>
        <w:t>:</w:t>
      </w:r>
    </w:p>
    <w:p w14:paraId="00490338" w14:textId="77777777" w:rsidR="00E85C97" w:rsidRPr="00593A5F" w:rsidRDefault="00E85C97" w:rsidP="00E85C97">
      <w:pPr>
        <w:widowControl w:val="0"/>
        <w:autoSpaceDE w:val="0"/>
        <w:autoSpaceDN w:val="0"/>
        <w:spacing w:after="0" w:line="276" w:lineRule="auto"/>
        <w:jc w:val="both"/>
        <w:rPr>
          <w:rFonts w:ascii="Verdana" w:hAnsi="Verdana" w:cs="Arial"/>
        </w:rPr>
      </w:pPr>
    </w:p>
    <w:p w14:paraId="0C0D29E1" w14:textId="63D2D975" w:rsidR="00E85C97" w:rsidRDefault="00E85C97" w:rsidP="00E85C97">
      <w:pPr>
        <w:pStyle w:val="Textoindependiente"/>
        <w:spacing w:line="276" w:lineRule="auto"/>
        <w:ind w:right="254"/>
        <w:jc w:val="both"/>
        <w:rPr>
          <w:rStyle w:val="normaltextrun"/>
          <w:rFonts w:cs="Arial"/>
          <w:shd w:val="clear" w:color="auto" w:fill="FFFFFF"/>
        </w:rPr>
      </w:pPr>
      <w:r>
        <w:t>Sobre</w:t>
      </w:r>
      <w:r>
        <w:rPr>
          <w:spacing w:val="-20"/>
        </w:rPr>
        <w:t xml:space="preserve"> </w:t>
      </w:r>
      <w:r>
        <w:t>el</w:t>
      </w:r>
      <w:r>
        <w:rPr>
          <w:spacing w:val="-19"/>
        </w:rPr>
        <w:t xml:space="preserve"> </w:t>
      </w:r>
      <w:r>
        <w:t>principio</w:t>
      </w:r>
      <w:r>
        <w:rPr>
          <w:spacing w:val="-17"/>
        </w:rPr>
        <w:t xml:space="preserve"> </w:t>
      </w:r>
      <w:r>
        <w:t>de</w:t>
      </w:r>
      <w:r>
        <w:rPr>
          <w:spacing w:val="-19"/>
        </w:rPr>
        <w:t xml:space="preserve"> </w:t>
      </w:r>
      <w:r>
        <w:t>publicidad,</w:t>
      </w:r>
      <w:r>
        <w:rPr>
          <w:spacing w:val="-19"/>
        </w:rPr>
        <w:t xml:space="preserve"> </w:t>
      </w:r>
      <w:r>
        <w:t>la</w:t>
      </w:r>
      <w:r>
        <w:rPr>
          <w:spacing w:val="-19"/>
        </w:rPr>
        <w:t xml:space="preserve"> </w:t>
      </w:r>
      <w:r>
        <w:t>obligatoriedad</w:t>
      </w:r>
      <w:r>
        <w:rPr>
          <w:spacing w:val="-20"/>
        </w:rPr>
        <w:t xml:space="preserve"> </w:t>
      </w:r>
      <w:r>
        <w:t>de</w:t>
      </w:r>
      <w:r>
        <w:rPr>
          <w:spacing w:val="-19"/>
        </w:rPr>
        <w:t xml:space="preserve"> </w:t>
      </w:r>
      <w:r>
        <w:t>publicación</w:t>
      </w:r>
      <w:r>
        <w:rPr>
          <w:spacing w:val="-18"/>
        </w:rPr>
        <w:t xml:space="preserve"> </w:t>
      </w:r>
      <w:r>
        <w:t>en</w:t>
      </w:r>
      <w:r>
        <w:rPr>
          <w:spacing w:val="-19"/>
        </w:rPr>
        <w:t xml:space="preserve"> </w:t>
      </w:r>
      <w:r>
        <w:t>la</w:t>
      </w:r>
      <w:r>
        <w:rPr>
          <w:spacing w:val="-19"/>
        </w:rPr>
        <w:t xml:space="preserve"> </w:t>
      </w:r>
      <w:r>
        <w:t>plataforma SECOP</w:t>
      </w:r>
      <w:r>
        <w:rPr>
          <w:spacing w:val="-19"/>
        </w:rPr>
        <w:t xml:space="preserve"> </w:t>
      </w:r>
      <w:r>
        <w:t>II</w:t>
      </w:r>
      <w:r>
        <w:rPr>
          <w:spacing w:val="-14"/>
        </w:rPr>
        <w:t xml:space="preserve"> </w:t>
      </w:r>
      <w:r>
        <w:t>y</w:t>
      </w:r>
      <w:r>
        <w:rPr>
          <w:spacing w:val="-18"/>
        </w:rPr>
        <w:t xml:space="preserve"> </w:t>
      </w:r>
      <w:r>
        <w:t>la</w:t>
      </w:r>
      <w:r>
        <w:rPr>
          <w:spacing w:val="-18"/>
        </w:rPr>
        <w:t xml:space="preserve"> </w:t>
      </w:r>
      <w:r>
        <w:t>interpretación</w:t>
      </w:r>
      <w:r>
        <w:rPr>
          <w:spacing w:val="-16"/>
        </w:rPr>
        <w:t xml:space="preserve"> </w:t>
      </w:r>
      <w:r>
        <w:t>del</w:t>
      </w:r>
      <w:r>
        <w:rPr>
          <w:spacing w:val="-11"/>
        </w:rPr>
        <w:t xml:space="preserve"> </w:t>
      </w:r>
      <w:r>
        <w:t>artículo</w:t>
      </w:r>
      <w:r>
        <w:rPr>
          <w:spacing w:val="-15"/>
        </w:rPr>
        <w:t xml:space="preserve"> </w:t>
      </w:r>
      <w:r>
        <w:t>53</w:t>
      </w:r>
      <w:r>
        <w:rPr>
          <w:spacing w:val="-16"/>
        </w:rPr>
        <w:t xml:space="preserve"> </w:t>
      </w:r>
      <w:r>
        <w:t>de</w:t>
      </w:r>
      <w:r>
        <w:rPr>
          <w:spacing w:val="-12"/>
        </w:rPr>
        <w:t xml:space="preserve"> </w:t>
      </w:r>
      <w:r>
        <w:t>la</w:t>
      </w:r>
      <w:r>
        <w:rPr>
          <w:spacing w:val="-18"/>
        </w:rPr>
        <w:t xml:space="preserve"> </w:t>
      </w:r>
      <w:r>
        <w:t>Ley</w:t>
      </w:r>
      <w:r>
        <w:rPr>
          <w:spacing w:val="-17"/>
        </w:rPr>
        <w:t xml:space="preserve"> </w:t>
      </w:r>
      <w:r>
        <w:t>2195</w:t>
      </w:r>
      <w:r>
        <w:rPr>
          <w:spacing w:val="-16"/>
        </w:rPr>
        <w:t xml:space="preserve"> </w:t>
      </w:r>
      <w:r>
        <w:t>de</w:t>
      </w:r>
      <w:r>
        <w:rPr>
          <w:spacing w:val="-17"/>
        </w:rPr>
        <w:t xml:space="preserve"> </w:t>
      </w:r>
      <w:r>
        <w:t>2022,</w:t>
      </w:r>
      <w:r>
        <w:rPr>
          <w:spacing w:val="-16"/>
        </w:rPr>
        <w:t xml:space="preserve"> </w:t>
      </w:r>
      <w:r>
        <w:t>se</w:t>
      </w:r>
      <w:r>
        <w:rPr>
          <w:spacing w:val="-17"/>
        </w:rPr>
        <w:t xml:space="preserve"> </w:t>
      </w:r>
      <w:r>
        <w:t>pronunció esta</w:t>
      </w:r>
      <w:r>
        <w:rPr>
          <w:spacing w:val="-5"/>
        </w:rPr>
        <w:t xml:space="preserve"> </w:t>
      </w:r>
      <w:r>
        <w:t>Subdirección</w:t>
      </w:r>
      <w:r>
        <w:rPr>
          <w:spacing w:val="-2"/>
        </w:rPr>
        <w:t xml:space="preserve"> </w:t>
      </w:r>
      <w:r>
        <w:t>en</w:t>
      </w:r>
      <w:r>
        <w:rPr>
          <w:spacing w:val="-7"/>
        </w:rPr>
        <w:t xml:space="preserve"> </w:t>
      </w:r>
      <w:r>
        <w:t>los</w:t>
      </w:r>
      <w:r>
        <w:rPr>
          <w:spacing w:val="-7"/>
        </w:rPr>
        <w:t xml:space="preserve"> </w:t>
      </w:r>
      <w:r>
        <w:t>conceptos</w:t>
      </w:r>
      <w:r>
        <w:rPr>
          <w:spacing w:val="-2"/>
        </w:rPr>
        <w:t xml:space="preserve"> </w:t>
      </w:r>
      <w:r>
        <w:t>CU-367</w:t>
      </w:r>
      <w:r>
        <w:rPr>
          <w:spacing w:val="-7"/>
        </w:rPr>
        <w:t xml:space="preserve"> </w:t>
      </w:r>
      <w:r>
        <w:t>del</w:t>
      </w:r>
      <w:r>
        <w:rPr>
          <w:spacing w:val="-2"/>
        </w:rPr>
        <w:t xml:space="preserve"> </w:t>
      </w:r>
      <w:r>
        <w:t>23</w:t>
      </w:r>
      <w:r>
        <w:rPr>
          <w:spacing w:val="-7"/>
        </w:rPr>
        <w:t xml:space="preserve"> </w:t>
      </w:r>
      <w:r>
        <w:t>de</w:t>
      </w:r>
      <w:r>
        <w:rPr>
          <w:spacing w:val="-3"/>
        </w:rPr>
        <w:t xml:space="preserve"> </w:t>
      </w:r>
      <w:r>
        <w:t>julio</w:t>
      </w:r>
      <w:r>
        <w:rPr>
          <w:spacing w:val="-6"/>
        </w:rPr>
        <w:t xml:space="preserve"> </w:t>
      </w:r>
      <w:r>
        <w:t>de</w:t>
      </w:r>
      <w:r>
        <w:rPr>
          <w:spacing w:val="-3"/>
        </w:rPr>
        <w:t xml:space="preserve"> </w:t>
      </w:r>
      <w:r>
        <w:t>2020,</w:t>
      </w:r>
      <w:r>
        <w:rPr>
          <w:spacing w:val="-7"/>
        </w:rPr>
        <w:t xml:space="preserve"> </w:t>
      </w:r>
      <w:r>
        <w:t>C-049</w:t>
      </w:r>
      <w:r>
        <w:rPr>
          <w:spacing w:val="-7"/>
        </w:rPr>
        <w:t xml:space="preserve"> </w:t>
      </w:r>
      <w:r>
        <w:t>del</w:t>
      </w:r>
      <w:r>
        <w:rPr>
          <w:spacing w:val="-7"/>
        </w:rPr>
        <w:t xml:space="preserve"> </w:t>
      </w:r>
      <w:r>
        <w:t>7 de marzo de 2022, C-120 del 22 de marzo de 2022, C-124 del 22 de marzo de 2022,</w:t>
      </w:r>
      <w:r>
        <w:rPr>
          <w:spacing w:val="7"/>
        </w:rPr>
        <w:t xml:space="preserve"> </w:t>
      </w:r>
      <w:r>
        <w:t>C-132</w:t>
      </w:r>
      <w:r>
        <w:rPr>
          <w:spacing w:val="4"/>
        </w:rPr>
        <w:t xml:space="preserve"> </w:t>
      </w:r>
      <w:r>
        <w:t>del</w:t>
      </w:r>
      <w:r>
        <w:rPr>
          <w:spacing w:val="8"/>
        </w:rPr>
        <w:t xml:space="preserve"> </w:t>
      </w:r>
      <w:r>
        <w:t>28</w:t>
      </w:r>
      <w:r>
        <w:rPr>
          <w:spacing w:val="3"/>
        </w:rPr>
        <w:t xml:space="preserve"> </w:t>
      </w:r>
      <w:r>
        <w:t>de</w:t>
      </w:r>
      <w:r>
        <w:rPr>
          <w:spacing w:val="6"/>
        </w:rPr>
        <w:t xml:space="preserve"> </w:t>
      </w:r>
      <w:r>
        <w:t>marzo</w:t>
      </w:r>
      <w:r>
        <w:rPr>
          <w:spacing w:val="4"/>
        </w:rPr>
        <w:t xml:space="preserve"> </w:t>
      </w:r>
      <w:r>
        <w:t>de</w:t>
      </w:r>
      <w:r>
        <w:rPr>
          <w:spacing w:val="6"/>
        </w:rPr>
        <w:t xml:space="preserve"> </w:t>
      </w:r>
      <w:r>
        <w:t>2022,</w:t>
      </w:r>
      <w:r>
        <w:rPr>
          <w:spacing w:val="-1"/>
        </w:rPr>
        <w:t xml:space="preserve"> </w:t>
      </w:r>
      <w:r>
        <w:t>C-941-2024,</w:t>
      </w:r>
      <w:r>
        <w:rPr>
          <w:spacing w:val="8"/>
        </w:rPr>
        <w:t xml:space="preserve"> </w:t>
      </w:r>
      <w:r>
        <w:t>C-009</w:t>
      </w:r>
      <w:r>
        <w:rPr>
          <w:spacing w:val="4"/>
        </w:rPr>
        <w:t xml:space="preserve"> </w:t>
      </w:r>
      <w:r>
        <w:t>de</w:t>
      </w:r>
      <w:r>
        <w:rPr>
          <w:spacing w:val="6"/>
        </w:rPr>
        <w:t xml:space="preserve"> </w:t>
      </w:r>
      <w:r>
        <w:t>2025,</w:t>
      </w:r>
      <w:r>
        <w:rPr>
          <w:spacing w:val="3"/>
        </w:rPr>
        <w:t xml:space="preserve"> </w:t>
      </w:r>
      <w:r>
        <w:t>C-073</w:t>
      </w:r>
      <w:r>
        <w:rPr>
          <w:spacing w:val="8"/>
        </w:rPr>
        <w:t xml:space="preserve"> </w:t>
      </w:r>
      <w:r>
        <w:rPr>
          <w:spacing w:val="-5"/>
        </w:rPr>
        <w:t xml:space="preserve">de </w:t>
      </w:r>
      <w:r>
        <w:t>2025, C-139 de 2025, C-294 de 2025, C-778 de 2025 y C-908 del 19 de agosto de 2015</w:t>
      </w:r>
      <w:r w:rsidRPr="00EA761C">
        <w:rPr>
          <w:rStyle w:val="normaltextrun"/>
          <w:rFonts w:cs="Arial"/>
          <w:shd w:val="clear" w:color="auto" w:fill="FFFFFF"/>
        </w:rPr>
        <w:t xml:space="preserve">. </w:t>
      </w:r>
      <w:r w:rsidR="00BF742D" w:rsidRPr="00CB2CA7">
        <w:rPr>
          <w:rStyle w:val="normaltextrun"/>
          <w:rFonts w:cs="Arial"/>
          <w:shd w:val="clear" w:color="auto" w:fill="FFFFFF"/>
        </w:rPr>
        <w:t>Est</w:t>
      </w:r>
      <w:r w:rsidR="00BF742D">
        <w:rPr>
          <w:rStyle w:val="normaltextrun"/>
          <w:rFonts w:cs="Arial"/>
          <w:shd w:val="clear" w:color="auto" w:fill="FFFFFF"/>
        </w:rPr>
        <w:t>os</w:t>
      </w:r>
      <w:r w:rsidR="00BF742D" w:rsidRPr="00CB2CA7">
        <w:rPr>
          <w:rStyle w:val="normaltextrun"/>
          <w:rFonts w:cs="Arial"/>
          <w:shd w:val="clear" w:color="auto" w:fill="FFFFFF"/>
        </w:rPr>
        <w:t xml:space="preserve"> </w:t>
      </w:r>
      <w:r w:rsidRPr="00CB2CA7">
        <w:rPr>
          <w:rStyle w:val="normaltextrun"/>
          <w:rFonts w:cs="Arial"/>
          <w:shd w:val="clear" w:color="auto" w:fill="FFFFFF"/>
        </w:rPr>
        <w:t xml:space="preserve">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history="1">
        <w:r w:rsidRPr="00577047">
          <w:rPr>
            <w:rStyle w:val="Hipervnculo"/>
            <w:rFonts w:cs="Arial"/>
            <w:shd w:val="clear" w:color="auto" w:fill="FFFFFF"/>
          </w:rPr>
          <w:t>https://relatoria.colombiacompra.gov.co/</w:t>
        </w:r>
      </w:hyperlink>
      <w:r w:rsidRPr="00CB2CA7">
        <w:rPr>
          <w:rStyle w:val="normaltextrun"/>
          <w:rFonts w:cs="Arial"/>
          <w:shd w:val="clear" w:color="auto" w:fill="FFFFFF"/>
        </w:rPr>
        <w:t>.</w:t>
      </w:r>
      <w:r>
        <w:rPr>
          <w:rStyle w:val="normaltextrun"/>
          <w:rFonts w:cs="Arial"/>
          <w:shd w:val="clear" w:color="auto" w:fill="FFFFFF"/>
        </w:rPr>
        <w:t xml:space="preserve"> </w:t>
      </w:r>
    </w:p>
    <w:p w14:paraId="700C487F" w14:textId="77777777" w:rsidR="00E85C97" w:rsidRDefault="00E85C97" w:rsidP="00E85C97">
      <w:pPr>
        <w:widowControl w:val="0"/>
        <w:autoSpaceDE w:val="0"/>
        <w:autoSpaceDN w:val="0"/>
        <w:spacing w:after="0" w:line="276" w:lineRule="auto"/>
        <w:jc w:val="both"/>
        <w:rPr>
          <w:rStyle w:val="normaltextrun"/>
          <w:rFonts w:ascii="Verdana" w:hAnsi="Verdana" w:cs="Arial"/>
          <w:shd w:val="clear" w:color="auto" w:fill="FFFFFF"/>
          <w:lang w:val="es-ES"/>
        </w:rPr>
      </w:pPr>
    </w:p>
    <w:p w14:paraId="22461B5A" w14:textId="77777777" w:rsidR="00E85C97" w:rsidRDefault="00E85C97" w:rsidP="00E85C97">
      <w:pPr>
        <w:widowControl w:val="0"/>
        <w:autoSpaceDE w:val="0"/>
        <w:autoSpaceDN w:val="0"/>
        <w:spacing w:after="0" w:line="276" w:lineRule="auto"/>
        <w:jc w:val="both"/>
        <w:rPr>
          <w:rFonts w:ascii="Verdana" w:hAnsi="Verdana" w:cs="Arial"/>
          <w:u w:val="single"/>
          <w:shd w:val="clear" w:color="auto" w:fill="FFFFFF"/>
        </w:rPr>
      </w:pPr>
      <w:r>
        <w:rPr>
          <w:rFonts w:ascii="Verdana" w:hAnsi="Verdana" w:cs="Arial"/>
          <w:shd w:val="clear" w:color="auto" w:fill="FFFFFF"/>
        </w:rPr>
        <w:t>L</w:t>
      </w:r>
      <w:r w:rsidRPr="00FB4A13">
        <w:rPr>
          <w:rFonts w:ascii="Verdana" w:hAnsi="Verdana" w:cs="Arial"/>
          <w:shd w:val="clear" w:color="auto" w:fill="FFFFFF"/>
        </w:rPr>
        <w:t>e contamos que ya se encuentra disponible la </w:t>
      </w:r>
      <w:r w:rsidRPr="00FB4A13">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B4A13">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FB4A13">
        <w:rPr>
          <w:rFonts w:ascii="Verdana" w:hAnsi="Verdana" w:cs="Arial"/>
          <w:shd w:val="clear" w:color="auto" w:fill="FFFFFF"/>
        </w:rPr>
        <w:lastRenderedPageBreak/>
        <w:t xml:space="preserve">por la situación de vulneración masiva y recurrente de los derechos fundamentales de los niños y de las niñas del Pueblo </w:t>
      </w:r>
      <w:proofErr w:type="spellStart"/>
      <w:r w:rsidRPr="00FB4A13">
        <w:rPr>
          <w:rFonts w:ascii="Verdana" w:hAnsi="Verdana" w:cs="Arial"/>
          <w:shd w:val="clear" w:color="auto" w:fill="FFFFFF"/>
        </w:rPr>
        <w:t>Wayúu</w:t>
      </w:r>
      <w:proofErr w:type="spellEnd"/>
      <w:r w:rsidRPr="00FB4A13">
        <w:rPr>
          <w:rFonts w:ascii="Verdana" w:hAnsi="Verdana" w:cs="Arial"/>
          <w:shd w:val="clear" w:color="auto" w:fill="FFFFFF"/>
        </w:rPr>
        <w:t>. Puede consultar la guía en el siguiente enlace: </w:t>
      </w:r>
      <w:hyperlink r:id="rId17" w:tgtFrame="_blank" w:tooltip="Dirección URL original: https://www.colombiacompra.gov.co/wp-content/uploads/2025/05/GUIA-DE-LINEAMIENTOS-DE-TRANSPARENCIA-Y-SELECCION-OBJETIVA-1.0.pdf. Haga clic o pulse si confía en este vínculo." w:history="1">
        <w:r w:rsidRPr="00FB4A13">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FB4A13">
        <w:rPr>
          <w:rFonts w:ascii="Verdana" w:hAnsi="Verdana" w:cs="Arial"/>
          <w:u w:val="single"/>
          <w:shd w:val="clear" w:color="auto" w:fill="FFFFFF"/>
        </w:rPr>
        <w:t>"</w:t>
      </w:r>
    </w:p>
    <w:p w14:paraId="7694138C" w14:textId="77777777" w:rsidR="00E85C97" w:rsidRDefault="00E85C97" w:rsidP="00E85C97">
      <w:pPr>
        <w:widowControl w:val="0"/>
        <w:autoSpaceDE w:val="0"/>
        <w:autoSpaceDN w:val="0"/>
        <w:spacing w:after="0" w:line="276" w:lineRule="auto"/>
        <w:jc w:val="both"/>
        <w:rPr>
          <w:rStyle w:val="normaltextrun"/>
          <w:rFonts w:ascii="Verdana" w:hAnsi="Verdana" w:cs="Arial"/>
          <w:shd w:val="clear" w:color="auto" w:fill="FFFFFF"/>
          <w:lang w:val="es-ES"/>
        </w:rPr>
      </w:pPr>
    </w:p>
    <w:p w14:paraId="29BEE97B" w14:textId="77777777" w:rsidR="00E85C97" w:rsidRPr="00593A5F" w:rsidRDefault="00E85C97" w:rsidP="00E85C9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C0FE4D5" w14:textId="77777777" w:rsidR="00E85C97" w:rsidRPr="003248CC" w:rsidRDefault="00E85C97" w:rsidP="00E85C97">
      <w:pPr>
        <w:widowControl w:val="0"/>
        <w:autoSpaceDE w:val="0"/>
        <w:autoSpaceDN w:val="0"/>
        <w:spacing w:after="0" w:line="276" w:lineRule="auto"/>
        <w:jc w:val="both"/>
        <w:rPr>
          <w:rFonts w:ascii="Verdana" w:hAnsi="Verdana" w:cs="Arial"/>
        </w:rPr>
      </w:pPr>
    </w:p>
    <w:p w14:paraId="28CA8E5B" w14:textId="77777777" w:rsidR="00E85C97" w:rsidRPr="005B7C42" w:rsidRDefault="00E85C97" w:rsidP="00E85C97">
      <w:pPr>
        <w:spacing w:after="0" w:line="276" w:lineRule="auto"/>
        <w:jc w:val="both"/>
        <w:rPr>
          <w:rFonts w:ascii="Verdana" w:eastAsia="Times New Roman" w:hAnsi="Verdana" w:cs="Arial"/>
          <w:lang w:eastAsia="es-CO"/>
        </w:rPr>
      </w:pPr>
      <w:bookmarkStart w:id="12" w:name="_Hlk117695077"/>
      <w:r w:rsidRPr="005B7C42">
        <w:rPr>
          <w:rFonts w:ascii="Verdana" w:eastAsia="Times New Roman" w:hAnsi="Verdana" w:cs="Arial"/>
          <w:lang w:eastAsia="es-CO"/>
        </w:rPr>
        <w:t>Atentamente,</w:t>
      </w:r>
    </w:p>
    <w:bookmarkEnd w:id="12"/>
    <w:p w14:paraId="7DC3FDC4" w14:textId="05438E15" w:rsidR="00E85C97" w:rsidRDefault="00BA59A1" w:rsidP="00E85C97">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0BAE727B" wp14:editId="0AEDB1BF">
            <wp:extent cx="3094329" cy="1148652"/>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103609" cy="1152097"/>
                    </a:xfrm>
                    <a:prstGeom prst="rect">
                      <a:avLst/>
                    </a:prstGeom>
                  </pic:spPr>
                </pic:pic>
              </a:graphicData>
            </a:graphic>
          </wp:inline>
        </w:drawing>
      </w:r>
    </w:p>
    <w:p w14:paraId="62EB37B2" w14:textId="77777777" w:rsidR="00E85C97" w:rsidRDefault="00E85C97" w:rsidP="00E85C97">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5C97" w:rsidRPr="007A0E81" w14:paraId="4776680F" w14:textId="77777777" w:rsidTr="0060643C">
        <w:trPr>
          <w:trHeight w:val="315"/>
        </w:trPr>
        <w:tc>
          <w:tcPr>
            <w:tcW w:w="893" w:type="dxa"/>
            <w:vAlign w:val="center"/>
            <w:hideMark/>
          </w:tcPr>
          <w:p w14:paraId="74C48C4A" w14:textId="77777777" w:rsidR="00E85C97" w:rsidRPr="007A0E81" w:rsidRDefault="00E85C97" w:rsidP="0060643C">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3346F0EA" w14:textId="77777777" w:rsidR="00E85C97" w:rsidRPr="007A0E81" w:rsidRDefault="00E85C97" w:rsidP="0060643C">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 xml:space="preserve">María </w:t>
            </w:r>
            <w:proofErr w:type="spellStart"/>
            <w:r w:rsidRPr="007A0E81">
              <w:rPr>
                <w:rFonts w:ascii="Verdana" w:eastAsia="Times New Roman" w:hAnsi="Verdana" w:cs="Arial"/>
                <w:color w:val="000000"/>
                <w:sz w:val="16"/>
                <w:szCs w:val="16"/>
              </w:rPr>
              <w:t>Joshira</w:t>
            </w:r>
            <w:proofErr w:type="spellEnd"/>
            <w:r w:rsidRPr="007A0E81">
              <w:rPr>
                <w:rFonts w:ascii="Verdana" w:eastAsia="Times New Roman" w:hAnsi="Verdana" w:cs="Arial"/>
                <w:color w:val="000000"/>
                <w:sz w:val="16"/>
                <w:szCs w:val="16"/>
              </w:rPr>
              <w:t xml:space="preserve"> Nieto Manzano</w:t>
            </w:r>
          </w:p>
          <w:p w14:paraId="43950890" w14:textId="77777777" w:rsidR="00E85C97" w:rsidRPr="007A0E81" w:rsidRDefault="00E85C97" w:rsidP="0060643C">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E85C97" w:rsidRPr="007A0E81" w14:paraId="452366BA" w14:textId="77777777" w:rsidTr="0060643C">
        <w:trPr>
          <w:trHeight w:val="330"/>
        </w:trPr>
        <w:tc>
          <w:tcPr>
            <w:tcW w:w="893" w:type="dxa"/>
            <w:vAlign w:val="center"/>
            <w:hideMark/>
          </w:tcPr>
          <w:p w14:paraId="2482E8EF" w14:textId="77777777" w:rsidR="00E85C97" w:rsidRPr="007A0E81" w:rsidRDefault="00E85C97" w:rsidP="0060643C">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D2ED85D" w14:textId="77777777" w:rsidR="00E85C97" w:rsidRPr="007A0E81" w:rsidRDefault="00E85C97" w:rsidP="0060643C">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192F42D3" w14:textId="77777777" w:rsidR="00E85C97" w:rsidRPr="007A0E81" w:rsidRDefault="00E85C97" w:rsidP="0060643C">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E85C97" w:rsidRPr="007A0E81" w14:paraId="237164A2" w14:textId="77777777" w:rsidTr="0060643C">
        <w:trPr>
          <w:trHeight w:val="300"/>
        </w:trPr>
        <w:tc>
          <w:tcPr>
            <w:tcW w:w="893" w:type="dxa"/>
            <w:vAlign w:val="center"/>
          </w:tcPr>
          <w:p w14:paraId="7A28D1BF" w14:textId="77777777" w:rsidR="00E85C97" w:rsidRPr="007A0E81" w:rsidRDefault="00E85C97" w:rsidP="0060643C">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B0386F9" w14:textId="77777777" w:rsidR="00E85C97" w:rsidRPr="007A0E81" w:rsidRDefault="00E85C97" w:rsidP="0060643C">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215DB83B" w14:textId="77777777" w:rsidR="00E85C97" w:rsidRPr="007A0E81" w:rsidRDefault="00E85C97" w:rsidP="0060643C">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bookmarkEnd w:id="0"/>
    </w:tbl>
    <w:p w14:paraId="67DD3F8C" w14:textId="77777777" w:rsidR="002707A2" w:rsidRPr="0044528D" w:rsidRDefault="002707A2" w:rsidP="00E245AB">
      <w:pPr>
        <w:spacing w:after="0"/>
        <w:jc w:val="both"/>
        <w:rPr>
          <w:rStyle w:val="Hipervnculo"/>
          <w:rFonts w:ascii="Verdana" w:hAnsi="Verdana"/>
        </w:rPr>
      </w:pPr>
    </w:p>
    <w:sectPr w:rsidR="002707A2"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FFAB8" w14:textId="77777777" w:rsidR="00315109" w:rsidRDefault="00315109" w:rsidP="004A1847">
      <w:pPr>
        <w:spacing w:after="0" w:line="240" w:lineRule="auto"/>
      </w:pPr>
      <w:r>
        <w:separator/>
      </w:r>
    </w:p>
  </w:endnote>
  <w:endnote w:type="continuationSeparator" w:id="0">
    <w:p w14:paraId="108D7249" w14:textId="77777777" w:rsidR="00315109" w:rsidRDefault="0031510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C3565" w14:textId="77777777" w:rsidR="00315109" w:rsidRDefault="00315109" w:rsidP="004A1847">
      <w:pPr>
        <w:spacing w:after="0" w:line="240" w:lineRule="auto"/>
      </w:pPr>
      <w:r>
        <w:separator/>
      </w:r>
    </w:p>
  </w:footnote>
  <w:footnote w:type="continuationSeparator" w:id="0">
    <w:p w14:paraId="51C55087" w14:textId="77777777" w:rsidR="00315109" w:rsidRDefault="00315109" w:rsidP="004A1847">
      <w:pPr>
        <w:spacing w:after="0" w:line="240" w:lineRule="auto"/>
      </w:pPr>
      <w:r>
        <w:continuationSeparator/>
      </w:r>
    </w:p>
  </w:footnote>
  <w:footnote w:id="1">
    <w:p w14:paraId="70C52768" w14:textId="77777777" w:rsidR="00E85C97" w:rsidRPr="00127F65" w:rsidRDefault="00E85C97" w:rsidP="00E85C97">
      <w:pPr>
        <w:pStyle w:val="Textonotapie"/>
        <w:ind w:firstLine="708"/>
        <w:jc w:val="both"/>
        <w:rPr>
          <w:rFonts w:ascii="Verdana" w:hAnsi="Verdana"/>
          <w:sz w:val="18"/>
          <w:szCs w:val="18"/>
          <w:lang w:val="es-CO"/>
        </w:rPr>
      </w:pPr>
      <w:r w:rsidRPr="00127F65">
        <w:rPr>
          <w:rStyle w:val="Refdenotaalpie"/>
          <w:rFonts w:ascii="Verdana" w:hAnsi="Verdana"/>
          <w:sz w:val="18"/>
          <w:szCs w:val="18"/>
        </w:rPr>
        <w:footnoteRef/>
      </w:r>
      <w:r w:rsidRPr="00127F65">
        <w:rPr>
          <w:rFonts w:ascii="Verdana" w:hAnsi="Verdana"/>
          <w:sz w:val="18"/>
          <w:szCs w:val="18"/>
        </w:rPr>
        <w:t xml:space="preserve"> El artículo 123 superior prescribe que “</w:t>
      </w:r>
      <w:r w:rsidRPr="00127F65">
        <w:rPr>
          <w:rFonts w:ascii="Verdana" w:hAnsi="Verdana"/>
          <w:sz w:val="18"/>
          <w:szCs w:val="18"/>
          <w:lang w:val="es-CO"/>
        </w:rPr>
        <w:t>La ley determinará el régimen aplicable a los particulares que temporalmente desempeñen funciones públicas y regulará su ejercicio”. Por su parte, el artículo 210 dispone que “Los particulares pueden cumplir funciones administrativas en las condiciones que señale la ley”. Precisamente, como explica la Corte Constitucional, ”[…] En la descentralización por colaboración, un determinado tipo de entidad privada, nacida de la libre iniciativa de los particulares, y que inicialmente se constituye para cumplir propósitos que sólo interesan a éstos, en razón del conocimiento y la experiencia por ella acumulados, es investida por ley de determinadas funciones públicas, bajo la consideración de que su cumplimiento resulta más eficiente en cabeza suya que en cabeza de una entidad estatal. En cada caso de asignación de tales funciones, la misma ley regula de manera cuidadosa todos los aspectos relacionados con el carácter público de la función encomendada” (Sentencia C-909 de 2007, con ponencia de la Magistrada Clara Inés Vargas Hernández).</w:t>
      </w:r>
    </w:p>
  </w:footnote>
  <w:footnote w:id="2">
    <w:p w14:paraId="5685A58F" w14:textId="77777777" w:rsidR="00E85C97" w:rsidRPr="00127F65" w:rsidRDefault="00E85C97" w:rsidP="00E85C97">
      <w:pPr>
        <w:spacing w:after="120"/>
        <w:ind w:right="277" w:firstLine="709"/>
        <w:jc w:val="both"/>
        <w:rPr>
          <w:rFonts w:ascii="Verdana" w:hAnsi="Verdana"/>
          <w:sz w:val="18"/>
          <w:szCs w:val="18"/>
        </w:rPr>
      </w:pPr>
      <w:r w:rsidRPr="00127F65">
        <w:rPr>
          <w:rStyle w:val="Refdenotaalpie"/>
          <w:rFonts w:ascii="Verdana" w:hAnsi="Verdana"/>
          <w:sz w:val="18"/>
          <w:szCs w:val="18"/>
        </w:rPr>
        <w:footnoteRef/>
      </w:r>
      <w:r w:rsidRPr="00127F65">
        <w:rPr>
          <w:rFonts w:ascii="Verdana" w:hAnsi="Verdana"/>
          <w:sz w:val="18"/>
          <w:szCs w:val="18"/>
        </w:rPr>
        <w:t xml:space="preserve"> Ley</w:t>
      </w:r>
      <w:r w:rsidRPr="00127F65">
        <w:rPr>
          <w:rFonts w:ascii="Verdana" w:hAnsi="Verdana"/>
          <w:spacing w:val="-1"/>
          <w:sz w:val="18"/>
          <w:szCs w:val="18"/>
        </w:rPr>
        <w:t xml:space="preserve"> </w:t>
      </w:r>
      <w:r w:rsidRPr="00127F65">
        <w:rPr>
          <w:rFonts w:ascii="Verdana" w:hAnsi="Verdana"/>
          <w:sz w:val="18"/>
          <w:szCs w:val="18"/>
        </w:rPr>
        <w:t>1712</w:t>
      </w:r>
      <w:r w:rsidRPr="00127F65">
        <w:rPr>
          <w:rFonts w:ascii="Verdana" w:hAnsi="Verdana"/>
          <w:spacing w:val="-2"/>
          <w:sz w:val="18"/>
          <w:szCs w:val="18"/>
        </w:rPr>
        <w:t xml:space="preserve"> </w:t>
      </w:r>
      <w:r w:rsidRPr="00127F65">
        <w:rPr>
          <w:rFonts w:ascii="Verdana" w:hAnsi="Verdana"/>
          <w:sz w:val="18"/>
          <w:szCs w:val="18"/>
        </w:rPr>
        <w:t>de 2014: “Artículo</w:t>
      </w:r>
      <w:r w:rsidRPr="00127F65">
        <w:rPr>
          <w:rFonts w:ascii="Verdana" w:hAnsi="Verdana"/>
          <w:spacing w:val="-2"/>
          <w:sz w:val="18"/>
          <w:szCs w:val="18"/>
        </w:rPr>
        <w:t xml:space="preserve"> </w:t>
      </w:r>
      <w:r w:rsidRPr="00127F65">
        <w:rPr>
          <w:rFonts w:ascii="Verdana" w:hAnsi="Verdana"/>
          <w:sz w:val="18"/>
          <w:szCs w:val="18"/>
        </w:rPr>
        <w:t>2. Toda</w:t>
      </w:r>
      <w:r w:rsidRPr="00127F65">
        <w:rPr>
          <w:rFonts w:ascii="Verdana" w:hAnsi="Verdana"/>
          <w:spacing w:val="-1"/>
          <w:sz w:val="18"/>
          <w:szCs w:val="18"/>
        </w:rPr>
        <w:t xml:space="preserve"> </w:t>
      </w:r>
      <w:r w:rsidRPr="00127F65">
        <w:rPr>
          <w:rFonts w:ascii="Verdana" w:hAnsi="Verdana"/>
          <w:sz w:val="18"/>
          <w:szCs w:val="18"/>
        </w:rPr>
        <w:t>información</w:t>
      </w:r>
      <w:r w:rsidRPr="00127F65">
        <w:rPr>
          <w:rFonts w:ascii="Verdana" w:hAnsi="Verdana"/>
          <w:spacing w:val="-1"/>
          <w:sz w:val="18"/>
          <w:szCs w:val="18"/>
        </w:rPr>
        <w:t xml:space="preserve"> </w:t>
      </w:r>
      <w:r w:rsidRPr="00127F65">
        <w:rPr>
          <w:rFonts w:ascii="Verdana" w:hAnsi="Verdana"/>
          <w:sz w:val="18"/>
          <w:szCs w:val="18"/>
        </w:rPr>
        <w:t>en</w:t>
      </w:r>
      <w:r w:rsidRPr="00127F65">
        <w:rPr>
          <w:rFonts w:ascii="Verdana" w:hAnsi="Verdana"/>
          <w:spacing w:val="-2"/>
          <w:sz w:val="18"/>
          <w:szCs w:val="18"/>
        </w:rPr>
        <w:t xml:space="preserve"> </w:t>
      </w:r>
      <w:r w:rsidRPr="00127F65">
        <w:rPr>
          <w:rFonts w:ascii="Verdana" w:hAnsi="Verdana"/>
          <w:sz w:val="18"/>
          <w:szCs w:val="18"/>
        </w:rPr>
        <w:t>posesión, bajo</w:t>
      </w:r>
      <w:r w:rsidRPr="00127F65">
        <w:rPr>
          <w:rFonts w:ascii="Verdana" w:hAnsi="Verdana"/>
          <w:spacing w:val="-2"/>
          <w:sz w:val="18"/>
          <w:szCs w:val="18"/>
        </w:rPr>
        <w:t xml:space="preserve"> </w:t>
      </w:r>
      <w:r w:rsidRPr="00127F65">
        <w:rPr>
          <w:rFonts w:ascii="Verdana" w:hAnsi="Verdana"/>
          <w:sz w:val="18"/>
          <w:szCs w:val="18"/>
        </w:rPr>
        <w:t>control o</w:t>
      </w:r>
      <w:r w:rsidRPr="00127F65">
        <w:rPr>
          <w:rFonts w:ascii="Verdana" w:hAnsi="Verdana"/>
          <w:spacing w:val="-2"/>
          <w:sz w:val="18"/>
          <w:szCs w:val="18"/>
        </w:rPr>
        <w:t xml:space="preserve"> </w:t>
      </w:r>
      <w:r w:rsidRPr="00127F65">
        <w:rPr>
          <w:rFonts w:ascii="Verdana" w:hAnsi="Verdana"/>
          <w:sz w:val="18"/>
          <w:szCs w:val="18"/>
        </w:rPr>
        <w:t>custodia</w:t>
      </w:r>
      <w:r w:rsidRPr="00127F65">
        <w:rPr>
          <w:rFonts w:ascii="Verdana" w:hAnsi="Verdana"/>
          <w:spacing w:val="-1"/>
          <w:sz w:val="18"/>
          <w:szCs w:val="18"/>
        </w:rPr>
        <w:t xml:space="preserve"> </w:t>
      </w:r>
      <w:r w:rsidRPr="00127F65">
        <w:rPr>
          <w:rFonts w:ascii="Verdana" w:hAnsi="Verdana"/>
          <w:sz w:val="18"/>
          <w:szCs w:val="18"/>
        </w:rPr>
        <w:t>de</w:t>
      </w:r>
      <w:r w:rsidRPr="00127F65">
        <w:rPr>
          <w:rFonts w:ascii="Verdana" w:hAnsi="Verdana"/>
          <w:spacing w:val="-1"/>
          <w:sz w:val="18"/>
          <w:szCs w:val="18"/>
        </w:rPr>
        <w:t xml:space="preserve"> </w:t>
      </w:r>
      <w:r w:rsidRPr="00127F65">
        <w:rPr>
          <w:rFonts w:ascii="Verdana" w:hAnsi="Verdana"/>
          <w:sz w:val="18"/>
          <w:szCs w:val="18"/>
        </w:rPr>
        <w:t>un</w:t>
      </w:r>
      <w:r w:rsidRPr="00127F65">
        <w:rPr>
          <w:rFonts w:ascii="Verdana" w:hAnsi="Verdana"/>
          <w:spacing w:val="-1"/>
          <w:sz w:val="18"/>
          <w:szCs w:val="18"/>
        </w:rPr>
        <w:t xml:space="preserve"> </w:t>
      </w:r>
      <w:r w:rsidRPr="00127F65">
        <w:rPr>
          <w:rFonts w:ascii="Verdana" w:hAnsi="Verdana"/>
          <w:sz w:val="18"/>
          <w:szCs w:val="18"/>
        </w:rPr>
        <w:t>sujeto obligado es pública y no podrá ser reservada o limitada sino por disposición constitucional o legal, de conformidad con la presente ley”.</w:t>
      </w:r>
    </w:p>
  </w:footnote>
  <w:footnote w:id="3">
    <w:p w14:paraId="602D44A0" w14:textId="77777777" w:rsidR="00E85C97" w:rsidRPr="00127F65" w:rsidRDefault="00E85C97" w:rsidP="00E85C97">
      <w:pPr>
        <w:spacing w:before="1" w:after="120"/>
        <w:ind w:firstLine="709"/>
        <w:jc w:val="both"/>
        <w:rPr>
          <w:rFonts w:ascii="Verdana" w:hAnsi="Verdana"/>
          <w:sz w:val="18"/>
          <w:szCs w:val="18"/>
        </w:rPr>
      </w:pPr>
      <w:r w:rsidRPr="00127F65">
        <w:rPr>
          <w:rStyle w:val="Refdenotaalpie"/>
          <w:rFonts w:ascii="Verdana" w:hAnsi="Verdana"/>
          <w:sz w:val="18"/>
          <w:szCs w:val="18"/>
        </w:rPr>
        <w:footnoteRef/>
      </w:r>
      <w:r w:rsidRPr="00127F65">
        <w:rPr>
          <w:rFonts w:ascii="Verdana" w:hAnsi="Verdana"/>
          <w:sz w:val="18"/>
          <w:szCs w:val="18"/>
        </w:rPr>
        <w:t xml:space="preserve"> Ley</w:t>
      </w:r>
      <w:r w:rsidRPr="00127F65">
        <w:rPr>
          <w:rFonts w:ascii="Verdana" w:hAnsi="Verdana"/>
          <w:spacing w:val="-4"/>
          <w:sz w:val="18"/>
          <w:szCs w:val="18"/>
        </w:rPr>
        <w:t xml:space="preserve"> </w:t>
      </w:r>
      <w:r w:rsidRPr="00127F65">
        <w:rPr>
          <w:rFonts w:ascii="Verdana" w:hAnsi="Verdana"/>
          <w:sz w:val="18"/>
          <w:szCs w:val="18"/>
        </w:rPr>
        <w:t>1712</w:t>
      </w:r>
      <w:r w:rsidRPr="00127F65">
        <w:rPr>
          <w:rFonts w:ascii="Verdana" w:hAnsi="Verdana"/>
          <w:spacing w:val="-1"/>
          <w:sz w:val="18"/>
          <w:szCs w:val="18"/>
        </w:rPr>
        <w:t xml:space="preserve"> </w:t>
      </w:r>
      <w:r w:rsidRPr="00127F65">
        <w:rPr>
          <w:rFonts w:ascii="Verdana" w:hAnsi="Verdana"/>
          <w:sz w:val="18"/>
          <w:szCs w:val="18"/>
        </w:rPr>
        <w:t>de 2014:</w:t>
      </w:r>
      <w:r w:rsidRPr="00127F65">
        <w:rPr>
          <w:rFonts w:ascii="Verdana" w:hAnsi="Verdana"/>
          <w:spacing w:val="-2"/>
          <w:sz w:val="18"/>
          <w:szCs w:val="18"/>
        </w:rPr>
        <w:t xml:space="preserve"> </w:t>
      </w:r>
      <w:r w:rsidRPr="00127F65">
        <w:rPr>
          <w:rFonts w:ascii="Verdana" w:hAnsi="Verdana"/>
          <w:sz w:val="18"/>
          <w:szCs w:val="18"/>
        </w:rPr>
        <w:t>“Artículo</w:t>
      </w:r>
      <w:r w:rsidRPr="00127F65">
        <w:rPr>
          <w:rFonts w:ascii="Verdana" w:hAnsi="Verdana"/>
          <w:spacing w:val="-5"/>
          <w:sz w:val="18"/>
          <w:szCs w:val="18"/>
        </w:rPr>
        <w:t xml:space="preserve"> </w:t>
      </w:r>
      <w:r w:rsidRPr="00127F65">
        <w:rPr>
          <w:rFonts w:ascii="Verdana" w:hAnsi="Verdana"/>
          <w:sz w:val="18"/>
          <w:szCs w:val="18"/>
        </w:rPr>
        <w:t>5.</w:t>
      </w:r>
      <w:r w:rsidRPr="00127F65">
        <w:rPr>
          <w:rFonts w:ascii="Verdana" w:hAnsi="Verdana"/>
          <w:spacing w:val="-3"/>
          <w:sz w:val="18"/>
          <w:szCs w:val="18"/>
        </w:rPr>
        <w:t xml:space="preserve"> </w:t>
      </w:r>
      <w:r w:rsidRPr="00127F65">
        <w:rPr>
          <w:rFonts w:ascii="Verdana" w:hAnsi="Verdana"/>
          <w:sz w:val="18"/>
          <w:szCs w:val="18"/>
        </w:rPr>
        <w:t>Ámbito</w:t>
      </w:r>
      <w:r w:rsidRPr="00127F65">
        <w:rPr>
          <w:rFonts w:ascii="Verdana" w:hAnsi="Verdana"/>
          <w:spacing w:val="-5"/>
          <w:sz w:val="18"/>
          <w:szCs w:val="18"/>
        </w:rPr>
        <w:t xml:space="preserve"> </w:t>
      </w:r>
      <w:r w:rsidRPr="00127F65">
        <w:rPr>
          <w:rFonts w:ascii="Verdana" w:hAnsi="Verdana"/>
          <w:sz w:val="18"/>
          <w:szCs w:val="18"/>
        </w:rPr>
        <w:t>de</w:t>
      </w:r>
      <w:r w:rsidRPr="00127F65">
        <w:rPr>
          <w:rFonts w:ascii="Verdana" w:hAnsi="Verdana"/>
          <w:spacing w:val="1"/>
          <w:sz w:val="18"/>
          <w:szCs w:val="18"/>
        </w:rPr>
        <w:t xml:space="preserve"> </w:t>
      </w:r>
      <w:r w:rsidRPr="00127F65">
        <w:rPr>
          <w:rFonts w:ascii="Verdana" w:hAnsi="Verdana"/>
          <w:sz w:val="18"/>
          <w:szCs w:val="18"/>
        </w:rPr>
        <w:t>aplicación.</w:t>
      </w:r>
      <w:r w:rsidRPr="00127F65">
        <w:rPr>
          <w:rFonts w:ascii="Verdana" w:hAnsi="Verdana"/>
          <w:spacing w:val="-3"/>
          <w:sz w:val="18"/>
          <w:szCs w:val="18"/>
        </w:rPr>
        <w:t xml:space="preserve"> </w:t>
      </w:r>
      <w:r w:rsidRPr="00127F65">
        <w:rPr>
          <w:rFonts w:ascii="Verdana" w:hAnsi="Verdana"/>
          <w:sz w:val="18"/>
          <w:szCs w:val="18"/>
        </w:rPr>
        <w:t>Las</w:t>
      </w:r>
      <w:r w:rsidRPr="00127F65">
        <w:rPr>
          <w:rFonts w:ascii="Verdana" w:hAnsi="Verdana"/>
          <w:spacing w:val="-2"/>
          <w:sz w:val="18"/>
          <w:szCs w:val="18"/>
        </w:rPr>
        <w:t xml:space="preserve"> </w:t>
      </w:r>
      <w:r w:rsidRPr="00127F65">
        <w:rPr>
          <w:rFonts w:ascii="Verdana" w:hAnsi="Verdana"/>
          <w:sz w:val="18"/>
          <w:szCs w:val="18"/>
        </w:rPr>
        <w:t>disposiciones</w:t>
      </w:r>
      <w:r w:rsidRPr="00127F65">
        <w:rPr>
          <w:rFonts w:ascii="Verdana" w:hAnsi="Verdana"/>
          <w:spacing w:val="-3"/>
          <w:sz w:val="18"/>
          <w:szCs w:val="18"/>
        </w:rPr>
        <w:t xml:space="preserve"> </w:t>
      </w:r>
      <w:r w:rsidRPr="00127F65">
        <w:rPr>
          <w:rFonts w:ascii="Verdana" w:hAnsi="Verdana"/>
          <w:sz w:val="18"/>
          <w:szCs w:val="18"/>
        </w:rPr>
        <w:t>de</w:t>
      </w:r>
      <w:r w:rsidRPr="00127F65">
        <w:rPr>
          <w:rFonts w:ascii="Verdana" w:hAnsi="Verdana"/>
          <w:spacing w:val="-4"/>
          <w:sz w:val="18"/>
          <w:szCs w:val="18"/>
        </w:rPr>
        <w:t xml:space="preserve"> </w:t>
      </w:r>
      <w:r w:rsidRPr="00127F65">
        <w:rPr>
          <w:rFonts w:ascii="Verdana" w:hAnsi="Verdana"/>
          <w:sz w:val="18"/>
          <w:szCs w:val="18"/>
        </w:rPr>
        <w:t>esta</w:t>
      </w:r>
      <w:r w:rsidRPr="00127F65">
        <w:rPr>
          <w:rFonts w:ascii="Verdana" w:hAnsi="Verdana"/>
          <w:spacing w:val="-5"/>
          <w:sz w:val="18"/>
          <w:szCs w:val="18"/>
        </w:rPr>
        <w:t xml:space="preserve"> </w:t>
      </w:r>
      <w:r w:rsidRPr="00127F65">
        <w:rPr>
          <w:rFonts w:ascii="Verdana" w:hAnsi="Verdana"/>
          <w:sz w:val="18"/>
          <w:szCs w:val="18"/>
        </w:rPr>
        <w:t>ley</w:t>
      </w:r>
      <w:r w:rsidRPr="00127F65">
        <w:rPr>
          <w:rFonts w:ascii="Verdana" w:hAnsi="Verdana"/>
          <w:spacing w:val="1"/>
          <w:sz w:val="18"/>
          <w:szCs w:val="18"/>
        </w:rPr>
        <w:t xml:space="preserve"> </w:t>
      </w:r>
      <w:r w:rsidRPr="00127F65">
        <w:rPr>
          <w:rFonts w:ascii="Verdana" w:hAnsi="Verdana"/>
          <w:sz w:val="18"/>
          <w:szCs w:val="18"/>
        </w:rPr>
        <w:t>serán</w:t>
      </w:r>
      <w:r w:rsidRPr="00127F65">
        <w:rPr>
          <w:rFonts w:ascii="Verdana" w:hAnsi="Verdana"/>
          <w:spacing w:val="-5"/>
          <w:sz w:val="18"/>
          <w:szCs w:val="18"/>
        </w:rPr>
        <w:t xml:space="preserve"> </w:t>
      </w:r>
      <w:r w:rsidRPr="00127F65">
        <w:rPr>
          <w:rFonts w:ascii="Verdana" w:hAnsi="Verdana"/>
          <w:spacing w:val="-2"/>
          <w:sz w:val="18"/>
          <w:szCs w:val="18"/>
        </w:rPr>
        <w:t xml:space="preserve">aplicables </w:t>
      </w:r>
      <w:r w:rsidRPr="00127F65">
        <w:rPr>
          <w:rFonts w:ascii="Verdana" w:hAnsi="Verdana"/>
          <w:sz w:val="18"/>
          <w:szCs w:val="18"/>
        </w:rPr>
        <w:t>a</w:t>
      </w:r>
      <w:r w:rsidRPr="00127F65">
        <w:rPr>
          <w:rFonts w:ascii="Verdana" w:hAnsi="Verdana"/>
          <w:spacing w:val="-8"/>
          <w:sz w:val="18"/>
          <w:szCs w:val="18"/>
        </w:rPr>
        <w:t xml:space="preserve"> </w:t>
      </w:r>
      <w:r w:rsidRPr="00127F65">
        <w:rPr>
          <w:rFonts w:ascii="Verdana" w:hAnsi="Verdana"/>
          <w:sz w:val="18"/>
          <w:szCs w:val="18"/>
        </w:rPr>
        <w:t>las</w:t>
      </w:r>
      <w:r w:rsidRPr="00127F65">
        <w:rPr>
          <w:rFonts w:ascii="Verdana" w:hAnsi="Verdana"/>
          <w:spacing w:val="-5"/>
          <w:sz w:val="18"/>
          <w:szCs w:val="18"/>
        </w:rPr>
        <w:t xml:space="preserve"> </w:t>
      </w:r>
      <w:r w:rsidRPr="00127F65">
        <w:rPr>
          <w:rFonts w:ascii="Verdana" w:hAnsi="Verdana"/>
          <w:sz w:val="18"/>
          <w:szCs w:val="18"/>
        </w:rPr>
        <w:t>siguientes</w:t>
      </w:r>
      <w:r w:rsidRPr="00127F65">
        <w:rPr>
          <w:rFonts w:ascii="Verdana" w:hAnsi="Verdana"/>
          <w:spacing w:val="-5"/>
          <w:sz w:val="18"/>
          <w:szCs w:val="18"/>
        </w:rPr>
        <w:t xml:space="preserve"> </w:t>
      </w:r>
      <w:r w:rsidRPr="00127F65">
        <w:rPr>
          <w:rFonts w:ascii="Verdana" w:hAnsi="Verdana"/>
          <w:sz w:val="18"/>
          <w:szCs w:val="18"/>
        </w:rPr>
        <w:t>personas</w:t>
      </w:r>
      <w:r w:rsidRPr="00127F65">
        <w:rPr>
          <w:rFonts w:ascii="Verdana" w:hAnsi="Verdana"/>
          <w:spacing w:val="-5"/>
          <w:sz w:val="18"/>
          <w:szCs w:val="18"/>
        </w:rPr>
        <w:t xml:space="preserve"> </w:t>
      </w:r>
      <w:r w:rsidRPr="00127F65">
        <w:rPr>
          <w:rFonts w:ascii="Verdana" w:hAnsi="Verdana"/>
          <w:sz w:val="18"/>
          <w:szCs w:val="18"/>
        </w:rPr>
        <w:t>en</w:t>
      </w:r>
      <w:r w:rsidRPr="00127F65">
        <w:rPr>
          <w:rFonts w:ascii="Verdana" w:hAnsi="Verdana"/>
          <w:spacing w:val="-8"/>
          <w:sz w:val="18"/>
          <w:szCs w:val="18"/>
        </w:rPr>
        <w:t xml:space="preserve"> </w:t>
      </w:r>
      <w:r w:rsidRPr="00127F65">
        <w:rPr>
          <w:rFonts w:ascii="Verdana" w:hAnsi="Verdana"/>
          <w:sz w:val="18"/>
          <w:szCs w:val="18"/>
        </w:rPr>
        <w:t>calidad</w:t>
      </w:r>
      <w:r w:rsidRPr="00127F65">
        <w:rPr>
          <w:rFonts w:ascii="Verdana" w:hAnsi="Verdana"/>
          <w:spacing w:val="-7"/>
          <w:sz w:val="18"/>
          <w:szCs w:val="18"/>
        </w:rPr>
        <w:t xml:space="preserve"> </w:t>
      </w:r>
      <w:r w:rsidRPr="00127F65">
        <w:rPr>
          <w:rFonts w:ascii="Verdana" w:hAnsi="Verdana"/>
          <w:sz w:val="18"/>
          <w:szCs w:val="18"/>
        </w:rPr>
        <w:t>de</w:t>
      </w:r>
      <w:r w:rsidRPr="00127F65">
        <w:rPr>
          <w:rFonts w:ascii="Verdana" w:hAnsi="Verdana"/>
          <w:spacing w:val="-6"/>
          <w:sz w:val="18"/>
          <w:szCs w:val="18"/>
        </w:rPr>
        <w:t xml:space="preserve"> </w:t>
      </w:r>
      <w:r w:rsidRPr="00127F65">
        <w:rPr>
          <w:rFonts w:ascii="Verdana" w:hAnsi="Verdana"/>
          <w:sz w:val="18"/>
          <w:szCs w:val="18"/>
        </w:rPr>
        <w:t>sujetos</w:t>
      </w:r>
      <w:r w:rsidRPr="00127F65">
        <w:rPr>
          <w:rFonts w:ascii="Verdana" w:hAnsi="Verdana"/>
          <w:spacing w:val="-5"/>
          <w:sz w:val="18"/>
          <w:szCs w:val="18"/>
        </w:rPr>
        <w:t xml:space="preserve"> </w:t>
      </w:r>
      <w:r w:rsidRPr="00127F65">
        <w:rPr>
          <w:rFonts w:ascii="Verdana" w:hAnsi="Verdana"/>
          <w:spacing w:val="-2"/>
          <w:sz w:val="18"/>
          <w:szCs w:val="18"/>
        </w:rPr>
        <w:t>obligados:</w:t>
      </w:r>
    </w:p>
    <w:p w14:paraId="43AE9A9F" w14:textId="77777777" w:rsidR="00E85C97" w:rsidRPr="00127F65" w:rsidRDefault="00E85C97" w:rsidP="00081971">
      <w:pPr>
        <w:pStyle w:val="Prrafodelista"/>
        <w:widowControl w:val="0"/>
        <w:numPr>
          <w:ilvl w:val="0"/>
          <w:numId w:val="21"/>
        </w:numPr>
        <w:tabs>
          <w:tab w:val="left" w:pos="284"/>
        </w:tabs>
        <w:autoSpaceDE w:val="0"/>
        <w:autoSpaceDN w:val="0"/>
        <w:spacing w:before="2" w:after="120" w:line="237" w:lineRule="auto"/>
        <w:ind w:right="279" w:firstLine="24"/>
        <w:contextualSpacing w:val="0"/>
        <w:jc w:val="both"/>
        <w:rPr>
          <w:rFonts w:ascii="Verdana" w:hAnsi="Verdana"/>
          <w:sz w:val="14"/>
          <w:szCs w:val="14"/>
        </w:rPr>
      </w:pPr>
      <w:r w:rsidRPr="00127F65">
        <w:rPr>
          <w:rFonts w:ascii="Verdana" w:hAnsi="Verdana"/>
          <w:sz w:val="14"/>
          <w:szCs w:val="14"/>
        </w:rPr>
        <w:t>Toda</w:t>
      </w:r>
      <w:r w:rsidRPr="00127F65">
        <w:rPr>
          <w:rFonts w:ascii="Verdana" w:hAnsi="Verdana"/>
          <w:spacing w:val="-7"/>
          <w:sz w:val="14"/>
          <w:szCs w:val="14"/>
        </w:rPr>
        <w:t xml:space="preserve"> </w:t>
      </w:r>
      <w:r w:rsidRPr="00127F65">
        <w:rPr>
          <w:rFonts w:ascii="Verdana" w:hAnsi="Verdana"/>
          <w:sz w:val="14"/>
          <w:szCs w:val="14"/>
        </w:rPr>
        <w:t>entidad</w:t>
      </w:r>
      <w:r w:rsidRPr="00127F65">
        <w:rPr>
          <w:rFonts w:ascii="Verdana" w:hAnsi="Verdana"/>
          <w:spacing w:val="-6"/>
          <w:sz w:val="14"/>
          <w:szCs w:val="14"/>
        </w:rPr>
        <w:t xml:space="preserve"> </w:t>
      </w:r>
      <w:r w:rsidRPr="00127F65">
        <w:rPr>
          <w:rFonts w:ascii="Verdana" w:hAnsi="Verdana"/>
          <w:sz w:val="14"/>
          <w:szCs w:val="14"/>
        </w:rPr>
        <w:t>pública,</w:t>
      </w:r>
      <w:r w:rsidRPr="00127F65">
        <w:rPr>
          <w:rFonts w:ascii="Verdana" w:hAnsi="Verdana"/>
          <w:spacing w:val="-10"/>
          <w:sz w:val="14"/>
          <w:szCs w:val="14"/>
        </w:rPr>
        <w:t xml:space="preserve"> </w:t>
      </w:r>
      <w:r w:rsidRPr="00127F65">
        <w:rPr>
          <w:rFonts w:ascii="Verdana" w:hAnsi="Verdana"/>
          <w:sz w:val="14"/>
          <w:szCs w:val="14"/>
        </w:rPr>
        <w:t>incluyendo</w:t>
      </w:r>
      <w:r w:rsidRPr="00127F65">
        <w:rPr>
          <w:rFonts w:ascii="Verdana" w:hAnsi="Verdana"/>
          <w:spacing w:val="-8"/>
          <w:sz w:val="14"/>
          <w:szCs w:val="14"/>
        </w:rPr>
        <w:t xml:space="preserve"> </w:t>
      </w:r>
      <w:r w:rsidRPr="00127F65">
        <w:rPr>
          <w:rFonts w:ascii="Verdana" w:hAnsi="Verdana"/>
          <w:sz w:val="14"/>
          <w:szCs w:val="14"/>
        </w:rPr>
        <w:t>las</w:t>
      </w:r>
      <w:r w:rsidRPr="00127F65">
        <w:rPr>
          <w:rFonts w:ascii="Verdana" w:hAnsi="Verdana"/>
          <w:spacing w:val="-5"/>
          <w:sz w:val="14"/>
          <w:szCs w:val="14"/>
        </w:rPr>
        <w:t xml:space="preserve"> </w:t>
      </w:r>
      <w:r w:rsidRPr="00127F65">
        <w:rPr>
          <w:rFonts w:ascii="Verdana" w:hAnsi="Verdana"/>
          <w:sz w:val="14"/>
          <w:szCs w:val="14"/>
        </w:rPr>
        <w:t>pertenecientes</w:t>
      </w:r>
      <w:r w:rsidRPr="00127F65">
        <w:rPr>
          <w:rFonts w:ascii="Verdana" w:hAnsi="Verdana"/>
          <w:spacing w:val="-5"/>
          <w:sz w:val="14"/>
          <w:szCs w:val="14"/>
        </w:rPr>
        <w:t xml:space="preserve"> </w:t>
      </w:r>
      <w:r w:rsidRPr="00127F65">
        <w:rPr>
          <w:rFonts w:ascii="Verdana" w:hAnsi="Verdana"/>
          <w:sz w:val="14"/>
          <w:szCs w:val="14"/>
        </w:rPr>
        <w:t>a</w:t>
      </w:r>
      <w:r w:rsidRPr="00127F65">
        <w:rPr>
          <w:rFonts w:ascii="Verdana" w:hAnsi="Verdana"/>
          <w:spacing w:val="-7"/>
          <w:sz w:val="14"/>
          <w:szCs w:val="14"/>
        </w:rPr>
        <w:t xml:space="preserve"> </w:t>
      </w:r>
      <w:r w:rsidRPr="00127F65">
        <w:rPr>
          <w:rFonts w:ascii="Verdana" w:hAnsi="Verdana"/>
          <w:sz w:val="14"/>
          <w:szCs w:val="14"/>
        </w:rPr>
        <w:t>todas</w:t>
      </w:r>
      <w:r w:rsidRPr="00127F65">
        <w:rPr>
          <w:rFonts w:ascii="Verdana" w:hAnsi="Verdana"/>
          <w:spacing w:val="-10"/>
          <w:sz w:val="14"/>
          <w:szCs w:val="14"/>
        </w:rPr>
        <w:t xml:space="preserve"> </w:t>
      </w:r>
      <w:r w:rsidRPr="00127F65">
        <w:rPr>
          <w:rFonts w:ascii="Verdana" w:hAnsi="Verdana"/>
          <w:sz w:val="14"/>
          <w:szCs w:val="14"/>
        </w:rPr>
        <w:t>las</w:t>
      </w:r>
      <w:r w:rsidRPr="00127F65">
        <w:rPr>
          <w:rFonts w:ascii="Verdana" w:hAnsi="Verdana"/>
          <w:spacing w:val="-5"/>
          <w:sz w:val="14"/>
          <w:szCs w:val="14"/>
        </w:rPr>
        <w:t xml:space="preserve"> </w:t>
      </w:r>
      <w:r w:rsidRPr="00127F65">
        <w:rPr>
          <w:rFonts w:ascii="Verdana" w:hAnsi="Verdana"/>
          <w:sz w:val="14"/>
          <w:szCs w:val="14"/>
        </w:rPr>
        <w:t>Ramas</w:t>
      </w:r>
      <w:r w:rsidRPr="00127F65">
        <w:rPr>
          <w:rFonts w:ascii="Verdana" w:hAnsi="Verdana"/>
          <w:spacing w:val="-5"/>
          <w:sz w:val="14"/>
          <w:szCs w:val="14"/>
        </w:rPr>
        <w:t xml:space="preserve"> </w:t>
      </w:r>
      <w:r w:rsidRPr="00127F65">
        <w:rPr>
          <w:rFonts w:ascii="Verdana" w:hAnsi="Verdana"/>
          <w:sz w:val="14"/>
          <w:szCs w:val="14"/>
        </w:rPr>
        <w:t>del</w:t>
      </w:r>
      <w:r w:rsidRPr="00127F65">
        <w:rPr>
          <w:rFonts w:ascii="Verdana" w:hAnsi="Verdana"/>
          <w:spacing w:val="-5"/>
          <w:sz w:val="14"/>
          <w:szCs w:val="14"/>
        </w:rPr>
        <w:t xml:space="preserve"> </w:t>
      </w:r>
      <w:r w:rsidRPr="00127F65">
        <w:rPr>
          <w:rFonts w:ascii="Verdana" w:hAnsi="Verdana"/>
          <w:sz w:val="14"/>
          <w:szCs w:val="14"/>
        </w:rPr>
        <w:t>Poder</w:t>
      </w:r>
      <w:r w:rsidRPr="00127F65">
        <w:rPr>
          <w:rFonts w:ascii="Verdana" w:hAnsi="Verdana"/>
          <w:spacing w:val="-5"/>
          <w:sz w:val="14"/>
          <w:szCs w:val="14"/>
        </w:rPr>
        <w:t xml:space="preserve"> </w:t>
      </w:r>
      <w:r w:rsidRPr="00127F65">
        <w:rPr>
          <w:rFonts w:ascii="Verdana" w:hAnsi="Verdana"/>
          <w:sz w:val="14"/>
          <w:szCs w:val="14"/>
        </w:rPr>
        <w:t>Público,</w:t>
      </w:r>
      <w:r w:rsidRPr="00127F65">
        <w:rPr>
          <w:rFonts w:ascii="Verdana" w:hAnsi="Verdana"/>
          <w:spacing w:val="-4"/>
          <w:sz w:val="14"/>
          <w:szCs w:val="14"/>
        </w:rPr>
        <w:t xml:space="preserve"> </w:t>
      </w:r>
      <w:r w:rsidRPr="00127F65">
        <w:rPr>
          <w:rFonts w:ascii="Verdana" w:hAnsi="Verdana"/>
          <w:sz w:val="14"/>
          <w:szCs w:val="14"/>
        </w:rPr>
        <w:t>en</w:t>
      </w:r>
      <w:r w:rsidRPr="00127F65">
        <w:rPr>
          <w:rFonts w:ascii="Verdana" w:hAnsi="Verdana"/>
          <w:spacing w:val="-8"/>
          <w:sz w:val="14"/>
          <w:szCs w:val="14"/>
        </w:rPr>
        <w:t xml:space="preserve"> </w:t>
      </w:r>
      <w:r w:rsidRPr="00127F65">
        <w:rPr>
          <w:rFonts w:ascii="Verdana" w:hAnsi="Verdana"/>
          <w:sz w:val="14"/>
          <w:szCs w:val="14"/>
        </w:rPr>
        <w:t>todos los niveles de la estructura estatal, central o descentralizada por servicios o territorialmente, en los órdenes nacional, departamental, municipal y distrital.</w:t>
      </w:r>
    </w:p>
    <w:p w14:paraId="1C6EA034" w14:textId="77777777" w:rsidR="00E85C97" w:rsidRPr="00127F65" w:rsidRDefault="00E85C97" w:rsidP="00081971">
      <w:pPr>
        <w:pStyle w:val="Prrafodelista"/>
        <w:widowControl w:val="0"/>
        <w:numPr>
          <w:ilvl w:val="0"/>
          <w:numId w:val="21"/>
        </w:numPr>
        <w:tabs>
          <w:tab w:val="left" w:pos="284"/>
        </w:tabs>
        <w:autoSpaceDE w:val="0"/>
        <w:autoSpaceDN w:val="0"/>
        <w:spacing w:after="120" w:line="240" w:lineRule="auto"/>
        <w:ind w:left="284" w:firstLine="24"/>
        <w:contextualSpacing w:val="0"/>
        <w:jc w:val="both"/>
        <w:rPr>
          <w:rFonts w:ascii="Verdana" w:hAnsi="Verdana"/>
          <w:sz w:val="14"/>
          <w:szCs w:val="14"/>
        </w:rPr>
      </w:pPr>
      <w:r w:rsidRPr="00127F65">
        <w:rPr>
          <w:rFonts w:ascii="Verdana" w:hAnsi="Verdana"/>
          <w:sz w:val="14"/>
          <w:szCs w:val="14"/>
        </w:rPr>
        <w:t>Los</w:t>
      </w:r>
      <w:r w:rsidRPr="00127F65">
        <w:rPr>
          <w:rFonts w:ascii="Verdana" w:hAnsi="Verdana"/>
          <w:spacing w:val="-8"/>
          <w:sz w:val="14"/>
          <w:szCs w:val="14"/>
        </w:rPr>
        <w:t xml:space="preserve"> </w:t>
      </w:r>
      <w:r w:rsidRPr="00127F65">
        <w:rPr>
          <w:rFonts w:ascii="Verdana" w:hAnsi="Verdana"/>
          <w:sz w:val="14"/>
          <w:szCs w:val="14"/>
        </w:rPr>
        <w:t>órganos,</w:t>
      </w:r>
      <w:r w:rsidRPr="00127F65">
        <w:rPr>
          <w:rFonts w:ascii="Verdana" w:hAnsi="Verdana"/>
          <w:spacing w:val="-6"/>
          <w:sz w:val="14"/>
          <w:szCs w:val="14"/>
        </w:rPr>
        <w:t xml:space="preserve"> </w:t>
      </w:r>
      <w:r w:rsidRPr="00127F65">
        <w:rPr>
          <w:rFonts w:ascii="Verdana" w:hAnsi="Verdana"/>
          <w:sz w:val="14"/>
          <w:szCs w:val="14"/>
        </w:rPr>
        <w:t>organismos</w:t>
      </w:r>
      <w:r w:rsidRPr="00127F65">
        <w:rPr>
          <w:rFonts w:ascii="Verdana" w:hAnsi="Verdana"/>
          <w:spacing w:val="-8"/>
          <w:sz w:val="14"/>
          <w:szCs w:val="14"/>
        </w:rPr>
        <w:t xml:space="preserve"> </w:t>
      </w:r>
      <w:r w:rsidRPr="00127F65">
        <w:rPr>
          <w:rFonts w:ascii="Verdana" w:hAnsi="Verdana"/>
          <w:sz w:val="14"/>
          <w:szCs w:val="14"/>
        </w:rPr>
        <w:t>y</w:t>
      </w:r>
      <w:r w:rsidRPr="00127F65">
        <w:rPr>
          <w:rFonts w:ascii="Verdana" w:hAnsi="Verdana"/>
          <w:spacing w:val="-8"/>
          <w:sz w:val="14"/>
          <w:szCs w:val="14"/>
        </w:rPr>
        <w:t xml:space="preserve"> </w:t>
      </w:r>
      <w:r w:rsidRPr="00127F65">
        <w:rPr>
          <w:rFonts w:ascii="Verdana" w:hAnsi="Verdana"/>
          <w:sz w:val="14"/>
          <w:szCs w:val="14"/>
        </w:rPr>
        <w:t>entidades</w:t>
      </w:r>
      <w:r w:rsidRPr="00127F65">
        <w:rPr>
          <w:rFonts w:ascii="Verdana" w:hAnsi="Verdana"/>
          <w:spacing w:val="-7"/>
          <w:sz w:val="14"/>
          <w:szCs w:val="14"/>
        </w:rPr>
        <w:t xml:space="preserve"> </w:t>
      </w:r>
      <w:r w:rsidRPr="00127F65">
        <w:rPr>
          <w:rFonts w:ascii="Verdana" w:hAnsi="Verdana"/>
          <w:sz w:val="14"/>
          <w:szCs w:val="14"/>
        </w:rPr>
        <w:t>estatales</w:t>
      </w:r>
      <w:r w:rsidRPr="00127F65">
        <w:rPr>
          <w:rFonts w:ascii="Verdana" w:hAnsi="Verdana"/>
          <w:spacing w:val="-8"/>
          <w:sz w:val="14"/>
          <w:szCs w:val="14"/>
        </w:rPr>
        <w:t xml:space="preserve"> </w:t>
      </w:r>
      <w:r w:rsidRPr="00127F65">
        <w:rPr>
          <w:rFonts w:ascii="Verdana" w:hAnsi="Verdana"/>
          <w:sz w:val="14"/>
          <w:szCs w:val="14"/>
        </w:rPr>
        <w:t>independientes</w:t>
      </w:r>
      <w:r w:rsidRPr="00127F65">
        <w:rPr>
          <w:rFonts w:ascii="Verdana" w:hAnsi="Verdana"/>
          <w:spacing w:val="-7"/>
          <w:sz w:val="14"/>
          <w:szCs w:val="14"/>
        </w:rPr>
        <w:t xml:space="preserve"> </w:t>
      </w:r>
      <w:r w:rsidRPr="00127F65">
        <w:rPr>
          <w:rFonts w:ascii="Verdana" w:hAnsi="Verdana"/>
          <w:sz w:val="14"/>
          <w:szCs w:val="14"/>
        </w:rPr>
        <w:t>o</w:t>
      </w:r>
      <w:r w:rsidRPr="00127F65">
        <w:rPr>
          <w:rFonts w:ascii="Verdana" w:hAnsi="Verdana"/>
          <w:spacing w:val="-10"/>
          <w:sz w:val="14"/>
          <w:szCs w:val="14"/>
        </w:rPr>
        <w:t xml:space="preserve"> </w:t>
      </w:r>
      <w:r w:rsidRPr="00127F65">
        <w:rPr>
          <w:rFonts w:ascii="Verdana" w:hAnsi="Verdana"/>
          <w:sz w:val="14"/>
          <w:szCs w:val="14"/>
        </w:rPr>
        <w:t>autónomos</w:t>
      </w:r>
      <w:r w:rsidRPr="00127F65">
        <w:rPr>
          <w:rFonts w:ascii="Verdana" w:hAnsi="Verdana"/>
          <w:spacing w:val="-7"/>
          <w:sz w:val="14"/>
          <w:szCs w:val="14"/>
        </w:rPr>
        <w:t xml:space="preserve"> </w:t>
      </w:r>
      <w:r w:rsidRPr="00127F65">
        <w:rPr>
          <w:rFonts w:ascii="Verdana" w:hAnsi="Verdana"/>
          <w:sz w:val="14"/>
          <w:szCs w:val="14"/>
        </w:rPr>
        <w:t>y</w:t>
      </w:r>
      <w:r w:rsidRPr="00127F65">
        <w:rPr>
          <w:rFonts w:ascii="Verdana" w:hAnsi="Verdana"/>
          <w:spacing w:val="-9"/>
          <w:sz w:val="14"/>
          <w:szCs w:val="14"/>
        </w:rPr>
        <w:t xml:space="preserve"> </w:t>
      </w:r>
      <w:r w:rsidRPr="00127F65">
        <w:rPr>
          <w:rFonts w:ascii="Verdana" w:hAnsi="Verdana"/>
          <w:sz w:val="14"/>
          <w:szCs w:val="14"/>
        </w:rPr>
        <w:t>de</w:t>
      </w:r>
      <w:r w:rsidRPr="00127F65">
        <w:rPr>
          <w:rFonts w:ascii="Verdana" w:hAnsi="Verdana"/>
          <w:spacing w:val="-3"/>
          <w:sz w:val="14"/>
          <w:szCs w:val="14"/>
        </w:rPr>
        <w:t xml:space="preserve"> </w:t>
      </w:r>
      <w:r w:rsidRPr="00127F65">
        <w:rPr>
          <w:rFonts w:ascii="Verdana" w:hAnsi="Verdana"/>
          <w:spacing w:val="-2"/>
          <w:sz w:val="14"/>
          <w:szCs w:val="14"/>
        </w:rPr>
        <w:t>control.</w:t>
      </w:r>
    </w:p>
    <w:p w14:paraId="5B04A795" w14:textId="77777777" w:rsidR="00E85C97" w:rsidRPr="00127F65" w:rsidRDefault="00E85C97" w:rsidP="00081971">
      <w:pPr>
        <w:pStyle w:val="Prrafodelista"/>
        <w:widowControl w:val="0"/>
        <w:numPr>
          <w:ilvl w:val="0"/>
          <w:numId w:val="21"/>
        </w:numPr>
        <w:tabs>
          <w:tab w:val="left" w:pos="284"/>
        </w:tabs>
        <w:autoSpaceDE w:val="0"/>
        <w:autoSpaceDN w:val="0"/>
        <w:spacing w:after="120" w:line="240" w:lineRule="auto"/>
        <w:ind w:right="275" w:firstLine="24"/>
        <w:contextualSpacing w:val="0"/>
        <w:jc w:val="both"/>
        <w:rPr>
          <w:rFonts w:ascii="Verdana" w:hAnsi="Verdana"/>
          <w:sz w:val="14"/>
          <w:szCs w:val="14"/>
        </w:rPr>
      </w:pPr>
      <w:r w:rsidRPr="00127F65">
        <w:rPr>
          <w:rFonts w:ascii="Verdana" w:hAnsi="Verdana"/>
          <w:sz w:val="14"/>
          <w:szCs w:val="14"/>
        </w:rPr>
        <w:t>Las personas naturales y jurídicas, públicas o privadas, que presten función pública, que presten servicios públicos respecto de la información directamente relacionada con la prestación del servicio público.</w:t>
      </w:r>
    </w:p>
    <w:p w14:paraId="5C9DDDE9" w14:textId="77777777" w:rsidR="00E85C97" w:rsidRPr="00127F65" w:rsidRDefault="00E85C97" w:rsidP="00081971">
      <w:pPr>
        <w:pStyle w:val="Prrafodelista"/>
        <w:widowControl w:val="0"/>
        <w:numPr>
          <w:ilvl w:val="0"/>
          <w:numId w:val="21"/>
        </w:numPr>
        <w:tabs>
          <w:tab w:val="left" w:pos="284"/>
          <w:tab w:val="left" w:pos="1222"/>
        </w:tabs>
        <w:autoSpaceDE w:val="0"/>
        <w:autoSpaceDN w:val="0"/>
        <w:spacing w:after="120" w:line="237" w:lineRule="auto"/>
        <w:ind w:right="283" w:firstLine="24"/>
        <w:contextualSpacing w:val="0"/>
        <w:jc w:val="both"/>
        <w:rPr>
          <w:rFonts w:ascii="Verdana" w:hAnsi="Verdana"/>
          <w:sz w:val="14"/>
          <w:szCs w:val="14"/>
        </w:rPr>
      </w:pPr>
      <w:r w:rsidRPr="00127F65">
        <w:rPr>
          <w:rFonts w:ascii="Verdana" w:hAnsi="Verdana"/>
          <w:sz w:val="14"/>
          <w:szCs w:val="14"/>
        </w:rPr>
        <w:t>Cualquier persona natural, jurídica o dependencia de persona jurídica que desempeñe función pública o</w:t>
      </w:r>
      <w:r w:rsidRPr="00127F65">
        <w:rPr>
          <w:rFonts w:ascii="Verdana" w:hAnsi="Verdana"/>
          <w:spacing w:val="-1"/>
          <w:sz w:val="14"/>
          <w:szCs w:val="14"/>
        </w:rPr>
        <w:t xml:space="preserve"> </w:t>
      </w:r>
      <w:r w:rsidRPr="00127F65">
        <w:rPr>
          <w:rFonts w:ascii="Verdana" w:hAnsi="Verdana"/>
          <w:sz w:val="14"/>
          <w:szCs w:val="14"/>
        </w:rPr>
        <w:t>de autoridad pública, respecto</w:t>
      </w:r>
      <w:r w:rsidRPr="00127F65">
        <w:rPr>
          <w:rFonts w:ascii="Verdana" w:hAnsi="Verdana"/>
          <w:spacing w:val="-1"/>
          <w:sz w:val="14"/>
          <w:szCs w:val="14"/>
        </w:rPr>
        <w:t xml:space="preserve"> </w:t>
      </w:r>
      <w:r w:rsidRPr="00127F65">
        <w:rPr>
          <w:rFonts w:ascii="Verdana" w:hAnsi="Verdana"/>
          <w:sz w:val="14"/>
          <w:szCs w:val="14"/>
        </w:rPr>
        <w:t xml:space="preserve">de la información directamente relacionada con el desempeño de su </w:t>
      </w:r>
      <w:r w:rsidRPr="00127F65">
        <w:rPr>
          <w:rFonts w:ascii="Verdana" w:hAnsi="Verdana"/>
          <w:spacing w:val="-2"/>
          <w:sz w:val="14"/>
          <w:szCs w:val="14"/>
        </w:rPr>
        <w:t>función.</w:t>
      </w:r>
    </w:p>
    <w:p w14:paraId="2F572B3B" w14:textId="77777777" w:rsidR="00E85C97" w:rsidRPr="00127F65" w:rsidRDefault="00E85C97" w:rsidP="00081971">
      <w:pPr>
        <w:pStyle w:val="Prrafodelista"/>
        <w:widowControl w:val="0"/>
        <w:numPr>
          <w:ilvl w:val="0"/>
          <w:numId w:val="21"/>
        </w:numPr>
        <w:tabs>
          <w:tab w:val="left" w:pos="284"/>
        </w:tabs>
        <w:autoSpaceDE w:val="0"/>
        <w:autoSpaceDN w:val="0"/>
        <w:spacing w:before="1" w:after="0" w:line="240" w:lineRule="auto"/>
        <w:ind w:left="284" w:right="275" w:firstLine="0"/>
        <w:contextualSpacing w:val="0"/>
        <w:jc w:val="both"/>
        <w:rPr>
          <w:rFonts w:ascii="Verdana" w:hAnsi="Verdana"/>
          <w:sz w:val="14"/>
          <w:szCs w:val="14"/>
        </w:rPr>
      </w:pPr>
      <w:r w:rsidRPr="00127F65">
        <w:rPr>
          <w:rFonts w:ascii="Verdana" w:hAnsi="Verdana"/>
          <w:sz w:val="14"/>
          <w:szCs w:val="14"/>
        </w:rPr>
        <w:t>&lt;Literal</w:t>
      </w:r>
      <w:r w:rsidRPr="00127F65">
        <w:rPr>
          <w:rFonts w:ascii="Verdana" w:hAnsi="Verdana"/>
          <w:spacing w:val="-15"/>
          <w:sz w:val="14"/>
          <w:szCs w:val="14"/>
        </w:rPr>
        <w:t xml:space="preserve"> </w:t>
      </w:r>
      <w:r w:rsidRPr="00127F65">
        <w:rPr>
          <w:rFonts w:ascii="Verdana" w:hAnsi="Verdana"/>
          <w:sz w:val="14"/>
          <w:szCs w:val="14"/>
        </w:rPr>
        <w:t>CONDICIONALMENTE</w:t>
      </w:r>
      <w:r w:rsidRPr="00127F65">
        <w:rPr>
          <w:rFonts w:ascii="Verdana" w:hAnsi="Verdana"/>
          <w:spacing w:val="-14"/>
          <w:sz w:val="14"/>
          <w:szCs w:val="14"/>
        </w:rPr>
        <w:t xml:space="preserve"> </w:t>
      </w:r>
      <w:r w:rsidRPr="00127F65">
        <w:rPr>
          <w:rFonts w:ascii="Verdana" w:hAnsi="Verdana"/>
          <w:sz w:val="14"/>
          <w:szCs w:val="14"/>
        </w:rPr>
        <w:t>exequible&gt;</w:t>
      </w:r>
      <w:r w:rsidRPr="00127F65">
        <w:rPr>
          <w:rFonts w:ascii="Verdana" w:hAnsi="Verdana"/>
          <w:spacing w:val="-14"/>
          <w:sz w:val="14"/>
          <w:szCs w:val="14"/>
        </w:rPr>
        <w:t xml:space="preserve"> </w:t>
      </w:r>
      <w:r w:rsidRPr="00127F65">
        <w:rPr>
          <w:rFonts w:ascii="Verdana" w:hAnsi="Verdana"/>
          <w:sz w:val="14"/>
          <w:szCs w:val="14"/>
        </w:rPr>
        <w:t>Las</w:t>
      </w:r>
      <w:r w:rsidRPr="00127F65">
        <w:rPr>
          <w:rFonts w:ascii="Verdana" w:hAnsi="Verdana"/>
          <w:spacing w:val="-11"/>
          <w:sz w:val="14"/>
          <w:szCs w:val="14"/>
        </w:rPr>
        <w:t xml:space="preserve"> </w:t>
      </w:r>
      <w:r w:rsidRPr="00127F65">
        <w:rPr>
          <w:rFonts w:ascii="Verdana" w:hAnsi="Verdana"/>
          <w:sz w:val="14"/>
          <w:szCs w:val="14"/>
        </w:rPr>
        <w:t>empresas</w:t>
      </w:r>
      <w:r w:rsidRPr="00127F65">
        <w:rPr>
          <w:rFonts w:ascii="Verdana" w:hAnsi="Verdana"/>
          <w:spacing w:val="-12"/>
          <w:sz w:val="14"/>
          <w:szCs w:val="14"/>
        </w:rPr>
        <w:t xml:space="preserve"> </w:t>
      </w:r>
      <w:r w:rsidRPr="00127F65">
        <w:rPr>
          <w:rFonts w:ascii="Verdana" w:hAnsi="Verdana"/>
          <w:sz w:val="14"/>
          <w:szCs w:val="14"/>
        </w:rPr>
        <w:t>públicas</w:t>
      </w:r>
      <w:r w:rsidRPr="00127F65">
        <w:rPr>
          <w:rFonts w:ascii="Verdana" w:hAnsi="Verdana"/>
          <w:spacing w:val="-12"/>
          <w:sz w:val="14"/>
          <w:szCs w:val="14"/>
        </w:rPr>
        <w:t xml:space="preserve"> </w:t>
      </w:r>
      <w:r w:rsidRPr="00127F65">
        <w:rPr>
          <w:rFonts w:ascii="Verdana" w:hAnsi="Verdana"/>
          <w:sz w:val="14"/>
          <w:szCs w:val="14"/>
        </w:rPr>
        <w:t>creadas</w:t>
      </w:r>
      <w:r w:rsidRPr="00127F65">
        <w:rPr>
          <w:rFonts w:ascii="Verdana" w:hAnsi="Verdana"/>
          <w:spacing w:val="-12"/>
          <w:sz w:val="14"/>
          <w:szCs w:val="14"/>
        </w:rPr>
        <w:t xml:space="preserve"> </w:t>
      </w:r>
      <w:r w:rsidRPr="00127F65">
        <w:rPr>
          <w:rFonts w:ascii="Verdana" w:hAnsi="Verdana"/>
          <w:sz w:val="14"/>
          <w:szCs w:val="14"/>
        </w:rPr>
        <w:t>por</w:t>
      </w:r>
      <w:r w:rsidRPr="00127F65">
        <w:rPr>
          <w:rFonts w:ascii="Verdana" w:hAnsi="Verdana"/>
          <w:spacing w:val="-12"/>
          <w:sz w:val="14"/>
          <w:szCs w:val="14"/>
        </w:rPr>
        <w:t xml:space="preserve"> </w:t>
      </w:r>
      <w:r w:rsidRPr="00127F65">
        <w:rPr>
          <w:rFonts w:ascii="Verdana" w:hAnsi="Verdana"/>
          <w:sz w:val="14"/>
          <w:szCs w:val="14"/>
        </w:rPr>
        <w:t>ley,</w:t>
      </w:r>
      <w:r w:rsidRPr="00127F65">
        <w:rPr>
          <w:rFonts w:ascii="Verdana" w:hAnsi="Verdana"/>
          <w:spacing w:val="-15"/>
          <w:sz w:val="14"/>
          <w:szCs w:val="14"/>
        </w:rPr>
        <w:t xml:space="preserve"> </w:t>
      </w:r>
      <w:r w:rsidRPr="00127F65">
        <w:rPr>
          <w:rFonts w:ascii="Verdana" w:hAnsi="Verdana"/>
          <w:sz w:val="14"/>
          <w:szCs w:val="14"/>
        </w:rPr>
        <w:t>las</w:t>
      </w:r>
      <w:r w:rsidRPr="00127F65">
        <w:rPr>
          <w:rFonts w:ascii="Verdana" w:hAnsi="Verdana"/>
          <w:spacing w:val="-11"/>
          <w:sz w:val="14"/>
          <w:szCs w:val="14"/>
        </w:rPr>
        <w:t xml:space="preserve"> </w:t>
      </w:r>
      <w:r w:rsidRPr="00127F65">
        <w:rPr>
          <w:rFonts w:ascii="Verdana" w:hAnsi="Verdana"/>
          <w:sz w:val="14"/>
          <w:szCs w:val="14"/>
        </w:rPr>
        <w:t>empresas</w:t>
      </w:r>
      <w:r w:rsidRPr="00127F65">
        <w:rPr>
          <w:rFonts w:ascii="Verdana" w:hAnsi="Verdana"/>
          <w:spacing w:val="-12"/>
          <w:sz w:val="14"/>
          <w:szCs w:val="14"/>
        </w:rPr>
        <w:t xml:space="preserve"> </w:t>
      </w:r>
      <w:r w:rsidRPr="00127F65">
        <w:rPr>
          <w:rFonts w:ascii="Verdana" w:hAnsi="Verdana"/>
          <w:sz w:val="14"/>
          <w:szCs w:val="14"/>
        </w:rPr>
        <w:t>del Estado y sociedades en que este tenga participación. […]</w:t>
      </w:r>
    </w:p>
    <w:p w14:paraId="3E224C60" w14:textId="77777777" w:rsidR="00E85C97" w:rsidRPr="00127F65" w:rsidRDefault="00E85C97" w:rsidP="00081971">
      <w:pPr>
        <w:pStyle w:val="Prrafodelista"/>
        <w:widowControl w:val="0"/>
        <w:numPr>
          <w:ilvl w:val="0"/>
          <w:numId w:val="21"/>
        </w:numPr>
        <w:tabs>
          <w:tab w:val="left" w:pos="284"/>
        </w:tabs>
        <w:autoSpaceDE w:val="0"/>
        <w:autoSpaceDN w:val="0"/>
        <w:spacing w:after="0" w:line="192" w:lineRule="exact"/>
        <w:ind w:left="0" w:firstLine="284"/>
        <w:contextualSpacing w:val="0"/>
        <w:jc w:val="both"/>
        <w:rPr>
          <w:rFonts w:ascii="Verdana" w:hAnsi="Verdana"/>
          <w:sz w:val="14"/>
          <w:szCs w:val="14"/>
        </w:rPr>
      </w:pPr>
      <w:r w:rsidRPr="00127F65">
        <w:rPr>
          <w:rFonts w:ascii="Verdana" w:hAnsi="Verdana"/>
          <w:sz w:val="14"/>
          <w:szCs w:val="14"/>
        </w:rPr>
        <w:t>Las</w:t>
      </w:r>
      <w:r w:rsidRPr="00127F65">
        <w:rPr>
          <w:rFonts w:ascii="Verdana" w:hAnsi="Verdana"/>
          <w:spacing w:val="-11"/>
          <w:sz w:val="14"/>
          <w:szCs w:val="14"/>
        </w:rPr>
        <w:t xml:space="preserve"> </w:t>
      </w:r>
      <w:r w:rsidRPr="00127F65">
        <w:rPr>
          <w:rFonts w:ascii="Verdana" w:hAnsi="Verdana"/>
          <w:sz w:val="14"/>
          <w:szCs w:val="14"/>
        </w:rPr>
        <w:t>entidades</w:t>
      </w:r>
      <w:r w:rsidRPr="00127F65">
        <w:rPr>
          <w:rFonts w:ascii="Verdana" w:hAnsi="Verdana"/>
          <w:spacing w:val="-11"/>
          <w:sz w:val="14"/>
          <w:szCs w:val="14"/>
        </w:rPr>
        <w:t xml:space="preserve"> </w:t>
      </w:r>
      <w:r w:rsidRPr="00127F65">
        <w:rPr>
          <w:rFonts w:ascii="Verdana" w:hAnsi="Verdana"/>
          <w:sz w:val="14"/>
          <w:szCs w:val="14"/>
        </w:rPr>
        <w:t>que</w:t>
      </w:r>
      <w:r w:rsidRPr="00127F65">
        <w:rPr>
          <w:rFonts w:ascii="Verdana" w:hAnsi="Verdana"/>
          <w:spacing w:val="-8"/>
          <w:sz w:val="14"/>
          <w:szCs w:val="14"/>
        </w:rPr>
        <w:t xml:space="preserve"> </w:t>
      </w:r>
      <w:r w:rsidRPr="00127F65">
        <w:rPr>
          <w:rFonts w:ascii="Verdana" w:hAnsi="Verdana"/>
          <w:sz w:val="14"/>
          <w:szCs w:val="14"/>
        </w:rPr>
        <w:t>administren</w:t>
      </w:r>
      <w:r w:rsidRPr="00127F65">
        <w:rPr>
          <w:rFonts w:ascii="Verdana" w:hAnsi="Verdana"/>
          <w:spacing w:val="-14"/>
          <w:sz w:val="14"/>
          <w:szCs w:val="14"/>
        </w:rPr>
        <w:t xml:space="preserve"> </w:t>
      </w:r>
      <w:r w:rsidRPr="00127F65">
        <w:rPr>
          <w:rFonts w:ascii="Verdana" w:hAnsi="Verdana"/>
          <w:sz w:val="14"/>
          <w:szCs w:val="14"/>
        </w:rPr>
        <w:t>instituciones</w:t>
      </w:r>
      <w:r w:rsidRPr="00127F65">
        <w:rPr>
          <w:rFonts w:ascii="Verdana" w:hAnsi="Verdana"/>
          <w:spacing w:val="-11"/>
          <w:sz w:val="14"/>
          <w:szCs w:val="14"/>
        </w:rPr>
        <w:t xml:space="preserve"> </w:t>
      </w:r>
      <w:r w:rsidRPr="00127F65">
        <w:rPr>
          <w:rFonts w:ascii="Verdana" w:hAnsi="Verdana"/>
          <w:sz w:val="14"/>
          <w:szCs w:val="14"/>
        </w:rPr>
        <w:t>parafiscales,</w:t>
      </w:r>
      <w:r w:rsidRPr="00127F65">
        <w:rPr>
          <w:rFonts w:ascii="Verdana" w:hAnsi="Verdana"/>
          <w:spacing w:val="-11"/>
          <w:sz w:val="14"/>
          <w:szCs w:val="14"/>
        </w:rPr>
        <w:t xml:space="preserve"> </w:t>
      </w:r>
      <w:r w:rsidRPr="00127F65">
        <w:rPr>
          <w:rFonts w:ascii="Verdana" w:hAnsi="Verdana"/>
          <w:sz w:val="14"/>
          <w:szCs w:val="14"/>
        </w:rPr>
        <w:t>fondos</w:t>
      </w:r>
      <w:r w:rsidRPr="00127F65">
        <w:rPr>
          <w:rFonts w:ascii="Verdana" w:hAnsi="Verdana"/>
          <w:spacing w:val="-11"/>
          <w:sz w:val="14"/>
          <w:szCs w:val="14"/>
        </w:rPr>
        <w:t xml:space="preserve"> </w:t>
      </w:r>
      <w:r w:rsidRPr="00127F65">
        <w:rPr>
          <w:rFonts w:ascii="Verdana" w:hAnsi="Verdana"/>
          <w:sz w:val="14"/>
          <w:szCs w:val="14"/>
        </w:rPr>
        <w:t>o</w:t>
      </w:r>
      <w:r w:rsidRPr="00127F65">
        <w:rPr>
          <w:rFonts w:ascii="Verdana" w:hAnsi="Verdana"/>
          <w:spacing w:val="-9"/>
          <w:sz w:val="14"/>
          <w:szCs w:val="14"/>
        </w:rPr>
        <w:t xml:space="preserve"> </w:t>
      </w:r>
      <w:r w:rsidRPr="00127F65">
        <w:rPr>
          <w:rFonts w:ascii="Verdana" w:hAnsi="Verdana"/>
          <w:sz w:val="14"/>
          <w:szCs w:val="14"/>
        </w:rPr>
        <w:t>recursos</w:t>
      </w:r>
      <w:r w:rsidRPr="00127F65">
        <w:rPr>
          <w:rFonts w:ascii="Verdana" w:hAnsi="Verdana"/>
          <w:spacing w:val="-11"/>
          <w:sz w:val="14"/>
          <w:szCs w:val="14"/>
        </w:rPr>
        <w:t xml:space="preserve"> </w:t>
      </w:r>
      <w:r w:rsidRPr="00127F65">
        <w:rPr>
          <w:rFonts w:ascii="Verdana" w:hAnsi="Verdana"/>
          <w:sz w:val="14"/>
          <w:szCs w:val="14"/>
        </w:rPr>
        <w:t>de</w:t>
      </w:r>
      <w:r w:rsidRPr="00127F65">
        <w:rPr>
          <w:rFonts w:ascii="Verdana" w:hAnsi="Verdana"/>
          <w:spacing w:val="-7"/>
          <w:sz w:val="14"/>
          <w:szCs w:val="14"/>
        </w:rPr>
        <w:t xml:space="preserve"> </w:t>
      </w:r>
      <w:r w:rsidRPr="00127F65">
        <w:rPr>
          <w:rFonts w:ascii="Verdana" w:hAnsi="Verdana"/>
          <w:sz w:val="14"/>
          <w:szCs w:val="14"/>
        </w:rPr>
        <w:t>naturaleza</w:t>
      </w:r>
      <w:r w:rsidRPr="00127F65">
        <w:rPr>
          <w:rFonts w:ascii="Verdana" w:hAnsi="Verdana"/>
          <w:spacing w:val="-12"/>
          <w:sz w:val="14"/>
          <w:szCs w:val="14"/>
        </w:rPr>
        <w:t xml:space="preserve"> </w:t>
      </w:r>
      <w:r w:rsidRPr="00127F65">
        <w:rPr>
          <w:rFonts w:ascii="Verdana" w:hAnsi="Verdana"/>
          <w:sz w:val="14"/>
          <w:szCs w:val="14"/>
        </w:rPr>
        <w:t>u</w:t>
      </w:r>
      <w:r w:rsidRPr="00127F65">
        <w:rPr>
          <w:rFonts w:ascii="Verdana" w:hAnsi="Verdana"/>
          <w:spacing w:val="-10"/>
          <w:sz w:val="14"/>
          <w:szCs w:val="14"/>
        </w:rPr>
        <w:t xml:space="preserve"> </w:t>
      </w:r>
      <w:r w:rsidRPr="00127F65">
        <w:rPr>
          <w:rFonts w:ascii="Verdana" w:hAnsi="Verdana"/>
          <w:spacing w:val="-2"/>
          <w:sz w:val="14"/>
          <w:szCs w:val="14"/>
        </w:rPr>
        <w:t>origen público.</w:t>
      </w:r>
    </w:p>
    <w:p w14:paraId="44D8E5D4" w14:textId="77777777" w:rsidR="00E85C97" w:rsidRPr="00127F65" w:rsidRDefault="00E85C97" w:rsidP="00081971">
      <w:pPr>
        <w:pStyle w:val="Textoindependiente"/>
        <w:spacing w:before="1"/>
        <w:jc w:val="both"/>
        <w:rPr>
          <w:sz w:val="14"/>
          <w:szCs w:val="14"/>
        </w:rPr>
      </w:pPr>
    </w:p>
    <w:p w14:paraId="4FF5BF85" w14:textId="77777777" w:rsidR="00E85C97" w:rsidRPr="00127F65" w:rsidRDefault="00E85C97" w:rsidP="00081971">
      <w:pPr>
        <w:ind w:right="275"/>
        <w:jc w:val="both"/>
        <w:rPr>
          <w:rFonts w:ascii="Verdana" w:hAnsi="Verdana"/>
          <w:sz w:val="14"/>
          <w:szCs w:val="14"/>
        </w:rPr>
      </w:pPr>
      <w:r w:rsidRPr="00127F65">
        <w:rPr>
          <w:rFonts w:ascii="Verdana" w:hAnsi="Verdana"/>
          <w:sz w:val="14"/>
          <w:szCs w:val="14"/>
        </w:rPr>
        <w:t>Las</w:t>
      </w:r>
      <w:r w:rsidRPr="00127F65">
        <w:rPr>
          <w:rFonts w:ascii="Verdana" w:hAnsi="Verdana"/>
          <w:spacing w:val="-9"/>
          <w:sz w:val="14"/>
          <w:szCs w:val="14"/>
        </w:rPr>
        <w:t xml:space="preserve"> </w:t>
      </w:r>
      <w:r w:rsidRPr="00127F65">
        <w:rPr>
          <w:rFonts w:ascii="Verdana" w:hAnsi="Verdana"/>
          <w:sz w:val="14"/>
          <w:szCs w:val="14"/>
        </w:rPr>
        <w:t>personas</w:t>
      </w:r>
      <w:r w:rsidRPr="00127F65">
        <w:rPr>
          <w:rFonts w:ascii="Verdana" w:hAnsi="Verdana"/>
          <w:spacing w:val="-9"/>
          <w:sz w:val="14"/>
          <w:szCs w:val="14"/>
        </w:rPr>
        <w:t xml:space="preserve"> </w:t>
      </w:r>
      <w:r w:rsidRPr="00127F65">
        <w:rPr>
          <w:rFonts w:ascii="Verdana" w:hAnsi="Verdana"/>
          <w:sz w:val="14"/>
          <w:szCs w:val="14"/>
        </w:rPr>
        <w:t>naturales</w:t>
      </w:r>
      <w:r w:rsidRPr="00127F65">
        <w:rPr>
          <w:rFonts w:ascii="Verdana" w:hAnsi="Verdana"/>
          <w:spacing w:val="-9"/>
          <w:sz w:val="14"/>
          <w:szCs w:val="14"/>
        </w:rPr>
        <w:t xml:space="preserve"> </w:t>
      </w:r>
      <w:r w:rsidRPr="00127F65">
        <w:rPr>
          <w:rFonts w:ascii="Verdana" w:hAnsi="Verdana"/>
          <w:sz w:val="14"/>
          <w:szCs w:val="14"/>
        </w:rPr>
        <w:t>o</w:t>
      </w:r>
      <w:r w:rsidRPr="00127F65">
        <w:rPr>
          <w:rFonts w:ascii="Verdana" w:hAnsi="Verdana"/>
          <w:spacing w:val="-12"/>
          <w:sz w:val="14"/>
          <w:szCs w:val="14"/>
        </w:rPr>
        <w:t xml:space="preserve"> </w:t>
      </w:r>
      <w:r w:rsidRPr="00127F65">
        <w:rPr>
          <w:rFonts w:ascii="Verdana" w:hAnsi="Verdana"/>
          <w:sz w:val="14"/>
          <w:szCs w:val="14"/>
        </w:rPr>
        <w:t>jurídicas</w:t>
      </w:r>
      <w:r w:rsidRPr="00127F65">
        <w:rPr>
          <w:rFonts w:ascii="Verdana" w:hAnsi="Verdana"/>
          <w:spacing w:val="-9"/>
          <w:sz w:val="14"/>
          <w:szCs w:val="14"/>
        </w:rPr>
        <w:t xml:space="preserve"> </w:t>
      </w:r>
      <w:r w:rsidRPr="00127F65">
        <w:rPr>
          <w:rFonts w:ascii="Verdana" w:hAnsi="Verdana"/>
          <w:sz w:val="14"/>
          <w:szCs w:val="14"/>
        </w:rPr>
        <w:t>que</w:t>
      </w:r>
      <w:r w:rsidRPr="00127F65">
        <w:rPr>
          <w:rFonts w:ascii="Verdana" w:hAnsi="Verdana"/>
          <w:spacing w:val="-10"/>
          <w:sz w:val="14"/>
          <w:szCs w:val="14"/>
        </w:rPr>
        <w:t xml:space="preserve"> </w:t>
      </w:r>
      <w:r w:rsidRPr="00127F65">
        <w:rPr>
          <w:rFonts w:ascii="Verdana" w:hAnsi="Verdana"/>
          <w:sz w:val="14"/>
          <w:szCs w:val="14"/>
        </w:rPr>
        <w:t>reciban</w:t>
      </w:r>
      <w:r w:rsidRPr="00127F65">
        <w:rPr>
          <w:rFonts w:ascii="Verdana" w:hAnsi="Verdana"/>
          <w:spacing w:val="-11"/>
          <w:sz w:val="14"/>
          <w:szCs w:val="14"/>
        </w:rPr>
        <w:t xml:space="preserve"> </w:t>
      </w:r>
      <w:r w:rsidRPr="00127F65">
        <w:rPr>
          <w:rFonts w:ascii="Verdana" w:hAnsi="Verdana"/>
          <w:sz w:val="14"/>
          <w:szCs w:val="14"/>
        </w:rPr>
        <w:t>o</w:t>
      </w:r>
      <w:r w:rsidRPr="00127F65">
        <w:rPr>
          <w:rFonts w:ascii="Verdana" w:hAnsi="Verdana"/>
          <w:spacing w:val="-12"/>
          <w:sz w:val="14"/>
          <w:szCs w:val="14"/>
        </w:rPr>
        <w:t xml:space="preserve"> </w:t>
      </w:r>
      <w:r w:rsidRPr="00127F65">
        <w:rPr>
          <w:rFonts w:ascii="Verdana" w:hAnsi="Verdana"/>
          <w:sz w:val="14"/>
          <w:szCs w:val="14"/>
        </w:rPr>
        <w:t>intermedien</w:t>
      </w:r>
      <w:r w:rsidRPr="00127F65">
        <w:rPr>
          <w:rFonts w:ascii="Verdana" w:hAnsi="Verdana"/>
          <w:spacing w:val="-12"/>
          <w:sz w:val="14"/>
          <w:szCs w:val="14"/>
        </w:rPr>
        <w:t xml:space="preserve"> </w:t>
      </w:r>
      <w:r w:rsidRPr="00127F65">
        <w:rPr>
          <w:rFonts w:ascii="Verdana" w:hAnsi="Verdana"/>
          <w:sz w:val="14"/>
          <w:szCs w:val="14"/>
        </w:rPr>
        <w:t>fondos</w:t>
      </w:r>
      <w:r w:rsidRPr="00127F65">
        <w:rPr>
          <w:rFonts w:ascii="Verdana" w:hAnsi="Verdana"/>
          <w:spacing w:val="-9"/>
          <w:sz w:val="14"/>
          <w:szCs w:val="14"/>
        </w:rPr>
        <w:t xml:space="preserve"> </w:t>
      </w:r>
      <w:r w:rsidRPr="00127F65">
        <w:rPr>
          <w:rFonts w:ascii="Verdana" w:hAnsi="Verdana"/>
          <w:sz w:val="14"/>
          <w:szCs w:val="14"/>
        </w:rPr>
        <w:t>o</w:t>
      </w:r>
      <w:r w:rsidRPr="00127F65">
        <w:rPr>
          <w:rFonts w:ascii="Verdana" w:hAnsi="Verdana"/>
          <w:spacing w:val="-12"/>
          <w:sz w:val="14"/>
          <w:szCs w:val="14"/>
        </w:rPr>
        <w:t xml:space="preserve"> </w:t>
      </w:r>
      <w:r w:rsidRPr="00127F65">
        <w:rPr>
          <w:rFonts w:ascii="Verdana" w:hAnsi="Verdana"/>
          <w:sz w:val="14"/>
          <w:szCs w:val="14"/>
        </w:rPr>
        <w:t>beneficios</w:t>
      </w:r>
      <w:r w:rsidRPr="00127F65">
        <w:rPr>
          <w:rFonts w:ascii="Verdana" w:hAnsi="Verdana"/>
          <w:spacing w:val="-9"/>
          <w:sz w:val="14"/>
          <w:szCs w:val="14"/>
        </w:rPr>
        <w:t xml:space="preserve"> </w:t>
      </w:r>
      <w:r w:rsidRPr="00127F65">
        <w:rPr>
          <w:rFonts w:ascii="Verdana" w:hAnsi="Verdana"/>
          <w:sz w:val="14"/>
          <w:szCs w:val="14"/>
        </w:rPr>
        <w:t>públicos</w:t>
      </w:r>
      <w:r w:rsidRPr="00127F65">
        <w:rPr>
          <w:rFonts w:ascii="Verdana" w:hAnsi="Verdana"/>
          <w:spacing w:val="-9"/>
          <w:sz w:val="14"/>
          <w:szCs w:val="14"/>
        </w:rPr>
        <w:t xml:space="preserve"> </w:t>
      </w:r>
      <w:r w:rsidRPr="00127F65">
        <w:rPr>
          <w:rFonts w:ascii="Verdana" w:hAnsi="Verdana"/>
          <w:sz w:val="14"/>
          <w:szCs w:val="14"/>
        </w:rPr>
        <w:t>territoriales y nacionales y no cumplan ninguno de los otros requisitos para ser considerados sujetos obligados, solo deberán cumplir con la presente ley respecto</w:t>
      </w:r>
      <w:r w:rsidRPr="00127F65">
        <w:rPr>
          <w:rFonts w:ascii="Verdana" w:hAnsi="Verdana"/>
          <w:spacing w:val="-1"/>
          <w:sz w:val="14"/>
          <w:szCs w:val="14"/>
        </w:rPr>
        <w:t xml:space="preserve"> </w:t>
      </w:r>
      <w:r w:rsidRPr="00127F65">
        <w:rPr>
          <w:rFonts w:ascii="Verdana" w:hAnsi="Verdana"/>
          <w:sz w:val="14"/>
          <w:szCs w:val="14"/>
        </w:rPr>
        <w:t>de aquella información que se produzca en</w:t>
      </w:r>
      <w:r w:rsidRPr="00127F65">
        <w:rPr>
          <w:rFonts w:ascii="Verdana" w:hAnsi="Verdana"/>
          <w:spacing w:val="-1"/>
          <w:sz w:val="14"/>
          <w:szCs w:val="14"/>
        </w:rPr>
        <w:t xml:space="preserve"> </w:t>
      </w:r>
      <w:r w:rsidRPr="00127F65">
        <w:rPr>
          <w:rFonts w:ascii="Verdana" w:hAnsi="Verdana"/>
          <w:sz w:val="14"/>
          <w:szCs w:val="14"/>
        </w:rPr>
        <w:t>relación con fondos públicos que reciban o intermedien.</w:t>
      </w:r>
    </w:p>
    <w:p w14:paraId="21C1326D" w14:textId="77777777" w:rsidR="00E85C97" w:rsidRPr="007C42DF" w:rsidRDefault="00E85C97" w:rsidP="00081971">
      <w:pPr>
        <w:jc w:val="both"/>
      </w:pPr>
      <w:r w:rsidRPr="00127F65">
        <w:rPr>
          <w:rFonts w:ascii="Verdana" w:hAnsi="Verdana"/>
          <w:sz w:val="14"/>
          <w:szCs w:val="14"/>
        </w:rPr>
        <w:t>PARÁGRAFO</w:t>
      </w:r>
      <w:r w:rsidRPr="00127F65">
        <w:rPr>
          <w:rFonts w:ascii="Verdana" w:hAnsi="Verdana"/>
          <w:spacing w:val="30"/>
          <w:sz w:val="14"/>
          <w:szCs w:val="14"/>
        </w:rPr>
        <w:t xml:space="preserve"> </w:t>
      </w:r>
      <w:r w:rsidRPr="00127F65">
        <w:rPr>
          <w:rFonts w:ascii="Verdana" w:hAnsi="Verdana"/>
          <w:sz w:val="14"/>
          <w:szCs w:val="14"/>
        </w:rPr>
        <w:t>1o.</w:t>
      </w:r>
      <w:r w:rsidRPr="00127F65">
        <w:rPr>
          <w:rFonts w:ascii="Verdana" w:hAnsi="Verdana"/>
          <w:spacing w:val="31"/>
          <w:sz w:val="14"/>
          <w:szCs w:val="14"/>
        </w:rPr>
        <w:t xml:space="preserve"> </w:t>
      </w:r>
      <w:r w:rsidRPr="00127F65">
        <w:rPr>
          <w:rFonts w:ascii="Verdana" w:hAnsi="Verdana"/>
          <w:sz w:val="14"/>
          <w:szCs w:val="14"/>
        </w:rPr>
        <w:t>No</w:t>
      </w:r>
      <w:r w:rsidRPr="00127F65">
        <w:rPr>
          <w:rFonts w:ascii="Verdana" w:hAnsi="Verdana"/>
          <w:spacing w:val="29"/>
          <w:sz w:val="14"/>
          <w:szCs w:val="14"/>
        </w:rPr>
        <w:t xml:space="preserve"> </w:t>
      </w:r>
      <w:r w:rsidRPr="00127F65">
        <w:rPr>
          <w:rFonts w:ascii="Verdana" w:hAnsi="Verdana"/>
          <w:sz w:val="14"/>
          <w:szCs w:val="14"/>
        </w:rPr>
        <w:t>serán</w:t>
      </w:r>
      <w:r w:rsidRPr="00127F65">
        <w:rPr>
          <w:rFonts w:ascii="Verdana" w:hAnsi="Verdana"/>
          <w:spacing w:val="30"/>
          <w:sz w:val="14"/>
          <w:szCs w:val="14"/>
        </w:rPr>
        <w:t xml:space="preserve"> </w:t>
      </w:r>
      <w:r w:rsidRPr="00127F65">
        <w:rPr>
          <w:rFonts w:ascii="Verdana" w:hAnsi="Verdana"/>
          <w:sz w:val="14"/>
          <w:szCs w:val="14"/>
        </w:rPr>
        <w:t>sujetos</w:t>
      </w:r>
      <w:r w:rsidRPr="00127F65">
        <w:rPr>
          <w:rFonts w:ascii="Verdana" w:hAnsi="Verdana"/>
          <w:spacing w:val="31"/>
          <w:sz w:val="14"/>
          <w:szCs w:val="14"/>
        </w:rPr>
        <w:t xml:space="preserve"> </w:t>
      </w:r>
      <w:r w:rsidRPr="00127F65">
        <w:rPr>
          <w:rFonts w:ascii="Verdana" w:hAnsi="Verdana"/>
          <w:sz w:val="14"/>
          <w:szCs w:val="14"/>
        </w:rPr>
        <w:t>obligados</w:t>
      </w:r>
      <w:r w:rsidRPr="00127F65">
        <w:rPr>
          <w:rFonts w:ascii="Verdana" w:hAnsi="Verdana"/>
          <w:spacing w:val="32"/>
          <w:sz w:val="14"/>
          <w:szCs w:val="14"/>
        </w:rPr>
        <w:t xml:space="preserve"> </w:t>
      </w:r>
      <w:r w:rsidRPr="00127F65">
        <w:rPr>
          <w:rFonts w:ascii="Verdana" w:hAnsi="Verdana"/>
          <w:sz w:val="14"/>
          <w:szCs w:val="14"/>
        </w:rPr>
        <w:t>aquellas</w:t>
      </w:r>
      <w:r w:rsidRPr="00127F65">
        <w:rPr>
          <w:rFonts w:ascii="Verdana" w:hAnsi="Verdana"/>
          <w:spacing w:val="32"/>
          <w:sz w:val="14"/>
          <w:szCs w:val="14"/>
        </w:rPr>
        <w:t xml:space="preserve"> </w:t>
      </w:r>
      <w:r w:rsidRPr="00127F65">
        <w:rPr>
          <w:rFonts w:ascii="Verdana" w:hAnsi="Verdana"/>
          <w:sz w:val="14"/>
          <w:szCs w:val="14"/>
        </w:rPr>
        <w:t>personas</w:t>
      </w:r>
      <w:r w:rsidRPr="00127F65">
        <w:rPr>
          <w:rFonts w:ascii="Verdana" w:hAnsi="Verdana"/>
          <w:spacing w:val="32"/>
          <w:sz w:val="14"/>
          <w:szCs w:val="14"/>
        </w:rPr>
        <w:t xml:space="preserve"> </w:t>
      </w:r>
      <w:r w:rsidRPr="00127F65">
        <w:rPr>
          <w:rFonts w:ascii="Verdana" w:hAnsi="Verdana"/>
          <w:sz w:val="14"/>
          <w:szCs w:val="14"/>
        </w:rPr>
        <w:t>naturales</w:t>
      </w:r>
      <w:r w:rsidRPr="00127F65">
        <w:rPr>
          <w:rFonts w:ascii="Verdana" w:hAnsi="Verdana"/>
          <w:spacing w:val="32"/>
          <w:sz w:val="14"/>
          <w:szCs w:val="14"/>
        </w:rPr>
        <w:t xml:space="preserve"> </w:t>
      </w:r>
      <w:r w:rsidRPr="00127F65">
        <w:rPr>
          <w:rFonts w:ascii="Verdana" w:hAnsi="Verdana"/>
          <w:sz w:val="14"/>
          <w:szCs w:val="14"/>
        </w:rPr>
        <w:t>o</w:t>
      </w:r>
      <w:r w:rsidRPr="00127F65">
        <w:rPr>
          <w:rFonts w:ascii="Verdana" w:hAnsi="Verdana"/>
          <w:spacing w:val="29"/>
          <w:sz w:val="14"/>
          <w:szCs w:val="14"/>
        </w:rPr>
        <w:t xml:space="preserve"> </w:t>
      </w:r>
      <w:r w:rsidRPr="00127F65">
        <w:rPr>
          <w:rFonts w:ascii="Verdana" w:hAnsi="Verdana"/>
          <w:sz w:val="14"/>
          <w:szCs w:val="14"/>
        </w:rPr>
        <w:t>jurídicas</w:t>
      </w:r>
      <w:r w:rsidRPr="00127F65">
        <w:rPr>
          <w:rFonts w:ascii="Verdana" w:hAnsi="Verdana"/>
          <w:spacing w:val="32"/>
          <w:sz w:val="14"/>
          <w:szCs w:val="14"/>
        </w:rPr>
        <w:t xml:space="preserve"> </w:t>
      </w:r>
      <w:r w:rsidRPr="00127F65">
        <w:rPr>
          <w:rFonts w:ascii="Verdana" w:hAnsi="Verdana"/>
          <w:sz w:val="14"/>
          <w:szCs w:val="14"/>
        </w:rPr>
        <w:t>de</w:t>
      </w:r>
      <w:r w:rsidRPr="00127F65">
        <w:rPr>
          <w:rFonts w:ascii="Verdana" w:hAnsi="Verdana"/>
          <w:spacing w:val="30"/>
          <w:sz w:val="14"/>
          <w:szCs w:val="14"/>
        </w:rPr>
        <w:t xml:space="preserve"> </w:t>
      </w:r>
      <w:r w:rsidRPr="00127F65">
        <w:rPr>
          <w:rFonts w:ascii="Verdana" w:hAnsi="Verdana"/>
          <w:spacing w:val="-2"/>
          <w:sz w:val="14"/>
          <w:szCs w:val="14"/>
        </w:rPr>
        <w:t xml:space="preserve">carácter </w:t>
      </w:r>
      <w:r w:rsidRPr="00127F65">
        <w:rPr>
          <w:rFonts w:ascii="Verdana" w:hAnsi="Verdana"/>
          <w:sz w:val="14"/>
          <w:szCs w:val="14"/>
        </w:rPr>
        <w:t>privado</w:t>
      </w:r>
      <w:r w:rsidRPr="00127F65">
        <w:rPr>
          <w:rFonts w:ascii="Verdana" w:hAnsi="Verdana"/>
          <w:spacing w:val="-10"/>
          <w:sz w:val="14"/>
          <w:szCs w:val="14"/>
        </w:rPr>
        <w:t xml:space="preserve"> </w:t>
      </w:r>
      <w:r w:rsidRPr="00127F65">
        <w:rPr>
          <w:rFonts w:ascii="Verdana" w:hAnsi="Verdana"/>
          <w:sz w:val="14"/>
          <w:szCs w:val="14"/>
        </w:rPr>
        <w:t>que</w:t>
      </w:r>
      <w:r w:rsidRPr="00127F65">
        <w:rPr>
          <w:rFonts w:ascii="Verdana" w:hAnsi="Verdana"/>
          <w:spacing w:val="-7"/>
          <w:sz w:val="14"/>
          <w:szCs w:val="14"/>
        </w:rPr>
        <w:t xml:space="preserve"> </w:t>
      </w:r>
      <w:r w:rsidRPr="00127F65">
        <w:rPr>
          <w:rFonts w:ascii="Verdana" w:hAnsi="Verdana"/>
          <w:sz w:val="14"/>
          <w:szCs w:val="14"/>
        </w:rPr>
        <w:t>sean</w:t>
      </w:r>
      <w:r w:rsidRPr="00127F65">
        <w:rPr>
          <w:rFonts w:ascii="Verdana" w:hAnsi="Verdana"/>
          <w:spacing w:val="-9"/>
          <w:sz w:val="14"/>
          <w:szCs w:val="14"/>
        </w:rPr>
        <w:t xml:space="preserve"> </w:t>
      </w:r>
      <w:r w:rsidRPr="00127F65">
        <w:rPr>
          <w:rFonts w:ascii="Verdana" w:hAnsi="Verdana"/>
          <w:sz w:val="14"/>
          <w:szCs w:val="14"/>
        </w:rPr>
        <w:t>usuarios</w:t>
      </w:r>
      <w:r w:rsidRPr="00127F65">
        <w:rPr>
          <w:rFonts w:ascii="Verdana" w:hAnsi="Verdana"/>
          <w:spacing w:val="-6"/>
          <w:sz w:val="14"/>
          <w:szCs w:val="14"/>
        </w:rPr>
        <w:t xml:space="preserve"> </w:t>
      </w:r>
      <w:r w:rsidRPr="00127F65">
        <w:rPr>
          <w:rFonts w:ascii="Verdana" w:hAnsi="Verdana"/>
          <w:sz w:val="14"/>
          <w:szCs w:val="14"/>
        </w:rPr>
        <w:t>de</w:t>
      </w:r>
      <w:r w:rsidRPr="00127F65">
        <w:rPr>
          <w:rFonts w:ascii="Verdana" w:hAnsi="Verdana"/>
          <w:spacing w:val="-3"/>
          <w:sz w:val="14"/>
          <w:szCs w:val="14"/>
        </w:rPr>
        <w:t xml:space="preserve"> </w:t>
      </w:r>
      <w:r w:rsidRPr="00127F65">
        <w:rPr>
          <w:rFonts w:ascii="Verdana" w:hAnsi="Verdana"/>
          <w:sz w:val="14"/>
          <w:szCs w:val="14"/>
        </w:rPr>
        <w:t>información</w:t>
      </w:r>
      <w:r w:rsidRPr="00127F65">
        <w:rPr>
          <w:rFonts w:ascii="Verdana" w:hAnsi="Verdana"/>
          <w:spacing w:val="-4"/>
          <w:sz w:val="14"/>
          <w:szCs w:val="14"/>
        </w:rPr>
        <w:t xml:space="preserve"> </w:t>
      </w:r>
      <w:r w:rsidRPr="00127F65">
        <w:rPr>
          <w:rFonts w:ascii="Verdana" w:hAnsi="Verdana"/>
          <w:spacing w:val="-2"/>
          <w:sz w:val="14"/>
          <w:szCs w:val="14"/>
        </w:rPr>
        <w:t>pública”.</w:t>
      </w:r>
    </w:p>
  </w:footnote>
  <w:footnote w:id="4">
    <w:p w14:paraId="0BB842A9" w14:textId="77777777" w:rsidR="00E85C97" w:rsidRPr="007C42DF" w:rsidRDefault="00E85C97" w:rsidP="00E85C97">
      <w:pPr>
        <w:pStyle w:val="Textonotapie"/>
        <w:rPr>
          <w:lang w:val="es-ES"/>
        </w:rPr>
      </w:pPr>
    </w:p>
  </w:footnote>
  <w:footnote w:id="5">
    <w:p w14:paraId="36E216AD" w14:textId="77777777" w:rsidR="00E85C97" w:rsidRPr="005400AC" w:rsidRDefault="00E85C97" w:rsidP="00E85C97">
      <w:pPr>
        <w:spacing w:before="99" w:line="240" w:lineRule="auto"/>
        <w:ind w:left="260" w:right="274" w:firstLine="710"/>
        <w:jc w:val="both"/>
        <w:rPr>
          <w:rFonts w:ascii="Verdana" w:hAnsi="Verdana"/>
          <w:sz w:val="18"/>
          <w:szCs w:val="18"/>
        </w:rPr>
      </w:pPr>
      <w:r w:rsidRPr="005400AC">
        <w:rPr>
          <w:rStyle w:val="Refdenotaalpie"/>
          <w:rFonts w:ascii="Verdana" w:hAnsi="Verdana"/>
          <w:sz w:val="18"/>
          <w:szCs w:val="18"/>
        </w:rPr>
        <w:footnoteRef/>
      </w:r>
      <w:r w:rsidRPr="005400AC">
        <w:rPr>
          <w:rFonts w:ascii="Verdana" w:hAnsi="Verdana"/>
          <w:sz w:val="18"/>
          <w:szCs w:val="18"/>
        </w:rPr>
        <w:t xml:space="preserve"> Ley 1437 de 2011: “Artículo 24. Informaciones y documentos reservados. Solo tendrán carácter reservado</w:t>
      </w:r>
      <w:r w:rsidRPr="005400AC">
        <w:rPr>
          <w:rFonts w:ascii="Verdana" w:hAnsi="Verdana"/>
          <w:spacing w:val="-7"/>
          <w:sz w:val="18"/>
          <w:szCs w:val="18"/>
        </w:rPr>
        <w:t xml:space="preserve"> </w:t>
      </w:r>
      <w:r w:rsidRPr="005400AC">
        <w:rPr>
          <w:rFonts w:ascii="Verdana" w:hAnsi="Verdana"/>
          <w:sz w:val="18"/>
          <w:szCs w:val="18"/>
        </w:rPr>
        <w:t>las</w:t>
      </w:r>
      <w:r w:rsidRPr="005400AC">
        <w:rPr>
          <w:rFonts w:ascii="Verdana" w:hAnsi="Verdana"/>
          <w:spacing w:val="-4"/>
          <w:sz w:val="18"/>
          <w:szCs w:val="18"/>
        </w:rPr>
        <w:t xml:space="preserve"> </w:t>
      </w:r>
      <w:r w:rsidRPr="005400AC">
        <w:rPr>
          <w:rFonts w:ascii="Verdana" w:hAnsi="Verdana"/>
          <w:sz w:val="18"/>
          <w:szCs w:val="18"/>
        </w:rPr>
        <w:t>informaciones</w:t>
      </w:r>
      <w:r w:rsidRPr="005400AC">
        <w:rPr>
          <w:rFonts w:ascii="Verdana" w:hAnsi="Verdana"/>
          <w:spacing w:val="-4"/>
          <w:sz w:val="18"/>
          <w:szCs w:val="18"/>
        </w:rPr>
        <w:t xml:space="preserve"> </w:t>
      </w:r>
      <w:r w:rsidRPr="005400AC">
        <w:rPr>
          <w:rFonts w:ascii="Verdana" w:hAnsi="Verdana"/>
          <w:sz w:val="18"/>
          <w:szCs w:val="18"/>
        </w:rPr>
        <w:t>y</w:t>
      </w:r>
      <w:r w:rsidRPr="005400AC">
        <w:rPr>
          <w:rFonts w:ascii="Verdana" w:hAnsi="Verdana"/>
          <w:spacing w:val="-5"/>
          <w:sz w:val="18"/>
          <w:szCs w:val="18"/>
        </w:rPr>
        <w:t xml:space="preserve"> </w:t>
      </w:r>
      <w:r w:rsidRPr="005400AC">
        <w:rPr>
          <w:rFonts w:ascii="Verdana" w:hAnsi="Verdana"/>
          <w:sz w:val="18"/>
          <w:szCs w:val="18"/>
        </w:rPr>
        <w:t>documentos</w:t>
      </w:r>
      <w:r w:rsidRPr="005400AC">
        <w:rPr>
          <w:rFonts w:ascii="Verdana" w:hAnsi="Verdana"/>
          <w:spacing w:val="-4"/>
          <w:sz w:val="18"/>
          <w:szCs w:val="18"/>
        </w:rPr>
        <w:t xml:space="preserve"> </w:t>
      </w:r>
      <w:r w:rsidRPr="005400AC">
        <w:rPr>
          <w:rFonts w:ascii="Verdana" w:hAnsi="Verdana"/>
          <w:sz w:val="18"/>
          <w:szCs w:val="18"/>
        </w:rPr>
        <w:t>expresamente</w:t>
      </w:r>
      <w:r w:rsidRPr="005400AC">
        <w:rPr>
          <w:rFonts w:ascii="Verdana" w:hAnsi="Verdana"/>
          <w:spacing w:val="-5"/>
          <w:sz w:val="18"/>
          <w:szCs w:val="18"/>
        </w:rPr>
        <w:t xml:space="preserve"> </w:t>
      </w:r>
      <w:r w:rsidRPr="005400AC">
        <w:rPr>
          <w:rFonts w:ascii="Verdana" w:hAnsi="Verdana"/>
          <w:sz w:val="18"/>
          <w:szCs w:val="18"/>
        </w:rPr>
        <w:t>sometidos</w:t>
      </w:r>
      <w:r w:rsidRPr="005400AC">
        <w:rPr>
          <w:rFonts w:ascii="Verdana" w:hAnsi="Verdana"/>
          <w:spacing w:val="-4"/>
          <w:sz w:val="18"/>
          <w:szCs w:val="18"/>
        </w:rPr>
        <w:t xml:space="preserve"> </w:t>
      </w:r>
      <w:r w:rsidRPr="005400AC">
        <w:rPr>
          <w:rFonts w:ascii="Verdana" w:hAnsi="Verdana"/>
          <w:sz w:val="18"/>
          <w:szCs w:val="18"/>
        </w:rPr>
        <w:t>a</w:t>
      </w:r>
      <w:r w:rsidRPr="005400AC">
        <w:rPr>
          <w:rFonts w:ascii="Verdana" w:hAnsi="Verdana"/>
          <w:spacing w:val="-6"/>
          <w:sz w:val="18"/>
          <w:szCs w:val="18"/>
        </w:rPr>
        <w:t xml:space="preserve"> </w:t>
      </w:r>
      <w:r w:rsidRPr="005400AC">
        <w:rPr>
          <w:rFonts w:ascii="Verdana" w:hAnsi="Verdana"/>
          <w:sz w:val="18"/>
          <w:szCs w:val="18"/>
        </w:rPr>
        <w:t>reserva</w:t>
      </w:r>
      <w:r w:rsidRPr="005400AC">
        <w:rPr>
          <w:rFonts w:ascii="Verdana" w:hAnsi="Verdana"/>
          <w:spacing w:val="-6"/>
          <w:sz w:val="18"/>
          <w:szCs w:val="18"/>
        </w:rPr>
        <w:t xml:space="preserve"> </w:t>
      </w:r>
      <w:r w:rsidRPr="005400AC">
        <w:rPr>
          <w:rFonts w:ascii="Verdana" w:hAnsi="Verdana"/>
          <w:sz w:val="18"/>
          <w:szCs w:val="18"/>
        </w:rPr>
        <w:t>por</w:t>
      </w:r>
      <w:r w:rsidRPr="005400AC">
        <w:rPr>
          <w:rFonts w:ascii="Verdana" w:hAnsi="Verdana"/>
          <w:spacing w:val="-9"/>
          <w:sz w:val="18"/>
          <w:szCs w:val="18"/>
        </w:rPr>
        <w:t xml:space="preserve"> </w:t>
      </w:r>
      <w:r w:rsidRPr="005400AC">
        <w:rPr>
          <w:rFonts w:ascii="Verdana" w:hAnsi="Verdana"/>
          <w:sz w:val="18"/>
          <w:szCs w:val="18"/>
        </w:rPr>
        <w:t>la</w:t>
      </w:r>
      <w:r w:rsidRPr="005400AC">
        <w:rPr>
          <w:rFonts w:ascii="Verdana" w:hAnsi="Verdana"/>
          <w:spacing w:val="-6"/>
          <w:sz w:val="18"/>
          <w:szCs w:val="18"/>
        </w:rPr>
        <w:t xml:space="preserve"> </w:t>
      </w:r>
      <w:r w:rsidRPr="005400AC">
        <w:rPr>
          <w:rFonts w:ascii="Verdana" w:hAnsi="Verdana"/>
          <w:sz w:val="18"/>
          <w:szCs w:val="18"/>
        </w:rPr>
        <w:t>Constitución</w:t>
      </w:r>
      <w:r w:rsidRPr="005400AC">
        <w:rPr>
          <w:rFonts w:ascii="Verdana" w:hAnsi="Verdana"/>
          <w:spacing w:val="-6"/>
          <w:sz w:val="18"/>
          <w:szCs w:val="18"/>
        </w:rPr>
        <w:t xml:space="preserve"> </w:t>
      </w:r>
      <w:r w:rsidRPr="005400AC">
        <w:rPr>
          <w:rFonts w:ascii="Verdana" w:hAnsi="Verdana"/>
          <w:sz w:val="18"/>
          <w:szCs w:val="18"/>
        </w:rPr>
        <w:t>Política</w:t>
      </w:r>
      <w:r w:rsidRPr="005400AC">
        <w:rPr>
          <w:rFonts w:ascii="Verdana" w:hAnsi="Verdana"/>
          <w:spacing w:val="-6"/>
          <w:sz w:val="18"/>
          <w:szCs w:val="18"/>
        </w:rPr>
        <w:t xml:space="preserve"> </w:t>
      </w:r>
      <w:r w:rsidRPr="005400AC">
        <w:rPr>
          <w:rFonts w:ascii="Verdana" w:hAnsi="Verdana"/>
          <w:sz w:val="18"/>
          <w:szCs w:val="18"/>
        </w:rPr>
        <w:t>o</w:t>
      </w:r>
      <w:r w:rsidRPr="005400AC">
        <w:rPr>
          <w:rFonts w:ascii="Verdana" w:hAnsi="Verdana"/>
          <w:spacing w:val="-7"/>
          <w:sz w:val="18"/>
          <w:szCs w:val="18"/>
        </w:rPr>
        <w:t xml:space="preserve"> </w:t>
      </w:r>
      <w:r w:rsidRPr="005400AC">
        <w:rPr>
          <w:rFonts w:ascii="Verdana" w:hAnsi="Verdana"/>
          <w:sz w:val="18"/>
          <w:szCs w:val="18"/>
        </w:rPr>
        <w:t>la ley, y en especial:</w:t>
      </w:r>
    </w:p>
    <w:p w14:paraId="1A8CB70D" w14:textId="77777777" w:rsidR="00E85C97" w:rsidRPr="005400AC" w:rsidRDefault="00E85C97" w:rsidP="00E85C97">
      <w:pPr>
        <w:spacing w:before="1" w:after="0" w:line="240" w:lineRule="auto"/>
        <w:ind w:left="284"/>
        <w:jc w:val="both"/>
        <w:rPr>
          <w:rFonts w:ascii="Verdana" w:hAnsi="Verdana"/>
          <w:sz w:val="14"/>
          <w:szCs w:val="14"/>
        </w:rPr>
      </w:pPr>
      <w:r w:rsidRPr="005400AC">
        <w:rPr>
          <w:rFonts w:ascii="Verdana" w:hAnsi="Verdana"/>
          <w:sz w:val="14"/>
          <w:szCs w:val="14"/>
        </w:rPr>
        <w:t>“1.</w:t>
      </w:r>
      <w:r w:rsidRPr="005400AC">
        <w:rPr>
          <w:rFonts w:ascii="Verdana" w:hAnsi="Verdana"/>
          <w:spacing w:val="-5"/>
          <w:sz w:val="14"/>
          <w:szCs w:val="14"/>
        </w:rPr>
        <w:t xml:space="preserve"> </w:t>
      </w:r>
      <w:r w:rsidRPr="005400AC">
        <w:rPr>
          <w:rFonts w:ascii="Verdana" w:hAnsi="Verdana"/>
          <w:sz w:val="14"/>
          <w:szCs w:val="14"/>
        </w:rPr>
        <w:t>Los</w:t>
      </w:r>
      <w:r w:rsidRPr="005400AC">
        <w:rPr>
          <w:rFonts w:ascii="Verdana" w:hAnsi="Verdana"/>
          <w:spacing w:val="-5"/>
          <w:sz w:val="14"/>
          <w:szCs w:val="14"/>
        </w:rPr>
        <w:t xml:space="preserve"> </w:t>
      </w:r>
      <w:r w:rsidRPr="005400AC">
        <w:rPr>
          <w:rFonts w:ascii="Verdana" w:hAnsi="Verdana"/>
          <w:sz w:val="14"/>
          <w:szCs w:val="14"/>
        </w:rPr>
        <w:t>relacionados</w:t>
      </w:r>
      <w:r w:rsidRPr="005400AC">
        <w:rPr>
          <w:rFonts w:ascii="Verdana" w:hAnsi="Verdana"/>
          <w:spacing w:val="-4"/>
          <w:sz w:val="14"/>
          <w:szCs w:val="14"/>
        </w:rPr>
        <w:t xml:space="preserve"> </w:t>
      </w:r>
      <w:r w:rsidRPr="005400AC">
        <w:rPr>
          <w:rFonts w:ascii="Verdana" w:hAnsi="Verdana"/>
          <w:sz w:val="14"/>
          <w:szCs w:val="14"/>
        </w:rPr>
        <w:t>con</w:t>
      </w:r>
      <w:r w:rsidRPr="005400AC">
        <w:rPr>
          <w:rFonts w:ascii="Verdana" w:hAnsi="Verdana"/>
          <w:spacing w:val="-7"/>
          <w:sz w:val="14"/>
          <w:szCs w:val="14"/>
        </w:rPr>
        <w:t xml:space="preserve"> </w:t>
      </w:r>
      <w:r w:rsidRPr="005400AC">
        <w:rPr>
          <w:rFonts w:ascii="Verdana" w:hAnsi="Verdana"/>
          <w:sz w:val="14"/>
          <w:szCs w:val="14"/>
        </w:rPr>
        <w:t>la</w:t>
      </w:r>
      <w:r w:rsidRPr="005400AC">
        <w:rPr>
          <w:rFonts w:ascii="Verdana" w:hAnsi="Verdana"/>
          <w:spacing w:val="-7"/>
          <w:sz w:val="14"/>
          <w:szCs w:val="14"/>
        </w:rPr>
        <w:t xml:space="preserve"> </w:t>
      </w:r>
      <w:r w:rsidRPr="005400AC">
        <w:rPr>
          <w:rFonts w:ascii="Verdana" w:hAnsi="Verdana"/>
          <w:sz w:val="14"/>
          <w:szCs w:val="14"/>
        </w:rPr>
        <w:t>defensa</w:t>
      </w:r>
      <w:r w:rsidRPr="005400AC">
        <w:rPr>
          <w:rFonts w:ascii="Verdana" w:hAnsi="Verdana"/>
          <w:spacing w:val="-7"/>
          <w:sz w:val="14"/>
          <w:szCs w:val="14"/>
        </w:rPr>
        <w:t xml:space="preserve"> </w:t>
      </w:r>
      <w:r w:rsidRPr="005400AC">
        <w:rPr>
          <w:rFonts w:ascii="Verdana" w:hAnsi="Verdana"/>
          <w:sz w:val="14"/>
          <w:szCs w:val="14"/>
        </w:rPr>
        <w:t>o</w:t>
      </w:r>
      <w:r w:rsidRPr="005400AC">
        <w:rPr>
          <w:rFonts w:ascii="Verdana" w:hAnsi="Verdana"/>
          <w:spacing w:val="-3"/>
          <w:sz w:val="14"/>
          <w:szCs w:val="14"/>
        </w:rPr>
        <w:t xml:space="preserve"> </w:t>
      </w:r>
      <w:r w:rsidRPr="005400AC">
        <w:rPr>
          <w:rFonts w:ascii="Verdana" w:hAnsi="Verdana"/>
          <w:sz w:val="14"/>
          <w:szCs w:val="14"/>
        </w:rPr>
        <w:t>seguridad</w:t>
      </w:r>
      <w:r w:rsidRPr="005400AC">
        <w:rPr>
          <w:rFonts w:ascii="Verdana" w:hAnsi="Verdana"/>
          <w:spacing w:val="-6"/>
          <w:sz w:val="14"/>
          <w:szCs w:val="14"/>
        </w:rPr>
        <w:t xml:space="preserve"> </w:t>
      </w:r>
      <w:r w:rsidRPr="005400AC">
        <w:rPr>
          <w:rFonts w:ascii="Verdana" w:hAnsi="Verdana"/>
          <w:spacing w:val="-2"/>
          <w:sz w:val="14"/>
          <w:szCs w:val="14"/>
        </w:rPr>
        <w:t>nacionales.</w:t>
      </w:r>
    </w:p>
    <w:p w14:paraId="23573D26" w14:textId="77777777" w:rsidR="00E85C97" w:rsidRPr="005400AC" w:rsidRDefault="00E85C97" w:rsidP="00E85C97">
      <w:pPr>
        <w:spacing w:before="1" w:after="0" w:line="240" w:lineRule="auto"/>
        <w:ind w:left="284"/>
        <w:jc w:val="both"/>
        <w:rPr>
          <w:rFonts w:ascii="Verdana" w:hAnsi="Verdana"/>
          <w:spacing w:val="-2"/>
          <w:sz w:val="14"/>
          <w:szCs w:val="14"/>
        </w:rPr>
      </w:pPr>
      <w:r w:rsidRPr="005400AC">
        <w:rPr>
          <w:rFonts w:ascii="Verdana" w:hAnsi="Verdana"/>
          <w:sz w:val="14"/>
          <w:szCs w:val="14"/>
        </w:rPr>
        <w:t>“2.</w:t>
      </w:r>
      <w:r w:rsidRPr="005400AC">
        <w:rPr>
          <w:rFonts w:ascii="Verdana" w:hAnsi="Verdana"/>
          <w:spacing w:val="-5"/>
          <w:sz w:val="14"/>
          <w:szCs w:val="14"/>
        </w:rPr>
        <w:t xml:space="preserve"> </w:t>
      </w:r>
      <w:r w:rsidRPr="005400AC">
        <w:rPr>
          <w:rFonts w:ascii="Verdana" w:hAnsi="Verdana"/>
          <w:sz w:val="14"/>
          <w:szCs w:val="14"/>
        </w:rPr>
        <w:t>Las</w:t>
      </w:r>
      <w:r w:rsidRPr="005400AC">
        <w:rPr>
          <w:rFonts w:ascii="Verdana" w:hAnsi="Verdana"/>
          <w:spacing w:val="-5"/>
          <w:sz w:val="14"/>
          <w:szCs w:val="14"/>
        </w:rPr>
        <w:t xml:space="preserve"> </w:t>
      </w:r>
      <w:r w:rsidRPr="005400AC">
        <w:rPr>
          <w:rFonts w:ascii="Verdana" w:hAnsi="Verdana"/>
          <w:sz w:val="14"/>
          <w:szCs w:val="14"/>
        </w:rPr>
        <w:t>instrucciones</w:t>
      </w:r>
      <w:r w:rsidRPr="005400AC">
        <w:rPr>
          <w:rFonts w:ascii="Verdana" w:hAnsi="Verdana"/>
          <w:spacing w:val="-5"/>
          <w:sz w:val="14"/>
          <w:szCs w:val="14"/>
        </w:rPr>
        <w:t xml:space="preserve"> </w:t>
      </w:r>
      <w:r w:rsidRPr="005400AC">
        <w:rPr>
          <w:rFonts w:ascii="Verdana" w:hAnsi="Verdana"/>
          <w:sz w:val="14"/>
          <w:szCs w:val="14"/>
        </w:rPr>
        <w:t>en</w:t>
      </w:r>
      <w:r w:rsidRPr="005400AC">
        <w:rPr>
          <w:rFonts w:ascii="Verdana" w:hAnsi="Verdana"/>
          <w:spacing w:val="-8"/>
          <w:sz w:val="14"/>
          <w:szCs w:val="14"/>
        </w:rPr>
        <w:t xml:space="preserve"> </w:t>
      </w:r>
      <w:r w:rsidRPr="005400AC">
        <w:rPr>
          <w:rFonts w:ascii="Verdana" w:hAnsi="Verdana"/>
          <w:sz w:val="14"/>
          <w:szCs w:val="14"/>
        </w:rPr>
        <w:t>materia</w:t>
      </w:r>
      <w:r w:rsidRPr="005400AC">
        <w:rPr>
          <w:rFonts w:ascii="Verdana" w:hAnsi="Verdana"/>
          <w:spacing w:val="-7"/>
          <w:sz w:val="14"/>
          <w:szCs w:val="14"/>
        </w:rPr>
        <w:t xml:space="preserve"> </w:t>
      </w:r>
      <w:r w:rsidRPr="005400AC">
        <w:rPr>
          <w:rFonts w:ascii="Verdana" w:hAnsi="Verdana"/>
          <w:sz w:val="14"/>
          <w:szCs w:val="14"/>
        </w:rPr>
        <w:t>diplomática</w:t>
      </w:r>
      <w:r w:rsidRPr="005400AC">
        <w:rPr>
          <w:rFonts w:ascii="Verdana" w:hAnsi="Verdana"/>
          <w:spacing w:val="-7"/>
          <w:sz w:val="14"/>
          <w:szCs w:val="14"/>
        </w:rPr>
        <w:t xml:space="preserve"> </w:t>
      </w:r>
      <w:r w:rsidRPr="005400AC">
        <w:rPr>
          <w:rFonts w:ascii="Verdana" w:hAnsi="Verdana"/>
          <w:sz w:val="14"/>
          <w:szCs w:val="14"/>
        </w:rPr>
        <w:t>o</w:t>
      </w:r>
      <w:r w:rsidRPr="005400AC">
        <w:rPr>
          <w:rFonts w:ascii="Verdana" w:hAnsi="Verdana"/>
          <w:spacing w:val="-7"/>
          <w:sz w:val="14"/>
          <w:szCs w:val="14"/>
        </w:rPr>
        <w:t xml:space="preserve"> </w:t>
      </w:r>
      <w:r w:rsidRPr="005400AC">
        <w:rPr>
          <w:rFonts w:ascii="Verdana" w:hAnsi="Verdana"/>
          <w:sz w:val="14"/>
          <w:szCs w:val="14"/>
        </w:rPr>
        <w:t>sobre</w:t>
      </w:r>
      <w:r w:rsidRPr="005400AC">
        <w:rPr>
          <w:rFonts w:ascii="Verdana" w:hAnsi="Verdana"/>
          <w:spacing w:val="-6"/>
          <w:sz w:val="14"/>
          <w:szCs w:val="14"/>
        </w:rPr>
        <w:t xml:space="preserve"> </w:t>
      </w:r>
      <w:r w:rsidRPr="005400AC">
        <w:rPr>
          <w:rFonts w:ascii="Verdana" w:hAnsi="Verdana"/>
          <w:sz w:val="14"/>
          <w:szCs w:val="14"/>
        </w:rPr>
        <w:t>negociaciones</w:t>
      </w:r>
      <w:r w:rsidRPr="005400AC">
        <w:rPr>
          <w:rFonts w:ascii="Verdana" w:hAnsi="Verdana"/>
          <w:spacing w:val="-5"/>
          <w:sz w:val="14"/>
          <w:szCs w:val="14"/>
        </w:rPr>
        <w:t xml:space="preserve"> </w:t>
      </w:r>
      <w:r w:rsidRPr="005400AC">
        <w:rPr>
          <w:rFonts w:ascii="Verdana" w:hAnsi="Verdana"/>
          <w:spacing w:val="-2"/>
          <w:sz w:val="14"/>
          <w:szCs w:val="14"/>
        </w:rPr>
        <w:t>reservadas.</w:t>
      </w:r>
    </w:p>
    <w:p w14:paraId="64D1A2F5" w14:textId="77777777" w:rsidR="00E85C97" w:rsidRPr="005400AC" w:rsidRDefault="00E85C97" w:rsidP="00E85C97">
      <w:pPr>
        <w:spacing w:before="1" w:after="0"/>
        <w:ind w:left="284"/>
        <w:jc w:val="both"/>
        <w:rPr>
          <w:rFonts w:ascii="Verdana" w:hAnsi="Verdana"/>
          <w:sz w:val="14"/>
          <w:szCs w:val="14"/>
          <w:lang w:val="es-ES"/>
        </w:rPr>
      </w:pPr>
      <w:r w:rsidRPr="005400AC">
        <w:rPr>
          <w:rFonts w:ascii="Verdana" w:hAnsi="Verdana"/>
          <w:sz w:val="14"/>
          <w:szCs w:val="14"/>
          <w:lang w:val="es-ES"/>
        </w:rPr>
        <w:t>“</w:t>
      </w:r>
      <w:r w:rsidRPr="005B2180">
        <w:rPr>
          <w:rFonts w:ascii="Verdana" w:hAnsi="Verdana"/>
          <w:sz w:val="14"/>
          <w:szCs w:val="14"/>
          <w:lang w:val="es-ES"/>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w:t>
      </w:r>
    </w:p>
    <w:p w14:paraId="59658E22"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w:t>
      </w:r>
    </w:p>
    <w:p w14:paraId="280A953B"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“5. Los datos referentes a la información financiera y comercial, en los términos de la Ley Estatutaria</w:t>
      </w:r>
    </w:p>
    <w:p w14:paraId="390BBAF8"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1266 de 2008.</w:t>
      </w:r>
    </w:p>
    <w:p w14:paraId="1210A153"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“6. Los protegidos por el secreto comercial o industrial, así como los planes estratégicos de las</w:t>
      </w:r>
    </w:p>
    <w:p w14:paraId="2309AFD7"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empresas públicas de servicios públicos.</w:t>
      </w:r>
    </w:p>
    <w:p w14:paraId="45AB97E8"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“7. Los amparados por el secreto profesional. “8. Los datos genéticos humanos.</w:t>
      </w:r>
    </w:p>
    <w:p w14:paraId="62EF8016" w14:textId="77777777" w:rsidR="00E85C97" w:rsidRPr="005B2180" w:rsidRDefault="00E85C97" w:rsidP="00E85C97">
      <w:pPr>
        <w:spacing w:before="1" w:after="0"/>
        <w:ind w:left="284"/>
        <w:jc w:val="both"/>
        <w:rPr>
          <w:rFonts w:ascii="Verdana" w:hAnsi="Verdana"/>
          <w:sz w:val="14"/>
          <w:szCs w:val="14"/>
          <w:lang w:val="es-ES"/>
        </w:rPr>
      </w:pPr>
      <w:r w:rsidRPr="005B2180">
        <w:rPr>
          <w:rFonts w:ascii="Verdana" w:hAnsi="Verdana"/>
          <w:sz w:val="14"/>
          <w:szCs w:val="14"/>
          <w:lang w:val="es-ES"/>
        </w:rPr>
        <w:t>“Parágrafo. Para efecto de la solicitud de información de carácter reservado, enunciada en los numerales 3, 5, 6 y 7 solo podrá ser solicitada por el titular de la información, por sus apoderados o por personas autorizadas con facultad expresa para acceder a esa información”.</w:t>
      </w:r>
    </w:p>
    <w:p w14:paraId="1911BFE9" w14:textId="77777777" w:rsidR="00E85C97" w:rsidRPr="005400AC" w:rsidRDefault="00E85C97" w:rsidP="00E85C97">
      <w:pPr>
        <w:spacing w:before="1" w:after="0"/>
        <w:ind w:left="970"/>
        <w:jc w:val="both"/>
        <w:rPr>
          <w:sz w:val="14"/>
          <w:szCs w:val="14"/>
          <w:lang w:val="es-ES"/>
        </w:rPr>
      </w:pPr>
    </w:p>
    <w:p w14:paraId="58FC010B" w14:textId="77777777" w:rsidR="00E85C97" w:rsidRPr="007C42DF" w:rsidRDefault="00E85C97" w:rsidP="00E85C97">
      <w:pPr>
        <w:pStyle w:val="Textonotapie"/>
        <w:rPr>
          <w:lang w:val="es-CO"/>
        </w:rPr>
      </w:pPr>
    </w:p>
  </w:footnote>
  <w:footnote w:id="6">
    <w:p w14:paraId="56C0F410" w14:textId="77777777" w:rsidR="00E85C97" w:rsidRPr="005400AC" w:rsidRDefault="00E85C97" w:rsidP="00E85C97">
      <w:pPr>
        <w:ind w:left="260" w:right="281" w:firstLine="710"/>
        <w:jc w:val="both"/>
        <w:rPr>
          <w:rFonts w:ascii="Verdana" w:hAnsi="Verdana"/>
          <w:sz w:val="18"/>
          <w:szCs w:val="18"/>
        </w:rPr>
      </w:pPr>
      <w:r w:rsidRPr="005400AC">
        <w:rPr>
          <w:rStyle w:val="Refdenotaalpie"/>
          <w:rFonts w:ascii="Verdana" w:hAnsi="Verdana"/>
          <w:sz w:val="18"/>
          <w:szCs w:val="18"/>
        </w:rPr>
        <w:footnoteRef/>
      </w:r>
      <w:r w:rsidRPr="005400AC">
        <w:rPr>
          <w:rFonts w:ascii="Verdana" w:hAnsi="Verdana"/>
          <w:sz w:val="18"/>
          <w:szCs w:val="18"/>
        </w:rPr>
        <w:t xml:space="preserve"> Ley 1150 de 2007. “Artículo 1. Objeto. La presente ley tiene por objeto introducir modificaciones en</w:t>
      </w:r>
      <w:r w:rsidRPr="005400AC">
        <w:rPr>
          <w:rFonts w:ascii="Verdana" w:hAnsi="Verdana"/>
          <w:spacing w:val="-15"/>
          <w:sz w:val="18"/>
          <w:szCs w:val="18"/>
        </w:rPr>
        <w:t xml:space="preserve"> </w:t>
      </w:r>
      <w:r w:rsidRPr="005400AC">
        <w:rPr>
          <w:rFonts w:ascii="Verdana" w:hAnsi="Verdana"/>
          <w:sz w:val="18"/>
          <w:szCs w:val="18"/>
        </w:rPr>
        <w:t>la</w:t>
      </w:r>
      <w:r w:rsidRPr="005400AC">
        <w:rPr>
          <w:rFonts w:ascii="Verdana" w:hAnsi="Verdana"/>
          <w:spacing w:val="-14"/>
          <w:sz w:val="18"/>
          <w:szCs w:val="18"/>
        </w:rPr>
        <w:t xml:space="preserve"> </w:t>
      </w:r>
      <w:r w:rsidRPr="005400AC">
        <w:rPr>
          <w:rFonts w:ascii="Verdana" w:hAnsi="Verdana"/>
          <w:sz w:val="18"/>
          <w:szCs w:val="18"/>
        </w:rPr>
        <w:t>Ley</w:t>
      </w:r>
      <w:r w:rsidRPr="005400AC">
        <w:rPr>
          <w:rFonts w:ascii="Verdana" w:hAnsi="Verdana"/>
          <w:spacing w:val="-9"/>
          <w:sz w:val="18"/>
          <w:szCs w:val="18"/>
        </w:rPr>
        <w:t xml:space="preserve"> </w:t>
      </w:r>
      <w:r w:rsidRPr="005400AC">
        <w:rPr>
          <w:rFonts w:ascii="Verdana" w:hAnsi="Verdana"/>
          <w:sz w:val="18"/>
          <w:szCs w:val="18"/>
        </w:rPr>
        <w:t>80</w:t>
      </w:r>
      <w:r w:rsidRPr="005400AC">
        <w:rPr>
          <w:rFonts w:ascii="Verdana" w:hAnsi="Verdana"/>
          <w:spacing w:val="-15"/>
          <w:sz w:val="18"/>
          <w:szCs w:val="18"/>
        </w:rPr>
        <w:t xml:space="preserve"> </w:t>
      </w:r>
      <w:r w:rsidRPr="005400AC">
        <w:rPr>
          <w:rFonts w:ascii="Verdana" w:hAnsi="Verdana"/>
          <w:sz w:val="18"/>
          <w:szCs w:val="18"/>
        </w:rPr>
        <w:t>de</w:t>
      </w:r>
      <w:r w:rsidRPr="005400AC">
        <w:rPr>
          <w:rFonts w:ascii="Verdana" w:hAnsi="Verdana"/>
          <w:spacing w:val="-8"/>
          <w:sz w:val="18"/>
          <w:szCs w:val="18"/>
        </w:rPr>
        <w:t xml:space="preserve"> </w:t>
      </w:r>
      <w:r w:rsidRPr="005400AC">
        <w:rPr>
          <w:rFonts w:ascii="Verdana" w:hAnsi="Verdana"/>
          <w:sz w:val="18"/>
          <w:szCs w:val="18"/>
        </w:rPr>
        <w:t>1993,</w:t>
      </w:r>
      <w:r w:rsidRPr="005400AC">
        <w:rPr>
          <w:rFonts w:ascii="Verdana" w:hAnsi="Verdana"/>
          <w:spacing w:val="-11"/>
          <w:sz w:val="18"/>
          <w:szCs w:val="18"/>
        </w:rPr>
        <w:t xml:space="preserve"> </w:t>
      </w:r>
      <w:r w:rsidRPr="005400AC">
        <w:rPr>
          <w:rFonts w:ascii="Verdana" w:hAnsi="Verdana"/>
          <w:sz w:val="18"/>
          <w:szCs w:val="18"/>
        </w:rPr>
        <w:t>así</w:t>
      </w:r>
      <w:r w:rsidRPr="005400AC">
        <w:rPr>
          <w:rFonts w:ascii="Verdana" w:hAnsi="Verdana"/>
          <w:spacing w:val="-12"/>
          <w:sz w:val="18"/>
          <w:szCs w:val="18"/>
        </w:rPr>
        <w:t xml:space="preserve"> </w:t>
      </w:r>
      <w:r w:rsidRPr="005400AC">
        <w:rPr>
          <w:rFonts w:ascii="Verdana" w:hAnsi="Verdana"/>
          <w:sz w:val="18"/>
          <w:szCs w:val="18"/>
        </w:rPr>
        <w:t>como</w:t>
      </w:r>
      <w:r w:rsidRPr="005400AC">
        <w:rPr>
          <w:rFonts w:ascii="Verdana" w:hAnsi="Verdana"/>
          <w:spacing w:val="-10"/>
          <w:sz w:val="18"/>
          <w:szCs w:val="18"/>
        </w:rPr>
        <w:t xml:space="preserve"> </w:t>
      </w:r>
      <w:r w:rsidRPr="005400AC">
        <w:rPr>
          <w:rFonts w:ascii="Verdana" w:hAnsi="Verdana"/>
          <w:sz w:val="18"/>
          <w:szCs w:val="18"/>
        </w:rPr>
        <w:t>dictar</w:t>
      </w:r>
      <w:r w:rsidRPr="005400AC">
        <w:rPr>
          <w:rFonts w:ascii="Verdana" w:hAnsi="Verdana"/>
          <w:spacing w:val="-11"/>
          <w:sz w:val="18"/>
          <w:szCs w:val="18"/>
        </w:rPr>
        <w:t xml:space="preserve"> </w:t>
      </w:r>
      <w:r w:rsidRPr="005400AC">
        <w:rPr>
          <w:rFonts w:ascii="Verdana" w:hAnsi="Verdana"/>
          <w:sz w:val="18"/>
          <w:szCs w:val="18"/>
        </w:rPr>
        <w:t>otras</w:t>
      </w:r>
      <w:r w:rsidRPr="005400AC">
        <w:rPr>
          <w:rFonts w:ascii="Verdana" w:hAnsi="Verdana"/>
          <w:spacing w:val="-12"/>
          <w:sz w:val="18"/>
          <w:szCs w:val="18"/>
        </w:rPr>
        <w:t xml:space="preserve"> </w:t>
      </w:r>
      <w:r w:rsidRPr="005400AC">
        <w:rPr>
          <w:rFonts w:ascii="Verdana" w:hAnsi="Verdana"/>
          <w:sz w:val="18"/>
          <w:szCs w:val="18"/>
        </w:rPr>
        <w:t>disposiciones</w:t>
      </w:r>
      <w:r w:rsidRPr="005400AC">
        <w:rPr>
          <w:rFonts w:ascii="Verdana" w:hAnsi="Verdana"/>
          <w:spacing w:val="-12"/>
          <w:sz w:val="18"/>
          <w:szCs w:val="18"/>
        </w:rPr>
        <w:t xml:space="preserve"> </w:t>
      </w:r>
      <w:r w:rsidRPr="005400AC">
        <w:rPr>
          <w:rFonts w:ascii="Verdana" w:hAnsi="Verdana"/>
          <w:sz w:val="18"/>
          <w:szCs w:val="18"/>
        </w:rPr>
        <w:t>generales</w:t>
      </w:r>
      <w:r w:rsidRPr="005400AC">
        <w:rPr>
          <w:rFonts w:ascii="Verdana" w:hAnsi="Verdana"/>
          <w:spacing w:val="-12"/>
          <w:sz w:val="18"/>
          <w:szCs w:val="18"/>
        </w:rPr>
        <w:t xml:space="preserve"> </w:t>
      </w:r>
      <w:r w:rsidRPr="005400AC">
        <w:rPr>
          <w:rFonts w:ascii="Verdana" w:hAnsi="Verdana"/>
          <w:sz w:val="18"/>
          <w:szCs w:val="18"/>
        </w:rPr>
        <w:t>aplicables</w:t>
      </w:r>
      <w:r w:rsidRPr="005400AC">
        <w:rPr>
          <w:rFonts w:ascii="Verdana" w:hAnsi="Verdana"/>
          <w:spacing w:val="-12"/>
          <w:sz w:val="18"/>
          <w:szCs w:val="18"/>
        </w:rPr>
        <w:t xml:space="preserve"> </w:t>
      </w:r>
      <w:r w:rsidRPr="005400AC">
        <w:rPr>
          <w:rFonts w:ascii="Verdana" w:hAnsi="Verdana"/>
          <w:sz w:val="18"/>
          <w:szCs w:val="18"/>
        </w:rPr>
        <w:t>a</w:t>
      </w:r>
      <w:r w:rsidRPr="005400AC">
        <w:rPr>
          <w:rFonts w:ascii="Verdana" w:hAnsi="Verdana"/>
          <w:spacing w:val="-14"/>
          <w:sz w:val="18"/>
          <w:szCs w:val="18"/>
        </w:rPr>
        <w:t xml:space="preserve"> </w:t>
      </w:r>
      <w:r w:rsidRPr="005400AC">
        <w:rPr>
          <w:rFonts w:ascii="Verdana" w:hAnsi="Verdana"/>
          <w:sz w:val="18"/>
          <w:szCs w:val="18"/>
        </w:rPr>
        <w:t>toda</w:t>
      </w:r>
      <w:r w:rsidRPr="005400AC">
        <w:rPr>
          <w:rFonts w:ascii="Verdana" w:hAnsi="Verdana"/>
          <w:spacing w:val="-14"/>
          <w:sz w:val="18"/>
          <w:szCs w:val="18"/>
        </w:rPr>
        <w:t xml:space="preserve"> </w:t>
      </w:r>
      <w:r w:rsidRPr="005400AC">
        <w:rPr>
          <w:rFonts w:ascii="Verdana" w:hAnsi="Verdana"/>
          <w:sz w:val="18"/>
          <w:szCs w:val="18"/>
        </w:rPr>
        <w:t>contratación</w:t>
      </w:r>
      <w:r w:rsidRPr="005400AC">
        <w:rPr>
          <w:rFonts w:ascii="Verdana" w:hAnsi="Verdana"/>
          <w:spacing w:val="-14"/>
          <w:sz w:val="18"/>
          <w:szCs w:val="18"/>
        </w:rPr>
        <w:t xml:space="preserve"> </w:t>
      </w:r>
      <w:r w:rsidRPr="005400AC">
        <w:rPr>
          <w:rFonts w:ascii="Verdana" w:hAnsi="Verdana"/>
          <w:sz w:val="18"/>
          <w:szCs w:val="18"/>
        </w:rPr>
        <w:t>con</w:t>
      </w:r>
      <w:r w:rsidRPr="005400AC">
        <w:rPr>
          <w:rFonts w:ascii="Verdana" w:hAnsi="Verdana"/>
          <w:spacing w:val="-10"/>
          <w:sz w:val="18"/>
          <w:szCs w:val="18"/>
        </w:rPr>
        <w:t xml:space="preserve"> </w:t>
      </w:r>
      <w:r w:rsidRPr="005400AC">
        <w:rPr>
          <w:rFonts w:ascii="Verdana" w:hAnsi="Verdana"/>
          <w:sz w:val="18"/>
          <w:szCs w:val="18"/>
        </w:rPr>
        <w:t xml:space="preserve">recursos </w:t>
      </w:r>
      <w:r w:rsidRPr="005400AC">
        <w:rPr>
          <w:rFonts w:ascii="Verdana" w:hAnsi="Verdana"/>
          <w:spacing w:val="-2"/>
          <w:sz w:val="18"/>
          <w:szCs w:val="18"/>
        </w:rPr>
        <w:t>públicos”.</w:t>
      </w:r>
    </w:p>
    <w:p w14:paraId="435FE753" w14:textId="77777777" w:rsidR="00E85C97" w:rsidRPr="007C42DF" w:rsidRDefault="00E85C97" w:rsidP="00E85C97">
      <w:pPr>
        <w:pStyle w:val="Textonotapie"/>
        <w:rPr>
          <w:lang w:val="es-CO"/>
        </w:rPr>
      </w:pPr>
    </w:p>
  </w:footnote>
  <w:footnote w:id="7">
    <w:p w14:paraId="513A2901" w14:textId="77777777" w:rsidR="00E85C97" w:rsidRPr="00287DD8" w:rsidRDefault="00E85C97" w:rsidP="00E85C97">
      <w:pPr>
        <w:spacing w:before="99"/>
        <w:ind w:left="260" w:right="259" w:firstLine="710"/>
        <w:jc w:val="both"/>
        <w:rPr>
          <w:rFonts w:ascii="Verdana" w:hAnsi="Verdana"/>
          <w:sz w:val="18"/>
          <w:szCs w:val="18"/>
        </w:rPr>
      </w:pPr>
      <w:r w:rsidRPr="00287DD8">
        <w:rPr>
          <w:rStyle w:val="Refdenotaalpie"/>
          <w:rFonts w:ascii="Verdana" w:hAnsi="Verdana"/>
          <w:sz w:val="18"/>
          <w:szCs w:val="18"/>
        </w:rPr>
        <w:footnoteRef/>
      </w:r>
      <w:r w:rsidRPr="00287DD8">
        <w:rPr>
          <w:rFonts w:ascii="Verdana" w:hAnsi="Verdana"/>
          <w:sz w:val="18"/>
          <w:szCs w:val="18"/>
        </w:rPr>
        <w:t xml:space="preserve"> El pasado 1 de junio, el Departamento Administrativo de la Presidencia de la Republica profirió la Circular 02 del 2022, mediante la cual se imparten instrucciones sobre la aplicación del artículo 53 de la Ley 2195 de 2022, en</w:t>
      </w:r>
      <w:r w:rsidRPr="00287DD8">
        <w:rPr>
          <w:rFonts w:ascii="Verdana" w:hAnsi="Verdana"/>
          <w:spacing w:val="-1"/>
          <w:sz w:val="18"/>
          <w:szCs w:val="18"/>
        </w:rPr>
        <w:t xml:space="preserve"> </w:t>
      </w:r>
      <w:r w:rsidRPr="00287DD8">
        <w:rPr>
          <w:rFonts w:ascii="Verdana" w:hAnsi="Verdana"/>
          <w:sz w:val="18"/>
          <w:szCs w:val="18"/>
        </w:rPr>
        <w:t>los siguientes aspectos: i) publicación de los documentos contractuales en</w:t>
      </w:r>
      <w:r w:rsidRPr="00287DD8">
        <w:rPr>
          <w:rFonts w:ascii="Verdana" w:hAnsi="Verdana"/>
          <w:spacing w:val="-1"/>
          <w:sz w:val="18"/>
          <w:szCs w:val="18"/>
        </w:rPr>
        <w:t xml:space="preserve"> </w:t>
      </w:r>
      <w:r w:rsidRPr="00287DD8">
        <w:rPr>
          <w:rFonts w:ascii="Verdana" w:hAnsi="Verdana"/>
          <w:sz w:val="18"/>
          <w:szCs w:val="18"/>
        </w:rPr>
        <w:t>el SECOP</w:t>
      </w:r>
      <w:r w:rsidRPr="00287DD8">
        <w:rPr>
          <w:rFonts w:ascii="Verdana" w:hAnsi="Verdana"/>
          <w:spacing w:val="-1"/>
          <w:sz w:val="18"/>
          <w:szCs w:val="18"/>
        </w:rPr>
        <w:t xml:space="preserve"> </w:t>
      </w:r>
      <w:r w:rsidRPr="00287DD8">
        <w:rPr>
          <w:rFonts w:ascii="Verdana" w:hAnsi="Verdana"/>
          <w:sz w:val="18"/>
          <w:szCs w:val="18"/>
        </w:rPr>
        <w:t>II; ii) reserva de los documentos relacionados con la actividad contractual y; iii) régimen de transición de los contratos</w:t>
      </w:r>
      <w:r w:rsidRPr="00287DD8">
        <w:rPr>
          <w:rFonts w:ascii="Verdana" w:hAnsi="Verdana"/>
          <w:spacing w:val="-11"/>
          <w:sz w:val="18"/>
          <w:szCs w:val="18"/>
        </w:rPr>
        <w:t xml:space="preserve"> </w:t>
      </w:r>
      <w:r w:rsidRPr="00287DD8">
        <w:rPr>
          <w:rFonts w:ascii="Verdana" w:hAnsi="Verdana"/>
          <w:sz w:val="18"/>
          <w:szCs w:val="18"/>
        </w:rPr>
        <w:t>celebrados con anterioridad a la entrada en vigencia de la obligación consagrada en el artículo 53 de</w:t>
      </w:r>
      <w:r w:rsidRPr="00287DD8">
        <w:rPr>
          <w:rFonts w:ascii="Verdana" w:hAnsi="Verdana"/>
          <w:spacing w:val="-4"/>
          <w:sz w:val="18"/>
          <w:szCs w:val="18"/>
        </w:rPr>
        <w:t xml:space="preserve"> </w:t>
      </w:r>
      <w:r w:rsidRPr="00287DD8">
        <w:rPr>
          <w:rFonts w:ascii="Verdana" w:hAnsi="Verdana"/>
          <w:sz w:val="18"/>
          <w:szCs w:val="18"/>
        </w:rPr>
        <w:t>la</w:t>
      </w:r>
      <w:r w:rsidRPr="00287DD8">
        <w:rPr>
          <w:rFonts w:ascii="Verdana" w:hAnsi="Verdana"/>
          <w:spacing w:val="-5"/>
          <w:sz w:val="18"/>
          <w:szCs w:val="18"/>
        </w:rPr>
        <w:t xml:space="preserve"> </w:t>
      </w:r>
      <w:r w:rsidRPr="00287DD8">
        <w:rPr>
          <w:rFonts w:ascii="Verdana" w:hAnsi="Verdana"/>
          <w:sz w:val="18"/>
          <w:szCs w:val="18"/>
        </w:rPr>
        <w:t>Ley</w:t>
      </w:r>
      <w:r w:rsidRPr="00287DD8">
        <w:rPr>
          <w:rFonts w:ascii="Verdana" w:hAnsi="Verdana"/>
          <w:spacing w:val="-4"/>
          <w:sz w:val="18"/>
          <w:szCs w:val="18"/>
        </w:rPr>
        <w:t xml:space="preserve"> </w:t>
      </w:r>
      <w:r w:rsidRPr="00287DD8">
        <w:rPr>
          <w:rFonts w:ascii="Verdana" w:hAnsi="Verdana"/>
          <w:sz w:val="18"/>
          <w:szCs w:val="18"/>
        </w:rPr>
        <w:t>2195</w:t>
      </w:r>
      <w:r w:rsidRPr="00287DD8">
        <w:rPr>
          <w:rFonts w:ascii="Verdana" w:hAnsi="Verdana"/>
          <w:spacing w:val="-6"/>
          <w:sz w:val="18"/>
          <w:szCs w:val="18"/>
        </w:rPr>
        <w:t xml:space="preserve"> </w:t>
      </w:r>
      <w:r w:rsidRPr="00287DD8">
        <w:rPr>
          <w:rFonts w:ascii="Verdana" w:hAnsi="Verdana"/>
          <w:sz w:val="18"/>
          <w:szCs w:val="18"/>
        </w:rPr>
        <w:t>de 2022.</w:t>
      </w:r>
      <w:r w:rsidRPr="00287DD8">
        <w:rPr>
          <w:rFonts w:ascii="Verdana" w:hAnsi="Verdana"/>
          <w:spacing w:val="-2"/>
          <w:sz w:val="18"/>
          <w:szCs w:val="18"/>
        </w:rPr>
        <w:t xml:space="preserve"> </w:t>
      </w:r>
      <w:r w:rsidRPr="00287DD8">
        <w:rPr>
          <w:rFonts w:ascii="Verdana" w:hAnsi="Verdana"/>
          <w:sz w:val="18"/>
          <w:szCs w:val="18"/>
        </w:rPr>
        <w:t>La</w:t>
      </w:r>
      <w:r w:rsidRPr="00287DD8">
        <w:rPr>
          <w:rFonts w:ascii="Verdana" w:hAnsi="Verdana"/>
          <w:spacing w:val="-5"/>
          <w:sz w:val="18"/>
          <w:szCs w:val="18"/>
        </w:rPr>
        <w:t xml:space="preserve"> </w:t>
      </w:r>
      <w:r w:rsidRPr="00287DD8">
        <w:rPr>
          <w:rFonts w:ascii="Verdana" w:hAnsi="Verdana"/>
          <w:sz w:val="18"/>
          <w:szCs w:val="18"/>
        </w:rPr>
        <w:t>mencionada</w:t>
      </w:r>
      <w:r w:rsidRPr="00287DD8">
        <w:rPr>
          <w:rFonts w:ascii="Verdana" w:hAnsi="Verdana"/>
          <w:spacing w:val="-5"/>
          <w:sz w:val="18"/>
          <w:szCs w:val="18"/>
        </w:rPr>
        <w:t xml:space="preserve"> </w:t>
      </w:r>
      <w:r w:rsidRPr="00287DD8">
        <w:rPr>
          <w:rFonts w:ascii="Verdana" w:hAnsi="Verdana"/>
          <w:sz w:val="18"/>
          <w:szCs w:val="18"/>
        </w:rPr>
        <w:t>Circular</w:t>
      </w:r>
      <w:r w:rsidRPr="00287DD8">
        <w:rPr>
          <w:rFonts w:ascii="Verdana" w:hAnsi="Verdana"/>
          <w:spacing w:val="-2"/>
          <w:sz w:val="18"/>
          <w:szCs w:val="18"/>
        </w:rPr>
        <w:t xml:space="preserve"> </w:t>
      </w:r>
      <w:r w:rsidRPr="00287DD8">
        <w:rPr>
          <w:rFonts w:ascii="Verdana" w:hAnsi="Verdana"/>
          <w:sz w:val="18"/>
          <w:szCs w:val="18"/>
        </w:rPr>
        <w:t>contiene</w:t>
      </w:r>
      <w:r w:rsidRPr="00287DD8">
        <w:rPr>
          <w:rFonts w:ascii="Verdana" w:hAnsi="Verdana"/>
          <w:spacing w:val="-4"/>
          <w:sz w:val="18"/>
          <w:szCs w:val="18"/>
        </w:rPr>
        <w:t xml:space="preserve"> </w:t>
      </w:r>
      <w:r w:rsidRPr="00287DD8">
        <w:rPr>
          <w:rFonts w:ascii="Verdana" w:hAnsi="Verdana"/>
          <w:sz w:val="18"/>
          <w:szCs w:val="18"/>
        </w:rPr>
        <w:t>una serie</w:t>
      </w:r>
      <w:r w:rsidRPr="00287DD8">
        <w:rPr>
          <w:rFonts w:ascii="Verdana" w:hAnsi="Verdana"/>
          <w:spacing w:val="-4"/>
          <w:sz w:val="18"/>
          <w:szCs w:val="18"/>
        </w:rPr>
        <w:t xml:space="preserve"> </w:t>
      </w:r>
      <w:r w:rsidRPr="00287DD8">
        <w:rPr>
          <w:rFonts w:ascii="Verdana" w:hAnsi="Verdana"/>
          <w:sz w:val="18"/>
          <w:szCs w:val="18"/>
        </w:rPr>
        <w:t>de</w:t>
      </w:r>
      <w:r w:rsidRPr="00287DD8">
        <w:rPr>
          <w:rFonts w:ascii="Verdana" w:hAnsi="Verdana"/>
          <w:spacing w:val="-4"/>
          <w:sz w:val="18"/>
          <w:szCs w:val="18"/>
        </w:rPr>
        <w:t xml:space="preserve"> </w:t>
      </w:r>
      <w:r w:rsidRPr="00287DD8">
        <w:rPr>
          <w:rFonts w:ascii="Verdana" w:hAnsi="Verdana"/>
          <w:sz w:val="18"/>
          <w:szCs w:val="18"/>
        </w:rPr>
        <w:t>instrucciones</w:t>
      </w:r>
      <w:r w:rsidRPr="00287DD8">
        <w:rPr>
          <w:rFonts w:ascii="Verdana" w:hAnsi="Verdana"/>
          <w:spacing w:val="-3"/>
          <w:sz w:val="18"/>
          <w:szCs w:val="18"/>
        </w:rPr>
        <w:t xml:space="preserve"> </w:t>
      </w:r>
      <w:r w:rsidRPr="00287DD8">
        <w:rPr>
          <w:rFonts w:ascii="Verdana" w:hAnsi="Verdana"/>
          <w:sz w:val="18"/>
          <w:szCs w:val="18"/>
        </w:rPr>
        <w:t>con</w:t>
      </w:r>
      <w:r w:rsidRPr="00287DD8">
        <w:rPr>
          <w:rFonts w:ascii="Verdana" w:hAnsi="Verdana"/>
          <w:spacing w:val="-5"/>
          <w:sz w:val="18"/>
          <w:szCs w:val="18"/>
        </w:rPr>
        <w:t xml:space="preserve"> </w:t>
      </w:r>
      <w:r w:rsidRPr="00287DD8">
        <w:rPr>
          <w:rFonts w:ascii="Verdana" w:hAnsi="Verdana"/>
          <w:sz w:val="18"/>
          <w:szCs w:val="18"/>
        </w:rPr>
        <w:t>miras</w:t>
      </w:r>
      <w:r w:rsidRPr="00287DD8">
        <w:rPr>
          <w:rFonts w:ascii="Verdana" w:hAnsi="Verdana"/>
          <w:spacing w:val="-3"/>
          <w:sz w:val="18"/>
          <w:szCs w:val="18"/>
        </w:rPr>
        <w:t xml:space="preserve"> </w:t>
      </w:r>
      <w:r w:rsidRPr="00287DD8">
        <w:rPr>
          <w:rFonts w:ascii="Verdana" w:hAnsi="Verdana"/>
          <w:sz w:val="18"/>
          <w:szCs w:val="18"/>
        </w:rPr>
        <w:t>a</w:t>
      </w:r>
      <w:r w:rsidRPr="00287DD8">
        <w:rPr>
          <w:rFonts w:ascii="Verdana" w:hAnsi="Verdana"/>
          <w:spacing w:val="-5"/>
          <w:sz w:val="18"/>
          <w:szCs w:val="18"/>
        </w:rPr>
        <w:t xml:space="preserve"> </w:t>
      </w:r>
      <w:r w:rsidRPr="00287DD8">
        <w:rPr>
          <w:rFonts w:ascii="Verdana" w:hAnsi="Verdana"/>
          <w:sz w:val="18"/>
          <w:szCs w:val="18"/>
        </w:rPr>
        <w:t>garantizar</w:t>
      </w:r>
      <w:r w:rsidRPr="00287DD8">
        <w:rPr>
          <w:rFonts w:ascii="Verdana" w:hAnsi="Verdana"/>
          <w:spacing w:val="-2"/>
          <w:sz w:val="18"/>
          <w:szCs w:val="18"/>
        </w:rPr>
        <w:t xml:space="preserve"> </w:t>
      </w:r>
      <w:r w:rsidRPr="00287DD8">
        <w:rPr>
          <w:rFonts w:ascii="Verdana" w:hAnsi="Verdana"/>
          <w:sz w:val="18"/>
          <w:szCs w:val="18"/>
        </w:rPr>
        <w:t>el cumplimiento del deber legal por parte de las entidades estatales exceptuadas del Estatuto General de Contratación Pública.</w:t>
      </w:r>
    </w:p>
    <w:p w14:paraId="3F43DAA3" w14:textId="77777777" w:rsidR="00E85C97" w:rsidRPr="007C42DF" w:rsidRDefault="00E85C97" w:rsidP="00E85C97">
      <w:pPr>
        <w:pStyle w:val="Textonotapie"/>
        <w:rPr>
          <w:lang w:val="es-CO"/>
        </w:rPr>
      </w:pPr>
    </w:p>
  </w:footnote>
  <w:footnote w:id="8">
    <w:p w14:paraId="29277FCD" w14:textId="77777777" w:rsidR="00E85C97" w:rsidRPr="00287DD8" w:rsidRDefault="00E85C97" w:rsidP="00E85C97">
      <w:pPr>
        <w:pStyle w:val="Textonotapie"/>
        <w:ind w:firstLine="709"/>
        <w:contextualSpacing/>
        <w:jc w:val="both"/>
        <w:rPr>
          <w:rFonts w:ascii="Verdana" w:hAnsi="Verdana" w:cs="Arial"/>
          <w:color w:val="000000" w:themeColor="text1"/>
          <w:sz w:val="18"/>
          <w:szCs w:val="18"/>
          <w:lang w:val="es-ES"/>
        </w:rPr>
      </w:pPr>
      <w:r w:rsidRPr="00287DD8">
        <w:rPr>
          <w:rStyle w:val="Refdenotaalpie"/>
          <w:rFonts w:ascii="Verdana" w:hAnsi="Verdana" w:cs="Arial"/>
          <w:color w:val="000000" w:themeColor="text1"/>
          <w:sz w:val="18"/>
          <w:szCs w:val="18"/>
        </w:rPr>
        <w:footnoteRef/>
      </w:r>
      <w:r w:rsidRPr="00287DD8">
        <w:rPr>
          <w:rFonts w:ascii="Verdana" w:hAnsi="Verdana" w:cs="Arial"/>
          <w:color w:val="000000" w:themeColor="text1"/>
          <w:sz w:val="18"/>
          <w:szCs w:val="18"/>
        </w:rPr>
        <w:t xml:space="preserve"> </w:t>
      </w:r>
      <w:r w:rsidRPr="00287DD8">
        <w:rPr>
          <w:rFonts w:ascii="Verdana" w:hAnsi="Verdana" w:cs="Arial"/>
          <w:color w:val="000000" w:themeColor="text1"/>
          <w:sz w:val="18"/>
          <w:szCs w:val="18"/>
          <w:lang w:val="es-ES"/>
        </w:rPr>
        <w:t>Consejo de Estado. Sección Tercera. Subsección “C”. Providencia del 8 de abril de 2014. Expediente No. 25801. M.P. Enrique Gil Botero.</w:t>
      </w:r>
    </w:p>
    <w:p w14:paraId="6B5E941E" w14:textId="77777777" w:rsidR="00E85C97" w:rsidRPr="00287DD8" w:rsidRDefault="00E85C97" w:rsidP="00E85C97">
      <w:pPr>
        <w:pStyle w:val="Textonotapie"/>
        <w:ind w:firstLine="709"/>
        <w:contextualSpacing/>
        <w:jc w:val="both"/>
        <w:rPr>
          <w:rFonts w:ascii="Verdana" w:hAnsi="Verdana" w:cs="Arial"/>
          <w:color w:val="000000" w:themeColor="text1"/>
          <w:sz w:val="18"/>
          <w:szCs w:val="18"/>
          <w:lang w:val="es-ES"/>
        </w:rPr>
      </w:pPr>
    </w:p>
  </w:footnote>
  <w:footnote w:id="9">
    <w:p w14:paraId="26652907" w14:textId="77777777" w:rsidR="00E85C97" w:rsidRPr="00287DD8" w:rsidRDefault="00E85C97" w:rsidP="00E85C97">
      <w:pPr>
        <w:pStyle w:val="Textonotapie"/>
        <w:ind w:firstLine="709"/>
        <w:contextualSpacing/>
        <w:jc w:val="both"/>
        <w:rPr>
          <w:rFonts w:ascii="Verdana" w:hAnsi="Verdana" w:cs="Arial"/>
          <w:color w:val="000000" w:themeColor="text1"/>
          <w:sz w:val="18"/>
          <w:szCs w:val="18"/>
          <w:lang w:val="es-ES"/>
        </w:rPr>
      </w:pPr>
      <w:r w:rsidRPr="00287DD8">
        <w:rPr>
          <w:rStyle w:val="Refdenotaalpie"/>
          <w:rFonts w:ascii="Verdana" w:hAnsi="Verdana" w:cs="Arial"/>
          <w:sz w:val="18"/>
          <w:szCs w:val="18"/>
        </w:rPr>
        <w:footnoteRef/>
      </w:r>
      <w:r w:rsidRPr="00287DD8">
        <w:rPr>
          <w:rFonts w:ascii="Verdana" w:hAnsi="Verdana" w:cs="Arial"/>
          <w:sz w:val="18"/>
          <w:szCs w:val="18"/>
        </w:rPr>
        <w:t xml:space="preserve"> </w:t>
      </w:r>
      <w:r w:rsidRPr="00287DD8">
        <w:rPr>
          <w:rFonts w:ascii="Verdana" w:hAnsi="Verdana" w:cs="Arial"/>
          <w:color w:val="000000" w:themeColor="text1"/>
          <w:sz w:val="18"/>
          <w:szCs w:val="18"/>
          <w:lang w:val="es-ES"/>
        </w:rPr>
        <w:t>Consejo de Estado. Sección Tercera. Subsección “A”. Providencia del 14 de julio del 2016. Expediente No. 41001-23-31-000-2002-10569-01(49305). M.P. Marta Nubia Velásquez Rico.</w:t>
      </w:r>
    </w:p>
    <w:p w14:paraId="11E3BB33" w14:textId="77777777" w:rsidR="00E85C97" w:rsidRPr="00287DD8" w:rsidRDefault="00E85C97" w:rsidP="00E85C97">
      <w:pPr>
        <w:pStyle w:val="Textonotapie"/>
        <w:ind w:firstLine="709"/>
        <w:contextualSpacing/>
        <w:jc w:val="both"/>
        <w:rPr>
          <w:rFonts w:ascii="Verdana" w:hAnsi="Verdana" w:cs="Arial"/>
          <w:sz w:val="18"/>
          <w:szCs w:val="18"/>
          <w:lang w:val="es-ES"/>
        </w:rPr>
      </w:pPr>
    </w:p>
  </w:footnote>
  <w:footnote w:id="10">
    <w:p w14:paraId="68915C35" w14:textId="77777777" w:rsidR="00E85C97" w:rsidRPr="008B6FB1" w:rsidRDefault="00E85C97" w:rsidP="00E85C97">
      <w:pPr>
        <w:pStyle w:val="Textonotapie"/>
        <w:ind w:firstLine="709"/>
        <w:contextualSpacing/>
        <w:jc w:val="both"/>
        <w:rPr>
          <w:rFonts w:ascii="Verdana" w:eastAsia="Arial" w:hAnsi="Verdana" w:cs="Arial"/>
          <w:sz w:val="18"/>
          <w:szCs w:val="18"/>
          <w:lang w:val="es-ES"/>
        </w:rPr>
      </w:pPr>
      <w:r w:rsidRPr="008B6FB1">
        <w:rPr>
          <w:rStyle w:val="Refdenotaalpie"/>
          <w:rFonts w:ascii="Verdana" w:hAnsi="Verdana"/>
          <w:sz w:val="18"/>
          <w:szCs w:val="18"/>
        </w:rPr>
        <w:footnoteRef/>
      </w:r>
      <w:r w:rsidRPr="008B6FB1">
        <w:rPr>
          <w:rFonts w:ascii="Verdana" w:hAnsi="Verdana"/>
          <w:sz w:val="18"/>
          <w:szCs w:val="18"/>
        </w:rPr>
        <w:t xml:space="preserve"> </w:t>
      </w:r>
      <w:r w:rsidRPr="008B6FB1">
        <w:rPr>
          <w:rFonts w:ascii="Verdana" w:eastAsia="Arial" w:hAnsi="Verdana" w:cs="Arial"/>
          <w:sz w:val="18"/>
          <w:szCs w:val="18"/>
          <w:lang w:val="es-ES"/>
        </w:rPr>
        <w:t xml:space="preserve">La Resolución 1440 del 14 de agosto de 2024 se encuentra disponible en: </w:t>
      </w:r>
      <w:hyperlink r:id="rId1" w:history="1">
        <w:r w:rsidRPr="008B6FB1">
          <w:rPr>
            <w:rStyle w:val="Hipervnculo"/>
            <w:rFonts w:ascii="Verdana" w:eastAsia="Arial" w:hAnsi="Verdana" w:cs="Arial"/>
            <w:sz w:val="18"/>
            <w:szCs w:val="18"/>
            <w:lang w:val="es-ES"/>
          </w:rPr>
          <w:t>https://www.minsalud.gov.co/Normatividad_Nuevo/Resoluci%C3%B3n%20No%201440%20de%202024.pdf</w:t>
        </w:r>
      </w:hyperlink>
      <w:r w:rsidRPr="008B6FB1">
        <w:rPr>
          <w:rFonts w:ascii="Verdana" w:eastAsia="Arial" w:hAnsi="Verdana" w:cs="Arial"/>
          <w:sz w:val="18"/>
          <w:szCs w:val="18"/>
          <w:lang w:val="es-ES"/>
        </w:rPr>
        <w:t xml:space="preserve"> </w:t>
      </w:r>
    </w:p>
    <w:p w14:paraId="2B8B3E70" w14:textId="77777777" w:rsidR="00E85C97" w:rsidRPr="007C42DF" w:rsidRDefault="00E85C97" w:rsidP="00E85C97">
      <w:pPr>
        <w:pStyle w:val="Textonotapie"/>
        <w:ind w:firstLine="709"/>
        <w:contextualSpacing/>
        <w:jc w:val="both"/>
        <w:rPr>
          <w:rFonts w:ascii="Verdana" w:hAnsi="Verdana"/>
          <w:sz w:val="18"/>
          <w:szCs w:val="18"/>
        </w:rPr>
      </w:pPr>
    </w:p>
  </w:footnote>
  <w:footnote w:id="11">
    <w:p w14:paraId="17E718B8" w14:textId="77777777" w:rsidR="00E85C97" w:rsidRPr="007C42DF" w:rsidRDefault="00E85C97" w:rsidP="00E85C97">
      <w:pPr>
        <w:spacing w:after="0" w:line="240" w:lineRule="auto"/>
        <w:ind w:firstLine="709"/>
        <w:contextualSpacing/>
        <w:jc w:val="both"/>
        <w:rPr>
          <w:rFonts w:ascii="Verdana" w:hAnsi="Verdana" w:cs="Arial"/>
          <w:sz w:val="18"/>
          <w:szCs w:val="18"/>
        </w:rPr>
      </w:pPr>
      <w:r w:rsidRPr="007C42DF">
        <w:rPr>
          <w:rStyle w:val="Refdenotaalpie"/>
          <w:rFonts w:ascii="Verdana" w:hAnsi="Verdana" w:cs="Arial"/>
          <w:sz w:val="18"/>
          <w:szCs w:val="18"/>
        </w:rPr>
        <w:footnoteRef/>
      </w:r>
      <w:r w:rsidRPr="007C42DF">
        <w:rPr>
          <w:rFonts w:ascii="Verdana" w:hAnsi="Verdana" w:cs="Arial"/>
          <w:sz w:val="18"/>
          <w:szCs w:val="18"/>
        </w:rPr>
        <w:t xml:space="preserve"> Ley 1438 de 2011: “Artículo 76. Eficiencia y transparencia en contratación, adquisiciones</w:t>
      </w:r>
      <w:r w:rsidRPr="007C42DF">
        <w:rPr>
          <w:rFonts w:ascii="Verdana" w:hAnsi="Verdana" w:cs="Arial"/>
          <w:spacing w:val="1"/>
          <w:sz w:val="18"/>
          <w:szCs w:val="18"/>
        </w:rPr>
        <w:t xml:space="preserve"> </w:t>
      </w:r>
      <w:r w:rsidRPr="007C42DF">
        <w:rPr>
          <w:rFonts w:ascii="Verdana" w:hAnsi="Verdana" w:cs="Arial"/>
          <w:sz w:val="18"/>
          <w:szCs w:val="18"/>
        </w:rPr>
        <w:t>y compras de las Empresas Sociales del Estado. Con el propósito de promover la eficiencia y</w:t>
      </w:r>
      <w:r w:rsidRPr="007C42DF">
        <w:rPr>
          <w:rFonts w:ascii="Verdana" w:hAnsi="Verdana" w:cs="Arial"/>
          <w:spacing w:val="1"/>
          <w:sz w:val="18"/>
          <w:szCs w:val="18"/>
        </w:rPr>
        <w:t xml:space="preserve"> </w:t>
      </w:r>
      <w:r w:rsidRPr="007C42DF">
        <w:rPr>
          <w:rFonts w:ascii="Verdana" w:hAnsi="Verdana" w:cs="Arial"/>
          <w:sz w:val="18"/>
          <w:szCs w:val="18"/>
        </w:rPr>
        <w:t>transparencia</w:t>
      </w:r>
      <w:r w:rsidRPr="007C42DF">
        <w:rPr>
          <w:rFonts w:ascii="Verdana" w:hAnsi="Verdana" w:cs="Arial"/>
          <w:spacing w:val="1"/>
          <w:sz w:val="18"/>
          <w:szCs w:val="18"/>
        </w:rPr>
        <w:t xml:space="preserve"> </w:t>
      </w:r>
      <w:r w:rsidRPr="007C42DF">
        <w:rPr>
          <w:rFonts w:ascii="Verdana" w:hAnsi="Verdana" w:cs="Arial"/>
          <w:sz w:val="18"/>
          <w:szCs w:val="18"/>
        </w:rPr>
        <w:t>en la contratación las Empresas Sociales del Estado podrán asociarse entre sí,</w:t>
      </w:r>
      <w:r w:rsidRPr="007C42DF">
        <w:rPr>
          <w:rFonts w:ascii="Verdana" w:hAnsi="Verdana" w:cs="Arial"/>
          <w:spacing w:val="1"/>
          <w:sz w:val="18"/>
          <w:szCs w:val="18"/>
        </w:rPr>
        <w:t xml:space="preserve"> </w:t>
      </w:r>
      <w:r w:rsidRPr="007C42DF">
        <w:rPr>
          <w:rFonts w:ascii="Verdana" w:hAnsi="Verdana" w:cs="Arial"/>
          <w:sz w:val="18"/>
          <w:szCs w:val="18"/>
        </w:rPr>
        <w:t>constituir cooperativas o utilizar sistemas de compras electrónicas o cualquier otro mecanismo que</w:t>
      </w:r>
      <w:r w:rsidRPr="007C42DF">
        <w:rPr>
          <w:rFonts w:ascii="Verdana" w:hAnsi="Verdana" w:cs="Arial"/>
          <w:spacing w:val="1"/>
          <w:sz w:val="18"/>
          <w:szCs w:val="18"/>
        </w:rPr>
        <w:t xml:space="preserve"> </w:t>
      </w:r>
      <w:r w:rsidRPr="007C42DF">
        <w:rPr>
          <w:rFonts w:ascii="Verdana" w:hAnsi="Verdana" w:cs="Arial"/>
          <w:sz w:val="18"/>
          <w:szCs w:val="18"/>
        </w:rPr>
        <w:t>beneficie a las entidades con economías de escala, calidad, oportunidad y eficiencia, respetando los</w:t>
      </w:r>
      <w:r w:rsidRPr="007C42DF">
        <w:rPr>
          <w:rFonts w:ascii="Verdana" w:hAnsi="Verdana" w:cs="Arial"/>
          <w:spacing w:val="-50"/>
          <w:sz w:val="18"/>
          <w:szCs w:val="18"/>
        </w:rPr>
        <w:t xml:space="preserve"> </w:t>
      </w:r>
      <w:r w:rsidRPr="007C42DF">
        <w:rPr>
          <w:rFonts w:ascii="Verdana" w:hAnsi="Verdana" w:cs="Arial"/>
          <w:sz w:val="18"/>
          <w:szCs w:val="18"/>
        </w:rPr>
        <w:t>principios de la actuación administrativa y la contratación pública. Para lo anterior la Junta Directiva</w:t>
      </w:r>
      <w:r w:rsidRPr="007C42DF">
        <w:rPr>
          <w:rFonts w:ascii="Verdana" w:hAnsi="Verdana" w:cs="Arial"/>
          <w:spacing w:val="1"/>
          <w:sz w:val="18"/>
          <w:szCs w:val="18"/>
        </w:rPr>
        <w:t xml:space="preserve"> </w:t>
      </w:r>
      <w:r w:rsidRPr="007C42DF">
        <w:rPr>
          <w:rFonts w:ascii="Verdana" w:hAnsi="Verdana" w:cs="Arial"/>
          <w:sz w:val="18"/>
          <w:szCs w:val="18"/>
        </w:rPr>
        <w:t>deberá adoptar un estatuto de contratación de acuerdo con los lineamientos que defina el Ministerio</w:t>
      </w:r>
      <w:r w:rsidRPr="007C42DF">
        <w:rPr>
          <w:rFonts w:ascii="Verdana" w:hAnsi="Verdana" w:cs="Arial"/>
          <w:spacing w:val="1"/>
          <w:sz w:val="18"/>
          <w:szCs w:val="18"/>
        </w:rPr>
        <w:t xml:space="preserve"> </w:t>
      </w:r>
      <w:r w:rsidRPr="007C42DF">
        <w:rPr>
          <w:rFonts w:ascii="Verdana" w:hAnsi="Verdana" w:cs="Arial"/>
          <w:sz w:val="18"/>
          <w:szCs w:val="18"/>
        </w:rPr>
        <w:t>de</w:t>
      </w:r>
      <w:r w:rsidRPr="007C42DF">
        <w:rPr>
          <w:rFonts w:ascii="Verdana" w:hAnsi="Verdana" w:cs="Arial"/>
          <w:spacing w:val="-2"/>
          <w:sz w:val="18"/>
          <w:szCs w:val="18"/>
        </w:rPr>
        <w:t xml:space="preserve"> </w:t>
      </w:r>
      <w:r w:rsidRPr="007C42DF">
        <w:rPr>
          <w:rFonts w:ascii="Verdana" w:hAnsi="Verdana" w:cs="Arial"/>
          <w:sz w:val="18"/>
          <w:szCs w:val="18"/>
        </w:rPr>
        <w:t>la</w:t>
      </w:r>
      <w:r w:rsidRPr="007C42DF">
        <w:rPr>
          <w:rFonts w:ascii="Verdana" w:hAnsi="Verdana" w:cs="Arial"/>
          <w:spacing w:val="-1"/>
          <w:sz w:val="18"/>
          <w:szCs w:val="18"/>
        </w:rPr>
        <w:t xml:space="preserve"> </w:t>
      </w:r>
      <w:r w:rsidRPr="007C42DF">
        <w:rPr>
          <w:rFonts w:ascii="Verdana" w:hAnsi="Verdana" w:cs="Arial"/>
          <w:sz w:val="18"/>
          <w:szCs w:val="18"/>
        </w:rPr>
        <w:t>Protección</w:t>
      </w:r>
      <w:r w:rsidRPr="007C42DF">
        <w:rPr>
          <w:rFonts w:ascii="Verdana" w:hAnsi="Verdana" w:cs="Arial"/>
          <w:spacing w:val="-1"/>
          <w:sz w:val="18"/>
          <w:szCs w:val="18"/>
        </w:rPr>
        <w:t xml:space="preserve"> </w:t>
      </w:r>
      <w:r w:rsidRPr="007C42DF">
        <w:rPr>
          <w:rFonts w:ascii="Verdana" w:hAnsi="Verdana" w:cs="Arial"/>
          <w:sz w:val="18"/>
          <w:szCs w:val="18"/>
        </w:rPr>
        <w:t>Social.</w:t>
      </w:r>
    </w:p>
    <w:p w14:paraId="17AC1001" w14:textId="77777777" w:rsidR="00E85C97" w:rsidRPr="007C42DF" w:rsidRDefault="00E85C97" w:rsidP="00E85C97">
      <w:pPr>
        <w:spacing w:after="0" w:line="240" w:lineRule="auto"/>
        <w:ind w:firstLine="709"/>
        <w:contextualSpacing/>
        <w:jc w:val="both"/>
        <w:rPr>
          <w:rFonts w:ascii="Verdana" w:hAnsi="Verdana" w:cs="Arial"/>
          <w:sz w:val="18"/>
          <w:szCs w:val="18"/>
        </w:rPr>
      </w:pPr>
    </w:p>
    <w:p w14:paraId="3EEEC2F1" w14:textId="77777777" w:rsidR="00E85C97" w:rsidRPr="007C42DF" w:rsidRDefault="00E85C97" w:rsidP="00E85C97">
      <w:pPr>
        <w:spacing w:after="0" w:line="240" w:lineRule="auto"/>
        <w:ind w:firstLine="709"/>
        <w:contextualSpacing/>
        <w:jc w:val="both"/>
        <w:rPr>
          <w:rFonts w:ascii="Verdana" w:hAnsi="Verdana" w:cs="Arial"/>
          <w:sz w:val="18"/>
          <w:szCs w:val="18"/>
        </w:rPr>
      </w:pPr>
      <w:r w:rsidRPr="007C42DF">
        <w:rPr>
          <w:rFonts w:ascii="Verdana" w:hAnsi="Verdana" w:cs="Arial"/>
          <w:sz w:val="18"/>
          <w:szCs w:val="18"/>
        </w:rPr>
        <w:t>Igualmente,</w:t>
      </w:r>
      <w:r w:rsidRPr="007C42DF">
        <w:rPr>
          <w:rFonts w:ascii="Verdana" w:hAnsi="Verdana" w:cs="Arial"/>
          <w:spacing w:val="1"/>
          <w:sz w:val="18"/>
          <w:szCs w:val="18"/>
        </w:rPr>
        <w:t xml:space="preserve"> </w:t>
      </w:r>
      <w:r w:rsidRPr="007C42DF">
        <w:rPr>
          <w:rFonts w:ascii="Verdana" w:hAnsi="Verdana" w:cs="Arial"/>
          <w:sz w:val="18"/>
          <w:szCs w:val="18"/>
        </w:rPr>
        <w:t>las</w:t>
      </w:r>
      <w:r w:rsidRPr="007C42DF">
        <w:rPr>
          <w:rFonts w:ascii="Verdana" w:hAnsi="Verdana" w:cs="Arial"/>
          <w:spacing w:val="1"/>
          <w:sz w:val="18"/>
          <w:szCs w:val="18"/>
        </w:rPr>
        <w:t xml:space="preserve"> </w:t>
      </w:r>
      <w:r w:rsidRPr="007C42DF">
        <w:rPr>
          <w:rFonts w:ascii="Verdana" w:hAnsi="Verdana" w:cs="Arial"/>
          <w:sz w:val="18"/>
          <w:szCs w:val="18"/>
        </w:rPr>
        <w:t>Empresas</w:t>
      </w:r>
      <w:r w:rsidRPr="007C42DF">
        <w:rPr>
          <w:rFonts w:ascii="Verdana" w:hAnsi="Verdana" w:cs="Arial"/>
          <w:spacing w:val="1"/>
          <w:sz w:val="18"/>
          <w:szCs w:val="18"/>
        </w:rPr>
        <w:t xml:space="preserve"> </w:t>
      </w:r>
      <w:r w:rsidRPr="007C42DF">
        <w:rPr>
          <w:rFonts w:ascii="Verdana" w:hAnsi="Verdana" w:cs="Arial"/>
          <w:sz w:val="18"/>
          <w:szCs w:val="18"/>
        </w:rPr>
        <w:t>Sociales</w:t>
      </w:r>
      <w:r w:rsidRPr="007C42DF">
        <w:rPr>
          <w:rFonts w:ascii="Verdana" w:hAnsi="Verdana" w:cs="Arial"/>
          <w:spacing w:val="1"/>
          <w:sz w:val="18"/>
          <w:szCs w:val="18"/>
        </w:rPr>
        <w:t xml:space="preserve"> </w:t>
      </w:r>
      <w:r w:rsidRPr="007C42DF">
        <w:rPr>
          <w:rFonts w:ascii="Verdana" w:hAnsi="Verdana" w:cs="Arial"/>
          <w:sz w:val="18"/>
          <w:szCs w:val="18"/>
        </w:rPr>
        <w:t>del</w:t>
      </w:r>
      <w:r w:rsidRPr="007C42DF">
        <w:rPr>
          <w:rFonts w:ascii="Verdana" w:hAnsi="Verdana" w:cs="Arial"/>
          <w:spacing w:val="1"/>
          <w:sz w:val="18"/>
          <w:szCs w:val="18"/>
        </w:rPr>
        <w:t xml:space="preserve"> </w:t>
      </w:r>
      <w:r w:rsidRPr="007C42DF">
        <w:rPr>
          <w:rFonts w:ascii="Verdana" w:hAnsi="Verdana" w:cs="Arial"/>
          <w:sz w:val="18"/>
          <w:szCs w:val="18"/>
        </w:rPr>
        <w:t>Estado</w:t>
      </w:r>
      <w:r w:rsidRPr="007C42DF">
        <w:rPr>
          <w:rFonts w:ascii="Verdana" w:hAnsi="Verdana" w:cs="Arial"/>
          <w:spacing w:val="1"/>
          <w:sz w:val="18"/>
          <w:szCs w:val="18"/>
        </w:rPr>
        <w:t xml:space="preserve"> </w:t>
      </w:r>
      <w:r w:rsidRPr="007C42DF">
        <w:rPr>
          <w:rFonts w:ascii="Verdana" w:hAnsi="Verdana" w:cs="Arial"/>
          <w:sz w:val="18"/>
          <w:szCs w:val="18"/>
        </w:rPr>
        <w:t>podrán</w:t>
      </w:r>
      <w:r w:rsidRPr="007C42DF">
        <w:rPr>
          <w:rFonts w:ascii="Verdana" w:hAnsi="Verdana" w:cs="Arial"/>
          <w:spacing w:val="1"/>
          <w:sz w:val="18"/>
          <w:szCs w:val="18"/>
        </w:rPr>
        <w:t xml:space="preserve"> </w:t>
      </w:r>
      <w:r w:rsidRPr="007C42DF">
        <w:rPr>
          <w:rFonts w:ascii="Verdana" w:hAnsi="Verdana" w:cs="Arial"/>
          <w:sz w:val="18"/>
          <w:szCs w:val="18"/>
        </w:rPr>
        <w:t>contratar</w:t>
      </w:r>
      <w:r w:rsidRPr="007C42DF">
        <w:rPr>
          <w:rFonts w:ascii="Verdana" w:hAnsi="Verdana" w:cs="Arial"/>
          <w:spacing w:val="1"/>
          <w:sz w:val="18"/>
          <w:szCs w:val="18"/>
        </w:rPr>
        <w:t xml:space="preserve"> </w:t>
      </w:r>
      <w:r w:rsidRPr="007C42DF">
        <w:rPr>
          <w:rFonts w:ascii="Verdana" w:hAnsi="Verdana" w:cs="Arial"/>
          <w:sz w:val="18"/>
          <w:szCs w:val="18"/>
        </w:rPr>
        <w:t>de</w:t>
      </w:r>
      <w:r w:rsidRPr="007C42DF">
        <w:rPr>
          <w:rFonts w:ascii="Verdana" w:hAnsi="Verdana" w:cs="Arial"/>
          <w:spacing w:val="1"/>
          <w:sz w:val="18"/>
          <w:szCs w:val="18"/>
        </w:rPr>
        <w:t xml:space="preserve"> </w:t>
      </w:r>
      <w:r w:rsidRPr="007C42DF">
        <w:rPr>
          <w:rFonts w:ascii="Verdana" w:hAnsi="Verdana" w:cs="Arial"/>
          <w:sz w:val="18"/>
          <w:szCs w:val="18"/>
        </w:rPr>
        <w:t>manera</w:t>
      </w:r>
      <w:r w:rsidRPr="007C42DF">
        <w:rPr>
          <w:rFonts w:ascii="Verdana" w:hAnsi="Verdana" w:cs="Arial"/>
          <w:spacing w:val="1"/>
          <w:sz w:val="18"/>
          <w:szCs w:val="18"/>
        </w:rPr>
        <w:t xml:space="preserve"> </w:t>
      </w:r>
      <w:r w:rsidRPr="007C42DF">
        <w:rPr>
          <w:rFonts w:ascii="Verdana" w:hAnsi="Verdana" w:cs="Arial"/>
          <w:sz w:val="18"/>
          <w:szCs w:val="18"/>
        </w:rPr>
        <w:t>conjunta</w:t>
      </w:r>
      <w:r w:rsidRPr="007C42DF">
        <w:rPr>
          <w:rFonts w:ascii="Verdana" w:hAnsi="Verdana" w:cs="Arial"/>
          <w:spacing w:val="1"/>
          <w:sz w:val="18"/>
          <w:szCs w:val="18"/>
        </w:rPr>
        <w:t xml:space="preserve"> </w:t>
      </w:r>
      <w:r w:rsidRPr="007C42DF">
        <w:rPr>
          <w:rFonts w:ascii="Verdana" w:hAnsi="Verdana" w:cs="Arial"/>
          <w:sz w:val="18"/>
          <w:szCs w:val="18"/>
        </w:rPr>
        <w:t>sistemas</w:t>
      </w:r>
      <w:r w:rsidRPr="007C42DF">
        <w:rPr>
          <w:rFonts w:ascii="Verdana" w:hAnsi="Verdana" w:cs="Arial"/>
          <w:spacing w:val="-10"/>
          <w:sz w:val="18"/>
          <w:szCs w:val="18"/>
        </w:rPr>
        <w:t xml:space="preserve"> </w:t>
      </w:r>
      <w:r w:rsidRPr="007C42DF">
        <w:rPr>
          <w:rFonts w:ascii="Verdana" w:hAnsi="Verdana" w:cs="Arial"/>
          <w:sz w:val="18"/>
          <w:szCs w:val="18"/>
        </w:rPr>
        <w:t>de</w:t>
      </w:r>
      <w:r w:rsidRPr="007C42DF">
        <w:rPr>
          <w:rFonts w:ascii="Verdana" w:hAnsi="Verdana" w:cs="Arial"/>
          <w:spacing w:val="-10"/>
          <w:sz w:val="18"/>
          <w:szCs w:val="18"/>
        </w:rPr>
        <w:t xml:space="preserve"> </w:t>
      </w:r>
      <w:r w:rsidRPr="007C42DF">
        <w:rPr>
          <w:rFonts w:ascii="Verdana" w:hAnsi="Verdana" w:cs="Arial"/>
          <w:sz w:val="18"/>
          <w:szCs w:val="18"/>
        </w:rPr>
        <w:t>información,</w:t>
      </w:r>
      <w:r w:rsidRPr="007C42DF">
        <w:rPr>
          <w:rFonts w:ascii="Verdana" w:hAnsi="Verdana" w:cs="Arial"/>
          <w:spacing w:val="-10"/>
          <w:sz w:val="18"/>
          <w:szCs w:val="18"/>
        </w:rPr>
        <w:t xml:space="preserve"> </w:t>
      </w:r>
      <w:r w:rsidRPr="007C42DF">
        <w:rPr>
          <w:rFonts w:ascii="Verdana" w:hAnsi="Verdana" w:cs="Arial"/>
          <w:sz w:val="18"/>
          <w:szCs w:val="18"/>
        </w:rPr>
        <w:t>sistema</w:t>
      </w:r>
      <w:r w:rsidRPr="007C42DF">
        <w:rPr>
          <w:rFonts w:ascii="Verdana" w:hAnsi="Verdana" w:cs="Arial"/>
          <w:spacing w:val="-9"/>
          <w:sz w:val="18"/>
          <w:szCs w:val="18"/>
        </w:rPr>
        <w:t xml:space="preserve"> </w:t>
      </w:r>
      <w:r w:rsidRPr="007C42DF">
        <w:rPr>
          <w:rFonts w:ascii="Verdana" w:hAnsi="Verdana" w:cs="Arial"/>
          <w:sz w:val="18"/>
          <w:szCs w:val="18"/>
        </w:rPr>
        <w:t>de</w:t>
      </w:r>
      <w:r w:rsidRPr="007C42DF">
        <w:rPr>
          <w:rFonts w:ascii="Verdana" w:hAnsi="Verdana" w:cs="Arial"/>
          <w:spacing w:val="-10"/>
          <w:sz w:val="18"/>
          <w:szCs w:val="18"/>
        </w:rPr>
        <w:t xml:space="preserve"> </w:t>
      </w:r>
      <w:r w:rsidRPr="007C42DF">
        <w:rPr>
          <w:rFonts w:ascii="Verdana" w:hAnsi="Verdana" w:cs="Arial"/>
          <w:sz w:val="18"/>
          <w:szCs w:val="18"/>
        </w:rPr>
        <w:t>control</w:t>
      </w:r>
      <w:r w:rsidRPr="007C42DF">
        <w:rPr>
          <w:rFonts w:ascii="Verdana" w:hAnsi="Verdana" w:cs="Arial"/>
          <w:spacing w:val="-10"/>
          <w:sz w:val="18"/>
          <w:szCs w:val="18"/>
        </w:rPr>
        <w:t xml:space="preserve"> </w:t>
      </w:r>
      <w:r w:rsidRPr="007C42DF">
        <w:rPr>
          <w:rFonts w:ascii="Verdana" w:hAnsi="Verdana" w:cs="Arial"/>
          <w:sz w:val="18"/>
          <w:szCs w:val="18"/>
        </w:rPr>
        <w:t>interno,</w:t>
      </w:r>
      <w:r w:rsidRPr="007C42DF">
        <w:rPr>
          <w:rFonts w:ascii="Verdana" w:hAnsi="Verdana" w:cs="Arial"/>
          <w:spacing w:val="-9"/>
          <w:sz w:val="18"/>
          <w:szCs w:val="18"/>
        </w:rPr>
        <w:t xml:space="preserve"> </w:t>
      </w:r>
      <w:r w:rsidRPr="007C42DF">
        <w:rPr>
          <w:rFonts w:ascii="Verdana" w:hAnsi="Verdana" w:cs="Arial"/>
          <w:sz w:val="18"/>
          <w:szCs w:val="18"/>
        </w:rPr>
        <w:t>de</w:t>
      </w:r>
      <w:r w:rsidRPr="007C42DF">
        <w:rPr>
          <w:rFonts w:ascii="Verdana" w:hAnsi="Verdana" w:cs="Arial"/>
          <w:spacing w:val="-10"/>
          <w:sz w:val="18"/>
          <w:szCs w:val="18"/>
        </w:rPr>
        <w:t xml:space="preserve"> </w:t>
      </w:r>
      <w:r w:rsidRPr="007C42DF">
        <w:rPr>
          <w:rFonts w:ascii="Verdana" w:hAnsi="Verdana" w:cs="Arial"/>
          <w:sz w:val="18"/>
          <w:szCs w:val="18"/>
        </w:rPr>
        <w:t>interventorías,</w:t>
      </w:r>
      <w:r w:rsidRPr="007C42DF">
        <w:rPr>
          <w:rFonts w:ascii="Verdana" w:hAnsi="Verdana" w:cs="Arial"/>
          <w:spacing w:val="-10"/>
          <w:sz w:val="18"/>
          <w:szCs w:val="18"/>
        </w:rPr>
        <w:t xml:space="preserve"> </w:t>
      </w:r>
      <w:r w:rsidRPr="007C42DF">
        <w:rPr>
          <w:rFonts w:ascii="Verdana" w:hAnsi="Verdana" w:cs="Arial"/>
          <w:sz w:val="18"/>
          <w:szCs w:val="18"/>
        </w:rPr>
        <w:t>gestión</w:t>
      </w:r>
      <w:r w:rsidRPr="007C42DF">
        <w:rPr>
          <w:rFonts w:ascii="Verdana" w:hAnsi="Verdana" w:cs="Arial"/>
          <w:spacing w:val="-10"/>
          <w:sz w:val="18"/>
          <w:szCs w:val="18"/>
        </w:rPr>
        <w:t xml:space="preserve"> </w:t>
      </w:r>
      <w:r w:rsidRPr="007C42DF">
        <w:rPr>
          <w:rFonts w:ascii="Verdana" w:hAnsi="Verdana" w:cs="Arial"/>
          <w:sz w:val="18"/>
          <w:szCs w:val="18"/>
        </w:rPr>
        <w:t>de</w:t>
      </w:r>
      <w:r w:rsidRPr="007C42DF">
        <w:rPr>
          <w:rFonts w:ascii="Verdana" w:hAnsi="Verdana" w:cs="Arial"/>
          <w:spacing w:val="-9"/>
          <w:sz w:val="18"/>
          <w:szCs w:val="18"/>
        </w:rPr>
        <w:t xml:space="preserve"> </w:t>
      </w:r>
      <w:r w:rsidRPr="007C42DF">
        <w:rPr>
          <w:rFonts w:ascii="Verdana" w:hAnsi="Verdana" w:cs="Arial"/>
          <w:sz w:val="18"/>
          <w:szCs w:val="18"/>
        </w:rPr>
        <w:t>calidad</w:t>
      </w:r>
      <w:r w:rsidRPr="007C42DF">
        <w:rPr>
          <w:rFonts w:ascii="Verdana" w:hAnsi="Verdana" w:cs="Arial"/>
          <w:spacing w:val="-10"/>
          <w:sz w:val="18"/>
          <w:szCs w:val="18"/>
        </w:rPr>
        <w:t xml:space="preserve"> </w:t>
      </w:r>
      <w:r w:rsidRPr="007C42DF">
        <w:rPr>
          <w:rFonts w:ascii="Verdana" w:hAnsi="Verdana" w:cs="Arial"/>
          <w:sz w:val="18"/>
          <w:szCs w:val="18"/>
        </w:rPr>
        <w:t>y</w:t>
      </w:r>
      <w:r w:rsidRPr="007C42DF">
        <w:rPr>
          <w:rFonts w:ascii="Verdana" w:hAnsi="Verdana" w:cs="Arial"/>
          <w:spacing w:val="-10"/>
          <w:sz w:val="18"/>
          <w:szCs w:val="18"/>
        </w:rPr>
        <w:t xml:space="preserve"> </w:t>
      </w:r>
      <w:r w:rsidRPr="007C42DF">
        <w:rPr>
          <w:rFonts w:ascii="Verdana" w:hAnsi="Verdana" w:cs="Arial"/>
          <w:sz w:val="18"/>
          <w:szCs w:val="18"/>
        </w:rPr>
        <w:t>auditorías,</w:t>
      </w:r>
      <w:r w:rsidRPr="007C42DF">
        <w:rPr>
          <w:rFonts w:ascii="Verdana" w:hAnsi="Verdana" w:cs="Arial"/>
          <w:spacing w:val="1"/>
          <w:sz w:val="18"/>
          <w:szCs w:val="18"/>
        </w:rPr>
        <w:t xml:space="preserve"> </w:t>
      </w:r>
      <w:r w:rsidRPr="007C42DF">
        <w:rPr>
          <w:rFonts w:ascii="Verdana" w:hAnsi="Verdana" w:cs="Arial"/>
          <w:sz w:val="18"/>
          <w:szCs w:val="18"/>
        </w:rPr>
        <w:t>de</w:t>
      </w:r>
      <w:r w:rsidRPr="007C42DF">
        <w:rPr>
          <w:rFonts w:ascii="Verdana" w:hAnsi="Verdana" w:cs="Arial"/>
          <w:spacing w:val="1"/>
          <w:sz w:val="18"/>
          <w:szCs w:val="18"/>
        </w:rPr>
        <w:t xml:space="preserve"> </w:t>
      </w:r>
      <w:r w:rsidRPr="007C42DF">
        <w:rPr>
          <w:rFonts w:ascii="Verdana" w:hAnsi="Verdana" w:cs="Arial"/>
          <w:sz w:val="18"/>
          <w:szCs w:val="18"/>
        </w:rPr>
        <w:t>recurso</w:t>
      </w:r>
      <w:r w:rsidRPr="007C42DF">
        <w:rPr>
          <w:rFonts w:ascii="Verdana" w:hAnsi="Verdana" w:cs="Arial"/>
          <w:spacing w:val="1"/>
          <w:sz w:val="18"/>
          <w:szCs w:val="18"/>
        </w:rPr>
        <w:t xml:space="preserve"> </w:t>
      </w:r>
      <w:r w:rsidRPr="007C42DF">
        <w:rPr>
          <w:rFonts w:ascii="Verdana" w:hAnsi="Verdana" w:cs="Arial"/>
          <w:sz w:val="18"/>
          <w:szCs w:val="18"/>
        </w:rPr>
        <w:t>humano</w:t>
      </w:r>
      <w:r w:rsidRPr="007C42DF">
        <w:rPr>
          <w:rFonts w:ascii="Verdana" w:hAnsi="Verdana" w:cs="Arial"/>
          <w:spacing w:val="1"/>
          <w:sz w:val="18"/>
          <w:szCs w:val="18"/>
        </w:rPr>
        <w:t xml:space="preserve"> </w:t>
      </w:r>
      <w:r w:rsidRPr="007C42DF">
        <w:rPr>
          <w:rFonts w:ascii="Verdana" w:hAnsi="Verdana" w:cs="Arial"/>
          <w:sz w:val="18"/>
          <w:szCs w:val="18"/>
        </w:rPr>
        <w:t>y</w:t>
      </w:r>
      <w:r w:rsidRPr="007C42DF">
        <w:rPr>
          <w:rFonts w:ascii="Verdana" w:hAnsi="Verdana" w:cs="Arial"/>
          <w:spacing w:val="1"/>
          <w:sz w:val="18"/>
          <w:szCs w:val="18"/>
        </w:rPr>
        <w:t xml:space="preserve"> </w:t>
      </w:r>
      <w:r w:rsidRPr="007C42DF">
        <w:rPr>
          <w:rFonts w:ascii="Verdana" w:hAnsi="Verdana" w:cs="Arial"/>
          <w:sz w:val="18"/>
          <w:szCs w:val="18"/>
        </w:rPr>
        <w:t>demás</w:t>
      </w:r>
      <w:r w:rsidRPr="007C42DF">
        <w:rPr>
          <w:rFonts w:ascii="Verdana" w:hAnsi="Verdana" w:cs="Arial"/>
          <w:spacing w:val="1"/>
          <w:sz w:val="18"/>
          <w:szCs w:val="18"/>
        </w:rPr>
        <w:t xml:space="preserve"> </w:t>
      </w:r>
      <w:r w:rsidRPr="007C42DF">
        <w:rPr>
          <w:rFonts w:ascii="Verdana" w:hAnsi="Verdana" w:cs="Arial"/>
          <w:sz w:val="18"/>
          <w:szCs w:val="18"/>
        </w:rPr>
        <w:t>funciones</w:t>
      </w:r>
      <w:r w:rsidRPr="007C42DF">
        <w:rPr>
          <w:rFonts w:ascii="Verdana" w:hAnsi="Verdana" w:cs="Arial"/>
          <w:spacing w:val="1"/>
          <w:sz w:val="18"/>
          <w:szCs w:val="18"/>
        </w:rPr>
        <w:t xml:space="preserve"> </w:t>
      </w:r>
      <w:r w:rsidRPr="007C42DF">
        <w:rPr>
          <w:rFonts w:ascii="Verdana" w:hAnsi="Verdana" w:cs="Arial"/>
          <w:sz w:val="18"/>
          <w:szCs w:val="18"/>
        </w:rPr>
        <w:t>administrativas,</w:t>
      </w:r>
      <w:r w:rsidRPr="007C42DF">
        <w:rPr>
          <w:rFonts w:ascii="Verdana" w:hAnsi="Verdana" w:cs="Arial"/>
          <w:spacing w:val="1"/>
          <w:sz w:val="18"/>
          <w:szCs w:val="18"/>
        </w:rPr>
        <w:t xml:space="preserve"> </w:t>
      </w:r>
      <w:r w:rsidRPr="007C42DF">
        <w:rPr>
          <w:rFonts w:ascii="Verdana" w:hAnsi="Verdana" w:cs="Arial"/>
          <w:sz w:val="18"/>
          <w:szCs w:val="18"/>
        </w:rPr>
        <w:t>para</w:t>
      </w:r>
      <w:r w:rsidRPr="007C42DF">
        <w:rPr>
          <w:rFonts w:ascii="Verdana" w:hAnsi="Verdana" w:cs="Arial"/>
          <w:spacing w:val="1"/>
          <w:sz w:val="18"/>
          <w:szCs w:val="18"/>
        </w:rPr>
        <w:t xml:space="preserve"> </w:t>
      </w:r>
      <w:r w:rsidRPr="007C42DF">
        <w:rPr>
          <w:rFonts w:ascii="Verdana" w:hAnsi="Verdana" w:cs="Arial"/>
          <w:sz w:val="18"/>
          <w:szCs w:val="18"/>
        </w:rPr>
        <w:t>el</w:t>
      </w:r>
      <w:r w:rsidRPr="007C42DF">
        <w:rPr>
          <w:rFonts w:ascii="Verdana" w:hAnsi="Verdana" w:cs="Arial"/>
          <w:spacing w:val="1"/>
          <w:sz w:val="18"/>
          <w:szCs w:val="18"/>
        </w:rPr>
        <w:t xml:space="preserve"> </w:t>
      </w:r>
      <w:r w:rsidRPr="007C42DF">
        <w:rPr>
          <w:rFonts w:ascii="Verdana" w:hAnsi="Verdana" w:cs="Arial"/>
          <w:sz w:val="18"/>
          <w:szCs w:val="18"/>
        </w:rPr>
        <w:t>desarrollo</w:t>
      </w:r>
      <w:r w:rsidRPr="007C42DF">
        <w:rPr>
          <w:rFonts w:ascii="Verdana" w:hAnsi="Verdana" w:cs="Arial"/>
          <w:spacing w:val="1"/>
          <w:sz w:val="18"/>
          <w:szCs w:val="18"/>
        </w:rPr>
        <w:t xml:space="preserve"> </w:t>
      </w:r>
      <w:r w:rsidRPr="007C42DF">
        <w:rPr>
          <w:rFonts w:ascii="Verdana" w:hAnsi="Verdana" w:cs="Arial"/>
          <w:sz w:val="18"/>
          <w:szCs w:val="18"/>
        </w:rPr>
        <w:t>de</w:t>
      </w:r>
      <w:r w:rsidRPr="007C42DF">
        <w:rPr>
          <w:rFonts w:ascii="Verdana" w:hAnsi="Verdana" w:cs="Arial"/>
          <w:spacing w:val="1"/>
          <w:sz w:val="18"/>
          <w:szCs w:val="18"/>
        </w:rPr>
        <w:t xml:space="preserve"> </w:t>
      </w:r>
      <w:r w:rsidRPr="007C42DF">
        <w:rPr>
          <w:rFonts w:ascii="Verdana" w:hAnsi="Verdana" w:cs="Arial"/>
          <w:sz w:val="18"/>
          <w:szCs w:val="18"/>
        </w:rPr>
        <w:t>actividades</w:t>
      </w:r>
      <w:r w:rsidRPr="007C42DF">
        <w:rPr>
          <w:rFonts w:ascii="Verdana" w:hAnsi="Verdana" w:cs="Arial"/>
          <w:spacing w:val="1"/>
          <w:sz w:val="18"/>
          <w:szCs w:val="18"/>
        </w:rPr>
        <w:t xml:space="preserve"> </w:t>
      </w:r>
      <w:r w:rsidRPr="007C42DF">
        <w:rPr>
          <w:rFonts w:ascii="Verdana" w:hAnsi="Verdana" w:cs="Arial"/>
          <w:sz w:val="18"/>
          <w:szCs w:val="18"/>
        </w:rPr>
        <w:t>especializadas, de tipo operativo y de apoyo que puedan cubrir las necesidades de la empresa, de</w:t>
      </w:r>
      <w:r w:rsidRPr="007C42DF">
        <w:rPr>
          <w:rFonts w:ascii="Verdana" w:hAnsi="Verdana" w:cs="Arial"/>
          <w:spacing w:val="1"/>
          <w:sz w:val="18"/>
          <w:szCs w:val="18"/>
        </w:rPr>
        <w:t xml:space="preserve"> </w:t>
      </w:r>
      <w:r w:rsidRPr="007C42DF">
        <w:rPr>
          <w:rFonts w:ascii="Verdana" w:hAnsi="Verdana" w:cs="Arial"/>
          <w:sz w:val="18"/>
          <w:szCs w:val="18"/>
        </w:rPr>
        <w:t>forma</w:t>
      </w:r>
      <w:r w:rsidRPr="007C42DF">
        <w:rPr>
          <w:rFonts w:ascii="Verdana" w:hAnsi="Verdana" w:cs="Arial"/>
          <w:spacing w:val="-2"/>
          <w:sz w:val="18"/>
          <w:szCs w:val="18"/>
        </w:rPr>
        <w:t xml:space="preserve"> </w:t>
      </w:r>
      <w:r w:rsidRPr="007C42DF">
        <w:rPr>
          <w:rFonts w:ascii="Verdana" w:hAnsi="Verdana" w:cs="Arial"/>
          <w:sz w:val="18"/>
          <w:szCs w:val="18"/>
        </w:rPr>
        <w:t>tal</w:t>
      </w:r>
      <w:r w:rsidRPr="007C42DF">
        <w:rPr>
          <w:rFonts w:ascii="Verdana" w:hAnsi="Verdana" w:cs="Arial"/>
          <w:spacing w:val="-2"/>
          <w:sz w:val="18"/>
          <w:szCs w:val="18"/>
        </w:rPr>
        <w:t xml:space="preserve"> </w:t>
      </w:r>
      <w:r w:rsidRPr="007C42DF">
        <w:rPr>
          <w:rFonts w:ascii="Verdana" w:hAnsi="Verdana" w:cs="Arial"/>
          <w:sz w:val="18"/>
          <w:szCs w:val="18"/>
        </w:rPr>
        <w:t>que</w:t>
      </w:r>
      <w:r w:rsidRPr="007C42DF">
        <w:rPr>
          <w:rFonts w:ascii="Verdana" w:hAnsi="Verdana" w:cs="Arial"/>
          <w:spacing w:val="-2"/>
          <w:sz w:val="18"/>
          <w:szCs w:val="18"/>
        </w:rPr>
        <w:t xml:space="preserve"> </w:t>
      </w:r>
      <w:r w:rsidRPr="007C42DF">
        <w:rPr>
          <w:rFonts w:ascii="Verdana" w:hAnsi="Verdana" w:cs="Arial"/>
          <w:sz w:val="18"/>
          <w:szCs w:val="18"/>
        </w:rPr>
        <w:t>la</w:t>
      </w:r>
      <w:r w:rsidRPr="007C42DF">
        <w:rPr>
          <w:rFonts w:ascii="Verdana" w:hAnsi="Verdana" w:cs="Arial"/>
          <w:spacing w:val="-1"/>
          <w:sz w:val="18"/>
          <w:szCs w:val="18"/>
        </w:rPr>
        <w:t xml:space="preserve"> </w:t>
      </w:r>
      <w:r w:rsidRPr="007C42DF">
        <w:rPr>
          <w:rFonts w:ascii="Verdana" w:hAnsi="Verdana" w:cs="Arial"/>
          <w:sz w:val="18"/>
          <w:szCs w:val="18"/>
        </w:rPr>
        <w:t>gestión</w:t>
      </w:r>
      <w:r w:rsidRPr="007C42DF">
        <w:rPr>
          <w:rFonts w:ascii="Verdana" w:hAnsi="Verdana" w:cs="Arial"/>
          <w:spacing w:val="-2"/>
          <w:sz w:val="18"/>
          <w:szCs w:val="18"/>
        </w:rPr>
        <w:t xml:space="preserve"> </w:t>
      </w:r>
      <w:r w:rsidRPr="007C42DF">
        <w:rPr>
          <w:rFonts w:ascii="Verdana" w:hAnsi="Verdana" w:cs="Arial"/>
          <w:sz w:val="18"/>
          <w:szCs w:val="18"/>
        </w:rPr>
        <w:t>resulte</w:t>
      </w:r>
      <w:r w:rsidRPr="007C42DF">
        <w:rPr>
          <w:rFonts w:ascii="Verdana" w:hAnsi="Verdana" w:cs="Arial"/>
          <w:spacing w:val="-2"/>
          <w:sz w:val="18"/>
          <w:szCs w:val="18"/>
        </w:rPr>
        <w:t xml:space="preserve"> </w:t>
      </w:r>
      <w:r w:rsidRPr="007C42DF">
        <w:rPr>
          <w:rFonts w:ascii="Verdana" w:hAnsi="Verdana" w:cs="Arial"/>
          <w:sz w:val="18"/>
          <w:szCs w:val="18"/>
        </w:rPr>
        <w:t>más</w:t>
      </w:r>
      <w:r w:rsidRPr="007C42DF">
        <w:rPr>
          <w:rFonts w:ascii="Verdana" w:hAnsi="Verdana" w:cs="Arial"/>
          <w:spacing w:val="-1"/>
          <w:sz w:val="18"/>
          <w:szCs w:val="18"/>
        </w:rPr>
        <w:t xml:space="preserve"> </w:t>
      </w:r>
      <w:r w:rsidRPr="007C42DF">
        <w:rPr>
          <w:rFonts w:ascii="Verdana" w:hAnsi="Verdana" w:cs="Arial"/>
          <w:sz w:val="18"/>
          <w:szCs w:val="18"/>
        </w:rPr>
        <w:t>eficiente,</w:t>
      </w:r>
      <w:r w:rsidRPr="007C42DF">
        <w:rPr>
          <w:rFonts w:ascii="Verdana" w:hAnsi="Verdana" w:cs="Arial"/>
          <w:spacing w:val="-2"/>
          <w:sz w:val="18"/>
          <w:szCs w:val="18"/>
        </w:rPr>
        <w:t xml:space="preserve"> </w:t>
      </w:r>
      <w:r w:rsidRPr="007C42DF">
        <w:rPr>
          <w:rFonts w:ascii="Verdana" w:hAnsi="Verdana" w:cs="Arial"/>
          <w:sz w:val="18"/>
          <w:szCs w:val="18"/>
        </w:rPr>
        <w:t>con</w:t>
      </w:r>
      <w:r w:rsidRPr="007C42DF">
        <w:rPr>
          <w:rFonts w:ascii="Verdana" w:hAnsi="Verdana" w:cs="Arial"/>
          <w:spacing w:val="-2"/>
          <w:sz w:val="18"/>
          <w:szCs w:val="18"/>
        </w:rPr>
        <w:t xml:space="preserve"> </w:t>
      </w:r>
      <w:r w:rsidRPr="007C42DF">
        <w:rPr>
          <w:rFonts w:ascii="Verdana" w:hAnsi="Verdana" w:cs="Arial"/>
          <w:sz w:val="18"/>
          <w:szCs w:val="18"/>
        </w:rPr>
        <w:t>calidad</w:t>
      </w:r>
      <w:r w:rsidRPr="007C42DF">
        <w:rPr>
          <w:rFonts w:ascii="Verdana" w:hAnsi="Verdana" w:cs="Arial"/>
          <w:spacing w:val="-1"/>
          <w:sz w:val="18"/>
          <w:szCs w:val="18"/>
        </w:rPr>
        <w:t xml:space="preserve"> </w:t>
      </w:r>
      <w:r w:rsidRPr="007C42DF">
        <w:rPr>
          <w:rFonts w:ascii="Verdana" w:hAnsi="Verdana" w:cs="Arial"/>
          <w:sz w:val="18"/>
          <w:szCs w:val="18"/>
        </w:rPr>
        <w:t>e</w:t>
      </w:r>
      <w:r w:rsidRPr="007C42DF">
        <w:rPr>
          <w:rFonts w:ascii="Verdana" w:hAnsi="Verdana" w:cs="Arial"/>
          <w:spacing w:val="-2"/>
          <w:sz w:val="18"/>
          <w:szCs w:val="18"/>
        </w:rPr>
        <w:t xml:space="preserve"> </w:t>
      </w:r>
      <w:r w:rsidRPr="007C42DF">
        <w:rPr>
          <w:rFonts w:ascii="Verdana" w:hAnsi="Verdana" w:cs="Arial"/>
          <w:sz w:val="18"/>
          <w:szCs w:val="18"/>
        </w:rPr>
        <w:t>implique</w:t>
      </w:r>
      <w:r w:rsidRPr="007C42DF">
        <w:rPr>
          <w:rFonts w:ascii="Verdana" w:hAnsi="Verdana" w:cs="Arial"/>
          <w:spacing w:val="-2"/>
          <w:sz w:val="18"/>
          <w:szCs w:val="18"/>
        </w:rPr>
        <w:t xml:space="preserve"> </w:t>
      </w:r>
      <w:r w:rsidRPr="007C42DF">
        <w:rPr>
          <w:rFonts w:ascii="Verdana" w:hAnsi="Verdana" w:cs="Arial"/>
          <w:sz w:val="18"/>
          <w:szCs w:val="18"/>
        </w:rPr>
        <w:t>menor</w:t>
      </w:r>
      <w:r w:rsidRPr="007C42DF">
        <w:rPr>
          <w:rFonts w:ascii="Verdana" w:hAnsi="Verdana" w:cs="Arial"/>
          <w:spacing w:val="-2"/>
          <w:sz w:val="18"/>
          <w:szCs w:val="18"/>
        </w:rPr>
        <w:t xml:space="preserve"> </w:t>
      </w:r>
      <w:r w:rsidRPr="007C42DF">
        <w:rPr>
          <w:rFonts w:ascii="Verdana" w:hAnsi="Verdana" w:cs="Arial"/>
          <w:sz w:val="18"/>
          <w:szCs w:val="18"/>
        </w:rPr>
        <w:t>costo.</w:t>
      </w:r>
    </w:p>
    <w:p w14:paraId="68B96373" w14:textId="77777777" w:rsidR="00E85C97" w:rsidRPr="007C42DF" w:rsidRDefault="00E85C97" w:rsidP="00E85C97">
      <w:pPr>
        <w:spacing w:after="0" w:line="240" w:lineRule="auto"/>
        <w:ind w:firstLine="709"/>
        <w:contextualSpacing/>
        <w:jc w:val="both"/>
        <w:rPr>
          <w:rFonts w:ascii="Verdana" w:hAnsi="Verdana" w:cs="Arial"/>
          <w:sz w:val="18"/>
          <w:szCs w:val="18"/>
        </w:rPr>
      </w:pPr>
    </w:p>
    <w:p w14:paraId="2B29330E" w14:textId="77777777" w:rsidR="00E85C97" w:rsidRPr="007C42DF" w:rsidRDefault="00E85C97" w:rsidP="00E85C97">
      <w:pPr>
        <w:spacing w:after="0" w:line="240" w:lineRule="auto"/>
        <w:ind w:firstLine="709"/>
        <w:contextualSpacing/>
        <w:jc w:val="both"/>
        <w:rPr>
          <w:rFonts w:ascii="Verdana" w:hAnsi="Verdana" w:cs="Arial"/>
          <w:sz w:val="18"/>
          <w:szCs w:val="18"/>
        </w:rPr>
      </w:pPr>
      <w:r w:rsidRPr="007C42DF">
        <w:rPr>
          <w:rFonts w:ascii="Verdana" w:hAnsi="Verdana" w:cs="Arial"/>
          <w:sz w:val="18"/>
          <w:szCs w:val="18"/>
        </w:rPr>
        <w:t>Estas</w:t>
      </w:r>
      <w:r w:rsidRPr="007C42DF">
        <w:rPr>
          <w:rFonts w:ascii="Verdana" w:hAnsi="Verdana" w:cs="Arial"/>
          <w:spacing w:val="1"/>
          <w:sz w:val="18"/>
          <w:szCs w:val="18"/>
        </w:rPr>
        <w:t xml:space="preserve"> </w:t>
      </w:r>
      <w:r w:rsidRPr="007C42DF">
        <w:rPr>
          <w:rFonts w:ascii="Verdana" w:hAnsi="Verdana" w:cs="Arial"/>
          <w:sz w:val="18"/>
          <w:szCs w:val="18"/>
        </w:rPr>
        <w:t>instituciones</w:t>
      </w:r>
      <w:r w:rsidRPr="007C42DF">
        <w:rPr>
          <w:rFonts w:ascii="Verdana" w:hAnsi="Verdana" w:cs="Arial"/>
          <w:spacing w:val="1"/>
          <w:sz w:val="18"/>
          <w:szCs w:val="18"/>
        </w:rPr>
        <w:t xml:space="preserve"> </w:t>
      </w:r>
      <w:r w:rsidRPr="007C42DF">
        <w:rPr>
          <w:rFonts w:ascii="Verdana" w:hAnsi="Verdana" w:cs="Arial"/>
          <w:sz w:val="18"/>
          <w:szCs w:val="18"/>
        </w:rPr>
        <w:t>podrán</w:t>
      </w:r>
      <w:r w:rsidRPr="007C42DF">
        <w:rPr>
          <w:rFonts w:ascii="Verdana" w:hAnsi="Verdana" w:cs="Arial"/>
          <w:spacing w:val="1"/>
          <w:sz w:val="18"/>
          <w:szCs w:val="18"/>
        </w:rPr>
        <w:t xml:space="preserve"> </w:t>
      </w:r>
      <w:r w:rsidRPr="007C42DF">
        <w:rPr>
          <w:rFonts w:ascii="Verdana" w:hAnsi="Verdana" w:cs="Arial"/>
          <w:sz w:val="18"/>
          <w:szCs w:val="18"/>
        </w:rPr>
        <w:t>utilizar</w:t>
      </w:r>
      <w:r w:rsidRPr="007C42DF">
        <w:rPr>
          <w:rFonts w:ascii="Verdana" w:hAnsi="Verdana" w:cs="Arial"/>
          <w:spacing w:val="1"/>
          <w:sz w:val="18"/>
          <w:szCs w:val="18"/>
        </w:rPr>
        <w:t xml:space="preserve"> </w:t>
      </w:r>
      <w:r w:rsidRPr="007C42DF">
        <w:rPr>
          <w:rFonts w:ascii="Verdana" w:hAnsi="Verdana" w:cs="Arial"/>
          <w:sz w:val="18"/>
          <w:szCs w:val="18"/>
        </w:rPr>
        <w:t>mecanismos</w:t>
      </w:r>
      <w:r w:rsidRPr="007C42DF">
        <w:rPr>
          <w:rFonts w:ascii="Verdana" w:hAnsi="Verdana" w:cs="Arial"/>
          <w:spacing w:val="1"/>
          <w:sz w:val="18"/>
          <w:szCs w:val="18"/>
        </w:rPr>
        <w:t xml:space="preserve"> </w:t>
      </w:r>
      <w:r w:rsidRPr="007C42DF">
        <w:rPr>
          <w:rFonts w:ascii="Verdana" w:hAnsi="Verdana" w:cs="Arial"/>
          <w:sz w:val="18"/>
          <w:szCs w:val="18"/>
        </w:rPr>
        <w:t>de</w:t>
      </w:r>
      <w:r w:rsidRPr="007C42DF">
        <w:rPr>
          <w:rFonts w:ascii="Verdana" w:hAnsi="Verdana" w:cs="Arial"/>
          <w:spacing w:val="1"/>
          <w:sz w:val="18"/>
          <w:szCs w:val="18"/>
        </w:rPr>
        <w:t xml:space="preserve"> </w:t>
      </w:r>
      <w:r w:rsidRPr="007C42DF">
        <w:rPr>
          <w:rFonts w:ascii="Verdana" w:hAnsi="Verdana" w:cs="Arial"/>
          <w:sz w:val="18"/>
          <w:szCs w:val="18"/>
        </w:rPr>
        <w:t>subasta</w:t>
      </w:r>
      <w:r w:rsidRPr="007C42DF">
        <w:rPr>
          <w:rFonts w:ascii="Verdana" w:hAnsi="Verdana" w:cs="Arial"/>
          <w:spacing w:val="1"/>
          <w:sz w:val="18"/>
          <w:szCs w:val="18"/>
        </w:rPr>
        <w:t xml:space="preserve"> </w:t>
      </w:r>
      <w:r w:rsidRPr="007C42DF">
        <w:rPr>
          <w:rFonts w:ascii="Verdana" w:hAnsi="Verdana" w:cs="Arial"/>
          <w:sz w:val="18"/>
          <w:szCs w:val="18"/>
        </w:rPr>
        <w:t>inversa</w:t>
      </w:r>
      <w:r w:rsidRPr="007C42DF">
        <w:rPr>
          <w:rFonts w:ascii="Verdana" w:hAnsi="Verdana" w:cs="Arial"/>
          <w:spacing w:val="1"/>
          <w:sz w:val="18"/>
          <w:szCs w:val="18"/>
        </w:rPr>
        <w:t xml:space="preserve"> </w:t>
      </w:r>
      <w:r w:rsidRPr="007C42DF">
        <w:rPr>
          <w:rFonts w:ascii="Verdana" w:hAnsi="Verdana" w:cs="Arial"/>
          <w:sz w:val="18"/>
          <w:szCs w:val="18"/>
        </w:rPr>
        <w:t>para</w:t>
      </w:r>
      <w:r w:rsidRPr="007C42DF">
        <w:rPr>
          <w:rFonts w:ascii="Verdana" w:hAnsi="Verdana" w:cs="Arial"/>
          <w:spacing w:val="1"/>
          <w:sz w:val="18"/>
          <w:szCs w:val="18"/>
        </w:rPr>
        <w:t xml:space="preserve"> </w:t>
      </w:r>
      <w:r w:rsidRPr="007C42DF">
        <w:rPr>
          <w:rFonts w:ascii="Verdana" w:hAnsi="Verdana" w:cs="Arial"/>
          <w:sz w:val="18"/>
          <w:szCs w:val="18"/>
        </w:rPr>
        <w:t>lograr</w:t>
      </w:r>
      <w:r w:rsidRPr="007C42DF">
        <w:rPr>
          <w:rFonts w:ascii="Verdana" w:hAnsi="Verdana" w:cs="Arial"/>
          <w:spacing w:val="1"/>
          <w:sz w:val="18"/>
          <w:szCs w:val="18"/>
        </w:rPr>
        <w:t xml:space="preserve"> </w:t>
      </w:r>
      <w:r w:rsidRPr="007C42DF">
        <w:rPr>
          <w:rFonts w:ascii="Verdana" w:hAnsi="Verdana" w:cs="Arial"/>
          <w:sz w:val="18"/>
          <w:szCs w:val="18"/>
        </w:rPr>
        <w:t>mayor</w:t>
      </w:r>
      <w:r w:rsidRPr="007C42DF">
        <w:rPr>
          <w:rFonts w:ascii="Verdana" w:hAnsi="Verdana" w:cs="Arial"/>
          <w:spacing w:val="-50"/>
          <w:sz w:val="18"/>
          <w:szCs w:val="18"/>
        </w:rPr>
        <w:t xml:space="preserve"> </w:t>
      </w:r>
      <w:r w:rsidRPr="007C42DF">
        <w:rPr>
          <w:rFonts w:ascii="Verdana" w:hAnsi="Verdana" w:cs="Arial"/>
          <w:sz w:val="18"/>
          <w:szCs w:val="18"/>
        </w:rPr>
        <w:t>eficiencia</w:t>
      </w:r>
      <w:r w:rsidRPr="007C42DF">
        <w:rPr>
          <w:rFonts w:ascii="Verdana" w:hAnsi="Verdana" w:cs="Arial"/>
          <w:spacing w:val="-2"/>
          <w:sz w:val="18"/>
          <w:szCs w:val="18"/>
        </w:rPr>
        <w:t xml:space="preserve"> </w:t>
      </w:r>
      <w:r w:rsidRPr="007C42DF">
        <w:rPr>
          <w:rFonts w:ascii="Verdana" w:hAnsi="Verdana" w:cs="Arial"/>
          <w:sz w:val="18"/>
          <w:szCs w:val="18"/>
        </w:rPr>
        <w:t>en</w:t>
      </w:r>
      <w:r w:rsidRPr="007C42DF">
        <w:rPr>
          <w:rFonts w:ascii="Verdana" w:hAnsi="Verdana" w:cs="Arial"/>
          <w:spacing w:val="-1"/>
          <w:sz w:val="18"/>
          <w:szCs w:val="18"/>
        </w:rPr>
        <w:t xml:space="preserve"> </w:t>
      </w:r>
      <w:r w:rsidRPr="007C42DF">
        <w:rPr>
          <w:rFonts w:ascii="Verdana" w:hAnsi="Verdana" w:cs="Arial"/>
          <w:sz w:val="18"/>
          <w:szCs w:val="18"/>
        </w:rPr>
        <w:t>sus</w:t>
      </w:r>
      <w:r w:rsidRPr="007C42DF">
        <w:rPr>
          <w:rFonts w:ascii="Verdana" w:hAnsi="Verdana" w:cs="Arial"/>
          <w:spacing w:val="-1"/>
          <w:sz w:val="18"/>
          <w:szCs w:val="18"/>
        </w:rPr>
        <w:t xml:space="preserve"> </w:t>
      </w:r>
      <w:r w:rsidRPr="007C42DF">
        <w:rPr>
          <w:rFonts w:ascii="Verdana" w:hAnsi="Verdana" w:cs="Arial"/>
          <w:sz w:val="18"/>
          <w:szCs w:val="18"/>
        </w:rPr>
        <w:t>adquisiciones”.</w:t>
      </w:r>
    </w:p>
    <w:p w14:paraId="669878B9" w14:textId="77777777" w:rsidR="00E85C97" w:rsidRPr="007C42DF" w:rsidRDefault="00E85C97" w:rsidP="00E85C97">
      <w:pPr>
        <w:spacing w:after="0" w:line="240" w:lineRule="auto"/>
        <w:ind w:firstLine="709"/>
        <w:contextualSpacing/>
        <w:jc w:val="both"/>
        <w:rPr>
          <w:rFonts w:ascii="Verdana" w:hAnsi="Verdana" w:cs="Arial"/>
          <w:sz w:val="18"/>
          <w:szCs w:val="18"/>
        </w:rPr>
      </w:pPr>
    </w:p>
  </w:footnote>
  <w:footnote w:id="12">
    <w:p w14:paraId="025C4CD8" w14:textId="77777777" w:rsidR="00E85C97" w:rsidRPr="003576C9" w:rsidRDefault="00E85C97" w:rsidP="00E85C97">
      <w:pPr>
        <w:pStyle w:val="NormalWeb"/>
        <w:spacing w:before="0" w:beforeAutospacing="0" w:after="0" w:afterAutospacing="0"/>
        <w:ind w:firstLine="709"/>
        <w:contextualSpacing/>
        <w:jc w:val="both"/>
        <w:rPr>
          <w:rFonts w:ascii="Verdana" w:hAnsi="Verdana" w:cs="Arial"/>
          <w:color w:val="333333"/>
          <w:sz w:val="18"/>
          <w:szCs w:val="18"/>
        </w:rPr>
      </w:pPr>
      <w:r w:rsidRPr="003576C9">
        <w:rPr>
          <w:rStyle w:val="Refdenotaalpie"/>
          <w:rFonts w:ascii="Verdana" w:hAnsi="Verdana" w:cs="Arial"/>
          <w:sz w:val="18"/>
          <w:szCs w:val="18"/>
        </w:rPr>
        <w:footnoteRef/>
      </w:r>
      <w:r w:rsidRPr="003576C9">
        <w:rPr>
          <w:rFonts w:ascii="Verdana" w:hAnsi="Verdana" w:cs="Arial"/>
          <w:sz w:val="18"/>
          <w:szCs w:val="18"/>
        </w:rPr>
        <w:t xml:space="preserve"> </w:t>
      </w:r>
      <w:r w:rsidRPr="003576C9">
        <w:rPr>
          <w:rFonts w:ascii="Verdana" w:hAnsi="Verdana" w:cs="Arial"/>
          <w:color w:val="333333"/>
          <w:sz w:val="18"/>
          <w:szCs w:val="18"/>
        </w:rPr>
        <w:t>Artículo 11. </w:t>
      </w:r>
      <w:r w:rsidRPr="003576C9">
        <w:rPr>
          <w:rFonts w:ascii="Verdana" w:hAnsi="Verdana" w:cs="Arial"/>
          <w:i/>
          <w:color w:val="333333"/>
          <w:sz w:val="18"/>
          <w:szCs w:val="18"/>
        </w:rPr>
        <w:t>Fase de contratación</w:t>
      </w:r>
      <w:r w:rsidRPr="003576C9">
        <w:rPr>
          <w:rFonts w:ascii="Verdana" w:hAnsi="Verdana" w:cs="Arial"/>
          <w:color w:val="333333"/>
          <w:sz w:val="18"/>
          <w:szCs w:val="18"/>
        </w:rPr>
        <w:t>. Corresponde al período comprendido entre la sus</w:t>
      </w:r>
      <w:r w:rsidRPr="003576C9">
        <w:rPr>
          <w:rFonts w:ascii="Verdana" w:hAnsi="Verdana" w:cs="Arial"/>
          <w:color w:val="333333"/>
          <w:sz w:val="18"/>
          <w:szCs w:val="18"/>
        </w:rPr>
        <w:softHyphen/>
        <w:t>cripción del contrato y la publicación en el Secop, pasando por la obtención del registro presupuestal y la aprobación de las garantías si las hay.</w:t>
      </w:r>
    </w:p>
    <w:p w14:paraId="29FCA2B5" w14:textId="77777777" w:rsidR="00E85C97" w:rsidRPr="003576C9" w:rsidRDefault="00E85C97" w:rsidP="00E85C97">
      <w:pPr>
        <w:spacing w:after="0" w:line="240" w:lineRule="auto"/>
        <w:ind w:firstLine="709"/>
        <w:contextualSpacing/>
        <w:jc w:val="both"/>
        <w:rPr>
          <w:rFonts w:ascii="Verdana" w:eastAsia="Times New Roman" w:hAnsi="Verdana" w:cs="Arial"/>
          <w:color w:val="333333"/>
          <w:sz w:val="18"/>
          <w:szCs w:val="18"/>
          <w:lang w:eastAsia="es-CO"/>
        </w:rPr>
      </w:pPr>
      <w:r w:rsidRPr="003576C9">
        <w:rPr>
          <w:rFonts w:ascii="Verdana" w:eastAsia="Times New Roman" w:hAnsi="Verdana" w:cs="Arial"/>
          <w:color w:val="333333"/>
          <w:sz w:val="18"/>
          <w:szCs w:val="18"/>
          <w:lang w:eastAsia="es-CO"/>
        </w:rPr>
        <w:t>En el estatuto de contratación se deberán definir las garantías que deberá solicitar la Empresa Social del Estado de acuerdo con la modalidad, naturaleza, objeto, riesgos y cuantía del contrato, con ocasión de la presentación de las ofertas, los contratos y su liquidación y los riesgos a los que se encuentra expuesta la entidad.</w:t>
      </w:r>
    </w:p>
    <w:p w14:paraId="5BFAC1FC" w14:textId="77777777" w:rsidR="00E85C97" w:rsidRPr="003576C9" w:rsidRDefault="00E85C97" w:rsidP="00E85C97">
      <w:pPr>
        <w:spacing w:after="0" w:line="240" w:lineRule="auto"/>
        <w:ind w:firstLine="709"/>
        <w:contextualSpacing/>
        <w:jc w:val="both"/>
        <w:rPr>
          <w:rFonts w:ascii="Verdana" w:hAnsi="Verdana" w:cs="Arial"/>
          <w:sz w:val="18"/>
          <w:szCs w:val="18"/>
        </w:rPr>
      </w:pPr>
    </w:p>
  </w:footnote>
  <w:footnote w:id="13">
    <w:p w14:paraId="3DF0D549" w14:textId="77777777" w:rsidR="00E85C97" w:rsidRPr="003576C9" w:rsidRDefault="00E85C97" w:rsidP="00E85C97">
      <w:pPr>
        <w:pStyle w:val="NormalWeb"/>
        <w:spacing w:before="0" w:beforeAutospacing="0" w:after="0" w:afterAutospacing="0"/>
        <w:ind w:firstLine="709"/>
        <w:contextualSpacing/>
        <w:jc w:val="both"/>
        <w:rPr>
          <w:rFonts w:ascii="Verdana" w:hAnsi="Verdana" w:cs="Arial"/>
          <w:color w:val="333333"/>
          <w:sz w:val="18"/>
          <w:szCs w:val="18"/>
        </w:rPr>
      </w:pPr>
      <w:r w:rsidRPr="003576C9">
        <w:rPr>
          <w:rStyle w:val="Refdenotaalpie"/>
          <w:rFonts w:ascii="Verdana" w:hAnsi="Verdana" w:cs="Arial"/>
          <w:sz w:val="18"/>
          <w:szCs w:val="18"/>
        </w:rPr>
        <w:footnoteRef/>
      </w:r>
      <w:r w:rsidRPr="003576C9">
        <w:rPr>
          <w:rFonts w:ascii="Verdana" w:hAnsi="Verdana" w:cs="Arial"/>
          <w:sz w:val="18"/>
          <w:szCs w:val="18"/>
        </w:rPr>
        <w:t xml:space="preserve"> </w:t>
      </w:r>
      <w:r w:rsidRPr="003576C9">
        <w:rPr>
          <w:rFonts w:ascii="Verdana" w:hAnsi="Verdana" w:cs="Arial"/>
          <w:color w:val="333333"/>
          <w:sz w:val="18"/>
          <w:szCs w:val="18"/>
        </w:rPr>
        <w:t>Artículo 12. </w:t>
      </w:r>
      <w:r w:rsidRPr="003576C9">
        <w:rPr>
          <w:rFonts w:ascii="Verdana" w:hAnsi="Verdana" w:cs="Arial"/>
          <w:i/>
          <w:color w:val="333333"/>
          <w:sz w:val="18"/>
          <w:szCs w:val="18"/>
        </w:rPr>
        <w:t>Fase de ejecución. </w:t>
      </w:r>
      <w:r w:rsidRPr="003576C9">
        <w:rPr>
          <w:rFonts w:ascii="Verdana" w:hAnsi="Verdana" w:cs="Arial"/>
          <w:color w:val="333333"/>
          <w:sz w:val="18"/>
          <w:szCs w:val="18"/>
        </w:rPr>
        <w:t>Corresponde al período comprendido entre la legalización del contrato hasta su liquidación. El estatuto de contratación deberá regular las siguientes acciones:</w:t>
      </w:r>
    </w:p>
    <w:p w14:paraId="5B332B35" w14:textId="77777777" w:rsidR="00E85C97" w:rsidRPr="00287DD8" w:rsidRDefault="00E85C97" w:rsidP="00E85C97">
      <w:pPr>
        <w:spacing w:after="0" w:line="240" w:lineRule="auto"/>
        <w:ind w:firstLine="709"/>
        <w:contextualSpacing/>
        <w:jc w:val="both"/>
        <w:rPr>
          <w:rFonts w:ascii="Verdana" w:eastAsia="Times New Roman" w:hAnsi="Verdana" w:cs="Arial"/>
          <w:color w:val="333333"/>
          <w:sz w:val="14"/>
          <w:szCs w:val="14"/>
          <w:lang w:eastAsia="es-CO"/>
        </w:rPr>
      </w:pPr>
      <w:r w:rsidRPr="00287DD8">
        <w:rPr>
          <w:rFonts w:ascii="Verdana" w:eastAsia="Times New Roman" w:hAnsi="Verdana" w:cs="Arial"/>
          <w:color w:val="333333"/>
          <w:sz w:val="14"/>
          <w:szCs w:val="14"/>
          <w:lang w:eastAsia="es-CO"/>
        </w:rPr>
        <w:t>12.1. La forma de designación de la persona responsable encargada de las labores de supervisión e interventoría del contrato y del seguimiento a la ejecución del mismo dentro de una correcta actividad gerencial y adecuados criterios de gestión.</w:t>
      </w:r>
    </w:p>
    <w:p w14:paraId="550D7A5A" w14:textId="77777777" w:rsidR="00E85C97" w:rsidRPr="00287DD8" w:rsidRDefault="00E85C97" w:rsidP="00E85C97">
      <w:pPr>
        <w:spacing w:after="0" w:line="240" w:lineRule="auto"/>
        <w:ind w:firstLine="709"/>
        <w:contextualSpacing/>
        <w:jc w:val="both"/>
        <w:rPr>
          <w:rFonts w:ascii="Verdana" w:eastAsia="Times New Roman" w:hAnsi="Verdana" w:cs="Arial"/>
          <w:color w:val="333333"/>
          <w:sz w:val="14"/>
          <w:szCs w:val="14"/>
          <w:lang w:eastAsia="es-CO"/>
        </w:rPr>
      </w:pPr>
      <w:r w:rsidRPr="00287DD8">
        <w:rPr>
          <w:rFonts w:ascii="Verdana" w:eastAsia="Times New Roman" w:hAnsi="Verdana" w:cs="Arial"/>
          <w:color w:val="333333"/>
          <w:sz w:val="14"/>
          <w:szCs w:val="14"/>
          <w:lang w:eastAsia="es-CO"/>
        </w:rPr>
        <w:t>12.2. Las alertas en materia de vencimiento del contrato en el marco de la planeación.</w:t>
      </w:r>
    </w:p>
    <w:p w14:paraId="011BB055" w14:textId="77777777" w:rsidR="00E85C97" w:rsidRPr="00287DD8" w:rsidRDefault="00E85C97" w:rsidP="00E85C97">
      <w:pPr>
        <w:spacing w:after="0" w:line="240" w:lineRule="auto"/>
        <w:ind w:firstLine="709"/>
        <w:contextualSpacing/>
        <w:jc w:val="both"/>
        <w:rPr>
          <w:rFonts w:ascii="Verdana" w:eastAsia="Times New Roman" w:hAnsi="Verdana" w:cs="Arial"/>
          <w:color w:val="333333"/>
          <w:sz w:val="14"/>
          <w:szCs w:val="14"/>
          <w:lang w:eastAsia="es-CO"/>
        </w:rPr>
      </w:pPr>
      <w:r w:rsidRPr="00287DD8">
        <w:rPr>
          <w:rFonts w:ascii="Verdana" w:eastAsia="Times New Roman" w:hAnsi="Verdana" w:cs="Arial"/>
          <w:color w:val="333333"/>
          <w:sz w:val="14"/>
          <w:szCs w:val="14"/>
          <w:lang w:eastAsia="es-CO"/>
        </w:rPr>
        <w:t>12.3. La obligación de hacer efectivas las cláusulas excepcionales, en caso de haberlas pactado en los contratos, cuando haya lugar a ello, dentro del plazo del contrato.</w:t>
      </w:r>
    </w:p>
    <w:p w14:paraId="1E4853FE" w14:textId="77777777" w:rsidR="00E85C97" w:rsidRPr="00287DD8" w:rsidRDefault="00E85C97" w:rsidP="00E85C97">
      <w:pPr>
        <w:spacing w:after="0" w:line="240" w:lineRule="auto"/>
        <w:ind w:firstLine="709"/>
        <w:contextualSpacing/>
        <w:jc w:val="both"/>
        <w:rPr>
          <w:rFonts w:ascii="Verdana" w:eastAsia="Times New Roman" w:hAnsi="Verdana" w:cs="Arial"/>
          <w:color w:val="333333"/>
          <w:sz w:val="14"/>
          <w:szCs w:val="14"/>
          <w:lang w:eastAsia="es-CO"/>
        </w:rPr>
      </w:pPr>
      <w:r w:rsidRPr="00287DD8">
        <w:rPr>
          <w:rFonts w:ascii="Verdana" w:eastAsia="Times New Roman" w:hAnsi="Verdana" w:cs="Arial"/>
          <w:color w:val="333333"/>
          <w:sz w:val="14"/>
          <w:szCs w:val="14"/>
          <w:lang w:eastAsia="es-CO"/>
        </w:rPr>
        <w:t>12.4. La necesidad de suscribir las actas de inicio del contrato, así como las prórrogas y adiciones si las hay, y las de suspensión del contrato en caso de presentarse dicha situación.</w:t>
      </w:r>
    </w:p>
    <w:p w14:paraId="57CB0A12" w14:textId="77777777" w:rsidR="00E85C97" w:rsidRPr="00287DD8" w:rsidRDefault="00E85C97" w:rsidP="00E85C97">
      <w:pPr>
        <w:spacing w:after="0" w:line="240" w:lineRule="auto"/>
        <w:ind w:firstLine="709"/>
        <w:contextualSpacing/>
        <w:jc w:val="both"/>
        <w:rPr>
          <w:rFonts w:ascii="Verdana" w:eastAsia="Times New Roman" w:hAnsi="Verdana" w:cs="Arial"/>
          <w:color w:val="333333"/>
          <w:sz w:val="14"/>
          <w:szCs w:val="14"/>
          <w:lang w:eastAsia="es-CO"/>
        </w:rPr>
      </w:pPr>
      <w:r w:rsidRPr="00287DD8">
        <w:rPr>
          <w:rFonts w:ascii="Verdana" w:eastAsia="Times New Roman" w:hAnsi="Verdana" w:cs="Arial"/>
          <w:color w:val="333333"/>
          <w:sz w:val="14"/>
          <w:szCs w:val="14"/>
          <w:lang w:eastAsia="es-CO"/>
        </w:rPr>
        <w:t>12.5. Las demás disposiciones por medio de las cuales se desarrolle la dirección general del contrato con el fin de garantizar su ejecución y las medidas para evitar su incumplimiento.</w:t>
      </w:r>
    </w:p>
    <w:p w14:paraId="234E2EDE" w14:textId="77777777" w:rsidR="00E85C97" w:rsidRPr="00287DD8" w:rsidRDefault="00E85C97" w:rsidP="00E85C97">
      <w:pPr>
        <w:spacing w:after="0" w:line="240" w:lineRule="auto"/>
        <w:ind w:firstLine="709"/>
        <w:contextualSpacing/>
        <w:jc w:val="both"/>
        <w:rPr>
          <w:rFonts w:ascii="Verdana" w:hAnsi="Verdana" w:cs="Arial"/>
          <w:sz w:val="14"/>
          <w:szCs w:val="14"/>
        </w:rPr>
      </w:pPr>
    </w:p>
  </w:footnote>
  <w:footnote w:id="14">
    <w:p w14:paraId="0968C009" w14:textId="77777777" w:rsidR="00E85C97" w:rsidRPr="007C42DF" w:rsidRDefault="00E85C97" w:rsidP="00E85C97">
      <w:pPr>
        <w:pStyle w:val="Textonotapie"/>
        <w:ind w:firstLine="709"/>
        <w:contextualSpacing/>
        <w:jc w:val="both"/>
        <w:rPr>
          <w:rFonts w:ascii="Verdana" w:hAnsi="Verdana" w:cs="Arial"/>
          <w:sz w:val="18"/>
          <w:szCs w:val="18"/>
          <w:lang w:val="es-CO" w:eastAsia="es-CO"/>
        </w:rPr>
      </w:pPr>
      <w:r w:rsidRPr="007C42DF">
        <w:rPr>
          <w:rStyle w:val="Refdenotaalpie"/>
          <w:rFonts w:ascii="Verdana" w:hAnsi="Verdana" w:cs="Arial"/>
          <w:sz w:val="18"/>
          <w:szCs w:val="18"/>
        </w:rPr>
        <w:footnoteRef/>
      </w:r>
      <w:r w:rsidRPr="007C42DF">
        <w:rPr>
          <w:rFonts w:ascii="Verdana" w:hAnsi="Verdana" w:cs="Arial"/>
          <w:sz w:val="18"/>
          <w:szCs w:val="18"/>
        </w:rPr>
        <w:t xml:space="preserve"> </w:t>
      </w:r>
      <w:r w:rsidRPr="007C42DF">
        <w:rPr>
          <w:rFonts w:ascii="Verdana" w:hAnsi="Verdana" w:cs="Arial"/>
          <w:sz w:val="18"/>
          <w:szCs w:val="18"/>
          <w:lang w:val="es-CO" w:eastAsia="es-CO"/>
        </w:rPr>
        <w:t>Artículo 14. Publicación. Las Empresas Sociales del Estado están obligadas a publicar oportunamente su actividad contractual en el Secop.</w:t>
      </w:r>
    </w:p>
    <w:p w14:paraId="129BD464" w14:textId="77777777" w:rsidR="00E85C97" w:rsidRPr="00301808" w:rsidRDefault="00E85C97" w:rsidP="00E85C97">
      <w:pPr>
        <w:pStyle w:val="Textonotapie"/>
        <w:ind w:firstLine="709"/>
        <w:contextualSpacing/>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86B9C"/>
    <w:multiLevelType w:val="hybridMultilevel"/>
    <w:tmpl w:val="A58EC612"/>
    <w:lvl w:ilvl="0" w:tplc="826275F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4B33DF"/>
    <w:multiLevelType w:val="hybridMultilevel"/>
    <w:tmpl w:val="7BB8CE7A"/>
    <w:lvl w:ilvl="0" w:tplc="9894D3F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316637A"/>
    <w:multiLevelType w:val="hybridMultilevel"/>
    <w:tmpl w:val="3048C638"/>
    <w:lvl w:ilvl="0" w:tplc="0644DA4C">
      <w:start w:val="1"/>
      <w:numFmt w:val="lowerLetter"/>
      <w:lvlText w:val="%1)"/>
      <w:lvlJc w:val="left"/>
      <w:pPr>
        <w:ind w:left="260" w:hanging="225"/>
        <w:jc w:val="left"/>
      </w:pPr>
      <w:rPr>
        <w:rFonts w:ascii="Verdana" w:eastAsia="Verdana" w:hAnsi="Verdana" w:cs="Verdana" w:hint="default"/>
        <w:b w:val="0"/>
        <w:bCs w:val="0"/>
        <w:i w:val="0"/>
        <w:iCs w:val="0"/>
        <w:spacing w:val="-2"/>
        <w:w w:val="99"/>
        <w:sz w:val="16"/>
        <w:szCs w:val="16"/>
        <w:lang w:val="es-ES" w:eastAsia="en-US" w:bidi="ar-SA"/>
      </w:rPr>
    </w:lvl>
    <w:lvl w:ilvl="1" w:tplc="537E7E8C">
      <w:numFmt w:val="bullet"/>
      <w:lvlText w:val="•"/>
      <w:lvlJc w:val="left"/>
      <w:pPr>
        <w:ind w:left="1170" w:hanging="225"/>
      </w:pPr>
      <w:rPr>
        <w:rFonts w:hint="default"/>
        <w:lang w:val="es-ES" w:eastAsia="en-US" w:bidi="ar-SA"/>
      </w:rPr>
    </w:lvl>
    <w:lvl w:ilvl="2" w:tplc="4B1E48FC">
      <w:numFmt w:val="bullet"/>
      <w:lvlText w:val="•"/>
      <w:lvlJc w:val="left"/>
      <w:pPr>
        <w:ind w:left="2080" w:hanging="225"/>
      </w:pPr>
      <w:rPr>
        <w:rFonts w:hint="default"/>
        <w:lang w:val="es-ES" w:eastAsia="en-US" w:bidi="ar-SA"/>
      </w:rPr>
    </w:lvl>
    <w:lvl w:ilvl="3" w:tplc="7A36FF1C">
      <w:numFmt w:val="bullet"/>
      <w:lvlText w:val="•"/>
      <w:lvlJc w:val="left"/>
      <w:pPr>
        <w:ind w:left="2990" w:hanging="225"/>
      </w:pPr>
      <w:rPr>
        <w:rFonts w:hint="default"/>
        <w:lang w:val="es-ES" w:eastAsia="en-US" w:bidi="ar-SA"/>
      </w:rPr>
    </w:lvl>
    <w:lvl w:ilvl="4" w:tplc="6806274C">
      <w:numFmt w:val="bullet"/>
      <w:lvlText w:val="•"/>
      <w:lvlJc w:val="left"/>
      <w:pPr>
        <w:ind w:left="3900" w:hanging="225"/>
      </w:pPr>
      <w:rPr>
        <w:rFonts w:hint="default"/>
        <w:lang w:val="es-ES" w:eastAsia="en-US" w:bidi="ar-SA"/>
      </w:rPr>
    </w:lvl>
    <w:lvl w:ilvl="5" w:tplc="E84A194A">
      <w:numFmt w:val="bullet"/>
      <w:lvlText w:val="•"/>
      <w:lvlJc w:val="left"/>
      <w:pPr>
        <w:ind w:left="4810" w:hanging="225"/>
      </w:pPr>
      <w:rPr>
        <w:rFonts w:hint="default"/>
        <w:lang w:val="es-ES" w:eastAsia="en-US" w:bidi="ar-SA"/>
      </w:rPr>
    </w:lvl>
    <w:lvl w:ilvl="6" w:tplc="8E641F62">
      <w:numFmt w:val="bullet"/>
      <w:lvlText w:val="•"/>
      <w:lvlJc w:val="left"/>
      <w:pPr>
        <w:ind w:left="5720" w:hanging="225"/>
      </w:pPr>
      <w:rPr>
        <w:rFonts w:hint="default"/>
        <w:lang w:val="es-ES" w:eastAsia="en-US" w:bidi="ar-SA"/>
      </w:rPr>
    </w:lvl>
    <w:lvl w:ilvl="7" w:tplc="69DCAEA2">
      <w:numFmt w:val="bullet"/>
      <w:lvlText w:val="•"/>
      <w:lvlJc w:val="left"/>
      <w:pPr>
        <w:ind w:left="6630" w:hanging="225"/>
      </w:pPr>
      <w:rPr>
        <w:rFonts w:hint="default"/>
        <w:lang w:val="es-ES" w:eastAsia="en-US" w:bidi="ar-SA"/>
      </w:rPr>
    </w:lvl>
    <w:lvl w:ilvl="8" w:tplc="12EE9558">
      <w:numFmt w:val="bullet"/>
      <w:lvlText w:val="•"/>
      <w:lvlJc w:val="left"/>
      <w:pPr>
        <w:ind w:left="7540" w:hanging="225"/>
      </w:pPr>
      <w:rPr>
        <w:rFonts w:hint="default"/>
        <w:lang w:val="es-ES" w:eastAsia="en-US" w:bidi="ar-SA"/>
      </w:rPr>
    </w:lvl>
  </w:abstractNum>
  <w:abstractNum w:abstractNumId="13" w15:restartNumberingAfterBreak="0">
    <w:nsid w:val="48077ADB"/>
    <w:multiLevelType w:val="hybridMultilevel"/>
    <w:tmpl w:val="4956EAB4"/>
    <w:lvl w:ilvl="0" w:tplc="A1B8AC5A">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AC5A8A38">
      <w:numFmt w:val="bullet"/>
      <w:lvlText w:val="•"/>
      <w:lvlJc w:val="left"/>
      <w:pPr>
        <w:ind w:left="1602" w:hanging="360"/>
      </w:pPr>
      <w:rPr>
        <w:rFonts w:hint="default"/>
        <w:lang w:val="es-ES" w:eastAsia="en-US" w:bidi="ar-SA"/>
      </w:rPr>
    </w:lvl>
    <w:lvl w:ilvl="2" w:tplc="2C7C1380">
      <w:numFmt w:val="bullet"/>
      <w:lvlText w:val="•"/>
      <w:lvlJc w:val="left"/>
      <w:pPr>
        <w:ind w:left="2384" w:hanging="360"/>
      </w:pPr>
      <w:rPr>
        <w:rFonts w:hint="default"/>
        <w:lang w:val="es-ES" w:eastAsia="en-US" w:bidi="ar-SA"/>
      </w:rPr>
    </w:lvl>
    <w:lvl w:ilvl="3" w:tplc="739A4F3E">
      <w:numFmt w:val="bullet"/>
      <w:lvlText w:val="•"/>
      <w:lvlJc w:val="left"/>
      <w:pPr>
        <w:ind w:left="3167" w:hanging="360"/>
      </w:pPr>
      <w:rPr>
        <w:rFonts w:hint="default"/>
        <w:lang w:val="es-ES" w:eastAsia="en-US" w:bidi="ar-SA"/>
      </w:rPr>
    </w:lvl>
    <w:lvl w:ilvl="4" w:tplc="7FC66502">
      <w:numFmt w:val="bullet"/>
      <w:lvlText w:val="•"/>
      <w:lvlJc w:val="left"/>
      <w:pPr>
        <w:ind w:left="3949" w:hanging="360"/>
      </w:pPr>
      <w:rPr>
        <w:rFonts w:hint="default"/>
        <w:lang w:val="es-ES" w:eastAsia="en-US" w:bidi="ar-SA"/>
      </w:rPr>
    </w:lvl>
    <w:lvl w:ilvl="5" w:tplc="7162490E">
      <w:numFmt w:val="bullet"/>
      <w:lvlText w:val="•"/>
      <w:lvlJc w:val="left"/>
      <w:pPr>
        <w:ind w:left="4731" w:hanging="360"/>
      </w:pPr>
      <w:rPr>
        <w:rFonts w:hint="default"/>
        <w:lang w:val="es-ES" w:eastAsia="en-US" w:bidi="ar-SA"/>
      </w:rPr>
    </w:lvl>
    <w:lvl w:ilvl="6" w:tplc="1B6454A6">
      <w:numFmt w:val="bullet"/>
      <w:lvlText w:val="•"/>
      <w:lvlJc w:val="left"/>
      <w:pPr>
        <w:ind w:left="5514" w:hanging="360"/>
      </w:pPr>
      <w:rPr>
        <w:rFonts w:hint="default"/>
        <w:lang w:val="es-ES" w:eastAsia="en-US" w:bidi="ar-SA"/>
      </w:rPr>
    </w:lvl>
    <w:lvl w:ilvl="7" w:tplc="F23217EC">
      <w:numFmt w:val="bullet"/>
      <w:lvlText w:val="•"/>
      <w:lvlJc w:val="left"/>
      <w:pPr>
        <w:ind w:left="6296" w:hanging="360"/>
      </w:pPr>
      <w:rPr>
        <w:rFonts w:hint="default"/>
        <w:lang w:val="es-ES" w:eastAsia="en-US" w:bidi="ar-SA"/>
      </w:rPr>
    </w:lvl>
    <w:lvl w:ilvl="8" w:tplc="27BCE464">
      <w:numFmt w:val="bullet"/>
      <w:lvlText w:val="•"/>
      <w:lvlJc w:val="left"/>
      <w:pPr>
        <w:ind w:left="7078" w:hanging="360"/>
      </w:pPr>
      <w:rPr>
        <w:rFonts w:hint="default"/>
        <w:lang w:val="es-ES" w:eastAsia="en-US" w:bidi="ar-SA"/>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DE934EB"/>
    <w:multiLevelType w:val="hybridMultilevel"/>
    <w:tmpl w:val="AD8A0EF4"/>
    <w:lvl w:ilvl="0" w:tplc="1AACB636">
      <w:start w:val="1"/>
      <w:numFmt w:val="decimal"/>
      <w:lvlText w:val="%1."/>
      <w:lvlJc w:val="left"/>
      <w:pPr>
        <w:ind w:left="546" w:hanging="286"/>
        <w:jc w:val="right"/>
      </w:pPr>
      <w:rPr>
        <w:rFonts w:ascii="Verdana" w:eastAsia="Verdana" w:hAnsi="Verdana" w:cs="Verdana" w:hint="default"/>
        <w:b/>
        <w:bCs/>
        <w:i w:val="0"/>
        <w:iCs w:val="0"/>
        <w:spacing w:val="-2"/>
        <w:w w:val="99"/>
        <w:sz w:val="22"/>
        <w:szCs w:val="22"/>
        <w:lang w:val="es-ES" w:eastAsia="en-US" w:bidi="ar-SA"/>
      </w:rPr>
    </w:lvl>
    <w:lvl w:ilvl="1" w:tplc="A81226BC">
      <w:numFmt w:val="bullet"/>
      <w:lvlText w:val="•"/>
      <w:lvlJc w:val="left"/>
      <w:pPr>
        <w:ind w:left="1422" w:hanging="286"/>
      </w:pPr>
      <w:rPr>
        <w:rFonts w:hint="default"/>
        <w:lang w:val="es-ES" w:eastAsia="en-US" w:bidi="ar-SA"/>
      </w:rPr>
    </w:lvl>
    <w:lvl w:ilvl="2" w:tplc="5D0E606E">
      <w:numFmt w:val="bullet"/>
      <w:lvlText w:val="•"/>
      <w:lvlJc w:val="left"/>
      <w:pPr>
        <w:ind w:left="2304" w:hanging="286"/>
      </w:pPr>
      <w:rPr>
        <w:rFonts w:hint="default"/>
        <w:lang w:val="es-ES" w:eastAsia="en-US" w:bidi="ar-SA"/>
      </w:rPr>
    </w:lvl>
    <w:lvl w:ilvl="3" w:tplc="B476B712">
      <w:numFmt w:val="bullet"/>
      <w:lvlText w:val="•"/>
      <w:lvlJc w:val="left"/>
      <w:pPr>
        <w:ind w:left="3186" w:hanging="286"/>
      </w:pPr>
      <w:rPr>
        <w:rFonts w:hint="default"/>
        <w:lang w:val="es-ES" w:eastAsia="en-US" w:bidi="ar-SA"/>
      </w:rPr>
    </w:lvl>
    <w:lvl w:ilvl="4" w:tplc="DCBEEC8E">
      <w:numFmt w:val="bullet"/>
      <w:lvlText w:val="•"/>
      <w:lvlJc w:val="left"/>
      <w:pPr>
        <w:ind w:left="4068" w:hanging="286"/>
      </w:pPr>
      <w:rPr>
        <w:rFonts w:hint="default"/>
        <w:lang w:val="es-ES" w:eastAsia="en-US" w:bidi="ar-SA"/>
      </w:rPr>
    </w:lvl>
    <w:lvl w:ilvl="5" w:tplc="C9B85040">
      <w:numFmt w:val="bullet"/>
      <w:lvlText w:val="•"/>
      <w:lvlJc w:val="left"/>
      <w:pPr>
        <w:ind w:left="4950" w:hanging="286"/>
      </w:pPr>
      <w:rPr>
        <w:rFonts w:hint="default"/>
        <w:lang w:val="es-ES" w:eastAsia="en-US" w:bidi="ar-SA"/>
      </w:rPr>
    </w:lvl>
    <w:lvl w:ilvl="6" w:tplc="15861018">
      <w:numFmt w:val="bullet"/>
      <w:lvlText w:val="•"/>
      <w:lvlJc w:val="left"/>
      <w:pPr>
        <w:ind w:left="5832" w:hanging="286"/>
      </w:pPr>
      <w:rPr>
        <w:rFonts w:hint="default"/>
        <w:lang w:val="es-ES" w:eastAsia="en-US" w:bidi="ar-SA"/>
      </w:rPr>
    </w:lvl>
    <w:lvl w:ilvl="7" w:tplc="C64CD824">
      <w:numFmt w:val="bullet"/>
      <w:lvlText w:val="•"/>
      <w:lvlJc w:val="left"/>
      <w:pPr>
        <w:ind w:left="6714" w:hanging="286"/>
      </w:pPr>
      <w:rPr>
        <w:rFonts w:hint="default"/>
        <w:lang w:val="es-ES" w:eastAsia="en-US" w:bidi="ar-SA"/>
      </w:rPr>
    </w:lvl>
    <w:lvl w:ilvl="8" w:tplc="9772746E">
      <w:numFmt w:val="bullet"/>
      <w:lvlText w:val="•"/>
      <w:lvlJc w:val="left"/>
      <w:pPr>
        <w:ind w:left="7596" w:hanging="286"/>
      </w:pPr>
      <w:rPr>
        <w:rFonts w:hint="default"/>
        <w:lang w:val="es-ES" w:eastAsia="en-US" w:bidi="ar-SA"/>
      </w:rPr>
    </w:lvl>
  </w:abstractNum>
  <w:num w:numId="1" w16cid:durableId="948779781">
    <w:abstractNumId w:val="8"/>
  </w:num>
  <w:num w:numId="2" w16cid:durableId="19822139">
    <w:abstractNumId w:val="3"/>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7"/>
  </w:num>
  <w:num w:numId="7" w16cid:durableId="1946422806">
    <w:abstractNumId w:val="6"/>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1330140246">
    <w:abstractNumId w:val="0"/>
  </w:num>
  <w:num w:numId="17" w16cid:durableId="679089576">
    <w:abstractNumId w:val="11"/>
  </w:num>
  <w:num w:numId="18" w16cid:durableId="932470755">
    <w:abstractNumId w:val="7"/>
  </w:num>
  <w:num w:numId="19" w16cid:durableId="1967733298">
    <w:abstractNumId w:val="2"/>
  </w:num>
  <w:num w:numId="20" w16cid:durableId="1063914056">
    <w:abstractNumId w:val="13"/>
  </w:num>
  <w:num w:numId="21" w16cid:durableId="2070109753">
    <w:abstractNumId w:val="12"/>
  </w:num>
  <w:num w:numId="22" w16cid:durableId="13908071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38A"/>
    <w:rsid w:val="0004137F"/>
    <w:rsid w:val="00046945"/>
    <w:rsid w:val="00061B2A"/>
    <w:rsid w:val="00081971"/>
    <w:rsid w:val="00082362"/>
    <w:rsid w:val="00095E13"/>
    <w:rsid w:val="000A683E"/>
    <w:rsid w:val="000B19B9"/>
    <w:rsid w:val="000D0334"/>
    <w:rsid w:val="000F6486"/>
    <w:rsid w:val="00106D7D"/>
    <w:rsid w:val="00125105"/>
    <w:rsid w:val="00127233"/>
    <w:rsid w:val="001D1CFD"/>
    <w:rsid w:val="001E4177"/>
    <w:rsid w:val="001F7DC6"/>
    <w:rsid w:val="002421BB"/>
    <w:rsid w:val="002478F9"/>
    <w:rsid w:val="0025796E"/>
    <w:rsid w:val="002707A2"/>
    <w:rsid w:val="002951A0"/>
    <w:rsid w:val="002962BC"/>
    <w:rsid w:val="002A093D"/>
    <w:rsid w:val="002A0DD0"/>
    <w:rsid w:val="002A49AC"/>
    <w:rsid w:val="002A64FD"/>
    <w:rsid w:val="002C1765"/>
    <w:rsid w:val="002C7A84"/>
    <w:rsid w:val="002E4FD9"/>
    <w:rsid w:val="00315109"/>
    <w:rsid w:val="00322A85"/>
    <w:rsid w:val="00324168"/>
    <w:rsid w:val="00326A93"/>
    <w:rsid w:val="003448F4"/>
    <w:rsid w:val="00374F5E"/>
    <w:rsid w:val="00377E3E"/>
    <w:rsid w:val="003804BA"/>
    <w:rsid w:val="003A779E"/>
    <w:rsid w:val="003D0F4D"/>
    <w:rsid w:val="003D5B0D"/>
    <w:rsid w:val="003E0499"/>
    <w:rsid w:val="003E57BD"/>
    <w:rsid w:val="003F175B"/>
    <w:rsid w:val="003F3941"/>
    <w:rsid w:val="003F7AB7"/>
    <w:rsid w:val="00406575"/>
    <w:rsid w:val="00414C74"/>
    <w:rsid w:val="0042722E"/>
    <w:rsid w:val="0044528D"/>
    <w:rsid w:val="00455792"/>
    <w:rsid w:val="004A1847"/>
    <w:rsid w:val="004A305D"/>
    <w:rsid w:val="004F21C4"/>
    <w:rsid w:val="004F685F"/>
    <w:rsid w:val="00512EC1"/>
    <w:rsid w:val="005566E8"/>
    <w:rsid w:val="00574867"/>
    <w:rsid w:val="00591460"/>
    <w:rsid w:val="005C3777"/>
    <w:rsid w:val="005C5CDC"/>
    <w:rsid w:val="005D476C"/>
    <w:rsid w:val="0060171C"/>
    <w:rsid w:val="006219F8"/>
    <w:rsid w:val="006302F7"/>
    <w:rsid w:val="00665D70"/>
    <w:rsid w:val="00665EBB"/>
    <w:rsid w:val="006900D9"/>
    <w:rsid w:val="006A760C"/>
    <w:rsid w:val="006D03D1"/>
    <w:rsid w:val="0070630B"/>
    <w:rsid w:val="00706C16"/>
    <w:rsid w:val="00707276"/>
    <w:rsid w:val="00712B2F"/>
    <w:rsid w:val="00744403"/>
    <w:rsid w:val="0075644E"/>
    <w:rsid w:val="00756841"/>
    <w:rsid w:val="007649AB"/>
    <w:rsid w:val="00765290"/>
    <w:rsid w:val="00771D0C"/>
    <w:rsid w:val="007833AC"/>
    <w:rsid w:val="007B268C"/>
    <w:rsid w:val="007B7171"/>
    <w:rsid w:val="007C0C0F"/>
    <w:rsid w:val="007C3DC2"/>
    <w:rsid w:val="007E260D"/>
    <w:rsid w:val="007E5497"/>
    <w:rsid w:val="00806F5F"/>
    <w:rsid w:val="00820278"/>
    <w:rsid w:val="00867F95"/>
    <w:rsid w:val="008843B6"/>
    <w:rsid w:val="00891928"/>
    <w:rsid w:val="00891DAA"/>
    <w:rsid w:val="00897A3A"/>
    <w:rsid w:val="008A446D"/>
    <w:rsid w:val="008D180B"/>
    <w:rsid w:val="008F0EA7"/>
    <w:rsid w:val="00923EEF"/>
    <w:rsid w:val="009369CF"/>
    <w:rsid w:val="009419F9"/>
    <w:rsid w:val="0095685E"/>
    <w:rsid w:val="00961B09"/>
    <w:rsid w:val="00965334"/>
    <w:rsid w:val="00966BCD"/>
    <w:rsid w:val="0097093E"/>
    <w:rsid w:val="009A0DFA"/>
    <w:rsid w:val="009B25A8"/>
    <w:rsid w:val="009B2D26"/>
    <w:rsid w:val="009C71FA"/>
    <w:rsid w:val="009C72E7"/>
    <w:rsid w:val="009D3058"/>
    <w:rsid w:val="009F1896"/>
    <w:rsid w:val="009F3A13"/>
    <w:rsid w:val="00A122D3"/>
    <w:rsid w:val="00A17F13"/>
    <w:rsid w:val="00A20739"/>
    <w:rsid w:val="00A33C78"/>
    <w:rsid w:val="00A96E79"/>
    <w:rsid w:val="00AB0ADB"/>
    <w:rsid w:val="00B00C0E"/>
    <w:rsid w:val="00B01B1A"/>
    <w:rsid w:val="00B24024"/>
    <w:rsid w:val="00B44A47"/>
    <w:rsid w:val="00B45665"/>
    <w:rsid w:val="00B57FE5"/>
    <w:rsid w:val="00B72CD3"/>
    <w:rsid w:val="00B72FFF"/>
    <w:rsid w:val="00BA59A1"/>
    <w:rsid w:val="00BC3D36"/>
    <w:rsid w:val="00BD7F72"/>
    <w:rsid w:val="00BE28BA"/>
    <w:rsid w:val="00BF10EB"/>
    <w:rsid w:val="00BF742D"/>
    <w:rsid w:val="00C04FB3"/>
    <w:rsid w:val="00C330EB"/>
    <w:rsid w:val="00C4758F"/>
    <w:rsid w:val="00C754BE"/>
    <w:rsid w:val="00C76B1C"/>
    <w:rsid w:val="00CB6357"/>
    <w:rsid w:val="00CC1B26"/>
    <w:rsid w:val="00D423A2"/>
    <w:rsid w:val="00D520D8"/>
    <w:rsid w:val="00D6020E"/>
    <w:rsid w:val="00D63AC2"/>
    <w:rsid w:val="00D7383B"/>
    <w:rsid w:val="00DA231B"/>
    <w:rsid w:val="00DC39FC"/>
    <w:rsid w:val="00DF5254"/>
    <w:rsid w:val="00E16408"/>
    <w:rsid w:val="00E20894"/>
    <w:rsid w:val="00E245AB"/>
    <w:rsid w:val="00E2764C"/>
    <w:rsid w:val="00E27F2E"/>
    <w:rsid w:val="00E50AFE"/>
    <w:rsid w:val="00E75C92"/>
    <w:rsid w:val="00E771DC"/>
    <w:rsid w:val="00E85C97"/>
    <w:rsid w:val="00E8772A"/>
    <w:rsid w:val="00E90F6B"/>
    <w:rsid w:val="00E92C27"/>
    <w:rsid w:val="00EA0E3D"/>
    <w:rsid w:val="00EC38A7"/>
    <w:rsid w:val="00EE1AA8"/>
    <w:rsid w:val="00EF1409"/>
    <w:rsid w:val="00F01BF0"/>
    <w:rsid w:val="00F31EDC"/>
    <w:rsid w:val="00F37F4D"/>
    <w:rsid w:val="00F462B3"/>
    <w:rsid w:val="00F5664F"/>
    <w:rsid w:val="00F666C4"/>
    <w:rsid w:val="00F76AFC"/>
    <w:rsid w:val="00FA47C0"/>
    <w:rsid w:val="00FB5DD1"/>
    <w:rsid w:val="00FC2B5D"/>
    <w:rsid w:val="00FF056D"/>
    <w:rsid w:val="00FF1449"/>
    <w:rsid w:val="04BBEE34"/>
    <w:rsid w:val="07E9C141"/>
    <w:rsid w:val="2CEC8D1B"/>
    <w:rsid w:val="3CBD881C"/>
    <w:rsid w:val="6716BCD5"/>
    <w:rsid w:val="6D2FD19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E85C97"/>
    <w:pPr>
      <w:widowControl w:val="0"/>
      <w:autoSpaceDE w:val="0"/>
      <w:autoSpaceDN w:val="0"/>
      <w:spacing w:after="0" w:line="240" w:lineRule="auto"/>
      <w:ind w:left="544" w:hanging="284"/>
      <w:outlineLvl w:val="0"/>
    </w:pPr>
    <w:rPr>
      <w:rFonts w:ascii="Verdana" w:eastAsia="Verdana" w:hAnsi="Verdana" w:cs="Verdana"/>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E85C97"/>
    <w:rPr>
      <w:rFonts w:ascii="Verdana" w:eastAsia="Verdana" w:hAnsi="Verdana" w:cs="Verdana"/>
      <w:b/>
      <w:bCs/>
      <w:lang w:val="es-ES"/>
    </w:rPr>
  </w:style>
  <w:style w:type="paragraph" w:customStyle="1" w:styleId="Appelnotedebasde">
    <w:name w:val="Appel note de bas de..."/>
    <w:basedOn w:val="Normal"/>
    <w:link w:val="Refdenotaalpie"/>
    <w:uiPriority w:val="99"/>
    <w:rsid w:val="00E85C9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85C97"/>
    <w:rPr>
      <w:rFonts w:ascii="Geomanist Light" w:hAnsi="Geomanist Light"/>
      <w:lang w:val="es-ES"/>
    </w:rPr>
  </w:style>
  <w:style w:type="character" w:customStyle="1" w:styleId="s15">
    <w:name w:val="s15"/>
    <w:basedOn w:val="Fuentedeprrafopredeter"/>
    <w:rsid w:val="00E85C97"/>
  </w:style>
  <w:style w:type="character" w:customStyle="1" w:styleId="apple-converted-space">
    <w:name w:val="apple-converted-space"/>
    <w:basedOn w:val="Fuentedeprrafopredeter"/>
    <w:rsid w:val="00E85C97"/>
  </w:style>
  <w:style w:type="character" w:customStyle="1" w:styleId="NormalWebCar">
    <w:name w:val="Normal (Web) Car"/>
    <w:link w:val="NormalWeb"/>
    <w:uiPriority w:val="99"/>
    <w:rsid w:val="00E85C97"/>
    <w:rPr>
      <w:rFonts w:ascii="Times New Roman" w:eastAsia="Times New Roman" w:hAnsi="Times New Roman" w:cs="Times New Roman"/>
      <w:sz w:val="24"/>
      <w:szCs w:val="24"/>
      <w:lang w:eastAsia="es-CO"/>
    </w:rPr>
  </w:style>
  <w:style w:type="table" w:customStyle="1" w:styleId="TableNormal">
    <w:name w:val="Table Normal"/>
    <w:uiPriority w:val="2"/>
    <w:semiHidden/>
    <w:unhideWhenUsed/>
    <w:qFormat/>
    <w:rsid w:val="00E85C9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E85C97"/>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E85C97"/>
    <w:rPr>
      <w:rFonts w:ascii="Verdana" w:eastAsia="Verdana" w:hAnsi="Verdana" w:cs="Verdana"/>
      <w:lang w:val="es-ES"/>
    </w:rPr>
  </w:style>
  <w:style w:type="paragraph" w:customStyle="1" w:styleId="TableParagraph">
    <w:name w:val="Table Paragraph"/>
    <w:basedOn w:val="Normal"/>
    <w:uiPriority w:val="1"/>
    <w:qFormat/>
    <w:rsid w:val="00E85C97"/>
    <w:pPr>
      <w:widowControl w:val="0"/>
      <w:autoSpaceDE w:val="0"/>
      <w:autoSpaceDN w:val="0"/>
      <w:spacing w:after="0" w:line="240" w:lineRule="auto"/>
    </w:pPr>
    <w:rPr>
      <w:rFonts w:ascii="Verdana" w:eastAsia="Verdana" w:hAnsi="Verdana" w:cs="Verdana"/>
      <w:lang w:val="es-ES"/>
    </w:rPr>
  </w:style>
  <w:style w:type="paragraph" w:customStyle="1" w:styleId="s17">
    <w:name w:val="s17"/>
    <w:basedOn w:val="Normal"/>
    <w:rsid w:val="00E85C97"/>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constitucion_politica_1991_pr009.html"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secretariasenado.gov.co/senado/basedoc/constitucion_politica_1991_pr006.html" TargetMode="External"/><Relationship Id="rId17"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secretariasenado.gov.co/senado/basedoc/constitucion_politica_1991_pr009.html"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constitucion_politica_1991_pr006.html"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minsalud.gov.co/Normatividad_Nuevo/Resoluci%C3%B3n%20No%201440%20de%20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9d85dbaf-23eb-4e57-a637-93dcacc8b1a1"/>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schemas.microsoft.com/office/2006/documentManagement/types"/>
    <ds:schemaRef ds:uri="a6cb9e4b-f1d1-4245-83ec-6cad768d538a"/>
    <ds:schemaRef ds:uri="http://www.w3.org/XML/1998/namespace"/>
    <ds:schemaRef ds:uri="http://purl.org/dc/terms/"/>
  </ds:schemaRefs>
</ds:datastoreItem>
</file>

<file path=customXml/itemProps2.xml><?xml version="1.0" encoding="utf-8"?>
<ds:datastoreItem xmlns:ds="http://schemas.openxmlformats.org/officeDocument/2006/customXml" ds:itemID="{3D2864E6-A45D-42B8-8DBB-C773AC8B4E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71F0CD9-A3CA-49D5-A069-EDB378C3E3AE}">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23</Pages>
  <Words>7823</Words>
  <Characters>41545</Characters>
  <Application>Microsoft Office Word</Application>
  <DocSecurity>0</DocSecurity>
  <Lines>798</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2025-10-15T22:49:00Z</dcterms:created>
  <dcterms:modified xsi:type="dcterms:W3CDTF">2025-10-15T22:49:00Z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