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B390F1" w14:textId="77777777" w:rsidR="00D126E1" w:rsidRPr="00D126E1" w:rsidRDefault="00D126E1" w:rsidP="00D126E1">
      <w:pPr>
        <w:spacing w:after="0" w:line="276" w:lineRule="auto"/>
        <w:jc w:val="both"/>
        <w:rPr>
          <w:rFonts w:ascii="Verdana" w:eastAsia="Calibri" w:hAnsi="Verdana" w:cs="Arial"/>
          <w:b/>
          <w:bCs/>
          <w:lang w:val="es-ES_tradnl"/>
        </w:rPr>
      </w:pPr>
      <w:bookmarkStart w:id="0" w:name="_Hlk143780582"/>
      <w:r w:rsidRPr="00D126E1">
        <w:rPr>
          <w:rFonts w:ascii="Verdana" w:eastAsia="Calibri" w:hAnsi="Verdana" w:cs="Arial"/>
          <w:b/>
          <w:bCs/>
          <w:lang w:val="es-ES_tradnl"/>
        </w:rPr>
        <w:t xml:space="preserve">DOCUMENTOS TIPO – Fundamento normativo – Obligatoriedad </w:t>
      </w:r>
    </w:p>
    <w:p w14:paraId="71CC5566" w14:textId="77777777" w:rsidR="00D126E1" w:rsidRPr="00D126E1" w:rsidRDefault="00D126E1" w:rsidP="00D126E1">
      <w:pPr>
        <w:spacing w:after="0" w:line="276" w:lineRule="auto"/>
        <w:jc w:val="both"/>
        <w:rPr>
          <w:rFonts w:ascii="Verdana" w:eastAsia="Calibri" w:hAnsi="Verdana" w:cs="Arial"/>
          <w:b/>
          <w:bCs/>
          <w:sz w:val="20"/>
          <w:szCs w:val="20"/>
          <w:lang w:val="es-ES_tradnl"/>
        </w:rPr>
      </w:pPr>
    </w:p>
    <w:p w14:paraId="46F520D1" w14:textId="77777777" w:rsidR="00D126E1" w:rsidRPr="00D126E1" w:rsidRDefault="00D126E1" w:rsidP="00D126E1">
      <w:pPr>
        <w:tabs>
          <w:tab w:val="left" w:pos="709"/>
        </w:tabs>
        <w:spacing w:after="0" w:line="240" w:lineRule="auto"/>
        <w:jc w:val="both"/>
        <w:rPr>
          <w:rFonts w:ascii="Verdana" w:eastAsia="Calibri" w:hAnsi="Verdana" w:cs="Arial"/>
          <w:sz w:val="20"/>
          <w:szCs w:val="20"/>
          <w:lang w:val="es-ES"/>
        </w:rPr>
      </w:pPr>
      <w:r w:rsidRPr="00D126E1">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4F8C805" w14:textId="77777777" w:rsidR="00D126E1" w:rsidRPr="00D126E1" w:rsidRDefault="00D126E1" w:rsidP="00D126E1">
      <w:pPr>
        <w:widowControl w:val="0"/>
        <w:autoSpaceDE w:val="0"/>
        <w:autoSpaceDN w:val="0"/>
        <w:spacing w:after="0" w:line="276" w:lineRule="auto"/>
        <w:jc w:val="both"/>
        <w:rPr>
          <w:rFonts w:ascii="Verdana" w:eastAsia="Calibri" w:hAnsi="Verdana" w:cs="Times New Roman"/>
          <w:lang w:val="es-ES"/>
        </w:rPr>
      </w:pPr>
    </w:p>
    <w:p w14:paraId="171E3658" w14:textId="77777777" w:rsidR="00D126E1" w:rsidRPr="00D126E1" w:rsidRDefault="00D126E1" w:rsidP="00D126E1">
      <w:pPr>
        <w:spacing w:after="0" w:line="276" w:lineRule="auto"/>
        <w:jc w:val="both"/>
        <w:rPr>
          <w:rFonts w:ascii="Verdana" w:eastAsia="Calibri" w:hAnsi="Verdana" w:cs="Times New Roman"/>
          <w:sz w:val="20"/>
          <w:szCs w:val="20"/>
          <w:lang w:val="es-ES"/>
        </w:rPr>
      </w:pPr>
      <w:r w:rsidRPr="00D126E1">
        <w:rPr>
          <w:rFonts w:ascii="Verdana" w:eastAsia="Calibri" w:hAnsi="Verdana" w:cs="Times New Roman"/>
          <w:b/>
          <w:bCs/>
          <w:lang w:val="es-ES"/>
        </w:rPr>
        <w:t xml:space="preserve">DOCUMENTOS TIPO – Aplicación – Matriz de Experiencia </w:t>
      </w:r>
    </w:p>
    <w:p w14:paraId="7D178F3A" w14:textId="77777777" w:rsidR="00D126E1" w:rsidRPr="00D126E1" w:rsidRDefault="00D126E1" w:rsidP="00D126E1">
      <w:pPr>
        <w:spacing w:after="0" w:line="240" w:lineRule="auto"/>
        <w:rPr>
          <w:rFonts w:ascii="Verdana" w:eastAsia="Geomanist Light" w:hAnsi="Verdana" w:cs="Arial"/>
          <w:highlight w:val="yellow"/>
          <w:lang w:val="es-MX"/>
        </w:rPr>
      </w:pPr>
    </w:p>
    <w:p w14:paraId="0BDEAC4B" w14:textId="77777777" w:rsidR="00D126E1" w:rsidRPr="00D126E1" w:rsidRDefault="00D126E1" w:rsidP="00D126E1">
      <w:pPr>
        <w:widowControl w:val="0"/>
        <w:autoSpaceDE w:val="0"/>
        <w:autoSpaceDN w:val="0"/>
        <w:spacing w:after="0" w:line="240" w:lineRule="auto"/>
        <w:jc w:val="both"/>
        <w:rPr>
          <w:rFonts w:ascii="Verdana" w:eastAsia="Calibri" w:hAnsi="Verdana" w:cs="Times New Roman"/>
          <w:sz w:val="20"/>
          <w:szCs w:val="20"/>
          <w:lang w:val="es-ES"/>
        </w:rPr>
      </w:pPr>
      <w:r w:rsidRPr="00D126E1">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8847569" w14:textId="77777777" w:rsidR="00D126E1" w:rsidRPr="00D126E1" w:rsidRDefault="00D126E1" w:rsidP="00D126E1">
      <w:pPr>
        <w:widowControl w:val="0"/>
        <w:autoSpaceDE w:val="0"/>
        <w:autoSpaceDN w:val="0"/>
        <w:spacing w:after="0" w:line="240" w:lineRule="auto"/>
        <w:jc w:val="both"/>
        <w:rPr>
          <w:rFonts w:ascii="Verdana" w:eastAsia="Calibri" w:hAnsi="Verdana" w:cs="Times New Roman"/>
          <w:sz w:val="20"/>
          <w:szCs w:val="20"/>
          <w:lang w:val="es-ES"/>
        </w:rPr>
      </w:pPr>
    </w:p>
    <w:p w14:paraId="0C9937E1" w14:textId="77777777" w:rsidR="00D126E1" w:rsidRPr="00D126E1" w:rsidRDefault="00D126E1" w:rsidP="00D126E1">
      <w:pPr>
        <w:widowControl w:val="0"/>
        <w:autoSpaceDE w:val="0"/>
        <w:autoSpaceDN w:val="0"/>
        <w:spacing w:after="0" w:line="240" w:lineRule="auto"/>
        <w:jc w:val="both"/>
        <w:rPr>
          <w:rFonts w:ascii="Verdana" w:eastAsia="Calibri" w:hAnsi="Verdana" w:cs="Times New Roman"/>
          <w:sz w:val="20"/>
          <w:szCs w:val="20"/>
          <w:lang w:val="es-ES"/>
        </w:rPr>
      </w:pPr>
      <w:r w:rsidRPr="00D126E1">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D017A98" w14:textId="77777777" w:rsidR="00D126E1" w:rsidRPr="00D126E1" w:rsidRDefault="00D126E1" w:rsidP="00D126E1">
      <w:pPr>
        <w:widowControl w:val="0"/>
        <w:autoSpaceDE w:val="0"/>
        <w:autoSpaceDN w:val="0"/>
        <w:spacing w:after="0" w:line="240" w:lineRule="auto"/>
        <w:jc w:val="both"/>
        <w:rPr>
          <w:rFonts w:ascii="Verdana" w:eastAsia="Calibri" w:hAnsi="Verdana" w:cs="Times New Roman"/>
          <w:b/>
          <w:bCs/>
          <w:sz w:val="20"/>
          <w:szCs w:val="20"/>
          <w:lang w:val="es-ES"/>
        </w:rPr>
      </w:pPr>
    </w:p>
    <w:p w14:paraId="7A67330B"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641E35E3"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76064045"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68DC8C1A"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6FF7B728"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0D3A6116"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13AB3DAB"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2B699733"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0CDA3D59" w14:textId="77777777" w:rsidR="00D126E1" w:rsidRDefault="00D126E1" w:rsidP="00D126E1">
      <w:pPr>
        <w:spacing w:after="0" w:line="240" w:lineRule="auto"/>
        <w:rPr>
          <w:rFonts w:ascii="Verdana" w:eastAsia="Times New Roman" w:hAnsi="Verdana" w:cs="Times New Roman"/>
          <w:color w:val="000000"/>
          <w:sz w:val="20"/>
          <w:szCs w:val="20"/>
          <w:lang w:eastAsia="es-CO"/>
        </w:rPr>
      </w:pPr>
    </w:p>
    <w:p w14:paraId="051BFFC6" w14:textId="77777777" w:rsidR="0023659C" w:rsidRDefault="0023659C" w:rsidP="00D126E1">
      <w:pPr>
        <w:spacing w:after="0" w:line="240" w:lineRule="auto"/>
        <w:rPr>
          <w:rFonts w:ascii="Verdana" w:eastAsia="Times New Roman" w:hAnsi="Verdana" w:cs="Times New Roman"/>
          <w:color w:val="000000"/>
          <w:sz w:val="20"/>
          <w:szCs w:val="20"/>
          <w:lang w:eastAsia="es-CO"/>
        </w:rPr>
      </w:pPr>
    </w:p>
    <w:p w14:paraId="185CAE5D" w14:textId="77777777" w:rsidR="00837943" w:rsidRDefault="00837943" w:rsidP="00D126E1">
      <w:pPr>
        <w:spacing w:after="0" w:line="240" w:lineRule="auto"/>
        <w:rPr>
          <w:rFonts w:ascii="Verdana" w:eastAsia="Times New Roman" w:hAnsi="Verdana" w:cs="Times New Roman"/>
          <w:color w:val="000000"/>
          <w:sz w:val="20"/>
          <w:szCs w:val="20"/>
          <w:lang w:eastAsia="es-CO"/>
        </w:rPr>
      </w:pPr>
    </w:p>
    <w:p w14:paraId="245358BB" w14:textId="77777777" w:rsidR="00837943" w:rsidRDefault="00837943" w:rsidP="00D126E1">
      <w:pPr>
        <w:spacing w:after="0" w:line="240" w:lineRule="auto"/>
        <w:rPr>
          <w:rFonts w:ascii="Verdana" w:eastAsia="Times New Roman" w:hAnsi="Verdana" w:cs="Times New Roman"/>
          <w:color w:val="000000"/>
          <w:sz w:val="20"/>
          <w:szCs w:val="20"/>
          <w:lang w:eastAsia="es-CO"/>
        </w:rPr>
      </w:pPr>
    </w:p>
    <w:p w14:paraId="3C60BCD0" w14:textId="77777777" w:rsidR="00837943" w:rsidRDefault="00837943" w:rsidP="00D126E1">
      <w:pPr>
        <w:spacing w:after="0" w:line="240" w:lineRule="auto"/>
        <w:rPr>
          <w:rFonts w:ascii="Verdana" w:eastAsia="Times New Roman" w:hAnsi="Verdana" w:cs="Times New Roman"/>
          <w:color w:val="000000"/>
          <w:sz w:val="20"/>
          <w:szCs w:val="20"/>
          <w:lang w:eastAsia="es-CO"/>
        </w:rPr>
      </w:pPr>
    </w:p>
    <w:p w14:paraId="19F969B2" w14:textId="77777777" w:rsidR="00837943" w:rsidRDefault="00837943" w:rsidP="00D126E1">
      <w:pPr>
        <w:spacing w:after="0" w:line="240" w:lineRule="auto"/>
        <w:rPr>
          <w:rFonts w:ascii="Verdana" w:eastAsia="Times New Roman" w:hAnsi="Verdana" w:cs="Times New Roman"/>
          <w:color w:val="000000"/>
          <w:sz w:val="20"/>
          <w:szCs w:val="20"/>
          <w:lang w:eastAsia="es-CO"/>
        </w:rPr>
      </w:pPr>
    </w:p>
    <w:p w14:paraId="320D0AA3" w14:textId="77777777" w:rsidR="0023659C" w:rsidRPr="00D126E1" w:rsidRDefault="0023659C" w:rsidP="00D126E1">
      <w:pPr>
        <w:spacing w:after="0" w:line="240" w:lineRule="auto"/>
        <w:rPr>
          <w:rFonts w:ascii="Verdana" w:eastAsia="Times New Roman" w:hAnsi="Verdana" w:cs="Times New Roman"/>
          <w:color w:val="000000"/>
          <w:sz w:val="20"/>
          <w:szCs w:val="20"/>
          <w:lang w:eastAsia="es-CO"/>
        </w:rPr>
      </w:pPr>
    </w:p>
    <w:p w14:paraId="2B702D31"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09826A93"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6B3F3E99" w14:textId="77777777" w:rsidR="00D126E1" w:rsidRPr="00D126E1" w:rsidRDefault="00D126E1" w:rsidP="00D126E1">
      <w:pPr>
        <w:spacing w:after="0" w:line="240" w:lineRule="auto"/>
        <w:rPr>
          <w:rFonts w:ascii="Verdana" w:eastAsia="Times New Roman" w:hAnsi="Verdana" w:cs="Times New Roman"/>
          <w:color w:val="000000"/>
          <w:sz w:val="20"/>
          <w:szCs w:val="20"/>
          <w:lang w:eastAsia="es-CO"/>
        </w:rPr>
      </w:pPr>
    </w:p>
    <w:p w14:paraId="7451726F" w14:textId="3BD4E881" w:rsidR="00D126E1" w:rsidRDefault="00D126E1" w:rsidP="00D126E1">
      <w:pPr>
        <w:spacing w:after="0" w:line="240" w:lineRule="auto"/>
        <w:jc w:val="both"/>
        <w:rPr>
          <w:rFonts w:ascii="Verdana" w:eastAsia="Aptos" w:hAnsi="Verdana" w:cs="Times New Roman"/>
          <w:kern w:val="2"/>
          <w:sz w:val="24"/>
          <w:szCs w:val="24"/>
          <w14:ligatures w14:val="standardContextual"/>
        </w:rPr>
      </w:pPr>
      <w:r w:rsidRPr="00D126E1">
        <w:rPr>
          <w:rFonts w:ascii="Verdana" w:eastAsia="Aptos" w:hAnsi="Verdana" w:cs="Times New Roman"/>
          <w:kern w:val="2"/>
          <w:sz w:val="24"/>
          <w:szCs w:val="24"/>
          <w14:ligatures w14:val="standardContextual"/>
        </w:rPr>
        <w:t xml:space="preserve">Bogotá D.C., </w:t>
      </w:r>
      <w:r w:rsidR="00544DF8">
        <w:rPr>
          <w:rFonts w:ascii="Verdana" w:eastAsia="Aptos" w:hAnsi="Verdana" w:cs="Times New Roman"/>
          <w:kern w:val="2"/>
          <w:sz w:val="24"/>
          <w:szCs w:val="24"/>
          <w14:ligatures w14:val="standardContextual"/>
        </w:rPr>
        <w:t>1</w:t>
      </w:r>
      <w:r w:rsidR="00397D75">
        <w:rPr>
          <w:rFonts w:ascii="Verdana" w:eastAsia="Aptos" w:hAnsi="Verdana" w:cs="Times New Roman"/>
          <w:kern w:val="2"/>
          <w:sz w:val="24"/>
          <w:szCs w:val="24"/>
          <w14:ligatures w14:val="standardContextual"/>
        </w:rPr>
        <w:t>5</w:t>
      </w:r>
      <w:r w:rsidR="00544DF8">
        <w:rPr>
          <w:rFonts w:ascii="Verdana" w:eastAsia="Aptos" w:hAnsi="Verdana" w:cs="Times New Roman"/>
          <w:kern w:val="2"/>
          <w:sz w:val="24"/>
          <w:szCs w:val="24"/>
          <w14:ligatures w14:val="standardContextual"/>
        </w:rPr>
        <w:t xml:space="preserve"> de octubre de 2025</w:t>
      </w:r>
    </w:p>
    <w:p w14:paraId="739FFA17" w14:textId="614DCAA5" w:rsidR="00D126E1" w:rsidRDefault="00D126E1" w:rsidP="00D126E1">
      <w:pPr>
        <w:spacing w:after="0" w:line="240" w:lineRule="auto"/>
        <w:rPr>
          <w:rFonts w:ascii="Verdana" w:eastAsia="Calibri" w:hAnsi="Verdana" w:cs="Arial"/>
          <w:kern w:val="2"/>
          <w:lang w:eastAsia="es-ES"/>
          <w14:ligatures w14:val="standardContextual"/>
        </w:rPr>
      </w:pPr>
    </w:p>
    <w:p w14:paraId="3998E0BC" w14:textId="31543248" w:rsidR="00F93171" w:rsidRPr="00397D75" w:rsidRDefault="00397D75" w:rsidP="00397D75">
      <w:pPr>
        <w:spacing w:after="0" w:line="240" w:lineRule="auto"/>
        <w:ind w:left="4956"/>
        <w:rPr>
          <w:rFonts w:ascii="Verdana" w:eastAsia="Calibri" w:hAnsi="Verdana" w:cs="Arial"/>
          <w:kern w:val="2"/>
          <w:lang w:eastAsia="es-ES"/>
          <w14:ligatures w14:val="standardContextual"/>
        </w:rPr>
      </w:pPr>
      <w:r>
        <w:rPr>
          <w:noProof/>
        </w:rPr>
        <w:drawing>
          <wp:inline distT="0" distB="0" distL="0" distR="0" wp14:anchorId="75B80F2D" wp14:editId="312B3273">
            <wp:extent cx="2752725" cy="771525"/>
            <wp:effectExtent l="0" t="0" r="9525" b="9525"/>
            <wp:docPr id="7663584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358443" name=""/>
                    <pic:cNvPicPr/>
                  </pic:nvPicPr>
                  <pic:blipFill>
                    <a:blip r:embed="rId10"/>
                    <a:stretch>
                      <a:fillRect/>
                    </a:stretch>
                  </pic:blipFill>
                  <pic:spPr>
                    <a:xfrm>
                      <a:off x="0" y="0"/>
                      <a:ext cx="2752725" cy="771525"/>
                    </a:xfrm>
                    <a:prstGeom prst="rect">
                      <a:avLst/>
                    </a:prstGeom>
                  </pic:spPr>
                </pic:pic>
              </a:graphicData>
            </a:graphic>
          </wp:inline>
        </w:drawing>
      </w:r>
    </w:p>
    <w:p w14:paraId="5B4A489A" w14:textId="5CDD8735" w:rsidR="00D126E1" w:rsidRPr="00D126E1" w:rsidRDefault="00D126E1" w:rsidP="00D126E1">
      <w:pPr>
        <w:spacing w:after="0" w:line="240" w:lineRule="auto"/>
        <w:rPr>
          <w:rFonts w:ascii="Verdana" w:eastAsia="Aptos" w:hAnsi="Verdana" w:cs="Times New Roman"/>
          <w:kern w:val="2"/>
          <w14:ligatures w14:val="standardContextual"/>
        </w:rPr>
      </w:pPr>
      <w:r w:rsidRPr="00D126E1">
        <w:rPr>
          <w:rFonts w:ascii="Verdana" w:eastAsia="Calibri" w:hAnsi="Verdana" w:cs="Arial"/>
          <w:kern w:val="2"/>
          <w:lang w:val="es-ES" w:eastAsia="es-ES"/>
          <w14:ligatures w14:val="standardContextual"/>
        </w:rPr>
        <w:t>Señor</w:t>
      </w:r>
    </w:p>
    <w:p w14:paraId="4BD02CB6" w14:textId="109FD9AC" w:rsidR="00D126E1" w:rsidRDefault="009A2AAF" w:rsidP="00D126E1">
      <w:pPr>
        <w:spacing w:after="0" w:line="240" w:lineRule="auto"/>
        <w:rPr>
          <w:rFonts w:ascii="Verdana" w:eastAsia="Calibri" w:hAnsi="Verdana" w:cs="Arial"/>
          <w:b/>
          <w:bCs/>
          <w:kern w:val="2"/>
          <w:lang w:eastAsia="es-ES_tradnl"/>
          <w14:ligatures w14:val="standardContextual"/>
        </w:rPr>
      </w:pPr>
      <w:r>
        <w:rPr>
          <w:rFonts w:ascii="Verdana" w:eastAsia="Calibri" w:hAnsi="Verdana" w:cs="Arial"/>
          <w:b/>
          <w:bCs/>
          <w:kern w:val="2"/>
          <w:lang w:eastAsia="es-ES_tradnl"/>
          <w14:ligatures w14:val="standardContextual"/>
        </w:rPr>
        <w:t>Miguel Eduardo Jaramillo Villa</w:t>
      </w:r>
    </w:p>
    <w:p w14:paraId="29645C2C" w14:textId="06E5CC65" w:rsidR="009A2AAF" w:rsidRDefault="009A2AAF" w:rsidP="00D126E1">
      <w:pPr>
        <w:spacing w:after="0" w:line="240" w:lineRule="auto"/>
        <w:rPr>
          <w:rFonts w:ascii="Verdana" w:eastAsia="Calibri" w:hAnsi="Verdana" w:cs="Arial"/>
          <w:b/>
          <w:bCs/>
          <w:kern w:val="2"/>
          <w:lang w:eastAsia="es-ES_tradnl"/>
          <w14:ligatures w14:val="standardContextual"/>
        </w:rPr>
      </w:pPr>
      <w:hyperlink r:id="rId11" w:history="1">
        <w:r w:rsidRPr="00A230EB">
          <w:rPr>
            <w:rStyle w:val="Hipervnculo"/>
            <w:rFonts w:ascii="Verdana" w:eastAsia="Calibri" w:hAnsi="Verdana" w:cs="Arial"/>
            <w:b/>
            <w:bCs/>
            <w:kern w:val="2"/>
            <w:lang w:eastAsia="es-ES_tradnl"/>
            <w14:ligatures w14:val="standardContextual"/>
          </w:rPr>
          <w:t>Migueljaramillo4@gmail.com</w:t>
        </w:r>
      </w:hyperlink>
    </w:p>
    <w:p w14:paraId="0C502A1F" w14:textId="7B32D3CB" w:rsidR="00D126E1" w:rsidRPr="00D126E1" w:rsidRDefault="009A2AAF" w:rsidP="00D126E1">
      <w:pPr>
        <w:spacing w:after="0" w:line="240" w:lineRule="auto"/>
        <w:rPr>
          <w:rFonts w:ascii="Verdana" w:eastAsia="Calibri" w:hAnsi="Verdana" w:cs="Arial"/>
          <w:b/>
          <w:bCs/>
          <w:lang w:val="es-ES_tradnl" w:eastAsia="es-ES_tradnl"/>
        </w:rPr>
      </w:pPr>
      <w:r>
        <w:rPr>
          <w:rFonts w:ascii="Verdana" w:eastAsia="Calibri" w:hAnsi="Verdana" w:cs="Arial"/>
          <w:kern w:val="2"/>
          <w:lang w:val="es-ES_tradnl" w:eastAsia="es-ES_tradnl"/>
          <w14:ligatures w14:val="standardContextual"/>
        </w:rPr>
        <w:t>Manizales, Caldas</w:t>
      </w:r>
    </w:p>
    <w:p w14:paraId="7A6C9F3B" w14:textId="77777777" w:rsidR="00D126E1" w:rsidRDefault="00D126E1" w:rsidP="00D126E1">
      <w:pPr>
        <w:spacing w:after="0" w:line="240" w:lineRule="auto"/>
        <w:rPr>
          <w:rFonts w:ascii="Verdana" w:eastAsia="Calibri" w:hAnsi="Verdana" w:cs="Arial"/>
          <w:b/>
          <w:bCs/>
          <w:lang w:val="es-ES_tradnl" w:eastAsia="es-ES_tradnl"/>
        </w:rPr>
      </w:pPr>
    </w:p>
    <w:p w14:paraId="13645024" w14:textId="77777777" w:rsidR="00424062" w:rsidRPr="00D126E1" w:rsidRDefault="00424062" w:rsidP="00D126E1">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D126E1" w:rsidRPr="00D126E1" w14:paraId="1D9FFBEC" w14:textId="77777777" w:rsidTr="00876EDD">
        <w:trPr>
          <w:trHeight w:val="229"/>
        </w:trPr>
        <w:tc>
          <w:tcPr>
            <w:tcW w:w="1985" w:type="dxa"/>
          </w:tcPr>
          <w:p w14:paraId="34258E93" w14:textId="77777777" w:rsidR="00D126E1" w:rsidRPr="00D126E1" w:rsidRDefault="00D126E1" w:rsidP="00D126E1">
            <w:pPr>
              <w:jc w:val="both"/>
              <w:rPr>
                <w:rFonts w:ascii="Verdana" w:eastAsia="Calibri" w:hAnsi="Verdana" w:cs="Arial"/>
                <w:b/>
                <w:bCs/>
                <w:lang w:val="es-ES_tradnl" w:eastAsia="es-ES_tradnl"/>
              </w:rPr>
            </w:pPr>
          </w:p>
        </w:tc>
        <w:tc>
          <w:tcPr>
            <w:tcW w:w="6383" w:type="dxa"/>
          </w:tcPr>
          <w:p w14:paraId="1FDB65DC" w14:textId="36F7CD5F" w:rsidR="00D126E1" w:rsidRPr="00D126E1" w:rsidRDefault="00D126E1" w:rsidP="00D126E1">
            <w:pPr>
              <w:jc w:val="both"/>
              <w:rPr>
                <w:rFonts w:ascii="Verdana" w:eastAsia="Calibri" w:hAnsi="Verdana" w:cs="Arial"/>
                <w:b/>
                <w:bCs/>
                <w:lang w:val="es-ES" w:eastAsia="es-ES"/>
              </w:rPr>
            </w:pPr>
            <w:r w:rsidRPr="00D126E1">
              <w:rPr>
                <w:rFonts w:ascii="Verdana" w:eastAsia="Calibri" w:hAnsi="Verdana" w:cs="Arial"/>
                <w:b/>
                <w:bCs/>
                <w:lang w:val="es-ES" w:eastAsia="es-ES"/>
              </w:rPr>
              <w:t>Concepto C-</w:t>
            </w:r>
            <w:r w:rsidR="00837943">
              <w:rPr>
                <w:rFonts w:ascii="Verdana" w:eastAsia="Calibri" w:hAnsi="Verdana" w:cs="Arial"/>
                <w:b/>
                <w:bCs/>
                <w:lang w:val="es-ES" w:eastAsia="es-ES"/>
              </w:rPr>
              <w:t>1261</w:t>
            </w:r>
            <w:r w:rsidRPr="00D126E1">
              <w:rPr>
                <w:rFonts w:ascii="Verdana" w:eastAsia="Calibri" w:hAnsi="Verdana" w:cs="Arial"/>
                <w:b/>
                <w:bCs/>
                <w:lang w:val="es-ES" w:eastAsia="es-ES"/>
              </w:rPr>
              <w:t xml:space="preserve"> de 2025</w:t>
            </w:r>
          </w:p>
          <w:p w14:paraId="180F2D29" w14:textId="77777777" w:rsidR="00D126E1" w:rsidRDefault="00D126E1" w:rsidP="00D126E1">
            <w:pPr>
              <w:jc w:val="both"/>
              <w:rPr>
                <w:rFonts w:ascii="Verdana" w:eastAsia="Calibri" w:hAnsi="Verdana" w:cs="Arial"/>
                <w:b/>
                <w:bCs/>
                <w:lang w:val="es-ES" w:eastAsia="es-ES"/>
              </w:rPr>
            </w:pPr>
          </w:p>
          <w:p w14:paraId="3EDF7533" w14:textId="77777777" w:rsidR="00424062" w:rsidRPr="00D126E1" w:rsidRDefault="00424062" w:rsidP="00D126E1">
            <w:pPr>
              <w:jc w:val="both"/>
              <w:rPr>
                <w:rFonts w:ascii="Verdana" w:eastAsia="Calibri" w:hAnsi="Verdana" w:cs="Arial"/>
                <w:b/>
                <w:bCs/>
                <w:lang w:val="es-ES" w:eastAsia="es-ES"/>
              </w:rPr>
            </w:pPr>
          </w:p>
        </w:tc>
      </w:tr>
      <w:tr w:rsidR="00D126E1" w:rsidRPr="00D126E1" w14:paraId="698BE977" w14:textId="77777777" w:rsidTr="00876EDD">
        <w:trPr>
          <w:trHeight w:val="884"/>
        </w:trPr>
        <w:tc>
          <w:tcPr>
            <w:tcW w:w="1985" w:type="dxa"/>
          </w:tcPr>
          <w:p w14:paraId="1D9050C6" w14:textId="77777777" w:rsidR="00D126E1" w:rsidRPr="00D126E1" w:rsidRDefault="00D126E1" w:rsidP="00D126E1">
            <w:pPr>
              <w:jc w:val="both"/>
              <w:rPr>
                <w:rFonts w:ascii="Verdana" w:eastAsia="Calibri" w:hAnsi="Verdana" w:cs="Arial"/>
                <w:lang w:val="es-ES_tradnl" w:eastAsia="es-ES_tradnl"/>
              </w:rPr>
            </w:pPr>
            <w:r w:rsidRPr="00D126E1">
              <w:rPr>
                <w:rFonts w:ascii="Verdana" w:eastAsia="Calibri" w:hAnsi="Verdana" w:cs="Arial"/>
                <w:b/>
                <w:lang w:val="es-ES_tradnl" w:eastAsia="es-ES_tradnl"/>
              </w:rPr>
              <w:t>Temas:</w:t>
            </w:r>
            <w:r w:rsidRPr="00D126E1">
              <w:rPr>
                <w:rFonts w:ascii="Verdana" w:eastAsia="Calibri" w:hAnsi="Verdana" w:cs="Arial"/>
                <w:lang w:val="es-ES_tradnl" w:eastAsia="es-ES_tradnl"/>
              </w:rPr>
              <w:t xml:space="preserve">                   </w:t>
            </w:r>
          </w:p>
        </w:tc>
        <w:tc>
          <w:tcPr>
            <w:tcW w:w="6383" w:type="dxa"/>
          </w:tcPr>
          <w:p w14:paraId="44776CB5" w14:textId="68782063" w:rsidR="00D126E1" w:rsidRPr="00D126E1" w:rsidRDefault="00D126E1" w:rsidP="00D126E1">
            <w:pPr>
              <w:widowControl w:val="0"/>
              <w:autoSpaceDE w:val="0"/>
              <w:autoSpaceDN w:val="0"/>
              <w:jc w:val="both"/>
              <w:rPr>
                <w:rFonts w:ascii="Verdana" w:eastAsia="Calibri" w:hAnsi="Verdana" w:cs="Times New Roman"/>
                <w:sz w:val="20"/>
                <w:szCs w:val="20"/>
                <w:lang w:val="es-ES"/>
              </w:rPr>
            </w:pPr>
            <w:r w:rsidRPr="00D126E1">
              <w:rPr>
                <w:rFonts w:ascii="Verdana" w:eastAsia="Calibri" w:hAnsi="Verdana" w:cs="Arial"/>
                <w:lang w:val="es-ES_tradnl"/>
              </w:rPr>
              <w:t xml:space="preserve">DOCUMENTOS TIPO – Fundamento normativo – Obligatoriedad / </w:t>
            </w:r>
            <w:r w:rsidRPr="00D126E1">
              <w:rPr>
                <w:rFonts w:ascii="Verdana" w:eastAsia="Calibri" w:hAnsi="Verdana" w:cs="Times New Roman"/>
                <w:lang w:val="es-ES"/>
              </w:rPr>
              <w:t xml:space="preserve">DOCUMENTOS TIPO – Aplicación – Matriz de Experiencia / DOCUMENTOS TIPO – Sector Institucional – Aplicación – </w:t>
            </w:r>
            <w:r w:rsidR="00837943" w:rsidRPr="00837943">
              <w:rPr>
                <w:rFonts w:ascii="Verdana" w:eastAsia="Times New Roman" w:hAnsi="Verdana" w:cs="Times New Roman"/>
                <w:color w:val="000000"/>
                <w:lang w:eastAsia="es-CO"/>
              </w:rPr>
              <w:t xml:space="preserve">edificios </w:t>
            </w:r>
            <w:r w:rsidR="00837943">
              <w:rPr>
                <w:rFonts w:ascii="Verdana" w:eastAsia="Times New Roman" w:hAnsi="Verdana" w:cs="Times New Roman"/>
                <w:color w:val="000000"/>
                <w:lang w:eastAsia="es-CO"/>
              </w:rPr>
              <w:t>I</w:t>
            </w:r>
            <w:r w:rsidR="00837943" w:rsidRPr="00837943">
              <w:rPr>
                <w:rFonts w:ascii="Verdana" w:eastAsia="Times New Roman" w:hAnsi="Verdana" w:cs="Times New Roman"/>
                <w:color w:val="000000"/>
                <w:lang w:eastAsia="es-CO"/>
              </w:rPr>
              <w:t>nstitucionales de la Rama Judicial</w:t>
            </w:r>
          </w:p>
          <w:p w14:paraId="34923F1C" w14:textId="77777777" w:rsidR="00D126E1" w:rsidRPr="00D126E1" w:rsidRDefault="00D126E1" w:rsidP="00D126E1">
            <w:pPr>
              <w:jc w:val="both"/>
              <w:rPr>
                <w:rFonts w:ascii="Verdana" w:eastAsia="Calibri" w:hAnsi="Verdana" w:cs="Arial"/>
                <w:bCs/>
                <w:lang w:val="es-ES" w:eastAsia="es-ES"/>
              </w:rPr>
            </w:pPr>
          </w:p>
        </w:tc>
      </w:tr>
      <w:tr w:rsidR="00D126E1" w:rsidRPr="00D126E1" w14:paraId="680D0FA7" w14:textId="77777777" w:rsidTr="00876EDD">
        <w:tc>
          <w:tcPr>
            <w:tcW w:w="1985" w:type="dxa"/>
          </w:tcPr>
          <w:p w14:paraId="37886155" w14:textId="77777777" w:rsidR="00D126E1" w:rsidRPr="00D126E1" w:rsidRDefault="00D126E1" w:rsidP="00D126E1">
            <w:pPr>
              <w:jc w:val="both"/>
              <w:rPr>
                <w:rFonts w:ascii="Verdana" w:eastAsia="Calibri" w:hAnsi="Verdana" w:cs="Arial"/>
                <w:b/>
                <w:lang w:val="es-ES_tradnl" w:eastAsia="es-ES_tradnl"/>
              </w:rPr>
            </w:pPr>
            <w:r w:rsidRPr="00D126E1">
              <w:rPr>
                <w:rFonts w:ascii="Verdana" w:eastAsia="Calibri" w:hAnsi="Verdana" w:cs="Arial"/>
                <w:b/>
                <w:lang w:val="es-ES_tradnl" w:eastAsia="es-ES_tradnl"/>
              </w:rPr>
              <w:t>Radicación:</w:t>
            </w:r>
            <w:r w:rsidRPr="00D126E1">
              <w:rPr>
                <w:rFonts w:ascii="Verdana" w:eastAsia="Calibri" w:hAnsi="Verdana" w:cs="Arial"/>
                <w:lang w:val="es-ES_tradnl" w:eastAsia="es-ES_tradnl"/>
              </w:rPr>
              <w:t xml:space="preserve">               </w:t>
            </w:r>
          </w:p>
        </w:tc>
        <w:tc>
          <w:tcPr>
            <w:tcW w:w="6383" w:type="dxa"/>
          </w:tcPr>
          <w:p w14:paraId="060AD153" w14:textId="437CBA39" w:rsidR="00D126E1" w:rsidRPr="00D126E1" w:rsidRDefault="00D126E1" w:rsidP="00D126E1">
            <w:pPr>
              <w:ind w:left="3" w:hanging="3"/>
              <w:jc w:val="both"/>
              <w:rPr>
                <w:rFonts w:ascii="Verdana" w:eastAsia="Calibri" w:hAnsi="Verdana" w:cs="Arial"/>
                <w:lang w:val="es-ES_tradnl" w:eastAsia="es-ES_tradnl"/>
              </w:rPr>
            </w:pPr>
            <w:r w:rsidRPr="00D126E1">
              <w:rPr>
                <w:rFonts w:ascii="Verdana" w:eastAsia="Calibri" w:hAnsi="Verdana" w:cs="Arial"/>
                <w:lang w:val="es-ES_tradnl" w:eastAsia="es-ES_tradnl"/>
              </w:rPr>
              <w:t xml:space="preserve">Respuesta a consulta con radicado No. </w:t>
            </w:r>
            <w:r w:rsidR="00837943" w:rsidRPr="00837943">
              <w:rPr>
                <w:rFonts w:ascii="Verdana" w:eastAsia="Calibri" w:hAnsi="Verdana" w:cs="Arial"/>
                <w:lang w:val="es-ES_tradnl" w:eastAsia="es-ES_tradnl"/>
              </w:rPr>
              <w:t>1_2025_09_04_009565</w:t>
            </w:r>
          </w:p>
        </w:tc>
      </w:tr>
    </w:tbl>
    <w:p w14:paraId="43DB1A31" w14:textId="77777777" w:rsidR="00F93171" w:rsidRDefault="00F93171" w:rsidP="00D126E1">
      <w:pPr>
        <w:spacing w:after="0" w:line="276" w:lineRule="auto"/>
        <w:jc w:val="both"/>
        <w:rPr>
          <w:rFonts w:ascii="Verdana" w:eastAsia="Calibri" w:hAnsi="Verdana" w:cs="Arial"/>
          <w:lang w:val="es-ES" w:eastAsia="es-ES"/>
        </w:rPr>
      </w:pPr>
    </w:p>
    <w:p w14:paraId="20E917B5" w14:textId="38F25607" w:rsidR="00D126E1" w:rsidRPr="00D126E1" w:rsidRDefault="00D126E1" w:rsidP="00D126E1">
      <w:pPr>
        <w:spacing w:after="0" w:line="276" w:lineRule="auto"/>
        <w:jc w:val="both"/>
        <w:rPr>
          <w:rFonts w:ascii="Verdana" w:eastAsia="Calibri" w:hAnsi="Verdana" w:cs="Arial"/>
          <w:lang w:val="es-ES" w:eastAsia="es-ES"/>
        </w:rPr>
      </w:pPr>
      <w:r w:rsidRPr="00D126E1">
        <w:rPr>
          <w:rFonts w:ascii="Verdana" w:eastAsia="Calibri" w:hAnsi="Verdana" w:cs="Arial"/>
          <w:lang w:val="es-ES" w:eastAsia="es-ES"/>
        </w:rPr>
        <w:t xml:space="preserve">Estimado señor Caicedo Vidal: </w:t>
      </w:r>
    </w:p>
    <w:p w14:paraId="293F441C" w14:textId="77777777" w:rsidR="00D126E1" w:rsidRPr="00D126E1" w:rsidRDefault="00D126E1" w:rsidP="00D126E1">
      <w:pPr>
        <w:tabs>
          <w:tab w:val="left" w:pos="3768"/>
        </w:tabs>
        <w:spacing w:after="0" w:line="276" w:lineRule="auto"/>
        <w:jc w:val="both"/>
        <w:rPr>
          <w:rFonts w:ascii="Verdana" w:eastAsia="Calibri" w:hAnsi="Verdana" w:cs="Arial"/>
          <w:lang w:val="es-ES" w:eastAsia="es-ES"/>
        </w:rPr>
      </w:pPr>
      <w:r w:rsidRPr="00D126E1">
        <w:rPr>
          <w:rFonts w:ascii="Verdana" w:eastAsia="Calibri" w:hAnsi="Verdana" w:cs="Arial"/>
          <w:lang w:val="es-ES" w:eastAsia="es-ES"/>
        </w:rPr>
        <w:tab/>
      </w:r>
    </w:p>
    <w:p w14:paraId="7B24B957" w14:textId="0801629E" w:rsidR="00D126E1" w:rsidRPr="00D126E1" w:rsidRDefault="00D126E1" w:rsidP="00D126E1">
      <w:pPr>
        <w:spacing w:after="0" w:line="276" w:lineRule="auto"/>
        <w:jc w:val="both"/>
        <w:rPr>
          <w:rFonts w:ascii="Verdana" w:eastAsia="Calibri" w:hAnsi="Verdana" w:cs="Arial"/>
          <w:lang w:val="es-ES" w:eastAsia="es-ES"/>
        </w:rPr>
      </w:pPr>
      <w:r w:rsidRPr="00D126E1">
        <w:rPr>
          <w:rFonts w:ascii="Verdana" w:eastAsia="Calibri" w:hAnsi="Verdana" w:cs="Arial"/>
          <w:lang w:val="es-ES" w:eastAsia="es-ES"/>
        </w:rPr>
        <w:t>En ejercicio de la competencia otorgada por los artículos 3, numeral 5º, y 11, numeral 8º, del Decreto Ley 4170 de 2011,</w:t>
      </w:r>
      <w:r w:rsidRPr="00D126E1">
        <w:rPr>
          <w:rFonts w:ascii="Verdana" w:eastAsia="Arial MT" w:hAnsi="Verdana" w:cs="Arial MT"/>
          <w:lang w:val="es-ES" w:eastAsia="es-ES"/>
        </w:rPr>
        <w:t xml:space="preserve"> </w:t>
      </w:r>
      <w:r w:rsidRPr="00D126E1">
        <w:rPr>
          <w:rFonts w:ascii="Verdana" w:eastAsia="Calibri" w:hAnsi="Verdana" w:cs="Arial"/>
        </w:rPr>
        <w:t xml:space="preserve">así como lo establecido en el artículo 4 de la Resolución 1707 de 2018 expedida por esta Entidad, </w:t>
      </w:r>
      <w:r w:rsidRPr="00D126E1">
        <w:rPr>
          <w:rFonts w:ascii="Verdana" w:eastAsia="Calibri" w:hAnsi="Verdana" w:cs="Arial"/>
          <w:lang w:val="es-ES" w:eastAsia="es-ES"/>
        </w:rPr>
        <w:t xml:space="preserve">la Agencia Nacional de Contratación Pública – Colombia Compra Eficiente– responde su solicitud de consulta del </w:t>
      </w:r>
      <w:r w:rsidR="00837943">
        <w:rPr>
          <w:rFonts w:ascii="Verdana" w:eastAsia="Calibri" w:hAnsi="Verdana" w:cs="Arial"/>
          <w:lang w:val="es-ES" w:eastAsia="es-ES"/>
        </w:rPr>
        <w:t>4</w:t>
      </w:r>
      <w:r w:rsidRPr="00D126E1">
        <w:rPr>
          <w:rFonts w:ascii="Verdana" w:eastAsia="Calibri" w:hAnsi="Verdana" w:cs="Arial"/>
          <w:lang w:val="es-ES" w:eastAsia="es-ES"/>
        </w:rPr>
        <w:t xml:space="preserve"> de septiembre de 2025, en la cual manifiesta lo siguiente:</w:t>
      </w:r>
    </w:p>
    <w:p w14:paraId="4AE73045" w14:textId="77777777" w:rsidR="00D126E1" w:rsidRPr="00D126E1" w:rsidRDefault="00D126E1" w:rsidP="00D126E1">
      <w:pPr>
        <w:spacing w:after="0" w:line="276" w:lineRule="auto"/>
        <w:jc w:val="both"/>
        <w:rPr>
          <w:rFonts w:ascii="Verdana" w:eastAsia="Calibri" w:hAnsi="Verdana" w:cs="Arial"/>
          <w:lang w:val="es-ES" w:eastAsia="es-ES"/>
        </w:rPr>
      </w:pPr>
    </w:p>
    <w:p w14:paraId="34DB517C" w14:textId="5E311DD7" w:rsidR="00D126E1" w:rsidRPr="009A2AAF" w:rsidRDefault="009A2AAF" w:rsidP="009A2AAF">
      <w:pPr>
        <w:spacing w:after="120" w:line="240" w:lineRule="auto"/>
        <w:ind w:left="709" w:right="709"/>
        <w:jc w:val="both"/>
        <w:rPr>
          <w:rFonts w:ascii="Verdana" w:eastAsia="Aptos" w:hAnsi="Verdana" w:cs="Helvetica"/>
          <w:i/>
          <w:iCs/>
          <w:color w:val="000000"/>
          <w:sz w:val="21"/>
          <w:szCs w:val="21"/>
          <w14:ligatures w14:val="standardContextual"/>
        </w:rPr>
      </w:pPr>
      <w:r w:rsidRPr="00D126E1">
        <w:rPr>
          <w:rFonts w:ascii="Verdana" w:eastAsia="Aptos" w:hAnsi="Verdana" w:cs="Helvetica"/>
          <w:color w:val="000000"/>
          <w:sz w:val="21"/>
          <w:szCs w:val="21"/>
          <w14:ligatures w14:val="standardContextual"/>
        </w:rPr>
        <w:t>“</w:t>
      </w:r>
      <w:r w:rsidRPr="009A2AAF">
        <w:rPr>
          <w:rFonts w:ascii="Verdana" w:eastAsia="Aptos" w:hAnsi="Verdana" w:cs="Helvetica"/>
          <w:i/>
          <w:iCs/>
          <w:color w:val="000000"/>
          <w:sz w:val="21"/>
          <w:szCs w:val="21"/>
          <w14:ligatures w14:val="standardContextual"/>
        </w:rPr>
        <w:t>Respetados señores, solicito concepto sobre la aplicación de los Documentos Tipo (Res. 540 y 541 de 2025, Ley 1882/18 y Ley 2022/20) en procesos de licitación, selección abreviada y mínima cuantía para infraestructura social. En especial, si estos aplican a los edificios institucionales de la Rama Judicial administrados por la Dirección Ejecutiva de Administración Judicial.</w:t>
      </w:r>
      <w:r w:rsidR="00D126E1" w:rsidRPr="009A2AAF">
        <w:rPr>
          <w:rFonts w:ascii="Verdana" w:eastAsia="Aptos" w:hAnsi="Verdana" w:cs="Helvetica"/>
          <w:i/>
          <w:iCs/>
          <w:color w:val="000000"/>
          <w:sz w:val="21"/>
          <w:szCs w:val="21"/>
          <w14:ligatures w14:val="standardContextual"/>
        </w:rPr>
        <w:t>”.</w:t>
      </w:r>
    </w:p>
    <w:p w14:paraId="3641C344" w14:textId="77777777" w:rsidR="0017586E" w:rsidRDefault="0017586E" w:rsidP="0017586E">
      <w:pPr>
        <w:spacing w:after="0" w:line="240" w:lineRule="auto"/>
        <w:ind w:left="709" w:right="709"/>
        <w:jc w:val="both"/>
        <w:rPr>
          <w:rFonts w:ascii="Verdana" w:eastAsia="Aptos" w:hAnsi="Verdana" w:cs="Helvetica"/>
          <w:color w:val="000000"/>
          <w:sz w:val="21"/>
          <w:szCs w:val="21"/>
          <w14:ligatures w14:val="standardContextual"/>
        </w:rPr>
      </w:pPr>
    </w:p>
    <w:p w14:paraId="31FCA136" w14:textId="77777777" w:rsidR="0017586E" w:rsidRPr="002B1949" w:rsidRDefault="0017586E" w:rsidP="00855C0C">
      <w:pPr>
        <w:spacing w:after="120" w:line="276" w:lineRule="auto"/>
        <w:ind w:firstLine="709"/>
        <w:jc w:val="both"/>
        <w:rPr>
          <w:rFonts w:ascii="Verdana" w:eastAsia="Calibri" w:hAnsi="Verdana" w:cs="Arial"/>
          <w:color w:val="000000"/>
          <w:lang w:eastAsia="es-ES"/>
        </w:rPr>
      </w:pPr>
      <w:r w:rsidRPr="002B1949">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B1949">
        <w:rPr>
          <w:rFonts w:ascii="Verdana" w:eastAsia="Calibri" w:hAnsi="Verdana" w:cs="Arial"/>
          <w:color w:val="000000"/>
          <w:lang w:eastAsia="es-ES"/>
        </w:rPr>
        <w:tab/>
      </w:r>
    </w:p>
    <w:p w14:paraId="43C16577" w14:textId="6B5CBD1A" w:rsidR="0017586E" w:rsidRPr="002B1949" w:rsidRDefault="0017586E" w:rsidP="00855C0C">
      <w:pPr>
        <w:spacing w:after="0" w:line="276" w:lineRule="auto"/>
        <w:ind w:firstLine="709"/>
        <w:jc w:val="both"/>
        <w:rPr>
          <w:rFonts w:ascii="Verdana" w:eastAsia="Calibri" w:hAnsi="Verdana" w:cs="Arial"/>
          <w:color w:val="000000"/>
          <w:lang w:eastAsia="es-ES"/>
        </w:rPr>
      </w:pPr>
      <w:r w:rsidRPr="002B1949">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Pr>
          <w:rFonts w:ascii="Verdana" w:eastAsia="Calibri" w:hAnsi="Verdana" w:cs="Arial"/>
          <w:color w:val="000000"/>
          <w:lang w:eastAsia="es-ES"/>
        </w:rPr>
        <w:t>.</w:t>
      </w:r>
    </w:p>
    <w:p w14:paraId="1F22A780" w14:textId="77777777" w:rsidR="00DC467C" w:rsidRPr="00D126E1" w:rsidRDefault="00DC467C" w:rsidP="00855C0C">
      <w:pPr>
        <w:spacing w:after="0" w:line="240" w:lineRule="auto"/>
        <w:ind w:right="709"/>
        <w:jc w:val="both"/>
        <w:rPr>
          <w:rFonts w:ascii="Verdana" w:eastAsia="Aptos" w:hAnsi="Verdana" w:cs="Helvetica"/>
          <w:color w:val="000000"/>
          <w:sz w:val="21"/>
          <w:szCs w:val="21"/>
          <w:lang w:val="es-MX"/>
          <w14:ligatures w14:val="standardContextual"/>
        </w:rPr>
      </w:pPr>
    </w:p>
    <w:p w14:paraId="5CD1D032" w14:textId="77777777" w:rsidR="00D126E1" w:rsidRPr="00D126E1" w:rsidRDefault="00D126E1" w:rsidP="00855C0C">
      <w:pPr>
        <w:numPr>
          <w:ilvl w:val="0"/>
          <w:numId w:val="17"/>
        </w:numPr>
        <w:tabs>
          <w:tab w:val="left" w:pos="142"/>
          <w:tab w:val="left" w:pos="284"/>
        </w:tabs>
        <w:spacing w:after="0" w:line="276" w:lineRule="auto"/>
        <w:jc w:val="both"/>
        <w:rPr>
          <w:rFonts w:ascii="Verdana" w:eastAsia="Century Gothic" w:hAnsi="Verdana" w:cs="Century Gothic"/>
          <w:b/>
          <w:bCs/>
        </w:rPr>
      </w:pPr>
      <w:r w:rsidRPr="00D126E1">
        <w:rPr>
          <w:rFonts w:ascii="Verdana" w:eastAsia="Century Gothic" w:hAnsi="Verdana" w:cs="Century Gothic"/>
          <w:b/>
          <w:bCs/>
        </w:rPr>
        <w:t>Problema planteado:</w:t>
      </w:r>
    </w:p>
    <w:p w14:paraId="782CF94F" w14:textId="77777777" w:rsidR="00D126E1" w:rsidRPr="00D126E1" w:rsidRDefault="00D126E1" w:rsidP="00855C0C">
      <w:pPr>
        <w:tabs>
          <w:tab w:val="left" w:pos="426"/>
        </w:tabs>
        <w:spacing w:after="0" w:line="276" w:lineRule="auto"/>
        <w:jc w:val="both"/>
        <w:rPr>
          <w:rFonts w:ascii="Verdana" w:eastAsia="Century Gothic" w:hAnsi="Verdana" w:cs="Century Gothic"/>
          <w:lang w:val="es-ES"/>
        </w:rPr>
      </w:pPr>
    </w:p>
    <w:p w14:paraId="70654229" w14:textId="067E59CC" w:rsidR="00D126E1" w:rsidRPr="009A2AAF" w:rsidRDefault="00D126E1" w:rsidP="009A2AAF">
      <w:pPr>
        <w:spacing w:after="0" w:line="276" w:lineRule="auto"/>
        <w:jc w:val="both"/>
        <w:rPr>
          <w:rFonts w:ascii="Verdana" w:eastAsia="Calibri" w:hAnsi="Verdana" w:cs="Arial"/>
          <w:bCs/>
          <w:lang w:eastAsia="es-ES_tradnl"/>
        </w:rPr>
      </w:pPr>
      <w:r w:rsidRPr="00D126E1">
        <w:rPr>
          <w:rFonts w:ascii="Verdana" w:eastAsia="Century Gothic" w:hAnsi="Verdana" w:cs="Century Gothic"/>
        </w:rPr>
        <w:t xml:space="preserve">De acuerdo con el contenido de su solicitud, esta Agencia resolverá el siguiente problema jurídico: </w:t>
      </w:r>
      <w:proofErr w:type="gramStart"/>
      <w:r w:rsidRPr="00D126E1">
        <w:rPr>
          <w:rFonts w:ascii="Verdana" w:eastAsia="Calibri" w:hAnsi="Verdana" w:cs="Arial"/>
          <w:bCs/>
          <w:lang w:val="es-ES_tradnl" w:eastAsia="es-ES_tradnl"/>
        </w:rPr>
        <w:t>¿Aplican los documentos tipo complementarios del sector de infraestructura institucional (acogidos por medio de la resolución 5</w:t>
      </w:r>
      <w:r w:rsidR="009A2AAF">
        <w:rPr>
          <w:rFonts w:ascii="Verdana" w:eastAsia="Calibri" w:hAnsi="Verdana" w:cs="Arial"/>
          <w:bCs/>
          <w:lang w:val="es-ES_tradnl" w:eastAsia="es-ES_tradnl"/>
        </w:rPr>
        <w:t>40 y 541</w:t>
      </w:r>
      <w:r w:rsidRPr="00D126E1">
        <w:rPr>
          <w:rFonts w:ascii="Verdana" w:eastAsia="Calibri" w:hAnsi="Verdana" w:cs="Arial"/>
          <w:bCs/>
          <w:lang w:val="es-ES_tradnl" w:eastAsia="es-ES_tradnl"/>
        </w:rPr>
        <w:t xml:space="preserve"> de 2025), para adelantar un proceso que tiene por objeto la </w:t>
      </w:r>
      <w:r w:rsidRPr="00D126E1">
        <w:rPr>
          <w:rFonts w:ascii="Verdana" w:eastAsia="Calibri" w:hAnsi="Verdana" w:cs="Arial"/>
          <w:bCs/>
          <w:lang w:eastAsia="es-ES_tradnl"/>
        </w:rPr>
        <w:t xml:space="preserve">construcción </w:t>
      </w:r>
      <w:r w:rsidR="009A2AAF" w:rsidRPr="009A2AAF">
        <w:rPr>
          <w:rFonts w:ascii="Verdana" w:eastAsia="Calibri" w:hAnsi="Verdana" w:cs="Arial"/>
          <w:bCs/>
          <w:lang w:eastAsia="es-ES_tradnl"/>
        </w:rPr>
        <w:t>edificios institucionales de la Rama Judicial administrados por la</w:t>
      </w:r>
      <w:r w:rsidR="009A2AAF">
        <w:rPr>
          <w:rFonts w:ascii="Verdana" w:eastAsia="Calibri" w:hAnsi="Verdana" w:cs="Arial"/>
          <w:bCs/>
          <w:lang w:eastAsia="es-ES_tradnl"/>
        </w:rPr>
        <w:t xml:space="preserve"> </w:t>
      </w:r>
      <w:r w:rsidR="009A2AAF" w:rsidRPr="009A2AAF">
        <w:rPr>
          <w:rFonts w:ascii="Verdana" w:eastAsia="Calibri" w:hAnsi="Verdana" w:cs="Arial"/>
          <w:bCs/>
          <w:lang w:eastAsia="es-ES_tradnl"/>
        </w:rPr>
        <w:t>Dirección Ejecutiva de Administración Judicial.</w:t>
      </w:r>
      <w:proofErr w:type="gramEnd"/>
      <w:r w:rsidRPr="00D126E1">
        <w:rPr>
          <w:rFonts w:ascii="Verdana" w:eastAsia="Calibri" w:hAnsi="Verdana" w:cs="Arial"/>
          <w:bCs/>
          <w:lang w:val="es-ES_tradnl" w:eastAsia="es-ES_tradnl"/>
        </w:rPr>
        <w:t xml:space="preserve">? </w:t>
      </w:r>
    </w:p>
    <w:p w14:paraId="77A7FF79" w14:textId="77777777" w:rsidR="00D126E1" w:rsidRPr="00D126E1" w:rsidRDefault="00D126E1" w:rsidP="00D126E1">
      <w:pPr>
        <w:spacing w:after="0" w:line="276" w:lineRule="auto"/>
        <w:jc w:val="both"/>
        <w:rPr>
          <w:rFonts w:ascii="Verdana" w:eastAsia="Century Gothic" w:hAnsi="Verdana" w:cs="Century Gothic"/>
        </w:rPr>
      </w:pPr>
    </w:p>
    <w:p w14:paraId="0300CA69" w14:textId="77777777" w:rsidR="00D126E1" w:rsidRPr="00D126E1" w:rsidRDefault="00D126E1" w:rsidP="00D126E1">
      <w:pPr>
        <w:tabs>
          <w:tab w:val="left" w:pos="142"/>
          <w:tab w:val="left" w:pos="284"/>
        </w:tabs>
        <w:spacing w:after="0" w:line="276" w:lineRule="auto"/>
        <w:contextualSpacing/>
        <w:jc w:val="both"/>
        <w:rPr>
          <w:rFonts w:ascii="Verdana" w:eastAsia="Century Gothic" w:hAnsi="Verdana" w:cs="Century Gothic"/>
          <w:b/>
          <w:bCs/>
          <w:lang w:val="es-ES"/>
        </w:rPr>
      </w:pPr>
      <w:r w:rsidRPr="00D126E1">
        <w:rPr>
          <w:rFonts w:ascii="Verdana" w:eastAsia="Century Gothic" w:hAnsi="Verdana" w:cs="Century Gothic"/>
          <w:b/>
          <w:bCs/>
          <w:lang w:val="es-ES"/>
        </w:rPr>
        <w:t>2. Respuestas:</w:t>
      </w:r>
    </w:p>
    <w:p w14:paraId="5061BE96" w14:textId="77777777" w:rsidR="00D126E1" w:rsidRPr="00D126E1" w:rsidRDefault="00D126E1" w:rsidP="00D126E1">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126E1" w:rsidRPr="00D126E1" w14:paraId="0EDFE052" w14:textId="77777777" w:rsidTr="00876EDD">
        <w:trPr>
          <w:trHeight w:val="40"/>
        </w:trPr>
        <w:tc>
          <w:tcPr>
            <w:tcW w:w="8828" w:type="dxa"/>
            <w:tcBorders>
              <w:top w:val="dotted" w:sz="4" w:space="0" w:color="auto"/>
              <w:left w:val="dotted" w:sz="4" w:space="0" w:color="auto"/>
              <w:bottom w:val="dotted" w:sz="4" w:space="0" w:color="auto"/>
              <w:right w:val="dotted" w:sz="4" w:space="0" w:color="auto"/>
            </w:tcBorders>
          </w:tcPr>
          <w:p w14:paraId="50D97349" w14:textId="77777777" w:rsidR="00D126E1" w:rsidRPr="00D126E1" w:rsidRDefault="00D126E1" w:rsidP="00D126E1">
            <w:pPr>
              <w:widowControl w:val="0"/>
              <w:autoSpaceDE w:val="0"/>
              <w:autoSpaceDN w:val="0"/>
              <w:spacing w:after="120" w:line="276" w:lineRule="auto"/>
              <w:jc w:val="both"/>
              <w:rPr>
                <w:rFonts w:ascii="Verdana" w:eastAsia="Calibri" w:hAnsi="Verdana" w:cs="Times New Roman"/>
                <w:lang w:val="es-ES"/>
              </w:rPr>
            </w:pPr>
            <w:r w:rsidRPr="00D126E1">
              <w:rPr>
                <w:rFonts w:ascii="Verdana" w:eastAsia="Calibri" w:hAnsi="Verdana" w:cs="Times New Roman"/>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w:t>
            </w:r>
            <w:r w:rsidRPr="00D126E1">
              <w:rPr>
                <w:rFonts w:ascii="Verdana" w:eastAsia="Calibri" w:hAnsi="Verdana" w:cs="Times New Roman"/>
                <w:lang w:val="es-ES"/>
              </w:rPr>
              <w:lastRenderedPageBreak/>
              <w:t>expedidas por esta Agencia mediante las cuales se adoptan documentos tipo.</w:t>
            </w:r>
          </w:p>
          <w:p w14:paraId="28EDE82A" w14:textId="77777777" w:rsidR="00837943" w:rsidRPr="00837943" w:rsidRDefault="00837943" w:rsidP="00837943">
            <w:pPr>
              <w:widowControl w:val="0"/>
              <w:autoSpaceDE w:val="0"/>
              <w:autoSpaceDN w:val="0"/>
              <w:spacing w:line="276" w:lineRule="auto"/>
              <w:ind w:firstLine="709"/>
              <w:jc w:val="both"/>
              <w:rPr>
                <w:rFonts w:ascii="Verdana" w:eastAsia="Calibri" w:hAnsi="Verdana" w:cs="Arial"/>
              </w:rPr>
            </w:pPr>
            <w:r w:rsidRPr="00837943">
              <w:rPr>
                <w:rFonts w:ascii="Verdana" w:eastAsia="Calibri" w:hAnsi="Verdana" w:cs="Arial"/>
              </w:rPr>
              <w:t xml:space="preserve">Los edificios institucionales de la Rama Judicial administrados por la Dirección Ejecutiva de Administración Judicial, se clasifican de conformidad con la NSR-10, en edificaciones institucionales de la Administración Pública, y de conformidad con las resoluciones expedidas por parte de la ANCP-CCE No. 539, 540 y 541 del 21 de agosto de 2025, para procesos de licitación, selección abreviada y mínima cuantía para infraestructura social y se adoptan los documentos tipo complementarios para los procesos de licitación de obra pública de infraestructura social relacionados con los sectores de educación, salud, cultura, recreación y deporte, vivienda y obra pública de infraestructura social relacionados con los sectores institucional, donde se incluyen de conformidad con  la norma NSR-10 los siguientes subgrupos de ocupación: </w:t>
            </w:r>
          </w:p>
          <w:p w14:paraId="6892BB6F" w14:textId="77777777" w:rsidR="00837943" w:rsidRDefault="00837943" w:rsidP="00837943">
            <w:pPr>
              <w:widowControl w:val="0"/>
              <w:autoSpaceDE w:val="0"/>
              <w:autoSpaceDN w:val="0"/>
              <w:spacing w:line="276" w:lineRule="auto"/>
              <w:ind w:firstLine="709"/>
              <w:jc w:val="both"/>
              <w:rPr>
                <w:rFonts w:ascii="Verdana" w:eastAsia="Calibri" w:hAnsi="Verdana" w:cs="Arial"/>
              </w:rPr>
            </w:pPr>
          </w:p>
          <w:p w14:paraId="49F06814" w14:textId="762E4825" w:rsidR="00837943" w:rsidRPr="00837943" w:rsidRDefault="00837943" w:rsidP="00837943">
            <w:pPr>
              <w:widowControl w:val="0"/>
              <w:autoSpaceDE w:val="0"/>
              <w:autoSpaceDN w:val="0"/>
              <w:spacing w:line="276" w:lineRule="auto"/>
              <w:ind w:firstLine="709"/>
              <w:jc w:val="both"/>
              <w:rPr>
                <w:rFonts w:ascii="Verdana" w:eastAsia="Calibri" w:hAnsi="Verdana" w:cs="Arial"/>
              </w:rPr>
            </w:pPr>
            <w:r w:rsidRPr="00837943">
              <w:rPr>
                <w:rFonts w:ascii="Verdana" w:eastAsia="Calibri" w:hAnsi="Verdana" w:cs="Arial"/>
              </w:rPr>
              <w:t xml:space="preserve">Subgrupo de Ocupación institucional de reclusión (I-1): Prisiones, reformatorios, cárceles, manicomios, asilos, otros similares.  </w:t>
            </w:r>
          </w:p>
          <w:p w14:paraId="5F83A435" w14:textId="77777777" w:rsidR="00574537" w:rsidRDefault="00574537" w:rsidP="00837943">
            <w:pPr>
              <w:widowControl w:val="0"/>
              <w:autoSpaceDE w:val="0"/>
              <w:autoSpaceDN w:val="0"/>
              <w:spacing w:line="276" w:lineRule="auto"/>
              <w:ind w:firstLine="709"/>
              <w:jc w:val="both"/>
              <w:rPr>
                <w:rFonts w:ascii="Verdana" w:eastAsia="Calibri" w:hAnsi="Verdana" w:cs="Arial"/>
              </w:rPr>
            </w:pPr>
          </w:p>
          <w:p w14:paraId="26D5926C" w14:textId="441E7537" w:rsidR="00837943" w:rsidRPr="00837943" w:rsidRDefault="00837943" w:rsidP="00837943">
            <w:pPr>
              <w:widowControl w:val="0"/>
              <w:autoSpaceDE w:val="0"/>
              <w:autoSpaceDN w:val="0"/>
              <w:spacing w:line="276" w:lineRule="auto"/>
              <w:ind w:firstLine="709"/>
              <w:jc w:val="both"/>
              <w:rPr>
                <w:rFonts w:ascii="Verdana" w:eastAsia="Calibri" w:hAnsi="Verdana" w:cs="Arial"/>
              </w:rPr>
            </w:pPr>
            <w:r w:rsidRPr="00837943">
              <w:rPr>
                <w:rFonts w:ascii="Verdana" w:eastAsia="Calibri" w:hAnsi="Verdana" w:cs="Arial"/>
              </w:rPr>
              <w:t xml:space="preserve">Subgrupo de Ocupación institucional de seguridad pública (I-4): Estaciones de policía, bomberos, defensa civil, instituciones militares y otros similares. </w:t>
            </w:r>
          </w:p>
          <w:p w14:paraId="6A5EF3D3" w14:textId="77777777" w:rsidR="00837943" w:rsidRPr="00837943" w:rsidRDefault="00837943" w:rsidP="00837943">
            <w:pPr>
              <w:widowControl w:val="0"/>
              <w:autoSpaceDE w:val="0"/>
              <w:autoSpaceDN w:val="0"/>
              <w:spacing w:line="276" w:lineRule="auto"/>
              <w:ind w:firstLine="709"/>
              <w:jc w:val="both"/>
              <w:rPr>
                <w:rFonts w:ascii="Verdana" w:eastAsia="Calibri" w:hAnsi="Verdana" w:cs="Arial"/>
              </w:rPr>
            </w:pPr>
            <w:r w:rsidRPr="009A2AAF">
              <w:rPr>
                <w:rFonts w:ascii="Verdana" w:eastAsia="Calibri" w:hAnsi="Verdana" w:cs="Arial"/>
                <w:b/>
                <w:bCs/>
                <w:u w:val="single"/>
              </w:rPr>
              <w:t>Subgrupo de Ocupación institucional de servicio público (I-5): Centros de comunicación o administrativos o administrativos de servicios municipales, distritales o gubernamentales, juzgados y otros similares</w:t>
            </w:r>
            <w:r w:rsidRPr="00837943">
              <w:rPr>
                <w:rFonts w:ascii="Verdana" w:eastAsia="Calibri" w:hAnsi="Verdana" w:cs="Arial"/>
              </w:rPr>
              <w:t>.</w:t>
            </w:r>
          </w:p>
          <w:p w14:paraId="57BCE780" w14:textId="77777777" w:rsidR="00837943" w:rsidRPr="00837943" w:rsidRDefault="00837943" w:rsidP="00837943">
            <w:pPr>
              <w:widowControl w:val="0"/>
              <w:autoSpaceDE w:val="0"/>
              <w:autoSpaceDN w:val="0"/>
              <w:spacing w:line="276" w:lineRule="auto"/>
              <w:ind w:firstLine="709"/>
              <w:jc w:val="both"/>
              <w:rPr>
                <w:rFonts w:ascii="Verdana" w:eastAsia="Calibri" w:hAnsi="Verdana" w:cs="Arial"/>
              </w:rPr>
            </w:pPr>
          </w:p>
          <w:p w14:paraId="413B1A42" w14:textId="4D5D4EEC" w:rsidR="00D126E1" w:rsidRDefault="00837943" w:rsidP="00837943">
            <w:pPr>
              <w:widowControl w:val="0"/>
              <w:autoSpaceDE w:val="0"/>
              <w:autoSpaceDN w:val="0"/>
              <w:spacing w:line="276" w:lineRule="auto"/>
              <w:ind w:firstLine="709"/>
              <w:jc w:val="both"/>
              <w:rPr>
                <w:rFonts w:ascii="Verdana" w:eastAsia="Calibri" w:hAnsi="Verdana" w:cs="Arial"/>
              </w:rPr>
            </w:pPr>
            <w:r w:rsidRPr="00837943">
              <w:rPr>
                <w:rFonts w:ascii="Verdana" w:eastAsia="Calibri" w:hAnsi="Verdana" w:cs="Arial"/>
              </w:rPr>
              <w:t>Es decir que las entidades deben revisar e implementar los documentos tipo para los procesos de edificios institucionales de la Rama Judicial administrados por la Dirección Ejecutiva de Administración Judicial, cuyo aviso de convocatoria a partir del 16 de febrero de 2026.</w:t>
            </w:r>
          </w:p>
          <w:p w14:paraId="7A2429FB" w14:textId="77777777" w:rsidR="00837943" w:rsidRPr="00D126E1" w:rsidRDefault="00837943" w:rsidP="00837943">
            <w:pPr>
              <w:widowControl w:val="0"/>
              <w:autoSpaceDE w:val="0"/>
              <w:autoSpaceDN w:val="0"/>
              <w:spacing w:line="276" w:lineRule="auto"/>
              <w:ind w:firstLine="709"/>
              <w:jc w:val="both"/>
              <w:rPr>
                <w:rFonts w:ascii="Verdana" w:eastAsia="Calibri" w:hAnsi="Verdana" w:cs="Arial"/>
              </w:rPr>
            </w:pPr>
          </w:p>
          <w:p w14:paraId="136B3045" w14:textId="77777777" w:rsidR="00D126E1" w:rsidRPr="00D126E1" w:rsidRDefault="00D126E1" w:rsidP="00D126E1">
            <w:pPr>
              <w:snapToGrid w:val="0"/>
              <w:spacing w:after="120" w:line="276" w:lineRule="auto"/>
              <w:ind w:firstLine="708"/>
              <w:jc w:val="both"/>
              <w:rPr>
                <w:rFonts w:ascii="Verdana" w:eastAsia="Calibri" w:hAnsi="Verdana" w:cs="Arial"/>
              </w:rPr>
            </w:pPr>
            <w:r w:rsidRPr="00D126E1">
              <w:rPr>
                <w:rFonts w:ascii="Verdana" w:eastAsia="Times New Roman" w:hAnsi="Verdana" w:cs="Arial"/>
                <w:kern w:val="2"/>
                <w:shd w:val="clear" w:color="auto" w:fill="FFFFFF"/>
                <w:lang w:val="es-ES_tradnl" w:eastAsia="es-ES_tradnl"/>
                <w14:ligatures w14:val="standardContextual"/>
              </w:rPr>
              <w:t xml:space="preserve">Finalmente,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de experiencia de cada documento tipo, y si en consecuencia deben aplicarse o no determinados documentos tipo, conforme a los parámetros indicados en este concepto. Lo anterior sin que pueda apartarse de su aplicación cuando </w:t>
            </w:r>
            <w:r w:rsidRPr="00D126E1">
              <w:rPr>
                <w:rFonts w:ascii="Verdana" w:eastAsia="Times New Roman" w:hAnsi="Verdana" w:cs="Arial"/>
                <w:kern w:val="2"/>
                <w:shd w:val="clear" w:color="auto" w:fill="FFFFFF"/>
                <w:lang w:val="es-ES_tradnl" w:eastAsia="es-ES_tradnl"/>
                <w14:ligatures w14:val="standardContextual"/>
              </w:rPr>
              <w:lastRenderedPageBreak/>
              <w:t xml:space="preserve">materialmente el objeto a contratar corresponde con alguna actividad contemplada en dicha matriz. </w:t>
            </w:r>
          </w:p>
          <w:p w14:paraId="122775D3" w14:textId="77777777" w:rsidR="00D126E1" w:rsidRPr="00D126E1" w:rsidRDefault="00D126E1" w:rsidP="00D126E1">
            <w:pPr>
              <w:snapToGrid w:val="0"/>
              <w:spacing w:line="276" w:lineRule="auto"/>
              <w:ind w:firstLine="708"/>
              <w:jc w:val="both"/>
              <w:rPr>
                <w:rFonts w:ascii="Verdana" w:eastAsia="Calibri" w:hAnsi="Verdana" w:cs="Arial"/>
                <w:kern w:val="2"/>
                <w14:ligatures w14:val="standardContextual"/>
              </w:rPr>
            </w:pPr>
            <w:r w:rsidRPr="00D126E1">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3DAD53E6" w14:textId="77777777" w:rsidR="00D126E1" w:rsidRPr="00D126E1" w:rsidRDefault="00D126E1" w:rsidP="00D126E1">
      <w:pPr>
        <w:tabs>
          <w:tab w:val="left" w:pos="142"/>
          <w:tab w:val="left" w:pos="284"/>
        </w:tabs>
        <w:spacing w:after="0" w:line="276" w:lineRule="auto"/>
        <w:jc w:val="both"/>
        <w:rPr>
          <w:rFonts w:ascii="Verdana" w:eastAsia="Century Gothic" w:hAnsi="Verdana" w:cs="Century Gothic"/>
          <w:b/>
          <w:bCs/>
          <w:lang w:val="es-ES"/>
        </w:rPr>
      </w:pPr>
    </w:p>
    <w:p w14:paraId="3D787B8B" w14:textId="77777777" w:rsidR="00D126E1" w:rsidRPr="00D126E1" w:rsidRDefault="00D126E1" w:rsidP="00D126E1">
      <w:pPr>
        <w:tabs>
          <w:tab w:val="left" w:pos="142"/>
          <w:tab w:val="left" w:pos="284"/>
        </w:tabs>
        <w:spacing w:after="0" w:line="276" w:lineRule="auto"/>
        <w:jc w:val="both"/>
        <w:rPr>
          <w:rFonts w:ascii="Verdana" w:eastAsia="Century Gothic" w:hAnsi="Verdana" w:cs="Century Gothic"/>
          <w:b/>
          <w:bCs/>
          <w:lang w:val="es-ES"/>
        </w:rPr>
      </w:pPr>
      <w:r w:rsidRPr="00D126E1">
        <w:rPr>
          <w:rFonts w:ascii="Verdana" w:eastAsia="Century Gothic" w:hAnsi="Verdana" w:cs="Century Gothic"/>
          <w:b/>
          <w:bCs/>
          <w:lang w:val="es-ES"/>
        </w:rPr>
        <w:t>3. Razones de la respuesta:</w:t>
      </w:r>
    </w:p>
    <w:p w14:paraId="522846EE" w14:textId="77777777" w:rsidR="00D126E1" w:rsidRPr="00D126E1" w:rsidRDefault="00D126E1" w:rsidP="00D126E1">
      <w:pPr>
        <w:spacing w:after="0" w:line="276" w:lineRule="auto"/>
        <w:jc w:val="both"/>
        <w:rPr>
          <w:rFonts w:ascii="Verdana" w:eastAsia="Calibri" w:hAnsi="Verdana" w:cs="Arial"/>
          <w:lang w:val="es-ES"/>
        </w:rPr>
      </w:pPr>
    </w:p>
    <w:p w14:paraId="6E360494" w14:textId="77777777" w:rsidR="00D126E1" w:rsidRPr="00D126E1" w:rsidRDefault="00D126E1" w:rsidP="00D126E1">
      <w:pPr>
        <w:spacing w:after="0" w:line="276" w:lineRule="auto"/>
        <w:jc w:val="both"/>
        <w:rPr>
          <w:rFonts w:ascii="Verdana" w:eastAsia="Calibri" w:hAnsi="Verdana" w:cs="Arial"/>
          <w:lang w:val="es-ES"/>
        </w:rPr>
      </w:pPr>
      <w:r w:rsidRPr="00D126E1">
        <w:rPr>
          <w:rFonts w:ascii="Verdana" w:eastAsia="Calibri" w:hAnsi="Verdana" w:cs="Arial"/>
          <w:lang w:val="es-ES"/>
        </w:rPr>
        <w:t xml:space="preserve">Lo anterior se sustenta en las siguientes consideraciones: </w:t>
      </w:r>
    </w:p>
    <w:p w14:paraId="295AA617" w14:textId="77777777" w:rsidR="00D126E1" w:rsidRPr="00D126E1" w:rsidRDefault="00D126E1" w:rsidP="00D126E1">
      <w:pPr>
        <w:widowControl w:val="0"/>
        <w:autoSpaceDE w:val="0"/>
        <w:autoSpaceDN w:val="0"/>
        <w:spacing w:after="0" w:line="276" w:lineRule="auto"/>
        <w:jc w:val="both"/>
        <w:rPr>
          <w:rFonts w:ascii="Verdana" w:eastAsia="Calibri" w:hAnsi="Verdana" w:cs="Times New Roman"/>
          <w:lang w:val="es-ES"/>
        </w:rPr>
      </w:pPr>
      <w:bookmarkStart w:id="1" w:name="_Hlk113022941"/>
    </w:p>
    <w:p w14:paraId="15A291CE" w14:textId="77777777" w:rsidR="00D126E1" w:rsidRPr="00D126E1" w:rsidRDefault="00D126E1" w:rsidP="00D126E1">
      <w:pPr>
        <w:spacing w:after="120" w:line="276" w:lineRule="auto"/>
        <w:jc w:val="both"/>
        <w:rPr>
          <w:rFonts w:ascii="Verdana" w:eastAsia="Aptos" w:hAnsi="Verdana" w:cs="Arial"/>
          <w:kern w:val="2"/>
          <w14:ligatures w14:val="standardContextual"/>
        </w:rPr>
      </w:pPr>
      <w:r w:rsidRPr="00D126E1">
        <w:rPr>
          <w:rFonts w:ascii="Verdana" w:eastAsia="Aptos" w:hAnsi="Verdana" w:cs="Arial"/>
          <w:kern w:val="2"/>
          <w14:ligatures w14:val="standardContextu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8C05053" w14:textId="77777777" w:rsidR="00D126E1" w:rsidRPr="00D126E1" w:rsidRDefault="00D126E1" w:rsidP="00D126E1">
      <w:pPr>
        <w:spacing w:after="120" w:line="276" w:lineRule="auto"/>
        <w:ind w:firstLine="708"/>
        <w:jc w:val="both"/>
        <w:rPr>
          <w:rFonts w:ascii="Verdana" w:eastAsia="Aptos" w:hAnsi="Verdana" w:cs="Arial"/>
          <w:kern w:val="2"/>
          <w14:ligatures w14:val="standardContextual"/>
        </w:rPr>
      </w:pPr>
      <w:r w:rsidRPr="00D126E1">
        <w:rPr>
          <w:rFonts w:ascii="Verdana" w:eastAsia="Aptos" w:hAnsi="Verdana" w:cs="Arial"/>
          <w:kern w:val="2"/>
          <w:lang w:val="es-ES"/>
          <w14:ligatures w14:val="standardContextual"/>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4D63461" w14:textId="77777777" w:rsidR="00D126E1" w:rsidRPr="00D126E1" w:rsidRDefault="00D126E1" w:rsidP="00D126E1">
      <w:pPr>
        <w:spacing w:after="120" w:line="276" w:lineRule="auto"/>
        <w:ind w:firstLine="708"/>
        <w:jc w:val="both"/>
        <w:rPr>
          <w:rFonts w:ascii="Verdana" w:eastAsia="Calibri" w:hAnsi="Verdana" w:cs="Arial"/>
          <w:kern w:val="2"/>
          <w14:ligatures w14:val="standardContextual"/>
        </w:rPr>
      </w:pPr>
      <w:r w:rsidRPr="00D126E1">
        <w:rPr>
          <w:rFonts w:ascii="Verdana" w:eastAsia="Aptos" w:hAnsi="Verdana" w:cs="Arial"/>
          <w:kern w:val="2"/>
          <w14:ligatures w14:val="standardContextual"/>
        </w:rPr>
        <w:t xml:space="preserve">En relación con su solicitud, debe indicarse que, </w:t>
      </w:r>
      <w:r w:rsidRPr="00D126E1">
        <w:rPr>
          <w:rFonts w:ascii="Verdana" w:eastAsia="Calibri" w:hAnsi="Verdana" w:cs="Arial"/>
          <w:kern w:val="2"/>
          <w:lang w:val="es-MX"/>
          <w14:ligatures w14:val="standardContextual"/>
        </w:rPr>
        <w:t xml:space="preserve">la Agencia Nacional de Contratación Pública – Colombia Compra </w:t>
      </w:r>
      <w:r w:rsidRPr="00D126E1">
        <w:rPr>
          <w:rFonts w:ascii="Verdana" w:eastAsia="Calibri" w:hAnsi="Verdana" w:cs="Arial"/>
          <w:kern w:val="2"/>
          <w14:ligatures w14:val="standardContextual"/>
        </w:rPr>
        <w:t xml:space="preserve">Eficiente expidió la Resolución 539 </w:t>
      </w:r>
      <w:r w:rsidRPr="00D126E1">
        <w:rPr>
          <w:rFonts w:ascii="Verdana" w:eastAsia="Calibri" w:hAnsi="Verdana" w:cs="Arial"/>
          <w:bCs/>
          <w:kern w:val="2"/>
          <w14:ligatures w14:val="standardContextual"/>
        </w:rPr>
        <w:t xml:space="preserve">del 21 de agosto </w:t>
      </w:r>
      <w:r w:rsidRPr="00D126E1">
        <w:rPr>
          <w:rFonts w:ascii="Verdana" w:eastAsia="Calibri" w:hAnsi="Verdana" w:cs="Arial"/>
          <w:kern w:val="2"/>
          <w14:ligatures w14:val="standardContextual"/>
        </w:rPr>
        <w:t xml:space="preserve">de 2025, </w:t>
      </w:r>
      <w:r w:rsidRPr="00D126E1">
        <w:rPr>
          <w:rFonts w:ascii="Verdana" w:eastAsia="Calibri" w:hAnsi="Verdana" w:cs="Arial"/>
          <w:i/>
          <w:iCs/>
          <w:kern w:val="2"/>
          <w14:ligatures w14:val="standardContextual"/>
        </w:rPr>
        <w:t xml:space="preserve">"Por la cual se adopta la versión -2- de los documentos </w:t>
      </w:r>
      <w:r w:rsidRPr="00D126E1">
        <w:rPr>
          <w:rFonts w:ascii="Verdana" w:eastAsia="Calibri" w:hAnsi="Verdana" w:cs="Arial"/>
          <w:i/>
          <w:iCs/>
          <w:kern w:val="2"/>
          <w14:ligatures w14:val="standardContextual"/>
        </w:rPr>
        <w:lastRenderedPageBreak/>
        <w:t>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r w:rsidRPr="00D126E1">
        <w:rPr>
          <w:rFonts w:ascii="Verdana" w:eastAsia="Calibri" w:hAnsi="Verdana" w:cs="Arial"/>
          <w:kern w:val="2"/>
          <w14:ligatures w14:val="standardContextual"/>
        </w:rPr>
        <w:t xml:space="preserve"> </w:t>
      </w:r>
    </w:p>
    <w:p w14:paraId="48A437DE" w14:textId="77777777" w:rsidR="00D126E1" w:rsidRPr="00D126E1" w:rsidRDefault="00D126E1" w:rsidP="00D126E1">
      <w:pPr>
        <w:spacing w:after="120" w:line="276" w:lineRule="auto"/>
        <w:ind w:firstLine="708"/>
        <w:jc w:val="both"/>
        <w:rPr>
          <w:rFonts w:ascii="Verdana" w:eastAsia="Calibri" w:hAnsi="Verdana" w:cs="Arial"/>
          <w:kern w:val="2"/>
          <w14:ligatures w14:val="standardContextual"/>
        </w:rPr>
      </w:pPr>
      <w:r w:rsidRPr="00D126E1">
        <w:rPr>
          <w:rFonts w:ascii="Verdana" w:eastAsia="Calibri" w:hAnsi="Verdana" w:cs="Arial"/>
          <w:kern w:val="2"/>
          <w14:ligatures w14:val="standardContextual"/>
        </w:rPr>
        <w:t xml:space="preserve">Mediante el capítulo I de la Resolución señalada, se adoptaron los documentos tipo transversales al sector de infraestructura social. Estos documentos son el documento base, los anexos, los formatos, los formularios y las matrices. Por su parte mediante los capítulos II, III, IV, V y VI de la Resolución, se adoptaron -respectivamente- los documentos tipo complementarios -Matriz de Experiencia- del sector educativo, sector salud, sector cultura, recreación y deporte, sector institucional, y sector vivienda. </w:t>
      </w:r>
    </w:p>
    <w:p w14:paraId="5F001630" w14:textId="77777777" w:rsidR="00D126E1" w:rsidRPr="00D126E1" w:rsidRDefault="00D126E1" w:rsidP="00D126E1">
      <w:pPr>
        <w:spacing w:after="120" w:line="276" w:lineRule="auto"/>
        <w:ind w:firstLine="708"/>
        <w:jc w:val="both"/>
        <w:rPr>
          <w:rFonts w:ascii="Verdana" w:eastAsia="Calibri" w:hAnsi="Verdana" w:cs="Arial"/>
          <w:kern w:val="2"/>
          <w14:ligatures w14:val="standardContextual"/>
        </w:rPr>
      </w:pPr>
      <w:r w:rsidRPr="00D126E1">
        <w:rPr>
          <w:rFonts w:ascii="Verdana" w:eastAsia="Calibri" w:hAnsi="Verdana" w:cs="Arial"/>
          <w:kern w:val="2"/>
          <w14:ligatures w14:val="standardContextual"/>
        </w:rPr>
        <w:t xml:space="preserve">En consecuencia, en materia de infraestructura social debe tenerse en cuenta que existen dos (2) clases de documentos tipo que se integran en cada proceso: i) los documentos </w:t>
      </w:r>
      <w:r w:rsidRPr="00D126E1">
        <w:rPr>
          <w:rFonts w:ascii="Verdana" w:eastAsia="Calibri" w:hAnsi="Verdana" w:cs="Arial"/>
          <w:i/>
          <w:kern w:val="2"/>
          <w14:ligatures w14:val="standardContextual"/>
        </w:rPr>
        <w:t>transversales</w:t>
      </w:r>
      <w:r w:rsidRPr="00D126E1">
        <w:rPr>
          <w:rFonts w:ascii="Verdana" w:eastAsia="Calibri" w:hAnsi="Verdana" w:cs="Arial"/>
          <w:kern w:val="2"/>
          <w14:ligatures w14:val="standardContextual"/>
        </w:rPr>
        <w:t xml:space="preserve"> a todos los sectores de infraestructura social, es decir, el documento base, los anexos, los formatos, los formularios y las matrices adoptados en el capítulo I de la Resolución No. 539 de 2025; y </w:t>
      </w:r>
      <w:proofErr w:type="spellStart"/>
      <w:r w:rsidRPr="00D126E1">
        <w:rPr>
          <w:rFonts w:ascii="Verdana" w:eastAsia="Calibri" w:hAnsi="Verdana" w:cs="Arial"/>
          <w:kern w:val="2"/>
          <w14:ligatures w14:val="standardContextual"/>
        </w:rPr>
        <w:t>ii</w:t>
      </w:r>
      <w:proofErr w:type="spellEnd"/>
      <w:r w:rsidRPr="00D126E1">
        <w:rPr>
          <w:rFonts w:ascii="Verdana" w:eastAsia="Calibri" w:hAnsi="Verdana" w:cs="Arial"/>
          <w:kern w:val="2"/>
          <w14:ligatures w14:val="standardContextual"/>
        </w:rPr>
        <w:t xml:space="preserve">) los documentos tipo </w:t>
      </w:r>
      <w:r w:rsidRPr="00D126E1">
        <w:rPr>
          <w:rFonts w:ascii="Verdana" w:eastAsia="Calibri" w:hAnsi="Verdana" w:cs="Arial"/>
          <w:i/>
          <w:kern w:val="2"/>
          <w14:ligatures w14:val="standardContextual"/>
        </w:rPr>
        <w:t>complementarios</w:t>
      </w:r>
      <w:r w:rsidRPr="00D126E1">
        <w:rPr>
          <w:rFonts w:ascii="Verdana" w:eastAsia="Calibri" w:hAnsi="Verdana" w:cs="Arial"/>
          <w:iCs/>
          <w:kern w:val="2"/>
          <w14:ligatures w14:val="standardContextual"/>
        </w:rPr>
        <w:t>,</w:t>
      </w:r>
      <w:r w:rsidRPr="00D126E1">
        <w:rPr>
          <w:rFonts w:ascii="Verdana" w:eastAsia="Calibri" w:hAnsi="Verdana" w:cs="Arial"/>
          <w:i/>
          <w:kern w:val="2"/>
          <w14:ligatures w14:val="standardContextual"/>
        </w:rPr>
        <w:t xml:space="preserve"> </w:t>
      </w:r>
      <w:r w:rsidRPr="00D126E1">
        <w:rPr>
          <w:rFonts w:ascii="Verdana" w:eastAsia="Calibri" w:hAnsi="Verdana" w:cs="Arial"/>
          <w:kern w:val="2"/>
          <w14:ligatures w14:val="standardContextual"/>
        </w:rPr>
        <w:t xml:space="preserve">referentes a la matriz de experiencia adoptadas en los capítulos II, III, IV, V y VI de la Resolución señalada. </w:t>
      </w:r>
    </w:p>
    <w:p w14:paraId="216027C6" w14:textId="77777777" w:rsidR="00D126E1" w:rsidRPr="00D126E1" w:rsidRDefault="00D126E1" w:rsidP="00D126E1">
      <w:pPr>
        <w:spacing w:after="120" w:line="276" w:lineRule="auto"/>
        <w:ind w:firstLine="708"/>
        <w:jc w:val="both"/>
        <w:rPr>
          <w:rFonts w:ascii="Verdana" w:eastAsia="Aptos" w:hAnsi="Verdana" w:cs="Arial"/>
          <w:kern w:val="2"/>
          <w14:ligatures w14:val="standardContextual"/>
        </w:rPr>
      </w:pPr>
      <w:r w:rsidRPr="00D126E1">
        <w:rPr>
          <w:rFonts w:ascii="Verdana" w:eastAsia="Calibri" w:hAnsi="Verdana" w:cs="Arial"/>
          <w:kern w:val="2"/>
          <w14:ligatures w14:val="standardContextual"/>
        </w:rPr>
        <w:t xml:space="preserve">Debe indicarse que, en el artículo 23 “Vigencia” de la Resolución 539 del 21 de agosto de 2025, se determinó que los documentos tipo que acoge dicha Resolución aplicarán a los procedimientos de selección de licitación de obra pública de infraestructura social en los sectores educación, salud, cultura, recreación y deporte, institucional y vivienda, cuyo aviso de convocatoria sea publicado a partir del 18 de febrero de 2026. </w:t>
      </w:r>
    </w:p>
    <w:p w14:paraId="00E2A5D5" w14:textId="77777777" w:rsidR="00D126E1" w:rsidRPr="00D126E1" w:rsidRDefault="00D126E1" w:rsidP="00D126E1">
      <w:pPr>
        <w:widowControl w:val="0"/>
        <w:autoSpaceDE w:val="0"/>
        <w:autoSpaceDN w:val="0"/>
        <w:spacing w:after="120" w:line="276" w:lineRule="auto"/>
        <w:ind w:firstLine="708"/>
        <w:jc w:val="both"/>
        <w:rPr>
          <w:rFonts w:ascii="Verdana" w:eastAsia="Calibri" w:hAnsi="Verdana" w:cs="Times New Roman"/>
          <w:lang w:val="es-ES"/>
        </w:rPr>
      </w:pPr>
      <w:r w:rsidRPr="00D126E1">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D126E1">
        <w:rPr>
          <w:rFonts w:ascii="Verdana" w:eastAsia="Calibri" w:hAnsi="Verdana" w:cs="Times New Roman"/>
          <w:shd w:val="clear" w:color="auto" w:fill="E8E8E8"/>
          <w:lang w:val="es-ES"/>
        </w:rPr>
        <w:t>–[texto]–,</w:t>
      </w:r>
      <w:r w:rsidRPr="00D126E1">
        <w:rPr>
          <w:rFonts w:ascii="Verdana" w:eastAsia="Calibri" w:hAnsi="Verdana" w:cs="Times New Roman"/>
          <w:lang w:val="es-ES"/>
        </w:rPr>
        <w:t xml:space="preserve"> para lo cual deberán observarse las instrucciones contenidas en los mismos para su diligenciamiento.</w:t>
      </w:r>
    </w:p>
    <w:p w14:paraId="12009A1F" w14:textId="77777777" w:rsidR="00D126E1" w:rsidRPr="00D126E1" w:rsidRDefault="00D126E1" w:rsidP="00D126E1">
      <w:pPr>
        <w:widowControl w:val="0"/>
        <w:autoSpaceDE w:val="0"/>
        <w:autoSpaceDN w:val="0"/>
        <w:spacing w:after="120" w:line="276" w:lineRule="auto"/>
        <w:ind w:firstLine="708"/>
        <w:jc w:val="both"/>
        <w:rPr>
          <w:rFonts w:ascii="Verdana" w:eastAsia="Calibri" w:hAnsi="Verdana" w:cs="Times New Roman"/>
          <w:lang w:val="es-ES"/>
        </w:rPr>
      </w:pPr>
      <w:r w:rsidRPr="00D126E1">
        <w:rPr>
          <w:rFonts w:ascii="Verdana" w:eastAsia="Calibri" w:hAnsi="Verdana" w:cs="Times New Roman"/>
          <w:lang w:val="es-ES"/>
        </w:rPr>
        <w:t xml:space="preserve">Por lo tanto, la entidad solo podrá modificar aspectos de los documentos </w:t>
      </w:r>
      <w:r w:rsidRPr="00D126E1">
        <w:rPr>
          <w:rFonts w:ascii="Verdana" w:eastAsia="Calibri" w:hAnsi="Verdana" w:cs="Times New Roman"/>
          <w:lang w:val="es-ES"/>
        </w:rPr>
        <w:lastRenderedPageBreak/>
        <w:t xml:space="preserve">tipo cuando así esté permitido, en los términos expuestos. Lo anterior implica que, en los apartes en que los documentos tipo no lo permitan, la entidad deberá integrar el contenido de estos a su proceso de contratación sin ningún tipo de alteración. </w:t>
      </w:r>
    </w:p>
    <w:p w14:paraId="3C256484" w14:textId="77777777" w:rsidR="00D126E1" w:rsidRPr="00D126E1" w:rsidRDefault="00D126E1" w:rsidP="00D126E1">
      <w:pPr>
        <w:widowControl w:val="0"/>
        <w:autoSpaceDE w:val="0"/>
        <w:autoSpaceDN w:val="0"/>
        <w:spacing w:after="120" w:line="276" w:lineRule="auto"/>
        <w:ind w:firstLine="708"/>
        <w:jc w:val="both"/>
        <w:rPr>
          <w:rFonts w:ascii="Verdana" w:eastAsia="Calibri" w:hAnsi="Verdana" w:cs="Times New Roman"/>
          <w:lang w:val="es-ES"/>
        </w:rPr>
      </w:pPr>
      <w:r w:rsidRPr="00D126E1">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18DE559" w14:textId="77777777" w:rsidR="00D126E1" w:rsidRPr="00D126E1" w:rsidRDefault="00D126E1" w:rsidP="00D126E1">
      <w:pPr>
        <w:widowControl w:val="0"/>
        <w:autoSpaceDE w:val="0"/>
        <w:autoSpaceDN w:val="0"/>
        <w:spacing w:after="120" w:line="276" w:lineRule="auto"/>
        <w:ind w:firstLine="708"/>
        <w:jc w:val="both"/>
        <w:rPr>
          <w:rFonts w:ascii="Verdana" w:eastAsia="Calibri" w:hAnsi="Verdana" w:cs="Times New Roman"/>
          <w:lang w:val="es-ES"/>
        </w:rPr>
      </w:pPr>
      <w:r w:rsidRPr="00D126E1">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3BA44AC5" w14:textId="77777777" w:rsidR="00D126E1" w:rsidRPr="00D126E1" w:rsidRDefault="00D126E1" w:rsidP="00D126E1">
      <w:pPr>
        <w:widowControl w:val="0"/>
        <w:autoSpaceDE w:val="0"/>
        <w:autoSpaceDN w:val="0"/>
        <w:spacing w:after="120" w:line="276" w:lineRule="auto"/>
        <w:ind w:firstLine="708"/>
        <w:jc w:val="both"/>
        <w:rPr>
          <w:rFonts w:ascii="Verdana" w:eastAsia="Calibri" w:hAnsi="Verdana" w:cs="Times New Roman"/>
          <w:lang w:val="es-ES"/>
        </w:rPr>
      </w:pPr>
      <w:r w:rsidRPr="00D126E1">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28D52D54" w14:textId="77777777" w:rsidR="00D126E1" w:rsidRPr="00D126E1" w:rsidRDefault="00D126E1" w:rsidP="00D126E1">
      <w:pPr>
        <w:widowControl w:val="0"/>
        <w:autoSpaceDE w:val="0"/>
        <w:autoSpaceDN w:val="0"/>
        <w:spacing w:after="120" w:line="276" w:lineRule="auto"/>
        <w:ind w:firstLine="708"/>
        <w:jc w:val="both"/>
        <w:rPr>
          <w:rFonts w:ascii="Verdana" w:eastAsia="Calibri" w:hAnsi="Verdana" w:cs="Times New Roman"/>
          <w:lang w:val="es-ES"/>
        </w:rPr>
      </w:pPr>
      <w:r w:rsidRPr="00D126E1">
        <w:rPr>
          <w:rFonts w:ascii="Verdana" w:eastAsia="Calibri" w:hAnsi="Verdana" w:cs="Times New Roman"/>
          <w:lang w:val="es-ES"/>
        </w:rPr>
        <w:t xml:space="preserve">De esta manera, para saber a qué actividades deben aplicarse los documentos tipo de licitación de obra pública de infraestructura social – versión 2,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w:t>
      </w:r>
      <w:r w:rsidRPr="00D126E1">
        <w:rPr>
          <w:rFonts w:ascii="Verdana" w:eastAsia="Calibri" w:hAnsi="Verdana" w:cs="Times New Roman"/>
          <w:lang w:val="es-ES"/>
        </w:rPr>
        <w:lastRenderedPageBreak/>
        <w:t>no será forzosa su aplicación.</w:t>
      </w:r>
    </w:p>
    <w:bookmarkEnd w:id="1"/>
    <w:p w14:paraId="78785E5C" w14:textId="77777777" w:rsidR="00D126E1" w:rsidRPr="00D126E1" w:rsidRDefault="00D126E1" w:rsidP="00D126E1">
      <w:pPr>
        <w:snapToGrid w:val="0"/>
        <w:spacing w:after="120" w:line="276" w:lineRule="auto"/>
        <w:ind w:firstLine="708"/>
        <w:jc w:val="both"/>
        <w:rPr>
          <w:rFonts w:ascii="Verdana" w:eastAsia="Calibri" w:hAnsi="Verdana" w:cs="Arial"/>
          <w:kern w:val="2"/>
          <w14:ligatures w14:val="standardContextual"/>
        </w:rPr>
      </w:pPr>
      <w:r w:rsidRPr="00D126E1">
        <w:rPr>
          <w:rFonts w:ascii="Verdana" w:eastAsia="Times New Roman" w:hAnsi="Verdana" w:cs="Arial"/>
          <w:kern w:val="2"/>
          <w:shd w:val="clear" w:color="auto" w:fill="FFFFFF"/>
          <w:lang w:val="es-ES_tradnl" w:eastAsia="es-ES_tradnl"/>
          <w14:ligatures w14:val="standardContextual"/>
        </w:rPr>
        <w:t xml:space="preserve">Finalmente,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de experiencia de cada documento tipo, y si en consecuencia deben aplicarse o no determinados documentos tipo, conforme a los parámetros indicados en este concepto. Lo anterior sin que pueda apartarse de su aplicación cuando materialmente el objeto a contratar corresponde con alguna actividad contemplada en dicha matriz. </w:t>
      </w:r>
    </w:p>
    <w:p w14:paraId="02786C11" w14:textId="0CAAA7E0" w:rsidR="00D126E1" w:rsidRPr="00F93171" w:rsidRDefault="00D126E1" w:rsidP="00F93171">
      <w:pPr>
        <w:snapToGrid w:val="0"/>
        <w:spacing w:after="0" w:line="276" w:lineRule="auto"/>
        <w:ind w:firstLine="708"/>
        <w:jc w:val="both"/>
        <w:rPr>
          <w:rFonts w:ascii="Verdana" w:eastAsia="Calibri" w:hAnsi="Verdana" w:cs="Arial"/>
          <w:kern w:val="2"/>
          <w14:ligatures w14:val="standardContextual"/>
        </w:rPr>
      </w:pPr>
      <w:r w:rsidRPr="00D126E1">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07636B0" w14:textId="77777777" w:rsidR="00F93171" w:rsidRPr="00D126E1" w:rsidRDefault="00F93171" w:rsidP="00D126E1">
      <w:pPr>
        <w:spacing w:after="0" w:line="276" w:lineRule="auto"/>
        <w:jc w:val="both"/>
        <w:rPr>
          <w:rFonts w:ascii="Verdana" w:eastAsia="Calibri" w:hAnsi="Verdana" w:cs="Times New Roman"/>
        </w:rPr>
      </w:pPr>
    </w:p>
    <w:p w14:paraId="60D68085" w14:textId="77777777" w:rsidR="00D126E1" w:rsidRPr="00D126E1" w:rsidRDefault="00D126E1" w:rsidP="00D126E1">
      <w:pPr>
        <w:tabs>
          <w:tab w:val="left" w:pos="142"/>
          <w:tab w:val="left" w:pos="284"/>
        </w:tabs>
        <w:spacing w:after="0" w:line="276" w:lineRule="auto"/>
        <w:jc w:val="both"/>
        <w:rPr>
          <w:rFonts w:ascii="Verdana" w:eastAsia="Century Gothic" w:hAnsi="Verdana" w:cs="Century Gothic"/>
          <w:b/>
          <w:bCs/>
          <w:lang w:val="es-ES_tradnl"/>
        </w:rPr>
      </w:pPr>
      <w:r w:rsidRPr="00D126E1">
        <w:rPr>
          <w:rFonts w:ascii="Verdana" w:eastAsia="Century Gothic" w:hAnsi="Verdana" w:cs="Century Gothic"/>
          <w:b/>
          <w:bCs/>
          <w:lang w:val="es-ES_tradnl"/>
        </w:rPr>
        <w:t>4. Referencias normativas, jurisprudenciales y otras fuentes:</w:t>
      </w:r>
    </w:p>
    <w:p w14:paraId="200D5EF0" w14:textId="77777777" w:rsidR="00D126E1" w:rsidRPr="00D126E1" w:rsidRDefault="00D126E1" w:rsidP="00D126E1">
      <w:pPr>
        <w:spacing w:after="0"/>
        <w:ind w:left="-15840"/>
        <w:jc w:val="both"/>
        <w:rPr>
          <w:rFonts w:ascii="Verdana" w:eastAsia="Calibri" w:hAnsi="Verdana" w:cs="Arial"/>
          <w:b/>
          <w:bCs/>
        </w:rPr>
      </w:pPr>
      <w:r w:rsidRPr="00D126E1">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126E1" w:rsidRPr="00D126E1" w14:paraId="6A26DBE0" w14:textId="77777777" w:rsidTr="00876EDD">
        <w:trPr>
          <w:trHeight w:val="870"/>
        </w:trPr>
        <w:tc>
          <w:tcPr>
            <w:tcW w:w="8647" w:type="dxa"/>
            <w:tcBorders>
              <w:top w:val="dotted" w:sz="4" w:space="0" w:color="auto"/>
              <w:left w:val="dotted" w:sz="4" w:space="0" w:color="auto"/>
              <w:bottom w:val="dotted" w:sz="4" w:space="0" w:color="auto"/>
              <w:right w:val="dotted" w:sz="4" w:space="0" w:color="auto"/>
            </w:tcBorders>
          </w:tcPr>
          <w:p w14:paraId="3BFFE7E4" w14:textId="77777777" w:rsidR="00D126E1" w:rsidRPr="00D126E1" w:rsidRDefault="00D126E1" w:rsidP="00D126E1">
            <w:pPr>
              <w:ind w:left="720"/>
              <w:contextualSpacing/>
              <w:jc w:val="both"/>
              <w:rPr>
                <w:rFonts w:ascii="Verdana" w:eastAsia="Calibri" w:hAnsi="Verdana" w:cs="Arial"/>
                <w:bCs/>
              </w:rPr>
            </w:pPr>
          </w:p>
          <w:p w14:paraId="636FF356" w14:textId="77777777" w:rsidR="00D126E1" w:rsidRPr="00D126E1" w:rsidRDefault="00D126E1" w:rsidP="00D126E1">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D126E1">
              <w:rPr>
                <w:rFonts w:ascii="Verdana" w:eastAsia="Calibri" w:hAnsi="Verdana" w:cs="Arial"/>
                <w:lang w:val="es-ES_tradnl"/>
              </w:rPr>
              <w:t xml:space="preserve">Ley 2022 de 2020, artículo 1. </w:t>
            </w:r>
          </w:p>
          <w:p w14:paraId="58D71E74" w14:textId="77777777" w:rsidR="00D126E1" w:rsidRPr="00D126E1" w:rsidRDefault="00D126E1" w:rsidP="00D126E1">
            <w:pPr>
              <w:widowControl w:val="0"/>
              <w:numPr>
                <w:ilvl w:val="0"/>
                <w:numId w:val="16"/>
              </w:numPr>
              <w:autoSpaceDE w:val="0"/>
              <w:autoSpaceDN w:val="0"/>
              <w:spacing w:line="276" w:lineRule="auto"/>
              <w:jc w:val="both"/>
              <w:rPr>
                <w:rFonts w:ascii="Verdana" w:eastAsia="Calibri" w:hAnsi="Verdana" w:cs="Arial"/>
              </w:rPr>
            </w:pPr>
            <w:r w:rsidRPr="00D126E1">
              <w:rPr>
                <w:rFonts w:ascii="Verdana" w:eastAsia="Calibri" w:hAnsi="Verdana" w:cs="Arial"/>
              </w:rPr>
              <w:t>Ley 1150 de 2007, artículo 2.</w:t>
            </w:r>
          </w:p>
          <w:p w14:paraId="4FB83DC7" w14:textId="77777777" w:rsidR="00D126E1" w:rsidRPr="00D126E1" w:rsidRDefault="00D126E1" w:rsidP="00D126E1">
            <w:pPr>
              <w:widowControl w:val="0"/>
              <w:numPr>
                <w:ilvl w:val="0"/>
                <w:numId w:val="16"/>
              </w:numPr>
              <w:autoSpaceDE w:val="0"/>
              <w:autoSpaceDN w:val="0"/>
              <w:spacing w:line="276" w:lineRule="auto"/>
              <w:contextualSpacing/>
              <w:jc w:val="both"/>
              <w:rPr>
                <w:rFonts w:ascii="Verdana" w:eastAsia="Calibri" w:hAnsi="Verdana" w:cs="Arial"/>
              </w:rPr>
            </w:pPr>
            <w:r w:rsidRPr="00D126E1">
              <w:rPr>
                <w:rFonts w:ascii="Verdana" w:eastAsia="Calibri" w:hAnsi="Verdana" w:cs="Arial"/>
                <w:lang w:val="es-ES_tradnl"/>
              </w:rPr>
              <w:t xml:space="preserve">Documentos Tipo. Disponibles en: </w:t>
            </w:r>
            <w:hyperlink r:id="rId12" w:history="1">
              <w:r w:rsidRPr="00D126E1">
                <w:rPr>
                  <w:rFonts w:ascii="Verdana" w:eastAsia="Calibri" w:hAnsi="Verdana" w:cs="Arial"/>
                  <w:color w:val="0000FF"/>
                  <w:u w:val="single"/>
                  <w:lang w:val="es-ES_tradnl"/>
                </w:rPr>
                <w:t>https://www.colombiacompra.gov.co/documentos-tipo/documentos-tipo</w:t>
              </w:r>
            </w:hyperlink>
            <w:r w:rsidRPr="00D126E1">
              <w:rPr>
                <w:rFonts w:ascii="Verdana" w:eastAsia="Calibri" w:hAnsi="Verdana" w:cs="Arial"/>
                <w:lang w:val="es-ES_tradnl"/>
              </w:rPr>
              <w:t>.</w:t>
            </w:r>
          </w:p>
        </w:tc>
      </w:tr>
    </w:tbl>
    <w:p w14:paraId="6FCDFF62" w14:textId="77777777" w:rsidR="00D126E1" w:rsidRPr="00D126E1" w:rsidRDefault="00D126E1" w:rsidP="00D126E1">
      <w:pPr>
        <w:tabs>
          <w:tab w:val="left" w:pos="142"/>
          <w:tab w:val="left" w:pos="284"/>
        </w:tabs>
        <w:spacing w:after="0" w:line="276" w:lineRule="auto"/>
        <w:jc w:val="both"/>
        <w:rPr>
          <w:rFonts w:ascii="Verdana" w:eastAsia="Calibri" w:hAnsi="Verdana" w:cs="Arial"/>
        </w:rPr>
      </w:pPr>
    </w:p>
    <w:p w14:paraId="4CCB38BA" w14:textId="77777777" w:rsidR="00D126E1" w:rsidRPr="00D126E1" w:rsidRDefault="00D126E1" w:rsidP="00D126E1">
      <w:pPr>
        <w:tabs>
          <w:tab w:val="left" w:pos="142"/>
          <w:tab w:val="left" w:pos="284"/>
        </w:tabs>
        <w:spacing w:after="0" w:line="276" w:lineRule="auto"/>
        <w:jc w:val="both"/>
        <w:rPr>
          <w:rFonts w:ascii="Verdana" w:eastAsia="Century Gothic" w:hAnsi="Verdana" w:cs="Century Gothic"/>
          <w:b/>
          <w:bCs/>
          <w:lang w:val="es-ES"/>
        </w:rPr>
      </w:pPr>
      <w:r w:rsidRPr="00D126E1">
        <w:rPr>
          <w:rFonts w:ascii="Verdana" w:eastAsia="Calibri" w:hAnsi="Verdana" w:cs="Arial"/>
          <w:b/>
          <w:bCs/>
        </w:rPr>
        <w:t>5</w:t>
      </w:r>
      <w:r w:rsidRPr="00D126E1">
        <w:rPr>
          <w:rFonts w:ascii="Verdana" w:eastAsia="Calibri" w:hAnsi="Verdana" w:cs="Arial"/>
        </w:rPr>
        <w:t>.</w:t>
      </w:r>
      <w:r w:rsidRPr="00D126E1">
        <w:rPr>
          <w:rFonts w:ascii="Verdana" w:eastAsia="Century Gothic" w:hAnsi="Verdana" w:cs="Century Gothic"/>
          <w:b/>
          <w:bCs/>
          <w:lang w:val="es-ES"/>
        </w:rPr>
        <w:t>Doctrina de la Agencia Nacional de Contratación Pública:</w:t>
      </w:r>
    </w:p>
    <w:p w14:paraId="2B4C2797" w14:textId="77777777" w:rsidR="00D126E1" w:rsidRPr="00D126E1" w:rsidRDefault="00D126E1" w:rsidP="00D126E1">
      <w:pPr>
        <w:widowControl w:val="0"/>
        <w:autoSpaceDE w:val="0"/>
        <w:autoSpaceDN w:val="0"/>
        <w:spacing w:after="0" w:line="276" w:lineRule="auto"/>
        <w:jc w:val="both"/>
        <w:rPr>
          <w:rFonts w:ascii="Verdana" w:eastAsia="Calibri" w:hAnsi="Verdana" w:cs="Arial"/>
        </w:rPr>
      </w:pPr>
    </w:p>
    <w:p w14:paraId="2397948A" w14:textId="77777777" w:rsidR="00D126E1" w:rsidRPr="00D126E1" w:rsidRDefault="00D126E1" w:rsidP="00D126E1">
      <w:pPr>
        <w:spacing w:after="0" w:line="276" w:lineRule="auto"/>
        <w:jc w:val="both"/>
        <w:rPr>
          <w:rFonts w:ascii="Verdana" w:eastAsia="Calibri" w:hAnsi="Verdana" w:cs="Arial"/>
          <w:lang w:val="es-ES"/>
        </w:rPr>
      </w:pPr>
      <w:r w:rsidRPr="00D126E1">
        <w:rPr>
          <w:rFonts w:ascii="Verdana" w:eastAsia="Calibri" w:hAnsi="Verdana" w:cs="Arial"/>
          <w:shd w:val="clear" w:color="auto" w:fill="FFFFFF"/>
          <w:lang w:val="es-ES"/>
        </w:rPr>
        <w:t>La Agencia Nacional de Contratación Pública – Colombia Compra Eficiente se pronunció</w:t>
      </w:r>
      <w:r w:rsidRPr="00D126E1">
        <w:rPr>
          <w:rFonts w:ascii="Verdana" w:eastAsia="Calibri" w:hAnsi="Verdana" w:cs="Times New Roman"/>
        </w:rPr>
        <w:t xml:space="preserve"> </w:t>
      </w:r>
      <w:r w:rsidRPr="00D126E1">
        <w:rPr>
          <w:rFonts w:ascii="Verdana" w:eastAsia="Calibri" w:hAnsi="Verdana" w:cs="Arial"/>
          <w:shd w:val="clear" w:color="auto" w:fill="FFFFFF"/>
          <w:lang w:val="es-ES"/>
        </w:rPr>
        <w:t xml:space="preserve">sobre el ámbito de aplicación de los documentos tipo de infraestructura social, en los conceptos C-375 del 27 de septiembre de 2021, C-536 del 29 de septiembre de 2021, P20210826007696 del 6 de octubre de 2021, C-729 del 24 de enero de 2022, C-090 del 16 de marzo de 2022, C-287 del 11 </w:t>
      </w:r>
      <w:r w:rsidRPr="00D126E1">
        <w:rPr>
          <w:rFonts w:ascii="Verdana" w:eastAsia="Calibri" w:hAnsi="Verdana" w:cs="Arial"/>
          <w:shd w:val="clear" w:color="auto" w:fill="FFFFFF"/>
          <w:lang w:val="es-ES"/>
        </w:rPr>
        <w:lastRenderedPageBreak/>
        <w:t>de mayo de 2022, C-334 del 25 de mayo de 2022, C-344 del 9 de junio de 2022, C-436 del 6 de julio de 2022, C-951 del 18 enero de 2023,C-231 del 30 de junio de 2023, C-587 del 23 de octubre de 2024,</w:t>
      </w:r>
      <w:r w:rsidRPr="00D126E1">
        <w:rPr>
          <w:rFonts w:ascii="Verdana" w:eastAsia="Calibri" w:hAnsi="Verdana" w:cs="Arial"/>
          <w:shd w:val="clear" w:color="auto" w:fill="FFFFFF"/>
          <w:lang w:val="es-ES"/>
        </w:rPr>
        <w:tab/>
        <w:t xml:space="preserve">C-636 del 1 de noviembre de 2024, C-777 del 9 de diciembre de 2024, C-971 del 21 de enero de 2025, entre otros. </w:t>
      </w:r>
    </w:p>
    <w:p w14:paraId="092A2CF5" w14:textId="77777777" w:rsidR="00D126E1" w:rsidRPr="00D126E1" w:rsidRDefault="00D126E1" w:rsidP="00D126E1">
      <w:pPr>
        <w:spacing w:after="0" w:line="276" w:lineRule="auto"/>
        <w:jc w:val="both"/>
        <w:rPr>
          <w:rFonts w:ascii="Verdana" w:eastAsia="Times New Roman" w:hAnsi="Verdana" w:cs="Arial"/>
          <w:shd w:val="clear" w:color="auto" w:fill="FFFFFF"/>
          <w:lang w:val="es-ES"/>
        </w:rPr>
      </w:pPr>
    </w:p>
    <w:p w14:paraId="320B56AC" w14:textId="77777777" w:rsidR="00D126E1" w:rsidRPr="00D126E1" w:rsidRDefault="00D126E1" w:rsidP="00D126E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D126E1">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D126E1">
        <w:rPr>
          <w:rFonts w:ascii="Verdana" w:eastAsia="Aptos" w:hAnsi="Verdana" w:cs="Times New Roman"/>
          <w:kern w:val="2"/>
          <w14:ligatures w14:val="standardContextual"/>
        </w:rPr>
        <w:t xml:space="preserve"> </w:t>
      </w:r>
      <w:r w:rsidRPr="00D126E1">
        <w:rPr>
          <w:rFonts w:ascii="Verdana" w:eastAsia="Calibri" w:hAnsi="Verdana" w:cs="Arial"/>
          <w:kern w:val="2"/>
          <w:shd w:val="clear" w:color="auto" w:fill="FFFFFF"/>
          <w:lang w:val="es-ES_tradnl"/>
          <w14:ligatures w14:val="standardContextual"/>
        </w:rPr>
        <w:t>pronunció</w:t>
      </w:r>
      <w:r w:rsidRPr="00D126E1">
        <w:rPr>
          <w:rFonts w:ascii="Verdana" w:eastAsia="Aptos" w:hAnsi="Verdana" w:cs="Times New Roman"/>
          <w:kern w:val="2"/>
          <w:lang w:val="es-ES_tradnl"/>
          <w14:ligatures w14:val="standardContextual"/>
        </w:rPr>
        <w:t xml:space="preserve"> </w:t>
      </w:r>
      <w:r w:rsidRPr="00D126E1">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y </w:t>
      </w:r>
      <w:r w:rsidRPr="00D126E1">
        <w:rPr>
          <w:rFonts w:ascii="Verdana" w:eastAsia="Calibri" w:hAnsi="Verdana" w:cs="Arial"/>
          <w:shd w:val="clear" w:color="auto" w:fill="FFFFFF"/>
          <w:lang w:val="es-ES"/>
        </w:rPr>
        <w:t xml:space="preserve">C-854 del 4 de agosto de 2025, </w:t>
      </w:r>
      <w:r w:rsidRPr="00D126E1">
        <w:rPr>
          <w:rFonts w:ascii="Verdana" w:eastAsia="Calibri" w:hAnsi="Verdana" w:cs="Arial"/>
          <w:kern w:val="2"/>
          <w:shd w:val="clear" w:color="auto" w:fill="FFFFFF"/>
          <w:lang w:val="es-ES"/>
          <w14:ligatures w14:val="standardContextual"/>
        </w:rPr>
        <w:t>entre otros</w:t>
      </w:r>
      <w:r w:rsidRPr="00D126E1">
        <w:rPr>
          <w:rFonts w:ascii="Verdana" w:eastAsia="Calibri" w:hAnsi="Verdana" w:cs="Arial"/>
          <w:kern w:val="2"/>
          <w:shd w:val="clear" w:color="auto" w:fill="FFFFFF"/>
          <w:lang w:val="es-ES_tradnl"/>
          <w14:ligatures w14:val="standardContextual"/>
        </w:rPr>
        <w:t xml:space="preserve">. </w:t>
      </w:r>
      <w:r w:rsidRPr="00D126E1">
        <w:rPr>
          <w:rFonts w:ascii="Verdana" w:eastAsia="Aptos" w:hAnsi="Verdana" w:cs="Times New Roman"/>
          <w:kern w:val="2"/>
          <w:lang w:val="es-ES_tradnl"/>
          <w14:ligatures w14:val="standardContextual"/>
        </w:rPr>
        <w:t xml:space="preserve"> </w:t>
      </w:r>
    </w:p>
    <w:p w14:paraId="7808C9A4" w14:textId="77777777" w:rsidR="00D126E1" w:rsidRPr="00D126E1" w:rsidRDefault="00D126E1" w:rsidP="00D126E1">
      <w:pPr>
        <w:widowControl w:val="0"/>
        <w:autoSpaceDE w:val="0"/>
        <w:autoSpaceDN w:val="0"/>
        <w:spacing w:after="0" w:line="276" w:lineRule="auto"/>
        <w:jc w:val="both"/>
        <w:rPr>
          <w:rFonts w:ascii="Verdana" w:eastAsia="Times New Roman" w:hAnsi="Verdana" w:cs="Arial"/>
          <w:shd w:val="clear" w:color="auto" w:fill="FFFFFF"/>
          <w:lang w:val="es-ES"/>
        </w:rPr>
      </w:pPr>
    </w:p>
    <w:p w14:paraId="042C8B86" w14:textId="77777777" w:rsidR="00D126E1" w:rsidRPr="00D126E1" w:rsidRDefault="00D126E1" w:rsidP="00D126E1">
      <w:pPr>
        <w:widowControl w:val="0"/>
        <w:autoSpaceDE w:val="0"/>
        <w:autoSpaceDN w:val="0"/>
        <w:spacing w:after="0" w:line="276" w:lineRule="auto"/>
        <w:jc w:val="both"/>
        <w:rPr>
          <w:rFonts w:ascii="Verdana" w:eastAsia="Times New Roman" w:hAnsi="Verdana" w:cs="Arial"/>
          <w:shd w:val="clear" w:color="auto" w:fill="FFFFFF"/>
          <w:lang w:val="es-ES"/>
        </w:rPr>
      </w:pPr>
      <w:r w:rsidRPr="00D126E1">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D126E1">
          <w:rPr>
            <w:rFonts w:ascii="Verdana" w:eastAsia="Calibri" w:hAnsi="Verdana" w:cs="Arial"/>
            <w:color w:val="000000"/>
            <w:u w:val="single"/>
            <w:shd w:val="clear" w:color="auto" w:fill="FFFFFF"/>
          </w:rPr>
          <w:t>https://relatoria.colombiacompra.gov.co/</w:t>
        </w:r>
      </w:hyperlink>
      <w:r w:rsidRPr="00D126E1">
        <w:rPr>
          <w:rFonts w:ascii="Verdana" w:eastAsia="Calibri" w:hAnsi="Verdana" w:cs="Arial"/>
          <w:color w:val="000000"/>
          <w:shd w:val="clear" w:color="auto" w:fill="FFFFFF"/>
        </w:rPr>
        <w:t> .</w:t>
      </w:r>
    </w:p>
    <w:p w14:paraId="3BF1395F" w14:textId="77777777" w:rsidR="00D126E1" w:rsidRPr="00D126E1" w:rsidRDefault="00D126E1" w:rsidP="00D126E1">
      <w:pPr>
        <w:spacing w:after="0" w:line="240" w:lineRule="auto"/>
        <w:jc w:val="both"/>
        <w:rPr>
          <w:rFonts w:ascii="Verdana" w:eastAsia="Calibri" w:hAnsi="Verdana" w:cs="Arial"/>
          <w:color w:val="000000"/>
          <w:shd w:val="clear" w:color="auto" w:fill="FFFFFF"/>
        </w:rPr>
      </w:pPr>
    </w:p>
    <w:bookmarkEnd w:id="0"/>
    <w:p w14:paraId="3032B300" w14:textId="77777777" w:rsidR="00D126E1" w:rsidRPr="00D126E1" w:rsidRDefault="00D126E1" w:rsidP="00D126E1">
      <w:pPr>
        <w:spacing w:after="0" w:line="240" w:lineRule="auto"/>
        <w:jc w:val="both"/>
        <w:rPr>
          <w:rFonts w:ascii="Verdana" w:eastAsia="Calibri" w:hAnsi="Verdana" w:cs="Arial"/>
          <w:color w:val="000000"/>
          <w:kern w:val="2"/>
          <w:shd w:val="clear" w:color="auto" w:fill="FFFFFF"/>
          <w14:ligatures w14:val="standardContextual"/>
        </w:rPr>
      </w:pPr>
      <w:r w:rsidRPr="00D126E1">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D126E1">
        <w:rPr>
          <w:rFonts w:ascii="Verdana" w:eastAsia="Calibri" w:hAnsi="Verdana" w:cs="Arial"/>
          <w:b/>
          <w:bCs/>
          <w:color w:val="000000"/>
          <w:kern w:val="2"/>
          <w:shd w:val="clear" w:color="auto" w:fill="FFFFFF"/>
          <w14:ligatures w14:val="standardContextual"/>
        </w:rPr>
        <w:t xml:space="preserve">Guía de lineamientos de </w:t>
      </w:r>
      <w:r w:rsidRPr="00D126E1">
        <w:rPr>
          <w:rFonts w:ascii="Verdana" w:eastAsia="Calibri" w:hAnsi="Verdana" w:cs="Arial"/>
          <w:b/>
          <w:bCs/>
          <w:color w:val="000000"/>
          <w:kern w:val="2"/>
          <w:shd w:val="clear" w:color="auto" w:fill="FFFFFF"/>
          <w14:ligatures w14:val="standardContextual"/>
        </w:rPr>
        <w:lastRenderedPageBreak/>
        <w:t>transparencia y selección objetiva para el departamento de La Guajira – Objetivo sexto constitucional de la Sentencia T-302 del 2017. </w:t>
      </w:r>
      <w:r w:rsidRPr="00D126E1">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126E1">
        <w:rPr>
          <w:rFonts w:ascii="Verdana" w:eastAsia="Calibri" w:hAnsi="Verdana" w:cs="Arial"/>
          <w:color w:val="000000"/>
          <w:kern w:val="2"/>
          <w:shd w:val="clear" w:color="auto" w:fill="FFFFFF"/>
          <w14:ligatures w14:val="standardContextual"/>
        </w:rPr>
        <w:t>Wayúu</w:t>
      </w:r>
      <w:proofErr w:type="spellEnd"/>
      <w:r w:rsidRPr="00D126E1">
        <w:rPr>
          <w:rFonts w:ascii="Verdana" w:eastAsia="Calibri" w:hAnsi="Verdana" w:cs="Arial"/>
          <w:color w:val="000000"/>
          <w:kern w:val="2"/>
          <w:shd w:val="clear" w:color="auto" w:fill="FFFFFF"/>
          <w14:ligatures w14:val="standardContextual"/>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D126E1">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D126E1">
        <w:rPr>
          <w:rFonts w:ascii="Verdana" w:eastAsia="Calibri" w:hAnsi="Verdana" w:cs="Arial"/>
          <w:color w:val="000000"/>
          <w:kern w:val="2"/>
          <w:u w:val="single"/>
          <w:shd w:val="clear" w:color="auto" w:fill="FFFFFF"/>
          <w14:ligatures w14:val="standardContextual"/>
        </w:rPr>
        <w:t>"</w:t>
      </w:r>
    </w:p>
    <w:p w14:paraId="2409D766" w14:textId="77777777" w:rsidR="00D126E1" w:rsidRPr="00D126E1" w:rsidRDefault="00D126E1" w:rsidP="00D126E1">
      <w:pPr>
        <w:spacing w:after="0" w:line="278" w:lineRule="auto"/>
        <w:jc w:val="both"/>
        <w:rPr>
          <w:rFonts w:ascii="Verdana" w:eastAsia="Aptos" w:hAnsi="Verdana" w:cs="Times New Roman"/>
          <w:color w:val="212121"/>
          <w:kern w:val="2"/>
          <w:sz w:val="24"/>
          <w:szCs w:val="24"/>
          <w14:ligatures w14:val="standardContextual"/>
        </w:rPr>
      </w:pPr>
    </w:p>
    <w:p w14:paraId="28993A13" w14:textId="77777777" w:rsidR="00D126E1" w:rsidRPr="00D126E1" w:rsidRDefault="00D126E1" w:rsidP="00D126E1">
      <w:pPr>
        <w:spacing w:after="0" w:line="240" w:lineRule="auto"/>
        <w:jc w:val="both"/>
        <w:rPr>
          <w:rFonts w:ascii="Verdana" w:eastAsia="Calibri" w:hAnsi="Verdana" w:cs="Times New Roman"/>
          <w:kern w:val="2"/>
          <w14:ligatures w14:val="standardContextual"/>
        </w:rPr>
      </w:pPr>
      <w:r w:rsidRPr="00D126E1">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1955B276" w14:textId="77777777" w:rsidR="00D126E1" w:rsidRPr="00D126E1" w:rsidRDefault="00D126E1" w:rsidP="00D126E1">
      <w:pPr>
        <w:spacing w:after="0" w:line="240" w:lineRule="auto"/>
        <w:jc w:val="both"/>
        <w:rPr>
          <w:rFonts w:ascii="Verdana" w:eastAsia="Aptos" w:hAnsi="Verdana" w:cs="Times New Roman"/>
          <w:kern w:val="2"/>
          <w14:ligatures w14:val="standardContextual"/>
        </w:rPr>
      </w:pPr>
    </w:p>
    <w:p w14:paraId="07AC1E41" w14:textId="77777777" w:rsidR="00D126E1" w:rsidRPr="00D126E1" w:rsidRDefault="00D126E1" w:rsidP="00D126E1">
      <w:pPr>
        <w:spacing w:after="0" w:line="240" w:lineRule="auto"/>
        <w:jc w:val="both"/>
        <w:rPr>
          <w:rFonts w:ascii="Verdana" w:eastAsia="Aptos" w:hAnsi="Verdana" w:cs="Times New Roman"/>
          <w:kern w:val="2"/>
          <w14:ligatures w14:val="standardContextual"/>
        </w:rPr>
      </w:pPr>
      <w:r w:rsidRPr="00D126E1">
        <w:rPr>
          <w:rFonts w:ascii="Verdana" w:eastAsia="Aptos" w:hAnsi="Verdana" w:cs="Times New Roman"/>
          <w:kern w:val="2"/>
          <w14:ligatures w14:val="standardContextual"/>
        </w:rPr>
        <w:t xml:space="preserve">Twitter: </w:t>
      </w:r>
      <w:r w:rsidRPr="00D126E1">
        <w:rPr>
          <w:rFonts w:ascii="Verdana" w:eastAsia="Calibri" w:hAnsi="Verdana" w:cs="Times New Roman"/>
          <w:color w:val="156082"/>
          <w:kern w:val="2"/>
          <w:u w:val="single"/>
          <w14:ligatures w14:val="standardContextual"/>
        </w:rPr>
        <w:t>@colombiacompra</w:t>
      </w:r>
      <w:r w:rsidRPr="00D126E1">
        <w:rPr>
          <w:rFonts w:ascii="Verdana" w:eastAsia="Calibri" w:hAnsi="Verdana" w:cs="Times New Roman"/>
          <w:color w:val="156082"/>
          <w:kern w:val="2"/>
          <w14:ligatures w14:val="standardContextual"/>
        </w:rPr>
        <w:t xml:space="preserve"> </w:t>
      </w:r>
    </w:p>
    <w:p w14:paraId="71115EBB" w14:textId="77777777" w:rsidR="00D126E1" w:rsidRPr="00D126E1" w:rsidRDefault="00D126E1" w:rsidP="00D126E1">
      <w:pPr>
        <w:spacing w:after="0" w:line="240" w:lineRule="auto"/>
        <w:jc w:val="both"/>
        <w:rPr>
          <w:rFonts w:ascii="Verdana" w:eastAsia="Aptos" w:hAnsi="Verdana" w:cs="Times New Roman"/>
          <w:kern w:val="2"/>
          <w14:ligatures w14:val="standardContextual"/>
        </w:rPr>
      </w:pPr>
      <w:r w:rsidRPr="00D126E1">
        <w:rPr>
          <w:rFonts w:ascii="Verdana" w:eastAsia="Aptos" w:hAnsi="Verdana" w:cs="Times New Roman"/>
          <w:kern w:val="2"/>
          <w14:ligatures w14:val="standardContextual"/>
        </w:rPr>
        <w:t xml:space="preserve">Facebook: </w:t>
      </w:r>
      <w:proofErr w:type="spellStart"/>
      <w:r w:rsidRPr="00D126E1">
        <w:rPr>
          <w:rFonts w:ascii="Verdana" w:eastAsia="Calibri" w:hAnsi="Verdana" w:cs="Times New Roman"/>
          <w:color w:val="156082"/>
          <w:kern w:val="2"/>
          <w:u w:val="single"/>
          <w14:ligatures w14:val="standardContextual"/>
        </w:rPr>
        <w:t>ColombiaCompraEficiente</w:t>
      </w:r>
      <w:proofErr w:type="spellEnd"/>
    </w:p>
    <w:p w14:paraId="426C11D6" w14:textId="77777777" w:rsidR="00D126E1" w:rsidRPr="00D126E1" w:rsidRDefault="00D126E1" w:rsidP="00D126E1">
      <w:pPr>
        <w:spacing w:after="0" w:line="240" w:lineRule="auto"/>
        <w:jc w:val="both"/>
        <w:rPr>
          <w:rFonts w:ascii="Verdana" w:eastAsia="Aptos" w:hAnsi="Verdana" w:cs="Times New Roman"/>
          <w:kern w:val="2"/>
          <w14:ligatures w14:val="standardContextual"/>
        </w:rPr>
      </w:pPr>
      <w:r w:rsidRPr="00D126E1">
        <w:rPr>
          <w:rFonts w:ascii="Verdana" w:eastAsia="Aptos" w:hAnsi="Verdana" w:cs="Times New Roman"/>
          <w:kern w:val="2"/>
          <w14:ligatures w14:val="standardContextual"/>
        </w:rPr>
        <w:t xml:space="preserve">LinkedIn: </w:t>
      </w:r>
      <w:r w:rsidRPr="00D126E1">
        <w:rPr>
          <w:rFonts w:ascii="Verdana" w:eastAsia="Calibri" w:hAnsi="Verdana" w:cs="Times New Roman"/>
          <w:color w:val="156082"/>
          <w:kern w:val="2"/>
          <w:u w:val="single"/>
          <w14:ligatures w14:val="standardContextual"/>
        </w:rPr>
        <w:t>Agencia Nacional de Contratación Pública - Colombia Compra Eficiente</w:t>
      </w:r>
      <w:r w:rsidRPr="00D126E1">
        <w:rPr>
          <w:rFonts w:ascii="Verdana" w:eastAsia="Calibri" w:hAnsi="Verdana" w:cs="Times New Roman"/>
          <w:color w:val="156082"/>
          <w:kern w:val="2"/>
          <w14:ligatures w14:val="standardContextual"/>
        </w:rPr>
        <w:t xml:space="preserve"> </w:t>
      </w:r>
      <w:r w:rsidRPr="00D126E1">
        <w:rPr>
          <w:rFonts w:ascii="Verdana" w:eastAsia="Aptos" w:hAnsi="Verdana" w:cs="Times New Roman"/>
          <w:kern w:val="2"/>
          <w14:ligatures w14:val="standardContextual"/>
        </w:rPr>
        <w:t xml:space="preserve">Instagram: </w:t>
      </w:r>
      <w:r w:rsidRPr="00D126E1">
        <w:rPr>
          <w:rFonts w:ascii="Verdana" w:eastAsia="Calibri" w:hAnsi="Verdana" w:cs="Times New Roman"/>
          <w:color w:val="156082"/>
          <w:kern w:val="2"/>
          <w:u w:val="single"/>
          <w14:ligatures w14:val="standardContextual"/>
        </w:rPr>
        <w:t>@colombiacompraeficiente_cce</w:t>
      </w:r>
    </w:p>
    <w:p w14:paraId="46F519C8" w14:textId="77777777" w:rsidR="00D126E1" w:rsidRPr="00D126E1" w:rsidRDefault="00D126E1" w:rsidP="00D126E1">
      <w:pPr>
        <w:spacing w:after="0" w:line="276" w:lineRule="auto"/>
        <w:jc w:val="both"/>
        <w:rPr>
          <w:rFonts w:ascii="Verdana" w:eastAsia="Aptos" w:hAnsi="Verdana" w:cs="Times New Roman"/>
          <w:kern w:val="2"/>
          <w14:ligatures w14:val="standardContextual"/>
        </w:rPr>
      </w:pPr>
    </w:p>
    <w:p w14:paraId="43EADBBB" w14:textId="77777777" w:rsidR="00D126E1" w:rsidRPr="00D126E1" w:rsidRDefault="00D126E1" w:rsidP="00D126E1">
      <w:pPr>
        <w:spacing w:after="0" w:line="276" w:lineRule="auto"/>
        <w:jc w:val="both"/>
        <w:rPr>
          <w:rFonts w:ascii="Verdana" w:eastAsia="Calibri" w:hAnsi="Verdana" w:cs="Times New Roman"/>
          <w:bCs/>
          <w:kern w:val="2"/>
          <w:lang w:val="es-ES_tradnl"/>
          <w14:ligatures w14:val="standardContextual"/>
        </w:rPr>
      </w:pPr>
      <w:r w:rsidRPr="00D126E1">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3FC791D" w14:textId="77777777" w:rsidR="00D126E1" w:rsidRPr="00D126E1" w:rsidRDefault="00D126E1" w:rsidP="00D126E1">
      <w:pPr>
        <w:spacing w:after="0" w:line="276" w:lineRule="auto"/>
        <w:jc w:val="both"/>
        <w:rPr>
          <w:rFonts w:ascii="Verdana" w:eastAsia="Calibri" w:hAnsi="Verdana" w:cs="Times New Roman"/>
          <w:kern w:val="2"/>
          <w14:ligatures w14:val="standardContextual"/>
        </w:rPr>
      </w:pPr>
    </w:p>
    <w:p w14:paraId="27BF21C2" w14:textId="77777777" w:rsidR="00D126E1" w:rsidRPr="00D126E1" w:rsidRDefault="00D126E1" w:rsidP="00D126E1">
      <w:pPr>
        <w:spacing w:after="0" w:line="276" w:lineRule="auto"/>
        <w:jc w:val="both"/>
        <w:rPr>
          <w:rFonts w:ascii="Verdana" w:eastAsia="Calibri" w:hAnsi="Verdana" w:cs="Times New Roman"/>
          <w:kern w:val="2"/>
          <w14:ligatures w14:val="standardContextual"/>
        </w:rPr>
      </w:pPr>
      <w:r w:rsidRPr="00D126E1">
        <w:rPr>
          <w:rFonts w:ascii="Verdana" w:eastAsia="Calibri" w:hAnsi="Verdana" w:cs="Times New Roman"/>
          <w:kern w:val="2"/>
          <w14:ligatures w14:val="standardContextual"/>
        </w:rPr>
        <w:t>Atentamente,</w:t>
      </w:r>
    </w:p>
    <w:p w14:paraId="6A7EC93E" w14:textId="3A935B0F" w:rsidR="00D126E1" w:rsidRPr="00D126E1" w:rsidRDefault="00397D75" w:rsidP="00D126E1">
      <w:pPr>
        <w:tabs>
          <w:tab w:val="left" w:pos="1320"/>
        </w:tabs>
        <w:jc w:val="center"/>
        <w:rPr>
          <w:rFonts w:ascii="Century Gothic" w:eastAsia="Aptos" w:hAnsi="Century Gothic" w:cs="Times New Roman"/>
        </w:rPr>
      </w:pPr>
      <w:r>
        <w:rPr>
          <w:rFonts w:ascii="Century Gothic" w:eastAsia="Aptos" w:hAnsi="Century Gothic" w:cs="Times New Roman"/>
          <w:noProof/>
        </w:rPr>
        <w:drawing>
          <wp:inline distT="0" distB="0" distL="0" distR="0" wp14:anchorId="42193267" wp14:editId="3D65F784">
            <wp:extent cx="3174797" cy="1365042"/>
            <wp:effectExtent l="0" t="0" r="6985" b="6985"/>
            <wp:docPr id="4337107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710725" name="Imagen 433710725"/>
                    <pic:cNvPicPr/>
                  </pic:nvPicPr>
                  <pic:blipFill>
                    <a:blip r:embed="rId15">
                      <a:extLst>
                        <a:ext uri="{28A0092B-C50C-407E-A947-70E740481C1C}">
                          <a14:useLocalDpi xmlns:a14="http://schemas.microsoft.com/office/drawing/2010/main" val="0"/>
                        </a:ext>
                      </a:extLst>
                    </a:blip>
                    <a:stretch>
                      <a:fillRect/>
                    </a:stretch>
                  </pic:blipFill>
                  <pic:spPr>
                    <a:xfrm>
                      <a:off x="0" y="0"/>
                      <a:ext cx="3204258" cy="1377709"/>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126E1" w:rsidRPr="00D126E1" w14:paraId="77884EE5" w14:textId="77777777" w:rsidTr="00876EDD">
        <w:trPr>
          <w:trHeight w:val="315"/>
        </w:trPr>
        <w:tc>
          <w:tcPr>
            <w:tcW w:w="893" w:type="dxa"/>
            <w:vAlign w:val="center"/>
            <w:hideMark/>
          </w:tcPr>
          <w:p w14:paraId="1CFB5174" w14:textId="77777777" w:rsidR="00D126E1" w:rsidRPr="00D126E1" w:rsidRDefault="00D126E1" w:rsidP="00D126E1">
            <w:pPr>
              <w:rPr>
                <w:rFonts w:ascii="Verdana" w:eastAsia="Calibri" w:hAnsi="Verdana" w:cs="Arial"/>
                <w:sz w:val="16"/>
                <w:szCs w:val="16"/>
                <w:lang w:eastAsia="es-ES"/>
              </w:rPr>
            </w:pPr>
            <w:r w:rsidRPr="00D126E1">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70708144" w14:textId="57ECB326" w:rsidR="00D126E1" w:rsidRPr="00D126E1" w:rsidRDefault="00837943" w:rsidP="00D126E1">
            <w:pPr>
              <w:rPr>
                <w:rFonts w:ascii="Verdana" w:eastAsia="Arial" w:hAnsi="Verdana" w:cs="Arial"/>
                <w:sz w:val="16"/>
                <w:szCs w:val="16"/>
              </w:rPr>
            </w:pPr>
            <w:r>
              <w:rPr>
                <w:rFonts w:ascii="Verdana" w:eastAsia="Arial" w:hAnsi="Verdana" w:cs="Arial"/>
                <w:sz w:val="16"/>
                <w:szCs w:val="16"/>
              </w:rPr>
              <w:t xml:space="preserve">Karol Andrea Gonzalez Marin </w:t>
            </w:r>
            <w:r w:rsidR="00D126E1" w:rsidRPr="00D126E1">
              <w:rPr>
                <w:rFonts w:ascii="Verdana" w:eastAsia="Arial" w:hAnsi="Verdana" w:cs="Arial"/>
                <w:sz w:val="16"/>
                <w:szCs w:val="16"/>
              </w:rPr>
              <w:t xml:space="preserve"> </w:t>
            </w:r>
          </w:p>
          <w:p w14:paraId="271BFB66" w14:textId="77777777" w:rsidR="00D126E1" w:rsidRPr="00D126E1" w:rsidRDefault="00D126E1" w:rsidP="00D126E1">
            <w:pPr>
              <w:rPr>
                <w:rFonts w:ascii="Verdana" w:eastAsia="Arial" w:hAnsi="Verdana" w:cs="Arial"/>
                <w:sz w:val="16"/>
                <w:szCs w:val="16"/>
              </w:rPr>
            </w:pPr>
            <w:r w:rsidRPr="00D126E1">
              <w:rPr>
                <w:rFonts w:ascii="Verdana" w:eastAsia="Arial" w:hAnsi="Verdana" w:cs="Arial"/>
                <w:sz w:val="16"/>
                <w:szCs w:val="16"/>
              </w:rPr>
              <w:t>Contratista de la Subdirección de Gestión Contractual</w:t>
            </w:r>
          </w:p>
        </w:tc>
      </w:tr>
      <w:tr w:rsidR="00D126E1" w:rsidRPr="00D126E1" w14:paraId="74A9C02A" w14:textId="77777777" w:rsidTr="00876EDD">
        <w:trPr>
          <w:trHeight w:val="330"/>
        </w:trPr>
        <w:tc>
          <w:tcPr>
            <w:tcW w:w="893" w:type="dxa"/>
            <w:vAlign w:val="center"/>
            <w:hideMark/>
          </w:tcPr>
          <w:p w14:paraId="43479509" w14:textId="77777777" w:rsidR="00D126E1" w:rsidRPr="00D126E1" w:rsidRDefault="00D126E1" w:rsidP="00D126E1">
            <w:pPr>
              <w:rPr>
                <w:rFonts w:ascii="Verdana" w:eastAsia="Calibri" w:hAnsi="Verdana" w:cs="Arial"/>
                <w:sz w:val="16"/>
                <w:szCs w:val="16"/>
                <w:lang w:eastAsia="es-ES"/>
              </w:rPr>
            </w:pPr>
            <w:r w:rsidRPr="00D126E1">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2C2D5F33" w14:textId="77777777" w:rsidR="00D126E1" w:rsidRPr="00D126E1" w:rsidRDefault="00D126E1" w:rsidP="00D126E1">
            <w:pPr>
              <w:rPr>
                <w:rFonts w:ascii="Verdana" w:eastAsia="Times New Roman" w:hAnsi="Verdana" w:cs="Segoe UI"/>
                <w:sz w:val="16"/>
                <w:szCs w:val="16"/>
                <w:lang w:eastAsia="es-ES_tradnl"/>
              </w:rPr>
            </w:pPr>
            <w:r w:rsidRPr="00D126E1">
              <w:rPr>
                <w:rFonts w:ascii="Verdana" w:eastAsia="Times New Roman" w:hAnsi="Verdana" w:cs="Segoe UI"/>
                <w:sz w:val="16"/>
                <w:szCs w:val="16"/>
                <w:lang w:eastAsia="es-ES_tradnl"/>
              </w:rPr>
              <w:t>Alexandra Rodríguez Motta</w:t>
            </w:r>
          </w:p>
          <w:p w14:paraId="63A9F4B4" w14:textId="77777777" w:rsidR="00D126E1" w:rsidRPr="00D126E1" w:rsidRDefault="00D126E1" w:rsidP="00D126E1">
            <w:pPr>
              <w:rPr>
                <w:rFonts w:ascii="Verdana" w:eastAsia="Times New Roman" w:hAnsi="Verdana" w:cs="Segoe UI"/>
                <w:sz w:val="16"/>
                <w:szCs w:val="16"/>
                <w:lang w:eastAsia="es-ES_tradnl"/>
              </w:rPr>
            </w:pPr>
            <w:r w:rsidRPr="00D126E1">
              <w:rPr>
                <w:rFonts w:ascii="Verdana" w:eastAsia="Arial" w:hAnsi="Verdana" w:cs="Arial"/>
                <w:sz w:val="16"/>
                <w:szCs w:val="16"/>
              </w:rPr>
              <w:t>Contratista de la Subdirección de Gestión Contractual</w:t>
            </w:r>
          </w:p>
          <w:p w14:paraId="0A1D7AAE" w14:textId="71AEC0E3" w:rsidR="00D126E1" w:rsidRPr="00D126E1" w:rsidRDefault="00837943" w:rsidP="00D126E1">
            <w:pPr>
              <w:rPr>
                <w:rFonts w:ascii="Verdana" w:eastAsia="Times New Roman" w:hAnsi="Verdana" w:cs="Segoe UI"/>
                <w:sz w:val="16"/>
                <w:szCs w:val="16"/>
                <w:lang w:eastAsia="es-ES_tradnl"/>
              </w:rPr>
            </w:pPr>
            <w:r w:rsidRPr="00837943">
              <w:rPr>
                <w:rFonts w:ascii="Verdana" w:eastAsia="Times New Roman" w:hAnsi="Verdana" w:cs="Segoe UI"/>
                <w:sz w:val="16"/>
                <w:szCs w:val="16"/>
                <w:lang w:eastAsia="es-ES_tradnl"/>
              </w:rPr>
              <w:t>Juan David Cárdenas</w:t>
            </w:r>
          </w:p>
          <w:p w14:paraId="27F81E29" w14:textId="77777777" w:rsidR="00D126E1" w:rsidRPr="00D126E1" w:rsidRDefault="00D126E1" w:rsidP="00D126E1">
            <w:pPr>
              <w:rPr>
                <w:rFonts w:ascii="Verdana" w:eastAsia="Times New Roman" w:hAnsi="Verdana" w:cs="Segoe UI"/>
                <w:sz w:val="16"/>
                <w:szCs w:val="16"/>
                <w:lang w:eastAsia="es-ES_tradnl"/>
              </w:rPr>
            </w:pPr>
            <w:r w:rsidRPr="00D126E1">
              <w:rPr>
                <w:rFonts w:ascii="Verdana" w:eastAsia="Arial" w:hAnsi="Verdana" w:cs="Arial"/>
                <w:sz w:val="16"/>
                <w:szCs w:val="16"/>
              </w:rPr>
              <w:t>Contratista de la Subdirección de Gestión Contractual</w:t>
            </w:r>
          </w:p>
        </w:tc>
      </w:tr>
      <w:tr w:rsidR="00D126E1" w:rsidRPr="00D126E1" w14:paraId="0981F80C" w14:textId="77777777" w:rsidTr="00876EDD">
        <w:trPr>
          <w:trHeight w:val="300"/>
        </w:trPr>
        <w:tc>
          <w:tcPr>
            <w:tcW w:w="893" w:type="dxa"/>
            <w:vAlign w:val="center"/>
          </w:tcPr>
          <w:p w14:paraId="2F3E1115" w14:textId="77777777" w:rsidR="00D126E1" w:rsidRPr="00D126E1" w:rsidRDefault="00D126E1" w:rsidP="00D126E1">
            <w:pPr>
              <w:rPr>
                <w:rFonts w:ascii="Verdana" w:eastAsia="Calibri" w:hAnsi="Verdana" w:cs="Arial"/>
                <w:sz w:val="16"/>
                <w:szCs w:val="16"/>
                <w:lang w:eastAsia="es-ES"/>
              </w:rPr>
            </w:pPr>
            <w:r w:rsidRPr="00D126E1">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7B2215FC" w14:textId="77777777" w:rsidR="00D126E1" w:rsidRPr="00D126E1" w:rsidRDefault="00D126E1" w:rsidP="00D126E1">
            <w:pPr>
              <w:rPr>
                <w:rFonts w:ascii="Verdana" w:eastAsia="Calibri" w:hAnsi="Verdana" w:cs="Arial"/>
                <w:sz w:val="16"/>
                <w:szCs w:val="16"/>
                <w:lang w:eastAsia="es-ES"/>
              </w:rPr>
            </w:pPr>
            <w:r w:rsidRPr="00D126E1">
              <w:rPr>
                <w:rFonts w:ascii="Verdana" w:eastAsia="Calibri" w:hAnsi="Verdana" w:cs="Arial"/>
                <w:sz w:val="16"/>
                <w:szCs w:val="16"/>
                <w:lang w:eastAsia="es-ES"/>
              </w:rPr>
              <w:t xml:space="preserve">Carolina Quintero </w:t>
            </w:r>
            <w:proofErr w:type="spellStart"/>
            <w:r w:rsidRPr="00D126E1">
              <w:rPr>
                <w:rFonts w:ascii="Verdana" w:eastAsia="Calibri" w:hAnsi="Verdana" w:cs="Arial"/>
                <w:sz w:val="16"/>
                <w:szCs w:val="16"/>
                <w:lang w:eastAsia="es-ES"/>
              </w:rPr>
              <w:t>Gacharná</w:t>
            </w:r>
            <w:proofErr w:type="spellEnd"/>
          </w:p>
          <w:p w14:paraId="65B27010" w14:textId="77777777" w:rsidR="00D126E1" w:rsidRPr="00D126E1" w:rsidRDefault="00D126E1" w:rsidP="00D126E1">
            <w:pPr>
              <w:rPr>
                <w:rFonts w:ascii="Verdana" w:eastAsia="Calibri" w:hAnsi="Verdana" w:cs="Arial"/>
                <w:sz w:val="16"/>
                <w:szCs w:val="16"/>
                <w:lang w:eastAsia="es-ES"/>
              </w:rPr>
            </w:pPr>
            <w:r w:rsidRPr="00D126E1">
              <w:rPr>
                <w:rFonts w:ascii="Verdana" w:eastAsia="Calibri" w:hAnsi="Verdana" w:cs="Arial"/>
                <w:sz w:val="16"/>
                <w:szCs w:val="16"/>
                <w:lang w:eastAsia="es-ES"/>
              </w:rPr>
              <w:t>Subdirectora de Gestión Contractual ANCP – CCE</w:t>
            </w:r>
          </w:p>
        </w:tc>
      </w:tr>
    </w:tbl>
    <w:p w14:paraId="0F293BF4" w14:textId="10FDF172" w:rsidR="00127233" w:rsidRPr="00F93666" w:rsidRDefault="00127233" w:rsidP="00EA1B8F"/>
    <w:sectPr w:rsidR="00127233" w:rsidRPr="00F9366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61EC8F" w14:textId="77777777" w:rsidR="00A64922" w:rsidRDefault="00A64922" w:rsidP="004A1847">
      <w:pPr>
        <w:spacing w:after="0" w:line="240" w:lineRule="auto"/>
      </w:pPr>
      <w:r>
        <w:separator/>
      </w:r>
    </w:p>
  </w:endnote>
  <w:endnote w:type="continuationSeparator" w:id="0">
    <w:p w14:paraId="2AF3A64C" w14:textId="77777777" w:rsidR="00A64922" w:rsidRDefault="00A6492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7D859" w14:textId="77777777" w:rsidR="00424062" w:rsidRDefault="00424062">
    <w:pPr>
      <w:pStyle w:val="Piedepgina"/>
    </w:pPr>
  </w:p>
  <w:p w14:paraId="346C752A" w14:textId="77777777" w:rsidR="00F93171" w:rsidRDefault="00F93171">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D126E1">
      <w:rPr>
        <w:rFonts w:ascii="Verdana" w:eastAsia="Times New Roman" w:hAnsi="Verdana" w:cs="Times New Roman"/>
        <w:b/>
        <w:bCs/>
        <w:sz w:val="16"/>
        <w:szCs w:val="16"/>
        <w:lang w:val="es-ES"/>
      </w:rPr>
      <w:t xml:space="preserve">pág. </w:t>
    </w:r>
    <w:r w:rsidRPr="00D126E1">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D126E1">
      <w:rPr>
        <w:rFonts w:ascii="Verdana" w:eastAsia="Times New Roman" w:hAnsi="Verdana"/>
        <w:b/>
        <w:bCs/>
        <w:sz w:val="16"/>
        <w:szCs w:val="16"/>
      </w:rPr>
      <w:fldChar w:fldCharType="separate"/>
    </w:r>
    <w:r w:rsidRPr="00D126E1">
      <w:rPr>
        <w:rFonts w:ascii="Verdana" w:eastAsia="Times New Roman" w:hAnsi="Verdana"/>
        <w:b/>
        <w:bCs/>
        <w:sz w:val="16"/>
        <w:szCs w:val="16"/>
      </w:rPr>
      <w:t>1</w:t>
    </w:r>
    <w:r w:rsidRPr="00D126E1">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DE975" w14:textId="77777777" w:rsidR="00A64922" w:rsidRDefault="00A64922" w:rsidP="004A1847">
      <w:pPr>
        <w:spacing w:after="0" w:line="240" w:lineRule="auto"/>
      </w:pPr>
      <w:r>
        <w:separator/>
      </w:r>
    </w:p>
  </w:footnote>
  <w:footnote w:type="continuationSeparator" w:id="0">
    <w:p w14:paraId="4E695C03" w14:textId="77777777" w:rsidR="00A64922" w:rsidRDefault="00A64922"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38F9"/>
    <w:rsid w:val="000A683E"/>
    <w:rsid w:val="000B19B9"/>
    <w:rsid w:val="000D0334"/>
    <w:rsid w:val="000F6486"/>
    <w:rsid w:val="00125105"/>
    <w:rsid w:val="00127233"/>
    <w:rsid w:val="0017586E"/>
    <w:rsid w:val="001E4177"/>
    <w:rsid w:val="001F7DC6"/>
    <w:rsid w:val="0023659C"/>
    <w:rsid w:val="002421BB"/>
    <w:rsid w:val="0025796E"/>
    <w:rsid w:val="002707A2"/>
    <w:rsid w:val="002951A0"/>
    <w:rsid w:val="002962BC"/>
    <w:rsid w:val="002A093D"/>
    <w:rsid w:val="002A0DD0"/>
    <w:rsid w:val="002A49AC"/>
    <w:rsid w:val="002A64FD"/>
    <w:rsid w:val="002C7A84"/>
    <w:rsid w:val="002E4FD9"/>
    <w:rsid w:val="002F56F5"/>
    <w:rsid w:val="00305DEF"/>
    <w:rsid w:val="00322A85"/>
    <w:rsid w:val="00324168"/>
    <w:rsid w:val="003448F4"/>
    <w:rsid w:val="00374F5E"/>
    <w:rsid w:val="00377B52"/>
    <w:rsid w:val="00377E3E"/>
    <w:rsid w:val="00397D75"/>
    <w:rsid w:val="003A779E"/>
    <w:rsid w:val="003D0F4D"/>
    <w:rsid w:val="003D5B0D"/>
    <w:rsid w:val="003E0499"/>
    <w:rsid w:val="003E7C14"/>
    <w:rsid w:val="003F3941"/>
    <w:rsid w:val="00400731"/>
    <w:rsid w:val="00406575"/>
    <w:rsid w:val="00414C74"/>
    <w:rsid w:val="00424062"/>
    <w:rsid w:val="0042722E"/>
    <w:rsid w:val="0044528D"/>
    <w:rsid w:val="004A1847"/>
    <w:rsid w:val="004A305D"/>
    <w:rsid w:val="004F21C4"/>
    <w:rsid w:val="004F685F"/>
    <w:rsid w:val="0051646F"/>
    <w:rsid w:val="0052264D"/>
    <w:rsid w:val="00544DF8"/>
    <w:rsid w:val="005566E8"/>
    <w:rsid w:val="00574537"/>
    <w:rsid w:val="00574867"/>
    <w:rsid w:val="00591460"/>
    <w:rsid w:val="005C3777"/>
    <w:rsid w:val="005C5CDC"/>
    <w:rsid w:val="005D476C"/>
    <w:rsid w:val="006219F8"/>
    <w:rsid w:val="006302F7"/>
    <w:rsid w:val="00665D70"/>
    <w:rsid w:val="006900D9"/>
    <w:rsid w:val="006A760C"/>
    <w:rsid w:val="006B29A8"/>
    <w:rsid w:val="00706C16"/>
    <w:rsid w:val="00747280"/>
    <w:rsid w:val="00756841"/>
    <w:rsid w:val="007649AB"/>
    <w:rsid w:val="00771D0C"/>
    <w:rsid w:val="007833AC"/>
    <w:rsid w:val="007A46D6"/>
    <w:rsid w:val="007B268C"/>
    <w:rsid w:val="007B5680"/>
    <w:rsid w:val="007B7171"/>
    <w:rsid w:val="007C0C0F"/>
    <w:rsid w:val="007C3DC2"/>
    <w:rsid w:val="007E5497"/>
    <w:rsid w:val="00806F5F"/>
    <w:rsid w:val="00820278"/>
    <w:rsid w:val="00837943"/>
    <w:rsid w:val="008531B0"/>
    <w:rsid w:val="00855C0C"/>
    <w:rsid w:val="00867F95"/>
    <w:rsid w:val="008843B6"/>
    <w:rsid w:val="00891928"/>
    <w:rsid w:val="00897A3A"/>
    <w:rsid w:val="008A446D"/>
    <w:rsid w:val="008D180B"/>
    <w:rsid w:val="008E0C1B"/>
    <w:rsid w:val="008F0EA7"/>
    <w:rsid w:val="00921664"/>
    <w:rsid w:val="00923EEF"/>
    <w:rsid w:val="009419F9"/>
    <w:rsid w:val="0095685E"/>
    <w:rsid w:val="00961B09"/>
    <w:rsid w:val="00965334"/>
    <w:rsid w:val="0097093E"/>
    <w:rsid w:val="009804CB"/>
    <w:rsid w:val="009A0DFA"/>
    <w:rsid w:val="009A2AAF"/>
    <w:rsid w:val="009B25A8"/>
    <w:rsid w:val="009B2D26"/>
    <w:rsid w:val="009C71FA"/>
    <w:rsid w:val="009C72E7"/>
    <w:rsid w:val="009D3058"/>
    <w:rsid w:val="009F3A13"/>
    <w:rsid w:val="00A122D3"/>
    <w:rsid w:val="00A17F13"/>
    <w:rsid w:val="00A20739"/>
    <w:rsid w:val="00A33C78"/>
    <w:rsid w:val="00A64922"/>
    <w:rsid w:val="00AB0ADB"/>
    <w:rsid w:val="00B00C0E"/>
    <w:rsid w:val="00B01B1A"/>
    <w:rsid w:val="00B44A47"/>
    <w:rsid w:val="00B72CD3"/>
    <w:rsid w:val="00B72FFF"/>
    <w:rsid w:val="00BC3D36"/>
    <w:rsid w:val="00BD7F72"/>
    <w:rsid w:val="00C04FB3"/>
    <w:rsid w:val="00C330EB"/>
    <w:rsid w:val="00C50E3A"/>
    <w:rsid w:val="00C754BE"/>
    <w:rsid w:val="00C76B1C"/>
    <w:rsid w:val="00C940FC"/>
    <w:rsid w:val="00CB6357"/>
    <w:rsid w:val="00CC1B26"/>
    <w:rsid w:val="00CE6607"/>
    <w:rsid w:val="00CF58E6"/>
    <w:rsid w:val="00D126E1"/>
    <w:rsid w:val="00D32223"/>
    <w:rsid w:val="00D423A2"/>
    <w:rsid w:val="00D520D8"/>
    <w:rsid w:val="00D63AC2"/>
    <w:rsid w:val="00D7383B"/>
    <w:rsid w:val="00D932F2"/>
    <w:rsid w:val="00DA231B"/>
    <w:rsid w:val="00DC39FC"/>
    <w:rsid w:val="00DC467C"/>
    <w:rsid w:val="00DF5254"/>
    <w:rsid w:val="00E14221"/>
    <w:rsid w:val="00E16408"/>
    <w:rsid w:val="00E20894"/>
    <w:rsid w:val="00E245AB"/>
    <w:rsid w:val="00E2764C"/>
    <w:rsid w:val="00E27F2E"/>
    <w:rsid w:val="00E50AFE"/>
    <w:rsid w:val="00E75C92"/>
    <w:rsid w:val="00E771DC"/>
    <w:rsid w:val="00E8772A"/>
    <w:rsid w:val="00E90F6B"/>
    <w:rsid w:val="00E92C27"/>
    <w:rsid w:val="00EA0E3D"/>
    <w:rsid w:val="00EA1B8F"/>
    <w:rsid w:val="00EB78B1"/>
    <w:rsid w:val="00EB7985"/>
    <w:rsid w:val="00EC38A7"/>
    <w:rsid w:val="00EE1AA8"/>
    <w:rsid w:val="00F23F7B"/>
    <w:rsid w:val="00F31EDC"/>
    <w:rsid w:val="00F462B3"/>
    <w:rsid w:val="00F5664F"/>
    <w:rsid w:val="00F666C4"/>
    <w:rsid w:val="00F76AFC"/>
    <w:rsid w:val="00F93171"/>
    <w:rsid w:val="00F93666"/>
    <w:rsid w:val="00FA47C0"/>
    <w:rsid w:val="00FB5DD1"/>
    <w:rsid w:val="00FC2B5D"/>
    <w:rsid w:val="00FE1E82"/>
    <w:rsid w:val="00FF1449"/>
    <w:rsid w:val="24921221"/>
    <w:rsid w:val="26AFFFEA"/>
    <w:rsid w:val="2A389682"/>
    <w:rsid w:val="4683F37A"/>
    <w:rsid w:val="696A6386"/>
    <w:rsid w:val="79381BB7"/>
    <w:rsid w:val="798754A6"/>
    <w:rsid w:val="7B3CBF0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D126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D126E1"/>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32836732">
      <w:bodyDiv w:val="1"/>
      <w:marLeft w:val="0"/>
      <w:marRight w:val="0"/>
      <w:marTop w:val="0"/>
      <w:marBottom w:val="0"/>
      <w:divBdr>
        <w:top w:val="none" w:sz="0" w:space="0" w:color="auto"/>
        <w:left w:val="none" w:sz="0" w:space="0" w:color="auto"/>
        <w:bottom w:val="none" w:sz="0" w:space="0" w:color="auto"/>
        <w:right w:val="none" w:sz="0" w:space="0" w:color="auto"/>
      </w:divBdr>
      <w:divsChild>
        <w:div w:id="1849589657">
          <w:marLeft w:val="0"/>
          <w:marRight w:val="0"/>
          <w:marTop w:val="180"/>
          <w:marBottom w:val="6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igueljaramillo4@g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0FEE3F4-B377-4DD1-B845-7C4D1C6F43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10</Pages>
  <Words>3467</Words>
  <Characters>19071</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2025-10-17T19:41:00Z</dcterms:created>
  <dcterms:modified xsi:type="dcterms:W3CDTF">2025-10-17T19:41:00Z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