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B9D1A" w14:textId="77777777" w:rsidR="00B60F9E" w:rsidRPr="00107753" w:rsidRDefault="00B60F9E" w:rsidP="00B60F9E">
      <w:pPr>
        <w:spacing w:after="0" w:line="240" w:lineRule="auto"/>
        <w:jc w:val="both"/>
        <w:rPr>
          <w:rFonts w:ascii="Verdana" w:eastAsia="Calibri" w:hAnsi="Verdana" w:cs="Arial"/>
          <w:b/>
          <w:lang w:val="es-ES_tradnl"/>
        </w:rPr>
      </w:pPr>
      <w:r w:rsidRPr="00107753">
        <w:rPr>
          <w:rFonts w:ascii="Verdana" w:eastAsia="Calibri" w:hAnsi="Verdana" w:cs="Arial"/>
          <w:b/>
          <w:lang w:val="es-ES_tradnl" w:eastAsia="es-ES_tradnl"/>
        </w:rPr>
        <w:t xml:space="preserve">PUBLICIDAD – SECOP – Entidades exceptuadas </w:t>
      </w:r>
      <w:r w:rsidRPr="00107753">
        <w:rPr>
          <w:rFonts w:ascii="Verdana" w:eastAsia="Calibri" w:hAnsi="Verdana" w:cs="Arial"/>
          <w:b/>
          <w:lang w:val="es-ES_tradnl"/>
        </w:rPr>
        <w:t xml:space="preserve">– Sentencia de 19 de octubre – Alcance de la decisión </w:t>
      </w:r>
    </w:p>
    <w:p w14:paraId="2B56D8EC" w14:textId="77777777" w:rsidR="00B60F9E" w:rsidRPr="00107753" w:rsidRDefault="00B60F9E" w:rsidP="00B60F9E">
      <w:pPr>
        <w:spacing w:after="0" w:line="240" w:lineRule="auto"/>
        <w:jc w:val="both"/>
        <w:rPr>
          <w:rFonts w:ascii="Verdana" w:eastAsia="Calibri" w:hAnsi="Verdana" w:cs="Arial"/>
          <w:b/>
          <w:sz w:val="20"/>
          <w:szCs w:val="20"/>
          <w:lang w:val="es-ES_tradnl"/>
        </w:rPr>
      </w:pPr>
    </w:p>
    <w:p w14:paraId="3DCC98F2" w14:textId="7AECE4C8" w:rsidR="00B60F9E" w:rsidRDefault="00B60F9E" w:rsidP="05A5CA86">
      <w:pPr>
        <w:spacing w:after="0" w:line="240" w:lineRule="auto"/>
        <w:jc w:val="both"/>
        <w:rPr>
          <w:rFonts w:ascii="Verdana" w:eastAsia="Calibri" w:hAnsi="Verdana" w:cs="Arial"/>
          <w:color w:val="000000" w:themeColor="text1"/>
          <w:sz w:val="20"/>
          <w:szCs w:val="20"/>
          <w:lang w:val="es-ES"/>
        </w:rPr>
      </w:pPr>
      <w:r w:rsidRPr="05A5CA86">
        <w:rPr>
          <w:rFonts w:ascii="Verdana" w:eastAsia="Calibri" w:hAnsi="Verdana" w:cs="Arial"/>
          <w:color w:val="000000" w:themeColor="text1"/>
          <w:sz w:val="20"/>
          <w:szCs w:val="20"/>
          <w:lang w:val="es-ES"/>
        </w:rPr>
        <w:t xml:space="preserve">[L]a Subsección B de la Sección Tercera del Consejo de Estado, mediante Sentencia del 19 de octubre de 2023 con ponencia del </w:t>
      </w:r>
      <w:r w:rsidR="003D7170" w:rsidRPr="05A5CA86">
        <w:rPr>
          <w:rFonts w:ascii="Verdana" w:eastAsia="Calibri" w:hAnsi="Verdana" w:cs="Arial"/>
          <w:color w:val="000000" w:themeColor="text1"/>
          <w:sz w:val="20"/>
          <w:szCs w:val="20"/>
          <w:lang w:val="es-ES"/>
        </w:rPr>
        <w:t>consejero</w:t>
      </w:r>
      <w:r w:rsidRPr="05A5CA86">
        <w:rPr>
          <w:rFonts w:ascii="Verdana" w:eastAsia="Calibri" w:hAnsi="Verdana" w:cs="Arial"/>
          <w:color w:val="000000" w:themeColor="text1"/>
          <w:sz w:val="20"/>
          <w:szCs w:val="20"/>
          <w:lang w:val="es-ES"/>
        </w:rPr>
        <w:t xml:space="preserve"> Martín Bermúdez Muñoz, se pronunció sobre las circulares que aclaran la obligación que tienen las entidades que contraten con recursos públicos, independientemente del régimen jurídico aplicable, de publicar su actividad contractual en el SECOP. De acuerdo con el numeral primero de la parte resolutiva, el Consejo de Estado declara “[…] la nulidad de parcial de los apartes de las Circulares Externas Nro. 1 de 21 de junio de 2013 y Nro. 20 de 27 de agosto de 2015, expedidas por la Dirección de la Agencia Nacional de Contratación Pública Colombia Compra Eficiente, que contengan la expresión ‘actividad contractual’ […]”. </w:t>
      </w:r>
    </w:p>
    <w:p w14:paraId="6D145321" w14:textId="77777777" w:rsidR="00B60F9E" w:rsidRPr="00107753" w:rsidRDefault="00B60F9E" w:rsidP="00B60F9E">
      <w:pPr>
        <w:spacing w:after="0" w:line="240" w:lineRule="auto"/>
        <w:jc w:val="both"/>
        <w:rPr>
          <w:rFonts w:ascii="Verdana" w:eastAsia="Calibri" w:hAnsi="Verdana" w:cs="Arial"/>
          <w:color w:val="000000" w:themeColor="text1"/>
          <w:sz w:val="20"/>
          <w:szCs w:val="20"/>
          <w:lang w:val="es-ES_tradnl"/>
        </w:rPr>
      </w:pPr>
    </w:p>
    <w:p w14:paraId="3FC60350" w14:textId="77777777" w:rsidR="00B60F9E" w:rsidRPr="00107753" w:rsidRDefault="00B60F9E" w:rsidP="00B60F9E">
      <w:pPr>
        <w:spacing w:after="0" w:line="240" w:lineRule="auto"/>
        <w:jc w:val="both"/>
        <w:rPr>
          <w:rFonts w:ascii="Verdana" w:eastAsia="Calibri" w:hAnsi="Verdana" w:cs="Arial"/>
          <w:b/>
          <w:lang w:val="es-ES_tradnl" w:eastAsia="es-ES_tradnl"/>
        </w:rPr>
      </w:pPr>
      <w:r w:rsidRPr="00107753">
        <w:rPr>
          <w:rFonts w:ascii="Verdana" w:eastAsia="Calibri" w:hAnsi="Verdana" w:cs="Arial"/>
          <w:b/>
          <w:lang w:val="es-ES_tradnl" w:eastAsia="es-ES_tradnl"/>
        </w:rPr>
        <w:t xml:space="preserve">CIRCULARES DE COLOMBIA COMPRA EFICIENTE – Nulidad parcial – </w:t>
      </w:r>
      <w:r w:rsidRPr="00107753">
        <w:rPr>
          <w:rFonts w:ascii="Verdana" w:eastAsia="Calibri" w:hAnsi="Verdana" w:cs="Arial"/>
          <w:b/>
          <w:lang w:val="es-ES_tradnl"/>
        </w:rPr>
        <w:t>A</w:t>
      </w:r>
      <w:r w:rsidRPr="00107753">
        <w:rPr>
          <w:rFonts w:ascii="Verdana" w:eastAsia="Calibri" w:hAnsi="Verdana" w:cs="Arial"/>
          <w:b/>
          <w:lang w:val="es-ES_tradnl" w:eastAsia="es-ES_tradnl"/>
        </w:rPr>
        <w:t>lcance</w:t>
      </w:r>
    </w:p>
    <w:p w14:paraId="2A79E450" w14:textId="77777777" w:rsidR="00B60F9E" w:rsidRPr="00107753" w:rsidRDefault="00B60F9E" w:rsidP="00B60F9E">
      <w:pPr>
        <w:spacing w:after="0" w:line="240" w:lineRule="auto"/>
        <w:jc w:val="both"/>
        <w:rPr>
          <w:rFonts w:ascii="Verdana" w:eastAsia="Calibri" w:hAnsi="Verdana" w:cs="Arial"/>
          <w:b/>
          <w:color w:val="000000" w:themeColor="text1"/>
          <w:sz w:val="20"/>
          <w:szCs w:val="20"/>
          <w:lang w:val="es-ES_tradnl"/>
        </w:rPr>
      </w:pPr>
    </w:p>
    <w:p w14:paraId="21389925" w14:textId="77777777" w:rsidR="00B60F9E" w:rsidRDefault="00B60F9E" w:rsidP="00B60F9E">
      <w:pPr>
        <w:spacing w:after="0" w:line="240" w:lineRule="auto"/>
        <w:jc w:val="both"/>
        <w:rPr>
          <w:rFonts w:ascii="Verdana" w:eastAsia="Calibri" w:hAnsi="Verdana" w:cs="Arial"/>
          <w:color w:val="000000" w:themeColor="text1"/>
          <w:sz w:val="20"/>
          <w:szCs w:val="20"/>
          <w:lang w:val="es-ES_tradnl"/>
        </w:rPr>
      </w:pPr>
      <w:r w:rsidRPr="00107753">
        <w:rPr>
          <w:rFonts w:ascii="Verdana" w:eastAsia="Calibri" w:hAnsi="Verdana" w:cs="Arial"/>
          <w:color w:val="000000" w:themeColor="text1"/>
          <w:sz w:val="20"/>
          <w:szCs w:val="20"/>
          <w:lang w:val="es-ES_tradnl"/>
        </w:rPr>
        <w:t xml:space="preserve">Como se observa, no se trata de una declaración de nulidad total y, por ello, salvo la expresión anulada, dichos actos administrativos continúan vigentes. De esta manera, “Las entidades que contratan con cargo a recursos públicos están obligadas a publicar oportunamente </w:t>
      </w:r>
      <w:r w:rsidRPr="00107753">
        <w:rPr>
          <w:rFonts w:ascii="Verdana" w:eastAsia="Calibri" w:hAnsi="Verdana" w:cs="Arial"/>
          <w:b/>
          <w:bCs/>
          <w:strike/>
          <w:color w:val="000000" w:themeColor="text1"/>
          <w:sz w:val="20"/>
          <w:szCs w:val="20"/>
          <w:lang w:val="es-ES_tradnl"/>
        </w:rPr>
        <w:t>su actividad contractual</w:t>
      </w:r>
      <w:r w:rsidRPr="00107753">
        <w:rPr>
          <w:rFonts w:ascii="Verdana" w:eastAsia="Calibri" w:hAnsi="Verdana" w:cs="Arial"/>
          <w:color w:val="000000" w:themeColor="text1"/>
          <w:sz w:val="20"/>
          <w:szCs w:val="20"/>
          <w:lang w:val="es-ES_tradnl"/>
        </w:rPr>
        <w:t xml:space="preserve"> en el SECOP, sin que sea relevante para la exigencia de esta obligación su régimen jurídico, naturaleza de público o privado o la pertenencia a una u otra rama del poder público […]” –</w:t>
      </w:r>
      <w:r w:rsidRPr="00107753">
        <w:rPr>
          <w:rFonts w:ascii="Verdana" w:hAnsi="Verdana"/>
          <w:sz w:val="20"/>
          <w:szCs w:val="20"/>
        </w:rPr>
        <w:t xml:space="preserve"> </w:t>
      </w:r>
      <w:r w:rsidRPr="00107753">
        <w:rPr>
          <w:rFonts w:ascii="Verdana" w:eastAsia="Calibri" w:hAnsi="Verdana" w:cs="Arial"/>
          <w:color w:val="000000" w:themeColor="text1"/>
          <w:sz w:val="20"/>
          <w:szCs w:val="20"/>
          <w:lang w:val="es-ES_tradnl"/>
        </w:rPr>
        <w:t xml:space="preserve">Circular Externa Nro. 1 del 21 de junio de 2013–. Por lo demás, la Agencia “[…] da alcance a la Circular Externa 1 de 2013 para establecer las condiciones de publicidad </w:t>
      </w:r>
      <w:r w:rsidRPr="00107753">
        <w:rPr>
          <w:rFonts w:ascii="Verdana" w:eastAsia="Calibri" w:hAnsi="Verdana" w:cs="Arial"/>
          <w:b/>
          <w:bCs/>
          <w:strike/>
          <w:color w:val="000000" w:themeColor="text1"/>
          <w:sz w:val="20"/>
          <w:szCs w:val="20"/>
          <w:lang w:val="es-ES_tradnl"/>
        </w:rPr>
        <w:t>de la actividad contractual</w:t>
      </w:r>
      <w:r w:rsidRPr="00107753">
        <w:rPr>
          <w:rFonts w:ascii="Verdana" w:eastAsia="Calibri" w:hAnsi="Verdana" w:cs="Arial"/>
          <w:color w:val="000000" w:themeColor="text1"/>
          <w:sz w:val="20"/>
          <w:szCs w:val="20"/>
          <w:lang w:val="es-ES_tradnl"/>
        </w:rPr>
        <w:t xml:space="preserve"> de las empresas industriales y comerciales del Estado, las sociedades de economía mixta y las empresas de servicios públicos domiciliarios que en su actividad comercial están en situación de competencia” –</w:t>
      </w:r>
      <w:r w:rsidRPr="00107753">
        <w:rPr>
          <w:rFonts w:ascii="Verdana" w:hAnsi="Verdana"/>
          <w:sz w:val="20"/>
          <w:szCs w:val="20"/>
        </w:rPr>
        <w:t xml:space="preserve"> </w:t>
      </w:r>
      <w:r w:rsidRPr="00107753">
        <w:rPr>
          <w:rFonts w:ascii="Verdana" w:eastAsia="Calibri" w:hAnsi="Verdana" w:cs="Arial"/>
          <w:color w:val="000000" w:themeColor="text1"/>
          <w:sz w:val="20"/>
          <w:szCs w:val="20"/>
          <w:lang w:val="es-ES_tradnl"/>
        </w:rPr>
        <w:t>Circular Externa No. 20 del 27 de agosto de 2015–. Es decir, incluso con la nulidad parcial, permanece la obligación de publicar en el SECOP, al margen de que las entidades se encuentren o no sometidas al EGCAP.</w:t>
      </w:r>
    </w:p>
    <w:p w14:paraId="1357F03E" w14:textId="77777777" w:rsidR="00B60F9E" w:rsidRPr="00107753" w:rsidRDefault="00B60F9E" w:rsidP="00B60F9E">
      <w:pPr>
        <w:spacing w:after="0" w:line="240" w:lineRule="auto"/>
        <w:jc w:val="both"/>
        <w:rPr>
          <w:rFonts w:ascii="Verdana" w:eastAsia="Calibri" w:hAnsi="Verdana" w:cs="Arial"/>
          <w:color w:val="000000" w:themeColor="text1"/>
          <w:sz w:val="20"/>
          <w:szCs w:val="20"/>
          <w:lang w:val="es-ES_tradnl"/>
        </w:rPr>
      </w:pPr>
    </w:p>
    <w:p w14:paraId="2FA83F29" w14:textId="77777777" w:rsidR="00B60F9E" w:rsidRPr="00107753" w:rsidRDefault="00B60F9E" w:rsidP="00B60F9E">
      <w:pPr>
        <w:spacing w:after="0" w:line="240" w:lineRule="auto"/>
        <w:jc w:val="both"/>
        <w:rPr>
          <w:rFonts w:ascii="Verdana" w:eastAsia="Calibri" w:hAnsi="Verdana" w:cs="Arial"/>
          <w:b/>
          <w:lang w:val="es-ES_tradnl" w:eastAsia="es-ES_tradnl"/>
        </w:rPr>
      </w:pPr>
      <w:r w:rsidRPr="00107753">
        <w:rPr>
          <w:rFonts w:ascii="Verdana" w:eastAsia="Calibri" w:hAnsi="Verdana" w:cs="Arial"/>
          <w:b/>
          <w:lang w:val="es-ES_tradnl" w:eastAsia="es-ES_tradnl"/>
        </w:rPr>
        <w:t>PUBLICIDAD – SECOP – Fundamento Normativo – Ley 1712 de 2014 –</w:t>
      </w:r>
      <w:r w:rsidRPr="00107753">
        <w:rPr>
          <w:rFonts w:ascii="Verdana" w:eastAsia="Calibri" w:hAnsi="Verdana" w:cs="Arial"/>
          <w:b/>
          <w:lang w:val="es-ES_tradnl"/>
        </w:rPr>
        <w:t xml:space="preserve"> Decreto 1081 de 2015</w:t>
      </w:r>
      <w:r w:rsidRPr="00107753">
        <w:rPr>
          <w:rFonts w:ascii="Verdana" w:eastAsia="Calibri" w:hAnsi="Verdana" w:cs="Arial"/>
          <w:b/>
          <w:lang w:val="es-ES_tradnl" w:eastAsia="es-ES_tradnl"/>
        </w:rPr>
        <w:t xml:space="preserve"> </w:t>
      </w:r>
    </w:p>
    <w:p w14:paraId="648BCA0E" w14:textId="77777777" w:rsidR="00B60F9E" w:rsidRPr="00107753" w:rsidRDefault="00B60F9E" w:rsidP="00B60F9E">
      <w:pPr>
        <w:spacing w:after="0" w:line="240" w:lineRule="auto"/>
        <w:jc w:val="both"/>
        <w:rPr>
          <w:rFonts w:ascii="Verdana" w:eastAsia="Calibri" w:hAnsi="Verdana" w:cs="Arial"/>
          <w:b/>
          <w:sz w:val="20"/>
          <w:szCs w:val="20"/>
          <w:lang w:val="es-ES_tradnl"/>
        </w:rPr>
      </w:pPr>
    </w:p>
    <w:p w14:paraId="61D363D5" w14:textId="77777777" w:rsidR="00B60F9E" w:rsidRDefault="00B60F9E" w:rsidP="05A5CA86">
      <w:pPr>
        <w:spacing w:after="0" w:line="240" w:lineRule="auto"/>
        <w:jc w:val="both"/>
        <w:rPr>
          <w:rFonts w:ascii="Verdana" w:eastAsia="Calibri" w:hAnsi="Verdana" w:cs="Arial"/>
          <w:sz w:val="20"/>
          <w:szCs w:val="20"/>
          <w:lang w:val="es-ES"/>
        </w:rPr>
      </w:pPr>
      <w:r w:rsidRPr="05A5CA86">
        <w:rPr>
          <w:rFonts w:ascii="Verdana" w:eastAsia="Calibri" w:hAnsi="Verdana" w:cs="Arial"/>
          <w:sz w:val="20"/>
          <w:szCs w:val="20"/>
          <w:lang w:val="es-ES"/>
        </w:rPr>
        <w:t xml:space="preserve">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La ley citada establece, en el literal e) del artículo 9, que los sujetos obligados, que son todas las entidades públicas, deben publicar la información relativa a su contratación. Esta obligación fue en principio desarrollada por el Decreto 103 de 2015, hoy compilado en el Decreto Único Reglamentario 1081 de 2015, el cual dispuso que la publicación de la información contractual de los sujetos obligados, que </w:t>
      </w:r>
      <w:r w:rsidRPr="05A5CA86">
        <w:rPr>
          <w:rFonts w:ascii="Verdana" w:eastAsia="Calibri" w:hAnsi="Verdana" w:cs="Arial"/>
          <w:sz w:val="20"/>
          <w:szCs w:val="20"/>
          <w:lang w:val="es-ES"/>
        </w:rPr>
        <w:lastRenderedPageBreak/>
        <w:t>contratan con cargo a recursos públicos, debe hacerse en el Sistema Electrónico de Contratación Pública –SECOP– .Asimismo, de acuerdo con el literal g) del artículo 11 de la misma Ley,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conforme a lo explicado en el párrafo precedente.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p>
    <w:p w14:paraId="05A9E00A" w14:textId="77777777" w:rsidR="00B60F9E" w:rsidRPr="00107753" w:rsidRDefault="00B60F9E" w:rsidP="00B60F9E">
      <w:pPr>
        <w:spacing w:after="0" w:line="240" w:lineRule="auto"/>
        <w:jc w:val="both"/>
        <w:rPr>
          <w:rFonts w:ascii="Verdana" w:eastAsia="Calibri" w:hAnsi="Verdana" w:cs="Arial"/>
          <w:bCs/>
          <w:sz w:val="20"/>
          <w:szCs w:val="20"/>
          <w:lang w:val="es-ES_tradnl"/>
        </w:rPr>
      </w:pPr>
    </w:p>
    <w:p w14:paraId="61048432" w14:textId="76AA5D96" w:rsidR="00B60F9E" w:rsidRPr="00107753" w:rsidRDefault="00B60F9E" w:rsidP="00B60F9E">
      <w:pPr>
        <w:spacing w:after="0" w:line="240" w:lineRule="auto"/>
        <w:jc w:val="both"/>
        <w:rPr>
          <w:rFonts w:ascii="Verdana" w:eastAsia="Calibri" w:hAnsi="Verdana" w:cs="Arial"/>
          <w:b/>
          <w:lang w:val="es-ES_tradnl" w:eastAsia="es-ES_tradnl"/>
        </w:rPr>
      </w:pPr>
      <w:r w:rsidRPr="00107753">
        <w:rPr>
          <w:rFonts w:ascii="Verdana" w:eastAsia="Calibri" w:hAnsi="Verdana" w:cs="Arial"/>
          <w:b/>
          <w:lang w:val="es-ES_tradnl" w:eastAsia="es-ES_tradnl"/>
        </w:rPr>
        <w:t xml:space="preserve">PUBLICIDAD – SECOP – Fundamento Normativo – </w:t>
      </w:r>
      <w:r w:rsidRPr="00107753">
        <w:rPr>
          <w:rFonts w:ascii="Verdana" w:eastAsia="Calibri" w:hAnsi="Verdana" w:cs="Arial"/>
          <w:b/>
          <w:lang w:val="es-ES_tradnl"/>
        </w:rPr>
        <w:t xml:space="preserve">Ley 1150 de 2007 </w:t>
      </w:r>
      <w:r w:rsidR="003D7170" w:rsidRPr="003D7170">
        <w:rPr>
          <w:rFonts w:ascii="Verdana" w:eastAsia="Calibri" w:hAnsi="Verdana" w:cs="Arial"/>
          <w:b/>
          <w:bCs/>
          <w:lang w:val="es-ES"/>
        </w:rPr>
        <w:t>–</w:t>
      </w:r>
      <w:r w:rsidRPr="00107753">
        <w:rPr>
          <w:rFonts w:ascii="Verdana" w:eastAsia="Calibri" w:hAnsi="Verdana" w:cs="Arial"/>
          <w:b/>
          <w:lang w:val="es-ES_tradnl"/>
        </w:rPr>
        <w:t xml:space="preserve"> </w:t>
      </w:r>
      <w:r w:rsidRPr="00107753">
        <w:rPr>
          <w:rFonts w:ascii="Verdana" w:eastAsia="Calibri" w:hAnsi="Verdana" w:cs="Arial"/>
          <w:b/>
          <w:lang w:val="es-ES_tradnl" w:eastAsia="es-ES_tradnl"/>
        </w:rPr>
        <w:t xml:space="preserve">Ley 2195 de 2022 </w:t>
      </w:r>
    </w:p>
    <w:p w14:paraId="05506495" w14:textId="77777777" w:rsidR="00B60F9E" w:rsidRPr="00107753" w:rsidRDefault="00B60F9E" w:rsidP="00B60F9E">
      <w:pPr>
        <w:spacing w:after="0" w:line="240" w:lineRule="auto"/>
        <w:jc w:val="both"/>
        <w:rPr>
          <w:rFonts w:ascii="Verdana" w:eastAsia="Calibri" w:hAnsi="Verdana" w:cs="Arial"/>
          <w:b/>
          <w:sz w:val="20"/>
          <w:szCs w:val="20"/>
          <w:lang w:val="es-ES_tradnl"/>
        </w:rPr>
      </w:pPr>
    </w:p>
    <w:p w14:paraId="782F699D" w14:textId="77777777" w:rsidR="00B60F9E" w:rsidRPr="00107753" w:rsidRDefault="00B60F9E" w:rsidP="00B60F9E">
      <w:pPr>
        <w:spacing w:after="0" w:line="240" w:lineRule="auto"/>
        <w:contextualSpacing/>
        <w:jc w:val="both"/>
        <w:rPr>
          <w:rFonts w:ascii="Verdana" w:eastAsia="Calibri" w:hAnsi="Verdana" w:cs="Arial"/>
          <w:sz w:val="20"/>
          <w:szCs w:val="20"/>
          <w:lang w:val="es-ES_tradnl" w:eastAsia="es-ES_tradnl"/>
        </w:rPr>
      </w:pPr>
      <w:r w:rsidRPr="00107753">
        <w:rPr>
          <w:rFonts w:ascii="Verdana" w:hAnsi="Verdana" w:cs="Arial"/>
          <w:sz w:val="20"/>
          <w:szCs w:val="20"/>
          <w:lang w:val="es-ES"/>
        </w:rPr>
        <w:t>Tratándose de los contratos de régimen exceptuado, el deber de publicidad y transparencia fue complementado</w:t>
      </w:r>
      <w:r w:rsidRPr="00107753">
        <w:rPr>
          <w:rFonts w:ascii="Verdana" w:hAnsi="Verdana" w:cs="Arial"/>
          <w:sz w:val="20"/>
          <w:szCs w:val="20"/>
        </w:rPr>
        <w:t xml:space="preserve"> con la Ley 2195 de 2022. </w:t>
      </w:r>
      <w:r w:rsidRPr="00107753">
        <w:rPr>
          <w:rFonts w:ascii="Verdana" w:eastAsia="Calibri" w:hAnsi="Verdana" w:cs="Arial"/>
          <w:sz w:val="20"/>
          <w:szCs w:val="20"/>
          <w:lang w:val="es-ES_tradnl" w:eastAsia="es-ES_tradnl"/>
        </w:rPr>
        <w:t>Según el artículo 1, esta Ley “</w:t>
      </w:r>
      <w:r w:rsidRPr="00107753">
        <w:rPr>
          <w:rFonts w:ascii="Verdana" w:eastAsia="Times New Roman" w:hAnsi="Verdana" w:cs="Arial"/>
          <w:sz w:val="20"/>
          <w:szCs w:val="20"/>
          <w:lang w:val="es-ES_tradnl" w:eastAsia="es-ES_tradnl"/>
        </w:rPr>
        <w:t xml:space="preserve">[…] </w:t>
      </w:r>
      <w:r w:rsidRPr="00107753">
        <w:rPr>
          <w:rFonts w:ascii="Verdana" w:eastAsia="Calibri" w:hAnsi="Verdana" w:cs="Arial"/>
          <w:sz w:val="20"/>
          <w:szCs w:val="20"/>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4DF3A2CC" w14:textId="77777777" w:rsidR="00B60F9E" w:rsidRPr="00107753" w:rsidRDefault="00B60F9E" w:rsidP="00B60F9E">
      <w:pPr>
        <w:spacing w:after="0" w:line="240" w:lineRule="auto"/>
        <w:ind w:firstLine="709"/>
        <w:contextualSpacing/>
        <w:jc w:val="both"/>
        <w:rPr>
          <w:rFonts w:ascii="Verdana" w:eastAsia="Calibri" w:hAnsi="Verdana" w:cs="Arial"/>
          <w:sz w:val="20"/>
          <w:szCs w:val="20"/>
          <w:lang w:val="es-ES_tradnl" w:eastAsia="es-ES_tradnl"/>
        </w:rPr>
      </w:pPr>
    </w:p>
    <w:p w14:paraId="16B94234" w14:textId="77777777" w:rsidR="00B60F9E" w:rsidRPr="00107753" w:rsidRDefault="00B60F9E" w:rsidP="00B60F9E">
      <w:pPr>
        <w:spacing w:after="0" w:line="240" w:lineRule="auto"/>
        <w:jc w:val="both"/>
        <w:rPr>
          <w:rFonts w:ascii="Verdana" w:hAnsi="Verdana" w:cs="Arial"/>
          <w:sz w:val="20"/>
          <w:szCs w:val="20"/>
        </w:rPr>
      </w:pPr>
      <w:r w:rsidRPr="00107753">
        <w:rPr>
          <w:rFonts w:ascii="Verdana" w:eastAsia="Calibri" w:hAnsi="Verdana" w:cs="Arial"/>
          <w:sz w:val="20"/>
          <w:szCs w:val="20"/>
          <w:lang w:val="es-ES_tradnl" w:eastAsia="es-ES_tradnl"/>
        </w:rPr>
        <w:t xml:space="preserve">Dentro del capítulo VIII, por el cual se expiden “Disposiciones en materia contractual para la moralización y la transparencia”, se ubica </w:t>
      </w:r>
      <w:r w:rsidRPr="00107753">
        <w:rPr>
          <w:rFonts w:ascii="Verdana" w:hAnsi="Verdana" w:cs="Arial"/>
          <w:sz w:val="20"/>
          <w:szCs w:val="20"/>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 Cabe destacar que cuando la norma trascrita hace referencia a que el mencionado deber de publicidad debe cumplirse en el SECOP II o “la plataforma transaccional que haga sus veces”,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“la plataforma que haga sus veces” no puede interpretarse como una autorización para que las entidades obligadas en virtud del artículo 53 de la Ley 2195 de 2022 puedan emplear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información y documentación pública.</w:t>
      </w:r>
    </w:p>
    <w:p w14:paraId="5C2D936A" w14:textId="77777777" w:rsidR="00B60F9E" w:rsidRPr="00705C5F" w:rsidRDefault="00B60F9E" w:rsidP="00B60F9E">
      <w:pPr>
        <w:spacing w:after="0" w:line="240" w:lineRule="auto"/>
        <w:jc w:val="both"/>
        <w:rPr>
          <w:rFonts w:ascii="Verdana" w:eastAsia="Times New Roman" w:hAnsi="Verdana" w:cs="Arial"/>
          <w:color w:val="000000"/>
          <w:sz w:val="20"/>
          <w:szCs w:val="20"/>
          <w:lang w:eastAsia="es-MX"/>
        </w:rPr>
      </w:pPr>
    </w:p>
    <w:p w14:paraId="5B7D3122" w14:textId="77777777" w:rsidR="00B60F9E" w:rsidRPr="00DE2AC7" w:rsidRDefault="00B60F9E" w:rsidP="00B60F9E">
      <w:pPr>
        <w:spacing w:after="0" w:line="240" w:lineRule="auto"/>
        <w:jc w:val="both"/>
        <w:rPr>
          <w:rFonts w:ascii="Verdana" w:eastAsia="Geomanist Light" w:hAnsi="Verdana" w:cs="Arial"/>
          <w:color w:val="000000" w:themeColor="text1"/>
        </w:rPr>
      </w:pPr>
    </w:p>
    <w:p w14:paraId="70FFAA42" w14:textId="77777777" w:rsidR="00B60F9E" w:rsidRDefault="00B60F9E" w:rsidP="00681A91">
      <w:pPr>
        <w:spacing w:after="0" w:line="240" w:lineRule="auto"/>
        <w:rPr>
          <w:rFonts w:ascii="Verdana" w:eastAsia="Geomanist Light" w:hAnsi="Verdana" w:cs="Arial"/>
          <w:color w:val="000000" w:themeColor="text1"/>
          <w:lang w:val="es-MX"/>
        </w:rPr>
      </w:pPr>
    </w:p>
    <w:p w14:paraId="04CE021D" w14:textId="77777777" w:rsidR="005D1133" w:rsidRDefault="005D1133" w:rsidP="005D1133">
      <w:pPr>
        <w:spacing w:after="0" w:line="240" w:lineRule="auto"/>
        <w:rPr>
          <w:rFonts w:ascii="Verdana" w:eastAsia="Geomanist Light" w:hAnsi="Verdana" w:cs="Arial"/>
          <w:color w:val="000000" w:themeColor="text1"/>
          <w:lang w:val="es-MX"/>
        </w:rPr>
      </w:pPr>
    </w:p>
    <w:p w14:paraId="0E342FE1" w14:textId="7764F4DE" w:rsidR="005D1133" w:rsidRDefault="005D1133" w:rsidP="005D1133">
      <w:pPr>
        <w:spacing w:after="0" w:line="240" w:lineRule="auto"/>
        <w:rPr>
          <w:rFonts w:ascii="Verdana" w:eastAsia="Geomanist Light" w:hAnsi="Verdana" w:cs="Arial"/>
          <w:color w:val="201F1E"/>
          <w:lang w:val="es-MX"/>
        </w:rPr>
      </w:pPr>
      <w:r w:rsidRPr="00AE22D5">
        <w:rPr>
          <w:rFonts w:ascii="Verdana" w:eastAsia="Geomanist Light" w:hAnsi="Verdana" w:cs="Arial"/>
          <w:color w:val="000000" w:themeColor="text1"/>
          <w:lang w:val="es-MX"/>
        </w:rPr>
        <w:lastRenderedPageBreak/>
        <w:t>Bogotá D.C., </w:t>
      </w:r>
      <w:r w:rsidR="00966FFA">
        <w:rPr>
          <w:rFonts w:ascii="Verdana" w:eastAsia="Geomanist Light" w:hAnsi="Verdana" w:cs="Arial"/>
          <w:color w:val="201F1E"/>
          <w:lang w:val="es-MX"/>
        </w:rPr>
        <w:t>9 de octubre de 2025</w:t>
      </w:r>
    </w:p>
    <w:p w14:paraId="031D70F5" w14:textId="77777777" w:rsidR="005D1133" w:rsidRDefault="005D1133" w:rsidP="005D1133">
      <w:pPr>
        <w:spacing w:after="0" w:line="240" w:lineRule="auto"/>
        <w:rPr>
          <w:rFonts w:ascii="Verdana" w:eastAsia="Calibri" w:hAnsi="Verdana" w:cs="Arial"/>
          <w:color w:val="000000"/>
          <w:lang w:val="es-ES"/>
        </w:rPr>
      </w:pPr>
    </w:p>
    <w:p w14:paraId="2B22B46B" w14:textId="78F4E45C" w:rsidR="00966FFA" w:rsidRDefault="00966FFA" w:rsidP="00966FFA">
      <w:pPr>
        <w:spacing w:after="0" w:line="240" w:lineRule="auto"/>
        <w:jc w:val="right"/>
        <w:rPr>
          <w:rFonts w:ascii="Verdana" w:eastAsia="Calibri" w:hAnsi="Verdana" w:cs="Arial"/>
          <w:color w:val="000000"/>
          <w:lang w:val="es-ES"/>
        </w:rPr>
      </w:pPr>
    </w:p>
    <w:p w14:paraId="1B830C8C" w14:textId="65E98785" w:rsidR="005D1133" w:rsidRPr="00593A5F" w:rsidRDefault="0055139A" w:rsidP="005D1133">
      <w:pPr>
        <w:spacing w:after="0" w:line="240" w:lineRule="auto"/>
        <w:jc w:val="both"/>
        <w:rPr>
          <w:rFonts w:ascii="Verdana" w:eastAsia="Calibri" w:hAnsi="Verdana" w:cs="Arial"/>
          <w:color w:val="000000"/>
          <w:lang w:val="es-ES"/>
        </w:rPr>
      </w:pPr>
      <w:r w:rsidRPr="00966FFA">
        <w:rPr>
          <w:rFonts w:ascii="Verdana" w:eastAsia="Calibri" w:hAnsi="Verdana" w:cs="Arial"/>
          <w:noProof/>
          <w:color w:val="000000"/>
          <w:lang w:val="es-ES"/>
        </w:rPr>
        <w:drawing>
          <wp:anchor distT="0" distB="0" distL="114300" distR="114300" simplePos="0" relativeHeight="251658240" behindDoc="0" locked="0" layoutInCell="1" allowOverlap="1" wp14:anchorId="4B6A3CF2" wp14:editId="44D10DBE">
            <wp:simplePos x="0" y="0"/>
            <wp:positionH relativeFrom="column">
              <wp:posOffset>4008148</wp:posOffset>
            </wp:positionH>
            <wp:positionV relativeFrom="paragraph">
              <wp:posOffset>13970</wp:posOffset>
            </wp:positionV>
            <wp:extent cx="2537460" cy="868680"/>
            <wp:effectExtent l="0" t="0" r="0" b="7620"/>
            <wp:wrapSquare wrapText="bothSides"/>
            <wp:docPr id="15049830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37460" cy="868680"/>
                    </a:xfrm>
                    <a:prstGeom prst="rect">
                      <a:avLst/>
                    </a:prstGeom>
                    <a:noFill/>
                    <a:ln>
                      <a:noFill/>
                    </a:ln>
                  </pic:spPr>
                </pic:pic>
              </a:graphicData>
            </a:graphic>
          </wp:anchor>
        </w:drawing>
      </w:r>
    </w:p>
    <w:p w14:paraId="0D850A6A" w14:textId="039A3392" w:rsidR="005D1133" w:rsidRPr="00B96799" w:rsidRDefault="005D1133" w:rsidP="005D1133">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43ED4DCA" w14:textId="21DED292" w:rsidR="005D1133" w:rsidRDefault="0055139A" w:rsidP="005D1133">
      <w:pPr>
        <w:spacing w:after="0" w:line="240" w:lineRule="auto"/>
        <w:rPr>
          <w:rFonts w:ascii="Verdana" w:eastAsia="Calibri" w:hAnsi="Verdana" w:cs="Arial"/>
          <w:b/>
          <w:lang w:val="es-ES" w:eastAsia="es-ES"/>
        </w:rPr>
      </w:pPr>
      <w:bookmarkStart w:id="0" w:name="OLE_LINK1"/>
      <w:r w:rsidRPr="365D933A">
        <w:rPr>
          <w:rFonts w:ascii="Verdana" w:eastAsia="Calibri" w:hAnsi="Verdana" w:cs="Arial"/>
          <w:b/>
          <w:lang w:val="es-ES" w:eastAsia="es-ES"/>
        </w:rPr>
        <w:t>Iván</w:t>
      </w:r>
      <w:r w:rsidR="005D1133" w:rsidRPr="365D933A">
        <w:rPr>
          <w:rFonts w:ascii="Verdana" w:eastAsia="Calibri" w:hAnsi="Verdana" w:cs="Arial"/>
          <w:b/>
          <w:lang w:val="es-ES" w:eastAsia="es-ES"/>
        </w:rPr>
        <w:t xml:space="preserve"> Ignacio Zuloaga Latorre  </w:t>
      </w:r>
      <w:bookmarkEnd w:id="0"/>
    </w:p>
    <w:p w14:paraId="01CE0A97" w14:textId="77777777" w:rsidR="005D1133" w:rsidRDefault="005D1133" w:rsidP="005D1133">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Representante legal </w:t>
      </w:r>
    </w:p>
    <w:p w14:paraId="5878EBEA" w14:textId="77777777" w:rsidR="005D1133" w:rsidRPr="00AE149B" w:rsidRDefault="005D1133" w:rsidP="005D1133">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Seguros de Vida Suramericana – Ramo ARL</w:t>
      </w:r>
    </w:p>
    <w:p w14:paraId="31FF5E88" w14:textId="77777777" w:rsidR="005D1133" w:rsidRPr="00B0657E" w:rsidRDefault="005D1133" w:rsidP="005D1133">
      <w:pPr>
        <w:spacing w:after="0" w:line="240" w:lineRule="auto"/>
        <w:rPr>
          <w:rFonts w:ascii="Verdana" w:eastAsia="Calibri" w:hAnsi="Verdana" w:cs="Arial"/>
          <w:lang w:val="es-ES" w:eastAsia="es-ES"/>
        </w:rPr>
      </w:pPr>
      <w:hyperlink r:id="rId12" w:history="1">
        <w:r w:rsidRPr="002E0219">
          <w:rPr>
            <w:rStyle w:val="Hipervnculo"/>
            <w:rFonts w:ascii="Verdana" w:hAnsi="Verdana"/>
          </w:rPr>
          <w:t>notificacionesjudiciales@suramericana.com.co</w:t>
        </w:r>
      </w:hyperlink>
      <w:r>
        <w:rPr>
          <w:rFonts w:ascii="Verdana" w:hAnsi="Verdana"/>
        </w:rPr>
        <w:t xml:space="preserve"> </w:t>
      </w:r>
      <w:r w:rsidRPr="00B0657E">
        <w:rPr>
          <w:rFonts w:ascii="Verdana" w:hAnsi="Verdana"/>
        </w:rPr>
        <w:t xml:space="preserve">  </w:t>
      </w:r>
    </w:p>
    <w:p w14:paraId="2CDA4ED0" w14:textId="77777777" w:rsidR="005D1133" w:rsidRDefault="005D1133" w:rsidP="005D1133">
      <w:pPr>
        <w:spacing w:after="0" w:line="240" w:lineRule="auto"/>
        <w:rPr>
          <w:rFonts w:ascii="Verdana" w:eastAsia="Calibri" w:hAnsi="Verdana" w:cs="Arial"/>
          <w:lang w:val="es-ES" w:eastAsia="es-ES"/>
        </w:rPr>
      </w:pPr>
      <w:r w:rsidRPr="001F5E1C">
        <w:rPr>
          <w:rFonts w:ascii="Verdana" w:eastAsia="Calibri" w:hAnsi="Verdana" w:cs="Arial"/>
          <w:lang w:val="es-ES" w:eastAsia="es-ES"/>
        </w:rPr>
        <w:t>Bogotá D.C.</w:t>
      </w:r>
      <w:r>
        <w:rPr>
          <w:rFonts w:ascii="Verdana" w:eastAsia="Calibri" w:hAnsi="Verdana" w:cs="Arial"/>
          <w:lang w:val="es-ES" w:eastAsia="es-ES"/>
        </w:rPr>
        <w:t xml:space="preserve"> </w:t>
      </w:r>
    </w:p>
    <w:p w14:paraId="4E0E5F5F" w14:textId="77777777" w:rsidR="005D1133" w:rsidRPr="00593A5F" w:rsidRDefault="005D1133" w:rsidP="005D1133">
      <w:pPr>
        <w:spacing w:after="0" w:line="240" w:lineRule="auto"/>
        <w:rPr>
          <w:rFonts w:ascii="Verdana" w:eastAsia="Calibri" w:hAnsi="Verdana" w:cs="Arial"/>
          <w:b/>
          <w:bCs/>
          <w:color w:val="000000"/>
          <w:lang w:val="es-ES_tradnl" w:eastAsia="es-ES_tradnl"/>
        </w:rPr>
      </w:pPr>
    </w:p>
    <w:p w14:paraId="186DA93D" w14:textId="77777777" w:rsidR="005D1133" w:rsidRPr="00593A5F" w:rsidRDefault="005D1133" w:rsidP="005D113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D1133" w:rsidRPr="00593A5F" w14:paraId="487FF558" w14:textId="77777777" w:rsidTr="00F77C5D">
        <w:trPr>
          <w:trHeight w:val="884"/>
        </w:trPr>
        <w:tc>
          <w:tcPr>
            <w:tcW w:w="2689" w:type="dxa"/>
          </w:tcPr>
          <w:p w14:paraId="420247F3" w14:textId="77777777" w:rsidR="005D1133" w:rsidRPr="00C00976" w:rsidRDefault="005D1133" w:rsidP="00F77C5D">
            <w:pPr>
              <w:jc w:val="both"/>
              <w:rPr>
                <w:rFonts w:ascii="Verdana" w:eastAsia="Calibri" w:hAnsi="Verdana" w:cs="Arial"/>
                <w:b/>
                <w:bCs/>
                <w:color w:val="7030A0"/>
                <w:lang w:val="es-ES_tradnl" w:eastAsia="es-ES_tradnl"/>
              </w:rPr>
            </w:pPr>
          </w:p>
        </w:tc>
        <w:tc>
          <w:tcPr>
            <w:tcW w:w="6100" w:type="dxa"/>
          </w:tcPr>
          <w:p w14:paraId="6C8F175B" w14:textId="77777777" w:rsidR="005D1133" w:rsidRPr="00C00976" w:rsidRDefault="005D1133" w:rsidP="00F77C5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1262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5D1133" w:rsidRPr="00593A5F" w14:paraId="6D417B3A" w14:textId="77777777" w:rsidTr="00F77C5D">
        <w:trPr>
          <w:trHeight w:val="884"/>
        </w:trPr>
        <w:tc>
          <w:tcPr>
            <w:tcW w:w="2689" w:type="dxa"/>
          </w:tcPr>
          <w:p w14:paraId="6FF41166" w14:textId="77777777" w:rsidR="005D1133" w:rsidRPr="00593A5F" w:rsidRDefault="005D1133" w:rsidP="00F77C5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14C6D7F" w14:textId="77777777" w:rsidR="005D1133" w:rsidRPr="00A11406" w:rsidRDefault="005D1133" w:rsidP="00F77C5D">
            <w:pPr>
              <w:spacing w:line="276" w:lineRule="auto"/>
              <w:jc w:val="both"/>
              <w:rPr>
                <w:rFonts w:ascii="Verdana" w:eastAsia="Calibri" w:hAnsi="Verdana" w:cs="Arial"/>
                <w:lang w:val="es-ES" w:eastAsia="es-ES"/>
              </w:rPr>
            </w:pPr>
            <w:r w:rsidRPr="00107753">
              <w:rPr>
                <w:rFonts w:ascii="Verdana" w:eastAsia="Calibri" w:hAnsi="Verdana" w:cs="Arial"/>
                <w:lang w:val="es-ES" w:eastAsia="es-ES"/>
              </w:rPr>
              <w:t>PUBLICIDAD – SECOP – Entidades exceptuadas – Sentencia de 19 de octubre – Alcance de la decisión</w:t>
            </w:r>
            <w:r>
              <w:rPr>
                <w:rFonts w:ascii="Verdana" w:eastAsia="Calibri" w:hAnsi="Verdana" w:cs="Arial"/>
                <w:lang w:val="es-ES" w:eastAsia="es-ES"/>
              </w:rPr>
              <w:t xml:space="preserve"> / </w:t>
            </w:r>
            <w:r w:rsidRPr="00107753">
              <w:rPr>
                <w:rFonts w:ascii="Verdana" w:eastAsia="Calibri" w:hAnsi="Verdana" w:cs="Arial"/>
                <w:lang w:val="es-ES" w:eastAsia="es-ES"/>
              </w:rPr>
              <w:t>CIRCULARES DE COLOMBIA COMPRA EFICIENTE – Nulidad parcial – Alcance</w:t>
            </w:r>
            <w:r>
              <w:rPr>
                <w:rFonts w:ascii="Verdana" w:eastAsia="Calibri" w:hAnsi="Verdana" w:cs="Arial"/>
                <w:lang w:val="es-ES" w:eastAsia="es-ES"/>
              </w:rPr>
              <w:t xml:space="preserve"> / </w:t>
            </w:r>
            <w:r w:rsidRPr="00107753">
              <w:rPr>
                <w:rFonts w:ascii="Verdana" w:eastAsia="Calibri" w:hAnsi="Verdana" w:cs="Arial"/>
                <w:lang w:val="es-ES" w:eastAsia="es-ES"/>
              </w:rPr>
              <w:t>PUBLICIDAD – SECOP – Fundamento Normativo – Ley 1712 de 2014 – Decreto 1081 de 2015</w:t>
            </w:r>
            <w:r>
              <w:rPr>
                <w:rFonts w:ascii="Verdana" w:eastAsia="Calibri" w:hAnsi="Verdana" w:cs="Arial"/>
                <w:lang w:val="es-ES" w:eastAsia="es-ES"/>
              </w:rPr>
              <w:t xml:space="preserve"> / </w:t>
            </w:r>
            <w:r w:rsidRPr="00107753">
              <w:rPr>
                <w:rFonts w:ascii="Verdana" w:eastAsia="Calibri" w:hAnsi="Verdana" w:cs="Arial"/>
                <w:lang w:val="es-ES" w:eastAsia="es-ES"/>
              </w:rPr>
              <w:t xml:space="preserve">PUBLICIDAD – SECOP – Fundamento Normativo – Ley 1150 de 2007 </w:t>
            </w:r>
            <w:r>
              <w:rPr>
                <w:rFonts w:ascii="Verdana" w:eastAsia="Calibri" w:hAnsi="Verdana" w:cs="Arial"/>
                <w:lang w:val="es-ES" w:eastAsia="es-ES"/>
              </w:rPr>
              <w:t>–</w:t>
            </w:r>
            <w:r w:rsidRPr="00107753">
              <w:rPr>
                <w:rFonts w:ascii="Verdana" w:eastAsia="Calibri" w:hAnsi="Verdana" w:cs="Arial"/>
                <w:lang w:val="es-ES" w:eastAsia="es-ES"/>
              </w:rPr>
              <w:t xml:space="preserve"> Ley 2195 de 2022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C1142ED" w14:textId="77777777" w:rsidR="005D1133" w:rsidRPr="00593A5F" w:rsidRDefault="005D1133" w:rsidP="00F77C5D">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D1133" w:rsidRPr="008E6AD9" w14:paraId="27BD95D3" w14:textId="77777777" w:rsidTr="00F77C5D">
        <w:tc>
          <w:tcPr>
            <w:tcW w:w="2689" w:type="dxa"/>
          </w:tcPr>
          <w:p w14:paraId="0421527D" w14:textId="77777777" w:rsidR="005D1133" w:rsidRPr="008E6AD9" w:rsidRDefault="005D1133" w:rsidP="00F77C5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D6646FA" w14:textId="77777777" w:rsidR="005D1133" w:rsidRPr="00B92340" w:rsidRDefault="005D1133" w:rsidP="00F77C5D">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 No</w:t>
            </w:r>
            <w:r>
              <w:rPr>
                <w:rFonts w:ascii="Verdana" w:eastAsia="Calibri" w:hAnsi="Verdana" w:cs="Arial"/>
                <w:lang w:val="es-ES_tradnl" w:eastAsia="es-ES_tradnl"/>
              </w:rPr>
              <w:t>s</w:t>
            </w:r>
            <w:r w:rsidRPr="008E6AD9">
              <w:rPr>
                <w:rFonts w:ascii="Verdana" w:eastAsia="Calibri" w:hAnsi="Verdana" w:cs="Arial"/>
                <w:lang w:val="es-ES_tradnl" w:eastAsia="es-ES_tradnl"/>
              </w:rPr>
              <w:t>.</w:t>
            </w:r>
            <w:r>
              <w:rPr>
                <w:rFonts w:ascii="Verdana" w:eastAsia="Calibri" w:hAnsi="Verdana" w:cs="Arial"/>
                <w:lang w:val="es-ES_tradnl" w:eastAsia="es-ES_tradnl"/>
              </w:rPr>
              <w:t xml:space="preserve">  </w:t>
            </w:r>
            <w:r w:rsidRPr="00E6003A">
              <w:rPr>
                <w:rFonts w:ascii="Verdana" w:eastAsia="Calibri" w:hAnsi="Verdana" w:cs="Arial"/>
                <w:lang w:val="es-ES_tradnl" w:eastAsia="es-ES_tradnl"/>
              </w:rPr>
              <w:t>1_2025_09_04_009601 y 1_2025_09_05_009631</w:t>
            </w:r>
          </w:p>
        </w:tc>
      </w:tr>
    </w:tbl>
    <w:p w14:paraId="2F29918D" w14:textId="77777777" w:rsidR="005D1133" w:rsidRPr="00593A5F" w:rsidRDefault="005D1133" w:rsidP="005D1133">
      <w:pPr>
        <w:spacing w:after="0" w:line="240" w:lineRule="auto"/>
        <w:jc w:val="both"/>
        <w:rPr>
          <w:rFonts w:ascii="Verdana" w:eastAsia="Calibri" w:hAnsi="Verdana" w:cs="Arial"/>
          <w:color w:val="000000"/>
          <w:lang w:val="es-ES_tradnl" w:eastAsia="es-ES_tradnl"/>
        </w:rPr>
      </w:pPr>
    </w:p>
    <w:p w14:paraId="68C19627" w14:textId="77777777" w:rsidR="005D1133" w:rsidRPr="00593A5F" w:rsidRDefault="005D1133" w:rsidP="005D1133">
      <w:pPr>
        <w:spacing w:after="0" w:line="240" w:lineRule="auto"/>
        <w:jc w:val="both"/>
        <w:rPr>
          <w:rFonts w:ascii="Verdana" w:eastAsia="Calibri" w:hAnsi="Verdana" w:cs="Arial"/>
          <w:color w:val="000000"/>
          <w:lang w:val="es-ES_tradnl" w:eastAsia="es-ES_tradnl"/>
        </w:rPr>
      </w:pPr>
    </w:p>
    <w:p w14:paraId="65AA3E64" w14:textId="77777777" w:rsidR="005D1133" w:rsidRPr="008E6AD9" w:rsidRDefault="005D1133" w:rsidP="005D113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señor Zuloaga</w:t>
      </w:r>
      <w:r w:rsidRPr="008E6AD9">
        <w:rPr>
          <w:rFonts w:ascii="Verdana" w:eastAsia="Calibri" w:hAnsi="Verdana" w:cs="Arial"/>
          <w:lang w:val="es-ES" w:eastAsia="es-ES"/>
        </w:rPr>
        <w:t xml:space="preserve">: </w:t>
      </w:r>
    </w:p>
    <w:p w14:paraId="4F287591" w14:textId="77777777" w:rsidR="005D1133" w:rsidRDefault="005D1133" w:rsidP="005D113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E332373" w14:textId="77777777" w:rsidR="005D1133" w:rsidRPr="00593A5F" w:rsidRDefault="005D1133" w:rsidP="005D113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4 de septiembre de 2025, en la que –tomando como antecedente la Sentencia de la Subsección B de la Sección Tercera del Consejo de Estado del 19 de octubre de 2023 respecto a la nulidad parcial de las Circulares Externas 1 de 2013 y 20 de 2015 sobre publicidad en el SECOP– plantea las siguientes inquietudes</w:t>
      </w:r>
      <w:r w:rsidRPr="008E6AD9">
        <w:rPr>
          <w:rFonts w:ascii="Verdana" w:eastAsia="Calibri" w:hAnsi="Verdana" w:cs="Arial"/>
          <w:lang w:val="es-ES" w:eastAsia="es-ES"/>
        </w:rPr>
        <w:t xml:space="preserve">: </w:t>
      </w:r>
    </w:p>
    <w:p w14:paraId="6AE3E291" w14:textId="77777777" w:rsidR="005D1133" w:rsidRPr="00272A7B" w:rsidRDefault="005D1133" w:rsidP="005D1133">
      <w:pPr>
        <w:pStyle w:val="Prrafodelista"/>
        <w:tabs>
          <w:tab w:val="left" w:pos="142"/>
          <w:tab w:val="left" w:pos="284"/>
        </w:tabs>
        <w:spacing w:after="0" w:line="276" w:lineRule="auto"/>
        <w:ind w:left="0"/>
        <w:jc w:val="both"/>
        <w:rPr>
          <w:rFonts w:ascii="Verdana" w:eastAsia="Century Gothic" w:hAnsi="Verdana" w:cs="Century Gothic"/>
          <w:b/>
          <w:bCs/>
        </w:rPr>
      </w:pPr>
    </w:p>
    <w:p w14:paraId="4377D52E" w14:textId="77777777" w:rsidR="005D1133" w:rsidRPr="00723AA6" w:rsidRDefault="005D1133" w:rsidP="005D1133">
      <w:pPr>
        <w:spacing w:after="120" w:line="240" w:lineRule="auto"/>
        <w:ind w:left="709" w:right="709"/>
        <w:jc w:val="both"/>
        <w:rPr>
          <w:rFonts w:ascii="Verdana" w:eastAsia="Century Gothic" w:hAnsi="Verdana" w:cs="Century Gothic"/>
          <w:sz w:val="21"/>
          <w:szCs w:val="21"/>
          <w:lang w:val="es-ES"/>
        </w:rPr>
      </w:pPr>
      <w:bookmarkStart w:id="1" w:name="_Hlk95313578"/>
      <w:r w:rsidRPr="006E7258">
        <w:rPr>
          <w:rFonts w:ascii="Verdana" w:eastAsia="Century Gothic" w:hAnsi="Verdana" w:cs="Century Gothic"/>
          <w:sz w:val="21"/>
          <w:szCs w:val="21"/>
          <w:lang w:val="es-ES"/>
        </w:rPr>
        <w:lastRenderedPageBreak/>
        <w:t>“</w:t>
      </w:r>
      <w:bookmarkEnd w:id="1"/>
      <w:r w:rsidRPr="00723AA6">
        <w:rPr>
          <w:rFonts w:ascii="Verdana" w:eastAsia="Century Gothic" w:hAnsi="Verdana" w:cs="Century Gothic"/>
          <w:b/>
          <w:bCs/>
          <w:sz w:val="21"/>
          <w:szCs w:val="21"/>
          <w:lang w:val="es-ES"/>
        </w:rPr>
        <w:t>1. Que se eleve consulta ante la Sala de Consulta y Servicio Civil del Consejo de Estado</w:t>
      </w:r>
      <w:r w:rsidRPr="00723AA6">
        <w:rPr>
          <w:rFonts w:ascii="Verdana" w:eastAsia="Century Gothic" w:hAnsi="Verdana" w:cs="Century Gothic"/>
          <w:sz w:val="21"/>
          <w:szCs w:val="21"/>
          <w:lang w:val="es-ES"/>
        </w:rPr>
        <w:t xml:space="preserve"> </w:t>
      </w:r>
    </w:p>
    <w:p w14:paraId="673A0CF7" w14:textId="77777777" w:rsidR="005D1133" w:rsidRDefault="005D1133" w:rsidP="005D1133">
      <w:pPr>
        <w:spacing w:after="120" w:line="240" w:lineRule="auto"/>
        <w:ind w:left="709" w:right="709"/>
        <w:jc w:val="both"/>
        <w:rPr>
          <w:rFonts w:ascii="Verdana" w:eastAsia="Century Gothic" w:hAnsi="Verdana" w:cs="Century Gothic"/>
          <w:sz w:val="21"/>
          <w:szCs w:val="21"/>
          <w:lang w:val="es-ES"/>
        </w:rPr>
      </w:pPr>
      <w:r w:rsidRPr="00723AA6">
        <w:rPr>
          <w:rFonts w:ascii="Verdana" w:eastAsia="Century Gothic" w:hAnsi="Verdana" w:cs="Century Gothic"/>
          <w:sz w:val="21"/>
          <w:szCs w:val="21"/>
          <w:lang w:val="es-ES"/>
        </w:rPr>
        <w:t>Conforme al artículo 28 y 112 de la Ley 1437 de 2011, solicitamos que se eleve formalmente ante la Sala de Consulta y Servicio Civil del Consejo de Estado la siguiente pregunta principal, junto con interrogantes complementarios:</w:t>
      </w:r>
    </w:p>
    <w:p w14:paraId="391055F8" w14:textId="77777777" w:rsidR="005D1133" w:rsidRPr="00723AA6" w:rsidRDefault="005D1133" w:rsidP="005D1133">
      <w:pPr>
        <w:spacing w:after="120" w:line="240" w:lineRule="auto"/>
        <w:ind w:left="709" w:right="709"/>
        <w:jc w:val="both"/>
        <w:rPr>
          <w:rFonts w:ascii="Verdana" w:eastAsia="Century Gothic" w:hAnsi="Verdana" w:cs="Century Gothic"/>
          <w:b/>
          <w:bCs/>
          <w:sz w:val="21"/>
          <w:szCs w:val="21"/>
        </w:rPr>
      </w:pPr>
      <w:r w:rsidRPr="00723AA6">
        <w:rPr>
          <w:rFonts w:ascii="Verdana" w:eastAsia="Century Gothic" w:hAnsi="Verdana" w:cs="Century Gothic"/>
          <w:b/>
          <w:bCs/>
          <w:sz w:val="21"/>
          <w:szCs w:val="21"/>
        </w:rPr>
        <w:t xml:space="preserve">Pregunta principal: </w:t>
      </w:r>
    </w:p>
    <w:p w14:paraId="42BED6B2" w14:textId="77777777" w:rsidR="005D1133" w:rsidRDefault="005D1133" w:rsidP="005D1133">
      <w:pPr>
        <w:spacing w:after="120" w:line="240" w:lineRule="auto"/>
        <w:ind w:left="709" w:right="709"/>
        <w:jc w:val="both"/>
        <w:rPr>
          <w:rFonts w:ascii="Verdana" w:eastAsia="Century Gothic" w:hAnsi="Verdana" w:cs="Century Gothic"/>
          <w:sz w:val="21"/>
          <w:szCs w:val="21"/>
        </w:rPr>
      </w:pPr>
      <w:r>
        <w:rPr>
          <w:rFonts w:ascii="Verdana" w:eastAsia="Century Gothic" w:hAnsi="Verdana" w:cs="Century Gothic"/>
          <w:sz w:val="21"/>
          <w:szCs w:val="21"/>
        </w:rPr>
        <w:t xml:space="preserve">[1] </w:t>
      </w:r>
      <w:r w:rsidRPr="00723AA6">
        <w:rPr>
          <w:rFonts w:ascii="Verdana" w:eastAsia="Century Gothic" w:hAnsi="Verdana" w:cs="Century Gothic"/>
          <w:sz w:val="21"/>
          <w:szCs w:val="21"/>
        </w:rPr>
        <w:t xml:space="preserve">¿Están obligadas las </w:t>
      </w:r>
      <w:r w:rsidRPr="00BF7709">
        <w:rPr>
          <w:rFonts w:ascii="Verdana" w:eastAsia="Century Gothic" w:hAnsi="Verdana" w:cs="Century Gothic"/>
          <w:sz w:val="21"/>
          <w:szCs w:val="21"/>
        </w:rPr>
        <w:t>Administradoras de Riesgos Laborales – ARL</w:t>
      </w:r>
      <w:r>
        <w:rPr>
          <w:rFonts w:ascii="Verdana" w:eastAsia="Century Gothic" w:hAnsi="Verdana" w:cs="Century Gothic"/>
          <w:sz w:val="21"/>
          <w:szCs w:val="21"/>
        </w:rPr>
        <w:t xml:space="preserve"> </w:t>
      </w:r>
      <w:r w:rsidRPr="00723AA6">
        <w:rPr>
          <w:rFonts w:ascii="Verdana" w:eastAsia="Century Gothic" w:hAnsi="Verdana" w:cs="Century Gothic"/>
          <w:sz w:val="21"/>
          <w:szCs w:val="21"/>
        </w:rPr>
        <w:t>de naturaleza privada a registrar o publicar en el SECOP los contratos que con cargo a recursos públicos del Sistema General de Seguridad Social celebren para la prestación de servicios de salud o cualquier otra actividad derivada de su objeto social?</w:t>
      </w:r>
    </w:p>
    <w:p w14:paraId="2E3F4F12" w14:textId="77777777" w:rsidR="005D1133" w:rsidRPr="00723AA6" w:rsidRDefault="005D1133" w:rsidP="005D1133">
      <w:pPr>
        <w:spacing w:after="120" w:line="240" w:lineRule="auto"/>
        <w:ind w:left="709" w:right="709"/>
        <w:jc w:val="both"/>
        <w:rPr>
          <w:rFonts w:ascii="Verdana" w:eastAsia="Century Gothic" w:hAnsi="Verdana" w:cs="Century Gothic"/>
          <w:b/>
          <w:bCs/>
          <w:sz w:val="21"/>
          <w:szCs w:val="21"/>
        </w:rPr>
      </w:pPr>
      <w:r w:rsidRPr="00723AA6">
        <w:rPr>
          <w:rFonts w:ascii="Verdana" w:eastAsia="Century Gothic" w:hAnsi="Verdana" w:cs="Century Gothic"/>
          <w:b/>
          <w:bCs/>
          <w:sz w:val="21"/>
          <w:szCs w:val="21"/>
        </w:rPr>
        <w:t xml:space="preserve">Preguntas adicionales: </w:t>
      </w:r>
    </w:p>
    <w:p w14:paraId="4DC9284D" w14:textId="77777777" w:rsidR="005D1133" w:rsidRPr="00723AA6" w:rsidRDefault="005D1133" w:rsidP="005D1133">
      <w:pPr>
        <w:spacing w:after="120" w:line="240" w:lineRule="auto"/>
        <w:ind w:left="709" w:right="709"/>
        <w:jc w:val="both"/>
        <w:rPr>
          <w:rFonts w:ascii="Verdana" w:eastAsia="Century Gothic" w:hAnsi="Verdana" w:cs="Century Gothic"/>
          <w:sz w:val="21"/>
          <w:szCs w:val="21"/>
        </w:rPr>
      </w:pPr>
      <w:r>
        <w:rPr>
          <w:rFonts w:ascii="Verdana" w:eastAsia="Century Gothic" w:hAnsi="Verdana" w:cs="Century Gothic"/>
          <w:sz w:val="21"/>
          <w:szCs w:val="21"/>
        </w:rPr>
        <w:t xml:space="preserve">[2] </w:t>
      </w:r>
      <w:r w:rsidRPr="00723AA6">
        <w:rPr>
          <w:rFonts w:ascii="Verdana" w:eastAsia="Century Gothic" w:hAnsi="Verdana" w:cs="Century Gothic"/>
          <w:sz w:val="21"/>
          <w:szCs w:val="21"/>
        </w:rPr>
        <w:t xml:space="preserve">• ¿Qué criterios deben tener en cuenta las entidades privadas que administran recursos públicos para determinar si les aplica el deber de publicidad contractual en el SECOP, y con base en qué normas de rango legal? </w:t>
      </w:r>
    </w:p>
    <w:p w14:paraId="391BE5BE" w14:textId="77777777" w:rsidR="005D1133" w:rsidRPr="00723AA6" w:rsidRDefault="005D1133" w:rsidP="005D1133">
      <w:pPr>
        <w:spacing w:after="120" w:line="240" w:lineRule="auto"/>
        <w:ind w:left="709" w:right="709"/>
        <w:jc w:val="both"/>
        <w:rPr>
          <w:rFonts w:ascii="Verdana" w:eastAsia="Century Gothic" w:hAnsi="Verdana" w:cs="Century Gothic"/>
          <w:sz w:val="21"/>
          <w:szCs w:val="21"/>
        </w:rPr>
      </w:pPr>
      <w:r>
        <w:rPr>
          <w:rFonts w:ascii="Verdana" w:eastAsia="Century Gothic" w:hAnsi="Verdana" w:cs="Century Gothic"/>
          <w:sz w:val="21"/>
          <w:szCs w:val="21"/>
        </w:rPr>
        <w:t xml:space="preserve">[3] </w:t>
      </w:r>
      <w:r w:rsidRPr="00723AA6">
        <w:rPr>
          <w:rFonts w:ascii="Verdana" w:eastAsia="Century Gothic" w:hAnsi="Verdana" w:cs="Century Gothic"/>
          <w:sz w:val="21"/>
          <w:szCs w:val="21"/>
        </w:rPr>
        <w:t xml:space="preserve">• En caso de que la obligación de reporte en el SECOP sí aplique a las </w:t>
      </w:r>
      <w:r>
        <w:rPr>
          <w:rFonts w:ascii="Verdana" w:eastAsia="Century Gothic" w:hAnsi="Verdana" w:cs="Century Gothic"/>
          <w:sz w:val="21"/>
          <w:szCs w:val="21"/>
        </w:rPr>
        <w:t>ARL</w:t>
      </w:r>
      <w:r w:rsidRPr="00723AA6">
        <w:rPr>
          <w:rFonts w:ascii="Verdana" w:eastAsia="Century Gothic" w:hAnsi="Verdana" w:cs="Century Gothic"/>
          <w:sz w:val="21"/>
          <w:szCs w:val="21"/>
        </w:rPr>
        <w:t xml:space="preserve">, </w:t>
      </w:r>
      <w:r>
        <w:rPr>
          <w:rFonts w:ascii="Verdana" w:eastAsia="Century Gothic" w:hAnsi="Verdana" w:cs="Century Gothic"/>
          <w:sz w:val="21"/>
          <w:szCs w:val="21"/>
        </w:rPr>
        <w:t xml:space="preserve">[3.1] </w:t>
      </w:r>
      <w:r w:rsidRPr="00723AA6">
        <w:rPr>
          <w:rFonts w:ascii="Verdana" w:eastAsia="Century Gothic" w:hAnsi="Verdana" w:cs="Century Gothic"/>
          <w:sz w:val="21"/>
          <w:szCs w:val="21"/>
        </w:rPr>
        <w:t xml:space="preserve">¿qué tipo de contratos, actos o documentos deben publicarse y </w:t>
      </w:r>
      <w:r>
        <w:rPr>
          <w:rFonts w:ascii="Verdana" w:eastAsia="Century Gothic" w:hAnsi="Verdana" w:cs="Century Gothic"/>
          <w:sz w:val="21"/>
          <w:szCs w:val="21"/>
        </w:rPr>
        <w:t xml:space="preserve">[3.2] </w:t>
      </w:r>
      <w:r w:rsidRPr="00723AA6">
        <w:rPr>
          <w:rFonts w:ascii="Verdana" w:eastAsia="Century Gothic" w:hAnsi="Verdana" w:cs="Century Gothic"/>
          <w:sz w:val="21"/>
          <w:szCs w:val="21"/>
        </w:rPr>
        <w:t xml:space="preserve">a través de qué procedimiento o plataforma (SECOP I o SECOP II)? </w:t>
      </w:r>
    </w:p>
    <w:p w14:paraId="7E4986B5" w14:textId="77777777" w:rsidR="005D1133" w:rsidRPr="00723AA6" w:rsidRDefault="005D1133" w:rsidP="005D1133">
      <w:pPr>
        <w:spacing w:after="120" w:line="240" w:lineRule="auto"/>
        <w:ind w:left="709" w:right="709"/>
        <w:jc w:val="both"/>
        <w:rPr>
          <w:rFonts w:ascii="Verdana" w:eastAsia="Century Gothic" w:hAnsi="Verdana" w:cs="Century Gothic"/>
          <w:sz w:val="21"/>
          <w:szCs w:val="21"/>
        </w:rPr>
      </w:pPr>
      <w:r>
        <w:rPr>
          <w:rFonts w:ascii="Verdana" w:eastAsia="Century Gothic" w:hAnsi="Verdana" w:cs="Century Gothic"/>
          <w:sz w:val="21"/>
          <w:szCs w:val="21"/>
        </w:rPr>
        <w:t xml:space="preserve">[4] </w:t>
      </w:r>
      <w:r w:rsidRPr="00723AA6">
        <w:rPr>
          <w:rFonts w:ascii="Verdana" w:eastAsia="Century Gothic" w:hAnsi="Verdana" w:cs="Century Gothic"/>
          <w:sz w:val="21"/>
          <w:szCs w:val="21"/>
        </w:rPr>
        <w:t xml:space="preserve">• Asimismo, se solicita se indique desde cuándo sería exigible dicha obligación de publicación. </w:t>
      </w:r>
    </w:p>
    <w:p w14:paraId="65C1C20A" w14:textId="77777777" w:rsidR="005D1133" w:rsidRPr="00723AA6" w:rsidRDefault="005D1133" w:rsidP="005D1133">
      <w:pPr>
        <w:spacing w:after="120" w:line="240" w:lineRule="auto"/>
        <w:ind w:left="709" w:right="709"/>
        <w:jc w:val="both"/>
        <w:rPr>
          <w:rFonts w:ascii="Verdana" w:eastAsia="Century Gothic" w:hAnsi="Verdana" w:cs="Century Gothic"/>
          <w:sz w:val="21"/>
          <w:szCs w:val="21"/>
        </w:rPr>
      </w:pPr>
      <w:r>
        <w:rPr>
          <w:rFonts w:ascii="Verdana" w:eastAsia="Century Gothic" w:hAnsi="Verdana" w:cs="Century Gothic"/>
          <w:sz w:val="21"/>
          <w:szCs w:val="21"/>
        </w:rPr>
        <w:t xml:space="preserve">[5] </w:t>
      </w:r>
      <w:r w:rsidRPr="00723AA6">
        <w:rPr>
          <w:rFonts w:ascii="Verdana" w:eastAsia="Century Gothic" w:hAnsi="Verdana" w:cs="Century Gothic"/>
          <w:sz w:val="21"/>
          <w:szCs w:val="21"/>
        </w:rPr>
        <w:t xml:space="preserve">• ¿Qué efectos jurídicos, sancionatorios o contractuales se derivarían del incumplimiento de dicha obligación por parte de una </w:t>
      </w:r>
      <w:r>
        <w:rPr>
          <w:rFonts w:ascii="Verdana" w:eastAsia="Century Gothic" w:hAnsi="Verdana" w:cs="Century Gothic"/>
          <w:sz w:val="21"/>
          <w:szCs w:val="21"/>
        </w:rPr>
        <w:t>ARL</w:t>
      </w:r>
      <w:r w:rsidRPr="00723AA6">
        <w:rPr>
          <w:rFonts w:ascii="Verdana" w:eastAsia="Century Gothic" w:hAnsi="Verdana" w:cs="Century Gothic"/>
          <w:sz w:val="21"/>
          <w:szCs w:val="21"/>
        </w:rPr>
        <w:t xml:space="preserve">, en caso de estar vigente? </w:t>
      </w:r>
    </w:p>
    <w:p w14:paraId="553DF63D" w14:textId="77777777" w:rsidR="005D1133" w:rsidRPr="00723AA6" w:rsidRDefault="005D1133" w:rsidP="005D1133">
      <w:pPr>
        <w:spacing w:after="120" w:line="240" w:lineRule="auto"/>
        <w:ind w:left="709" w:right="709"/>
        <w:jc w:val="both"/>
        <w:rPr>
          <w:rFonts w:ascii="Verdana" w:eastAsia="Century Gothic" w:hAnsi="Verdana" w:cs="Century Gothic"/>
          <w:sz w:val="21"/>
          <w:szCs w:val="21"/>
        </w:rPr>
      </w:pPr>
      <w:r>
        <w:rPr>
          <w:rFonts w:ascii="Verdana" w:eastAsia="Century Gothic" w:hAnsi="Verdana" w:cs="Century Gothic"/>
          <w:sz w:val="21"/>
          <w:szCs w:val="21"/>
        </w:rPr>
        <w:t xml:space="preserve">[6] </w:t>
      </w:r>
      <w:r w:rsidRPr="00723AA6">
        <w:rPr>
          <w:rFonts w:ascii="Verdana" w:eastAsia="Century Gothic" w:hAnsi="Verdana" w:cs="Century Gothic"/>
          <w:sz w:val="21"/>
          <w:szCs w:val="21"/>
        </w:rPr>
        <w:t xml:space="preserve">• ¿Cómo se armoniza el principio de transparencia en el manejo de recursos públicos con el régimen jurídico privado que rige a las </w:t>
      </w:r>
      <w:r>
        <w:rPr>
          <w:rFonts w:ascii="Verdana" w:eastAsia="Century Gothic" w:hAnsi="Verdana" w:cs="Century Gothic"/>
          <w:sz w:val="21"/>
          <w:szCs w:val="21"/>
        </w:rPr>
        <w:t>ARL</w:t>
      </w:r>
      <w:r w:rsidRPr="00723AA6">
        <w:rPr>
          <w:rFonts w:ascii="Verdana" w:eastAsia="Century Gothic" w:hAnsi="Verdana" w:cs="Century Gothic"/>
          <w:sz w:val="21"/>
          <w:szCs w:val="21"/>
        </w:rPr>
        <w:t xml:space="preserve"> y sus relaciones contractuales? </w:t>
      </w:r>
    </w:p>
    <w:p w14:paraId="451C5E9F" w14:textId="77777777" w:rsidR="005D1133" w:rsidRPr="00723AA6" w:rsidRDefault="005D1133" w:rsidP="005D1133">
      <w:pPr>
        <w:spacing w:after="120" w:line="240" w:lineRule="auto"/>
        <w:ind w:left="709" w:right="709"/>
        <w:jc w:val="both"/>
        <w:rPr>
          <w:rFonts w:ascii="Verdana" w:eastAsia="Century Gothic" w:hAnsi="Verdana" w:cs="Century Gothic"/>
          <w:sz w:val="21"/>
          <w:szCs w:val="21"/>
        </w:rPr>
      </w:pPr>
      <w:r>
        <w:rPr>
          <w:rFonts w:ascii="Verdana" w:eastAsia="Century Gothic" w:hAnsi="Verdana" w:cs="Century Gothic"/>
          <w:sz w:val="21"/>
          <w:szCs w:val="21"/>
        </w:rPr>
        <w:t xml:space="preserve">[7] </w:t>
      </w:r>
      <w:r w:rsidRPr="00723AA6">
        <w:rPr>
          <w:rFonts w:ascii="Verdana" w:eastAsia="Century Gothic" w:hAnsi="Verdana" w:cs="Century Gothic"/>
          <w:sz w:val="21"/>
          <w:szCs w:val="21"/>
        </w:rPr>
        <w:t xml:space="preserve">• ¿Cuál es el tratamiento aplicable respecto a la información y documentación sujeta a reserva, así como aquella exceptuada de publicidad por la posibilidad de causar daño a los derechos o intereses legítimos de personas jurídicas de acuerdo con lo dispuesto en el artículo 18 de la Ley 1712 de 2014? </w:t>
      </w:r>
    </w:p>
    <w:p w14:paraId="6C66D925" w14:textId="77777777" w:rsidR="005D1133" w:rsidRDefault="005D1133" w:rsidP="005D1133">
      <w:pPr>
        <w:spacing w:after="120" w:line="240" w:lineRule="auto"/>
        <w:ind w:left="709" w:right="709"/>
        <w:jc w:val="both"/>
        <w:rPr>
          <w:rFonts w:ascii="Verdana" w:eastAsia="Century Gothic" w:hAnsi="Verdana" w:cs="Century Gothic"/>
          <w:sz w:val="21"/>
          <w:szCs w:val="21"/>
        </w:rPr>
      </w:pPr>
      <w:r>
        <w:rPr>
          <w:rFonts w:ascii="Verdana" w:eastAsia="Century Gothic" w:hAnsi="Verdana" w:cs="Century Gothic"/>
          <w:sz w:val="21"/>
          <w:szCs w:val="21"/>
        </w:rPr>
        <w:t xml:space="preserve">[8] </w:t>
      </w:r>
      <w:r w:rsidRPr="00723AA6">
        <w:rPr>
          <w:rFonts w:ascii="Verdana" w:eastAsia="Century Gothic" w:hAnsi="Verdana" w:cs="Century Gothic"/>
          <w:sz w:val="21"/>
          <w:szCs w:val="21"/>
        </w:rPr>
        <w:t xml:space="preserve">• ¿Qué implicaciones tendría la publicación de los contratos de las </w:t>
      </w:r>
      <w:r>
        <w:rPr>
          <w:rFonts w:ascii="Verdana" w:eastAsia="Century Gothic" w:hAnsi="Verdana" w:cs="Century Gothic"/>
          <w:sz w:val="21"/>
          <w:szCs w:val="21"/>
        </w:rPr>
        <w:t>ARL</w:t>
      </w:r>
      <w:r w:rsidRPr="00723AA6">
        <w:rPr>
          <w:rFonts w:ascii="Verdana" w:eastAsia="Century Gothic" w:hAnsi="Verdana" w:cs="Century Gothic"/>
          <w:sz w:val="21"/>
          <w:szCs w:val="21"/>
        </w:rPr>
        <w:t xml:space="preserve"> en el SECOP sobre el régimen de libre competencia y el secreto empresarial, especialmente en mercados donde estas entidades compiten con otros actores del sector salud y manejan información sensible en términos comerciales y estratégicos?</w:t>
      </w:r>
    </w:p>
    <w:p w14:paraId="40A5430C" w14:textId="77777777" w:rsidR="005D1133" w:rsidRPr="00723AA6" w:rsidRDefault="005D1133" w:rsidP="005D1133">
      <w:pPr>
        <w:spacing w:after="120" w:line="240" w:lineRule="auto"/>
        <w:ind w:left="709" w:right="709"/>
        <w:jc w:val="both"/>
        <w:rPr>
          <w:rFonts w:ascii="Verdana" w:eastAsia="Century Gothic" w:hAnsi="Verdana" w:cs="Century Gothic"/>
          <w:b/>
          <w:bCs/>
          <w:sz w:val="21"/>
          <w:szCs w:val="21"/>
        </w:rPr>
      </w:pPr>
      <w:r w:rsidRPr="00723AA6">
        <w:rPr>
          <w:rFonts w:ascii="Verdana" w:eastAsia="Century Gothic" w:hAnsi="Verdana" w:cs="Century Gothic"/>
          <w:b/>
          <w:bCs/>
          <w:sz w:val="21"/>
          <w:szCs w:val="21"/>
        </w:rPr>
        <w:lastRenderedPageBreak/>
        <w:t xml:space="preserve">2. Alternativamente, que se emita un pronunciamiento técnico-jurídico propio </w:t>
      </w:r>
    </w:p>
    <w:p w14:paraId="1F09FEB3" w14:textId="77777777" w:rsidR="005D1133" w:rsidRPr="00723AA6" w:rsidRDefault="005D1133" w:rsidP="005D1133">
      <w:pPr>
        <w:spacing w:after="120" w:line="240" w:lineRule="auto"/>
        <w:ind w:left="709" w:right="709"/>
        <w:jc w:val="both"/>
        <w:rPr>
          <w:rFonts w:ascii="Verdana" w:eastAsia="Century Gothic" w:hAnsi="Verdana" w:cs="Century Gothic"/>
          <w:sz w:val="21"/>
          <w:szCs w:val="21"/>
        </w:rPr>
      </w:pPr>
      <w:r w:rsidRPr="00723AA6">
        <w:rPr>
          <w:rFonts w:ascii="Verdana" w:eastAsia="Century Gothic" w:hAnsi="Verdana" w:cs="Century Gothic"/>
          <w:sz w:val="21"/>
          <w:szCs w:val="21"/>
        </w:rPr>
        <w:t xml:space="preserve">En caso de no considerarse procedente la elevación de consulta ante el Consejo de Estado, se solicita que, dentro del marco de sus funciones legales, </w:t>
      </w:r>
      <w:r w:rsidRPr="00723AA6">
        <w:rPr>
          <w:rFonts w:ascii="Verdana" w:eastAsia="Century Gothic" w:hAnsi="Verdana" w:cs="Century Gothic"/>
          <w:b/>
          <w:bCs/>
          <w:sz w:val="21"/>
          <w:szCs w:val="21"/>
        </w:rPr>
        <w:t>se emita un concepto técnico-jurídico</w:t>
      </w:r>
      <w:r w:rsidRPr="00723AA6">
        <w:rPr>
          <w:rFonts w:ascii="Verdana" w:eastAsia="Century Gothic" w:hAnsi="Verdana" w:cs="Century Gothic"/>
          <w:sz w:val="21"/>
          <w:szCs w:val="21"/>
        </w:rPr>
        <w:t xml:space="preserve"> propio que oriente con claridad a las </w:t>
      </w:r>
      <w:r>
        <w:rPr>
          <w:rFonts w:ascii="Verdana" w:eastAsia="Century Gothic" w:hAnsi="Verdana" w:cs="Century Gothic"/>
          <w:sz w:val="21"/>
          <w:szCs w:val="21"/>
        </w:rPr>
        <w:t>ARL</w:t>
      </w:r>
      <w:r w:rsidRPr="00723AA6">
        <w:rPr>
          <w:rFonts w:ascii="Verdana" w:eastAsia="Century Gothic" w:hAnsi="Verdana" w:cs="Century Gothic"/>
          <w:sz w:val="21"/>
          <w:szCs w:val="21"/>
        </w:rPr>
        <w:t xml:space="preserve"> respecto a la legalidad, aplicabilidad, límites y alcance del deber de publicar su gestión contractual en el SECOP, dando respuesta expresa e integral a todas las preguntas formuladas en el presente documento, </w:t>
      </w:r>
      <w:r w:rsidRPr="00723AA6">
        <w:rPr>
          <w:rFonts w:ascii="Verdana" w:eastAsia="Century Gothic" w:hAnsi="Verdana" w:cs="Century Gothic"/>
          <w:sz w:val="21"/>
          <w:szCs w:val="21"/>
          <w:u w:val="single"/>
        </w:rPr>
        <w:t>incluyendo tanto la pregunta principal como las complementarias referidas a criterios normativos, régimen especial, consecuencias jurídicas, efectos sobre el secreto empresarial, la libre competencia, la reserva legal y la información exceptuada por daño a personas jurídicas</w:t>
      </w:r>
      <w:r>
        <w:rPr>
          <w:rFonts w:ascii="Verdana" w:eastAsia="Century Gothic" w:hAnsi="Verdana" w:cs="Century Gothic"/>
          <w:sz w:val="21"/>
          <w:szCs w:val="21"/>
        </w:rPr>
        <w:t>.</w:t>
      </w:r>
    </w:p>
    <w:p w14:paraId="5D7CDC9C" w14:textId="77777777" w:rsidR="005D1133" w:rsidRPr="00723AA6" w:rsidRDefault="005D1133" w:rsidP="005D1133">
      <w:pPr>
        <w:spacing w:after="120" w:line="240" w:lineRule="auto"/>
        <w:ind w:left="709" w:right="709"/>
        <w:jc w:val="center"/>
        <w:rPr>
          <w:rFonts w:ascii="Verdana" w:eastAsia="Century Gothic" w:hAnsi="Verdana" w:cs="Century Gothic"/>
          <w:b/>
          <w:bCs/>
          <w:sz w:val="21"/>
          <w:szCs w:val="21"/>
        </w:rPr>
      </w:pPr>
      <w:r w:rsidRPr="00723AA6">
        <w:rPr>
          <w:rFonts w:ascii="Verdana" w:eastAsia="Century Gothic" w:hAnsi="Verdana" w:cs="Century Gothic"/>
          <w:b/>
          <w:bCs/>
          <w:sz w:val="21"/>
          <w:szCs w:val="21"/>
        </w:rPr>
        <w:t>III. Solicito finalmente:</w:t>
      </w:r>
    </w:p>
    <w:p w14:paraId="1A2846BC" w14:textId="77777777" w:rsidR="005D1133" w:rsidRPr="00723AA6" w:rsidRDefault="005D1133" w:rsidP="005D1133">
      <w:pPr>
        <w:spacing w:after="0" w:line="240" w:lineRule="auto"/>
        <w:ind w:left="709" w:right="709"/>
        <w:jc w:val="both"/>
        <w:rPr>
          <w:rFonts w:ascii="Verdana" w:eastAsia="Century Gothic" w:hAnsi="Verdana" w:cs="Century Gothic"/>
          <w:sz w:val="21"/>
          <w:szCs w:val="21"/>
        </w:rPr>
      </w:pPr>
      <w:r w:rsidRPr="00723AA6">
        <w:rPr>
          <w:rFonts w:ascii="Verdana" w:eastAsia="Century Gothic" w:hAnsi="Verdana" w:cs="Century Gothic"/>
          <w:sz w:val="21"/>
          <w:szCs w:val="21"/>
        </w:rPr>
        <w:t xml:space="preserve">Que se dé respuesta de fondo a la presente petición dentro del término legal, y que, en caso de considerarlo procedente, </w:t>
      </w:r>
      <w:r w:rsidRPr="00723AA6">
        <w:rPr>
          <w:rFonts w:ascii="Verdana" w:eastAsia="Century Gothic" w:hAnsi="Verdana" w:cs="Century Gothic"/>
          <w:b/>
          <w:bCs/>
          <w:sz w:val="21"/>
          <w:szCs w:val="21"/>
        </w:rPr>
        <w:t>el concepto que eventualmente se emita o la consulta que se eleve ante el Consejo de Estado tenga efectos generales y vinculantes para la Administración, de conformidad con el artículo 28 y 112 del CPACA</w:t>
      </w:r>
      <w:r w:rsidRPr="00723AA6">
        <w:rPr>
          <w:rFonts w:ascii="Verdana" w:eastAsia="Century Gothic" w:hAnsi="Verdana" w:cs="Century Gothic"/>
          <w:sz w:val="21"/>
          <w:szCs w:val="21"/>
        </w:rPr>
        <w:t>, como herramienta de seguridad jurídica para todo el sistema de s</w:t>
      </w:r>
      <w:r>
        <w:rPr>
          <w:rFonts w:ascii="Verdana" w:eastAsia="Century Gothic" w:hAnsi="Verdana" w:cs="Century Gothic"/>
          <w:sz w:val="21"/>
          <w:szCs w:val="21"/>
        </w:rPr>
        <w:t>eguridad social</w:t>
      </w:r>
      <w:r w:rsidRPr="008C4FF0">
        <w:rPr>
          <w:rFonts w:ascii="Verdana" w:eastAsia="Century Gothic" w:hAnsi="Verdana" w:cs="Century Gothic"/>
          <w:sz w:val="21"/>
          <w:szCs w:val="21"/>
        </w:rPr>
        <w:t>”.</w:t>
      </w:r>
      <w:r>
        <w:rPr>
          <w:rFonts w:ascii="Verdana" w:eastAsia="Century Gothic" w:hAnsi="Verdana" w:cs="Century Gothic"/>
          <w:sz w:val="21"/>
          <w:szCs w:val="21"/>
        </w:rPr>
        <w:t xml:space="preserve"> (Corchetes fuera de texto)</w:t>
      </w:r>
    </w:p>
    <w:p w14:paraId="162E49A8" w14:textId="77777777" w:rsidR="005D1133" w:rsidRPr="008E6AD9" w:rsidRDefault="005D1133" w:rsidP="005D1133">
      <w:pPr>
        <w:pStyle w:val="Prrafodelista"/>
        <w:tabs>
          <w:tab w:val="left" w:pos="142"/>
          <w:tab w:val="left" w:pos="284"/>
        </w:tabs>
        <w:spacing w:after="0" w:line="276" w:lineRule="auto"/>
        <w:ind w:left="0"/>
        <w:jc w:val="both"/>
        <w:rPr>
          <w:rFonts w:ascii="Verdana" w:eastAsia="Century Gothic" w:hAnsi="Verdana" w:cs="Century Gothic"/>
          <w:b/>
          <w:bCs/>
        </w:rPr>
      </w:pPr>
    </w:p>
    <w:p w14:paraId="08CC5DB8" w14:textId="77777777" w:rsidR="005D1133" w:rsidRDefault="005D1133" w:rsidP="005D113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de acuerdo con el artículo 112.1 de la Ley 1437 de 2011, la Sala de Consulta y Servicio Civil del Consejo de Estado tiene la función de “</w:t>
      </w:r>
      <w:r w:rsidRPr="00231A4C">
        <w:rPr>
          <w:rFonts w:ascii="Verdana" w:eastAsia="Calibri" w:hAnsi="Verdana" w:cs="Arial"/>
          <w:color w:val="000000"/>
          <w:lang w:val="es-ES" w:eastAsia="es-ES"/>
        </w:rPr>
        <w:t xml:space="preserve">Absolver las consultas generales o particulares que le formule el Gobierno Nacional, a través de sus </w:t>
      </w:r>
      <w:proofErr w:type="gramStart"/>
      <w:r w:rsidRPr="00231A4C">
        <w:rPr>
          <w:rFonts w:ascii="Verdana" w:eastAsia="Calibri" w:hAnsi="Verdana" w:cs="Arial"/>
          <w:color w:val="000000"/>
          <w:lang w:val="es-ES" w:eastAsia="es-ES"/>
        </w:rPr>
        <w:t>Ministros</w:t>
      </w:r>
      <w:proofErr w:type="gramEnd"/>
      <w:r w:rsidRPr="00231A4C">
        <w:rPr>
          <w:rFonts w:ascii="Verdana" w:eastAsia="Calibri" w:hAnsi="Verdana" w:cs="Arial"/>
          <w:color w:val="000000"/>
          <w:lang w:val="es-ES" w:eastAsia="es-ES"/>
        </w:rPr>
        <w:t xml:space="preserve"> y </w:t>
      </w:r>
      <w:proofErr w:type="gramStart"/>
      <w:r w:rsidRPr="00231A4C">
        <w:rPr>
          <w:rFonts w:ascii="Verdana" w:eastAsia="Calibri" w:hAnsi="Verdana" w:cs="Arial"/>
          <w:color w:val="000000"/>
          <w:lang w:val="es-ES" w:eastAsia="es-ES"/>
        </w:rPr>
        <w:t>Directores</w:t>
      </w:r>
      <w:proofErr w:type="gramEnd"/>
      <w:r w:rsidRPr="00231A4C">
        <w:rPr>
          <w:rFonts w:ascii="Verdana" w:eastAsia="Calibri" w:hAnsi="Verdana" w:cs="Arial"/>
          <w:color w:val="000000"/>
          <w:lang w:val="es-ES" w:eastAsia="es-ES"/>
        </w:rPr>
        <w:t xml:space="preserve"> de Departamento Administrativo</w:t>
      </w:r>
      <w:r>
        <w:rPr>
          <w:rFonts w:ascii="Verdana" w:eastAsia="Calibri" w:hAnsi="Verdana" w:cs="Arial"/>
          <w:color w:val="000000"/>
          <w:lang w:val="es-ES" w:eastAsia="es-ES"/>
        </w:rPr>
        <w:t>”</w:t>
      </w:r>
      <w:r w:rsidRPr="00231A4C">
        <w:rPr>
          <w:rFonts w:ascii="Verdana" w:eastAsia="Calibri" w:hAnsi="Verdana" w:cs="Arial"/>
          <w:color w:val="000000"/>
          <w:lang w:val="es-ES" w:eastAsia="es-ES"/>
        </w:rPr>
        <w:t>.</w:t>
      </w:r>
      <w:r>
        <w:rPr>
          <w:rFonts w:ascii="Verdana" w:eastAsia="Calibri" w:hAnsi="Verdana" w:cs="Arial"/>
          <w:color w:val="000000"/>
          <w:lang w:val="es-ES" w:eastAsia="es-ES"/>
        </w:rPr>
        <w:t xml:space="preserve"> Conforme al artículo 1 del Decreto Ley 4170 de 2011, la ANCP – CCE es una Unidad Administrativa Especial; razón por la cual, al no tener la naturaleza de Ministerio o de Departamento Administrativo, la Dirección de esta Agencia carece de atribuciones para formular consultas al Consejo de Estado. En este contexto, se despacha negativamente la petición del numeral 1.</w:t>
      </w:r>
    </w:p>
    <w:p w14:paraId="23340B5A" w14:textId="77777777" w:rsidR="005D1133" w:rsidRDefault="005D1133" w:rsidP="005D113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Asimismo, e</w:t>
      </w:r>
      <w:r w:rsidRPr="0001574F">
        <w:rPr>
          <w:rFonts w:ascii="Verdana" w:eastAsia="Calibri" w:hAnsi="Verdana" w:cs="Arial"/>
          <w:color w:val="000000"/>
          <w:lang w:val="es-ES" w:eastAsia="es-ES"/>
        </w:rPr>
        <w:t>l artículo 28 de la Ley 1437 de 2011 establece que los conceptos, emitidos por las autoridades al responder peticiones realizadas en ejercicio del derecho a formular consultas, no son de obligatorio cumplimiento o ejecución. Las respuestas emitidas como concepto, entonces, consisten en la posición hermenéutica que las entidades tienen respecto del ordenamiento jurídico.</w:t>
      </w:r>
      <w:r>
        <w:rPr>
          <w:rFonts w:ascii="Verdana" w:eastAsia="Calibri" w:hAnsi="Verdana" w:cs="Arial"/>
          <w:color w:val="000000"/>
          <w:lang w:val="es-ES" w:eastAsia="es-ES"/>
        </w:rPr>
        <w:t xml:space="preserve"> </w:t>
      </w:r>
      <w:r w:rsidRPr="005C7811">
        <w:rPr>
          <w:rFonts w:ascii="Verdana" w:eastAsia="Calibri" w:hAnsi="Verdana" w:cs="Arial"/>
          <w:bCs/>
          <w:lang w:val="es-ES_tradnl"/>
        </w:rPr>
        <w:t>En términos generales, lo que se busca con el ejercicio de la función consultiva es que la opinión jurídica de la Agencia sea un criterio de orientación para los operadores jurídicos, sin que ello suponga</w:t>
      </w:r>
      <w:r>
        <w:rPr>
          <w:rFonts w:ascii="Verdana" w:eastAsia="Calibri" w:hAnsi="Verdana" w:cs="Arial"/>
          <w:bCs/>
          <w:lang w:val="es-ES_tradnl"/>
        </w:rPr>
        <w:t xml:space="preserve"> </w:t>
      </w:r>
      <w:r w:rsidRPr="005C7811">
        <w:rPr>
          <w:rFonts w:ascii="Verdana" w:eastAsia="Calibri" w:hAnsi="Verdana" w:cs="Arial"/>
          <w:bCs/>
          <w:lang w:val="es-ES_tradnl"/>
        </w:rPr>
        <w:t xml:space="preserve">asumir la </w:t>
      </w:r>
      <w:r w:rsidRPr="005C7811">
        <w:rPr>
          <w:rFonts w:ascii="Verdana" w:eastAsia="Calibri" w:hAnsi="Verdana" w:cs="Arial"/>
          <w:bCs/>
          <w:i/>
          <w:iCs/>
          <w:lang w:val="es-ES_tradnl"/>
        </w:rPr>
        <w:t>única</w:t>
      </w:r>
      <w:r w:rsidRPr="005C7811">
        <w:rPr>
          <w:rFonts w:ascii="Verdana" w:eastAsia="Calibri" w:hAnsi="Verdana" w:cs="Arial"/>
          <w:bCs/>
          <w:lang w:val="es-ES_tradnl"/>
        </w:rPr>
        <w:t xml:space="preserve"> posible </w:t>
      </w:r>
      <w:r w:rsidRPr="005C7811">
        <w:rPr>
          <w:rFonts w:ascii="Verdana" w:eastAsia="Calibri" w:hAnsi="Verdana" w:cs="Arial"/>
          <w:bCs/>
          <w:lang w:val="es-ES_tradnl"/>
        </w:rPr>
        <w:lastRenderedPageBreak/>
        <w:t>interpretación de una disposición normativa</w:t>
      </w:r>
      <w:r w:rsidRPr="005C7811">
        <w:rPr>
          <w:rStyle w:val="Refdenotaalpie"/>
          <w:rFonts w:ascii="Verdana" w:eastAsia="Calibri" w:hAnsi="Verdana" w:cs="Arial"/>
          <w:bCs/>
          <w:lang w:val="es-ES_tradnl"/>
        </w:rPr>
        <w:footnoteReference w:id="2"/>
      </w:r>
      <w:r>
        <w:rPr>
          <w:rFonts w:ascii="Verdana" w:eastAsia="Calibri" w:hAnsi="Verdana" w:cs="Arial"/>
          <w:bCs/>
          <w:lang w:val="es-ES_tradnl"/>
        </w:rPr>
        <w:t>.</w:t>
      </w:r>
      <w:r>
        <w:rPr>
          <w:rFonts w:ascii="Verdana" w:eastAsia="Calibri" w:hAnsi="Verdana" w:cs="Arial"/>
          <w:color w:val="000000"/>
          <w:lang w:val="es-ES" w:eastAsia="es-ES"/>
        </w:rPr>
        <w:t xml:space="preserve"> Como el presente oficio carece de efectos vinculantes, la petición de numeral 3 también se despacha de forma negativa.    </w:t>
      </w:r>
    </w:p>
    <w:p w14:paraId="1EA43551" w14:textId="77777777" w:rsidR="005D1133" w:rsidRPr="00A652FF" w:rsidRDefault="005D1133" w:rsidP="005D113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Por tanto, la Agencia sólo asumirá sus funciones legales respecto a la petición del numeral 2. Así, </w:t>
      </w:r>
      <w:r w:rsidRPr="00593A5F">
        <w:rPr>
          <w:rFonts w:ascii="Verdana" w:eastAsia="Calibri" w:hAnsi="Verdana" w:cs="Arial"/>
          <w:color w:val="000000"/>
          <w:lang w:val="es-ES" w:eastAsia="es-ES"/>
        </w:rPr>
        <w:t>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C9E320E" w14:textId="77777777" w:rsidR="005D1133" w:rsidRDefault="005D1133" w:rsidP="005D113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BF2FD74" w14:textId="77777777" w:rsidR="005D1133" w:rsidRPr="00593A5F" w:rsidRDefault="005D1133" w:rsidP="005D1133">
      <w:pPr>
        <w:spacing w:after="0" w:line="276" w:lineRule="auto"/>
        <w:ind w:firstLine="709"/>
        <w:jc w:val="both"/>
        <w:rPr>
          <w:rFonts w:ascii="Verdana" w:eastAsia="Calibri" w:hAnsi="Verdana" w:cs="Arial"/>
          <w:color w:val="000000"/>
          <w:lang w:val="es-ES" w:eastAsia="es-ES"/>
        </w:rPr>
      </w:pPr>
    </w:p>
    <w:p w14:paraId="33F23816" w14:textId="77777777" w:rsidR="005D1133" w:rsidRPr="00593A5F" w:rsidRDefault="005D1133" w:rsidP="005D113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E5E8206" w14:textId="77777777" w:rsidR="005D1133" w:rsidRPr="00593A5F" w:rsidRDefault="005D1133" w:rsidP="005D1133">
      <w:pPr>
        <w:tabs>
          <w:tab w:val="left" w:pos="426"/>
        </w:tabs>
        <w:spacing w:after="0" w:line="276" w:lineRule="auto"/>
        <w:jc w:val="both"/>
        <w:rPr>
          <w:rFonts w:ascii="Verdana" w:eastAsia="Century Gothic" w:hAnsi="Verdana" w:cs="Century Gothic"/>
          <w:lang w:val="es-ES"/>
        </w:rPr>
      </w:pPr>
    </w:p>
    <w:p w14:paraId="3AAF1ECF" w14:textId="77777777" w:rsidR="005D1133" w:rsidRPr="00593A5F" w:rsidRDefault="005D1133" w:rsidP="005D1133">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marco jurídico que regula el deber de publicidad de la ARL de carácter privado respecto gestión contractual con cargo a recursos públicos?</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6B3DC423" w14:textId="77777777" w:rsidR="005D1133" w:rsidRPr="004B140F" w:rsidRDefault="005D1133" w:rsidP="005D1133">
      <w:pPr>
        <w:spacing w:after="0" w:line="276" w:lineRule="auto"/>
        <w:jc w:val="both"/>
        <w:rPr>
          <w:rFonts w:ascii="Verdana" w:eastAsia="Calibri" w:hAnsi="Verdana" w:cs="Arial"/>
          <w:color w:val="7030A0"/>
        </w:rPr>
      </w:pPr>
    </w:p>
    <w:p w14:paraId="3B9A63DB" w14:textId="77777777" w:rsidR="005D1133" w:rsidRPr="00593A5F" w:rsidRDefault="005D1133" w:rsidP="005D11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CF5AD30" w14:textId="77777777" w:rsidR="005D1133" w:rsidRPr="00593A5F" w:rsidRDefault="005D1133" w:rsidP="005D113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D1133" w:rsidRPr="00593A5F" w14:paraId="3C3CC198" w14:textId="77777777" w:rsidTr="00F77C5D">
        <w:trPr>
          <w:jc w:val="center"/>
        </w:trPr>
        <w:tc>
          <w:tcPr>
            <w:tcW w:w="8828" w:type="dxa"/>
          </w:tcPr>
          <w:p w14:paraId="6801E21A" w14:textId="77777777" w:rsidR="005D1133" w:rsidRDefault="005D1133" w:rsidP="00F77C5D">
            <w:pPr>
              <w:spacing w:after="120" w:line="276" w:lineRule="auto"/>
              <w:ind w:right="51"/>
              <w:jc w:val="both"/>
              <w:rPr>
                <w:rFonts w:ascii="Verdana" w:eastAsia="Calibri" w:hAnsi="Verdana" w:cs="Arial"/>
                <w:color w:val="000000" w:themeColor="text1"/>
              </w:rPr>
            </w:pPr>
            <w:bookmarkStart w:id="2" w:name="_Hlk171694685"/>
            <w:r>
              <w:rPr>
                <w:rFonts w:ascii="Verdana" w:eastAsia="Calibri" w:hAnsi="Verdana" w:cs="Arial"/>
                <w:color w:val="000000"/>
                <w:lang w:val="es-ES" w:eastAsia="es-ES"/>
              </w:rPr>
              <w:t xml:space="preserve">Conforme al artículo 1 del Decreto Ley 4170 de 2011, la ANCP – CCE es una Unidad Administrativa Especial. Al no tener la naturaleza de Ministerio o de Departamento Administrativo en los términos del artículo 112.1 de la Ley </w:t>
            </w:r>
            <w:r>
              <w:rPr>
                <w:rFonts w:ascii="Verdana" w:eastAsia="Calibri" w:hAnsi="Verdana" w:cs="Arial"/>
                <w:color w:val="000000"/>
                <w:lang w:val="es-ES" w:eastAsia="es-ES"/>
              </w:rPr>
              <w:lastRenderedPageBreak/>
              <w:t xml:space="preserve">1437 de 2011, la Dirección de esta Agencia carece de atribuciones para formular consultas al Consejo de Estado. Esta entidad sólo asumirá sus funciones legales respecto a la petición del numeral 2; razón por la cual, de acuerdo </w:t>
            </w:r>
            <w:r>
              <w:rPr>
                <w:rFonts w:ascii="Verdana" w:eastAsia="Calibri" w:hAnsi="Verdana" w:cs="Arial"/>
                <w:bCs/>
                <w:color w:val="000000" w:themeColor="text1"/>
              </w:rPr>
              <w:t>con la interpretación general de las normas del sistema de compras públicas,</w:t>
            </w:r>
            <w:r>
              <w:rPr>
                <w:rFonts w:ascii="Verdana" w:eastAsia="Calibri" w:hAnsi="Verdana" w:cs="Arial"/>
                <w:color w:val="000000" w:themeColor="text1"/>
              </w:rPr>
              <w:t xml:space="preserve"> la Agencia estima que:</w:t>
            </w:r>
          </w:p>
          <w:p w14:paraId="2B4BED38" w14:textId="77777777" w:rsidR="005D1133" w:rsidRPr="004C7415" w:rsidRDefault="005D1133" w:rsidP="00F77C5D">
            <w:pPr>
              <w:spacing w:after="120" w:line="276" w:lineRule="auto"/>
              <w:ind w:right="51" w:firstLine="737"/>
              <w:jc w:val="both"/>
              <w:rPr>
                <w:rFonts w:ascii="Verdana" w:eastAsia="Calibri" w:hAnsi="Verdana" w:cs="Arial"/>
                <w:bCs/>
                <w:color w:val="000000" w:themeColor="text1"/>
              </w:rPr>
            </w:pPr>
            <w:r>
              <w:rPr>
                <w:rFonts w:ascii="Verdana" w:eastAsia="Calibri" w:hAnsi="Verdana" w:cs="Arial"/>
                <w:color w:val="000000" w:themeColor="text1"/>
              </w:rPr>
              <w:t>i. I</w:t>
            </w:r>
            <w:proofErr w:type="spellStart"/>
            <w:r>
              <w:rPr>
                <w:rFonts w:ascii="Verdana" w:eastAsia="Calibri" w:hAnsi="Verdana" w:cs="Arial"/>
                <w:lang w:val="es-ES_tradnl"/>
              </w:rPr>
              <w:t>ndependientemente</w:t>
            </w:r>
            <w:proofErr w:type="spellEnd"/>
            <w:r>
              <w:rPr>
                <w:rFonts w:ascii="Verdana" w:eastAsia="Calibri" w:hAnsi="Verdana" w:cs="Arial"/>
                <w:lang w:val="es-ES_tradnl"/>
              </w:rPr>
              <w:t xml:space="preserve"> de la naturaleza jurídica del sujeto obligado, el literal c) artículo 3 de la Ley 1150 del 16 de julio de 2007 dispone que el SECOP “</w:t>
            </w:r>
            <w:r w:rsidRPr="009B11F1">
              <w:rPr>
                <w:rFonts w:ascii="Verdana" w:eastAsia="Calibri" w:hAnsi="Verdana" w:cs="Arial"/>
                <w:lang w:val="es-ES_tradnl"/>
              </w:rPr>
              <w:t xml:space="preserve">Contará con la información oficial de la contratación realizada con </w:t>
            </w:r>
            <w:r w:rsidRPr="009B11F1">
              <w:rPr>
                <w:rFonts w:ascii="Verdana" w:eastAsia="Calibri" w:hAnsi="Verdana" w:cs="Arial"/>
                <w:i/>
                <w:iCs/>
                <w:lang w:val="es-ES_tradnl"/>
              </w:rPr>
              <w:t>dineros públicos</w:t>
            </w:r>
            <w:r w:rsidRPr="009B11F1">
              <w:rPr>
                <w:rFonts w:ascii="Verdana" w:eastAsia="Calibri" w:hAnsi="Verdana" w:cs="Arial"/>
                <w:lang w:val="es-ES_tradnl"/>
              </w:rPr>
              <w:t>, para lo cual establecerá los patrones a que haya lugar y se encargará de su difusión a través de canales electrónicos</w:t>
            </w:r>
            <w:r>
              <w:rPr>
                <w:rFonts w:ascii="Verdana" w:eastAsia="Calibri" w:hAnsi="Verdana" w:cs="Arial"/>
                <w:lang w:val="es-ES_tradnl"/>
              </w:rPr>
              <w:t>” (Énfasis fuera de texto). Esto significa que el criterio determinante para que las ARL de carácter privado estén obligadas a publicar en el SECOP radica en la celebración de contratos con recursos públicos. Es decir, en aquellos negocios jurídicos que no involucren recursos de esta naturaleza, no surge el deber de publicidad, ya que se trata de un interés netamente privado. (Respuesta a las preguntas [1] y [2])</w:t>
            </w:r>
          </w:p>
          <w:p w14:paraId="1AD834CB" w14:textId="77777777" w:rsidR="005D1133" w:rsidRPr="004C7415" w:rsidRDefault="005D1133" w:rsidP="00F77C5D">
            <w:pPr>
              <w:spacing w:after="120" w:line="276" w:lineRule="auto"/>
              <w:ind w:firstLine="737"/>
              <w:jc w:val="both"/>
              <w:rPr>
                <w:rFonts w:ascii="Verdana" w:eastAsia="Calibri" w:hAnsi="Verdana" w:cs="Arial"/>
                <w:lang w:val="es-ES"/>
              </w:rPr>
            </w:pPr>
            <w:proofErr w:type="spellStart"/>
            <w:r>
              <w:rPr>
                <w:rFonts w:ascii="Verdana" w:eastAsia="Calibri" w:hAnsi="Verdana" w:cs="Arial"/>
                <w:lang w:val="es-ES"/>
              </w:rPr>
              <w:t>ii</w:t>
            </w:r>
            <w:proofErr w:type="spellEnd"/>
            <w:r>
              <w:rPr>
                <w:rFonts w:ascii="Verdana" w:eastAsia="Calibri" w:hAnsi="Verdana" w:cs="Arial"/>
                <w:lang w:val="es-ES"/>
              </w:rPr>
              <w:t>. E</w:t>
            </w:r>
            <w:r w:rsidRPr="00F16D2E">
              <w:rPr>
                <w:rFonts w:ascii="Verdana" w:eastAsia="Calibri" w:hAnsi="Verdana" w:cs="Arial"/>
                <w:lang w:val="es-ES"/>
              </w:rPr>
              <w:t xml:space="preserve">l deber de publicar la actividad contractual no solo está regulado en el artículo 3 de la Ley 1150 de 2007 y en el </w:t>
            </w:r>
            <w:r w:rsidRPr="00F16D2E">
              <w:rPr>
                <w:rFonts w:ascii="Verdana" w:eastAsia="Arial" w:hAnsi="Verdana" w:cs="Arial"/>
                <w:lang w:val="es-ES"/>
              </w:rPr>
              <w:t>artículo 2.2.1.1.1.7.1 del Decreto 1082 de 2015, sino también en la Ley 1712 de 2014 y en el Decreto 1081 de 2015.</w:t>
            </w:r>
            <w:r>
              <w:rPr>
                <w:rFonts w:ascii="Verdana" w:eastAsia="Arial" w:hAnsi="Verdana" w:cs="Arial"/>
                <w:lang w:val="es-ES"/>
              </w:rPr>
              <w:t xml:space="preserve"> </w:t>
            </w:r>
            <w:r w:rsidRPr="00FB4B30">
              <w:rPr>
                <w:rFonts w:ascii="Verdana" w:eastAsia="Arial" w:hAnsi="Verdana" w:cs="Arial"/>
                <w:lang w:val="es-ES"/>
              </w:rPr>
              <w:t>Conforme al literal f) del artículo 5 de la Ley 1712 de 2014, son sujetos obligados “Las entidades que administren instituciones parafiscales, fondos o recursos de naturaleza u origen público</w:t>
            </w:r>
            <w:r>
              <w:rPr>
                <w:rFonts w:ascii="Verdana" w:eastAsia="Arial" w:hAnsi="Verdana" w:cs="Arial"/>
                <w:lang w:val="es-ES"/>
              </w:rPr>
              <w:t>”</w:t>
            </w:r>
            <w:r w:rsidRPr="00FB4B30">
              <w:rPr>
                <w:rFonts w:ascii="Verdana" w:eastAsia="Arial" w:hAnsi="Verdana" w:cs="Arial"/>
                <w:lang w:val="es-ES"/>
              </w:rPr>
              <w:t>.</w:t>
            </w:r>
            <w:r>
              <w:rPr>
                <w:rFonts w:ascii="Verdana" w:eastAsia="Arial" w:hAnsi="Verdana" w:cs="Arial"/>
                <w:lang w:val="es-ES"/>
              </w:rPr>
              <w:t xml:space="preserve"> </w:t>
            </w:r>
          </w:p>
          <w:p w14:paraId="736E131B" w14:textId="77777777" w:rsidR="005D1133" w:rsidRDefault="005D1133" w:rsidP="00F77C5D">
            <w:pPr>
              <w:spacing w:after="120" w:line="276" w:lineRule="auto"/>
              <w:ind w:firstLine="737"/>
              <w:jc w:val="both"/>
              <w:rPr>
                <w:rFonts w:ascii="Verdana" w:eastAsia="Calibri" w:hAnsi="Verdana" w:cs="Arial"/>
                <w:lang w:val="es-ES"/>
              </w:rPr>
            </w:pPr>
            <w:r w:rsidRPr="00F16D2E">
              <w:rPr>
                <w:rFonts w:ascii="Verdana" w:eastAsia="Arial" w:hAnsi="Verdana" w:cs="Arial"/>
                <w:lang w:val="es-ES"/>
              </w:rPr>
              <w:t xml:space="preserve">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eastAsia="Arial" w:hAnsi="Verdana" w:cs="Arial"/>
                <w:i/>
                <w:iCs/>
                <w:lang w:val="es-ES"/>
              </w:rPr>
              <w:t>Documentos del Proceso</w:t>
            </w:r>
            <w:r w:rsidRPr="00F16D2E">
              <w:rPr>
                <w:rFonts w:ascii="Verdana" w:eastAsia="Arial" w:hAnsi="Verdana" w:cs="Arial"/>
                <w:lang w:val="es-ES"/>
              </w:rPr>
              <w:t xml:space="preserve">. </w:t>
            </w:r>
            <w:r w:rsidRPr="00F16D2E">
              <w:rPr>
                <w:rFonts w:ascii="Verdana" w:eastAsia="Calibri" w:hAnsi="Verdana" w:cs="Arial"/>
                <w:lang w:val="es-ES"/>
              </w:rPr>
              <w:t xml:space="preserve">Esto implica que la publicación que corresponde </w:t>
            </w:r>
            <w:r>
              <w:rPr>
                <w:rFonts w:ascii="Verdana" w:eastAsia="Calibri" w:hAnsi="Verdana" w:cs="Arial"/>
                <w:lang w:val="es-ES"/>
              </w:rPr>
              <w:t>a los</w:t>
            </w:r>
            <w:r w:rsidRPr="00F16D2E">
              <w:rPr>
                <w:rFonts w:ascii="Verdana" w:eastAsia="Calibri" w:hAnsi="Verdana" w:cs="Arial"/>
                <w:lang w:val="es-ES"/>
              </w:rPr>
              <w:t xml:space="preserve"> sujetos obligados en el marco de la Ley 1712 de 2014 se extiende a todo el desarrollo del procedimiento, desde la etapa de planeación hasta el vencimiento de las garantías, incluyendo cada actuación que se produzca en ese lapso.</w:t>
            </w:r>
            <w:r>
              <w:rPr>
                <w:rFonts w:ascii="Verdana" w:eastAsia="Calibri" w:hAnsi="Verdana" w:cs="Arial"/>
                <w:lang w:val="es-ES"/>
              </w:rPr>
              <w:t xml:space="preserve"> </w:t>
            </w:r>
            <w:r>
              <w:rPr>
                <w:rFonts w:ascii="Verdana" w:eastAsia="Calibri" w:hAnsi="Verdana" w:cs="Arial"/>
                <w:lang w:val="es-ES_tradnl"/>
              </w:rPr>
              <w:t>(Respuesta la pregunta [3.1])</w:t>
            </w:r>
          </w:p>
          <w:p w14:paraId="60DFD7F6" w14:textId="77777777" w:rsidR="005D1133" w:rsidRDefault="005D1133" w:rsidP="00F77C5D">
            <w:pPr>
              <w:spacing w:after="120" w:line="276" w:lineRule="auto"/>
              <w:ind w:firstLine="737"/>
              <w:jc w:val="both"/>
              <w:rPr>
                <w:rFonts w:ascii="Verdana" w:eastAsia="Calibri" w:hAnsi="Verdana" w:cs="Arial"/>
                <w:lang w:val="es-ES_tradnl"/>
              </w:rPr>
            </w:pPr>
            <w:proofErr w:type="spellStart"/>
            <w:r>
              <w:rPr>
                <w:rFonts w:ascii="Verdana" w:eastAsia="Arial" w:hAnsi="Verdana" w:cs="Arial"/>
                <w:lang w:val="es-ES"/>
              </w:rPr>
              <w:t>iii</w:t>
            </w:r>
            <w:proofErr w:type="spellEnd"/>
            <w:r>
              <w:rPr>
                <w:rFonts w:ascii="Verdana" w:eastAsia="Arial" w:hAnsi="Verdana" w:cs="Arial"/>
                <w:lang w:val="es-ES"/>
              </w:rPr>
              <w:t>. E</w:t>
            </w:r>
            <w:r>
              <w:rPr>
                <w:rFonts w:ascii="Verdana" w:eastAsia="Calibri" w:hAnsi="Verdana" w:cs="Arial"/>
                <w:lang w:val="es-ES_tradnl"/>
              </w:rPr>
              <w:t>l numeral 1.1 de la Circular Externa Única de l</w:t>
            </w:r>
            <w:r w:rsidRPr="00593A5F">
              <w:rPr>
                <w:rFonts w:ascii="Verdana" w:eastAsia="Calibri" w:hAnsi="Verdana" w:cs="Arial"/>
                <w:color w:val="000000" w:themeColor="text1"/>
                <w:lang w:val="es-ES" w:eastAsia="es-ES"/>
              </w:rPr>
              <w:t>a Agencia Nacional de Contratación Pública – Colombia Compra Eficiente</w:t>
            </w:r>
            <w:r>
              <w:rPr>
                <w:rFonts w:ascii="Verdana" w:eastAsia="Calibri" w:hAnsi="Verdana" w:cs="Arial"/>
                <w:lang w:val="es-ES_tradnl"/>
              </w:rPr>
              <w:t xml:space="preserve"> dispone que “</w:t>
            </w:r>
            <w:r w:rsidRPr="00C76381">
              <w:rPr>
                <w:rFonts w:ascii="Verdana" w:eastAsia="Calibri" w:hAnsi="Verdana" w:cs="Arial"/>
                <w:lang w:val="es-ES_tradnl"/>
              </w:rPr>
              <w:t>Los particulares deberán publicar la información oficial de la contratación</w:t>
            </w:r>
            <w:r>
              <w:rPr>
                <w:rFonts w:ascii="Verdana" w:eastAsia="Calibri" w:hAnsi="Verdana" w:cs="Arial"/>
                <w:lang w:val="es-ES_tradnl"/>
              </w:rPr>
              <w:t xml:space="preserve"> </w:t>
            </w:r>
            <w:r w:rsidRPr="00C76381">
              <w:rPr>
                <w:rFonts w:ascii="Verdana" w:eastAsia="Calibri" w:hAnsi="Verdana" w:cs="Arial"/>
                <w:lang w:val="es-ES_tradnl"/>
              </w:rPr>
              <w:t>realizada con cargo a recursos públicos. Estos deberán realizar la</w:t>
            </w:r>
            <w:r>
              <w:rPr>
                <w:rFonts w:ascii="Verdana" w:eastAsia="Calibri" w:hAnsi="Verdana" w:cs="Arial"/>
                <w:lang w:val="es-ES_tradnl"/>
              </w:rPr>
              <w:t xml:space="preserve"> </w:t>
            </w:r>
            <w:r w:rsidRPr="00C76381">
              <w:rPr>
                <w:rFonts w:ascii="Verdana" w:eastAsia="Calibri" w:hAnsi="Verdana" w:cs="Arial"/>
                <w:lang w:val="es-ES_tradnl"/>
              </w:rPr>
              <w:t xml:space="preserve">publicación a través </w:t>
            </w:r>
            <w:r w:rsidRPr="00C76381">
              <w:rPr>
                <w:rFonts w:ascii="Verdana" w:eastAsia="Calibri" w:hAnsi="Verdana" w:cs="Arial"/>
                <w:lang w:val="es-ES_tradnl"/>
              </w:rPr>
              <w:lastRenderedPageBreak/>
              <w:t xml:space="preserve">del módulo </w:t>
            </w:r>
            <w:r>
              <w:rPr>
                <w:rFonts w:ascii="Verdana" w:eastAsia="Calibri" w:hAnsi="Verdana" w:cs="Arial"/>
                <w:sz w:val="20"/>
                <w:szCs w:val="20"/>
                <w:lang w:val="es-ES_tradnl"/>
              </w:rPr>
              <w:t>‘</w:t>
            </w:r>
            <w:r w:rsidRPr="00C76381">
              <w:rPr>
                <w:rFonts w:ascii="Verdana" w:eastAsia="Calibri" w:hAnsi="Verdana" w:cs="Arial"/>
                <w:lang w:val="es-ES_tradnl"/>
              </w:rPr>
              <w:t>Régimen Especial</w:t>
            </w:r>
            <w:r>
              <w:rPr>
                <w:rFonts w:ascii="Verdana" w:eastAsia="Calibri" w:hAnsi="Verdana" w:cs="Arial"/>
                <w:lang w:val="es-ES_tradnl"/>
              </w:rPr>
              <w:t>’</w:t>
            </w:r>
            <w:r w:rsidRPr="00C76381">
              <w:rPr>
                <w:rFonts w:ascii="Verdana" w:eastAsia="Calibri" w:hAnsi="Verdana" w:cs="Arial"/>
                <w:lang w:val="es-ES_tradnl"/>
              </w:rPr>
              <w:t>".</w:t>
            </w:r>
            <w:r>
              <w:rPr>
                <w:rFonts w:ascii="Verdana" w:eastAsia="Calibri" w:hAnsi="Verdana" w:cs="Arial"/>
                <w:lang w:val="es-ES_tradnl"/>
              </w:rPr>
              <w:t xml:space="preserve"> </w:t>
            </w:r>
            <w:r w:rsidRPr="00BA6315">
              <w:rPr>
                <w:rFonts w:ascii="Verdana" w:eastAsia="Calibri" w:hAnsi="Verdana" w:cs="Arial"/>
                <w:lang w:val="es-ES_tradnl"/>
              </w:rPr>
              <w:t>Dicho módulo existe en tanto en SECOP I</w:t>
            </w:r>
            <w:r>
              <w:rPr>
                <w:rFonts w:ascii="Verdana" w:eastAsia="Calibri" w:hAnsi="Verdana" w:cs="Arial"/>
                <w:lang w:val="es-ES_tradnl"/>
              </w:rPr>
              <w:t xml:space="preserve"> </w:t>
            </w:r>
            <w:r w:rsidRPr="00BA6315">
              <w:rPr>
                <w:rFonts w:ascii="Verdana" w:eastAsia="Calibri" w:hAnsi="Verdana" w:cs="Arial"/>
                <w:lang w:val="es-ES_tradnl"/>
              </w:rPr>
              <w:t xml:space="preserve">como en SECOP II, incluso, en esta última plataforma, </w:t>
            </w:r>
            <w:r>
              <w:rPr>
                <w:rFonts w:ascii="Verdana" w:eastAsia="Calibri" w:hAnsi="Verdana" w:cs="Arial"/>
                <w:lang w:val="es-ES_tradnl"/>
              </w:rPr>
              <w:t>distingue</w:t>
            </w:r>
            <w:r w:rsidRPr="00BA6315">
              <w:rPr>
                <w:rFonts w:ascii="Verdana" w:eastAsia="Calibri" w:hAnsi="Verdana" w:cs="Arial"/>
                <w:lang w:val="es-ES_tradnl"/>
              </w:rPr>
              <w:t xml:space="preserve"> entre “régimen especial con ofertas” y “régimen especial sin ofertas”</w:t>
            </w:r>
            <w:r>
              <w:rPr>
                <w:rFonts w:ascii="Verdana" w:eastAsia="Calibri" w:hAnsi="Verdana" w:cs="Arial"/>
                <w:lang w:val="es-ES_tradnl"/>
              </w:rPr>
              <w:t xml:space="preserve">. </w:t>
            </w:r>
          </w:p>
          <w:p w14:paraId="066CDA9A" w14:textId="77777777" w:rsidR="005D1133" w:rsidRDefault="005D1133" w:rsidP="00F77C5D">
            <w:pPr>
              <w:spacing w:after="120" w:line="276" w:lineRule="auto"/>
              <w:ind w:firstLine="737"/>
              <w:jc w:val="both"/>
              <w:rPr>
                <w:rFonts w:ascii="Verdana" w:eastAsia="Calibri" w:hAnsi="Verdana" w:cs="Arial"/>
                <w:lang w:val="es-ES_tradnl"/>
              </w:rPr>
            </w:pPr>
            <w:r>
              <w:rPr>
                <w:rFonts w:ascii="Verdana" w:eastAsia="Calibri" w:hAnsi="Verdana" w:cs="Arial"/>
                <w:lang w:val="es-ES_tradnl"/>
              </w:rPr>
              <w:t>Dicha Circular solo precisa que l</w:t>
            </w:r>
            <w:r w:rsidRPr="00C76381">
              <w:rPr>
                <w:rFonts w:ascii="Verdana" w:eastAsia="Calibri" w:hAnsi="Verdana" w:cs="Arial"/>
                <w:lang w:val="es-ES_tradnl"/>
              </w:rPr>
              <w:t>os particulares debe</w:t>
            </w:r>
            <w:r>
              <w:rPr>
                <w:rFonts w:ascii="Verdana" w:eastAsia="Calibri" w:hAnsi="Verdana" w:cs="Arial"/>
                <w:lang w:val="es-ES_tradnl"/>
              </w:rPr>
              <w:t>n</w:t>
            </w:r>
            <w:r w:rsidRPr="00C76381">
              <w:rPr>
                <w:rFonts w:ascii="Verdana" w:eastAsia="Calibri" w:hAnsi="Verdana" w:cs="Arial"/>
                <w:lang w:val="es-ES_tradnl"/>
              </w:rPr>
              <w:t xml:space="preserve"> publicar la información oficial de la contratación</w:t>
            </w:r>
            <w:r>
              <w:rPr>
                <w:rFonts w:ascii="Verdana" w:eastAsia="Calibri" w:hAnsi="Verdana" w:cs="Arial"/>
                <w:lang w:val="es-ES_tradnl"/>
              </w:rPr>
              <w:t xml:space="preserve"> </w:t>
            </w:r>
            <w:r w:rsidRPr="00C76381">
              <w:rPr>
                <w:rFonts w:ascii="Verdana" w:eastAsia="Calibri" w:hAnsi="Verdana" w:cs="Arial"/>
                <w:lang w:val="es-ES_tradnl"/>
              </w:rPr>
              <w:t xml:space="preserve">realizada con cargo a recursos públicos a través del módulo </w:t>
            </w:r>
            <w:r>
              <w:rPr>
                <w:rFonts w:ascii="Verdana" w:eastAsia="Calibri" w:hAnsi="Verdana" w:cs="Arial"/>
                <w:sz w:val="20"/>
                <w:szCs w:val="20"/>
                <w:lang w:val="es-ES_tradnl"/>
              </w:rPr>
              <w:t>“</w:t>
            </w:r>
            <w:r>
              <w:rPr>
                <w:rFonts w:ascii="Verdana" w:eastAsia="Calibri" w:hAnsi="Verdana" w:cs="Arial"/>
                <w:lang w:val="es-ES_tradnl"/>
              </w:rPr>
              <w:t>r</w:t>
            </w:r>
            <w:r w:rsidRPr="00C76381">
              <w:rPr>
                <w:rFonts w:ascii="Verdana" w:eastAsia="Calibri" w:hAnsi="Verdana" w:cs="Arial"/>
                <w:lang w:val="es-ES_tradnl"/>
              </w:rPr>
              <w:t xml:space="preserve">égimen </w:t>
            </w:r>
            <w:r>
              <w:rPr>
                <w:rFonts w:ascii="Verdana" w:eastAsia="Calibri" w:hAnsi="Verdana" w:cs="Arial"/>
                <w:lang w:val="es-ES_tradnl"/>
              </w:rPr>
              <w:t>e</w:t>
            </w:r>
            <w:r w:rsidRPr="00C76381">
              <w:rPr>
                <w:rFonts w:ascii="Verdana" w:eastAsia="Calibri" w:hAnsi="Verdana" w:cs="Arial"/>
                <w:lang w:val="es-ES_tradnl"/>
              </w:rPr>
              <w:t>special</w:t>
            </w:r>
            <w:r>
              <w:rPr>
                <w:rFonts w:ascii="Verdana" w:eastAsia="Calibri" w:hAnsi="Verdana" w:cs="Arial"/>
                <w:lang w:val="es-ES_tradnl"/>
              </w:rPr>
              <w:t xml:space="preserve">”, sin que la ley, el reglamento o los actos administrativos de carácter general de esta Agencia indiquen si realiza únicamente a través de SECOP I o SECOP II. Por tanto, salvo directriz normativa en contrario, la </w:t>
            </w:r>
            <w:r w:rsidRPr="00E90375">
              <w:rPr>
                <w:rFonts w:ascii="Verdana" w:eastAsia="Calibri" w:hAnsi="Verdana" w:cs="Arial"/>
                <w:i/>
                <w:iCs/>
                <w:lang w:val="es-ES_tradnl"/>
              </w:rPr>
              <w:t>contratación de los particulares realizada con cargo a recursos públicos</w:t>
            </w:r>
            <w:r>
              <w:rPr>
                <w:rFonts w:ascii="Verdana" w:eastAsia="Calibri" w:hAnsi="Verdana" w:cs="Arial"/>
                <w:lang w:val="es-ES_tradnl"/>
              </w:rPr>
              <w:t xml:space="preserve"> puede publicarse en el módulo de “régimen especial” del SECOP I o el SECOP II a elección del sujeto obligado. Se recomienda que, una vez elegida alguna de las alternativas disponibles, todos los contratos se gestionen a través de una misma plataforma. Ello para de estandarizar las publicaciones y centralizar la información de cara a los controles sociales y jurídicos respeto a la inversión del erario. (Respuesta la pregunta [3.2]) </w:t>
            </w:r>
          </w:p>
          <w:p w14:paraId="190AFE72" w14:textId="77777777" w:rsidR="005D1133" w:rsidRDefault="005D1133" w:rsidP="00F77C5D">
            <w:pPr>
              <w:spacing w:after="120" w:line="276" w:lineRule="auto"/>
              <w:ind w:firstLine="737"/>
              <w:jc w:val="both"/>
              <w:rPr>
                <w:rFonts w:ascii="Verdana" w:eastAsia="Calibri" w:hAnsi="Verdana" w:cs="Arial"/>
                <w:lang w:val="es-ES"/>
              </w:rPr>
            </w:pPr>
            <w:proofErr w:type="spellStart"/>
            <w:r>
              <w:rPr>
                <w:rFonts w:ascii="Verdana" w:eastAsia="Calibri" w:hAnsi="Verdana" w:cs="Arial"/>
                <w:lang w:val="es-ES_tradnl"/>
              </w:rPr>
              <w:t>iv</w:t>
            </w:r>
            <w:proofErr w:type="spellEnd"/>
            <w:r>
              <w:rPr>
                <w:rFonts w:ascii="Verdana" w:eastAsia="Calibri" w:hAnsi="Verdana" w:cs="Arial"/>
                <w:lang w:val="es-ES_tradnl"/>
              </w:rPr>
              <w:t xml:space="preserve">. La obligación del literal c) artículo 3 de la Ley 1150 del 16 de julio de 2007 surgió a partir 16 de enero de 2008, pues –pues salvo la vigencia inmediata de los artículos 9 y 17– el inciso primero del artículo 33 </w:t>
            </w:r>
            <w:r w:rsidRPr="00505788">
              <w:rPr>
                <w:rFonts w:ascii="Verdana" w:eastAsia="Calibri" w:hAnsi="Verdana" w:cs="Arial"/>
                <w:i/>
                <w:iCs/>
                <w:lang w:val="es-ES_tradnl"/>
              </w:rPr>
              <w:t>ibidem</w:t>
            </w:r>
            <w:r>
              <w:rPr>
                <w:rFonts w:ascii="Verdana" w:eastAsia="Calibri" w:hAnsi="Verdana" w:cs="Arial"/>
                <w:lang w:val="es-ES_tradnl"/>
              </w:rPr>
              <w:t xml:space="preserve"> dispone que “</w:t>
            </w:r>
            <w:r w:rsidRPr="00505788">
              <w:rPr>
                <w:rFonts w:ascii="Verdana" w:eastAsia="Calibri" w:hAnsi="Verdana" w:cs="Arial"/>
                <w:lang w:val="es-ES_tradnl"/>
              </w:rPr>
              <w:t>La presente ley empieza a regir seis (6) meses después de su promulgación, con excepción del artículo 6o que entrará a regir a los dieciocho (18) meses de su promulgación</w:t>
            </w:r>
            <w:r>
              <w:rPr>
                <w:rFonts w:ascii="Verdana" w:eastAsia="Calibri" w:hAnsi="Verdana" w:cs="Arial"/>
                <w:lang w:val="es-ES_tradnl"/>
              </w:rPr>
              <w:t>”</w:t>
            </w:r>
            <w:r w:rsidRPr="00505788">
              <w:rPr>
                <w:rFonts w:ascii="Verdana" w:eastAsia="Calibri" w:hAnsi="Verdana" w:cs="Arial"/>
                <w:lang w:val="es-ES_tradnl"/>
              </w:rPr>
              <w:t>.</w:t>
            </w:r>
            <w:r>
              <w:rPr>
                <w:rFonts w:ascii="Verdana" w:eastAsia="Calibri" w:hAnsi="Verdana" w:cs="Arial"/>
                <w:lang w:val="es-ES_tradnl"/>
              </w:rPr>
              <w:t xml:space="preserve"> </w:t>
            </w:r>
            <w:r w:rsidRPr="005074BF">
              <w:rPr>
                <w:rFonts w:ascii="Verdana" w:eastAsia="Calibri" w:hAnsi="Verdana" w:cs="Arial"/>
                <w:lang w:val="es-ES"/>
              </w:rPr>
              <w:t>El incumplimiento del deber de publicidad generará la responsabilidad administrativa, penal, fiscal y disciplinaria a que haya lugar, de acuerdo con el régimen sustantivo de los órganos competentes para sancionar.</w:t>
            </w:r>
            <w:r>
              <w:rPr>
                <w:rFonts w:ascii="Verdana" w:eastAsia="Calibri" w:hAnsi="Verdana" w:cs="Arial"/>
                <w:lang w:val="es-ES"/>
              </w:rPr>
              <w:t xml:space="preserve"> </w:t>
            </w:r>
            <w:r>
              <w:rPr>
                <w:rFonts w:ascii="Verdana" w:eastAsia="Calibri" w:hAnsi="Verdana" w:cs="Arial"/>
                <w:lang w:val="es-ES_tradnl"/>
              </w:rPr>
              <w:t>(Respuestas las preguntas [4] y [5])</w:t>
            </w:r>
          </w:p>
          <w:p w14:paraId="55D00D3E" w14:textId="77777777" w:rsidR="005D1133" w:rsidRDefault="005D1133" w:rsidP="00F77C5D">
            <w:pPr>
              <w:spacing w:after="120" w:line="276" w:lineRule="auto"/>
              <w:ind w:firstLine="737"/>
              <w:jc w:val="both"/>
              <w:rPr>
                <w:rFonts w:ascii="Verdana" w:eastAsia="Calibri" w:hAnsi="Verdana" w:cs="Arial"/>
                <w:lang w:val="es-ES"/>
              </w:rPr>
            </w:pPr>
            <w:r>
              <w:rPr>
                <w:rFonts w:ascii="Verdana" w:eastAsia="Calibri" w:hAnsi="Verdana" w:cs="Arial"/>
                <w:lang w:val="es-ES"/>
              </w:rPr>
              <w:t>v. E</w:t>
            </w:r>
            <w:r w:rsidRPr="001E646D">
              <w:rPr>
                <w:rFonts w:ascii="Verdana" w:eastAsia="Calibri" w:hAnsi="Verdana" w:cs="Arial"/>
                <w:lang w:val="es-ES"/>
              </w:rPr>
              <w:t xml:space="preserv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 </w:t>
            </w:r>
            <w:r>
              <w:rPr>
                <w:rFonts w:ascii="Verdana" w:eastAsia="Calibri" w:hAnsi="Verdana" w:cs="Arial"/>
                <w:lang w:val="es-ES"/>
              </w:rPr>
              <w:t xml:space="preserve">Esto incluye tanto </w:t>
            </w:r>
            <w:r w:rsidRPr="008112FA">
              <w:rPr>
                <w:rFonts w:ascii="Verdana" w:eastAsia="Calibri" w:hAnsi="Verdana" w:cs="Arial"/>
                <w:lang w:val="es-ES"/>
              </w:rPr>
              <w:t xml:space="preserve">a la información </w:t>
            </w:r>
            <w:r>
              <w:rPr>
                <w:rFonts w:ascii="Verdana" w:eastAsia="Calibri" w:hAnsi="Verdana" w:cs="Arial"/>
                <w:lang w:val="es-ES"/>
              </w:rPr>
              <w:t xml:space="preserve">que involucre </w:t>
            </w:r>
            <w:r w:rsidRPr="008112FA">
              <w:rPr>
                <w:rFonts w:ascii="Verdana" w:eastAsia="Calibri" w:hAnsi="Verdana" w:cs="Arial"/>
                <w:lang w:val="es-ES"/>
              </w:rPr>
              <w:t>derechos a la privacidad e intimidad de las personas</w:t>
            </w:r>
            <w:r>
              <w:rPr>
                <w:rFonts w:ascii="Verdana" w:eastAsia="Calibri" w:hAnsi="Verdana" w:cs="Arial"/>
                <w:lang w:val="es-ES"/>
              </w:rPr>
              <w:t xml:space="preserve"> como aquella amparada por el s</w:t>
            </w:r>
            <w:r w:rsidRPr="008112FA">
              <w:rPr>
                <w:rFonts w:ascii="Verdana" w:eastAsia="Calibri" w:hAnsi="Verdana" w:cs="Arial"/>
                <w:lang w:val="es-ES"/>
              </w:rPr>
              <w:t>ecreto comercial o industrial</w:t>
            </w:r>
            <w:r>
              <w:rPr>
                <w:rFonts w:ascii="Verdana" w:eastAsia="Calibri" w:hAnsi="Verdana" w:cs="Arial"/>
                <w:lang w:val="es-ES"/>
              </w:rPr>
              <w:t xml:space="preserve">. </w:t>
            </w:r>
            <w:r>
              <w:rPr>
                <w:rFonts w:ascii="Verdana" w:eastAsia="Calibri" w:hAnsi="Verdana" w:cs="Arial"/>
                <w:lang w:val="es-ES_tradnl"/>
              </w:rPr>
              <w:t>(Respuestas las preguntas [6], [7] y [8])</w:t>
            </w:r>
          </w:p>
          <w:p w14:paraId="2998D559" w14:textId="77777777" w:rsidR="005D1133" w:rsidRDefault="005D1133" w:rsidP="00F77C5D">
            <w:pPr>
              <w:spacing w:after="120" w:line="276" w:lineRule="auto"/>
              <w:ind w:firstLine="737"/>
              <w:jc w:val="both"/>
              <w:rPr>
                <w:rStyle w:val="s15"/>
                <w:rFonts w:ascii="Verdana" w:hAnsi="Verdana"/>
                <w:color w:val="000000"/>
              </w:rPr>
            </w:pPr>
            <w:r>
              <w:rPr>
                <w:rFonts w:ascii="Verdana" w:eastAsia="Calibri" w:hAnsi="Verdana" w:cs="Arial"/>
                <w:lang w:val="es-ES_tradnl"/>
              </w:rPr>
              <w:t>En los términos anotados, la Agencia resuelve la pregunta principal y las preguntas adicionales de la consulta. Sin embargo,</w:t>
            </w:r>
            <w:r w:rsidRPr="00AF040C">
              <w:rPr>
                <w:rStyle w:val="s15"/>
                <w:rFonts w:ascii="Verdana" w:hAnsi="Verdana"/>
                <w:color w:val="000000"/>
              </w:rPr>
              <w:t xml:space="preserve"> el análisis requerido </w:t>
            </w:r>
            <w:r w:rsidRPr="00AF040C">
              <w:rPr>
                <w:rStyle w:val="s15"/>
                <w:rFonts w:ascii="Verdana" w:hAnsi="Verdana"/>
                <w:color w:val="000000"/>
              </w:rPr>
              <w:lastRenderedPageBreak/>
              <w:t>para resolver problemas específicos en torno a la gestión contractual debe ser realizado por quienes tengan interés en ello, de acuerdo con lo explicado la aclaración preliminar del presente oficio</w:t>
            </w:r>
            <w:r w:rsidRPr="001941FD">
              <w:rPr>
                <w:rStyle w:val="s15"/>
                <w:rFonts w:ascii="Verdana" w:hAnsi="Verdana"/>
                <w:color w:val="000000"/>
              </w:rPr>
              <w:t>.</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Así, </w:t>
            </w:r>
            <w:r>
              <w:rPr>
                <w:rFonts w:ascii="Verdana" w:eastAsia="Calibri" w:hAnsi="Verdana" w:cs="Arial"/>
                <w:bCs/>
                <w:color w:val="000000" w:themeColor="text1"/>
              </w:rPr>
              <w:t>cada sujeto obligado al deber de publicidad</w:t>
            </w:r>
            <w:r w:rsidRPr="001941FD">
              <w:rPr>
                <w:rStyle w:val="s15"/>
                <w:rFonts w:ascii="Verdana" w:hAnsi="Verdana"/>
                <w:color w:val="000000"/>
              </w:rPr>
              <w:t xml:space="preserve"> definirá la forma de adelantar su gestión contractual, sin que sea atribución de Colombia Compra Eficiente validar sus actuaciones.</w:t>
            </w:r>
          </w:p>
          <w:p w14:paraId="673D784B" w14:textId="77777777" w:rsidR="005D1133" w:rsidRPr="00AF040C" w:rsidRDefault="005D1133" w:rsidP="00F77C5D">
            <w:pPr>
              <w:spacing w:line="276" w:lineRule="auto"/>
              <w:ind w:firstLine="737"/>
              <w:jc w:val="both"/>
              <w:rPr>
                <w:rFonts w:ascii="Verdana" w:hAnsi="Verdana"/>
                <w:color w:val="000000"/>
              </w:rPr>
            </w:pPr>
            <w:r>
              <w:rPr>
                <w:rFonts w:ascii="Verdana" w:hAnsi="Verdana"/>
                <w:color w:val="000000"/>
              </w:rPr>
              <w:t>Conforme al artículo 28 de la Ley 1437 de 2011, se informa al peticionario que “</w:t>
            </w:r>
            <w:r w:rsidRPr="00D47518">
              <w:rPr>
                <w:rFonts w:ascii="Verdana" w:hAnsi="Verdana"/>
                <w:color w:val="000000"/>
              </w:rPr>
              <w:t>Salvo disposición legal en contrario, los conceptos emitidos por las autoridades como respuestas a peticiones realizadas en ejercicio del derecho a formular consultas no serán de obligatorio cumplimiento o ejecución</w:t>
            </w:r>
            <w:r>
              <w:rPr>
                <w:rFonts w:ascii="Verdana" w:hAnsi="Verdana"/>
                <w:color w:val="000000"/>
              </w:rPr>
              <w:t>”</w:t>
            </w:r>
            <w:r w:rsidRPr="00D47518">
              <w:rPr>
                <w:rFonts w:ascii="Verdana" w:hAnsi="Verdana"/>
                <w:color w:val="000000"/>
              </w:rPr>
              <w:t>.</w:t>
            </w:r>
          </w:p>
        </w:tc>
      </w:tr>
    </w:tbl>
    <w:p w14:paraId="01DBB0BA" w14:textId="77777777" w:rsidR="005D1133" w:rsidRPr="00593A5F" w:rsidRDefault="005D1133" w:rsidP="005D1133">
      <w:pPr>
        <w:tabs>
          <w:tab w:val="left" w:pos="142"/>
          <w:tab w:val="left" w:pos="284"/>
        </w:tabs>
        <w:spacing w:after="0" w:line="276" w:lineRule="auto"/>
        <w:jc w:val="both"/>
        <w:rPr>
          <w:rFonts w:ascii="Verdana" w:eastAsia="Century Gothic" w:hAnsi="Verdana" w:cs="Century Gothic"/>
          <w:b/>
          <w:bCs/>
          <w:lang w:val="es-ES"/>
        </w:rPr>
      </w:pPr>
    </w:p>
    <w:bookmarkEnd w:id="2"/>
    <w:p w14:paraId="64176E24" w14:textId="77777777" w:rsidR="005D1133" w:rsidRPr="00593A5F" w:rsidRDefault="005D1133" w:rsidP="005D11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1E9391D" w14:textId="77777777" w:rsidR="005D1133" w:rsidRPr="00593A5F" w:rsidRDefault="005D1133" w:rsidP="005D1133">
      <w:pPr>
        <w:spacing w:after="0" w:line="276" w:lineRule="auto"/>
        <w:jc w:val="both"/>
        <w:rPr>
          <w:rFonts w:ascii="Verdana" w:eastAsia="Calibri" w:hAnsi="Verdana" w:cs="Arial"/>
          <w:color w:val="7030A0"/>
          <w:lang w:val="es-ES"/>
        </w:rPr>
      </w:pPr>
    </w:p>
    <w:p w14:paraId="1B40FCCE" w14:textId="77777777" w:rsidR="005D1133" w:rsidRDefault="005D1133" w:rsidP="005D113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72F3AA3" w14:textId="77777777" w:rsidR="005D1133" w:rsidRPr="00415608" w:rsidRDefault="005D1133" w:rsidP="005D1133">
      <w:pPr>
        <w:spacing w:after="0" w:line="276" w:lineRule="auto"/>
        <w:jc w:val="both"/>
        <w:rPr>
          <w:rFonts w:ascii="Verdana" w:eastAsia="Calibri" w:hAnsi="Verdana" w:cs="Arial"/>
          <w:lang w:val="es-ES"/>
        </w:rPr>
      </w:pPr>
    </w:p>
    <w:p w14:paraId="59E943D9" w14:textId="77777777" w:rsidR="005D1133" w:rsidRPr="008B6D49" w:rsidRDefault="005D1133" w:rsidP="005D1133">
      <w:pPr>
        <w:spacing w:after="120" w:line="276" w:lineRule="auto"/>
        <w:jc w:val="both"/>
        <w:rPr>
          <w:rFonts w:ascii="Verdana" w:eastAsia="Calibri" w:hAnsi="Verdana" w:cs="Arial"/>
          <w:color w:val="000000" w:themeColor="text1"/>
          <w:lang w:val="es-ES_tradnl"/>
        </w:rPr>
      </w:pPr>
      <w:r w:rsidRPr="008B6D49">
        <w:rPr>
          <w:rFonts w:ascii="Verdana" w:eastAsia="Calibri" w:hAnsi="Verdana" w:cs="Arial"/>
        </w:rPr>
        <w:t xml:space="preserve">i. </w:t>
      </w:r>
      <w:r w:rsidRPr="008B6D49">
        <w:rPr>
          <w:rFonts w:ascii="Verdana" w:eastAsia="Calibri" w:hAnsi="Verdana" w:cs="Arial"/>
          <w:lang w:val="es-ES" w:eastAsia="es-MX"/>
        </w:rPr>
        <w:t xml:space="preserve">Para dar respuesta a </w:t>
      </w:r>
      <w:r w:rsidRPr="008B6D49">
        <w:rPr>
          <w:rFonts w:ascii="Verdana" w:eastAsia="Calibri" w:hAnsi="Verdana" w:cs="Arial"/>
          <w:color w:val="000000" w:themeColor="text1"/>
          <w:lang w:val="es-ES_tradnl"/>
        </w:rPr>
        <w:t xml:space="preserve">la inquietud planteada, conviene comenzar por apuntar que, en efecto, la Subsección B de la Sección Tercera del Consejo de Estado, mediante Sentencia del 19 de octubre de 2023 con ponencia del </w:t>
      </w:r>
      <w:proofErr w:type="gramStart"/>
      <w:r w:rsidRPr="008B6D49">
        <w:rPr>
          <w:rFonts w:ascii="Verdana" w:eastAsia="Calibri" w:hAnsi="Verdana" w:cs="Arial"/>
          <w:color w:val="000000" w:themeColor="text1"/>
          <w:lang w:val="es-ES_tradnl"/>
        </w:rPr>
        <w:t>Consejero</w:t>
      </w:r>
      <w:proofErr w:type="gramEnd"/>
      <w:r w:rsidRPr="008B6D49">
        <w:rPr>
          <w:rFonts w:ascii="Verdana" w:eastAsia="Calibri" w:hAnsi="Verdana" w:cs="Arial"/>
          <w:color w:val="000000" w:themeColor="text1"/>
          <w:lang w:val="es-ES_tradnl"/>
        </w:rPr>
        <w:t xml:space="preserve"> Martín Bermúdez Muñoz, se pronunció sobre las circulares que aclaran la obligación que tienen las entidades que contraten con recursos públicos, independientemente del régimen jurídico aplicable, de publicar su actividad contractual en el SECOP. De acuerdo con el numeral primero de la parte resolutiva, el Consejo de Estado declara “[…] la nulidad de parcial de los apartes de las </w:t>
      </w:r>
      <w:bookmarkStart w:id="3" w:name="_Hlk153369149"/>
      <w:r w:rsidRPr="008B6D49">
        <w:rPr>
          <w:rFonts w:ascii="Verdana" w:eastAsia="Calibri" w:hAnsi="Verdana" w:cs="Arial"/>
          <w:color w:val="000000" w:themeColor="text1"/>
          <w:lang w:val="es-ES_tradnl"/>
        </w:rPr>
        <w:t>Circulares Externas Nro. 1 de 21 de junio de 2013 y Nro. 20 de 27 de agosto de 2015</w:t>
      </w:r>
      <w:bookmarkEnd w:id="3"/>
      <w:r w:rsidRPr="008B6D49">
        <w:rPr>
          <w:rFonts w:ascii="Verdana" w:eastAsia="Calibri" w:hAnsi="Verdana" w:cs="Arial"/>
          <w:color w:val="000000" w:themeColor="text1"/>
          <w:lang w:val="es-ES_tradnl"/>
        </w:rPr>
        <w:t>, expedidas por la Dirección de la Agencia Nacional de Contratación Pública Colombia Compra Eficiente, que contengan la expresión ‘actividad contractual’ […]”.</w:t>
      </w:r>
    </w:p>
    <w:p w14:paraId="64DCC45B" w14:textId="77777777" w:rsidR="005D1133" w:rsidRDefault="005D1133" w:rsidP="005D1133">
      <w:pPr>
        <w:spacing w:after="0" w:line="276" w:lineRule="auto"/>
        <w:jc w:val="both"/>
        <w:rPr>
          <w:rFonts w:ascii="Verdana" w:eastAsia="Calibri" w:hAnsi="Verdana" w:cs="Arial"/>
          <w:color w:val="000000" w:themeColor="text1"/>
          <w:lang w:val="es-ES_tradnl"/>
        </w:rPr>
      </w:pPr>
      <w:r w:rsidRPr="008B6D49">
        <w:rPr>
          <w:rFonts w:ascii="Verdana" w:eastAsia="Calibri" w:hAnsi="Verdana" w:cs="Arial"/>
          <w:color w:val="000000" w:themeColor="text1"/>
          <w:lang w:val="es-ES_tradnl"/>
        </w:rPr>
        <w:tab/>
        <w:t xml:space="preserve">Como se observa, no se trata de una declaración de nulidad total y, por ello, salvo la expresión anulada, dichos actos administrativos continúan vigentes. De esta manera, “Las entidades que contratan con cargo a recursos públicos están obligadas a publicar oportunamente </w:t>
      </w:r>
      <w:r w:rsidRPr="008B6D49">
        <w:rPr>
          <w:rFonts w:ascii="Verdana" w:eastAsia="Calibri" w:hAnsi="Verdana" w:cs="Arial"/>
          <w:b/>
          <w:bCs/>
          <w:strike/>
          <w:color w:val="000000" w:themeColor="text1"/>
          <w:lang w:val="es-ES_tradnl"/>
        </w:rPr>
        <w:t>su actividad contractual</w:t>
      </w:r>
      <w:r w:rsidRPr="008B6D49">
        <w:rPr>
          <w:rFonts w:ascii="Verdana" w:eastAsia="Calibri" w:hAnsi="Verdana" w:cs="Arial"/>
          <w:color w:val="000000" w:themeColor="text1"/>
          <w:lang w:val="es-ES_tradnl"/>
        </w:rPr>
        <w:t xml:space="preserve"> en el SECOP, sin que sea relevante para la exigencia de esta obligación su régimen jurídico, naturaleza de público o privado o la pertenencia a una u otra </w:t>
      </w:r>
      <w:r w:rsidRPr="008B6D49">
        <w:rPr>
          <w:rFonts w:ascii="Verdana" w:eastAsia="Calibri" w:hAnsi="Verdana" w:cs="Arial"/>
          <w:color w:val="000000" w:themeColor="text1"/>
          <w:lang w:val="es-ES_tradnl"/>
        </w:rPr>
        <w:lastRenderedPageBreak/>
        <w:t>rama del poder público […]” –</w:t>
      </w:r>
      <w:r w:rsidRPr="008B6D49">
        <w:rPr>
          <w:rFonts w:ascii="Verdana" w:hAnsi="Verdana"/>
        </w:rPr>
        <w:t xml:space="preserve"> </w:t>
      </w:r>
      <w:r w:rsidRPr="008B6D49">
        <w:rPr>
          <w:rFonts w:ascii="Verdana" w:eastAsia="Calibri" w:hAnsi="Verdana" w:cs="Arial"/>
          <w:color w:val="000000" w:themeColor="text1"/>
          <w:lang w:val="es-ES_tradnl"/>
        </w:rPr>
        <w:t xml:space="preserve">Circular Externa Nro. 1 del 21 de junio de 2013–. Por lo demás, la Agencia “[…] da alcance a la Circular Externa 1 de 2013 para establecer las condiciones de publicidad </w:t>
      </w:r>
      <w:r w:rsidRPr="008B6D49">
        <w:rPr>
          <w:rFonts w:ascii="Verdana" w:eastAsia="Calibri" w:hAnsi="Verdana" w:cs="Arial"/>
          <w:b/>
          <w:bCs/>
          <w:strike/>
          <w:color w:val="000000" w:themeColor="text1"/>
          <w:lang w:val="es-ES_tradnl"/>
        </w:rPr>
        <w:t>de la actividad contractual</w:t>
      </w:r>
      <w:r w:rsidRPr="008B6D49">
        <w:rPr>
          <w:rFonts w:ascii="Verdana" w:eastAsia="Calibri" w:hAnsi="Verdana" w:cs="Arial"/>
          <w:color w:val="000000" w:themeColor="text1"/>
          <w:lang w:val="es-ES_tradnl"/>
        </w:rPr>
        <w:t xml:space="preserve"> de las empresas industriales y comerciales del Estado, las sociedades de economía mixta y las empresas de servicios públicos domiciliarios que en su actividad comercial están en situación de competencia” –</w:t>
      </w:r>
      <w:r w:rsidRPr="008B6D49">
        <w:rPr>
          <w:rFonts w:ascii="Verdana" w:hAnsi="Verdana"/>
        </w:rPr>
        <w:t xml:space="preserve"> </w:t>
      </w:r>
      <w:r w:rsidRPr="008B6D49">
        <w:rPr>
          <w:rFonts w:ascii="Verdana" w:eastAsia="Calibri" w:hAnsi="Verdana" w:cs="Arial"/>
          <w:color w:val="000000" w:themeColor="text1"/>
          <w:lang w:val="es-ES_tradnl"/>
        </w:rPr>
        <w:t xml:space="preserve">Circular Externa No. 20 del 27 de agosto de 2015–. Es decir, incluso con la </w:t>
      </w:r>
      <w:r w:rsidRPr="00446A1E">
        <w:rPr>
          <w:rFonts w:ascii="Verdana" w:eastAsia="Calibri" w:hAnsi="Verdana" w:cs="Arial"/>
          <w:i/>
          <w:iCs/>
          <w:color w:val="000000" w:themeColor="text1"/>
          <w:lang w:val="es-ES_tradnl"/>
        </w:rPr>
        <w:t>nulidad parcial</w:t>
      </w:r>
      <w:r w:rsidRPr="008B6D49">
        <w:rPr>
          <w:rFonts w:ascii="Verdana" w:eastAsia="Calibri" w:hAnsi="Verdana" w:cs="Arial"/>
          <w:color w:val="000000" w:themeColor="text1"/>
          <w:lang w:val="es-ES_tradnl"/>
        </w:rPr>
        <w:t>, permanece la obligación de publicar en el SECOP, al margen de que las entidades se encuentren o no sometidas al EGCAP.</w:t>
      </w:r>
    </w:p>
    <w:p w14:paraId="0465BFD0" w14:textId="77777777" w:rsidR="005D1133" w:rsidRDefault="005D1133" w:rsidP="005D1133">
      <w:pPr>
        <w:spacing w:after="0" w:line="276" w:lineRule="auto"/>
        <w:jc w:val="both"/>
        <w:rPr>
          <w:rFonts w:ascii="Verdana" w:eastAsia="Calibri" w:hAnsi="Verdana" w:cs="Arial"/>
          <w:color w:val="000000" w:themeColor="text1"/>
          <w:lang w:val="es-ES_tradnl"/>
        </w:rPr>
      </w:pPr>
    </w:p>
    <w:p w14:paraId="4E7C3F7D" w14:textId="77777777" w:rsidR="005D1133" w:rsidRPr="008304D7" w:rsidRDefault="005D1133" w:rsidP="005D1133">
      <w:pPr>
        <w:spacing w:line="276" w:lineRule="auto"/>
        <w:jc w:val="both"/>
        <w:rPr>
          <w:rFonts w:ascii="Verdana" w:hAnsi="Verdana" w:cs="Arial"/>
        </w:rPr>
      </w:pPr>
      <w:proofErr w:type="spellStart"/>
      <w:r w:rsidRPr="008304D7">
        <w:rPr>
          <w:rFonts w:ascii="Verdana" w:eastAsia="Calibri" w:hAnsi="Verdana" w:cs="Arial"/>
          <w:color w:val="000000" w:themeColor="text1"/>
          <w:lang w:val="es-ES_tradnl"/>
        </w:rPr>
        <w:t>ii</w:t>
      </w:r>
      <w:proofErr w:type="spellEnd"/>
      <w:r w:rsidRPr="008304D7">
        <w:rPr>
          <w:rFonts w:ascii="Verdana" w:eastAsia="Calibri" w:hAnsi="Verdana" w:cs="Arial"/>
          <w:color w:val="000000" w:themeColor="text1"/>
          <w:lang w:val="es-ES_tradnl"/>
        </w:rPr>
        <w:t xml:space="preserve">. </w:t>
      </w:r>
      <w:r>
        <w:rPr>
          <w:rFonts w:ascii="Verdana" w:hAnsi="Verdana" w:cs="Arial"/>
        </w:rPr>
        <w:t>E</w:t>
      </w:r>
      <w:r w:rsidRPr="008304D7">
        <w:rPr>
          <w:rFonts w:ascii="Verdana" w:hAnsi="Verdana" w:cs="Arial"/>
        </w:rPr>
        <w:t xml:space="preserve">n armonía con el artículo 209 constitucional, el numeral 8 del artículo 3 de la Ley 1437 de 2011 dispone que “En virtud del principio de transparencia, la actividad administrativa es del dominio público, por consiguiente, toda persona puede conocer las actuaciones de la administración, salvo reserva legal”. Además, el numeral 9 </w:t>
      </w:r>
      <w:r w:rsidRPr="008304D7">
        <w:rPr>
          <w:rFonts w:ascii="Verdana" w:hAnsi="Verdana" w:cs="Arial"/>
          <w:i/>
          <w:iCs/>
        </w:rPr>
        <w:t>ibidem</w:t>
      </w:r>
      <w:r w:rsidRPr="008304D7">
        <w:rPr>
          <w:rFonts w:ascii="Verdana" w:hAnsi="Verdana" w:cs="Arial"/>
        </w:rPr>
        <w:t xml:space="preserve"> precisa lo siguiente: “En virtud del principio de publicidad, las autoridades darán a conocer al público y a los interesados, en forma sistemática y permanente, sin que medie petición alguna, sus actos, contratos y resoluciones, mediante las comunicaciones, notificaciones y publicaciones que ordene la ley, incluyendo el empleo de tecnologías que permitan difundir de manera masiva tal información de conformidad con lo dispuesto en este Código […]”.  </w:t>
      </w:r>
    </w:p>
    <w:p w14:paraId="0F9C8FB4" w14:textId="77777777" w:rsidR="005D1133" w:rsidRDefault="005D1133" w:rsidP="005D1133">
      <w:pPr>
        <w:widowControl w:val="0"/>
        <w:tabs>
          <w:tab w:val="left" w:pos="728"/>
        </w:tabs>
        <w:autoSpaceDE w:val="0"/>
        <w:autoSpaceDN w:val="0"/>
        <w:spacing w:after="0" w:line="276" w:lineRule="auto"/>
        <w:jc w:val="both"/>
        <w:rPr>
          <w:rFonts w:ascii="Verdana" w:eastAsia="Arial" w:hAnsi="Verdana" w:cs="Arial"/>
          <w:lang w:val="es-ES"/>
        </w:rPr>
      </w:pPr>
      <w:r w:rsidRPr="008304D7">
        <w:rPr>
          <w:rFonts w:ascii="Verdana" w:hAnsi="Verdana" w:cs="Arial"/>
        </w:rPr>
        <w:tab/>
      </w:r>
      <w:r w:rsidRPr="008304D7">
        <w:rPr>
          <w:rFonts w:ascii="Verdana" w:eastAsia="Arial" w:hAnsi="Verdana" w:cs="Arial"/>
          <w:lang w:val="es-ES"/>
        </w:rPr>
        <w:t>Para la Corte Constitucional el principio de publicidad es la garantía de las personas de conocer las actuaciones judiciales y administrativas y, con base en ese conocimiento, tener la posibilidad de exigir que se realicen conforme a la ley</w:t>
      </w:r>
      <w:r w:rsidRPr="008304D7">
        <w:rPr>
          <w:rFonts w:ascii="Verdana" w:eastAsia="Arial" w:hAnsi="Verdana" w:cs="Arial"/>
          <w:sz w:val="21"/>
          <w:szCs w:val="21"/>
          <w:vertAlign w:val="superscript"/>
          <w:lang w:val="es-ES"/>
        </w:rPr>
        <w:footnoteReference w:id="3"/>
      </w:r>
      <w:r w:rsidRPr="008304D7">
        <w:rPr>
          <w:rFonts w:ascii="Verdana" w:eastAsia="Arial" w:hAnsi="Verdana" w:cs="Arial"/>
          <w:sz w:val="21"/>
          <w:szCs w:val="21"/>
          <w:lang w:val="es-ES"/>
        </w:rPr>
        <w:t>.</w:t>
      </w:r>
      <w:r w:rsidRPr="008304D7">
        <w:rPr>
          <w:rFonts w:ascii="Verdana" w:eastAsia="Arial" w:hAnsi="Verdana" w:cs="Arial"/>
          <w:b/>
          <w:lang w:val="es-ES"/>
        </w:rPr>
        <w:t xml:space="preserve"> </w:t>
      </w:r>
      <w:r w:rsidRPr="008304D7">
        <w:rPr>
          <w:rFonts w:ascii="Verdana" w:eastAsia="Arial" w:hAnsi="Verdana" w:cs="Arial"/>
          <w:bCs/>
          <w:lang w:val="es-ES"/>
        </w:rPr>
        <w:t xml:space="preserve">Este </w:t>
      </w:r>
      <w:r w:rsidRPr="008304D7">
        <w:rPr>
          <w:rFonts w:ascii="Verdana" w:eastAsia="Arial" w:hAnsi="Verdana" w:cs="Arial"/>
          <w:lang w:val="es-ES"/>
        </w:rPr>
        <w:t>impone a las autoridades administrativas el deber de dar a conocer sus actos, contratos y decisiones, para que se divulguen y eventualmente se controlen las actuaciones.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r w:rsidRPr="008304D7">
        <w:rPr>
          <w:rFonts w:ascii="Verdana" w:eastAsia="Arial" w:hAnsi="Verdana" w:cs="Arial"/>
          <w:vertAlign w:val="superscript"/>
          <w:lang w:val="es-ES"/>
        </w:rPr>
        <w:footnoteReference w:id="4"/>
      </w:r>
      <w:r w:rsidRPr="008304D7">
        <w:rPr>
          <w:rFonts w:ascii="Verdana" w:eastAsia="Arial" w:hAnsi="Verdana" w:cs="Arial"/>
          <w:lang w:val="es-ES"/>
        </w:rPr>
        <w:t xml:space="preserve">. </w:t>
      </w:r>
    </w:p>
    <w:p w14:paraId="0441B872" w14:textId="77777777" w:rsidR="005D1133" w:rsidRDefault="005D1133" w:rsidP="005D1133">
      <w:pPr>
        <w:widowControl w:val="0"/>
        <w:tabs>
          <w:tab w:val="left" w:pos="728"/>
        </w:tabs>
        <w:autoSpaceDE w:val="0"/>
        <w:autoSpaceDN w:val="0"/>
        <w:spacing w:after="0" w:line="276" w:lineRule="auto"/>
        <w:jc w:val="both"/>
        <w:rPr>
          <w:rFonts w:ascii="Verdana" w:eastAsia="Arial" w:hAnsi="Verdana" w:cs="Arial"/>
          <w:lang w:val="es-ES"/>
        </w:rPr>
      </w:pPr>
    </w:p>
    <w:p w14:paraId="684DAEE6" w14:textId="77777777" w:rsidR="005D1133" w:rsidRPr="008304D7" w:rsidRDefault="005D1133" w:rsidP="005D1133">
      <w:pPr>
        <w:widowControl w:val="0"/>
        <w:tabs>
          <w:tab w:val="left" w:pos="728"/>
        </w:tabs>
        <w:autoSpaceDE w:val="0"/>
        <w:autoSpaceDN w:val="0"/>
        <w:spacing w:after="120" w:line="276" w:lineRule="auto"/>
        <w:jc w:val="both"/>
        <w:rPr>
          <w:rFonts w:ascii="Verdana" w:eastAsia="Arial" w:hAnsi="Verdana" w:cs="Arial"/>
          <w:lang w:val="es-ES"/>
        </w:rPr>
      </w:pPr>
      <w:proofErr w:type="spellStart"/>
      <w:r>
        <w:rPr>
          <w:rFonts w:ascii="Verdana" w:eastAsia="Arial" w:hAnsi="Verdana" w:cs="Arial"/>
          <w:lang w:val="es-ES"/>
        </w:rPr>
        <w:t>iii</w:t>
      </w:r>
      <w:proofErr w:type="spellEnd"/>
      <w:r>
        <w:rPr>
          <w:rFonts w:ascii="Verdana" w:eastAsia="Arial" w:hAnsi="Verdana" w:cs="Arial"/>
          <w:lang w:val="es-ES"/>
        </w:rPr>
        <w:t xml:space="preserve">. </w:t>
      </w:r>
      <w:r w:rsidRPr="008304D7">
        <w:rPr>
          <w:rFonts w:ascii="Verdana" w:eastAsia="Arial" w:hAnsi="Verdana" w:cs="Arial"/>
          <w:lang w:val="es-ES"/>
        </w:rPr>
        <w:t xml:space="preserve">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14:paraId="073BA452" w14:textId="77777777" w:rsidR="005D1133" w:rsidRPr="008304D7" w:rsidRDefault="005D1133" w:rsidP="005D1133">
      <w:pPr>
        <w:widowControl w:val="0"/>
        <w:tabs>
          <w:tab w:val="left" w:pos="728"/>
        </w:tabs>
        <w:autoSpaceDE w:val="0"/>
        <w:autoSpaceDN w:val="0"/>
        <w:spacing w:after="120" w:line="276" w:lineRule="auto"/>
        <w:jc w:val="both"/>
        <w:rPr>
          <w:rFonts w:ascii="Verdana" w:eastAsia="Arial" w:hAnsi="Verdana" w:cs="Arial"/>
          <w:lang w:val="es-ES"/>
        </w:rPr>
      </w:pPr>
      <w:r w:rsidRPr="008304D7">
        <w:rPr>
          <w:rFonts w:ascii="Verdana" w:eastAsia="Arial" w:hAnsi="Verdana" w:cs="Arial"/>
          <w:lang w:val="es-ES"/>
        </w:rPr>
        <w:tab/>
        <w:t xml:space="preserve">La ley citada establece, en el literal </w:t>
      </w:r>
      <w:r>
        <w:rPr>
          <w:rFonts w:ascii="Verdana" w:eastAsia="Arial" w:hAnsi="Verdana" w:cs="Arial"/>
          <w:lang w:val="es-ES"/>
        </w:rPr>
        <w:t>a</w:t>
      </w:r>
      <w:r w:rsidRPr="008304D7">
        <w:rPr>
          <w:rFonts w:ascii="Verdana" w:eastAsia="Arial" w:hAnsi="Verdana" w:cs="Arial"/>
          <w:lang w:val="es-ES"/>
        </w:rPr>
        <w:t xml:space="preserve">) del artículo </w:t>
      </w:r>
      <w:r>
        <w:rPr>
          <w:rFonts w:ascii="Verdana" w:eastAsia="Arial" w:hAnsi="Verdana" w:cs="Arial"/>
          <w:lang w:val="es-ES"/>
        </w:rPr>
        <w:t>5</w:t>
      </w:r>
      <w:r w:rsidRPr="008304D7">
        <w:rPr>
          <w:rFonts w:ascii="Verdana" w:eastAsia="Arial" w:hAnsi="Verdana" w:cs="Arial"/>
          <w:lang w:val="es-ES"/>
        </w:rPr>
        <w:t>, que los sujetos obligados, que son todas las entidades públicas, deben publicar la información relativa a su contratación</w:t>
      </w:r>
      <w:r w:rsidRPr="008304D7">
        <w:rPr>
          <w:rFonts w:ascii="Verdana" w:eastAsia="Arial" w:hAnsi="Verdana" w:cs="Arial"/>
          <w:vertAlign w:val="superscript"/>
          <w:lang w:val="es-ES"/>
        </w:rPr>
        <w:footnoteReference w:id="5"/>
      </w:r>
      <w:r w:rsidRPr="008304D7">
        <w:rPr>
          <w:rFonts w:ascii="Verdana" w:eastAsia="Arial" w:hAnsi="Verdana" w:cs="Arial"/>
          <w:lang w:val="es-ES"/>
        </w:rPr>
        <w:t>. Esta obligación fue en principio desarrollada por el 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–SECOP–</w:t>
      </w:r>
      <w:r w:rsidRPr="008304D7">
        <w:rPr>
          <w:rFonts w:ascii="Verdana" w:eastAsia="Arial" w:hAnsi="Verdana" w:cs="Arial"/>
          <w:vertAlign w:val="superscript"/>
          <w:lang w:val="es-ES"/>
        </w:rPr>
        <w:footnoteReference w:id="6"/>
      </w:r>
      <w:r w:rsidRPr="008304D7">
        <w:rPr>
          <w:rFonts w:ascii="Verdana" w:eastAsia="Arial" w:hAnsi="Verdana" w:cs="Arial"/>
          <w:lang w:val="es-ES"/>
        </w:rPr>
        <w:t>.</w:t>
      </w:r>
    </w:p>
    <w:p w14:paraId="161B8D72" w14:textId="77777777" w:rsidR="005D1133" w:rsidRDefault="005D1133" w:rsidP="005D1133">
      <w:pPr>
        <w:widowControl w:val="0"/>
        <w:tabs>
          <w:tab w:val="left" w:pos="728"/>
        </w:tabs>
        <w:autoSpaceDE w:val="0"/>
        <w:autoSpaceDN w:val="0"/>
        <w:spacing w:after="0" w:line="276" w:lineRule="auto"/>
        <w:jc w:val="both"/>
        <w:rPr>
          <w:rFonts w:ascii="Verdana" w:eastAsia="Arial" w:hAnsi="Verdana" w:cs="Arial"/>
          <w:lang w:val="es-ES"/>
        </w:rPr>
      </w:pPr>
      <w:r w:rsidRPr="008304D7">
        <w:rPr>
          <w:rFonts w:ascii="Verdana" w:eastAsia="Arial" w:hAnsi="Verdana" w:cs="Arial"/>
          <w:lang w:val="es-ES"/>
        </w:rPr>
        <w:tab/>
        <w:t xml:space="preserve">Asimismo, de acuerdo con el literal g) del artículo 11 de la misma Ley, los destinatarios de la ley de transparencia deben garantizar la publicidad de “sus procedimientos, lineamientos, políticas en materia de adquisiciones y compras, </w:t>
      </w:r>
      <w:r w:rsidRPr="008304D7">
        <w:rPr>
          <w:rFonts w:ascii="Verdana" w:eastAsia="Arial" w:hAnsi="Verdana" w:cs="Arial"/>
          <w:lang w:val="es-ES"/>
        </w:rPr>
        <w:lastRenderedPageBreak/>
        <w:t>así como todos los datos de adjudicación y ejecución de contratos, incluidos concursos y licitaciones”, y esta información también debe estar en el SECOP conforme a lo explicado en el párrafo precedente.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8304D7">
        <w:rPr>
          <w:rFonts w:ascii="Verdana" w:eastAsia="Arial" w:hAnsi="Verdana" w:cs="Arial"/>
          <w:vertAlign w:val="superscript"/>
          <w:lang w:val="es-ES"/>
        </w:rPr>
        <w:footnoteReference w:id="7"/>
      </w:r>
      <w:r w:rsidRPr="008304D7">
        <w:rPr>
          <w:rFonts w:ascii="Verdana" w:eastAsia="Arial" w:hAnsi="Verdana" w:cs="Arial"/>
          <w:lang w:val="es-ES"/>
        </w:rPr>
        <w:t>.</w:t>
      </w:r>
    </w:p>
    <w:p w14:paraId="3A0E15F9" w14:textId="77777777" w:rsidR="005D1133" w:rsidRPr="008304D7" w:rsidRDefault="005D1133" w:rsidP="005D1133">
      <w:pPr>
        <w:widowControl w:val="0"/>
        <w:tabs>
          <w:tab w:val="left" w:pos="728"/>
        </w:tabs>
        <w:autoSpaceDE w:val="0"/>
        <w:autoSpaceDN w:val="0"/>
        <w:spacing w:after="0" w:line="276" w:lineRule="auto"/>
        <w:jc w:val="both"/>
        <w:rPr>
          <w:rFonts w:ascii="Verdana" w:eastAsia="Arial" w:hAnsi="Verdana" w:cs="Arial"/>
          <w:lang w:val="es-ES"/>
        </w:rPr>
      </w:pPr>
    </w:p>
    <w:p w14:paraId="496DB6D7" w14:textId="77777777" w:rsidR="005D1133" w:rsidRPr="008304D7" w:rsidRDefault="005D1133" w:rsidP="005D1133">
      <w:pPr>
        <w:spacing w:line="276" w:lineRule="auto"/>
        <w:contextualSpacing/>
        <w:jc w:val="both"/>
        <w:rPr>
          <w:rFonts w:ascii="Verdana" w:eastAsia="Calibri" w:hAnsi="Verdana" w:cs="Arial"/>
          <w:lang w:val="es-ES_tradnl" w:eastAsia="es-ES_tradnl"/>
        </w:rPr>
      </w:pPr>
      <w:proofErr w:type="spellStart"/>
      <w:r>
        <w:rPr>
          <w:rFonts w:ascii="Verdana" w:hAnsi="Verdana" w:cs="Arial"/>
          <w:lang w:val="es-ES"/>
        </w:rPr>
        <w:t>iv</w:t>
      </w:r>
      <w:proofErr w:type="spellEnd"/>
      <w:r>
        <w:rPr>
          <w:rFonts w:ascii="Verdana" w:hAnsi="Verdana" w:cs="Arial"/>
          <w:lang w:val="es-ES"/>
        </w:rPr>
        <w:t xml:space="preserve">. </w:t>
      </w:r>
      <w:r w:rsidRPr="008304D7">
        <w:rPr>
          <w:rFonts w:ascii="Verdana" w:hAnsi="Verdana" w:cs="Arial"/>
          <w:lang w:val="es-ES"/>
        </w:rPr>
        <w:t xml:space="preserve">Tratándose de los contratos de régimen exceptuado, el deber de publicidad y transparencia </w:t>
      </w:r>
      <w:bookmarkStart w:id="5" w:name="_Hlk114572097"/>
      <w:bookmarkStart w:id="6" w:name="_Hlk112856043"/>
      <w:bookmarkStart w:id="7" w:name="_Hlk112245356"/>
      <w:r w:rsidRPr="008304D7">
        <w:rPr>
          <w:rFonts w:ascii="Verdana" w:hAnsi="Verdana" w:cs="Arial"/>
          <w:lang w:val="es-ES"/>
        </w:rPr>
        <w:t>fue complementado</w:t>
      </w:r>
      <w:r w:rsidRPr="008304D7">
        <w:rPr>
          <w:rFonts w:ascii="Verdana" w:hAnsi="Verdana" w:cs="Arial"/>
        </w:rPr>
        <w:t xml:space="preserve"> con la Ley 2195 de 2022. </w:t>
      </w:r>
      <w:r w:rsidRPr="008304D7">
        <w:rPr>
          <w:rFonts w:ascii="Verdana" w:eastAsia="Calibri" w:hAnsi="Verdana" w:cs="Arial"/>
          <w:lang w:val="es-ES_tradnl" w:eastAsia="es-ES_tradnl"/>
        </w:rPr>
        <w:t>Según el artículo 1, esta Ley “</w:t>
      </w:r>
      <w:r w:rsidRPr="008304D7">
        <w:rPr>
          <w:rFonts w:ascii="Verdana" w:eastAsia="Times New Roman" w:hAnsi="Verdana" w:cs="Arial"/>
          <w:lang w:val="es-ES_tradnl" w:eastAsia="es-ES_tradnl"/>
        </w:rPr>
        <w:t xml:space="preserve">[…] </w:t>
      </w:r>
      <w:r w:rsidRPr="008304D7">
        <w:rPr>
          <w:rFonts w:ascii="Verdana" w:eastAsia="Calibri" w:hAnsi="Verdana"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110C3797" w14:textId="77777777" w:rsidR="005D1133" w:rsidRPr="008304D7" w:rsidRDefault="005D1133" w:rsidP="005D1133">
      <w:pPr>
        <w:spacing w:line="276" w:lineRule="auto"/>
        <w:ind w:firstLine="709"/>
        <w:contextualSpacing/>
        <w:jc w:val="both"/>
        <w:rPr>
          <w:rFonts w:ascii="Verdana" w:eastAsia="Calibri" w:hAnsi="Verdana" w:cs="Arial"/>
          <w:sz w:val="12"/>
          <w:szCs w:val="12"/>
          <w:lang w:val="es-ES_tradnl" w:eastAsia="es-ES_tradnl"/>
        </w:rPr>
      </w:pPr>
    </w:p>
    <w:p w14:paraId="1CBD5B66" w14:textId="77777777" w:rsidR="005D1133" w:rsidRPr="008304D7" w:rsidRDefault="005D1133" w:rsidP="005D1133">
      <w:pPr>
        <w:spacing w:line="276" w:lineRule="auto"/>
        <w:ind w:firstLine="709"/>
        <w:contextualSpacing/>
        <w:jc w:val="both"/>
        <w:rPr>
          <w:rFonts w:ascii="Verdana" w:hAnsi="Verdana" w:cs="Arial"/>
        </w:rPr>
      </w:pPr>
      <w:r w:rsidRPr="008304D7">
        <w:rPr>
          <w:rFonts w:ascii="Verdana" w:eastAsia="Calibri" w:hAnsi="Verdana" w:cs="Arial"/>
          <w:lang w:val="es-ES_tradnl" w:eastAsia="es-ES_tradnl"/>
        </w:rPr>
        <w:t xml:space="preserve">Dentro del capítulo VIII, por el cual se expiden “Disposiciones en materia contractual para la moralización y la transparencia”, se ubica </w:t>
      </w:r>
      <w:r w:rsidRPr="008304D7">
        <w:rPr>
          <w:rFonts w:ascii="Verdana" w:hAnsi="Verdana" w:cs="Arial"/>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w:t>
      </w:r>
      <w:bookmarkEnd w:id="5"/>
      <w:r w:rsidRPr="008304D7">
        <w:rPr>
          <w:rFonts w:ascii="Verdana" w:hAnsi="Verdana" w:cs="Arial"/>
        </w:rPr>
        <w:t xml:space="preserve"> </w:t>
      </w:r>
      <w:bookmarkEnd w:id="6"/>
      <w:bookmarkEnd w:id="7"/>
      <w:r w:rsidRPr="008304D7">
        <w:rPr>
          <w:rFonts w:ascii="Verdana" w:hAnsi="Verdana" w:cs="Arial"/>
        </w:rPr>
        <w:t>Al respecto, la norma citada dispone lo siguiente:</w:t>
      </w:r>
    </w:p>
    <w:p w14:paraId="27680CBB" w14:textId="77777777" w:rsidR="005D1133" w:rsidRPr="008304D7" w:rsidRDefault="005D1133" w:rsidP="005D1133">
      <w:pPr>
        <w:spacing w:line="276" w:lineRule="auto"/>
        <w:ind w:firstLine="301"/>
        <w:contextualSpacing/>
        <w:rPr>
          <w:rFonts w:ascii="Verdana" w:hAnsi="Verdana" w:cs="Arial"/>
        </w:rPr>
      </w:pPr>
    </w:p>
    <w:p w14:paraId="5DBD3002" w14:textId="77777777" w:rsidR="005D1133" w:rsidRPr="008304D7" w:rsidRDefault="005D1133" w:rsidP="005D1133">
      <w:pPr>
        <w:spacing w:line="240" w:lineRule="auto"/>
        <w:ind w:left="709" w:right="709"/>
        <w:contextualSpacing/>
        <w:jc w:val="both"/>
        <w:rPr>
          <w:rFonts w:ascii="Verdana" w:eastAsia="Calibri" w:hAnsi="Verdana" w:cs="Arial"/>
          <w:sz w:val="21"/>
          <w:szCs w:val="21"/>
        </w:rPr>
      </w:pPr>
      <w:r w:rsidRPr="008304D7">
        <w:rPr>
          <w:rFonts w:ascii="Verdana" w:eastAsia="Calibri" w:hAnsi="Verdana" w:cs="Arial"/>
          <w:sz w:val="21"/>
          <w:szCs w:val="21"/>
        </w:rPr>
        <w:t>“Adiciónese los siguientes incisos al artículo 13 de la Ley 1150 de 2007, el cual quedará así:</w:t>
      </w:r>
    </w:p>
    <w:p w14:paraId="3DE7A0E8" w14:textId="77777777" w:rsidR="005D1133" w:rsidRPr="008304D7" w:rsidRDefault="005D1133" w:rsidP="005D1133">
      <w:pPr>
        <w:spacing w:line="240" w:lineRule="auto"/>
        <w:ind w:left="709" w:right="709"/>
        <w:contextualSpacing/>
        <w:jc w:val="both"/>
        <w:rPr>
          <w:rFonts w:ascii="Verdana" w:eastAsia="Calibri" w:hAnsi="Verdana" w:cs="Arial"/>
          <w:sz w:val="12"/>
          <w:szCs w:val="12"/>
        </w:rPr>
      </w:pPr>
    </w:p>
    <w:p w14:paraId="7A14B87F" w14:textId="77777777" w:rsidR="005D1133" w:rsidRPr="008304D7" w:rsidRDefault="005D1133" w:rsidP="005D1133">
      <w:pPr>
        <w:spacing w:line="240" w:lineRule="auto"/>
        <w:ind w:left="709" w:right="709"/>
        <w:contextualSpacing/>
        <w:jc w:val="both"/>
        <w:rPr>
          <w:rFonts w:ascii="Verdana" w:eastAsia="Calibri" w:hAnsi="Verdana" w:cs="Arial"/>
          <w:sz w:val="21"/>
          <w:szCs w:val="21"/>
        </w:rPr>
      </w:pPr>
      <w:r w:rsidRPr="008304D7">
        <w:rPr>
          <w:rFonts w:ascii="Verdana" w:eastAsia="Calibri" w:hAnsi="Verdana" w:cs="Arial"/>
          <w:sz w:val="21"/>
          <w:szCs w:val="21"/>
        </w:rPr>
        <w:t xml:space="preserve">Artículo 13. PRINCIPIOS GENERALES DE LA ACTIVIDAD CONTRACTUAL PARA ENTIDADES NO SOMETIDAS AL ESTATUTO GENERAL DE CONTRATACIÓN DE LA ADMINISTRACIÓN PÚBLICA. </w:t>
      </w:r>
      <w:bookmarkStart w:id="8" w:name="_Hlk153374976"/>
      <w:r w:rsidRPr="008304D7">
        <w:rPr>
          <w:rFonts w:ascii="Verdana" w:eastAsia="Calibri" w:hAnsi="Verdana" w:cs="Arial"/>
          <w:sz w:val="21"/>
          <w:szCs w:val="21"/>
        </w:rPr>
        <w:t>Las entidades estatales que por disposición legal cuenten con un régimen contractual excepcional al del Estatuto General de Contratación de la Administración Pública</w:t>
      </w:r>
      <w:bookmarkEnd w:id="8"/>
      <w:r w:rsidRPr="008304D7">
        <w:rPr>
          <w:rFonts w:ascii="Verdana" w:eastAsia="Calibri" w:hAnsi="Verdana" w:cs="Arial"/>
          <w:sz w:val="21"/>
          <w:szCs w:val="21"/>
        </w:rPr>
        <w:t>,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07F6E6A3" w14:textId="77777777" w:rsidR="005D1133" w:rsidRPr="008304D7" w:rsidRDefault="005D1133" w:rsidP="005D1133">
      <w:pPr>
        <w:spacing w:line="240" w:lineRule="auto"/>
        <w:ind w:left="709" w:right="709"/>
        <w:contextualSpacing/>
        <w:jc w:val="both"/>
        <w:rPr>
          <w:rFonts w:ascii="Verdana" w:eastAsia="Calibri" w:hAnsi="Verdana" w:cs="Arial"/>
          <w:sz w:val="12"/>
          <w:szCs w:val="12"/>
        </w:rPr>
      </w:pPr>
    </w:p>
    <w:p w14:paraId="25FAB07E" w14:textId="77777777" w:rsidR="005D1133" w:rsidRPr="00904EDB" w:rsidRDefault="005D1133" w:rsidP="005D1133">
      <w:pPr>
        <w:spacing w:line="240" w:lineRule="auto"/>
        <w:ind w:left="709" w:right="709"/>
        <w:contextualSpacing/>
        <w:jc w:val="both"/>
        <w:rPr>
          <w:rFonts w:ascii="Verdana" w:eastAsia="Calibri" w:hAnsi="Verdana" w:cs="Arial"/>
          <w:sz w:val="21"/>
          <w:szCs w:val="21"/>
        </w:rPr>
      </w:pPr>
      <w:r w:rsidRPr="00904EDB">
        <w:rPr>
          <w:rFonts w:ascii="Verdana" w:eastAsia="Calibri" w:hAnsi="Verdana" w:cs="Arial"/>
          <w:sz w:val="21"/>
          <w:szCs w:val="21"/>
        </w:rPr>
        <w:t xml:space="preserve">En desarrollo de los anteriores principios, </w:t>
      </w:r>
      <w:bookmarkStart w:id="9" w:name="_Hlk153375008"/>
      <w:r w:rsidRPr="00904EDB">
        <w:rPr>
          <w:rFonts w:ascii="Verdana" w:eastAsia="Calibri" w:hAnsi="Verdana" w:cs="Arial"/>
          <w:sz w:val="21"/>
          <w:szCs w:val="21"/>
        </w:rPr>
        <w:t>deberán publicar los documentos relacionados con su actividad contractual en el Sistema Electrónico para la Contratación Pública –SECOP II– o la plataforma transaccional que haga sus veces</w:t>
      </w:r>
      <w:bookmarkEnd w:id="9"/>
      <w:r w:rsidRPr="00904EDB">
        <w:rPr>
          <w:rFonts w:ascii="Verdana" w:eastAsia="Calibri" w:hAnsi="Verdana" w:cs="Arial"/>
          <w:sz w:val="21"/>
          <w:szCs w:val="21"/>
        </w:rPr>
        <w:t xml:space="preserve">. Para los efectos de este artículo, se entiende por actividad contractual </w:t>
      </w:r>
      <w:bookmarkStart w:id="10" w:name="_Hlk153375262"/>
      <w:r w:rsidRPr="00904EDB">
        <w:rPr>
          <w:rFonts w:ascii="Verdana" w:eastAsia="Calibri" w:hAnsi="Verdana" w:cs="Arial"/>
          <w:sz w:val="21"/>
          <w:szCs w:val="21"/>
        </w:rPr>
        <w:t xml:space="preserve">los documentos, contratos, actos e información generada por oferentes, contratista, contratante, supervisor o interventor, tanto en la etapa precontractual, como en la contractual y la </w:t>
      </w:r>
      <w:proofErr w:type="spellStart"/>
      <w:r w:rsidRPr="00904EDB">
        <w:rPr>
          <w:rFonts w:ascii="Verdana" w:eastAsia="Calibri" w:hAnsi="Verdana" w:cs="Arial"/>
          <w:sz w:val="21"/>
          <w:szCs w:val="21"/>
        </w:rPr>
        <w:t>postcontractual</w:t>
      </w:r>
      <w:bookmarkEnd w:id="10"/>
      <w:proofErr w:type="spellEnd"/>
      <w:r w:rsidRPr="00904EDB">
        <w:rPr>
          <w:rFonts w:ascii="Verdana" w:eastAsia="Calibri" w:hAnsi="Verdana" w:cs="Arial"/>
          <w:sz w:val="21"/>
          <w:szCs w:val="21"/>
        </w:rPr>
        <w:t>.</w:t>
      </w:r>
    </w:p>
    <w:p w14:paraId="1D518ADF" w14:textId="77777777" w:rsidR="005D1133" w:rsidRPr="008304D7" w:rsidRDefault="005D1133" w:rsidP="005D1133">
      <w:pPr>
        <w:spacing w:line="240" w:lineRule="auto"/>
        <w:ind w:left="709" w:right="709"/>
        <w:contextualSpacing/>
        <w:jc w:val="both"/>
        <w:rPr>
          <w:rFonts w:ascii="Verdana" w:eastAsia="Calibri" w:hAnsi="Verdana" w:cs="Arial"/>
          <w:i/>
          <w:iCs/>
          <w:sz w:val="12"/>
          <w:szCs w:val="12"/>
        </w:rPr>
      </w:pPr>
    </w:p>
    <w:p w14:paraId="5C495039" w14:textId="77777777" w:rsidR="005D1133" w:rsidRPr="008304D7" w:rsidRDefault="005D1133" w:rsidP="005D1133">
      <w:pPr>
        <w:spacing w:line="240" w:lineRule="auto"/>
        <w:ind w:left="709" w:right="709"/>
        <w:contextualSpacing/>
        <w:jc w:val="both"/>
        <w:rPr>
          <w:rFonts w:ascii="Verdana" w:eastAsia="Calibri" w:hAnsi="Verdana" w:cs="Arial"/>
          <w:sz w:val="21"/>
          <w:szCs w:val="21"/>
        </w:rPr>
      </w:pPr>
      <w:r w:rsidRPr="008304D7">
        <w:rPr>
          <w:rFonts w:ascii="Verdana" w:eastAsia="Calibri" w:hAnsi="Verdana" w:cs="Arial"/>
          <w:sz w:val="21"/>
          <w:szCs w:val="21"/>
        </w:rPr>
        <w:t xml:space="preserve">A partir de la </w:t>
      </w:r>
      <w:proofErr w:type="gramStart"/>
      <w:r w:rsidRPr="008304D7">
        <w:rPr>
          <w:rFonts w:ascii="Verdana" w:eastAsia="Calibri" w:hAnsi="Verdana" w:cs="Arial"/>
          <w:sz w:val="21"/>
          <w:szCs w:val="21"/>
        </w:rPr>
        <w:t>entrada en vigencia</w:t>
      </w:r>
      <w:proofErr w:type="gramEnd"/>
      <w:r w:rsidRPr="008304D7">
        <w:rPr>
          <w:rFonts w:ascii="Verdana" w:eastAsia="Calibri" w:hAnsi="Verdana" w:cs="Arial"/>
          <w:sz w:val="21"/>
          <w:szCs w:val="21"/>
        </w:rPr>
        <w:t xml:space="preserve"> de la presente Ley, se establecerá un periodo de transición de seis (6) meses, para que las entidades den cumplimiento efectivo a lo aquí establecido”.</w:t>
      </w:r>
    </w:p>
    <w:p w14:paraId="039771ED" w14:textId="77777777" w:rsidR="005D1133" w:rsidRPr="008304D7" w:rsidRDefault="005D1133" w:rsidP="005D1133">
      <w:pPr>
        <w:spacing w:line="276" w:lineRule="auto"/>
        <w:ind w:firstLine="709"/>
        <w:contextualSpacing/>
        <w:jc w:val="both"/>
        <w:rPr>
          <w:rFonts w:ascii="Verdana" w:eastAsia="Calibri" w:hAnsi="Verdana" w:cs="Arial"/>
          <w:lang w:val="es-ES_tradnl"/>
        </w:rPr>
      </w:pPr>
    </w:p>
    <w:p w14:paraId="63FA550E" w14:textId="77777777" w:rsidR="005D1133" w:rsidRPr="00904EDB" w:rsidRDefault="005D1133" w:rsidP="005D1133">
      <w:pPr>
        <w:spacing w:after="120" w:line="276" w:lineRule="auto"/>
        <w:ind w:firstLine="709"/>
        <w:jc w:val="both"/>
        <w:rPr>
          <w:rFonts w:ascii="Verdana" w:eastAsia="Calibri" w:hAnsi="Verdana" w:cs="Arial"/>
          <w:lang w:val="es-ES_tradnl"/>
        </w:rPr>
      </w:pPr>
      <w:bookmarkStart w:id="11" w:name="_Hlk114556636"/>
      <w:r w:rsidRPr="00904EDB">
        <w:rPr>
          <w:rFonts w:ascii="Verdana" w:hAnsi="Verdana" w:cs="Arial"/>
        </w:rPr>
        <w:t xml:space="preserve">Conforme a lo anterior, a partir del 18 de julio de 2022, las entidades exceptuadas se encuentran obligadas a publicar todos los documentos de su actividad contractual en el SECOP II, sin perjuicio de estar sometidas a regímenes de derecho privado. Siendo este el efecto de la disposición bajo estudio se destaca que </w:t>
      </w:r>
      <w:r w:rsidRPr="00904EDB">
        <w:rPr>
          <w:rFonts w:ascii="Verdana" w:eastAsia="Calibri" w:hAnsi="Verdana" w:cs="Arial"/>
          <w:lang w:val="es-ES_tradnl"/>
        </w:rPr>
        <w:t xml:space="preserve">la modificación introducida por el artículo 53 de la Ley 2195 de 2022 de ninguna manera puede ser interpretada como una modificación del régimen jurídico de las entidades exceptuadas, ni como una norma que regule la forma en la que se perfeccionan los contratos de régimen especial. </w:t>
      </w:r>
    </w:p>
    <w:bookmarkEnd w:id="11"/>
    <w:p w14:paraId="159DF0A0" w14:textId="77777777" w:rsidR="005D1133" w:rsidRDefault="005D1133" w:rsidP="005D1133">
      <w:pPr>
        <w:spacing w:after="0" w:line="276" w:lineRule="auto"/>
        <w:ind w:firstLine="709"/>
        <w:jc w:val="both"/>
        <w:rPr>
          <w:rFonts w:ascii="Verdana" w:eastAsia="Calibri" w:hAnsi="Verdana" w:cs="Arial"/>
          <w:lang w:val="es-ES"/>
        </w:rPr>
      </w:pPr>
      <w:r w:rsidRPr="7C64C3F4">
        <w:rPr>
          <w:rFonts w:ascii="Verdana" w:eastAsia="Calibri" w:hAnsi="Verdana" w:cs="Arial"/>
          <w:lang w:val="es-ES"/>
        </w:rPr>
        <w:t>El efecto de la norma tampoco es el de imponer formalidades propias del régimen de contratación público en detrimento de las regulaciones establecidas en los manuales de contratación de las entidades exceptuadas. Esto dado que la referida disposición se limita a señalar el SECOP II –o la plataforma transaccional que haga sus veces– como el medio a través del cual les corresponderá a las entidades realizar la publicidad de los documentos que expidan en el curso de su actividad contractual desarrollada al margen del Estatuto General de Contratación de la Administración Pública.</w:t>
      </w:r>
    </w:p>
    <w:p w14:paraId="6724EB3C" w14:textId="77777777" w:rsidR="005D1133" w:rsidRDefault="005D1133" w:rsidP="005D1133">
      <w:pPr>
        <w:spacing w:after="0" w:line="276" w:lineRule="auto"/>
        <w:ind w:firstLine="709"/>
        <w:jc w:val="both"/>
        <w:rPr>
          <w:rFonts w:ascii="Verdana" w:eastAsia="Calibri" w:hAnsi="Verdana" w:cs="Arial"/>
          <w:lang w:val="es-ES_tradnl"/>
        </w:rPr>
      </w:pPr>
    </w:p>
    <w:p w14:paraId="0E615715" w14:textId="77777777" w:rsidR="005D1133" w:rsidRPr="00A11D7B" w:rsidRDefault="005D1133" w:rsidP="005D1133">
      <w:pPr>
        <w:spacing w:line="276" w:lineRule="auto"/>
        <w:jc w:val="both"/>
        <w:rPr>
          <w:rFonts w:ascii="Verdana" w:eastAsia="Calibri" w:hAnsi="Verdana" w:cs="Arial"/>
          <w:bCs/>
          <w:lang w:val="es-ES_tradnl"/>
        </w:rPr>
      </w:pPr>
      <w:r w:rsidRPr="709E16DE">
        <w:rPr>
          <w:rFonts w:ascii="Verdana" w:eastAsia="Calibri" w:hAnsi="Verdana" w:cs="Arial"/>
          <w:lang w:val="es-ES"/>
        </w:rPr>
        <w:t xml:space="preserve">v. </w:t>
      </w:r>
      <w:r>
        <w:rPr>
          <w:rFonts w:ascii="Verdana" w:eastAsia="Calibri" w:hAnsi="Verdana" w:cs="Arial"/>
          <w:bCs/>
          <w:lang w:val="es-ES_tradnl"/>
        </w:rPr>
        <w:t>L</w:t>
      </w:r>
      <w:r w:rsidRPr="007918E2">
        <w:rPr>
          <w:rFonts w:ascii="Verdana" w:eastAsia="Calibri" w:hAnsi="Verdana" w:cs="Arial"/>
          <w:bCs/>
          <w:lang w:val="es-ES_tradnl"/>
        </w:rPr>
        <w:t xml:space="preserve">a Ley 1562 de 2012, </w:t>
      </w:r>
      <w:r w:rsidRPr="007918E2">
        <w:rPr>
          <w:rFonts w:ascii="Verdana" w:eastAsia="Calibri" w:hAnsi="Verdana" w:cs="Arial"/>
          <w:lang w:val="es-MX"/>
        </w:rPr>
        <w:t>“</w:t>
      </w:r>
      <w:r w:rsidRPr="007918E2">
        <w:rPr>
          <w:rFonts w:ascii="Verdana" w:eastAsia="Calibri" w:hAnsi="Verdana" w:cs="Arial"/>
          <w:bCs/>
          <w:lang w:val="es-ES_tradnl"/>
        </w:rPr>
        <w:t xml:space="preserve">Por </w:t>
      </w:r>
      <w:r w:rsidRPr="007918E2">
        <w:rPr>
          <w:rFonts w:ascii="Verdana" w:eastAsia="Calibri" w:hAnsi="Verdana" w:cs="Arial"/>
          <w:bCs/>
        </w:rPr>
        <w:t>la cual se modifica el Sistema de Riesgos Laborales y se dictan otras disposiciones en materia de Salud Ocupacional</w:t>
      </w:r>
      <w:r w:rsidRPr="007918E2">
        <w:rPr>
          <w:rFonts w:ascii="Verdana" w:eastAsia="Calibri" w:hAnsi="Verdana" w:cs="Arial"/>
          <w:lang w:val="es-MX"/>
        </w:rPr>
        <w:t xml:space="preserve">” </w:t>
      </w:r>
      <w:r w:rsidRPr="007918E2">
        <w:rPr>
          <w:rFonts w:ascii="Verdana" w:eastAsia="Calibri" w:hAnsi="Verdana" w:cs="Arial"/>
          <w:bCs/>
          <w:lang w:val="es-ES_tradnl"/>
        </w:rPr>
        <w:t>reglamentada por el Decreto 723 de 2013‒compilado en el Decreto 1072 de 2015‒, define al Sistema de Riesgos Laborales como el conjunto de entidades públicas y privadas, normas y procedimientos destinados a prevenir, proteger y atender a los trabajadores de los efectos de las enfermedades y los accidentes.</w:t>
      </w:r>
      <w:r>
        <w:rPr>
          <w:rFonts w:ascii="Verdana" w:eastAsia="Calibri" w:hAnsi="Verdana" w:cs="Arial"/>
          <w:bCs/>
          <w:lang w:val="es-ES_tradnl"/>
        </w:rPr>
        <w:t xml:space="preserve"> Las Administradoras de Riesgos Laborales públicas y privadas hacen parte de este sistema y son las encargadas, entre otras funciones, del </w:t>
      </w:r>
      <w:r w:rsidRPr="000F577C">
        <w:rPr>
          <w:rFonts w:ascii="Verdana" w:eastAsia="Calibri" w:hAnsi="Verdana" w:cs="Arial"/>
          <w:bCs/>
        </w:rPr>
        <w:t>recaudo de las cotizaciones que hacen las empresas por sus trabajadores</w:t>
      </w:r>
      <w:r>
        <w:rPr>
          <w:rFonts w:ascii="Verdana" w:eastAsia="Calibri" w:hAnsi="Verdana" w:cs="Arial"/>
          <w:bCs/>
        </w:rPr>
        <w:t xml:space="preserve"> y de</w:t>
      </w:r>
      <w:r w:rsidRPr="001C7728">
        <w:rPr>
          <w:rFonts w:ascii="Verdana" w:eastAsia="Calibri" w:hAnsi="Verdana" w:cs="Arial"/>
          <w:bCs/>
        </w:rPr>
        <w:t xml:space="preserve">l pago de las </w:t>
      </w:r>
      <w:r w:rsidRPr="001C7728">
        <w:rPr>
          <w:rFonts w:ascii="Verdana" w:eastAsia="Calibri" w:hAnsi="Verdana" w:cs="Arial"/>
          <w:bCs/>
        </w:rPr>
        <w:lastRenderedPageBreak/>
        <w:t>prestaciones económicas como las incapacidades, pensiones de invalidez y de sobrevivientes que se puedan generar como consecuencia de los accidentes o enfermedades laborales</w:t>
      </w:r>
      <w:r>
        <w:rPr>
          <w:rStyle w:val="Refdenotaalpie"/>
          <w:rFonts w:ascii="Verdana" w:eastAsia="Calibri" w:hAnsi="Verdana" w:cs="Arial"/>
          <w:bCs/>
        </w:rPr>
        <w:footnoteReference w:id="8"/>
      </w:r>
      <w:r w:rsidRPr="001C7728">
        <w:rPr>
          <w:rFonts w:ascii="Verdana" w:eastAsia="Calibri" w:hAnsi="Verdana" w:cs="Arial"/>
          <w:bCs/>
        </w:rPr>
        <w:t>.</w:t>
      </w:r>
      <w:r w:rsidRPr="7C64C3F4">
        <w:rPr>
          <w:rFonts w:ascii="Verdana" w:eastAsia="Calibri" w:hAnsi="Verdana" w:cs="Arial"/>
          <w:lang w:val="es-ES"/>
        </w:rPr>
        <w:t xml:space="preserve"> </w:t>
      </w:r>
    </w:p>
    <w:p w14:paraId="475684E3" w14:textId="77777777" w:rsidR="005D1133" w:rsidRDefault="005D1133" w:rsidP="005D1133">
      <w:pPr>
        <w:spacing w:line="276" w:lineRule="auto"/>
        <w:jc w:val="both"/>
        <w:rPr>
          <w:rFonts w:ascii="Verdana" w:eastAsia="Calibri" w:hAnsi="Verdana" w:cs="Arial"/>
          <w:lang w:val="es-ES"/>
        </w:rPr>
      </w:pPr>
      <w:r>
        <w:rPr>
          <w:rFonts w:ascii="Verdana" w:eastAsia="Calibri" w:hAnsi="Verdana" w:cs="Arial"/>
          <w:lang w:val="es-ES_tradnl"/>
        </w:rPr>
        <w:tab/>
      </w:r>
      <w:r w:rsidRPr="7C64C3F4">
        <w:rPr>
          <w:rFonts w:ascii="Verdana" w:eastAsia="Calibri" w:hAnsi="Verdana" w:cs="Arial"/>
          <w:lang w:val="es-ES"/>
        </w:rPr>
        <w:t>Independientemente de la naturaleza jurídica</w:t>
      </w:r>
      <w:r>
        <w:rPr>
          <w:rFonts w:ascii="Verdana" w:eastAsia="Calibri" w:hAnsi="Verdana" w:cs="Arial"/>
          <w:lang w:val="es-ES"/>
        </w:rPr>
        <w:t xml:space="preserve"> de la ARL</w:t>
      </w:r>
      <w:r w:rsidRPr="7C64C3F4">
        <w:rPr>
          <w:rFonts w:ascii="Verdana" w:eastAsia="Calibri" w:hAnsi="Verdana" w:cs="Arial"/>
          <w:lang w:val="es-ES"/>
        </w:rPr>
        <w:t xml:space="preserve">, el literal c) artículo 3 de la Ley 1150 del 16 de julio de 2007 dispone que el SECOP “Contará con la información oficial de la contratación realizada con </w:t>
      </w:r>
      <w:r w:rsidRPr="7C64C3F4">
        <w:rPr>
          <w:rFonts w:ascii="Verdana" w:eastAsia="Calibri" w:hAnsi="Verdana" w:cs="Arial"/>
          <w:i/>
          <w:iCs/>
          <w:lang w:val="es-ES"/>
        </w:rPr>
        <w:t>dineros públicos</w:t>
      </w:r>
      <w:r w:rsidRPr="7C64C3F4">
        <w:rPr>
          <w:rFonts w:ascii="Verdana" w:eastAsia="Calibri" w:hAnsi="Verdana" w:cs="Arial"/>
          <w:lang w:val="es-ES"/>
        </w:rPr>
        <w:t xml:space="preserve">, para lo cual establecerá los patrones a que haya lugar y se encargará de su difusión a través de canales electrónicos” (Énfasis fuera de texto). Esto significa que el criterio determinante para que las </w:t>
      </w:r>
      <w:r>
        <w:rPr>
          <w:rFonts w:ascii="Verdana" w:eastAsia="Calibri" w:hAnsi="Verdana" w:cs="Arial"/>
          <w:lang w:val="es-ES"/>
        </w:rPr>
        <w:t>ARL</w:t>
      </w:r>
      <w:r w:rsidRPr="7C64C3F4">
        <w:rPr>
          <w:rFonts w:ascii="Verdana" w:eastAsia="Calibri" w:hAnsi="Verdana" w:cs="Arial"/>
          <w:lang w:val="es-ES"/>
        </w:rPr>
        <w:t xml:space="preserve"> de carácter privado estén obligadas a publicar en el SECOP radica en la celebración de contratos con recursos públicos. Es decir, en aquellos negocios jurídicos que no involucren recursos de esta naturaleza, no surge el deber de publicidad, ya que se trata de un interés netamente privado.</w:t>
      </w:r>
    </w:p>
    <w:p w14:paraId="5D34E483" w14:textId="77777777" w:rsidR="005D1133" w:rsidRDefault="005D1133" w:rsidP="005D1133">
      <w:pPr>
        <w:spacing w:after="0" w:line="276" w:lineRule="auto"/>
        <w:jc w:val="both"/>
        <w:rPr>
          <w:rFonts w:ascii="Verdana" w:eastAsia="Calibri" w:hAnsi="Verdana" w:cs="Arial"/>
          <w:lang w:val="es-ES_tradnl"/>
        </w:rPr>
      </w:pPr>
      <w:r>
        <w:rPr>
          <w:rFonts w:ascii="Verdana" w:eastAsia="Calibri" w:hAnsi="Verdana" w:cs="Arial"/>
          <w:lang w:val="es-ES_tradnl"/>
        </w:rPr>
        <w:tab/>
        <w:t xml:space="preserve">Dicha obligación surgió a partir 16 de enero de 2008, pues –pues salvo la vigencia inmediata de los artículos 9 y 17 de la Ley 1150 de 2007– el inciso primero del artículo 33 </w:t>
      </w:r>
      <w:r w:rsidRPr="00505788">
        <w:rPr>
          <w:rFonts w:ascii="Verdana" w:eastAsia="Calibri" w:hAnsi="Verdana" w:cs="Arial"/>
          <w:i/>
          <w:iCs/>
          <w:lang w:val="es-ES_tradnl"/>
        </w:rPr>
        <w:t>ibidem</w:t>
      </w:r>
      <w:r>
        <w:rPr>
          <w:rFonts w:ascii="Verdana" w:eastAsia="Calibri" w:hAnsi="Verdana" w:cs="Arial"/>
          <w:lang w:val="es-ES_tradnl"/>
        </w:rPr>
        <w:t xml:space="preserve"> dispone que “</w:t>
      </w:r>
      <w:r w:rsidRPr="00505788">
        <w:rPr>
          <w:rFonts w:ascii="Verdana" w:eastAsia="Calibri" w:hAnsi="Verdana" w:cs="Arial"/>
          <w:lang w:val="es-ES_tradnl"/>
        </w:rPr>
        <w:t>La presente ley empieza a regir seis (6) meses después de su promulgación, con excepción del artículo 6o que entrará a regir a los dieciocho (18) meses de su promulgación</w:t>
      </w:r>
      <w:r>
        <w:rPr>
          <w:rFonts w:ascii="Verdana" w:eastAsia="Calibri" w:hAnsi="Verdana" w:cs="Arial"/>
          <w:lang w:val="es-ES_tradnl"/>
        </w:rPr>
        <w:t>”</w:t>
      </w:r>
      <w:r w:rsidRPr="00505788">
        <w:rPr>
          <w:rFonts w:ascii="Verdana" w:eastAsia="Calibri" w:hAnsi="Verdana" w:cs="Arial"/>
          <w:lang w:val="es-ES_tradnl"/>
        </w:rPr>
        <w:t>.</w:t>
      </w:r>
      <w:r>
        <w:rPr>
          <w:rFonts w:ascii="Verdana" w:eastAsia="Calibri" w:hAnsi="Verdana" w:cs="Arial"/>
          <w:lang w:val="es-ES_tradnl"/>
        </w:rPr>
        <w:t xml:space="preserve"> Por ello, el numeral 1.1 de la Circular Externa Única de l</w:t>
      </w:r>
      <w:r w:rsidRPr="00593A5F">
        <w:rPr>
          <w:rFonts w:ascii="Verdana" w:eastAsia="Calibri" w:hAnsi="Verdana" w:cs="Arial"/>
          <w:color w:val="000000" w:themeColor="text1"/>
          <w:lang w:val="es-ES" w:eastAsia="es-ES"/>
        </w:rPr>
        <w:t>a Agencia Nacional de Contratación Pública – Colombia Compra Eficiente</w:t>
      </w:r>
      <w:r>
        <w:rPr>
          <w:rFonts w:ascii="Verdana" w:eastAsia="Calibri" w:hAnsi="Verdana" w:cs="Arial"/>
          <w:lang w:val="es-ES_tradnl"/>
        </w:rPr>
        <w:t xml:space="preserve"> dispone que “</w:t>
      </w:r>
      <w:r w:rsidRPr="00C76381">
        <w:rPr>
          <w:rFonts w:ascii="Verdana" w:eastAsia="Calibri" w:hAnsi="Verdana" w:cs="Arial"/>
          <w:lang w:val="es-ES_tradnl"/>
        </w:rPr>
        <w:t>Los particulares deberán publicar la información oficial de la contratación</w:t>
      </w:r>
      <w:r>
        <w:rPr>
          <w:rFonts w:ascii="Verdana" w:eastAsia="Calibri" w:hAnsi="Verdana" w:cs="Arial"/>
          <w:lang w:val="es-ES_tradnl"/>
        </w:rPr>
        <w:t xml:space="preserve"> </w:t>
      </w:r>
      <w:r w:rsidRPr="00C76381">
        <w:rPr>
          <w:rFonts w:ascii="Verdana" w:eastAsia="Calibri" w:hAnsi="Verdana" w:cs="Arial"/>
          <w:lang w:val="es-ES_tradnl"/>
        </w:rPr>
        <w:t>realizada con cargo a recursos públicos. Estos deberán realizar la</w:t>
      </w:r>
      <w:r>
        <w:rPr>
          <w:rFonts w:ascii="Verdana" w:eastAsia="Calibri" w:hAnsi="Verdana" w:cs="Arial"/>
          <w:lang w:val="es-ES_tradnl"/>
        </w:rPr>
        <w:t xml:space="preserve"> </w:t>
      </w:r>
      <w:r w:rsidRPr="00C76381">
        <w:rPr>
          <w:rFonts w:ascii="Verdana" w:eastAsia="Calibri" w:hAnsi="Verdana" w:cs="Arial"/>
          <w:lang w:val="es-ES_tradnl"/>
        </w:rPr>
        <w:t xml:space="preserve">publicación a través del módulo </w:t>
      </w:r>
      <w:r>
        <w:rPr>
          <w:rFonts w:ascii="Verdana" w:eastAsia="Calibri" w:hAnsi="Verdana" w:cs="Arial"/>
          <w:sz w:val="20"/>
          <w:szCs w:val="20"/>
          <w:lang w:val="es-ES_tradnl"/>
        </w:rPr>
        <w:t>‘</w:t>
      </w:r>
      <w:r w:rsidRPr="00C76381">
        <w:rPr>
          <w:rFonts w:ascii="Verdana" w:eastAsia="Calibri" w:hAnsi="Verdana" w:cs="Arial"/>
          <w:lang w:val="es-ES_tradnl"/>
        </w:rPr>
        <w:t>Régimen Especial</w:t>
      </w:r>
      <w:r>
        <w:rPr>
          <w:rFonts w:ascii="Verdana" w:eastAsia="Calibri" w:hAnsi="Verdana" w:cs="Arial"/>
          <w:lang w:val="es-ES_tradnl"/>
        </w:rPr>
        <w:t>’</w:t>
      </w:r>
      <w:r w:rsidRPr="00C76381">
        <w:rPr>
          <w:rFonts w:ascii="Verdana" w:eastAsia="Calibri" w:hAnsi="Verdana" w:cs="Arial"/>
          <w:lang w:val="es-ES_tradnl"/>
        </w:rPr>
        <w:t>".</w:t>
      </w:r>
      <w:r>
        <w:rPr>
          <w:rFonts w:ascii="Verdana" w:eastAsia="Calibri" w:hAnsi="Verdana" w:cs="Arial"/>
          <w:lang w:val="es-ES_tradnl"/>
        </w:rPr>
        <w:t xml:space="preserve"> </w:t>
      </w:r>
    </w:p>
    <w:p w14:paraId="512F4C95" w14:textId="77777777" w:rsidR="005D1133" w:rsidRDefault="005D1133" w:rsidP="005D1133">
      <w:pPr>
        <w:spacing w:after="0" w:line="276" w:lineRule="auto"/>
        <w:jc w:val="both"/>
        <w:rPr>
          <w:rFonts w:ascii="Verdana" w:eastAsia="Calibri" w:hAnsi="Verdana" w:cs="Arial"/>
          <w:lang w:val="es-ES_tradnl"/>
        </w:rPr>
      </w:pPr>
      <w:r>
        <w:rPr>
          <w:rFonts w:ascii="Verdana" w:eastAsia="Calibri" w:hAnsi="Verdana" w:cs="Arial"/>
          <w:lang w:val="es-ES_tradnl"/>
        </w:rPr>
        <w:t xml:space="preserve"> </w:t>
      </w:r>
    </w:p>
    <w:p w14:paraId="1E99C58D" w14:textId="77777777" w:rsidR="005D1133" w:rsidRDefault="005D1133" w:rsidP="005D1133">
      <w:pPr>
        <w:spacing w:after="120" w:line="276" w:lineRule="auto"/>
        <w:jc w:val="both"/>
        <w:rPr>
          <w:rFonts w:ascii="Verdana" w:eastAsia="Calibri" w:hAnsi="Verdana" w:cs="Arial"/>
          <w:color w:val="000000" w:themeColor="text1"/>
          <w:lang w:val="es-ES"/>
        </w:rPr>
      </w:pPr>
      <w:r w:rsidRPr="709E16DE">
        <w:rPr>
          <w:rFonts w:ascii="Verdana" w:eastAsia="Calibri" w:hAnsi="Verdana" w:cs="Arial"/>
          <w:lang w:val="es-ES"/>
        </w:rPr>
        <w:t>vi. Dicho módulo de “régimen especial” existe en tanto en SECOP I</w:t>
      </w:r>
      <w:r w:rsidRPr="709E16DE">
        <w:rPr>
          <w:rStyle w:val="Refdenotaalpie"/>
          <w:rFonts w:ascii="Verdana" w:eastAsia="Calibri" w:hAnsi="Verdana" w:cs="Arial"/>
          <w:lang w:val="es-ES"/>
        </w:rPr>
        <w:footnoteReference w:id="9"/>
      </w:r>
      <w:r w:rsidRPr="709E16DE">
        <w:rPr>
          <w:rFonts w:ascii="Verdana" w:eastAsia="Calibri" w:hAnsi="Verdana" w:cs="Arial"/>
          <w:lang w:val="es-ES"/>
        </w:rPr>
        <w:t xml:space="preserve"> como en SECOP II, incluso, en esta última plataforma, distingue entre “régimen especial con ofertas”</w:t>
      </w:r>
      <w:r w:rsidRPr="709E16DE">
        <w:rPr>
          <w:rStyle w:val="Refdenotaalpie"/>
          <w:rFonts w:ascii="Verdana" w:eastAsia="Calibri" w:hAnsi="Verdana" w:cs="Arial"/>
          <w:lang w:val="es-ES"/>
        </w:rPr>
        <w:footnoteReference w:id="10"/>
      </w:r>
      <w:r w:rsidRPr="709E16DE">
        <w:rPr>
          <w:rFonts w:ascii="Verdana" w:eastAsia="Calibri" w:hAnsi="Verdana" w:cs="Arial"/>
          <w:lang w:val="es-ES"/>
        </w:rPr>
        <w:t xml:space="preserve"> y “régimen especial sin ofertas”</w:t>
      </w:r>
      <w:r w:rsidRPr="709E16DE">
        <w:rPr>
          <w:rStyle w:val="Refdenotaalpie"/>
          <w:rFonts w:ascii="Verdana" w:eastAsia="Calibri" w:hAnsi="Verdana" w:cs="Arial"/>
          <w:lang w:val="es-ES"/>
        </w:rPr>
        <w:footnoteReference w:id="11"/>
      </w:r>
      <w:r w:rsidRPr="709E16DE">
        <w:rPr>
          <w:rFonts w:ascii="Verdana" w:eastAsia="Calibri" w:hAnsi="Verdana" w:cs="Arial"/>
          <w:lang w:val="es-ES"/>
        </w:rPr>
        <w:t xml:space="preserve">. La diferencia es jurídicamente relevante, porque </w:t>
      </w:r>
      <w:r w:rsidRPr="709E16DE">
        <w:rPr>
          <w:rFonts w:ascii="Verdana" w:eastAsia="Calibri" w:hAnsi="Verdana" w:cs="Arial"/>
          <w:color w:val="000000" w:themeColor="text1"/>
          <w:lang w:val="es-ES"/>
        </w:rPr>
        <w:t xml:space="preserve">el SECOP I solo funciona como medio de publicidad, es decir, no tiene carácter transaccional. Esto significa que el procedimiento contractual se adelanta fuera de la plataforma a través de un expediente físico. No obstante, </w:t>
      </w:r>
      <w:r w:rsidRPr="709E16DE">
        <w:rPr>
          <w:rFonts w:ascii="Verdana" w:eastAsia="Calibri" w:hAnsi="Verdana" w:cs="Arial"/>
          <w:color w:val="000000" w:themeColor="text1"/>
          <w:lang w:val="es-ES"/>
        </w:rPr>
        <w:lastRenderedPageBreak/>
        <w:t>las actuaciones y los documentos se convierten en electrónicos para cargarse posteriormente a la plataforma.</w:t>
      </w:r>
    </w:p>
    <w:p w14:paraId="0C3C6866" w14:textId="77777777" w:rsidR="005D1133" w:rsidRDefault="005D1133" w:rsidP="005D1133">
      <w:pPr>
        <w:spacing w:after="0" w:line="276" w:lineRule="auto"/>
        <w:ind w:firstLine="708"/>
        <w:jc w:val="both"/>
        <w:rPr>
          <w:rFonts w:ascii="Verdana" w:eastAsia="Calibri" w:hAnsi="Verdana" w:cs="Arial"/>
          <w:color w:val="000000" w:themeColor="text1"/>
          <w:lang w:val="es-ES"/>
        </w:rPr>
      </w:pPr>
      <w:r w:rsidRPr="7C64C3F4">
        <w:rPr>
          <w:rFonts w:ascii="Verdana" w:eastAsia="Calibri" w:hAnsi="Verdana" w:cs="Arial"/>
          <w:color w:val="000000" w:themeColor="text1"/>
          <w:lang w:val="es-ES"/>
        </w:rPr>
        <w:t>En contraste, el SECOP II permite generar contratos en línea y realizar la firma electrónica de los mismos. Tiene funciones que permiten al proveedor presentar garantías y facturas; y a la entidad,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p>
    <w:p w14:paraId="047DD10C" w14:textId="77777777" w:rsidR="005D1133" w:rsidRDefault="005D1133" w:rsidP="005D1133">
      <w:pPr>
        <w:spacing w:after="0" w:line="276" w:lineRule="auto"/>
        <w:ind w:firstLine="708"/>
        <w:jc w:val="both"/>
        <w:rPr>
          <w:rFonts w:ascii="Verdana" w:eastAsia="Calibri" w:hAnsi="Verdana" w:cs="Arial"/>
          <w:bCs/>
          <w:color w:val="000000" w:themeColor="text1"/>
          <w:lang w:val="es-ES_tradnl"/>
        </w:rPr>
      </w:pPr>
    </w:p>
    <w:p w14:paraId="69C9717A" w14:textId="77777777" w:rsidR="005D1133" w:rsidRDefault="005D1133" w:rsidP="005D1133">
      <w:pPr>
        <w:spacing w:after="120" w:line="276" w:lineRule="auto"/>
        <w:jc w:val="both"/>
        <w:rPr>
          <w:rFonts w:ascii="Verdana" w:eastAsia="Calibri" w:hAnsi="Verdana" w:cs="Arial"/>
          <w:lang w:val="es-ES"/>
        </w:rPr>
      </w:pPr>
      <w:proofErr w:type="spellStart"/>
      <w:r w:rsidRPr="7C64C3F4">
        <w:rPr>
          <w:rFonts w:ascii="Verdana" w:eastAsia="Calibri" w:hAnsi="Verdana" w:cs="Arial"/>
          <w:color w:val="000000" w:themeColor="text1"/>
          <w:lang w:val="es-ES"/>
        </w:rPr>
        <w:t>vii</w:t>
      </w:r>
      <w:proofErr w:type="spellEnd"/>
      <w:r w:rsidRPr="7C64C3F4">
        <w:rPr>
          <w:rFonts w:ascii="Verdana" w:eastAsia="Calibri" w:hAnsi="Verdana" w:cs="Arial"/>
          <w:color w:val="000000" w:themeColor="text1"/>
          <w:lang w:val="es-ES"/>
        </w:rPr>
        <w:t xml:space="preserve">. </w:t>
      </w:r>
      <w:r w:rsidRPr="7C64C3F4">
        <w:rPr>
          <w:rFonts w:ascii="Verdana" w:eastAsia="Calibri" w:hAnsi="Verdana" w:cs="Arial"/>
          <w:lang w:val="es-ES"/>
        </w:rPr>
        <w:t xml:space="preserve">El numeral 1.1 de la Circular Externa Única solo dispone que los particulares deben publicar la información oficial de la contratación realizada con cargo a recursos públicos a través del módulo </w:t>
      </w:r>
      <w:r w:rsidRPr="7C64C3F4">
        <w:rPr>
          <w:rFonts w:ascii="Verdana" w:eastAsia="Calibri" w:hAnsi="Verdana" w:cs="Arial"/>
          <w:sz w:val="20"/>
          <w:szCs w:val="20"/>
          <w:lang w:val="es-ES"/>
        </w:rPr>
        <w:t>“</w:t>
      </w:r>
      <w:r w:rsidRPr="7C64C3F4">
        <w:rPr>
          <w:rFonts w:ascii="Verdana" w:eastAsia="Calibri" w:hAnsi="Verdana" w:cs="Arial"/>
          <w:lang w:val="es-ES"/>
        </w:rPr>
        <w:t xml:space="preserve">régimen especial”, sin que la ley, el reglamento o los actos administrativos de carácter general de esta Agencia indiquen si realiza únicamente a través de SECOP I o SECOP II. Tratándose de </w:t>
      </w:r>
      <w:r w:rsidRPr="7C64C3F4">
        <w:rPr>
          <w:rFonts w:ascii="Verdana" w:eastAsia="Calibri" w:hAnsi="Verdana" w:cs="Arial"/>
          <w:i/>
          <w:iCs/>
          <w:lang w:val="es-ES"/>
        </w:rPr>
        <w:t>entidades sometidas a la Ley 80 de 1993</w:t>
      </w:r>
      <w:r w:rsidRPr="7C64C3F4">
        <w:rPr>
          <w:rFonts w:ascii="Verdana" w:eastAsia="Calibri" w:hAnsi="Verdana" w:cs="Arial"/>
          <w:lang w:val="es-ES"/>
        </w:rPr>
        <w:t xml:space="preserve">, la obligación de pasar del SECOP I al SECOP II ha sido escalonada en función de las circulares expedidas por esta entidad. Tratándose de </w:t>
      </w:r>
      <w:r w:rsidRPr="7C64C3F4">
        <w:rPr>
          <w:rFonts w:ascii="Verdana" w:eastAsia="Calibri" w:hAnsi="Verdana" w:cs="Arial"/>
          <w:i/>
          <w:iCs/>
          <w:lang w:val="es-ES"/>
        </w:rPr>
        <w:t>entidades de régimen exceptuado</w:t>
      </w:r>
      <w:r w:rsidRPr="7C64C3F4">
        <w:rPr>
          <w:rFonts w:ascii="Verdana" w:eastAsia="Calibri" w:hAnsi="Verdana" w:cs="Arial"/>
          <w:lang w:val="es-ES"/>
        </w:rPr>
        <w:t xml:space="preserve">, el deber de publicar la gestión contractual en SECOP II es indiscutible a la luz del artículo 13 de la Ley 1150 de 2007, adicionado por el precitado artículo 53 de la Ley 2195 de 2022. Sin embargo, respecto a la </w:t>
      </w:r>
      <w:r w:rsidRPr="7C64C3F4">
        <w:rPr>
          <w:rFonts w:ascii="Verdana" w:eastAsia="Calibri" w:hAnsi="Verdana" w:cs="Arial"/>
          <w:i/>
          <w:iCs/>
          <w:lang w:val="es-ES"/>
        </w:rPr>
        <w:t>contratación de los particulares realizada con cargo a recursos públicos</w:t>
      </w:r>
      <w:r w:rsidRPr="7C64C3F4">
        <w:rPr>
          <w:rFonts w:ascii="Verdana" w:eastAsia="Calibri" w:hAnsi="Verdana" w:cs="Arial"/>
          <w:lang w:val="es-ES"/>
        </w:rPr>
        <w:t xml:space="preserve">, la Circular Externa Única no impone una obligación exclusiva de publicar en una (1) de las dos (2) plataformas disponibles. </w:t>
      </w:r>
    </w:p>
    <w:p w14:paraId="70135765" w14:textId="77777777" w:rsidR="005D1133" w:rsidRDefault="005D1133" w:rsidP="005D1133">
      <w:pPr>
        <w:spacing w:after="0" w:line="276" w:lineRule="auto"/>
        <w:jc w:val="both"/>
        <w:rPr>
          <w:rFonts w:ascii="Verdana" w:eastAsia="Calibri" w:hAnsi="Verdana" w:cs="Arial"/>
          <w:lang w:val="es-ES_tradnl"/>
        </w:rPr>
      </w:pPr>
      <w:r>
        <w:rPr>
          <w:rFonts w:ascii="Verdana" w:eastAsia="Calibri" w:hAnsi="Verdana" w:cs="Arial"/>
          <w:lang w:val="es-ES_tradnl"/>
        </w:rPr>
        <w:tab/>
        <w:t xml:space="preserve">Por tanto, salvo directriz normativa en contrario, la </w:t>
      </w:r>
      <w:r w:rsidRPr="00E90375">
        <w:rPr>
          <w:rFonts w:ascii="Verdana" w:eastAsia="Calibri" w:hAnsi="Verdana" w:cs="Arial"/>
          <w:i/>
          <w:iCs/>
          <w:lang w:val="es-ES_tradnl"/>
        </w:rPr>
        <w:t>contratación de los particulares realizada con cargo a recursos públicos</w:t>
      </w:r>
      <w:r>
        <w:rPr>
          <w:rFonts w:ascii="Verdana" w:eastAsia="Calibri" w:hAnsi="Verdana" w:cs="Arial"/>
          <w:lang w:val="es-ES_tradnl"/>
        </w:rPr>
        <w:t xml:space="preserve"> puede publicarse en el módulo de “régimen especial” del SECOP I o el SECOP II a elección del sujeto obligado. Se recomienda que, una vez elegida alguna de las alternativas </w:t>
      </w:r>
      <w:r>
        <w:rPr>
          <w:rFonts w:ascii="Verdana" w:eastAsia="Calibri" w:hAnsi="Verdana" w:cs="Arial"/>
          <w:lang w:val="es-ES_tradnl"/>
        </w:rPr>
        <w:lastRenderedPageBreak/>
        <w:t xml:space="preserve">disponibles, todos los contratos se gestionen a través de una misma plataforma. Ello para de estandarizar las publicaciones y centralizar la información de cara a los controles sociales y jurídicos respeto a la inversión del erario. </w:t>
      </w:r>
    </w:p>
    <w:p w14:paraId="310CA41F" w14:textId="77777777" w:rsidR="005D1133" w:rsidRDefault="005D1133" w:rsidP="005D1133">
      <w:pPr>
        <w:spacing w:after="0" w:line="276" w:lineRule="auto"/>
        <w:jc w:val="both"/>
        <w:rPr>
          <w:rFonts w:ascii="Verdana" w:eastAsia="Calibri" w:hAnsi="Verdana" w:cs="Arial"/>
          <w:lang w:val="es-ES_tradnl"/>
        </w:rPr>
      </w:pPr>
    </w:p>
    <w:p w14:paraId="4D00F86D" w14:textId="77777777" w:rsidR="005D1133" w:rsidRPr="00F16D2E" w:rsidRDefault="005D1133" w:rsidP="005D1133">
      <w:pPr>
        <w:widowControl w:val="0"/>
        <w:tabs>
          <w:tab w:val="left" w:pos="728"/>
        </w:tabs>
        <w:autoSpaceDE w:val="0"/>
        <w:autoSpaceDN w:val="0"/>
        <w:spacing w:after="120" w:line="276" w:lineRule="auto"/>
        <w:jc w:val="both"/>
        <w:rPr>
          <w:rFonts w:ascii="Verdana" w:hAnsi="Verdana" w:cs="Arial"/>
          <w:lang w:val="es-ES"/>
        </w:rPr>
      </w:pPr>
      <w:proofErr w:type="spellStart"/>
      <w:r>
        <w:rPr>
          <w:rFonts w:ascii="Verdana" w:eastAsia="Calibri" w:hAnsi="Verdana" w:cs="Arial"/>
          <w:lang w:val="es-ES_tradnl"/>
        </w:rPr>
        <w:t>viii</w:t>
      </w:r>
      <w:proofErr w:type="spellEnd"/>
      <w:r>
        <w:rPr>
          <w:rFonts w:ascii="Verdana" w:eastAsia="Calibri" w:hAnsi="Verdana" w:cs="Arial"/>
          <w:lang w:val="es-ES_tradnl"/>
        </w:rPr>
        <w:t xml:space="preserve">. Respecto a los documentos publicables, </w:t>
      </w:r>
      <w:r w:rsidRPr="00F16D2E">
        <w:rPr>
          <w:rFonts w:ascii="Verdana" w:hAnsi="Verdana" w:cs="Arial"/>
          <w:lang w:val="es-ES"/>
        </w:rPr>
        <w:t>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39474C28" w14:textId="77777777" w:rsidR="005D1133" w:rsidRDefault="005D1133" w:rsidP="005D1133">
      <w:pPr>
        <w:widowControl w:val="0"/>
        <w:autoSpaceDE w:val="0"/>
        <w:autoSpaceDN w:val="0"/>
        <w:spacing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proofErr w:type="spellStart"/>
      <w:r w:rsidRPr="00F16D2E">
        <w:rPr>
          <w:rFonts w:ascii="Verdana" w:eastAsia="Arial" w:hAnsi="Verdana" w:cs="Arial"/>
          <w:i/>
          <w:iCs/>
          <w:lang w:val="es-ES"/>
        </w:rPr>
        <w:t>Ibídem</w:t>
      </w:r>
      <w:proofErr w:type="spellEnd"/>
      <w:r w:rsidRPr="00F16D2E">
        <w:rPr>
          <w:rFonts w:ascii="Verdana" w:eastAsia="Arial" w:hAnsi="Verdana" w:cs="Arial"/>
          <w:lang w:val="es-ES"/>
        </w:rPr>
        <w:t xml:space="preserve"> recoge en la noción de </w:t>
      </w:r>
      <w:r w:rsidRPr="00F16D2E">
        <w:rPr>
          <w:rFonts w:ascii="Verdana" w:eastAsia="Arial" w:hAnsi="Verdana" w:cs="Arial"/>
          <w:i/>
          <w:iCs/>
          <w:lang w:val="es-ES"/>
        </w:rPr>
        <w:t>Documentos del Proceso</w:t>
      </w:r>
      <w:r w:rsidRPr="00F16D2E">
        <w:rPr>
          <w:rFonts w:ascii="Verdana" w:eastAsia="Arial" w:hAnsi="Verdana" w:cs="Arial"/>
          <w:lang w:val="es-ES"/>
        </w:rPr>
        <w:t xml:space="preserve"> “cualquier otro documento expedido por la Entidad Estatal durante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Este mismo artículo define la expresión </w:t>
      </w:r>
      <w:r w:rsidRPr="00F16D2E">
        <w:rPr>
          <w:rFonts w:ascii="Verdana" w:eastAsia="Arial" w:hAnsi="Verdana" w:cs="Arial"/>
          <w:i/>
          <w:iCs/>
          <w:lang w:val="es-ES"/>
        </w:rPr>
        <w:t>Proceso de Contratación</w:t>
      </w:r>
      <w:r w:rsidRPr="00F16D2E">
        <w:rPr>
          <w:rFonts w:ascii="Verdana" w:eastAsia="Arial" w:hAnsi="Verdana" w:cs="Arial"/>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7F417D35" w14:textId="77777777" w:rsidR="005D1133" w:rsidRDefault="005D1133" w:rsidP="005D1133">
      <w:pPr>
        <w:widowControl w:val="0"/>
        <w:autoSpaceDE w:val="0"/>
        <w:autoSpaceDN w:val="0"/>
        <w:spacing w:after="120" w:line="276" w:lineRule="auto"/>
        <w:ind w:firstLine="708"/>
        <w:jc w:val="both"/>
        <w:rPr>
          <w:rFonts w:ascii="Verdana" w:eastAsia="Arial" w:hAnsi="Verdana" w:cs="Arial"/>
          <w:lang w:val="es-ES"/>
        </w:rPr>
      </w:pPr>
      <w:r w:rsidRPr="00F16D2E">
        <w:rPr>
          <w:rFonts w:ascii="Verdana" w:eastAsia="Arial" w:hAnsi="Verdana" w:cs="Arial"/>
          <w:lang w:val="es-ES"/>
        </w:rPr>
        <w:t xml:space="preserve">En todo caso, de conformidad con la segunda parte del inciso primero del artículo 2.2.1.1.1.7.1 </w:t>
      </w:r>
      <w:r w:rsidRPr="00FB4B30">
        <w:rPr>
          <w:rFonts w:ascii="Verdana" w:eastAsia="Arial" w:hAnsi="Verdana" w:cs="Arial"/>
          <w:i/>
          <w:iCs/>
          <w:lang w:val="es-ES"/>
        </w:rPr>
        <w:t>i</w:t>
      </w:r>
      <w:r w:rsidRPr="00F16D2E">
        <w:rPr>
          <w:rFonts w:ascii="Verdana" w:eastAsia="Arial" w:hAnsi="Verdana" w:cs="Arial"/>
          <w:i/>
          <w:iCs/>
          <w:lang w:val="es-ES"/>
        </w:rPr>
        <w:t>bidem</w:t>
      </w:r>
      <w:r w:rsidRPr="00F16D2E">
        <w:rPr>
          <w:rFonts w:ascii="Verdana" w:eastAsia="Arial" w:hAnsi="Verdana"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F16D2E">
        <w:rPr>
          <w:rFonts w:ascii="Verdana" w:eastAsia="Arial" w:hAnsi="Verdana" w:cs="Arial"/>
          <w:i/>
          <w:iCs/>
          <w:lang w:val="es-ES"/>
        </w:rPr>
        <w:t xml:space="preserve"> </w:t>
      </w:r>
      <w:r w:rsidRPr="00F16D2E">
        <w:rPr>
          <w:rFonts w:ascii="Verdana" w:eastAsia="Arial" w:hAnsi="Verdana" w:cs="Arial"/>
          <w:lang w:val="es-ES"/>
        </w:rPr>
        <w:t>Del deber de publicidad, de conformidad con la tercera parte del inciso primero de la referida norma, también se encuentran exentos los documentos de las operaciones que se realicen en bolsa de productos.</w:t>
      </w:r>
    </w:p>
    <w:p w14:paraId="0E6D62ED" w14:textId="77777777" w:rsidR="005D1133" w:rsidRDefault="005D1133" w:rsidP="005D1133">
      <w:pPr>
        <w:widowControl w:val="0"/>
        <w:autoSpaceDE w:val="0"/>
        <w:autoSpaceDN w:val="0"/>
        <w:spacing w:after="0" w:line="276" w:lineRule="auto"/>
        <w:ind w:firstLine="709"/>
        <w:jc w:val="both"/>
        <w:rPr>
          <w:rFonts w:ascii="Verdana" w:eastAsia="Arial" w:hAnsi="Verdana" w:cs="Arial"/>
          <w:lang w:val="es-ES"/>
        </w:rPr>
      </w:pPr>
      <w:r w:rsidRPr="00F16D2E">
        <w:rPr>
          <w:rFonts w:ascii="Verdana" w:eastAsia="Arial" w:hAnsi="Verdana" w:cs="Arial"/>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expedidos durante las </w:t>
      </w:r>
      <w:r w:rsidRPr="00F16D2E">
        <w:rPr>
          <w:rFonts w:ascii="Verdana" w:eastAsia="Arial" w:hAnsi="Verdana" w:cs="Arial"/>
          <w:lang w:val="es-ES"/>
        </w:rPr>
        <w:lastRenderedPageBreak/>
        <w:t xml:space="preserve">etapas precontractual, de ejecución y </w:t>
      </w:r>
      <w:proofErr w:type="spellStart"/>
      <w:r w:rsidRPr="00F16D2E">
        <w:rPr>
          <w:rFonts w:ascii="Verdana" w:eastAsia="Arial" w:hAnsi="Verdana" w:cs="Arial"/>
          <w:lang w:val="es-ES"/>
        </w:rPr>
        <w:t>postcontractual</w:t>
      </w:r>
      <w:proofErr w:type="spellEnd"/>
      <w:r w:rsidRPr="00F16D2E">
        <w:rPr>
          <w:rFonts w:ascii="Verdana" w:eastAsia="Arial" w:hAnsi="Verdana" w:cs="Arial"/>
          <w:lang w:val="es-ES"/>
        </w:rPr>
        <w:t>. Este deber aplica a todas las modalidades de selección y entidades</w:t>
      </w:r>
      <w:r>
        <w:rPr>
          <w:rFonts w:ascii="Verdana" w:eastAsia="Arial" w:hAnsi="Verdana" w:cs="Arial"/>
          <w:lang w:val="es-ES"/>
        </w:rPr>
        <w:t xml:space="preserve">, </w:t>
      </w:r>
      <w:r w:rsidRPr="00F16D2E">
        <w:rPr>
          <w:rFonts w:ascii="Verdana" w:eastAsia="Arial" w:hAnsi="Verdana" w:cs="Arial"/>
          <w:lang w:val="es-ES"/>
        </w:rPr>
        <w:t xml:space="preserve">y solo se encuentran excluidas las ofertas perdedoras y los documentos expedidos en el marco de operaciones de bolsa de productos. </w:t>
      </w:r>
    </w:p>
    <w:p w14:paraId="1578DD91" w14:textId="77777777" w:rsidR="005D1133" w:rsidRPr="00F16D2E" w:rsidRDefault="005D1133" w:rsidP="005D1133">
      <w:pPr>
        <w:widowControl w:val="0"/>
        <w:autoSpaceDE w:val="0"/>
        <w:autoSpaceDN w:val="0"/>
        <w:spacing w:after="0" w:line="276" w:lineRule="auto"/>
        <w:ind w:firstLine="709"/>
        <w:jc w:val="both"/>
        <w:rPr>
          <w:rFonts w:ascii="Verdana" w:eastAsia="Arial" w:hAnsi="Verdana" w:cs="Arial"/>
          <w:lang w:val="es-ES"/>
        </w:rPr>
      </w:pPr>
    </w:p>
    <w:p w14:paraId="58D8B161" w14:textId="77777777" w:rsidR="005D1133" w:rsidRDefault="005D1133" w:rsidP="005D1133">
      <w:pPr>
        <w:spacing w:after="120" w:line="276" w:lineRule="auto"/>
        <w:jc w:val="both"/>
        <w:rPr>
          <w:rFonts w:ascii="Verdana" w:eastAsia="Arial" w:hAnsi="Verdana" w:cs="Arial"/>
          <w:lang w:val="es-ES"/>
        </w:rPr>
      </w:pPr>
      <w:proofErr w:type="spellStart"/>
      <w:r>
        <w:rPr>
          <w:rFonts w:ascii="Verdana" w:eastAsia="Calibri" w:hAnsi="Verdana" w:cs="Arial"/>
          <w:lang w:val="es-ES"/>
        </w:rPr>
        <w:t>ix</w:t>
      </w:r>
      <w:proofErr w:type="spellEnd"/>
      <w:r>
        <w:rPr>
          <w:rFonts w:ascii="Verdana" w:eastAsia="Calibri" w:hAnsi="Verdana" w:cs="Arial"/>
          <w:lang w:val="es-ES"/>
        </w:rPr>
        <w:t xml:space="preserve">. </w:t>
      </w:r>
      <w:r w:rsidRPr="00F16D2E">
        <w:rPr>
          <w:rFonts w:ascii="Verdana" w:eastAsia="Calibri" w:hAnsi="Verdana" w:cs="Arial"/>
          <w:lang w:val="es-ES"/>
        </w:rPr>
        <w:t xml:space="preserve">Adicionalmente, el deber de publicar la actividad contractual no solo está regulado en el artículo 3 de la Ley 1150 de 2007 y en el </w:t>
      </w:r>
      <w:r w:rsidRPr="00F16D2E">
        <w:rPr>
          <w:rFonts w:ascii="Verdana" w:eastAsia="Arial" w:hAnsi="Verdana"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eastAsia="Arial" w:hAnsi="Verdana" w:cs="Arial"/>
          <w:i/>
          <w:iCs/>
          <w:lang w:val="es-ES"/>
        </w:rPr>
        <w:t>Documentos del Proceso</w:t>
      </w:r>
      <w:r w:rsidRPr="00F16D2E">
        <w:rPr>
          <w:rFonts w:ascii="Verdana" w:eastAsia="Arial" w:hAnsi="Verdana" w:cs="Arial"/>
          <w:lang w:val="es-ES"/>
        </w:rPr>
        <w:t xml:space="preserve">. </w:t>
      </w:r>
    </w:p>
    <w:p w14:paraId="0C19CECD" w14:textId="77777777" w:rsidR="005D1133" w:rsidRPr="00F16D2E" w:rsidRDefault="005D1133" w:rsidP="005D1133">
      <w:pPr>
        <w:spacing w:before="120"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Es necesario tener en cuenta que la Ley de Transparencia define el concepto de información pública. Por un lado, el literal a) del artículo 6 de la Ley 1712 de 2014 dispone que la </w:t>
      </w:r>
      <w:r w:rsidRPr="00F16D2E">
        <w:rPr>
          <w:rFonts w:ascii="Verdana" w:eastAsia="Arial" w:hAnsi="Verdana" w:cs="Arial"/>
          <w:i/>
          <w:iCs/>
          <w:lang w:val="es-ES"/>
        </w:rPr>
        <w:t>información</w:t>
      </w:r>
      <w:r w:rsidRPr="00F16D2E">
        <w:rPr>
          <w:rFonts w:ascii="Verdana" w:eastAsia="Arial" w:hAnsi="Verdana" w:cs="Arial"/>
          <w:lang w:val="es-ES"/>
        </w:rPr>
        <w:t xml:space="preserve"> se “Se refiere a un conjunto organizado de datos contenido en cualquier documento que los sujetos obligados generen, obtengan, adquieran, transformen o controlen”. Además, el literal b) </w:t>
      </w:r>
      <w:r w:rsidRPr="00F16D2E">
        <w:rPr>
          <w:rFonts w:ascii="Verdana" w:eastAsia="Arial" w:hAnsi="Verdana" w:cs="Arial"/>
          <w:i/>
          <w:iCs/>
          <w:lang w:val="es-ES"/>
        </w:rPr>
        <w:t>ibidem</w:t>
      </w:r>
      <w:r w:rsidRPr="00F16D2E">
        <w:rPr>
          <w:rFonts w:ascii="Verdana" w:eastAsia="Arial" w:hAnsi="Verdana" w:cs="Arial"/>
          <w:lang w:val="es-ES"/>
        </w:rPr>
        <w:t xml:space="preserve"> define la </w:t>
      </w:r>
      <w:r w:rsidRPr="00F16D2E">
        <w:rPr>
          <w:rFonts w:ascii="Verdana" w:eastAsia="Arial" w:hAnsi="Verdana" w:cs="Arial"/>
          <w:i/>
          <w:iCs/>
          <w:lang w:val="es-ES"/>
        </w:rPr>
        <w:t>información pública</w:t>
      </w:r>
      <w:r w:rsidRPr="00F16D2E">
        <w:rPr>
          <w:rFonts w:ascii="Verdana" w:eastAsia="Arial" w:hAnsi="Verdana" w:cs="Arial"/>
          <w:lang w:val="es-ES"/>
        </w:rPr>
        <w:t xml:space="preserve"> como “[…] toda información que un sujeto obligado </w:t>
      </w:r>
      <w:proofErr w:type="gramStart"/>
      <w:r w:rsidRPr="00F16D2E">
        <w:rPr>
          <w:rFonts w:ascii="Verdana" w:eastAsia="Arial" w:hAnsi="Verdana" w:cs="Arial"/>
          <w:lang w:val="es-ES"/>
        </w:rPr>
        <w:t>genere,</w:t>
      </w:r>
      <w:proofErr w:type="gramEnd"/>
      <w:r w:rsidRPr="00F16D2E">
        <w:rPr>
          <w:rFonts w:ascii="Verdana" w:eastAsia="Arial" w:hAnsi="Verdana" w:cs="Arial"/>
          <w:lang w:val="es-ES"/>
        </w:rPr>
        <w:t xml:space="preserve"> obtenga, adquiera, o controle en su calidad de tal”.</w:t>
      </w:r>
    </w:p>
    <w:p w14:paraId="551F4BEA" w14:textId="77777777" w:rsidR="005D1133" w:rsidRDefault="005D1133" w:rsidP="005D1133">
      <w:pPr>
        <w:spacing w:after="0" w:line="276" w:lineRule="auto"/>
        <w:ind w:firstLine="709"/>
        <w:jc w:val="both"/>
        <w:rPr>
          <w:rFonts w:ascii="Verdana" w:eastAsia="Calibri" w:hAnsi="Verdana" w:cs="Arial"/>
          <w:lang w:val="es-ES"/>
        </w:rPr>
      </w:pPr>
      <w:r w:rsidRPr="00FB4B30">
        <w:rPr>
          <w:rFonts w:ascii="Verdana" w:eastAsia="Arial" w:hAnsi="Verdana" w:cs="Arial"/>
          <w:lang w:val="es-ES"/>
        </w:rPr>
        <w:t>Conforme al literal f) del artículo 5 de la Ley 1712 de 2014, son sujetos obligados “Las entidades que administren instituciones parafiscales, fondos o recursos de naturaleza u origen público</w:t>
      </w:r>
      <w:r>
        <w:rPr>
          <w:rFonts w:ascii="Verdana" w:eastAsia="Arial" w:hAnsi="Verdana" w:cs="Arial"/>
          <w:lang w:val="es-ES"/>
        </w:rPr>
        <w:t>”</w:t>
      </w:r>
      <w:r w:rsidRPr="00FB4B30">
        <w:rPr>
          <w:rFonts w:ascii="Verdana" w:eastAsia="Arial" w:hAnsi="Verdana" w:cs="Arial"/>
          <w:lang w:val="es-ES"/>
        </w:rPr>
        <w:t>.</w:t>
      </w:r>
      <w:r>
        <w:rPr>
          <w:rFonts w:ascii="Verdana" w:eastAsia="Arial" w:hAnsi="Verdana" w:cs="Arial"/>
          <w:lang w:val="es-ES"/>
        </w:rPr>
        <w:t xml:space="preserve"> </w:t>
      </w:r>
      <w:r>
        <w:rPr>
          <w:rFonts w:ascii="Verdana" w:eastAsia="Calibri" w:hAnsi="Verdana" w:cs="Arial"/>
          <w:lang w:val="es-ES"/>
        </w:rPr>
        <w:t>En este contexto, l</w:t>
      </w:r>
      <w:r w:rsidRPr="00F16D2E">
        <w:rPr>
          <w:rFonts w:ascii="Verdana" w:eastAsia="Calibri" w:hAnsi="Verdana" w:cs="Arial"/>
          <w:lang w:val="es-ES"/>
        </w:rPr>
        <w:t>as publicaciones que corresponde efectuar a las entidades</w:t>
      </w:r>
      <w:r>
        <w:rPr>
          <w:rFonts w:ascii="Verdana" w:eastAsia="Calibri" w:hAnsi="Verdana" w:cs="Arial"/>
          <w:lang w:val="es-ES"/>
        </w:rPr>
        <w:t xml:space="preserve"> que administren recursos públicos</w:t>
      </w:r>
      <w:r w:rsidRPr="00F16D2E">
        <w:rPr>
          <w:rFonts w:ascii="Verdana" w:eastAsia="Calibri" w:hAnsi="Verdana" w:cs="Arial"/>
          <w:lang w:val="es-ES"/>
        </w:rPr>
        <w:t xml:space="preserve">, como sujetos obligados por la normativa de la transparencia y acceso a la información pública, antes que una derogación o subrogación del contenido del deber de publicidad regulado </w:t>
      </w:r>
      <w:r>
        <w:rPr>
          <w:rFonts w:ascii="Verdana" w:eastAsia="Calibri" w:hAnsi="Verdana" w:cs="Arial"/>
          <w:lang w:val="es-ES"/>
        </w:rPr>
        <w:t>en la Ley 1150 de 2007</w:t>
      </w:r>
      <w:r w:rsidRPr="00F16D2E">
        <w:rPr>
          <w:rFonts w:ascii="Verdana" w:eastAsia="Calibri" w:hAnsi="Verdana" w:cs="Arial"/>
          <w:lang w:val="es-ES"/>
        </w:rPr>
        <w:t xml:space="preserve">, suponen una ampliación de su alcance, que lo extiende de la simple publicación de la información “producida por la entidad” asociada a la noción de </w:t>
      </w:r>
      <w:r w:rsidRPr="00F16D2E">
        <w:rPr>
          <w:rFonts w:ascii="Verdana" w:eastAsia="Calibri" w:hAnsi="Verdana" w:cs="Arial"/>
          <w:i/>
          <w:iCs/>
          <w:lang w:val="es-ES"/>
        </w:rPr>
        <w:t>Documentos del Proceso</w:t>
      </w:r>
      <w:r w:rsidRPr="00F16D2E">
        <w:rPr>
          <w:rFonts w:ascii="Verdana" w:eastAsia="Calibri" w:hAnsi="Verdana" w:cs="Arial"/>
          <w:lang w:val="es-ES"/>
        </w:rPr>
        <w:t xml:space="preserve">. Esto implica que la publicación que corresponde </w:t>
      </w:r>
      <w:r>
        <w:rPr>
          <w:rFonts w:ascii="Verdana" w:eastAsia="Calibri" w:hAnsi="Verdana" w:cs="Arial"/>
          <w:lang w:val="es-ES"/>
        </w:rPr>
        <w:t>a los</w:t>
      </w:r>
      <w:r w:rsidRPr="00F16D2E">
        <w:rPr>
          <w:rFonts w:ascii="Verdana" w:eastAsia="Calibri" w:hAnsi="Verdana" w:cs="Arial"/>
          <w:lang w:val="es-ES"/>
        </w:rPr>
        <w:t xml:space="preserve"> sujetos obligados en el marco de la Ley 1712 de 2014 se extiende a todo el desarrollo del procedimiento, desde la etapa de planeación hasta el vencimiento de las garantías, incluyendo cada actuación que se produzca en ese lapso. </w:t>
      </w:r>
      <w:r>
        <w:rPr>
          <w:rFonts w:ascii="Verdana" w:eastAsia="Calibri" w:hAnsi="Verdana" w:cs="Arial"/>
          <w:lang w:val="es-ES"/>
        </w:rPr>
        <w:t>El incumplimiento del deber de publicidad generará la responsabilidad administrativa, penal, fiscal y disciplinaria a que haya lugar, de acuerdo con el régimen sustantivo de los órganos competentes para sancionar.</w:t>
      </w:r>
      <w:r w:rsidRPr="00F16D2E">
        <w:rPr>
          <w:rFonts w:ascii="Verdana" w:eastAsia="Calibri" w:hAnsi="Verdana" w:cs="Arial"/>
          <w:lang w:val="es-ES"/>
        </w:rPr>
        <w:t xml:space="preserve"> </w:t>
      </w:r>
    </w:p>
    <w:p w14:paraId="2CB027C0" w14:textId="77777777" w:rsidR="005D1133" w:rsidRDefault="005D1133" w:rsidP="005D1133">
      <w:pPr>
        <w:spacing w:after="0" w:line="276" w:lineRule="auto"/>
        <w:jc w:val="both"/>
        <w:rPr>
          <w:rFonts w:ascii="Verdana" w:eastAsia="Calibri" w:hAnsi="Verdana" w:cs="Arial"/>
          <w:lang w:val="es-ES"/>
        </w:rPr>
      </w:pPr>
    </w:p>
    <w:p w14:paraId="7CF1BF1F" w14:textId="77777777" w:rsidR="005D1133" w:rsidRPr="00A22EE9" w:rsidRDefault="005D1133" w:rsidP="005D1133">
      <w:pPr>
        <w:tabs>
          <w:tab w:val="left" w:pos="426"/>
        </w:tabs>
        <w:spacing w:after="120" w:line="276" w:lineRule="auto"/>
        <w:jc w:val="both"/>
        <w:rPr>
          <w:rFonts w:ascii="Verdana" w:eastAsia="Calibri" w:hAnsi="Verdana" w:cs="Arial"/>
          <w:color w:val="000000"/>
          <w:lang w:val="es-ES" w:eastAsia="en-GB"/>
        </w:rPr>
      </w:pPr>
      <w:r>
        <w:rPr>
          <w:rFonts w:ascii="Verdana" w:eastAsia="Calibri" w:hAnsi="Verdana" w:cs="Arial"/>
          <w:lang w:val="es-ES"/>
        </w:rPr>
        <w:t xml:space="preserve">x. </w:t>
      </w:r>
      <w:r w:rsidRPr="709E16DE">
        <w:rPr>
          <w:rFonts w:ascii="Verdana" w:eastAsia="Calibri" w:hAnsi="Verdana" w:cs="Arial"/>
          <w:color w:val="000000" w:themeColor="text1"/>
          <w:lang w:val="es-ES" w:eastAsia="en-GB"/>
        </w:rPr>
        <w:t xml:space="preserve">En todo caso, la publicidad de la gestión contractual debe respetar las reservas documentales previstas en el ordenamiento jurídico. En otras palabras, aunque el artículo 74 de la Constitución establezca que la información pública debe ser dada a conocer a la ciudadanía y así los documentos que hagan parte de la actividad contractual puedan catalogarse, </w:t>
      </w:r>
      <w:r w:rsidRPr="709E16DE">
        <w:rPr>
          <w:rFonts w:ascii="Verdana" w:eastAsia="Calibri" w:hAnsi="Verdana" w:cs="Arial"/>
          <w:i/>
          <w:color w:val="000000" w:themeColor="text1"/>
          <w:lang w:val="es-ES" w:eastAsia="en-GB"/>
        </w:rPr>
        <w:t>prima facie,</w:t>
      </w:r>
      <w:r w:rsidRPr="709E16DE">
        <w:rPr>
          <w:rFonts w:ascii="Verdana" w:eastAsia="Calibri" w:hAnsi="Verdana" w:cs="Arial"/>
          <w:color w:val="000000" w:themeColor="text1"/>
          <w:lang w:val="es-ES" w:eastAsia="en-GB"/>
        </w:rPr>
        <w:t xml:space="preserve"> como información pública, cuando dicha documentación contenga información sometida a alguna reserva, que establezca la Constitución o la ley, operan algunas restricciones a su publicidad. </w:t>
      </w:r>
    </w:p>
    <w:p w14:paraId="613E0850" w14:textId="77777777" w:rsidR="005D1133" w:rsidRPr="00A22EE9" w:rsidRDefault="005D1133" w:rsidP="005D1133">
      <w:pPr>
        <w:tabs>
          <w:tab w:val="left" w:pos="426"/>
        </w:tabs>
        <w:spacing w:after="120" w:line="276" w:lineRule="auto"/>
        <w:jc w:val="both"/>
        <w:rPr>
          <w:rFonts w:ascii="Verdana" w:eastAsia="Calibri" w:hAnsi="Verdana" w:cs="Arial"/>
          <w:color w:val="000000"/>
          <w:lang w:val="es-ES" w:eastAsia="en-GB"/>
        </w:rPr>
      </w:pPr>
      <w:r>
        <w:rPr>
          <w:rFonts w:ascii="Verdana" w:eastAsia="Calibri" w:hAnsi="Verdana" w:cs="Arial"/>
          <w:color w:val="000000"/>
          <w:lang w:val="es-ES_tradnl" w:eastAsia="en-GB"/>
        </w:rPr>
        <w:tab/>
      </w:r>
      <w:r>
        <w:rPr>
          <w:rFonts w:ascii="Verdana" w:eastAsia="Calibri" w:hAnsi="Verdana" w:cs="Arial"/>
          <w:color w:val="000000"/>
          <w:lang w:val="es-ES_tradnl" w:eastAsia="en-GB"/>
        </w:rPr>
        <w:tab/>
      </w:r>
      <w:r w:rsidRPr="7C64C3F4">
        <w:rPr>
          <w:rFonts w:ascii="Verdana" w:eastAsia="Calibri" w:hAnsi="Verdana" w:cs="Arial"/>
          <w:color w:val="000000"/>
          <w:lang w:val="es-ES" w:eastAsia="en-GB"/>
        </w:rPr>
        <w:t>Sin embargo, esto no necesariamente convierte el documento completo en reservado. En efecto, el principio o regla general consiste en la máxima publicidad de la información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opera respecto al contenido de un documento público, pero no respecto de su existencia</w:t>
      </w:r>
      <w:r w:rsidRPr="7C64C3F4">
        <w:rPr>
          <w:rStyle w:val="Refdenotaalpie"/>
          <w:rFonts w:ascii="Verdana" w:eastAsia="Calibri" w:hAnsi="Verdana" w:cs="Arial"/>
          <w:color w:val="000000"/>
          <w:lang w:val="es-ES" w:eastAsia="en-GB"/>
        </w:rPr>
        <w:footnoteReference w:id="12"/>
      </w:r>
      <w:r w:rsidRPr="7C64C3F4">
        <w:rPr>
          <w:rFonts w:ascii="Verdana" w:eastAsia="Calibri" w:hAnsi="Verdana" w:cs="Arial"/>
          <w:color w:val="000000"/>
          <w:lang w:val="es-ES" w:eastAsia="en-GB"/>
        </w:rPr>
        <w:t>.</w:t>
      </w:r>
    </w:p>
    <w:p w14:paraId="23D1CF3D" w14:textId="77777777" w:rsidR="005D1133" w:rsidRPr="00A22EE9" w:rsidRDefault="005D1133" w:rsidP="005D1133">
      <w:pPr>
        <w:tabs>
          <w:tab w:val="left" w:pos="426"/>
        </w:tabs>
        <w:spacing w:before="120" w:line="276" w:lineRule="auto"/>
        <w:ind w:firstLine="709"/>
        <w:jc w:val="both"/>
        <w:rPr>
          <w:rFonts w:ascii="Verdana" w:eastAsia="Calibri" w:hAnsi="Verdana" w:cs="Arial"/>
          <w:color w:val="000000"/>
          <w:lang w:val="es-ES_tradnl" w:eastAsia="en-GB"/>
        </w:rPr>
      </w:pPr>
      <w:r w:rsidRPr="709E16DE">
        <w:rPr>
          <w:rFonts w:ascii="Verdana" w:eastAsia="Calibri" w:hAnsi="Verdana" w:cs="Arial"/>
          <w:color w:val="000000" w:themeColor="text1"/>
          <w:lang w:val="es-ES" w:eastAsia="en-GB"/>
        </w:rPr>
        <w:t xml:space="preserve">Por ello, el artículo 74 de la Constitución, en armonía con los artículos 18 y 19 de la Ley 1712 de 2014 y los artículos 24 y 25 de la Ley 1437 de 2011 –de acuerdo con la modificación realizada por la Ley 1755 de 2015–, establecen que el derecho de acceso a la información pública no es absoluto, sino que puede exceptuarse cuando se configuren causales de reserva. Asimismo, existe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w:t>
      </w:r>
      <w:r w:rsidRPr="709E16DE">
        <w:rPr>
          <w:rFonts w:ascii="Verdana" w:eastAsia="Calibri" w:hAnsi="Verdana" w:cs="Arial"/>
          <w:color w:val="000000" w:themeColor="text1"/>
          <w:lang w:val="es-ES" w:eastAsia="en-GB"/>
        </w:rPr>
        <w:lastRenderedPageBreak/>
        <w:t>de 2012 y en el artículo 2.2.2.25.1.3 del Decreto 1074 de 2015, solo podrá divulgarse según las reglas establecidas en dichas normas. </w:t>
      </w:r>
    </w:p>
    <w:p w14:paraId="43081966" w14:textId="77777777" w:rsidR="005D1133" w:rsidRPr="00A22EE9" w:rsidRDefault="005D1133" w:rsidP="005D1133">
      <w:pPr>
        <w:tabs>
          <w:tab w:val="left" w:pos="426"/>
        </w:tabs>
        <w:spacing w:after="0" w:line="276" w:lineRule="auto"/>
        <w:ind w:firstLine="709"/>
        <w:jc w:val="both"/>
        <w:rPr>
          <w:rFonts w:ascii="Verdana" w:eastAsia="Calibri" w:hAnsi="Verdana" w:cs="Arial"/>
          <w:color w:val="000000"/>
          <w:lang w:val="es-ES_tradnl" w:eastAsia="en-GB"/>
        </w:rPr>
      </w:pPr>
      <w:r w:rsidRPr="709E16DE">
        <w:rPr>
          <w:rFonts w:ascii="Verdana" w:eastAsia="Calibri" w:hAnsi="Verdana" w:cs="Arial"/>
          <w:color w:val="000000" w:themeColor="text1"/>
          <w:lang w:val="es-ES" w:eastAsia="en-GB"/>
        </w:rPr>
        <w:t xml:space="preserve">Cuando exista información sensible, clasificada o reservada, para proteger la información, los sujetos obligados deben abstenerse de entregar a terceros la información que tiene protección especial o está sometida a reserva. Sin embargo, de acuerdo con el segundo inciso del artículo 25 de la Ley 1437 de 2011, “La restricción por reserva legal no se extenderá a otras piezas del respectivo expediente o actuación que no estén cubiertas por ella”. Por ello, la entidad estatal puede dejar de entregar algún documento o aparte del mismo que contenga datos sensibles, clasificados o reservados, para no divulgarla, pero debe suministrar los demás documentos o los apartados de estos que no gozan de reserva. </w:t>
      </w:r>
    </w:p>
    <w:p w14:paraId="28C32769" w14:textId="77777777" w:rsidR="005D1133" w:rsidRPr="001E646D" w:rsidRDefault="005D1133" w:rsidP="005D1133">
      <w:pPr>
        <w:spacing w:before="120" w:after="0" w:line="276" w:lineRule="auto"/>
        <w:ind w:firstLine="709"/>
        <w:jc w:val="both"/>
        <w:rPr>
          <w:rFonts w:ascii="Verdana" w:eastAsia="Calibri" w:hAnsi="Verdana" w:cs="Arial"/>
          <w:lang w:val="es-ES"/>
        </w:rPr>
      </w:pPr>
      <w:r w:rsidRPr="001E646D">
        <w:rPr>
          <w:rFonts w:ascii="Verdana" w:eastAsia="Calibri" w:hAnsi="Verdana" w:cs="Arial"/>
          <w:lang w:val="es-ES_tradnl"/>
        </w:rPr>
        <w:t xml:space="preserve">En consecuencia, </w:t>
      </w:r>
      <w:r w:rsidRPr="001E646D">
        <w:rPr>
          <w:rFonts w:ascii="Verdana" w:eastAsia="Calibri" w:hAnsi="Verdana" w:cs="Arial"/>
          <w:lang w:val="es-ES"/>
        </w:rPr>
        <w:t xml:space="preserve">vale la pena aclarar que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 </w:t>
      </w:r>
      <w:r>
        <w:rPr>
          <w:rFonts w:ascii="Verdana" w:eastAsia="Calibri" w:hAnsi="Verdana" w:cs="Arial"/>
          <w:lang w:val="es-ES"/>
        </w:rPr>
        <w:t xml:space="preserve">Esto incluye tanto </w:t>
      </w:r>
      <w:r w:rsidRPr="008112FA">
        <w:rPr>
          <w:rFonts w:ascii="Verdana" w:eastAsia="Calibri" w:hAnsi="Verdana" w:cs="Arial"/>
          <w:lang w:val="es-ES"/>
        </w:rPr>
        <w:t xml:space="preserve">a la información </w:t>
      </w:r>
      <w:r>
        <w:rPr>
          <w:rFonts w:ascii="Verdana" w:eastAsia="Calibri" w:hAnsi="Verdana" w:cs="Arial"/>
          <w:lang w:val="es-ES"/>
        </w:rPr>
        <w:t xml:space="preserve">que involucre </w:t>
      </w:r>
      <w:r w:rsidRPr="008112FA">
        <w:rPr>
          <w:rFonts w:ascii="Verdana" w:eastAsia="Calibri" w:hAnsi="Verdana" w:cs="Arial"/>
          <w:lang w:val="es-ES"/>
        </w:rPr>
        <w:t>derechos a la privacidad e intimidad de las personas</w:t>
      </w:r>
      <w:r>
        <w:rPr>
          <w:rFonts w:ascii="Verdana" w:eastAsia="Calibri" w:hAnsi="Verdana" w:cs="Arial"/>
          <w:lang w:val="es-ES"/>
        </w:rPr>
        <w:t xml:space="preserve"> como aquella amparada por el s</w:t>
      </w:r>
      <w:r w:rsidRPr="008112FA">
        <w:rPr>
          <w:rFonts w:ascii="Verdana" w:eastAsia="Calibri" w:hAnsi="Verdana" w:cs="Arial"/>
          <w:lang w:val="es-ES"/>
        </w:rPr>
        <w:t>ecreto comercial o industrial</w:t>
      </w:r>
      <w:r w:rsidRPr="001E646D">
        <w:rPr>
          <w:rFonts w:ascii="Verdana" w:eastAsia="Calibri" w:hAnsi="Verdana" w:cs="Arial"/>
          <w:vertAlign w:val="superscript"/>
          <w:lang w:val="es-ES"/>
        </w:rPr>
        <w:footnoteReference w:id="13"/>
      </w:r>
      <w:r>
        <w:rPr>
          <w:rFonts w:ascii="Verdana" w:eastAsia="Calibri" w:hAnsi="Verdana" w:cs="Arial"/>
          <w:lang w:val="es-ES"/>
        </w:rPr>
        <w:t>.</w:t>
      </w:r>
    </w:p>
    <w:p w14:paraId="61CBBA50" w14:textId="77777777" w:rsidR="005D1133" w:rsidRPr="008112FA" w:rsidRDefault="005D1133" w:rsidP="005D1133">
      <w:pPr>
        <w:spacing w:after="0" w:line="276" w:lineRule="auto"/>
        <w:jc w:val="both"/>
        <w:rPr>
          <w:rFonts w:ascii="Verdana" w:eastAsia="Calibri" w:hAnsi="Verdana" w:cs="Arial"/>
          <w:lang w:val="es-ES_tradnl"/>
        </w:rPr>
      </w:pPr>
    </w:p>
    <w:p w14:paraId="5FB780BA" w14:textId="77777777" w:rsidR="005D1133" w:rsidRDefault="005D1133" w:rsidP="005D1133">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lastRenderedPageBreak/>
        <w:t xml:space="preserve">xi.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DD24E77" w14:textId="77777777" w:rsidR="005D1133" w:rsidRPr="00185EE9" w:rsidRDefault="005D1133" w:rsidP="005D1133">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cada sujeto obligado al deber de publicidad </w:t>
      </w:r>
      <w:r w:rsidRPr="00E853DE">
        <w:rPr>
          <w:rFonts w:ascii="Verdana" w:eastAsia="Calibri" w:hAnsi="Verdana" w:cs="Arial"/>
          <w:bCs/>
          <w:color w:val="000000" w:themeColor="text1"/>
        </w:rPr>
        <w:t>definirá en cada caso concreto lo relacionado con</w:t>
      </w:r>
      <w:r>
        <w:rPr>
          <w:rFonts w:ascii="Verdana" w:eastAsia="Calibri" w:hAnsi="Verdana" w:cs="Arial"/>
          <w:bCs/>
          <w:color w:val="000000" w:themeColor="text1"/>
        </w:rPr>
        <w:t xml:space="preserve"> los aspectos puntuales d</w:t>
      </w:r>
      <w:r w:rsidRPr="00E853DE">
        <w:rPr>
          <w:rFonts w:ascii="Verdana" w:eastAsia="Calibri" w:hAnsi="Verdana" w:cs="Arial"/>
          <w:bCs/>
          <w:color w:val="000000" w:themeColor="text1"/>
        </w:rPr>
        <w:t>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2818FE7A" w14:textId="77777777" w:rsidR="005D1133" w:rsidRPr="00182C89" w:rsidRDefault="005D1133" w:rsidP="005D1133">
      <w:pPr>
        <w:tabs>
          <w:tab w:val="left" w:pos="709"/>
        </w:tabs>
        <w:spacing w:after="0" w:line="276" w:lineRule="auto"/>
        <w:jc w:val="both"/>
        <w:rPr>
          <w:rFonts w:ascii="Verdana" w:eastAsia="Calibri" w:hAnsi="Verdana" w:cs="Arial"/>
          <w:color w:val="000000" w:themeColor="text1"/>
        </w:rPr>
      </w:pPr>
    </w:p>
    <w:p w14:paraId="61E76097" w14:textId="77777777" w:rsidR="005D1133" w:rsidRPr="00593A5F" w:rsidRDefault="005D1133" w:rsidP="005D11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4716BA2" w14:textId="77777777" w:rsidR="005D1133" w:rsidRPr="00593A5F" w:rsidRDefault="005D1133" w:rsidP="005D113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1133" w:rsidRPr="002407CE" w14:paraId="63F1950D" w14:textId="77777777" w:rsidTr="00F77C5D">
        <w:trPr>
          <w:trHeight w:val="870"/>
          <w:jc w:val="center"/>
        </w:trPr>
        <w:tc>
          <w:tcPr>
            <w:tcW w:w="8647" w:type="dxa"/>
          </w:tcPr>
          <w:p w14:paraId="0E3AD31D" w14:textId="77777777" w:rsidR="005D1133" w:rsidRPr="00861E68"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Constitución Política de Colombia, artículos 74 y 209.</w:t>
            </w:r>
          </w:p>
          <w:p w14:paraId="01C1A7ED" w14:textId="77777777" w:rsidR="005D1133" w:rsidRPr="00CC272C"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100 de 1993, artículos 177, 180 y 181.</w:t>
            </w:r>
          </w:p>
          <w:p w14:paraId="7D53DEE6" w14:textId="77777777" w:rsidR="005D1133" w:rsidRPr="00340C5C"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1150 de 2007, artículos 3, 13 y 33.</w:t>
            </w:r>
          </w:p>
          <w:p w14:paraId="159B196B" w14:textId="77777777" w:rsidR="005D1133" w:rsidRPr="00CC272C"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1266 de 2008, artículo 3.</w:t>
            </w:r>
          </w:p>
          <w:p w14:paraId="7A2ACBA6" w14:textId="77777777" w:rsidR="005D1133" w:rsidRPr="00340C5C"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1437 de 2011, artículos 3, 21, 28, 24, 25 y 112.</w:t>
            </w:r>
          </w:p>
          <w:p w14:paraId="56D39ED5" w14:textId="77777777" w:rsidR="005D1133" w:rsidRPr="00861E68"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Ley 1581 de 2012, artículos 3 y 5. </w:t>
            </w:r>
          </w:p>
          <w:p w14:paraId="0F813137" w14:textId="77777777" w:rsidR="005D1133" w:rsidRPr="00861E68"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1712 de 2014, artículos 5, 6, 11, 18, 19 y 21.</w:t>
            </w:r>
          </w:p>
          <w:p w14:paraId="6A49CAAB" w14:textId="77777777" w:rsidR="005D1133" w:rsidRPr="00340C5C"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2195 de 2022, artículos 1 y 53.</w:t>
            </w:r>
          </w:p>
          <w:p w14:paraId="2BF0EB19" w14:textId="77777777" w:rsidR="005D1133" w:rsidRPr="00340C5C"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Decreto Ley 4170 de 2011, artículo 1.</w:t>
            </w:r>
          </w:p>
          <w:p w14:paraId="5477E3EA" w14:textId="77777777" w:rsidR="005D1133" w:rsidRPr="00861E68"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Decreto 1074 de 2015, artículo </w:t>
            </w:r>
            <w:r w:rsidRPr="00F16D2E">
              <w:rPr>
                <w:rFonts w:ascii="Verdana" w:eastAsia="Calibri" w:hAnsi="Verdana" w:cs="Arial"/>
                <w:color w:val="000000"/>
                <w:lang w:val="es-ES_tradnl" w:eastAsia="en-GB"/>
              </w:rPr>
              <w:t>2.2.2.25.1.3</w:t>
            </w:r>
            <w:r>
              <w:rPr>
                <w:rFonts w:ascii="Verdana" w:eastAsia="Calibri" w:hAnsi="Verdana" w:cs="Arial"/>
                <w:color w:val="000000"/>
                <w:lang w:val="es-ES_tradnl" w:eastAsia="en-GB"/>
              </w:rPr>
              <w:t>.</w:t>
            </w:r>
          </w:p>
          <w:p w14:paraId="166F6CF0" w14:textId="77777777" w:rsidR="005D1133" w:rsidRPr="00861E68"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lastRenderedPageBreak/>
              <w:t xml:space="preserve">Decreto 1081 de 2015, artículo </w:t>
            </w:r>
            <w:r w:rsidRPr="00861E68">
              <w:rPr>
                <w:rFonts w:ascii="Verdana" w:hAnsi="Verdana" w:cs="Arial"/>
              </w:rPr>
              <w:t>2.1.1.2.1.7</w:t>
            </w:r>
            <w:r>
              <w:rPr>
                <w:rFonts w:ascii="Verdana" w:hAnsi="Verdana" w:cs="Arial"/>
              </w:rPr>
              <w:t>.</w:t>
            </w:r>
          </w:p>
          <w:p w14:paraId="4BB3005D" w14:textId="77777777" w:rsidR="005D1133" w:rsidRPr="00384930"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Decreto 1082 de 2015, artículos </w:t>
            </w:r>
            <w:r w:rsidRPr="00861E68">
              <w:rPr>
                <w:rFonts w:ascii="Verdana" w:hAnsi="Verdana" w:cs="Arial"/>
              </w:rPr>
              <w:t>2.2.1.1.1.3.1</w:t>
            </w:r>
            <w:r>
              <w:rPr>
                <w:rFonts w:ascii="Verdana" w:hAnsi="Verdana" w:cs="Arial"/>
              </w:rPr>
              <w:t xml:space="preserve"> y </w:t>
            </w:r>
            <w:r w:rsidRPr="00861E68">
              <w:rPr>
                <w:rFonts w:ascii="Verdana" w:hAnsi="Verdana" w:cs="Arial"/>
              </w:rPr>
              <w:t>2.2.1.1.1.7.1</w:t>
            </w:r>
            <w:r>
              <w:rPr>
                <w:rFonts w:ascii="Verdana" w:hAnsi="Verdana" w:cs="Arial"/>
              </w:rPr>
              <w:t>.</w:t>
            </w:r>
          </w:p>
          <w:p w14:paraId="2D21CD13" w14:textId="77777777" w:rsidR="005D1133"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9577EF">
              <w:rPr>
                <w:rFonts w:ascii="Verdana" w:hAnsi="Verdana" w:cs="Arial"/>
                <w:color w:val="000000" w:themeColor="text1"/>
                <w:lang w:val="es-ES_tradnl"/>
              </w:rPr>
              <w:t>Circular Externa Nro. 1 de 21 de junio de 2013</w:t>
            </w:r>
            <w:r>
              <w:rPr>
                <w:rFonts w:ascii="Verdana" w:hAnsi="Verdana" w:cs="Arial"/>
                <w:color w:val="000000" w:themeColor="text1"/>
                <w:lang w:val="es-ES_tradnl"/>
              </w:rPr>
              <w:t xml:space="preserve">. Disponible en: </w:t>
            </w:r>
            <w:hyperlink r:id="rId13" w:history="1">
              <w:r w:rsidRPr="00185CC0">
                <w:rPr>
                  <w:rStyle w:val="Hipervnculo"/>
                  <w:rFonts w:ascii="Verdana" w:hAnsi="Verdana" w:cs="Arial"/>
                  <w:lang w:val="es-ES_tradnl"/>
                </w:rPr>
                <w:t>https://www.colombiacompra.gov.co/wp-content/uploads/2024/08/20130621circular1publicacionensecop.pdf</w:t>
              </w:r>
            </w:hyperlink>
            <w:r>
              <w:rPr>
                <w:rFonts w:ascii="Verdana" w:hAnsi="Verdana" w:cs="Arial"/>
                <w:color w:val="000000" w:themeColor="text1"/>
                <w:lang w:val="es-ES_tradnl"/>
              </w:rPr>
              <w:t xml:space="preserve">. </w:t>
            </w:r>
          </w:p>
          <w:p w14:paraId="04C50ADA" w14:textId="77777777" w:rsidR="005D1133" w:rsidRDefault="005D1133" w:rsidP="00F77C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9577EF">
              <w:rPr>
                <w:rFonts w:ascii="Verdana" w:hAnsi="Verdana" w:cs="Arial"/>
                <w:color w:val="000000" w:themeColor="text1"/>
                <w:lang w:val="es-ES_tradnl"/>
              </w:rPr>
              <w:t>Circular Externa Nro.</w:t>
            </w:r>
            <w:r>
              <w:rPr>
                <w:rFonts w:ascii="Verdana" w:hAnsi="Verdana" w:cs="Arial"/>
                <w:color w:val="000000" w:themeColor="text1"/>
                <w:lang w:val="es-ES_tradnl"/>
              </w:rPr>
              <w:t xml:space="preserve"> </w:t>
            </w:r>
            <w:r w:rsidRPr="008B6D49">
              <w:rPr>
                <w:rFonts w:ascii="Verdana" w:eastAsia="Calibri" w:hAnsi="Verdana" w:cs="Arial"/>
                <w:color w:val="000000" w:themeColor="text1"/>
                <w:lang w:val="es-ES_tradnl"/>
              </w:rPr>
              <w:t>Nro. 20 de 27 de agosto de 2015</w:t>
            </w:r>
            <w:r>
              <w:rPr>
                <w:rFonts w:ascii="Verdana" w:eastAsia="Calibri" w:hAnsi="Verdana" w:cs="Arial"/>
                <w:color w:val="000000" w:themeColor="text1"/>
                <w:lang w:val="es-ES_tradnl"/>
              </w:rPr>
              <w:t xml:space="preserve">. </w:t>
            </w:r>
            <w:r>
              <w:rPr>
                <w:rFonts w:ascii="Verdana" w:hAnsi="Verdana" w:cs="Arial"/>
                <w:color w:val="000000" w:themeColor="text1"/>
                <w:lang w:val="es-ES_tradnl"/>
              </w:rPr>
              <w:t xml:space="preserve">Disponible en: </w:t>
            </w:r>
            <w:hyperlink r:id="rId14" w:history="1">
              <w:r w:rsidRPr="00185CC0">
                <w:rPr>
                  <w:rStyle w:val="Hipervnculo"/>
                  <w:rFonts w:ascii="Verdana" w:hAnsi="Verdana" w:cs="Arial"/>
                  <w:lang w:val="es-ES_tradnl"/>
                </w:rPr>
                <w:t>https://www.colombiacompra.gov.co/wp-content/uploads/2024/08/20150826circular20.pdf</w:t>
              </w:r>
            </w:hyperlink>
            <w:r>
              <w:rPr>
                <w:rFonts w:ascii="Verdana" w:hAnsi="Verdana" w:cs="Arial"/>
                <w:color w:val="000000" w:themeColor="text1"/>
                <w:lang w:val="es-ES_tradnl"/>
              </w:rPr>
              <w:t xml:space="preserve">. </w:t>
            </w:r>
          </w:p>
          <w:p w14:paraId="163E0279" w14:textId="77777777" w:rsidR="005D1133" w:rsidRPr="00FF09AA" w:rsidRDefault="005D1133" w:rsidP="00F77C5D">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Circular Externa Única. Disponible en: </w:t>
            </w:r>
            <w:hyperlink r:id="rId15" w:history="1">
              <w:r w:rsidRPr="00185CC0">
                <w:rPr>
                  <w:rStyle w:val="Hipervnculo"/>
                  <w:rFonts w:ascii="Verdana" w:hAnsi="Verdana" w:cs="Arial"/>
                  <w:lang w:val="es-ES_tradnl"/>
                </w:rPr>
                <w:t>https://www.colombiacompra.gov.co/wp-content/uploads/2024/08/circular_externa_unica_version_3_vf49.pdf</w:t>
              </w:r>
            </w:hyperlink>
            <w:r>
              <w:rPr>
                <w:rFonts w:ascii="Verdana" w:hAnsi="Verdana" w:cs="Arial"/>
                <w:color w:val="000000" w:themeColor="text1"/>
                <w:lang w:val="es-ES_tradnl"/>
              </w:rPr>
              <w:t xml:space="preserve">.  </w:t>
            </w:r>
          </w:p>
        </w:tc>
      </w:tr>
    </w:tbl>
    <w:p w14:paraId="45EFFD4C" w14:textId="77777777" w:rsidR="005D1133" w:rsidRPr="002407CE" w:rsidRDefault="005D1133" w:rsidP="005D1133">
      <w:pPr>
        <w:widowControl w:val="0"/>
        <w:autoSpaceDE w:val="0"/>
        <w:autoSpaceDN w:val="0"/>
        <w:spacing w:after="0" w:line="276" w:lineRule="auto"/>
        <w:jc w:val="both"/>
        <w:rPr>
          <w:rFonts w:ascii="Verdana" w:hAnsi="Verdana" w:cs="Arial"/>
        </w:rPr>
      </w:pPr>
    </w:p>
    <w:p w14:paraId="22D523D4" w14:textId="77777777" w:rsidR="005D1133" w:rsidRPr="00593A5F" w:rsidRDefault="005D1133" w:rsidP="005D11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5CC3FF9" w14:textId="77777777" w:rsidR="005D1133" w:rsidRPr="00593A5F" w:rsidRDefault="005D1133" w:rsidP="005D1133">
      <w:pPr>
        <w:widowControl w:val="0"/>
        <w:autoSpaceDE w:val="0"/>
        <w:autoSpaceDN w:val="0"/>
        <w:spacing w:after="0" w:line="276" w:lineRule="auto"/>
        <w:jc w:val="both"/>
        <w:rPr>
          <w:rFonts w:ascii="Verdana" w:hAnsi="Verdana" w:cs="Arial"/>
        </w:rPr>
      </w:pPr>
    </w:p>
    <w:p w14:paraId="67BF29FE" w14:textId="77777777" w:rsidR="005D1133" w:rsidRDefault="005D1133" w:rsidP="005D1133">
      <w:pPr>
        <w:widowControl w:val="0"/>
        <w:autoSpaceDE w:val="0"/>
        <w:autoSpaceDN w:val="0"/>
        <w:spacing w:after="0" w:line="276" w:lineRule="auto"/>
        <w:jc w:val="both"/>
        <w:rPr>
          <w:rStyle w:val="normaltextrun"/>
          <w:rFonts w:ascii="Verdana" w:hAnsi="Verdana"/>
        </w:rPr>
      </w:pPr>
      <w:r w:rsidRPr="00003886">
        <w:rPr>
          <w:rFonts w:ascii="Verdana" w:hAnsi="Verdana" w:cs="Arial"/>
          <w:shd w:val="clear" w:color="auto" w:fill="FFFFFF"/>
        </w:rPr>
        <w:t xml:space="preserve">Esta Subdirección </w:t>
      </w:r>
      <w:r w:rsidRPr="00FF112F">
        <w:rPr>
          <w:rFonts w:ascii="Verdana" w:hAnsi="Verdana" w:cs="Arial"/>
          <w:shd w:val="clear" w:color="auto" w:fill="FFFFFF"/>
        </w:rPr>
        <w:t>se ha pronunciado sobre los fundamentos normativos del deber de publicar la documentación contractual en las Sistema Electrónico de Contratación Pública–SECOP–, han sido materia de estudio de la doctrina de esta Subdirección en los Conceptos CU-003 del 15 de enero de 2020 y CU-367 del 23 de julio de 2020, reiterado</w:t>
      </w:r>
      <w:r>
        <w:rPr>
          <w:rFonts w:ascii="Verdana" w:hAnsi="Verdana" w:cs="Arial"/>
          <w:shd w:val="clear" w:color="auto" w:fill="FFFFFF"/>
        </w:rPr>
        <w:t>s</w:t>
      </w:r>
      <w:r w:rsidRPr="00FF112F">
        <w:rPr>
          <w:rFonts w:ascii="Verdana" w:hAnsi="Verdana" w:cs="Arial"/>
          <w:shd w:val="clear" w:color="auto" w:fill="FFFFFF"/>
        </w:rPr>
        <w:t xml:space="preserve">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C-135 del 28 de marzo de 2022, C-332 del 24 de mayo de 2022, C-337 del 25 de mayo de 2022, C-355 del 2 de junio de 2022, C-379 del 22 de junio de 2022 y</w:t>
      </w:r>
      <w:r>
        <w:rPr>
          <w:rFonts w:ascii="Verdana" w:hAnsi="Verdana" w:cs="Arial"/>
          <w:shd w:val="clear" w:color="auto" w:fill="FFFFFF"/>
        </w:rPr>
        <w:t xml:space="preserve"> C-794 del 10 de julio de 2025</w:t>
      </w:r>
      <w:r w:rsidRPr="00FF112F">
        <w:rPr>
          <w:rFonts w:ascii="Verdana" w:hAnsi="Verdana" w:cs="Arial"/>
          <w:shd w:val="clear" w:color="auto" w:fill="FFFFFF"/>
        </w:rPr>
        <w:t>. De igual manera, esta Subdirección se ha referido al alcance de lo dispuesto en el artículo 53 de la Ley 2195 de 2022 en los conceptos C-049 del 7 de marzo de 2022, C-120 del 22 de marzo de 2022, C-124 del 22 de marzo de 2022, C-132 del 28 de marzo de 2022, C-337 del 25 de mayo de 2022, C-348 del 13 de junio de 2022, C-357 del 13 de junio de 2022, C-422 del 13 de julio de 2022, C-475 del 26 de julio de 2022, C-480 del 18 de julio de 2022, C-492 del 2 de agosto de 2022, C-495 del 2 de agosto de 2022, C-510 del 8 de agosto de 2022, C-508 de 30 de agosto de 2022, C-457 del 24 de octubre de 2023, C-460 del 30 de noviembre de 2023</w:t>
      </w:r>
      <w:r>
        <w:rPr>
          <w:rFonts w:ascii="Verdana" w:hAnsi="Verdana" w:cs="Arial"/>
          <w:shd w:val="clear" w:color="auto" w:fill="FFFFFF"/>
        </w:rPr>
        <w:t>,</w:t>
      </w:r>
      <w:r w:rsidRPr="00FF112F">
        <w:rPr>
          <w:rFonts w:ascii="Verdana" w:hAnsi="Verdana" w:cs="Arial"/>
          <w:shd w:val="clear" w:color="auto" w:fill="FFFFFF"/>
        </w:rPr>
        <w:t xml:space="preserve"> </w:t>
      </w:r>
      <w:r w:rsidRPr="00FF112F">
        <w:rPr>
          <w:rFonts w:ascii="Verdana" w:hAnsi="Verdana" w:cs="Arial"/>
          <w:shd w:val="clear" w:color="auto" w:fill="FFFFFF"/>
        </w:rPr>
        <w:lastRenderedPageBreak/>
        <w:t>C-592 del 7 de octubre de 2024</w:t>
      </w:r>
      <w:r>
        <w:rPr>
          <w:rFonts w:ascii="Verdana" w:hAnsi="Verdana" w:cs="Arial"/>
          <w:shd w:val="clear" w:color="auto" w:fill="FFFFFF"/>
        </w:rPr>
        <w:t>, C-794 del 2 de julio de 2025 y C-975 del 28 de julio de 2025</w:t>
      </w:r>
      <w:r>
        <w:rPr>
          <w:rFonts w:ascii="Verdana" w:hAnsi="Verdana"/>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6"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BBADCC0" w14:textId="77777777" w:rsidR="005D1133" w:rsidRPr="000C6232" w:rsidRDefault="005D1133" w:rsidP="005D1133">
      <w:pPr>
        <w:widowControl w:val="0"/>
        <w:autoSpaceDE w:val="0"/>
        <w:autoSpaceDN w:val="0"/>
        <w:spacing w:after="0" w:line="276" w:lineRule="auto"/>
        <w:jc w:val="both"/>
        <w:rPr>
          <w:rFonts w:ascii="Verdana" w:hAnsi="Verdana"/>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3AB385AC" w14:textId="77777777" w:rsidR="005D1133" w:rsidRPr="00593A5F" w:rsidRDefault="005D1133" w:rsidP="005D113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41BDBBF" w14:textId="77777777" w:rsidR="005D1133" w:rsidRPr="00593A5F" w:rsidRDefault="005D1133" w:rsidP="005D1133">
      <w:pPr>
        <w:widowControl w:val="0"/>
        <w:autoSpaceDE w:val="0"/>
        <w:autoSpaceDN w:val="0"/>
        <w:spacing w:after="0" w:line="276" w:lineRule="auto"/>
        <w:jc w:val="both"/>
        <w:rPr>
          <w:rFonts w:ascii="Verdana" w:hAnsi="Verdana" w:cs="Arial"/>
        </w:rPr>
      </w:pPr>
    </w:p>
    <w:p w14:paraId="0BC9F413" w14:textId="77777777" w:rsidR="005D1133" w:rsidRPr="00DC5302" w:rsidRDefault="005D1133" w:rsidP="005D1133">
      <w:pPr>
        <w:spacing w:after="0" w:line="240" w:lineRule="auto"/>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DA52D88" w14:textId="4DC38A8B" w:rsidR="005D1133" w:rsidRPr="0068390B" w:rsidRDefault="00966FFA" w:rsidP="005D1133">
      <w:pPr>
        <w:spacing w:line="276" w:lineRule="auto"/>
        <w:jc w:val="center"/>
        <w:rPr>
          <w:rFonts w:ascii="Verdana" w:hAnsi="Verdana" w:cs="Arial"/>
          <w:color w:val="000000"/>
          <w:lang w:eastAsia="es-CO"/>
        </w:rPr>
      </w:pPr>
      <w:r w:rsidRPr="002C3AD6">
        <w:rPr>
          <w:rFonts w:ascii="Century Gothic" w:hAnsi="Century Gothic"/>
          <w:noProof/>
        </w:rPr>
        <w:drawing>
          <wp:inline distT="0" distB="0" distL="0" distR="0" wp14:anchorId="61A6CED6" wp14:editId="5759C78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D1133" w:rsidRPr="0068390B" w14:paraId="6367DD04" w14:textId="77777777" w:rsidTr="00F77C5D">
        <w:trPr>
          <w:trHeight w:val="315"/>
        </w:trPr>
        <w:tc>
          <w:tcPr>
            <w:tcW w:w="893" w:type="dxa"/>
            <w:vAlign w:val="center"/>
            <w:hideMark/>
          </w:tcPr>
          <w:p w14:paraId="24D08FD4" w14:textId="77777777" w:rsidR="005D1133" w:rsidRPr="0068390B" w:rsidRDefault="005D1133" w:rsidP="00F77C5D">
            <w:pPr>
              <w:contextualSpacing/>
              <w:rPr>
                <w:rFonts w:ascii="Verdana" w:hAnsi="Verdana" w:cs="Arial"/>
                <w:sz w:val="16"/>
                <w:szCs w:val="16"/>
                <w:lang w:eastAsia="es-ES"/>
              </w:rPr>
            </w:pPr>
            <w:r w:rsidRPr="0068390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02A6E30" w14:textId="77777777" w:rsidR="005D1133" w:rsidRPr="0068390B" w:rsidRDefault="005D1133" w:rsidP="00F77C5D">
            <w:pPr>
              <w:contextualSpacing/>
              <w:rPr>
                <w:rFonts w:ascii="Verdana" w:hAnsi="Verdana"/>
                <w:sz w:val="16"/>
                <w:szCs w:val="16"/>
              </w:rPr>
            </w:pPr>
            <w:r w:rsidRPr="0068390B">
              <w:rPr>
                <w:rFonts w:ascii="Verdana" w:hAnsi="Verdana"/>
                <w:sz w:val="16"/>
                <w:szCs w:val="16"/>
              </w:rPr>
              <w:t>Tatiana Baquero Iguarán</w:t>
            </w:r>
          </w:p>
          <w:p w14:paraId="26D20DCB" w14:textId="77777777" w:rsidR="005D1133" w:rsidRPr="0068390B" w:rsidRDefault="005D1133" w:rsidP="00F77C5D">
            <w:pPr>
              <w:contextualSpacing/>
              <w:rPr>
                <w:rFonts w:ascii="Verdana" w:eastAsia="Arial" w:hAnsi="Verdana" w:cs="Arial"/>
                <w:sz w:val="16"/>
                <w:szCs w:val="16"/>
              </w:rPr>
            </w:pPr>
            <w:r w:rsidRPr="0068390B">
              <w:rPr>
                <w:rFonts w:ascii="Verdana" w:hAnsi="Verdana"/>
                <w:sz w:val="16"/>
                <w:szCs w:val="16"/>
              </w:rPr>
              <w:t>Contratista de la Subdirección de Gestión Contractual</w:t>
            </w:r>
          </w:p>
        </w:tc>
      </w:tr>
      <w:tr w:rsidR="005D1133" w:rsidRPr="0068390B" w14:paraId="33F09BDA" w14:textId="77777777" w:rsidTr="00F77C5D">
        <w:trPr>
          <w:trHeight w:val="330"/>
        </w:trPr>
        <w:tc>
          <w:tcPr>
            <w:tcW w:w="893" w:type="dxa"/>
            <w:vAlign w:val="center"/>
            <w:hideMark/>
          </w:tcPr>
          <w:p w14:paraId="2296CC1B" w14:textId="77777777" w:rsidR="005D1133" w:rsidRPr="0068390B" w:rsidRDefault="005D1133" w:rsidP="00F77C5D">
            <w:pPr>
              <w:contextualSpacing/>
              <w:rPr>
                <w:rFonts w:ascii="Verdana" w:hAnsi="Verdana" w:cs="Arial"/>
                <w:sz w:val="16"/>
                <w:szCs w:val="16"/>
                <w:lang w:eastAsia="es-ES"/>
              </w:rPr>
            </w:pPr>
            <w:r w:rsidRPr="0068390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20DFA2" w14:textId="77777777" w:rsidR="005D1133" w:rsidRPr="0068390B" w:rsidRDefault="005D1133" w:rsidP="00F77C5D">
            <w:pPr>
              <w:textAlignment w:val="baseline"/>
              <w:rPr>
                <w:rFonts w:ascii="Verdana" w:eastAsia="Times New Roman" w:hAnsi="Verdana" w:cs="Arial"/>
                <w:sz w:val="16"/>
                <w:szCs w:val="16"/>
                <w:lang w:val="es-MX" w:eastAsia="es-CO"/>
              </w:rPr>
            </w:pPr>
            <w:r w:rsidRPr="0068390B">
              <w:rPr>
                <w:rFonts w:ascii="Verdana" w:eastAsia="Times New Roman" w:hAnsi="Verdana" w:cs="Arial"/>
                <w:sz w:val="16"/>
                <w:szCs w:val="16"/>
                <w:lang w:val="es-MX" w:eastAsia="es-CO"/>
              </w:rPr>
              <w:t>Alejandro Raúl Sarmiento Cantillo</w:t>
            </w:r>
          </w:p>
          <w:p w14:paraId="1E3009B1" w14:textId="77777777" w:rsidR="005D1133" w:rsidRPr="0068390B" w:rsidRDefault="005D1133" w:rsidP="00F77C5D">
            <w:pPr>
              <w:spacing w:before="100" w:beforeAutospacing="1" w:after="100" w:afterAutospacing="1"/>
              <w:contextualSpacing/>
              <w:textAlignment w:val="baseline"/>
              <w:rPr>
                <w:rFonts w:ascii="Verdana" w:eastAsia="Times New Roman" w:hAnsi="Verdana" w:cs="Segoe UI"/>
                <w:sz w:val="16"/>
                <w:szCs w:val="16"/>
                <w:lang w:eastAsia="es-ES_tradnl"/>
              </w:rPr>
            </w:pPr>
            <w:r w:rsidRPr="0068390B">
              <w:rPr>
                <w:rFonts w:ascii="Verdana" w:eastAsia="Times New Roman" w:hAnsi="Verdana" w:cs="Arial"/>
                <w:sz w:val="16"/>
                <w:szCs w:val="16"/>
                <w:lang w:val="es-MX" w:eastAsia="es-CO"/>
              </w:rPr>
              <w:t>Gestor T1-15 de la Subdirección de Gestión Contractual</w:t>
            </w:r>
          </w:p>
        </w:tc>
      </w:tr>
      <w:tr w:rsidR="005D1133" w:rsidRPr="0068390B" w14:paraId="3AD44B55" w14:textId="77777777" w:rsidTr="00F77C5D">
        <w:trPr>
          <w:trHeight w:val="300"/>
        </w:trPr>
        <w:tc>
          <w:tcPr>
            <w:tcW w:w="893" w:type="dxa"/>
            <w:vAlign w:val="center"/>
          </w:tcPr>
          <w:p w14:paraId="3097B7CA" w14:textId="77777777" w:rsidR="005D1133" w:rsidRPr="0068390B" w:rsidRDefault="005D1133" w:rsidP="00F77C5D">
            <w:pPr>
              <w:contextualSpacing/>
              <w:rPr>
                <w:rFonts w:ascii="Verdana" w:hAnsi="Verdana" w:cs="Arial"/>
                <w:sz w:val="16"/>
                <w:szCs w:val="16"/>
                <w:lang w:eastAsia="es-ES"/>
              </w:rPr>
            </w:pPr>
            <w:r w:rsidRPr="0068390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7727FB2" w14:textId="77777777" w:rsidR="005D1133" w:rsidRPr="0068390B" w:rsidRDefault="005D1133" w:rsidP="00F77C5D">
            <w:pPr>
              <w:contextualSpacing/>
              <w:rPr>
                <w:rFonts w:ascii="Verdana" w:eastAsia="Calibri" w:hAnsi="Verdana" w:cs="Arial"/>
                <w:sz w:val="16"/>
                <w:szCs w:val="16"/>
                <w:lang w:eastAsia="es-ES"/>
              </w:rPr>
            </w:pPr>
            <w:r w:rsidRPr="0068390B">
              <w:rPr>
                <w:rFonts w:ascii="Verdana" w:eastAsia="Calibri" w:hAnsi="Verdana" w:cs="Arial"/>
                <w:sz w:val="16"/>
                <w:szCs w:val="16"/>
                <w:lang w:eastAsia="es-ES"/>
              </w:rPr>
              <w:t xml:space="preserve">Carolina Quintero </w:t>
            </w:r>
            <w:proofErr w:type="spellStart"/>
            <w:r w:rsidRPr="0068390B">
              <w:rPr>
                <w:rFonts w:ascii="Verdana" w:eastAsia="Calibri" w:hAnsi="Verdana" w:cs="Arial"/>
                <w:sz w:val="16"/>
                <w:szCs w:val="16"/>
                <w:lang w:eastAsia="es-ES"/>
              </w:rPr>
              <w:t>Gacharná</w:t>
            </w:r>
            <w:proofErr w:type="spellEnd"/>
          </w:p>
          <w:p w14:paraId="0E99BC2A" w14:textId="77777777" w:rsidR="005D1133" w:rsidRPr="0068390B" w:rsidRDefault="005D1133" w:rsidP="00F77C5D">
            <w:pPr>
              <w:contextualSpacing/>
              <w:rPr>
                <w:rFonts w:ascii="Verdana" w:eastAsia="Calibri" w:hAnsi="Verdana" w:cs="Arial"/>
                <w:sz w:val="16"/>
                <w:szCs w:val="16"/>
                <w:lang w:eastAsia="es-ES"/>
              </w:rPr>
            </w:pPr>
            <w:r w:rsidRPr="0068390B">
              <w:rPr>
                <w:rFonts w:ascii="Verdana" w:eastAsia="Calibri" w:hAnsi="Verdana" w:cs="Arial"/>
                <w:sz w:val="16"/>
                <w:szCs w:val="16"/>
                <w:lang w:eastAsia="es-ES"/>
              </w:rPr>
              <w:t>Subdirectora de Gestión Contractual ANCP – CCE</w:t>
            </w:r>
          </w:p>
        </w:tc>
      </w:tr>
    </w:tbl>
    <w:p w14:paraId="7D5ADEEE" w14:textId="77777777" w:rsidR="005D1133" w:rsidRPr="0068390B" w:rsidRDefault="005D1133" w:rsidP="005D1133"/>
    <w:p w14:paraId="2227559C" w14:textId="77777777" w:rsidR="005D1133" w:rsidRPr="0068390B" w:rsidRDefault="005D1133" w:rsidP="005D1133">
      <w:pPr>
        <w:spacing w:after="0" w:line="240" w:lineRule="auto"/>
        <w:rPr>
          <w:rFonts w:ascii="Verdana" w:eastAsia="Aptos" w:hAnsi="Verdana" w:cs="Times New Roman"/>
          <w:sz w:val="20"/>
          <w:szCs w:val="20"/>
        </w:rPr>
      </w:pPr>
    </w:p>
    <w:p w14:paraId="5A0C12F8" w14:textId="77777777" w:rsidR="005D1133" w:rsidRDefault="005D1133" w:rsidP="005D1133">
      <w:pPr>
        <w:spacing w:after="0" w:line="240" w:lineRule="auto"/>
        <w:rPr>
          <w:rFonts w:ascii="Arial" w:eastAsia="Times New Roman" w:hAnsi="Arial" w:cs="Arial"/>
          <w:noProof/>
          <w:color w:val="000000"/>
          <w:szCs w:val="24"/>
          <w:lang w:val="es-ES_tradnl" w:eastAsia="es-ES_tradnl"/>
        </w:rPr>
      </w:pPr>
    </w:p>
    <w:p w14:paraId="1C409102" w14:textId="77777777" w:rsidR="005D1133" w:rsidRPr="00DC5302" w:rsidRDefault="005D1133" w:rsidP="005D1133"/>
    <w:p w14:paraId="7407B631" w14:textId="77777777" w:rsidR="005D1133" w:rsidRPr="00513365" w:rsidRDefault="005D1133" w:rsidP="005D1133"/>
    <w:p w14:paraId="15BC9879" w14:textId="77777777" w:rsidR="00425488" w:rsidRDefault="00425488" w:rsidP="00966D16">
      <w:pPr>
        <w:spacing w:after="0" w:line="240" w:lineRule="auto"/>
        <w:rPr>
          <w:rFonts w:ascii="Verdana" w:eastAsia="Geomanist Light" w:hAnsi="Verdana" w:cs="Arial"/>
          <w:color w:val="000000" w:themeColor="text1"/>
          <w:lang w:val="es-MX"/>
        </w:rPr>
      </w:pPr>
    </w:p>
    <w:sectPr w:rsidR="00425488"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C95AF" w14:textId="77777777" w:rsidR="005A705A" w:rsidRDefault="005A705A" w:rsidP="004A1847">
      <w:pPr>
        <w:spacing w:after="0" w:line="240" w:lineRule="auto"/>
      </w:pPr>
      <w:r>
        <w:separator/>
      </w:r>
    </w:p>
  </w:endnote>
  <w:endnote w:type="continuationSeparator" w:id="0">
    <w:p w14:paraId="393C817E" w14:textId="77777777" w:rsidR="005A705A" w:rsidRDefault="005A705A" w:rsidP="004A1847">
      <w:pPr>
        <w:spacing w:after="0" w:line="240" w:lineRule="auto"/>
      </w:pPr>
      <w:r>
        <w:continuationSeparator/>
      </w:r>
    </w:p>
  </w:endnote>
  <w:endnote w:type="continuationNotice" w:id="1">
    <w:p w14:paraId="07AF9F40" w14:textId="77777777" w:rsidR="005A705A" w:rsidRDefault="005A70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B75F5" w14:textId="77777777" w:rsidR="005A705A" w:rsidRDefault="005A705A" w:rsidP="004A1847">
      <w:pPr>
        <w:spacing w:after="0" w:line="240" w:lineRule="auto"/>
      </w:pPr>
      <w:r>
        <w:separator/>
      </w:r>
    </w:p>
  </w:footnote>
  <w:footnote w:type="continuationSeparator" w:id="0">
    <w:p w14:paraId="4FC29B84" w14:textId="77777777" w:rsidR="005A705A" w:rsidRDefault="005A705A" w:rsidP="004A1847">
      <w:pPr>
        <w:spacing w:after="0" w:line="240" w:lineRule="auto"/>
      </w:pPr>
      <w:r>
        <w:continuationSeparator/>
      </w:r>
    </w:p>
  </w:footnote>
  <w:footnote w:type="continuationNotice" w:id="1">
    <w:p w14:paraId="4298E5B7" w14:textId="77777777" w:rsidR="005A705A" w:rsidRDefault="005A705A">
      <w:pPr>
        <w:spacing w:after="0" w:line="240" w:lineRule="auto"/>
      </w:pPr>
    </w:p>
  </w:footnote>
  <w:footnote w:id="2">
    <w:p w14:paraId="574B95B0" w14:textId="77777777" w:rsidR="005D1133" w:rsidRPr="008112FA" w:rsidRDefault="005D1133" w:rsidP="005D1133">
      <w:pPr>
        <w:pStyle w:val="Textonotapie"/>
        <w:ind w:firstLine="708"/>
        <w:jc w:val="both"/>
        <w:rPr>
          <w:rFonts w:ascii="Verdana" w:hAnsi="Verdana" w:cs="Arial"/>
          <w:sz w:val="16"/>
          <w:szCs w:val="16"/>
        </w:rPr>
      </w:pPr>
      <w:r w:rsidRPr="008112FA">
        <w:rPr>
          <w:rStyle w:val="Refdenotaalpie"/>
          <w:rFonts w:ascii="Verdana" w:hAnsi="Verdana" w:cs="Arial"/>
          <w:sz w:val="16"/>
          <w:szCs w:val="16"/>
        </w:rPr>
        <w:footnoteRef/>
      </w:r>
      <w:r w:rsidRPr="008112FA">
        <w:rPr>
          <w:rFonts w:ascii="Verdana" w:hAnsi="Verdana" w:cs="Arial"/>
          <w:sz w:val="16"/>
          <w:szCs w:val="16"/>
        </w:rPr>
        <w:t xml:space="preserve"> ARBOLEDA PERDONO, Enrique José. Comentarios al Nuevo Código de Procedimiento Administrativo y de lo Contencioso Administrativo (2ª ed.). Editorial Legis. Bogotá. 2012. p. 59.</w:t>
      </w:r>
    </w:p>
  </w:footnote>
  <w:footnote w:id="3">
    <w:p w14:paraId="09BA6A37" w14:textId="77777777" w:rsidR="005D1133" w:rsidRPr="008112FA" w:rsidRDefault="005D1133" w:rsidP="005D1133">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Corte Constitucional. Sentencia C- 341 del 4 de junio de 2014. M. P. Mauricio González Cuervo.</w:t>
      </w:r>
    </w:p>
  </w:footnote>
  <w:footnote w:id="4">
    <w:p w14:paraId="4F897B53" w14:textId="77777777" w:rsidR="005D1133" w:rsidRPr="008112FA" w:rsidRDefault="005D1133" w:rsidP="005D1133">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684CF398" w14:textId="77777777" w:rsidR="005D1133" w:rsidRPr="008112FA" w:rsidRDefault="005D1133" w:rsidP="005D1133">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Lo anterior, sin perjuicio de las publicaciones previstas en el numeral 3 del artículo 30 de la Ley 80 de 1993.</w:t>
      </w:r>
    </w:p>
    <w:p w14:paraId="6B2A0341" w14:textId="77777777" w:rsidR="005D1133" w:rsidRPr="008112FA" w:rsidRDefault="005D1133" w:rsidP="005D1133">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45CBCA2D" w14:textId="77777777" w:rsidR="005D1133" w:rsidRPr="008112FA" w:rsidRDefault="005D1133" w:rsidP="005D1133">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w:t>
      </w:r>
    </w:p>
    <w:p w14:paraId="3617FA0A" w14:textId="77777777" w:rsidR="005D1133" w:rsidRPr="008112FA" w:rsidRDefault="005D1133" w:rsidP="005D1133">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footnote>
  <w:footnote w:id="5">
    <w:p w14:paraId="50E0155E" w14:textId="77777777" w:rsidR="005D1133" w:rsidRPr="008112FA" w:rsidRDefault="005D1133" w:rsidP="005D1133">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3FA098C8" w14:textId="77777777" w:rsidR="005D1133" w:rsidRPr="008112FA" w:rsidRDefault="005D1133" w:rsidP="005D1133">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6">
    <w:p w14:paraId="0F11FE23" w14:textId="77777777" w:rsidR="005D1133" w:rsidRPr="008112FA" w:rsidRDefault="005D1133" w:rsidP="005D1133">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vertAlign w:val="superscript"/>
          <w:lang w:val="es-ES" w:eastAsia="es-ES"/>
        </w:rPr>
        <w:footnoteRef/>
      </w:r>
      <w:r w:rsidRPr="008112FA">
        <w:rPr>
          <w:rFonts w:ascii="Verdana" w:hAnsi="Verdana" w:cs="Arial"/>
          <w:color w:val="000000" w:themeColor="text1"/>
          <w:sz w:val="16"/>
          <w:szCs w:val="16"/>
          <w:vertAlign w:val="superscript"/>
          <w:lang w:val="es-ES" w:eastAsia="es-ES"/>
        </w:rPr>
        <w:t xml:space="preserve"> </w:t>
      </w:r>
      <w:r w:rsidRPr="008112FA">
        <w:rPr>
          <w:rFonts w:ascii="Verdana" w:hAnsi="Verdana" w:cs="Arial"/>
          <w:color w:val="000000" w:themeColor="text1"/>
          <w:sz w:val="16"/>
          <w:szCs w:val="16"/>
          <w:lang w:val="es-ES" w:eastAsia="es-ES"/>
        </w:rPr>
        <w:t>“</w:t>
      </w:r>
      <w:r w:rsidRPr="008112FA">
        <w:rPr>
          <w:rFonts w:ascii="Verdana" w:hAnsi="Verdana" w:cs="Arial"/>
          <w:color w:val="000000" w:themeColor="text1"/>
          <w:sz w:val="16"/>
          <w:szCs w:val="16"/>
        </w:rPr>
        <w:t xml:space="preserve">Artículo </w:t>
      </w:r>
      <w:bookmarkStart w:id="4" w:name="_Hlk153373407"/>
      <w:r w:rsidRPr="008112FA">
        <w:rPr>
          <w:rFonts w:ascii="Verdana" w:hAnsi="Verdana" w:cs="Arial"/>
          <w:color w:val="000000" w:themeColor="text1"/>
          <w:sz w:val="16"/>
          <w:szCs w:val="16"/>
        </w:rPr>
        <w:t>2.1.1.2.1.7</w:t>
      </w:r>
      <w:bookmarkEnd w:id="4"/>
      <w:r w:rsidRPr="008112FA">
        <w:rPr>
          <w:rFonts w:ascii="Verdana" w:hAnsi="Verdana" w:cs="Arial"/>
          <w:color w:val="000000" w:themeColor="text1"/>
          <w:sz w:val="16"/>
          <w:szCs w:val="16"/>
        </w:rPr>
        <w:t xml:space="preserve">.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404F3126" w14:textId="77777777" w:rsidR="005D1133" w:rsidRPr="008112FA" w:rsidRDefault="005D1133" w:rsidP="005D1133">
      <w:pPr>
        <w:pStyle w:val="Textonotapie"/>
        <w:ind w:right="49" w:firstLine="709"/>
        <w:jc w:val="both"/>
        <w:rPr>
          <w:rFonts w:ascii="Verdana" w:hAnsi="Verdana" w:cs="Arial"/>
          <w:color w:val="000000" w:themeColor="text1"/>
          <w:sz w:val="16"/>
          <w:szCs w:val="16"/>
          <w:lang w:val="es-ES" w:eastAsia="es-ES"/>
        </w:rPr>
      </w:pPr>
      <w:r w:rsidRPr="008112FA">
        <w:rPr>
          <w:rFonts w:ascii="Verdana" w:hAnsi="Verdana" w:cs="Arial"/>
          <w:color w:val="000000" w:themeColor="text1"/>
          <w:sz w:val="16"/>
          <w:szCs w:val="16"/>
        </w:rPr>
        <w:t>[…].</w:t>
      </w:r>
    </w:p>
    <w:p w14:paraId="391D4DA1" w14:textId="77777777" w:rsidR="005D1133" w:rsidRPr="008112FA" w:rsidRDefault="005D1133" w:rsidP="005D1133">
      <w:pPr>
        <w:pStyle w:val="Textonotapie"/>
        <w:ind w:right="49" w:firstLine="709"/>
        <w:jc w:val="both"/>
        <w:rPr>
          <w:rFonts w:ascii="Verdana" w:hAnsi="Verdana" w:cs="Arial"/>
          <w:color w:val="000000" w:themeColor="text1"/>
          <w:sz w:val="16"/>
          <w:szCs w:val="16"/>
          <w:lang w:val="es-ES" w:eastAsia="es-ES"/>
        </w:rPr>
      </w:pPr>
      <w:r w:rsidRPr="008112FA">
        <w:rPr>
          <w:rFonts w:ascii="Verdana"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7">
    <w:p w14:paraId="3437F6A0" w14:textId="77777777" w:rsidR="005D1133" w:rsidRPr="008112FA" w:rsidRDefault="005D1133" w:rsidP="005D1133">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C</w:t>
      </w:r>
      <w:r w:rsidRPr="008112FA">
        <w:rPr>
          <w:rFonts w:ascii="Verdana" w:hAnsi="Verdana" w:cs="Arial"/>
          <w:color w:val="000000" w:themeColor="text1"/>
          <w:sz w:val="16"/>
          <w:szCs w:val="16"/>
          <w:lang w:val="es-ES" w:eastAsia="es-ES"/>
        </w:rPr>
        <w:t xml:space="preserve">orte Constitucional. Sentencia C-274 de 9 de mayo de 2013. M.P. María Victoria Calle Correa. </w:t>
      </w:r>
    </w:p>
  </w:footnote>
  <w:footnote w:id="8">
    <w:p w14:paraId="61FD297F" w14:textId="77777777" w:rsidR="005D1133" w:rsidRPr="00AE26DB" w:rsidRDefault="005D1133" w:rsidP="005D1133">
      <w:pPr>
        <w:pStyle w:val="Textonotapie"/>
        <w:ind w:firstLine="709"/>
        <w:rPr>
          <w:lang w:val="es-CO"/>
        </w:rPr>
      </w:pPr>
      <w:r>
        <w:rPr>
          <w:rStyle w:val="Refdenotaalpie"/>
        </w:rPr>
        <w:footnoteRef/>
      </w:r>
      <w:r w:rsidRPr="00AE26DB">
        <w:t>https://www.minsalud.gov.co/sites/rid/Lists/BibliotecaDigital/RIDE/VP/DOA/RL/Aseguramiento%20en%20riesgos%20laborales.pdf</w:t>
      </w:r>
    </w:p>
  </w:footnote>
  <w:footnote w:id="9">
    <w:p w14:paraId="482DD104" w14:textId="77777777" w:rsidR="005D1133" w:rsidRPr="008112FA" w:rsidRDefault="005D1133" w:rsidP="005D1133">
      <w:pPr>
        <w:pStyle w:val="Textonotapie"/>
        <w:ind w:firstLine="708"/>
        <w:jc w:val="both"/>
        <w:rPr>
          <w:rFonts w:ascii="Verdana" w:hAnsi="Verdana"/>
          <w:sz w:val="16"/>
          <w:szCs w:val="16"/>
          <w:lang w:val="es-CO"/>
        </w:rPr>
      </w:pPr>
      <w:r w:rsidRPr="008112FA">
        <w:rPr>
          <w:rStyle w:val="Refdenotaalpie"/>
          <w:rFonts w:ascii="Verdana" w:hAnsi="Verdana"/>
          <w:sz w:val="16"/>
          <w:szCs w:val="16"/>
        </w:rPr>
        <w:footnoteRef/>
      </w:r>
      <w:r w:rsidRPr="008112FA">
        <w:rPr>
          <w:rFonts w:ascii="Verdana" w:hAnsi="Verdana"/>
          <w:sz w:val="16"/>
          <w:szCs w:val="16"/>
        </w:rPr>
        <w:t xml:space="preserve"> La guía puede consultarse en el siguiente enlace </w:t>
      </w:r>
      <w:hyperlink r:id="rId1" w:history="1">
        <w:r w:rsidRPr="008112FA">
          <w:rPr>
            <w:rStyle w:val="Hipervnculo"/>
            <w:rFonts w:ascii="Verdana" w:hAnsi="Verdana"/>
            <w:sz w:val="16"/>
            <w:szCs w:val="16"/>
          </w:rPr>
          <w:t>https://www.colombiacompra.gov.co/archivos/manual/publicacion-regimen-especial</w:t>
        </w:r>
      </w:hyperlink>
      <w:r w:rsidRPr="008112FA">
        <w:rPr>
          <w:rFonts w:ascii="Verdana" w:hAnsi="Verdana"/>
          <w:sz w:val="16"/>
          <w:szCs w:val="16"/>
        </w:rPr>
        <w:t xml:space="preserve">.  </w:t>
      </w:r>
    </w:p>
  </w:footnote>
  <w:footnote w:id="10">
    <w:p w14:paraId="20B8652A" w14:textId="77777777" w:rsidR="005D1133" w:rsidRPr="008112FA" w:rsidRDefault="005D1133" w:rsidP="005D1133">
      <w:pPr>
        <w:pStyle w:val="Textonotapie"/>
        <w:ind w:firstLine="708"/>
        <w:jc w:val="both"/>
        <w:rPr>
          <w:rFonts w:ascii="Verdana" w:hAnsi="Verdana"/>
          <w:sz w:val="16"/>
          <w:szCs w:val="16"/>
        </w:rPr>
      </w:pPr>
      <w:r w:rsidRPr="008112FA">
        <w:rPr>
          <w:rStyle w:val="Refdenotaalpie"/>
          <w:rFonts w:ascii="Verdana" w:hAnsi="Verdana"/>
          <w:sz w:val="16"/>
          <w:szCs w:val="16"/>
        </w:rPr>
        <w:footnoteRef/>
      </w:r>
      <w:r w:rsidRPr="008112FA">
        <w:rPr>
          <w:rFonts w:ascii="Verdana" w:hAnsi="Verdana"/>
          <w:sz w:val="16"/>
          <w:szCs w:val="16"/>
        </w:rPr>
        <w:t xml:space="preserve"> La guía puede consultarse en el siguiente enlace </w:t>
      </w:r>
      <w:hyperlink r:id="rId2" w:history="1">
        <w:r w:rsidRPr="008112FA">
          <w:rPr>
            <w:rStyle w:val="Hipervnculo"/>
            <w:rFonts w:ascii="Verdana" w:hAnsi="Verdana"/>
            <w:sz w:val="16"/>
            <w:szCs w:val="16"/>
          </w:rPr>
          <w:t>https://www.colombiacompra.gov.co/base-conocimiento/regimen-especial-con-oferta</w:t>
        </w:r>
      </w:hyperlink>
      <w:r w:rsidRPr="008112FA">
        <w:rPr>
          <w:rFonts w:ascii="Verdana" w:hAnsi="Verdana"/>
          <w:sz w:val="16"/>
          <w:szCs w:val="16"/>
        </w:rPr>
        <w:t xml:space="preserve">. </w:t>
      </w:r>
    </w:p>
  </w:footnote>
  <w:footnote w:id="11">
    <w:p w14:paraId="5D0DC683" w14:textId="77777777" w:rsidR="005D1133" w:rsidRPr="008112FA" w:rsidRDefault="005D1133" w:rsidP="005D1133">
      <w:pPr>
        <w:pStyle w:val="Textonotapie"/>
        <w:ind w:firstLine="708"/>
        <w:jc w:val="both"/>
        <w:rPr>
          <w:rFonts w:ascii="Verdana" w:hAnsi="Verdana"/>
          <w:sz w:val="16"/>
          <w:szCs w:val="16"/>
          <w:lang w:val="es-CO"/>
        </w:rPr>
      </w:pPr>
      <w:r w:rsidRPr="008112FA">
        <w:rPr>
          <w:rStyle w:val="Refdenotaalpie"/>
          <w:rFonts w:ascii="Verdana" w:hAnsi="Verdana"/>
          <w:sz w:val="16"/>
          <w:szCs w:val="16"/>
        </w:rPr>
        <w:footnoteRef/>
      </w:r>
      <w:r w:rsidRPr="008112FA">
        <w:rPr>
          <w:rFonts w:ascii="Verdana" w:hAnsi="Verdana"/>
          <w:sz w:val="16"/>
          <w:szCs w:val="16"/>
        </w:rPr>
        <w:t xml:space="preserve"> La guía puede consultarse en el siguiente enlace </w:t>
      </w:r>
      <w:hyperlink r:id="rId3" w:history="1">
        <w:r w:rsidRPr="008112FA">
          <w:rPr>
            <w:rStyle w:val="Hipervnculo"/>
            <w:rFonts w:ascii="Verdana" w:hAnsi="Verdana"/>
            <w:sz w:val="16"/>
            <w:szCs w:val="16"/>
          </w:rPr>
          <w:t>https://www.colombiacompra.gov.co/base-conocimiento/regimen-especial-sin-oferta-secop-ii</w:t>
        </w:r>
      </w:hyperlink>
      <w:r w:rsidRPr="008112FA">
        <w:rPr>
          <w:rFonts w:ascii="Verdana" w:hAnsi="Verdana"/>
          <w:sz w:val="16"/>
          <w:szCs w:val="16"/>
        </w:rPr>
        <w:t xml:space="preserve">. </w:t>
      </w:r>
    </w:p>
  </w:footnote>
  <w:footnote w:id="12">
    <w:p w14:paraId="748569A7" w14:textId="77777777" w:rsidR="005D1133" w:rsidRPr="008112FA" w:rsidRDefault="005D1133" w:rsidP="005D1133">
      <w:pPr>
        <w:pStyle w:val="Textonotapie"/>
        <w:ind w:firstLine="708"/>
        <w:jc w:val="both"/>
        <w:rPr>
          <w:rFonts w:ascii="Verdana" w:hAnsi="Verdana" w:cs="Arial"/>
          <w:sz w:val="16"/>
          <w:szCs w:val="16"/>
        </w:rPr>
      </w:pPr>
      <w:r w:rsidRPr="008112FA">
        <w:rPr>
          <w:rStyle w:val="Refdenotaalpie"/>
          <w:rFonts w:ascii="Verdana" w:hAnsi="Verdana" w:cs="Arial"/>
          <w:sz w:val="16"/>
          <w:szCs w:val="16"/>
        </w:rPr>
        <w:footnoteRef/>
      </w:r>
      <w:r w:rsidRPr="008112FA">
        <w:rPr>
          <w:rFonts w:ascii="Verdana" w:hAnsi="Verdana" w:cs="Arial"/>
          <w:sz w:val="16"/>
          <w:szCs w:val="16"/>
        </w:rPr>
        <w:t xml:space="preserve"> “Artículo 21. DIVULGACIÓN PARCIAL Y OTRAS REGLAS. En aquellas circunstancias en que la totalidad de la información contenida en un documento no esté protegida por una excepción contenida en la presente ley, debe hacerse una versión pública que mantenga la reserva únicamente de la parte indispensable. La información pública que no cae en ningún supuesto de excepción deberá ser entregada a la parte solicitante, así como ser de conocimiento público. La reserva de acceso a la información opera respecto del contenido de un documento público pero no de su existencia.</w:t>
      </w:r>
    </w:p>
    <w:p w14:paraId="3D33123F" w14:textId="77777777" w:rsidR="005D1133" w:rsidRPr="008112FA" w:rsidRDefault="005D1133" w:rsidP="005D1133">
      <w:pPr>
        <w:pStyle w:val="Textonotapie"/>
        <w:ind w:firstLine="708"/>
        <w:jc w:val="both"/>
        <w:rPr>
          <w:rFonts w:ascii="Verdana" w:hAnsi="Verdana" w:cs="Arial"/>
          <w:sz w:val="16"/>
          <w:szCs w:val="16"/>
        </w:rPr>
      </w:pPr>
      <w:r w:rsidRPr="008112FA">
        <w:rPr>
          <w:rFonts w:ascii="Verdana" w:hAnsi="Verdana" w:cs="Arial"/>
          <w:sz w:val="16"/>
          <w:szCs w:val="16"/>
        </w:rPr>
        <w:t>Ninguna autoridad pública puede negarse a indicar si un documento obra o no en su poder o negar la divulgación de un documento, salvo que el daño causado al interés protegido sea mayor al interés público de obtener acceso a la información.</w:t>
      </w:r>
    </w:p>
    <w:p w14:paraId="6B4FC7FC" w14:textId="77777777" w:rsidR="005D1133" w:rsidRPr="008112FA" w:rsidRDefault="005D1133" w:rsidP="005D1133">
      <w:pPr>
        <w:pStyle w:val="Textonotapie"/>
        <w:ind w:firstLine="708"/>
        <w:jc w:val="both"/>
        <w:rPr>
          <w:rFonts w:ascii="Verdana" w:hAnsi="Verdana" w:cs="Arial"/>
          <w:sz w:val="16"/>
          <w:szCs w:val="16"/>
          <w:lang w:val="es-CO"/>
        </w:rPr>
      </w:pPr>
      <w:r w:rsidRPr="008112FA">
        <w:rPr>
          <w:rFonts w:ascii="Verdana" w:hAnsi="Verdana" w:cs="Arial"/>
          <w:sz w:val="16"/>
          <w:szCs w:val="16"/>
        </w:rPr>
        <w:t>Las excepciones de acceso a la información contenidas en la presente ley no aplican en casos de violación de derechos humanos o delitos de lesa humanidad, y en todo caso deberán protegerse los derechos de las víctimas de dichas violaciones”.</w:t>
      </w:r>
    </w:p>
  </w:footnote>
  <w:footnote w:id="13">
    <w:p w14:paraId="6EB80B3A" w14:textId="77777777" w:rsidR="005D1133" w:rsidRPr="008112FA" w:rsidRDefault="005D1133" w:rsidP="005D1133">
      <w:pPr>
        <w:pStyle w:val="Textonotapie"/>
        <w:ind w:firstLine="708"/>
        <w:contextualSpacing/>
        <w:jc w:val="both"/>
        <w:rPr>
          <w:rFonts w:ascii="Verdana" w:hAnsi="Verdana" w:cs="Arial"/>
          <w:sz w:val="16"/>
          <w:szCs w:val="16"/>
        </w:rPr>
      </w:pPr>
      <w:r w:rsidRPr="008112FA">
        <w:rPr>
          <w:rStyle w:val="Refdenotaalpie"/>
          <w:rFonts w:ascii="Verdana" w:hAnsi="Verdana" w:cs="Arial"/>
          <w:sz w:val="16"/>
          <w:szCs w:val="16"/>
        </w:rPr>
        <w:footnoteRef/>
      </w:r>
      <w:r w:rsidRPr="008112FA">
        <w:rPr>
          <w:rFonts w:ascii="Verdana" w:hAnsi="Verdana" w:cs="Arial"/>
          <w:sz w:val="16"/>
          <w:szCs w:val="16"/>
        </w:rPr>
        <w:t xml:space="preserve"> Ley 1437 de 2011: “Artículo 24. Informaciones y documentos reservados. Solo tendrán carácter reservado las informaciones y documentos expresamente sometidos a reserva por la Constitución Política o la ley, y en especial:  </w:t>
      </w:r>
    </w:p>
    <w:p w14:paraId="25939381" w14:textId="77777777" w:rsidR="005D1133" w:rsidRPr="008112FA" w:rsidRDefault="005D1133" w:rsidP="005D1133">
      <w:pPr>
        <w:pStyle w:val="Textonotapie"/>
        <w:ind w:firstLine="708"/>
        <w:contextualSpacing/>
        <w:jc w:val="both"/>
        <w:rPr>
          <w:rFonts w:ascii="Verdana" w:hAnsi="Verdana" w:cs="Arial"/>
          <w:sz w:val="16"/>
          <w:szCs w:val="16"/>
        </w:rPr>
      </w:pPr>
      <w:r w:rsidRPr="008112FA">
        <w:rPr>
          <w:rFonts w:ascii="Verdana" w:hAnsi="Verdana" w:cs="Arial"/>
          <w:sz w:val="16"/>
          <w:szCs w:val="16"/>
        </w:rPr>
        <w:t xml:space="preserve">1. Los relacionados con la defensa o seguridad nacionales.  </w:t>
      </w:r>
    </w:p>
    <w:p w14:paraId="298E70D7" w14:textId="77777777" w:rsidR="005D1133" w:rsidRPr="008112FA" w:rsidRDefault="005D1133" w:rsidP="005D1133">
      <w:pPr>
        <w:pStyle w:val="Textonotapie"/>
        <w:ind w:firstLine="708"/>
        <w:contextualSpacing/>
        <w:jc w:val="both"/>
        <w:rPr>
          <w:rFonts w:ascii="Verdana" w:hAnsi="Verdana" w:cs="Arial"/>
          <w:sz w:val="16"/>
          <w:szCs w:val="16"/>
        </w:rPr>
      </w:pPr>
      <w:r w:rsidRPr="008112FA">
        <w:rPr>
          <w:rFonts w:ascii="Verdana" w:hAnsi="Verdana" w:cs="Arial"/>
          <w:sz w:val="16"/>
          <w:szCs w:val="16"/>
        </w:rPr>
        <w:t xml:space="preserve">2. Las instrucciones en materia diplomática o sobre negociaciones reservadas.  </w:t>
      </w:r>
    </w:p>
    <w:p w14:paraId="588BABB1" w14:textId="77777777" w:rsidR="005D1133" w:rsidRPr="008112FA" w:rsidRDefault="005D1133" w:rsidP="005D1133">
      <w:pPr>
        <w:pStyle w:val="Textonotapie"/>
        <w:ind w:firstLine="708"/>
        <w:contextualSpacing/>
        <w:jc w:val="both"/>
        <w:rPr>
          <w:rFonts w:ascii="Verdana" w:hAnsi="Verdana" w:cs="Arial"/>
          <w:sz w:val="16"/>
          <w:szCs w:val="16"/>
        </w:rPr>
      </w:pPr>
      <w:r w:rsidRPr="008112FA">
        <w:rPr>
          <w:rFonts w:ascii="Verdana" w:hAnsi="Verdana" w:cs="Arial"/>
          <w:sz w:val="16"/>
          <w:szCs w:val="16"/>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01467900" w14:textId="77777777" w:rsidR="005D1133" w:rsidRPr="008112FA" w:rsidRDefault="005D1133" w:rsidP="005D1133">
      <w:pPr>
        <w:pStyle w:val="Textonotapie"/>
        <w:ind w:firstLine="708"/>
        <w:contextualSpacing/>
        <w:jc w:val="both"/>
        <w:rPr>
          <w:rFonts w:ascii="Verdana" w:hAnsi="Verdana" w:cs="Arial"/>
          <w:sz w:val="16"/>
          <w:szCs w:val="16"/>
        </w:rPr>
      </w:pPr>
      <w:r w:rsidRPr="008112FA">
        <w:rPr>
          <w:rFonts w:ascii="Verdana" w:hAnsi="Verdana" w:cs="Arial"/>
          <w:sz w:val="16"/>
          <w:szCs w:val="16"/>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079CA45C" w14:textId="77777777" w:rsidR="005D1133" w:rsidRPr="008112FA" w:rsidRDefault="005D1133" w:rsidP="005D1133">
      <w:pPr>
        <w:pStyle w:val="Textonotapie"/>
        <w:ind w:firstLine="708"/>
        <w:contextualSpacing/>
        <w:jc w:val="both"/>
        <w:rPr>
          <w:rFonts w:ascii="Verdana" w:hAnsi="Verdana" w:cs="Arial"/>
          <w:sz w:val="16"/>
          <w:szCs w:val="16"/>
        </w:rPr>
      </w:pPr>
      <w:r w:rsidRPr="008112FA">
        <w:rPr>
          <w:rFonts w:ascii="Verdana" w:hAnsi="Verdana" w:cs="Arial"/>
          <w:sz w:val="16"/>
          <w:szCs w:val="16"/>
        </w:rPr>
        <w:t xml:space="preserve">5. Los datos referentes a la información financiera y comercial, en los términos de la Ley Estatutaria 1266 de 2008.  </w:t>
      </w:r>
    </w:p>
    <w:p w14:paraId="1F5A091C" w14:textId="77777777" w:rsidR="005D1133" w:rsidRPr="008112FA" w:rsidRDefault="005D1133" w:rsidP="005D1133">
      <w:pPr>
        <w:pStyle w:val="Textonotapie"/>
        <w:ind w:firstLine="708"/>
        <w:contextualSpacing/>
        <w:jc w:val="both"/>
        <w:rPr>
          <w:rFonts w:ascii="Verdana" w:hAnsi="Verdana" w:cs="Arial"/>
          <w:sz w:val="16"/>
          <w:szCs w:val="16"/>
        </w:rPr>
      </w:pPr>
      <w:r w:rsidRPr="008112FA">
        <w:rPr>
          <w:rFonts w:ascii="Verdana" w:hAnsi="Verdana" w:cs="Arial"/>
          <w:sz w:val="16"/>
          <w:szCs w:val="16"/>
        </w:rPr>
        <w:t xml:space="preserve">6. Los protegidos por el secreto comercial o industrial, así como los planes estratégicos de las empresas públicas de servicios públicos.  </w:t>
      </w:r>
    </w:p>
    <w:p w14:paraId="5C1C322D" w14:textId="77777777" w:rsidR="005D1133" w:rsidRPr="008112FA" w:rsidRDefault="005D1133" w:rsidP="005D1133">
      <w:pPr>
        <w:pStyle w:val="Textonotapie"/>
        <w:ind w:firstLine="708"/>
        <w:contextualSpacing/>
        <w:jc w:val="both"/>
        <w:rPr>
          <w:rFonts w:ascii="Verdana" w:hAnsi="Verdana" w:cs="Arial"/>
          <w:sz w:val="16"/>
          <w:szCs w:val="16"/>
        </w:rPr>
      </w:pPr>
      <w:r w:rsidRPr="008112FA">
        <w:rPr>
          <w:rFonts w:ascii="Verdana" w:hAnsi="Verdana" w:cs="Arial"/>
          <w:sz w:val="16"/>
          <w:szCs w:val="16"/>
        </w:rPr>
        <w:t xml:space="preserve">7. Los amparados por el secreto profesional.  </w:t>
      </w:r>
    </w:p>
    <w:p w14:paraId="40BDD6FB" w14:textId="77777777" w:rsidR="005D1133" w:rsidRPr="008112FA" w:rsidRDefault="005D1133" w:rsidP="005D1133">
      <w:pPr>
        <w:pStyle w:val="Textonotapie"/>
        <w:ind w:firstLine="708"/>
        <w:contextualSpacing/>
        <w:jc w:val="both"/>
        <w:rPr>
          <w:rFonts w:ascii="Verdana" w:hAnsi="Verdana" w:cs="Arial"/>
          <w:sz w:val="16"/>
          <w:szCs w:val="16"/>
        </w:rPr>
      </w:pPr>
      <w:r w:rsidRPr="008112FA">
        <w:rPr>
          <w:rFonts w:ascii="Verdana" w:hAnsi="Verdana" w:cs="Arial"/>
          <w:sz w:val="16"/>
          <w:szCs w:val="16"/>
        </w:rPr>
        <w:t xml:space="preserve">8. Los datos genéticos humanos.  </w:t>
      </w:r>
    </w:p>
    <w:p w14:paraId="4DED2942" w14:textId="77777777" w:rsidR="005D1133" w:rsidRPr="008112FA" w:rsidRDefault="005D1133" w:rsidP="005D1133">
      <w:pPr>
        <w:pStyle w:val="Textonotapie"/>
        <w:ind w:firstLine="708"/>
        <w:contextualSpacing/>
        <w:jc w:val="both"/>
        <w:rPr>
          <w:rFonts w:ascii="Verdana" w:hAnsi="Verdana" w:cs="Arial"/>
          <w:sz w:val="16"/>
          <w:szCs w:val="16"/>
        </w:rPr>
      </w:pPr>
      <w:r w:rsidRPr="008112FA">
        <w:rPr>
          <w:rFonts w:ascii="Verdana" w:hAnsi="Verdana" w:cs="Arial"/>
          <w:sz w:val="16"/>
          <w:szCs w:val="16"/>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8A2"/>
    <w:rsid w:val="00046945"/>
    <w:rsid w:val="00055C1B"/>
    <w:rsid w:val="00061B2A"/>
    <w:rsid w:val="00082362"/>
    <w:rsid w:val="000A683E"/>
    <w:rsid w:val="000B0893"/>
    <w:rsid w:val="000B19B9"/>
    <w:rsid w:val="000C6232"/>
    <w:rsid w:val="000D0334"/>
    <w:rsid w:val="000E437E"/>
    <w:rsid w:val="000F577C"/>
    <w:rsid w:val="000F6486"/>
    <w:rsid w:val="00125105"/>
    <w:rsid w:val="00127233"/>
    <w:rsid w:val="001511A0"/>
    <w:rsid w:val="0018208A"/>
    <w:rsid w:val="001C7728"/>
    <w:rsid w:val="001E4177"/>
    <w:rsid w:val="001F19D4"/>
    <w:rsid w:val="001F7DC6"/>
    <w:rsid w:val="002421BB"/>
    <w:rsid w:val="0025796E"/>
    <w:rsid w:val="002707A2"/>
    <w:rsid w:val="00270987"/>
    <w:rsid w:val="002951A0"/>
    <w:rsid w:val="002962BC"/>
    <w:rsid w:val="002A093D"/>
    <w:rsid w:val="002A0DD0"/>
    <w:rsid w:val="002A49AC"/>
    <w:rsid w:val="002A64FD"/>
    <w:rsid w:val="002C7A84"/>
    <w:rsid w:val="002E4FD9"/>
    <w:rsid w:val="00320CD7"/>
    <w:rsid w:val="00322A85"/>
    <w:rsid w:val="00324168"/>
    <w:rsid w:val="003448F4"/>
    <w:rsid w:val="00346394"/>
    <w:rsid w:val="003741A3"/>
    <w:rsid w:val="00374F5E"/>
    <w:rsid w:val="00375492"/>
    <w:rsid w:val="00377E3E"/>
    <w:rsid w:val="003A779E"/>
    <w:rsid w:val="003D0F4D"/>
    <w:rsid w:val="003D5B0D"/>
    <w:rsid w:val="003D5E2A"/>
    <w:rsid w:val="003D7170"/>
    <w:rsid w:val="003E0499"/>
    <w:rsid w:val="003F3941"/>
    <w:rsid w:val="0040601F"/>
    <w:rsid w:val="00406575"/>
    <w:rsid w:val="00414C74"/>
    <w:rsid w:val="00425488"/>
    <w:rsid w:val="0042722E"/>
    <w:rsid w:val="0044466C"/>
    <w:rsid w:val="0044528D"/>
    <w:rsid w:val="004739E8"/>
    <w:rsid w:val="004A1847"/>
    <w:rsid w:val="004A305D"/>
    <w:rsid w:val="004A4112"/>
    <w:rsid w:val="004B3ABD"/>
    <w:rsid w:val="004F21C4"/>
    <w:rsid w:val="004F685F"/>
    <w:rsid w:val="00507E45"/>
    <w:rsid w:val="0055139A"/>
    <w:rsid w:val="005566E8"/>
    <w:rsid w:val="00574867"/>
    <w:rsid w:val="00583821"/>
    <w:rsid w:val="00591460"/>
    <w:rsid w:val="005A705A"/>
    <w:rsid w:val="005B3816"/>
    <w:rsid w:val="005C1FC7"/>
    <w:rsid w:val="005C3777"/>
    <w:rsid w:val="005C5CDC"/>
    <w:rsid w:val="005D1133"/>
    <w:rsid w:val="005D476C"/>
    <w:rsid w:val="006103B3"/>
    <w:rsid w:val="006219F8"/>
    <w:rsid w:val="006276D9"/>
    <w:rsid w:val="006441DA"/>
    <w:rsid w:val="006565F4"/>
    <w:rsid w:val="00665D70"/>
    <w:rsid w:val="00681A91"/>
    <w:rsid w:val="00683153"/>
    <w:rsid w:val="006900D9"/>
    <w:rsid w:val="006B4C87"/>
    <w:rsid w:val="006F0C8E"/>
    <w:rsid w:val="006F530D"/>
    <w:rsid w:val="006F7511"/>
    <w:rsid w:val="00703830"/>
    <w:rsid w:val="00706C16"/>
    <w:rsid w:val="00756841"/>
    <w:rsid w:val="007649AB"/>
    <w:rsid w:val="00771D0C"/>
    <w:rsid w:val="007833AC"/>
    <w:rsid w:val="007918E2"/>
    <w:rsid w:val="007B268C"/>
    <w:rsid w:val="007B6A6E"/>
    <w:rsid w:val="007B7171"/>
    <w:rsid w:val="007C0C0F"/>
    <w:rsid w:val="007C3DC2"/>
    <w:rsid w:val="007E5497"/>
    <w:rsid w:val="00803162"/>
    <w:rsid w:val="00806F5F"/>
    <w:rsid w:val="00820278"/>
    <w:rsid w:val="00845F73"/>
    <w:rsid w:val="00867F95"/>
    <w:rsid w:val="00870E59"/>
    <w:rsid w:val="00875959"/>
    <w:rsid w:val="008843B6"/>
    <w:rsid w:val="00891928"/>
    <w:rsid w:val="008A446D"/>
    <w:rsid w:val="008C0CC5"/>
    <w:rsid w:val="008D180B"/>
    <w:rsid w:val="008F0EA7"/>
    <w:rsid w:val="009023C2"/>
    <w:rsid w:val="00923EEF"/>
    <w:rsid w:val="009419F9"/>
    <w:rsid w:val="00944D18"/>
    <w:rsid w:val="0095685E"/>
    <w:rsid w:val="00961B09"/>
    <w:rsid w:val="00965334"/>
    <w:rsid w:val="00966D16"/>
    <w:rsid w:val="00966FFA"/>
    <w:rsid w:val="0097093E"/>
    <w:rsid w:val="00986AC5"/>
    <w:rsid w:val="009A0DFA"/>
    <w:rsid w:val="009A4DE1"/>
    <w:rsid w:val="009A6AD9"/>
    <w:rsid w:val="009B2D26"/>
    <w:rsid w:val="009C71FA"/>
    <w:rsid w:val="009C72E7"/>
    <w:rsid w:val="009D3058"/>
    <w:rsid w:val="009F3A13"/>
    <w:rsid w:val="00A11D7B"/>
    <w:rsid w:val="00A122D3"/>
    <w:rsid w:val="00A17F13"/>
    <w:rsid w:val="00A20739"/>
    <w:rsid w:val="00A22EE9"/>
    <w:rsid w:val="00A244F6"/>
    <w:rsid w:val="00A33C78"/>
    <w:rsid w:val="00A36E1A"/>
    <w:rsid w:val="00AB0ADB"/>
    <w:rsid w:val="00AE26DB"/>
    <w:rsid w:val="00B01B1A"/>
    <w:rsid w:val="00B0657E"/>
    <w:rsid w:val="00B5280F"/>
    <w:rsid w:val="00B60F9E"/>
    <w:rsid w:val="00B66319"/>
    <w:rsid w:val="00B72CD3"/>
    <w:rsid w:val="00B72FFF"/>
    <w:rsid w:val="00BB6DE9"/>
    <w:rsid w:val="00BC3D36"/>
    <w:rsid w:val="00BD7F72"/>
    <w:rsid w:val="00BE29FD"/>
    <w:rsid w:val="00BF7709"/>
    <w:rsid w:val="00C04FB3"/>
    <w:rsid w:val="00C11050"/>
    <w:rsid w:val="00C330EB"/>
    <w:rsid w:val="00C41061"/>
    <w:rsid w:val="00C754BE"/>
    <w:rsid w:val="00C76B1C"/>
    <w:rsid w:val="00CA0B1A"/>
    <w:rsid w:val="00CA27D9"/>
    <w:rsid w:val="00CB6357"/>
    <w:rsid w:val="00CC1B26"/>
    <w:rsid w:val="00D338DD"/>
    <w:rsid w:val="00D36BF3"/>
    <w:rsid w:val="00D423A2"/>
    <w:rsid w:val="00D520D8"/>
    <w:rsid w:val="00D560C3"/>
    <w:rsid w:val="00D63AC2"/>
    <w:rsid w:val="00D7383B"/>
    <w:rsid w:val="00DA231B"/>
    <w:rsid w:val="00DC39FC"/>
    <w:rsid w:val="00DC5302"/>
    <w:rsid w:val="00DF3AE9"/>
    <w:rsid w:val="00DF5254"/>
    <w:rsid w:val="00E16408"/>
    <w:rsid w:val="00E20894"/>
    <w:rsid w:val="00E245AB"/>
    <w:rsid w:val="00E2764C"/>
    <w:rsid w:val="00E27F2E"/>
    <w:rsid w:val="00E314EC"/>
    <w:rsid w:val="00E5019C"/>
    <w:rsid w:val="00E50AFE"/>
    <w:rsid w:val="00E6003A"/>
    <w:rsid w:val="00E75C92"/>
    <w:rsid w:val="00E771DC"/>
    <w:rsid w:val="00E8772A"/>
    <w:rsid w:val="00E90F6B"/>
    <w:rsid w:val="00E92C27"/>
    <w:rsid w:val="00EA0E3D"/>
    <w:rsid w:val="00EC38A7"/>
    <w:rsid w:val="00ED7384"/>
    <w:rsid w:val="00EE1AA8"/>
    <w:rsid w:val="00EF1BFC"/>
    <w:rsid w:val="00F037B7"/>
    <w:rsid w:val="00F14D44"/>
    <w:rsid w:val="00F16E49"/>
    <w:rsid w:val="00F30FA9"/>
    <w:rsid w:val="00F31EDC"/>
    <w:rsid w:val="00F404F4"/>
    <w:rsid w:val="00F462B3"/>
    <w:rsid w:val="00F5664F"/>
    <w:rsid w:val="00F666C4"/>
    <w:rsid w:val="00F73538"/>
    <w:rsid w:val="00F76AFC"/>
    <w:rsid w:val="00F823EE"/>
    <w:rsid w:val="00FA064C"/>
    <w:rsid w:val="00FA47C0"/>
    <w:rsid w:val="00FA6762"/>
    <w:rsid w:val="00FB5DD1"/>
    <w:rsid w:val="00FC2B5D"/>
    <w:rsid w:val="00FF1449"/>
    <w:rsid w:val="00FF3855"/>
    <w:rsid w:val="05A5CA86"/>
    <w:rsid w:val="165E9519"/>
    <w:rsid w:val="20A1A4A4"/>
    <w:rsid w:val="2BF04082"/>
    <w:rsid w:val="382536D9"/>
    <w:rsid w:val="4F09B17A"/>
    <w:rsid w:val="6EFDAB80"/>
    <w:rsid w:val="709E16DE"/>
    <w:rsid w:val="7B6AA7A6"/>
    <w:rsid w:val="7C183931"/>
    <w:rsid w:val="7C64C3F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AB97EFA-FDA0-479B-B634-EEC860326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81A9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81A91"/>
    <w:rPr>
      <w:rFonts w:ascii="Geomanist Light" w:hAnsi="Geomanist Light"/>
      <w:lang w:val="es-ES"/>
    </w:rPr>
  </w:style>
  <w:style w:type="character" w:customStyle="1" w:styleId="s15">
    <w:name w:val="s15"/>
    <w:basedOn w:val="Fuentedeprrafopredeter"/>
    <w:rsid w:val="00681A91"/>
  </w:style>
  <w:style w:type="character" w:customStyle="1" w:styleId="apple-converted-space">
    <w:name w:val="apple-converted-space"/>
    <w:basedOn w:val="Fuentedeprrafopredeter"/>
    <w:rsid w:val="00681A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20130621circular1publicacionensecop.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notificacionesjudiciales@suramericana.com.co"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www.colombiacompra.gov.co/wp-content/uploads/2024/08/circular_externa_unica_version_3_vf49.pdf"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wp-content/uploads/2024/08/20150826circular20.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regimen-especial-sin-oferta-secop-ii" TargetMode="External"/><Relationship Id="rId2" Type="http://schemas.openxmlformats.org/officeDocument/2006/relationships/hyperlink" Target="https://www.colombiacompra.gov.co/base-conocimiento/regimen-especial-con-oferta" TargetMode="External"/><Relationship Id="rId1" Type="http://schemas.openxmlformats.org/officeDocument/2006/relationships/hyperlink" Target="https://www.colombiacompra.gov.co/archivos/manual/publicacion-regimen-especi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purl.org/dc/elements/1.1/"/>
    <ds:schemaRef ds:uri="http://www.w3.org/XML/1998/namespace"/>
    <ds:schemaRef ds:uri="http://schemas.microsoft.com/office/infopath/2007/PartnerControls"/>
    <ds:schemaRef ds:uri="http://purl.org/dc/terms/"/>
    <ds:schemaRef ds:uri="http://schemas.microsoft.com/office/2006/metadata/properties"/>
    <ds:schemaRef ds:uri="http://schemas.microsoft.com/office/2006/documentManagement/types"/>
    <ds:schemaRef ds:uri="http://schemas.openxmlformats.org/package/2006/metadata/core-properties"/>
    <ds:schemaRef ds:uri="a6cb9e4b-f1d1-4245-83ec-6cad768d538a"/>
    <ds:schemaRef ds:uri="http://purl.org/dc/dcmitype/"/>
  </ds:schemaRefs>
</ds:datastoreItem>
</file>

<file path=customXml/itemProps3.xml><?xml version="1.0" encoding="utf-8"?>
<ds:datastoreItem xmlns:ds="http://schemas.openxmlformats.org/officeDocument/2006/customXml" ds:itemID="{FCAF2F47-64BA-4BFD-B909-07FBEA1E16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765C6E-BBCC-4DFA-83C0-9EB718F1251F}">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22</Pages>
  <Words>7585</Words>
  <Characters>41723</Characters>
  <Application>Microsoft Office Word</Application>
  <DocSecurity>0</DocSecurity>
  <Lines>347</Lines>
  <Paragraphs>98</Paragraphs>
  <ScaleCrop>false</ScaleCrop>
  <Company/>
  <LinksUpToDate>false</LinksUpToDate>
  <CharactersWithSpaces>49210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2023-01-11T00:18:00Z</cp:lastPrinted>
  <dcterms:created xsi:type="dcterms:W3CDTF">2025-10-10T23:28:00Z</dcterms:created>
  <dcterms:modified xsi:type="dcterms:W3CDTF">2025-10-10T23:28:00Z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