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3190"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CONTRATO INTERADMINISTRATIVO VS. CONVENIO INTERADMINISTRATIVO</w:t>
      </w:r>
    </w:p>
    <w:p w14:paraId="5C4224D8" w14:textId="4AB3776B"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 xml:space="preserve"> La jurisprudencia y la doctrina distinguen entre estas dos figuras. El contrato interadministrativo es un negocio jurídico con obligaciones patrimoniales, oneroso, y donde las partes tienen intereses disímiles (un contratante y un contratista que actúa de forma similar a un particular). En cambio, el convenio interadministrativo no tiene un interés puramente económico (sin pago de precio o ganancia), sino que su objeto es la cooperación y coordinación para el cumplimiento de fines comunes, donde las partes tienen intereses convergentes y actúan en igualdad.</w:t>
      </w:r>
    </w:p>
    <w:p w14:paraId="0D09DBCD"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 xml:space="preserve">PROHIBICIÓN GENERAL DE CONTRATACIÓN DIRECTA CON ASOCIACIONES </w:t>
      </w:r>
    </w:p>
    <w:p w14:paraId="708C6329" w14:textId="2FEF5E85"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La normativa que permitía a las asociaciones de entidades territoriales celebrar contratos interadministrativos de forma directa (Parágrafo 1 del Art. 2 de la Ley 80 de 1993) fue expresamente derogada por el Art. 32 de la Ley 1150 de 2007. Adicionalmente, el Art. 10 de la Ley 1150 de 2007 establece que las asociaciones de entidades territoriales que celebren contratos con el Estado deben someterse a los procesos de selección (licitación, etc.) y participar en igualdad de condiciones con los particulares .</w:t>
      </w:r>
    </w:p>
    <w:p w14:paraId="55E8BB11"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PROHIBICIÓN ESPECÍFICA (ART. 92 LEY 1474 DE 2011) Y EXCEPCIÓN DEL CONVENIO</w:t>
      </w:r>
    </w:p>
    <w:p w14:paraId="54C4FCED" w14:textId="4E4205E3"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 xml:space="preserve"> El Art. 92 de la Ley 1474 de 2011 exceptúa explícitamente a las "personas jurídicas sin ánimo de lucro conformadas por la asociación de entidades públicas" de la causal de contratación directa para celebrar contratos de obra, suministro, prestación de servicios de evaluación de conformidad, encargos fiduciarios y fiducia pública. Sin embargo, un municipio sí puede suscribir convenios interadministrativos de forma directa con una asociación (amparado en normas como el Art. 17 de la Ley 1454 de 2011), siempre y cuando sea una verdadera colaboración para cumplir fines comunes, sin que exista una relación de contratante-contratista ni se pacte el pago de una utilidad.</w:t>
      </w:r>
    </w:p>
    <w:p w14:paraId="7569A59B" w14:textId="77777777" w:rsidR="00871B59" w:rsidRPr="00CE6A7D" w:rsidRDefault="00871B59" w:rsidP="00871B59">
      <w:pPr>
        <w:spacing w:after="0" w:line="240" w:lineRule="auto"/>
        <w:jc w:val="both"/>
        <w:rPr>
          <w:rFonts w:ascii="Verdana" w:eastAsia="Calibri" w:hAnsi="Verdana" w:cs="Arial"/>
          <w:color w:val="000000"/>
        </w:rPr>
      </w:pPr>
    </w:p>
    <w:p w14:paraId="0E85FF02" w14:textId="77777777" w:rsidR="00CE6A7D" w:rsidRDefault="00CE6A7D" w:rsidP="00871B59">
      <w:pPr>
        <w:spacing w:after="0" w:line="240" w:lineRule="auto"/>
        <w:jc w:val="both"/>
        <w:rPr>
          <w:rFonts w:ascii="Verdana" w:eastAsia="Calibri" w:hAnsi="Verdana" w:cs="Arial"/>
          <w:lang w:val="es-ES" w:eastAsia="es-ES"/>
        </w:rPr>
      </w:pPr>
    </w:p>
    <w:p w14:paraId="750EB37D" w14:textId="77777777" w:rsidR="00CE6A7D" w:rsidRDefault="00CE6A7D" w:rsidP="00871B59">
      <w:pPr>
        <w:spacing w:after="0" w:line="240" w:lineRule="auto"/>
        <w:jc w:val="both"/>
        <w:rPr>
          <w:rFonts w:ascii="Verdana" w:eastAsia="Calibri" w:hAnsi="Verdana" w:cs="Arial"/>
          <w:lang w:val="es-ES" w:eastAsia="es-ES"/>
        </w:rPr>
      </w:pPr>
    </w:p>
    <w:p w14:paraId="79CCE329" w14:textId="77777777" w:rsidR="00CE6A7D" w:rsidRPr="00CE6A7D" w:rsidRDefault="00CE6A7D" w:rsidP="00CE6A7D">
      <w:pPr>
        <w:pStyle w:val="Textoindependiente"/>
        <w:spacing w:before="168"/>
        <w:rPr>
          <w:rFonts w:ascii="Verdana" w:hAnsi="Verdana"/>
        </w:rPr>
      </w:pPr>
      <w:r w:rsidRPr="00CE6A7D">
        <w:rPr>
          <w:rFonts w:ascii="Verdana" w:hAnsi="Verdana"/>
          <w:noProof/>
        </w:rPr>
        <w:lastRenderedPageBreak/>
        <w:drawing>
          <wp:anchor distT="0" distB="0" distL="0" distR="0" simplePos="0" relativeHeight="251659264" behindDoc="0" locked="0" layoutInCell="1" allowOverlap="1" wp14:anchorId="443390A2" wp14:editId="0940708B">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CE6A7D">
        <w:rPr>
          <w:rFonts w:ascii="Verdana" w:hAnsi="Verdana"/>
        </w:rPr>
        <w:t>Bogotá</w:t>
      </w:r>
      <w:r w:rsidRPr="00CE6A7D">
        <w:rPr>
          <w:rFonts w:ascii="Verdana" w:hAnsi="Verdana"/>
          <w:spacing w:val="-6"/>
        </w:rPr>
        <w:t xml:space="preserve"> </w:t>
      </w:r>
      <w:r w:rsidRPr="00CE6A7D">
        <w:rPr>
          <w:rFonts w:ascii="Verdana" w:hAnsi="Verdana"/>
        </w:rPr>
        <w:t>D.C.,</w:t>
      </w:r>
      <w:r w:rsidRPr="00CE6A7D">
        <w:rPr>
          <w:rFonts w:ascii="Verdana" w:hAnsi="Verdana"/>
          <w:spacing w:val="-4"/>
        </w:rPr>
        <w:t xml:space="preserve"> </w:t>
      </w:r>
      <w:r w:rsidRPr="00CE6A7D">
        <w:rPr>
          <w:rFonts w:ascii="Verdana" w:hAnsi="Verdana"/>
        </w:rPr>
        <w:t>17</w:t>
      </w:r>
      <w:r w:rsidRPr="00CE6A7D">
        <w:rPr>
          <w:rFonts w:ascii="Verdana" w:hAnsi="Verdana"/>
          <w:spacing w:val="-3"/>
        </w:rPr>
        <w:t xml:space="preserve"> </w:t>
      </w:r>
      <w:r w:rsidRPr="00CE6A7D">
        <w:rPr>
          <w:rFonts w:ascii="Verdana" w:hAnsi="Verdana"/>
        </w:rPr>
        <w:t>Octubre</w:t>
      </w:r>
      <w:r w:rsidRPr="00CE6A7D">
        <w:rPr>
          <w:rFonts w:ascii="Verdana" w:hAnsi="Verdana"/>
          <w:spacing w:val="-2"/>
        </w:rPr>
        <w:t xml:space="preserve"> </w:t>
      </w:r>
      <w:r w:rsidRPr="00CE6A7D">
        <w:rPr>
          <w:rFonts w:ascii="Verdana" w:hAnsi="Verdana"/>
          <w:spacing w:val="-4"/>
        </w:rPr>
        <w:t>2025</w:t>
      </w:r>
    </w:p>
    <w:p w14:paraId="4641ED44" w14:textId="77777777" w:rsidR="00CE6A7D" w:rsidRDefault="00CE6A7D" w:rsidP="00871B59">
      <w:pPr>
        <w:spacing w:after="0" w:line="240" w:lineRule="auto"/>
        <w:jc w:val="both"/>
        <w:rPr>
          <w:rFonts w:ascii="Verdana" w:eastAsia="Calibri" w:hAnsi="Verdana" w:cs="Arial"/>
          <w:lang w:val="es-ES" w:eastAsia="es-ES"/>
        </w:rPr>
      </w:pPr>
    </w:p>
    <w:p w14:paraId="05932A5D" w14:textId="77777777" w:rsidR="00CE6A7D" w:rsidRDefault="00CE6A7D" w:rsidP="00871B59">
      <w:pPr>
        <w:spacing w:after="0" w:line="240" w:lineRule="auto"/>
        <w:jc w:val="both"/>
        <w:rPr>
          <w:rFonts w:ascii="Verdana" w:eastAsia="Calibri" w:hAnsi="Verdana" w:cs="Arial"/>
          <w:lang w:val="es-ES" w:eastAsia="es-ES"/>
        </w:rPr>
      </w:pPr>
    </w:p>
    <w:p w14:paraId="71033300" w14:textId="6A381BE6" w:rsidR="00871B59" w:rsidRPr="0017067E" w:rsidRDefault="00871B59" w:rsidP="00871B59">
      <w:pPr>
        <w:spacing w:after="0" w:line="240" w:lineRule="auto"/>
        <w:jc w:val="both"/>
        <w:rPr>
          <w:rFonts w:ascii="Verdana" w:eastAsia="Calibri" w:hAnsi="Verdana" w:cs="Arial"/>
          <w:lang w:val="es-ES" w:eastAsia="es-ES"/>
        </w:rPr>
      </w:pPr>
      <w:r w:rsidRPr="0017067E">
        <w:rPr>
          <w:rFonts w:ascii="Verdana" w:eastAsia="Calibri" w:hAnsi="Verdana" w:cs="Arial"/>
          <w:lang w:val="es-ES" w:eastAsia="es-ES"/>
        </w:rPr>
        <w:t>Seño</w:t>
      </w:r>
      <w:r w:rsidR="004B3C97">
        <w:rPr>
          <w:rFonts w:ascii="Verdana" w:eastAsia="Calibri" w:hAnsi="Verdana" w:cs="Arial"/>
          <w:lang w:val="es-ES" w:eastAsia="es-ES"/>
        </w:rPr>
        <w:t>r</w:t>
      </w:r>
    </w:p>
    <w:p w14:paraId="22C88568" w14:textId="2F8F80A0" w:rsidR="00871B59" w:rsidRPr="0017067E" w:rsidRDefault="004B3C97"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Ancizar Leguizamón Silva </w:t>
      </w:r>
    </w:p>
    <w:p w14:paraId="3E4D0B32" w14:textId="6C23EEA9" w:rsidR="00871B59" w:rsidRPr="004B3C97" w:rsidRDefault="004B3C97" w:rsidP="004B3C97">
      <w:pPr>
        <w:spacing w:after="0" w:line="240" w:lineRule="auto"/>
        <w:rPr>
          <w:rFonts w:ascii="Verdana" w:eastAsia="Calibri" w:hAnsi="Verdana" w:cs="Arial"/>
          <w:lang w:val="es-ES" w:eastAsia="es-ES"/>
        </w:rPr>
      </w:pPr>
      <w:hyperlink r:id="rId12" w:history="1">
        <w:r w:rsidRPr="004B3C97">
          <w:rPr>
            <w:rStyle w:val="Hipervnculo"/>
            <w:rFonts w:ascii="Verdana" w:eastAsia="Calibri" w:hAnsi="Verdana" w:cs="Arial"/>
            <w:lang w:val="es-ES" w:eastAsia="es-ES"/>
          </w:rPr>
          <w:t>anlesi0203@gmail.com</w:t>
        </w:r>
      </w:hyperlink>
      <w:r w:rsidRPr="004B3C97">
        <w:rPr>
          <w:rFonts w:ascii="Verdana" w:eastAsia="Calibri" w:hAnsi="Verdana" w:cs="Arial"/>
          <w:lang w:val="es-ES" w:eastAsia="es-ES"/>
        </w:rPr>
        <w:t xml:space="preserve">  </w:t>
      </w:r>
    </w:p>
    <w:p w14:paraId="2CB364A5" w14:textId="25CE5118" w:rsidR="00871B59" w:rsidRPr="004B3C97" w:rsidRDefault="004B3C97" w:rsidP="00871B59">
      <w:pPr>
        <w:spacing w:after="0" w:line="240" w:lineRule="auto"/>
        <w:rPr>
          <w:rFonts w:ascii="Verdana" w:eastAsia="Calibri" w:hAnsi="Verdana" w:cs="Arial"/>
          <w:color w:val="000000"/>
          <w:lang w:val="es-ES_tradnl" w:eastAsia="es-ES_tradnl"/>
        </w:rPr>
      </w:pPr>
      <w:proofErr w:type="spellStart"/>
      <w:r w:rsidRPr="004B3C97">
        <w:rPr>
          <w:rFonts w:ascii="Verdana" w:eastAsia="Calibri" w:hAnsi="Verdana" w:cs="Arial"/>
          <w:color w:val="000000"/>
          <w:lang w:val="es-ES_tradnl" w:eastAsia="es-ES_tradnl"/>
        </w:rPr>
        <w:t>Orocue</w:t>
      </w:r>
      <w:proofErr w:type="spellEnd"/>
      <w:r w:rsidRPr="004B3C97">
        <w:rPr>
          <w:rFonts w:ascii="Verdana" w:eastAsia="Calibri" w:hAnsi="Verdana" w:cs="Arial"/>
          <w:color w:val="000000"/>
          <w:lang w:val="es-ES_tradnl" w:eastAsia="es-ES_tradnl"/>
        </w:rPr>
        <w:t>, Casanare</w:t>
      </w:r>
    </w:p>
    <w:p w14:paraId="7928D27F" w14:textId="77777777" w:rsidR="00871B59" w:rsidRPr="0017067E"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17067E" w14:paraId="6A3D08EB" w14:textId="77777777" w:rsidTr="002607A7">
        <w:trPr>
          <w:trHeight w:val="884"/>
        </w:trPr>
        <w:tc>
          <w:tcPr>
            <w:tcW w:w="2689" w:type="dxa"/>
          </w:tcPr>
          <w:p w14:paraId="2E205A0F" w14:textId="77777777" w:rsidR="00871B59" w:rsidRPr="0017067E" w:rsidRDefault="00871B59" w:rsidP="002607A7">
            <w:pPr>
              <w:jc w:val="both"/>
              <w:rPr>
                <w:rFonts w:ascii="Verdana" w:eastAsia="Calibri" w:hAnsi="Verdana" w:cs="Arial"/>
                <w:b/>
                <w:bCs/>
                <w:color w:val="7030A0"/>
                <w:lang w:val="es-ES_tradnl" w:eastAsia="es-ES_tradnl"/>
              </w:rPr>
            </w:pPr>
          </w:p>
        </w:tc>
        <w:tc>
          <w:tcPr>
            <w:tcW w:w="6100" w:type="dxa"/>
          </w:tcPr>
          <w:p w14:paraId="2A2BB7F5" w14:textId="0965BF7D" w:rsidR="00871B59" w:rsidRPr="0017067E" w:rsidRDefault="00871B59" w:rsidP="002607A7">
            <w:pPr>
              <w:jc w:val="both"/>
              <w:rPr>
                <w:rFonts w:ascii="Verdana" w:eastAsia="Calibri" w:hAnsi="Verdana" w:cs="Arial"/>
                <w:b/>
                <w:bCs/>
                <w:color w:val="7030A0"/>
                <w:lang w:val="es-ES" w:eastAsia="es-ES"/>
              </w:rPr>
            </w:pPr>
            <w:r w:rsidRPr="0017067E">
              <w:rPr>
                <w:rFonts w:ascii="Verdana" w:eastAsia="Calibri" w:hAnsi="Verdana" w:cs="Arial"/>
                <w:b/>
                <w:bCs/>
                <w:lang w:val="es-ES" w:eastAsia="es-ES"/>
              </w:rPr>
              <w:t>Concepto C</w:t>
            </w:r>
            <w:r w:rsidR="004B3C97">
              <w:rPr>
                <w:rFonts w:ascii="Verdana" w:eastAsia="Calibri" w:hAnsi="Verdana" w:cs="Arial"/>
                <w:b/>
                <w:bCs/>
                <w:lang w:val="es-ES" w:eastAsia="es-ES"/>
              </w:rPr>
              <w:t>-1264</w:t>
            </w:r>
            <w:r w:rsidRPr="0017067E">
              <w:rPr>
                <w:rFonts w:ascii="Verdana" w:eastAsia="Calibri" w:hAnsi="Verdana" w:cs="Arial"/>
                <w:b/>
                <w:bCs/>
                <w:color w:val="7030A0"/>
                <w:lang w:val="es-ES" w:eastAsia="es-ES"/>
              </w:rPr>
              <w:t xml:space="preserve"> </w:t>
            </w:r>
            <w:r w:rsidRPr="0017067E">
              <w:rPr>
                <w:rFonts w:ascii="Verdana" w:eastAsia="Calibri" w:hAnsi="Verdana" w:cs="Arial"/>
                <w:b/>
                <w:bCs/>
                <w:lang w:val="es-ES" w:eastAsia="es-ES"/>
              </w:rPr>
              <w:t>de</w:t>
            </w:r>
            <w:r w:rsidR="004B3C97">
              <w:rPr>
                <w:rFonts w:ascii="Verdana" w:eastAsia="Calibri" w:hAnsi="Verdana" w:cs="Arial"/>
                <w:b/>
                <w:bCs/>
                <w:lang w:val="es-ES" w:eastAsia="es-ES"/>
              </w:rPr>
              <w:t xml:space="preserve"> 2025</w:t>
            </w:r>
          </w:p>
        </w:tc>
      </w:tr>
      <w:tr w:rsidR="00871B59" w:rsidRPr="0017067E" w14:paraId="106E12A7" w14:textId="77777777" w:rsidTr="002607A7">
        <w:trPr>
          <w:trHeight w:val="884"/>
        </w:trPr>
        <w:tc>
          <w:tcPr>
            <w:tcW w:w="2689" w:type="dxa"/>
          </w:tcPr>
          <w:p w14:paraId="428C142F" w14:textId="77777777" w:rsidR="00871B59" w:rsidRPr="004B3C97" w:rsidRDefault="00871B59" w:rsidP="002607A7">
            <w:pPr>
              <w:jc w:val="both"/>
              <w:rPr>
                <w:rFonts w:ascii="Verdana" w:eastAsia="Calibri" w:hAnsi="Verdana" w:cs="Arial"/>
                <w:color w:val="000000" w:themeColor="text1"/>
                <w:lang w:val="es-ES_tradnl" w:eastAsia="es-ES_tradnl"/>
              </w:rPr>
            </w:pPr>
            <w:r w:rsidRPr="004B3C97">
              <w:rPr>
                <w:rFonts w:ascii="Verdana" w:eastAsia="Calibri" w:hAnsi="Verdana" w:cs="Arial"/>
                <w:b/>
                <w:color w:val="000000" w:themeColor="text1"/>
                <w:lang w:val="es-ES_tradnl" w:eastAsia="es-ES_tradnl"/>
              </w:rPr>
              <w:t>Temas:</w:t>
            </w:r>
            <w:r w:rsidRPr="004B3C97">
              <w:rPr>
                <w:rFonts w:ascii="Verdana" w:eastAsia="Calibri" w:hAnsi="Verdana" w:cs="Arial"/>
                <w:color w:val="000000" w:themeColor="text1"/>
                <w:lang w:val="es-ES_tradnl" w:eastAsia="es-ES_tradnl"/>
              </w:rPr>
              <w:t xml:space="preserve">                   </w:t>
            </w:r>
          </w:p>
        </w:tc>
        <w:tc>
          <w:tcPr>
            <w:tcW w:w="6100" w:type="dxa"/>
          </w:tcPr>
          <w:p w14:paraId="12EF2FBC" w14:textId="0B400E19" w:rsidR="00871B59" w:rsidRPr="004B3C97" w:rsidRDefault="004B3C97" w:rsidP="002607A7">
            <w:pPr>
              <w:spacing w:line="276" w:lineRule="auto"/>
              <w:jc w:val="both"/>
              <w:rPr>
                <w:rFonts w:ascii="Verdana" w:eastAsia="Calibri" w:hAnsi="Verdana" w:cs="Arial"/>
                <w:color w:val="000000" w:themeColor="text1"/>
                <w:lang w:val="es-ES" w:eastAsia="es-ES"/>
              </w:rPr>
            </w:pPr>
            <w:r>
              <w:rPr>
                <w:rFonts w:ascii="Verdana" w:hAnsi="Verdana" w:cs="Arial"/>
                <w:bCs/>
                <w:lang w:val="es-ES_tradnl"/>
              </w:rPr>
              <w:t>CONTRATO</w:t>
            </w:r>
            <w:r w:rsidRPr="00C45C5D">
              <w:rPr>
                <w:rFonts w:ascii="Verdana" w:hAnsi="Verdana" w:cs="Arial"/>
                <w:bCs/>
                <w:lang w:val="es-ES_tradnl"/>
              </w:rPr>
              <w:t>S INTERADMINISTRATIVOS – Asociaciones de Municipios</w:t>
            </w:r>
            <w:r>
              <w:rPr>
                <w:rFonts w:ascii="Verdana" w:hAnsi="Verdana" w:cs="Arial"/>
                <w:bCs/>
                <w:lang w:val="es-ES_tradnl"/>
              </w:rPr>
              <w:t xml:space="preserve"> – Prohibición – Contratación Directa / CONVENIOS INTERADMINISTRATIVOS – Procedencia – Contratación Directa</w:t>
            </w:r>
            <w:r w:rsidRPr="009563E7">
              <w:rPr>
                <w:rFonts w:ascii="Verdana" w:hAnsi="Verdana" w:cs="Arial"/>
                <w:bCs/>
                <w:color w:val="000000"/>
                <w:kern w:val="2"/>
                <w:lang w:val="es-MX"/>
                <w14:ligatures w14:val="standardContextual"/>
              </w:rPr>
              <w:t xml:space="preserve"> </w:t>
            </w:r>
            <w:r>
              <w:rPr>
                <w:rFonts w:ascii="Verdana" w:hAnsi="Verdana" w:cs="Arial"/>
                <w:bCs/>
                <w:color w:val="000000"/>
                <w:kern w:val="2"/>
                <w:lang w:val="es-MX"/>
                <w14:ligatures w14:val="standardContextual"/>
              </w:rPr>
              <w:t xml:space="preserve">/ </w:t>
            </w:r>
            <w:r>
              <w:rPr>
                <w:rFonts w:ascii="Verdana" w:hAnsi="Verdana" w:cs="Arial"/>
                <w:bCs/>
                <w:color w:val="000000"/>
                <w:kern w:val="2"/>
                <w:lang w:val="es-ES_tradnl"/>
                <w14:ligatures w14:val="standardContextual"/>
              </w:rPr>
              <w:t>LEY 2195 DE 2022 – Artículo 56 – Aplicación</w:t>
            </w:r>
          </w:p>
          <w:p w14:paraId="7D06FEE8" w14:textId="77777777" w:rsidR="00871B59" w:rsidRPr="004B3C97" w:rsidRDefault="00871B59" w:rsidP="002607A7">
            <w:pPr>
              <w:spacing w:line="276" w:lineRule="auto"/>
              <w:jc w:val="both"/>
              <w:rPr>
                <w:rFonts w:ascii="Verdana" w:eastAsia="Calibri" w:hAnsi="Verdana" w:cs="Arial"/>
                <w:color w:val="000000" w:themeColor="text1"/>
                <w:lang w:val="es-ES" w:eastAsia="es-ES"/>
              </w:rPr>
            </w:pPr>
          </w:p>
        </w:tc>
      </w:tr>
      <w:tr w:rsidR="00871B59" w:rsidRPr="004B3C97" w14:paraId="7C36761F" w14:textId="77777777" w:rsidTr="00CE6A7D">
        <w:trPr>
          <w:trHeight w:val="703"/>
        </w:trPr>
        <w:tc>
          <w:tcPr>
            <w:tcW w:w="2689" w:type="dxa"/>
          </w:tcPr>
          <w:p w14:paraId="69CE5A9F" w14:textId="77777777" w:rsidR="00871B59" w:rsidRPr="004B3C97" w:rsidRDefault="00871B59" w:rsidP="002607A7">
            <w:pPr>
              <w:jc w:val="both"/>
              <w:rPr>
                <w:rFonts w:ascii="Verdana" w:eastAsia="Calibri" w:hAnsi="Verdana" w:cs="Arial"/>
                <w:b/>
                <w:color w:val="000000" w:themeColor="text1"/>
                <w:lang w:val="es-ES_tradnl" w:eastAsia="es-ES_tradnl"/>
              </w:rPr>
            </w:pPr>
            <w:r w:rsidRPr="004B3C97">
              <w:rPr>
                <w:rFonts w:ascii="Verdana" w:eastAsia="Calibri" w:hAnsi="Verdana" w:cs="Arial"/>
                <w:b/>
                <w:color w:val="000000" w:themeColor="text1"/>
                <w:lang w:val="es-ES_tradnl" w:eastAsia="es-ES_tradnl"/>
              </w:rPr>
              <w:t>Radicación:</w:t>
            </w:r>
            <w:r w:rsidRPr="004B3C97">
              <w:rPr>
                <w:rFonts w:ascii="Verdana" w:eastAsia="Calibri" w:hAnsi="Verdana" w:cs="Arial"/>
                <w:color w:val="000000" w:themeColor="text1"/>
                <w:lang w:val="es-ES_tradnl" w:eastAsia="es-ES_tradnl"/>
              </w:rPr>
              <w:t xml:space="preserve">               </w:t>
            </w:r>
          </w:p>
        </w:tc>
        <w:tc>
          <w:tcPr>
            <w:tcW w:w="6100" w:type="dxa"/>
          </w:tcPr>
          <w:p w14:paraId="2C776A51" w14:textId="2EEB4D24" w:rsidR="00871B59" w:rsidRPr="004B3C97" w:rsidRDefault="00871B59" w:rsidP="002607A7">
            <w:pPr>
              <w:jc w:val="both"/>
              <w:rPr>
                <w:rFonts w:ascii="Verdana" w:eastAsia="Calibri" w:hAnsi="Verdana" w:cs="Arial"/>
                <w:color w:val="000000" w:themeColor="text1"/>
                <w:lang w:val="es-ES_tradnl" w:eastAsia="es-ES_tradnl"/>
              </w:rPr>
            </w:pPr>
            <w:r w:rsidRPr="004B3C97">
              <w:rPr>
                <w:rFonts w:ascii="Verdana" w:eastAsia="Calibri" w:hAnsi="Verdana" w:cs="Arial"/>
                <w:color w:val="000000" w:themeColor="text1"/>
                <w:lang w:val="es-ES_tradnl" w:eastAsia="es-ES_tradnl"/>
              </w:rPr>
              <w:t xml:space="preserve">Respuesta a consulta con radicado No. </w:t>
            </w:r>
            <w:r w:rsidR="004B3C97" w:rsidRPr="004B3C97">
              <w:rPr>
                <w:rFonts w:ascii="Verdana" w:hAnsi="Verdana" w:cs="Segoe UI"/>
                <w:color w:val="000000" w:themeColor="text1"/>
                <w:shd w:val="clear" w:color="auto" w:fill="FFFFFF"/>
              </w:rPr>
              <w:t>1_2025_09_04_009580</w:t>
            </w:r>
          </w:p>
        </w:tc>
      </w:tr>
    </w:tbl>
    <w:p w14:paraId="505E7527" w14:textId="77777777" w:rsidR="00871B59" w:rsidRPr="0017067E" w:rsidRDefault="00871B59" w:rsidP="00871B59">
      <w:pPr>
        <w:spacing w:after="0" w:line="240" w:lineRule="auto"/>
        <w:jc w:val="both"/>
        <w:rPr>
          <w:rFonts w:ascii="Verdana" w:eastAsia="Calibri" w:hAnsi="Verdana" w:cs="Arial"/>
          <w:color w:val="000000"/>
          <w:lang w:val="es-ES_tradnl" w:eastAsia="es-ES_tradnl"/>
        </w:rPr>
      </w:pPr>
    </w:p>
    <w:p w14:paraId="52C1369A" w14:textId="77777777" w:rsidR="00871B59" w:rsidRPr="0017067E" w:rsidRDefault="00871B59" w:rsidP="00871B59">
      <w:pPr>
        <w:spacing w:after="0" w:line="240" w:lineRule="auto"/>
        <w:jc w:val="both"/>
        <w:rPr>
          <w:rFonts w:ascii="Verdana" w:eastAsia="Calibri" w:hAnsi="Verdana" w:cs="Arial"/>
          <w:color w:val="000000"/>
          <w:lang w:val="es-ES_tradnl" w:eastAsia="es-ES_tradnl"/>
        </w:rPr>
      </w:pPr>
    </w:p>
    <w:p w14:paraId="59589F31" w14:textId="5C0643E6" w:rsidR="00871B59" w:rsidRPr="004B3C97" w:rsidRDefault="00871B59" w:rsidP="00871B59">
      <w:pPr>
        <w:spacing w:after="0" w:line="276" w:lineRule="auto"/>
        <w:jc w:val="both"/>
        <w:rPr>
          <w:rFonts w:ascii="Verdana" w:eastAsia="Calibri" w:hAnsi="Verdana" w:cs="Arial"/>
          <w:color w:val="000000" w:themeColor="text1"/>
          <w:lang w:val="es-ES" w:eastAsia="es-ES"/>
        </w:rPr>
      </w:pPr>
      <w:r w:rsidRPr="004B3C97">
        <w:rPr>
          <w:rFonts w:ascii="Verdana" w:eastAsia="Calibri" w:hAnsi="Verdana" w:cs="Arial"/>
          <w:color w:val="000000" w:themeColor="text1"/>
          <w:lang w:val="es-ES" w:eastAsia="es-ES"/>
        </w:rPr>
        <w:t>Estimado señor</w:t>
      </w:r>
      <w:r w:rsidR="004B3C97" w:rsidRPr="004B3C97">
        <w:rPr>
          <w:rFonts w:ascii="Verdana" w:eastAsia="Calibri" w:hAnsi="Verdana" w:cs="Arial"/>
          <w:color w:val="000000" w:themeColor="text1"/>
          <w:lang w:val="es-ES" w:eastAsia="es-ES"/>
        </w:rPr>
        <w:t xml:space="preserve"> Leguizamón: </w:t>
      </w:r>
    </w:p>
    <w:p w14:paraId="37DFEE32" w14:textId="77777777" w:rsidR="00871B59" w:rsidRPr="0017067E"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17067E">
        <w:rPr>
          <w:rFonts w:ascii="Verdana" w:eastAsia="Calibri" w:hAnsi="Verdana" w:cs="Arial"/>
          <w:color w:val="000000" w:themeColor="text1"/>
          <w:lang w:val="es-ES" w:eastAsia="es-ES"/>
        </w:rPr>
        <w:tab/>
      </w:r>
    </w:p>
    <w:p w14:paraId="3AFD230B" w14:textId="1014A558" w:rsidR="00871B59" w:rsidRDefault="00871B59" w:rsidP="004B3C97">
      <w:pPr>
        <w:spacing w:after="0" w:line="276" w:lineRule="auto"/>
        <w:jc w:val="both"/>
        <w:rPr>
          <w:rFonts w:ascii="Verdana" w:eastAsia="Calibri" w:hAnsi="Verdana" w:cs="Arial"/>
          <w:color w:val="000000" w:themeColor="text1"/>
          <w:lang w:val="es-ES" w:eastAsia="es-ES"/>
        </w:rPr>
      </w:pPr>
      <w:r w:rsidRPr="0017067E">
        <w:rPr>
          <w:rFonts w:ascii="Verdana" w:eastAsia="Calibri" w:hAnsi="Verdana" w:cs="Arial"/>
          <w:color w:val="000000" w:themeColor="text1"/>
          <w:lang w:val="es-ES" w:eastAsia="es-ES"/>
        </w:rPr>
        <w:t>En ejercicio de la competencia otorgada por los artículos 3, numeral 5º, y 11, numeral 8º, del Decreto Ley 4170 de 2011,</w:t>
      </w:r>
      <w:r w:rsidRPr="0017067E">
        <w:rPr>
          <w:rFonts w:ascii="Verdana" w:eastAsia="Arial MT" w:hAnsi="Verdana" w:cs="Arial MT"/>
          <w:lang w:val="es-ES" w:eastAsia="es-ES"/>
        </w:rPr>
        <w:t xml:space="preserve"> </w:t>
      </w:r>
      <w:r w:rsidRPr="0017067E">
        <w:rPr>
          <w:rFonts w:ascii="Verdana" w:hAnsi="Verdana" w:cs="Arial"/>
        </w:rPr>
        <w:t xml:space="preserve">así como lo establecido en el artículo 4 de la Resolución 1707 de 2018 expedida por esta Entidad, </w:t>
      </w:r>
      <w:r w:rsidRPr="0017067E">
        <w:rPr>
          <w:rFonts w:ascii="Verdana" w:eastAsia="Calibri" w:hAnsi="Verdana" w:cs="Arial"/>
          <w:color w:val="000000" w:themeColor="text1"/>
          <w:lang w:val="es-ES" w:eastAsia="es-ES"/>
        </w:rPr>
        <w:t xml:space="preserve">la Agencia Nacional de Contratación Pública – Colombia Compra Eficiente– responde su solicitud de </w:t>
      </w:r>
      <w:r w:rsidRPr="004B3C97">
        <w:rPr>
          <w:rFonts w:ascii="Verdana" w:eastAsia="Calibri" w:hAnsi="Verdana" w:cs="Arial"/>
          <w:color w:val="000000" w:themeColor="text1"/>
          <w:lang w:val="es-ES" w:eastAsia="es-ES"/>
        </w:rPr>
        <w:t xml:space="preserve">consulta de fecha </w:t>
      </w:r>
      <w:r w:rsidR="004B3C97" w:rsidRPr="004B3C97">
        <w:rPr>
          <w:rFonts w:ascii="Verdana" w:eastAsia="Calibri" w:hAnsi="Verdana" w:cs="Arial"/>
          <w:color w:val="000000" w:themeColor="text1"/>
          <w:lang w:val="es-ES" w:eastAsia="es-ES"/>
        </w:rPr>
        <w:t>04</w:t>
      </w:r>
      <w:r w:rsidRPr="004B3C97">
        <w:rPr>
          <w:rFonts w:ascii="Verdana" w:eastAsia="Calibri" w:hAnsi="Verdana" w:cs="Arial"/>
          <w:color w:val="000000" w:themeColor="text1"/>
          <w:lang w:val="es-ES" w:eastAsia="es-ES"/>
        </w:rPr>
        <w:t xml:space="preserve"> de</w:t>
      </w:r>
      <w:r w:rsidR="004B3C97" w:rsidRPr="004B3C97">
        <w:rPr>
          <w:rFonts w:ascii="Verdana" w:eastAsia="Calibri" w:hAnsi="Verdana" w:cs="Arial"/>
          <w:color w:val="000000" w:themeColor="text1"/>
          <w:lang w:val="es-ES" w:eastAsia="es-ES"/>
        </w:rPr>
        <w:t xml:space="preserve"> septiembre</w:t>
      </w:r>
      <w:r w:rsidRPr="004B3C97">
        <w:rPr>
          <w:rFonts w:ascii="Verdana" w:eastAsia="Calibri" w:hAnsi="Verdana" w:cs="Arial"/>
          <w:color w:val="000000" w:themeColor="text1"/>
          <w:lang w:val="es-ES" w:eastAsia="es-ES"/>
        </w:rPr>
        <w:t xml:space="preserve"> de 20</w:t>
      </w:r>
      <w:r w:rsidR="004B3C97" w:rsidRPr="004B3C97">
        <w:rPr>
          <w:rFonts w:ascii="Verdana" w:eastAsia="Calibri" w:hAnsi="Verdana" w:cs="Arial"/>
          <w:color w:val="000000" w:themeColor="text1"/>
          <w:lang w:val="es-ES" w:eastAsia="es-ES"/>
        </w:rPr>
        <w:t>25</w:t>
      </w:r>
      <w:r w:rsidRPr="004B3C97">
        <w:rPr>
          <w:rFonts w:ascii="Verdana" w:eastAsia="Calibri" w:hAnsi="Verdana" w:cs="Arial"/>
          <w:color w:val="000000" w:themeColor="text1"/>
          <w:lang w:val="es-ES" w:eastAsia="es-ES"/>
        </w:rPr>
        <w:t>, en la cual manifiesta lo siguiente:</w:t>
      </w:r>
      <w:r w:rsidR="004B3C97" w:rsidRPr="004B3C97">
        <w:rPr>
          <w:rFonts w:ascii="Verdana" w:eastAsia="Calibri" w:hAnsi="Verdana" w:cs="Arial"/>
          <w:color w:val="000000" w:themeColor="text1"/>
          <w:lang w:val="es-ES" w:eastAsia="es-ES"/>
        </w:rPr>
        <w:t xml:space="preserve"> </w:t>
      </w:r>
    </w:p>
    <w:p w14:paraId="4499E6F3" w14:textId="77777777" w:rsidR="004B3C97" w:rsidRPr="004B3C97" w:rsidRDefault="004B3C97" w:rsidP="004B3C97">
      <w:pPr>
        <w:spacing w:after="0" w:line="276" w:lineRule="auto"/>
        <w:jc w:val="both"/>
        <w:rPr>
          <w:rFonts w:ascii="Verdana" w:eastAsia="Calibri" w:hAnsi="Verdana" w:cs="Arial"/>
          <w:color w:val="000000" w:themeColor="text1"/>
          <w:lang w:val="es-ES" w:eastAsia="es-ES"/>
        </w:rPr>
      </w:pPr>
    </w:p>
    <w:p w14:paraId="1C36315E" w14:textId="5FEFFDA3" w:rsidR="00871B59" w:rsidRPr="004B3C97" w:rsidRDefault="00871B59" w:rsidP="00871B59">
      <w:pPr>
        <w:spacing w:after="0" w:line="240" w:lineRule="auto"/>
        <w:ind w:left="709" w:right="709"/>
        <w:jc w:val="both"/>
        <w:rPr>
          <w:rFonts w:ascii="Verdana" w:eastAsia="Century Gothic" w:hAnsi="Verdana" w:cs="Century Gothic"/>
          <w:color w:val="000000" w:themeColor="text1"/>
          <w:lang w:val="es-ES"/>
        </w:rPr>
      </w:pPr>
      <w:bookmarkStart w:id="0" w:name="_Hlk95313578"/>
      <w:r w:rsidRPr="004B3C97">
        <w:rPr>
          <w:rFonts w:ascii="Verdana" w:eastAsia="Century Gothic" w:hAnsi="Verdana" w:cs="Century Gothic"/>
          <w:color w:val="000000" w:themeColor="text1"/>
          <w:lang w:val="es-ES"/>
        </w:rPr>
        <w:t>“</w:t>
      </w:r>
      <w:bookmarkEnd w:id="0"/>
      <w:proofErr w:type="gramStart"/>
      <w:r w:rsidR="004B3C97" w:rsidRPr="004B3C97">
        <w:rPr>
          <w:rFonts w:ascii="Verdana" w:eastAsia="Century Gothic" w:hAnsi="Verdana" w:cs="Century Gothic"/>
          <w:color w:val="000000" w:themeColor="text1"/>
          <w:lang w:val="es-ES"/>
        </w:rPr>
        <w:t>1¿</w:t>
      </w:r>
      <w:proofErr w:type="gramEnd"/>
      <w:r w:rsidR="004B3C97" w:rsidRPr="004B3C97">
        <w:rPr>
          <w:rFonts w:ascii="Verdana" w:eastAsia="Century Gothic" w:hAnsi="Verdana" w:cs="Century Gothic"/>
          <w:color w:val="000000" w:themeColor="text1"/>
          <w:lang w:val="es-ES"/>
        </w:rPr>
        <w:t xml:space="preserve">Las entidades territoriales de sexta categoría como es el municipio de Orocué Casanare, pueden suscribir contratos de manera directa con las asociaciones de municipios como la denominada ASOCIACIÓN SUPRADEPARTAMENTAL DE MUNICIPIOS PARA EL PROGRSO - ASOSUPRO? 2.De ser afirmativa la respuesta, con todo respeto le solicito, se nos explique en qué </w:t>
      </w:r>
      <w:r w:rsidR="004B3C97" w:rsidRPr="004B3C97">
        <w:rPr>
          <w:rFonts w:ascii="Verdana" w:eastAsia="Century Gothic" w:hAnsi="Verdana" w:cs="Century Gothic"/>
          <w:color w:val="000000" w:themeColor="text1"/>
          <w:lang w:val="es-ES"/>
        </w:rPr>
        <w:lastRenderedPageBreak/>
        <w:t>casos, ¿podrá negarse la contratación directa con la denominada ASOCIACIÓN SUPRADEPARTAMENTAL DE MUNICPIOS PARA EL PROGRESO – ASOSUPRO?</w:t>
      </w:r>
      <w:r w:rsidR="004B3C97">
        <w:rPr>
          <w:rFonts w:ascii="Verdana" w:eastAsia="Century Gothic" w:hAnsi="Verdana" w:cs="Century Gothic"/>
          <w:color w:val="000000" w:themeColor="text1"/>
          <w:lang w:val="es-ES"/>
        </w:rPr>
        <w:t>”</w:t>
      </w:r>
    </w:p>
    <w:p w14:paraId="6610AADA" w14:textId="77777777" w:rsidR="00871B59" w:rsidRPr="0017067E"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87766E1" w14:textId="77777777" w:rsidR="00871B59" w:rsidRPr="0017067E" w:rsidRDefault="00871B59" w:rsidP="00871B59">
      <w:pPr>
        <w:spacing w:after="120" w:line="276" w:lineRule="auto"/>
        <w:ind w:firstLine="709"/>
        <w:jc w:val="both"/>
        <w:rPr>
          <w:rFonts w:ascii="Verdana" w:eastAsia="Calibri" w:hAnsi="Verdana" w:cs="Arial"/>
          <w:color w:val="000000"/>
          <w:lang w:val="es-ES_tradnl" w:eastAsia="es-ES_tradnl"/>
        </w:rPr>
      </w:pPr>
      <w:r w:rsidRPr="0017067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067E">
        <w:rPr>
          <w:rFonts w:ascii="Verdana" w:eastAsia="Calibri" w:hAnsi="Verdana" w:cs="Arial"/>
          <w:color w:val="000000"/>
          <w:lang w:val="es-ES_tradnl" w:eastAsia="es-ES_tradnl"/>
        </w:rPr>
        <w:tab/>
      </w:r>
    </w:p>
    <w:p w14:paraId="07B29EFB" w14:textId="2AA3E2C8" w:rsidR="00871B59" w:rsidRPr="0017067E" w:rsidRDefault="00871B59" w:rsidP="00871B59">
      <w:pPr>
        <w:spacing w:after="0" w:line="276" w:lineRule="auto"/>
        <w:ind w:firstLine="709"/>
        <w:jc w:val="both"/>
        <w:rPr>
          <w:rFonts w:ascii="Verdana" w:eastAsia="Calibri" w:hAnsi="Verdana" w:cs="Arial"/>
          <w:color w:val="000000"/>
          <w:lang w:val="es-ES" w:eastAsia="es-ES"/>
        </w:rPr>
      </w:pPr>
      <w:r w:rsidRPr="0017067E">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7067E">
        <w:rPr>
          <w:rFonts w:ascii="Verdana" w:eastAsia="Calibri" w:hAnsi="Verdana" w:cs="Arial"/>
          <w:color w:val="000000"/>
          <w:lang w:val="es-ES" w:eastAsia="es-ES"/>
        </w:rPr>
        <w:t>señalando</w:t>
      </w:r>
      <w:r w:rsidRPr="0017067E">
        <w:rPr>
          <w:rFonts w:ascii="Verdana" w:eastAsia="Calibri" w:hAnsi="Verdana" w:cs="Arial"/>
          <w:color w:val="000000"/>
          <w:lang w:val="es-ES" w:eastAsia="es-ES"/>
        </w:rPr>
        <w:t xml:space="preserve"> unas consideraciones sobre las normas generales relacionadas con el problem</w:t>
      </w:r>
      <w:r w:rsidR="0017067E">
        <w:rPr>
          <w:rFonts w:ascii="Verdana" w:eastAsia="Calibri" w:hAnsi="Verdana" w:cs="Arial"/>
          <w:color w:val="000000"/>
          <w:lang w:val="es-ES" w:eastAsia="es-ES"/>
        </w:rPr>
        <w:t>a</w:t>
      </w:r>
      <w:r w:rsidRPr="0017067E">
        <w:rPr>
          <w:rFonts w:ascii="Verdana" w:eastAsia="Calibri" w:hAnsi="Verdana" w:cs="Arial"/>
          <w:color w:val="7030A0"/>
          <w:lang w:val="es-ES" w:eastAsia="es-ES"/>
        </w:rPr>
        <w:t xml:space="preserve"> </w:t>
      </w:r>
      <w:r w:rsidRPr="0017067E">
        <w:rPr>
          <w:rFonts w:ascii="Verdana" w:eastAsia="Calibri" w:hAnsi="Verdana" w:cs="Arial"/>
          <w:color w:val="000000"/>
          <w:lang w:val="es-ES" w:eastAsia="es-ES"/>
        </w:rPr>
        <w:t>jurídico</w:t>
      </w:r>
      <w:r w:rsidRPr="0017067E">
        <w:rPr>
          <w:rFonts w:ascii="Verdana" w:eastAsia="Calibri" w:hAnsi="Verdana" w:cs="Arial"/>
          <w:color w:val="7030A0"/>
          <w:lang w:val="es-ES" w:eastAsia="es-ES"/>
        </w:rPr>
        <w:t xml:space="preserve"> </w:t>
      </w:r>
      <w:r w:rsidRPr="0017067E">
        <w:rPr>
          <w:rFonts w:ascii="Verdana" w:eastAsia="Calibri" w:hAnsi="Verdana" w:cs="Arial"/>
          <w:color w:val="000000"/>
          <w:lang w:val="es-ES" w:eastAsia="es-ES"/>
        </w:rPr>
        <w:t>de su consulta.</w:t>
      </w:r>
      <w:r w:rsidR="0017067E" w:rsidRPr="0017067E">
        <w:rPr>
          <w:rFonts w:ascii="Verdana" w:eastAsia="Calibri" w:hAnsi="Verdana" w:cs="Arial"/>
          <w:color w:val="000000"/>
          <w:lang w:val="es-ES" w:eastAsia="es-ES"/>
        </w:rPr>
        <w:t xml:space="preserve"> </w:t>
      </w:r>
    </w:p>
    <w:p w14:paraId="6A89C378" w14:textId="77777777" w:rsidR="00871B59" w:rsidRPr="0017067E" w:rsidRDefault="00871B59" w:rsidP="00871B59">
      <w:pPr>
        <w:spacing w:after="0" w:line="276" w:lineRule="auto"/>
        <w:ind w:firstLine="709"/>
        <w:jc w:val="both"/>
        <w:rPr>
          <w:rFonts w:ascii="Verdana" w:eastAsia="Calibri" w:hAnsi="Verdana" w:cs="Arial"/>
          <w:color w:val="000000"/>
          <w:lang w:val="es-ES" w:eastAsia="es-ES"/>
        </w:rPr>
      </w:pPr>
    </w:p>
    <w:p w14:paraId="421CCCF4" w14:textId="77777777" w:rsidR="00871B59" w:rsidRPr="0017067E"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17067E">
        <w:rPr>
          <w:rFonts w:ascii="Verdana" w:eastAsia="Century Gothic" w:hAnsi="Verdana" w:cs="Century Gothic"/>
          <w:b/>
          <w:bCs/>
          <w:lang w:val="es-ES"/>
        </w:rPr>
        <w:t>Problema planteado:</w:t>
      </w:r>
    </w:p>
    <w:p w14:paraId="65EF77DE" w14:textId="77777777" w:rsidR="00871B59" w:rsidRPr="0017067E" w:rsidRDefault="00871B59" w:rsidP="00871B59">
      <w:pPr>
        <w:tabs>
          <w:tab w:val="left" w:pos="426"/>
        </w:tabs>
        <w:spacing w:after="0" w:line="276" w:lineRule="auto"/>
        <w:jc w:val="both"/>
        <w:rPr>
          <w:rFonts w:ascii="Verdana" w:eastAsia="Century Gothic" w:hAnsi="Verdana" w:cs="Century Gothic"/>
          <w:lang w:val="es-ES"/>
        </w:rPr>
      </w:pPr>
    </w:p>
    <w:p w14:paraId="2ED66793" w14:textId="00DBA8A7" w:rsidR="00871B59" w:rsidRPr="0017067E" w:rsidRDefault="00871B59" w:rsidP="1F9252E4">
      <w:pPr>
        <w:spacing w:after="0" w:line="276" w:lineRule="auto"/>
        <w:jc w:val="both"/>
        <w:rPr>
          <w:rFonts w:ascii="Verdana" w:eastAsia="Century Gothic" w:hAnsi="Verdana" w:cs="Century Gothic"/>
        </w:rPr>
      </w:pPr>
      <w:r w:rsidRPr="0017067E">
        <w:rPr>
          <w:rFonts w:ascii="Verdana" w:eastAsia="Century Gothic" w:hAnsi="Verdana" w:cs="Century Gothic"/>
        </w:rPr>
        <w:t xml:space="preserve">De acuerdo con el contenido de su solicitud, esta Agencia resolverá el siguiente problema jurídico: </w:t>
      </w:r>
      <w:bookmarkStart w:id="1" w:name="OLE_LINK8"/>
      <w:r w:rsidR="0017067E" w:rsidRPr="0017067E">
        <w:rPr>
          <w:rFonts w:ascii="Verdana" w:eastAsia="Calibri" w:hAnsi="Verdana" w:cs="Times New Roman"/>
        </w:rPr>
        <w:t>¿</w:t>
      </w:r>
      <w:r w:rsidR="0017067E" w:rsidRPr="0017067E">
        <w:rPr>
          <w:rFonts w:ascii="Verdana" w:hAnsi="Verdana"/>
        </w:rPr>
        <w:t>Puede una entidad estatal, como un municipio, celebrar un contrato de forma directa con una asociación de municipios, o está obligada a realizar un proceso de selección competitivo?</w:t>
      </w:r>
    </w:p>
    <w:p w14:paraId="725049C4" w14:textId="77777777" w:rsidR="00871B59" w:rsidRPr="0017067E" w:rsidRDefault="00871B59" w:rsidP="00871B59">
      <w:pPr>
        <w:spacing w:after="0" w:line="276" w:lineRule="auto"/>
        <w:jc w:val="both"/>
        <w:rPr>
          <w:rFonts w:ascii="Verdana" w:eastAsia="Calibri" w:hAnsi="Verdana" w:cs="Arial"/>
          <w:color w:val="7030A0"/>
          <w:lang w:val="es-ES"/>
        </w:rPr>
      </w:pPr>
    </w:p>
    <w:bookmarkEnd w:id="1"/>
    <w:p w14:paraId="0D2ADC77"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Respuesta:</w:t>
      </w:r>
    </w:p>
    <w:p w14:paraId="4058893D" w14:textId="77777777" w:rsidR="00871B59" w:rsidRPr="0017067E"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17067E" w14:paraId="4CDA2607" w14:textId="77777777" w:rsidTr="002607A7">
        <w:tc>
          <w:tcPr>
            <w:tcW w:w="8828" w:type="dxa"/>
          </w:tcPr>
          <w:p w14:paraId="585B5C07" w14:textId="77777777" w:rsidR="00001154" w:rsidRPr="00001154" w:rsidRDefault="00001154" w:rsidP="0017067E">
            <w:pPr>
              <w:pStyle w:val="NormalWeb"/>
              <w:spacing w:line="276" w:lineRule="auto"/>
              <w:jc w:val="both"/>
              <w:rPr>
                <w:rFonts w:ascii="Verdana" w:hAnsi="Verdana"/>
                <w:sz w:val="22"/>
                <w:szCs w:val="22"/>
              </w:rPr>
            </w:pPr>
            <w:r w:rsidRPr="00001154">
              <w:rPr>
                <w:rFonts w:ascii="Verdana" w:hAnsi="Verdana"/>
                <w:sz w:val="22"/>
                <w:szCs w:val="22"/>
              </w:rPr>
              <w:t xml:space="preserve">Si. Con fundamento en el parágrafo del artículo 17 de la Ley 1454 de 2011, es posible que los esquemas asociativos de entidades territoriales señalados en </w:t>
            </w:r>
            <w:r w:rsidRPr="00001154">
              <w:rPr>
                <w:rFonts w:ascii="Verdana" w:hAnsi="Verdana"/>
                <w:sz w:val="22"/>
                <w:szCs w:val="22"/>
              </w:rPr>
              <w:lastRenderedPageBreak/>
              <w:t xml:space="preserve">la disposición, entre otros, las asociaciones de municipios celebren convenios interadministrativos con otras entidades estatales, como el municipio, con estricta observancia de los requisitos establecidos en el artículo 95 de la Ley 489 de 1998. Sin perjuicio de lo anterior, en función de la naturaleza jurídica que se termine en cada caso concreto, deben observarse las prohibiciones establecidas en el artículo 10 de la Ley 1150 de 2007 y en el artículo 92 de la Ley 1474 de 2011, los cuales limitan la modalidad de contratación directa. </w:t>
            </w:r>
          </w:p>
          <w:p w14:paraId="7CA60585" w14:textId="77777777" w:rsidR="00001154" w:rsidRPr="00001154" w:rsidRDefault="00001154" w:rsidP="0017067E">
            <w:pPr>
              <w:pStyle w:val="NormalWeb"/>
              <w:spacing w:line="276" w:lineRule="auto"/>
              <w:jc w:val="both"/>
              <w:rPr>
                <w:rFonts w:ascii="Verdana" w:hAnsi="Verdana"/>
                <w:sz w:val="22"/>
                <w:szCs w:val="22"/>
              </w:rPr>
            </w:pPr>
          </w:p>
          <w:p w14:paraId="3E2167BA" w14:textId="77777777" w:rsidR="00001154" w:rsidRPr="00001154" w:rsidRDefault="00001154" w:rsidP="0017067E">
            <w:pPr>
              <w:pStyle w:val="NormalWeb"/>
              <w:spacing w:line="276" w:lineRule="auto"/>
              <w:jc w:val="both"/>
              <w:rPr>
                <w:rFonts w:ascii="Verdana" w:hAnsi="Verdana"/>
                <w:sz w:val="22"/>
                <w:szCs w:val="22"/>
              </w:rPr>
            </w:pPr>
            <w:r w:rsidRPr="00001154">
              <w:rPr>
                <w:rFonts w:ascii="Verdana" w:hAnsi="Verdana"/>
                <w:sz w:val="22"/>
                <w:szCs w:val="22"/>
              </w:rPr>
              <w:t xml:space="preserve">        Por un lado, la celebración de contratos con entidades estatales, las cooperativas y asociaciones conformadas por entidades territoriales deben someterse a los procesos de selección de la Ley 1150 de 2007, en igualdad de condiciones con los particulares. Así las cosas, la finalidad del artículo 10 ibidem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4F29BBBD" w14:textId="77777777" w:rsidR="00001154" w:rsidRPr="00001154" w:rsidRDefault="00001154" w:rsidP="0017067E">
            <w:pPr>
              <w:pStyle w:val="NormalWeb"/>
              <w:spacing w:line="276" w:lineRule="auto"/>
              <w:jc w:val="both"/>
              <w:rPr>
                <w:rFonts w:ascii="Verdana" w:hAnsi="Verdana"/>
                <w:sz w:val="22"/>
                <w:szCs w:val="22"/>
              </w:rPr>
            </w:pPr>
          </w:p>
          <w:p w14:paraId="1F95B1FE" w14:textId="2F7A8148" w:rsidR="00871B59" w:rsidRPr="00001154" w:rsidRDefault="00001154" w:rsidP="00001154">
            <w:pPr>
              <w:pStyle w:val="NormalWeb"/>
              <w:spacing w:line="276" w:lineRule="auto"/>
              <w:jc w:val="both"/>
              <w:rPr>
                <w:rFonts w:ascii="Verdana" w:hAnsi="Verdana"/>
                <w:sz w:val="22"/>
                <w:szCs w:val="22"/>
              </w:rPr>
            </w:pPr>
            <w:r w:rsidRPr="00001154">
              <w:rPr>
                <w:rFonts w:ascii="Verdana" w:hAnsi="Verdana"/>
                <w:sz w:val="22"/>
                <w:szCs w:val="22"/>
              </w:rPr>
              <w:t xml:space="preserve">         Por otra parte, el artículo 92 de la Ley 1474 de 2011 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Por tanto, corresponde a cada ente verificar su naturaleza jurídica para determinar si es o no una persona jurídica sin ánimo de lucro conformada por la asociación de entidades públicas, lo cual podrá validar –por ejemplo– con los fundamentos, el contenido del respetivo acto de creación y su objeto. </w:t>
            </w:r>
            <w:r w:rsidR="0017067E" w:rsidRPr="00001154">
              <w:rPr>
                <w:rFonts w:ascii="Verdana" w:hAnsi="Verdana"/>
                <w:sz w:val="22"/>
                <w:szCs w:val="22"/>
              </w:rPr>
              <w:t xml:space="preserve">      </w:t>
            </w:r>
          </w:p>
        </w:tc>
      </w:tr>
    </w:tbl>
    <w:p w14:paraId="67F1C2B1" w14:textId="77777777" w:rsidR="00871B59" w:rsidRPr="0017067E" w:rsidRDefault="00871B59" w:rsidP="0017067E">
      <w:pPr>
        <w:tabs>
          <w:tab w:val="left" w:pos="142"/>
          <w:tab w:val="left" w:pos="284"/>
        </w:tabs>
        <w:spacing w:after="0" w:line="276" w:lineRule="auto"/>
        <w:jc w:val="both"/>
        <w:rPr>
          <w:rFonts w:ascii="Verdana" w:eastAsia="Century Gothic" w:hAnsi="Verdana" w:cs="Century Gothic"/>
          <w:b/>
          <w:bCs/>
          <w:lang w:val="es-ES"/>
        </w:rPr>
      </w:pPr>
    </w:p>
    <w:p w14:paraId="40C6EC93" w14:textId="77777777" w:rsidR="00871B59" w:rsidRPr="0017067E" w:rsidRDefault="00871B59" w:rsidP="0017067E">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Razones de la respuesta:</w:t>
      </w:r>
    </w:p>
    <w:p w14:paraId="2A6E88F0" w14:textId="77777777" w:rsidR="00871B59" w:rsidRPr="0017067E" w:rsidRDefault="00871B59" w:rsidP="0017067E">
      <w:pPr>
        <w:spacing w:after="0" w:line="276" w:lineRule="auto"/>
        <w:jc w:val="both"/>
        <w:rPr>
          <w:rFonts w:ascii="Verdana" w:eastAsia="Calibri" w:hAnsi="Verdana" w:cs="Arial"/>
          <w:color w:val="7030A0"/>
          <w:lang w:val="es-ES"/>
        </w:rPr>
      </w:pPr>
    </w:p>
    <w:p w14:paraId="6D88283D" w14:textId="77777777" w:rsidR="00871B59" w:rsidRPr="0017067E" w:rsidRDefault="00871B59" w:rsidP="0017067E">
      <w:pPr>
        <w:spacing w:after="0" w:line="276" w:lineRule="auto"/>
        <w:jc w:val="both"/>
        <w:rPr>
          <w:rFonts w:ascii="Verdana" w:eastAsia="Calibri" w:hAnsi="Verdana" w:cs="Arial"/>
          <w:lang w:val="es-ES"/>
        </w:rPr>
      </w:pPr>
      <w:r w:rsidRPr="0017067E">
        <w:rPr>
          <w:rFonts w:ascii="Verdana" w:eastAsia="Calibri" w:hAnsi="Verdana" w:cs="Arial"/>
          <w:lang w:val="es-ES"/>
        </w:rPr>
        <w:t xml:space="preserve">Lo anterior se sustenta en las siguientes consideraciones: </w:t>
      </w:r>
    </w:p>
    <w:p w14:paraId="1B7CB030" w14:textId="77777777" w:rsidR="00983695" w:rsidRPr="0017067E" w:rsidRDefault="00983695" w:rsidP="0017067E">
      <w:pPr>
        <w:spacing w:after="0" w:line="276" w:lineRule="auto"/>
        <w:jc w:val="both"/>
        <w:rPr>
          <w:rFonts w:ascii="Verdana" w:eastAsia="Calibri" w:hAnsi="Verdana" w:cs="Arial"/>
          <w:color w:val="7030A0"/>
          <w:lang w:val="es-ES"/>
        </w:rPr>
      </w:pPr>
    </w:p>
    <w:p w14:paraId="2CD9BA50" w14:textId="77777777" w:rsidR="00A6205A" w:rsidRPr="0017067E" w:rsidRDefault="00A6205A" w:rsidP="0017067E">
      <w:pPr>
        <w:spacing w:after="120" w:line="276" w:lineRule="auto"/>
        <w:jc w:val="both"/>
        <w:rPr>
          <w:rFonts w:ascii="Verdana" w:eastAsia="Times New Roman" w:hAnsi="Verdana" w:cs="Arial"/>
          <w:color w:val="000000"/>
          <w:lang w:eastAsia="es-CO"/>
        </w:rPr>
      </w:pPr>
      <w:bookmarkStart w:id="2" w:name="OLE_LINK6"/>
      <w:r w:rsidRPr="0017067E">
        <w:rPr>
          <w:rFonts w:ascii="Verdana" w:eastAsia="Times New Roman" w:hAnsi="Verdana" w:cs="Arial"/>
          <w:color w:val="000000"/>
          <w:lang w:val="es-ES_tradnl" w:eastAsia="es-CO"/>
        </w:rPr>
        <w:t>i. La contratación Estatal constituye un instrumento a través del cual las Entidades Públicas realizan el aprovisionamiento de sus bienes, obras y servicios, con el propósito de satisfacer las necesidades e intereses colectivos</w:t>
      </w:r>
      <w:r w:rsidRPr="0017067E">
        <w:rPr>
          <w:rFonts w:ascii="Verdana" w:hAnsi="Verdana"/>
          <w:vertAlign w:val="superscript"/>
          <w:lang w:eastAsia="es-CO"/>
        </w:rPr>
        <w:footnoteReference w:id="2"/>
      </w:r>
      <w:r w:rsidRPr="0017067E">
        <w:rPr>
          <w:rFonts w:ascii="Verdana" w:eastAsia="Times New Roman" w:hAnsi="Verdana" w:cs="Arial"/>
          <w:color w:val="000000"/>
          <w:lang w:val="es-ES_tradnl" w:eastAsia="es-CO"/>
        </w:rPr>
        <w:t xml:space="preserve">. Para este propósito se sirve de la colaboración de los particulares o de otras entidades que integran la administración pública. </w:t>
      </w:r>
      <w:r w:rsidRPr="0017067E">
        <w:rPr>
          <w:rFonts w:ascii="Verdana" w:eastAsia="Times New Roman" w:hAnsi="Verdana" w:cs="Arial"/>
          <w:color w:val="000000"/>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17067E">
        <w:rPr>
          <w:rFonts w:ascii="Verdana" w:hAnsi="Verdana"/>
          <w:vertAlign w:val="superscript"/>
          <w:lang w:eastAsia="es-CO"/>
        </w:rPr>
        <w:footnoteReference w:id="3"/>
      </w:r>
      <w:r w:rsidRPr="0017067E">
        <w:rPr>
          <w:rFonts w:ascii="Verdana" w:eastAsia="Times New Roman" w:hAnsi="Verdana" w:cs="Arial"/>
          <w:color w:val="000000"/>
          <w:lang w:eastAsia="es-CO"/>
        </w:rPr>
        <w:t xml:space="preserve">. </w:t>
      </w:r>
    </w:p>
    <w:p w14:paraId="37CD5007" w14:textId="77777777" w:rsidR="00A6205A" w:rsidRPr="0017067E" w:rsidRDefault="00A6205A" w:rsidP="00A6205A">
      <w:pPr>
        <w:spacing w:after="120" w:line="276" w:lineRule="auto"/>
        <w:ind w:firstLine="707"/>
        <w:jc w:val="both"/>
        <w:rPr>
          <w:rFonts w:ascii="Verdana" w:eastAsiaTheme="minorEastAsia" w:hAnsi="Verdana" w:cs="Arial"/>
          <w:lang w:eastAsia="es-CO"/>
        </w:rPr>
      </w:pPr>
      <w:r w:rsidRPr="0017067E">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A83E286" w14:textId="77777777" w:rsidR="00A6205A" w:rsidRPr="0017067E" w:rsidRDefault="00A6205A" w:rsidP="00A6205A">
      <w:pPr>
        <w:spacing w:after="120" w:line="276" w:lineRule="auto"/>
        <w:ind w:firstLine="707"/>
        <w:jc w:val="both"/>
        <w:rPr>
          <w:rFonts w:ascii="Verdana" w:eastAsiaTheme="minorEastAsia" w:hAnsi="Verdana" w:cs="Arial"/>
          <w:lang w:eastAsia="es-CO"/>
        </w:rPr>
      </w:pPr>
      <w:r w:rsidRPr="0017067E">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17067E">
        <w:rPr>
          <w:rFonts w:ascii="Verdana" w:eastAsiaTheme="minorEastAsia" w:hAnsi="Verdana" w:cs="Arial"/>
          <w:vertAlign w:val="superscript"/>
          <w:lang w:eastAsia="es-CO"/>
        </w:rPr>
        <w:footnoteReference w:id="4"/>
      </w:r>
      <w:r w:rsidRPr="0017067E">
        <w:rPr>
          <w:rFonts w:ascii="Verdana" w:eastAsiaTheme="minorEastAsia" w:hAnsi="Verdana" w:cs="Arial"/>
          <w:lang w:eastAsia="es-CO"/>
        </w:rPr>
        <w:t xml:space="preserve">. Nótese </w:t>
      </w:r>
      <w:r w:rsidRPr="0017067E">
        <w:rPr>
          <w:rFonts w:ascii="Verdana" w:eastAsiaTheme="minorEastAsia" w:hAnsi="Verdana" w:cs="Arial"/>
          <w:lang w:eastAsia="es-CO"/>
        </w:rPr>
        <w:lastRenderedPageBreak/>
        <w:t>que, en este caso, lo que cambia es la modalidad de selección y no la naturaleza de contrato</w:t>
      </w:r>
      <w:r w:rsidRPr="0017067E">
        <w:rPr>
          <w:rFonts w:ascii="Verdana" w:eastAsiaTheme="minorEastAsia" w:hAnsi="Verdana" w:cs="Arial"/>
          <w:spacing w:val="-18"/>
          <w:lang w:eastAsia="es-CO"/>
        </w:rPr>
        <w:t xml:space="preserve"> </w:t>
      </w:r>
      <w:r w:rsidRPr="0017067E">
        <w:rPr>
          <w:rFonts w:ascii="Verdana" w:eastAsiaTheme="minorEastAsia" w:hAnsi="Verdana" w:cs="Arial"/>
          <w:lang w:eastAsia="es-CO"/>
        </w:rPr>
        <w:t>interadministrativo.</w:t>
      </w:r>
    </w:p>
    <w:p w14:paraId="1096218C" w14:textId="77777777" w:rsidR="00A6205A" w:rsidRPr="0017067E" w:rsidRDefault="00A6205A" w:rsidP="00A6205A">
      <w:pPr>
        <w:spacing w:after="12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17067E">
        <w:rPr>
          <w:rFonts w:ascii="Verdana" w:eastAsiaTheme="minorEastAsia" w:hAnsi="Verdana" w:cs="Arial"/>
          <w:vertAlign w:val="superscript"/>
          <w:lang w:eastAsia="es-CO"/>
        </w:rPr>
        <w:footnoteReference w:id="5"/>
      </w:r>
      <w:r w:rsidRPr="0017067E">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6A91BCCB"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740495C7" w14:textId="77777777" w:rsidR="00A6205A" w:rsidRPr="0017067E" w:rsidRDefault="00A6205A" w:rsidP="00A6205A">
      <w:pPr>
        <w:spacing w:after="0" w:line="276" w:lineRule="auto"/>
        <w:ind w:firstLine="709"/>
        <w:jc w:val="both"/>
        <w:rPr>
          <w:rFonts w:ascii="Verdana" w:eastAsiaTheme="minorEastAsia" w:hAnsi="Verdana" w:cs="Arial"/>
          <w:lang w:eastAsia="es-CO"/>
        </w:rPr>
      </w:pPr>
    </w:p>
    <w:p w14:paraId="6EF2F1EB"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7937C38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val="es-ES" w:eastAsia="es-CO"/>
        </w:rPr>
        <w:t xml:space="preserve">El objeto de los contratos lo constituyen obligaciones de contenido patrimonial y, por </w:t>
      </w:r>
      <w:r w:rsidRPr="0017067E">
        <w:rPr>
          <w:rFonts w:ascii="Verdana" w:eastAsiaTheme="minorEastAsia" w:hAnsi="Verdana" w:cs="Arial"/>
          <w:lang w:eastAsia="es-CO"/>
        </w:rPr>
        <w:t xml:space="preserve">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w:t>
      </w:r>
      <w:r w:rsidRPr="0017067E">
        <w:rPr>
          <w:rFonts w:ascii="Verdana" w:eastAsiaTheme="minorEastAsia" w:hAnsi="Verdana" w:cs="Arial"/>
          <w:lang w:eastAsia="es-CO"/>
        </w:rPr>
        <w:lastRenderedPageBreak/>
        <w:t>productos o actividad, si así lo autoriza su objeto social, o las funciones que le haya otorgado la ley);</w:t>
      </w:r>
    </w:p>
    <w:p w14:paraId="6B54CEF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F9480C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17067E">
        <w:rPr>
          <w:rFonts w:ascii="Verdana" w:eastAsiaTheme="minorEastAsia" w:hAnsi="Verdana" w:cs="Arial"/>
          <w:vertAlign w:val="superscript"/>
          <w:lang w:eastAsia="es-CO"/>
        </w:rPr>
        <w:footnoteReference w:id="6"/>
      </w:r>
      <w:r w:rsidRPr="0017067E">
        <w:rPr>
          <w:rFonts w:ascii="Verdana" w:eastAsiaTheme="minorEastAsia" w:hAnsi="Verdana" w:cs="Arial"/>
          <w:lang w:eastAsia="es-CO"/>
        </w:rPr>
        <w:t>.</w:t>
      </w:r>
    </w:p>
    <w:p w14:paraId="6F1CD177" w14:textId="77777777" w:rsidR="00A6205A" w:rsidRPr="0017067E" w:rsidRDefault="00A6205A" w:rsidP="00A6205A">
      <w:pPr>
        <w:spacing w:after="0" w:line="276" w:lineRule="auto"/>
        <w:ind w:right="709"/>
        <w:jc w:val="both"/>
        <w:rPr>
          <w:rFonts w:ascii="Verdana" w:eastAsia="Times New Roman" w:hAnsi="Verdana" w:cs="Arial"/>
          <w:lang w:eastAsia="es-ES_tradnl"/>
        </w:rPr>
      </w:pPr>
    </w:p>
    <w:p w14:paraId="3F9CC282"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7BDECDDD" w14:textId="77777777" w:rsidR="00A6205A" w:rsidRPr="0017067E" w:rsidRDefault="00A6205A" w:rsidP="00A6205A">
      <w:pPr>
        <w:spacing w:after="0" w:line="276" w:lineRule="auto"/>
        <w:ind w:firstLine="709"/>
        <w:jc w:val="both"/>
        <w:rPr>
          <w:rFonts w:ascii="Verdana" w:eastAsiaTheme="minorEastAsia" w:hAnsi="Verdana" w:cs="Arial"/>
          <w:lang w:eastAsia="es-CO"/>
        </w:rPr>
      </w:pPr>
    </w:p>
    <w:p w14:paraId="2D8C92EB"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lastRenderedPageBreak/>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04ED0FFA"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w:t>
      </w:r>
    </w:p>
    <w:p w14:paraId="158A8BB1" w14:textId="77777777" w:rsidR="00A6205A" w:rsidRPr="0017067E" w:rsidRDefault="00A6205A" w:rsidP="00A6205A">
      <w:pPr>
        <w:autoSpaceDE w:val="0"/>
        <w:autoSpaceDN w:val="0"/>
        <w:adjustRightInd w:val="0"/>
        <w:spacing w:after="0" w:line="240" w:lineRule="auto"/>
        <w:ind w:left="709" w:right="709"/>
        <w:jc w:val="both"/>
        <w:rPr>
          <w:rFonts w:ascii="Verdana" w:hAnsi="Verdana" w:cs="Weiss"/>
        </w:rPr>
      </w:pPr>
      <w:r w:rsidRPr="0017067E">
        <w:rPr>
          <w:rFonts w:ascii="Verdana" w:hAnsi="Verdana" w:cs="Weiss"/>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17067E">
        <w:rPr>
          <w:rFonts w:ascii="Verdana" w:hAnsi="Verdana" w:cs="Weiss"/>
          <w:vertAlign w:val="superscript"/>
        </w:rPr>
        <w:footnoteReference w:id="7"/>
      </w:r>
      <w:r w:rsidRPr="0017067E">
        <w:rPr>
          <w:rFonts w:ascii="Verdana" w:hAnsi="Verdana" w:cs="Weiss"/>
        </w:rPr>
        <w:t>.</w:t>
      </w:r>
    </w:p>
    <w:p w14:paraId="7F1DBCAB" w14:textId="77777777" w:rsidR="00A6205A" w:rsidRPr="0017067E" w:rsidRDefault="00A6205A" w:rsidP="00A6205A">
      <w:pPr>
        <w:spacing w:after="120" w:line="276" w:lineRule="auto"/>
        <w:jc w:val="both"/>
        <w:rPr>
          <w:rFonts w:ascii="Verdana" w:eastAsiaTheme="minorEastAsia" w:hAnsi="Verdana" w:cs="Arial"/>
          <w:lang w:eastAsia="es-CO"/>
        </w:rPr>
      </w:pPr>
    </w:p>
    <w:p w14:paraId="32DBF53E"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17067E">
        <w:rPr>
          <w:rFonts w:ascii="Verdana" w:eastAsiaTheme="minorEastAsia" w:hAnsi="Verdana" w:cs="Arial"/>
          <w:vertAlign w:val="superscript"/>
          <w:lang w:eastAsia="es-CO"/>
        </w:rPr>
        <w:footnoteReference w:id="8"/>
      </w:r>
      <w:r w:rsidRPr="0017067E">
        <w:rPr>
          <w:rFonts w:ascii="Verdana" w:eastAsiaTheme="minorEastAsia" w:hAnsi="Verdana" w:cs="Arial"/>
          <w:lang w:eastAsia="es-CO"/>
        </w:rPr>
        <w:t xml:space="preserve">. De esta manera, el Consejo de Estado expresa:  </w:t>
      </w:r>
    </w:p>
    <w:p w14:paraId="3B5C0E6F" w14:textId="77777777" w:rsidR="00A6205A" w:rsidRPr="0017067E" w:rsidRDefault="00A6205A" w:rsidP="00A6205A">
      <w:pPr>
        <w:widowControl w:val="0"/>
        <w:autoSpaceDE w:val="0"/>
        <w:autoSpaceDN w:val="0"/>
        <w:spacing w:after="120" w:line="276" w:lineRule="auto"/>
        <w:jc w:val="both"/>
        <w:rPr>
          <w:rFonts w:ascii="Verdana" w:eastAsia="Arial MT" w:hAnsi="Verdana" w:cs="Arial MT"/>
        </w:rPr>
      </w:pPr>
    </w:p>
    <w:p w14:paraId="55A29A08"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i/>
          <w:iCs/>
        </w:rPr>
      </w:pPr>
      <w:r w:rsidRPr="0017067E">
        <w:rPr>
          <w:rFonts w:ascii="Verdana" w:eastAsia="Arial MT" w:hAnsi="Verdana" w:cs="Arial MT"/>
          <w:i/>
          <w:iCs/>
        </w:rPr>
        <w:lastRenderedPageBreak/>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59FBF959"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rPr>
      </w:pPr>
    </w:p>
    <w:p w14:paraId="3299C05F"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i/>
          <w:iCs/>
        </w:rPr>
      </w:pPr>
      <w:r w:rsidRPr="0017067E">
        <w:rPr>
          <w:rFonts w:ascii="Verdana" w:eastAsia="Arial MT" w:hAnsi="Verdana" w:cs="Arial MT"/>
          <w:i/>
          <w:iCs/>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4F75CBB6"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rPr>
      </w:pPr>
    </w:p>
    <w:p w14:paraId="7514DEBA"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lang w:val="es-ES"/>
        </w:rPr>
      </w:pPr>
      <w:r w:rsidRPr="0017067E">
        <w:rPr>
          <w:rFonts w:ascii="Verdana" w:eastAsia="Arial MT" w:hAnsi="Verdana" w:cs="Arial MT"/>
          <w:i/>
          <w:iCs/>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17067E">
        <w:rPr>
          <w:rFonts w:ascii="Verdana" w:eastAsia="Arial MT" w:hAnsi="Verdana" w:cs="Arial MT"/>
          <w:i/>
          <w:iCs/>
          <w:vertAlign w:val="superscript"/>
        </w:rPr>
        <w:footnoteReference w:id="9"/>
      </w:r>
      <w:r w:rsidRPr="0017067E">
        <w:rPr>
          <w:rFonts w:ascii="Verdana" w:eastAsia="Arial MT" w:hAnsi="Verdana" w:cs="Arial MT"/>
          <w:i/>
          <w:iCs/>
        </w:rPr>
        <w:t>.</w:t>
      </w:r>
    </w:p>
    <w:p w14:paraId="3CB18F10" w14:textId="77777777" w:rsidR="00A6205A" w:rsidRPr="0017067E" w:rsidRDefault="00A6205A" w:rsidP="00A6205A">
      <w:pPr>
        <w:spacing w:after="0" w:line="276" w:lineRule="auto"/>
        <w:ind w:firstLine="708"/>
        <w:jc w:val="both"/>
        <w:rPr>
          <w:rFonts w:ascii="Verdana" w:eastAsiaTheme="minorEastAsia" w:hAnsi="Verdana" w:cs="Arial"/>
          <w:lang w:val="es-ES" w:eastAsia="es-CO"/>
        </w:rPr>
      </w:pPr>
    </w:p>
    <w:p w14:paraId="3C6ABA61" w14:textId="7F7BDA5B" w:rsidR="00A6205A" w:rsidRPr="0017067E" w:rsidRDefault="00A6205A" w:rsidP="00CF40EB">
      <w:pPr>
        <w:spacing w:after="0" w:line="276" w:lineRule="auto"/>
        <w:ind w:firstLine="708"/>
        <w:jc w:val="both"/>
        <w:rPr>
          <w:rFonts w:ascii="Verdana" w:eastAsia="Calibri" w:hAnsi="Verdana" w:cs="Arial"/>
          <w:lang w:val="es-ES_tradnl"/>
        </w:rPr>
      </w:pPr>
      <w:r w:rsidRPr="0017067E">
        <w:rPr>
          <w:rFonts w:ascii="Verdana" w:eastAsiaTheme="minorEastAsia" w:hAnsi="Verdana" w:cs="Arial"/>
          <w:lang w:eastAsia="es-CO"/>
        </w:rPr>
        <w:t xml:space="preserve">Teniendo en cuenta, será menester analizar la procedencia de suscribir contratos interadministrativos, así como convenios interadministrativos entre las asociaciones de municipios con los municipios, para la ejecución contratos, en especial los de obra o infraestructura, precisando que la jurisprudencia del Consejo de Estado los ha diferenciado. </w:t>
      </w:r>
    </w:p>
    <w:p w14:paraId="164E7B47" w14:textId="77777777" w:rsidR="00CF40EB" w:rsidRPr="0017067E" w:rsidRDefault="00CF40EB" w:rsidP="00CF40EB">
      <w:pPr>
        <w:spacing w:after="0" w:line="276" w:lineRule="auto"/>
        <w:ind w:firstLine="708"/>
        <w:jc w:val="both"/>
        <w:rPr>
          <w:rFonts w:ascii="Verdana" w:eastAsia="Calibri" w:hAnsi="Verdana" w:cs="Arial"/>
          <w:lang w:val="es-ES_tradnl"/>
        </w:rPr>
      </w:pPr>
    </w:p>
    <w:p w14:paraId="4796CB81" w14:textId="77777777" w:rsidR="00A6205A" w:rsidRPr="0017067E" w:rsidRDefault="00A6205A" w:rsidP="00A6205A">
      <w:pPr>
        <w:spacing w:after="0" w:line="276" w:lineRule="auto"/>
        <w:jc w:val="both"/>
        <w:rPr>
          <w:rFonts w:ascii="Verdana" w:eastAsia="Calibri" w:hAnsi="Verdana" w:cs="Times New Roman"/>
          <w:color w:val="000000"/>
        </w:rPr>
      </w:pPr>
      <w:proofErr w:type="spellStart"/>
      <w:r w:rsidRPr="0017067E">
        <w:rPr>
          <w:rFonts w:ascii="Verdana" w:eastAsia="Calibri" w:hAnsi="Verdana" w:cs="Arial"/>
          <w:lang w:val="es-ES_tradnl"/>
        </w:rPr>
        <w:t>ii</w:t>
      </w:r>
      <w:proofErr w:type="spellEnd"/>
      <w:r w:rsidRPr="0017067E">
        <w:rPr>
          <w:rFonts w:ascii="Verdana" w:eastAsia="Calibri" w:hAnsi="Verdana" w:cs="Arial"/>
          <w:lang w:val="es-ES_tradnl"/>
        </w:rPr>
        <w:t xml:space="preserve">. </w:t>
      </w:r>
      <w:r w:rsidRPr="0017067E">
        <w:rPr>
          <w:rFonts w:ascii="Verdana" w:eastAsia="Calibri" w:hAnsi="Verdana" w:cs="Times New Roman"/>
          <w:color w:val="000000"/>
        </w:rPr>
        <w:t xml:space="preserve">En lo referente a la </w:t>
      </w:r>
      <w:r w:rsidRPr="0017067E">
        <w:rPr>
          <w:rFonts w:ascii="Verdana" w:eastAsia="Calibri" w:hAnsi="Verdana" w:cs="Times New Roman"/>
          <w:i/>
          <w:iCs/>
          <w:color w:val="000000"/>
        </w:rPr>
        <w:t>asociación de municipios</w:t>
      </w:r>
      <w:r w:rsidRPr="0017067E">
        <w:rPr>
          <w:rFonts w:ascii="Verdana" w:eastAsia="Calibri" w:hAnsi="Verdana" w:cs="Times New Roman"/>
          <w:color w:val="000000"/>
        </w:rPr>
        <w:t>, 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7F09E84E"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3A21ED60"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t>A su vez, la Ley 1454 de 2011, orgánica del ordenamiento territorial, concibió a las asociaciones de municipios como una clase de los denominados esquemas asociativos territoriales</w:t>
      </w:r>
      <w:r w:rsidRPr="0017067E">
        <w:rPr>
          <w:rFonts w:ascii="Verdana" w:eastAsia="Calibri" w:hAnsi="Verdana" w:cs="Times New Roman"/>
          <w:vertAlign w:val="superscript"/>
        </w:rPr>
        <w:footnoteReference w:id="10"/>
      </w:r>
      <w:r w:rsidRPr="0017067E">
        <w:rPr>
          <w:rFonts w:ascii="Verdana" w:eastAsia="Calibri" w:hAnsi="Verdana" w:cs="Times New Roman"/>
          <w:color w:val="000000"/>
        </w:rPr>
        <w:t>,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429C4B13"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lastRenderedPageBreak/>
        <w:t>En cuanto a la manera como se conforman las asociaciones de municipios, tanto la Ley 136 de 1994 –artículo 150–</w:t>
      </w:r>
      <w:r w:rsidRPr="0017067E">
        <w:rPr>
          <w:rFonts w:ascii="Verdana" w:eastAsia="Calibri" w:hAnsi="Verdana" w:cs="Times New Roman"/>
          <w:vertAlign w:val="superscript"/>
        </w:rPr>
        <w:footnoteReference w:id="11"/>
      </w:r>
      <w:r w:rsidRPr="0017067E">
        <w:rPr>
          <w:rFonts w:ascii="Verdana" w:eastAsia="Calibri" w:hAnsi="Verdana" w:cs="Times New Roman"/>
          <w:color w:val="000000"/>
        </w:rPr>
        <w:t>, como la Ley 1454 de 2011 –artículo 14–, establecen que se hace a través de convenios, en los términos indicados en dichas disposiciones</w:t>
      </w:r>
      <w:r w:rsidRPr="0017067E">
        <w:rPr>
          <w:rFonts w:ascii="Verdana" w:eastAsia="Calibri" w:hAnsi="Verdana" w:cs="Times New Roman"/>
          <w:vertAlign w:val="superscript"/>
        </w:rPr>
        <w:footnoteReference w:id="12"/>
      </w:r>
      <w:r w:rsidRPr="0017067E">
        <w:rPr>
          <w:rFonts w:ascii="Verdana" w:eastAsia="Calibri" w:hAnsi="Verdana" w:cs="Times New Roman"/>
          <w:color w:val="000000"/>
        </w:rPr>
        <w:t>.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1C9D9E00" w14:textId="5BDC1FD1" w:rsidR="00A6205A" w:rsidRPr="0017067E" w:rsidRDefault="00A6205A" w:rsidP="00CF40EB">
      <w:pPr>
        <w:spacing w:before="120" w:after="0" w:line="276" w:lineRule="auto"/>
        <w:ind w:firstLine="708"/>
        <w:jc w:val="both"/>
        <w:rPr>
          <w:rFonts w:ascii="Verdana" w:eastAsia="Calibri" w:hAnsi="Verdana" w:cs="Times New Roman"/>
          <w:color w:val="000000"/>
          <w:shd w:val="clear" w:color="auto" w:fill="FFFFFF"/>
        </w:rPr>
      </w:pPr>
      <w:r w:rsidRPr="0017067E">
        <w:rPr>
          <w:rFonts w:ascii="Verdana" w:eastAsia="Calibri" w:hAnsi="Verdana" w:cs="Times New Roman"/>
          <w:color w:val="000000"/>
        </w:rPr>
        <w:t>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prescrito en el artículo 95 de la Ley 489 de 1998, que permite la asociación de entidades públicas, estableciendo la posibilidad de conformar personas jurídicas sin ánimo de lucro</w:t>
      </w:r>
      <w:r w:rsidRPr="0017067E">
        <w:rPr>
          <w:rFonts w:ascii="Verdana" w:eastAsia="Calibri" w:hAnsi="Verdana" w:cs="Times New Roman"/>
          <w:color w:val="000000"/>
          <w:vertAlign w:val="superscript"/>
        </w:rPr>
        <w:footnoteReference w:id="13"/>
      </w:r>
      <w:r w:rsidRPr="0017067E">
        <w:rPr>
          <w:rFonts w:ascii="Verdana" w:eastAsia="Calibri" w:hAnsi="Verdana" w:cs="Times New Roman"/>
          <w:color w:val="000000"/>
        </w:rPr>
        <w:t xml:space="preserve">. </w:t>
      </w:r>
      <w:r w:rsidRPr="0017067E">
        <w:rPr>
          <w:rFonts w:ascii="Verdana" w:eastAsia="Calibri" w:hAnsi="Verdana" w:cs="Times New Roman"/>
          <w:color w:val="000000"/>
          <w:shd w:val="clear" w:color="auto" w:fill="FFFFFF"/>
        </w:rPr>
        <w:t>De este modo, la naturaleza y el carácter de persona jurídica que dichas leyes le atribuyen a las asociaciones de municipios conducen a entender que son entidades diferentes a los municipios que las conforman. </w:t>
      </w:r>
    </w:p>
    <w:p w14:paraId="65C33A5E" w14:textId="657CF0BB" w:rsidR="00A6205A" w:rsidRPr="0017067E" w:rsidRDefault="00A6205A" w:rsidP="00A6205A">
      <w:pPr>
        <w:spacing w:before="120" w:after="120" w:line="276" w:lineRule="auto"/>
        <w:jc w:val="both"/>
        <w:rPr>
          <w:rFonts w:ascii="Verdana" w:eastAsia="Calibri" w:hAnsi="Verdana" w:cs="Times New Roman"/>
          <w:color w:val="000000"/>
          <w:lang w:val="es-ES"/>
        </w:rPr>
      </w:pPr>
      <w:proofErr w:type="spellStart"/>
      <w:r w:rsidRPr="0017067E">
        <w:rPr>
          <w:rFonts w:ascii="Verdana" w:eastAsia="Calibri" w:hAnsi="Verdana" w:cs="Times New Roman"/>
          <w:color w:val="000000"/>
        </w:rPr>
        <w:lastRenderedPageBreak/>
        <w:t>iii</w:t>
      </w:r>
      <w:proofErr w:type="spellEnd"/>
      <w:r w:rsidRPr="0017067E">
        <w:rPr>
          <w:rFonts w:ascii="Verdana" w:eastAsia="Calibri" w:hAnsi="Verdana" w:cs="Times New Roman"/>
          <w:color w:val="000000"/>
        </w:rPr>
        <w:t xml:space="preserve">. </w:t>
      </w:r>
      <w:bookmarkStart w:id="3" w:name="OLE_LINK7"/>
      <w:r w:rsidRPr="0017067E">
        <w:rPr>
          <w:rFonts w:ascii="Verdana" w:eastAsia="Calibri" w:hAnsi="Verdana" w:cs="Times New Roman"/>
          <w:color w:val="000000"/>
        </w:rPr>
        <w:t>La Ley 80 de 1993, en el parágrafo 1 del artículo 2, incluía a las cooperativas y asociaciones de entidades territoriales dentro de la categoría de entidades estatales sometidas a la Ley 80 de 1993, y las facultaba para suscribir convenios</w:t>
      </w:r>
      <w:r w:rsidRPr="0017067E">
        <w:rPr>
          <w:rFonts w:ascii="Verdana" w:eastAsia="Calibri" w:hAnsi="Verdana" w:cs="Times New Roman"/>
          <w:color w:val="000000"/>
          <w:spacing w:val="-18"/>
        </w:rPr>
        <w:t xml:space="preserve"> </w:t>
      </w:r>
      <w:r w:rsidRPr="0017067E">
        <w:rPr>
          <w:rFonts w:ascii="Verdana" w:eastAsia="Calibri" w:hAnsi="Verdana" w:cs="Times New Roman"/>
          <w:color w:val="000000"/>
        </w:rPr>
        <w:t xml:space="preserve">interadministrativos: </w:t>
      </w:r>
      <w:r w:rsidRPr="0017067E">
        <w:rPr>
          <w:rFonts w:ascii="Verdana" w:eastAsia="Arial" w:hAnsi="Verdana" w:cs="Arial"/>
          <w:color w:val="000000"/>
          <w:lang w:val="es-ES"/>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 entidades”.</w:t>
      </w:r>
    </w:p>
    <w:p w14:paraId="0DA31639"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En virtud de lo anterior, el parágrafo del artículo 2 de la Ley 80 de 1993 facultaba a las cooperativas y asociaciones de entidades territoriales para celebrar contratos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selección competitivos, contratos interadministrativos, siempre que se acreditaran los siguientes requisitos establecidos en la norma indicada:</w:t>
      </w:r>
    </w:p>
    <w:p w14:paraId="449835AA" w14:textId="77777777" w:rsidR="00A6205A" w:rsidRPr="0017067E" w:rsidRDefault="00A6205A" w:rsidP="00A6205A">
      <w:pPr>
        <w:widowControl w:val="0"/>
        <w:autoSpaceDE w:val="0"/>
        <w:autoSpaceDN w:val="0"/>
        <w:spacing w:before="2" w:after="0" w:line="276" w:lineRule="auto"/>
        <w:rPr>
          <w:rFonts w:ascii="Verdana" w:eastAsia="Arial" w:hAnsi="Verdana" w:cs="Arial"/>
          <w:color w:val="000000"/>
          <w:lang w:val="es-ES"/>
        </w:rPr>
      </w:pPr>
    </w:p>
    <w:p w14:paraId="1E4F940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14. De conformidad con lo previsto en el parágrafo del artículo 2o. de la Ley 80 de 1993, los contratos que se celebren en desarrollo de los convenios interadministrativos estarán sujetos a dicha ley.</w:t>
      </w:r>
    </w:p>
    <w:p w14:paraId="6DED8449"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w:t>
      </w:r>
    </w:p>
    <w:p w14:paraId="4BF8DEE1"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258B290B" w14:textId="77777777" w:rsidR="00A6205A" w:rsidRPr="0017067E" w:rsidRDefault="00A6205A" w:rsidP="00A6205A">
      <w:pPr>
        <w:widowControl w:val="0"/>
        <w:autoSpaceDE w:val="0"/>
        <w:autoSpaceDN w:val="0"/>
        <w:spacing w:before="3" w:after="0" w:line="276" w:lineRule="auto"/>
        <w:rPr>
          <w:rFonts w:ascii="Verdana" w:eastAsia="Arial" w:hAnsi="Verdana" w:cs="Arial"/>
          <w:color w:val="000000"/>
          <w:lang w:val="es-ES"/>
        </w:rPr>
      </w:pPr>
    </w:p>
    <w:p w14:paraId="66B25386"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No obstante, el artículo 1 del Decreto 4375 de 2006 modificó el artículo 14 del Decreto 2170 de 2002, para restringir la celebración de los contratos interadministrativos por parte de dichas entidades, al introducir como requisito para su celebración la aplicación del artículo</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29</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de</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la</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Ley</w:t>
      </w:r>
      <w:r w:rsidRPr="0017067E">
        <w:rPr>
          <w:rFonts w:ascii="Verdana" w:eastAsia="Arial" w:hAnsi="Verdana" w:cs="Arial"/>
          <w:color w:val="000000"/>
          <w:spacing w:val="38"/>
          <w:lang w:val="es-ES"/>
        </w:rPr>
        <w:t xml:space="preserve"> </w:t>
      </w:r>
      <w:r w:rsidRPr="0017067E">
        <w:rPr>
          <w:rFonts w:ascii="Verdana" w:eastAsia="Arial" w:hAnsi="Verdana" w:cs="Arial"/>
          <w:color w:val="000000"/>
          <w:lang w:val="es-ES"/>
        </w:rPr>
        <w:t>80</w:t>
      </w:r>
      <w:r w:rsidRPr="0017067E">
        <w:rPr>
          <w:rFonts w:ascii="Verdana" w:eastAsia="Arial" w:hAnsi="Verdana" w:cs="Arial"/>
          <w:color w:val="000000"/>
          <w:spacing w:val="44"/>
          <w:lang w:val="es-ES"/>
        </w:rPr>
        <w:t xml:space="preserve"> </w:t>
      </w:r>
      <w:r w:rsidRPr="0017067E">
        <w:rPr>
          <w:rFonts w:ascii="Verdana" w:eastAsia="Arial" w:hAnsi="Verdana" w:cs="Arial"/>
          <w:color w:val="000000"/>
          <w:lang w:val="es-ES"/>
        </w:rPr>
        <w:t>de</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1993,</w:t>
      </w:r>
      <w:r w:rsidRPr="0017067E">
        <w:rPr>
          <w:rFonts w:ascii="Verdana" w:eastAsia="Arial" w:hAnsi="Verdana" w:cs="Arial"/>
          <w:color w:val="000000"/>
          <w:spacing w:val="39"/>
          <w:lang w:val="es-ES"/>
        </w:rPr>
        <w:t xml:space="preserve"> </w:t>
      </w:r>
      <w:r w:rsidRPr="0017067E">
        <w:rPr>
          <w:rFonts w:ascii="Verdana" w:eastAsia="Arial" w:hAnsi="Verdana" w:cs="Arial"/>
          <w:color w:val="000000"/>
          <w:lang w:val="es-ES"/>
        </w:rPr>
        <w:t>normativa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que</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desarrolla</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la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selección</w:t>
      </w:r>
      <w:r w:rsidRPr="0017067E">
        <w:rPr>
          <w:rFonts w:ascii="Verdana" w:eastAsia="Arial" w:hAnsi="Verdana" w:cs="Arial"/>
          <w:color w:val="000000"/>
          <w:spacing w:val="38"/>
          <w:lang w:val="es-ES"/>
        </w:rPr>
        <w:t xml:space="preserve"> </w:t>
      </w:r>
      <w:r w:rsidRPr="0017067E">
        <w:rPr>
          <w:rFonts w:ascii="Verdana" w:eastAsia="Arial" w:hAnsi="Verdana" w:cs="Arial"/>
          <w:color w:val="000000"/>
          <w:lang w:val="es-ES"/>
        </w:rPr>
        <w:t>objetiva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 xml:space="preserve">como principio orientador para </w:t>
      </w:r>
      <w:r w:rsidRPr="0017067E">
        <w:rPr>
          <w:rFonts w:ascii="Verdana" w:eastAsia="Arial" w:hAnsi="Verdana" w:cs="Arial"/>
          <w:color w:val="000000"/>
          <w:lang w:val="es-ES"/>
        </w:rPr>
        <w:lastRenderedPageBreak/>
        <w:t>los procesos de selección sometidos al Estatuto General de Contratación de la Administración Pública:</w:t>
      </w:r>
    </w:p>
    <w:p w14:paraId="623B3549" w14:textId="77777777" w:rsidR="00A6205A" w:rsidRPr="0017067E" w:rsidRDefault="00A6205A" w:rsidP="00A6205A">
      <w:pPr>
        <w:widowControl w:val="0"/>
        <w:autoSpaceDE w:val="0"/>
        <w:autoSpaceDN w:val="0"/>
        <w:spacing w:before="1" w:after="0" w:line="276" w:lineRule="auto"/>
        <w:rPr>
          <w:rFonts w:ascii="Verdana" w:eastAsia="Arial" w:hAnsi="Verdana" w:cs="Arial"/>
          <w:color w:val="000000"/>
          <w:lang w:val="es-ES"/>
        </w:rPr>
      </w:pPr>
    </w:p>
    <w:p w14:paraId="14782A28"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60F604F0"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 selección de estas entidades se hará conforme a las siguientes reglas:</w:t>
      </w:r>
    </w:p>
    <w:p w14:paraId="5928652B"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 entidad demandante del bien, obra o servicio invitará a presentar ofertas a todas aquellas cooperativas o asociaciones de entidades territoriales que puedan ejecutar el contrato, para adelantar entre ellas un concurso que permita la selección de la oferta más favorable en los términos del artículo 29 de la Ley 80 de 1993.</w:t>
      </w:r>
    </w:p>
    <w:p w14:paraId="7DBE17B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00A15D78" w14:textId="77777777" w:rsidR="00A6205A" w:rsidRPr="0017067E" w:rsidRDefault="00A6205A" w:rsidP="00A6205A">
      <w:pPr>
        <w:widowControl w:val="0"/>
        <w:autoSpaceDE w:val="0"/>
        <w:autoSpaceDN w:val="0"/>
        <w:spacing w:after="0" w:line="276" w:lineRule="auto"/>
        <w:ind w:left="668" w:right="531"/>
        <w:jc w:val="both"/>
        <w:rPr>
          <w:rFonts w:ascii="Verdana" w:eastAsia="Arial" w:hAnsi="Verdana" w:cs="Arial"/>
          <w:color w:val="000000"/>
          <w:lang w:val="es-ES"/>
        </w:rPr>
      </w:pPr>
      <w:r w:rsidRPr="0017067E">
        <w:rPr>
          <w:rFonts w:ascii="Verdana" w:eastAsia="Arial" w:hAnsi="Verdana" w:cs="Arial"/>
          <w:color w:val="000000"/>
          <w:lang w:val="es-ES"/>
        </w:rPr>
        <w:tab/>
      </w:r>
    </w:p>
    <w:p w14:paraId="498B73B9"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De este modo, la modificación realizada por el artículo 1 del Decreto 4375 de 2006 restringió la libertad contractual de las cooperativas y asociaciones de entidades territoriales para celebrar contratos interadministrativos de forma directa, sometiéndolas a las reglas de la selección objetiva indicadas en caso de que estas pretendieran contratar o ser contratadas por una entidad</w:t>
      </w:r>
      <w:r w:rsidRPr="0017067E">
        <w:rPr>
          <w:rFonts w:ascii="Verdana" w:eastAsia="Arial" w:hAnsi="Verdana" w:cs="Arial"/>
          <w:color w:val="000000"/>
          <w:spacing w:val="-2"/>
          <w:lang w:val="es-ES"/>
        </w:rPr>
        <w:t xml:space="preserve"> </w:t>
      </w:r>
      <w:r w:rsidRPr="0017067E">
        <w:rPr>
          <w:rFonts w:ascii="Verdana" w:eastAsia="Arial" w:hAnsi="Verdana" w:cs="Arial"/>
          <w:color w:val="000000"/>
          <w:lang w:val="es-ES"/>
        </w:rPr>
        <w:t>estatal.</w:t>
      </w:r>
    </w:p>
    <w:p w14:paraId="05E363B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A su vez, con la vigencia de la Ley 1150 de 2007, normativa que estableció medidas para la eficiencia y la transparencia en la contratación pública, se dispusieron nuevos criterios para la celebración de contratos interadministrativos para la actividad contractual de cooperativas y asociaciones de entidades territoriales. Particularmente, el artículo 32 de la Ley 1150 de 2007 derogó de manera expresa el parágrafo 1 del artículo 2 de la Ley 80 de 1993, que permitía la celebración de contratos interadministrativos por </w:t>
      </w:r>
      <w:r w:rsidRPr="0017067E">
        <w:rPr>
          <w:rFonts w:ascii="Verdana" w:eastAsia="Arial" w:hAnsi="Verdana" w:cs="Arial"/>
          <w:color w:val="000000"/>
          <w:lang w:val="es-ES"/>
        </w:rPr>
        <w:lastRenderedPageBreak/>
        <w:t>parte de cooperativas y asociaciones de entidades</w:t>
      </w:r>
      <w:r w:rsidRPr="0017067E">
        <w:rPr>
          <w:rFonts w:ascii="Verdana" w:eastAsia="Arial" w:hAnsi="Verdana" w:cs="Arial"/>
          <w:color w:val="000000"/>
          <w:spacing w:val="-12"/>
          <w:lang w:val="es-ES"/>
        </w:rPr>
        <w:t xml:space="preserve"> </w:t>
      </w:r>
      <w:r w:rsidRPr="0017067E">
        <w:rPr>
          <w:rFonts w:ascii="Verdana" w:eastAsia="Arial" w:hAnsi="Verdana" w:cs="Arial"/>
          <w:color w:val="000000"/>
          <w:lang w:val="es-ES"/>
        </w:rPr>
        <w:t>territoriales</w:t>
      </w:r>
      <w:r w:rsidRPr="0017067E">
        <w:rPr>
          <w:rFonts w:ascii="Verdana" w:eastAsia="Arial" w:hAnsi="Verdana" w:cs="Arial"/>
          <w:color w:val="000000"/>
          <w:vertAlign w:val="superscript"/>
          <w:lang w:val="es-ES"/>
        </w:rPr>
        <w:footnoteReference w:id="14"/>
      </w:r>
      <w:r w:rsidRPr="0017067E">
        <w:rPr>
          <w:rFonts w:ascii="Verdana" w:eastAsia="Arial" w:hAnsi="Verdana" w:cs="Arial"/>
          <w:color w:val="000000"/>
          <w:lang w:val="es-ES"/>
        </w:rPr>
        <w:t>. Además, en armonía con lo anterior, el artículo 10 de la Ley 1150 de 2007 prescribió:</w:t>
      </w:r>
    </w:p>
    <w:p w14:paraId="7F752ACF" w14:textId="77777777" w:rsidR="00A6205A" w:rsidRPr="0017067E" w:rsidRDefault="00A6205A" w:rsidP="00A6205A">
      <w:pPr>
        <w:widowControl w:val="0"/>
        <w:autoSpaceDE w:val="0"/>
        <w:autoSpaceDN w:val="0"/>
        <w:spacing w:before="8" w:after="0" w:line="276" w:lineRule="auto"/>
        <w:rPr>
          <w:rFonts w:ascii="Verdana" w:eastAsia="Arial" w:hAnsi="Verdana" w:cs="Arial"/>
          <w:color w:val="000000"/>
          <w:lang w:val="es-ES"/>
        </w:rPr>
      </w:pPr>
    </w:p>
    <w:p w14:paraId="4CF8446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6B651156" w14:textId="77777777" w:rsidR="00A6205A" w:rsidRPr="0017067E" w:rsidRDefault="00A6205A" w:rsidP="00A6205A">
      <w:pPr>
        <w:widowControl w:val="0"/>
        <w:autoSpaceDE w:val="0"/>
        <w:autoSpaceDN w:val="0"/>
        <w:spacing w:before="4" w:after="0" w:line="276" w:lineRule="auto"/>
        <w:rPr>
          <w:rFonts w:ascii="Verdana" w:eastAsia="Arial" w:hAnsi="Verdana" w:cs="Arial"/>
          <w:color w:val="000000"/>
          <w:lang w:val="es-ES"/>
        </w:rPr>
      </w:pPr>
    </w:p>
    <w:p w14:paraId="1F56FBFE"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A partir de la norma citada, la celebración de contratos con entidades estatales, las cooperativas y asociaciones conformadas por entidades territoriales deben someterse a los procesos de selección de la Ley 1150 de 2007, en igualdad de condiciones con los particulares. </w:t>
      </w:r>
      <w:r w:rsidRPr="0017067E">
        <w:rPr>
          <w:rFonts w:ascii="Verdana" w:eastAsia="Arial" w:hAnsi="Verdana" w:cs="Arial"/>
          <w:color w:val="000000"/>
          <w:shd w:val="clear" w:color="auto" w:fill="FFFFFF"/>
          <w:lang w:val="es-ES"/>
        </w:rPr>
        <w:t xml:space="preserve">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670DFA64"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17067E">
        <w:rPr>
          <w:rFonts w:ascii="Verdana" w:eastAsia="Arial" w:hAnsi="Verdana" w:cs="Arial"/>
          <w:color w:val="000000"/>
          <w:lang w:val="es-ES"/>
        </w:rPr>
        <w:t>ii</w:t>
      </w:r>
      <w:proofErr w:type="spellEnd"/>
      <w:r w:rsidRPr="0017067E">
        <w:rPr>
          <w:rFonts w:ascii="Verdana" w:eastAsia="Arial" w:hAnsi="Verdana" w:cs="Arial"/>
          <w:color w:val="000000"/>
          <w:lang w:val="es-ES"/>
        </w:rPr>
        <w:t xml:space="preserve">) el artículo 10 de la ley 1150 de 2007 que establece que la celebración de contratos </w:t>
      </w:r>
      <w:r w:rsidRPr="0017067E">
        <w:rPr>
          <w:rFonts w:ascii="Verdana" w:eastAsia="Arial" w:hAnsi="Verdana" w:cs="Arial"/>
          <w:color w:val="000000"/>
          <w:lang w:val="es-ES"/>
        </w:rPr>
        <w:lastRenderedPageBreak/>
        <w:t>entre una entidad estatal con, entre otras, asociaciones de entidades territoriales  únicamente pueden realizarse mediante un proceso competitivo, pues deben participar “en igualdad de condiciones con los particulares” y no mediante la modalidad de contratación directa, incluyendo en la prohibición acudir a la causal de los contratos interadministrativos.</w:t>
      </w:r>
    </w:p>
    <w:p w14:paraId="1E4BB43C"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interadministrativos, en los términos establecidos en el artículo 95 de la ley 489 de 1998 o mediante la conformación de personas jurídicas de derecho público o de derecho privado:</w:t>
      </w:r>
    </w:p>
    <w:p w14:paraId="594E167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23C0EE09"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 xml:space="preserve">“Artículo 17. Naturaleza y funcionamiento de los esquemas asociativos. Las asociaciones de departamentos, las provincias y las </w:t>
      </w:r>
      <w:r w:rsidRPr="0017067E">
        <w:rPr>
          <w:rFonts w:ascii="Verdana" w:eastAsia="Arial" w:hAnsi="Verdana" w:cs="Arial"/>
          <w:i/>
          <w:iCs/>
          <w:color w:val="000000"/>
          <w:lang w:val="es-ES"/>
        </w:rPr>
        <w:t>asociaciones de distritos y de municipios</w:t>
      </w:r>
      <w:r w:rsidRPr="0017067E">
        <w:rPr>
          <w:rFonts w:ascii="Verdana" w:eastAsia="Arial" w:hAnsi="Verdana" w:cs="Arial"/>
          <w:color w:val="000000"/>
          <w:lang w:val="es-ES"/>
        </w:rPr>
        <w:t xml:space="preserve"> son entidades administrativas de derecho público, con personería jurídica y patrimonio propio e independiente de los entes que la conforman.</w:t>
      </w:r>
    </w:p>
    <w:p w14:paraId="3B788D16"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1AC9593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Las asociaciones de departamentos podrán constituirse en regiones administrativas y de planificación, previa autorización de sus asambleas departamentales.</w:t>
      </w:r>
    </w:p>
    <w:p w14:paraId="39704CC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243D3D5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En ningún caso las entidades territoriales que se asocien podrán generar gastos de funcionamiento adicionales con cargo a su presupuesto o al presupuesto general de la Nación, ni incrementar la planta burocrática de las respectivas entidades que las conformen.</w:t>
      </w:r>
    </w:p>
    <w:p w14:paraId="5C65FE8D"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4FE354E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PARÁGRAFO. En concordancia con lo previsto en el artículo </w:t>
      </w:r>
      <w:hyperlink r:id="rId13" w:anchor="95" w:history="1">
        <w:r w:rsidRPr="0017067E">
          <w:rPr>
            <w:rFonts w:ascii="Verdana" w:eastAsia="Arial" w:hAnsi="Verdana" w:cs="Arial"/>
            <w:color w:val="000000"/>
            <w:lang w:val="es-ES"/>
          </w:rPr>
          <w:t>95</w:t>
        </w:r>
      </w:hyperlink>
      <w:r w:rsidRPr="0017067E">
        <w:rPr>
          <w:rFonts w:ascii="Verdana" w:eastAsia="Arial" w:hAnsi="Verdana" w:cs="Arial"/>
          <w:color w:val="000000"/>
          <w:lang w:val="es-ES"/>
        </w:rPr>
        <w:t xml:space="preserve"> de la Ley 489 de 1998, las Entidades Territoriales podrán continuar asociándose mediante la celebración de convenios interadministrativos o mediante la conformación de personas jurídicas de derecho público o derecho privado”. </w:t>
      </w:r>
    </w:p>
    <w:p w14:paraId="5F3D9236"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581F0F76" w14:textId="77777777" w:rsidR="00A6205A" w:rsidRPr="0017067E" w:rsidRDefault="00A6205A" w:rsidP="00A6205A">
      <w:pPr>
        <w:widowControl w:val="0"/>
        <w:autoSpaceDE w:val="0"/>
        <w:autoSpaceDN w:val="0"/>
        <w:spacing w:after="0" w:line="276" w:lineRule="auto"/>
        <w:ind w:right="108"/>
        <w:jc w:val="both"/>
        <w:rPr>
          <w:rFonts w:ascii="Verdana" w:eastAsia="Arial" w:hAnsi="Verdana" w:cs="Arial"/>
          <w:color w:val="000000"/>
          <w:lang w:val="es-ES"/>
        </w:rPr>
      </w:pPr>
      <w:r w:rsidRPr="0017067E">
        <w:rPr>
          <w:rFonts w:ascii="Verdana" w:eastAsia="Arial" w:hAnsi="Verdana" w:cs="Arial"/>
          <w:color w:val="000000"/>
          <w:lang w:val="es-ES"/>
        </w:rPr>
        <w:lastRenderedPageBreak/>
        <w:tab/>
        <w:t>Para finalizar el recuento normativo, es necesario hacer referencia a la modificación realizada por el artículo 92 de la Ley 1474 de 2011 al literal </w:t>
      </w:r>
      <w:hyperlink r:id="rId14" w:anchor="2.4.c" w:history="1">
        <w:r w:rsidRPr="0017067E">
          <w:rPr>
            <w:rFonts w:ascii="Verdana" w:eastAsia="Arial" w:hAnsi="Verdana" w:cs="Arial"/>
            <w:color w:val="000000"/>
            <w:lang w:val="es-ES"/>
          </w:rPr>
          <w:t>c)</w:t>
        </w:r>
      </w:hyperlink>
      <w:r w:rsidRPr="0017067E">
        <w:rPr>
          <w:rFonts w:ascii="Verdana" w:eastAsia="Arial" w:hAnsi="Verdana" w:cs="Arial"/>
          <w:color w:val="000000"/>
          <w:lang w:val="es-ES"/>
        </w:rPr>
        <w:t> del numeral 4 del artículo 2 de la Ley 1150 de 2007. En efecto, el artículo 92 indicado, prohíbe acudir a la causal de contratación directa para celebrar ciertas tipologías y objetos contractuales por parte de ciertas entidades, donde se incluye esta restricción precisa frente a las asociaciones de entidades públicas. En efecto, la disposición establece:</w:t>
      </w:r>
    </w:p>
    <w:p w14:paraId="3AA106A5" w14:textId="77777777" w:rsidR="00A6205A" w:rsidRPr="0017067E" w:rsidRDefault="00A6205A" w:rsidP="00A6205A">
      <w:pPr>
        <w:widowControl w:val="0"/>
        <w:autoSpaceDE w:val="0"/>
        <w:autoSpaceDN w:val="0"/>
        <w:spacing w:after="0" w:line="276" w:lineRule="auto"/>
        <w:ind w:right="108" w:firstLine="708"/>
        <w:jc w:val="both"/>
        <w:rPr>
          <w:rFonts w:ascii="Verdana" w:eastAsia="Arial" w:hAnsi="Verdana" w:cs="Arial"/>
          <w:color w:val="000000"/>
          <w:lang w:val="es-ES"/>
        </w:rPr>
      </w:pPr>
    </w:p>
    <w:p w14:paraId="4E88CD8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92. Contratos interadministrativos. Modifíquese el inciso primero del literal c) del numeral 4 del artículo 2o de la Ley 1150 de 2007, el cual quedará así:</w:t>
      </w:r>
    </w:p>
    <w:p w14:paraId="71423305"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13AC4BBE"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c) Contratos interadministrativos, siempre que las obligaciones derivadas del mismo tengan relación directa con el objeto de la entidad ejecutora señalado en la ley o en sus reglamentos.</w:t>
      </w:r>
    </w:p>
    <w:p w14:paraId="53E2745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31960FEA"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i/>
          <w:iCs/>
          <w:color w:val="000000"/>
          <w:lang w:val="es-ES"/>
        </w:rPr>
        <w:t>Se exceptúan los contratos de obra, suministro, prestación de servicios de evaluación de conformidad respecto de las normas o reglamentos técnicos, encargos fiduciarios y fiducia pública cuando</w:t>
      </w:r>
      <w:r w:rsidRPr="0017067E">
        <w:rPr>
          <w:rFonts w:ascii="Verdana" w:eastAsia="Arial" w:hAnsi="Verdana" w:cs="Arial"/>
          <w:color w:val="000000"/>
          <w:lang w:val="es-ES"/>
        </w:rPr>
        <w:t xml:space="preserve"> las instituciones de educación superior públicas o las Sociedades de Economía Mixta con participación mayoritaria del Estado, o </w:t>
      </w:r>
      <w:r w:rsidRPr="0017067E">
        <w:rPr>
          <w:rFonts w:ascii="Verdana" w:eastAsia="Arial" w:hAnsi="Verdana" w:cs="Arial"/>
          <w:i/>
          <w:iCs/>
          <w:color w:val="000000"/>
          <w:lang w:val="es-ES"/>
        </w:rPr>
        <w:t>las personas jurídicas sin ánimo de lucro conformadas por la asociación de entidades públicas</w:t>
      </w:r>
      <w:r w:rsidRPr="0017067E">
        <w:rPr>
          <w:rFonts w:ascii="Verdana" w:eastAsia="Arial" w:hAnsi="Verdana" w:cs="Arial"/>
          <w:color w:val="000000"/>
          <w:lang w:val="es-ES"/>
        </w:rPr>
        <w:t>, o</w:t>
      </w:r>
      <w:r w:rsidRPr="0017067E">
        <w:rPr>
          <w:rFonts w:ascii="Verdana" w:eastAsia="Arial" w:hAnsi="Verdana" w:cs="Arial"/>
          <w:i/>
          <w:iCs/>
          <w:color w:val="000000"/>
          <w:lang w:val="es-ES"/>
        </w:rPr>
        <w:t xml:space="preserve"> </w:t>
      </w:r>
      <w:r w:rsidRPr="0017067E">
        <w:rPr>
          <w:rFonts w:ascii="Verdana" w:eastAsia="Arial" w:hAnsi="Verdana" w:cs="Arial"/>
          <w:color w:val="000000"/>
          <w:lang w:val="es-ES"/>
        </w:rPr>
        <w:t>las federaciones de entidades territoriales</w:t>
      </w:r>
      <w:r w:rsidRPr="0017067E">
        <w:rPr>
          <w:rFonts w:ascii="Verdana" w:eastAsia="Arial" w:hAnsi="Verdana" w:cs="Arial"/>
          <w:i/>
          <w:iCs/>
          <w:color w:val="000000"/>
          <w:lang w:val="es-ES"/>
        </w:rPr>
        <w:t xml:space="preserve"> sean las ejecutoras</w:t>
      </w:r>
      <w:r w:rsidRPr="0017067E">
        <w:rPr>
          <w:rFonts w:ascii="Verdana" w:eastAsia="Arial" w:hAnsi="Verdana" w:cs="Arial"/>
          <w:color w:val="000000"/>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64ED437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1DD201D9" w14:textId="6ABA131B" w:rsidR="00A6205A" w:rsidRDefault="00A6205A" w:rsidP="00CF40EB">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La anterior constituye una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p>
    <w:p w14:paraId="3EEA8B2D" w14:textId="65F9AE13" w:rsidR="00001154" w:rsidRPr="00001154" w:rsidRDefault="00001154" w:rsidP="00CF40EB">
      <w:pPr>
        <w:widowControl w:val="0"/>
        <w:autoSpaceDE w:val="0"/>
        <w:autoSpaceDN w:val="0"/>
        <w:spacing w:after="120" w:line="276" w:lineRule="auto"/>
        <w:ind w:right="108" w:firstLine="709"/>
        <w:jc w:val="both"/>
        <w:rPr>
          <w:rFonts w:ascii="Verdana" w:eastAsia="Arial" w:hAnsi="Verdana" w:cs="Arial"/>
          <w:color w:val="000000"/>
          <w:lang w:val="es-ES"/>
        </w:rPr>
      </w:pPr>
      <w:r w:rsidRPr="00001154">
        <w:rPr>
          <w:rFonts w:ascii="Verdana" w:hAnsi="Verdana"/>
        </w:rPr>
        <w:t xml:space="preserve">De lo expuesto se concluye la posibilidad de que los esquemas asociativos </w:t>
      </w:r>
      <w:r w:rsidRPr="00001154">
        <w:rPr>
          <w:rFonts w:ascii="Verdana" w:hAnsi="Verdana"/>
        </w:rPr>
        <w:lastRenderedPageBreak/>
        <w:t>celebren convenios interadministrativos con otras entidades estatales. Sin perjuicio de lo anterior, en función de la naturaleza jurídica que se determine en cada caso concreto, deben observarse las prohibiciones establecidas en el artículo 10 de la Ley 1150 de 2007 y en el artículo 92 de la Ley 1474 de 2011, los cuales limitan la modalidad de contratación directa.</w:t>
      </w:r>
    </w:p>
    <w:bookmarkEnd w:id="2"/>
    <w:bookmarkEnd w:id="3"/>
    <w:p w14:paraId="60FED47E" w14:textId="77777777" w:rsidR="00871B59" w:rsidRPr="0017067E" w:rsidRDefault="00871B59" w:rsidP="00871B59">
      <w:pPr>
        <w:widowControl w:val="0"/>
        <w:autoSpaceDE w:val="0"/>
        <w:autoSpaceDN w:val="0"/>
        <w:spacing w:after="0" w:line="276" w:lineRule="auto"/>
        <w:jc w:val="both"/>
        <w:rPr>
          <w:rFonts w:ascii="Verdana" w:hAnsi="Verdana" w:cs="Arial"/>
        </w:rPr>
      </w:pPr>
    </w:p>
    <w:p w14:paraId="2B2AC289"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Referencias normativas, jurisprudenciales y otras fuentes:</w:t>
      </w:r>
    </w:p>
    <w:p w14:paraId="2275D6AA" w14:textId="77777777" w:rsidR="00871B59" w:rsidRPr="0017067E"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17067E" w14:paraId="00BE42E2" w14:textId="77777777" w:rsidTr="002607A7">
        <w:trPr>
          <w:trHeight w:val="870"/>
        </w:trPr>
        <w:tc>
          <w:tcPr>
            <w:tcW w:w="8647" w:type="dxa"/>
          </w:tcPr>
          <w:p w14:paraId="34F80A62" w14:textId="538D92C1" w:rsidR="005C434A" w:rsidRPr="005C434A" w:rsidRDefault="005C434A" w:rsidP="005C434A">
            <w:pPr>
              <w:pStyle w:val="NormalWeb"/>
              <w:numPr>
                <w:ilvl w:val="0"/>
                <w:numId w:val="10"/>
              </w:numPr>
              <w:rPr>
                <w:rFonts w:ascii="Verdana" w:hAnsi="Verdana"/>
                <w:sz w:val="22"/>
                <w:szCs w:val="22"/>
              </w:rPr>
            </w:pPr>
            <w:r w:rsidRPr="005C434A">
              <w:rPr>
                <w:rStyle w:val="citation-547"/>
                <w:rFonts w:ascii="Verdana" w:hAnsi="Verdana"/>
                <w:sz w:val="22"/>
                <w:szCs w:val="22"/>
              </w:rPr>
              <w:t xml:space="preserve">Ley 80 de 1993, parágrafo 1 del artículo 2 </w:t>
            </w:r>
          </w:p>
          <w:p w14:paraId="2AB333AF" w14:textId="703D0AA6" w:rsidR="005C434A" w:rsidRPr="005C434A" w:rsidRDefault="005C434A" w:rsidP="005C434A">
            <w:pPr>
              <w:pStyle w:val="NormalWeb"/>
              <w:numPr>
                <w:ilvl w:val="0"/>
                <w:numId w:val="10"/>
              </w:numPr>
              <w:rPr>
                <w:rFonts w:ascii="Verdana" w:hAnsi="Verdana"/>
                <w:sz w:val="22"/>
                <w:szCs w:val="22"/>
              </w:rPr>
            </w:pPr>
            <w:r w:rsidRPr="005C434A">
              <w:rPr>
                <w:rStyle w:val="citation-546"/>
                <w:rFonts w:ascii="Verdana" w:hAnsi="Verdana"/>
                <w:sz w:val="22"/>
                <w:szCs w:val="22"/>
              </w:rPr>
              <w:t xml:space="preserve">Ley 136 de 1994, artículos 148, 149 y 150 </w:t>
            </w:r>
          </w:p>
          <w:p w14:paraId="37D2917F" w14:textId="70CE65CF" w:rsidR="005C434A" w:rsidRPr="005C434A" w:rsidRDefault="005C434A" w:rsidP="005C434A">
            <w:pPr>
              <w:pStyle w:val="NormalWeb"/>
              <w:numPr>
                <w:ilvl w:val="0"/>
                <w:numId w:val="10"/>
              </w:numPr>
              <w:rPr>
                <w:rFonts w:ascii="Verdana" w:hAnsi="Verdana"/>
                <w:sz w:val="22"/>
                <w:szCs w:val="22"/>
              </w:rPr>
            </w:pPr>
            <w:r w:rsidRPr="005C434A">
              <w:rPr>
                <w:rStyle w:val="citation-545"/>
                <w:rFonts w:ascii="Verdana" w:hAnsi="Verdana"/>
                <w:sz w:val="22"/>
                <w:szCs w:val="22"/>
              </w:rPr>
              <w:t xml:space="preserve">Ley 489 de 1998, artículo 95 </w:t>
            </w:r>
          </w:p>
          <w:p w14:paraId="24249592" w14:textId="3924986E" w:rsidR="005C434A" w:rsidRPr="005C434A" w:rsidRDefault="005C434A" w:rsidP="005C434A">
            <w:pPr>
              <w:pStyle w:val="NormalWeb"/>
              <w:numPr>
                <w:ilvl w:val="0"/>
                <w:numId w:val="10"/>
              </w:numPr>
              <w:rPr>
                <w:rFonts w:ascii="Verdana" w:hAnsi="Verdana"/>
                <w:sz w:val="22"/>
                <w:szCs w:val="22"/>
              </w:rPr>
            </w:pPr>
            <w:r w:rsidRPr="005C434A">
              <w:rPr>
                <w:rStyle w:val="citation-544"/>
                <w:rFonts w:ascii="Verdana" w:hAnsi="Verdana"/>
                <w:sz w:val="22"/>
                <w:szCs w:val="22"/>
              </w:rPr>
              <w:t xml:space="preserve">Ley 1150 de 2007, artículo 2 (numeral 4, literal c), artículo 10 y artículo 32 </w:t>
            </w:r>
          </w:p>
          <w:p w14:paraId="2A8AD31D" w14:textId="4BF892E5" w:rsidR="005C434A" w:rsidRPr="005C434A" w:rsidRDefault="005C434A" w:rsidP="005C434A">
            <w:pPr>
              <w:pStyle w:val="NormalWeb"/>
              <w:numPr>
                <w:ilvl w:val="0"/>
                <w:numId w:val="10"/>
              </w:numPr>
              <w:rPr>
                <w:rFonts w:ascii="Verdana" w:hAnsi="Verdana"/>
                <w:sz w:val="22"/>
                <w:szCs w:val="22"/>
              </w:rPr>
            </w:pPr>
            <w:r w:rsidRPr="005C434A">
              <w:rPr>
                <w:rStyle w:val="citation-543"/>
                <w:rFonts w:ascii="Verdana" w:hAnsi="Verdana"/>
                <w:sz w:val="22"/>
                <w:szCs w:val="22"/>
              </w:rPr>
              <w:t xml:space="preserve">Ley 1454 de 2011, artículo 17 </w:t>
            </w:r>
          </w:p>
          <w:p w14:paraId="2AD1C78B" w14:textId="1A283A5A" w:rsidR="005C434A" w:rsidRPr="005C434A" w:rsidRDefault="005C434A" w:rsidP="005C434A">
            <w:pPr>
              <w:pStyle w:val="NormalWeb"/>
              <w:numPr>
                <w:ilvl w:val="0"/>
                <w:numId w:val="10"/>
              </w:numPr>
              <w:rPr>
                <w:rFonts w:ascii="Verdana" w:hAnsi="Verdana"/>
                <w:sz w:val="22"/>
                <w:szCs w:val="22"/>
              </w:rPr>
            </w:pPr>
            <w:r w:rsidRPr="005C434A">
              <w:rPr>
                <w:rStyle w:val="citation-542"/>
                <w:rFonts w:ascii="Verdana" w:hAnsi="Verdana"/>
                <w:sz w:val="22"/>
                <w:szCs w:val="22"/>
              </w:rPr>
              <w:t xml:space="preserve">Ley 1474 de 2011, artículo 92 </w:t>
            </w:r>
          </w:p>
          <w:p w14:paraId="7C55C046" w14:textId="588FDBE7" w:rsidR="00871B59" w:rsidRPr="005C434A" w:rsidRDefault="005C434A" w:rsidP="005C434A">
            <w:pPr>
              <w:pStyle w:val="NormalWeb"/>
              <w:numPr>
                <w:ilvl w:val="0"/>
                <w:numId w:val="10"/>
              </w:numPr>
              <w:spacing w:after="160" w:line="259" w:lineRule="auto"/>
            </w:pPr>
            <w:r w:rsidRPr="005C434A">
              <w:rPr>
                <w:rStyle w:val="citation-541"/>
                <w:rFonts w:ascii="Verdana" w:hAnsi="Verdana"/>
                <w:sz w:val="22"/>
                <w:szCs w:val="22"/>
              </w:rPr>
              <w:t>Decreto 1082 de 2015, artículo 2.2.1.2.1.4.4</w:t>
            </w:r>
            <w:r>
              <w:rPr>
                <w:rStyle w:val="citation-541"/>
              </w:rPr>
              <w:t xml:space="preserve"> </w:t>
            </w:r>
          </w:p>
        </w:tc>
      </w:tr>
    </w:tbl>
    <w:p w14:paraId="1E18788C" w14:textId="77777777" w:rsidR="00871B59" w:rsidRPr="0017067E" w:rsidRDefault="00871B59" w:rsidP="00871B59">
      <w:pPr>
        <w:widowControl w:val="0"/>
        <w:autoSpaceDE w:val="0"/>
        <w:autoSpaceDN w:val="0"/>
        <w:spacing w:after="0" w:line="276" w:lineRule="auto"/>
        <w:jc w:val="both"/>
        <w:rPr>
          <w:rFonts w:ascii="Verdana" w:hAnsi="Verdana" w:cs="Arial"/>
        </w:rPr>
      </w:pPr>
    </w:p>
    <w:p w14:paraId="2BD55F4A"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Doctrina de la Agencia Nacional de Contratación Pública:</w:t>
      </w:r>
    </w:p>
    <w:p w14:paraId="33B5635A" w14:textId="77777777" w:rsidR="00871B59" w:rsidRDefault="00871B59" w:rsidP="00871B59">
      <w:pPr>
        <w:widowControl w:val="0"/>
        <w:autoSpaceDE w:val="0"/>
        <w:autoSpaceDN w:val="0"/>
        <w:spacing w:after="0" w:line="276" w:lineRule="auto"/>
        <w:jc w:val="both"/>
        <w:rPr>
          <w:rFonts w:ascii="Verdana" w:hAnsi="Verdana" w:cs="Arial"/>
        </w:rPr>
      </w:pPr>
    </w:p>
    <w:p w14:paraId="3200CEE9" w14:textId="7A4AA860" w:rsidR="005C434A" w:rsidRPr="00FC2F50" w:rsidRDefault="005C434A" w:rsidP="005C434A">
      <w:pPr>
        <w:widowControl w:val="0"/>
        <w:autoSpaceDE w:val="0"/>
        <w:autoSpaceDN w:val="0"/>
        <w:spacing w:after="0" w:line="276" w:lineRule="auto"/>
        <w:jc w:val="both"/>
        <w:rPr>
          <w:rFonts w:ascii="Verdana" w:hAnsi="Verdana" w:cs="Arial"/>
          <w:shd w:val="clear" w:color="auto" w:fill="FFFFFF"/>
          <w:lang w:val="es-ES"/>
        </w:rPr>
      </w:pPr>
      <w:r w:rsidRPr="00C45C5D">
        <w:rPr>
          <w:rFonts w:ascii="Verdana" w:eastAsia="Calibri" w:hAnsi="Verdana" w:cs="Arial"/>
          <w:color w:val="000000" w:themeColor="text1"/>
          <w:lang w:val="es-ES" w:eastAsia="es-ES_tradnl"/>
        </w:rPr>
        <w:t>La Agencia Nacional de Contratación Pública – Colombia Compra Eficiente, en los Conceptos 2201913000005444 del 30 de julio de 2019, 2201913000005649 del 8 de agosto de 2019, 4201912000007676 del 20 de diciembre de 2019, C-059 del 25 de febrero de 2020, C-659 del 10 de noviembre de 2020,</w:t>
      </w:r>
      <w:r w:rsidRPr="00C45C5D">
        <w:rPr>
          <w:rFonts w:ascii="Verdana" w:eastAsia="Calibri" w:hAnsi="Verdana" w:cs="Arial"/>
          <w:color w:val="000000" w:themeColor="text1"/>
          <w:lang w:val="es-MX" w:eastAsia="es-ES_tradnl"/>
        </w:rPr>
        <w:t xml:space="preserve">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w:t>
      </w:r>
      <w:r w:rsidRPr="00C45C5D">
        <w:rPr>
          <w:rFonts w:ascii="Verdana" w:eastAsia="Calibri" w:hAnsi="Verdana" w:cs="Arial"/>
          <w:color w:val="000000" w:themeColor="text1"/>
          <w:lang w:val="es-ES" w:eastAsia="es-ES_tradnl"/>
        </w:rPr>
        <w:t>, C-379 del 29 de octubre de 2023</w:t>
      </w:r>
      <w:r>
        <w:rPr>
          <w:rFonts w:ascii="Verdana" w:eastAsia="Calibri" w:hAnsi="Verdana" w:cs="Arial"/>
          <w:color w:val="000000" w:themeColor="text1"/>
          <w:lang w:val="es-ES" w:eastAsia="es-ES_tradnl"/>
        </w:rPr>
        <w:t xml:space="preserve">, </w:t>
      </w:r>
      <w:r w:rsidRPr="00C45C5D">
        <w:rPr>
          <w:rFonts w:ascii="Verdana" w:eastAsia="Calibri" w:hAnsi="Verdana" w:cs="Arial"/>
          <w:color w:val="000000" w:themeColor="text1"/>
          <w:lang w:val="es-ES" w:eastAsia="es-ES_tradnl"/>
        </w:rPr>
        <w:t>C-1044 del 11 de febrero de 2025</w:t>
      </w:r>
      <w:r>
        <w:rPr>
          <w:rFonts w:ascii="Verdana" w:eastAsia="Calibri" w:hAnsi="Verdana" w:cs="Arial"/>
          <w:color w:val="000000" w:themeColor="text1"/>
          <w:lang w:val="es-ES" w:eastAsia="es-ES_tradnl"/>
        </w:rPr>
        <w:t>, C-049</w:t>
      </w:r>
      <w:r w:rsidRPr="00C45C5D">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 xml:space="preserve">del 17 de febrero de 2025 y C – 1195 del 6 de octubre de 2025. entre otros, </w:t>
      </w:r>
      <w:r w:rsidRPr="00C45C5D">
        <w:rPr>
          <w:rFonts w:ascii="Verdana" w:eastAsia="Calibri" w:hAnsi="Verdana" w:cs="Arial"/>
          <w:color w:val="000000" w:themeColor="text1"/>
          <w:lang w:val="es-ES" w:eastAsia="es-ES_tradnl"/>
        </w:rPr>
        <w:t>se ha pronunciado sobre los esquemas asociativos de entidades territoriales</w:t>
      </w:r>
      <w:r w:rsidRPr="00C45C5D">
        <w:rPr>
          <w:rFonts w:ascii="Verdana" w:hAnsi="Verdana" w:cs="Arial"/>
          <w:shd w:val="clear" w:color="auto" w:fill="FFFFFF"/>
          <w:lang w:val="es-ES"/>
        </w:rPr>
        <w:t>.</w:t>
      </w:r>
      <w:r>
        <w:rPr>
          <w:rFonts w:ascii="Verdana" w:hAnsi="Verdana" w:cs="Arial"/>
          <w:shd w:val="clear" w:color="auto" w:fill="FFFFFF"/>
          <w:lang w:val="es-ES"/>
        </w:rPr>
        <w:t xml:space="preserve"> En torno a la celebración de convenios interadministrativos y su diferencia con los contratos interadministrativos se han expedido los siguientes conceptos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xml:space="preserve">, </w:t>
      </w:r>
      <w:r>
        <w:rPr>
          <w:rFonts w:ascii="Verdana" w:hAnsi="Verdana" w:cs="Arial"/>
          <w:shd w:val="clear" w:color="auto" w:fill="FFFFFF"/>
        </w:rPr>
        <w:lastRenderedPageBreak/>
        <w:t>C-1152 del 23 de septiembre de 2025</w:t>
      </w:r>
      <w:r>
        <w:rPr>
          <w:rFonts w:ascii="Verdana" w:hAnsi="Verdana" w:cs="Arial"/>
          <w:shd w:val="clear" w:color="auto" w:fill="FFFFFF"/>
          <w:lang w:val="es-ES"/>
        </w:rPr>
        <w:t>, entre otros.</w:t>
      </w:r>
      <w:r w:rsidRPr="00C45C5D">
        <w:rPr>
          <w:rFonts w:ascii="Verdana" w:hAnsi="Verdana" w:cs="Arial"/>
          <w:shd w:val="clear" w:color="auto" w:fill="FFFFFF"/>
          <w:lang w:val="es-ES"/>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40E97EF" w14:textId="77777777" w:rsidR="005C434A" w:rsidRPr="00392E13" w:rsidRDefault="005C434A" w:rsidP="005C434A">
      <w:pPr>
        <w:spacing w:after="0" w:line="256" w:lineRule="auto"/>
        <w:jc w:val="both"/>
        <w:rPr>
          <w:rFonts w:ascii="Verdana" w:eastAsia="Calibri" w:hAnsi="Verdana" w:cs="Times New Roman"/>
        </w:rPr>
      </w:pPr>
      <w:hyperlink r:id="rId15"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1EE79D1E" w14:textId="77777777" w:rsidR="005C434A" w:rsidRPr="009563E7" w:rsidRDefault="005C434A" w:rsidP="005C434A">
      <w:pPr>
        <w:widowControl w:val="0"/>
        <w:autoSpaceDE w:val="0"/>
        <w:autoSpaceDN w:val="0"/>
        <w:spacing w:after="0" w:line="276" w:lineRule="auto"/>
        <w:jc w:val="both"/>
        <w:rPr>
          <w:rFonts w:ascii="Verdana" w:hAnsi="Verdana"/>
        </w:rPr>
      </w:pPr>
    </w:p>
    <w:p w14:paraId="368353F4" w14:textId="77777777" w:rsidR="005C434A" w:rsidRPr="00EC0E3F" w:rsidRDefault="005C434A" w:rsidP="005C434A">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7387920" w14:textId="77777777" w:rsidR="005C434A" w:rsidRPr="009563E7" w:rsidRDefault="005C434A" w:rsidP="005C434A">
      <w:pPr>
        <w:spacing w:after="0" w:line="276" w:lineRule="auto"/>
        <w:jc w:val="both"/>
        <w:rPr>
          <w:rFonts w:ascii="Verdana" w:hAnsi="Verdana"/>
        </w:rPr>
      </w:pPr>
    </w:p>
    <w:p w14:paraId="7C8BB762" w14:textId="77777777" w:rsidR="005C434A" w:rsidRPr="009563E7" w:rsidRDefault="005C434A" w:rsidP="005C434A">
      <w:pPr>
        <w:spacing w:after="0" w:line="276" w:lineRule="auto"/>
        <w:jc w:val="both"/>
        <w:rPr>
          <w:rFonts w:ascii="Verdana" w:eastAsia="Calibri" w:hAnsi="Verdana" w:cs="Times New Roman"/>
          <w:bCs/>
          <w:lang w:val="es-ES_tradnl"/>
        </w:rPr>
      </w:pPr>
      <w:r w:rsidRPr="009563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70726FC" w14:textId="77777777" w:rsidR="005C434A" w:rsidRPr="009563E7" w:rsidRDefault="005C434A" w:rsidP="005C434A">
      <w:pPr>
        <w:spacing w:after="0" w:line="276" w:lineRule="auto"/>
        <w:jc w:val="both"/>
        <w:rPr>
          <w:rFonts w:ascii="Verdana" w:hAnsi="Verdana"/>
        </w:rPr>
      </w:pPr>
    </w:p>
    <w:p w14:paraId="086F591B" w14:textId="77777777" w:rsidR="005C434A" w:rsidRPr="00D47296" w:rsidRDefault="005C434A" w:rsidP="005C434A">
      <w:pPr>
        <w:spacing w:after="0" w:line="276" w:lineRule="auto"/>
        <w:jc w:val="both"/>
        <w:rPr>
          <w:rFonts w:ascii="Verdana" w:hAnsi="Verdana"/>
          <w:lang w:val="es-MX"/>
        </w:rPr>
      </w:pPr>
      <w:r w:rsidRPr="009563E7">
        <w:rPr>
          <w:rFonts w:ascii="Verdana" w:hAnsi="Verdana"/>
          <w:lang w:val="es-MX"/>
        </w:rPr>
        <w:t>Cordialmente,</w:t>
      </w:r>
    </w:p>
    <w:p w14:paraId="1A25AA3E" w14:textId="77777777" w:rsidR="005C434A" w:rsidRPr="0017067E" w:rsidRDefault="005C434A" w:rsidP="00871B59">
      <w:pPr>
        <w:widowControl w:val="0"/>
        <w:autoSpaceDE w:val="0"/>
        <w:autoSpaceDN w:val="0"/>
        <w:spacing w:after="0" w:line="276" w:lineRule="auto"/>
        <w:jc w:val="both"/>
        <w:rPr>
          <w:rFonts w:ascii="Verdana" w:hAnsi="Verdana" w:cs="Arial"/>
        </w:rPr>
      </w:pPr>
    </w:p>
    <w:p w14:paraId="2F2B2D8F" w14:textId="0CE8753B" w:rsidR="00871B59" w:rsidRPr="0017067E" w:rsidRDefault="00CE6A7D" w:rsidP="00871B5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4CE5FF79" wp14:editId="2E8690C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154A107F" w14:textId="77777777" w:rsidR="00871B59" w:rsidRPr="0017067E" w:rsidRDefault="00871B59" w:rsidP="00871B59">
      <w:pPr>
        <w:spacing w:after="0" w:line="240"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B22AE8" w:rsidRPr="00F3272B" w14:paraId="6E64C01E" w14:textId="77777777" w:rsidTr="00B66D77">
        <w:trPr>
          <w:trHeight w:val="315"/>
        </w:trPr>
        <w:tc>
          <w:tcPr>
            <w:tcW w:w="893" w:type="dxa"/>
            <w:vAlign w:val="center"/>
            <w:hideMark/>
          </w:tcPr>
          <w:p w14:paraId="39F40472"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15B4FEB" w14:textId="77777777" w:rsidR="00B22AE8" w:rsidRPr="00F3272B" w:rsidRDefault="00B22AE8" w:rsidP="00B66D77">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0715E7A8" w14:textId="77777777" w:rsidR="00B22AE8" w:rsidRPr="00F3272B" w:rsidRDefault="00B22AE8" w:rsidP="00B66D77">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B22AE8" w:rsidRPr="00F3272B" w14:paraId="403FE1BE" w14:textId="77777777" w:rsidTr="00B66D77">
        <w:trPr>
          <w:trHeight w:val="330"/>
        </w:trPr>
        <w:tc>
          <w:tcPr>
            <w:tcW w:w="893" w:type="dxa"/>
            <w:vAlign w:val="center"/>
            <w:hideMark/>
          </w:tcPr>
          <w:p w14:paraId="2A2B1F8F"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667090" w14:textId="77777777" w:rsidR="00B22AE8" w:rsidRPr="00F3272B" w:rsidRDefault="00B22AE8"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1BF92652" w14:textId="77777777" w:rsidR="00B22AE8" w:rsidRPr="00F3272B" w:rsidRDefault="00B22AE8" w:rsidP="00B66D77">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B22AE8" w:rsidRPr="00F3272B" w14:paraId="6E30DFC8" w14:textId="77777777" w:rsidTr="00B66D77">
        <w:trPr>
          <w:trHeight w:val="300"/>
        </w:trPr>
        <w:tc>
          <w:tcPr>
            <w:tcW w:w="893" w:type="dxa"/>
            <w:vAlign w:val="center"/>
          </w:tcPr>
          <w:p w14:paraId="6DC41A93"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3C7077" w14:textId="77777777" w:rsidR="00B22AE8" w:rsidRPr="00F3272B" w:rsidRDefault="00B22AE8"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04B350D6" w14:textId="77777777" w:rsidR="00B22AE8" w:rsidRPr="00F3272B" w:rsidRDefault="00B22AE8"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55679E91" w14:textId="77777777" w:rsidR="5D8505AD" w:rsidRPr="0017067E" w:rsidRDefault="5D8505AD" w:rsidP="00871B59">
      <w:pPr>
        <w:rPr>
          <w:rFonts w:ascii="Verdana" w:hAnsi="Verdana"/>
        </w:rPr>
      </w:pPr>
    </w:p>
    <w:sectPr w:rsidR="5D8505AD" w:rsidRPr="0017067E"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04998" w14:textId="77777777" w:rsidR="005D2765" w:rsidRDefault="005D2765" w:rsidP="00B30448">
      <w:pPr>
        <w:spacing w:after="0" w:line="240" w:lineRule="auto"/>
      </w:pPr>
      <w:r>
        <w:separator/>
      </w:r>
    </w:p>
  </w:endnote>
  <w:endnote w:type="continuationSeparator" w:id="0">
    <w:p w14:paraId="57787BAF" w14:textId="77777777" w:rsidR="005D2765" w:rsidRDefault="005D2765" w:rsidP="00B30448">
      <w:pPr>
        <w:spacing w:after="0" w:line="240" w:lineRule="auto"/>
      </w:pPr>
      <w:r>
        <w:continuationSeparator/>
      </w:r>
    </w:p>
  </w:endnote>
  <w:endnote w:type="continuationNotice" w:id="1">
    <w:p w14:paraId="2DB88974" w14:textId="77777777" w:rsidR="005D2765" w:rsidRDefault="005D27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eiss">
    <w:charset w:val="00"/>
    <w:family w:val="roman"/>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7519C" w14:textId="77777777" w:rsidR="000849D5" w:rsidRDefault="000849D5" w:rsidP="000849D5">
    <w:pPr>
      <w:spacing w:after="0"/>
      <w:rPr>
        <w:rFonts w:ascii="Verdana" w:hAnsi="Verdana"/>
        <w:b/>
        <w:bCs/>
        <w:sz w:val="20"/>
        <w:szCs w:val="20"/>
      </w:rPr>
    </w:pPr>
  </w:p>
  <w:p w14:paraId="2332C556"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DC92AD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97E4A15"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5CECF3C0"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094FEAB7" w14:textId="77777777" w:rsidR="000849D5" w:rsidRPr="007D04B2" w:rsidRDefault="000849D5" w:rsidP="000849D5">
    <w:pPr>
      <w:pStyle w:val="Piedepgina"/>
    </w:pPr>
  </w:p>
  <w:p w14:paraId="59EC196A"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66062" w14:textId="77777777" w:rsidR="005D2765" w:rsidRDefault="005D2765" w:rsidP="00B30448">
      <w:pPr>
        <w:spacing w:after="0" w:line="240" w:lineRule="auto"/>
      </w:pPr>
      <w:r>
        <w:separator/>
      </w:r>
    </w:p>
  </w:footnote>
  <w:footnote w:type="continuationSeparator" w:id="0">
    <w:p w14:paraId="4EFDD932" w14:textId="77777777" w:rsidR="005D2765" w:rsidRDefault="005D2765" w:rsidP="00B30448">
      <w:pPr>
        <w:spacing w:after="0" w:line="240" w:lineRule="auto"/>
      </w:pPr>
      <w:r>
        <w:continuationSeparator/>
      </w:r>
    </w:p>
  </w:footnote>
  <w:footnote w:type="continuationNotice" w:id="1">
    <w:p w14:paraId="4A89E21B" w14:textId="77777777" w:rsidR="005D2765" w:rsidRDefault="005D2765">
      <w:pPr>
        <w:spacing w:after="0" w:line="240" w:lineRule="auto"/>
      </w:pPr>
    </w:p>
  </w:footnote>
  <w:footnote w:id="2">
    <w:p w14:paraId="69563815" w14:textId="77777777" w:rsidR="00A6205A" w:rsidRPr="00B91C08" w:rsidRDefault="00A6205A" w:rsidP="00A6205A">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3">
    <w:p w14:paraId="2BB26362" w14:textId="77777777" w:rsidR="00A6205A" w:rsidRPr="00B91C08" w:rsidRDefault="00A6205A" w:rsidP="00A6205A">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vertAlign w:val="superscript"/>
        </w:rPr>
        <w:t xml:space="preserve"> </w:t>
      </w:r>
      <w:r w:rsidRPr="00B91C08">
        <w:rPr>
          <w:rFonts w:ascii="Verdana" w:hAnsi="Verdana" w:cs="Arial"/>
          <w:sz w:val="16"/>
          <w:szCs w:val="16"/>
        </w:rPr>
        <w:t>DÁVILA VINUEZA. Luis Guillermo. Régimen jurídico de la contratación estatal. 3ª ed. Bogotá: Temis, 2016. p. 494</w:t>
      </w:r>
    </w:p>
  </w:footnote>
  <w:footnote w:id="4">
    <w:p w14:paraId="759B7F2A" w14:textId="77777777" w:rsidR="00A6205A" w:rsidRPr="00B91C08" w:rsidRDefault="00A6205A" w:rsidP="00A6205A">
      <w:pPr>
        <w:spacing w:after="0" w:line="240" w:lineRule="auto"/>
        <w:ind w:firstLine="709"/>
        <w:contextualSpacing/>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91C08">
        <w:rPr>
          <w:rFonts w:ascii="Verdana" w:hAnsi="Verdana" w:cs="Arial"/>
          <w:spacing w:val="-6"/>
          <w:sz w:val="16"/>
          <w:szCs w:val="16"/>
        </w:rPr>
        <w:t xml:space="preserve"> </w:t>
      </w:r>
      <w:r w:rsidRPr="00B91C08">
        <w:rPr>
          <w:rFonts w:ascii="Verdana" w:hAnsi="Verdana" w:cs="Arial"/>
          <w:sz w:val="16"/>
          <w:szCs w:val="16"/>
        </w:rPr>
        <w:t>artículo”.</w:t>
      </w:r>
    </w:p>
  </w:footnote>
  <w:footnote w:id="5">
    <w:p w14:paraId="696A62EB" w14:textId="77777777" w:rsidR="00A6205A" w:rsidRPr="00161BD7" w:rsidRDefault="00A6205A" w:rsidP="00A6205A">
      <w:pPr>
        <w:pStyle w:val="Textonotapie"/>
        <w:ind w:firstLine="708"/>
        <w:rPr>
          <w:rFonts w:ascii="Verdana" w:hAnsi="Verdana"/>
          <w:sz w:val="16"/>
          <w:szCs w:val="16"/>
        </w:rPr>
      </w:pPr>
      <w:r w:rsidRPr="00161BD7">
        <w:rPr>
          <w:rStyle w:val="Refdenotaalpie"/>
          <w:rFonts w:ascii="Verdana" w:hAnsi="Verdana"/>
          <w:sz w:val="16"/>
          <w:szCs w:val="16"/>
        </w:rPr>
        <w:footnoteRef/>
      </w:r>
      <w:r w:rsidRPr="00161BD7">
        <w:rPr>
          <w:rFonts w:ascii="Verdana" w:hAnsi="Verdana"/>
          <w:sz w:val="16"/>
          <w:szCs w:val="16"/>
          <w:lang w:val="pt-BR"/>
        </w:rPr>
        <w:t xml:space="preserve"> Corte Constitucional. Sentencia C-671 de 2005. </w:t>
      </w:r>
      <w:r w:rsidRPr="00161BD7">
        <w:rPr>
          <w:rFonts w:ascii="Verdana" w:hAnsi="Verdana"/>
          <w:sz w:val="16"/>
          <w:szCs w:val="16"/>
        </w:rPr>
        <w:t xml:space="preserve">M.P. Álvaro Tafur Galvis. </w:t>
      </w:r>
    </w:p>
  </w:footnote>
  <w:footnote w:id="6">
    <w:p w14:paraId="3161CA88" w14:textId="77777777" w:rsidR="00A6205A" w:rsidRPr="00B91C08" w:rsidRDefault="00A6205A" w:rsidP="00A6205A">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e Estado</w:t>
      </w:r>
      <w:r>
        <w:rPr>
          <w:rFonts w:ascii="Verdana" w:hAnsi="Verdana"/>
          <w:sz w:val="16"/>
          <w:szCs w:val="16"/>
          <w:lang w:val="es-CO"/>
        </w:rPr>
        <w:t>.</w:t>
      </w:r>
      <w:r w:rsidRPr="00B91C08">
        <w:rPr>
          <w:rFonts w:ascii="Verdana" w:hAnsi="Verdana"/>
          <w:sz w:val="16"/>
          <w:szCs w:val="16"/>
          <w:lang w:val="es-CO"/>
        </w:rPr>
        <w:t xml:space="preserve">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B91C08">
        <w:rPr>
          <w:rFonts w:ascii="Verdana" w:hAnsi="Verdana"/>
          <w:bCs/>
          <w:sz w:val="16"/>
          <w:szCs w:val="16"/>
        </w:rPr>
        <w:t xml:space="preserve">70313. </w:t>
      </w:r>
    </w:p>
  </w:footnote>
  <w:footnote w:id="7">
    <w:p w14:paraId="0FA3923C" w14:textId="77777777" w:rsidR="00A6205A" w:rsidRPr="00B91C08" w:rsidRDefault="00A6205A" w:rsidP="00A6205A">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B91C08">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8">
    <w:p w14:paraId="112DBE93" w14:textId="77777777" w:rsidR="00A6205A" w:rsidRPr="00B91C08" w:rsidRDefault="00A6205A" w:rsidP="00A6205A">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rPr>
        <w:t>Consejo d</w:t>
      </w:r>
      <w:r w:rsidRPr="00B91C08">
        <w:rPr>
          <w:rFonts w:ascii="Verdana" w:hAnsi="Verdana"/>
          <w:sz w:val="16"/>
          <w:szCs w:val="16"/>
        </w:rPr>
        <w:t>e Estado. Sección Tercera, Subsección A. Sentencia del 25 de mayo de 2025. C.P. María Adriana Marín Hernández. Exp. 70.504; Sección Tercera, Subsección A. Sentencia del 16 de agosto de 2022, C.P.: María Adriana Marín. Exp. 60434.</w:t>
      </w:r>
    </w:p>
  </w:footnote>
  <w:footnote w:id="9">
    <w:p w14:paraId="22F4B86A" w14:textId="77777777" w:rsidR="00A6205A" w:rsidRPr="00B91C08" w:rsidRDefault="00A6205A" w:rsidP="00A6205A">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 xml:space="preserve">e Estado. Sección Tercera, Subsección A. Sentencia del 14 de junio de 2019, C.P.: Marta Nubia Velásquez Rico. Rad.: 25000-23-37-000-2010-02552-01 (AP); Sección Tercera, Subsección A. Sentencia del 25 de mayo de 2025. C.P. María Adriana Marín Hernández. Exp. 70.504. </w:t>
      </w:r>
    </w:p>
  </w:footnote>
  <w:footnote w:id="10">
    <w:p w14:paraId="21537807" w14:textId="77777777" w:rsidR="00A6205A" w:rsidRPr="00B91C08" w:rsidRDefault="00A6205A" w:rsidP="00A6205A">
      <w:pPr>
        <w:spacing w:after="0" w:line="240" w:lineRule="auto"/>
        <w:ind w:firstLine="720"/>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11">
    <w:p w14:paraId="1A305CE4"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136 de 1994: </w:t>
      </w:r>
      <w:r w:rsidRPr="00B91C08">
        <w:rPr>
          <w:rFonts w:ascii="Verdana" w:hAnsi="Verdana" w:cs="Arial"/>
          <w:color w:val="000000"/>
          <w:sz w:val="16"/>
          <w:szCs w:val="16"/>
        </w:rPr>
        <w:t>“Artículo 150. Conformación y funcionamiento. Las asociaciones para su conformación y funcionamiento se sujetarán a las siguientes reglas:</w:t>
      </w:r>
    </w:p>
    <w:p w14:paraId="4C686115"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 xml:space="preserve">1. Toda asociación de municipios será siempre voluntaria. </w:t>
      </w:r>
      <w:r w:rsidRPr="00B91C08">
        <w:rPr>
          <w:rFonts w:ascii="Verdana" w:hAnsi="Verdana" w:cs="Arial"/>
          <w:i/>
          <w:iCs/>
          <w:color w:val="000000"/>
          <w:sz w:val="16"/>
          <w:szCs w:val="16"/>
        </w:rPr>
        <w:t>Se conformará mediante convenio</w:t>
      </w:r>
      <w:r w:rsidRPr="00B91C08">
        <w:rPr>
          <w:rFonts w:ascii="Verdana" w:hAnsi="Verdana" w:cs="Arial"/>
          <w:color w:val="000000"/>
          <w:sz w:val="16"/>
          <w:szCs w:val="16"/>
        </w:rPr>
        <w:t xml:space="preserve"> suscrito por sus alcaldes, previa autorización de los respectivos concejos” (Cursiva fuera de texto).</w:t>
      </w:r>
    </w:p>
  </w:footnote>
  <w:footnote w:id="12">
    <w:p w14:paraId="5B613CB1"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position w:val="6"/>
          <w:sz w:val="16"/>
          <w:szCs w:val="16"/>
        </w:rPr>
        <w:t xml:space="preserve"> </w:t>
      </w:r>
      <w:r w:rsidRPr="00B91C08">
        <w:rPr>
          <w:rFonts w:ascii="Verdana" w:hAnsi="Verdana" w:cs="Arial"/>
          <w:color w:val="000000"/>
          <w:sz w:val="16"/>
          <w:szCs w:val="16"/>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B91C08">
        <w:rPr>
          <w:rFonts w:ascii="Verdana" w:hAnsi="Verdana" w:cs="Arial"/>
          <w:i/>
          <w:iCs/>
          <w:color w:val="000000"/>
          <w:sz w:val="16"/>
          <w:szCs w:val="16"/>
        </w:rPr>
        <w:t>mediante convenio o contrato-plan</w:t>
      </w:r>
      <w:r w:rsidRPr="00B91C08">
        <w:rPr>
          <w:rFonts w:ascii="Verdana" w:hAnsi="Verdana" w:cs="Arial"/>
          <w:color w:val="000000"/>
          <w:sz w:val="16"/>
          <w:szCs w:val="16"/>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13">
    <w:p w14:paraId="3C6238E1"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w:t>
      </w:r>
      <w:r w:rsidRPr="00B91C08">
        <w:rPr>
          <w:rFonts w:ascii="Verdana" w:hAnsi="Verdana" w:cs="Arial"/>
          <w:color w:val="000000"/>
          <w:spacing w:val="-4"/>
          <w:sz w:val="16"/>
          <w:szCs w:val="16"/>
        </w:rPr>
        <w:t xml:space="preserve"> </w:t>
      </w:r>
      <w:r w:rsidRPr="00B91C08">
        <w:rPr>
          <w:rFonts w:ascii="Verdana" w:hAnsi="Verdana" w:cs="Arial"/>
          <w:color w:val="000000"/>
          <w:sz w:val="16"/>
          <w:szCs w:val="16"/>
        </w:rPr>
        <w:t>lucro.</w:t>
      </w:r>
    </w:p>
    <w:p w14:paraId="1F2CDCC4"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14">
    <w:p w14:paraId="7391D7BD"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B91C08">
        <w:rPr>
          <w:rFonts w:ascii="Verdana" w:hAnsi="Verdana" w:cs="Arial"/>
          <w:color w:val="000000"/>
          <w:spacing w:val="-5"/>
          <w:sz w:val="16"/>
          <w:szCs w:val="16"/>
        </w:rPr>
        <w:t xml:space="preserve"> </w:t>
      </w:r>
      <w:r w:rsidRPr="00B91C08">
        <w:rPr>
          <w:rFonts w:ascii="Verdana" w:hAnsi="Verdana" w:cs="Arial"/>
          <w:color w:val="000000"/>
          <w:sz w:val="16"/>
          <w:szCs w:val="16"/>
        </w:rPr>
        <w:t>entidades”.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B3F31"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13449646" wp14:editId="4945B2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11E3857D" wp14:editId="6084D79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5D43649" w14:textId="77777777" w:rsidR="00515FB5" w:rsidRDefault="00515FB5" w:rsidP="00515FB5">
    <w:pPr>
      <w:pStyle w:val="Encabezado"/>
    </w:pPr>
  </w:p>
  <w:p w14:paraId="59334F2E" w14:textId="77777777" w:rsidR="00515FB5" w:rsidRDefault="00515FB5" w:rsidP="00515FB5">
    <w:pPr>
      <w:pStyle w:val="Encabezado"/>
    </w:pPr>
  </w:p>
  <w:p w14:paraId="20718E8D" w14:textId="77777777" w:rsidR="00515FB5" w:rsidRDefault="00515FB5" w:rsidP="00515FB5">
    <w:pPr>
      <w:pStyle w:val="Encabezado"/>
    </w:pPr>
  </w:p>
  <w:p w14:paraId="3F766DD9" w14:textId="77777777" w:rsidR="00515FB5" w:rsidRPr="00AB7B56" w:rsidRDefault="00515FB5" w:rsidP="00515FB5">
    <w:pPr>
      <w:pStyle w:val="Encabezado"/>
    </w:pPr>
  </w:p>
  <w:p w14:paraId="3D60E145"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69522B7"/>
    <w:multiLevelType w:val="hybridMultilevel"/>
    <w:tmpl w:val="F2BA69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6044C1A"/>
    <w:multiLevelType w:val="hybridMultilevel"/>
    <w:tmpl w:val="1BC4AA5A"/>
    <w:lvl w:ilvl="0" w:tplc="56F69630">
      <w:numFmt w:val="bullet"/>
      <w:lvlText w:val=""/>
      <w:lvlJc w:val="left"/>
      <w:pPr>
        <w:ind w:left="720" w:hanging="360"/>
      </w:pPr>
      <w:rPr>
        <w:rFonts w:ascii="Symbol" w:eastAsiaTheme="minorHAnsi" w:hAnsi="Symbol" w:cs="Times New Roman"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4"/>
  </w:num>
  <w:num w:numId="8" w16cid:durableId="679089576">
    <w:abstractNumId w:val="7"/>
  </w:num>
  <w:num w:numId="9" w16cid:durableId="1037705014">
    <w:abstractNumId w:val="10"/>
  </w:num>
  <w:num w:numId="10" w16cid:durableId="957176335">
    <w:abstractNumId w:val="6"/>
  </w:num>
  <w:num w:numId="11" w16cid:durableId="20069299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05A"/>
    <w:rsid w:val="00001154"/>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067E"/>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1466"/>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81594"/>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B3C97"/>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C434A"/>
    <w:rsid w:val="005D23F6"/>
    <w:rsid w:val="005D2765"/>
    <w:rsid w:val="005D2FA8"/>
    <w:rsid w:val="005E2281"/>
    <w:rsid w:val="005E667C"/>
    <w:rsid w:val="005F077C"/>
    <w:rsid w:val="005F63D0"/>
    <w:rsid w:val="005F7973"/>
    <w:rsid w:val="0061029B"/>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3E15"/>
    <w:rsid w:val="006C4BAC"/>
    <w:rsid w:val="006C52F3"/>
    <w:rsid w:val="006D2B3C"/>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7D79"/>
    <w:rsid w:val="00811AD6"/>
    <w:rsid w:val="00813634"/>
    <w:rsid w:val="00822821"/>
    <w:rsid w:val="00831C29"/>
    <w:rsid w:val="008431EF"/>
    <w:rsid w:val="008468E0"/>
    <w:rsid w:val="008526E9"/>
    <w:rsid w:val="00862B3A"/>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6205A"/>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AE37A4"/>
    <w:rsid w:val="00B02FE0"/>
    <w:rsid w:val="00B057B6"/>
    <w:rsid w:val="00B22AE8"/>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260C"/>
    <w:rsid w:val="00BE73FA"/>
    <w:rsid w:val="00BE7505"/>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A7D"/>
    <w:rsid w:val="00CE6BDA"/>
    <w:rsid w:val="00CF40EB"/>
    <w:rsid w:val="00D03DBE"/>
    <w:rsid w:val="00D072C0"/>
    <w:rsid w:val="00D34C82"/>
    <w:rsid w:val="00D3757A"/>
    <w:rsid w:val="00D504A9"/>
    <w:rsid w:val="00D5206D"/>
    <w:rsid w:val="00D7177D"/>
    <w:rsid w:val="00D81311"/>
    <w:rsid w:val="00D94B13"/>
    <w:rsid w:val="00DB201E"/>
    <w:rsid w:val="00DC0E68"/>
    <w:rsid w:val="00DD25ED"/>
    <w:rsid w:val="00DE0D6E"/>
    <w:rsid w:val="00DF6FA2"/>
    <w:rsid w:val="00E1610C"/>
    <w:rsid w:val="00E16D73"/>
    <w:rsid w:val="00E23E9E"/>
    <w:rsid w:val="00E25722"/>
    <w:rsid w:val="00E27F0A"/>
    <w:rsid w:val="00E4231E"/>
    <w:rsid w:val="00E4302C"/>
    <w:rsid w:val="00E44AC7"/>
    <w:rsid w:val="00E45F4B"/>
    <w:rsid w:val="00E60A16"/>
    <w:rsid w:val="00E72D20"/>
    <w:rsid w:val="00E74CA1"/>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212C"/>
    <w:rsid w:val="00F53BE2"/>
    <w:rsid w:val="00F55684"/>
    <w:rsid w:val="00F64D5A"/>
    <w:rsid w:val="00F709CD"/>
    <w:rsid w:val="00F8118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455E3"/>
  <w15:docId w15:val="{598CD358-A4E0-4446-BACE-B4EEBF500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526">
    <w:name w:val="citation-526"/>
    <w:basedOn w:val="Fuentedeprrafopredeter"/>
    <w:rsid w:val="0017067E"/>
  </w:style>
  <w:style w:type="character" w:customStyle="1" w:styleId="citation-525">
    <w:name w:val="citation-525"/>
    <w:basedOn w:val="Fuentedeprrafopredeter"/>
    <w:rsid w:val="0017067E"/>
  </w:style>
  <w:style w:type="character" w:customStyle="1" w:styleId="citation-524">
    <w:name w:val="citation-524"/>
    <w:basedOn w:val="Fuentedeprrafopredeter"/>
    <w:rsid w:val="0017067E"/>
  </w:style>
  <w:style w:type="character" w:customStyle="1" w:styleId="citation-523">
    <w:name w:val="citation-523"/>
    <w:basedOn w:val="Fuentedeprrafopredeter"/>
    <w:rsid w:val="0017067E"/>
  </w:style>
  <w:style w:type="character" w:customStyle="1" w:styleId="citation-522">
    <w:name w:val="citation-522"/>
    <w:basedOn w:val="Fuentedeprrafopredeter"/>
    <w:rsid w:val="0017067E"/>
  </w:style>
  <w:style w:type="character" w:customStyle="1" w:styleId="citation-521">
    <w:name w:val="citation-521"/>
    <w:basedOn w:val="Fuentedeprrafopredeter"/>
    <w:rsid w:val="0017067E"/>
  </w:style>
  <w:style w:type="character" w:customStyle="1" w:styleId="citation-520">
    <w:name w:val="citation-520"/>
    <w:basedOn w:val="Fuentedeprrafopredeter"/>
    <w:rsid w:val="0017067E"/>
  </w:style>
  <w:style w:type="character" w:customStyle="1" w:styleId="citation-519">
    <w:name w:val="citation-519"/>
    <w:basedOn w:val="Fuentedeprrafopredeter"/>
    <w:rsid w:val="0017067E"/>
  </w:style>
  <w:style w:type="character" w:customStyle="1" w:styleId="citation-547">
    <w:name w:val="citation-547"/>
    <w:basedOn w:val="Fuentedeprrafopredeter"/>
    <w:rsid w:val="005C434A"/>
  </w:style>
  <w:style w:type="character" w:customStyle="1" w:styleId="citation-546">
    <w:name w:val="citation-546"/>
    <w:basedOn w:val="Fuentedeprrafopredeter"/>
    <w:rsid w:val="005C434A"/>
  </w:style>
  <w:style w:type="character" w:customStyle="1" w:styleId="citation-545">
    <w:name w:val="citation-545"/>
    <w:basedOn w:val="Fuentedeprrafopredeter"/>
    <w:rsid w:val="005C434A"/>
  </w:style>
  <w:style w:type="character" w:customStyle="1" w:styleId="citation-544">
    <w:name w:val="citation-544"/>
    <w:basedOn w:val="Fuentedeprrafopredeter"/>
    <w:rsid w:val="005C434A"/>
  </w:style>
  <w:style w:type="character" w:customStyle="1" w:styleId="citation-543">
    <w:name w:val="citation-543"/>
    <w:basedOn w:val="Fuentedeprrafopredeter"/>
    <w:rsid w:val="005C434A"/>
  </w:style>
  <w:style w:type="character" w:customStyle="1" w:styleId="citation-542">
    <w:name w:val="citation-542"/>
    <w:basedOn w:val="Fuentedeprrafopredeter"/>
    <w:rsid w:val="005C434A"/>
  </w:style>
  <w:style w:type="character" w:customStyle="1" w:styleId="citation-541">
    <w:name w:val="citation-541"/>
    <w:basedOn w:val="Fuentedeprrafopredeter"/>
    <w:rsid w:val="005C434A"/>
  </w:style>
  <w:style w:type="character" w:customStyle="1" w:styleId="citation-192">
    <w:name w:val="citation-192"/>
    <w:basedOn w:val="Fuentedeprrafopredeter"/>
    <w:rsid w:val="00CE6A7D"/>
  </w:style>
  <w:style w:type="character" w:customStyle="1" w:styleId="citation-191">
    <w:name w:val="citation-191"/>
    <w:basedOn w:val="Fuentedeprrafopredeter"/>
    <w:rsid w:val="00CE6A7D"/>
  </w:style>
  <w:style w:type="character" w:customStyle="1" w:styleId="citation-190">
    <w:name w:val="citation-190"/>
    <w:basedOn w:val="Fuentedeprrafopredeter"/>
    <w:rsid w:val="00CE6A7D"/>
  </w:style>
  <w:style w:type="character" w:customStyle="1" w:styleId="citation-189">
    <w:name w:val="citation-189"/>
    <w:basedOn w:val="Fuentedeprrafopredeter"/>
    <w:rsid w:val="00CE6A7D"/>
  </w:style>
  <w:style w:type="character" w:customStyle="1" w:styleId="citation-188">
    <w:name w:val="citation-188"/>
    <w:basedOn w:val="Fuentedeprrafopredeter"/>
    <w:rsid w:val="00CE6A7D"/>
  </w:style>
  <w:style w:type="character" w:customStyle="1" w:styleId="citation-187">
    <w:name w:val="citation-187"/>
    <w:basedOn w:val="Fuentedeprrafopredeter"/>
    <w:rsid w:val="00CE6A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489_1998_pr002.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lesi0203@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colombiacompra.gov.co/normativa-y-relatoria/conoce-la-relatori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E7F4F28F-9D86-4900-80E3-EBA23679A5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19</Pages>
  <Words>5277</Words>
  <Characters>29450</Characters>
  <Application>Microsoft Office Word</Application>
  <DocSecurity>0</DocSecurity>
  <Lines>589</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Andreina Cerpa Muñoz</cp:lastModifiedBy>
  <cp:revision>4</cp:revision>
  <dcterms:created xsi:type="dcterms:W3CDTF">2026-03-04T00:59:00Z</dcterms:created>
  <dcterms:modified xsi:type="dcterms:W3CDTF">2026-03-06T16:46:00Z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