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93190" w14:textId="77777777" w:rsidR="00CE6A7D" w:rsidRPr="00CE6A7D" w:rsidRDefault="00CE6A7D" w:rsidP="00CE6A7D">
      <w:pPr>
        <w:spacing w:before="100" w:beforeAutospacing="1" w:after="100" w:afterAutospacing="1" w:line="240" w:lineRule="auto"/>
        <w:jc w:val="both"/>
        <w:rPr>
          <w:rFonts w:ascii="Verdana" w:eastAsia="Times New Roman" w:hAnsi="Verdana" w:cs="Times New Roman"/>
          <w:b/>
          <w:bCs/>
          <w:lang w:eastAsia="es-MX"/>
        </w:rPr>
      </w:pPr>
      <w:r w:rsidRPr="00CE6A7D">
        <w:rPr>
          <w:rFonts w:ascii="Verdana" w:eastAsia="Times New Roman" w:hAnsi="Verdana" w:cs="Times New Roman"/>
          <w:b/>
          <w:bCs/>
          <w:lang w:eastAsia="es-MX"/>
        </w:rPr>
        <w:t>CONTRATO INTERADMINISTRATIVO VS. CONVENIO INTERADMINISTRATIVO</w:t>
      </w:r>
    </w:p>
    <w:p w14:paraId="5C4224D8" w14:textId="4AB3776B" w:rsidR="00CE6A7D" w:rsidRPr="00CE6A7D" w:rsidRDefault="00CE6A7D" w:rsidP="00CE6A7D">
      <w:pPr>
        <w:spacing w:before="100" w:beforeAutospacing="1" w:after="100" w:afterAutospacing="1" w:line="240" w:lineRule="auto"/>
        <w:jc w:val="both"/>
        <w:rPr>
          <w:rFonts w:ascii="Verdana" w:eastAsia="Times New Roman" w:hAnsi="Verdana" w:cs="Times New Roman"/>
          <w:lang w:eastAsia="es-MX"/>
        </w:rPr>
      </w:pPr>
      <w:r w:rsidRPr="00CE6A7D">
        <w:rPr>
          <w:rFonts w:ascii="Verdana" w:eastAsia="Times New Roman" w:hAnsi="Verdana" w:cs="Times New Roman"/>
          <w:lang w:eastAsia="es-MX"/>
        </w:rPr>
        <w:t xml:space="preserve"> La jurisprudencia y la doctrina distinguen entre estas dos figuras. El contrato interadministrativo es un negocio jurídico con obligaciones patrimoniales, oneroso, y donde las partes tienen intereses disímiles (un contratante y un contratista que actúa de forma similar a un particular). En cambio, el convenio interadministrativo no tiene un interés puramente económico (sin pago de precio o ganancia), sino que su objeto es la cooperación y coordinación para el cumplimiento de fines comunes, donde las partes tienen intereses convergentes y actúan en igualdad.</w:t>
      </w:r>
    </w:p>
    <w:p w14:paraId="0D09DBCD" w14:textId="77777777" w:rsidR="00CE6A7D" w:rsidRPr="00CE6A7D" w:rsidRDefault="00CE6A7D" w:rsidP="00CE6A7D">
      <w:pPr>
        <w:spacing w:before="100" w:beforeAutospacing="1" w:after="100" w:afterAutospacing="1" w:line="240" w:lineRule="auto"/>
        <w:jc w:val="both"/>
        <w:rPr>
          <w:rFonts w:ascii="Verdana" w:eastAsia="Times New Roman" w:hAnsi="Verdana" w:cs="Times New Roman"/>
          <w:b/>
          <w:bCs/>
          <w:lang w:eastAsia="es-MX"/>
        </w:rPr>
      </w:pPr>
      <w:r w:rsidRPr="00CE6A7D">
        <w:rPr>
          <w:rFonts w:ascii="Verdana" w:eastAsia="Times New Roman" w:hAnsi="Verdana" w:cs="Times New Roman"/>
          <w:b/>
          <w:bCs/>
          <w:lang w:eastAsia="es-MX"/>
        </w:rPr>
        <w:t xml:space="preserve">PROHIBICIÓN GENERAL DE CONTRATACIÓN DIRECTA CON ASOCIACIONES </w:t>
      </w:r>
    </w:p>
    <w:p w14:paraId="708C6329" w14:textId="2FEF5E85" w:rsidR="00CE6A7D" w:rsidRPr="00CE6A7D" w:rsidRDefault="00CE6A7D" w:rsidP="00CE6A7D">
      <w:pPr>
        <w:spacing w:before="100" w:beforeAutospacing="1" w:after="100" w:afterAutospacing="1" w:line="240" w:lineRule="auto"/>
        <w:jc w:val="both"/>
        <w:rPr>
          <w:rFonts w:ascii="Verdana" w:eastAsia="Times New Roman" w:hAnsi="Verdana" w:cs="Times New Roman"/>
          <w:lang w:eastAsia="es-MX"/>
        </w:rPr>
      </w:pPr>
      <w:r w:rsidRPr="00CE6A7D">
        <w:rPr>
          <w:rFonts w:ascii="Verdana" w:eastAsia="Times New Roman" w:hAnsi="Verdana" w:cs="Times New Roman"/>
          <w:lang w:eastAsia="es-MX"/>
        </w:rPr>
        <w:t>La normativa que permitía a las asociaciones de entidades territoriales celebrar contratos interadministrativos de forma directa (Parágrafo 1 del Art. 2 de la Ley 80 de 1993) fue expresamente derogada por el Art. 32 de la Ley 1150 de 2007. Adicionalmente, el Art. 10 de la Ley 1150 de 2007 establece que las asociaciones de entidades territoriales que celebren contratos con el Estado deben someterse a los procesos de selección (licitación, etc.) y participar en igualdad de condiciones con los particulares .</w:t>
      </w:r>
    </w:p>
    <w:p w14:paraId="55E8BB11" w14:textId="77777777" w:rsidR="00CE6A7D" w:rsidRPr="00CE6A7D" w:rsidRDefault="00CE6A7D" w:rsidP="00CE6A7D">
      <w:pPr>
        <w:spacing w:before="100" w:beforeAutospacing="1" w:after="100" w:afterAutospacing="1" w:line="240" w:lineRule="auto"/>
        <w:jc w:val="both"/>
        <w:rPr>
          <w:rFonts w:ascii="Verdana" w:eastAsia="Times New Roman" w:hAnsi="Verdana" w:cs="Times New Roman"/>
          <w:b/>
          <w:bCs/>
          <w:lang w:eastAsia="es-MX"/>
        </w:rPr>
      </w:pPr>
      <w:r w:rsidRPr="00CE6A7D">
        <w:rPr>
          <w:rFonts w:ascii="Verdana" w:eastAsia="Times New Roman" w:hAnsi="Verdana" w:cs="Times New Roman"/>
          <w:b/>
          <w:bCs/>
          <w:lang w:eastAsia="es-MX"/>
        </w:rPr>
        <w:t>PROHIBICIÓN ESPECÍFICA (ART. 92 LEY 1474 DE 2011) Y EXCEPCIÓN DEL CONVENIO</w:t>
      </w:r>
    </w:p>
    <w:p w14:paraId="54C4FCED" w14:textId="4E4205E3" w:rsidR="00CE6A7D" w:rsidRPr="00CE6A7D" w:rsidRDefault="00CE6A7D" w:rsidP="00CE6A7D">
      <w:pPr>
        <w:spacing w:before="100" w:beforeAutospacing="1" w:after="100" w:afterAutospacing="1" w:line="240" w:lineRule="auto"/>
        <w:jc w:val="both"/>
        <w:rPr>
          <w:rFonts w:ascii="Verdana" w:eastAsia="Times New Roman" w:hAnsi="Verdana" w:cs="Times New Roman"/>
          <w:lang w:eastAsia="es-MX"/>
        </w:rPr>
      </w:pPr>
      <w:r w:rsidRPr="00CE6A7D">
        <w:rPr>
          <w:rFonts w:ascii="Verdana" w:eastAsia="Times New Roman" w:hAnsi="Verdana" w:cs="Times New Roman"/>
          <w:lang w:eastAsia="es-MX"/>
        </w:rPr>
        <w:t xml:space="preserve"> El Art. 92 de la Ley 1474 de 2011 exceptúa explícitamente a las "personas jurídicas sin ánimo de lucro conformadas por la asociación de entidades públicas" de la causal de contratación directa para celebrar contratos de obra, suministro, prestación de servicios de evaluación de conformidad, encargos fiduciarios y fiducia pública. Sin embargo, un municipio sí puede suscribir convenios interadministrativos de forma directa con una asociación (amparado en normas como el Art. 17 de la Ley 1454 de 2011), siempre y cuando sea una verdadera colaboración para cumplir fines comunes, sin que exista una relación de contratante-contratista ni se pacte el pago de una utilidad.</w:t>
      </w:r>
    </w:p>
    <w:p w14:paraId="7569A59B" w14:textId="77777777" w:rsidR="00871B59" w:rsidRPr="00CE6A7D" w:rsidRDefault="00871B59" w:rsidP="00871B59">
      <w:pPr>
        <w:spacing w:after="0" w:line="240" w:lineRule="auto"/>
        <w:jc w:val="both"/>
        <w:rPr>
          <w:rFonts w:ascii="Verdana" w:eastAsia="Calibri" w:hAnsi="Verdana" w:cs="Arial"/>
          <w:color w:val="000000"/>
        </w:rPr>
      </w:pPr>
    </w:p>
    <w:p w14:paraId="0E85FF02" w14:textId="77777777" w:rsidR="00CE6A7D" w:rsidRDefault="00CE6A7D" w:rsidP="00871B59">
      <w:pPr>
        <w:spacing w:after="0" w:line="240" w:lineRule="auto"/>
        <w:jc w:val="both"/>
        <w:rPr>
          <w:rFonts w:ascii="Verdana" w:eastAsia="Calibri" w:hAnsi="Verdana" w:cs="Arial"/>
          <w:lang w:val="es-ES" w:eastAsia="es-ES"/>
        </w:rPr>
      </w:pPr>
    </w:p>
    <w:p w14:paraId="750EB37D" w14:textId="77777777" w:rsidR="00CE6A7D" w:rsidRDefault="00CE6A7D" w:rsidP="00871B59">
      <w:pPr>
        <w:spacing w:after="0" w:line="240" w:lineRule="auto"/>
        <w:jc w:val="both"/>
        <w:rPr>
          <w:rFonts w:ascii="Verdana" w:eastAsia="Calibri" w:hAnsi="Verdana" w:cs="Arial"/>
          <w:lang w:val="es-ES" w:eastAsia="es-ES"/>
        </w:rPr>
      </w:pPr>
    </w:p>
    <w:p w14:paraId="79CCE329" w14:textId="77777777" w:rsidR="00CE6A7D" w:rsidRPr="00CE6A7D" w:rsidRDefault="00CE6A7D" w:rsidP="00CE6A7D">
      <w:pPr>
        <w:pStyle w:val="Textoindependiente"/>
        <w:spacing w:before="168"/>
        <w:rPr>
          <w:rFonts w:ascii="Verdana" w:hAnsi="Verdana"/>
        </w:rPr>
      </w:pPr>
      <w:r w:rsidRPr="00CE6A7D">
        <w:rPr>
          <w:rFonts w:ascii="Verdana" w:hAnsi="Verdana"/>
          <w:noProof/>
        </w:rPr>
        <w:lastRenderedPageBreak/>
        <w:drawing>
          <wp:anchor distT="0" distB="0" distL="0" distR="0" simplePos="0" relativeHeight="251659264" behindDoc="0" locked="0" layoutInCell="1" allowOverlap="1" wp14:anchorId="443390A2" wp14:editId="0940708B">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CE6A7D">
        <w:rPr>
          <w:rFonts w:ascii="Verdana" w:hAnsi="Verdana"/>
        </w:rPr>
        <w:t>Bogotá</w:t>
      </w:r>
      <w:r w:rsidRPr="00CE6A7D">
        <w:rPr>
          <w:rFonts w:ascii="Verdana" w:hAnsi="Verdana"/>
          <w:spacing w:val="-6"/>
        </w:rPr>
        <w:t xml:space="preserve"> </w:t>
      </w:r>
      <w:r w:rsidRPr="00CE6A7D">
        <w:rPr>
          <w:rFonts w:ascii="Verdana" w:hAnsi="Verdana"/>
        </w:rPr>
        <w:t>D.C.,</w:t>
      </w:r>
      <w:r w:rsidRPr="00CE6A7D">
        <w:rPr>
          <w:rFonts w:ascii="Verdana" w:hAnsi="Verdana"/>
          <w:spacing w:val="-4"/>
        </w:rPr>
        <w:t xml:space="preserve"> </w:t>
      </w:r>
      <w:r w:rsidRPr="00CE6A7D">
        <w:rPr>
          <w:rFonts w:ascii="Verdana" w:hAnsi="Verdana"/>
        </w:rPr>
        <w:t>17</w:t>
      </w:r>
      <w:r w:rsidRPr="00CE6A7D">
        <w:rPr>
          <w:rFonts w:ascii="Verdana" w:hAnsi="Verdana"/>
          <w:spacing w:val="-3"/>
        </w:rPr>
        <w:t xml:space="preserve"> </w:t>
      </w:r>
      <w:r w:rsidRPr="00CE6A7D">
        <w:rPr>
          <w:rFonts w:ascii="Verdana" w:hAnsi="Verdana"/>
        </w:rPr>
        <w:t>Octubre</w:t>
      </w:r>
      <w:r w:rsidRPr="00CE6A7D">
        <w:rPr>
          <w:rFonts w:ascii="Verdana" w:hAnsi="Verdana"/>
          <w:spacing w:val="-2"/>
        </w:rPr>
        <w:t xml:space="preserve"> </w:t>
      </w:r>
      <w:r w:rsidRPr="00CE6A7D">
        <w:rPr>
          <w:rFonts w:ascii="Verdana" w:hAnsi="Verdana"/>
          <w:spacing w:val="-4"/>
        </w:rPr>
        <w:t>2025</w:t>
      </w:r>
    </w:p>
    <w:p w14:paraId="4641ED44" w14:textId="77777777" w:rsidR="00CE6A7D" w:rsidRDefault="00CE6A7D" w:rsidP="00871B59">
      <w:pPr>
        <w:spacing w:after="0" w:line="240" w:lineRule="auto"/>
        <w:jc w:val="both"/>
        <w:rPr>
          <w:rFonts w:ascii="Verdana" w:eastAsia="Calibri" w:hAnsi="Verdana" w:cs="Arial"/>
          <w:lang w:val="es-ES" w:eastAsia="es-ES"/>
        </w:rPr>
      </w:pPr>
    </w:p>
    <w:p w14:paraId="05932A5D" w14:textId="77777777" w:rsidR="00CE6A7D" w:rsidRDefault="00CE6A7D" w:rsidP="00871B59">
      <w:pPr>
        <w:spacing w:after="0" w:line="240" w:lineRule="auto"/>
        <w:jc w:val="both"/>
        <w:rPr>
          <w:rFonts w:ascii="Verdana" w:eastAsia="Calibri" w:hAnsi="Verdana" w:cs="Arial"/>
          <w:lang w:val="es-ES" w:eastAsia="es-ES"/>
        </w:rPr>
      </w:pPr>
    </w:p>
    <w:p w14:paraId="71033300" w14:textId="6A381BE6" w:rsidR="00871B59" w:rsidRPr="0017067E" w:rsidRDefault="00871B59" w:rsidP="00871B59">
      <w:pPr>
        <w:spacing w:after="0" w:line="240" w:lineRule="auto"/>
        <w:jc w:val="both"/>
        <w:rPr>
          <w:rFonts w:ascii="Verdana" w:eastAsia="Calibri" w:hAnsi="Verdana" w:cs="Arial"/>
          <w:lang w:val="es-ES" w:eastAsia="es-ES"/>
        </w:rPr>
      </w:pPr>
      <w:r w:rsidRPr="0017067E">
        <w:rPr>
          <w:rFonts w:ascii="Verdana" w:eastAsia="Calibri" w:hAnsi="Verdana" w:cs="Arial"/>
          <w:lang w:val="es-ES" w:eastAsia="es-ES"/>
        </w:rPr>
        <w:t>Seño</w:t>
      </w:r>
      <w:r w:rsidR="004B3C97">
        <w:rPr>
          <w:rFonts w:ascii="Verdana" w:eastAsia="Calibri" w:hAnsi="Verdana" w:cs="Arial"/>
          <w:lang w:val="es-ES" w:eastAsia="es-ES"/>
        </w:rPr>
        <w:t>r</w:t>
      </w:r>
    </w:p>
    <w:p w14:paraId="22C88568" w14:textId="2F8F80A0" w:rsidR="00871B59" w:rsidRPr="0017067E" w:rsidRDefault="004B3C97"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 xml:space="preserve">Ancizar Leguizamón Silva </w:t>
      </w:r>
    </w:p>
    <w:p w14:paraId="3E4D0B32" w14:textId="6C23EEA9" w:rsidR="00871B59" w:rsidRPr="004B3C97" w:rsidRDefault="004B3C97" w:rsidP="004B3C97">
      <w:pPr>
        <w:spacing w:after="0" w:line="240" w:lineRule="auto"/>
        <w:rPr>
          <w:rFonts w:ascii="Verdana" w:eastAsia="Calibri" w:hAnsi="Verdana" w:cs="Arial"/>
          <w:lang w:val="es-ES" w:eastAsia="es-ES"/>
        </w:rPr>
      </w:pPr>
      <w:hyperlink r:id="rId12" w:history="1">
        <w:r w:rsidRPr="004B3C97">
          <w:rPr>
            <w:rStyle w:val="Hipervnculo"/>
            <w:rFonts w:ascii="Verdana" w:eastAsia="Calibri" w:hAnsi="Verdana" w:cs="Arial"/>
            <w:lang w:val="es-ES" w:eastAsia="es-ES"/>
          </w:rPr>
          <w:t>anlesi0203@gmail.com</w:t>
        </w:r>
      </w:hyperlink>
      <w:r w:rsidRPr="004B3C97">
        <w:rPr>
          <w:rFonts w:ascii="Verdana" w:eastAsia="Calibri" w:hAnsi="Verdana" w:cs="Arial"/>
          <w:lang w:val="es-ES" w:eastAsia="es-ES"/>
        </w:rPr>
        <w:t xml:space="preserve">  </w:t>
      </w:r>
    </w:p>
    <w:p w14:paraId="2CB364A5" w14:textId="25CE5118" w:rsidR="00871B59" w:rsidRPr="004B3C97" w:rsidRDefault="004B3C97" w:rsidP="00871B59">
      <w:pPr>
        <w:spacing w:after="0" w:line="240" w:lineRule="auto"/>
        <w:rPr>
          <w:rFonts w:ascii="Verdana" w:eastAsia="Calibri" w:hAnsi="Verdana" w:cs="Arial"/>
          <w:color w:val="000000"/>
          <w:lang w:val="es-ES_tradnl" w:eastAsia="es-ES_tradnl"/>
        </w:rPr>
      </w:pPr>
      <w:proofErr w:type="spellStart"/>
      <w:r w:rsidRPr="004B3C97">
        <w:rPr>
          <w:rFonts w:ascii="Verdana" w:eastAsia="Calibri" w:hAnsi="Verdana" w:cs="Arial"/>
          <w:color w:val="000000"/>
          <w:lang w:val="es-ES_tradnl" w:eastAsia="es-ES_tradnl"/>
        </w:rPr>
        <w:t>Orocue</w:t>
      </w:r>
      <w:proofErr w:type="spellEnd"/>
      <w:r w:rsidRPr="004B3C97">
        <w:rPr>
          <w:rFonts w:ascii="Verdana" w:eastAsia="Calibri" w:hAnsi="Verdana" w:cs="Arial"/>
          <w:color w:val="000000"/>
          <w:lang w:val="es-ES_tradnl" w:eastAsia="es-ES_tradnl"/>
        </w:rPr>
        <w:t>, Casanare</w:t>
      </w:r>
    </w:p>
    <w:p w14:paraId="7928D27F" w14:textId="77777777" w:rsidR="00871B59" w:rsidRPr="0017067E"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17067E" w14:paraId="6A3D08EB" w14:textId="77777777" w:rsidTr="002607A7">
        <w:trPr>
          <w:trHeight w:val="884"/>
        </w:trPr>
        <w:tc>
          <w:tcPr>
            <w:tcW w:w="2689" w:type="dxa"/>
          </w:tcPr>
          <w:p w14:paraId="2E205A0F" w14:textId="77777777" w:rsidR="00871B59" w:rsidRPr="0017067E" w:rsidRDefault="00871B59" w:rsidP="002607A7">
            <w:pPr>
              <w:jc w:val="both"/>
              <w:rPr>
                <w:rFonts w:ascii="Verdana" w:eastAsia="Calibri" w:hAnsi="Verdana" w:cs="Arial"/>
                <w:b/>
                <w:bCs/>
                <w:color w:val="7030A0"/>
                <w:lang w:val="es-ES_tradnl" w:eastAsia="es-ES_tradnl"/>
              </w:rPr>
            </w:pPr>
          </w:p>
        </w:tc>
        <w:tc>
          <w:tcPr>
            <w:tcW w:w="6100" w:type="dxa"/>
          </w:tcPr>
          <w:p w14:paraId="2A2BB7F5" w14:textId="0965BF7D" w:rsidR="00871B59" w:rsidRPr="0017067E" w:rsidRDefault="00871B59" w:rsidP="002607A7">
            <w:pPr>
              <w:jc w:val="both"/>
              <w:rPr>
                <w:rFonts w:ascii="Verdana" w:eastAsia="Calibri" w:hAnsi="Verdana" w:cs="Arial"/>
                <w:b/>
                <w:bCs/>
                <w:color w:val="7030A0"/>
                <w:lang w:val="es-ES" w:eastAsia="es-ES"/>
              </w:rPr>
            </w:pPr>
            <w:r w:rsidRPr="0017067E">
              <w:rPr>
                <w:rFonts w:ascii="Verdana" w:eastAsia="Calibri" w:hAnsi="Verdana" w:cs="Arial"/>
                <w:b/>
                <w:bCs/>
                <w:lang w:val="es-ES" w:eastAsia="es-ES"/>
              </w:rPr>
              <w:t>Concepto C</w:t>
            </w:r>
            <w:r w:rsidR="004B3C97">
              <w:rPr>
                <w:rFonts w:ascii="Verdana" w:eastAsia="Calibri" w:hAnsi="Verdana" w:cs="Arial"/>
                <w:b/>
                <w:bCs/>
                <w:lang w:val="es-ES" w:eastAsia="es-ES"/>
              </w:rPr>
              <w:t>-1264</w:t>
            </w:r>
            <w:r w:rsidRPr="0017067E">
              <w:rPr>
                <w:rFonts w:ascii="Verdana" w:eastAsia="Calibri" w:hAnsi="Verdana" w:cs="Arial"/>
                <w:b/>
                <w:bCs/>
                <w:color w:val="7030A0"/>
                <w:lang w:val="es-ES" w:eastAsia="es-ES"/>
              </w:rPr>
              <w:t xml:space="preserve"> </w:t>
            </w:r>
            <w:r w:rsidRPr="0017067E">
              <w:rPr>
                <w:rFonts w:ascii="Verdana" w:eastAsia="Calibri" w:hAnsi="Verdana" w:cs="Arial"/>
                <w:b/>
                <w:bCs/>
                <w:lang w:val="es-ES" w:eastAsia="es-ES"/>
              </w:rPr>
              <w:t>de</w:t>
            </w:r>
            <w:r w:rsidR="004B3C97">
              <w:rPr>
                <w:rFonts w:ascii="Verdana" w:eastAsia="Calibri" w:hAnsi="Verdana" w:cs="Arial"/>
                <w:b/>
                <w:bCs/>
                <w:lang w:val="es-ES" w:eastAsia="es-ES"/>
              </w:rPr>
              <w:t xml:space="preserve"> 2025</w:t>
            </w:r>
          </w:p>
        </w:tc>
      </w:tr>
      <w:tr w:rsidR="00871B59" w:rsidRPr="0017067E" w14:paraId="106E12A7" w14:textId="77777777" w:rsidTr="002607A7">
        <w:trPr>
          <w:trHeight w:val="884"/>
        </w:trPr>
        <w:tc>
          <w:tcPr>
            <w:tcW w:w="2689" w:type="dxa"/>
          </w:tcPr>
          <w:p w14:paraId="428C142F" w14:textId="77777777" w:rsidR="00871B59" w:rsidRPr="004B3C97" w:rsidRDefault="00871B59" w:rsidP="002607A7">
            <w:pPr>
              <w:jc w:val="both"/>
              <w:rPr>
                <w:rFonts w:ascii="Verdana" w:eastAsia="Calibri" w:hAnsi="Verdana" w:cs="Arial"/>
                <w:color w:val="000000" w:themeColor="text1"/>
                <w:lang w:val="es-ES_tradnl" w:eastAsia="es-ES_tradnl"/>
              </w:rPr>
            </w:pPr>
            <w:r w:rsidRPr="004B3C97">
              <w:rPr>
                <w:rFonts w:ascii="Verdana" w:eastAsia="Calibri" w:hAnsi="Verdana" w:cs="Arial"/>
                <w:b/>
                <w:color w:val="000000" w:themeColor="text1"/>
                <w:lang w:val="es-ES_tradnl" w:eastAsia="es-ES_tradnl"/>
              </w:rPr>
              <w:t>Temas:</w:t>
            </w:r>
            <w:r w:rsidRPr="004B3C97">
              <w:rPr>
                <w:rFonts w:ascii="Verdana" w:eastAsia="Calibri" w:hAnsi="Verdana" w:cs="Arial"/>
                <w:color w:val="000000" w:themeColor="text1"/>
                <w:lang w:val="es-ES_tradnl" w:eastAsia="es-ES_tradnl"/>
              </w:rPr>
              <w:t xml:space="preserve">                   </w:t>
            </w:r>
          </w:p>
        </w:tc>
        <w:tc>
          <w:tcPr>
            <w:tcW w:w="6100" w:type="dxa"/>
          </w:tcPr>
          <w:p w14:paraId="12EF2FBC" w14:textId="0B400E19" w:rsidR="00871B59" w:rsidRPr="004B3C97" w:rsidRDefault="004B3C97" w:rsidP="002607A7">
            <w:pPr>
              <w:spacing w:line="276" w:lineRule="auto"/>
              <w:jc w:val="both"/>
              <w:rPr>
                <w:rFonts w:ascii="Verdana" w:eastAsia="Calibri" w:hAnsi="Verdana" w:cs="Arial"/>
                <w:color w:val="000000" w:themeColor="text1"/>
                <w:lang w:val="es-ES" w:eastAsia="es-ES"/>
              </w:rPr>
            </w:pPr>
            <w:r>
              <w:rPr>
                <w:rFonts w:ascii="Verdana" w:hAnsi="Verdana" w:cs="Arial"/>
                <w:bCs/>
                <w:lang w:val="es-ES_tradnl"/>
              </w:rPr>
              <w:t>CONTRATO</w:t>
            </w:r>
            <w:r w:rsidRPr="00C45C5D">
              <w:rPr>
                <w:rFonts w:ascii="Verdana" w:hAnsi="Verdana" w:cs="Arial"/>
                <w:bCs/>
                <w:lang w:val="es-ES_tradnl"/>
              </w:rPr>
              <w:t>S INTERADMINISTRATIVOS – Asociaciones de Municipios</w:t>
            </w:r>
            <w:r>
              <w:rPr>
                <w:rFonts w:ascii="Verdana" w:hAnsi="Verdana" w:cs="Arial"/>
                <w:bCs/>
                <w:lang w:val="es-ES_tradnl"/>
              </w:rPr>
              <w:t xml:space="preserve"> – Prohibición – Contratación Directa / CONVENIOS INTERADMINISTRATIVOS – Procedencia – Contratación Directa</w:t>
            </w:r>
            <w:r w:rsidRPr="009563E7">
              <w:rPr>
                <w:rFonts w:ascii="Verdana" w:hAnsi="Verdana" w:cs="Arial"/>
                <w:bCs/>
                <w:color w:val="000000"/>
                <w:kern w:val="2"/>
                <w:lang w:val="es-MX"/>
                <w14:ligatures w14:val="standardContextual"/>
              </w:rPr>
              <w:t xml:space="preserve"> </w:t>
            </w:r>
            <w:r>
              <w:rPr>
                <w:rFonts w:ascii="Verdana" w:hAnsi="Verdana" w:cs="Arial"/>
                <w:bCs/>
                <w:color w:val="000000"/>
                <w:kern w:val="2"/>
                <w:lang w:val="es-MX"/>
                <w14:ligatures w14:val="standardContextual"/>
              </w:rPr>
              <w:t xml:space="preserve">/ </w:t>
            </w:r>
            <w:r>
              <w:rPr>
                <w:rFonts w:ascii="Verdana" w:hAnsi="Verdana" w:cs="Arial"/>
                <w:bCs/>
                <w:color w:val="000000"/>
                <w:kern w:val="2"/>
                <w:lang w:val="es-ES_tradnl"/>
                <w14:ligatures w14:val="standardContextual"/>
              </w:rPr>
              <w:t>LEY 2195 DE 2022 – Artículo 56 – Aplicación</w:t>
            </w:r>
          </w:p>
          <w:p w14:paraId="7D06FEE8" w14:textId="77777777" w:rsidR="00871B59" w:rsidRPr="004B3C97" w:rsidRDefault="00871B59" w:rsidP="002607A7">
            <w:pPr>
              <w:spacing w:line="276" w:lineRule="auto"/>
              <w:jc w:val="both"/>
              <w:rPr>
                <w:rFonts w:ascii="Verdana" w:eastAsia="Calibri" w:hAnsi="Verdana" w:cs="Arial"/>
                <w:color w:val="000000" w:themeColor="text1"/>
                <w:lang w:val="es-ES" w:eastAsia="es-ES"/>
              </w:rPr>
            </w:pPr>
          </w:p>
        </w:tc>
      </w:tr>
      <w:tr w:rsidR="00871B59" w:rsidRPr="004B3C97" w14:paraId="7C36761F" w14:textId="77777777" w:rsidTr="00CE6A7D">
        <w:trPr>
          <w:trHeight w:val="703"/>
        </w:trPr>
        <w:tc>
          <w:tcPr>
            <w:tcW w:w="2689" w:type="dxa"/>
          </w:tcPr>
          <w:p w14:paraId="69CE5A9F" w14:textId="77777777" w:rsidR="00871B59" w:rsidRPr="004B3C97" w:rsidRDefault="00871B59" w:rsidP="002607A7">
            <w:pPr>
              <w:jc w:val="both"/>
              <w:rPr>
                <w:rFonts w:ascii="Verdana" w:eastAsia="Calibri" w:hAnsi="Verdana" w:cs="Arial"/>
                <w:b/>
                <w:color w:val="000000" w:themeColor="text1"/>
                <w:lang w:val="es-ES_tradnl" w:eastAsia="es-ES_tradnl"/>
              </w:rPr>
            </w:pPr>
            <w:r w:rsidRPr="004B3C97">
              <w:rPr>
                <w:rFonts w:ascii="Verdana" w:eastAsia="Calibri" w:hAnsi="Verdana" w:cs="Arial"/>
                <w:b/>
                <w:color w:val="000000" w:themeColor="text1"/>
                <w:lang w:val="es-ES_tradnl" w:eastAsia="es-ES_tradnl"/>
              </w:rPr>
              <w:t>Radicación:</w:t>
            </w:r>
            <w:r w:rsidRPr="004B3C97">
              <w:rPr>
                <w:rFonts w:ascii="Verdana" w:eastAsia="Calibri" w:hAnsi="Verdana" w:cs="Arial"/>
                <w:color w:val="000000" w:themeColor="text1"/>
                <w:lang w:val="es-ES_tradnl" w:eastAsia="es-ES_tradnl"/>
              </w:rPr>
              <w:t xml:space="preserve">               </w:t>
            </w:r>
          </w:p>
        </w:tc>
        <w:tc>
          <w:tcPr>
            <w:tcW w:w="6100" w:type="dxa"/>
          </w:tcPr>
          <w:p w14:paraId="2C776A51" w14:textId="2EEB4D24" w:rsidR="00871B59" w:rsidRPr="004B3C97" w:rsidRDefault="00871B59" w:rsidP="002607A7">
            <w:pPr>
              <w:jc w:val="both"/>
              <w:rPr>
                <w:rFonts w:ascii="Verdana" w:eastAsia="Calibri" w:hAnsi="Verdana" w:cs="Arial"/>
                <w:color w:val="000000" w:themeColor="text1"/>
                <w:lang w:val="es-ES_tradnl" w:eastAsia="es-ES_tradnl"/>
              </w:rPr>
            </w:pPr>
            <w:r w:rsidRPr="004B3C97">
              <w:rPr>
                <w:rFonts w:ascii="Verdana" w:eastAsia="Calibri" w:hAnsi="Verdana" w:cs="Arial"/>
                <w:color w:val="000000" w:themeColor="text1"/>
                <w:lang w:val="es-ES_tradnl" w:eastAsia="es-ES_tradnl"/>
              </w:rPr>
              <w:t xml:space="preserve">Respuesta a consulta con radicado No. </w:t>
            </w:r>
            <w:r w:rsidR="004B3C97" w:rsidRPr="004B3C97">
              <w:rPr>
                <w:rFonts w:ascii="Verdana" w:hAnsi="Verdana" w:cs="Segoe UI"/>
                <w:color w:val="000000" w:themeColor="text1"/>
                <w:shd w:val="clear" w:color="auto" w:fill="FFFFFF"/>
              </w:rPr>
              <w:t>1_2025_09_04_009580</w:t>
            </w:r>
          </w:p>
        </w:tc>
      </w:tr>
    </w:tbl>
    <w:p w14:paraId="505E7527" w14:textId="77777777" w:rsidR="00871B59" w:rsidRPr="0017067E" w:rsidRDefault="00871B59" w:rsidP="00871B59">
      <w:pPr>
        <w:spacing w:after="0" w:line="240" w:lineRule="auto"/>
        <w:jc w:val="both"/>
        <w:rPr>
          <w:rFonts w:ascii="Verdana" w:eastAsia="Calibri" w:hAnsi="Verdana" w:cs="Arial"/>
          <w:color w:val="000000"/>
          <w:lang w:val="es-ES_tradnl" w:eastAsia="es-ES_tradnl"/>
        </w:rPr>
      </w:pPr>
    </w:p>
    <w:p w14:paraId="52C1369A" w14:textId="77777777" w:rsidR="00871B59" w:rsidRPr="0017067E" w:rsidRDefault="00871B59" w:rsidP="00871B59">
      <w:pPr>
        <w:spacing w:after="0" w:line="240" w:lineRule="auto"/>
        <w:jc w:val="both"/>
        <w:rPr>
          <w:rFonts w:ascii="Verdana" w:eastAsia="Calibri" w:hAnsi="Verdana" w:cs="Arial"/>
          <w:color w:val="000000"/>
          <w:lang w:val="es-ES_tradnl" w:eastAsia="es-ES_tradnl"/>
        </w:rPr>
      </w:pPr>
    </w:p>
    <w:p w14:paraId="59589F31" w14:textId="5C0643E6" w:rsidR="00871B59" w:rsidRPr="004B3C97" w:rsidRDefault="00871B59" w:rsidP="00871B59">
      <w:pPr>
        <w:spacing w:after="0" w:line="276" w:lineRule="auto"/>
        <w:jc w:val="both"/>
        <w:rPr>
          <w:rFonts w:ascii="Verdana" w:eastAsia="Calibri" w:hAnsi="Verdana" w:cs="Arial"/>
          <w:color w:val="000000" w:themeColor="text1"/>
          <w:lang w:val="es-ES" w:eastAsia="es-ES"/>
        </w:rPr>
      </w:pPr>
      <w:r w:rsidRPr="004B3C97">
        <w:rPr>
          <w:rFonts w:ascii="Verdana" w:eastAsia="Calibri" w:hAnsi="Verdana" w:cs="Arial"/>
          <w:color w:val="000000" w:themeColor="text1"/>
          <w:lang w:val="es-ES" w:eastAsia="es-ES"/>
        </w:rPr>
        <w:t>Estimado señor</w:t>
      </w:r>
      <w:r w:rsidR="004B3C97" w:rsidRPr="004B3C97">
        <w:rPr>
          <w:rFonts w:ascii="Verdana" w:eastAsia="Calibri" w:hAnsi="Verdana" w:cs="Arial"/>
          <w:color w:val="000000" w:themeColor="text1"/>
          <w:lang w:val="es-ES" w:eastAsia="es-ES"/>
        </w:rPr>
        <w:t xml:space="preserve"> Leguizamón: </w:t>
      </w:r>
    </w:p>
    <w:p w14:paraId="37DFEE32" w14:textId="77777777" w:rsidR="00871B59" w:rsidRPr="0017067E" w:rsidRDefault="00871B59" w:rsidP="00871B59">
      <w:pPr>
        <w:tabs>
          <w:tab w:val="left" w:pos="3768"/>
        </w:tabs>
        <w:spacing w:after="0" w:line="276" w:lineRule="auto"/>
        <w:jc w:val="both"/>
        <w:rPr>
          <w:rFonts w:ascii="Verdana" w:eastAsia="Calibri" w:hAnsi="Verdana" w:cs="Arial"/>
          <w:color w:val="000000" w:themeColor="text1"/>
          <w:lang w:val="es-ES" w:eastAsia="es-ES"/>
        </w:rPr>
      </w:pPr>
      <w:r w:rsidRPr="0017067E">
        <w:rPr>
          <w:rFonts w:ascii="Verdana" w:eastAsia="Calibri" w:hAnsi="Verdana" w:cs="Arial"/>
          <w:color w:val="000000" w:themeColor="text1"/>
          <w:lang w:val="es-ES" w:eastAsia="es-ES"/>
        </w:rPr>
        <w:tab/>
      </w:r>
    </w:p>
    <w:p w14:paraId="3AFD230B" w14:textId="1014A558" w:rsidR="00871B59" w:rsidRDefault="00871B59" w:rsidP="004B3C97">
      <w:pPr>
        <w:spacing w:after="0" w:line="276" w:lineRule="auto"/>
        <w:jc w:val="both"/>
        <w:rPr>
          <w:rFonts w:ascii="Verdana" w:eastAsia="Calibri" w:hAnsi="Verdana" w:cs="Arial"/>
          <w:color w:val="000000" w:themeColor="text1"/>
          <w:lang w:val="es-ES" w:eastAsia="es-ES"/>
        </w:rPr>
      </w:pPr>
      <w:r w:rsidRPr="0017067E">
        <w:rPr>
          <w:rFonts w:ascii="Verdana" w:eastAsia="Calibri" w:hAnsi="Verdana" w:cs="Arial"/>
          <w:color w:val="000000" w:themeColor="text1"/>
          <w:lang w:val="es-ES" w:eastAsia="es-ES"/>
        </w:rPr>
        <w:t>En ejercicio de la competencia otorgada por los artículos 3, numeral 5º, y 11, numeral 8º, del Decreto Ley 4170 de 2011,</w:t>
      </w:r>
      <w:r w:rsidRPr="0017067E">
        <w:rPr>
          <w:rFonts w:ascii="Verdana" w:eastAsia="Arial MT" w:hAnsi="Verdana" w:cs="Arial MT"/>
          <w:lang w:val="es-ES" w:eastAsia="es-ES"/>
        </w:rPr>
        <w:t xml:space="preserve"> </w:t>
      </w:r>
      <w:r w:rsidRPr="0017067E">
        <w:rPr>
          <w:rFonts w:ascii="Verdana" w:hAnsi="Verdana" w:cs="Arial"/>
        </w:rPr>
        <w:t xml:space="preserve">así como lo establecido en el artículo 4 de la Resolución 1707 de 2018 expedida por esta Entidad, </w:t>
      </w:r>
      <w:r w:rsidRPr="0017067E">
        <w:rPr>
          <w:rFonts w:ascii="Verdana" w:eastAsia="Calibri" w:hAnsi="Verdana" w:cs="Arial"/>
          <w:color w:val="000000" w:themeColor="text1"/>
          <w:lang w:val="es-ES" w:eastAsia="es-ES"/>
        </w:rPr>
        <w:t xml:space="preserve">la Agencia Nacional de Contratación Pública – Colombia Compra Eficiente– responde su solicitud de </w:t>
      </w:r>
      <w:r w:rsidRPr="004B3C97">
        <w:rPr>
          <w:rFonts w:ascii="Verdana" w:eastAsia="Calibri" w:hAnsi="Verdana" w:cs="Arial"/>
          <w:color w:val="000000" w:themeColor="text1"/>
          <w:lang w:val="es-ES" w:eastAsia="es-ES"/>
        </w:rPr>
        <w:t xml:space="preserve">consulta de fecha </w:t>
      </w:r>
      <w:r w:rsidR="004B3C97" w:rsidRPr="004B3C97">
        <w:rPr>
          <w:rFonts w:ascii="Verdana" w:eastAsia="Calibri" w:hAnsi="Verdana" w:cs="Arial"/>
          <w:color w:val="000000" w:themeColor="text1"/>
          <w:lang w:val="es-ES" w:eastAsia="es-ES"/>
        </w:rPr>
        <w:t>04</w:t>
      </w:r>
      <w:r w:rsidRPr="004B3C97">
        <w:rPr>
          <w:rFonts w:ascii="Verdana" w:eastAsia="Calibri" w:hAnsi="Verdana" w:cs="Arial"/>
          <w:color w:val="000000" w:themeColor="text1"/>
          <w:lang w:val="es-ES" w:eastAsia="es-ES"/>
        </w:rPr>
        <w:t xml:space="preserve"> de</w:t>
      </w:r>
      <w:r w:rsidR="004B3C97" w:rsidRPr="004B3C97">
        <w:rPr>
          <w:rFonts w:ascii="Verdana" w:eastAsia="Calibri" w:hAnsi="Verdana" w:cs="Arial"/>
          <w:color w:val="000000" w:themeColor="text1"/>
          <w:lang w:val="es-ES" w:eastAsia="es-ES"/>
        </w:rPr>
        <w:t xml:space="preserve"> septiembre</w:t>
      </w:r>
      <w:r w:rsidRPr="004B3C97">
        <w:rPr>
          <w:rFonts w:ascii="Verdana" w:eastAsia="Calibri" w:hAnsi="Verdana" w:cs="Arial"/>
          <w:color w:val="000000" w:themeColor="text1"/>
          <w:lang w:val="es-ES" w:eastAsia="es-ES"/>
        </w:rPr>
        <w:t xml:space="preserve"> de 20</w:t>
      </w:r>
      <w:r w:rsidR="004B3C97" w:rsidRPr="004B3C97">
        <w:rPr>
          <w:rFonts w:ascii="Verdana" w:eastAsia="Calibri" w:hAnsi="Verdana" w:cs="Arial"/>
          <w:color w:val="000000" w:themeColor="text1"/>
          <w:lang w:val="es-ES" w:eastAsia="es-ES"/>
        </w:rPr>
        <w:t>25</w:t>
      </w:r>
      <w:r w:rsidRPr="004B3C97">
        <w:rPr>
          <w:rFonts w:ascii="Verdana" w:eastAsia="Calibri" w:hAnsi="Verdana" w:cs="Arial"/>
          <w:color w:val="000000" w:themeColor="text1"/>
          <w:lang w:val="es-ES" w:eastAsia="es-ES"/>
        </w:rPr>
        <w:t>, en la cual manifiesta lo siguiente:</w:t>
      </w:r>
      <w:r w:rsidR="004B3C97" w:rsidRPr="004B3C97">
        <w:rPr>
          <w:rFonts w:ascii="Verdana" w:eastAsia="Calibri" w:hAnsi="Verdana" w:cs="Arial"/>
          <w:color w:val="000000" w:themeColor="text1"/>
          <w:lang w:val="es-ES" w:eastAsia="es-ES"/>
        </w:rPr>
        <w:t xml:space="preserve"> </w:t>
      </w:r>
    </w:p>
    <w:p w14:paraId="4499E6F3" w14:textId="77777777" w:rsidR="004B3C97" w:rsidRPr="004B3C97" w:rsidRDefault="004B3C97" w:rsidP="004B3C97">
      <w:pPr>
        <w:spacing w:after="0" w:line="276" w:lineRule="auto"/>
        <w:jc w:val="both"/>
        <w:rPr>
          <w:rFonts w:ascii="Verdana" w:eastAsia="Calibri" w:hAnsi="Verdana" w:cs="Arial"/>
          <w:color w:val="000000" w:themeColor="text1"/>
          <w:lang w:val="es-ES" w:eastAsia="es-ES"/>
        </w:rPr>
      </w:pPr>
    </w:p>
    <w:p w14:paraId="1C36315E" w14:textId="5FEFFDA3" w:rsidR="00871B59" w:rsidRPr="004B3C97" w:rsidRDefault="00871B59" w:rsidP="00871B59">
      <w:pPr>
        <w:spacing w:after="0" w:line="240" w:lineRule="auto"/>
        <w:ind w:left="709" w:right="709"/>
        <w:jc w:val="both"/>
        <w:rPr>
          <w:rFonts w:ascii="Verdana" w:eastAsia="Century Gothic" w:hAnsi="Verdana" w:cs="Century Gothic"/>
          <w:color w:val="000000" w:themeColor="text1"/>
          <w:lang w:val="es-ES"/>
        </w:rPr>
      </w:pPr>
      <w:bookmarkStart w:id="0" w:name="_Hlk95313578"/>
      <w:r w:rsidRPr="004B3C97">
        <w:rPr>
          <w:rFonts w:ascii="Verdana" w:eastAsia="Century Gothic" w:hAnsi="Verdana" w:cs="Century Gothic"/>
          <w:color w:val="000000" w:themeColor="text1"/>
          <w:lang w:val="es-ES"/>
        </w:rPr>
        <w:t>“</w:t>
      </w:r>
      <w:bookmarkEnd w:id="0"/>
      <w:proofErr w:type="gramStart"/>
      <w:r w:rsidR="004B3C97" w:rsidRPr="004B3C97">
        <w:rPr>
          <w:rFonts w:ascii="Verdana" w:eastAsia="Century Gothic" w:hAnsi="Verdana" w:cs="Century Gothic"/>
          <w:color w:val="000000" w:themeColor="text1"/>
          <w:lang w:val="es-ES"/>
        </w:rPr>
        <w:t>1¿</w:t>
      </w:r>
      <w:proofErr w:type="gramEnd"/>
      <w:r w:rsidR="004B3C97" w:rsidRPr="004B3C97">
        <w:rPr>
          <w:rFonts w:ascii="Verdana" w:eastAsia="Century Gothic" w:hAnsi="Verdana" w:cs="Century Gothic"/>
          <w:color w:val="000000" w:themeColor="text1"/>
          <w:lang w:val="es-ES"/>
        </w:rPr>
        <w:t xml:space="preserve">Las entidades territoriales de sexta categoría como es el municipio de Orocué Casanare, pueden suscribir contratos de manera directa con las asociaciones de municipios como la denominada ASOCIACIÓN SUPRADEPARTAMENTAL DE MUNICIPIOS PARA EL PROGRSO - ASOSUPRO? 2.De ser afirmativa la respuesta, con todo respeto le solicito, se nos explique en qué </w:t>
      </w:r>
      <w:r w:rsidR="004B3C97" w:rsidRPr="004B3C97">
        <w:rPr>
          <w:rFonts w:ascii="Verdana" w:eastAsia="Century Gothic" w:hAnsi="Verdana" w:cs="Century Gothic"/>
          <w:color w:val="000000" w:themeColor="text1"/>
          <w:lang w:val="es-ES"/>
        </w:rPr>
        <w:lastRenderedPageBreak/>
        <w:t>casos, ¿podrá negarse la contratación directa con la denominada ASOCIACIÓN SUPRADEPARTAMENTAL DE MUNICPIOS PARA EL PROGRESO – ASOSUPRO?</w:t>
      </w:r>
      <w:r w:rsidR="004B3C97">
        <w:rPr>
          <w:rFonts w:ascii="Verdana" w:eastAsia="Century Gothic" w:hAnsi="Verdana" w:cs="Century Gothic"/>
          <w:color w:val="000000" w:themeColor="text1"/>
          <w:lang w:val="es-ES"/>
        </w:rPr>
        <w:t>”</w:t>
      </w:r>
    </w:p>
    <w:p w14:paraId="6610AADA" w14:textId="77777777" w:rsidR="00871B59" w:rsidRPr="0017067E"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287766E1" w14:textId="77777777" w:rsidR="00871B59" w:rsidRPr="0017067E" w:rsidRDefault="00871B59" w:rsidP="00871B59">
      <w:pPr>
        <w:spacing w:after="120" w:line="276" w:lineRule="auto"/>
        <w:ind w:firstLine="709"/>
        <w:jc w:val="both"/>
        <w:rPr>
          <w:rFonts w:ascii="Verdana" w:eastAsia="Calibri" w:hAnsi="Verdana" w:cs="Arial"/>
          <w:color w:val="000000"/>
          <w:lang w:val="es-ES_tradnl" w:eastAsia="es-ES_tradnl"/>
        </w:rPr>
      </w:pPr>
      <w:r w:rsidRPr="0017067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7067E">
        <w:rPr>
          <w:rFonts w:ascii="Verdana" w:eastAsia="Calibri" w:hAnsi="Verdana" w:cs="Arial"/>
          <w:color w:val="000000"/>
          <w:lang w:val="es-ES_tradnl" w:eastAsia="es-ES_tradnl"/>
        </w:rPr>
        <w:tab/>
      </w:r>
    </w:p>
    <w:p w14:paraId="07B29EFB" w14:textId="2AA3E2C8" w:rsidR="00871B59" w:rsidRPr="0017067E" w:rsidRDefault="00871B59" w:rsidP="00871B59">
      <w:pPr>
        <w:spacing w:after="0" w:line="276" w:lineRule="auto"/>
        <w:ind w:firstLine="709"/>
        <w:jc w:val="both"/>
        <w:rPr>
          <w:rFonts w:ascii="Verdana" w:eastAsia="Calibri" w:hAnsi="Verdana" w:cs="Arial"/>
          <w:color w:val="000000"/>
          <w:lang w:val="es-ES" w:eastAsia="es-ES"/>
        </w:rPr>
      </w:pPr>
      <w:r w:rsidRPr="0017067E">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17067E">
        <w:rPr>
          <w:rFonts w:ascii="Verdana" w:eastAsia="Calibri" w:hAnsi="Verdana" w:cs="Arial"/>
          <w:color w:val="000000"/>
          <w:lang w:val="es-ES" w:eastAsia="es-ES"/>
        </w:rPr>
        <w:t>señalando</w:t>
      </w:r>
      <w:r w:rsidRPr="0017067E">
        <w:rPr>
          <w:rFonts w:ascii="Verdana" w:eastAsia="Calibri" w:hAnsi="Verdana" w:cs="Arial"/>
          <w:color w:val="000000"/>
          <w:lang w:val="es-ES" w:eastAsia="es-ES"/>
        </w:rPr>
        <w:t xml:space="preserve"> unas consideraciones sobre las normas generales relacionadas con el problem</w:t>
      </w:r>
      <w:r w:rsidR="0017067E">
        <w:rPr>
          <w:rFonts w:ascii="Verdana" w:eastAsia="Calibri" w:hAnsi="Verdana" w:cs="Arial"/>
          <w:color w:val="000000"/>
          <w:lang w:val="es-ES" w:eastAsia="es-ES"/>
        </w:rPr>
        <w:t>a</w:t>
      </w:r>
      <w:r w:rsidRPr="0017067E">
        <w:rPr>
          <w:rFonts w:ascii="Verdana" w:eastAsia="Calibri" w:hAnsi="Verdana" w:cs="Arial"/>
          <w:color w:val="7030A0"/>
          <w:lang w:val="es-ES" w:eastAsia="es-ES"/>
        </w:rPr>
        <w:t xml:space="preserve"> </w:t>
      </w:r>
      <w:r w:rsidRPr="0017067E">
        <w:rPr>
          <w:rFonts w:ascii="Verdana" w:eastAsia="Calibri" w:hAnsi="Verdana" w:cs="Arial"/>
          <w:color w:val="000000"/>
          <w:lang w:val="es-ES" w:eastAsia="es-ES"/>
        </w:rPr>
        <w:t>jurídico</w:t>
      </w:r>
      <w:r w:rsidRPr="0017067E">
        <w:rPr>
          <w:rFonts w:ascii="Verdana" w:eastAsia="Calibri" w:hAnsi="Verdana" w:cs="Arial"/>
          <w:color w:val="7030A0"/>
          <w:lang w:val="es-ES" w:eastAsia="es-ES"/>
        </w:rPr>
        <w:t xml:space="preserve"> </w:t>
      </w:r>
      <w:r w:rsidRPr="0017067E">
        <w:rPr>
          <w:rFonts w:ascii="Verdana" w:eastAsia="Calibri" w:hAnsi="Verdana" w:cs="Arial"/>
          <w:color w:val="000000"/>
          <w:lang w:val="es-ES" w:eastAsia="es-ES"/>
        </w:rPr>
        <w:t>de su consulta.</w:t>
      </w:r>
      <w:r w:rsidR="0017067E" w:rsidRPr="0017067E">
        <w:rPr>
          <w:rFonts w:ascii="Verdana" w:eastAsia="Calibri" w:hAnsi="Verdana" w:cs="Arial"/>
          <w:color w:val="000000"/>
          <w:lang w:val="es-ES" w:eastAsia="es-ES"/>
        </w:rPr>
        <w:t xml:space="preserve"> </w:t>
      </w:r>
    </w:p>
    <w:p w14:paraId="6A89C378" w14:textId="77777777" w:rsidR="00871B59" w:rsidRPr="0017067E" w:rsidRDefault="00871B59" w:rsidP="00871B59">
      <w:pPr>
        <w:spacing w:after="0" w:line="276" w:lineRule="auto"/>
        <w:ind w:firstLine="709"/>
        <w:jc w:val="both"/>
        <w:rPr>
          <w:rFonts w:ascii="Verdana" w:eastAsia="Calibri" w:hAnsi="Verdana" w:cs="Arial"/>
          <w:color w:val="000000"/>
          <w:lang w:val="es-ES" w:eastAsia="es-ES"/>
        </w:rPr>
      </w:pPr>
    </w:p>
    <w:p w14:paraId="421CCCF4" w14:textId="77777777" w:rsidR="00871B59" w:rsidRPr="0017067E"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17067E">
        <w:rPr>
          <w:rFonts w:ascii="Verdana" w:eastAsia="Century Gothic" w:hAnsi="Verdana" w:cs="Century Gothic"/>
          <w:b/>
          <w:bCs/>
          <w:lang w:val="es-ES"/>
        </w:rPr>
        <w:t>Problema planteado:</w:t>
      </w:r>
    </w:p>
    <w:p w14:paraId="65EF77DE" w14:textId="77777777" w:rsidR="00871B59" w:rsidRPr="0017067E" w:rsidRDefault="00871B59" w:rsidP="00871B59">
      <w:pPr>
        <w:tabs>
          <w:tab w:val="left" w:pos="426"/>
        </w:tabs>
        <w:spacing w:after="0" w:line="276" w:lineRule="auto"/>
        <w:jc w:val="both"/>
        <w:rPr>
          <w:rFonts w:ascii="Verdana" w:eastAsia="Century Gothic" w:hAnsi="Verdana" w:cs="Century Gothic"/>
          <w:lang w:val="es-ES"/>
        </w:rPr>
      </w:pPr>
    </w:p>
    <w:p w14:paraId="2ED66793" w14:textId="00DBA8A7" w:rsidR="00871B59" w:rsidRPr="0017067E" w:rsidRDefault="00871B59" w:rsidP="1F9252E4">
      <w:pPr>
        <w:spacing w:after="0" w:line="276" w:lineRule="auto"/>
        <w:jc w:val="both"/>
        <w:rPr>
          <w:rFonts w:ascii="Verdana" w:eastAsia="Century Gothic" w:hAnsi="Verdana" w:cs="Century Gothic"/>
        </w:rPr>
      </w:pPr>
      <w:r w:rsidRPr="0017067E">
        <w:rPr>
          <w:rFonts w:ascii="Verdana" w:eastAsia="Century Gothic" w:hAnsi="Verdana" w:cs="Century Gothic"/>
        </w:rPr>
        <w:t xml:space="preserve">De acuerdo con el contenido de su solicitud, esta Agencia resolverá el siguiente problema jurídico: </w:t>
      </w:r>
      <w:bookmarkStart w:id="1" w:name="OLE_LINK8"/>
      <w:r w:rsidR="0017067E" w:rsidRPr="0017067E">
        <w:rPr>
          <w:rFonts w:ascii="Verdana" w:eastAsia="Calibri" w:hAnsi="Verdana" w:cs="Times New Roman"/>
        </w:rPr>
        <w:t>¿</w:t>
      </w:r>
      <w:r w:rsidR="0017067E" w:rsidRPr="0017067E">
        <w:rPr>
          <w:rFonts w:ascii="Verdana" w:hAnsi="Verdana"/>
        </w:rPr>
        <w:t>Puede una entidad estatal, como un municipio, celebrar un contrato de forma directa con una asociación de municipios, o está obligada a realizar un proceso de selección competitivo?</w:t>
      </w:r>
    </w:p>
    <w:p w14:paraId="725049C4" w14:textId="77777777" w:rsidR="00871B59" w:rsidRPr="0017067E" w:rsidRDefault="00871B59" w:rsidP="00871B59">
      <w:pPr>
        <w:spacing w:after="0" w:line="276" w:lineRule="auto"/>
        <w:jc w:val="both"/>
        <w:rPr>
          <w:rFonts w:ascii="Verdana" w:eastAsia="Calibri" w:hAnsi="Verdana" w:cs="Arial"/>
          <w:color w:val="7030A0"/>
          <w:lang w:val="es-ES"/>
        </w:rPr>
      </w:pPr>
    </w:p>
    <w:bookmarkEnd w:id="1"/>
    <w:p w14:paraId="0D2ADC77" w14:textId="77777777" w:rsidR="00871B59" w:rsidRPr="0017067E"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17067E">
        <w:rPr>
          <w:rFonts w:ascii="Verdana" w:eastAsia="Century Gothic" w:hAnsi="Verdana" w:cs="Century Gothic"/>
          <w:b/>
          <w:bCs/>
          <w:lang w:val="es-ES"/>
        </w:rPr>
        <w:t>Respuesta:</w:t>
      </w:r>
    </w:p>
    <w:p w14:paraId="4058893D" w14:textId="77777777" w:rsidR="00871B59" w:rsidRPr="0017067E"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17067E" w14:paraId="4CDA2607" w14:textId="77777777" w:rsidTr="002607A7">
        <w:tc>
          <w:tcPr>
            <w:tcW w:w="8828" w:type="dxa"/>
          </w:tcPr>
          <w:p w14:paraId="0E2220ED" w14:textId="77777777" w:rsidR="0017067E" w:rsidRPr="0017067E" w:rsidRDefault="0017067E" w:rsidP="0017067E">
            <w:pPr>
              <w:pStyle w:val="NormalWeb"/>
              <w:spacing w:line="276" w:lineRule="auto"/>
              <w:jc w:val="both"/>
              <w:rPr>
                <w:rFonts w:ascii="Verdana" w:hAnsi="Verdana"/>
                <w:sz w:val="22"/>
                <w:szCs w:val="22"/>
              </w:rPr>
            </w:pPr>
            <w:r w:rsidRPr="0017067E">
              <w:rPr>
                <w:rStyle w:val="citation-526"/>
                <w:rFonts w:ascii="Verdana" w:hAnsi="Verdana"/>
                <w:sz w:val="22"/>
                <w:szCs w:val="22"/>
              </w:rPr>
              <w:t xml:space="preserve">Un municipio sin importar su categoría, NO puede suscribir contratos de manera directa con una asociación de municipios si el objeto se trata sobre  la </w:t>
            </w:r>
            <w:r w:rsidRPr="0017067E">
              <w:rPr>
                <w:rStyle w:val="citation-526"/>
                <w:rFonts w:ascii="Verdana" w:hAnsi="Verdana"/>
                <w:sz w:val="22"/>
                <w:szCs w:val="22"/>
              </w:rPr>
              <w:lastRenderedPageBreak/>
              <w:t>ejecución de obras, el suministro de bienes o la prestación de servicios a cambio de un precio</w:t>
            </w:r>
            <w:r w:rsidRPr="0017067E">
              <w:rPr>
                <w:rFonts w:ascii="Verdana" w:hAnsi="Verdana"/>
                <w:sz w:val="22"/>
                <w:szCs w:val="22"/>
              </w:rPr>
              <w:t xml:space="preserve">. </w:t>
            </w:r>
          </w:p>
          <w:p w14:paraId="3688A61A" w14:textId="77777777" w:rsidR="0017067E" w:rsidRDefault="0017067E" w:rsidP="0017067E">
            <w:pPr>
              <w:pStyle w:val="NormalWeb"/>
              <w:spacing w:line="276" w:lineRule="auto"/>
              <w:jc w:val="both"/>
              <w:rPr>
                <w:rFonts w:ascii="Verdana" w:hAnsi="Verdana"/>
                <w:sz w:val="22"/>
                <w:szCs w:val="22"/>
              </w:rPr>
            </w:pPr>
            <w:r w:rsidRPr="0017067E">
              <w:rPr>
                <w:rFonts w:ascii="Verdana" w:hAnsi="Verdana"/>
                <w:sz w:val="22"/>
                <w:szCs w:val="22"/>
              </w:rPr>
              <w:t xml:space="preserve">      </w:t>
            </w:r>
          </w:p>
          <w:p w14:paraId="21E8F0C6" w14:textId="3DE57A7D" w:rsidR="0017067E" w:rsidRPr="0017067E" w:rsidRDefault="0017067E" w:rsidP="0017067E">
            <w:pPr>
              <w:pStyle w:val="NormalWeb"/>
              <w:spacing w:line="276" w:lineRule="auto"/>
              <w:jc w:val="both"/>
              <w:rPr>
                <w:rFonts w:ascii="Verdana" w:hAnsi="Verdana"/>
                <w:sz w:val="22"/>
                <w:szCs w:val="22"/>
              </w:rPr>
            </w:pPr>
            <w:r>
              <w:t xml:space="preserve">         </w:t>
            </w:r>
            <w:r w:rsidRPr="0017067E">
              <w:rPr>
                <w:rFonts w:ascii="Verdana" w:hAnsi="Verdana"/>
                <w:sz w:val="22"/>
                <w:szCs w:val="22"/>
              </w:rPr>
              <w:t xml:space="preserve"> </w:t>
            </w:r>
            <w:r w:rsidRPr="0017067E">
              <w:rPr>
                <w:rStyle w:val="citation-525"/>
                <w:rFonts w:ascii="Verdana" w:hAnsi="Verdana"/>
                <w:sz w:val="22"/>
                <w:szCs w:val="22"/>
              </w:rPr>
              <w:t>La normativa que antes lo permitía, como el parágrafo 1 del artículo 2 de la Ley 80 de 1993, fue expresamente derogada por el artículo 32 de la Ley 1150 de 2007</w:t>
            </w:r>
            <w:r w:rsidRPr="0017067E">
              <w:rPr>
                <w:rFonts w:ascii="Verdana" w:hAnsi="Verdana"/>
                <w:sz w:val="22"/>
                <w:szCs w:val="22"/>
              </w:rPr>
              <w:t xml:space="preserve">. </w:t>
            </w:r>
            <w:r w:rsidRPr="0017067E">
              <w:rPr>
                <w:rStyle w:val="citation-524"/>
                <w:rFonts w:ascii="Verdana" w:hAnsi="Verdana"/>
                <w:sz w:val="22"/>
                <w:szCs w:val="22"/>
              </w:rPr>
              <w:t>Esta misma ley, en su artículo 10, obliga a las asociaciones de municipios a competir en procesos de selección abiertos, como licitaciones, en igualdad de condiciones con los particulares</w:t>
            </w:r>
            <w:r w:rsidRPr="0017067E">
              <w:rPr>
                <w:rFonts w:ascii="Verdana" w:hAnsi="Verdana"/>
                <w:sz w:val="22"/>
                <w:szCs w:val="22"/>
              </w:rPr>
              <w:t xml:space="preserve">. </w:t>
            </w:r>
            <w:r w:rsidRPr="0017067E">
              <w:rPr>
                <w:rStyle w:val="citation-523"/>
                <w:rFonts w:ascii="Verdana" w:hAnsi="Verdana"/>
                <w:sz w:val="22"/>
                <w:szCs w:val="22"/>
              </w:rPr>
              <w:t>Adicionalmente, el artículo 92 de la Ley 1474 de 2011, reforzó esta prohibición al exceptuar explícitamente a las asociaciones de entidades públicas de la modalidad de contratación directa para objetos como obras y suministros</w:t>
            </w:r>
            <w:r w:rsidRPr="0017067E">
              <w:rPr>
                <w:rFonts w:ascii="Verdana" w:hAnsi="Verdana"/>
                <w:sz w:val="22"/>
                <w:szCs w:val="22"/>
              </w:rPr>
              <w:t>.</w:t>
            </w:r>
          </w:p>
          <w:p w14:paraId="38ECB9DF" w14:textId="77777777" w:rsidR="0017067E" w:rsidRPr="0017067E" w:rsidRDefault="0017067E" w:rsidP="0017067E">
            <w:pPr>
              <w:pStyle w:val="NormalWeb"/>
              <w:spacing w:line="276" w:lineRule="auto"/>
              <w:jc w:val="both"/>
              <w:rPr>
                <w:rFonts w:ascii="Verdana" w:hAnsi="Verdana"/>
                <w:sz w:val="22"/>
                <w:szCs w:val="22"/>
              </w:rPr>
            </w:pPr>
          </w:p>
          <w:p w14:paraId="41F13466" w14:textId="77777777" w:rsidR="0017067E" w:rsidRPr="0017067E" w:rsidRDefault="0017067E" w:rsidP="0017067E">
            <w:pPr>
              <w:pStyle w:val="NormalWeb"/>
              <w:spacing w:line="276" w:lineRule="auto"/>
              <w:jc w:val="both"/>
              <w:rPr>
                <w:rFonts w:ascii="Verdana" w:hAnsi="Verdana"/>
                <w:sz w:val="22"/>
                <w:szCs w:val="22"/>
              </w:rPr>
            </w:pPr>
            <w:r w:rsidRPr="0017067E">
              <w:rPr>
                <w:rStyle w:val="citation-522"/>
                <w:rFonts w:ascii="Verdana" w:hAnsi="Verdana"/>
                <w:sz w:val="22"/>
                <w:szCs w:val="22"/>
              </w:rPr>
              <w:t xml:space="preserve">         Por otro lado, un municipio sí puede suscribir un convenio interadministrativo de forma directa con una asociación de municipios</w:t>
            </w:r>
            <w:r w:rsidRPr="0017067E">
              <w:rPr>
                <w:rFonts w:ascii="Verdana" w:hAnsi="Verdana"/>
                <w:sz w:val="22"/>
                <w:szCs w:val="22"/>
              </w:rPr>
              <w:t xml:space="preserve">. </w:t>
            </w:r>
            <w:r w:rsidRPr="0017067E">
              <w:rPr>
                <w:rStyle w:val="citation-521"/>
                <w:rFonts w:ascii="Verdana" w:hAnsi="Verdana"/>
                <w:sz w:val="22"/>
                <w:szCs w:val="22"/>
              </w:rPr>
              <w:t>Esto es legalmente viable únicamente si el acuerdo es una verdadera colaboración para cumplir fines comunes, donde ambas partes actúan como cooperantes, realizan aportes y no existe una relación de contratante-contratista ni se pacta el pago de una utilidad</w:t>
            </w:r>
            <w:r w:rsidRPr="0017067E">
              <w:rPr>
                <w:rFonts w:ascii="Verdana" w:hAnsi="Verdana"/>
                <w:sz w:val="22"/>
                <w:szCs w:val="22"/>
              </w:rPr>
              <w:t xml:space="preserve">. </w:t>
            </w:r>
            <w:r w:rsidRPr="0017067E">
              <w:rPr>
                <w:rStyle w:val="citation-520"/>
                <w:rFonts w:ascii="Verdana" w:hAnsi="Verdana"/>
                <w:sz w:val="22"/>
                <w:szCs w:val="22"/>
              </w:rPr>
              <w:t>Esta figura de cooperación se ampara en normas como el artículo 17 de la Ley 1454 de 2011</w:t>
            </w:r>
            <w:r w:rsidRPr="0017067E">
              <w:rPr>
                <w:rFonts w:ascii="Verdana" w:hAnsi="Verdana"/>
                <w:sz w:val="22"/>
                <w:szCs w:val="22"/>
              </w:rPr>
              <w:t>.</w:t>
            </w:r>
          </w:p>
          <w:p w14:paraId="4B628732" w14:textId="77777777" w:rsidR="0017067E" w:rsidRPr="0017067E" w:rsidRDefault="0017067E" w:rsidP="0017067E">
            <w:pPr>
              <w:pStyle w:val="NormalWeb"/>
              <w:spacing w:line="276" w:lineRule="auto"/>
              <w:jc w:val="both"/>
              <w:rPr>
                <w:rFonts w:ascii="Verdana" w:hAnsi="Verdana"/>
                <w:sz w:val="22"/>
                <w:szCs w:val="22"/>
              </w:rPr>
            </w:pPr>
          </w:p>
          <w:p w14:paraId="1F95B1FE" w14:textId="3E98608A" w:rsidR="00871B59" w:rsidRPr="0017067E" w:rsidRDefault="0017067E" w:rsidP="0017067E">
            <w:pPr>
              <w:widowControl w:val="0"/>
              <w:autoSpaceDE w:val="0"/>
              <w:autoSpaceDN w:val="0"/>
              <w:spacing w:after="120" w:line="276" w:lineRule="auto"/>
              <w:ind w:right="108" w:firstLine="709"/>
              <w:jc w:val="both"/>
              <w:rPr>
                <w:rFonts w:ascii="Verdana" w:eastAsia="Arial" w:hAnsi="Verdana" w:cs="Arial"/>
                <w:color w:val="000000"/>
                <w:lang w:val="es-ES"/>
              </w:rPr>
            </w:pPr>
            <w:r w:rsidRPr="0017067E">
              <w:rPr>
                <w:rStyle w:val="citation-519"/>
                <w:rFonts w:ascii="Verdana" w:hAnsi="Verdana"/>
              </w:rPr>
              <w:t xml:space="preserve"> En consecuencia, una administración municipal debe negar la contratación directa si el acuerdo, aunque se denomine "convenio", </w:t>
            </w:r>
            <w:r w:rsidRPr="0017067E">
              <w:rPr>
                <w:rFonts w:ascii="Verdana" w:eastAsia="Arial" w:hAnsi="Verdana" w:cs="Arial"/>
                <w:color w:val="000000"/>
                <w:lang w:val="es-ES"/>
              </w:rPr>
              <w:t xml:space="preserve">constituye una prohibición precisa para celebrar ciertos objetos y tipologías contractuales por parte de personas jurídicas sin ánimo de lucro conformadas por la asociación de entidades públicas. 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w:t>
            </w:r>
            <w:r w:rsidR="00871B59" w:rsidRPr="0017067E">
              <w:rPr>
                <w:rFonts w:ascii="Verdana" w:eastAsia="Calibri" w:hAnsi="Verdana" w:cs="Arial"/>
                <w:color w:val="7030A0"/>
                <w:lang w:val="es-ES"/>
              </w:rPr>
              <w:t xml:space="preserve"> </w:t>
            </w:r>
          </w:p>
        </w:tc>
      </w:tr>
    </w:tbl>
    <w:p w14:paraId="67F1C2B1" w14:textId="77777777" w:rsidR="00871B59" w:rsidRPr="0017067E" w:rsidRDefault="00871B59" w:rsidP="0017067E">
      <w:pPr>
        <w:tabs>
          <w:tab w:val="left" w:pos="142"/>
          <w:tab w:val="left" w:pos="284"/>
        </w:tabs>
        <w:spacing w:after="0" w:line="276" w:lineRule="auto"/>
        <w:jc w:val="both"/>
        <w:rPr>
          <w:rFonts w:ascii="Verdana" w:eastAsia="Century Gothic" w:hAnsi="Verdana" w:cs="Century Gothic"/>
          <w:b/>
          <w:bCs/>
          <w:lang w:val="es-ES"/>
        </w:rPr>
      </w:pPr>
    </w:p>
    <w:p w14:paraId="40C6EC93" w14:textId="77777777" w:rsidR="00871B59" w:rsidRPr="0017067E" w:rsidRDefault="00871B59" w:rsidP="0017067E">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17067E">
        <w:rPr>
          <w:rFonts w:ascii="Verdana" w:eastAsia="Century Gothic" w:hAnsi="Verdana" w:cs="Century Gothic"/>
          <w:b/>
          <w:bCs/>
          <w:lang w:val="es-ES"/>
        </w:rPr>
        <w:t>Razones de la respuesta:</w:t>
      </w:r>
    </w:p>
    <w:p w14:paraId="2A6E88F0" w14:textId="77777777" w:rsidR="00871B59" w:rsidRPr="0017067E" w:rsidRDefault="00871B59" w:rsidP="0017067E">
      <w:pPr>
        <w:spacing w:after="0" w:line="276" w:lineRule="auto"/>
        <w:jc w:val="both"/>
        <w:rPr>
          <w:rFonts w:ascii="Verdana" w:eastAsia="Calibri" w:hAnsi="Verdana" w:cs="Arial"/>
          <w:color w:val="7030A0"/>
          <w:lang w:val="es-ES"/>
        </w:rPr>
      </w:pPr>
    </w:p>
    <w:p w14:paraId="6D88283D" w14:textId="77777777" w:rsidR="00871B59" w:rsidRPr="0017067E" w:rsidRDefault="00871B59" w:rsidP="0017067E">
      <w:pPr>
        <w:spacing w:after="0" w:line="276" w:lineRule="auto"/>
        <w:jc w:val="both"/>
        <w:rPr>
          <w:rFonts w:ascii="Verdana" w:eastAsia="Calibri" w:hAnsi="Verdana" w:cs="Arial"/>
          <w:lang w:val="es-ES"/>
        </w:rPr>
      </w:pPr>
      <w:r w:rsidRPr="0017067E">
        <w:rPr>
          <w:rFonts w:ascii="Verdana" w:eastAsia="Calibri" w:hAnsi="Verdana" w:cs="Arial"/>
          <w:lang w:val="es-ES"/>
        </w:rPr>
        <w:t xml:space="preserve">Lo anterior se sustenta en las siguientes consideraciones: </w:t>
      </w:r>
    </w:p>
    <w:p w14:paraId="1B7CB030" w14:textId="77777777" w:rsidR="00983695" w:rsidRPr="0017067E" w:rsidRDefault="00983695" w:rsidP="0017067E">
      <w:pPr>
        <w:spacing w:after="0" w:line="276" w:lineRule="auto"/>
        <w:jc w:val="both"/>
        <w:rPr>
          <w:rFonts w:ascii="Verdana" w:eastAsia="Calibri" w:hAnsi="Verdana" w:cs="Arial"/>
          <w:color w:val="7030A0"/>
          <w:lang w:val="es-ES"/>
        </w:rPr>
      </w:pPr>
    </w:p>
    <w:p w14:paraId="2CD9BA50" w14:textId="77777777" w:rsidR="00A6205A" w:rsidRPr="0017067E" w:rsidRDefault="00A6205A" w:rsidP="0017067E">
      <w:pPr>
        <w:spacing w:after="120" w:line="276" w:lineRule="auto"/>
        <w:jc w:val="both"/>
        <w:rPr>
          <w:rFonts w:ascii="Verdana" w:eastAsia="Times New Roman" w:hAnsi="Verdana" w:cs="Arial"/>
          <w:color w:val="000000"/>
          <w:lang w:eastAsia="es-CO"/>
        </w:rPr>
      </w:pPr>
      <w:bookmarkStart w:id="2" w:name="OLE_LINK6"/>
      <w:r w:rsidRPr="0017067E">
        <w:rPr>
          <w:rFonts w:ascii="Verdana" w:eastAsia="Times New Roman" w:hAnsi="Verdana" w:cs="Arial"/>
          <w:color w:val="000000"/>
          <w:lang w:val="es-ES_tradnl" w:eastAsia="es-CO"/>
        </w:rPr>
        <w:t>i. La contratación Estatal constituye un instrumento a través del cual las Entidades Públicas realizan el aprovisionamiento de sus bienes, obras y servicios, con el propósito de satisfacer las necesidades e intereses colectivos</w:t>
      </w:r>
      <w:r w:rsidRPr="0017067E">
        <w:rPr>
          <w:rFonts w:ascii="Verdana" w:hAnsi="Verdana"/>
          <w:vertAlign w:val="superscript"/>
          <w:lang w:eastAsia="es-CO"/>
        </w:rPr>
        <w:footnoteReference w:id="2"/>
      </w:r>
      <w:r w:rsidRPr="0017067E">
        <w:rPr>
          <w:rFonts w:ascii="Verdana" w:eastAsia="Times New Roman" w:hAnsi="Verdana" w:cs="Arial"/>
          <w:color w:val="000000"/>
          <w:lang w:val="es-ES_tradnl" w:eastAsia="es-CO"/>
        </w:rPr>
        <w:t xml:space="preserve">. Para este propósito se sirve de la colaboración de los particulares o de otras entidades que integran la administración pública. </w:t>
      </w:r>
      <w:r w:rsidRPr="0017067E">
        <w:rPr>
          <w:rFonts w:ascii="Verdana" w:eastAsia="Times New Roman" w:hAnsi="Verdana" w:cs="Arial"/>
          <w:color w:val="000000"/>
          <w:lang w:eastAsia="es-CO"/>
        </w:rPr>
        <w:t>Cuando se trata de contratos celebrados por dos Entidades Estatales, tales negocios jurídicos se han denominado como interadministrativos, en el entendido de que son celebrados entre Entidades Públicas. En efecto, la doctrina ha señalado que “se denominan contratos interadministrativos los contratos bilaterales celebrados entre dos entidades estatales”</w:t>
      </w:r>
      <w:r w:rsidRPr="0017067E">
        <w:rPr>
          <w:rFonts w:ascii="Verdana" w:hAnsi="Verdana"/>
          <w:vertAlign w:val="superscript"/>
          <w:lang w:eastAsia="es-CO"/>
        </w:rPr>
        <w:footnoteReference w:id="3"/>
      </w:r>
      <w:r w:rsidRPr="0017067E">
        <w:rPr>
          <w:rFonts w:ascii="Verdana" w:eastAsia="Times New Roman" w:hAnsi="Verdana" w:cs="Arial"/>
          <w:color w:val="000000"/>
          <w:lang w:eastAsia="es-CO"/>
        </w:rPr>
        <w:t xml:space="preserve">. </w:t>
      </w:r>
    </w:p>
    <w:p w14:paraId="37CD5007" w14:textId="77777777" w:rsidR="00A6205A" w:rsidRPr="0017067E" w:rsidRDefault="00A6205A" w:rsidP="00A6205A">
      <w:pPr>
        <w:spacing w:after="120" w:line="276" w:lineRule="auto"/>
        <w:ind w:firstLine="707"/>
        <w:jc w:val="both"/>
        <w:rPr>
          <w:rFonts w:ascii="Verdana" w:eastAsiaTheme="minorEastAsia" w:hAnsi="Verdana" w:cs="Arial"/>
          <w:lang w:eastAsia="es-CO"/>
        </w:rPr>
      </w:pPr>
      <w:r w:rsidRPr="0017067E">
        <w:rPr>
          <w:rFonts w:ascii="Verdana" w:eastAsiaTheme="minorEastAsia" w:hAnsi="Verdana" w:cs="Arial"/>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5A83E286" w14:textId="77777777" w:rsidR="00A6205A" w:rsidRPr="0017067E" w:rsidRDefault="00A6205A" w:rsidP="00A6205A">
      <w:pPr>
        <w:spacing w:after="120" w:line="276" w:lineRule="auto"/>
        <w:ind w:firstLine="707"/>
        <w:jc w:val="both"/>
        <w:rPr>
          <w:rFonts w:ascii="Verdana" w:eastAsiaTheme="minorEastAsia" w:hAnsi="Verdana" w:cs="Arial"/>
          <w:lang w:eastAsia="es-CO"/>
        </w:rPr>
      </w:pPr>
      <w:r w:rsidRPr="0017067E">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17067E">
        <w:rPr>
          <w:rFonts w:ascii="Verdana" w:eastAsiaTheme="minorEastAsia" w:hAnsi="Verdana" w:cs="Arial"/>
          <w:vertAlign w:val="superscript"/>
          <w:lang w:eastAsia="es-CO"/>
        </w:rPr>
        <w:footnoteReference w:id="4"/>
      </w:r>
      <w:r w:rsidRPr="0017067E">
        <w:rPr>
          <w:rFonts w:ascii="Verdana" w:eastAsiaTheme="minorEastAsia" w:hAnsi="Verdana" w:cs="Arial"/>
          <w:lang w:eastAsia="es-CO"/>
        </w:rPr>
        <w:t xml:space="preserve">. Nótese </w:t>
      </w:r>
      <w:r w:rsidRPr="0017067E">
        <w:rPr>
          <w:rFonts w:ascii="Verdana" w:eastAsiaTheme="minorEastAsia" w:hAnsi="Verdana" w:cs="Arial"/>
          <w:lang w:eastAsia="es-CO"/>
        </w:rPr>
        <w:lastRenderedPageBreak/>
        <w:t>que, en este caso, lo que cambia es la modalidad de selección y no la naturaleza de contrato</w:t>
      </w:r>
      <w:r w:rsidRPr="0017067E">
        <w:rPr>
          <w:rFonts w:ascii="Verdana" w:eastAsiaTheme="minorEastAsia" w:hAnsi="Verdana" w:cs="Arial"/>
          <w:spacing w:val="-18"/>
          <w:lang w:eastAsia="es-CO"/>
        </w:rPr>
        <w:t xml:space="preserve"> </w:t>
      </w:r>
      <w:r w:rsidRPr="0017067E">
        <w:rPr>
          <w:rFonts w:ascii="Verdana" w:eastAsiaTheme="minorEastAsia" w:hAnsi="Verdana" w:cs="Arial"/>
          <w:lang w:eastAsia="es-CO"/>
        </w:rPr>
        <w:t>interadministrativo.</w:t>
      </w:r>
    </w:p>
    <w:p w14:paraId="1096218C" w14:textId="77777777" w:rsidR="00A6205A" w:rsidRPr="0017067E" w:rsidRDefault="00A6205A" w:rsidP="00A6205A">
      <w:pPr>
        <w:spacing w:after="120" w:line="276" w:lineRule="auto"/>
        <w:ind w:firstLine="709"/>
        <w:jc w:val="both"/>
        <w:rPr>
          <w:rFonts w:ascii="Verdana" w:eastAsiaTheme="minorEastAsia" w:hAnsi="Verdana" w:cs="Arial"/>
          <w:lang w:eastAsia="es-CO"/>
        </w:rPr>
      </w:pPr>
      <w:r w:rsidRPr="0017067E">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17067E">
        <w:rPr>
          <w:rFonts w:ascii="Verdana" w:eastAsiaTheme="minorEastAsia" w:hAnsi="Verdana" w:cs="Arial"/>
          <w:vertAlign w:val="superscript"/>
          <w:lang w:eastAsia="es-CO"/>
        </w:rPr>
        <w:footnoteReference w:id="5"/>
      </w:r>
      <w:r w:rsidRPr="0017067E">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6A91BCCB" w14:textId="77777777" w:rsidR="00A6205A" w:rsidRPr="0017067E" w:rsidRDefault="00A6205A" w:rsidP="00A6205A">
      <w:pPr>
        <w:spacing w:after="0" w:line="276" w:lineRule="auto"/>
        <w:ind w:firstLine="709"/>
        <w:jc w:val="both"/>
        <w:rPr>
          <w:rFonts w:ascii="Verdana" w:eastAsiaTheme="minorEastAsia" w:hAnsi="Verdana" w:cs="Arial"/>
          <w:lang w:eastAsia="es-CO"/>
        </w:rPr>
      </w:pPr>
      <w:r w:rsidRPr="0017067E">
        <w:rPr>
          <w:rFonts w:ascii="Verdana" w:eastAsiaTheme="minorEastAsia" w:hAnsi="Verdana" w:cs="Arial"/>
          <w:lang w:eastAsia="es-CO"/>
        </w:rPr>
        <w:t xml:space="preserve">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740495C7" w14:textId="77777777" w:rsidR="00A6205A" w:rsidRPr="0017067E" w:rsidRDefault="00A6205A" w:rsidP="00A6205A">
      <w:pPr>
        <w:spacing w:after="0" w:line="276" w:lineRule="auto"/>
        <w:ind w:firstLine="709"/>
        <w:jc w:val="both"/>
        <w:rPr>
          <w:rFonts w:ascii="Verdana" w:eastAsiaTheme="minorEastAsia" w:hAnsi="Verdana" w:cs="Arial"/>
          <w:lang w:eastAsia="es-CO"/>
        </w:rPr>
      </w:pPr>
    </w:p>
    <w:p w14:paraId="6EF2F1EB" w14:textId="77777777" w:rsidR="00A6205A" w:rsidRPr="0017067E" w:rsidRDefault="00A6205A" w:rsidP="00A6205A">
      <w:pPr>
        <w:spacing w:after="0" w:line="240" w:lineRule="auto"/>
        <w:ind w:left="709" w:right="709"/>
        <w:jc w:val="both"/>
        <w:rPr>
          <w:rFonts w:ascii="Verdana" w:eastAsiaTheme="minorEastAsia" w:hAnsi="Verdana" w:cs="Arial"/>
          <w:lang w:eastAsia="es-CO"/>
        </w:rPr>
      </w:pPr>
      <w:r w:rsidRPr="0017067E">
        <w:rPr>
          <w:rFonts w:ascii="Verdana" w:eastAsiaTheme="minorEastAsia" w:hAnsi="Verdana" w:cs="Arial"/>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7937C385" w14:textId="77777777" w:rsidR="00A6205A" w:rsidRPr="0017067E" w:rsidRDefault="00A6205A" w:rsidP="00A6205A">
      <w:pPr>
        <w:numPr>
          <w:ilvl w:val="0"/>
          <w:numId w:val="9"/>
        </w:numPr>
        <w:spacing w:after="0" w:line="240" w:lineRule="auto"/>
        <w:ind w:left="709" w:right="709"/>
        <w:contextualSpacing/>
        <w:jc w:val="both"/>
        <w:rPr>
          <w:rFonts w:ascii="Verdana" w:eastAsiaTheme="minorEastAsia" w:hAnsi="Verdana" w:cs="Arial"/>
          <w:lang w:val="es-ES" w:eastAsia="es-CO"/>
        </w:rPr>
      </w:pPr>
      <w:r w:rsidRPr="0017067E">
        <w:rPr>
          <w:rFonts w:ascii="Verdana" w:eastAsiaTheme="minorEastAsia" w:hAnsi="Verdana" w:cs="Arial"/>
          <w:lang w:val="es-ES" w:eastAsia="es-CO"/>
        </w:rPr>
        <w:t xml:space="preserve">El objeto de los contratos lo constituyen obligaciones de contenido patrimonial y, por </w:t>
      </w:r>
      <w:r w:rsidRPr="0017067E">
        <w:rPr>
          <w:rFonts w:ascii="Verdana" w:eastAsiaTheme="minorEastAsia" w:hAnsi="Verdana" w:cs="Arial"/>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6B54CEF5" w14:textId="77777777" w:rsidR="00A6205A" w:rsidRPr="0017067E" w:rsidRDefault="00A6205A" w:rsidP="00A6205A">
      <w:pPr>
        <w:numPr>
          <w:ilvl w:val="0"/>
          <w:numId w:val="9"/>
        </w:numPr>
        <w:spacing w:after="0" w:line="240" w:lineRule="auto"/>
        <w:ind w:left="709" w:right="709"/>
        <w:contextualSpacing/>
        <w:jc w:val="both"/>
        <w:rPr>
          <w:rFonts w:ascii="Verdana" w:eastAsiaTheme="minorEastAsia" w:hAnsi="Verdana" w:cs="Arial"/>
          <w:lang w:val="es-ES" w:eastAsia="es-CO"/>
        </w:rPr>
      </w:pPr>
      <w:r w:rsidRPr="0017067E">
        <w:rPr>
          <w:rFonts w:ascii="Verdana" w:eastAsiaTheme="minorEastAsia" w:hAnsi="Verdana" w:cs="Arial"/>
          <w:lang w:eastAsia="es-CO"/>
        </w:rPr>
        <w:lastRenderedPageBreak/>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2F9480C5" w14:textId="77777777" w:rsidR="00A6205A" w:rsidRPr="0017067E" w:rsidRDefault="00A6205A" w:rsidP="00A6205A">
      <w:pPr>
        <w:numPr>
          <w:ilvl w:val="0"/>
          <w:numId w:val="9"/>
        </w:numPr>
        <w:spacing w:after="0" w:line="240" w:lineRule="auto"/>
        <w:ind w:left="709" w:right="709"/>
        <w:contextualSpacing/>
        <w:jc w:val="both"/>
        <w:rPr>
          <w:rFonts w:ascii="Verdana" w:eastAsiaTheme="minorEastAsia" w:hAnsi="Verdana" w:cs="Arial"/>
          <w:lang w:val="es-ES" w:eastAsia="es-CO"/>
        </w:rPr>
      </w:pPr>
      <w:r w:rsidRPr="0017067E">
        <w:rPr>
          <w:rFonts w:ascii="Verdana" w:eastAsiaTheme="minorEastAsia" w:hAnsi="Verdana" w:cs="Arial"/>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17067E">
        <w:rPr>
          <w:rFonts w:ascii="Verdana" w:eastAsiaTheme="minorEastAsia" w:hAnsi="Verdana" w:cs="Arial"/>
          <w:vertAlign w:val="superscript"/>
          <w:lang w:eastAsia="es-CO"/>
        </w:rPr>
        <w:footnoteReference w:id="6"/>
      </w:r>
      <w:r w:rsidRPr="0017067E">
        <w:rPr>
          <w:rFonts w:ascii="Verdana" w:eastAsiaTheme="minorEastAsia" w:hAnsi="Verdana" w:cs="Arial"/>
          <w:lang w:eastAsia="es-CO"/>
        </w:rPr>
        <w:t>.</w:t>
      </w:r>
    </w:p>
    <w:p w14:paraId="6F1CD177" w14:textId="77777777" w:rsidR="00A6205A" w:rsidRPr="0017067E" w:rsidRDefault="00A6205A" w:rsidP="00A6205A">
      <w:pPr>
        <w:spacing w:after="0" w:line="276" w:lineRule="auto"/>
        <w:ind w:right="709"/>
        <w:jc w:val="both"/>
        <w:rPr>
          <w:rFonts w:ascii="Verdana" w:eastAsia="Times New Roman" w:hAnsi="Verdana" w:cs="Arial"/>
          <w:lang w:eastAsia="es-ES_tradnl"/>
        </w:rPr>
      </w:pPr>
    </w:p>
    <w:p w14:paraId="3F9CC282" w14:textId="77777777" w:rsidR="00A6205A" w:rsidRPr="0017067E" w:rsidRDefault="00A6205A" w:rsidP="00A6205A">
      <w:pPr>
        <w:spacing w:after="0" w:line="276" w:lineRule="auto"/>
        <w:ind w:firstLine="709"/>
        <w:jc w:val="both"/>
        <w:rPr>
          <w:rFonts w:ascii="Verdana" w:eastAsiaTheme="minorEastAsia" w:hAnsi="Verdana" w:cs="Arial"/>
          <w:lang w:eastAsia="es-CO"/>
        </w:rPr>
      </w:pPr>
      <w:r w:rsidRPr="0017067E">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7BDECDDD" w14:textId="77777777" w:rsidR="00A6205A" w:rsidRPr="0017067E" w:rsidRDefault="00A6205A" w:rsidP="00A6205A">
      <w:pPr>
        <w:spacing w:after="0" w:line="276" w:lineRule="auto"/>
        <w:ind w:firstLine="709"/>
        <w:jc w:val="both"/>
        <w:rPr>
          <w:rFonts w:ascii="Verdana" w:eastAsiaTheme="minorEastAsia" w:hAnsi="Verdana" w:cs="Arial"/>
          <w:lang w:eastAsia="es-CO"/>
        </w:rPr>
      </w:pPr>
    </w:p>
    <w:p w14:paraId="2D8C92EB" w14:textId="77777777" w:rsidR="00A6205A" w:rsidRPr="0017067E" w:rsidRDefault="00A6205A" w:rsidP="00A6205A">
      <w:pPr>
        <w:spacing w:after="0" w:line="240" w:lineRule="auto"/>
        <w:ind w:left="709" w:right="709"/>
        <w:jc w:val="both"/>
        <w:rPr>
          <w:rFonts w:ascii="Verdana" w:eastAsiaTheme="minorEastAsia" w:hAnsi="Verdana" w:cs="Arial"/>
          <w:lang w:eastAsia="es-CO"/>
        </w:rPr>
      </w:pPr>
      <w:r w:rsidRPr="0017067E">
        <w:rPr>
          <w:rFonts w:ascii="Verdana" w:eastAsiaTheme="minorEastAsia" w:hAnsi="Verdana" w:cs="Arial"/>
          <w:lang w:eastAsia="es-CO"/>
        </w:rPr>
        <w:t xml:space="preserve">“De acuerdo con todo lo anteriormente expuesto, podemos manifestar que el convenio interadministrativo es el negocio jurídico </w:t>
      </w:r>
      <w:r w:rsidRPr="0017067E">
        <w:rPr>
          <w:rFonts w:ascii="Verdana" w:eastAsiaTheme="minorEastAsia" w:hAnsi="Verdana" w:cs="Arial"/>
          <w:lang w:eastAsia="es-CO"/>
        </w:rPr>
        <w:lastRenderedPageBreak/>
        <w:t>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04ED0FFA" w14:textId="77777777" w:rsidR="00A6205A" w:rsidRPr="0017067E" w:rsidRDefault="00A6205A" w:rsidP="00A6205A">
      <w:pPr>
        <w:spacing w:after="0" w:line="240" w:lineRule="auto"/>
        <w:ind w:left="709" w:right="709"/>
        <w:jc w:val="both"/>
        <w:rPr>
          <w:rFonts w:ascii="Verdana" w:eastAsiaTheme="minorEastAsia" w:hAnsi="Verdana" w:cs="Arial"/>
          <w:lang w:eastAsia="es-CO"/>
        </w:rPr>
      </w:pPr>
      <w:r w:rsidRPr="0017067E">
        <w:rPr>
          <w:rFonts w:ascii="Verdana" w:eastAsiaTheme="minorEastAsia" w:hAnsi="Verdana" w:cs="Arial"/>
          <w:lang w:eastAsia="es-CO"/>
        </w:rPr>
        <w:t>[…]</w:t>
      </w:r>
    </w:p>
    <w:p w14:paraId="158A8BB1" w14:textId="77777777" w:rsidR="00A6205A" w:rsidRPr="0017067E" w:rsidRDefault="00A6205A" w:rsidP="00A6205A">
      <w:pPr>
        <w:autoSpaceDE w:val="0"/>
        <w:autoSpaceDN w:val="0"/>
        <w:adjustRightInd w:val="0"/>
        <w:spacing w:after="0" w:line="240" w:lineRule="auto"/>
        <w:ind w:left="709" w:right="709"/>
        <w:jc w:val="both"/>
        <w:rPr>
          <w:rFonts w:ascii="Verdana" w:hAnsi="Verdana" w:cs="Weiss"/>
        </w:rPr>
      </w:pPr>
      <w:r w:rsidRPr="0017067E">
        <w:rPr>
          <w:rFonts w:ascii="Verdana" w:hAnsi="Verdana" w:cs="Weiss"/>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17067E">
        <w:rPr>
          <w:rFonts w:ascii="Verdana" w:hAnsi="Verdana" w:cs="Weiss"/>
          <w:vertAlign w:val="superscript"/>
        </w:rPr>
        <w:footnoteReference w:id="7"/>
      </w:r>
      <w:r w:rsidRPr="0017067E">
        <w:rPr>
          <w:rFonts w:ascii="Verdana" w:hAnsi="Verdana" w:cs="Weiss"/>
        </w:rPr>
        <w:t>.</w:t>
      </w:r>
    </w:p>
    <w:p w14:paraId="7F1DBCAB" w14:textId="77777777" w:rsidR="00A6205A" w:rsidRPr="0017067E" w:rsidRDefault="00A6205A" w:rsidP="00A6205A">
      <w:pPr>
        <w:spacing w:after="120" w:line="276" w:lineRule="auto"/>
        <w:jc w:val="both"/>
        <w:rPr>
          <w:rFonts w:ascii="Verdana" w:eastAsiaTheme="minorEastAsia" w:hAnsi="Verdana" w:cs="Arial"/>
          <w:lang w:eastAsia="es-CO"/>
        </w:rPr>
      </w:pPr>
    </w:p>
    <w:p w14:paraId="32DBF53E" w14:textId="77777777" w:rsidR="00A6205A" w:rsidRPr="0017067E" w:rsidRDefault="00A6205A" w:rsidP="00A6205A">
      <w:pPr>
        <w:spacing w:after="0" w:line="276" w:lineRule="auto"/>
        <w:ind w:firstLine="709"/>
        <w:jc w:val="both"/>
        <w:rPr>
          <w:rFonts w:ascii="Verdana" w:eastAsiaTheme="minorEastAsia" w:hAnsi="Verdana" w:cs="Arial"/>
          <w:lang w:eastAsia="es-CO"/>
        </w:rPr>
      </w:pPr>
      <w:r w:rsidRPr="0017067E">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17067E">
        <w:rPr>
          <w:rFonts w:ascii="Verdana" w:eastAsiaTheme="minorEastAsia" w:hAnsi="Verdana" w:cs="Arial"/>
          <w:vertAlign w:val="superscript"/>
          <w:lang w:eastAsia="es-CO"/>
        </w:rPr>
        <w:footnoteReference w:id="8"/>
      </w:r>
      <w:r w:rsidRPr="0017067E">
        <w:rPr>
          <w:rFonts w:ascii="Verdana" w:eastAsiaTheme="minorEastAsia" w:hAnsi="Verdana" w:cs="Arial"/>
          <w:lang w:eastAsia="es-CO"/>
        </w:rPr>
        <w:t xml:space="preserve">. De esta manera, el Consejo de Estado expresa:  </w:t>
      </w:r>
    </w:p>
    <w:p w14:paraId="3B5C0E6F" w14:textId="77777777" w:rsidR="00A6205A" w:rsidRPr="0017067E" w:rsidRDefault="00A6205A" w:rsidP="00A6205A">
      <w:pPr>
        <w:widowControl w:val="0"/>
        <w:autoSpaceDE w:val="0"/>
        <w:autoSpaceDN w:val="0"/>
        <w:spacing w:after="120" w:line="276" w:lineRule="auto"/>
        <w:jc w:val="both"/>
        <w:rPr>
          <w:rFonts w:ascii="Verdana" w:eastAsia="Arial MT" w:hAnsi="Verdana" w:cs="Arial MT"/>
        </w:rPr>
      </w:pPr>
    </w:p>
    <w:p w14:paraId="55A29A08"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i/>
          <w:iCs/>
        </w:rPr>
      </w:pPr>
      <w:r w:rsidRPr="0017067E">
        <w:rPr>
          <w:rFonts w:ascii="Verdana" w:eastAsia="Arial MT" w:hAnsi="Verdana" w:cs="Arial MT"/>
          <w:i/>
          <w:iCs/>
        </w:rPr>
        <w:t xml:space="preserve">“La finalidad asociativa de los “convenios interadministrativos” previstos en el artículo 95 de la Ley 489 de 1998, en el plano de </w:t>
      </w:r>
      <w:r w:rsidRPr="0017067E">
        <w:rPr>
          <w:rFonts w:ascii="Verdana" w:eastAsia="Arial MT" w:hAnsi="Verdana" w:cs="Arial MT"/>
          <w:i/>
          <w:iCs/>
        </w:rPr>
        <w:lastRenderedPageBreak/>
        <w:t xml:space="preserve">derecho público en el que se enmarcan, impide una aplicación automática del régimen contractual de los contratos estatales, imbuido por lo demás por las disposiciones civiles y comerciales, salvo las materias especialmente reguladas en el EGCAP. </w:t>
      </w:r>
    </w:p>
    <w:p w14:paraId="59FBF959"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rPr>
      </w:pPr>
    </w:p>
    <w:p w14:paraId="3299C05F"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i/>
          <w:iCs/>
        </w:rPr>
      </w:pPr>
      <w:r w:rsidRPr="0017067E">
        <w:rPr>
          <w:rFonts w:ascii="Verdana" w:eastAsia="Arial MT" w:hAnsi="Verdana" w:cs="Arial MT"/>
          <w:i/>
          <w:iCs/>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4F75CBB6"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rPr>
      </w:pPr>
    </w:p>
    <w:p w14:paraId="7514DEBA" w14:textId="77777777" w:rsidR="00A6205A" w:rsidRPr="0017067E" w:rsidRDefault="00A6205A" w:rsidP="00A6205A">
      <w:pPr>
        <w:widowControl w:val="0"/>
        <w:autoSpaceDE w:val="0"/>
        <w:autoSpaceDN w:val="0"/>
        <w:spacing w:after="0" w:line="240" w:lineRule="auto"/>
        <w:ind w:left="709" w:right="709"/>
        <w:jc w:val="both"/>
        <w:rPr>
          <w:rFonts w:ascii="Verdana" w:eastAsia="Arial MT" w:hAnsi="Verdana" w:cs="Arial MT"/>
          <w:lang w:val="es-ES"/>
        </w:rPr>
      </w:pPr>
      <w:r w:rsidRPr="0017067E">
        <w:rPr>
          <w:rFonts w:ascii="Verdana" w:eastAsia="Arial MT" w:hAnsi="Verdana" w:cs="Arial MT"/>
          <w:i/>
          <w:iCs/>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17067E">
        <w:rPr>
          <w:rFonts w:ascii="Verdana" w:eastAsia="Arial MT" w:hAnsi="Verdana" w:cs="Arial MT"/>
          <w:i/>
          <w:iCs/>
          <w:vertAlign w:val="superscript"/>
        </w:rPr>
        <w:footnoteReference w:id="9"/>
      </w:r>
      <w:r w:rsidRPr="0017067E">
        <w:rPr>
          <w:rFonts w:ascii="Verdana" w:eastAsia="Arial MT" w:hAnsi="Verdana" w:cs="Arial MT"/>
          <w:i/>
          <w:iCs/>
        </w:rPr>
        <w:t>.</w:t>
      </w:r>
    </w:p>
    <w:p w14:paraId="3CB18F10" w14:textId="77777777" w:rsidR="00A6205A" w:rsidRPr="0017067E" w:rsidRDefault="00A6205A" w:rsidP="00A6205A">
      <w:pPr>
        <w:spacing w:after="0" w:line="276" w:lineRule="auto"/>
        <w:ind w:firstLine="708"/>
        <w:jc w:val="both"/>
        <w:rPr>
          <w:rFonts w:ascii="Verdana" w:eastAsiaTheme="minorEastAsia" w:hAnsi="Verdana" w:cs="Arial"/>
          <w:lang w:val="es-ES" w:eastAsia="es-CO"/>
        </w:rPr>
      </w:pPr>
    </w:p>
    <w:p w14:paraId="3C6ABA61" w14:textId="7F7BDA5B" w:rsidR="00A6205A" w:rsidRPr="0017067E" w:rsidRDefault="00A6205A" w:rsidP="00CF40EB">
      <w:pPr>
        <w:spacing w:after="0" w:line="276" w:lineRule="auto"/>
        <w:ind w:firstLine="708"/>
        <w:jc w:val="both"/>
        <w:rPr>
          <w:rFonts w:ascii="Verdana" w:eastAsia="Calibri" w:hAnsi="Verdana" w:cs="Arial"/>
          <w:lang w:val="es-ES_tradnl"/>
        </w:rPr>
      </w:pPr>
      <w:r w:rsidRPr="0017067E">
        <w:rPr>
          <w:rFonts w:ascii="Verdana" w:eastAsiaTheme="minorEastAsia" w:hAnsi="Verdana" w:cs="Arial"/>
          <w:lang w:eastAsia="es-CO"/>
        </w:rPr>
        <w:t xml:space="preserve">Teniendo en cuenta, será menester analizar la procedencia de suscribir contratos interadministrativos, así como convenios interadministrativos entre las asociaciones de municipios con los municipios, para la ejecución contratos, en especial los de obra o infraestructura, precisando que la jurisprudencia del Consejo de Estado los ha diferenciado. </w:t>
      </w:r>
    </w:p>
    <w:p w14:paraId="164E7B47" w14:textId="77777777" w:rsidR="00CF40EB" w:rsidRPr="0017067E" w:rsidRDefault="00CF40EB" w:rsidP="00CF40EB">
      <w:pPr>
        <w:spacing w:after="0" w:line="276" w:lineRule="auto"/>
        <w:ind w:firstLine="708"/>
        <w:jc w:val="both"/>
        <w:rPr>
          <w:rFonts w:ascii="Verdana" w:eastAsia="Calibri" w:hAnsi="Verdana" w:cs="Arial"/>
          <w:lang w:val="es-ES_tradnl"/>
        </w:rPr>
      </w:pPr>
    </w:p>
    <w:p w14:paraId="4796CB81" w14:textId="77777777" w:rsidR="00A6205A" w:rsidRPr="0017067E" w:rsidRDefault="00A6205A" w:rsidP="00A6205A">
      <w:pPr>
        <w:spacing w:after="0" w:line="276" w:lineRule="auto"/>
        <w:jc w:val="both"/>
        <w:rPr>
          <w:rFonts w:ascii="Verdana" w:eastAsia="Calibri" w:hAnsi="Verdana" w:cs="Times New Roman"/>
          <w:color w:val="000000"/>
        </w:rPr>
      </w:pPr>
      <w:proofErr w:type="spellStart"/>
      <w:r w:rsidRPr="0017067E">
        <w:rPr>
          <w:rFonts w:ascii="Verdana" w:eastAsia="Calibri" w:hAnsi="Verdana" w:cs="Arial"/>
          <w:lang w:val="es-ES_tradnl"/>
        </w:rPr>
        <w:lastRenderedPageBreak/>
        <w:t>ii</w:t>
      </w:r>
      <w:proofErr w:type="spellEnd"/>
      <w:r w:rsidRPr="0017067E">
        <w:rPr>
          <w:rFonts w:ascii="Verdana" w:eastAsia="Calibri" w:hAnsi="Verdana" w:cs="Arial"/>
          <w:lang w:val="es-ES_tradnl"/>
        </w:rPr>
        <w:t xml:space="preserve">. </w:t>
      </w:r>
      <w:r w:rsidRPr="0017067E">
        <w:rPr>
          <w:rFonts w:ascii="Verdana" w:eastAsia="Calibri" w:hAnsi="Verdana" w:cs="Times New Roman"/>
          <w:color w:val="000000"/>
        </w:rPr>
        <w:t xml:space="preserve">En lo referente a la </w:t>
      </w:r>
      <w:r w:rsidRPr="0017067E">
        <w:rPr>
          <w:rFonts w:ascii="Verdana" w:eastAsia="Calibri" w:hAnsi="Verdana" w:cs="Times New Roman"/>
          <w:i/>
          <w:iCs/>
          <w:color w:val="000000"/>
        </w:rPr>
        <w:t>asociación de municipios</w:t>
      </w:r>
      <w:r w:rsidRPr="0017067E">
        <w:rPr>
          <w:rFonts w:ascii="Verdana" w:eastAsia="Calibri" w:hAnsi="Verdana" w:cs="Times New Roman"/>
          <w:color w:val="000000"/>
        </w:rPr>
        <w:t>, la Ley 136 de 1994, en el artículo 149 señaló que esas asociaciones “son entidades administrativas de derecho público, con personería jurídica y patrimonio propio e independiente de los entes que la conforman; se rige por sus propios estatutos y gozarán para el desarrollo de su objetivo, de los mismos derechos, privilegios, excepciones y prerrogativas otorgadas por la ley a los municipios. Los actos de las asociaciones son revisables y anulables por la Jurisdicción Contencioso-administrativa”.</w:t>
      </w:r>
    </w:p>
    <w:p w14:paraId="7F09E84E" w14:textId="77777777" w:rsidR="00A6205A" w:rsidRPr="0017067E" w:rsidRDefault="00A6205A" w:rsidP="00A6205A">
      <w:pPr>
        <w:spacing w:before="120" w:after="0" w:line="276" w:lineRule="auto"/>
        <w:ind w:firstLine="708"/>
        <w:jc w:val="both"/>
        <w:rPr>
          <w:rFonts w:ascii="Verdana" w:eastAsia="Calibri" w:hAnsi="Verdana" w:cs="Times New Roman"/>
          <w:color w:val="000000"/>
        </w:rPr>
      </w:pPr>
      <w:r w:rsidRPr="0017067E">
        <w:rPr>
          <w:rFonts w:ascii="Verdana" w:eastAsia="Calibri" w:hAnsi="Verdana" w:cs="Times New Roman"/>
          <w:color w:val="000000"/>
        </w:rPr>
        <w:t>Por su parte, el artículo 148 de la referida Ley 136 de 1994 autorizó que “Dos o más municipios de uno o más departamentos podrán asociarse para organizar conjuntamente la prestación de servicios públicos, la ejecución de obras o el cumplimiento de funciones administrativas, procurando eficiencia y eficacia en los mismos, así como el desarrollo integral de sus territorios y colaborar mutuamente en la ejecución de obras públicas”.</w:t>
      </w:r>
    </w:p>
    <w:p w14:paraId="3A21ED60" w14:textId="77777777" w:rsidR="00A6205A" w:rsidRPr="0017067E" w:rsidRDefault="00A6205A" w:rsidP="00A6205A">
      <w:pPr>
        <w:spacing w:before="120" w:after="0" w:line="276" w:lineRule="auto"/>
        <w:ind w:firstLine="708"/>
        <w:jc w:val="both"/>
        <w:rPr>
          <w:rFonts w:ascii="Verdana" w:eastAsia="Calibri" w:hAnsi="Verdana" w:cs="Times New Roman"/>
          <w:color w:val="000000"/>
        </w:rPr>
      </w:pPr>
      <w:r w:rsidRPr="0017067E">
        <w:rPr>
          <w:rFonts w:ascii="Verdana" w:eastAsia="Calibri" w:hAnsi="Verdana" w:cs="Times New Roman"/>
          <w:color w:val="000000"/>
        </w:rPr>
        <w:t>A su vez, la Ley 1454 de 2011, orgánica del ordenamiento territorial, concibió a las asociaciones de municipios como una clase de los denominados esquemas asociativos territoriales</w:t>
      </w:r>
      <w:r w:rsidRPr="0017067E">
        <w:rPr>
          <w:rFonts w:ascii="Verdana" w:eastAsia="Calibri" w:hAnsi="Verdana" w:cs="Times New Roman"/>
          <w:vertAlign w:val="superscript"/>
        </w:rPr>
        <w:footnoteReference w:id="10"/>
      </w:r>
      <w:r w:rsidRPr="0017067E">
        <w:rPr>
          <w:rFonts w:ascii="Verdana" w:eastAsia="Calibri" w:hAnsi="Verdana" w:cs="Times New Roman"/>
          <w:color w:val="000000"/>
        </w:rPr>
        <w:t>, sobre los que el artículo 17 señala que “son entidades administrativas de derecho público, con personería jurídica y patrimonio propio e independiente de los entes que la conforman”. De igual forma, el parágrafo de esa norma indica que “en concordancia con lo previsto en el artículo 95 de la Ley 489 de 1998, las entidades territoriales podrán continuar asociándose mediante la celebración de convenios interadministrativos o mediante la conformación de personas jurídicas de derecho público o derecho privado”. Es decir, la diferencia entre las asociaciones de entidades territoriales y las asociaciones de municipios es de género y especie: si bien todas las asociaciones de municipios son asociaciones de entidades territoriales, no todas las asociaciones de entidades territoriales son asociaciones de municipios.</w:t>
      </w:r>
    </w:p>
    <w:p w14:paraId="429C4B13" w14:textId="77777777" w:rsidR="00A6205A" w:rsidRPr="0017067E" w:rsidRDefault="00A6205A" w:rsidP="00A6205A">
      <w:pPr>
        <w:spacing w:before="120" w:after="0" w:line="276" w:lineRule="auto"/>
        <w:ind w:firstLine="708"/>
        <w:jc w:val="both"/>
        <w:rPr>
          <w:rFonts w:ascii="Verdana" w:eastAsia="Calibri" w:hAnsi="Verdana" w:cs="Times New Roman"/>
          <w:color w:val="000000"/>
        </w:rPr>
      </w:pPr>
      <w:r w:rsidRPr="0017067E">
        <w:rPr>
          <w:rFonts w:ascii="Verdana" w:eastAsia="Calibri" w:hAnsi="Verdana" w:cs="Times New Roman"/>
          <w:color w:val="000000"/>
        </w:rPr>
        <w:lastRenderedPageBreak/>
        <w:t>En cuanto a la manera como se conforman las asociaciones de municipios, tanto la Ley 136 de 1994 –artículo 150–</w:t>
      </w:r>
      <w:r w:rsidRPr="0017067E">
        <w:rPr>
          <w:rFonts w:ascii="Verdana" w:eastAsia="Calibri" w:hAnsi="Verdana" w:cs="Times New Roman"/>
          <w:vertAlign w:val="superscript"/>
        </w:rPr>
        <w:footnoteReference w:id="11"/>
      </w:r>
      <w:r w:rsidRPr="0017067E">
        <w:rPr>
          <w:rFonts w:ascii="Verdana" w:eastAsia="Calibri" w:hAnsi="Verdana" w:cs="Times New Roman"/>
          <w:color w:val="000000"/>
        </w:rPr>
        <w:t>, como la Ley 1454 de 2011 –artículo 14–, establecen que se hace a través de convenios, en los términos indicados en dichas disposiciones</w:t>
      </w:r>
      <w:r w:rsidRPr="0017067E">
        <w:rPr>
          <w:rFonts w:ascii="Verdana" w:eastAsia="Calibri" w:hAnsi="Verdana" w:cs="Times New Roman"/>
          <w:vertAlign w:val="superscript"/>
        </w:rPr>
        <w:footnoteReference w:id="12"/>
      </w:r>
      <w:r w:rsidRPr="0017067E">
        <w:rPr>
          <w:rFonts w:ascii="Verdana" w:eastAsia="Calibri" w:hAnsi="Verdana" w:cs="Times New Roman"/>
          <w:color w:val="000000"/>
        </w:rPr>
        <w:t>. El citado parágrafo del artículo 17 de la Ley 1454 de 2011 reconoce que las entidades territoriales pueden seguir asociándose a través de convenios interadministrativos, por lo que se entiende que la suscripción de convenios es un mecanismo para que las entidades territoriales se asocien. Además, la naturaleza y el carácter de persona jurídica que dichas leyes le atribuyen a las asociaciones de municipios conducen a entender que son entidades diferentes a los municipios que las conforman.</w:t>
      </w:r>
    </w:p>
    <w:p w14:paraId="1C9D9E00" w14:textId="5BDC1FD1" w:rsidR="00A6205A" w:rsidRPr="0017067E" w:rsidRDefault="00A6205A" w:rsidP="00CF40EB">
      <w:pPr>
        <w:spacing w:before="120" w:after="0" w:line="276" w:lineRule="auto"/>
        <w:ind w:firstLine="708"/>
        <w:jc w:val="both"/>
        <w:rPr>
          <w:rFonts w:ascii="Verdana" w:eastAsia="Calibri" w:hAnsi="Verdana" w:cs="Times New Roman"/>
          <w:color w:val="000000"/>
          <w:shd w:val="clear" w:color="auto" w:fill="FFFFFF"/>
        </w:rPr>
      </w:pPr>
      <w:r w:rsidRPr="0017067E">
        <w:rPr>
          <w:rFonts w:ascii="Verdana" w:eastAsia="Calibri" w:hAnsi="Verdana" w:cs="Times New Roman"/>
          <w:color w:val="000000"/>
        </w:rPr>
        <w:t>Ahora bien, la normativa expuesta se relaciona con las asociaciones de entidades territoriales, particularmente de municipios. Sin embargo, lo anterior no implica desconocer la posibilidad que existe, en general, para las demás entidades estatales para asociarse, particularmente, con fundamento en lo prescrito en el artículo 95 de la Ley 489 de 1998, que permite la asociación de entidades públicas, estableciendo la posibilidad de conformar personas jurídicas sin ánimo de lucro</w:t>
      </w:r>
      <w:r w:rsidRPr="0017067E">
        <w:rPr>
          <w:rFonts w:ascii="Verdana" w:eastAsia="Calibri" w:hAnsi="Verdana" w:cs="Times New Roman"/>
          <w:color w:val="000000"/>
          <w:vertAlign w:val="superscript"/>
        </w:rPr>
        <w:footnoteReference w:id="13"/>
      </w:r>
      <w:r w:rsidRPr="0017067E">
        <w:rPr>
          <w:rFonts w:ascii="Verdana" w:eastAsia="Calibri" w:hAnsi="Verdana" w:cs="Times New Roman"/>
          <w:color w:val="000000"/>
        </w:rPr>
        <w:t xml:space="preserve">. </w:t>
      </w:r>
      <w:r w:rsidRPr="0017067E">
        <w:rPr>
          <w:rFonts w:ascii="Verdana" w:eastAsia="Calibri" w:hAnsi="Verdana" w:cs="Times New Roman"/>
          <w:color w:val="000000"/>
          <w:shd w:val="clear" w:color="auto" w:fill="FFFFFF"/>
        </w:rPr>
        <w:t>De este modo, la naturaleza y el carácter de persona jurídica que dichas leyes le atribuyen a las asociaciones de municipios conducen a entender que son entidades diferentes a los municipios que las conforman. </w:t>
      </w:r>
    </w:p>
    <w:p w14:paraId="65C33A5E" w14:textId="657CF0BB" w:rsidR="00A6205A" w:rsidRPr="0017067E" w:rsidRDefault="00A6205A" w:rsidP="00A6205A">
      <w:pPr>
        <w:spacing w:before="120" w:after="120" w:line="276" w:lineRule="auto"/>
        <w:jc w:val="both"/>
        <w:rPr>
          <w:rFonts w:ascii="Verdana" w:eastAsia="Calibri" w:hAnsi="Verdana" w:cs="Times New Roman"/>
          <w:color w:val="000000"/>
          <w:lang w:val="es-ES"/>
        </w:rPr>
      </w:pPr>
      <w:proofErr w:type="spellStart"/>
      <w:r w:rsidRPr="0017067E">
        <w:rPr>
          <w:rFonts w:ascii="Verdana" w:eastAsia="Calibri" w:hAnsi="Verdana" w:cs="Times New Roman"/>
          <w:color w:val="000000"/>
        </w:rPr>
        <w:lastRenderedPageBreak/>
        <w:t>iii</w:t>
      </w:r>
      <w:proofErr w:type="spellEnd"/>
      <w:r w:rsidRPr="0017067E">
        <w:rPr>
          <w:rFonts w:ascii="Verdana" w:eastAsia="Calibri" w:hAnsi="Verdana" w:cs="Times New Roman"/>
          <w:color w:val="000000"/>
        </w:rPr>
        <w:t xml:space="preserve">. </w:t>
      </w:r>
      <w:bookmarkStart w:id="3" w:name="OLE_LINK7"/>
      <w:r w:rsidRPr="0017067E">
        <w:rPr>
          <w:rFonts w:ascii="Verdana" w:eastAsia="Calibri" w:hAnsi="Verdana" w:cs="Times New Roman"/>
          <w:color w:val="000000"/>
        </w:rPr>
        <w:t>La Ley 80 de 1993, en el parágrafo 1 del artículo 2, incluía a las cooperativas y asociaciones de entidades territoriales dentro de la categoría de entidades estatales sometidas a la Ley 80 de 1993, y las facultaba para suscribir convenios</w:t>
      </w:r>
      <w:r w:rsidRPr="0017067E">
        <w:rPr>
          <w:rFonts w:ascii="Verdana" w:eastAsia="Calibri" w:hAnsi="Verdana" w:cs="Times New Roman"/>
          <w:color w:val="000000"/>
          <w:spacing w:val="-18"/>
        </w:rPr>
        <w:t xml:space="preserve"> </w:t>
      </w:r>
      <w:r w:rsidRPr="0017067E">
        <w:rPr>
          <w:rFonts w:ascii="Verdana" w:eastAsia="Calibri" w:hAnsi="Verdana" w:cs="Times New Roman"/>
          <w:color w:val="000000"/>
        </w:rPr>
        <w:t xml:space="preserve">interadministrativos: </w:t>
      </w:r>
      <w:r w:rsidRPr="0017067E">
        <w:rPr>
          <w:rFonts w:ascii="Verdana" w:eastAsia="Arial" w:hAnsi="Verdana" w:cs="Arial"/>
          <w:color w:val="000000"/>
          <w:lang w:val="es-ES"/>
        </w:rPr>
        <w:t>“Parágrafo 1. Para los solos efectos de esta ley, también se denominan entidades estatales las cooperativas y asociaciones conformadas por entidades territoriales, las cuales estarán sujetas a las disposiciones del presente estatuto, especialmente cuando en desarrollo de convenios interadministrativos celebren contratos por cuenta de dichas entidades”.</w:t>
      </w:r>
    </w:p>
    <w:p w14:paraId="0DA31639"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En virtud de lo anterior, el parágrafo del artículo 2 de la Ley 80 de 1993 facultaba a las cooperativas y asociaciones de entidades territoriales para celebrar contratos interadministrativos. Posteriormente, el numeral 2 del artículo 14 Decreto 2170 de 2002 desarrolló la posibilidad de que los entes solidarios de carácter público, como las cooperativas y las asociaciones de entidades territoriales, pudieran suscribir directamente, sin necesidad de adelantar procesos de selección competitivos, contratos interadministrativos, siempre que se acreditaran los siguientes requisitos establecidos en la norma indicada:</w:t>
      </w:r>
    </w:p>
    <w:p w14:paraId="449835AA" w14:textId="77777777" w:rsidR="00A6205A" w:rsidRPr="0017067E" w:rsidRDefault="00A6205A" w:rsidP="00A6205A">
      <w:pPr>
        <w:widowControl w:val="0"/>
        <w:autoSpaceDE w:val="0"/>
        <w:autoSpaceDN w:val="0"/>
        <w:spacing w:before="2" w:after="0" w:line="276" w:lineRule="auto"/>
        <w:rPr>
          <w:rFonts w:ascii="Verdana" w:eastAsia="Arial" w:hAnsi="Verdana" w:cs="Arial"/>
          <w:color w:val="000000"/>
          <w:lang w:val="es-ES"/>
        </w:rPr>
      </w:pPr>
    </w:p>
    <w:p w14:paraId="1E4F9400"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“Artículo 14. De conformidad con lo previsto en el parágrafo del artículo 2o. de la Ley 80 de 1993, los contratos que se celebren en desarrollo de los convenios interadministrativos estarán sujetos a dicha ley.</w:t>
      </w:r>
    </w:p>
    <w:p w14:paraId="6DED8449" w14:textId="77777777" w:rsidR="00A6205A" w:rsidRPr="0017067E" w:rsidRDefault="00A6205A" w:rsidP="00A6205A">
      <w:pPr>
        <w:widowControl w:val="0"/>
        <w:autoSpaceDE w:val="0"/>
        <w:autoSpaceDN w:val="0"/>
        <w:spacing w:after="12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w:t>
      </w:r>
    </w:p>
    <w:p w14:paraId="4BF8DEE1"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Cuando el objeto del contrato solamente pueda ser desarrollado por una entidad, el mismo se celebrará sin necesidad de adelantar proceso de selección alguno, circunstancia que deberá ser certificada por la Superintendencia de Economía Solidaria o quien haga sus veces en el caso de cooperativas o por el Ministerio del Interior en el caso de asociaciones de entidades territoriales”.</w:t>
      </w:r>
    </w:p>
    <w:p w14:paraId="258B290B" w14:textId="77777777" w:rsidR="00A6205A" w:rsidRPr="0017067E" w:rsidRDefault="00A6205A" w:rsidP="00A6205A">
      <w:pPr>
        <w:widowControl w:val="0"/>
        <w:autoSpaceDE w:val="0"/>
        <w:autoSpaceDN w:val="0"/>
        <w:spacing w:before="3" w:after="0" w:line="276" w:lineRule="auto"/>
        <w:rPr>
          <w:rFonts w:ascii="Verdana" w:eastAsia="Arial" w:hAnsi="Verdana" w:cs="Arial"/>
          <w:color w:val="000000"/>
          <w:lang w:val="es-ES"/>
        </w:rPr>
      </w:pPr>
    </w:p>
    <w:p w14:paraId="66B25386"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No obstante, el artículo 1 del Decreto 4375 de 2006 modificó el artículo 14 del Decreto 2170 de 2002, para restringir la celebración de los contratos interadministrativos por parte de dichas entidades, al introducir como requisito para su celebración la aplicación del artículo</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29</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de</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la</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Ley</w:t>
      </w:r>
      <w:r w:rsidRPr="0017067E">
        <w:rPr>
          <w:rFonts w:ascii="Verdana" w:eastAsia="Arial" w:hAnsi="Verdana" w:cs="Arial"/>
          <w:color w:val="000000"/>
          <w:spacing w:val="38"/>
          <w:lang w:val="es-ES"/>
        </w:rPr>
        <w:t xml:space="preserve"> </w:t>
      </w:r>
      <w:r w:rsidRPr="0017067E">
        <w:rPr>
          <w:rFonts w:ascii="Verdana" w:eastAsia="Arial" w:hAnsi="Verdana" w:cs="Arial"/>
          <w:color w:val="000000"/>
          <w:lang w:val="es-ES"/>
        </w:rPr>
        <w:t>80</w:t>
      </w:r>
      <w:r w:rsidRPr="0017067E">
        <w:rPr>
          <w:rFonts w:ascii="Verdana" w:eastAsia="Arial" w:hAnsi="Verdana" w:cs="Arial"/>
          <w:color w:val="000000"/>
          <w:spacing w:val="44"/>
          <w:lang w:val="es-ES"/>
        </w:rPr>
        <w:t xml:space="preserve"> </w:t>
      </w:r>
      <w:r w:rsidRPr="0017067E">
        <w:rPr>
          <w:rFonts w:ascii="Verdana" w:eastAsia="Arial" w:hAnsi="Verdana" w:cs="Arial"/>
          <w:color w:val="000000"/>
          <w:lang w:val="es-ES"/>
        </w:rPr>
        <w:t>de</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1993,</w:t>
      </w:r>
      <w:r w:rsidRPr="0017067E">
        <w:rPr>
          <w:rFonts w:ascii="Verdana" w:eastAsia="Arial" w:hAnsi="Verdana" w:cs="Arial"/>
          <w:color w:val="000000"/>
          <w:spacing w:val="39"/>
          <w:lang w:val="es-ES"/>
        </w:rPr>
        <w:t xml:space="preserve"> </w:t>
      </w:r>
      <w:r w:rsidRPr="0017067E">
        <w:rPr>
          <w:rFonts w:ascii="Verdana" w:eastAsia="Arial" w:hAnsi="Verdana" w:cs="Arial"/>
          <w:color w:val="000000"/>
          <w:lang w:val="es-ES"/>
        </w:rPr>
        <w:t>normativa</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que</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desarrolla</w:t>
      </w:r>
      <w:r w:rsidRPr="0017067E">
        <w:rPr>
          <w:rFonts w:ascii="Verdana" w:eastAsia="Arial" w:hAnsi="Verdana" w:cs="Arial"/>
          <w:color w:val="000000"/>
          <w:spacing w:val="40"/>
          <w:lang w:val="es-ES"/>
        </w:rPr>
        <w:t xml:space="preserve"> </w:t>
      </w:r>
      <w:r w:rsidRPr="0017067E">
        <w:rPr>
          <w:rFonts w:ascii="Verdana" w:eastAsia="Arial" w:hAnsi="Verdana" w:cs="Arial"/>
          <w:color w:val="000000"/>
          <w:lang w:val="es-ES"/>
        </w:rPr>
        <w:t>la</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selección</w:t>
      </w:r>
      <w:r w:rsidRPr="0017067E">
        <w:rPr>
          <w:rFonts w:ascii="Verdana" w:eastAsia="Arial" w:hAnsi="Verdana" w:cs="Arial"/>
          <w:color w:val="000000"/>
          <w:spacing w:val="38"/>
          <w:lang w:val="es-ES"/>
        </w:rPr>
        <w:t xml:space="preserve"> </w:t>
      </w:r>
      <w:r w:rsidRPr="0017067E">
        <w:rPr>
          <w:rFonts w:ascii="Verdana" w:eastAsia="Arial" w:hAnsi="Verdana" w:cs="Arial"/>
          <w:color w:val="000000"/>
          <w:lang w:val="es-ES"/>
        </w:rPr>
        <w:t>objetiva</w:t>
      </w:r>
      <w:r w:rsidRPr="0017067E">
        <w:rPr>
          <w:rFonts w:ascii="Verdana" w:eastAsia="Arial" w:hAnsi="Verdana" w:cs="Arial"/>
          <w:color w:val="000000"/>
          <w:spacing w:val="41"/>
          <w:lang w:val="es-ES"/>
        </w:rPr>
        <w:t xml:space="preserve"> </w:t>
      </w:r>
      <w:r w:rsidRPr="0017067E">
        <w:rPr>
          <w:rFonts w:ascii="Verdana" w:eastAsia="Arial" w:hAnsi="Verdana" w:cs="Arial"/>
          <w:color w:val="000000"/>
          <w:lang w:val="es-ES"/>
        </w:rPr>
        <w:t xml:space="preserve">como principio orientador para </w:t>
      </w:r>
      <w:r w:rsidRPr="0017067E">
        <w:rPr>
          <w:rFonts w:ascii="Verdana" w:eastAsia="Arial" w:hAnsi="Verdana" w:cs="Arial"/>
          <w:color w:val="000000"/>
          <w:lang w:val="es-ES"/>
        </w:rPr>
        <w:lastRenderedPageBreak/>
        <w:t>los procesos de selección sometidos al Estatuto General de Contratación de la Administración Pública:</w:t>
      </w:r>
    </w:p>
    <w:p w14:paraId="623B3549" w14:textId="77777777" w:rsidR="00A6205A" w:rsidRPr="0017067E" w:rsidRDefault="00A6205A" w:rsidP="00A6205A">
      <w:pPr>
        <w:widowControl w:val="0"/>
        <w:autoSpaceDE w:val="0"/>
        <w:autoSpaceDN w:val="0"/>
        <w:spacing w:before="1" w:after="0" w:line="276" w:lineRule="auto"/>
        <w:rPr>
          <w:rFonts w:ascii="Verdana" w:eastAsia="Arial" w:hAnsi="Verdana" w:cs="Arial"/>
          <w:color w:val="000000"/>
          <w:lang w:val="es-ES"/>
        </w:rPr>
      </w:pPr>
    </w:p>
    <w:p w14:paraId="14782A28" w14:textId="77777777" w:rsidR="00A6205A" w:rsidRPr="0017067E" w:rsidRDefault="00A6205A" w:rsidP="00A6205A">
      <w:pPr>
        <w:widowControl w:val="0"/>
        <w:autoSpaceDE w:val="0"/>
        <w:autoSpaceDN w:val="0"/>
        <w:spacing w:after="12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“Artículo 14. De los contratos interadministrativos con cooperativas y asociaciones conformadas por entidades territoriales. De conformidad con lo previsto en el parágrafo del artículo 2o de la Ley 80 de 1993, los contratos que se celebren en desarrollo de los convenios interadministrativos estarán sujetos a dicha ley.</w:t>
      </w:r>
    </w:p>
    <w:p w14:paraId="60F604F0" w14:textId="77777777" w:rsidR="00A6205A" w:rsidRPr="0017067E" w:rsidRDefault="00A6205A" w:rsidP="00A6205A">
      <w:pPr>
        <w:widowControl w:val="0"/>
        <w:autoSpaceDE w:val="0"/>
        <w:autoSpaceDN w:val="0"/>
        <w:spacing w:after="12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La selección de estas entidades se hará conforme a las siguientes reglas:</w:t>
      </w:r>
    </w:p>
    <w:p w14:paraId="5928652B" w14:textId="77777777" w:rsidR="00A6205A" w:rsidRPr="0017067E" w:rsidRDefault="00A6205A" w:rsidP="00A6205A">
      <w:pPr>
        <w:widowControl w:val="0"/>
        <w:autoSpaceDE w:val="0"/>
        <w:autoSpaceDN w:val="0"/>
        <w:spacing w:after="12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La entidad demandante del bien, obra o servicio invitará a presentar ofertas a todas aquellas cooperativas o asociaciones de entidades territoriales que puedan ejecutar el contrato, para adelantar entre ellas un concurso que permita la selección de la oferta más favorable en los términos del artículo 29 de la Ley 80 de 1993.</w:t>
      </w:r>
    </w:p>
    <w:p w14:paraId="7DBE17BB"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Las entidades a que se refiere el presente artículo deberán inscribirse en el RUP, en relación con los contratos a que se refiere el artículo 22 de la Ley 80 de 1993 y sólo podrán celebrar contratos respecto de los cuales posean la debida y comprobada experiencia, solidez financiera, capacidad técnica, administrativa y jurídica que les permita ejecutar directamente y sin la necesidad de ningún tercero el correspondiente contrato”.</w:t>
      </w:r>
    </w:p>
    <w:p w14:paraId="00A15D78" w14:textId="77777777" w:rsidR="00A6205A" w:rsidRPr="0017067E" w:rsidRDefault="00A6205A" w:rsidP="00A6205A">
      <w:pPr>
        <w:widowControl w:val="0"/>
        <w:autoSpaceDE w:val="0"/>
        <w:autoSpaceDN w:val="0"/>
        <w:spacing w:after="0" w:line="276" w:lineRule="auto"/>
        <w:ind w:left="668" w:right="531"/>
        <w:jc w:val="both"/>
        <w:rPr>
          <w:rFonts w:ascii="Verdana" w:eastAsia="Arial" w:hAnsi="Verdana" w:cs="Arial"/>
          <w:color w:val="000000"/>
          <w:lang w:val="es-ES"/>
        </w:rPr>
      </w:pPr>
      <w:r w:rsidRPr="0017067E">
        <w:rPr>
          <w:rFonts w:ascii="Verdana" w:eastAsia="Arial" w:hAnsi="Verdana" w:cs="Arial"/>
          <w:color w:val="000000"/>
          <w:lang w:val="es-ES"/>
        </w:rPr>
        <w:tab/>
      </w:r>
    </w:p>
    <w:p w14:paraId="498B73B9" w14:textId="77777777" w:rsidR="00A6205A" w:rsidRPr="0017067E" w:rsidRDefault="00A6205A" w:rsidP="00A6205A">
      <w:pPr>
        <w:widowControl w:val="0"/>
        <w:autoSpaceDE w:val="0"/>
        <w:autoSpaceDN w:val="0"/>
        <w:spacing w:after="12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De este modo, la modificación realizada por el artículo 1 del Decreto 4375 de 2006 restringió la libertad contractual de las cooperativas y asociaciones de entidades territoriales para celebrar contratos interadministrativos de forma directa, sometiéndolas a las reglas de la selección objetiva indicadas en caso de que estas pretendieran contratar o ser contratadas por una entidad</w:t>
      </w:r>
      <w:r w:rsidRPr="0017067E">
        <w:rPr>
          <w:rFonts w:ascii="Verdana" w:eastAsia="Arial" w:hAnsi="Verdana" w:cs="Arial"/>
          <w:color w:val="000000"/>
          <w:spacing w:val="-2"/>
          <w:lang w:val="es-ES"/>
        </w:rPr>
        <w:t xml:space="preserve"> </w:t>
      </w:r>
      <w:r w:rsidRPr="0017067E">
        <w:rPr>
          <w:rFonts w:ascii="Verdana" w:eastAsia="Arial" w:hAnsi="Verdana" w:cs="Arial"/>
          <w:color w:val="000000"/>
          <w:lang w:val="es-ES"/>
        </w:rPr>
        <w:t>estatal.</w:t>
      </w:r>
    </w:p>
    <w:p w14:paraId="05E363B8"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 xml:space="preserve">A su vez, con la vigencia de la Ley 1150 de 2007, normativa que estableció medidas para la eficiencia y la transparencia en la contratación pública, se dispusieron nuevos criterios para la celebración de contratos interadministrativos para la actividad contractual de cooperativas y asociaciones de entidades territoriales. Particularmente, el artículo 32 de la Ley 1150 de 2007 derogó de manera expresa el parágrafo 1 del artículo 2 de la Ley 80 de 1993, que permitía la celebración de contratos interadministrativos por </w:t>
      </w:r>
      <w:r w:rsidRPr="0017067E">
        <w:rPr>
          <w:rFonts w:ascii="Verdana" w:eastAsia="Arial" w:hAnsi="Verdana" w:cs="Arial"/>
          <w:color w:val="000000"/>
          <w:lang w:val="es-ES"/>
        </w:rPr>
        <w:lastRenderedPageBreak/>
        <w:t>parte de cooperativas y asociaciones de entidades</w:t>
      </w:r>
      <w:r w:rsidRPr="0017067E">
        <w:rPr>
          <w:rFonts w:ascii="Verdana" w:eastAsia="Arial" w:hAnsi="Verdana" w:cs="Arial"/>
          <w:color w:val="000000"/>
          <w:spacing w:val="-12"/>
          <w:lang w:val="es-ES"/>
        </w:rPr>
        <w:t xml:space="preserve"> </w:t>
      </w:r>
      <w:r w:rsidRPr="0017067E">
        <w:rPr>
          <w:rFonts w:ascii="Verdana" w:eastAsia="Arial" w:hAnsi="Verdana" w:cs="Arial"/>
          <w:color w:val="000000"/>
          <w:lang w:val="es-ES"/>
        </w:rPr>
        <w:t>territoriales</w:t>
      </w:r>
      <w:r w:rsidRPr="0017067E">
        <w:rPr>
          <w:rFonts w:ascii="Verdana" w:eastAsia="Arial" w:hAnsi="Verdana" w:cs="Arial"/>
          <w:color w:val="000000"/>
          <w:vertAlign w:val="superscript"/>
          <w:lang w:val="es-ES"/>
        </w:rPr>
        <w:footnoteReference w:id="14"/>
      </w:r>
      <w:r w:rsidRPr="0017067E">
        <w:rPr>
          <w:rFonts w:ascii="Verdana" w:eastAsia="Arial" w:hAnsi="Verdana" w:cs="Arial"/>
          <w:color w:val="000000"/>
          <w:lang w:val="es-ES"/>
        </w:rPr>
        <w:t>. Además, en armonía con lo anterior, el artículo 10 de la Ley 1150 de 2007 prescribió:</w:t>
      </w:r>
    </w:p>
    <w:p w14:paraId="7F752ACF" w14:textId="77777777" w:rsidR="00A6205A" w:rsidRPr="0017067E" w:rsidRDefault="00A6205A" w:rsidP="00A6205A">
      <w:pPr>
        <w:widowControl w:val="0"/>
        <w:autoSpaceDE w:val="0"/>
        <w:autoSpaceDN w:val="0"/>
        <w:spacing w:before="8" w:after="0" w:line="276" w:lineRule="auto"/>
        <w:rPr>
          <w:rFonts w:ascii="Verdana" w:eastAsia="Arial" w:hAnsi="Verdana" w:cs="Arial"/>
          <w:color w:val="000000"/>
          <w:lang w:val="es-ES"/>
        </w:rPr>
      </w:pPr>
    </w:p>
    <w:p w14:paraId="4CF84467"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“Artículo 10. Tratamiento para las cooperativas y asociaciones de entidades territoriales.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w:t>
      </w:r>
    </w:p>
    <w:p w14:paraId="6B651156" w14:textId="77777777" w:rsidR="00A6205A" w:rsidRPr="0017067E" w:rsidRDefault="00A6205A" w:rsidP="00A6205A">
      <w:pPr>
        <w:widowControl w:val="0"/>
        <w:autoSpaceDE w:val="0"/>
        <w:autoSpaceDN w:val="0"/>
        <w:spacing w:before="4" w:after="0" w:line="276" w:lineRule="auto"/>
        <w:rPr>
          <w:rFonts w:ascii="Verdana" w:eastAsia="Arial" w:hAnsi="Verdana" w:cs="Arial"/>
          <w:color w:val="000000"/>
          <w:lang w:val="es-ES"/>
        </w:rPr>
      </w:pPr>
    </w:p>
    <w:p w14:paraId="1F56FBFE" w14:textId="77777777" w:rsidR="00A6205A" w:rsidRPr="0017067E" w:rsidRDefault="00A6205A" w:rsidP="00A6205A">
      <w:pPr>
        <w:widowControl w:val="0"/>
        <w:autoSpaceDE w:val="0"/>
        <w:autoSpaceDN w:val="0"/>
        <w:spacing w:after="12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 xml:space="preserve">A partir de la norma citada, la celebración de contratos con entidades estatales, las cooperativas y asociaciones conformadas por entidades territoriales deben someterse a los procesos de selección de la Ley 1150 de 2007, en igualdad de condiciones con los particulares. </w:t>
      </w:r>
      <w:r w:rsidRPr="0017067E">
        <w:rPr>
          <w:rFonts w:ascii="Verdana" w:eastAsia="Arial" w:hAnsi="Verdana" w:cs="Arial"/>
          <w:color w:val="000000"/>
          <w:shd w:val="clear" w:color="auto" w:fill="FFFFFF"/>
          <w:lang w:val="es-ES"/>
        </w:rPr>
        <w:t xml:space="preserve">Así las cosas, la finalidad de la norma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modalidad de contratación directa. </w:t>
      </w:r>
    </w:p>
    <w:p w14:paraId="670DFA64" w14:textId="77777777" w:rsidR="00A6205A" w:rsidRPr="0017067E" w:rsidRDefault="00A6205A" w:rsidP="00A6205A">
      <w:pPr>
        <w:widowControl w:val="0"/>
        <w:autoSpaceDE w:val="0"/>
        <w:autoSpaceDN w:val="0"/>
        <w:spacing w:after="12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 xml:space="preserve">De la evolución normativa expuesta se advierte que la prohibición de celebrar contratos mediante la modalidad de contratación directa, incluyendo la imposibilidad de acudir a la causal de contratos interadministrativos, por parte de asociaciones de entidades territoriales tiene como fundamento: i) la derogatoria expresa del artículo 32 de la Ley 1150 de 2007, que dejó sin efectos el parágrafo 1 del artículo 2 de la Ley 80 de 1993; y, particularmente, </w:t>
      </w:r>
      <w:proofErr w:type="spellStart"/>
      <w:r w:rsidRPr="0017067E">
        <w:rPr>
          <w:rFonts w:ascii="Verdana" w:eastAsia="Arial" w:hAnsi="Verdana" w:cs="Arial"/>
          <w:color w:val="000000"/>
          <w:lang w:val="es-ES"/>
        </w:rPr>
        <w:t>ii</w:t>
      </w:r>
      <w:proofErr w:type="spellEnd"/>
      <w:r w:rsidRPr="0017067E">
        <w:rPr>
          <w:rFonts w:ascii="Verdana" w:eastAsia="Arial" w:hAnsi="Verdana" w:cs="Arial"/>
          <w:color w:val="000000"/>
          <w:lang w:val="es-ES"/>
        </w:rPr>
        <w:t xml:space="preserve">) el artículo 10 de la ley 1150 de 2007 que establece que la celebración de contratos </w:t>
      </w:r>
      <w:r w:rsidRPr="0017067E">
        <w:rPr>
          <w:rFonts w:ascii="Verdana" w:eastAsia="Arial" w:hAnsi="Verdana" w:cs="Arial"/>
          <w:color w:val="000000"/>
          <w:lang w:val="es-ES"/>
        </w:rPr>
        <w:lastRenderedPageBreak/>
        <w:t>entre una entidad estatal con, entre otras, asociaciones de entidades territoriales  únicamente pueden realizarse mediante un proceso competitivo, pues deben participar “en igualdad de condiciones con los particulares” y no mediante la modalidad de contratación directa, incluyendo en la prohibición acudir a la causal de los contratos interadministrativos.</w:t>
      </w:r>
    </w:p>
    <w:p w14:paraId="1E4BB43C"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No obstante, continuando con el análisis del desarrollo normativo, debe tenerse en cuenta que posterior a la Ley 1150 de 2007 se expidió la Ley 1454 de 2011, que en el parágrafo del artículo 17 es concluyente frente a la posibilidad que tienen las asociaciones de departamentos, las provincias y las asociaciones de distritos y de municipios de suscribir convenios interadministrativos, en los términos establecidos en el artículo 95 de la ley 489 de 1998 o mediante la conformación de personas jurídicas de derecho público o de derecho privado:</w:t>
      </w:r>
    </w:p>
    <w:p w14:paraId="594E1678"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p>
    <w:p w14:paraId="23C0EE09"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 xml:space="preserve">“Artículo 17. Naturaleza y funcionamiento de los esquemas asociativos. Las asociaciones de departamentos, las provincias y las </w:t>
      </w:r>
      <w:r w:rsidRPr="0017067E">
        <w:rPr>
          <w:rFonts w:ascii="Verdana" w:eastAsia="Arial" w:hAnsi="Verdana" w:cs="Arial"/>
          <w:i/>
          <w:iCs/>
          <w:color w:val="000000"/>
          <w:lang w:val="es-ES"/>
        </w:rPr>
        <w:t>asociaciones de distritos y de municipios</w:t>
      </w:r>
      <w:r w:rsidRPr="0017067E">
        <w:rPr>
          <w:rFonts w:ascii="Verdana" w:eastAsia="Arial" w:hAnsi="Verdana" w:cs="Arial"/>
          <w:color w:val="000000"/>
          <w:lang w:val="es-ES"/>
        </w:rPr>
        <w:t xml:space="preserve"> son entidades administrativas de derecho público, con personería jurídica y patrimonio propio e independiente de los entes que la conforman.</w:t>
      </w:r>
    </w:p>
    <w:p w14:paraId="3B788D16"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1AC95937"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Las asociaciones de departamentos podrán constituirse en regiones administrativas y de planificación, previa autorización de sus asambleas departamentales.</w:t>
      </w:r>
    </w:p>
    <w:p w14:paraId="39704CC0"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243D3D50"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En ningún caso las entidades territoriales que se asocien podrán generar gastos de funcionamiento adicionales con cargo a su presupuesto o al presupuesto general de la Nación, ni incrementar la planta burocrática de las respectivas entidades que las conformen.</w:t>
      </w:r>
    </w:p>
    <w:p w14:paraId="5C65FE8D"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4FE354EB"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PARÁGRAFO. En concordancia con lo previsto en el artículo </w:t>
      </w:r>
      <w:hyperlink r:id="rId13" w:anchor="95" w:history="1">
        <w:r w:rsidRPr="0017067E">
          <w:rPr>
            <w:rFonts w:ascii="Verdana" w:eastAsia="Arial" w:hAnsi="Verdana" w:cs="Arial"/>
            <w:color w:val="000000"/>
            <w:lang w:val="es-ES"/>
          </w:rPr>
          <w:t>95</w:t>
        </w:r>
      </w:hyperlink>
      <w:r w:rsidRPr="0017067E">
        <w:rPr>
          <w:rFonts w:ascii="Verdana" w:eastAsia="Arial" w:hAnsi="Verdana" w:cs="Arial"/>
          <w:color w:val="000000"/>
          <w:lang w:val="es-ES"/>
        </w:rPr>
        <w:t xml:space="preserve"> de la Ley 489 de 1998, las Entidades Territoriales podrán continuar asociándose mediante la celebración de convenios interadministrativos o mediante la conformación de personas jurídicas de derecho público o derecho privado”. </w:t>
      </w:r>
    </w:p>
    <w:p w14:paraId="5F3D9236"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p>
    <w:p w14:paraId="581F0F76" w14:textId="77777777" w:rsidR="00A6205A" w:rsidRPr="0017067E" w:rsidRDefault="00A6205A" w:rsidP="00A6205A">
      <w:pPr>
        <w:widowControl w:val="0"/>
        <w:autoSpaceDE w:val="0"/>
        <w:autoSpaceDN w:val="0"/>
        <w:spacing w:after="0" w:line="276" w:lineRule="auto"/>
        <w:ind w:right="108"/>
        <w:jc w:val="both"/>
        <w:rPr>
          <w:rFonts w:ascii="Verdana" w:eastAsia="Arial" w:hAnsi="Verdana" w:cs="Arial"/>
          <w:color w:val="000000"/>
          <w:lang w:val="es-ES"/>
        </w:rPr>
      </w:pPr>
      <w:r w:rsidRPr="0017067E">
        <w:rPr>
          <w:rFonts w:ascii="Verdana" w:eastAsia="Arial" w:hAnsi="Verdana" w:cs="Arial"/>
          <w:color w:val="000000"/>
          <w:lang w:val="es-ES"/>
        </w:rPr>
        <w:lastRenderedPageBreak/>
        <w:tab/>
        <w:t>Para finalizar el recuento normativo, es necesario hacer referencia a la modificación realizada por el artículo 92 de la Ley 1474 de 2011 al literal </w:t>
      </w:r>
      <w:hyperlink r:id="rId14" w:anchor="2.4.c" w:history="1">
        <w:r w:rsidRPr="0017067E">
          <w:rPr>
            <w:rFonts w:ascii="Verdana" w:eastAsia="Arial" w:hAnsi="Verdana" w:cs="Arial"/>
            <w:color w:val="000000"/>
            <w:lang w:val="es-ES"/>
          </w:rPr>
          <w:t>c)</w:t>
        </w:r>
      </w:hyperlink>
      <w:r w:rsidRPr="0017067E">
        <w:rPr>
          <w:rFonts w:ascii="Verdana" w:eastAsia="Arial" w:hAnsi="Verdana" w:cs="Arial"/>
          <w:color w:val="000000"/>
          <w:lang w:val="es-ES"/>
        </w:rPr>
        <w:t> del numeral 4 del artículo 2 de la Ley 1150 de 2007. En efecto, el artículo 92 indicado, prohíbe acudir a la causal de contratación directa para celebrar ciertas tipologías y objetos contractuales por parte de ciertas entidades, donde se incluye esta restricción precisa frente a las asociaciones de entidades públicas. En efecto, la disposición establece:</w:t>
      </w:r>
    </w:p>
    <w:p w14:paraId="3AA106A5" w14:textId="77777777" w:rsidR="00A6205A" w:rsidRPr="0017067E" w:rsidRDefault="00A6205A" w:rsidP="00A6205A">
      <w:pPr>
        <w:widowControl w:val="0"/>
        <w:autoSpaceDE w:val="0"/>
        <w:autoSpaceDN w:val="0"/>
        <w:spacing w:after="0" w:line="276" w:lineRule="auto"/>
        <w:ind w:right="108" w:firstLine="708"/>
        <w:jc w:val="both"/>
        <w:rPr>
          <w:rFonts w:ascii="Verdana" w:eastAsia="Arial" w:hAnsi="Verdana" w:cs="Arial"/>
          <w:color w:val="000000"/>
          <w:lang w:val="es-ES"/>
        </w:rPr>
      </w:pPr>
    </w:p>
    <w:p w14:paraId="4E88CD8B"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“Artículo 92. Contratos interadministrativos. Modifíquese el inciso primero del literal c) del numeral 4 del artículo 2o de la Ley 1150 de 2007, el cual quedará así:</w:t>
      </w:r>
    </w:p>
    <w:p w14:paraId="71423305"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13AC4BBE"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color w:val="000000"/>
          <w:lang w:val="es-ES"/>
        </w:rPr>
        <w:t>c) Contratos interadministrativos, siempre que las obligaciones derivadas del mismo tengan relación directa con el objeto de la entidad ejecutora señalado en la ley o en sus reglamentos.</w:t>
      </w:r>
    </w:p>
    <w:p w14:paraId="53E27457"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p>
    <w:p w14:paraId="31960FEA" w14:textId="77777777" w:rsidR="00A6205A" w:rsidRPr="0017067E" w:rsidRDefault="00A6205A" w:rsidP="00A6205A">
      <w:pPr>
        <w:widowControl w:val="0"/>
        <w:autoSpaceDE w:val="0"/>
        <w:autoSpaceDN w:val="0"/>
        <w:spacing w:after="0" w:line="240" w:lineRule="auto"/>
        <w:ind w:left="709" w:right="709"/>
        <w:jc w:val="both"/>
        <w:rPr>
          <w:rFonts w:ascii="Verdana" w:eastAsia="Arial" w:hAnsi="Verdana" w:cs="Arial"/>
          <w:color w:val="000000"/>
          <w:lang w:val="es-ES"/>
        </w:rPr>
      </w:pPr>
      <w:r w:rsidRPr="0017067E">
        <w:rPr>
          <w:rFonts w:ascii="Verdana" w:eastAsia="Arial" w:hAnsi="Verdana" w:cs="Arial"/>
          <w:i/>
          <w:iCs/>
          <w:color w:val="000000"/>
          <w:lang w:val="es-ES"/>
        </w:rPr>
        <w:t>Se exceptúan los contratos de obra, suministro, prestación de servicios de evaluación de conformidad respecto de las normas o reglamentos técnicos, encargos fiduciarios y fiducia pública cuando</w:t>
      </w:r>
      <w:r w:rsidRPr="0017067E">
        <w:rPr>
          <w:rFonts w:ascii="Verdana" w:eastAsia="Arial" w:hAnsi="Verdana" w:cs="Arial"/>
          <w:color w:val="000000"/>
          <w:lang w:val="es-ES"/>
        </w:rPr>
        <w:t xml:space="preserve"> las instituciones de educación superior públicas o las Sociedades de Economía Mixta con participación mayoritaria del Estado, o </w:t>
      </w:r>
      <w:r w:rsidRPr="0017067E">
        <w:rPr>
          <w:rFonts w:ascii="Verdana" w:eastAsia="Arial" w:hAnsi="Verdana" w:cs="Arial"/>
          <w:i/>
          <w:iCs/>
          <w:color w:val="000000"/>
          <w:lang w:val="es-ES"/>
        </w:rPr>
        <w:t>las personas jurídicas sin ánimo de lucro conformadas por la asociación de entidades públicas</w:t>
      </w:r>
      <w:r w:rsidRPr="0017067E">
        <w:rPr>
          <w:rFonts w:ascii="Verdana" w:eastAsia="Arial" w:hAnsi="Verdana" w:cs="Arial"/>
          <w:color w:val="000000"/>
          <w:lang w:val="es-ES"/>
        </w:rPr>
        <w:t>, o</w:t>
      </w:r>
      <w:r w:rsidRPr="0017067E">
        <w:rPr>
          <w:rFonts w:ascii="Verdana" w:eastAsia="Arial" w:hAnsi="Verdana" w:cs="Arial"/>
          <w:i/>
          <w:iCs/>
          <w:color w:val="000000"/>
          <w:lang w:val="es-ES"/>
        </w:rPr>
        <w:t xml:space="preserve"> </w:t>
      </w:r>
      <w:r w:rsidRPr="0017067E">
        <w:rPr>
          <w:rFonts w:ascii="Verdana" w:eastAsia="Arial" w:hAnsi="Verdana" w:cs="Arial"/>
          <w:color w:val="000000"/>
          <w:lang w:val="es-ES"/>
        </w:rPr>
        <w:t>las federaciones de entidades territoriales</w:t>
      </w:r>
      <w:r w:rsidRPr="0017067E">
        <w:rPr>
          <w:rFonts w:ascii="Verdana" w:eastAsia="Arial" w:hAnsi="Verdana" w:cs="Arial"/>
          <w:i/>
          <w:iCs/>
          <w:color w:val="000000"/>
          <w:lang w:val="es-ES"/>
        </w:rPr>
        <w:t xml:space="preserve"> sean las ejecutoras</w:t>
      </w:r>
      <w:r w:rsidRPr="0017067E">
        <w:rPr>
          <w:rFonts w:ascii="Verdana" w:eastAsia="Arial" w:hAnsi="Verdana" w:cs="Arial"/>
          <w:color w:val="000000"/>
          <w:lang w:val="es-ES"/>
        </w:rPr>
        <w:t>. Estos contratos podrán ser ejecutados por las mismas, siempre que participen en procesos de licitación pública o contratación abreviada de acuerdo con lo dispuesto por los numerales 1 y 2 del presente artículo”. (Énfasis fuera de texto)</w:t>
      </w:r>
    </w:p>
    <w:p w14:paraId="64ED4378" w14:textId="77777777" w:rsidR="00A6205A" w:rsidRPr="0017067E" w:rsidRDefault="00A6205A" w:rsidP="00A6205A">
      <w:pPr>
        <w:widowControl w:val="0"/>
        <w:autoSpaceDE w:val="0"/>
        <w:autoSpaceDN w:val="0"/>
        <w:spacing w:after="0" w:line="276" w:lineRule="auto"/>
        <w:ind w:right="108" w:firstLine="709"/>
        <w:jc w:val="both"/>
        <w:rPr>
          <w:rFonts w:ascii="Verdana" w:eastAsia="Arial" w:hAnsi="Verdana" w:cs="Arial"/>
          <w:color w:val="000000"/>
          <w:lang w:val="es-ES"/>
        </w:rPr>
      </w:pPr>
    </w:p>
    <w:p w14:paraId="1DD201D9" w14:textId="6ABA131B" w:rsidR="00A6205A" w:rsidRPr="0017067E" w:rsidRDefault="00A6205A" w:rsidP="00CF40EB">
      <w:pPr>
        <w:widowControl w:val="0"/>
        <w:autoSpaceDE w:val="0"/>
        <w:autoSpaceDN w:val="0"/>
        <w:spacing w:after="120" w:line="276" w:lineRule="auto"/>
        <w:ind w:right="108" w:firstLine="709"/>
        <w:jc w:val="both"/>
        <w:rPr>
          <w:rFonts w:ascii="Verdana" w:eastAsia="Arial" w:hAnsi="Verdana" w:cs="Arial"/>
          <w:color w:val="000000"/>
          <w:lang w:val="es-ES"/>
        </w:rPr>
      </w:pPr>
      <w:r w:rsidRPr="0017067E">
        <w:rPr>
          <w:rFonts w:ascii="Verdana" w:eastAsia="Arial" w:hAnsi="Verdana" w:cs="Arial"/>
          <w:color w:val="000000"/>
          <w:lang w:val="es-ES"/>
        </w:rPr>
        <w:t xml:space="preserve">La anterior constituye una prohibición precisa para celebrar ciertos objetos y tipologías contractuales por parte de personas jurídicas sin ánimo de lucro conformadas por la asociación de entidades públicas. 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w:t>
      </w:r>
    </w:p>
    <w:bookmarkEnd w:id="2"/>
    <w:bookmarkEnd w:id="3"/>
    <w:p w14:paraId="60FED47E" w14:textId="77777777" w:rsidR="00871B59" w:rsidRPr="0017067E" w:rsidRDefault="00871B59" w:rsidP="00871B59">
      <w:pPr>
        <w:widowControl w:val="0"/>
        <w:autoSpaceDE w:val="0"/>
        <w:autoSpaceDN w:val="0"/>
        <w:spacing w:after="0" w:line="276" w:lineRule="auto"/>
        <w:jc w:val="both"/>
        <w:rPr>
          <w:rFonts w:ascii="Verdana" w:hAnsi="Verdana" w:cs="Arial"/>
        </w:rPr>
      </w:pPr>
    </w:p>
    <w:p w14:paraId="2B2AC289" w14:textId="77777777" w:rsidR="00871B59" w:rsidRPr="0017067E"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17067E">
        <w:rPr>
          <w:rFonts w:ascii="Verdana" w:eastAsia="Century Gothic" w:hAnsi="Verdana" w:cs="Century Gothic"/>
          <w:b/>
          <w:bCs/>
          <w:lang w:val="es-ES"/>
        </w:rPr>
        <w:lastRenderedPageBreak/>
        <w:t>Referencias normativas, jurisprudenciales y otras fuentes:</w:t>
      </w:r>
    </w:p>
    <w:p w14:paraId="2275D6AA" w14:textId="77777777" w:rsidR="00871B59" w:rsidRPr="0017067E"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17067E" w14:paraId="00BE42E2" w14:textId="77777777" w:rsidTr="002607A7">
        <w:trPr>
          <w:trHeight w:val="870"/>
        </w:trPr>
        <w:tc>
          <w:tcPr>
            <w:tcW w:w="8647" w:type="dxa"/>
          </w:tcPr>
          <w:p w14:paraId="34F80A62" w14:textId="538D92C1" w:rsidR="005C434A" w:rsidRPr="005C434A" w:rsidRDefault="005C434A" w:rsidP="005C434A">
            <w:pPr>
              <w:pStyle w:val="NormalWeb"/>
              <w:numPr>
                <w:ilvl w:val="0"/>
                <w:numId w:val="10"/>
              </w:numPr>
              <w:rPr>
                <w:rFonts w:ascii="Verdana" w:hAnsi="Verdana"/>
                <w:sz w:val="22"/>
                <w:szCs w:val="22"/>
              </w:rPr>
            </w:pPr>
            <w:r w:rsidRPr="005C434A">
              <w:rPr>
                <w:rStyle w:val="citation-547"/>
                <w:rFonts w:ascii="Verdana" w:hAnsi="Verdana"/>
                <w:sz w:val="22"/>
                <w:szCs w:val="22"/>
              </w:rPr>
              <w:t xml:space="preserve">Ley 80 de 1993, parágrafo 1 del artículo 2 </w:t>
            </w:r>
          </w:p>
          <w:p w14:paraId="2AB333AF" w14:textId="703D0AA6" w:rsidR="005C434A" w:rsidRPr="005C434A" w:rsidRDefault="005C434A" w:rsidP="005C434A">
            <w:pPr>
              <w:pStyle w:val="NormalWeb"/>
              <w:numPr>
                <w:ilvl w:val="0"/>
                <w:numId w:val="10"/>
              </w:numPr>
              <w:rPr>
                <w:rFonts w:ascii="Verdana" w:hAnsi="Verdana"/>
                <w:sz w:val="22"/>
                <w:szCs w:val="22"/>
              </w:rPr>
            </w:pPr>
            <w:r w:rsidRPr="005C434A">
              <w:rPr>
                <w:rStyle w:val="citation-546"/>
                <w:rFonts w:ascii="Verdana" w:hAnsi="Verdana"/>
                <w:sz w:val="22"/>
                <w:szCs w:val="22"/>
              </w:rPr>
              <w:t xml:space="preserve">Ley 136 de 1994, artículos 148, 149 y 150 </w:t>
            </w:r>
          </w:p>
          <w:p w14:paraId="37D2917F" w14:textId="70CE65CF" w:rsidR="005C434A" w:rsidRPr="005C434A" w:rsidRDefault="005C434A" w:rsidP="005C434A">
            <w:pPr>
              <w:pStyle w:val="NormalWeb"/>
              <w:numPr>
                <w:ilvl w:val="0"/>
                <w:numId w:val="10"/>
              </w:numPr>
              <w:rPr>
                <w:rFonts w:ascii="Verdana" w:hAnsi="Verdana"/>
                <w:sz w:val="22"/>
                <w:szCs w:val="22"/>
              </w:rPr>
            </w:pPr>
            <w:r w:rsidRPr="005C434A">
              <w:rPr>
                <w:rStyle w:val="citation-545"/>
                <w:rFonts w:ascii="Verdana" w:hAnsi="Verdana"/>
                <w:sz w:val="22"/>
                <w:szCs w:val="22"/>
              </w:rPr>
              <w:t xml:space="preserve">Ley 489 de 1998, artículo 95 </w:t>
            </w:r>
          </w:p>
          <w:p w14:paraId="24249592" w14:textId="3924986E" w:rsidR="005C434A" w:rsidRPr="005C434A" w:rsidRDefault="005C434A" w:rsidP="005C434A">
            <w:pPr>
              <w:pStyle w:val="NormalWeb"/>
              <w:numPr>
                <w:ilvl w:val="0"/>
                <w:numId w:val="10"/>
              </w:numPr>
              <w:rPr>
                <w:rFonts w:ascii="Verdana" w:hAnsi="Verdana"/>
                <w:sz w:val="22"/>
                <w:szCs w:val="22"/>
              </w:rPr>
            </w:pPr>
            <w:r w:rsidRPr="005C434A">
              <w:rPr>
                <w:rStyle w:val="citation-544"/>
                <w:rFonts w:ascii="Verdana" w:hAnsi="Verdana"/>
                <w:sz w:val="22"/>
                <w:szCs w:val="22"/>
              </w:rPr>
              <w:t xml:space="preserve">Ley 1150 de 2007, artículo 2 (numeral 4, literal c), artículo 10 y artículo 32 </w:t>
            </w:r>
          </w:p>
          <w:p w14:paraId="2A8AD31D" w14:textId="4BF892E5" w:rsidR="005C434A" w:rsidRPr="005C434A" w:rsidRDefault="005C434A" w:rsidP="005C434A">
            <w:pPr>
              <w:pStyle w:val="NormalWeb"/>
              <w:numPr>
                <w:ilvl w:val="0"/>
                <w:numId w:val="10"/>
              </w:numPr>
              <w:rPr>
                <w:rFonts w:ascii="Verdana" w:hAnsi="Verdana"/>
                <w:sz w:val="22"/>
                <w:szCs w:val="22"/>
              </w:rPr>
            </w:pPr>
            <w:r w:rsidRPr="005C434A">
              <w:rPr>
                <w:rStyle w:val="citation-543"/>
                <w:rFonts w:ascii="Verdana" w:hAnsi="Verdana"/>
                <w:sz w:val="22"/>
                <w:szCs w:val="22"/>
              </w:rPr>
              <w:t xml:space="preserve">Ley 1454 de 2011, artículo 17 </w:t>
            </w:r>
          </w:p>
          <w:p w14:paraId="2AD1C78B" w14:textId="1A283A5A" w:rsidR="005C434A" w:rsidRPr="005C434A" w:rsidRDefault="005C434A" w:rsidP="005C434A">
            <w:pPr>
              <w:pStyle w:val="NormalWeb"/>
              <w:numPr>
                <w:ilvl w:val="0"/>
                <w:numId w:val="10"/>
              </w:numPr>
              <w:rPr>
                <w:rFonts w:ascii="Verdana" w:hAnsi="Verdana"/>
                <w:sz w:val="22"/>
                <w:szCs w:val="22"/>
              </w:rPr>
            </w:pPr>
            <w:r w:rsidRPr="005C434A">
              <w:rPr>
                <w:rStyle w:val="citation-542"/>
                <w:rFonts w:ascii="Verdana" w:hAnsi="Verdana"/>
                <w:sz w:val="22"/>
                <w:szCs w:val="22"/>
              </w:rPr>
              <w:t xml:space="preserve">Ley 1474 de 2011, artículo 92 </w:t>
            </w:r>
          </w:p>
          <w:p w14:paraId="7C55C046" w14:textId="588FDBE7" w:rsidR="00871B59" w:rsidRPr="005C434A" w:rsidRDefault="005C434A" w:rsidP="005C434A">
            <w:pPr>
              <w:pStyle w:val="NormalWeb"/>
              <w:numPr>
                <w:ilvl w:val="0"/>
                <w:numId w:val="10"/>
              </w:numPr>
              <w:spacing w:after="160" w:line="259" w:lineRule="auto"/>
            </w:pPr>
            <w:r w:rsidRPr="005C434A">
              <w:rPr>
                <w:rStyle w:val="citation-541"/>
                <w:rFonts w:ascii="Verdana" w:hAnsi="Verdana"/>
                <w:sz w:val="22"/>
                <w:szCs w:val="22"/>
              </w:rPr>
              <w:t>Decreto 1082 de 2015, artículo 2.2.1.2.1.4.4</w:t>
            </w:r>
            <w:r>
              <w:rPr>
                <w:rStyle w:val="citation-541"/>
              </w:rPr>
              <w:t xml:space="preserve"> </w:t>
            </w:r>
          </w:p>
        </w:tc>
      </w:tr>
    </w:tbl>
    <w:p w14:paraId="1E18788C" w14:textId="77777777" w:rsidR="00871B59" w:rsidRPr="0017067E" w:rsidRDefault="00871B59" w:rsidP="00871B59">
      <w:pPr>
        <w:widowControl w:val="0"/>
        <w:autoSpaceDE w:val="0"/>
        <w:autoSpaceDN w:val="0"/>
        <w:spacing w:after="0" w:line="276" w:lineRule="auto"/>
        <w:jc w:val="both"/>
        <w:rPr>
          <w:rFonts w:ascii="Verdana" w:hAnsi="Verdana" w:cs="Arial"/>
        </w:rPr>
      </w:pPr>
    </w:p>
    <w:p w14:paraId="2BD55F4A" w14:textId="77777777" w:rsidR="00871B59" w:rsidRPr="0017067E"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17067E">
        <w:rPr>
          <w:rFonts w:ascii="Verdana" w:eastAsia="Century Gothic" w:hAnsi="Verdana" w:cs="Century Gothic"/>
          <w:b/>
          <w:bCs/>
          <w:lang w:val="es-ES"/>
        </w:rPr>
        <w:t>Doctrina de la Agencia Nacional de Contratación Pública:</w:t>
      </w:r>
    </w:p>
    <w:p w14:paraId="33B5635A" w14:textId="77777777" w:rsidR="00871B59" w:rsidRDefault="00871B59" w:rsidP="00871B59">
      <w:pPr>
        <w:widowControl w:val="0"/>
        <w:autoSpaceDE w:val="0"/>
        <w:autoSpaceDN w:val="0"/>
        <w:spacing w:after="0" w:line="276" w:lineRule="auto"/>
        <w:jc w:val="both"/>
        <w:rPr>
          <w:rFonts w:ascii="Verdana" w:hAnsi="Verdana" w:cs="Arial"/>
        </w:rPr>
      </w:pPr>
    </w:p>
    <w:p w14:paraId="3200CEE9" w14:textId="7A4AA860" w:rsidR="005C434A" w:rsidRPr="00FC2F50" w:rsidRDefault="005C434A" w:rsidP="005C434A">
      <w:pPr>
        <w:widowControl w:val="0"/>
        <w:autoSpaceDE w:val="0"/>
        <w:autoSpaceDN w:val="0"/>
        <w:spacing w:after="0" w:line="276" w:lineRule="auto"/>
        <w:jc w:val="both"/>
        <w:rPr>
          <w:rFonts w:ascii="Verdana" w:hAnsi="Verdana" w:cs="Arial"/>
          <w:shd w:val="clear" w:color="auto" w:fill="FFFFFF"/>
          <w:lang w:val="es-ES"/>
        </w:rPr>
      </w:pPr>
      <w:r w:rsidRPr="00C45C5D">
        <w:rPr>
          <w:rFonts w:ascii="Verdana" w:eastAsia="Calibri" w:hAnsi="Verdana" w:cs="Arial"/>
          <w:color w:val="000000" w:themeColor="text1"/>
          <w:lang w:val="es-ES" w:eastAsia="es-ES_tradnl"/>
        </w:rPr>
        <w:t>La Agencia Nacional de Contratación Pública – Colombia Compra Eficiente, en los Conceptos 2201913000005444 del 30 de julio de 2019, 2201913000005649 del 8 de agosto de 2019, 4201912000007676 del 20 de diciembre de 2019, C-059 del 25 de febrero de 2020, C-659 del 10 de noviembre de 2020,</w:t>
      </w:r>
      <w:r w:rsidRPr="00C45C5D">
        <w:rPr>
          <w:rFonts w:ascii="Verdana" w:eastAsia="Calibri" w:hAnsi="Verdana" w:cs="Arial"/>
          <w:color w:val="000000" w:themeColor="text1"/>
          <w:lang w:val="es-MX" w:eastAsia="es-ES_tradnl"/>
        </w:rPr>
        <w:t xml:space="preserve"> C-788 del 21 de enero de 2021, C-054 del 10 de marzo de 2021, C-116 del 30 de marzo de 2021, C-149 de 8 de abril de 2021, C-173 del 16 de abril de 2021, C-214 del 13 de mayo de 2021, C-284 del 18 de junio de 2021, C-347 del 23 de julio de 2021, C-664 del 30 de agosto de 2021, C-554 del 6 de octubre de 2021, C-249 del 16 de junio de 2022, C-033 del 27 de febrero de 2023, C-285 del 4 de julio de 2023</w:t>
      </w:r>
      <w:r w:rsidRPr="00C45C5D">
        <w:rPr>
          <w:rFonts w:ascii="Verdana" w:eastAsia="Calibri" w:hAnsi="Verdana" w:cs="Arial"/>
          <w:color w:val="000000" w:themeColor="text1"/>
          <w:lang w:val="es-ES" w:eastAsia="es-ES_tradnl"/>
        </w:rPr>
        <w:t>, C-379 del 29 de octubre de 2023</w:t>
      </w:r>
      <w:r>
        <w:rPr>
          <w:rFonts w:ascii="Verdana" w:eastAsia="Calibri" w:hAnsi="Verdana" w:cs="Arial"/>
          <w:color w:val="000000" w:themeColor="text1"/>
          <w:lang w:val="es-ES" w:eastAsia="es-ES_tradnl"/>
        </w:rPr>
        <w:t xml:space="preserve">, </w:t>
      </w:r>
      <w:r w:rsidRPr="00C45C5D">
        <w:rPr>
          <w:rFonts w:ascii="Verdana" w:eastAsia="Calibri" w:hAnsi="Verdana" w:cs="Arial"/>
          <w:color w:val="000000" w:themeColor="text1"/>
          <w:lang w:val="es-ES" w:eastAsia="es-ES_tradnl"/>
        </w:rPr>
        <w:t>C-1044 del 11 de febrero de 2025</w:t>
      </w:r>
      <w:r>
        <w:rPr>
          <w:rFonts w:ascii="Verdana" w:eastAsia="Calibri" w:hAnsi="Verdana" w:cs="Arial"/>
          <w:color w:val="000000" w:themeColor="text1"/>
          <w:lang w:val="es-ES" w:eastAsia="es-ES_tradnl"/>
        </w:rPr>
        <w:t>, C-049</w:t>
      </w:r>
      <w:r w:rsidRPr="00C45C5D">
        <w:rPr>
          <w:rFonts w:ascii="Verdana" w:eastAsia="Calibri" w:hAnsi="Verdana" w:cs="Arial"/>
          <w:color w:val="000000" w:themeColor="text1"/>
          <w:lang w:val="es-ES" w:eastAsia="es-ES_tradnl"/>
        </w:rPr>
        <w:t xml:space="preserve"> </w:t>
      </w:r>
      <w:r>
        <w:rPr>
          <w:rFonts w:ascii="Verdana" w:eastAsia="Calibri" w:hAnsi="Verdana" w:cs="Arial"/>
          <w:color w:val="000000" w:themeColor="text1"/>
          <w:lang w:val="es-ES" w:eastAsia="es-ES_tradnl"/>
        </w:rPr>
        <w:t xml:space="preserve">del 17 de febrero de 2025 y C – 1195 del 6 de octubre de 2025. entre otros, </w:t>
      </w:r>
      <w:r w:rsidRPr="00C45C5D">
        <w:rPr>
          <w:rFonts w:ascii="Verdana" w:eastAsia="Calibri" w:hAnsi="Verdana" w:cs="Arial"/>
          <w:color w:val="000000" w:themeColor="text1"/>
          <w:lang w:val="es-ES" w:eastAsia="es-ES_tradnl"/>
        </w:rPr>
        <w:t>se ha pronunciado sobre los esquemas asociativos de entidades territoriales</w:t>
      </w:r>
      <w:r w:rsidRPr="00C45C5D">
        <w:rPr>
          <w:rFonts w:ascii="Verdana" w:hAnsi="Verdana" w:cs="Arial"/>
          <w:shd w:val="clear" w:color="auto" w:fill="FFFFFF"/>
          <w:lang w:val="es-ES"/>
        </w:rPr>
        <w:t>.</w:t>
      </w:r>
      <w:r>
        <w:rPr>
          <w:rFonts w:ascii="Verdana" w:hAnsi="Verdana" w:cs="Arial"/>
          <w:shd w:val="clear" w:color="auto" w:fill="FFFFFF"/>
          <w:lang w:val="es-ES"/>
        </w:rPr>
        <w:t xml:space="preserve"> En torno a la celebración de convenios interadministrativos y su diferencia con los contratos interadministrativos se han expedido los siguientes conceptos </w:t>
      </w:r>
      <w:r>
        <w:rPr>
          <w:rFonts w:ascii="Verdana" w:eastAsia="Arial" w:hAnsi="Verdana" w:cs="Arial"/>
          <w:color w:val="000000"/>
          <w:lang w:val="es-ES"/>
        </w:rPr>
        <w:t xml:space="preserve">C-605 del 27 de junio de 2025, </w:t>
      </w:r>
      <w:r w:rsidRPr="00B57A1B">
        <w:rPr>
          <w:rFonts w:ascii="Verdana" w:hAnsi="Verdana" w:cs="Arial"/>
          <w:shd w:val="clear" w:color="auto" w:fill="FFFFFF"/>
        </w:rPr>
        <w:t>C-1046 del 9 de septiembre de 2025</w:t>
      </w:r>
      <w:r>
        <w:rPr>
          <w:rFonts w:ascii="Verdana" w:hAnsi="Verdana" w:cs="Arial"/>
          <w:shd w:val="clear" w:color="auto" w:fill="FFFFFF"/>
        </w:rPr>
        <w:t>, C-1152 del 23 de septiembre de 2025</w:t>
      </w:r>
      <w:r>
        <w:rPr>
          <w:rFonts w:ascii="Verdana" w:hAnsi="Verdana" w:cs="Arial"/>
          <w:shd w:val="clear" w:color="auto" w:fill="FFFFFF"/>
          <w:lang w:val="es-ES"/>
        </w:rPr>
        <w:t>, entre otros.</w:t>
      </w:r>
      <w:r w:rsidRPr="00C45C5D">
        <w:rPr>
          <w:rFonts w:ascii="Verdana" w:hAnsi="Verdana" w:cs="Arial"/>
          <w:shd w:val="clear" w:color="auto" w:fill="FFFFFF"/>
          <w:lang w:val="es-ES"/>
        </w:rPr>
        <w:t xml:space="preserve"> </w:t>
      </w:r>
      <w:r w:rsidRPr="00392E1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40E97EF" w14:textId="77777777" w:rsidR="005C434A" w:rsidRPr="00392E13" w:rsidRDefault="005C434A" w:rsidP="005C434A">
      <w:pPr>
        <w:spacing w:after="0" w:line="256" w:lineRule="auto"/>
        <w:jc w:val="both"/>
        <w:rPr>
          <w:rFonts w:ascii="Verdana" w:eastAsia="Calibri" w:hAnsi="Verdana" w:cs="Times New Roman"/>
        </w:rPr>
      </w:pPr>
      <w:hyperlink r:id="rId15" w:history="1">
        <w:r w:rsidRPr="00E47CAB">
          <w:rPr>
            <w:rStyle w:val="Hipervnculo"/>
            <w:rFonts w:ascii="Verdana" w:hAnsi="Verdana"/>
          </w:rPr>
          <w:t>https://www.colombiacompra.gov.co/normativa-y-relatoria/conoce-la-relatoria</w:t>
        </w:r>
      </w:hyperlink>
      <w:r w:rsidRPr="00E47CAB">
        <w:rPr>
          <w:rFonts w:ascii="Verdana" w:hAnsi="Verdana"/>
        </w:rPr>
        <w:t xml:space="preserve"> </w:t>
      </w:r>
    </w:p>
    <w:p w14:paraId="1EE79D1E" w14:textId="77777777" w:rsidR="005C434A" w:rsidRPr="009563E7" w:rsidRDefault="005C434A" w:rsidP="005C434A">
      <w:pPr>
        <w:widowControl w:val="0"/>
        <w:autoSpaceDE w:val="0"/>
        <w:autoSpaceDN w:val="0"/>
        <w:spacing w:after="0" w:line="276" w:lineRule="auto"/>
        <w:jc w:val="both"/>
        <w:rPr>
          <w:rFonts w:ascii="Verdana" w:hAnsi="Verdana"/>
        </w:rPr>
      </w:pPr>
    </w:p>
    <w:p w14:paraId="368353F4" w14:textId="77777777" w:rsidR="005C434A" w:rsidRPr="00EC0E3F" w:rsidRDefault="005C434A" w:rsidP="005C434A">
      <w:pPr>
        <w:spacing w:after="0" w:line="256" w:lineRule="auto"/>
        <w:jc w:val="both"/>
        <w:rPr>
          <w:rFonts w:ascii="Verdana" w:eastAsia="Calibri" w:hAnsi="Verdana" w:cs="Times New Roman"/>
        </w:rPr>
      </w:pPr>
      <w:r w:rsidRPr="00EC0E3F">
        <w:rPr>
          <w:rFonts w:ascii="Verdana" w:eastAsia="Calibri" w:hAnsi="Verdana" w:cs="Times New Roman"/>
        </w:rPr>
        <w:t xml:space="preserve">Te informamos que ya se encuentra disponible la </w:t>
      </w:r>
      <w:r w:rsidRPr="00EC0E3F">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C0E3F">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C0E3F">
        <w:rPr>
          <w:rFonts w:ascii="Verdana" w:eastAsia="Calibri" w:hAnsi="Verdana" w:cs="Times New Roman"/>
        </w:rPr>
        <w:t>Wayúu</w:t>
      </w:r>
      <w:proofErr w:type="spellEnd"/>
      <w:r w:rsidRPr="00EC0E3F">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67387920" w14:textId="77777777" w:rsidR="005C434A" w:rsidRPr="009563E7" w:rsidRDefault="005C434A" w:rsidP="005C434A">
      <w:pPr>
        <w:spacing w:after="0" w:line="276" w:lineRule="auto"/>
        <w:jc w:val="both"/>
        <w:rPr>
          <w:rFonts w:ascii="Verdana" w:hAnsi="Verdana"/>
        </w:rPr>
      </w:pPr>
    </w:p>
    <w:p w14:paraId="7C8BB762" w14:textId="77777777" w:rsidR="005C434A" w:rsidRPr="009563E7" w:rsidRDefault="005C434A" w:rsidP="005C434A">
      <w:pPr>
        <w:spacing w:after="0" w:line="276" w:lineRule="auto"/>
        <w:jc w:val="both"/>
        <w:rPr>
          <w:rFonts w:ascii="Verdana" w:eastAsia="Calibri" w:hAnsi="Verdana" w:cs="Times New Roman"/>
          <w:bCs/>
          <w:lang w:val="es-ES_tradnl"/>
        </w:rPr>
      </w:pPr>
      <w:r w:rsidRPr="009563E7">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70726FC" w14:textId="77777777" w:rsidR="005C434A" w:rsidRPr="009563E7" w:rsidRDefault="005C434A" w:rsidP="005C434A">
      <w:pPr>
        <w:spacing w:after="0" w:line="276" w:lineRule="auto"/>
        <w:jc w:val="both"/>
        <w:rPr>
          <w:rFonts w:ascii="Verdana" w:hAnsi="Verdana"/>
        </w:rPr>
      </w:pPr>
    </w:p>
    <w:p w14:paraId="086F591B" w14:textId="77777777" w:rsidR="005C434A" w:rsidRPr="00D47296" w:rsidRDefault="005C434A" w:rsidP="005C434A">
      <w:pPr>
        <w:spacing w:after="0" w:line="276" w:lineRule="auto"/>
        <w:jc w:val="both"/>
        <w:rPr>
          <w:rFonts w:ascii="Verdana" w:hAnsi="Verdana"/>
          <w:lang w:val="es-MX"/>
        </w:rPr>
      </w:pPr>
      <w:r w:rsidRPr="009563E7">
        <w:rPr>
          <w:rFonts w:ascii="Verdana" w:hAnsi="Verdana"/>
          <w:lang w:val="es-MX"/>
        </w:rPr>
        <w:t>Cordialmente,</w:t>
      </w:r>
    </w:p>
    <w:p w14:paraId="1A25AA3E" w14:textId="77777777" w:rsidR="005C434A" w:rsidRPr="0017067E" w:rsidRDefault="005C434A" w:rsidP="00871B59">
      <w:pPr>
        <w:widowControl w:val="0"/>
        <w:autoSpaceDE w:val="0"/>
        <w:autoSpaceDN w:val="0"/>
        <w:spacing w:after="0" w:line="276" w:lineRule="auto"/>
        <w:jc w:val="both"/>
        <w:rPr>
          <w:rFonts w:ascii="Verdana" w:hAnsi="Verdana" w:cs="Arial"/>
        </w:rPr>
      </w:pPr>
    </w:p>
    <w:p w14:paraId="2F2B2D8F" w14:textId="0CE8753B" w:rsidR="00871B59" w:rsidRPr="0017067E" w:rsidRDefault="00CE6A7D" w:rsidP="00871B59">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4CE5FF79" wp14:editId="2E8690C9">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394701" cy="1457365"/>
                    </a:xfrm>
                    <a:prstGeom prst="rect">
                      <a:avLst/>
                    </a:prstGeom>
                  </pic:spPr>
                </pic:pic>
              </a:graphicData>
            </a:graphic>
          </wp:inline>
        </w:drawing>
      </w:r>
    </w:p>
    <w:p w14:paraId="154A107F" w14:textId="77777777" w:rsidR="00871B59" w:rsidRPr="0017067E" w:rsidRDefault="00871B59" w:rsidP="00871B59">
      <w:pPr>
        <w:spacing w:after="0" w:line="240" w:lineRule="auto"/>
        <w:rPr>
          <w:rFonts w:ascii="Verdana" w:eastAsia="Times New Roman" w:hAnsi="Verdana" w:cs="Arial"/>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
        <w:gridCol w:w="5544"/>
      </w:tblGrid>
      <w:tr w:rsidR="00B22AE8" w:rsidRPr="00F3272B" w14:paraId="6E64C01E" w14:textId="77777777" w:rsidTr="00B66D77">
        <w:trPr>
          <w:trHeight w:val="315"/>
        </w:trPr>
        <w:tc>
          <w:tcPr>
            <w:tcW w:w="893" w:type="dxa"/>
            <w:vAlign w:val="center"/>
            <w:hideMark/>
          </w:tcPr>
          <w:p w14:paraId="39F40472" w14:textId="77777777" w:rsidR="00B22AE8" w:rsidRPr="00F3272B" w:rsidRDefault="00B22AE8" w:rsidP="00B66D7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Elaboró:</w:t>
            </w:r>
          </w:p>
        </w:tc>
        <w:tc>
          <w:tcPr>
            <w:tcW w:w="5628" w:type="dxa"/>
            <w:tcBorders>
              <w:top w:val="nil"/>
              <w:left w:val="nil"/>
              <w:bottom w:val="dotted" w:sz="4" w:space="0" w:color="7F7F7F" w:themeColor="text1" w:themeTint="80"/>
              <w:right w:val="nil"/>
            </w:tcBorders>
            <w:vAlign w:val="center"/>
            <w:hideMark/>
          </w:tcPr>
          <w:p w14:paraId="615B4FEB" w14:textId="77777777" w:rsidR="00B22AE8" w:rsidRPr="00F3272B" w:rsidRDefault="00B22AE8" w:rsidP="00B66D77">
            <w:pPr>
              <w:spacing w:line="276" w:lineRule="auto"/>
              <w:contextualSpacing/>
              <w:rPr>
                <w:rStyle w:val="normaltextrun"/>
                <w:rFonts w:ascii="Verdana" w:eastAsia="Arial" w:hAnsi="Verdana" w:cs="Arial"/>
                <w:sz w:val="18"/>
                <w:szCs w:val="18"/>
              </w:rPr>
            </w:pPr>
            <w:r w:rsidRPr="00F3272B">
              <w:rPr>
                <w:rStyle w:val="normaltextrun"/>
                <w:rFonts w:ascii="Verdana" w:eastAsia="Arial" w:hAnsi="Verdana" w:cs="Arial"/>
                <w:sz w:val="18"/>
                <w:szCs w:val="18"/>
              </w:rPr>
              <w:t>Andrea del Pilar Garzón Sánchez.</w:t>
            </w:r>
          </w:p>
          <w:p w14:paraId="0715E7A8" w14:textId="77777777" w:rsidR="00B22AE8" w:rsidRPr="00F3272B" w:rsidRDefault="00B22AE8" w:rsidP="00B66D77">
            <w:pPr>
              <w:spacing w:line="276" w:lineRule="auto"/>
              <w:contextualSpacing/>
              <w:rPr>
                <w:rFonts w:ascii="Verdana" w:eastAsia="Arial" w:hAnsi="Verdana" w:cs="Arial"/>
                <w:color w:val="7030A0"/>
                <w:sz w:val="18"/>
                <w:szCs w:val="18"/>
              </w:rPr>
            </w:pPr>
            <w:r w:rsidRPr="00F3272B">
              <w:rPr>
                <w:rStyle w:val="normaltextrun"/>
                <w:rFonts w:ascii="Verdana" w:eastAsia="Arial" w:hAnsi="Verdana" w:cs="Arial"/>
                <w:sz w:val="18"/>
                <w:szCs w:val="18"/>
              </w:rPr>
              <w:t>Contratista de la Subdirección de Gestión Contractual</w:t>
            </w:r>
          </w:p>
        </w:tc>
      </w:tr>
      <w:tr w:rsidR="00B22AE8" w:rsidRPr="00F3272B" w14:paraId="403FE1BE" w14:textId="77777777" w:rsidTr="00B66D77">
        <w:trPr>
          <w:trHeight w:val="330"/>
        </w:trPr>
        <w:tc>
          <w:tcPr>
            <w:tcW w:w="893" w:type="dxa"/>
            <w:vAlign w:val="center"/>
            <w:hideMark/>
          </w:tcPr>
          <w:p w14:paraId="2A2B1F8F" w14:textId="77777777" w:rsidR="00B22AE8" w:rsidRPr="00F3272B" w:rsidRDefault="00B22AE8" w:rsidP="00B66D7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3667090" w14:textId="77777777" w:rsidR="00B22AE8" w:rsidRPr="00F3272B" w:rsidRDefault="00B22AE8" w:rsidP="00B66D77">
            <w:pPr>
              <w:pStyle w:val="paragraph"/>
              <w:spacing w:before="0" w:beforeAutospacing="0" w:after="0" w:afterAutospacing="0" w:line="276" w:lineRule="auto"/>
              <w:contextualSpacing/>
              <w:textAlignment w:val="baseline"/>
              <w:rPr>
                <w:rStyle w:val="normaltextrun"/>
                <w:rFonts w:ascii="Verdana" w:hAnsi="Verdana" w:cs="Arial"/>
                <w:sz w:val="18"/>
                <w:szCs w:val="18"/>
                <w:lang w:val="es-ES"/>
              </w:rPr>
            </w:pPr>
            <w:r w:rsidRPr="00F3272B">
              <w:rPr>
                <w:rStyle w:val="normaltextrun"/>
                <w:rFonts w:ascii="Verdana" w:hAnsi="Verdana" w:cs="Arial"/>
                <w:sz w:val="18"/>
                <w:szCs w:val="18"/>
                <w:lang w:val="es-ES"/>
              </w:rPr>
              <w:t xml:space="preserve">Diana Lucia Saavedra </w:t>
            </w:r>
          </w:p>
          <w:p w14:paraId="1BF92652" w14:textId="77777777" w:rsidR="00B22AE8" w:rsidRPr="00F3272B" w:rsidRDefault="00B22AE8" w:rsidP="00B66D77">
            <w:pPr>
              <w:pStyle w:val="paragraph"/>
              <w:spacing w:before="0" w:beforeAutospacing="0" w:after="0" w:afterAutospacing="0" w:line="276" w:lineRule="auto"/>
              <w:contextualSpacing/>
              <w:textAlignment w:val="baseline"/>
              <w:rPr>
                <w:rFonts w:ascii="Verdana" w:hAnsi="Verdana" w:cs="Segoe UI"/>
                <w:sz w:val="18"/>
                <w:szCs w:val="18"/>
              </w:rPr>
            </w:pPr>
            <w:r w:rsidRPr="00F3272B">
              <w:rPr>
                <w:rStyle w:val="normaltextrun"/>
                <w:rFonts w:ascii="Verdana" w:hAnsi="Verdana" w:cs="Arial"/>
                <w:sz w:val="18"/>
                <w:szCs w:val="18"/>
                <w:lang w:val="es-ES"/>
              </w:rPr>
              <w:t>Contratista de la Subdirección de Gestión Contractual</w:t>
            </w:r>
            <w:r w:rsidRPr="00F3272B">
              <w:rPr>
                <w:rStyle w:val="eop"/>
                <w:rFonts w:ascii="Verdana" w:hAnsi="Verdana" w:cs="Arial"/>
                <w:sz w:val="18"/>
                <w:szCs w:val="18"/>
              </w:rPr>
              <w:t> </w:t>
            </w:r>
          </w:p>
        </w:tc>
      </w:tr>
      <w:tr w:rsidR="00B22AE8" w:rsidRPr="00F3272B" w14:paraId="6E30DFC8" w14:textId="77777777" w:rsidTr="00B66D77">
        <w:trPr>
          <w:trHeight w:val="300"/>
        </w:trPr>
        <w:tc>
          <w:tcPr>
            <w:tcW w:w="893" w:type="dxa"/>
            <w:vAlign w:val="center"/>
          </w:tcPr>
          <w:p w14:paraId="6DC41A93" w14:textId="77777777" w:rsidR="00B22AE8" w:rsidRPr="00F3272B" w:rsidRDefault="00B22AE8" w:rsidP="00B66D77">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73C7077" w14:textId="77777777" w:rsidR="00B22AE8" w:rsidRPr="00F3272B" w:rsidRDefault="00B22AE8" w:rsidP="00B66D77">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val="pt-BR" w:eastAsia="es-ES"/>
              </w:rPr>
              <w:t xml:space="preserve">Carolina Quintero </w:t>
            </w:r>
            <w:proofErr w:type="spellStart"/>
            <w:r w:rsidRPr="00F3272B">
              <w:rPr>
                <w:rFonts w:ascii="Verdana" w:eastAsia="Calibri" w:hAnsi="Verdana" w:cs="Arial"/>
                <w:sz w:val="18"/>
                <w:szCs w:val="18"/>
                <w:lang w:val="pt-BR" w:eastAsia="es-ES"/>
              </w:rPr>
              <w:t>Gacharná</w:t>
            </w:r>
            <w:proofErr w:type="spellEnd"/>
          </w:p>
          <w:p w14:paraId="04B350D6" w14:textId="77777777" w:rsidR="00B22AE8" w:rsidRPr="00F3272B" w:rsidRDefault="00B22AE8" w:rsidP="00B66D77">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eastAsia="es-ES"/>
              </w:rPr>
              <w:t>Subdirectora</w:t>
            </w:r>
            <w:r w:rsidRPr="00F3272B">
              <w:rPr>
                <w:rFonts w:ascii="Verdana" w:eastAsia="Calibri" w:hAnsi="Verdana" w:cs="Arial"/>
                <w:sz w:val="18"/>
                <w:szCs w:val="18"/>
                <w:lang w:val="pt-BR" w:eastAsia="es-ES"/>
              </w:rPr>
              <w:t xml:space="preserve"> de Gestión </w:t>
            </w:r>
            <w:proofErr w:type="spellStart"/>
            <w:r w:rsidRPr="00F3272B">
              <w:rPr>
                <w:rFonts w:ascii="Verdana" w:eastAsia="Calibri" w:hAnsi="Verdana" w:cs="Arial"/>
                <w:sz w:val="18"/>
                <w:szCs w:val="18"/>
                <w:lang w:val="pt-BR" w:eastAsia="es-ES"/>
              </w:rPr>
              <w:t>Contractual</w:t>
            </w:r>
            <w:proofErr w:type="spellEnd"/>
            <w:r w:rsidRPr="00F3272B">
              <w:rPr>
                <w:rFonts w:ascii="Verdana" w:eastAsia="Calibri" w:hAnsi="Verdana" w:cs="Arial"/>
                <w:sz w:val="18"/>
                <w:szCs w:val="18"/>
                <w:lang w:val="pt-BR" w:eastAsia="es-ES"/>
              </w:rPr>
              <w:t xml:space="preserve"> ANCP – CCE</w:t>
            </w:r>
          </w:p>
        </w:tc>
      </w:tr>
    </w:tbl>
    <w:p w14:paraId="55679E91" w14:textId="77777777" w:rsidR="5D8505AD" w:rsidRPr="0017067E" w:rsidRDefault="5D8505AD" w:rsidP="00871B59">
      <w:pPr>
        <w:rPr>
          <w:rFonts w:ascii="Verdana" w:hAnsi="Verdana"/>
        </w:rPr>
      </w:pPr>
    </w:p>
    <w:sectPr w:rsidR="5D8505AD" w:rsidRPr="0017067E"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44CA6" w14:textId="77777777" w:rsidR="00DF6FA2" w:rsidRDefault="00DF6FA2" w:rsidP="00B30448">
      <w:pPr>
        <w:spacing w:after="0" w:line="240" w:lineRule="auto"/>
      </w:pPr>
      <w:r>
        <w:separator/>
      </w:r>
    </w:p>
  </w:endnote>
  <w:endnote w:type="continuationSeparator" w:id="0">
    <w:p w14:paraId="5DF123F6" w14:textId="77777777" w:rsidR="00DF6FA2" w:rsidRDefault="00DF6FA2" w:rsidP="00B30448">
      <w:pPr>
        <w:spacing w:after="0" w:line="240" w:lineRule="auto"/>
      </w:pPr>
      <w:r>
        <w:continuationSeparator/>
      </w:r>
    </w:p>
  </w:endnote>
  <w:endnote w:type="continuationNotice" w:id="1">
    <w:p w14:paraId="47D7E69E" w14:textId="77777777" w:rsidR="00DF6FA2" w:rsidRDefault="00DF6F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Weiss">
    <w:charset w:val="00"/>
    <w:family w:val="roman"/>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7519C" w14:textId="77777777" w:rsidR="000849D5" w:rsidRDefault="000849D5" w:rsidP="000849D5">
    <w:pPr>
      <w:spacing w:after="0"/>
      <w:rPr>
        <w:rFonts w:ascii="Verdana" w:hAnsi="Verdana"/>
        <w:b/>
        <w:bCs/>
        <w:sz w:val="20"/>
        <w:szCs w:val="20"/>
      </w:rPr>
    </w:pPr>
  </w:p>
  <w:p w14:paraId="2332C556"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DC92ADD"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97E4A15"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5CECF3C0"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094FEAB7" w14:textId="77777777" w:rsidR="000849D5" w:rsidRPr="007D04B2" w:rsidRDefault="000849D5" w:rsidP="000849D5">
    <w:pPr>
      <w:pStyle w:val="Piedepgina"/>
    </w:pPr>
  </w:p>
  <w:p w14:paraId="59EC196A"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826FFF" w14:textId="77777777" w:rsidR="00DF6FA2" w:rsidRDefault="00DF6FA2" w:rsidP="00B30448">
      <w:pPr>
        <w:spacing w:after="0" w:line="240" w:lineRule="auto"/>
      </w:pPr>
      <w:r>
        <w:separator/>
      </w:r>
    </w:p>
  </w:footnote>
  <w:footnote w:type="continuationSeparator" w:id="0">
    <w:p w14:paraId="752ADA3B" w14:textId="77777777" w:rsidR="00DF6FA2" w:rsidRDefault="00DF6FA2" w:rsidP="00B30448">
      <w:pPr>
        <w:spacing w:after="0" w:line="240" w:lineRule="auto"/>
      </w:pPr>
      <w:r>
        <w:continuationSeparator/>
      </w:r>
    </w:p>
  </w:footnote>
  <w:footnote w:type="continuationNotice" w:id="1">
    <w:p w14:paraId="756ABCD8" w14:textId="77777777" w:rsidR="00DF6FA2" w:rsidRDefault="00DF6FA2">
      <w:pPr>
        <w:spacing w:after="0" w:line="240" w:lineRule="auto"/>
      </w:pPr>
    </w:p>
  </w:footnote>
  <w:footnote w:id="2">
    <w:p w14:paraId="69563815" w14:textId="77777777" w:rsidR="00A6205A" w:rsidRPr="00B91C08" w:rsidRDefault="00A6205A" w:rsidP="00A6205A">
      <w:pPr>
        <w:pStyle w:val="Textonotapie"/>
        <w:ind w:firstLine="708"/>
        <w:jc w:val="both"/>
        <w:rPr>
          <w:rFonts w:ascii="Verdana" w:hAnsi="Verdana" w:cs="Arial"/>
          <w:sz w:val="16"/>
          <w:szCs w:val="16"/>
        </w:rPr>
      </w:pPr>
      <w:r w:rsidRPr="00B91C08">
        <w:rPr>
          <w:rFonts w:ascii="Verdana" w:hAnsi="Verdana"/>
          <w:sz w:val="16"/>
          <w:szCs w:val="16"/>
          <w:vertAlign w:val="superscript"/>
        </w:rPr>
        <w:footnoteRef/>
      </w:r>
      <w:r w:rsidRPr="00B91C08">
        <w:rPr>
          <w:rFonts w:ascii="Verdana" w:hAnsi="Verdana" w:cs="Arial"/>
          <w:sz w:val="16"/>
          <w:szCs w:val="16"/>
        </w:rPr>
        <w:t xml:space="preserve"> Corte Constitucional, Sentencia C-449 de 1992, y Consejo de Estado, Sala de lo Contencioso Administrativo, Sección Tercera, Sentencia del 3 de diciembre de 2007, expedientes acumulados: (25206, 25409, 24524, 27834, 25410, 26105, 28244, 31447).</w:t>
      </w:r>
    </w:p>
  </w:footnote>
  <w:footnote w:id="3">
    <w:p w14:paraId="2BB26362" w14:textId="77777777" w:rsidR="00A6205A" w:rsidRPr="00B91C08" w:rsidRDefault="00A6205A" w:rsidP="00A6205A">
      <w:pPr>
        <w:pStyle w:val="Textonotapie"/>
        <w:ind w:firstLine="708"/>
        <w:jc w:val="both"/>
        <w:rPr>
          <w:rFonts w:ascii="Verdana" w:hAnsi="Verdana" w:cs="Arial"/>
          <w:sz w:val="16"/>
          <w:szCs w:val="16"/>
        </w:rPr>
      </w:pPr>
      <w:r w:rsidRPr="00B91C08">
        <w:rPr>
          <w:rFonts w:ascii="Verdana" w:hAnsi="Verdana"/>
          <w:sz w:val="16"/>
          <w:szCs w:val="16"/>
          <w:vertAlign w:val="superscript"/>
        </w:rPr>
        <w:footnoteRef/>
      </w:r>
      <w:r w:rsidRPr="00B91C08">
        <w:rPr>
          <w:rFonts w:ascii="Verdana" w:hAnsi="Verdana" w:cs="Arial"/>
          <w:sz w:val="16"/>
          <w:szCs w:val="16"/>
          <w:vertAlign w:val="superscript"/>
        </w:rPr>
        <w:t xml:space="preserve"> </w:t>
      </w:r>
      <w:r w:rsidRPr="00B91C08">
        <w:rPr>
          <w:rFonts w:ascii="Verdana" w:hAnsi="Verdana" w:cs="Arial"/>
          <w:sz w:val="16"/>
          <w:szCs w:val="16"/>
        </w:rPr>
        <w:t>DÁVILA VINUEZA. Luis Guillermo. Régimen jurídico de la contratación estatal. 3ª ed. Bogotá: Temis, 2016. p. 494</w:t>
      </w:r>
    </w:p>
  </w:footnote>
  <w:footnote w:id="4">
    <w:p w14:paraId="759B7F2A" w14:textId="77777777" w:rsidR="00A6205A" w:rsidRPr="00B91C08" w:rsidRDefault="00A6205A" w:rsidP="00A6205A">
      <w:pPr>
        <w:spacing w:after="0" w:line="240" w:lineRule="auto"/>
        <w:ind w:firstLine="709"/>
        <w:contextualSpacing/>
        <w:jc w:val="both"/>
        <w:rPr>
          <w:rFonts w:ascii="Verdana" w:hAnsi="Verdana" w:cs="Arial"/>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B91C08">
        <w:rPr>
          <w:rFonts w:ascii="Verdana" w:hAnsi="Verdana" w:cs="Arial"/>
          <w:spacing w:val="-6"/>
          <w:sz w:val="16"/>
          <w:szCs w:val="16"/>
        </w:rPr>
        <w:t xml:space="preserve"> </w:t>
      </w:r>
      <w:r w:rsidRPr="00B91C08">
        <w:rPr>
          <w:rFonts w:ascii="Verdana" w:hAnsi="Verdana" w:cs="Arial"/>
          <w:sz w:val="16"/>
          <w:szCs w:val="16"/>
        </w:rPr>
        <w:t>artículo”.</w:t>
      </w:r>
    </w:p>
  </w:footnote>
  <w:footnote w:id="5">
    <w:p w14:paraId="696A62EB" w14:textId="77777777" w:rsidR="00A6205A" w:rsidRPr="00161BD7" w:rsidRDefault="00A6205A" w:rsidP="00A6205A">
      <w:pPr>
        <w:pStyle w:val="Textonotapie"/>
        <w:ind w:firstLine="708"/>
        <w:rPr>
          <w:rFonts w:ascii="Verdana" w:hAnsi="Verdana"/>
          <w:sz w:val="16"/>
          <w:szCs w:val="16"/>
        </w:rPr>
      </w:pPr>
      <w:r w:rsidRPr="00161BD7">
        <w:rPr>
          <w:rStyle w:val="Refdenotaalpie"/>
          <w:rFonts w:ascii="Verdana" w:hAnsi="Verdana"/>
          <w:sz w:val="16"/>
          <w:szCs w:val="16"/>
        </w:rPr>
        <w:footnoteRef/>
      </w:r>
      <w:r w:rsidRPr="00161BD7">
        <w:rPr>
          <w:rFonts w:ascii="Verdana" w:hAnsi="Verdana"/>
          <w:sz w:val="16"/>
          <w:szCs w:val="16"/>
          <w:lang w:val="pt-BR"/>
        </w:rPr>
        <w:t xml:space="preserve"> Corte Constitucional. Sentencia C-671 de 2005. </w:t>
      </w:r>
      <w:r w:rsidRPr="00161BD7">
        <w:rPr>
          <w:rFonts w:ascii="Verdana" w:hAnsi="Verdana"/>
          <w:sz w:val="16"/>
          <w:szCs w:val="16"/>
        </w:rPr>
        <w:t xml:space="preserve">M.P. Álvaro Tafur Galvis. </w:t>
      </w:r>
    </w:p>
  </w:footnote>
  <w:footnote w:id="6">
    <w:p w14:paraId="3161CA88" w14:textId="77777777" w:rsidR="00A6205A" w:rsidRPr="00B91C08" w:rsidRDefault="00A6205A" w:rsidP="00A6205A">
      <w:pPr>
        <w:pStyle w:val="Textonotapie"/>
        <w:ind w:firstLine="708"/>
        <w:jc w:val="both"/>
        <w:rPr>
          <w:rFonts w:ascii="Verdana" w:hAnsi="Verdana"/>
          <w:sz w:val="16"/>
          <w:szCs w:val="16"/>
          <w:lang w:val="es-CO"/>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lang w:val="es-CO"/>
        </w:rPr>
        <w:t>Consejo d</w:t>
      </w:r>
      <w:r w:rsidRPr="00B91C08">
        <w:rPr>
          <w:rFonts w:ascii="Verdana" w:hAnsi="Verdana"/>
          <w:sz w:val="16"/>
          <w:szCs w:val="16"/>
          <w:lang w:val="es-CO"/>
        </w:rPr>
        <w:t>e Estado</w:t>
      </w:r>
      <w:r>
        <w:rPr>
          <w:rFonts w:ascii="Verdana" w:hAnsi="Verdana"/>
          <w:sz w:val="16"/>
          <w:szCs w:val="16"/>
          <w:lang w:val="es-CO"/>
        </w:rPr>
        <w:t>.</w:t>
      </w:r>
      <w:r w:rsidRPr="00B91C08">
        <w:rPr>
          <w:rFonts w:ascii="Verdana" w:hAnsi="Verdana"/>
          <w:sz w:val="16"/>
          <w:szCs w:val="16"/>
          <w:lang w:val="es-CO"/>
        </w:rPr>
        <w:t xml:space="preserve"> Sala de Consulta y Servicio Civil. Concepto no. 2257 del 26 de julio de 2016, C.P. Álvaro Namén Vargas; CONSEJO DE ESTADO, Sección Tercera, Subsección A. Sentencia del 23 de junio de 2010. C.P. Mauricio Fajardo Gómez. Exp 17860; Sección Tercera. Auto del 4 de octubre de 2024. C.P. Fredy Ibarra Martínez. Exp </w:t>
      </w:r>
      <w:r w:rsidRPr="00B91C08">
        <w:rPr>
          <w:rFonts w:ascii="Verdana" w:hAnsi="Verdana"/>
          <w:bCs/>
          <w:sz w:val="16"/>
          <w:szCs w:val="16"/>
        </w:rPr>
        <w:t xml:space="preserve">70313. </w:t>
      </w:r>
    </w:p>
  </w:footnote>
  <w:footnote w:id="7">
    <w:p w14:paraId="0FA3923C" w14:textId="77777777" w:rsidR="00A6205A" w:rsidRPr="00B91C08" w:rsidRDefault="00A6205A" w:rsidP="00A6205A">
      <w:pPr>
        <w:pStyle w:val="Textonotapie"/>
        <w:ind w:firstLine="708"/>
        <w:jc w:val="both"/>
        <w:rPr>
          <w:rFonts w:ascii="Verdana" w:hAnsi="Verdana"/>
          <w:sz w:val="16"/>
          <w:szCs w:val="16"/>
          <w:lang w:val="es-CO"/>
        </w:rPr>
      </w:pPr>
      <w:r w:rsidRPr="00B91C08">
        <w:rPr>
          <w:rStyle w:val="Refdenotaalpie"/>
          <w:rFonts w:ascii="Verdana" w:hAnsi="Verdana"/>
          <w:sz w:val="16"/>
          <w:szCs w:val="16"/>
        </w:rPr>
        <w:footnoteRef/>
      </w:r>
      <w:r w:rsidRPr="00B91C08">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B91C08">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8">
    <w:p w14:paraId="112DBE93" w14:textId="77777777" w:rsidR="00A6205A" w:rsidRPr="00B91C08" w:rsidRDefault="00A6205A" w:rsidP="00A6205A">
      <w:pPr>
        <w:pStyle w:val="Textonotapie"/>
        <w:ind w:firstLine="708"/>
        <w:jc w:val="both"/>
        <w:rPr>
          <w:rFonts w:ascii="Verdana" w:hAnsi="Verdana"/>
          <w:sz w:val="16"/>
          <w:szCs w:val="16"/>
          <w:lang w:val="es-ES"/>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rPr>
        <w:t>Consejo d</w:t>
      </w:r>
      <w:r w:rsidRPr="00B91C08">
        <w:rPr>
          <w:rFonts w:ascii="Verdana" w:hAnsi="Verdana"/>
          <w:sz w:val="16"/>
          <w:szCs w:val="16"/>
        </w:rPr>
        <w:t>e Estado. Sección Tercera, Subsección A. Sentencia del 25 de mayo de 2025. C.P. María Adriana Marín Hernández. Exp. 70.504; Sección Tercera, Subsección A. Sentencia del 16 de agosto de 2022, C.P.: María Adriana Marín. Exp. 60434.</w:t>
      </w:r>
    </w:p>
  </w:footnote>
  <w:footnote w:id="9">
    <w:p w14:paraId="22F4B86A" w14:textId="77777777" w:rsidR="00A6205A" w:rsidRPr="00B91C08" w:rsidRDefault="00A6205A" w:rsidP="00A6205A">
      <w:pPr>
        <w:pStyle w:val="Textonotapie"/>
        <w:ind w:firstLine="708"/>
        <w:jc w:val="both"/>
        <w:rPr>
          <w:rFonts w:ascii="Verdana" w:hAnsi="Verdana"/>
          <w:sz w:val="16"/>
          <w:szCs w:val="16"/>
          <w:lang w:val="es-ES"/>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lang w:val="es-CO"/>
        </w:rPr>
        <w:t>Consejo d</w:t>
      </w:r>
      <w:r w:rsidRPr="00B91C08">
        <w:rPr>
          <w:rFonts w:ascii="Verdana" w:hAnsi="Verdana"/>
          <w:sz w:val="16"/>
          <w:szCs w:val="16"/>
          <w:lang w:val="es-CO"/>
        </w:rPr>
        <w:t xml:space="preserve">e Estado. Sección Tercera, Subsección A. Sentencia del 14 de junio de 2019, C.P.: Marta Nubia Velásquez Rico. Rad.: 25000-23-37-000-2010-02552-01 (AP); Sección Tercera, Subsección A. Sentencia del 25 de mayo de 2025. C.P. María Adriana Marín Hernández. Exp. 70.504. </w:t>
      </w:r>
    </w:p>
  </w:footnote>
  <w:footnote w:id="10">
    <w:p w14:paraId="21537807" w14:textId="77777777" w:rsidR="00A6205A" w:rsidRPr="00B91C08" w:rsidRDefault="00A6205A" w:rsidP="00A6205A">
      <w:pPr>
        <w:spacing w:after="0" w:line="240" w:lineRule="auto"/>
        <w:ind w:firstLine="720"/>
        <w:jc w:val="both"/>
        <w:rPr>
          <w:rFonts w:ascii="Verdana" w:hAnsi="Verdana" w:cs="Arial"/>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“Artículo 10. Esquemas Asociativos Territoriales. Constituirán esquemas asociativos territoriales las regiones administrativas y de planificación, las regiones de planeación y gestión, las asociaciones de departamentos, las áreas metropolitanas, las asociaciones de distritos especiales, las provincias administrativas y de planificación, y las asociaciones de municipios”.</w:t>
      </w:r>
    </w:p>
  </w:footnote>
  <w:footnote w:id="11">
    <w:p w14:paraId="1A305CE4"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Ley 136 de 1994: </w:t>
      </w:r>
      <w:r w:rsidRPr="00B91C08">
        <w:rPr>
          <w:rFonts w:ascii="Verdana" w:hAnsi="Verdana" w:cs="Arial"/>
          <w:color w:val="000000"/>
          <w:sz w:val="16"/>
          <w:szCs w:val="16"/>
        </w:rPr>
        <w:t>“Artículo 150. Conformación y funcionamiento. Las asociaciones para su conformación y funcionamiento se sujetarán a las siguientes reglas:</w:t>
      </w:r>
    </w:p>
    <w:p w14:paraId="4C686115"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Fonts w:ascii="Verdana" w:hAnsi="Verdana" w:cs="Arial"/>
          <w:color w:val="000000"/>
          <w:sz w:val="16"/>
          <w:szCs w:val="16"/>
        </w:rPr>
        <w:t xml:space="preserve">1. Toda asociación de municipios será siempre voluntaria. </w:t>
      </w:r>
      <w:r w:rsidRPr="00B91C08">
        <w:rPr>
          <w:rFonts w:ascii="Verdana" w:hAnsi="Verdana" w:cs="Arial"/>
          <w:i/>
          <w:iCs/>
          <w:color w:val="000000"/>
          <w:sz w:val="16"/>
          <w:szCs w:val="16"/>
        </w:rPr>
        <w:t>Se conformará mediante convenio</w:t>
      </w:r>
      <w:r w:rsidRPr="00B91C08">
        <w:rPr>
          <w:rFonts w:ascii="Verdana" w:hAnsi="Verdana" w:cs="Arial"/>
          <w:color w:val="000000"/>
          <w:sz w:val="16"/>
          <w:szCs w:val="16"/>
        </w:rPr>
        <w:t xml:space="preserve"> suscrito por sus alcaldes, previa autorización de los respectivos concejos” (Cursiva fuera de texto).</w:t>
      </w:r>
    </w:p>
  </w:footnote>
  <w:footnote w:id="12">
    <w:p w14:paraId="5B613CB1"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position w:val="6"/>
          <w:sz w:val="16"/>
          <w:szCs w:val="16"/>
        </w:rPr>
        <w:t xml:space="preserve"> </w:t>
      </w:r>
      <w:r w:rsidRPr="00B91C08">
        <w:rPr>
          <w:rFonts w:ascii="Verdana" w:hAnsi="Verdana" w:cs="Arial"/>
          <w:color w:val="000000"/>
          <w:sz w:val="16"/>
          <w:szCs w:val="16"/>
        </w:rPr>
        <w:t xml:space="preserve">Ley 1454 de 2011: “Artículo 14. Asociaciones de municipios. Dos o más municipios de un mismo departamento o de varios departamentos, podrán asociarse administrativa y políticamente para organizar conjuntamente la prestación de servicios públicos, la ejecución de obras de ámbito regional y el cumplimiento de funciones administrativas propias, </w:t>
      </w:r>
      <w:r w:rsidRPr="00B91C08">
        <w:rPr>
          <w:rFonts w:ascii="Verdana" w:hAnsi="Verdana" w:cs="Arial"/>
          <w:i/>
          <w:iCs/>
          <w:color w:val="000000"/>
          <w:sz w:val="16"/>
          <w:szCs w:val="16"/>
        </w:rPr>
        <w:t>mediante convenio o contrato-plan</w:t>
      </w:r>
      <w:r w:rsidRPr="00B91C08">
        <w:rPr>
          <w:rFonts w:ascii="Verdana" w:hAnsi="Verdana" w:cs="Arial"/>
          <w:color w:val="000000"/>
          <w:sz w:val="16"/>
          <w:szCs w:val="16"/>
        </w:rPr>
        <w:t xml:space="preserve"> suscrito por los alcaldes respectivos, previamente autorizados por los concejos municipales o distritales y para el ejercicio de competencias concertadas entre sí en un marco de acción que integre sus respectivos planes de desarrollo en un modelo de planificación integral conjunto” (Cursiva fuera de texto).</w:t>
      </w:r>
    </w:p>
  </w:footnote>
  <w:footnote w:id="13">
    <w:p w14:paraId="3C6238E1"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sz w:val="16"/>
          <w:szCs w:val="16"/>
        </w:rPr>
        <w:t>“Artículo 95. Asociación entre entidades públicas. Las entidades públicas podrán asociarse con el fin de cooperar en el cumplimiento de funciones administrativas o de prestar conjuntamente servicios que se hallen a su cargo, mediante la celebración de convenios interadministrativos o la conformación de personas jurídicas sin ánimo de</w:t>
      </w:r>
      <w:r w:rsidRPr="00B91C08">
        <w:rPr>
          <w:rFonts w:ascii="Verdana" w:hAnsi="Verdana" w:cs="Arial"/>
          <w:color w:val="000000"/>
          <w:spacing w:val="-4"/>
          <w:sz w:val="16"/>
          <w:szCs w:val="16"/>
        </w:rPr>
        <w:t xml:space="preserve"> </w:t>
      </w:r>
      <w:r w:rsidRPr="00B91C08">
        <w:rPr>
          <w:rFonts w:ascii="Verdana" w:hAnsi="Verdana" w:cs="Arial"/>
          <w:color w:val="000000"/>
          <w:sz w:val="16"/>
          <w:szCs w:val="16"/>
        </w:rPr>
        <w:t>lucro.</w:t>
      </w:r>
    </w:p>
    <w:p w14:paraId="1F2CDCC4"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Fonts w:ascii="Verdana" w:hAnsi="Verdana" w:cs="Arial"/>
          <w:color w:val="000000"/>
          <w:sz w:val="16"/>
          <w:szCs w:val="16"/>
        </w:rPr>
        <w:t>Las personas jurídicas sin ánimo de lucro que se conformen por la asociación exclusiva de entidades públicas, se sujetan a las disposiciones previstas en el Código Civil y en las normas para las entidades de este género. Sus Juntas o Consejos Directivos estarán integrados en la forma que prevean los correspondientes estatutos internos, los cuales proveerán igualmente sobre la designación de su representante legal”.</w:t>
      </w:r>
    </w:p>
  </w:footnote>
  <w:footnote w:id="14">
    <w:p w14:paraId="7391D7BD" w14:textId="77777777" w:rsidR="00A6205A" w:rsidRPr="00B91C08" w:rsidRDefault="00A6205A" w:rsidP="00A6205A">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sz w:val="16"/>
          <w:szCs w:val="16"/>
        </w:rPr>
        <w:t>“Parágrafo 1. Para los solos efectos de esta ley, también se denominan entidades estatales las cooperativas y asociaciones conformadas por entidades territoriales, las cuales estarán sujetas a las disposiciones del presente estatuto, especialmente cuando en desarrollo de convenios interadministrativos celebren contratos por cuenta de dichas</w:t>
      </w:r>
      <w:r w:rsidRPr="00B91C08">
        <w:rPr>
          <w:rFonts w:ascii="Verdana" w:hAnsi="Verdana" w:cs="Arial"/>
          <w:color w:val="000000"/>
          <w:spacing w:val="-5"/>
          <w:sz w:val="16"/>
          <w:szCs w:val="16"/>
        </w:rPr>
        <w:t xml:space="preserve"> </w:t>
      </w:r>
      <w:r w:rsidRPr="00B91C08">
        <w:rPr>
          <w:rFonts w:ascii="Verdana" w:hAnsi="Verdana" w:cs="Arial"/>
          <w:color w:val="000000"/>
          <w:sz w:val="16"/>
          <w:szCs w:val="16"/>
        </w:rPr>
        <w:t>entidades”.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B3F31"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13449646" wp14:editId="4945B2A7">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11E3857D" wp14:editId="6084D79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5D43649" w14:textId="77777777" w:rsidR="00515FB5" w:rsidRDefault="00515FB5" w:rsidP="00515FB5">
    <w:pPr>
      <w:pStyle w:val="Encabezado"/>
    </w:pPr>
  </w:p>
  <w:p w14:paraId="59334F2E" w14:textId="77777777" w:rsidR="00515FB5" w:rsidRDefault="00515FB5" w:rsidP="00515FB5">
    <w:pPr>
      <w:pStyle w:val="Encabezado"/>
    </w:pPr>
  </w:p>
  <w:p w14:paraId="20718E8D" w14:textId="77777777" w:rsidR="00515FB5" w:rsidRDefault="00515FB5" w:rsidP="00515FB5">
    <w:pPr>
      <w:pStyle w:val="Encabezado"/>
    </w:pPr>
  </w:p>
  <w:p w14:paraId="3F766DD9" w14:textId="77777777" w:rsidR="00515FB5" w:rsidRPr="00AB7B56" w:rsidRDefault="00515FB5" w:rsidP="00515FB5">
    <w:pPr>
      <w:pStyle w:val="Encabezado"/>
    </w:pPr>
  </w:p>
  <w:p w14:paraId="3D60E145"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69522B7"/>
    <w:multiLevelType w:val="hybridMultilevel"/>
    <w:tmpl w:val="F2BA69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6044C1A"/>
    <w:multiLevelType w:val="hybridMultilevel"/>
    <w:tmpl w:val="1BC4AA5A"/>
    <w:lvl w:ilvl="0" w:tplc="56F69630">
      <w:numFmt w:val="bullet"/>
      <w:lvlText w:val=""/>
      <w:lvlJc w:val="left"/>
      <w:pPr>
        <w:ind w:left="720" w:hanging="360"/>
      </w:pPr>
      <w:rPr>
        <w:rFonts w:ascii="Symbol" w:eastAsiaTheme="minorHAnsi" w:hAnsi="Symbol" w:cs="Times New Roman" w:hint="default"/>
        <w:sz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9"/>
  </w:num>
  <w:num w:numId="6" w16cid:durableId="1082990391">
    <w:abstractNumId w:val="1"/>
  </w:num>
  <w:num w:numId="7" w16cid:durableId="1492209491">
    <w:abstractNumId w:val="4"/>
  </w:num>
  <w:num w:numId="8" w16cid:durableId="679089576">
    <w:abstractNumId w:val="7"/>
  </w:num>
  <w:num w:numId="9" w16cid:durableId="1037705014">
    <w:abstractNumId w:val="10"/>
  </w:num>
  <w:num w:numId="10" w16cid:durableId="957176335">
    <w:abstractNumId w:val="6"/>
  </w:num>
  <w:num w:numId="11" w16cid:durableId="20069299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05A"/>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067E"/>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B74B1"/>
    <w:rsid w:val="002E1DB5"/>
    <w:rsid w:val="002F1466"/>
    <w:rsid w:val="002F6CCB"/>
    <w:rsid w:val="0030461E"/>
    <w:rsid w:val="003107A1"/>
    <w:rsid w:val="0032756A"/>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A0E7B"/>
    <w:rsid w:val="004A3498"/>
    <w:rsid w:val="004B0C45"/>
    <w:rsid w:val="004B3C97"/>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8743A"/>
    <w:rsid w:val="005A4DB0"/>
    <w:rsid w:val="005A7B8E"/>
    <w:rsid w:val="005B012B"/>
    <w:rsid w:val="005B0C87"/>
    <w:rsid w:val="005C434A"/>
    <w:rsid w:val="005D23F6"/>
    <w:rsid w:val="005D2FA8"/>
    <w:rsid w:val="005E2281"/>
    <w:rsid w:val="005E667C"/>
    <w:rsid w:val="005F077C"/>
    <w:rsid w:val="005F63D0"/>
    <w:rsid w:val="005F7973"/>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285D"/>
    <w:rsid w:val="007C6BC6"/>
    <w:rsid w:val="00801DCA"/>
    <w:rsid w:val="00807D79"/>
    <w:rsid w:val="00811AD6"/>
    <w:rsid w:val="00813634"/>
    <w:rsid w:val="00822821"/>
    <w:rsid w:val="00831C29"/>
    <w:rsid w:val="008431EF"/>
    <w:rsid w:val="008468E0"/>
    <w:rsid w:val="008526E9"/>
    <w:rsid w:val="00862B3A"/>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6205A"/>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2AE8"/>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E7505"/>
    <w:rsid w:val="00BF6B4B"/>
    <w:rsid w:val="00C0174E"/>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E6A7D"/>
    <w:rsid w:val="00CE6BDA"/>
    <w:rsid w:val="00CF40EB"/>
    <w:rsid w:val="00D03DBE"/>
    <w:rsid w:val="00D072C0"/>
    <w:rsid w:val="00D34C82"/>
    <w:rsid w:val="00D3757A"/>
    <w:rsid w:val="00D504A9"/>
    <w:rsid w:val="00D5206D"/>
    <w:rsid w:val="00D7177D"/>
    <w:rsid w:val="00D81311"/>
    <w:rsid w:val="00D94B13"/>
    <w:rsid w:val="00DB201E"/>
    <w:rsid w:val="00DC0E68"/>
    <w:rsid w:val="00DD25ED"/>
    <w:rsid w:val="00DE0D6E"/>
    <w:rsid w:val="00DF6FA2"/>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4212C"/>
    <w:rsid w:val="00F53BE2"/>
    <w:rsid w:val="00F55684"/>
    <w:rsid w:val="00F64D5A"/>
    <w:rsid w:val="00F709CD"/>
    <w:rsid w:val="00F8118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6455E3"/>
  <w15:docId w15:val="{598CD358-A4E0-4446-BACE-B4EEBF500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citation-526">
    <w:name w:val="citation-526"/>
    <w:basedOn w:val="Fuentedeprrafopredeter"/>
    <w:rsid w:val="0017067E"/>
  </w:style>
  <w:style w:type="character" w:customStyle="1" w:styleId="citation-525">
    <w:name w:val="citation-525"/>
    <w:basedOn w:val="Fuentedeprrafopredeter"/>
    <w:rsid w:val="0017067E"/>
  </w:style>
  <w:style w:type="character" w:customStyle="1" w:styleId="citation-524">
    <w:name w:val="citation-524"/>
    <w:basedOn w:val="Fuentedeprrafopredeter"/>
    <w:rsid w:val="0017067E"/>
  </w:style>
  <w:style w:type="character" w:customStyle="1" w:styleId="citation-523">
    <w:name w:val="citation-523"/>
    <w:basedOn w:val="Fuentedeprrafopredeter"/>
    <w:rsid w:val="0017067E"/>
  </w:style>
  <w:style w:type="character" w:customStyle="1" w:styleId="citation-522">
    <w:name w:val="citation-522"/>
    <w:basedOn w:val="Fuentedeprrafopredeter"/>
    <w:rsid w:val="0017067E"/>
  </w:style>
  <w:style w:type="character" w:customStyle="1" w:styleId="citation-521">
    <w:name w:val="citation-521"/>
    <w:basedOn w:val="Fuentedeprrafopredeter"/>
    <w:rsid w:val="0017067E"/>
  </w:style>
  <w:style w:type="character" w:customStyle="1" w:styleId="citation-520">
    <w:name w:val="citation-520"/>
    <w:basedOn w:val="Fuentedeprrafopredeter"/>
    <w:rsid w:val="0017067E"/>
  </w:style>
  <w:style w:type="character" w:customStyle="1" w:styleId="citation-519">
    <w:name w:val="citation-519"/>
    <w:basedOn w:val="Fuentedeprrafopredeter"/>
    <w:rsid w:val="0017067E"/>
  </w:style>
  <w:style w:type="character" w:customStyle="1" w:styleId="citation-547">
    <w:name w:val="citation-547"/>
    <w:basedOn w:val="Fuentedeprrafopredeter"/>
    <w:rsid w:val="005C434A"/>
  </w:style>
  <w:style w:type="character" w:customStyle="1" w:styleId="citation-546">
    <w:name w:val="citation-546"/>
    <w:basedOn w:val="Fuentedeprrafopredeter"/>
    <w:rsid w:val="005C434A"/>
  </w:style>
  <w:style w:type="character" w:customStyle="1" w:styleId="citation-545">
    <w:name w:val="citation-545"/>
    <w:basedOn w:val="Fuentedeprrafopredeter"/>
    <w:rsid w:val="005C434A"/>
  </w:style>
  <w:style w:type="character" w:customStyle="1" w:styleId="citation-544">
    <w:name w:val="citation-544"/>
    <w:basedOn w:val="Fuentedeprrafopredeter"/>
    <w:rsid w:val="005C434A"/>
  </w:style>
  <w:style w:type="character" w:customStyle="1" w:styleId="citation-543">
    <w:name w:val="citation-543"/>
    <w:basedOn w:val="Fuentedeprrafopredeter"/>
    <w:rsid w:val="005C434A"/>
  </w:style>
  <w:style w:type="character" w:customStyle="1" w:styleId="citation-542">
    <w:name w:val="citation-542"/>
    <w:basedOn w:val="Fuentedeprrafopredeter"/>
    <w:rsid w:val="005C434A"/>
  </w:style>
  <w:style w:type="character" w:customStyle="1" w:styleId="citation-541">
    <w:name w:val="citation-541"/>
    <w:basedOn w:val="Fuentedeprrafopredeter"/>
    <w:rsid w:val="005C434A"/>
  </w:style>
  <w:style w:type="character" w:customStyle="1" w:styleId="citation-192">
    <w:name w:val="citation-192"/>
    <w:basedOn w:val="Fuentedeprrafopredeter"/>
    <w:rsid w:val="00CE6A7D"/>
  </w:style>
  <w:style w:type="character" w:customStyle="1" w:styleId="citation-191">
    <w:name w:val="citation-191"/>
    <w:basedOn w:val="Fuentedeprrafopredeter"/>
    <w:rsid w:val="00CE6A7D"/>
  </w:style>
  <w:style w:type="character" w:customStyle="1" w:styleId="citation-190">
    <w:name w:val="citation-190"/>
    <w:basedOn w:val="Fuentedeprrafopredeter"/>
    <w:rsid w:val="00CE6A7D"/>
  </w:style>
  <w:style w:type="character" w:customStyle="1" w:styleId="citation-189">
    <w:name w:val="citation-189"/>
    <w:basedOn w:val="Fuentedeprrafopredeter"/>
    <w:rsid w:val="00CE6A7D"/>
  </w:style>
  <w:style w:type="character" w:customStyle="1" w:styleId="citation-188">
    <w:name w:val="citation-188"/>
    <w:basedOn w:val="Fuentedeprrafopredeter"/>
    <w:rsid w:val="00CE6A7D"/>
  </w:style>
  <w:style w:type="character" w:customStyle="1" w:styleId="citation-187">
    <w:name w:val="citation-187"/>
    <w:basedOn w:val="Fuentedeprrafopredeter"/>
    <w:rsid w:val="00CE6A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489_1998_pr002.html"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lesi0203@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colombiacompra.gov.co/normativa-y-relatoria/conoce-la-relatoria"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www.w3.org/XML/1998/namespace"/>
    <ds:schemaRef ds:uri="http://purl.org/dc/terms/"/>
    <ds:schemaRef ds:uri="http://purl.org/dc/dcmitype/"/>
    <ds:schemaRef ds:uri="http://schemas.microsoft.com/office/infopath/2007/PartnerControls"/>
    <ds:schemaRef ds:uri="http://schemas.microsoft.com/office/2006/documentManagement/types"/>
    <ds:schemaRef ds:uri="http://schemas.openxmlformats.org/package/2006/metadata/core-properties"/>
    <ds:schemaRef ds:uri="a6cb9e4b-f1d1-4245-83ec-6cad768d538a"/>
    <ds:schemaRef ds:uri="9d85dbaf-23eb-4e57-a637-93dcacc8b1a1"/>
    <ds:schemaRef ds:uri="http://purl.org/dc/elements/1.1/"/>
  </ds:schemaRefs>
</ds:datastoreItem>
</file>

<file path=customXml/itemProps3.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18</Pages>
  <Words>5214</Words>
  <Characters>28677</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Betty helena Diaz</cp:lastModifiedBy>
  <cp:revision>2</cp:revision>
  <dcterms:created xsi:type="dcterms:W3CDTF">2025-10-22T17:00:00Z</dcterms:created>
  <dcterms:modified xsi:type="dcterms:W3CDTF">2025-10-22T17:00:00Z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