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48227" w14:textId="77777777" w:rsidR="00A05267" w:rsidRDefault="00A05267" w:rsidP="00A05267">
      <w:pPr>
        <w:jc w:val="both"/>
        <w:rPr>
          <w:rFonts w:ascii="Verdana" w:eastAsia="Calibri" w:hAnsi="Verdana" w:cs="Arial"/>
          <w:b/>
          <w:bCs/>
          <w:lang w:val="es-ES" w:eastAsia="es-ES"/>
        </w:rPr>
      </w:pPr>
      <w:bookmarkStart w:id="0" w:name="_Hlk143780582"/>
      <w:bookmarkStart w:id="1" w:name="_Hlk202875225"/>
      <w:bookmarkStart w:id="2" w:name="_Hlk203032812"/>
      <w:bookmarkStart w:id="3" w:name="_Hlk204367265"/>
      <w:bookmarkStart w:id="4" w:name="_Hlk206116713"/>
      <w:bookmarkStart w:id="5" w:name="_Hlk210398672"/>
      <w:r w:rsidRPr="00A05267">
        <w:rPr>
          <w:rFonts w:ascii="Verdana" w:eastAsia="Calibri" w:hAnsi="Verdana" w:cs="Arial"/>
          <w:b/>
          <w:bCs/>
          <w:lang w:val="es-ES" w:eastAsia="es-ES"/>
        </w:rPr>
        <w:t xml:space="preserve">PROPONENTE PLURAL ‒ Consorcio ‒ Unión temporal ‒ Concepto – Diferencias </w:t>
      </w:r>
    </w:p>
    <w:p w14:paraId="74C62B47" w14:textId="41C2CE8F" w:rsidR="00A05267" w:rsidRDefault="00A05267" w:rsidP="00A05267">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A05267">
        <w:rPr>
          <w:rFonts w:ascii="Verdana" w:eastAsia="Calibri" w:hAnsi="Verdana" w:cs="Arial"/>
          <w:color w:val="000000"/>
          <w:sz w:val="20"/>
          <w:szCs w:val="20"/>
          <w:lang w:eastAsia="es-ES_tradnl"/>
        </w:rPr>
        <w:t xml:space="preserve">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32526A25" w14:textId="77777777" w:rsidR="00A05267" w:rsidRDefault="00A05267" w:rsidP="00A05267">
      <w:pPr>
        <w:spacing w:after="0" w:line="240" w:lineRule="auto"/>
        <w:jc w:val="both"/>
        <w:rPr>
          <w:rFonts w:ascii="Verdana" w:eastAsia="Calibri" w:hAnsi="Verdana" w:cs="Arial"/>
          <w:color w:val="000000"/>
          <w:sz w:val="20"/>
          <w:szCs w:val="20"/>
          <w:lang w:eastAsia="es-ES_tradnl"/>
        </w:rPr>
      </w:pPr>
    </w:p>
    <w:p w14:paraId="7D6D315C" w14:textId="77777777" w:rsidR="00907CC2" w:rsidRDefault="00A05267" w:rsidP="00A05267">
      <w:pPr>
        <w:spacing w:line="276" w:lineRule="auto"/>
        <w:jc w:val="both"/>
        <w:rPr>
          <w:rFonts w:ascii="Verdana" w:eastAsia="Calibri" w:hAnsi="Verdana" w:cs="Arial"/>
          <w:b/>
          <w:bCs/>
          <w:lang w:val="es-ES" w:eastAsia="es-ES"/>
        </w:rPr>
      </w:pPr>
      <w:r w:rsidRPr="00907CC2">
        <w:rPr>
          <w:rFonts w:ascii="Verdana" w:eastAsia="Calibri" w:hAnsi="Verdana" w:cs="Arial"/>
          <w:b/>
          <w:bCs/>
          <w:lang w:val="es-ES" w:eastAsia="es-ES"/>
        </w:rPr>
        <w:t xml:space="preserve">SUBCONTRATACIÓN – Concepto – Limitaciones jurídicas </w:t>
      </w:r>
    </w:p>
    <w:p w14:paraId="245AA2A7" w14:textId="60A348CC" w:rsidR="0098704D" w:rsidRDefault="0098704D" w:rsidP="0098704D">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98704D">
        <w:rPr>
          <w:rFonts w:ascii="Verdana" w:eastAsia="Calibri" w:hAnsi="Verdana" w:cs="Arial"/>
          <w:color w:val="000000"/>
          <w:sz w:val="20"/>
          <w:szCs w:val="20"/>
          <w:lang w:eastAsia="es-ES_tradnl"/>
        </w:rPr>
        <w:t xml:space="preserve">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42C0BCF2" w14:textId="77777777" w:rsidR="0098704D" w:rsidRPr="0098704D" w:rsidRDefault="0098704D" w:rsidP="0098704D">
      <w:pPr>
        <w:spacing w:after="0" w:line="240" w:lineRule="auto"/>
        <w:jc w:val="both"/>
        <w:rPr>
          <w:rFonts w:ascii="Verdana" w:eastAsia="Calibri" w:hAnsi="Verdana" w:cs="Arial"/>
          <w:color w:val="000000"/>
          <w:sz w:val="20"/>
          <w:szCs w:val="20"/>
          <w:lang w:eastAsia="es-ES_tradnl"/>
        </w:rPr>
      </w:pPr>
    </w:p>
    <w:p w14:paraId="441EB21D" w14:textId="12CF3F44" w:rsidR="0098704D" w:rsidRPr="0098704D" w:rsidRDefault="0098704D" w:rsidP="0098704D">
      <w:pPr>
        <w:spacing w:after="0" w:line="240" w:lineRule="auto"/>
        <w:jc w:val="both"/>
        <w:rPr>
          <w:rFonts w:ascii="Verdana" w:eastAsia="Calibri" w:hAnsi="Verdana" w:cs="Arial"/>
          <w:color w:val="000000"/>
          <w:sz w:val="20"/>
          <w:szCs w:val="20"/>
          <w:lang w:val="es-ES" w:eastAsia="es-ES_tradnl"/>
        </w:rPr>
      </w:pPr>
      <w:r w:rsidRPr="0098704D">
        <w:rPr>
          <w:rFonts w:ascii="Verdana" w:eastAsia="Calibri" w:hAnsi="Verdana" w:cs="Arial"/>
          <w:color w:val="000000"/>
          <w:sz w:val="20"/>
          <w:szCs w:val="20"/>
          <w:lang w:val="es-ES" w:eastAsia="es-ES_tradnl"/>
        </w:rPr>
        <w:t xml:space="preserve">Debido a la escasa regulación normativa, la subcontratación en materia de contratación pública estará supeditada a lo dispuesto en el pliego de condiciones y en el contrato, sin perjuicio de las limitaciones establecidas por la ley. 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w:t>
      </w:r>
    </w:p>
    <w:p w14:paraId="1E6135EE" w14:textId="77777777" w:rsidR="0098704D" w:rsidRDefault="0098704D" w:rsidP="0098704D">
      <w:pPr>
        <w:spacing w:after="0" w:line="240" w:lineRule="auto"/>
        <w:jc w:val="both"/>
        <w:rPr>
          <w:rFonts w:ascii="Verdana" w:eastAsia="Calibri" w:hAnsi="Verdana" w:cs="Arial"/>
          <w:b/>
          <w:bCs/>
          <w:lang w:val="es-ES" w:eastAsia="es-ES"/>
        </w:rPr>
      </w:pPr>
    </w:p>
    <w:p w14:paraId="28D81FE8" w14:textId="77777777" w:rsidR="0098704D" w:rsidRDefault="00A05267" w:rsidP="0098704D">
      <w:pPr>
        <w:jc w:val="both"/>
        <w:rPr>
          <w:rFonts w:ascii="Verdana" w:eastAsia="Calibri" w:hAnsi="Verdana" w:cs="Arial"/>
          <w:b/>
          <w:bCs/>
          <w:lang w:val="es-ES" w:eastAsia="es-ES"/>
        </w:rPr>
      </w:pPr>
      <w:r w:rsidRPr="0098704D">
        <w:rPr>
          <w:rFonts w:ascii="Verdana" w:eastAsia="Calibri" w:hAnsi="Verdana" w:cs="Arial"/>
          <w:b/>
          <w:bCs/>
          <w:lang w:val="es-ES" w:eastAsia="es-ES"/>
        </w:rPr>
        <w:t xml:space="preserve">INTEGRANTES DE ESTRUCTURA PLURAL – Subcontratación – Terceros – Imposibilidad de fungir como subcontratistas   </w:t>
      </w:r>
    </w:p>
    <w:p w14:paraId="323F4AA3" w14:textId="7E039585" w:rsidR="003148DF" w:rsidRPr="003148DF" w:rsidRDefault="003148DF" w:rsidP="003148DF">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 </w:t>
      </w:r>
      <w:r w:rsidRPr="003148DF">
        <w:rPr>
          <w:rFonts w:ascii="Verdana" w:eastAsia="Calibri" w:hAnsi="Verdana" w:cs="Arial"/>
          <w:color w:val="000000"/>
          <w:sz w:val="20"/>
          <w:szCs w:val="20"/>
          <w:lang w:eastAsia="es-ES_tradnl"/>
        </w:rPr>
        <w:t xml:space="preserve">no es posible que los integrantes de la estructura plural conformen el consorcio o la unión temporal y, de manera simultánea, uno o varios de aquellos tengan la calidad de subcontratistas. Pensar lo contrario resulta absurdo de cara al principio lógico de no contradicción, criterio bajo el cual “Una cosa no puede ser ella misma y su contrario, en el mismo aspecto y en el mismo momento”. </w:t>
      </w:r>
    </w:p>
    <w:p w14:paraId="6819D1FB" w14:textId="77777777" w:rsidR="003148DF" w:rsidRDefault="003148DF" w:rsidP="003148DF">
      <w:pPr>
        <w:spacing w:after="0" w:line="240" w:lineRule="auto"/>
        <w:jc w:val="both"/>
        <w:rPr>
          <w:rFonts w:ascii="Verdana" w:eastAsia="Calibri" w:hAnsi="Verdana" w:cs="Arial"/>
          <w:color w:val="000000"/>
          <w:sz w:val="20"/>
          <w:szCs w:val="20"/>
          <w:lang w:eastAsia="es-ES_tradnl"/>
        </w:rPr>
      </w:pPr>
    </w:p>
    <w:p w14:paraId="411F0C5B" w14:textId="5E57321E" w:rsidR="003148DF" w:rsidRPr="003148DF" w:rsidRDefault="003148DF" w:rsidP="003148DF">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 En este contexto, sólo la experiencia adquirida por lo integrantes del proponente plural puede acreditarse en otros procesos de selección, pues </w:t>
      </w:r>
      <w:r w:rsidRPr="003148DF">
        <w:rPr>
          <w:rFonts w:ascii="Verdana" w:eastAsia="Calibri" w:hAnsi="Verdana" w:cs="Arial"/>
          <w:color w:val="000000"/>
          <w:sz w:val="20"/>
          <w:szCs w:val="20"/>
          <w:lang w:eastAsia="es-ES_tradnl"/>
        </w:rPr>
        <w:lastRenderedPageBreak/>
        <w:t xml:space="preserve">–por sustracción de materia– no pueden fungir como subcontratistas del consorcio o unión temporal del que hacen parte.  </w:t>
      </w:r>
    </w:p>
    <w:p w14:paraId="352EC563" w14:textId="77777777" w:rsidR="003148DF" w:rsidRDefault="003148DF" w:rsidP="003148DF">
      <w:pPr>
        <w:spacing w:after="0" w:line="240" w:lineRule="auto"/>
        <w:jc w:val="both"/>
        <w:rPr>
          <w:rFonts w:ascii="Verdana" w:eastAsia="Calibri" w:hAnsi="Verdana" w:cs="Arial"/>
          <w:color w:val="000000"/>
          <w:sz w:val="20"/>
          <w:szCs w:val="20"/>
          <w:lang w:eastAsia="es-ES_tradnl"/>
        </w:rPr>
      </w:pPr>
    </w:p>
    <w:p w14:paraId="5F29E14A" w14:textId="419967C5" w:rsidR="003148DF" w:rsidRPr="003148DF" w:rsidRDefault="003148DF" w:rsidP="003148DF">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En este contexto, las personas naturales o jurídicas que se unen para la conformación de un consorcio o una unión temporal, cuyo propósito consiste en la presentación de propuestas, adjudicación, celebración del contrato así como la ejecución de éste, definido las actividades y obligaciones previamente en la carta de conformación, resulta contrario a la naturaleza propia de dicha forma de colaboración que ellas mismas subcontraten a quienes hacen parte de esta forma asociativa de colaboración, por cuanto como se indicó previamente, la subcontratación requiere que sea un tercero quien cumplan con el objeto de dicha subcontratación. </w:t>
      </w:r>
    </w:p>
    <w:p w14:paraId="7774CBE8" w14:textId="77777777" w:rsidR="003148DF" w:rsidRPr="003148DF" w:rsidRDefault="003148DF" w:rsidP="0098704D">
      <w:pPr>
        <w:jc w:val="both"/>
        <w:rPr>
          <w:rFonts w:ascii="Verdana" w:eastAsia="Calibri" w:hAnsi="Verdana" w:cs="Arial"/>
          <w:b/>
          <w:bCs/>
          <w:lang w:eastAsia="es-ES"/>
        </w:rPr>
      </w:pPr>
    </w:p>
    <w:p w14:paraId="22DEFA33" w14:textId="77777777" w:rsidR="0098704D" w:rsidRDefault="0098704D" w:rsidP="0098704D">
      <w:pPr>
        <w:jc w:val="both"/>
        <w:rPr>
          <w:rFonts w:ascii="Verdana" w:eastAsia="Calibri" w:hAnsi="Verdana" w:cs="Arial"/>
          <w:b/>
          <w:bCs/>
          <w:lang w:val="es-ES" w:eastAsia="es-ES"/>
        </w:rPr>
      </w:pPr>
    </w:p>
    <w:p w14:paraId="2E050CF8" w14:textId="77777777" w:rsidR="0098704D" w:rsidRDefault="0098704D" w:rsidP="0098704D">
      <w:pPr>
        <w:jc w:val="both"/>
        <w:rPr>
          <w:rFonts w:ascii="Verdana" w:eastAsia="Calibri" w:hAnsi="Verdana" w:cs="Arial"/>
          <w:b/>
          <w:bCs/>
          <w:lang w:val="es-ES" w:eastAsia="es-ES"/>
        </w:rPr>
      </w:pPr>
    </w:p>
    <w:p w14:paraId="4A2C648F" w14:textId="77777777" w:rsidR="0098704D" w:rsidRDefault="0098704D" w:rsidP="0098704D">
      <w:pPr>
        <w:jc w:val="both"/>
        <w:rPr>
          <w:rFonts w:ascii="Verdana" w:eastAsia="Calibri" w:hAnsi="Verdana" w:cs="Arial"/>
          <w:b/>
          <w:bCs/>
          <w:lang w:val="es-ES" w:eastAsia="es-ES"/>
        </w:rPr>
      </w:pPr>
    </w:p>
    <w:p w14:paraId="7B4C8CE8" w14:textId="064CC4F3" w:rsidR="00A05267" w:rsidRPr="0098704D" w:rsidRDefault="00A05267" w:rsidP="0098704D">
      <w:pPr>
        <w:spacing w:after="0" w:line="240" w:lineRule="auto"/>
        <w:jc w:val="both"/>
        <w:rPr>
          <w:rFonts w:ascii="Verdana" w:eastAsia="Calibri" w:hAnsi="Verdana" w:cs="Arial"/>
          <w:b/>
          <w:bCs/>
          <w:lang w:val="es-ES" w:eastAsia="es-ES"/>
        </w:rPr>
      </w:pPr>
      <w:r w:rsidRPr="0098704D">
        <w:rPr>
          <w:rFonts w:ascii="Verdana" w:eastAsia="Calibri" w:hAnsi="Verdana" w:cs="Arial"/>
          <w:b/>
          <w:bCs/>
          <w:lang w:val="es-ES" w:eastAsia="es-ES"/>
        </w:rPr>
        <w:t xml:space="preserve">                       </w:t>
      </w:r>
    </w:p>
    <w:p w14:paraId="05E69E1E" w14:textId="77777777" w:rsidR="00A05267" w:rsidRDefault="00A05267" w:rsidP="00BE5D31">
      <w:pPr>
        <w:spacing w:after="0" w:line="240" w:lineRule="auto"/>
        <w:jc w:val="both"/>
        <w:rPr>
          <w:rFonts w:ascii="Verdana" w:hAnsi="Verdana"/>
          <w:lang w:val="es-ES"/>
        </w:rPr>
      </w:pPr>
    </w:p>
    <w:p w14:paraId="5901C70D" w14:textId="77777777" w:rsidR="00A05267" w:rsidRDefault="00A05267" w:rsidP="00BE5D31">
      <w:pPr>
        <w:spacing w:after="0" w:line="240" w:lineRule="auto"/>
        <w:jc w:val="both"/>
        <w:rPr>
          <w:rFonts w:ascii="Verdana" w:hAnsi="Verdana"/>
          <w:lang w:val="es-ES"/>
        </w:rPr>
      </w:pPr>
    </w:p>
    <w:p w14:paraId="6AA9EE45" w14:textId="77777777" w:rsidR="00A05267" w:rsidRDefault="00A05267" w:rsidP="00BE5D31">
      <w:pPr>
        <w:spacing w:after="0" w:line="240" w:lineRule="auto"/>
        <w:jc w:val="both"/>
        <w:rPr>
          <w:rFonts w:ascii="Verdana" w:hAnsi="Verdana"/>
          <w:lang w:val="es-ES"/>
        </w:rPr>
      </w:pPr>
    </w:p>
    <w:p w14:paraId="2E27F28D" w14:textId="77777777" w:rsidR="00A05267" w:rsidRDefault="00A05267" w:rsidP="00BE5D31">
      <w:pPr>
        <w:spacing w:after="0" w:line="240" w:lineRule="auto"/>
        <w:jc w:val="both"/>
        <w:rPr>
          <w:rFonts w:ascii="Verdana" w:hAnsi="Verdana"/>
          <w:lang w:val="es-ES"/>
        </w:rPr>
      </w:pPr>
    </w:p>
    <w:p w14:paraId="4A6B6B96" w14:textId="77777777" w:rsidR="00A05267" w:rsidRDefault="00A05267" w:rsidP="00BE5D31">
      <w:pPr>
        <w:spacing w:after="0" w:line="240" w:lineRule="auto"/>
        <w:jc w:val="both"/>
        <w:rPr>
          <w:rFonts w:ascii="Verdana" w:hAnsi="Verdana"/>
          <w:lang w:val="es-ES"/>
        </w:rPr>
      </w:pPr>
    </w:p>
    <w:p w14:paraId="49FEB00C" w14:textId="77777777" w:rsidR="00A05267" w:rsidRDefault="00A05267" w:rsidP="00BE5D31">
      <w:pPr>
        <w:spacing w:after="0" w:line="240" w:lineRule="auto"/>
        <w:jc w:val="both"/>
        <w:rPr>
          <w:rFonts w:ascii="Verdana" w:hAnsi="Verdana"/>
          <w:lang w:val="es-ES"/>
        </w:rPr>
      </w:pPr>
    </w:p>
    <w:p w14:paraId="0C017F11" w14:textId="77777777" w:rsidR="00A05267" w:rsidRDefault="00A05267" w:rsidP="00BE5D31">
      <w:pPr>
        <w:spacing w:after="0" w:line="240" w:lineRule="auto"/>
        <w:jc w:val="both"/>
        <w:rPr>
          <w:rFonts w:ascii="Verdana" w:hAnsi="Verdana"/>
          <w:lang w:val="es-ES"/>
        </w:rPr>
      </w:pPr>
    </w:p>
    <w:p w14:paraId="44F7720C" w14:textId="77777777" w:rsidR="003148DF" w:rsidRDefault="003148DF" w:rsidP="00BE5D31">
      <w:pPr>
        <w:spacing w:after="0" w:line="240" w:lineRule="auto"/>
        <w:jc w:val="both"/>
        <w:rPr>
          <w:rFonts w:ascii="Verdana" w:hAnsi="Verdana"/>
          <w:lang w:val="es-ES"/>
        </w:rPr>
      </w:pPr>
    </w:p>
    <w:p w14:paraId="7E3E348D" w14:textId="77777777" w:rsidR="003148DF" w:rsidRDefault="003148DF" w:rsidP="00BE5D31">
      <w:pPr>
        <w:spacing w:after="0" w:line="240" w:lineRule="auto"/>
        <w:jc w:val="both"/>
        <w:rPr>
          <w:rFonts w:ascii="Verdana" w:hAnsi="Verdana"/>
          <w:lang w:val="es-ES"/>
        </w:rPr>
      </w:pPr>
    </w:p>
    <w:p w14:paraId="5E229E3D" w14:textId="77777777" w:rsidR="003148DF" w:rsidRDefault="003148DF" w:rsidP="00BE5D31">
      <w:pPr>
        <w:spacing w:after="0" w:line="240" w:lineRule="auto"/>
        <w:jc w:val="both"/>
        <w:rPr>
          <w:rFonts w:ascii="Verdana" w:hAnsi="Verdana"/>
          <w:lang w:val="es-ES"/>
        </w:rPr>
      </w:pPr>
    </w:p>
    <w:p w14:paraId="10A33964" w14:textId="77777777" w:rsidR="003148DF" w:rsidRDefault="003148DF" w:rsidP="00BE5D31">
      <w:pPr>
        <w:spacing w:after="0" w:line="240" w:lineRule="auto"/>
        <w:jc w:val="both"/>
        <w:rPr>
          <w:rFonts w:ascii="Verdana" w:hAnsi="Verdana"/>
          <w:lang w:val="es-ES"/>
        </w:rPr>
      </w:pPr>
    </w:p>
    <w:p w14:paraId="2734D2BC" w14:textId="77777777" w:rsidR="003148DF" w:rsidRDefault="003148DF" w:rsidP="00BE5D31">
      <w:pPr>
        <w:spacing w:after="0" w:line="240" w:lineRule="auto"/>
        <w:jc w:val="both"/>
        <w:rPr>
          <w:rFonts w:ascii="Verdana" w:hAnsi="Verdana"/>
          <w:lang w:val="es-ES"/>
        </w:rPr>
      </w:pPr>
    </w:p>
    <w:p w14:paraId="0440AD53" w14:textId="77777777" w:rsidR="003148DF" w:rsidRDefault="003148DF" w:rsidP="00BE5D31">
      <w:pPr>
        <w:spacing w:after="0" w:line="240" w:lineRule="auto"/>
        <w:jc w:val="both"/>
        <w:rPr>
          <w:rFonts w:ascii="Verdana" w:hAnsi="Verdana"/>
          <w:lang w:val="es-ES"/>
        </w:rPr>
      </w:pPr>
    </w:p>
    <w:p w14:paraId="566CD002" w14:textId="77777777" w:rsidR="003148DF" w:rsidRDefault="003148DF" w:rsidP="00BE5D31">
      <w:pPr>
        <w:spacing w:after="0" w:line="240" w:lineRule="auto"/>
        <w:jc w:val="both"/>
        <w:rPr>
          <w:rFonts w:ascii="Verdana" w:hAnsi="Verdana"/>
          <w:lang w:val="es-ES"/>
        </w:rPr>
      </w:pPr>
    </w:p>
    <w:p w14:paraId="4278B6C3" w14:textId="77777777" w:rsidR="003148DF" w:rsidRDefault="003148DF" w:rsidP="00BE5D31">
      <w:pPr>
        <w:spacing w:after="0" w:line="240" w:lineRule="auto"/>
        <w:jc w:val="both"/>
        <w:rPr>
          <w:rFonts w:ascii="Verdana" w:hAnsi="Verdana"/>
          <w:lang w:val="es-ES"/>
        </w:rPr>
      </w:pPr>
    </w:p>
    <w:p w14:paraId="52FB00F7" w14:textId="77777777" w:rsidR="003148DF" w:rsidRDefault="003148DF" w:rsidP="00BE5D31">
      <w:pPr>
        <w:spacing w:after="0" w:line="240" w:lineRule="auto"/>
        <w:jc w:val="both"/>
        <w:rPr>
          <w:rFonts w:ascii="Verdana" w:hAnsi="Verdana"/>
          <w:lang w:val="es-ES"/>
        </w:rPr>
      </w:pPr>
    </w:p>
    <w:p w14:paraId="5BB05E39" w14:textId="77777777" w:rsidR="003148DF" w:rsidRDefault="003148DF" w:rsidP="00BE5D31">
      <w:pPr>
        <w:spacing w:after="0" w:line="240" w:lineRule="auto"/>
        <w:jc w:val="both"/>
        <w:rPr>
          <w:rFonts w:ascii="Verdana" w:hAnsi="Verdana"/>
          <w:lang w:val="es-ES"/>
        </w:rPr>
      </w:pPr>
    </w:p>
    <w:p w14:paraId="767924AF" w14:textId="77777777" w:rsidR="003148DF" w:rsidRDefault="003148DF" w:rsidP="00BE5D31">
      <w:pPr>
        <w:spacing w:after="0" w:line="240" w:lineRule="auto"/>
        <w:jc w:val="both"/>
        <w:rPr>
          <w:rFonts w:ascii="Verdana" w:hAnsi="Verdana"/>
          <w:lang w:val="es-ES"/>
        </w:rPr>
      </w:pPr>
    </w:p>
    <w:p w14:paraId="1880E06C" w14:textId="77777777" w:rsidR="003148DF" w:rsidRDefault="003148DF" w:rsidP="00BE5D31">
      <w:pPr>
        <w:spacing w:after="0" w:line="240" w:lineRule="auto"/>
        <w:jc w:val="both"/>
        <w:rPr>
          <w:rFonts w:ascii="Verdana" w:hAnsi="Verdana"/>
          <w:lang w:val="es-ES"/>
        </w:rPr>
      </w:pPr>
    </w:p>
    <w:p w14:paraId="44A784EA" w14:textId="77777777" w:rsidR="003148DF" w:rsidRDefault="003148DF" w:rsidP="00BE5D31">
      <w:pPr>
        <w:spacing w:after="0" w:line="240" w:lineRule="auto"/>
        <w:jc w:val="both"/>
        <w:rPr>
          <w:rFonts w:ascii="Verdana" w:hAnsi="Verdana"/>
          <w:lang w:val="es-ES"/>
        </w:rPr>
      </w:pPr>
    </w:p>
    <w:p w14:paraId="26A56F84" w14:textId="77777777" w:rsidR="003148DF" w:rsidRDefault="003148DF" w:rsidP="00BE5D31">
      <w:pPr>
        <w:spacing w:after="0" w:line="240" w:lineRule="auto"/>
        <w:jc w:val="both"/>
        <w:rPr>
          <w:rFonts w:ascii="Verdana" w:hAnsi="Verdana"/>
          <w:lang w:val="es-ES"/>
        </w:rPr>
      </w:pPr>
    </w:p>
    <w:p w14:paraId="187E1009" w14:textId="77777777" w:rsidR="003148DF" w:rsidRDefault="003148DF" w:rsidP="00BE5D31">
      <w:pPr>
        <w:spacing w:after="0" w:line="240" w:lineRule="auto"/>
        <w:jc w:val="both"/>
        <w:rPr>
          <w:rFonts w:ascii="Verdana" w:hAnsi="Verdana"/>
          <w:lang w:val="es-ES"/>
        </w:rPr>
      </w:pPr>
    </w:p>
    <w:p w14:paraId="429134A7" w14:textId="77777777" w:rsidR="003148DF" w:rsidRDefault="003148DF" w:rsidP="00BE5D31">
      <w:pPr>
        <w:spacing w:after="0" w:line="240" w:lineRule="auto"/>
        <w:jc w:val="both"/>
        <w:rPr>
          <w:rFonts w:ascii="Verdana" w:hAnsi="Verdana"/>
          <w:lang w:val="es-ES"/>
        </w:rPr>
      </w:pPr>
    </w:p>
    <w:p w14:paraId="5A912082" w14:textId="77777777" w:rsidR="003148DF" w:rsidRDefault="003148DF" w:rsidP="00BE5D31">
      <w:pPr>
        <w:spacing w:after="0" w:line="240" w:lineRule="auto"/>
        <w:jc w:val="both"/>
        <w:rPr>
          <w:rFonts w:ascii="Verdana" w:hAnsi="Verdana"/>
          <w:lang w:val="es-ES"/>
        </w:rPr>
      </w:pPr>
    </w:p>
    <w:p w14:paraId="7C0AB18F" w14:textId="77777777" w:rsidR="00A05267" w:rsidRPr="00A05267" w:rsidRDefault="00A05267" w:rsidP="00BE5D31">
      <w:pPr>
        <w:spacing w:after="0" w:line="240" w:lineRule="auto"/>
        <w:jc w:val="both"/>
        <w:rPr>
          <w:rFonts w:ascii="Verdana" w:hAnsi="Verdana"/>
          <w:lang w:val="es-ES"/>
        </w:rPr>
      </w:pPr>
    </w:p>
    <w:p w14:paraId="1475ED14" w14:textId="6929DBEA" w:rsidR="00BE5D31" w:rsidRDefault="00BE5D31" w:rsidP="00BE5D31">
      <w:pPr>
        <w:spacing w:after="0" w:line="240" w:lineRule="auto"/>
        <w:jc w:val="both"/>
        <w:rPr>
          <w:rFonts w:ascii="Verdana" w:hAnsi="Verdana"/>
        </w:rPr>
      </w:pPr>
      <w:r w:rsidRPr="00FF007A">
        <w:rPr>
          <w:rFonts w:ascii="Verdana" w:hAnsi="Verdana"/>
        </w:rPr>
        <w:lastRenderedPageBreak/>
        <w:t>Bogotá D.C.,</w:t>
      </w:r>
      <w:r w:rsidRPr="00FF007A">
        <w:rPr>
          <w:rFonts w:ascii="Verdana" w:hAnsi="Verdana"/>
        </w:rPr>
        <w:tab/>
      </w:r>
      <w:r w:rsidR="00DF4898">
        <w:rPr>
          <w:rFonts w:ascii="Verdana" w:hAnsi="Verdana"/>
        </w:rPr>
        <w:t xml:space="preserve"> 3 de octubre de 2025 </w:t>
      </w:r>
    </w:p>
    <w:p w14:paraId="3CBE8592" w14:textId="77777777" w:rsidR="00A05267" w:rsidRPr="00FF007A" w:rsidRDefault="00A05267" w:rsidP="00BE5D31">
      <w:pPr>
        <w:spacing w:after="0" w:line="240" w:lineRule="auto"/>
        <w:jc w:val="both"/>
        <w:rPr>
          <w:rFonts w:ascii="Verdana" w:hAnsi="Verdana"/>
        </w:rPr>
      </w:pPr>
    </w:p>
    <w:p w14:paraId="0B14C334" w14:textId="77777777" w:rsidR="00BE5D31" w:rsidRDefault="00BE5D31" w:rsidP="00BE5D31">
      <w:pPr>
        <w:spacing w:after="0" w:line="240" w:lineRule="auto"/>
        <w:jc w:val="both"/>
        <w:rPr>
          <w:rFonts w:ascii="Verdana" w:eastAsia="Calibri" w:hAnsi="Verdana" w:cs="Arial"/>
          <w:lang w:eastAsia="es-ES"/>
        </w:rPr>
      </w:pPr>
      <w:bookmarkStart w:id="6" w:name="_Hlk197462763"/>
      <w:bookmarkStart w:id="7" w:name="_Hlk197529996"/>
    </w:p>
    <w:p w14:paraId="006F18F8" w14:textId="604D202A" w:rsidR="00DF4898" w:rsidRDefault="00DF4898" w:rsidP="00DF4898">
      <w:pPr>
        <w:spacing w:after="0" w:line="240" w:lineRule="auto"/>
        <w:jc w:val="right"/>
        <w:rPr>
          <w:rFonts w:ascii="Verdana" w:eastAsia="Calibri" w:hAnsi="Verdana" w:cs="Arial"/>
          <w:lang w:eastAsia="es-ES"/>
        </w:rPr>
      </w:pPr>
      <w:r w:rsidRPr="00DF4898">
        <w:rPr>
          <w:rFonts w:ascii="Verdana" w:eastAsia="Calibri" w:hAnsi="Verdana" w:cs="Arial"/>
          <w:lang w:eastAsia="es-ES"/>
        </w:rPr>
        <w:drawing>
          <wp:inline distT="0" distB="0" distL="0" distR="0" wp14:anchorId="09D7E745" wp14:editId="421EBFBB">
            <wp:extent cx="2921000" cy="811389"/>
            <wp:effectExtent l="0" t="0" r="0" b="8255"/>
            <wp:docPr id="540045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04560" name=""/>
                    <pic:cNvPicPr/>
                  </pic:nvPicPr>
                  <pic:blipFill>
                    <a:blip r:embed="rId10"/>
                    <a:stretch>
                      <a:fillRect/>
                    </a:stretch>
                  </pic:blipFill>
                  <pic:spPr>
                    <a:xfrm>
                      <a:off x="0" y="0"/>
                      <a:ext cx="2931338" cy="814261"/>
                    </a:xfrm>
                    <a:prstGeom prst="rect">
                      <a:avLst/>
                    </a:prstGeom>
                  </pic:spPr>
                </pic:pic>
              </a:graphicData>
            </a:graphic>
          </wp:inline>
        </w:drawing>
      </w:r>
    </w:p>
    <w:p w14:paraId="36915870" w14:textId="77777777" w:rsidR="00BE5D31" w:rsidRPr="00FF007A" w:rsidRDefault="00BE5D31" w:rsidP="00BE5D31">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00FAA386" w14:textId="77777777" w:rsidR="00BE5D31" w:rsidRDefault="00BE5D31" w:rsidP="00BE5D31">
      <w:pPr>
        <w:spacing w:after="0" w:line="240" w:lineRule="auto"/>
        <w:jc w:val="both"/>
        <w:rPr>
          <w:rFonts w:ascii="Verdana" w:eastAsia="Calibri" w:hAnsi="Verdana" w:cs="Arial"/>
          <w:b/>
          <w:lang w:eastAsia="es-ES_tradnl"/>
        </w:rPr>
      </w:pPr>
      <w:r w:rsidRPr="00423371">
        <w:rPr>
          <w:rFonts w:ascii="Verdana" w:eastAsia="Calibri" w:hAnsi="Verdana" w:cs="Arial"/>
          <w:b/>
          <w:lang w:eastAsia="es-ES_tradnl"/>
        </w:rPr>
        <w:t>José Javier</w:t>
      </w:r>
      <w:r>
        <w:rPr>
          <w:rFonts w:ascii="Verdana" w:eastAsia="Calibri" w:hAnsi="Verdana" w:cs="Arial"/>
          <w:b/>
          <w:lang w:eastAsia="es-ES_tradnl"/>
        </w:rPr>
        <w:t xml:space="preserve"> </w:t>
      </w:r>
      <w:r w:rsidRPr="00423371">
        <w:rPr>
          <w:rFonts w:ascii="Verdana" w:eastAsia="Calibri" w:hAnsi="Verdana" w:cs="Arial"/>
          <w:b/>
          <w:lang w:eastAsia="es-ES_tradnl"/>
        </w:rPr>
        <w:t>Barrera Páez</w:t>
      </w:r>
    </w:p>
    <w:p w14:paraId="2A5FEF33" w14:textId="77777777" w:rsidR="00BE5D31" w:rsidRDefault="00BE5D31" w:rsidP="00BE5D31">
      <w:pPr>
        <w:spacing w:after="0" w:line="240" w:lineRule="auto"/>
        <w:jc w:val="both"/>
        <w:rPr>
          <w:rFonts w:ascii="Verdana" w:hAnsi="Verdana"/>
        </w:rPr>
      </w:pPr>
      <w:hyperlink r:id="rId11" w:history="1">
        <w:r w:rsidRPr="00C97F3E">
          <w:rPr>
            <w:rStyle w:val="Hipervnculo"/>
            <w:rFonts w:ascii="Verdana" w:hAnsi="Verdana"/>
          </w:rPr>
          <w:t>abogadojavierbarrera@gmail.com</w:t>
        </w:r>
      </w:hyperlink>
    </w:p>
    <w:p w14:paraId="3D682EC0" w14:textId="77777777" w:rsidR="00BE5D31" w:rsidRDefault="00BE5D31" w:rsidP="00BE5D31">
      <w:pPr>
        <w:spacing w:after="0" w:line="240" w:lineRule="auto"/>
        <w:jc w:val="both"/>
        <w:rPr>
          <w:rFonts w:ascii="Verdana" w:hAnsi="Verdana"/>
        </w:rPr>
      </w:pPr>
      <w:r>
        <w:rPr>
          <w:rFonts w:ascii="Verdana" w:hAnsi="Verdana"/>
        </w:rPr>
        <w:t xml:space="preserve">Fortul – Arauca </w:t>
      </w:r>
    </w:p>
    <w:p w14:paraId="60D65C12" w14:textId="77777777" w:rsidR="00BE5D31" w:rsidRPr="00FF007A" w:rsidRDefault="00BE5D31" w:rsidP="00BE5D31">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E5D31" w:rsidRPr="00FF007A" w14:paraId="0DD28D4C" w14:textId="77777777" w:rsidTr="008C2CAB">
        <w:trPr>
          <w:trHeight w:val="162"/>
        </w:trPr>
        <w:tc>
          <w:tcPr>
            <w:tcW w:w="3119" w:type="dxa"/>
          </w:tcPr>
          <w:p w14:paraId="1A96F84E" w14:textId="77777777" w:rsidR="00BE5D31" w:rsidRPr="00FF007A" w:rsidRDefault="00BE5D31" w:rsidP="008C2CAB">
            <w:pPr>
              <w:jc w:val="both"/>
              <w:rPr>
                <w:rFonts w:ascii="Verdana" w:eastAsia="Calibri" w:hAnsi="Verdana" w:cs="Arial"/>
                <w:b/>
                <w:bCs/>
                <w:color w:val="7030A0"/>
                <w:lang w:eastAsia="es-ES_tradnl"/>
              </w:rPr>
            </w:pPr>
          </w:p>
        </w:tc>
        <w:tc>
          <w:tcPr>
            <w:tcW w:w="5670" w:type="dxa"/>
          </w:tcPr>
          <w:p w14:paraId="2CC0930A" w14:textId="77777777" w:rsidR="00BE5D31" w:rsidRPr="00FF007A" w:rsidRDefault="00BE5D31" w:rsidP="008C2CAB">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1265</w:t>
            </w:r>
            <w:r w:rsidRPr="00FF007A">
              <w:rPr>
                <w:rFonts w:ascii="Verdana" w:eastAsia="Calibri" w:hAnsi="Verdana" w:cs="Arial"/>
                <w:b/>
                <w:bCs/>
                <w:lang w:eastAsia="es-ES"/>
              </w:rPr>
              <w:t xml:space="preserve"> de 2025</w:t>
            </w:r>
          </w:p>
          <w:p w14:paraId="72D5C424" w14:textId="77777777" w:rsidR="00BE5D31" w:rsidRPr="00FF007A" w:rsidRDefault="00BE5D31" w:rsidP="008C2CAB">
            <w:pPr>
              <w:jc w:val="both"/>
              <w:rPr>
                <w:rFonts w:ascii="Verdana" w:eastAsia="Calibri" w:hAnsi="Verdana" w:cs="Arial"/>
                <w:b/>
                <w:bCs/>
                <w:color w:val="7030A0"/>
                <w:lang w:eastAsia="es-ES"/>
              </w:rPr>
            </w:pPr>
          </w:p>
        </w:tc>
      </w:tr>
      <w:tr w:rsidR="00BE5D31" w:rsidRPr="00FF007A" w14:paraId="10B51FA5" w14:textId="77777777" w:rsidTr="008C2CAB">
        <w:trPr>
          <w:trHeight w:val="884"/>
        </w:trPr>
        <w:tc>
          <w:tcPr>
            <w:tcW w:w="3119" w:type="dxa"/>
          </w:tcPr>
          <w:p w14:paraId="61834598" w14:textId="77777777" w:rsidR="00BE5D31" w:rsidRPr="00FF007A" w:rsidRDefault="00BE5D31" w:rsidP="008C2CAB">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0411BFC6" w14:textId="77777777" w:rsidR="00BE5D31" w:rsidRPr="00A11406" w:rsidRDefault="00BE5D31" w:rsidP="008C2CAB">
            <w:pPr>
              <w:spacing w:line="276" w:lineRule="auto"/>
              <w:jc w:val="both"/>
              <w:rPr>
                <w:rFonts w:ascii="Verdana" w:eastAsia="Calibri" w:hAnsi="Verdana" w:cs="Arial"/>
                <w:lang w:val="es-ES" w:eastAsia="es-ES"/>
              </w:rPr>
            </w:pPr>
            <w:r w:rsidRPr="00003886">
              <w:rPr>
                <w:rFonts w:ascii="Verdana" w:eastAsia="Calibri" w:hAnsi="Verdana" w:cs="Arial"/>
                <w:lang w:val="es-ES" w:eastAsia="es-ES"/>
              </w:rPr>
              <w:t xml:space="preserve">PROPONENTE PLURAL ‒ </w:t>
            </w:r>
            <w:r w:rsidRPr="00127B1A">
              <w:rPr>
                <w:rFonts w:ascii="Verdana" w:eastAsia="Calibri" w:hAnsi="Verdana" w:cs="Arial"/>
                <w:lang w:val="es-ES" w:eastAsia="es-ES"/>
              </w:rPr>
              <w:t xml:space="preserve">Consorcio ‒ Unión temporal ‒ Concepto – Diferencias / SUBCONTRATACIÓN – Concepto – Limitaciones jurídicas </w:t>
            </w:r>
            <w:r w:rsidRPr="00127B1A">
              <w:rPr>
                <w:rFonts w:ascii="Verdana" w:eastAsia="Calibri" w:hAnsi="Verdana"/>
                <w:lang w:val="es-ES" w:eastAsia="es-ES"/>
              </w:rPr>
              <w:t xml:space="preserve">/ </w:t>
            </w:r>
            <w:r w:rsidRPr="00127B1A">
              <w:rPr>
                <w:rFonts w:ascii="Verdana" w:eastAsia="Calibri" w:hAnsi="Verdana" w:cs="Arial"/>
                <w:lang w:val="es-ES" w:eastAsia="es-ES"/>
              </w:rPr>
              <w:t>INTEGRANTES DE ESTRUCTURA PLURAL – Subcontratación – Terceros – Imposibilidad de fungir como subcontratistas</w:t>
            </w:r>
            <w:r w:rsidRPr="006424A3">
              <w:rPr>
                <w:rFonts w:ascii="Verdana" w:eastAsia="Calibri" w:hAnsi="Verdana" w:cs="Arial"/>
                <w:lang w:val="es-ES" w:eastAsia="es-ES"/>
              </w:rPr>
              <w:t xml:space="preserve">   </w:t>
            </w:r>
            <w:r w:rsidRPr="00003886">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7F6C375" w14:textId="77777777" w:rsidR="00BE5D31" w:rsidRPr="00AA15A4" w:rsidRDefault="00BE5D31" w:rsidP="008C2CAB">
            <w:pPr>
              <w:spacing w:line="276" w:lineRule="auto"/>
              <w:jc w:val="both"/>
              <w:rPr>
                <w:rFonts w:ascii="Verdana" w:hAnsi="Verdana" w:cs="Arial"/>
                <w:color w:val="000000" w:themeColor="text1"/>
                <w:lang w:val="es-ES"/>
              </w:rPr>
            </w:pPr>
          </w:p>
        </w:tc>
      </w:tr>
      <w:tr w:rsidR="00BE5D31" w:rsidRPr="00FF007A" w14:paraId="36CCA4C5" w14:textId="77777777" w:rsidTr="008C2CAB">
        <w:tc>
          <w:tcPr>
            <w:tcW w:w="3119" w:type="dxa"/>
          </w:tcPr>
          <w:p w14:paraId="0F8BC301" w14:textId="77777777" w:rsidR="00BE5D31" w:rsidRPr="00FF007A" w:rsidRDefault="00BE5D31" w:rsidP="008C2CAB">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7FC4AA77" w14:textId="77777777" w:rsidR="00BE5D31" w:rsidRPr="00FF007A" w:rsidRDefault="00BE5D31" w:rsidP="008C2CAB">
            <w:pPr>
              <w:jc w:val="both"/>
              <w:rPr>
                <w:rFonts w:ascii="Verdana" w:eastAsia="Calibri" w:hAnsi="Verdana" w:cs="Arial"/>
                <w:lang w:eastAsia="es-ES_tradnl"/>
              </w:rPr>
            </w:pPr>
            <w:r w:rsidRPr="00FF007A">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423371">
              <w:rPr>
                <w:rFonts w:ascii="Verdana" w:eastAsia="Calibri" w:hAnsi="Verdana" w:cs="Arial"/>
                <w:lang w:eastAsia="es-ES_tradnl"/>
              </w:rPr>
              <w:t>1_2025_09_04_009619</w:t>
            </w:r>
          </w:p>
        </w:tc>
      </w:tr>
    </w:tbl>
    <w:p w14:paraId="63D9F80D" w14:textId="77777777" w:rsidR="00BE5D31" w:rsidRPr="00FF007A" w:rsidRDefault="00BE5D31" w:rsidP="00BE5D31">
      <w:pPr>
        <w:spacing w:after="0" w:line="276" w:lineRule="auto"/>
        <w:jc w:val="both"/>
        <w:rPr>
          <w:rFonts w:ascii="Verdana" w:eastAsia="Calibri" w:hAnsi="Verdana" w:cs="Arial"/>
          <w:lang w:eastAsia="es-ES_tradnl"/>
        </w:rPr>
      </w:pPr>
    </w:p>
    <w:p w14:paraId="3C0DE66F" w14:textId="77777777" w:rsidR="00BE5D31" w:rsidRPr="00FF007A" w:rsidRDefault="00BE5D31" w:rsidP="00BE5D31">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Barrera</w:t>
      </w:r>
      <w:r w:rsidRPr="00FF007A">
        <w:rPr>
          <w:rFonts w:ascii="Verdana" w:eastAsia="Calibri" w:hAnsi="Verdana" w:cs="Arial"/>
          <w:lang w:eastAsia="es-ES"/>
        </w:rPr>
        <w:t xml:space="preserve">: </w:t>
      </w:r>
    </w:p>
    <w:p w14:paraId="7C4E16BF" w14:textId="77777777" w:rsidR="00BE5D31" w:rsidRPr="00FF007A" w:rsidRDefault="00BE5D31" w:rsidP="00BE5D31">
      <w:pPr>
        <w:tabs>
          <w:tab w:val="left" w:pos="3768"/>
        </w:tabs>
        <w:spacing w:after="0" w:line="240" w:lineRule="auto"/>
        <w:jc w:val="both"/>
        <w:rPr>
          <w:rFonts w:ascii="Verdana" w:eastAsia="Calibri" w:hAnsi="Verdana" w:cs="Arial"/>
          <w:lang w:eastAsia="es-ES"/>
        </w:rPr>
      </w:pPr>
    </w:p>
    <w:p w14:paraId="5ACBA934" w14:textId="77777777" w:rsidR="00BE5D31" w:rsidRPr="00E05649" w:rsidRDefault="00BE5D31" w:rsidP="00BE5D31">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la Agencia Nacional de Contratación Pública – Colombia Compra Eficiente– responde su solicitud de consulta de fecha 3 de septiembre</w:t>
      </w:r>
      <w:r>
        <w:rPr>
          <w:rFonts w:ascii="Verdana" w:eastAsia="Calibri" w:hAnsi="Verdana" w:cs="Arial"/>
          <w:lang w:eastAsia="es-ES"/>
        </w:rPr>
        <w:t xml:space="preserve"> de 2025</w:t>
      </w:r>
      <w:r w:rsidRPr="00E05649">
        <w:rPr>
          <w:rFonts w:ascii="Verdana" w:eastAsia="Calibri" w:hAnsi="Verdana" w:cs="Arial"/>
          <w:lang w:eastAsia="es-ES"/>
        </w:rPr>
        <w:t xml:space="preserve">, esta última previamente remitida por el Departamento de la Función Pública mediante oficio con radicado 20252040420351 del 2 de septiembre de la presente anualidad en la cual manifiesta lo siguiente: </w:t>
      </w:r>
    </w:p>
    <w:p w14:paraId="522707A2" w14:textId="77777777" w:rsidR="00BE5D31" w:rsidRPr="007C7B24" w:rsidRDefault="00BE5D31" w:rsidP="00BE5D31">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3E5CA03A" w14:textId="77777777" w:rsidR="00BE5D31" w:rsidRPr="00FF007A" w:rsidRDefault="00BE5D31" w:rsidP="00BE5D31">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7C7B24">
        <w:rPr>
          <w:rFonts w:ascii="Verdana" w:eastAsia="Century Gothic" w:hAnsi="Verdana" w:cs="Century Gothic"/>
          <w:sz w:val="20"/>
          <w:szCs w:val="20"/>
        </w:rPr>
        <w:t xml:space="preserve">“(…) </w:t>
      </w:r>
      <w:bookmarkEnd w:id="8"/>
      <w:bookmarkEnd w:id="9"/>
      <w:r w:rsidRPr="00F6063E">
        <w:rPr>
          <w:rFonts w:ascii="Verdana" w:eastAsia="Century Gothic" w:hAnsi="Verdana" w:cs="Century Gothic"/>
          <w:sz w:val="20"/>
          <w:szCs w:val="20"/>
        </w:rPr>
        <w:t>1) Un grupo de contratista se ha consorciado para la adjudicación de un C/</w:t>
      </w:r>
      <w:proofErr w:type="spellStart"/>
      <w:r w:rsidRPr="00F6063E">
        <w:rPr>
          <w:rFonts w:ascii="Verdana" w:eastAsia="Century Gothic" w:hAnsi="Verdana" w:cs="Century Gothic"/>
          <w:sz w:val="20"/>
          <w:szCs w:val="20"/>
        </w:rPr>
        <w:t>to</w:t>
      </w:r>
      <w:proofErr w:type="spellEnd"/>
      <w:r w:rsidRPr="00F6063E">
        <w:rPr>
          <w:rFonts w:ascii="Verdana" w:eastAsia="Century Gothic" w:hAnsi="Verdana" w:cs="Century Gothic"/>
          <w:sz w:val="20"/>
          <w:szCs w:val="20"/>
        </w:rPr>
        <w:t xml:space="preserve"> de obra.</w:t>
      </w:r>
      <w:r>
        <w:rPr>
          <w:rFonts w:ascii="Verdana" w:eastAsia="Century Gothic" w:hAnsi="Verdana" w:cs="Century Gothic"/>
          <w:sz w:val="20"/>
          <w:szCs w:val="20"/>
        </w:rPr>
        <w:t xml:space="preserve"> </w:t>
      </w:r>
      <w:r w:rsidRPr="00F6063E">
        <w:rPr>
          <w:rFonts w:ascii="Verdana" w:eastAsia="Century Gothic" w:hAnsi="Verdana" w:cs="Century Gothic"/>
          <w:sz w:val="20"/>
          <w:szCs w:val="20"/>
        </w:rPr>
        <w:t>2) El municipio aprobó un anticipo en el cual suscribieron una fiducia.</w:t>
      </w:r>
      <w:r>
        <w:rPr>
          <w:rFonts w:ascii="Verdana" w:eastAsia="Century Gothic" w:hAnsi="Verdana" w:cs="Century Gothic"/>
          <w:sz w:val="20"/>
          <w:szCs w:val="20"/>
        </w:rPr>
        <w:t xml:space="preserve"> </w:t>
      </w:r>
      <w:r w:rsidRPr="00F6063E">
        <w:rPr>
          <w:rFonts w:ascii="Verdana" w:eastAsia="Century Gothic" w:hAnsi="Verdana" w:cs="Century Gothic"/>
          <w:sz w:val="20"/>
          <w:szCs w:val="20"/>
        </w:rPr>
        <w:t>3) El contratista de la obra, subcontrato a otra empresa para que esta, suministrara unos materiales.</w:t>
      </w:r>
      <w:r>
        <w:rPr>
          <w:rFonts w:ascii="Verdana" w:eastAsia="Century Gothic" w:hAnsi="Verdana" w:cs="Century Gothic"/>
          <w:sz w:val="20"/>
          <w:szCs w:val="20"/>
        </w:rPr>
        <w:t xml:space="preserve"> </w:t>
      </w:r>
      <w:r w:rsidRPr="00F6063E">
        <w:rPr>
          <w:rFonts w:ascii="Verdana" w:eastAsia="Century Gothic" w:hAnsi="Verdana" w:cs="Century Gothic"/>
          <w:sz w:val="20"/>
          <w:szCs w:val="20"/>
        </w:rPr>
        <w:t xml:space="preserve">4) Al revisar la parte documental de la empresa subcontratada, evidenciamos que esta hace parte del </w:t>
      </w:r>
      <w:r w:rsidRPr="00F6063E">
        <w:rPr>
          <w:rFonts w:ascii="Verdana" w:eastAsia="Century Gothic" w:hAnsi="Verdana" w:cs="Century Gothic"/>
          <w:sz w:val="20"/>
          <w:szCs w:val="20"/>
        </w:rPr>
        <w:lastRenderedPageBreak/>
        <w:t>consorcio que se presentó para el contrato de obra. 5) Debo aclarar que en los estudios previos y en el contrato, no se estipulo algo en específico que les impida a ellos subcontratar o que tengan que pedir autorización del supervisor. Solicito si me pueden brindar un concepto en base a lo siguiente 1. ¿Puede un consorcio o unión temporal, contratar a uno de sus propias empresas integrantes del consorcio del contrato de obra, como subcontratista dentro del contrato de obra que está ejecutando, para que realice el suministro de unos materiales? 2. ¿podría en este caso existir conflicto de interés y/o simulación de contrato?</w:t>
      </w:r>
      <w:r w:rsidRPr="007C7B24">
        <w:rPr>
          <w:rFonts w:ascii="Verdana" w:eastAsia="Century Gothic" w:hAnsi="Verdana" w:cs="Century Gothic"/>
          <w:sz w:val="20"/>
          <w:szCs w:val="20"/>
        </w:rPr>
        <w:t xml:space="preserve">. </w:t>
      </w:r>
      <w:r w:rsidRPr="007C7B24">
        <w:rPr>
          <w:rFonts w:ascii="Verdana" w:hAnsi="Verdana"/>
          <w:sz w:val="20"/>
          <w:szCs w:val="20"/>
        </w:rPr>
        <w:t>(…)”.</w:t>
      </w:r>
    </w:p>
    <w:p w14:paraId="027BAAC3" w14:textId="77777777" w:rsidR="00BE5D31" w:rsidRPr="00FF007A" w:rsidRDefault="00BE5D31" w:rsidP="00BE5D31">
      <w:pPr>
        <w:spacing w:after="0" w:line="240" w:lineRule="auto"/>
        <w:ind w:left="709" w:right="709"/>
        <w:jc w:val="both"/>
        <w:rPr>
          <w:rFonts w:ascii="Verdana" w:hAnsi="Verdana"/>
          <w:sz w:val="20"/>
          <w:szCs w:val="20"/>
        </w:rPr>
      </w:pPr>
    </w:p>
    <w:p w14:paraId="5D52BE93" w14:textId="77777777" w:rsidR="00BE5D31" w:rsidRPr="00FF007A" w:rsidRDefault="00BE5D31" w:rsidP="00BE5D31">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A65EF09" w14:textId="77777777" w:rsidR="00BE5D31" w:rsidRPr="00453833" w:rsidRDefault="00BE5D31" w:rsidP="00BE5D31">
      <w:pPr>
        <w:spacing w:after="120"/>
        <w:ind w:firstLine="709"/>
        <w:jc w:val="both"/>
        <w:rPr>
          <w:rFonts w:ascii="Verdana" w:eastAsia="Calibri" w:hAnsi="Verdana" w:cs="Arial"/>
          <w:color w:val="000000"/>
          <w:lang w:eastAsia="es-ES"/>
        </w:rPr>
      </w:pPr>
      <w:r w:rsidRPr="00453833">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453833">
        <w:rPr>
          <w:rFonts w:ascii="Verdana" w:eastAsia="Calibri" w:hAnsi="Verdana" w:cs="Arial"/>
          <w:color w:val="000000"/>
          <w:lang w:eastAsia="es-ES"/>
        </w:rPr>
        <w:t xml:space="preserve"> de su consulta.  </w:t>
      </w:r>
    </w:p>
    <w:p w14:paraId="439010C0" w14:textId="77777777" w:rsidR="00BE5D31" w:rsidRPr="00453833" w:rsidRDefault="00BE5D31" w:rsidP="00BE5D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53833">
        <w:rPr>
          <w:rFonts w:ascii="Verdana" w:eastAsia="Century Gothic" w:hAnsi="Verdana" w:cs="Century Gothic"/>
          <w:b/>
          <w:bCs/>
          <w:lang w:val="es-CO"/>
        </w:rPr>
        <w:t>Problema planteado:</w:t>
      </w:r>
    </w:p>
    <w:p w14:paraId="08DF5F7C" w14:textId="77777777" w:rsidR="00BE5D31" w:rsidRPr="00453833" w:rsidRDefault="00BE5D31" w:rsidP="00BE5D31">
      <w:pPr>
        <w:spacing w:after="0" w:line="240" w:lineRule="auto"/>
        <w:jc w:val="both"/>
        <w:rPr>
          <w:rFonts w:ascii="Verdana" w:eastAsia="Calibri" w:hAnsi="Verdana" w:cs="Arial"/>
          <w:color w:val="000000"/>
          <w:lang w:eastAsia="es-ES"/>
        </w:rPr>
      </w:pPr>
    </w:p>
    <w:p w14:paraId="7C5EC154" w14:textId="77777777" w:rsidR="00BE5D31" w:rsidRPr="00FF007A" w:rsidRDefault="00BE5D31" w:rsidP="00BE5D31">
      <w:pPr>
        <w:spacing w:after="120"/>
        <w:jc w:val="both"/>
        <w:rPr>
          <w:rFonts w:ascii="Verdana" w:eastAsia="Calibri" w:hAnsi="Verdana" w:cs="Arial"/>
          <w:color w:val="000000"/>
          <w:lang w:eastAsia="es-ES"/>
        </w:rPr>
      </w:pPr>
      <w:r w:rsidRPr="0045383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w:t>
      </w:r>
      <w:r w:rsidRPr="00453833">
        <w:rPr>
          <w:rFonts w:ascii="Verdana" w:eastAsia="Calibri" w:hAnsi="Verdana" w:cs="Arial"/>
          <w:color w:val="000000"/>
          <w:lang w:eastAsia="es-ES"/>
        </w:rPr>
        <w:t>iguiente problema jurídico ¿</w:t>
      </w:r>
      <w:r>
        <w:rPr>
          <w:rFonts w:ascii="Verdana" w:eastAsia="Century Gothic" w:hAnsi="Verdana" w:cs="Century Gothic"/>
        </w:rPr>
        <w:t>E</w:t>
      </w:r>
      <w:r w:rsidRPr="00453833">
        <w:rPr>
          <w:rFonts w:ascii="Verdana" w:eastAsia="Calibri" w:hAnsi="Verdana" w:cs="Arial"/>
          <w:color w:val="000000"/>
          <w:lang w:eastAsia="es-ES"/>
        </w:rPr>
        <w:t xml:space="preserve">s posible la subcontratación entre un consorcio o unión temporal y los integrantes de la estructura plural que la conforman </w:t>
      </w:r>
    </w:p>
    <w:p w14:paraId="5A2BB6F0" w14:textId="77777777" w:rsidR="00BE5D31" w:rsidRPr="00FF007A" w:rsidRDefault="00BE5D31" w:rsidP="00BE5D31">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5A16061A" w14:textId="77777777" w:rsidR="00BE5D31" w:rsidRPr="00FF007A" w:rsidRDefault="00BE5D31" w:rsidP="00BE5D31">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E5D31" w:rsidRPr="00FF007A" w14:paraId="73DBFE4B" w14:textId="77777777" w:rsidTr="008C2CAB">
        <w:tc>
          <w:tcPr>
            <w:tcW w:w="8828" w:type="dxa"/>
          </w:tcPr>
          <w:p w14:paraId="19F50963" w14:textId="77777777" w:rsidR="00BE5D31" w:rsidRDefault="00BE5D31" w:rsidP="008C2CAB">
            <w:pPr>
              <w:spacing w:after="120" w:line="276" w:lineRule="auto"/>
              <w:jc w:val="both"/>
              <w:rPr>
                <w:rFonts w:ascii="Verdana" w:eastAsia="Calibri" w:hAnsi="Verdana" w:cs="Arial"/>
                <w:color w:val="000000"/>
                <w:lang w:val="es-MX" w:eastAsia="es-ES_tradnl"/>
              </w:rPr>
            </w:pPr>
            <w:r>
              <w:rPr>
                <w:rFonts w:ascii="Verdana" w:eastAsia="Calibri" w:hAnsi="Verdana" w:cs="Arial"/>
                <w:color w:val="000000"/>
                <w:lang w:val="es-MX" w:eastAsia="es-ES_tradnl"/>
              </w:rPr>
              <w:t xml:space="preserve">En materia de contratación estatal </w:t>
            </w:r>
            <w:r w:rsidRPr="00043FE7">
              <w:rPr>
                <w:rFonts w:ascii="Verdana" w:eastAsia="Calibri" w:hAnsi="Verdana" w:cs="Arial"/>
                <w:color w:val="000000"/>
                <w:lang w:val="es-MX" w:eastAsia="es-ES_tradnl"/>
              </w:rPr>
              <w:t>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6875CAB1" w14:textId="77777777" w:rsidR="00BE5D31" w:rsidRDefault="00BE5D31" w:rsidP="008C2CAB">
            <w:pPr>
              <w:spacing w:after="120" w:line="276" w:lineRule="auto"/>
              <w:ind w:firstLine="709"/>
              <w:jc w:val="both"/>
              <w:rPr>
                <w:rFonts w:ascii="Verdana" w:eastAsia="Calibri" w:hAnsi="Verdana" w:cs="Arial"/>
                <w:color w:val="000000"/>
                <w:lang w:val="es-MX" w:eastAsia="es-ES_tradnl"/>
              </w:rPr>
            </w:pPr>
            <w:r>
              <w:rPr>
                <w:rFonts w:ascii="Verdana" w:eastAsia="Calibri" w:hAnsi="Verdana" w:cs="Arial"/>
                <w:color w:val="000000"/>
                <w:lang w:val="es-MX" w:eastAsia="es-ES_tradnl"/>
              </w:rPr>
              <w:lastRenderedPageBreak/>
              <w:t xml:space="preserve">De lo anterior, el legislador expresamente dotó a las figuras asociativas como los consorcios y uniones temporales de capacidad para participar dentro de los procesos de selección definidos en el EGCAP.   </w:t>
            </w:r>
          </w:p>
          <w:p w14:paraId="09EDDD31" w14:textId="77777777" w:rsidR="00BE5D31" w:rsidRDefault="00BE5D31" w:rsidP="008C2CAB">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Debido a que los consorcios y las uniones temporales no son personas jurídicas, </w:t>
            </w:r>
            <w:r>
              <w:rPr>
                <w:rFonts w:ascii="Verdana" w:eastAsia="Calibri" w:hAnsi="Verdana" w:cs="Arial"/>
                <w:color w:val="000000"/>
                <w:lang w:eastAsia="es-ES_tradnl"/>
              </w:rPr>
              <w:t xml:space="preserve">en tanto que </w:t>
            </w:r>
            <w:r w:rsidRPr="00B05BE8">
              <w:rPr>
                <w:rFonts w:ascii="Verdana" w:eastAsia="Calibri" w:hAnsi="Verdana" w:cs="Arial"/>
                <w:color w:val="000000"/>
                <w:lang w:eastAsia="es-ES_tradnl"/>
              </w:rPr>
              <w:t>carecen de personalidad jurídica diferente de aquella que acompaña a las personas naturales y/o morales que los integran</w:t>
            </w:r>
            <w:r>
              <w:rPr>
                <w:rFonts w:ascii="Verdana" w:eastAsia="Calibri" w:hAnsi="Verdana" w:cs="Arial"/>
                <w:color w:val="000000"/>
                <w:lang w:eastAsia="es-ES_tradnl"/>
              </w:rPr>
              <w:t xml:space="preserve">, </w:t>
            </w:r>
            <w:r w:rsidRPr="00043FE7">
              <w:rPr>
                <w:rFonts w:ascii="Verdana" w:eastAsia="Calibri" w:hAnsi="Verdana" w:cs="Arial"/>
                <w:color w:val="000000"/>
                <w:lang w:eastAsia="es-ES_tradnl"/>
              </w:rPr>
              <w:t>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w:t>
            </w:r>
            <w:r>
              <w:rPr>
                <w:rFonts w:ascii="Verdana" w:eastAsia="Calibri" w:hAnsi="Verdana" w:cs="Arial"/>
                <w:color w:val="000000"/>
                <w:lang w:eastAsia="es-ES_tradnl"/>
              </w:rPr>
              <w:t>.</w:t>
            </w:r>
          </w:p>
          <w:p w14:paraId="054B6211" w14:textId="77777777" w:rsidR="00BE5D31" w:rsidRPr="00DD57C5" w:rsidRDefault="00BE5D31" w:rsidP="008C2CAB">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themeColor="text1"/>
              </w:rPr>
              <w:t>Ahora bien, respecto al problema jurídico planteado, l</w:t>
            </w:r>
            <w:r w:rsidRPr="009C7865">
              <w:rPr>
                <w:rFonts w:ascii="Verdana" w:eastAsia="Calibri" w:hAnsi="Verdana" w:cs="Arial"/>
              </w:rPr>
              <w:t>a subcontratación supone la celebración de un contrato eventual y accesorio, entre un contratista del Estado y un tercero</w:t>
            </w:r>
            <w:r>
              <w:rPr>
                <w:rFonts w:ascii="Verdana" w:eastAsia="Calibri" w:hAnsi="Verdana" w:cs="Arial"/>
              </w:rPr>
              <w:t xml:space="preserve">. </w:t>
            </w:r>
            <w:r>
              <w:rPr>
                <w:rFonts w:ascii="Verdana" w:eastAsia="Calibri" w:hAnsi="Verdana" w:cs="Arial"/>
                <w:color w:val="000000" w:themeColor="text1"/>
              </w:rPr>
              <w:t xml:space="preserve">No obstante, sobre la base de que consorcios y uniones temporales carecen de personería jurídica, </w:t>
            </w:r>
            <w:r w:rsidRPr="00090CBB">
              <w:rPr>
                <w:rFonts w:ascii="Verdana" w:eastAsia="Calibri" w:hAnsi="Verdana" w:cs="Arial"/>
                <w:color w:val="000000" w:themeColor="text1"/>
              </w:rPr>
              <w:t>la calidad de contratista se predica de cada uno de los integrantes</w:t>
            </w:r>
            <w:r>
              <w:rPr>
                <w:rFonts w:ascii="Verdana" w:eastAsia="Calibri" w:hAnsi="Verdana" w:cs="Arial"/>
                <w:color w:val="000000" w:themeColor="text1"/>
              </w:rPr>
              <w:t xml:space="preserve"> de la estructura plural. </w:t>
            </w:r>
          </w:p>
          <w:p w14:paraId="37FDE1AB" w14:textId="77777777" w:rsidR="00BE5D31" w:rsidRPr="003D4557" w:rsidRDefault="00BE5D31" w:rsidP="008C2CAB">
            <w:pPr>
              <w:spacing w:after="120" w:line="276" w:lineRule="auto"/>
              <w:ind w:right="51" w:firstLine="733"/>
              <w:jc w:val="both"/>
              <w:rPr>
                <w:rFonts w:ascii="Verdana" w:eastAsia="Calibri" w:hAnsi="Verdana" w:cs="Arial"/>
                <w:color w:val="000000" w:themeColor="text1"/>
              </w:rPr>
            </w:pPr>
            <w:r>
              <w:rPr>
                <w:rFonts w:ascii="Verdana" w:eastAsia="Calibri" w:hAnsi="Verdana" w:cs="Arial"/>
                <w:color w:val="000000" w:themeColor="text1"/>
              </w:rPr>
              <w:t>De acuerdo con el principio lógico de no contradicción, e</w:t>
            </w:r>
            <w:r w:rsidRPr="00090CBB">
              <w:rPr>
                <w:rFonts w:ascii="Verdana" w:eastAsia="Calibri" w:hAnsi="Verdana" w:cs="Arial"/>
                <w:color w:val="000000" w:themeColor="text1"/>
              </w:rPr>
              <w:t xml:space="preserv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 En este contexto, sólo la experiencia adquirida por lo integrantes del proponente plural puede acreditarse en otros procesos de selección, pues –por sustracción de materia– no pueden fungir como subcontratistas del consorcio o unión temporal del que hacen parte.  </w:t>
            </w:r>
          </w:p>
          <w:p w14:paraId="21C73F81" w14:textId="77777777" w:rsidR="00BE5D31" w:rsidRPr="00E71A90" w:rsidRDefault="00BE5D31" w:rsidP="008C2CAB">
            <w:pPr>
              <w:spacing w:line="276" w:lineRule="auto"/>
              <w:ind w:firstLine="709"/>
              <w:jc w:val="both"/>
              <w:rPr>
                <w:rFonts w:ascii="Verdana" w:eastAsiaTheme="minorEastAsia" w:hAnsi="Verdana" w:cs="Arial"/>
                <w:szCs w:val="24"/>
                <w:lang w:eastAsia="es-CO"/>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entidad definirá la forma de adelantar su gestión </w:t>
            </w:r>
            <w:r w:rsidRPr="001941FD">
              <w:rPr>
                <w:rStyle w:val="s15"/>
                <w:rFonts w:ascii="Verdana" w:hAnsi="Verdana"/>
                <w:color w:val="000000"/>
              </w:rPr>
              <w:lastRenderedPageBreak/>
              <w:t>contractual, sin que sea atribución de Colombia Compra Eficiente validar sus actuaciones.</w:t>
            </w:r>
          </w:p>
        </w:tc>
      </w:tr>
    </w:tbl>
    <w:p w14:paraId="59B7798E" w14:textId="77777777" w:rsidR="00BE5D31" w:rsidRDefault="00BE5D31" w:rsidP="00BE5D31">
      <w:pPr>
        <w:tabs>
          <w:tab w:val="left" w:pos="142"/>
          <w:tab w:val="left" w:pos="284"/>
        </w:tabs>
        <w:spacing w:after="0" w:line="276" w:lineRule="auto"/>
        <w:jc w:val="both"/>
        <w:rPr>
          <w:rFonts w:ascii="Verdana" w:eastAsia="Century Gothic" w:hAnsi="Verdana" w:cs="Century Gothic"/>
          <w:b/>
          <w:bCs/>
        </w:rPr>
      </w:pPr>
    </w:p>
    <w:p w14:paraId="6EBF3598" w14:textId="77777777" w:rsidR="00BE5D31" w:rsidRPr="00FF007A" w:rsidRDefault="00BE5D31" w:rsidP="00BE5D31">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4D6ED2EA" w14:textId="77777777" w:rsidR="00591B48" w:rsidRDefault="00591B48" w:rsidP="00BE5D31">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877EF79" w14:textId="40A678A3" w:rsidR="00BE5D31" w:rsidRDefault="00BE5D31" w:rsidP="00BE5D31">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6C2AB41F" w14:textId="77777777" w:rsidR="00BE5D31" w:rsidRDefault="00BE5D31" w:rsidP="00591B48">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3D4CE7D2" w14:textId="77777777" w:rsidR="00BE5D31" w:rsidRDefault="00BE5D31" w:rsidP="00BE5D31">
      <w:pPr>
        <w:spacing w:after="120" w:line="276" w:lineRule="auto"/>
        <w:jc w:val="both"/>
        <w:rPr>
          <w:rFonts w:ascii="Verdana" w:eastAsia="Calibri" w:hAnsi="Verdana" w:cs="Arial"/>
          <w:color w:val="000000"/>
          <w:lang w:val="es-MX" w:eastAsia="es-ES_tradnl"/>
        </w:rPr>
      </w:pPr>
      <w:r>
        <w:rPr>
          <w:rFonts w:ascii="Verdana" w:eastAsia="Calibri" w:hAnsi="Verdana" w:cs="Arial"/>
          <w:color w:val="000000"/>
          <w:lang w:eastAsia="es-ES_tradnl"/>
        </w:rPr>
        <w:t>S</w:t>
      </w:r>
      <w:r w:rsidRPr="00043FE7">
        <w:rPr>
          <w:rFonts w:ascii="Verdana" w:eastAsia="Calibri" w:hAnsi="Verdana" w:cs="Arial"/>
          <w:color w:val="000000"/>
          <w:lang w:val="es-ES_tradnl" w:eastAsia="es-ES_tradnl"/>
        </w:rPr>
        <w:t xml:space="preserve">i bien las personas pueden presentarse individualmente a los procesos de selección, también pueden hacerlo en forma plural a través de consorcios o uniones temporales. En efecto, </w:t>
      </w:r>
      <w:r w:rsidRPr="00043FE7">
        <w:rPr>
          <w:rFonts w:ascii="Verdana" w:eastAsia="Calibri" w:hAnsi="Verdana" w:cs="Arial"/>
          <w:color w:val="000000"/>
          <w:lang w:val="es-MX" w:eastAsia="es-ES_tradnl"/>
        </w:rPr>
        <w:t xml:space="preserve">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w:t>
      </w:r>
      <w:r>
        <w:rPr>
          <w:rFonts w:ascii="Verdana" w:eastAsia="Calibri" w:hAnsi="Verdana" w:cs="Arial"/>
          <w:color w:val="000000"/>
          <w:lang w:val="es-MX" w:eastAsia="es-ES_tradnl"/>
        </w:rPr>
        <w:t xml:space="preserve">en materia de contratación estatal </w:t>
      </w:r>
      <w:r w:rsidRPr="00043FE7">
        <w:rPr>
          <w:rFonts w:ascii="Verdana" w:eastAsia="Calibri" w:hAnsi="Verdana" w:cs="Arial"/>
          <w:color w:val="000000"/>
          <w:lang w:val="es-MX" w:eastAsia="es-ES_tradnl"/>
        </w:rPr>
        <w:t>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4A66461F" w14:textId="77777777" w:rsidR="00BE5D31" w:rsidRPr="00043FE7" w:rsidRDefault="00BE5D31" w:rsidP="00BE5D31">
      <w:pPr>
        <w:spacing w:after="120" w:line="276" w:lineRule="auto"/>
        <w:ind w:firstLine="709"/>
        <w:jc w:val="both"/>
        <w:rPr>
          <w:rFonts w:ascii="Verdana" w:eastAsia="Calibri" w:hAnsi="Verdana" w:cs="Arial"/>
          <w:color w:val="000000"/>
          <w:lang w:val="es-MX" w:eastAsia="es-ES_tradnl"/>
        </w:rPr>
      </w:pPr>
      <w:r>
        <w:rPr>
          <w:rFonts w:ascii="Verdana" w:eastAsia="Calibri" w:hAnsi="Verdana" w:cs="Arial"/>
          <w:color w:val="000000"/>
          <w:lang w:val="es-MX" w:eastAsia="es-ES_tradnl"/>
        </w:rPr>
        <w:t xml:space="preserve">De lo anterior, el legislador expresamente dotó a las figuras asociativas como los consorcios y uniones temporales de capacidad para participar dentro de los procesos de selección definidos en el EGCAP.   </w:t>
      </w:r>
    </w:p>
    <w:p w14:paraId="509CDD24" w14:textId="77777777" w:rsidR="00BE5D31" w:rsidRPr="00043FE7" w:rsidRDefault="00BE5D31" w:rsidP="00BE5D31">
      <w:pPr>
        <w:spacing w:after="120" w:line="276" w:lineRule="auto"/>
        <w:ind w:firstLine="709"/>
        <w:jc w:val="both"/>
        <w:rPr>
          <w:rFonts w:ascii="Verdana" w:eastAsia="Calibri" w:hAnsi="Verdana" w:cs="Arial"/>
          <w:bCs/>
          <w:color w:val="000000"/>
          <w:lang w:val="es-ES" w:eastAsia="es-ES_tradnl"/>
        </w:rPr>
      </w:pPr>
      <w:r>
        <w:rPr>
          <w:rFonts w:ascii="Verdana" w:eastAsia="Calibri" w:hAnsi="Verdana" w:cs="Arial"/>
          <w:bCs/>
          <w:color w:val="000000"/>
          <w:lang w:val="es-ES" w:eastAsia="es-ES_tradnl"/>
        </w:rPr>
        <w:t>Ahora bien, l</w:t>
      </w:r>
      <w:r w:rsidRPr="00043FE7">
        <w:rPr>
          <w:rFonts w:ascii="Verdana" w:eastAsia="Calibri" w:hAnsi="Verdana" w:cs="Arial"/>
          <w:bCs/>
          <w:color w:val="000000"/>
          <w:lang w:val="es-ES" w:eastAsia="es-ES_tradnl"/>
        </w:rPr>
        <w:t>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2CDC8BAA" w14:textId="77777777" w:rsidR="00BE5D31" w:rsidRDefault="00BE5D31" w:rsidP="00BE5D31">
      <w:pPr>
        <w:spacing w:after="0" w:line="240" w:lineRule="auto"/>
        <w:ind w:left="709" w:right="618"/>
        <w:jc w:val="both"/>
        <w:rPr>
          <w:rFonts w:ascii="Verdana" w:eastAsia="Calibri" w:hAnsi="Verdana" w:cs="Arial"/>
          <w:bCs/>
          <w:color w:val="000000"/>
          <w:sz w:val="20"/>
          <w:szCs w:val="20"/>
          <w:lang w:eastAsia="es-ES_tradnl"/>
        </w:rPr>
      </w:pPr>
      <w:r w:rsidRPr="00A3303A">
        <w:rPr>
          <w:rFonts w:ascii="Verdana" w:eastAsia="Calibri" w:hAnsi="Verdana" w:cs="Arial"/>
          <w:bCs/>
          <w:color w:val="000000"/>
          <w:sz w:val="20"/>
          <w:szCs w:val="20"/>
          <w:lang w:eastAsia="es-ES_tradnl"/>
        </w:rPr>
        <w:t xml:space="preserve">“Respecto de la capacidad legal para contratar y la personalidad jurídica señala, que la Ley 80 de 1993 al crear las figuras de los consorcios y uniones temporales, y construirlas como sujetos de la contratación </w:t>
      </w:r>
      <w:r w:rsidRPr="00A3303A">
        <w:rPr>
          <w:rFonts w:ascii="Verdana" w:eastAsia="Calibri" w:hAnsi="Verdana" w:cs="Arial"/>
          <w:bCs/>
          <w:color w:val="000000"/>
          <w:sz w:val="20"/>
          <w:szCs w:val="20"/>
          <w:lang w:eastAsia="es-ES_tradnl"/>
        </w:rPr>
        <w:lastRenderedPageBreak/>
        <w:t>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r>
        <w:rPr>
          <w:rFonts w:ascii="Verdana" w:eastAsia="Calibri" w:hAnsi="Verdana" w:cs="Arial"/>
          <w:bCs/>
          <w:color w:val="000000"/>
          <w:sz w:val="20"/>
          <w:szCs w:val="20"/>
          <w:lang w:eastAsia="es-ES_tradnl"/>
        </w:rPr>
        <w:t>.</w:t>
      </w:r>
    </w:p>
    <w:p w14:paraId="23E6CD94" w14:textId="77777777" w:rsidR="00BE5D31" w:rsidRDefault="00BE5D31" w:rsidP="00BE5D31">
      <w:pPr>
        <w:spacing w:after="0" w:line="240" w:lineRule="auto"/>
        <w:ind w:left="709" w:right="618"/>
        <w:jc w:val="both"/>
        <w:rPr>
          <w:rFonts w:ascii="Verdana" w:eastAsia="Calibri" w:hAnsi="Verdana" w:cs="Arial"/>
          <w:bCs/>
          <w:color w:val="000000"/>
          <w:sz w:val="20"/>
          <w:szCs w:val="20"/>
          <w:lang w:eastAsia="es-ES_tradnl"/>
        </w:rPr>
      </w:pPr>
    </w:p>
    <w:p w14:paraId="686971EB" w14:textId="77777777" w:rsidR="00BE5D31" w:rsidRDefault="00BE5D31" w:rsidP="00BE5D31">
      <w:pPr>
        <w:spacing w:after="0" w:line="240" w:lineRule="auto"/>
        <w:ind w:left="709" w:right="618"/>
        <w:jc w:val="both"/>
        <w:rPr>
          <w:rFonts w:ascii="Verdana" w:eastAsia="Calibri" w:hAnsi="Verdana" w:cs="Arial"/>
          <w:bCs/>
          <w:color w:val="000000"/>
          <w:sz w:val="20"/>
          <w:szCs w:val="20"/>
          <w:lang w:eastAsia="es-ES_tradnl"/>
        </w:rPr>
      </w:pPr>
      <w:r>
        <w:rPr>
          <w:rFonts w:ascii="Verdana" w:eastAsia="Calibri" w:hAnsi="Verdana" w:cs="Arial"/>
          <w:bCs/>
          <w:color w:val="000000"/>
          <w:sz w:val="20"/>
          <w:szCs w:val="20"/>
          <w:lang w:eastAsia="es-ES_tradnl"/>
        </w:rPr>
        <w:t>(…)</w:t>
      </w:r>
    </w:p>
    <w:p w14:paraId="30442554" w14:textId="77777777" w:rsidR="00BE5D31" w:rsidRDefault="00BE5D31" w:rsidP="00BE5D31">
      <w:pPr>
        <w:spacing w:after="0" w:line="240" w:lineRule="auto"/>
        <w:ind w:left="709" w:right="618"/>
        <w:jc w:val="both"/>
        <w:rPr>
          <w:rFonts w:ascii="Verdana" w:eastAsia="Calibri" w:hAnsi="Verdana" w:cs="Arial"/>
          <w:bCs/>
          <w:color w:val="000000"/>
          <w:sz w:val="20"/>
          <w:szCs w:val="20"/>
          <w:lang w:eastAsia="es-ES_tradnl"/>
        </w:rPr>
      </w:pPr>
    </w:p>
    <w:p w14:paraId="4158E301" w14:textId="77777777" w:rsidR="00BE5D31" w:rsidRDefault="00BE5D31" w:rsidP="00BE5D31">
      <w:pPr>
        <w:spacing w:after="0" w:line="240" w:lineRule="auto"/>
        <w:ind w:left="709" w:right="618"/>
        <w:jc w:val="both"/>
        <w:rPr>
          <w:rFonts w:ascii="Verdana" w:eastAsia="Calibri" w:hAnsi="Verdana" w:cs="Arial"/>
          <w:bCs/>
          <w:color w:val="000000"/>
          <w:sz w:val="20"/>
          <w:szCs w:val="20"/>
          <w:lang w:eastAsia="es-ES_tradnl"/>
        </w:rPr>
      </w:pPr>
      <w:r w:rsidRPr="004D0D9F">
        <w:rPr>
          <w:rFonts w:ascii="Verdana" w:eastAsia="Calibri" w:hAnsi="Verdana" w:cs="Arial"/>
          <w:bCs/>
          <w:color w:val="000000"/>
          <w:sz w:val="20"/>
          <w:szCs w:val="20"/>
          <w:lang w:eastAsia="es-ES_tradnl"/>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4D0D9F">
        <w:rPr>
          <w:rFonts w:ascii="Verdana" w:eastAsia="Calibri" w:hAnsi="Verdana" w:cs="Arial"/>
          <w:bCs/>
          <w:color w:val="000000"/>
          <w:sz w:val="20"/>
          <w:szCs w:val="20"/>
          <w:vertAlign w:val="superscript"/>
          <w:lang w:eastAsia="es-ES_tradnl"/>
        </w:rPr>
        <w:footnoteReference w:id="1"/>
      </w:r>
      <w:r w:rsidRPr="004D0D9F">
        <w:rPr>
          <w:rFonts w:ascii="Verdana" w:eastAsia="Calibri" w:hAnsi="Verdana" w:cs="Arial"/>
          <w:bCs/>
          <w:color w:val="000000"/>
          <w:sz w:val="20"/>
          <w:szCs w:val="20"/>
          <w:lang w:eastAsia="es-ES_tradnl"/>
        </w:rPr>
        <w:t>.</w:t>
      </w:r>
    </w:p>
    <w:p w14:paraId="0A096EE4" w14:textId="77777777" w:rsidR="00BE5D31" w:rsidRPr="004D0D9F" w:rsidRDefault="00BE5D31" w:rsidP="00BE5D31">
      <w:pPr>
        <w:spacing w:after="0" w:line="240" w:lineRule="auto"/>
        <w:ind w:left="709" w:right="618"/>
        <w:jc w:val="both"/>
        <w:rPr>
          <w:rFonts w:ascii="Verdana" w:eastAsia="Calibri" w:hAnsi="Verdana" w:cs="Arial"/>
          <w:bCs/>
          <w:color w:val="000000"/>
          <w:sz w:val="20"/>
          <w:szCs w:val="20"/>
          <w:lang w:eastAsia="es-ES_tradnl"/>
        </w:rPr>
      </w:pPr>
    </w:p>
    <w:p w14:paraId="26EFC5EB" w14:textId="77777777" w:rsidR="00BE5D31" w:rsidRPr="00043FE7" w:rsidRDefault="00BE5D31" w:rsidP="00BE5D31">
      <w:pPr>
        <w:spacing w:after="120" w:line="276" w:lineRule="auto"/>
        <w:ind w:firstLine="709"/>
        <w:jc w:val="both"/>
        <w:rPr>
          <w:rFonts w:ascii="Verdana" w:eastAsia="Calibri" w:hAnsi="Verdana" w:cs="Arial"/>
          <w:bCs/>
          <w:color w:val="000000"/>
          <w:lang w:val="es-ES" w:eastAsia="es-ES_tradnl"/>
        </w:rPr>
      </w:pPr>
      <w:r w:rsidRPr="00043FE7">
        <w:rPr>
          <w:rFonts w:ascii="Verdana" w:eastAsia="Calibri" w:hAnsi="Verdana" w:cs="Arial"/>
          <w:bCs/>
          <w:color w:val="000000"/>
          <w:lang w:val="es-ES" w:eastAsia="es-ES_tradnl"/>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p w14:paraId="2F42691C" w14:textId="6092A7DC" w:rsidR="00BE5D31" w:rsidRPr="003148DF" w:rsidRDefault="00BE5D31" w:rsidP="003148DF">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Debido a que los consorcios y las uniones temporales no son personas jurídicas, </w:t>
      </w:r>
      <w:r>
        <w:rPr>
          <w:rFonts w:ascii="Verdana" w:eastAsia="Calibri" w:hAnsi="Verdana" w:cs="Arial"/>
          <w:color w:val="000000"/>
          <w:lang w:eastAsia="es-ES_tradnl"/>
        </w:rPr>
        <w:t xml:space="preserve">en tanto que </w:t>
      </w:r>
      <w:r w:rsidRPr="00B05BE8">
        <w:rPr>
          <w:rFonts w:ascii="Verdana" w:eastAsia="Calibri" w:hAnsi="Verdana" w:cs="Arial"/>
          <w:color w:val="000000"/>
          <w:lang w:eastAsia="es-ES_tradnl"/>
        </w:rPr>
        <w:t>carecen de personalidad jurídica diferente de aquella que acompaña a las personas naturales y/o morales que los integran</w:t>
      </w:r>
      <w:r>
        <w:rPr>
          <w:rStyle w:val="Refdenotaalpie"/>
          <w:rFonts w:ascii="Verdana" w:eastAsia="Calibri" w:hAnsi="Verdana" w:cs="Arial"/>
          <w:color w:val="000000"/>
          <w:lang w:eastAsia="es-ES_tradnl"/>
        </w:rPr>
        <w:footnoteReference w:id="2"/>
      </w:r>
      <w:r>
        <w:rPr>
          <w:rFonts w:ascii="Verdana" w:eastAsia="Calibri" w:hAnsi="Verdana" w:cs="Arial"/>
          <w:color w:val="000000"/>
          <w:lang w:eastAsia="es-ES_tradnl"/>
        </w:rPr>
        <w:t xml:space="preserve"> </w:t>
      </w:r>
      <w:r w:rsidRPr="00043FE7">
        <w:rPr>
          <w:rFonts w:ascii="Verdana" w:eastAsia="Calibri" w:hAnsi="Verdana" w:cs="Arial"/>
          <w:color w:val="000000"/>
          <w:lang w:eastAsia="es-ES_tradnl"/>
        </w:rPr>
        <w:t>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21C72A32" w14:textId="77777777" w:rsidR="00BE5D31" w:rsidRPr="00B05BE8"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lastRenderedPageBreak/>
        <w:t>“Artículo 7º.- ENTIDADES A CONTRATAR. Artículo modificado por el artículo 3 de la Ley 2160 de 2021. Para los efectos de esta Ley se entiende por:</w:t>
      </w:r>
    </w:p>
    <w:p w14:paraId="70AA7D87" w14:textId="77777777" w:rsidR="00BE5D31"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p>
    <w:p w14:paraId="579E9B2E" w14:textId="77777777" w:rsidR="00BE5D31" w:rsidRPr="00B05BE8"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r>
        <w:rPr>
          <w:rFonts w:ascii="Verdana" w:eastAsia="Calibri" w:hAnsi="Verdana" w:cs="Arial"/>
          <w:bCs/>
          <w:color w:val="000000"/>
          <w:sz w:val="20"/>
          <w:szCs w:val="20"/>
          <w:lang w:val="es-ES" w:eastAsia="es-ES_tradnl"/>
        </w:rPr>
        <w:t>(…)</w:t>
      </w:r>
    </w:p>
    <w:p w14:paraId="7AB4065B" w14:textId="77777777" w:rsidR="00BE5D31"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p>
    <w:p w14:paraId="6764B84F" w14:textId="77777777" w:rsidR="00BE5D31"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 xml:space="preserve">6. Consorcio: Cuando dos o más personas </w:t>
      </w:r>
      <w:bookmarkStart w:id="10" w:name="_Hlk180410264"/>
      <w:r w:rsidRPr="00B05BE8">
        <w:rPr>
          <w:rFonts w:ascii="Verdana" w:eastAsia="Calibri" w:hAnsi="Verdana" w:cs="Arial"/>
          <w:bCs/>
          <w:color w:val="000000"/>
          <w:sz w:val="20"/>
          <w:szCs w:val="20"/>
          <w:lang w:val="es-ES" w:eastAsia="es-ES_tradnl"/>
        </w:rPr>
        <w:t>en forma conjunta presentan una misma propuesta para la adjudicación, celebración y ejecución de un contrato</w:t>
      </w:r>
      <w:bookmarkEnd w:id="10"/>
      <w:r w:rsidRPr="00B05BE8">
        <w:rPr>
          <w:rFonts w:ascii="Verdana" w:eastAsia="Calibri" w:hAnsi="Verdana" w:cs="Arial"/>
          <w:bCs/>
          <w:color w:val="000000"/>
          <w:sz w:val="20"/>
          <w:szCs w:val="20"/>
          <w:lang w:val="es-ES" w:eastAsia="es-ES_tradnl"/>
        </w:rPr>
        <w:t>,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1DFF943B" w14:textId="77777777" w:rsidR="00BE5D31" w:rsidRPr="00B05BE8"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p>
    <w:p w14:paraId="70E653A1" w14:textId="77777777" w:rsidR="00BE5D31"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r>
        <w:rPr>
          <w:rFonts w:ascii="Verdana" w:eastAsia="Calibri" w:hAnsi="Verdana" w:cs="Arial"/>
          <w:bCs/>
          <w:color w:val="000000"/>
          <w:sz w:val="20"/>
          <w:szCs w:val="20"/>
          <w:lang w:val="es-ES" w:eastAsia="es-ES_tradnl"/>
        </w:rPr>
        <w:t xml:space="preserve"> (…)”.</w:t>
      </w:r>
      <w:r w:rsidRPr="00B05BE8">
        <w:rPr>
          <w:rFonts w:ascii="Verdana" w:eastAsia="Calibri" w:hAnsi="Verdana" w:cs="Arial"/>
          <w:bCs/>
          <w:color w:val="000000"/>
          <w:sz w:val="20"/>
          <w:szCs w:val="20"/>
          <w:lang w:val="es-ES" w:eastAsia="es-ES_tradnl"/>
        </w:rPr>
        <w:t> </w:t>
      </w:r>
    </w:p>
    <w:p w14:paraId="4F232A2B" w14:textId="77777777" w:rsidR="00BE5D31" w:rsidRPr="00B05BE8" w:rsidRDefault="00BE5D31" w:rsidP="00BE5D31">
      <w:pPr>
        <w:spacing w:after="0" w:line="240" w:lineRule="auto"/>
        <w:ind w:left="709" w:right="616"/>
        <w:jc w:val="both"/>
        <w:rPr>
          <w:rFonts w:ascii="Verdana" w:eastAsia="Calibri" w:hAnsi="Verdana" w:cs="Arial"/>
          <w:bCs/>
          <w:color w:val="000000"/>
          <w:sz w:val="20"/>
          <w:szCs w:val="20"/>
          <w:lang w:val="es-ES" w:eastAsia="es-ES_tradnl"/>
        </w:rPr>
      </w:pPr>
    </w:p>
    <w:p w14:paraId="13159601" w14:textId="77777777" w:rsidR="00BE5D31" w:rsidRDefault="00BE5D31" w:rsidP="00BE5D31">
      <w:pPr>
        <w:spacing w:after="0" w:line="240" w:lineRule="auto"/>
        <w:ind w:left="708"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3E286ACC" w14:textId="77777777" w:rsidR="00BE5D31" w:rsidRPr="00B05BE8" w:rsidRDefault="00BE5D31" w:rsidP="00BE5D31">
      <w:pPr>
        <w:spacing w:after="0" w:line="240" w:lineRule="auto"/>
        <w:ind w:left="708" w:right="616"/>
        <w:jc w:val="both"/>
        <w:rPr>
          <w:rFonts w:ascii="Verdana" w:eastAsia="Calibri" w:hAnsi="Verdana" w:cs="Arial"/>
          <w:bCs/>
          <w:color w:val="000000"/>
          <w:sz w:val="20"/>
          <w:szCs w:val="20"/>
          <w:lang w:val="es-ES" w:eastAsia="es-ES_tradnl"/>
        </w:rPr>
      </w:pPr>
    </w:p>
    <w:p w14:paraId="2F95E40F" w14:textId="77777777" w:rsidR="00BE5D31" w:rsidRDefault="00BE5D31" w:rsidP="00BE5D31">
      <w:pPr>
        <w:spacing w:after="0" w:line="240" w:lineRule="auto"/>
        <w:ind w:left="708"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sz w:val="20"/>
          <w:szCs w:val="20"/>
          <w:lang w:val="es-ES" w:eastAsia="es-ES_tradnl"/>
        </w:rPr>
        <w:t xml:space="preserve"> (…)”.</w:t>
      </w:r>
    </w:p>
    <w:p w14:paraId="245AE606" w14:textId="77777777" w:rsidR="00BE5D31" w:rsidRPr="00B05BE8" w:rsidRDefault="00BE5D31" w:rsidP="00BE5D31">
      <w:pPr>
        <w:spacing w:after="0" w:line="240" w:lineRule="auto"/>
        <w:ind w:left="708" w:right="616"/>
        <w:jc w:val="both"/>
        <w:rPr>
          <w:rFonts w:ascii="Verdana" w:eastAsia="Calibri" w:hAnsi="Verdana" w:cs="Arial"/>
          <w:bCs/>
          <w:color w:val="000000"/>
          <w:sz w:val="20"/>
          <w:szCs w:val="20"/>
          <w:lang w:val="es-ES" w:eastAsia="es-ES_tradnl"/>
        </w:rPr>
      </w:pPr>
    </w:p>
    <w:p w14:paraId="4E372E19" w14:textId="77777777" w:rsidR="00BE5D31" w:rsidRPr="00043FE7" w:rsidRDefault="00BE5D31" w:rsidP="00BE5D31">
      <w:pPr>
        <w:spacing w:after="120" w:line="276" w:lineRule="auto"/>
        <w:jc w:val="both"/>
        <w:rPr>
          <w:rFonts w:ascii="Verdana" w:eastAsia="Calibri" w:hAnsi="Verdana" w:cs="Arial"/>
          <w:color w:val="000000"/>
          <w:lang w:eastAsia="es-ES_tradnl"/>
        </w:rPr>
      </w:pPr>
      <w:r w:rsidRPr="00043FE7">
        <w:rPr>
          <w:rFonts w:ascii="Verdana" w:eastAsia="Calibri" w:hAnsi="Verdana" w:cs="Arial"/>
          <w:bCs/>
          <w:color w:val="000000"/>
          <w:lang w:val="es-ES" w:eastAsia="es-ES_tradnl"/>
        </w:rPr>
        <w:tab/>
        <w:t>Como se observa, el artículo citado señala que el consorcio o la unión temporal surge “Cuando dos o más personas en forma conjunta presentan una misma propuesta para la adjudicación, celebración y ejecución de un contrato […]”.</w:t>
      </w:r>
      <w:r w:rsidRPr="00043FE7">
        <w:rPr>
          <w:rFonts w:ascii="Verdana" w:eastAsia="Calibri" w:hAnsi="Verdana" w:cs="Arial"/>
          <w:color w:val="000000"/>
          <w:lang w:eastAsia="es-ES_tradnl"/>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35F05E95" w14:textId="77777777" w:rsidR="00BE5D31" w:rsidRDefault="00BE5D31" w:rsidP="00BE5D31">
      <w:pPr>
        <w:spacing w:after="120" w:line="276" w:lineRule="auto"/>
        <w:jc w:val="both"/>
        <w:rPr>
          <w:rFonts w:ascii="Verdana" w:eastAsia="Calibri" w:hAnsi="Verdana" w:cs="Arial"/>
          <w:color w:val="000000"/>
          <w:lang w:eastAsia="es-ES_tradnl"/>
        </w:rPr>
      </w:pPr>
      <w:r w:rsidRPr="00043FE7">
        <w:rPr>
          <w:rFonts w:ascii="Verdana" w:eastAsia="Calibri" w:hAnsi="Verdana" w:cs="Arial"/>
          <w:color w:val="000000"/>
          <w:lang w:eastAsia="es-ES_tradnl"/>
        </w:rPr>
        <w:tab/>
        <w:t xml:space="preserve">De esta manera, los consorcios o uniones temporales son convenios de asociación provenientes de la colaboración empresarial, mediante los cuales sus integrantes se unen y se organizan mancomunadamente para lograr con mayor </w:t>
      </w:r>
      <w:r w:rsidRPr="00043FE7">
        <w:rPr>
          <w:rFonts w:ascii="Verdana" w:eastAsia="Calibri" w:hAnsi="Verdana" w:cs="Arial"/>
          <w:color w:val="000000"/>
          <w:lang w:eastAsia="es-ES_tradnl"/>
        </w:rPr>
        <w:lastRenderedPageBreak/>
        <w:t xml:space="preserve">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61694A60" w14:textId="77777777" w:rsidR="00BE5D31" w:rsidRDefault="00BE5D31" w:rsidP="00BE5D31">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En cuanto a la subcontratación, según la definición de la Real Academia de la Lengua Española, subcontratar es: </w:t>
      </w:r>
      <w:r w:rsidRPr="00C369AB">
        <w:rPr>
          <w:rFonts w:ascii="Verdana" w:eastAsia="Calibri" w:hAnsi="Verdana" w:cs="Arial"/>
          <w:i/>
          <w:iCs/>
          <w:color w:val="000000"/>
          <w:lang w:eastAsia="es-ES_tradnl"/>
        </w:rPr>
        <w:t>Dicho del adjudicatario de una contrata: Firmar un contrato con otra persona o con otra empresa para que realice trabajos relacionados con la contrata original</w:t>
      </w:r>
      <w:r>
        <w:rPr>
          <w:rStyle w:val="Refdenotaalpie"/>
          <w:rFonts w:ascii="Verdana" w:eastAsia="Calibri" w:hAnsi="Verdana" w:cs="Arial"/>
          <w:i/>
          <w:iCs/>
          <w:color w:val="000000"/>
          <w:lang w:eastAsia="es-ES_tradnl"/>
        </w:rPr>
        <w:footnoteReference w:id="3"/>
      </w:r>
      <w:r>
        <w:rPr>
          <w:rFonts w:ascii="Verdana" w:eastAsia="Calibri" w:hAnsi="Verdana" w:cs="Arial"/>
          <w:color w:val="000000"/>
          <w:lang w:eastAsia="es-ES_tradnl"/>
        </w:rPr>
        <w:t xml:space="preserve">. </w:t>
      </w:r>
    </w:p>
    <w:p w14:paraId="1F573352"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La figura jurídica de la subcontratación no ha tenido un desarrollo regulatorio sustancial en el derecho colombiano. Aunque en materia de contratación estatal hay algunas referencias a esta institución en las Leyes 80 de 1993</w:t>
      </w:r>
      <w:r w:rsidRPr="00043FE7">
        <w:rPr>
          <w:rFonts w:ascii="Verdana" w:eastAsia="Calibri" w:hAnsi="Verdana" w:cs="Arial"/>
          <w:color w:val="000000"/>
          <w:vertAlign w:val="superscript"/>
          <w:lang w:eastAsia="es-ES_tradnl"/>
        </w:rPr>
        <w:footnoteReference w:id="4"/>
      </w:r>
      <w:r w:rsidRPr="00043FE7">
        <w:rPr>
          <w:rFonts w:ascii="Verdana" w:eastAsia="Calibri" w:hAnsi="Verdana" w:cs="Arial"/>
          <w:color w:val="000000"/>
          <w:vertAlign w:val="superscript"/>
          <w:lang w:eastAsia="es-ES_tradnl"/>
        </w:rPr>
        <w:t xml:space="preserve"> </w:t>
      </w:r>
      <w:r w:rsidRPr="00043FE7">
        <w:rPr>
          <w:rFonts w:ascii="Verdana" w:eastAsia="Calibri" w:hAnsi="Verdana" w:cs="Arial"/>
          <w:color w:val="000000"/>
          <w:lang w:eastAsia="es-ES_tradnl"/>
        </w:rPr>
        <w:t>y 1150 de 2007</w:t>
      </w:r>
      <w:r w:rsidRPr="00043FE7">
        <w:rPr>
          <w:rFonts w:ascii="Verdana" w:eastAsia="Calibri" w:hAnsi="Verdana" w:cs="Arial"/>
          <w:color w:val="000000"/>
          <w:vertAlign w:val="superscript"/>
          <w:lang w:eastAsia="es-ES_tradnl"/>
        </w:rPr>
        <w:footnoteReference w:id="5"/>
      </w:r>
      <w:r w:rsidRPr="00043FE7">
        <w:rPr>
          <w:rFonts w:ascii="Verdana" w:eastAsia="Calibri" w:hAnsi="Verdana" w:cs="Arial"/>
          <w:color w:val="000000"/>
          <w:lang w:eastAsia="es-ES_tradnl"/>
        </w:rPr>
        <w:t>, así como en el Decreto 1082 de 2015</w:t>
      </w:r>
      <w:r w:rsidRPr="00043FE7">
        <w:rPr>
          <w:rFonts w:ascii="Verdana" w:eastAsia="Calibri" w:hAnsi="Verdana" w:cs="Arial"/>
          <w:color w:val="000000"/>
          <w:vertAlign w:val="superscript"/>
          <w:lang w:eastAsia="es-ES_tradnl"/>
        </w:rPr>
        <w:footnoteReference w:id="6"/>
      </w:r>
      <w:r w:rsidRPr="00043FE7">
        <w:rPr>
          <w:rFonts w:ascii="Verdana" w:eastAsia="Calibri" w:hAnsi="Verdana" w:cs="Arial"/>
          <w:color w:val="000000"/>
          <w:lang w:eastAsia="es-ES_tradnl"/>
        </w:rPr>
        <w:t xml:space="preserve">, y en </w:t>
      </w:r>
      <w:r w:rsidRPr="00043FE7">
        <w:rPr>
          <w:rFonts w:ascii="Verdana" w:eastAsia="Calibri" w:hAnsi="Verdana" w:cs="Arial"/>
          <w:color w:val="000000"/>
          <w:lang w:val="es-ES" w:eastAsia="es-ES_tradnl"/>
        </w:rPr>
        <w:t>el Decreto 092 de 2017</w:t>
      </w:r>
      <w:r w:rsidRPr="00043FE7">
        <w:rPr>
          <w:rFonts w:ascii="Verdana" w:eastAsia="Calibri" w:hAnsi="Verdana" w:cs="Arial"/>
          <w:color w:val="000000"/>
          <w:vertAlign w:val="superscript"/>
          <w:lang w:val="es-ES" w:eastAsia="es-ES_tradnl"/>
        </w:rPr>
        <w:footnoteReference w:id="7"/>
      </w:r>
      <w:r w:rsidRPr="00043FE7">
        <w:rPr>
          <w:rFonts w:ascii="Verdana" w:eastAsia="Calibri" w:hAnsi="Verdana" w:cs="Arial"/>
          <w:color w:val="000000"/>
          <w:lang w:val="es-ES" w:eastAsia="es-ES_tradnl"/>
        </w:rPr>
        <w:t xml:space="preserve">, </w:t>
      </w:r>
      <w:r w:rsidRPr="00043FE7">
        <w:rPr>
          <w:rFonts w:ascii="Verdana" w:eastAsia="Calibri" w:hAnsi="Verdana" w:cs="Arial"/>
          <w:color w:val="000000"/>
          <w:lang w:eastAsia="es-ES_tradnl"/>
        </w:rPr>
        <w:t xml:space="preserve">el ordenamiento jurídico carece de una disposición legal que brinde una definición de subcontratación. Sin embargo, la jurisprudencia y la </w:t>
      </w:r>
      <w:r w:rsidRPr="00043FE7">
        <w:rPr>
          <w:rFonts w:ascii="Verdana" w:eastAsia="Calibri" w:hAnsi="Verdana" w:cs="Arial"/>
          <w:color w:val="000000"/>
          <w:lang w:eastAsia="es-ES_tradnl"/>
        </w:rPr>
        <w:lastRenderedPageBreak/>
        <w:t xml:space="preserve">doctrina se han encargado de estudiar y analizar la naturaleza de esta figura y han construido los elementos y características propias de la subcontratación. </w:t>
      </w:r>
    </w:p>
    <w:p w14:paraId="6F58A096" w14:textId="77777777" w:rsidR="00BE5D31" w:rsidRPr="00043FE7" w:rsidRDefault="00BE5D31" w:rsidP="00591B48">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La doctrina ha analizado la subcontratación en la contratación estatal, señalando que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Pr="00043FE7">
        <w:rPr>
          <w:rFonts w:ascii="Verdana" w:eastAsia="Calibri" w:hAnsi="Verdana" w:cs="Arial"/>
          <w:color w:val="000000"/>
          <w:vertAlign w:val="superscript"/>
          <w:lang w:eastAsia="es-ES_tradnl"/>
        </w:rPr>
        <w:footnoteReference w:id="8"/>
      </w:r>
      <w:r w:rsidRPr="00043FE7">
        <w:rPr>
          <w:rFonts w:ascii="Verdana" w:eastAsia="Calibri" w:hAnsi="Verdana" w:cs="Arial"/>
          <w:color w:val="000000"/>
          <w:lang w:eastAsia="es-ES_tradnl"/>
        </w:rPr>
        <w:t>. En el ámbito internacional se ha entendido a la subcontratación como “La práctica mercantil de organización productiva en virtud de la cual el contratista o subcontratista encarga a otro subcontratista o trabajador autónomo parte de lo que a él se le ha encomendado”</w:t>
      </w:r>
      <w:r w:rsidRPr="00043FE7">
        <w:rPr>
          <w:rFonts w:ascii="Verdana" w:eastAsia="Calibri" w:hAnsi="Verdana" w:cs="Arial"/>
          <w:color w:val="000000"/>
          <w:vertAlign w:val="superscript"/>
          <w:lang w:eastAsia="es-ES_tradnl"/>
        </w:rPr>
        <w:footnoteReference w:id="9"/>
      </w:r>
      <w:r w:rsidRPr="00043FE7">
        <w:rPr>
          <w:rFonts w:ascii="Verdana" w:eastAsia="Calibri" w:hAnsi="Verdana" w:cs="Arial"/>
          <w:color w:val="000000"/>
          <w:vertAlign w:val="superscript"/>
          <w:lang w:eastAsia="es-ES_tradnl"/>
        </w:rPr>
        <w:t>.</w:t>
      </w:r>
      <w:r w:rsidRPr="00043FE7">
        <w:rPr>
          <w:rFonts w:ascii="Verdana" w:eastAsia="Calibri" w:hAnsi="Verdana" w:cs="Arial"/>
          <w:color w:val="000000"/>
          <w:lang w:eastAsia="es-ES_tradnl"/>
        </w:rPr>
        <w:t xml:space="preserve"> En el marco de esta figura, se define el nivel de subcontratación como “Cada uno de los escalones en que se estructura el proceso de subcontratación que se desarrolla para la ejecución de la totalidad o parte de la obra asumida contractualmente por el contratista con el promotor”</w:t>
      </w:r>
      <w:r w:rsidRPr="00043FE7">
        <w:rPr>
          <w:rFonts w:ascii="Verdana" w:eastAsia="Calibri" w:hAnsi="Verdana" w:cs="Arial"/>
          <w:color w:val="000000"/>
          <w:vertAlign w:val="superscript"/>
          <w:lang w:eastAsia="es-ES_tradnl"/>
        </w:rPr>
        <w:footnoteReference w:id="10"/>
      </w:r>
      <w:r w:rsidRPr="00043FE7">
        <w:rPr>
          <w:rFonts w:ascii="Verdana" w:eastAsia="Calibri" w:hAnsi="Verdana" w:cs="Arial"/>
          <w:color w:val="000000"/>
          <w:lang w:eastAsia="es-ES_tradnl"/>
        </w:rPr>
        <w:t xml:space="preserve">. </w:t>
      </w:r>
    </w:p>
    <w:p w14:paraId="3615857E" w14:textId="77777777" w:rsidR="00BE5D31" w:rsidRPr="00043FE7" w:rsidRDefault="00BE5D31" w:rsidP="00591B48">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Por su parte, la Sección Tercera del Consejo de Estado, en Sentencia del 12 de agosto de 2013</w:t>
      </w:r>
      <w:r w:rsidRPr="00043FE7">
        <w:rPr>
          <w:rFonts w:ascii="Verdana" w:eastAsia="Calibri" w:hAnsi="Verdana" w:cs="Arial"/>
          <w:color w:val="000000"/>
          <w:vertAlign w:val="superscript"/>
          <w:lang w:eastAsia="es-ES_tradnl"/>
        </w:rPr>
        <w:footnoteReference w:id="11"/>
      </w:r>
      <w:r w:rsidRPr="00043FE7">
        <w:rPr>
          <w:rFonts w:ascii="Verdana" w:eastAsia="Calibri" w:hAnsi="Verdana" w:cs="Arial"/>
          <w:color w:val="000000"/>
          <w:lang w:eastAsia="es-ES_tradnl"/>
        </w:rPr>
        <w:t xml:space="preserve">, estructuró la definición y naturaleza del subcontrato reiterando lo señalado por la doctrina. Al respecto, indicó: </w:t>
      </w:r>
    </w:p>
    <w:p w14:paraId="3CF75D93" w14:textId="0482295C" w:rsidR="00BE5D31" w:rsidRPr="00591B48" w:rsidRDefault="00BE5D31" w:rsidP="00591B48">
      <w:pPr>
        <w:spacing w:after="0" w:line="240" w:lineRule="auto"/>
        <w:ind w:left="709" w:right="618"/>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t>“Esta institución hace surgir una relación jurídica autónoma entre el contratista del Estado y el sub 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r>
        <w:rPr>
          <w:rFonts w:ascii="Verdana" w:eastAsia="Calibri" w:hAnsi="Verdana" w:cs="Arial"/>
          <w:color w:val="000000"/>
          <w:sz w:val="20"/>
          <w:szCs w:val="20"/>
          <w:lang w:eastAsia="es-ES_tradnl"/>
        </w:rPr>
        <w:t>”</w:t>
      </w:r>
      <w:r w:rsidRPr="00FF5128">
        <w:rPr>
          <w:rFonts w:ascii="Verdana" w:eastAsia="Calibri" w:hAnsi="Verdana" w:cs="Arial"/>
          <w:color w:val="000000"/>
          <w:sz w:val="20"/>
          <w:szCs w:val="20"/>
          <w:lang w:eastAsia="es-ES_tradnl"/>
        </w:rPr>
        <w:t xml:space="preserve">. </w:t>
      </w:r>
    </w:p>
    <w:p w14:paraId="78CDA7D7" w14:textId="77777777" w:rsidR="00BE5D31" w:rsidRPr="00FF5128" w:rsidRDefault="00BE5D31" w:rsidP="00BE5D31">
      <w:pPr>
        <w:spacing w:after="0" w:line="240" w:lineRule="auto"/>
        <w:ind w:left="708" w:right="616"/>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lastRenderedPageBreak/>
        <w:t>En este sentido, el contratista conserva frente a la entidad pública la responsabilidad por la ejecución del contrato, así que desde el punto de vista subjetivo la sub contratación es material y no jurídica, porque traslada el cumplimiento del contrato a un tercero, pero no sustituye al contratista.</w:t>
      </w:r>
    </w:p>
    <w:p w14:paraId="04ACE256" w14:textId="77777777" w:rsidR="00BE5D31" w:rsidRDefault="00BE5D31" w:rsidP="00BE5D31">
      <w:pPr>
        <w:spacing w:after="0" w:line="240" w:lineRule="auto"/>
        <w:ind w:left="708" w:right="616"/>
        <w:jc w:val="both"/>
        <w:rPr>
          <w:rFonts w:ascii="Verdana" w:eastAsia="Calibri" w:hAnsi="Verdana" w:cs="Arial"/>
          <w:color w:val="000000"/>
          <w:sz w:val="20"/>
          <w:szCs w:val="20"/>
          <w:lang w:eastAsia="es-ES_tradnl"/>
        </w:rPr>
      </w:pPr>
    </w:p>
    <w:p w14:paraId="7773C133" w14:textId="77777777" w:rsidR="00BE5D31" w:rsidRDefault="00BE5D31" w:rsidP="00BE5D31">
      <w:pPr>
        <w:spacing w:after="0" w:line="240" w:lineRule="auto"/>
        <w:ind w:left="708" w:right="616"/>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t>La Subcontratación es la celebración de un contrato accesorio a otro principal, entre un contratista del Estado y un tercero, en virtud del cual el subcontratista o tercero sustituye parcial y materialmente al primero, quien conserva la dirección general del proyecto y es responsable ante la entidad estatal contratante por el cumplimiento íntegro de las obligaciones derivadas del contrato adjudicado. Esta institución hace surgir una relación jurídica autónoma entre el contratista del Estado y el subcontratista,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2EC7B811" w14:textId="77777777" w:rsidR="00BE5D31" w:rsidRPr="00FF5128" w:rsidRDefault="00BE5D31" w:rsidP="00BE5D31">
      <w:pPr>
        <w:spacing w:after="0" w:line="240" w:lineRule="auto"/>
        <w:ind w:left="708" w:right="616"/>
        <w:jc w:val="both"/>
        <w:rPr>
          <w:rFonts w:ascii="Verdana" w:eastAsia="Calibri" w:hAnsi="Verdana" w:cs="Arial"/>
          <w:color w:val="000000"/>
          <w:sz w:val="20"/>
          <w:szCs w:val="20"/>
          <w:lang w:eastAsia="es-ES_tradnl"/>
        </w:rPr>
      </w:pPr>
    </w:p>
    <w:p w14:paraId="3EED2570"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 lo expuesto se resaltan, como características esenciales de la subcontratación, las siguientes: i) es un contrato eventual, </w:t>
      </w:r>
      <w:proofErr w:type="spellStart"/>
      <w:r w:rsidRPr="00043FE7">
        <w:rPr>
          <w:rFonts w:ascii="Verdana" w:eastAsia="Calibri" w:hAnsi="Verdana" w:cs="Arial"/>
          <w:color w:val="000000"/>
          <w:lang w:eastAsia="es-ES_tradnl"/>
        </w:rPr>
        <w:t>ii</w:t>
      </w:r>
      <w:proofErr w:type="spellEnd"/>
      <w:r w:rsidRPr="00043FE7">
        <w:rPr>
          <w:rFonts w:ascii="Verdana" w:eastAsia="Calibri" w:hAnsi="Verdana" w:cs="Arial"/>
          <w:color w:val="000000"/>
          <w:lang w:eastAsia="es-ES_tradnl"/>
        </w:rPr>
        <w:t xml:space="preserve">) es un contrato accesorio, pues asegura el cumplimiento de otro contrato –principal–, </w:t>
      </w:r>
      <w:proofErr w:type="spellStart"/>
      <w:r w:rsidRPr="00043FE7">
        <w:rPr>
          <w:rFonts w:ascii="Verdana" w:eastAsia="Calibri" w:hAnsi="Verdana" w:cs="Arial"/>
          <w:color w:val="000000"/>
          <w:lang w:eastAsia="es-ES_tradnl"/>
        </w:rPr>
        <w:t>iii</w:t>
      </w:r>
      <w:proofErr w:type="spellEnd"/>
      <w:r w:rsidRPr="00043FE7">
        <w:rPr>
          <w:rFonts w:ascii="Verdana" w:eastAsia="Calibri" w:hAnsi="Verdana" w:cs="Arial"/>
          <w:color w:val="000000"/>
          <w:lang w:eastAsia="es-ES_tradnl"/>
        </w:rPr>
        <w:t xml:space="preserve">) la relación jurídica que surge entre el contratista del Estado y el tercero es independiente y autónoma de la entidad contratante, </w:t>
      </w:r>
      <w:proofErr w:type="spellStart"/>
      <w:r w:rsidRPr="00043FE7">
        <w:rPr>
          <w:rFonts w:ascii="Verdana" w:eastAsia="Calibri" w:hAnsi="Verdana" w:cs="Arial"/>
          <w:color w:val="000000"/>
          <w:lang w:eastAsia="es-ES_tradnl"/>
        </w:rPr>
        <w:t>iv</w:t>
      </w:r>
      <w:proofErr w:type="spellEnd"/>
      <w:r w:rsidRPr="00043FE7">
        <w:rPr>
          <w:rFonts w:ascii="Verdana" w:eastAsia="Calibri" w:hAnsi="Verdana" w:cs="Arial"/>
          <w:color w:val="000000"/>
          <w:lang w:eastAsia="es-ES_tradnl"/>
        </w:rPr>
        <w:t>) la sustitución es parcial, lo que significa que no podrán subcontratar la ejecución total del contrato principal y v) la sustitución es material y no jurídica; por lo tanto, no relevará al contratista del Estado de las responsabilidades emanadas del contrato principal.</w:t>
      </w:r>
    </w:p>
    <w:p w14:paraId="2AC21B8C" w14:textId="77777777" w:rsidR="00BE5D31" w:rsidRPr="00043FE7" w:rsidRDefault="00BE5D31" w:rsidP="00591B48">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En este sentido, 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73A785E0" w14:textId="77777777" w:rsidR="00BE5D31" w:rsidRDefault="00BE5D31" w:rsidP="00BE5D31">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t xml:space="preserve">Debido a la escasa regulación normativa, la subcontratación en materia de contratación pública estará supeditada a lo dispuesto en el pliego de condiciones y en el contrato, sin perjuicio de las limitaciones establecidas por la </w:t>
      </w:r>
      <w:r w:rsidRPr="00043FE7">
        <w:rPr>
          <w:rFonts w:ascii="Verdana" w:eastAsia="Calibri" w:hAnsi="Verdana" w:cs="Arial"/>
          <w:color w:val="000000"/>
          <w:lang w:val="es-ES" w:eastAsia="es-ES_tradnl"/>
        </w:rPr>
        <w:lastRenderedPageBreak/>
        <w:t>ley</w:t>
      </w:r>
      <w:r w:rsidRPr="00043FE7">
        <w:rPr>
          <w:rFonts w:ascii="Verdana" w:eastAsia="Calibri" w:hAnsi="Verdana" w:cs="Arial"/>
          <w:color w:val="000000"/>
          <w:vertAlign w:val="superscript"/>
          <w:lang w:val="es-ES" w:eastAsia="es-ES_tradnl"/>
        </w:rPr>
        <w:footnoteReference w:id="12"/>
      </w:r>
      <w:r w:rsidRPr="00043FE7">
        <w:rPr>
          <w:rFonts w:ascii="Verdana" w:eastAsia="Calibri" w:hAnsi="Verdana" w:cs="Arial"/>
          <w:color w:val="000000"/>
          <w:lang w:val="es-ES" w:eastAsia="es-ES_tradnl"/>
        </w:rPr>
        <w:t xml:space="preserve">. 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w:t>
      </w:r>
    </w:p>
    <w:p w14:paraId="7CC7CF2B" w14:textId="77777777" w:rsidR="00BE5D31" w:rsidRPr="00043FE7" w:rsidRDefault="00BE5D31" w:rsidP="00BE5D31">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t>Por su parte, si en el contrato no se estipula esta figura, se entiende que en principio está permitida y, por tanto, el contratista podrá subcontratar parcialmente con fundamento en la libertad de empresa, sin perjuicio de las limitaciones establecidas por ley.</w:t>
      </w:r>
    </w:p>
    <w:p w14:paraId="18639AF0"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Aunque el subcontrato es un contrato autónomo e independiente del contrato principal, en materia de contratación estatal, es recomendable –en ciertos eventos–, que las Entidades Estatales, exijan en el contrato la autorización previa y expresa para la subcontratación. Esto permite a la Entidad Estatal controlar las condiciones bajo las cuales se ejecutará el contrato, asegurar el cumplimiento de este bajo un esquema de transparencia y garantizar que no se infrinjan los principios de la contratación estatal. </w:t>
      </w:r>
    </w:p>
    <w:p w14:paraId="403B9578"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 esta manera, la autorización de la entidad contratante es importante –aunque no obligatoria de acuerdo con la ley– para que las actividades contratadas puedan ejecutarse de forma parcial por un tercero, sin que el contratista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Así las cosas, </w:t>
      </w:r>
      <w:r w:rsidRPr="00043FE7">
        <w:rPr>
          <w:rFonts w:ascii="Verdana" w:eastAsia="Calibri" w:hAnsi="Verdana" w:cs="Arial"/>
          <w:bCs/>
          <w:color w:val="000000"/>
          <w:lang w:eastAsia="es-ES_tradnl"/>
        </w:rPr>
        <w:t>se colige que,</w:t>
      </w:r>
      <w:r w:rsidRPr="00043FE7">
        <w:rPr>
          <w:rFonts w:ascii="Verdana" w:eastAsia="Calibri" w:hAnsi="Verdana" w:cs="Arial"/>
          <w:color w:val="000000"/>
          <w:lang w:val="es-ES" w:eastAsia="es-ES_tradnl"/>
        </w:rPr>
        <w:t xml:space="preserve"> </w:t>
      </w:r>
      <w:bookmarkStart w:id="11" w:name="_Hlk113478384"/>
      <w:r w:rsidRPr="00043FE7">
        <w:rPr>
          <w:rFonts w:ascii="Verdana" w:eastAsia="Calibri" w:hAnsi="Verdana" w:cs="Arial"/>
          <w:color w:val="000000"/>
          <w:lang w:val="es-ES" w:eastAsia="es-ES_tradnl"/>
        </w:rPr>
        <w:t xml:space="preserve">aunque hay ausencia de regulación específica de la subcontratación, </w:t>
      </w:r>
      <w:r w:rsidRPr="00043FE7">
        <w:rPr>
          <w:rFonts w:ascii="Verdana" w:eastAsia="Calibri" w:hAnsi="Verdana" w:cs="Arial"/>
          <w:bCs/>
          <w:color w:val="000000"/>
          <w:lang w:eastAsia="es-ES_tradnl"/>
        </w:rPr>
        <w:t xml:space="preserve">esta no se encuentra proscrita en materia de contratación pública; pero sí encuentra límites para su aplicación en </w:t>
      </w:r>
      <w:bookmarkStart w:id="12" w:name="_Hlk113472119"/>
      <w:r w:rsidRPr="00043FE7">
        <w:rPr>
          <w:rFonts w:ascii="Verdana" w:eastAsia="Calibri" w:hAnsi="Verdana" w:cs="Arial"/>
          <w:bCs/>
          <w:color w:val="000000"/>
          <w:lang w:eastAsia="es-ES_tradnl"/>
        </w:rPr>
        <w:t>el principio de la autonomía de la voluntad, representada en lo pactado en el contrato principal</w:t>
      </w:r>
      <w:bookmarkEnd w:id="12"/>
      <w:r w:rsidRPr="00043FE7">
        <w:rPr>
          <w:rFonts w:ascii="Verdana" w:eastAsia="Calibri" w:hAnsi="Verdana" w:cs="Arial"/>
          <w:bCs/>
          <w:color w:val="000000"/>
          <w:lang w:eastAsia="es-ES_tradnl"/>
        </w:rPr>
        <w:t>, y en algunas normas específicas</w:t>
      </w:r>
      <w:bookmarkEnd w:id="11"/>
      <w:r w:rsidRPr="00043FE7">
        <w:rPr>
          <w:rFonts w:ascii="Verdana" w:eastAsia="Calibri" w:hAnsi="Verdana" w:cs="Arial"/>
          <w:color w:val="000000"/>
          <w:lang w:eastAsia="es-ES_tradnl"/>
        </w:rPr>
        <w:t xml:space="preserve">. </w:t>
      </w:r>
    </w:p>
    <w:p w14:paraId="48E203D8" w14:textId="77777777" w:rsidR="00BE5D31" w:rsidRPr="00043FE7" w:rsidRDefault="00BE5D31" w:rsidP="00BE5D31">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t xml:space="preserve">La subcontratación es distinta a la cesión del contrato. En el primer caso, a diferencia del segundo, no existe traslado de la posición contractual de una </w:t>
      </w:r>
      <w:r w:rsidRPr="00043FE7">
        <w:rPr>
          <w:rFonts w:ascii="Verdana" w:eastAsia="Calibri" w:hAnsi="Verdana" w:cs="Arial"/>
          <w:color w:val="000000"/>
          <w:lang w:val="es-ES" w:eastAsia="es-ES_tradnl"/>
        </w:rPr>
        <w:lastRenderedPageBreak/>
        <w:t>parte a otra; por ello, en la subcontratación, al contrato principal se le suma un nuevo acuerdo, cuyo propósito es establecer relaciones jurídicas que se derivan del contrato original</w:t>
      </w:r>
      <w:r w:rsidRPr="00043FE7">
        <w:rPr>
          <w:rFonts w:ascii="Verdana" w:eastAsia="Calibri" w:hAnsi="Verdana" w:cs="Arial"/>
          <w:color w:val="000000"/>
          <w:vertAlign w:val="superscript"/>
          <w:lang w:val="es-ES" w:eastAsia="es-ES_tradnl"/>
        </w:rPr>
        <w:footnoteReference w:id="13"/>
      </w:r>
      <w:r w:rsidRPr="00043FE7">
        <w:rPr>
          <w:rFonts w:ascii="Verdana" w:eastAsia="Calibri" w:hAnsi="Verdana" w:cs="Arial"/>
          <w:color w:val="000000"/>
          <w:lang w:val="es-ES" w:eastAsia="es-ES_tradnl"/>
        </w:rPr>
        <w:t>. Sin embargo, la aplicación de ambas figuras requiere que tanto el subcontrato como la cesión recaigan sobre un tercero ajeno a la relación originaria</w:t>
      </w:r>
      <w:r w:rsidRPr="00043FE7">
        <w:rPr>
          <w:rFonts w:ascii="Verdana" w:eastAsia="Calibri" w:hAnsi="Verdana" w:cs="Arial"/>
          <w:color w:val="000000"/>
          <w:vertAlign w:val="superscript"/>
          <w:lang w:val="es-ES" w:eastAsia="es-ES_tradnl"/>
        </w:rPr>
        <w:footnoteReference w:id="14"/>
      </w:r>
      <w:r w:rsidRPr="00043FE7">
        <w:rPr>
          <w:rFonts w:ascii="Verdana" w:eastAsia="Calibri" w:hAnsi="Verdana" w:cs="Arial"/>
          <w:color w:val="000000"/>
          <w:lang w:val="es-ES" w:eastAsia="es-ES_tradnl"/>
        </w:rPr>
        <w:t xml:space="preserve">. </w:t>
      </w:r>
    </w:p>
    <w:p w14:paraId="21BA5AD9"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w:t>
      </w:r>
      <w:r>
        <w:rPr>
          <w:rFonts w:ascii="Verdana" w:eastAsia="Calibri" w:hAnsi="Verdana" w:cs="Arial"/>
          <w:color w:val="000000"/>
          <w:lang w:eastAsia="es-ES_tradnl"/>
        </w:rPr>
        <w:t>(…)</w:t>
      </w:r>
      <w:r w:rsidRPr="00043FE7">
        <w:rPr>
          <w:rFonts w:ascii="Verdana" w:eastAsia="Calibri" w:hAnsi="Verdana" w:cs="Arial"/>
          <w:color w:val="000000"/>
          <w:lang w:eastAsia="es-ES_tradnl"/>
        </w:rPr>
        <w:t xml:space="preserve"> este cederá su participación a un tercero previa autorización escrita de la entidad contratante </w:t>
      </w:r>
      <w:r>
        <w:rPr>
          <w:rFonts w:ascii="Verdana" w:eastAsia="Calibri" w:hAnsi="Verdana" w:cs="Arial"/>
          <w:color w:val="000000"/>
          <w:lang w:eastAsia="es-ES_tradnl"/>
        </w:rPr>
        <w:t>(…)</w:t>
      </w:r>
      <w:r w:rsidRPr="00043FE7">
        <w:rPr>
          <w:rFonts w:ascii="Verdana" w:eastAsia="Calibri" w:hAnsi="Verdana" w:cs="Arial"/>
          <w:color w:val="000000"/>
          <w:lang w:eastAsia="es-ES_tradnl"/>
        </w:rPr>
        <w:t>”, y establece que “</w:t>
      </w:r>
      <w:r>
        <w:rPr>
          <w:rFonts w:ascii="Verdana" w:eastAsia="Calibri" w:hAnsi="Verdana" w:cs="Arial"/>
          <w:color w:val="000000"/>
          <w:lang w:eastAsia="es-ES_tradnl"/>
        </w:rPr>
        <w:t>(…)</w:t>
      </w:r>
      <w:r w:rsidRPr="00043FE7">
        <w:rPr>
          <w:rFonts w:ascii="Verdana" w:eastAsia="Calibri" w:hAnsi="Verdana" w:cs="Arial"/>
          <w:color w:val="000000"/>
          <w:lang w:eastAsia="es-ES_tradnl"/>
        </w:rPr>
        <w:t xml:space="preserve"> En ningún caso, podrá haber cesión del contrato entre quienes integran el consorcio o unión temporal”. En esta última hipótesis, para la doctrina no existe un tercero como requisito de la cesión, y agrega lo siguiente:</w:t>
      </w:r>
    </w:p>
    <w:p w14:paraId="6AF6D810" w14:textId="05040B87" w:rsidR="00BE5D31" w:rsidRPr="00A41D52" w:rsidRDefault="00BE5D31" w:rsidP="008C2CAB">
      <w:pPr>
        <w:spacing w:after="0" w:line="240" w:lineRule="auto"/>
        <w:ind w:left="709" w:right="616"/>
        <w:jc w:val="both"/>
        <w:rPr>
          <w:rFonts w:ascii="Verdana" w:eastAsia="Calibri" w:hAnsi="Verdana" w:cs="Arial"/>
          <w:color w:val="000000"/>
          <w:sz w:val="20"/>
          <w:szCs w:val="20"/>
          <w:lang w:eastAsia="es-ES_tradnl"/>
        </w:rPr>
      </w:pPr>
      <w:r w:rsidRPr="00A41D52">
        <w:rPr>
          <w:rFonts w:ascii="Verdana" w:eastAsia="Calibri" w:hAnsi="Verdana" w:cs="Arial"/>
          <w:color w:val="000000"/>
          <w:sz w:val="20"/>
          <w:szCs w:val="20"/>
          <w:lang w:eastAsia="es-ES_tradnl"/>
        </w:rPr>
        <w:t>“</w:t>
      </w:r>
      <w:r>
        <w:rPr>
          <w:rFonts w:ascii="Verdana" w:eastAsia="Calibri" w:hAnsi="Verdana" w:cs="Arial"/>
          <w:color w:val="000000"/>
          <w:sz w:val="20"/>
          <w:szCs w:val="20"/>
          <w:lang w:eastAsia="es-ES_tradnl"/>
        </w:rPr>
        <w:t>(…)</w:t>
      </w:r>
      <w:r w:rsidRPr="00A41D52">
        <w:rPr>
          <w:rFonts w:ascii="Verdana" w:eastAsia="Calibri" w:hAnsi="Verdana" w:cs="Arial"/>
          <w:color w:val="000000"/>
          <w:sz w:val="20"/>
          <w:szCs w:val="20"/>
          <w:lang w:eastAsia="es-ES_tradnl"/>
        </w:rPr>
        <w:t xml:space="preserve">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w:t>
      </w:r>
      <w:r w:rsidRPr="00A41D52">
        <w:rPr>
          <w:rFonts w:ascii="Verdana" w:eastAsia="Calibri" w:hAnsi="Verdana" w:cs="Arial"/>
          <w:i/>
          <w:iCs/>
          <w:color w:val="000000"/>
          <w:sz w:val="20"/>
          <w:szCs w:val="20"/>
          <w:lang w:eastAsia="es-ES_tradnl"/>
        </w:rPr>
        <w:t xml:space="preserve">En estos casos se está en presencia, por tanto, de un contratista plural; esto es, la calidad de contratista se predica de cada uno de los integrantes del consorcio o unión temporal, de allí que </w:t>
      </w:r>
      <w:r>
        <w:rPr>
          <w:rFonts w:ascii="Verdana" w:eastAsia="Calibri" w:hAnsi="Verdana" w:cs="Arial"/>
          <w:i/>
          <w:iCs/>
          <w:color w:val="000000"/>
          <w:sz w:val="20"/>
          <w:szCs w:val="20"/>
          <w:lang w:eastAsia="es-ES_tradnl"/>
        </w:rPr>
        <w:t>(…)</w:t>
      </w:r>
      <w:r w:rsidRPr="00A41D52">
        <w:rPr>
          <w:rFonts w:ascii="Verdana" w:eastAsia="Calibri" w:hAnsi="Verdana" w:cs="Arial"/>
          <w:i/>
          <w:iCs/>
          <w:color w:val="000000"/>
          <w:sz w:val="20"/>
          <w:szCs w:val="20"/>
          <w:lang w:eastAsia="es-ES_tradnl"/>
        </w:rPr>
        <w:t xml:space="preserve"> no es válida la cesión en el propio contratista</w:t>
      </w:r>
      <w:r w:rsidRPr="00A41D52">
        <w:rPr>
          <w:rFonts w:ascii="Verdana" w:eastAsia="Calibri" w:hAnsi="Verdana" w:cs="Arial"/>
          <w:color w:val="000000"/>
          <w:sz w:val="20"/>
          <w:szCs w:val="20"/>
          <w:lang w:eastAsia="es-ES_tradnl"/>
        </w:rPr>
        <w:t>”</w:t>
      </w:r>
      <w:r w:rsidRPr="00A41D52">
        <w:rPr>
          <w:rFonts w:ascii="Verdana" w:eastAsia="Calibri" w:hAnsi="Verdana" w:cs="Arial"/>
          <w:color w:val="000000"/>
          <w:sz w:val="20"/>
          <w:szCs w:val="20"/>
          <w:vertAlign w:val="superscript"/>
          <w:lang w:eastAsia="es-ES_tradnl"/>
        </w:rPr>
        <w:footnoteReference w:id="15"/>
      </w:r>
      <w:r w:rsidRPr="00A41D52">
        <w:rPr>
          <w:rFonts w:ascii="Verdana" w:eastAsia="Calibri" w:hAnsi="Verdana" w:cs="Arial"/>
          <w:color w:val="000000"/>
          <w:sz w:val="20"/>
          <w:szCs w:val="20"/>
          <w:lang w:eastAsia="es-ES_tradnl"/>
        </w:rPr>
        <w:t xml:space="preserve">. (Énfasis fuera de texto)  </w:t>
      </w:r>
    </w:p>
    <w:p w14:paraId="1ACBBF5F" w14:textId="77777777" w:rsidR="00BE5D31" w:rsidRPr="00043FE7"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lastRenderedPageBreak/>
        <w:t xml:space="preserve">De esta manera, si está prohibida la cesión entre quienes integren el proponente plural, significa que está permitida la cesión de sus integrantes a un tercero distinto a los miembros del consorcio o la unión temporal. Este razonamiento es aplicable </w:t>
      </w:r>
      <w:r w:rsidRPr="00043FE7">
        <w:rPr>
          <w:rFonts w:ascii="Verdana" w:eastAsia="Calibri" w:hAnsi="Verdana" w:cs="Arial"/>
          <w:i/>
          <w:iCs/>
          <w:color w:val="000000"/>
          <w:lang w:eastAsia="es-ES_tradnl"/>
        </w:rPr>
        <w:t>mutatis mutandis</w:t>
      </w:r>
      <w:r w:rsidRPr="00043FE7">
        <w:rPr>
          <w:rFonts w:ascii="Verdana" w:eastAsia="Calibri" w:hAnsi="Verdana" w:cs="Arial"/>
          <w:color w:val="000000"/>
          <w:lang w:eastAsia="es-ES_tradnl"/>
        </w:rPr>
        <w:t xml:space="preserve"> a la subcontratación, pues también depende de la existencia de un tercero. En este caso, no es posible que los integrantes de la estructura plural conformen el consorcio o la unión temporal y, de manera simultánea, uno o varios de aquellos tengan la calidad de subcontratistas. Pensar lo contrario resulta absurdo de cara al principio lógico de no contradicción, criterio bajo el cual “Una cosa no puede ser ella misma y su contrario, en el mismo aspecto y en el mismo momento”. </w:t>
      </w:r>
    </w:p>
    <w:p w14:paraId="1579662C" w14:textId="77777777" w:rsidR="00BE5D31"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w:t>
      </w:r>
      <w:r w:rsidRPr="00043FE7">
        <w:rPr>
          <w:rFonts w:ascii="Verdana" w:eastAsia="Calibri" w:hAnsi="Verdana" w:cs="Arial"/>
          <w:color w:val="000000"/>
          <w:vertAlign w:val="superscript"/>
          <w:lang w:eastAsia="es-ES_tradnl"/>
        </w:rPr>
        <w:footnoteReference w:id="16"/>
      </w:r>
      <w:r w:rsidRPr="00043FE7">
        <w:rPr>
          <w:rFonts w:ascii="Verdana" w:eastAsia="Calibri" w:hAnsi="Verdana" w:cs="Arial"/>
          <w:color w:val="000000"/>
          <w:lang w:eastAsia="es-ES_tradnl"/>
        </w:rPr>
        <w:t xml:space="preserve">. En este contexto, sólo la experiencia adquirida por lo integrantes del proponente plural puede acreditarse en otros procesos de selección, pues –por sustracción de materia– no pueden fungir como subcontratistas del consorcio o unión temporal del que hacen parte.  </w:t>
      </w:r>
    </w:p>
    <w:p w14:paraId="6D516479" w14:textId="77777777" w:rsidR="00BE5D31" w:rsidRDefault="00BE5D31" w:rsidP="00BE5D31">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En este contexto, las personas naturales o jurídicas que se unen para la conformación de un consorcio o una unión temporal, cuyo propósito consiste en la presentación de propuestas, </w:t>
      </w:r>
      <w:r w:rsidRPr="00894F46">
        <w:rPr>
          <w:rFonts w:ascii="Verdana" w:eastAsia="Calibri" w:hAnsi="Verdana" w:cs="Arial"/>
          <w:color w:val="000000"/>
          <w:lang w:eastAsia="es-ES_tradnl"/>
        </w:rPr>
        <w:t xml:space="preserve">adjudicación, celebración </w:t>
      </w:r>
      <w:r>
        <w:rPr>
          <w:rFonts w:ascii="Verdana" w:eastAsia="Calibri" w:hAnsi="Verdana" w:cs="Arial"/>
          <w:color w:val="000000"/>
          <w:lang w:eastAsia="es-ES_tradnl"/>
        </w:rPr>
        <w:t xml:space="preserve">del contrato así como la </w:t>
      </w:r>
      <w:r w:rsidRPr="00894F46">
        <w:rPr>
          <w:rFonts w:ascii="Verdana" w:eastAsia="Calibri" w:hAnsi="Verdana" w:cs="Arial"/>
          <w:color w:val="000000"/>
          <w:lang w:eastAsia="es-ES_tradnl"/>
        </w:rPr>
        <w:t xml:space="preserve">ejecución </w:t>
      </w:r>
      <w:r>
        <w:rPr>
          <w:rFonts w:ascii="Verdana" w:eastAsia="Calibri" w:hAnsi="Verdana" w:cs="Arial"/>
          <w:color w:val="000000"/>
          <w:lang w:eastAsia="es-ES_tradnl"/>
        </w:rPr>
        <w:t xml:space="preserve">de éste, definido las actividades y obligaciones previamente en la carta de conformación, resulta contrario a la naturaleza propia de dicha forma de colaboración que ellas mismas subcontraten a quienes hacen parte de esta forma asociativa de colaboración, por cuanto como se indicó previamente, la subcontratación requiere que sea un tercero quien cumplan con el objeto de dicha subcontratación. </w:t>
      </w:r>
    </w:p>
    <w:p w14:paraId="66886287" w14:textId="77777777" w:rsidR="00BE5D31"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bCs/>
          <w:color w:val="000000"/>
          <w:lang w:eastAsia="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w:t>
      </w:r>
      <w:r w:rsidRPr="00043FE7">
        <w:rPr>
          <w:rFonts w:ascii="Verdana" w:eastAsia="Calibri" w:hAnsi="Verdana" w:cs="Arial"/>
          <w:bCs/>
          <w:color w:val="000000"/>
          <w:lang w:eastAsia="es-ES_tradnl"/>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1938B687" w14:textId="77777777" w:rsidR="00BE5D31" w:rsidRPr="00FB06B4" w:rsidRDefault="00BE5D31" w:rsidP="00BE5D31">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bCs/>
          <w:color w:val="000000"/>
          <w:lang w:eastAsia="es-ES_tradnl"/>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FBF1895" w14:textId="77777777" w:rsidR="00BE5D31" w:rsidRPr="00FF007A" w:rsidRDefault="00BE5D31" w:rsidP="00BE5D31">
      <w:pPr>
        <w:tabs>
          <w:tab w:val="left" w:pos="142"/>
          <w:tab w:val="left" w:pos="284"/>
        </w:tabs>
        <w:spacing w:after="0" w:line="240" w:lineRule="auto"/>
        <w:rPr>
          <w:rFonts w:ascii="Verdana" w:eastAsia="Century Gothic" w:hAnsi="Verdana" w:cs="Century Gothic"/>
          <w:b/>
          <w:bCs/>
        </w:rPr>
      </w:pPr>
      <w:bookmarkStart w:id="13" w:name="_Hlk204854194"/>
      <w:r w:rsidRPr="00FF007A">
        <w:rPr>
          <w:rFonts w:ascii="Verdana" w:eastAsia="Century Gothic" w:hAnsi="Verdana" w:cs="Century Gothic"/>
          <w:b/>
          <w:bCs/>
        </w:rPr>
        <w:t>4. Referencias normativas:</w:t>
      </w:r>
    </w:p>
    <w:bookmarkEnd w:id="13"/>
    <w:p w14:paraId="511EE72B" w14:textId="77777777" w:rsidR="00BE5D31" w:rsidRPr="00FF007A" w:rsidRDefault="00BE5D31" w:rsidP="00BE5D3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5D31" w:rsidRPr="00FF007A" w14:paraId="7B4EBE49" w14:textId="77777777" w:rsidTr="008C2CAB">
        <w:trPr>
          <w:trHeight w:val="870"/>
          <w:jc w:val="center"/>
        </w:trPr>
        <w:tc>
          <w:tcPr>
            <w:tcW w:w="8647" w:type="dxa"/>
          </w:tcPr>
          <w:p w14:paraId="29972AB3" w14:textId="26FBFE43"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Código Civil. Artículos 1502, 1503, 1504.</w:t>
            </w:r>
          </w:p>
          <w:p w14:paraId="274DD2D8"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 xml:space="preserve">Código de Comercio. Artículo 99. </w:t>
            </w:r>
          </w:p>
          <w:p w14:paraId="6F9E7CB0"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Ley 80 de 1993. Artículos 6, 7, 9, 32 numeral 5.</w:t>
            </w:r>
          </w:p>
          <w:p w14:paraId="2E224C12"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 xml:space="preserve">Ley 1150 de 2007. Artículo 2 numeral 4 literal c. </w:t>
            </w:r>
          </w:p>
          <w:p w14:paraId="74CD2A2C"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 xml:space="preserve">Decreto 1082 de 2015. Artículo </w:t>
            </w:r>
            <w:r w:rsidRPr="004D0D9F">
              <w:rPr>
                <w:rFonts w:ascii="Verdana" w:hAnsi="Verdana"/>
              </w:rPr>
              <w:t>2.2.1.2.3.1.5</w:t>
            </w:r>
            <w:r>
              <w:rPr>
                <w:rFonts w:ascii="Verdana" w:hAnsi="Verdana"/>
              </w:rPr>
              <w:t>.</w:t>
            </w:r>
          </w:p>
          <w:p w14:paraId="7DD7DFCE"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hAnsi="Verdana"/>
              </w:rPr>
              <w:t>Decreto 019 de 2012. Artículo 7.</w:t>
            </w:r>
          </w:p>
          <w:p w14:paraId="5DB1CB8F" w14:textId="77777777" w:rsidR="00BE5D31"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Consejo de Estado, Sala de lo Contencioso Administrativo. Sección Tercera. Subsección A. Sentencia del 10 de febrero de 2011. Radicación: 63001-23-31-000-1997-04685- 01 (16306). C.P:: Hernán Andrade Rincón.</w:t>
            </w:r>
          </w:p>
          <w:p w14:paraId="08DB122E"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Consejo de Estado. Sala de lo Contencioso Administrativo. Sección Tercera. Subsección C. Sentencia del 12 de agosto de 2013. Radicación número: 52001-23-31-000-1999-00985-01 (23.088) C.P. Enrique Gil Botero.</w:t>
            </w:r>
          </w:p>
          <w:p w14:paraId="57553165" w14:textId="77777777" w:rsidR="00BE5D31"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 xml:space="preserve">Corte Constitucional. Sentencia C-949 del 5 de septiembre de 2001. M.P: Clara Inés Vargas Hernández.  </w:t>
            </w:r>
          </w:p>
          <w:p w14:paraId="7A54E2DA" w14:textId="77777777" w:rsidR="00BE5D31"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RAMÍREZ GRISALES, Richard Steve. La Subcontratación. Serie: Las cláusulas del contrato estatal. Librería Jurídica Sánchez R. Ltda. y Centro de Estudios de Derecho Administrativo –CEDA-, Medellín, 2012</w:t>
            </w:r>
            <w:r>
              <w:rPr>
                <w:rFonts w:ascii="Verdana" w:eastAsia="Arial MT" w:hAnsi="Verdana" w:cs="Arial"/>
                <w:lang w:val="es-CO" w:eastAsia="es-ES" w:bidi="es-ES"/>
              </w:rPr>
              <w:t>.</w:t>
            </w:r>
          </w:p>
          <w:p w14:paraId="258FCC5E" w14:textId="77777777" w:rsidR="00BE5D31"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lastRenderedPageBreak/>
              <w:t>TRABALÓN Cristóbal. Tratado Legal de Construcción. Editorial Tébar Flores. Madrid. 2015</w:t>
            </w:r>
            <w:r>
              <w:rPr>
                <w:rFonts w:ascii="Verdana" w:eastAsia="Arial MT" w:hAnsi="Verdana" w:cs="Arial"/>
                <w:lang w:val="es-CO" w:eastAsia="es-ES" w:bidi="es-ES"/>
              </w:rPr>
              <w:t>.</w:t>
            </w:r>
          </w:p>
          <w:p w14:paraId="189FFFB4" w14:textId="77777777" w:rsidR="00BE5D31"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BIANCA, Massimo. Derecho civil III: el contrato. Segunda edición. Bogotá: Universidad Externado de Colombia, 2007.</w:t>
            </w:r>
          </w:p>
          <w:p w14:paraId="4D214FCA" w14:textId="77777777" w:rsidR="00BE5D31" w:rsidRPr="004D0D9F" w:rsidRDefault="00BE5D31" w:rsidP="008C2CAB">
            <w:pPr>
              <w:pStyle w:val="Prrafodelista"/>
              <w:numPr>
                <w:ilvl w:val="0"/>
                <w:numId w:val="17"/>
              </w:numPr>
              <w:spacing w:line="276" w:lineRule="auto"/>
              <w:jc w:val="both"/>
              <w:rPr>
                <w:rFonts w:ascii="Verdana" w:eastAsia="Arial MT" w:hAnsi="Verdana" w:cs="Arial"/>
                <w:lang w:val="es-CO" w:eastAsia="es-ES" w:bidi="es-ES"/>
              </w:rPr>
            </w:pPr>
            <w:r w:rsidRPr="004D0D9F">
              <w:rPr>
                <w:rFonts w:ascii="Verdana" w:eastAsia="Arial MT" w:hAnsi="Verdana" w:cs="Arial"/>
                <w:lang w:val="es-CO" w:eastAsia="es-ES" w:bidi="es-ES"/>
              </w:rPr>
              <w:t>RAMÍREZ GRISALES, Richard. La cesión. Serie: Las cláusulas del contrato estatal. Medellín: Centro de Estudios de Derecho Administrativo –CEDA– y Librería Jurídica Sánchez R., 2014</w:t>
            </w:r>
            <w:r>
              <w:rPr>
                <w:rFonts w:ascii="Verdana" w:eastAsia="Arial MT" w:hAnsi="Verdana" w:cs="Arial"/>
                <w:lang w:val="es-CO" w:eastAsia="es-ES" w:bidi="es-ES"/>
              </w:rPr>
              <w:t>.</w:t>
            </w:r>
          </w:p>
          <w:p w14:paraId="11FEE974" w14:textId="77777777" w:rsidR="00BE5D31" w:rsidRPr="00B645F5" w:rsidRDefault="00BE5D31" w:rsidP="008C2CAB">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Real academia de la lengua Española. </w:t>
            </w:r>
            <w:r w:rsidRPr="004D0D9F">
              <w:rPr>
                <w:rFonts w:ascii="Verdana" w:hAnsi="Verdana"/>
              </w:rPr>
              <w:t xml:space="preserve">Disponible en </w:t>
            </w:r>
            <w:hyperlink r:id="rId12" w:history="1">
              <w:r w:rsidRPr="004D0D9F">
                <w:rPr>
                  <w:rStyle w:val="Hipervnculo"/>
                  <w:rFonts w:ascii="Verdana" w:hAnsi="Verdana"/>
                  <w:lang w:val="es-CO"/>
                </w:rPr>
                <w:t>subcontratar | Definición | Diccionario de la lengua española | RAE - ASALE</w:t>
              </w:r>
            </w:hyperlink>
          </w:p>
        </w:tc>
      </w:tr>
    </w:tbl>
    <w:p w14:paraId="16E6EABC" w14:textId="77777777" w:rsidR="00BE5D31" w:rsidRPr="00FF007A" w:rsidRDefault="00BE5D31" w:rsidP="00BE5D31">
      <w:pPr>
        <w:widowControl w:val="0"/>
        <w:autoSpaceDE w:val="0"/>
        <w:autoSpaceDN w:val="0"/>
        <w:spacing w:after="0" w:line="276" w:lineRule="auto"/>
        <w:jc w:val="both"/>
        <w:rPr>
          <w:rFonts w:ascii="Verdana" w:hAnsi="Verdana" w:cs="Arial"/>
        </w:rPr>
      </w:pPr>
    </w:p>
    <w:p w14:paraId="33C7FDA6" w14:textId="77777777" w:rsidR="00BE5D31" w:rsidRPr="00FF007A" w:rsidRDefault="00BE5D31" w:rsidP="00BE5D31">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1A5A8A7F" w14:textId="77777777" w:rsidR="00BE5D31" w:rsidRPr="00FF007A" w:rsidRDefault="00BE5D31" w:rsidP="00BE5D31">
      <w:pPr>
        <w:widowControl w:val="0"/>
        <w:autoSpaceDE w:val="0"/>
        <w:autoSpaceDN w:val="0"/>
        <w:spacing w:after="0" w:line="240" w:lineRule="auto"/>
        <w:jc w:val="both"/>
        <w:rPr>
          <w:rStyle w:val="normaltextrun"/>
          <w:rFonts w:ascii="Verdana" w:hAnsi="Verdana" w:cs="Arial"/>
          <w:shd w:val="clear" w:color="auto" w:fill="FFFFFF"/>
        </w:rPr>
      </w:pPr>
    </w:p>
    <w:p w14:paraId="1E7FDEAA" w14:textId="77777777" w:rsidR="00BE5D31" w:rsidRDefault="00BE5D31" w:rsidP="00BE5D31">
      <w:pPr>
        <w:widowControl w:val="0"/>
        <w:autoSpaceDE w:val="0"/>
        <w:autoSpaceDN w:val="0"/>
        <w:spacing w:after="0" w:line="276" w:lineRule="auto"/>
        <w:jc w:val="both"/>
        <w:rPr>
          <w:rFonts w:ascii="Verdana" w:hAnsi="Verdana" w:cs="Arial"/>
          <w:shd w:val="clear" w:color="auto" w:fill="FFFFFF"/>
        </w:rPr>
      </w:pPr>
      <w:r>
        <w:rPr>
          <w:rFonts w:ascii="Verdana" w:hAnsi="Verdana" w:cs="Arial"/>
          <w:shd w:val="clear" w:color="auto" w:fill="FFFFFF"/>
        </w:rPr>
        <w:t xml:space="preserve">La Subdirección se </w:t>
      </w:r>
      <w:r w:rsidRPr="00003886">
        <w:rPr>
          <w:rFonts w:ascii="Verdana" w:hAnsi="Verdana" w:cs="Arial"/>
          <w:shd w:val="clear" w:color="auto" w:fill="FFFFFF"/>
        </w:rPr>
        <w:t>ha pronunciado sobre la capacidad jurídica de los consorcios y las uniones temporales en los Conceptos 4201913000007643 del 26 de diciembre de 2019, C-343 del 17 de junio de 2020, C-518 del 9 de septiembre de 2020, C-614 del 5 de octubre de 2022, C-882 del 21 de diciembre de 2022, C-172 del 6 de junio de 2023, C-032 del 16 de abril de 2024</w:t>
      </w:r>
      <w:r>
        <w:rPr>
          <w:rFonts w:ascii="Verdana" w:hAnsi="Verdana" w:cs="Arial"/>
          <w:shd w:val="clear" w:color="auto" w:fill="FFFFFF"/>
        </w:rPr>
        <w:t>,</w:t>
      </w:r>
      <w:r w:rsidRPr="00003886">
        <w:rPr>
          <w:rFonts w:ascii="Verdana" w:hAnsi="Verdana" w:cs="Arial"/>
          <w:shd w:val="clear" w:color="auto" w:fill="FFFFFF"/>
        </w:rPr>
        <w:t xml:space="preserve"> C-100 del 12 de junio de 2024</w:t>
      </w:r>
      <w:r>
        <w:rPr>
          <w:rFonts w:ascii="Verdana" w:hAnsi="Verdana" w:cs="Arial"/>
          <w:shd w:val="clear" w:color="auto" w:fill="FFFFFF"/>
        </w:rPr>
        <w:t xml:space="preserve">, C-238 del 9 de julio de 2024, C-727 del 28 de octubre de 2024, C-1109 del 24 de agosto de 2025, entre otros. También </w:t>
      </w:r>
      <w:r w:rsidRPr="004035E6">
        <w:rPr>
          <w:rFonts w:ascii="Verdana" w:hAnsi="Verdana" w:cs="Arial"/>
          <w:shd w:val="clear" w:color="auto" w:fill="FFFFFF"/>
        </w:rPr>
        <w:t>se ha pronunciado sobre el alcance de la subcontratación o contratación derivada en los Conceptos C-599 del 26 de octubre de 2021, C-581 del 16 de septiembre de 2022, C-702 del 9 de noviembre de 2022, C-808 del 25 de noviembre de 2022, C-240 del 14 de septiembre de 2023</w:t>
      </w:r>
      <w:r>
        <w:rPr>
          <w:rFonts w:ascii="Verdana" w:hAnsi="Verdana" w:cs="Arial"/>
          <w:shd w:val="clear" w:color="auto" w:fill="FFFFFF"/>
        </w:rPr>
        <w:t>,</w:t>
      </w:r>
      <w:r w:rsidRPr="004035E6">
        <w:rPr>
          <w:rFonts w:ascii="Verdana" w:hAnsi="Verdana" w:cs="Arial"/>
          <w:shd w:val="clear" w:color="auto" w:fill="FFFFFF"/>
        </w:rPr>
        <w:t xml:space="preserve"> </w:t>
      </w:r>
      <w:r>
        <w:rPr>
          <w:rFonts w:ascii="Verdana" w:hAnsi="Verdana" w:cs="Arial"/>
          <w:shd w:val="clear" w:color="auto" w:fill="FFFFFF"/>
        </w:rPr>
        <w:t xml:space="preserve">C-238 del 9 de julio de 2024, C-475 del 27 de agosto de 2024, </w:t>
      </w:r>
      <w:r w:rsidRPr="004035E6">
        <w:rPr>
          <w:rFonts w:ascii="Verdana" w:hAnsi="Verdana" w:cs="Arial"/>
          <w:shd w:val="clear" w:color="auto" w:fill="FFFFFF"/>
        </w:rPr>
        <w:t>C-444 del 18 de septiembre de 2024</w:t>
      </w:r>
      <w:r>
        <w:rPr>
          <w:rFonts w:ascii="Verdana" w:hAnsi="Verdana" w:cs="Arial"/>
          <w:shd w:val="clear" w:color="auto" w:fill="FFFFFF"/>
        </w:rPr>
        <w:t xml:space="preserve"> y C-794 del 2 de julio de </w:t>
      </w:r>
      <w:r w:rsidRPr="00FB06B4">
        <w:rPr>
          <w:rFonts w:ascii="Verdana" w:hAnsi="Verdana" w:cs="Arial"/>
          <w:shd w:val="clear" w:color="auto" w:fill="FFFFFF"/>
        </w:rPr>
        <w:t>2025</w:t>
      </w:r>
      <w:r w:rsidRPr="00FB06B4">
        <w:rPr>
          <w:rFonts w:ascii="Verdana" w:eastAsia="Times New Roman" w:hAnsi="Verdana" w:cs="Arial"/>
          <w:shd w:val="clear" w:color="auto" w:fill="FFFFFF"/>
          <w:lang w:val="es-ES"/>
        </w:rPr>
        <w:t xml:space="preserve">, C-924 del 18 de julio de 2025, entre otros. </w:t>
      </w:r>
      <w:r w:rsidRPr="00FB06B4">
        <w:rPr>
          <w:rFonts w:ascii="Verdana" w:hAnsi="Verdana" w:cs="Arial"/>
        </w:rPr>
        <w:t xml:space="preserve">Estos y otros </w:t>
      </w:r>
      <w:r w:rsidRPr="00FB06B4">
        <w:rPr>
          <w:rFonts w:ascii="Verdana" w:hAnsi="Verdana"/>
        </w:rPr>
        <w:t>conceptos se encuentran disponibles para consulta</w:t>
      </w:r>
      <w:r w:rsidRPr="00FF007A">
        <w:rPr>
          <w:rFonts w:ascii="Verdana" w:hAnsi="Verdana"/>
        </w:rPr>
        <w:t xml:space="preserve"> en el Sistema de relatoría de la Agencia, al cual se puede acceder a través del siguiente enlace:</w:t>
      </w:r>
      <w:r w:rsidRPr="00FF007A">
        <w:rPr>
          <w:rFonts w:ascii="Verdana" w:hAnsi="Verdana" w:cs="Arial"/>
          <w:shd w:val="clear" w:color="auto" w:fill="FFFFFF"/>
        </w:rPr>
        <w:t xml:space="preserve"> </w:t>
      </w:r>
    </w:p>
    <w:p w14:paraId="2A8DDFE6" w14:textId="77777777" w:rsidR="00BE5D31" w:rsidRPr="00A454F0" w:rsidRDefault="00BE5D31" w:rsidP="00BE5D31">
      <w:pPr>
        <w:widowControl w:val="0"/>
        <w:autoSpaceDE w:val="0"/>
        <w:autoSpaceDN w:val="0"/>
        <w:spacing w:after="0" w:line="276" w:lineRule="auto"/>
        <w:jc w:val="both"/>
        <w:rPr>
          <w:rFonts w:ascii="Verdana" w:hAnsi="Verdana" w:cs="Arial"/>
          <w:shd w:val="clear" w:color="auto" w:fill="FFFFFF"/>
        </w:rPr>
      </w:pPr>
      <w:hyperlink r:id="rId13"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1FD3409D" w14:textId="77777777" w:rsidR="00BE5D31" w:rsidRDefault="00BE5D31" w:rsidP="00BE5D31">
      <w:pPr>
        <w:spacing w:after="0" w:line="240" w:lineRule="auto"/>
        <w:jc w:val="both"/>
        <w:rPr>
          <w:rFonts w:ascii="Verdana" w:hAnsi="Verdana"/>
        </w:rPr>
      </w:pPr>
    </w:p>
    <w:p w14:paraId="06629A82" w14:textId="77777777" w:rsidR="00BE5D31" w:rsidRPr="00FF007A" w:rsidRDefault="00BE5D31" w:rsidP="00BE5D31">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FCE2E0B" w14:textId="77777777" w:rsidR="00BE5D31" w:rsidRPr="00FF007A" w:rsidRDefault="00BE5D31" w:rsidP="00BE5D31">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73C9140A" w14:textId="77777777" w:rsidR="00BE5D31" w:rsidRPr="00FF007A" w:rsidRDefault="00BE5D31" w:rsidP="00BE5D31">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0412BEBE" w14:textId="77777777" w:rsidR="00BE5D31" w:rsidRPr="00FF007A" w:rsidRDefault="00BE5D31" w:rsidP="00BE5D31">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5E2C4348" w14:textId="77777777" w:rsidR="00BE5D31" w:rsidRPr="00FF007A" w:rsidRDefault="00BE5D31" w:rsidP="00BE5D31">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lastRenderedPageBreak/>
        <w:t xml:space="preserve">Página web: </w:t>
      </w:r>
      <w:hyperlink r:id="rId14" w:history="1">
        <w:r w:rsidRPr="00FF007A">
          <w:rPr>
            <w:rStyle w:val="Hipervnculo"/>
            <w:rFonts w:ascii="Verdana" w:hAnsi="Verdana"/>
            <w:lang w:val="es-CO"/>
          </w:rPr>
          <w:t>www.colombiacompra.gov.co</w:t>
        </w:r>
      </w:hyperlink>
    </w:p>
    <w:p w14:paraId="631E0D33" w14:textId="77777777" w:rsidR="00BE5D31" w:rsidRPr="00FF007A" w:rsidRDefault="00BE5D31" w:rsidP="00BE5D31">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12ED5AE3" w14:textId="77777777" w:rsidR="00BE5D31" w:rsidRPr="00FF007A" w:rsidRDefault="00BE5D31" w:rsidP="00BE5D31">
      <w:pPr>
        <w:spacing w:after="0" w:line="276" w:lineRule="auto"/>
        <w:jc w:val="both"/>
        <w:rPr>
          <w:rFonts w:ascii="Verdana" w:hAnsi="Verdana"/>
        </w:rPr>
      </w:pPr>
    </w:p>
    <w:p w14:paraId="36C46585" w14:textId="77777777" w:rsidR="00BE5D31" w:rsidRPr="00FF007A" w:rsidRDefault="00BE5D31" w:rsidP="00BE5D31">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27777BDB" w14:textId="77777777" w:rsidR="00BE5D31" w:rsidRPr="00FF007A" w:rsidRDefault="00BE5D31" w:rsidP="00BE5D31">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2DD7408C" w14:textId="77777777" w:rsidR="00BE5D31" w:rsidRPr="00FF007A" w:rsidRDefault="00BE5D31" w:rsidP="00BE5D31">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35D41958" w14:textId="77777777" w:rsidR="00BE5D31" w:rsidRDefault="00BE5D31" w:rsidP="00BE5D31">
      <w:pPr>
        <w:spacing w:before="120" w:after="0" w:line="276" w:lineRule="auto"/>
        <w:jc w:val="both"/>
        <w:rPr>
          <w:rFonts w:ascii="Verdana" w:hAnsi="Verdana"/>
        </w:rPr>
      </w:pPr>
    </w:p>
    <w:p w14:paraId="24DD20AF" w14:textId="77777777" w:rsidR="00BE5D31" w:rsidRPr="00FF007A" w:rsidRDefault="00BE5D31" w:rsidP="00BE5D31">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23B99A3" w14:textId="77777777" w:rsidR="00BE5D31" w:rsidRPr="00FF007A" w:rsidRDefault="00BE5D31" w:rsidP="00BE5D31">
      <w:pPr>
        <w:spacing w:after="0" w:line="276" w:lineRule="auto"/>
        <w:jc w:val="both"/>
        <w:rPr>
          <w:rFonts w:ascii="Verdana" w:eastAsia="Calibri" w:hAnsi="Verdana" w:cs="Times New Roman"/>
        </w:rPr>
      </w:pPr>
    </w:p>
    <w:p w14:paraId="5381E7AB" w14:textId="77777777" w:rsidR="00BE5D31" w:rsidRDefault="00BE5D31" w:rsidP="00BE5D31">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5E5C066C" w14:textId="77777777" w:rsidR="00DF4898" w:rsidRDefault="00DF4898" w:rsidP="00BE5D31">
      <w:pPr>
        <w:spacing w:after="0" w:line="276" w:lineRule="auto"/>
        <w:jc w:val="both"/>
        <w:rPr>
          <w:rFonts w:ascii="Verdana" w:eastAsia="Calibri" w:hAnsi="Verdana" w:cs="Times New Roman"/>
        </w:rPr>
      </w:pPr>
    </w:p>
    <w:p w14:paraId="67EC8E70" w14:textId="21CCBF84" w:rsidR="00DF4898" w:rsidRPr="00FF007A" w:rsidRDefault="00DF4898" w:rsidP="00DF4898">
      <w:pPr>
        <w:spacing w:after="0" w:line="276" w:lineRule="auto"/>
        <w:jc w:val="center"/>
        <w:rPr>
          <w:rFonts w:ascii="Verdana" w:eastAsia="Calibri" w:hAnsi="Verdana" w:cs="Times New Roman"/>
        </w:rPr>
      </w:pPr>
      <w:r w:rsidRPr="0065791A">
        <w:rPr>
          <w:rFonts w:ascii="Century Gothic" w:hAnsi="Century Gothic"/>
          <w:noProof/>
        </w:rPr>
        <w:drawing>
          <wp:inline distT="0" distB="0" distL="0" distR="0" wp14:anchorId="46DBFA27" wp14:editId="001883C9">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5"/>
                    <a:stretch>
                      <a:fillRect/>
                    </a:stretch>
                  </pic:blipFill>
                  <pic:spPr>
                    <a:xfrm>
                      <a:off x="0" y="0"/>
                      <a:ext cx="3962953" cy="1867161"/>
                    </a:xfrm>
                    <a:prstGeom prst="rect">
                      <a:avLst/>
                    </a:prstGeom>
                  </pic:spPr>
                </pic:pic>
              </a:graphicData>
            </a:graphic>
          </wp:inline>
        </w:drawing>
      </w:r>
    </w:p>
    <w:p w14:paraId="39A162B7" w14:textId="4B17670F" w:rsidR="00BE5D31" w:rsidRDefault="00BE5D31" w:rsidP="00BE5D31">
      <w:pPr>
        <w:spacing w:after="0" w:line="256" w:lineRule="auto"/>
        <w:jc w:val="center"/>
        <w:rPr>
          <w:noProof/>
        </w:rPr>
      </w:pPr>
    </w:p>
    <w:p w14:paraId="582CF1E5" w14:textId="30AE41A6" w:rsidR="009A008C" w:rsidRPr="00D10041" w:rsidRDefault="009A008C" w:rsidP="00D10041">
      <w:pPr>
        <w:spacing w:after="0" w:line="256" w:lineRule="auto"/>
        <w:jc w:val="center"/>
        <w:rPr>
          <w:noProof/>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E5D31" w:rsidRPr="00FF007A" w14:paraId="7FA05868" w14:textId="77777777" w:rsidTr="008C2CAB">
        <w:trPr>
          <w:trHeight w:val="315"/>
        </w:trPr>
        <w:tc>
          <w:tcPr>
            <w:tcW w:w="893" w:type="dxa"/>
            <w:vAlign w:val="center"/>
            <w:hideMark/>
          </w:tcPr>
          <w:p w14:paraId="7F54C6EA" w14:textId="77777777" w:rsidR="00BE5D31" w:rsidRPr="00FF007A" w:rsidRDefault="00BE5D31" w:rsidP="008C2CAB">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260074D" w14:textId="77777777" w:rsidR="00BE5D31" w:rsidRPr="00FF007A" w:rsidRDefault="00BE5D31" w:rsidP="008C2CAB">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6904FE65" w14:textId="77777777" w:rsidR="00BE5D31" w:rsidRPr="00FF007A" w:rsidRDefault="00BE5D31" w:rsidP="008C2CAB">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BE5D31" w:rsidRPr="00FF007A" w14:paraId="0DF1D369" w14:textId="77777777" w:rsidTr="008C2CAB">
        <w:trPr>
          <w:trHeight w:val="330"/>
        </w:trPr>
        <w:tc>
          <w:tcPr>
            <w:tcW w:w="893" w:type="dxa"/>
            <w:vAlign w:val="center"/>
            <w:hideMark/>
          </w:tcPr>
          <w:p w14:paraId="456C8751" w14:textId="77777777" w:rsidR="00BE5D31" w:rsidRPr="00FF007A" w:rsidRDefault="00BE5D31" w:rsidP="008C2CAB">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F8FF9E0" w14:textId="77777777" w:rsidR="00BE5D31" w:rsidRPr="002743D1" w:rsidRDefault="00BE5D31" w:rsidP="008C2CAB">
            <w:pPr>
              <w:pStyle w:val="paragraph"/>
              <w:spacing w:before="0" w:beforeAutospacing="0" w:after="0" w:afterAutospacing="0"/>
              <w:contextualSpacing/>
              <w:textAlignment w:val="baseline"/>
              <w:rPr>
                <w:rStyle w:val="normaltextrun"/>
                <w:rFonts w:ascii="Verdana" w:hAnsi="Verdana"/>
                <w:sz w:val="16"/>
                <w:szCs w:val="16"/>
              </w:rPr>
            </w:pPr>
            <w:r w:rsidRPr="002743D1">
              <w:rPr>
                <w:rStyle w:val="normaltextrun"/>
                <w:rFonts w:ascii="Verdana" w:hAnsi="Verdana"/>
                <w:sz w:val="16"/>
                <w:szCs w:val="16"/>
              </w:rPr>
              <w:t>Alejandro Sarmiento Cantillo</w:t>
            </w:r>
          </w:p>
          <w:p w14:paraId="01720336" w14:textId="77777777" w:rsidR="00BE5D31" w:rsidRPr="00FF007A" w:rsidRDefault="00BE5D31" w:rsidP="008C2CAB">
            <w:pPr>
              <w:pStyle w:val="paragraph"/>
              <w:spacing w:before="0" w:beforeAutospacing="0" w:after="0" w:afterAutospacing="0"/>
              <w:contextualSpacing/>
              <w:textAlignment w:val="baseline"/>
              <w:rPr>
                <w:rFonts w:ascii="Verdana" w:hAnsi="Verdana" w:cs="Segoe UI"/>
                <w:sz w:val="16"/>
                <w:szCs w:val="16"/>
              </w:rPr>
            </w:pPr>
            <w:r w:rsidRPr="002743D1">
              <w:rPr>
                <w:rStyle w:val="normaltextrun"/>
                <w:rFonts w:ascii="Verdana" w:hAnsi="Verdana"/>
                <w:sz w:val="16"/>
                <w:szCs w:val="16"/>
              </w:rPr>
              <w:t>Gestor T-15 01 Subdirección de Gestión Contractual</w:t>
            </w:r>
            <w:r>
              <w:rPr>
                <w:rStyle w:val="normaltextrun"/>
              </w:rPr>
              <w:t xml:space="preserve"> </w:t>
            </w:r>
            <w:r w:rsidRPr="00FF007A">
              <w:rPr>
                <w:rStyle w:val="eop"/>
                <w:rFonts w:ascii="Verdana" w:hAnsi="Verdana" w:cs="Arial"/>
                <w:sz w:val="16"/>
                <w:szCs w:val="16"/>
              </w:rPr>
              <w:t> </w:t>
            </w:r>
          </w:p>
        </w:tc>
      </w:tr>
      <w:tr w:rsidR="00BE5D31" w:rsidRPr="00FF007A" w14:paraId="6FD9262F" w14:textId="77777777" w:rsidTr="008C2CAB">
        <w:trPr>
          <w:trHeight w:val="300"/>
        </w:trPr>
        <w:tc>
          <w:tcPr>
            <w:tcW w:w="893" w:type="dxa"/>
            <w:vAlign w:val="center"/>
          </w:tcPr>
          <w:p w14:paraId="11481DBE" w14:textId="77777777" w:rsidR="00BE5D31" w:rsidRPr="00FF007A" w:rsidRDefault="00BE5D31" w:rsidP="008C2CAB">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6A9C2A7" w14:textId="77777777" w:rsidR="00BE5D31" w:rsidRPr="00FF007A" w:rsidRDefault="00BE5D31" w:rsidP="008C2CAB">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099D3A7B" w14:textId="77777777" w:rsidR="00BE5D31" w:rsidRPr="00FF007A" w:rsidRDefault="00BE5D31" w:rsidP="008C2CAB">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789AC2AF" w14:textId="77777777" w:rsidR="00BE5D31" w:rsidRPr="00DA731C" w:rsidRDefault="00BE5D31" w:rsidP="00BE5D31"/>
    <w:bookmarkEnd w:id="5"/>
    <w:p w14:paraId="0F293BF4" w14:textId="3B5D1236" w:rsidR="00127233" w:rsidRPr="00625275" w:rsidRDefault="00127233" w:rsidP="00591B48">
      <w:pPr>
        <w:spacing w:after="0" w:line="276" w:lineRule="auto"/>
        <w:jc w:val="both"/>
      </w:pPr>
    </w:p>
    <w:sectPr w:rsidR="00127233" w:rsidRPr="0062527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8669A" w14:textId="77777777" w:rsidR="00297F7B" w:rsidRDefault="00297F7B" w:rsidP="004A1847">
      <w:pPr>
        <w:spacing w:after="0" w:line="240" w:lineRule="auto"/>
      </w:pPr>
      <w:r>
        <w:separator/>
      </w:r>
    </w:p>
  </w:endnote>
  <w:endnote w:type="continuationSeparator" w:id="0">
    <w:p w14:paraId="6640CFF8" w14:textId="77777777" w:rsidR="00297F7B" w:rsidRDefault="00297F7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C5021" w14:textId="77777777" w:rsidR="00297F7B" w:rsidRDefault="00297F7B" w:rsidP="004A1847">
      <w:pPr>
        <w:spacing w:after="0" w:line="240" w:lineRule="auto"/>
      </w:pPr>
      <w:r>
        <w:separator/>
      </w:r>
    </w:p>
  </w:footnote>
  <w:footnote w:type="continuationSeparator" w:id="0">
    <w:p w14:paraId="46B2EEEE" w14:textId="77777777" w:rsidR="00297F7B" w:rsidRDefault="00297F7B" w:rsidP="004A1847">
      <w:pPr>
        <w:spacing w:after="0" w:line="240" w:lineRule="auto"/>
      </w:pPr>
      <w:r>
        <w:continuationSeparator/>
      </w:r>
    </w:p>
  </w:footnote>
  <w:footnote w:id="1">
    <w:p w14:paraId="293D91AC" w14:textId="77777777" w:rsidR="00BE5D31" w:rsidRDefault="00BE5D31" w:rsidP="00BE5D31">
      <w:pPr>
        <w:pStyle w:val="Textonotapie"/>
        <w:ind w:firstLine="720"/>
        <w:jc w:val="both"/>
        <w:rPr>
          <w:rFonts w:ascii="Verdana" w:hAnsi="Verdana" w:cs="Arial"/>
          <w:sz w:val="16"/>
          <w:szCs w:val="16"/>
        </w:rPr>
      </w:pPr>
      <w:r w:rsidRPr="00B05BE8">
        <w:rPr>
          <w:rStyle w:val="Refdenotaalpie"/>
          <w:rFonts w:ascii="Verdana" w:hAnsi="Verdana" w:cs="Arial"/>
          <w:sz w:val="16"/>
          <w:szCs w:val="16"/>
        </w:rPr>
        <w:footnoteRef/>
      </w:r>
      <w:r w:rsidRPr="00B05BE8">
        <w:rPr>
          <w:rFonts w:ascii="Verdana" w:hAnsi="Verdana" w:cs="Arial"/>
          <w:sz w:val="16"/>
          <w:szCs w:val="16"/>
        </w:rPr>
        <w:t xml:space="preserve"> Corte Constitucional. Sentencia C-949 del 5 de septiembre de 2001. M.P: Clara Inés Vargas Hernández.  </w:t>
      </w:r>
    </w:p>
    <w:p w14:paraId="3A0A2F0E" w14:textId="77777777" w:rsidR="00BE5D31" w:rsidRPr="00B05BE8" w:rsidRDefault="00BE5D31" w:rsidP="00BE5D31">
      <w:pPr>
        <w:pStyle w:val="Textonotapie"/>
        <w:ind w:firstLine="720"/>
        <w:jc w:val="both"/>
        <w:rPr>
          <w:rFonts w:ascii="Verdana" w:hAnsi="Verdana" w:cs="Arial"/>
          <w:sz w:val="16"/>
          <w:szCs w:val="16"/>
        </w:rPr>
      </w:pPr>
    </w:p>
  </w:footnote>
  <w:footnote w:id="2">
    <w:p w14:paraId="33BBEF13" w14:textId="77777777" w:rsidR="00BE5D31" w:rsidRPr="00B05BE8" w:rsidRDefault="00BE5D31" w:rsidP="00BE5D31">
      <w:pPr>
        <w:pStyle w:val="Textonotapie"/>
        <w:ind w:firstLine="709"/>
        <w:jc w:val="both"/>
        <w:rPr>
          <w:rFonts w:ascii="Verdana" w:hAnsi="Verdana"/>
          <w:sz w:val="16"/>
          <w:szCs w:val="16"/>
          <w:lang w:val="es-ES"/>
        </w:rPr>
      </w:pPr>
      <w:r w:rsidRPr="00B05BE8">
        <w:rPr>
          <w:rStyle w:val="Refdenotaalpie"/>
          <w:rFonts w:ascii="Verdana" w:hAnsi="Verdana"/>
          <w:sz w:val="16"/>
          <w:szCs w:val="16"/>
        </w:rPr>
        <w:footnoteRef/>
      </w:r>
      <w:r w:rsidRPr="00B05BE8">
        <w:rPr>
          <w:rFonts w:ascii="Verdana" w:hAnsi="Verdana"/>
          <w:sz w:val="16"/>
          <w:szCs w:val="16"/>
        </w:rPr>
        <w:t xml:space="preserve"> </w:t>
      </w:r>
      <w:r w:rsidRPr="00B05BE8">
        <w:rPr>
          <w:rFonts w:ascii="Verdana" w:hAnsi="Verdana"/>
          <w:sz w:val="16"/>
          <w:szCs w:val="16"/>
          <w:lang w:val="es-CO"/>
        </w:rPr>
        <w:t>Consejo de Estado, Sala de lo Contencioso Administrativo</w:t>
      </w:r>
      <w:r>
        <w:rPr>
          <w:rFonts w:ascii="Verdana" w:hAnsi="Verdana"/>
          <w:sz w:val="16"/>
          <w:szCs w:val="16"/>
          <w:lang w:val="es-CO"/>
        </w:rPr>
        <w:t>.</w:t>
      </w:r>
      <w:r w:rsidRPr="00B05BE8">
        <w:rPr>
          <w:rFonts w:ascii="Verdana" w:hAnsi="Verdana"/>
          <w:sz w:val="16"/>
          <w:szCs w:val="16"/>
          <w:lang w:val="es-CO"/>
        </w:rPr>
        <w:t xml:space="preserve"> Sección Tercera</w:t>
      </w:r>
      <w:r>
        <w:rPr>
          <w:rFonts w:ascii="Verdana" w:hAnsi="Verdana"/>
          <w:sz w:val="16"/>
          <w:szCs w:val="16"/>
          <w:lang w:val="es-CO"/>
        </w:rPr>
        <w:t>.</w:t>
      </w:r>
      <w:r w:rsidRPr="00B05BE8">
        <w:rPr>
          <w:rFonts w:ascii="Verdana" w:hAnsi="Verdana"/>
          <w:sz w:val="16"/>
          <w:szCs w:val="16"/>
          <w:lang w:val="es-CO"/>
        </w:rPr>
        <w:t xml:space="preserve"> Subsección A</w:t>
      </w:r>
      <w:r>
        <w:rPr>
          <w:rFonts w:ascii="Verdana" w:hAnsi="Verdana"/>
          <w:sz w:val="16"/>
          <w:szCs w:val="16"/>
          <w:lang w:val="es-CO"/>
        </w:rPr>
        <w:t>.</w:t>
      </w:r>
      <w:r w:rsidRPr="00B05BE8">
        <w:rPr>
          <w:rFonts w:ascii="Verdana" w:hAnsi="Verdana"/>
          <w:sz w:val="16"/>
          <w:szCs w:val="16"/>
          <w:lang w:val="es-CO"/>
        </w:rPr>
        <w:t xml:space="preserve"> </w:t>
      </w:r>
      <w:r>
        <w:rPr>
          <w:rFonts w:ascii="Verdana" w:hAnsi="Verdana"/>
          <w:sz w:val="16"/>
          <w:szCs w:val="16"/>
          <w:lang w:val="es-CO"/>
        </w:rPr>
        <w:t>S</w:t>
      </w:r>
      <w:r w:rsidRPr="00B05BE8">
        <w:rPr>
          <w:rFonts w:ascii="Verdana" w:hAnsi="Verdana"/>
          <w:sz w:val="16"/>
          <w:szCs w:val="16"/>
          <w:lang w:val="es-CO"/>
        </w:rPr>
        <w:t>entencia del 10 de febrero de 2011</w:t>
      </w:r>
      <w:r>
        <w:rPr>
          <w:rFonts w:ascii="Verdana" w:hAnsi="Verdana"/>
          <w:sz w:val="16"/>
          <w:szCs w:val="16"/>
          <w:lang w:val="es-CO"/>
        </w:rPr>
        <w:t xml:space="preserve">. </w:t>
      </w:r>
      <w:r w:rsidRPr="00B05BE8">
        <w:rPr>
          <w:rFonts w:ascii="Verdana" w:hAnsi="Verdana"/>
          <w:sz w:val="16"/>
          <w:szCs w:val="16"/>
          <w:lang w:val="es-CO"/>
        </w:rPr>
        <w:t>Radicació</w:t>
      </w:r>
      <w:r>
        <w:rPr>
          <w:rFonts w:ascii="Verdana" w:hAnsi="Verdana"/>
          <w:sz w:val="16"/>
          <w:szCs w:val="16"/>
          <w:lang w:val="es-CO"/>
        </w:rPr>
        <w:t>n</w:t>
      </w:r>
      <w:r w:rsidRPr="00B05BE8">
        <w:rPr>
          <w:rFonts w:ascii="Verdana" w:hAnsi="Verdana"/>
          <w:sz w:val="16"/>
          <w:szCs w:val="16"/>
          <w:lang w:val="es-CO"/>
        </w:rPr>
        <w:t>: 63001-23-31-000-1997-04685- 01</w:t>
      </w:r>
      <w:r>
        <w:rPr>
          <w:rFonts w:ascii="Verdana" w:hAnsi="Verdana"/>
          <w:sz w:val="16"/>
          <w:szCs w:val="16"/>
          <w:lang w:val="es-CO"/>
        </w:rPr>
        <w:t xml:space="preserve"> </w:t>
      </w:r>
      <w:r w:rsidRPr="00B05BE8">
        <w:rPr>
          <w:rFonts w:ascii="Verdana" w:hAnsi="Verdana"/>
          <w:sz w:val="16"/>
          <w:szCs w:val="16"/>
          <w:lang w:val="es-CO"/>
        </w:rPr>
        <w:t>(16306</w:t>
      </w:r>
      <w:r>
        <w:rPr>
          <w:rFonts w:ascii="Verdana" w:hAnsi="Verdana"/>
          <w:sz w:val="16"/>
          <w:szCs w:val="16"/>
          <w:lang w:val="es-CO"/>
        </w:rPr>
        <w:t>). C.P:</w:t>
      </w:r>
      <w:r w:rsidRPr="00B05BE8">
        <w:rPr>
          <w:rFonts w:ascii="Verdana" w:hAnsi="Verdana"/>
          <w:sz w:val="16"/>
          <w:szCs w:val="16"/>
          <w:lang w:val="es-CO"/>
        </w:rPr>
        <w:t>: Hernán Andrade Rincón</w:t>
      </w:r>
      <w:r>
        <w:rPr>
          <w:rFonts w:ascii="Verdana" w:hAnsi="Verdana"/>
          <w:sz w:val="16"/>
          <w:szCs w:val="16"/>
          <w:lang w:val="es-CO"/>
        </w:rPr>
        <w:t>.</w:t>
      </w:r>
    </w:p>
  </w:footnote>
  <w:footnote w:id="3">
    <w:p w14:paraId="4BCF6E37" w14:textId="77777777" w:rsidR="00BE5D31" w:rsidRPr="00C369AB" w:rsidRDefault="00BE5D31" w:rsidP="00BE5D31">
      <w:pPr>
        <w:pStyle w:val="Textonotapie"/>
        <w:ind w:firstLine="709"/>
        <w:rPr>
          <w:rFonts w:ascii="Verdana" w:hAnsi="Verdana"/>
          <w:sz w:val="16"/>
          <w:szCs w:val="16"/>
        </w:rPr>
      </w:pPr>
      <w:r w:rsidRPr="00C369AB">
        <w:rPr>
          <w:rStyle w:val="Refdenotaalpie"/>
          <w:rFonts w:ascii="Verdana" w:hAnsi="Verdana"/>
          <w:sz w:val="16"/>
          <w:szCs w:val="16"/>
        </w:rPr>
        <w:footnoteRef/>
      </w:r>
      <w:r w:rsidRPr="00C369AB">
        <w:rPr>
          <w:rFonts w:ascii="Verdana" w:hAnsi="Verdana"/>
          <w:sz w:val="16"/>
          <w:szCs w:val="16"/>
        </w:rPr>
        <w:t xml:space="preserve"> Disponible en </w:t>
      </w:r>
      <w:hyperlink r:id="rId1" w:history="1">
        <w:r w:rsidRPr="00C369AB">
          <w:rPr>
            <w:rStyle w:val="Hipervnculo"/>
            <w:rFonts w:ascii="Verdana" w:hAnsi="Verdana"/>
            <w:sz w:val="16"/>
            <w:szCs w:val="16"/>
            <w:lang w:val="es-CO"/>
          </w:rPr>
          <w:t>subcontratar | Definición | Diccionario de la lengua española | RAE - ASALE</w:t>
        </w:r>
      </w:hyperlink>
    </w:p>
    <w:p w14:paraId="6FC4044D" w14:textId="77777777" w:rsidR="00BE5D31" w:rsidRPr="00C369AB" w:rsidRDefault="00BE5D31" w:rsidP="00BE5D31">
      <w:pPr>
        <w:pStyle w:val="Textonotapie"/>
      </w:pPr>
    </w:p>
  </w:footnote>
  <w:footnote w:id="4">
    <w:p w14:paraId="4DE5F363"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09B6E8B9" w14:textId="77777777" w:rsidR="00BE5D31" w:rsidRDefault="00BE5D31" w:rsidP="00BE5D31">
      <w:pPr>
        <w:pStyle w:val="Textonotapie"/>
        <w:ind w:firstLine="708"/>
        <w:jc w:val="both"/>
        <w:rPr>
          <w:rFonts w:ascii="Verdana" w:hAnsi="Verdana" w:cs="Arial"/>
          <w:sz w:val="16"/>
          <w:szCs w:val="16"/>
        </w:rPr>
      </w:pPr>
    </w:p>
  </w:footnote>
  <w:footnote w:id="5">
    <w:p w14:paraId="490AA6D2"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38AEA72C" w14:textId="77777777" w:rsidR="00BE5D31" w:rsidRDefault="00BE5D31" w:rsidP="00BE5D31">
      <w:pPr>
        <w:pStyle w:val="Textonotapie"/>
        <w:ind w:firstLine="708"/>
        <w:jc w:val="both"/>
        <w:rPr>
          <w:rFonts w:ascii="Verdana" w:hAnsi="Verdana" w:cs="Arial"/>
          <w:sz w:val="16"/>
          <w:szCs w:val="16"/>
        </w:rPr>
      </w:pPr>
    </w:p>
  </w:footnote>
  <w:footnote w:id="6">
    <w:p w14:paraId="1F501781"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El artículo 2.2.1.2.3.1.5 del Decreto 1082 de 2015 hace mención a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 </w:t>
      </w:r>
    </w:p>
    <w:p w14:paraId="5EA28581" w14:textId="77777777" w:rsidR="00BE5D31" w:rsidRDefault="00BE5D31" w:rsidP="00BE5D31">
      <w:pPr>
        <w:pStyle w:val="Textonotapie"/>
        <w:ind w:firstLine="708"/>
        <w:jc w:val="both"/>
        <w:rPr>
          <w:rFonts w:ascii="Verdana" w:hAnsi="Verdana" w:cs="Arial"/>
          <w:sz w:val="16"/>
          <w:szCs w:val="16"/>
        </w:rPr>
      </w:pPr>
    </w:p>
  </w:footnote>
  <w:footnote w:id="7">
    <w:p w14:paraId="1BE8974F" w14:textId="77777777" w:rsidR="00BE5D31" w:rsidRDefault="00BE5D31" w:rsidP="00BE5D31">
      <w:pPr>
        <w:pStyle w:val="Textonotapie"/>
        <w:ind w:firstLine="709"/>
        <w:jc w:val="both"/>
        <w:rPr>
          <w:rFonts w:ascii="Verdana" w:hAnsi="Verdana" w:cs="Arial"/>
          <w:sz w:val="16"/>
          <w:szCs w:val="16"/>
        </w:rPr>
      </w:pPr>
      <w:r>
        <w:rPr>
          <w:rStyle w:val="Refdenotaalpie"/>
          <w:rFonts w:ascii="Verdana" w:hAnsi="Verdana"/>
          <w:sz w:val="16"/>
          <w:szCs w:val="16"/>
        </w:rPr>
        <w:footnoteRef/>
      </w:r>
      <w:r>
        <w:rPr>
          <w:rFonts w:ascii="Verdana" w:hAnsi="Verdana"/>
          <w:sz w:val="16"/>
          <w:szCs w:val="16"/>
        </w:rPr>
        <w:t xml:space="preserve"> </w:t>
      </w:r>
      <w:r>
        <w:rPr>
          <w:rFonts w:ascii="Verdana" w:hAnsi="Verdana" w:cs="Arial"/>
          <w:sz w:val="16"/>
          <w:szCs w:val="16"/>
        </w:rPr>
        <w:t xml:space="preserve">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w:t>
      </w:r>
      <w:proofErr w:type="spellStart"/>
      <w:r>
        <w:rPr>
          <w:rFonts w:ascii="Verdana" w:hAnsi="Verdana" w:cs="Arial"/>
          <w:sz w:val="16"/>
          <w:szCs w:val="16"/>
        </w:rPr>
        <w:t>que</w:t>
      </w:r>
      <w:proofErr w:type="spellEnd"/>
      <w:r>
        <w:rPr>
          <w:rFonts w:ascii="Verdana" w:hAnsi="Verdana" w:cs="Arial"/>
          <w:sz w:val="16"/>
          <w:szCs w:val="16"/>
        </w:rPr>
        <w:t xml:space="preserv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p w14:paraId="45016553" w14:textId="77777777" w:rsidR="00BE5D31" w:rsidRDefault="00BE5D31" w:rsidP="00BE5D31">
      <w:pPr>
        <w:pStyle w:val="Textonotapie"/>
        <w:ind w:firstLine="709"/>
        <w:jc w:val="both"/>
        <w:rPr>
          <w:rFonts w:ascii="Verdana" w:hAnsi="Verdana" w:cs="Arial"/>
          <w:sz w:val="16"/>
          <w:szCs w:val="16"/>
        </w:rPr>
      </w:pPr>
    </w:p>
  </w:footnote>
  <w:footnote w:id="8">
    <w:p w14:paraId="45BF09FD" w14:textId="1BFAC0FF" w:rsidR="00BE5D31" w:rsidRDefault="00BE5D31" w:rsidP="003148DF">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 xml:space="preserve">RAMÍREZ GRISALES, Richard Steve. La Subcontratación. Serie: Las cláusulas del contrato estatal. Librería Jurídica Sánchez R. Ltda. y Centro de Estudios de Derecho Administrativo –CEDA-, Medellín, 2012, p. 26. </w:t>
      </w:r>
    </w:p>
    <w:p w14:paraId="66EC3E2A" w14:textId="77777777" w:rsidR="003148DF" w:rsidRDefault="003148DF" w:rsidP="003148DF">
      <w:pPr>
        <w:pStyle w:val="Textonotapie"/>
        <w:ind w:firstLine="708"/>
        <w:jc w:val="both"/>
        <w:rPr>
          <w:rFonts w:ascii="Verdana" w:hAnsi="Verdana" w:cs="Arial"/>
          <w:sz w:val="16"/>
          <w:szCs w:val="16"/>
        </w:rPr>
      </w:pPr>
    </w:p>
  </w:footnote>
  <w:footnote w:id="9">
    <w:p w14:paraId="4CEEFDE2"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TRABALÓN Cristóbal. Tratado Legal de Construcción. Editorial Tébar Flores. Madrid. 2015.</w:t>
      </w:r>
    </w:p>
    <w:p w14:paraId="078EB22E" w14:textId="77777777" w:rsidR="00BE5D31" w:rsidRDefault="00BE5D31" w:rsidP="00BE5D31">
      <w:pPr>
        <w:pStyle w:val="Textonotapie"/>
        <w:ind w:firstLine="708"/>
        <w:jc w:val="both"/>
        <w:rPr>
          <w:rFonts w:ascii="Verdana" w:hAnsi="Verdana" w:cs="Arial"/>
          <w:sz w:val="16"/>
          <w:szCs w:val="16"/>
        </w:rPr>
      </w:pPr>
    </w:p>
  </w:footnote>
  <w:footnote w:id="10">
    <w:p w14:paraId="0856317B"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i/>
          <w:iCs/>
          <w:sz w:val="16"/>
          <w:szCs w:val="16"/>
        </w:rPr>
        <w:t>Ibidem</w:t>
      </w:r>
      <w:r>
        <w:rPr>
          <w:rFonts w:ascii="Verdana" w:hAnsi="Verdana" w:cs="Arial"/>
          <w:sz w:val="16"/>
          <w:szCs w:val="16"/>
        </w:rPr>
        <w:t xml:space="preserve">. </w:t>
      </w:r>
    </w:p>
    <w:p w14:paraId="6DB4F9F2" w14:textId="77777777" w:rsidR="00BE5D31" w:rsidRDefault="00BE5D31" w:rsidP="00BE5D31">
      <w:pPr>
        <w:pStyle w:val="Textonotapie"/>
        <w:ind w:firstLine="708"/>
        <w:jc w:val="both"/>
        <w:rPr>
          <w:rFonts w:ascii="Verdana" w:hAnsi="Verdana" w:cs="Arial"/>
          <w:sz w:val="16"/>
          <w:szCs w:val="16"/>
        </w:rPr>
      </w:pPr>
    </w:p>
  </w:footnote>
  <w:footnote w:id="11">
    <w:p w14:paraId="52E5B6F1" w14:textId="77777777" w:rsidR="00BE5D31" w:rsidRDefault="00BE5D31" w:rsidP="00BE5D31">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Consejo de Estado. Sala de lo Contencioso Administrativo. Sección Tercera. Subsección C. Sentencia del 12 de agosto de 2013. Radicación número: 52001-23-31-000-1999-00985-01 (23.088) C.P. Enrique Gil Botero. </w:t>
      </w:r>
    </w:p>
    <w:p w14:paraId="51A82978" w14:textId="77777777" w:rsidR="00BE5D31" w:rsidRDefault="00BE5D31" w:rsidP="00BE5D31">
      <w:pPr>
        <w:pStyle w:val="Textonotapie"/>
        <w:ind w:firstLine="708"/>
        <w:jc w:val="both"/>
        <w:rPr>
          <w:rFonts w:ascii="Verdana" w:hAnsi="Verdana" w:cs="Arial"/>
          <w:sz w:val="16"/>
          <w:szCs w:val="16"/>
        </w:rPr>
      </w:pPr>
    </w:p>
  </w:footnote>
  <w:footnote w:id="12">
    <w:p w14:paraId="3B4BCC57" w14:textId="77777777" w:rsidR="00BE5D31" w:rsidRDefault="00BE5D31" w:rsidP="00BE5D31">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Por ejemplo, </w:t>
      </w:r>
      <w:r>
        <w:rPr>
          <w:rFonts w:ascii="Verdana" w:hAnsi="Verdana"/>
          <w:sz w:val="16"/>
          <w:szCs w:val="16"/>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13">
    <w:p w14:paraId="65EB0716" w14:textId="77777777" w:rsidR="00BE5D31" w:rsidRDefault="00BE5D31" w:rsidP="00BE5D31">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BIANCA, Massimo. Derecho civil III: el contrato. Segunda edición. Bogotá: Universidad Externado de Colombia, 2007. p. 748.</w:t>
      </w:r>
    </w:p>
    <w:p w14:paraId="047BBCE6" w14:textId="77777777" w:rsidR="00BE5D31" w:rsidRDefault="00BE5D31" w:rsidP="00BE5D31">
      <w:pPr>
        <w:pStyle w:val="Textonotapie"/>
        <w:ind w:firstLine="708"/>
        <w:jc w:val="both"/>
        <w:rPr>
          <w:rFonts w:ascii="Verdana" w:hAnsi="Verdana"/>
          <w:sz w:val="16"/>
          <w:szCs w:val="16"/>
          <w:lang w:val="es-CO"/>
        </w:rPr>
      </w:pPr>
    </w:p>
  </w:footnote>
  <w:footnote w:id="14">
    <w:p w14:paraId="1A0A783B" w14:textId="77777777" w:rsidR="00BE5D31" w:rsidRDefault="00BE5D31" w:rsidP="00BE5D31">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En efecto, BIANCA define la subcontratación como “[…] el contrato mediante el cual una parte vuelve a emplear frente a un </w:t>
      </w:r>
      <w:r>
        <w:rPr>
          <w:rFonts w:ascii="Verdana" w:hAnsi="Verdana"/>
          <w:i/>
          <w:iCs/>
          <w:sz w:val="16"/>
          <w:szCs w:val="16"/>
        </w:rPr>
        <w:t>tercero</w:t>
      </w:r>
      <w:r>
        <w:rPr>
          <w:rFonts w:ascii="Verdana" w:hAnsi="Verdana"/>
          <w:sz w:val="16"/>
          <w:szCs w:val="16"/>
        </w:rPr>
        <w:t xml:space="preserve"> la posición que ella misma tiene en un contrato en curso, llamado contrato base. El subcontrato reproduce el mismo tipo de operación económica del contrato base, pero la parte asume con el </w:t>
      </w:r>
      <w:r>
        <w:rPr>
          <w:rFonts w:ascii="Verdana" w:hAnsi="Verdana"/>
          <w:i/>
          <w:iCs/>
          <w:sz w:val="16"/>
          <w:szCs w:val="16"/>
        </w:rPr>
        <w:t>tercero</w:t>
      </w:r>
      <w:r>
        <w:rPr>
          <w:rFonts w:ascii="Verdana" w:hAnsi="Verdana"/>
          <w:sz w:val="16"/>
          <w:szCs w:val="16"/>
        </w:rPr>
        <w:t xml:space="preserve"> el papel contrario de aquel que tiene en tal contrato […]” (</w:t>
      </w:r>
      <w:r>
        <w:rPr>
          <w:rFonts w:ascii="Verdana" w:hAnsi="Verdana"/>
          <w:i/>
          <w:iCs/>
          <w:sz w:val="16"/>
          <w:szCs w:val="16"/>
        </w:rPr>
        <w:t>ibidem</w:t>
      </w:r>
      <w:r>
        <w:rPr>
          <w:rFonts w:ascii="Verdana" w:hAnsi="Verdana"/>
          <w:sz w:val="16"/>
          <w:szCs w:val="16"/>
        </w:rPr>
        <w:t xml:space="preserve">. Énfasis fuera de texto). </w:t>
      </w:r>
    </w:p>
    <w:p w14:paraId="1EB33D83" w14:textId="77777777" w:rsidR="00BE5D31" w:rsidRDefault="00BE5D31" w:rsidP="00BE5D31">
      <w:pPr>
        <w:pStyle w:val="Textonotapie"/>
        <w:ind w:firstLine="708"/>
        <w:jc w:val="both"/>
        <w:rPr>
          <w:rFonts w:ascii="Verdana" w:hAnsi="Verdana"/>
          <w:sz w:val="16"/>
          <w:szCs w:val="16"/>
          <w:lang w:val="es-CO"/>
        </w:rPr>
      </w:pPr>
      <w:r>
        <w:rPr>
          <w:rFonts w:ascii="Verdana" w:hAnsi="Verdana"/>
          <w:sz w:val="16"/>
          <w:szCs w:val="16"/>
        </w:rPr>
        <w:t xml:space="preserve">De forma similar, para ANDREOLI, la cesión corresponde al “[…] </w:t>
      </w:r>
      <w:r>
        <w:rPr>
          <w:rFonts w:ascii="Verdana" w:hAnsi="Verdana"/>
          <w:sz w:val="16"/>
          <w:szCs w:val="16"/>
          <w:lang w:val="es-CO"/>
        </w:rPr>
        <w:t xml:space="preserve">instrumento que permite realizar la llamada </w:t>
      </w:r>
      <w:r>
        <w:rPr>
          <w:rFonts w:ascii="Verdana" w:hAnsi="Verdana"/>
          <w:i/>
          <w:iCs/>
          <w:sz w:val="16"/>
          <w:szCs w:val="16"/>
          <w:lang w:val="es-CO"/>
        </w:rPr>
        <w:t>circulación del contrato</w:t>
      </w:r>
      <w:r>
        <w:rPr>
          <w:rFonts w:ascii="Verdana" w:hAnsi="Verdana"/>
          <w:sz w:val="16"/>
          <w:szCs w:val="16"/>
          <w:lang w:val="es-CO"/>
        </w:rPr>
        <w:t xml:space="preserve">, es decir, la transferencia negocial a un tercero (llamado </w:t>
      </w:r>
      <w:r>
        <w:rPr>
          <w:rFonts w:ascii="Verdana" w:hAnsi="Verdana"/>
          <w:i/>
          <w:iCs/>
          <w:sz w:val="16"/>
          <w:szCs w:val="16"/>
          <w:lang w:val="es-CO"/>
        </w:rPr>
        <w:t>cesionario</w:t>
      </w:r>
      <w:r>
        <w:rPr>
          <w:rFonts w:ascii="Verdana" w:hAnsi="Verdana"/>
          <w:sz w:val="16"/>
          <w:szCs w:val="16"/>
          <w:lang w:val="es-CO"/>
        </w:rPr>
        <w:t xml:space="preserve">) del conjunto de posiciones contractuales (entendido como resultante unitario de derechos y obligaciones orgánicamente interdependientes), constituida en la persona de uno de los originarios contratantes (llamado </w:t>
      </w:r>
      <w:r>
        <w:rPr>
          <w:rFonts w:ascii="Verdana" w:hAnsi="Verdana"/>
          <w:i/>
          <w:iCs/>
          <w:sz w:val="16"/>
          <w:szCs w:val="16"/>
          <w:lang w:val="es-CO"/>
        </w:rPr>
        <w:t>cedente</w:t>
      </w:r>
      <w:r>
        <w:rPr>
          <w:rFonts w:ascii="Verdana" w:hAnsi="Verdana"/>
          <w:sz w:val="16"/>
          <w:szCs w:val="16"/>
          <w:lang w:val="es-CO"/>
        </w:rPr>
        <w:t xml:space="preserve">); de tal forma que, a través de esa sustitución </w:t>
      </w:r>
      <w:r>
        <w:rPr>
          <w:rFonts w:ascii="Verdana" w:hAnsi="Verdana"/>
          <w:i/>
          <w:iCs/>
          <w:sz w:val="16"/>
          <w:szCs w:val="16"/>
          <w:lang w:val="es-CO"/>
        </w:rPr>
        <w:t>negocial</w:t>
      </w:r>
      <w:r>
        <w:rPr>
          <w:rFonts w:ascii="Verdana" w:hAnsi="Verdana"/>
          <w:sz w:val="16"/>
          <w:szCs w:val="16"/>
          <w:lang w:val="es-CO"/>
        </w:rPr>
        <w:t xml:space="preserve"> del tercero en la posición de ‘parte’ del contrato, en lugar del cedente, dicho tercero </w:t>
      </w:r>
      <w:proofErr w:type="spellStart"/>
      <w:r>
        <w:rPr>
          <w:rFonts w:ascii="Verdana" w:hAnsi="Verdana"/>
          <w:sz w:val="16"/>
          <w:szCs w:val="16"/>
          <w:lang w:val="es-CO"/>
        </w:rPr>
        <w:t>subentra</w:t>
      </w:r>
      <w:proofErr w:type="spellEnd"/>
      <w:r>
        <w:rPr>
          <w:rFonts w:ascii="Verdana" w:hAnsi="Verdana"/>
          <w:sz w:val="16"/>
          <w:szCs w:val="16"/>
          <w:lang w:val="es-CO"/>
        </w:rPr>
        <w:t xml:space="preserve"> en la totalidad de los derechos y obligaciones que en su orgánica interdependencia se derivan del contrato estipulado por el cedente” (ANDREOLI, </w:t>
      </w:r>
      <w:proofErr w:type="spellStart"/>
      <w:r>
        <w:rPr>
          <w:rFonts w:ascii="Verdana" w:hAnsi="Verdana"/>
          <w:sz w:val="16"/>
          <w:szCs w:val="16"/>
          <w:lang w:val="es-CO"/>
        </w:rPr>
        <w:t>Marcello</w:t>
      </w:r>
      <w:proofErr w:type="spellEnd"/>
      <w:r>
        <w:rPr>
          <w:rFonts w:ascii="Verdana" w:hAnsi="Verdana"/>
          <w:sz w:val="16"/>
          <w:szCs w:val="16"/>
          <w:lang w:val="es-CO"/>
        </w:rPr>
        <w:t xml:space="preserve">. La cesión del contrato. Santiago: Ediciones </w:t>
      </w:r>
      <w:proofErr w:type="spellStart"/>
      <w:r>
        <w:rPr>
          <w:rFonts w:ascii="Verdana" w:hAnsi="Verdana"/>
          <w:sz w:val="16"/>
          <w:szCs w:val="16"/>
          <w:lang w:val="es-CO"/>
        </w:rPr>
        <w:t>Olejnik</w:t>
      </w:r>
      <w:proofErr w:type="spellEnd"/>
      <w:r>
        <w:rPr>
          <w:rFonts w:ascii="Verdana" w:hAnsi="Verdana"/>
          <w:sz w:val="16"/>
          <w:szCs w:val="16"/>
          <w:lang w:val="es-CO"/>
        </w:rPr>
        <w:t>, 2019. p. 12. Énfasis dentro del texto).</w:t>
      </w:r>
    </w:p>
    <w:p w14:paraId="5D4B8867" w14:textId="77777777" w:rsidR="00BE5D31" w:rsidRDefault="00BE5D31" w:rsidP="00BE5D31">
      <w:pPr>
        <w:pStyle w:val="Textonotapie"/>
        <w:ind w:firstLine="708"/>
        <w:jc w:val="both"/>
        <w:rPr>
          <w:rFonts w:ascii="Verdana" w:hAnsi="Verdana"/>
          <w:sz w:val="16"/>
          <w:szCs w:val="16"/>
          <w:lang w:val="es-CO"/>
        </w:rPr>
      </w:pPr>
    </w:p>
  </w:footnote>
  <w:footnote w:id="15">
    <w:p w14:paraId="35BCD200" w14:textId="77777777" w:rsidR="00BE5D31" w:rsidRDefault="00BE5D31" w:rsidP="00BE5D31">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CO"/>
        </w:rPr>
        <w:t>RAMÍREZ GRISALES, Richard. La cesión. Serie: Las cláusulas del contrato estatal. Medellín: Centro de Estudios de Derecho Administrativo –CEDA– y Librería Jurídica Sánchez R., 2014.</w:t>
      </w:r>
      <w:r>
        <w:rPr>
          <w:rFonts w:ascii="Verdana" w:hAnsi="Verdana" w:cs="Arial"/>
          <w:sz w:val="16"/>
          <w:szCs w:val="16"/>
        </w:rPr>
        <w:t xml:space="preserve"> pp.162-163. </w:t>
      </w:r>
    </w:p>
  </w:footnote>
  <w:footnote w:id="16">
    <w:p w14:paraId="27D12A23" w14:textId="77777777" w:rsidR="00BE5D31" w:rsidRPr="00043FE7" w:rsidRDefault="00BE5D31" w:rsidP="00BE5D31">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w:t>
      </w:r>
      <w:r>
        <w:rPr>
          <w:rFonts w:ascii="Verdana" w:hAnsi="Verdana"/>
          <w:i/>
          <w:iCs/>
          <w:sz w:val="16"/>
          <w:szCs w:val="16"/>
        </w:rPr>
        <w:t>Ibidem</w:t>
      </w:r>
      <w:r>
        <w:rPr>
          <w:rFonts w:ascii="Verdana" w:hAnsi="Verdana"/>
          <w:sz w:val="16"/>
          <w:szCs w:val="16"/>
        </w:rPr>
        <w:t xml:space="preserve">, p. 159.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A6838"/>
    <w:rsid w:val="001C6AF1"/>
    <w:rsid w:val="001E4177"/>
    <w:rsid w:val="001F7DC6"/>
    <w:rsid w:val="002421BB"/>
    <w:rsid w:val="0025796E"/>
    <w:rsid w:val="002707A2"/>
    <w:rsid w:val="002951A0"/>
    <w:rsid w:val="002962BC"/>
    <w:rsid w:val="00297F7B"/>
    <w:rsid w:val="002A093D"/>
    <w:rsid w:val="002A0DD0"/>
    <w:rsid w:val="002A49AC"/>
    <w:rsid w:val="002A64FD"/>
    <w:rsid w:val="002C7A84"/>
    <w:rsid w:val="002E4FD9"/>
    <w:rsid w:val="003148DF"/>
    <w:rsid w:val="00322A85"/>
    <w:rsid w:val="00324168"/>
    <w:rsid w:val="003448F4"/>
    <w:rsid w:val="00366B88"/>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91B48"/>
    <w:rsid w:val="005C3777"/>
    <w:rsid w:val="005C5CDC"/>
    <w:rsid w:val="005D476C"/>
    <w:rsid w:val="006219F8"/>
    <w:rsid w:val="00625275"/>
    <w:rsid w:val="006302F7"/>
    <w:rsid w:val="006307BC"/>
    <w:rsid w:val="00653B58"/>
    <w:rsid w:val="00665D70"/>
    <w:rsid w:val="006900D9"/>
    <w:rsid w:val="006A760C"/>
    <w:rsid w:val="00706C16"/>
    <w:rsid w:val="00723093"/>
    <w:rsid w:val="007447BF"/>
    <w:rsid w:val="00756841"/>
    <w:rsid w:val="007649AB"/>
    <w:rsid w:val="00771D0C"/>
    <w:rsid w:val="007833AC"/>
    <w:rsid w:val="007B268C"/>
    <w:rsid w:val="007B7171"/>
    <w:rsid w:val="007C0C0F"/>
    <w:rsid w:val="007C2EE0"/>
    <w:rsid w:val="007C3DC2"/>
    <w:rsid w:val="007D02EA"/>
    <w:rsid w:val="007E24A0"/>
    <w:rsid w:val="007E5497"/>
    <w:rsid w:val="00806F5F"/>
    <w:rsid w:val="00814FF9"/>
    <w:rsid w:val="00820278"/>
    <w:rsid w:val="00831F09"/>
    <w:rsid w:val="00867F95"/>
    <w:rsid w:val="008843B6"/>
    <w:rsid w:val="00891928"/>
    <w:rsid w:val="00897A3A"/>
    <w:rsid w:val="008A446D"/>
    <w:rsid w:val="008C2CAB"/>
    <w:rsid w:val="008D180B"/>
    <w:rsid w:val="008F0EA7"/>
    <w:rsid w:val="00907CC2"/>
    <w:rsid w:val="00923EEF"/>
    <w:rsid w:val="009419F9"/>
    <w:rsid w:val="0095685E"/>
    <w:rsid w:val="00961B09"/>
    <w:rsid w:val="00965334"/>
    <w:rsid w:val="0097093E"/>
    <w:rsid w:val="0098704D"/>
    <w:rsid w:val="009A008C"/>
    <w:rsid w:val="009A0DFA"/>
    <w:rsid w:val="009B25A8"/>
    <w:rsid w:val="009B2D26"/>
    <w:rsid w:val="009C71FA"/>
    <w:rsid w:val="009C72E7"/>
    <w:rsid w:val="009D3058"/>
    <w:rsid w:val="009F3A13"/>
    <w:rsid w:val="00A05267"/>
    <w:rsid w:val="00A122D3"/>
    <w:rsid w:val="00A17F13"/>
    <w:rsid w:val="00A20739"/>
    <w:rsid w:val="00A33C78"/>
    <w:rsid w:val="00A5408D"/>
    <w:rsid w:val="00AB0ADB"/>
    <w:rsid w:val="00AE606B"/>
    <w:rsid w:val="00B00C0E"/>
    <w:rsid w:val="00B01B1A"/>
    <w:rsid w:val="00B44A47"/>
    <w:rsid w:val="00B72CD3"/>
    <w:rsid w:val="00B72FFF"/>
    <w:rsid w:val="00B92B8C"/>
    <w:rsid w:val="00BC3D36"/>
    <w:rsid w:val="00BD7F72"/>
    <w:rsid w:val="00BE5D31"/>
    <w:rsid w:val="00C04FB3"/>
    <w:rsid w:val="00C330EB"/>
    <w:rsid w:val="00C754BE"/>
    <w:rsid w:val="00C76B1C"/>
    <w:rsid w:val="00C83B0D"/>
    <w:rsid w:val="00CB6357"/>
    <w:rsid w:val="00CC1B26"/>
    <w:rsid w:val="00D10041"/>
    <w:rsid w:val="00D12395"/>
    <w:rsid w:val="00D423A2"/>
    <w:rsid w:val="00D520D8"/>
    <w:rsid w:val="00D6099D"/>
    <w:rsid w:val="00D63AC2"/>
    <w:rsid w:val="00D7383B"/>
    <w:rsid w:val="00DA231B"/>
    <w:rsid w:val="00DC367D"/>
    <w:rsid w:val="00DC39FC"/>
    <w:rsid w:val="00DF4898"/>
    <w:rsid w:val="00DF5254"/>
    <w:rsid w:val="00E16408"/>
    <w:rsid w:val="00E20894"/>
    <w:rsid w:val="00E245AB"/>
    <w:rsid w:val="00E2764C"/>
    <w:rsid w:val="00E27F2E"/>
    <w:rsid w:val="00E50AFE"/>
    <w:rsid w:val="00E75C92"/>
    <w:rsid w:val="00E771DC"/>
    <w:rsid w:val="00E8772A"/>
    <w:rsid w:val="00E90F6B"/>
    <w:rsid w:val="00E92C27"/>
    <w:rsid w:val="00E92F5C"/>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E757522-A22F-4474-BA1F-23BD274F0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E5D3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E5D31"/>
    <w:rPr>
      <w:rFonts w:ascii="Geomanist Light" w:hAnsi="Geomanist Light"/>
      <w:lang w:val="es-ES"/>
    </w:rPr>
  </w:style>
  <w:style w:type="character" w:customStyle="1" w:styleId="s15">
    <w:name w:val="s15"/>
    <w:basedOn w:val="Fuentedeprrafopredeter"/>
    <w:rsid w:val="00BE5D31"/>
  </w:style>
  <w:style w:type="character" w:customStyle="1" w:styleId="apple-converted-space">
    <w:name w:val="apple-converted-space"/>
    <w:basedOn w:val="Fuentedeprrafopredeter"/>
    <w:rsid w:val="00BE5D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le.rae.es/subcontratar"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javierbarrera@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subcontrat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C6B75D-1248-48F7-B1F7-36C12BCEB77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17</Pages>
  <Words>5650</Words>
  <Characters>30003</Characters>
  <Application>Microsoft Office Word</Application>
  <DocSecurity>0</DocSecurity>
  <Lines>535</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35549</CharactersWithSpaces>
  <SharedDoc>false</SharedDoc>
  <HLinks>
    <vt:vector size="30" baseType="variant">
      <vt:variant>
        <vt:i4>6029407</vt:i4>
      </vt:variant>
      <vt:variant>
        <vt:i4>9</vt:i4>
      </vt:variant>
      <vt:variant>
        <vt:i4>0</vt:i4>
      </vt:variant>
      <vt:variant>
        <vt:i4>5</vt:i4>
      </vt:variant>
      <vt:variant>
        <vt:lpwstr>http://www.colombiacompra.gov.co/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6619234</vt:i4>
      </vt:variant>
      <vt:variant>
        <vt:i4>3</vt:i4>
      </vt:variant>
      <vt:variant>
        <vt:i4>0</vt:i4>
      </vt:variant>
      <vt:variant>
        <vt:i4>5</vt:i4>
      </vt:variant>
      <vt:variant>
        <vt:lpwstr>https://dle.rae.es/subcontratar</vt:lpwstr>
      </vt:variant>
      <vt:variant>
        <vt:lpwstr/>
      </vt:variant>
      <vt:variant>
        <vt:i4>8126543</vt:i4>
      </vt:variant>
      <vt:variant>
        <vt:i4>0</vt:i4>
      </vt:variant>
      <vt:variant>
        <vt:i4>0</vt:i4>
      </vt:variant>
      <vt:variant>
        <vt:i4>5</vt:i4>
      </vt:variant>
      <vt:variant>
        <vt:lpwstr>mailto:abogadojavierbarrera@gmail.com</vt:lpwstr>
      </vt:variant>
      <vt:variant>
        <vt:lpwstr/>
      </vt:variant>
      <vt:variant>
        <vt:i4>6619234</vt:i4>
      </vt:variant>
      <vt:variant>
        <vt:i4>0</vt:i4>
      </vt:variant>
      <vt:variant>
        <vt:i4>0</vt:i4>
      </vt:variant>
      <vt:variant>
        <vt:i4>5</vt:i4>
      </vt:variant>
      <vt:variant>
        <vt:lpwstr>https://dle.rae.es/subcontratar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2025-10-03T20:05:00Z</dcterms:created>
  <dcterms:modified xsi:type="dcterms:W3CDTF">2025-10-03T21:13:00Z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