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60172B" w14:textId="77777777" w:rsidR="001D1817" w:rsidRPr="00F65D2B" w:rsidRDefault="001D1817" w:rsidP="001D1817">
      <w:pPr>
        <w:spacing w:after="0" w:line="240" w:lineRule="auto"/>
        <w:contextualSpacing/>
        <w:jc w:val="both"/>
        <w:rPr>
          <w:rFonts w:ascii="Verdana" w:eastAsia="Calibri" w:hAnsi="Verdana" w:cs="Arial"/>
          <w:b/>
          <w:bCs/>
          <w:color w:val="000000" w:themeColor="text1"/>
          <w:lang w:eastAsia="es-ES"/>
        </w:rPr>
      </w:pPr>
      <w:r>
        <w:rPr>
          <w:rFonts w:ascii="Verdana" w:eastAsia="Calibri" w:hAnsi="Verdana" w:cs="Arial"/>
          <w:b/>
          <w:bCs/>
          <w:color w:val="000000" w:themeColor="text1"/>
          <w:lang w:eastAsia="es-ES"/>
        </w:rPr>
        <w:t>CONCURSO DE MÉRITOS</w:t>
      </w:r>
      <w:r w:rsidRPr="00F65D2B">
        <w:rPr>
          <w:rFonts w:ascii="Verdana" w:eastAsia="Calibri" w:hAnsi="Verdana" w:cs="Arial"/>
          <w:b/>
          <w:bCs/>
          <w:color w:val="000000" w:themeColor="text1"/>
          <w:lang w:eastAsia="es-ES"/>
        </w:rPr>
        <w:t xml:space="preserve"> – </w:t>
      </w:r>
      <w:r>
        <w:rPr>
          <w:rFonts w:ascii="Verdana" w:eastAsia="Calibri" w:hAnsi="Verdana" w:cs="Arial"/>
          <w:b/>
          <w:bCs/>
          <w:color w:val="000000" w:themeColor="text1"/>
          <w:lang w:eastAsia="es-ES"/>
        </w:rPr>
        <w:t>Elemento esencial</w:t>
      </w:r>
      <w:r w:rsidRPr="00F65D2B">
        <w:rPr>
          <w:rFonts w:ascii="Verdana" w:eastAsia="Calibri" w:hAnsi="Verdana" w:cs="Arial"/>
          <w:b/>
          <w:bCs/>
          <w:color w:val="000000" w:themeColor="text1"/>
          <w:lang w:eastAsia="es-ES"/>
        </w:rPr>
        <w:t xml:space="preserve"> ― </w:t>
      </w:r>
      <w:r>
        <w:rPr>
          <w:rFonts w:ascii="Verdana" w:eastAsia="Calibri" w:hAnsi="Verdana" w:cs="Arial"/>
          <w:b/>
          <w:bCs/>
          <w:color w:val="000000" w:themeColor="text1"/>
          <w:lang w:eastAsia="es-ES"/>
        </w:rPr>
        <w:t>I</w:t>
      </w:r>
      <w:r w:rsidRPr="00F9322A">
        <w:rPr>
          <w:rFonts w:ascii="Verdana" w:eastAsia="Calibri" w:hAnsi="Verdana" w:cs="Arial"/>
          <w:b/>
          <w:bCs/>
          <w:color w:val="000000" w:themeColor="text1"/>
          <w:lang w:eastAsia="es-ES"/>
        </w:rPr>
        <w:t>doneidad técnica del personal</w:t>
      </w:r>
    </w:p>
    <w:p w14:paraId="1E659AB3" w14:textId="77777777" w:rsidR="001D1817" w:rsidRPr="00F65D2B" w:rsidRDefault="001D1817" w:rsidP="001D1817">
      <w:pPr>
        <w:spacing w:after="0" w:line="240" w:lineRule="auto"/>
        <w:contextualSpacing/>
        <w:jc w:val="both"/>
        <w:rPr>
          <w:rStyle w:val="normaltextrun"/>
          <w:rFonts w:ascii="Verdana" w:hAnsi="Verdana"/>
          <w:color w:val="000000" w:themeColor="text1"/>
          <w:shd w:val="clear" w:color="auto" w:fill="FFFFFF"/>
        </w:rPr>
      </w:pPr>
    </w:p>
    <w:p w14:paraId="3AEC82D8" w14:textId="77777777" w:rsidR="001D1817" w:rsidRDefault="001D1817" w:rsidP="001D1817">
      <w:pPr>
        <w:spacing w:after="0" w:line="240" w:lineRule="auto"/>
        <w:contextualSpacing/>
        <w:jc w:val="both"/>
        <w:rPr>
          <w:rStyle w:val="normaltextrun"/>
          <w:rFonts w:ascii="Verdana" w:hAnsi="Verdana"/>
          <w:color w:val="000000" w:themeColor="text1"/>
          <w:sz w:val="20"/>
          <w:szCs w:val="20"/>
          <w:shd w:val="clear" w:color="auto" w:fill="FFFFFF"/>
        </w:rPr>
      </w:pPr>
      <w:r>
        <w:rPr>
          <w:rStyle w:val="normaltextrun"/>
          <w:rFonts w:ascii="Verdana" w:hAnsi="Verdana"/>
          <w:color w:val="000000" w:themeColor="text1"/>
          <w:sz w:val="20"/>
          <w:szCs w:val="20"/>
          <w:shd w:val="clear" w:color="auto" w:fill="FFFFFF"/>
        </w:rPr>
        <w:t xml:space="preserve">[…] </w:t>
      </w:r>
      <w:r w:rsidRPr="00F9322A">
        <w:rPr>
          <w:rStyle w:val="normaltextrun"/>
          <w:rFonts w:ascii="Verdana" w:hAnsi="Verdana"/>
          <w:color w:val="000000" w:themeColor="text1"/>
          <w:sz w:val="20"/>
          <w:szCs w:val="20"/>
          <w:shd w:val="clear" w:color="auto" w:fill="FFFFFF"/>
        </w:rPr>
        <w:t>la posibilidad de evaluar la experiencia y formación del equipo de trabajo no es común a todas las modalidades de selección, sino que encuentra fundamento específico en el concurso de méritos, modalidad en la cual la idoneidad técnica del personal propuesto constituye un elemento esencial del proceso.</w:t>
      </w:r>
    </w:p>
    <w:p w14:paraId="1E646CB1" w14:textId="77777777" w:rsidR="001D1817" w:rsidRPr="00F9322A" w:rsidRDefault="001D1817" w:rsidP="001D1817">
      <w:pPr>
        <w:spacing w:after="0" w:line="240" w:lineRule="auto"/>
        <w:contextualSpacing/>
        <w:jc w:val="both"/>
        <w:rPr>
          <w:rStyle w:val="normaltextrun"/>
          <w:rFonts w:ascii="Verdana" w:hAnsi="Verdana"/>
          <w:color w:val="000000" w:themeColor="text1"/>
          <w:sz w:val="20"/>
          <w:szCs w:val="20"/>
          <w:shd w:val="clear" w:color="auto" w:fill="FFFFFF"/>
        </w:rPr>
      </w:pPr>
    </w:p>
    <w:p w14:paraId="0DAA7C13" w14:textId="77777777" w:rsidR="001D1817" w:rsidRPr="00F65D2B" w:rsidRDefault="001D1817" w:rsidP="001D1817">
      <w:pPr>
        <w:spacing w:after="0" w:line="240" w:lineRule="auto"/>
        <w:contextualSpacing/>
        <w:jc w:val="both"/>
        <w:rPr>
          <w:rFonts w:ascii="Verdana" w:eastAsia="Calibri" w:hAnsi="Verdana" w:cs="Arial"/>
          <w:b/>
          <w:bCs/>
          <w:color w:val="000000" w:themeColor="text1"/>
          <w:sz w:val="20"/>
          <w:szCs w:val="20"/>
          <w:lang w:eastAsia="es-ES"/>
        </w:rPr>
      </w:pPr>
      <w:r w:rsidRPr="00F9322A">
        <w:rPr>
          <w:rStyle w:val="normaltextrun"/>
          <w:rFonts w:ascii="Verdana" w:hAnsi="Verdana"/>
          <w:color w:val="000000" w:themeColor="text1"/>
          <w:sz w:val="20"/>
          <w:szCs w:val="20"/>
          <w:shd w:val="clear" w:color="auto" w:fill="FFFFFF"/>
        </w:rPr>
        <w:t>En ese orden, una aproximación inicial al concepto de consultoría permite identificar que su esencia radica en el componente intelectivo y especializado de la actividad. Esta característica no solo delimita su naturaleza jurídica frente a otras formas de contratación, sino que también justifica su tratamiento diferenciado en el marco normativo. La definición lingüística del término refuerza esta idea al describir la consultoría como la labor desarrollada por una “persona experta en una materia sobre la que asesora profesionalmente</w:t>
      </w:r>
      <w:r w:rsidRPr="00F65D2B">
        <w:rPr>
          <w:rStyle w:val="normaltextrun"/>
          <w:rFonts w:ascii="Verdana" w:hAnsi="Verdana"/>
          <w:color w:val="000000" w:themeColor="text1"/>
          <w:sz w:val="20"/>
          <w:szCs w:val="20"/>
          <w:shd w:val="clear" w:color="auto" w:fill="FFFFFF"/>
        </w:rPr>
        <w:t>.</w:t>
      </w:r>
    </w:p>
    <w:p w14:paraId="60669A1A" w14:textId="77777777" w:rsidR="001D1817" w:rsidRPr="00F65D2B" w:rsidRDefault="001D1817" w:rsidP="001D1817">
      <w:pPr>
        <w:spacing w:after="0" w:line="240" w:lineRule="auto"/>
        <w:contextualSpacing/>
        <w:jc w:val="both"/>
        <w:rPr>
          <w:rFonts w:ascii="Verdana" w:eastAsia="Calibri" w:hAnsi="Verdana" w:cs="Arial"/>
          <w:b/>
          <w:bCs/>
          <w:color w:val="000000" w:themeColor="text1"/>
          <w:lang w:eastAsia="es-ES"/>
        </w:rPr>
      </w:pPr>
    </w:p>
    <w:p w14:paraId="5B32AFEF" w14:textId="77777777" w:rsidR="001D1817" w:rsidRPr="00F65D2B" w:rsidRDefault="001D1817" w:rsidP="001D1817">
      <w:pPr>
        <w:spacing w:after="0" w:line="240" w:lineRule="auto"/>
        <w:contextualSpacing/>
        <w:jc w:val="both"/>
        <w:rPr>
          <w:rFonts w:ascii="Verdana" w:eastAsia="Calibri" w:hAnsi="Verdana" w:cs="Arial"/>
          <w:b/>
          <w:bCs/>
          <w:color w:val="000000" w:themeColor="text1"/>
          <w:lang w:eastAsia="es-ES"/>
        </w:rPr>
      </w:pPr>
      <w:r>
        <w:rPr>
          <w:rFonts w:ascii="Verdana" w:eastAsia="Calibri" w:hAnsi="Verdana" w:cs="Arial"/>
          <w:b/>
          <w:bCs/>
          <w:color w:val="000000" w:themeColor="text1"/>
          <w:lang w:eastAsia="es-ES"/>
        </w:rPr>
        <w:t>CONCURSO DE MÉRITOS</w:t>
      </w:r>
      <w:r w:rsidRPr="00F65D2B">
        <w:rPr>
          <w:rFonts w:ascii="Verdana" w:eastAsia="Calibri" w:hAnsi="Verdana" w:cs="Arial"/>
          <w:b/>
          <w:bCs/>
          <w:color w:val="000000" w:themeColor="text1"/>
          <w:lang w:eastAsia="es-ES"/>
        </w:rPr>
        <w:t xml:space="preserve"> ― </w:t>
      </w:r>
      <w:r>
        <w:rPr>
          <w:rFonts w:ascii="Verdana" w:eastAsia="Calibri" w:hAnsi="Verdana" w:cs="Arial"/>
          <w:b/>
          <w:bCs/>
          <w:color w:val="000000" w:themeColor="text1"/>
          <w:lang w:eastAsia="es-ES"/>
        </w:rPr>
        <w:t xml:space="preserve">Reglamentación </w:t>
      </w:r>
      <w:r w:rsidRPr="00F65D2B">
        <w:rPr>
          <w:rFonts w:ascii="Verdana" w:eastAsia="Calibri" w:hAnsi="Verdana" w:cs="Arial"/>
          <w:b/>
          <w:bCs/>
          <w:color w:val="000000" w:themeColor="text1"/>
          <w:lang w:eastAsia="es-ES"/>
        </w:rPr>
        <w:t xml:space="preserve">― </w:t>
      </w:r>
      <w:r>
        <w:rPr>
          <w:rFonts w:ascii="Verdana" w:eastAsia="Calibri" w:hAnsi="Verdana" w:cs="Arial"/>
          <w:b/>
          <w:bCs/>
          <w:color w:val="000000" w:themeColor="text1"/>
          <w:lang w:eastAsia="es-ES"/>
        </w:rPr>
        <w:t>Pliego de condiciones</w:t>
      </w:r>
      <w:r w:rsidRPr="00F65D2B">
        <w:rPr>
          <w:rFonts w:ascii="Verdana" w:eastAsia="Calibri" w:hAnsi="Verdana" w:cs="Arial"/>
          <w:b/>
          <w:bCs/>
          <w:color w:val="000000" w:themeColor="text1"/>
          <w:lang w:eastAsia="es-ES"/>
        </w:rPr>
        <w:t xml:space="preserve"> ―</w:t>
      </w:r>
      <w:r>
        <w:rPr>
          <w:rFonts w:ascii="Verdana" w:eastAsia="Calibri" w:hAnsi="Verdana" w:cs="Arial"/>
          <w:b/>
          <w:bCs/>
          <w:color w:val="000000" w:themeColor="text1"/>
          <w:lang w:eastAsia="es-ES"/>
        </w:rPr>
        <w:t xml:space="preserve"> Factor ponderable </w:t>
      </w:r>
    </w:p>
    <w:p w14:paraId="42945185" w14:textId="77777777" w:rsidR="001D1817" w:rsidRPr="00F65D2B" w:rsidRDefault="001D1817" w:rsidP="001D1817">
      <w:pPr>
        <w:spacing w:after="0" w:line="240" w:lineRule="auto"/>
        <w:contextualSpacing/>
        <w:jc w:val="both"/>
        <w:rPr>
          <w:rFonts w:ascii="Verdana" w:eastAsia="Calibri" w:hAnsi="Verdana" w:cs="Arial"/>
          <w:b/>
          <w:bCs/>
          <w:color w:val="000000" w:themeColor="text1"/>
          <w:lang w:eastAsia="es-ES"/>
        </w:rPr>
      </w:pPr>
    </w:p>
    <w:p w14:paraId="4F083228" w14:textId="77777777" w:rsidR="001D1817" w:rsidRDefault="001D1817" w:rsidP="001D1817">
      <w:pPr>
        <w:widowControl w:val="0"/>
        <w:autoSpaceDE w:val="0"/>
        <w:autoSpaceDN w:val="0"/>
        <w:spacing w:after="0" w:line="240" w:lineRule="auto"/>
        <w:contextualSpacing/>
        <w:jc w:val="both"/>
        <w:rPr>
          <w:rFonts w:ascii="Verdana" w:eastAsia="Arial" w:hAnsi="Verdana" w:cs="Arial"/>
          <w:sz w:val="20"/>
          <w:szCs w:val="20"/>
        </w:rPr>
      </w:pPr>
      <w:r w:rsidRPr="00F65D2B">
        <w:rPr>
          <w:rFonts w:ascii="Verdana" w:eastAsia="Arial" w:hAnsi="Verdana" w:cs="Arial"/>
          <w:sz w:val="20"/>
          <w:szCs w:val="20"/>
        </w:rPr>
        <w:t>[…]</w:t>
      </w:r>
      <w:r w:rsidRPr="00DC63A6">
        <w:rPr>
          <w:rFonts w:ascii="Verdana" w:eastAsia="Arial" w:hAnsi="Verdana" w:cs="Arial"/>
          <w:sz w:val="20"/>
          <w:szCs w:val="20"/>
        </w:rPr>
        <w:t>el procedimiento de selección de concurso de méritos, aplicable para la escogencia de consultores está reglamentado por el artículo 2.2.1.2.1.3.2. del Decreto 1082 de 2015, modificado por el Decreto 399 de 2021.  Al respecto, el numeral 1.1 de dicha norma dispone: “La Entidad Estatal en los pliegos de condiciones debe indicar la forma como calificará, entre otros, los siguientes criterios: a) la experiencia del interesado y del equipo de trabajo y b) la formación académica del equipo de trabajo” [Énfasis por fuera del texto], excluyendo el precio como factor de escogencia.</w:t>
      </w:r>
    </w:p>
    <w:p w14:paraId="08791661" w14:textId="77777777" w:rsidR="001D1817" w:rsidRPr="00DC63A6" w:rsidRDefault="001D1817" w:rsidP="001D1817">
      <w:pPr>
        <w:widowControl w:val="0"/>
        <w:autoSpaceDE w:val="0"/>
        <w:autoSpaceDN w:val="0"/>
        <w:spacing w:after="0" w:line="240" w:lineRule="auto"/>
        <w:contextualSpacing/>
        <w:jc w:val="both"/>
        <w:rPr>
          <w:rFonts w:ascii="Verdana" w:eastAsia="Arial" w:hAnsi="Verdana" w:cs="Arial"/>
          <w:sz w:val="20"/>
          <w:szCs w:val="20"/>
        </w:rPr>
      </w:pPr>
    </w:p>
    <w:p w14:paraId="285C45A8" w14:textId="77777777" w:rsidR="001D1817" w:rsidRDefault="001D1817" w:rsidP="001D1817">
      <w:pPr>
        <w:widowControl w:val="0"/>
        <w:autoSpaceDE w:val="0"/>
        <w:autoSpaceDN w:val="0"/>
        <w:spacing w:after="0" w:line="240" w:lineRule="auto"/>
        <w:contextualSpacing/>
        <w:jc w:val="both"/>
        <w:rPr>
          <w:rFonts w:ascii="Verdana" w:eastAsia="Arial" w:hAnsi="Verdana" w:cs="Arial"/>
          <w:sz w:val="20"/>
          <w:szCs w:val="20"/>
        </w:rPr>
      </w:pPr>
      <w:r w:rsidRPr="00DC63A6">
        <w:rPr>
          <w:rFonts w:ascii="Verdana" w:eastAsia="Arial" w:hAnsi="Verdana" w:cs="Arial"/>
          <w:sz w:val="20"/>
          <w:szCs w:val="20"/>
        </w:rPr>
        <w:t>Conforme a esto,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 Usualmente en los procesos de selección para la contratación de una consultoría se solicita que en la oferta presentada por el proponente se incluya el desglose del equipo profesional que participará en la ejecución del contrato, lo que suele incluir la distribución del personal y el tiempo de dedicación que tendrá al proyecto, permitiendo a las entidades contratantes estimar la disponibilidad efectiva de los recursos humanos propuestos.</w:t>
      </w:r>
    </w:p>
    <w:p w14:paraId="76E8FD45" w14:textId="77777777" w:rsidR="001D1817" w:rsidRPr="00DC63A6" w:rsidRDefault="001D1817" w:rsidP="001D1817">
      <w:pPr>
        <w:widowControl w:val="0"/>
        <w:autoSpaceDE w:val="0"/>
        <w:autoSpaceDN w:val="0"/>
        <w:spacing w:after="0" w:line="240" w:lineRule="auto"/>
        <w:contextualSpacing/>
        <w:jc w:val="both"/>
        <w:rPr>
          <w:rFonts w:ascii="Verdana" w:eastAsia="Arial" w:hAnsi="Verdana" w:cs="Arial"/>
          <w:sz w:val="20"/>
          <w:szCs w:val="20"/>
        </w:rPr>
      </w:pPr>
    </w:p>
    <w:p w14:paraId="63492598" w14:textId="77777777" w:rsidR="001D1817" w:rsidRDefault="001D1817" w:rsidP="001D1817">
      <w:pPr>
        <w:widowControl w:val="0"/>
        <w:autoSpaceDE w:val="0"/>
        <w:autoSpaceDN w:val="0"/>
        <w:spacing w:after="0" w:line="240" w:lineRule="auto"/>
        <w:contextualSpacing/>
        <w:jc w:val="both"/>
        <w:rPr>
          <w:rFonts w:ascii="Verdana" w:eastAsia="Arial" w:hAnsi="Verdana" w:cs="Arial"/>
          <w:sz w:val="20"/>
          <w:szCs w:val="20"/>
        </w:rPr>
      </w:pPr>
      <w:r w:rsidRPr="00DC63A6">
        <w:rPr>
          <w:rFonts w:ascii="Verdana" w:eastAsia="Arial" w:hAnsi="Verdana" w:cs="Arial"/>
          <w:sz w:val="20"/>
          <w:szCs w:val="20"/>
        </w:rPr>
        <w:t>En consecuencia, el consultor, en su calidad de contratista del Estado, tiene el deber de contratar al personal con el que adelantará las actividades pactadas en el contrato adjudicado, de acuerdo con los términos en que haya presentado la oferta a la Entidad Estatal, siendo la oferta presentada por el proponente y aceptada por la Entidad Estatal, la que lo obliga a contratar ya sea mediante un contrato de carácter civil como la prestación de servicios o mediante vínculo laboral a los miembros del equipo, con el fin de garantizar la ejecución de las actividades a las que se obligó el proponente cuando presentó su oferta.</w:t>
      </w:r>
    </w:p>
    <w:p w14:paraId="083416DB" w14:textId="77777777" w:rsidR="001D1817" w:rsidRPr="00DC63A6" w:rsidRDefault="001D1817" w:rsidP="001D1817">
      <w:pPr>
        <w:widowControl w:val="0"/>
        <w:autoSpaceDE w:val="0"/>
        <w:autoSpaceDN w:val="0"/>
        <w:spacing w:after="0" w:line="240" w:lineRule="auto"/>
        <w:contextualSpacing/>
        <w:jc w:val="both"/>
        <w:rPr>
          <w:rFonts w:ascii="Verdana" w:eastAsia="Arial" w:hAnsi="Verdana" w:cs="Arial"/>
          <w:sz w:val="20"/>
          <w:szCs w:val="20"/>
        </w:rPr>
      </w:pPr>
    </w:p>
    <w:p w14:paraId="515D92D8" w14:textId="77777777" w:rsidR="001D1817" w:rsidRPr="00F65D2B" w:rsidRDefault="001D1817" w:rsidP="001D1817">
      <w:pPr>
        <w:widowControl w:val="0"/>
        <w:autoSpaceDE w:val="0"/>
        <w:autoSpaceDN w:val="0"/>
        <w:spacing w:after="0" w:line="240" w:lineRule="auto"/>
        <w:contextualSpacing/>
        <w:jc w:val="both"/>
        <w:rPr>
          <w:rFonts w:ascii="Verdana" w:eastAsia="Calibri" w:hAnsi="Verdana" w:cs="Arial"/>
          <w:b/>
          <w:bCs/>
          <w:color w:val="000000" w:themeColor="text1"/>
          <w:sz w:val="20"/>
          <w:szCs w:val="20"/>
          <w:lang w:eastAsia="es-ES"/>
        </w:rPr>
      </w:pPr>
      <w:r w:rsidRPr="00DC63A6">
        <w:rPr>
          <w:rFonts w:ascii="Verdana" w:eastAsia="Arial" w:hAnsi="Verdana" w:cs="Arial"/>
          <w:sz w:val="20"/>
          <w:szCs w:val="20"/>
        </w:rPr>
        <w:lastRenderedPageBreak/>
        <w:t>Bajo ese contexto, en materia de contratación estatal, el personal clave evaluable corresponde al grupo de profesionales que la entidad contratante identifica como esenciales para la adecuada ejecución de un contrato, especialmente en aquellos procesos en los que la calidad técnica del recurso humano es determinante para el éxito del objeto contractual. Se trata de los integrantes del equipo de trabajo cuya formación, experiencia y competencias son objeto de evaluación y asignación de puntaje en el proceso de selección, razón por la cual su sustitución solo procede de manera excepcional y debidamente justificada.</w:t>
      </w:r>
      <w:r w:rsidRPr="00F65D2B">
        <w:rPr>
          <w:rFonts w:ascii="Verdana" w:hAnsi="Verdana"/>
          <w:sz w:val="20"/>
          <w:szCs w:val="20"/>
          <w:shd w:val="clear" w:color="auto" w:fill="FFFFFF"/>
        </w:rPr>
        <w:t xml:space="preserve"> […] </w:t>
      </w:r>
    </w:p>
    <w:p w14:paraId="0DD746A8" w14:textId="77777777" w:rsidR="001D1817" w:rsidRPr="00F65D2B" w:rsidRDefault="001D1817" w:rsidP="001D1817">
      <w:pPr>
        <w:spacing w:after="0" w:line="240" w:lineRule="auto"/>
        <w:contextualSpacing/>
        <w:jc w:val="both"/>
        <w:rPr>
          <w:rFonts w:ascii="Verdana" w:eastAsia="Calibri" w:hAnsi="Verdana" w:cs="Arial"/>
          <w:b/>
          <w:bCs/>
          <w:color w:val="000000" w:themeColor="text1"/>
          <w:lang w:eastAsia="es-ES"/>
        </w:rPr>
      </w:pPr>
    </w:p>
    <w:p w14:paraId="16BE5ADF" w14:textId="77777777" w:rsidR="001D1817" w:rsidRPr="00F65D2B" w:rsidRDefault="001D1817" w:rsidP="001D1817">
      <w:pPr>
        <w:spacing w:after="0" w:line="240" w:lineRule="auto"/>
        <w:contextualSpacing/>
        <w:jc w:val="both"/>
        <w:rPr>
          <w:rFonts w:ascii="Verdana" w:hAnsi="Verdana" w:cs="Arial"/>
          <w:b/>
          <w:bCs/>
          <w:lang w:eastAsia="es-ES_tradnl"/>
        </w:rPr>
      </w:pPr>
      <w:r>
        <w:rPr>
          <w:rFonts w:ascii="Verdana" w:hAnsi="Verdana" w:cs="Arial"/>
          <w:b/>
          <w:bCs/>
          <w:lang w:eastAsia="es-ES_tradnl"/>
        </w:rPr>
        <w:t xml:space="preserve">ACREDITACIÓN EXPERIENCIA EQUIPO DE TRABAJO </w:t>
      </w:r>
      <w:r w:rsidRPr="00F65D2B">
        <w:rPr>
          <w:rFonts w:ascii="Verdana" w:hAnsi="Verdana" w:cs="Arial"/>
          <w:b/>
          <w:bCs/>
          <w:lang w:eastAsia="es-ES_tradnl"/>
        </w:rPr>
        <w:t xml:space="preserve">― </w:t>
      </w:r>
      <w:r>
        <w:rPr>
          <w:rFonts w:ascii="Verdana" w:hAnsi="Verdana" w:cs="Arial"/>
          <w:b/>
          <w:bCs/>
          <w:lang w:eastAsia="es-ES_tradnl"/>
        </w:rPr>
        <w:t xml:space="preserve">Documentos Tipo </w:t>
      </w:r>
      <w:r w:rsidRPr="00F65D2B">
        <w:rPr>
          <w:rFonts w:ascii="Verdana" w:hAnsi="Verdana" w:cs="Arial"/>
          <w:b/>
          <w:bCs/>
          <w:lang w:eastAsia="es-ES_tradnl"/>
        </w:rPr>
        <w:t>―</w:t>
      </w:r>
      <w:r>
        <w:rPr>
          <w:rFonts w:ascii="Verdana" w:hAnsi="Verdana" w:cs="Arial"/>
          <w:b/>
          <w:bCs/>
          <w:lang w:eastAsia="es-ES_tradnl"/>
        </w:rPr>
        <w:t xml:space="preserve"> No prohíbe certificación expedida por oferente</w:t>
      </w:r>
    </w:p>
    <w:p w14:paraId="1FB0ED90" w14:textId="77777777" w:rsidR="001D1817" w:rsidRPr="00F65D2B" w:rsidRDefault="001D1817" w:rsidP="001D1817">
      <w:pPr>
        <w:spacing w:after="0" w:line="240" w:lineRule="auto"/>
        <w:contextualSpacing/>
        <w:jc w:val="both"/>
        <w:rPr>
          <w:rFonts w:ascii="Verdana" w:hAnsi="Verdana" w:cs="Arial"/>
          <w:b/>
          <w:bCs/>
          <w:lang w:eastAsia="es-ES_tradnl"/>
        </w:rPr>
      </w:pPr>
    </w:p>
    <w:p w14:paraId="61966AE7" w14:textId="77777777" w:rsidR="001D1817" w:rsidRDefault="001D1817" w:rsidP="001D1817">
      <w:pPr>
        <w:spacing w:after="0" w:line="240" w:lineRule="auto"/>
        <w:contextualSpacing/>
        <w:jc w:val="both"/>
        <w:rPr>
          <w:rFonts w:ascii="Verdana" w:eastAsia="Arial" w:hAnsi="Verdana" w:cs="Arial"/>
          <w:sz w:val="20"/>
          <w:szCs w:val="20"/>
        </w:rPr>
      </w:pPr>
      <w:r>
        <w:rPr>
          <w:rFonts w:ascii="Verdana" w:eastAsia="Arial" w:hAnsi="Verdana" w:cs="Arial"/>
          <w:sz w:val="20"/>
          <w:szCs w:val="20"/>
        </w:rPr>
        <w:t xml:space="preserve">[…] </w:t>
      </w:r>
      <w:r w:rsidRPr="00215D71">
        <w:rPr>
          <w:rFonts w:ascii="Verdana" w:eastAsia="Arial" w:hAnsi="Verdana" w:cs="Arial"/>
          <w:sz w:val="20"/>
          <w:szCs w:val="20"/>
        </w:rPr>
        <w:t>no existe disposición legal o reglamentaria que tache o prohíba una certificación de experiencia emitida en esos supuestos. De manera que no puede justificarse su rechazo o su inadmisión por esa simple circunstancia.</w:t>
      </w:r>
    </w:p>
    <w:p w14:paraId="62900598" w14:textId="77777777" w:rsidR="001D1817" w:rsidRPr="00215D71" w:rsidRDefault="001D1817" w:rsidP="001D1817">
      <w:pPr>
        <w:spacing w:after="0" w:line="240" w:lineRule="auto"/>
        <w:contextualSpacing/>
        <w:jc w:val="both"/>
        <w:rPr>
          <w:rFonts w:ascii="Verdana" w:eastAsia="Arial" w:hAnsi="Verdana" w:cs="Arial"/>
          <w:sz w:val="20"/>
          <w:szCs w:val="20"/>
        </w:rPr>
      </w:pPr>
    </w:p>
    <w:p w14:paraId="4A3384B7" w14:textId="77777777" w:rsidR="001D1817" w:rsidRDefault="001D1817" w:rsidP="001D1817">
      <w:pPr>
        <w:spacing w:after="0" w:line="240" w:lineRule="auto"/>
        <w:contextualSpacing/>
        <w:jc w:val="both"/>
        <w:rPr>
          <w:rFonts w:ascii="Verdana" w:eastAsia="Arial" w:hAnsi="Verdana" w:cs="Arial"/>
          <w:sz w:val="20"/>
          <w:szCs w:val="20"/>
        </w:rPr>
      </w:pPr>
      <w:r w:rsidRPr="00215D71">
        <w:rPr>
          <w:rFonts w:ascii="Verdana" w:eastAsia="Arial" w:hAnsi="Verdana" w:cs="Arial"/>
          <w:sz w:val="20"/>
          <w:szCs w:val="20"/>
        </w:rPr>
        <w:t>De hecho, en los procesos de selección en los que se aplican Documentos Tipo, adoptados por la Agencia Nacional de Contratación Pública –Colombia Compra Eficiente–, se prevé expresamente que la experiencia del personal clave puede acreditarse mediante certificaciones laborales –sin que prohíba o restringa las expedidas por el mismo oferente–, siempre que el profesional haya adquirido dicha experiencia en el marco de una relación laboral o contractual con la empresa. En ese sentido, no es posible calificar esta situación como una “autocertificación”, toda vez que lo que se acredita es la experiencia individual y verificable del profesional, y no la experiencia institucional del oferente. Resulta razonable que una empresa que ha vinculado laboral o contractualmente a un profesional certifique las actividades ejecutadas por este, en la medida en que cuenta con los elementos objetivos que le permiten dar fe de su desempeño.</w:t>
      </w:r>
    </w:p>
    <w:p w14:paraId="35773AEB" w14:textId="77777777" w:rsidR="001D1817" w:rsidRDefault="001D1817" w:rsidP="001D1817">
      <w:pPr>
        <w:spacing w:after="0" w:line="240" w:lineRule="auto"/>
        <w:contextualSpacing/>
        <w:jc w:val="both"/>
        <w:rPr>
          <w:rFonts w:ascii="Verdana" w:eastAsia="Arial" w:hAnsi="Verdana" w:cs="Arial"/>
          <w:sz w:val="20"/>
          <w:szCs w:val="20"/>
        </w:rPr>
      </w:pPr>
    </w:p>
    <w:p w14:paraId="3A1C2C6D" w14:textId="77777777" w:rsidR="001D1817" w:rsidRPr="00F65D2B" w:rsidRDefault="001D1817" w:rsidP="001D1817">
      <w:pPr>
        <w:spacing w:after="0" w:line="240" w:lineRule="auto"/>
        <w:contextualSpacing/>
        <w:jc w:val="both"/>
        <w:rPr>
          <w:rFonts w:ascii="Verdana" w:hAnsi="Verdana" w:cs="Arial"/>
          <w:b/>
          <w:bCs/>
          <w:lang w:eastAsia="es-ES_tradnl"/>
        </w:rPr>
      </w:pPr>
      <w:r>
        <w:rPr>
          <w:rFonts w:ascii="Verdana" w:hAnsi="Verdana" w:cs="Arial"/>
          <w:b/>
          <w:bCs/>
          <w:lang w:eastAsia="es-ES_tradnl"/>
        </w:rPr>
        <w:t xml:space="preserve">EQUIPO DE TRABAJO (PERSONAL CLAVE EVALUABLE) </w:t>
      </w:r>
      <w:r w:rsidRPr="00F65D2B">
        <w:rPr>
          <w:rFonts w:ascii="Verdana" w:hAnsi="Verdana" w:cs="Arial"/>
          <w:b/>
          <w:bCs/>
          <w:lang w:eastAsia="es-ES_tradnl"/>
        </w:rPr>
        <w:t xml:space="preserve">― </w:t>
      </w:r>
      <w:r>
        <w:rPr>
          <w:rFonts w:ascii="Verdana" w:hAnsi="Verdana" w:cs="Arial"/>
          <w:b/>
          <w:bCs/>
          <w:lang w:eastAsia="es-ES_tradnl"/>
        </w:rPr>
        <w:t>Reglas y mecanismos de acreditación de experiencia</w:t>
      </w:r>
      <w:r w:rsidRPr="00F65D2B">
        <w:rPr>
          <w:rFonts w:ascii="Verdana" w:hAnsi="Verdana" w:cs="Arial"/>
          <w:b/>
          <w:bCs/>
          <w:lang w:eastAsia="es-ES_tradnl"/>
        </w:rPr>
        <w:t xml:space="preserve"> ― </w:t>
      </w:r>
      <w:r>
        <w:rPr>
          <w:rFonts w:ascii="Verdana" w:hAnsi="Verdana" w:cs="Arial"/>
          <w:b/>
          <w:bCs/>
          <w:lang w:eastAsia="es-ES_tradnl"/>
        </w:rPr>
        <w:t>Facultad verificadora</w:t>
      </w:r>
      <w:r w:rsidRPr="00F65D2B">
        <w:rPr>
          <w:rFonts w:ascii="Verdana" w:hAnsi="Verdana" w:cs="Arial"/>
          <w:b/>
          <w:bCs/>
          <w:lang w:eastAsia="es-ES_tradnl"/>
        </w:rPr>
        <w:t xml:space="preserve"> ― </w:t>
      </w:r>
      <w:r>
        <w:rPr>
          <w:rFonts w:ascii="Verdana" w:hAnsi="Verdana" w:cs="Arial"/>
          <w:b/>
          <w:bCs/>
          <w:lang w:eastAsia="es-ES_tradnl"/>
        </w:rPr>
        <w:t>D</w:t>
      </w:r>
      <w:r w:rsidRPr="00572648">
        <w:rPr>
          <w:rFonts w:ascii="Verdana" w:hAnsi="Verdana" w:cs="Arial"/>
          <w:b/>
          <w:bCs/>
          <w:lang w:eastAsia="es-ES_tradnl"/>
        </w:rPr>
        <w:t>iscrecionalidad técnica y jurídica</w:t>
      </w:r>
    </w:p>
    <w:p w14:paraId="65E13061" w14:textId="77777777" w:rsidR="001D1817" w:rsidRPr="00215D71" w:rsidRDefault="001D1817" w:rsidP="001D1817">
      <w:pPr>
        <w:spacing w:after="0" w:line="240" w:lineRule="auto"/>
        <w:contextualSpacing/>
        <w:jc w:val="both"/>
        <w:rPr>
          <w:rFonts w:ascii="Verdana" w:eastAsia="Arial" w:hAnsi="Verdana" w:cs="Arial"/>
          <w:sz w:val="20"/>
          <w:szCs w:val="20"/>
        </w:rPr>
      </w:pPr>
    </w:p>
    <w:p w14:paraId="0B09F0D4" w14:textId="77777777" w:rsidR="001D1817" w:rsidRDefault="001D1817" w:rsidP="001D1817">
      <w:pPr>
        <w:spacing w:after="0" w:line="240" w:lineRule="auto"/>
        <w:contextualSpacing/>
        <w:jc w:val="both"/>
        <w:rPr>
          <w:rFonts w:ascii="Verdana" w:eastAsia="Arial" w:hAnsi="Verdana" w:cs="Arial"/>
          <w:sz w:val="20"/>
          <w:szCs w:val="20"/>
        </w:rPr>
      </w:pPr>
      <w:r w:rsidRPr="00215D71">
        <w:rPr>
          <w:rFonts w:ascii="Verdana" w:eastAsia="Arial" w:hAnsi="Verdana" w:cs="Arial"/>
          <w:sz w:val="20"/>
          <w:szCs w:val="20"/>
        </w:rPr>
        <w:t>De otro lado, en los procesos de selección en los que no resultan aplicables los Documentos Tipo, las entidades estatales conservan la potestad y discrecionalidad técnica para determinar los medios idóneos de acreditación de la experiencia del personal clave evaluable, de acuerdo con la naturaleza y complejidad del contrato. Esta facultad comprende tanto la definición de los documentos que el oferente debe aportar para demostrar la experiencia, como el momento procesal en el cual se verificará dicha información, bien sea durante el proceso de selección o en la etapa de ejecución contractual.</w:t>
      </w:r>
    </w:p>
    <w:p w14:paraId="1768A499" w14:textId="77777777" w:rsidR="001D1817" w:rsidRPr="00215D71" w:rsidRDefault="001D1817" w:rsidP="001D1817">
      <w:pPr>
        <w:spacing w:after="0" w:line="240" w:lineRule="auto"/>
        <w:contextualSpacing/>
        <w:jc w:val="both"/>
        <w:rPr>
          <w:rFonts w:ascii="Verdana" w:eastAsia="Arial" w:hAnsi="Verdana" w:cs="Arial"/>
          <w:sz w:val="20"/>
          <w:szCs w:val="20"/>
        </w:rPr>
      </w:pPr>
    </w:p>
    <w:p w14:paraId="247F422C" w14:textId="77777777" w:rsidR="001D1817" w:rsidRDefault="001D1817" w:rsidP="001D1817">
      <w:pPr>
        <w:spacing w:after="0" w:line="240" w:lineRule="auto"/>
        <w:contextualSpacing/>
        <w:jc w:val="both"/>
        <w:rPr>
          <w:rFonts w:ascii="Verdana" w:eastAsia="Arial" w:hAnsi="Verdana" w:cs="Arial"/>
          <w:sz w:val="20"/>
          <w:szCs w:val="20"/>
        </w:rPr>
      </w:pPr>
      <w:r w:rsidRPr="00215D71">
        <w:rPr>
          <w:rFonts w:ascii="Verdana" w:eastAsia="Arial" w:hAnsi="Verdana" w:cs="Arial"/>
          <w:sz w:val="20"/>
          <w:szCs w:val="20"/>
        </w:rPr>
        <w:t xml:space="preserve">Con todo, para efectos de garantizar la objetividad y veracidad de la información, las entidades pueden establecer mecanismos complementarios de acreditación, como la verificación de aportes a la seguridad social, copias de contratos laborales o de prestación de servicios, o constancias de ejecución emitidas por terceros que hayan participado en el mismo proyecto. Asimismo, los certificados o documentos que acrediten </w:t>
      </w:r>
      <w:r w:rsidRPr="00215D71">
        <w:rPr>
          <w:rFonts w:ascii="Verdana" w:eastAsia="Arial" w:hAnsi="Verdana" w:cs="Arial"/>
          <w:sz w:val="20"/>
          <w:szCs w:val="20"/>
        </w:rPr>
        <w:lastRenderedPageBreak/>
        <w:t>la experiencia del personal clave deben contener, como mínimo, información sobre el contratante, contratista, objeto contractual, principales actividades desarrolladas, fechas de inicio y terminación, nombre y cargo de quien expide la certificación y porcentaje de dedicación.</w:t>
      </w:r>
    </w:p>
    <w:p w14:paraId="411A5B7D" w14:textId="77777777" w:rsidR="001D1817" w:rsidRPr="00215D71" w:rsidRDefault="001D1817" w:rsidP="001D1817">
      <w:pPr>
        <w:spacing w:after="0" w:line="240" w:lineRule="auto"/>
        <w:contextualSpacing/>
        <w:jc w:val="both"/>
        <w:rPr>
          <w:rFonts w:ascii="Verdana" w:eastAsia="Arial" w:hAnsi="Verdana" w:cs="Arial"/>
          <w:sz w:val="20"/>
          <w:szCs w:val="20"/>
        </w:rPr>
      </w:pPr>
    </w:p>
    <w:p w14:paraId="2B34AB85" w14:textId="77777777" w:rsidR="001D1817" w:rsidRDefault="001D1817" w:rsidP="001D1817">
      <w:pPr>
        <w:spacing w:after="0" w:line="240" w:lineRule="auto"/>
        <w:contextualSpacing/>
        <w:jc w:val="both"/>
        <w:rPr>
          <w:rFonts w:ascii="Verdana" w:eastAsia="Arial" w:hAnsi="Verdana" w:cs="Arial"/>
          <w:sz w:val="20"/>
          <w:szCs w:val="20"/>
        </w:rPr>
      </w:pPr>
      <w:r w:rsidRPr="00215D71">
        <w:rPr>
          <w:rFonts w:ascii="Verdana" w:eastAsia="Arial" w:hAnsi="Verdana" w:cs="Arial"/>
          <w:sz w:val="20"/>
          <w:szCs w:val="20"/>
        </w:rPr>
        <w:t>De esta manera, la entidad no solo puede diseñar distintos medios de acreditación, sino también definir mecanismos de verificación que permitan constatar que las personas que integran el equipo de trabajo realmente adquirieron la experiencia ofertada. Lo relevante, entonces, no es quién expide la certificación, sino que el documento cumpla con los elementos mínimos de validez y permita verificar la experiencia efectiva del profesional propuesto.</w:t>
      </w:r>
    </w:p>
    <w:p w14:paraId="1EA4D061" w14:textId="77777777" w:rsidR="001D1817" w:rsidRPr="00215D71" w:rsidRDefault="001D1817" w:rsidP="001D1817">
      <w:pPr>
        <w:spacing w:after="0" w:line="240" w:lineRule="auto"/>
        <w:contextualSpacing/>
        <w:jc w:val="both"/>
        <w:rPr>
          <w:rFonts w:ascii="Verdana" w:eastAsia="Arial" w:hAnsi="Verdana" w:cs="Arial"/>
          <w:sz w:val="20"/>
          <w:szCs w:val="20"/>
        </w:rPr>
      </w:pPr>
    </w:p>
    <w:p w14:paraId="33DAE285" w14:textId="77777777" w:rsidR="001D1817" w:rsidRDefault="001D1817" w:rsidP="001D1817">
      <w:pPr>
        <w:spacing w:after="0" w:line="240" w:lineRule="auto"/>
        <w:contextualSpacing/>
        <w:jc w:val="both"/>
        <w:rPr>
          <w:rFonts w:ascii="Verdana" w:eastAsia="Arial" w:hAnsi="Verdana" w:cs="Arial"/>
          <w:sz w:val="20"/>
          <w:szCs w:val="20"/>
        </w:rPr>
      </w:pPr>
      <w:r w:rsidRPr="00215D71">
        <w:rPr>
          <w:rFonts w:ascii="Verdana" w:eastAsia="Arial" w:hAnsi="Verdana" w:cs="Arial"/>
          <w:sz w:val="20"/>
          <w:szCs w:val="20"/>
        </w:rPr>
        <w:t>En los procesos cobijados por Documentos Tipo, Colombia Compra Eficiente ha previsto dos instrumentos que ilustran esta práctica: el Formato No. 8, “Aceptación y cumplimiento de la formación y experiencia del personal clave evaluable”, mediante el cual el representante legal del oferente declara el cumplimiento de los requisitos exigidos, y el Formato No. 9, “Compromiso de acreditar la experiencia y formación adicional del personal clave evaluable”, que permite que el oferente se obligue a acreditar dicha experiencia durante la ejecución contractual.</w:t>
      </w:r>
    </w:p>
    <w:p w14:paraId="6F30D484" w14:textId="77777777" w:rsidR="001D1817" w:rsidRPr="00215D71" w:rsidRDefault="001D1817" w:rsidP="001D1817">
      <w:pPr>
        <w:spacing w:after="0" w:line="240" w:lineRule="auto"/>
        <w:contextualSpacing/>
        <w:jc w:val="both"/>
        <w:rPr>
          <w:rFonts w:ascii="Verdana" w:eastAsia="Arial" w:hAnsi="Verdana" w:cs="Arial"/>
          <w:sz w:val="20"/>
          <w:szCs w:val="20"/>
        </w:rPr>
      </w:pPr>
    </w:p>
    <w:p w14:paraId="3F55C1BE" w14:textId="77777777" w:rsidR="001D1817" w:rsidRDefault="001D1817" w:rsidP="001D1817">
      <w:pPr>
        <w:spacing w:after="0" w:line="240" w:lineRule="auto"/>
        <w:contextualSpacing/>
        <w:jc w:val="both"/>
        <w:rPr>
          <w:rFonts w:ascii="Verdana" w:eastAsia="Arial" w:hAnsi="Verdana" w:cs="Arial"/>
          <w:sz w:val="20"/>
          <w:szCs w:val="20"/>
        </w:rPr>
      </w:pPr>
      <w:r w:rsidRPr="00215D71">
        <w:rPr>
          <w:rFonts w:ascii="Verdana" w:eastAsia="Arial" w:hAnsi="Verdana" w:cs="Arial"/>
          <w:sz w:val="20"/>
          <w:szCs w:val="20"/>
        </w:rPr>
        <w:t>En consecuencia, esta Agencia considera que no existe una restricción normativa que prohíba que el oferente expida certificaciones respecto de la experiencia de su propio personal, siempre que se trate de experiencia efectivamente adquirida y susceptible de verificación por parte de la entidad. La responsabilidad de la entidad consiste en establecer los mecanismos de acreditación y verificación idóneos dentro de los pliegos de condiciones, de forma que se garantice la transparencia, objetividad y concurrencia de oferentes en el proceso de selección.</w:t>
      </w:r>
    </w:p>
    <w:p w14:paraId="57F65E2E" w14:textId="77777777" w:rsidR="001D1817" w:rsidRDefault="001D1817" w:rsidP="001D1817">
      <w:pPr>
        <w:spacing w:after="0" w:line="240" w:lineRule="auto"/>
        <w:contextualSpacing/>
        <w:jc w:val="both"/>
        <w:rPr>
          <w:rFonts w:ascii="Verdana" w:eastAsia="Arial" w:hAnsi="Verdana" w:cs="Arial"/>
          <w:sz w:val="20"/>
          <w:szCs w:val="20"/>
        </w:rPr>
      </w:pPr>
    </w:p>
    <w:p w14:paraId="2187E17B" w14:textId="77777777" w:rsidR="001D1817" w:rsidRDefault="001D1817" w:rsidP="001D1817">
      <w:pPr>
        <w:spacing w:after="0"/>
        <w:rPr>
          <w:rFonts w:ascii="Verdana" w:hAnsi="Verdana"/>
        </w:rPr>
      </w:pPr>
    </w:p>
    <w:p w14:paraId="74E1EC32" w14:textId="77777777" w:rsidR="001D1817" w:rsidRDefault="001D1817" w:rsidP="001D1817">
      <w:pPr>
        <w:spacing w:after="0"/>
        <w:rPr>
          <w:rFonts w:ascii="Verdana" w:hAnsi="Verdana"/>
        </w:rPr>
      </w:pPr>
    </w:p>
    <w:p w14:paraId="1A2F2311" w14:textId="77777777" w:rsidR="001D1817" w:rsidRDefault="001D1817" w:rsidP="001D1817">
      <w:pPr>
        <w:spacing w:after="0"/>
        <w:rPr>
          <w:rFonts w:ascii="Verdana" w:hAnsi="Verdana"/>
        </w:rPr>
      </w:pPr>
    </w:p>
    <w:p w14:paraId="1D61020B" w14:textId="77777777" w:rsidR="001D1817" w:rsidRDefault="001D1817" w:rsidP="001D1817">
      <w:pPr>
        <w:spacing w:after="0"/>
        <w:rPr>
          <w:rFonts w:ascii="Verdana" w:hAnsi="Verdana"/>
        </w:rPr>
      </w:pPr>
    </w:p>
    <w:p w14:paraId="2D9822AF" w14:textId="77777777" w:rsidR="001D1817" w:rsidRDefault="001D1817" w:rsidP="001D1817">
      <w:pPr>
        <w:spacing w:after="0"/>
        <w:rPr>
          <w:rFonts w:ascii="Verdana" w:hAnsi="Verdana"/>
        </w:rPr>
      </w:pPr>
    </w:p>
    <w:p w14:paraId="40776060" w14:textId="77777777" w:rsidR="001D1817" w:rsidRDefault="001D1817" w:rsidP="001D1817">
      <w:pPr>
        <w:spacing w:after="0"/>
        <w:rPr>
          <w:rFonts w:ascii="Verdana" w:hAnsi="Verdana"/>
        </w:rPr>
      </w:pPr>
    </w:p>
    <w:p w14:paraId="3EB923AF" w14:textId="77777777" w:rsidR="001D1817" w:rsidRDefault="001D1817" w:rsidP="001D1817">
      <w:pPr>
        <w:spacing w:after="0"/>
        <w:rPr>
          <w:rFonts w:ascii="Verdana" w:hAnsi="Verdana"/>
        </w:rPr>
      </w:pPr>
    </w:p>
    <w:p w14:paraId="5F9ABE20" w14:textId="77777777" w:rsidR="001D1817" w:rsidRDefault="001D1817" w:rsidP="001D1817">
      <w:pPr>
        <w:spacing w:after="0"/>
        <w:rPr>
          <w:rFonts w:ascii="Verdana" w:hAnsi="Verdana"/>
        </w:rPr>
      </w:pPr>
    </w:p>
    <w:p w14:paraId="4E7CAB63" w14:textId="77777777" w:rsidR="001D1817" w:rsidRDefault="001D1817" w:rsidP="001D1817">
      <w:pPr>
        <w:spacing w:after="0"/>
        <w:rPr>
          <w:rFonts w:ascii="Verdana" w:hAnsi="Verdana"/>
        </w:rPr>
      </w:pPr>
    </w:p>
    <w:p w14:paraId="1FC7E609" w14:textId="77777777" w:rsidR="001D1817" w:rsidRDefault="001D1817" w:rsidP="001D1817">
      <w:pPr>
        <w:spacing w:after="0"/>
        <w:rPr>
          <w:rFonts w:ascii="Verdana" w:hAnsi="Verdana"/>
        </w:rPr>
      </w:pPr>
    </w:p>
    <w:p w14:paraId="52D09E6A" w14:textId="77777777" w:rsidR="001D1817" w:rsidRDefault="001D1817" w:rsidP="001D1817">
      <w:pPr>
        <w:spacing w:after="0"/>
        <w:rPr>
          <w:rFonts w:ascii="Verdana" w:hAnsi="Verdana"/>
        </w:rPr>
      </w:pPr>
    </w:p>
    <w:p w14:paraId="285A3CB9" w14:textId="77777777" w:rsidR="001D1817" w:rsidRDefault="001D1817" w:rsidP="001D1817">
      <w:pPr>
        <w:spacing w:after="0"/>
        <w:rPr>
          <w:rFonts w:ascii="Verdana" w:hAnsi="Verdana"/>
        </w:rPr>
      </w:pPr>
    </w:p>
    <w:p w14:paraId="28D8547C" w14:textId="77777777" w:rsidR="001D1817" w:rsidRDefault="001D1817" w:rsidP="001D1817">
      <w:pPr>
        <w:spacing w:after="0"/>
        <w:rPr>
          <w:rFonts w:ascii="Verdana" w:hAnsi="Verdana"/>
        </w:rPr>
      </w:pPr>
    </w:p>
    <w:p w14:paraId="0E2DD345" w14:textId="77777777" w:rsidR="001D1817" w:rsidRDefault="001D1817" w:rsidP="001D1817">
      <w:pPr>
        <w:spacing w:after="0"/>
        <w:rPr>
          <w:rFonts w:ascii="Verdana" w:hAnsi="Verdana"/>
        </w:rPr>
      </w:pPr>
    </w:p>
    <w:p w14:paraId="0F0EB6B7" w14:textId="77777777" w:rsidR="001D1817" w:rsidRDefault="001D1817" w:rsidP="001D1817">
      <w:pPr>
        <w:spacing w:after="0"/>
        <w:rPr>
          <w:rFonts w:ascii="Verdana" w:hAnsi="Verdana"/>
        </w:rPr>
      </w:pPr>
    </w:p>
    <w:p w14:paraId="42844A3F" w14:textId="77777777" w:rsidR="001D1817" w:rsidRDefault="001D1817" w:rsidP="001D1817">
      <w:pPr>
        <w:spacing w:after="0"/>
        <w:rPr>
          <w:rFonts w:ascii="Verdana" w:hAnsi="Verdana"/>
        </w:rPr>
      </w:pPr>
    </w:p>
    <w:p w14:paraId="68211C77" w14:textId="77777777" w:rsidR="001D1817" w:rsidRDefault="001D1817" w:rsidP="001D1817">
      <w:pPr>
        <w:spacing w:after="0"/>
        <w:rPr>
          <w:rFonts w:ascii="Verdana" w:hAnsi="Verdana"/>
        </w:rPr>
      </w:pPr>
    </w:p>
    <w:p w14:paraId="594DE94E" w14:textId="1CA55D11" w:rsidR="001D1817" w:rsidRPr="0044528D" w:rsidRDefault="001D1817" w:rsidP="001D1817">
      <w:pPr>
        <w:spacing w:after="0"/>
        <w:rPr>
          <w:rFonts w:ascii="Verdana" w:hAnsi="Verdana"/>
        </w:rPr>
      </w:pPr>
      <w:r w:rsidRPr="0044528D">
        <w:rPr>
          <w:rFonts w:ascii="Verdana" w:hAnsi="Verdana"/>
        </w:rPr>
        <w:lastRenderedPageBreak/>
        <w:t xml:space="preserve">Bogotá D.C., </w:t>
      </w:r>
      <w:r w:rsidR="00D40517">
        <w:rPr>
          <w:rFonts w:ascii="Verdana" w:hAnsi="Verdana"/>
        </w:rPr>
        <w:t>14 de octubre de 2025</w:t>
      </w:r>
    </w:p>
    <w:p w14:paraId="1CFC3AA4" w14:textId="09D11FDE" w:rsidR="001D1817" w:rsidRDefault="001D1817" w:rsidP="001D1817">
      <w:pPr>
        <w:spacing w:after="0"/>
        <w:rPr>
          <w:rFonts w:ascii="Verdana" w:hAnsi="Verdana"/>
        </w:rPr>
      </w:pPr>
    </w:p>
    <w:p w14:paraId="044F8CA3" w14:textId="24E901E9" w:rsidR="004311C8" w:rsidRPr="00044A56" w:rsidRDefault="004311C8" w:rsidP="004311C8">
      <w:pPr>
        <w:spacing w:after="0"/>
        <w:jc w:val="right"/>
        <w:rPr>
          <w:rFonts w:ascii="Verdana" w:hAnsi="Verdana"/>
        </w:rPr>
      </w:pPr>
      <w:r w:rsidRPr="004311C8">
        <w:rPr>
          <w:rFonts w:ascii="Verdana" w:hAnsi="Verdana"/>
          <w:noProof/>
        </w:rPr>
        <w:drawing>
          <wp:inline distT="0" distB="0" distL="0" distR="0" wp14:anchorId="19FB0E88" wp14:editId="005E26E6">
            <wp:extent cx="3481297" cy="927375"/>
            <wp:effectExtent l="0" t="0" r="5080" b="6350"/>
            <wp:docPr id="1025610202"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610202" name="Imagen 1" descr="Interfaz de usuario gráfica, Texto, Aplicación&#10;&#10;El contenido generado por IA puede ser incorrecto."/>
                    <pic:cNvPicPr/>
                  </pic:nvPicPr>
                  <pic:blipFill>
                    <a:blip r:embed="rId7"/>
                    <a:stretch>
                      <a:fillRect/>
                    </a:stretch>
                  </pic:blipFill>
                  <pic:spPr>
                    <a:xfrm>
                      <a:off x="0" y="0"/>
                      <a:ext cx="3492945" cy="930478"/>
                    </a:xfrm>
                    <a:prstGeom prst="rect">
                      <a:avLst/>
                    </a:prstGeom>
                  </pic:spPr>
                </pic:pic>
              </a:graphicData>
            </a:graphic>
          </wp:inline>
        </w:drawing>
      </w:r>
    </w:p>
    <w:p w14:paraId="13626F3C" w14:textId="77777777" w:rsidR="001D1817" w:rsidRPr="00F65D2B" w:rsidRDefault="001D1817" w:rsidP="001D1817">
      <w:pPr>
        <w:spacing w:after="0" w:line="240" w:lineRule="auto"/>
        <w:jc w:val="right"/>
        <w:rPr>
          <w:rFonts w:ascii="Verdana" w:eastAsia="Calibri" w:hAnsi="Verdana" w:cs="Arial"/>
          <w:bCs/>
          <w:noProof/>
          <w:color w:val="000000" w:themeColor="text1"/>
          <w:lang w:eastAsia="es-ES_tradnl"/>
        </w:rPr>
      </w:pPr>
    </w:p>
    <w:p w14:paraId="4252197A" w14:textId="77777777" w:rsidR="001D1817" w:rsidRPr="00F65D2B" w:rsidRDefault="001D1817" w:rsidP="001D1817">
      <w:pPr>
        <w:spacing w:after="0" w:line="240"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Señor</w:t>
      </w:r>
    </w:p>
    <w:p w14:paraId="62A83E80" w14:textId="77777777" w:rsidR="001D1817" w:rsidRDefault="001D1817" w:rsidP="001D1817">
      <w:pPr>
        <w:spacing w:after="0" w:line="240" w:lineRule="auto"/>
        <w:jc w:val="both"/>
        <w:rPr>
          <w:rFonts w:ascii="Verdana" w:eastAsia="Calibri" w:hAnsi="Verdana" w:cs="Arial"/>
          <w:b/>
          <w:color w:val="000000" w:themeColor="text1"/>
          <w:lang w:eastAsia="es-ES_tradnl"/>
        </w:rPr>
      </w:pPr>
      <w:r w:rsidRPr="00D770F7">
        <w:rPr>
          <w:rFonts w:ascii="Verdana" w:eastAsia="Calibri" w:hAnsi="Verdana" w:cs="Arial"/>
          <w:b/>
          <w:color w:val="000000" w:themeColor="text1"/>
          <w:lang w:eastAsia="es-ES_tradnl"/>
        </w:rPr>
        <w:t>Carlos Julio</w:t>
      </w:r>
      <w:r>
        <w:rPr>
          <w:rFonts w:ascii="Verdana" w:eastAsia="Calibri" w:hAnsi="Verdana" w:cs="Arial"/>
          <w:b/>
          <w:color w:val="000000" w:themeColor="text1"/>
          <w:lang w:eastAsia="es-ES_tradnl"/>
        </w:rPr>
        <w:t xml:space="preserve"> </w:t>
      </w:r>
      <w:r w:rsidRPr="00D770F7">
        <w:rPr>
          <w:rFonts w:ascii="Verdana" w:eastAsia="Calibri" w:hAnsi="Verdana" w:cs="Arial"/>
          <w:b/>
          <w:color w:val="000000" w:themeColor="text1"/>
          <w:lang w:eastAsia="es-ES_tradnl"/>
        </w:rPr>
        <w:t>Contreras</w:t>
      </w:r>
    </w:p>
    <w:p w14:paraId="6B72A4E4" w14:textId="77777777" w:rsidR="001D1817" w:rsidRPr="00D770F7" w:rsidRDefault="001D1817" w:rsidP="001D1817">
      <w:pPr>
        <w:spacing w:after="0" w:line="240" w:lineRule="auto"/>
        <w:rPr>
          <w:rFonts w:ascii="Verdana" w:eastAsia="Calibri" w:hAnsi="Verdana" w:cs="Arial"/>
          <w:color w:val="000000" w:themeColor="text1"/>
          <w:lang w:eastAsia="es-ES"/>
        </w:rPr>
      </w:pPr>
      <w:hyperlink r:id="rId8" w:history="1">
        <w:r w:rsidRPr="003642CB">
          <w:rPr>
            <w:rStyle w:val="Hipervnculo"/>
            <w:rFonts w:ascii="Verdana" w:eastAsia="Calibri" w:hAnsi="Verdana" w:cs="Arial"/>
            <w:lang w:eastAsia="es-ES"/>
          </w:rPr>
          <w:t>carlosjulio.contrerasmarin@gmail.com</w:t>
        </w:r>
      </w:hyperlink>
      <w:r>
        <w:rPr>
          <w:rFonts w:ascii="Verdana" w:eastAsia="Calibri" w:hAnsi="Verdana" w:cs="Arial"/>
          <w:color w:val="000000" w:themeColor="text1"/>
          <w:lang w:eastAsia="es-ES"/>
        </w:rPr>
        <w:t xml:space="preserve"> </w:t>
      </w:r>
    </w:p>
    <w:p w14:paraId="282CAA5A" w14:textId="77777777" w:rsidR="001D1817" w:rsidRPr="00F65D2B" w:rsidRDefault="001D1817" w:rsidP="001D1817">
      <w:pPr>
        <w:spacing w:after="0" w:line="240" w:lineRule="auto"/>
        <w:rPr>
          <w:rFonts w:ascii="Verdana" w:eastAsia="Calibri" w:hAnsi="Verdana" w:cs="Arial"/>
          <w:bCs/>
          <w:color w:val="000000" w:themeColor="text1"/>
          <w:lang w:eastAsia="es-ES_tradnl"/>
        </w:rPr>
      </w:pPr>
      <w:r>
        <w:rPr>
          <w:rFonts w:ascii="Verdana" w:eastAsia="Calibri" w:hAnsi="Verdana" w:cs="Arial"/>
          <w:color w:val="000000" w:themeColor="text1"/>
          <w:lang w:eastAsia="es-ES"/>
        </w:rPr>
        <w:t>Bolívar, Cartagena</w:t>
      </w:r>
    </w:p>
    <w:p w14:paraId="54900B59" w14:textId="77777777" w:rsidR="001D1817" w:rsidRPr="00F65D2B" w:rsidRDefault="001D1817" w:rsidP="001D1817">
      <w:pPr>
        <w:spacing w:after="0" w:line="240" w:lineRule="auto"/>
        <w:rPr>
          <w:rFonts w:ascii="Verdana" w:eastAsia="Calibri" w:hAnsi="Verdana" w:cs="Arial"/>
          <w:b/>
          <w:bCs/>
          <w:color w:val="000000" w:themeColor="text1"/>
          <w:lang w:eastAsia="es-ES_tradnl"/>
        </w:rPr>
      </w:pPr>
    </w:p>
    <w:p w14:paraId="35102834" w14:textId="77777777" w:rsidR="001D1817" w:rsidRPr="00F65D2B" w:rsidRDefault="001D1817" w:rsidP="001D1817">
      <w:pPr>
        <w:spacing w:after="0" w:line="240" w:lineRule="auto"/>
        <w:rPr>
          <w:rFonts w:ascii="Verdana" w:eastAsia="Calibri" w:hAnsi="Verdana" w:cs="Arial"/>
          <w:b/>
          <w:bCs/>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D1817" w:rsidRPr="00F65D2B" w14:paraId="28974861" w14:textId="77777777" w:rsidTr="009D1989">
        <w:trPr>
          <w:trHeight w:val="304"/>
        </w:trPr>
        <w:tc>
          <w:tcPr>
            <w:tcW w:w="2689" w:type="dxa"/>
          </w:tcPr>
          <w:p w14:paraId="47E328AF" w14:textId="77777777" w:rsidR="001D1817" w:rsidRPr="00F65D2B" w:rsidRDefault="001D1817" w:rsidP="009D1989">
            <w:pPr>
              <w:jc w:val="both"/>
              <w:rPr>
                <w:rFonts w:ascii="Verdana" w:eastAsia="Calibri" w:hAnsi="Verdana" w:cs="Arial"/>
                <w:b/>
                <w:bCs/>
                <w:color w:val="000000" w:themeColor="text1"/>
                <w:lang w:eastAsia="es-ES_tradnl"/>
              </w:rPr>
            </w:pPr>
          </w:p>
        </w:tc>
        <w:tc>
          <w:tcPr>
            <w:tcW w:w="6100" w:type="dxa"/>
          </w:tcPr>
          <w:p w14:paraId="709C9A96" w14:textId="77777777" w:rsidR="001D1817" w:rsidRPr="00F65D2B" w:rsidRDefault="001D1817" w:rsidP="009D1989">
            <w:pPr>
              <w:jc w:val="both"/>
              <w:rPr>
                <w:rFonts w:ascii="Verdana" w:eastAsia="Calibri" w:hAnsi="Verdana" w:cs="Arial"/>
                <w:b/>
                <w:bCs/>
                <w:color w:val="000000" w:themeColor="text1"/>
                <w:lang w:eastAsia="es-ES"/>
              </w:rPr>
            </w:pPr>
            <w:r w:rsidRPr="00F65D2B">
              <w:rPr>
                <w:rFonts w:ascii="Verdana" w:eastAsia="Calibri" w:hAnsi="Verdana" w:cs="Arial"/>
                <w:b/>
                <w:bCs/>
                <w:color w:val="000000" w:themeColor="text1"/>
                <w:lang w:eastAsia="es-ES"/>
              </w:rPr>
              <w:t>Concepto C-12</w:t>
            </w:r>
            <w:r>
              <w:rPr>
                <w:rFonts w:ascii="Verdana" w:eastAsia="Calibri" w:hAnsi="Verdana" w:cs="Arial"/>
                <w:b/>
                <w:bCs/>
                <w:color w:val="000000" w:themeColor="text1"/>
                <w:lang w:eastAsia="es-ES"/>
              </w:rPr>
              <w:t>66</w:t>
            </w:r>
            <w:r w:rsidRPr="00F65D2B">
              <w:rPr>
                <w:rFonts w:ascii="Verdana" w:eastAsia="Calibri" w:hAnsi="Verdana" w:cs="Arial"/>
                <w:b/>
                <w:bCs/>
                <w:color w:val="000000" w:themeColor="text1"/>
                <w:lang w:eastAsia="es-ES"/>
              </w:rPr>
              <w:t xml:space="preserve"> de 2025</w:t>
            </w:r>
          </w:p>
          <w:p w14:paraId="42E3649A" w14:textId="77777777" w:rsidR="001D1817" w:rsidRPr="00F65D2B" w:rsidRDefault="001D1817" w:rsidP="009D1989">
            <w:pPr>
              <w:jc w:val="both"/>
              <w:rPr>
                <w:rFonts w:ascii="Verdana" w:eastAsia="Calibri" w:hAnsi="Verdana" w:cs="Arial"/>
                <w:b/>
                <w:bCs/>
                <w:color w:val="000000" w:themeColor="text1"/>
                <w:lang w:eastAsia="es-ES"/>
              </w:rPr>
            </w:pPr>
          </w:p>
        </w:tc>
      </w:tr>
      <w:tr w:rsidR="001D1817" w:rsidRPr="00F65D2B" w14:paraId="136D1E5F" w14:textId="77777777" w:rsidTr="009D1989">
        <w:trPr>
          <w:trHeight w:val="884"/>
        </w:trPr>
        <w:tc>
          <w:tcPr>
            <w:tcW w:w="2689" w:type="dxa"/>
          </w:tcPr>
          <w:p w14:paraId="4EC0824F" w14:textId="77777777" w:rsidR="001D1817" w:rsidRPr="00F65D2B" w:rsidRDefault="001D1817" w:rsidP="009D1989">
            <w:pPr>
              <w:jc w:val="both"/>
              <w:rPr>
                <w:rFonts w:ascii="Verdana" w:eastAsia="Calibri" w:hAnsi="Verdana" w:cs="Arial"/>
                <w:color w:val="000000" w:themeColor="text1"/>
                <w:lang w:eastAsia="es-ES_tradnl"/>
              </w:rPr>
            </w:pPr>
            <w:r w:rsidRPr="00F65D2B">
              <w:rPr>
                <w:rFonts w:ascii="Verdana" w:eastAsia="Calibri" w:hAnsi="Verdana" w:cs="Arial"/>
                <w:b/>
                <w:color w:val="000000" w:themeColor="text1"/>
                <w:lang w:eastAsia="es-ES_tradnl"/>
              </w:rPr>
              <w:t>Temas:</w:t>
            </w:r>
            <w:r w:rsidRPr="00F65D2B">
              <w:rPr>
                <w:rFonts w:ascii="Verdana" w:eastAsia="Calibri" w:hAnsi="Verdana" w:cs="Arial"/>
                <w:color w:val="000000" w:themeColor="text1"/>
                <w:lang w:eastAsia="es-ES_tradnl"/>
              </w:rPr>
              <w:t xml:space="preserve">                   </w:t>
            </w:r>
          </w:p>
        </w:tc>
        <w:tc>
          <w:tcPr>
            <w:tcW w:w="6100" w:type="dxa"/>
          </w:tcPr>
          <w:p w14:paraId="4A53FF11" w14:textId="77777777" w:rsidR="001D1817" w:rsidRPr="00F65D2B" w:rsidRDefault="001D1817" w:rsidP="009D1989">
            <w:pPr>
              <w:spacing w:line="276" w:lineRule="auto"/>
              <w:jc w:val="both"/>
              <w:rPr>
                <w:rFonts w:ascii="Verdana" w:eastAsia="Calibri" w:hAnsi="Verdana" w:cs="Arial"/>
                <w:color w:val="000000" w:themeColor="text1"/>
                <w:lang w:eastAsia="es-ES"/>
              </w:rPr>
            </w:pPr>
            <w:r w:rsidRPr="00E90B40">
              <w:rPr>
                <w:rFonts w:ascii="Verdana" w:eastAsia="Calibri" w:hAnsi="Verdana" w:cs="Arial"/>
                <w:color w:val="000000" w:themeColor="text1"/>
                <w:lang w:eastAsia="es-ES"/>
              </w:rPr>
              <w:t>CONCURSO DE MÉRITOS – Elemento esencial ― Idoneidad técnica del personal</w:t>
            </w:r>
            <w:r>
              <w:rPr>
                <w:rFonts w:ascii="Verdana" w:eastAsia="Calibri" w:hAnsi="Verdana" w:cs="Arial"/>
                <w:color w:val="000000" w:themeColor="text1"/>
                <w:lang w:eastAsia="es-ES"/>
              </w:rPr>
              <w:t xml:space="preserve"> / </w:t>
            </w:r>
            <w:r w:rsidRPr="00E90B40">
              <w:rPr>
                <w:rFonts w:ascii="Verdana" w:eastAsia="Calibri" w:hAnsi="Verdana" w:cs="Arial"/>
                <w:color w:val="000000" w:themeColor="text1"/>
                <w:lang w:eastAsia="es-ES"/>
              </w:rPr>
              <w:t>CONCURSO DE MÉRITOS ― Reglamentación ― Pliego de condiciones ― Factor ponderable</w:t>
            </w:r>
            <w:r>
              <w:rPr>
                <w:rFonts w:ascii="Verdana" w:eastAsia="Calibri" w:hAnsi="Verdana" w:cs="Arial"/>
                <w:color w:val="000000" w:themeColor="text1"/>
                <w:lang w:eastAsia="es-ES"/>
              </w:rPr>
              <w:t xml:space="preserve"> / </w:t>
            </w:r>
            <w:r w:rsidRPr="00E90B40">
              <w:rPr>
                <w:rFonts w:ascii="Verdana" w:eastAsia="Calibri" w:hAnsi="Verdana" w:cs="Arial"/>
                <w:color w:val="000000" w:themeColor="text1"/>
                <w:lang w:eastAsia="es-ES"/>
              </w:rPr>
              <w:t>ACREDITACIÓN EXPERIENCIA EQUIPO DE TRABAJO ― Documentos Tipo ― No prohíbe certificación expedida por oferente</w:t>
            </w:r>
            <w:r>
              <w:rPr>
                <w:rFonts w:ascii="Verdana" w:eastAsia="Calibri" w:hAnsi="Verdana" w:cs="Arial"/>
                <w:color w:val="000000" w:themeColor="text1"/>
                <w:lang w:eastAsia="es-ES"/>
              </w:rPr>
              <w:t xml:space="preserve"> / </w:t>
            </w:r>
            <w:r w:rsidRPr="00E90B40">
              <w:rPr>
                <w:rFonts w:ascii="Verdana" w:eastAsia="Calibri" w:hAnsi="Verdana" w:cs="Arial"/>
                <w:color w:val="000000" w:themeColor="text1"/>
                <w:lang w:eastAsia="es-ES"/>
              </w:rPr>
              <w:t>EQUIPO DE TRABAJO (PERSONAL CLAVE EVALUABLE) ― Reglas y mecanismos de acreditación de experiencia ― Facultad verificadora ― Discrecionalidad técnica y jurídica</w:t>
            </w:r>
          </w:p>
        </w:tc>
      </w:tr>
      <w:tr w:rsidR="001D1817" w:rsidRPr="00F65D2B" w14:paraId="309AD278" w14:textId="77777777" w:rsidTr="009D1989">
        <w:tc>
          <w:tcPr>
            <w:tcW w:w="2689" w:type="dxa"/>
          </w:tcPr>
          <w:p w14:paraId="5C32EB44" w14:textId="77777777" w:rsidR="001D1817" w:rsidRPr="00F65D2B" w:rsidRDefault="001D1817" w:rsidP="009D1989">
            <w:pPr>
              <w:jc w:val="both"/>
              <w:rPr>
                <w:rFonts w:ascii="Verdana" w:eastAsia="Calibri" w:hAnsi="Verdana" w:cs="Arial"/>
                <w:b/>
                <w:color w:val="000000" w:themeColor="text1"/>
                <w:lang w:eastAsia="es-ES_tradnl"/>
              </w:rPr>
            </w:pPr>
            <w:r w:rsidRPr="00F65D2B">
              <w:rPr>
                <w:rFonts w:ascii="Verdana" w:eastAsia="Calibri" w:hAnsi="Verdana" w:cs="Arial"/>
                <w:b/>
                <w:color w:val="000000" w:themeColor="text1"/>
                <w:lang w:eastAsia="es-ES_tradnl"/>
              </w:rPr>
              <w:t>Radicación:</w:t>
            </w:r>
            <w:r w:rsidRPr="00F65D2B">
              <w:rPr>
                <w:rFonts w:ascii="Verdana" w:eastAsia="Calibri" w:hAnsi="Verdana" w:cs="Arial"/>
                <w:color w:val="000000" w:themeColor="text1"/>
                <w:lang w:eastAsia="es-ES_tradnl"/>
              </w:rPr>
              <w:t xml:space="preserve">               </w:t>
            </w:r>
          </w:p>
        </w:tc>
        <w:tc>
          <w:tcPr>
            <w:tcW w:w="6100" w:type="dxa"/>
          </w:tcPr>
          <w:p w14:paraId="287877DB" w14:textId="77777777" w:rsidR="001D1817" w:rsidRPr="00F65D2B" w:rsidRDefault="001D1817" w:rsidP="009D1989">
            <w:pPr>
              <w:jc w:val="both"/>
              <w:rPr>
                <w:rFonts w:ascii="Verdana" w:eastAsia="Calibri" w:hAnsi="Verdana" w:cs="Arial"/>
                <w:color w:val="000000" w:themeColor="text1"/>
                <w:lang w:eastAsia="es-ES_tradnl"/>
              </w:rPr>
            </w:pPr>
            <w:r w:rsidRPr="00F65D2B">
              <w:rPr>
                <w:rFonts w:ascii="Verdana" w:eastAsia="Calibri" w:hAnsi="Verdana" w:cs="Arial"/>
                <w:color w:val="000000" w:themeColor="text1"/>
                <w:lang w:eastAsia="es-ES_tradnl"/>
              </w:rPr>
              <w:t xml:space="preserve">Respuesta a consulta con radicado No. </w:t>
            </w:r>
            <w:r w:rsidRPr="000F6641">
              <w:rPr>
                <w:rFonts w:ascii="Verdana" w:eastAsia="Calibri" w:hAnsi="Verdana" w:cs="Arial"/>
                <w:color w:val="000000" w:themeColor="text1"/>
                <w:lang w:eastAsia="es-ES_tradnl"/>
              </w:rPr>
              <w:t>1_2025_09_04_009593</w:t>
            </w:r>
          </w:p>
        </w:tc>
      </w:tr>
    </w:tbl>
    <w:p w14:paraId="3E890B21" w14:textId="77777777" w:rsidR="001D1817" w:rsidRPr="00F65D2B" w:rsidRDefault="001D1817" w:rsidP="001D1817">
      <w:pPr>
        <w:spacing w:after="0" w:line="276" w:lineRule="auto"/>
        <w:jc w:val="both"/>
        <w:rPr>
          <w:rFonts w:ascii="Verdana" w:eastAsia="Calibri" w:hAnsi="Verdana" w:cs="Arial"/>
          <w:color w:val="000000" w:themeColor="text1"/>
          <w:lang w:eastAsia="es-ES_tradnl"/>
        </w:rPr>
      </w:pPr>
    </w:p>
    <w:p w14:paraId="2A7CBA0C" w14:textId="77777777" w:rsidR="001D1817" w:rsidRPr="00F65D2B" w:rsidRDefault="001D1817" w:rsidP="001D1817">
      <w:pPr>
        <w:spacing w:after="0" w:line="276"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 xml:space="preserve">Estimado señor </w:t>
      </w:r>
      <w:r>
        <w:rPr>
          <w:rFonts w:ascii="Verdana" w:eastAsia="Calibri" w:hAnsi="Verdana" w:cs="Arial"/>
          <w:color w:val="000000" w:themeColor="text1"/>
          <w:lang w:eastAsia="es-ES"/>
        </w:rPr>
        <w:t>Contreras</w:t>
      </w:r>
      <w:r w:rsidRPr="00F65D2B">
        <w:rPr>
          <w:rFonts w:ascii="Verdana" w:eastAsia="Calibri" w:hAnsi="Verdana" w:cs="Arial"/>
          <w:color w:val="000000" w:themeColor="text1"/>
          <w:lang w:eastAsia="es-ES"/>
        </w:rPr>
        <w:t xml:space="preserve">: </w:t>
      </w:r>
    </w:p>
    <w:p w14:paraId="0DFA15A9" w14:textId="77777777" w:rsidR="001D1817" w:rsidRPr="00F65D2B" w:rsidRDefault="001D1817" w:rsidP="001D1817">
      <w:pPr>
        <w:tabs>
          <w:tab w:val="left" w:pos="3768"/>
        </w:tabs>
        <w:spacing w:after="0" w:line="276"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ab/>
      </w:r>
    </w:p>
    <w:p w14:paraId="4E1DA9D1" w14:textId="77777777" w:rsidR="001D1817" w:rsidRPr="00F65D2B" w:rsidRDefault="001D1817" w:rsidP="001D1817">
      <w:pPr>
        <w:spacing w:after="0" w:line="276"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En ejercicio de la competencia otorgada por los artículos 3, numeral 5º, y 11, numeral 8º, del Decreto Ley 4170 de 2011,</w:t>
      </w:r>
      <w:r w:rsidRPr="00F65D2B">
        <w:rPr>
          <w:rFonts w:ascii="Verdana" w:eastAsia="Arial MT" w:hAnsi="Verdana" w:cs="Arial MT"/>
          <w:color w:val="000000" w:themeColor="text1"/>
          <w:lang w:eastAsia="es-ES"/>
        </w:rPr>
        <w:t xml:space="preserve"> </w:t>
      </w:r>
      <w:r w:rsidRPr="00F65D2B">
        <w:rPr>
          <w:rFonts w:ascii="Verdana" w:eastAsia="Calibri" w:hAnsi="Verdana" w:cs="Times New Roman"/>
        </w:rPr>
        <w:t xml:space="preserve">la Agencia Nacional de Contratación Pública – Colombia Compra Eficiente– da respuesta a la solicitud radicada el </w:t>
      </w:r>
      <w:r>
        <w:rPr>
          <w:rFonts w:ascii="Verdana" w:eastAsia="Calibri" w:hAnsi="Verdana" w:cs="Times New Roman"/>
        </w:rPr>
        <w:t>4</w:t>
      </w:r>
      <w:r w:rsidRPr="00F65D2B">
        <w:rPr>
          <w:rFonts w:ascii="Verdana" w:eastAsia="Calibri" w:hAnsi="Verdana" w:cs="Times New Roman"/>
        </w:rPr>
        <w:t xml:space="preserve"> de </w:t>
      </w:r>
      <w:r>
        <w:rPr>
          <w:rFonts w:ascii="Verdana" w:eastAsia="Calibri" w:hAnsi="Verdana" w:cs="Times New Roman"/>
        </w:rPr>
        <w:t>septiembre</w:t>
      </w:r>
      <w:r w:rsidRPr="00F65D2B">
        <w:rPr>
          <w:rFonts w:ascii="Verdana" w:eastAsia="Calibri" w:hAnsi="Verdana" w:cs="Times New Roman"/>
        </w:rPr>
        <w:t xml:space="preserve"> de 2025, mediante la cual consulta:</w:t>
      </w:r>
    </w:p>
    <w:p w14:paraId="6308A452" w14:textId="77777777" w:rsidR="001D1817" w:rsidRPr="00F65D2B" w:rsidRDefault="001D1817" w:rsidP="001D1817">
      <w:pPr>
        <w:spacing w:after="0" w:line="276" w:lineRule="auto"/>
        <w:jc w:val="both"/>
        <w:rPr>
          <w:rFonts w:ascii="Verdana" w:eastAsia="Calibri" w:hAnsi="Verdana" w:cs="Arial"/>
          <w:color w:val="000000" w:themeColor="text1"/>
          <w:lang w:eastAsia="es-ES"/>
        </w:rPr>
      </w:pPr>
    </w:p>
    <w:p w14:paraId="5D94BF1F" w14:textId="77777777" w:rsidR="001D1817" w:rsidRDefault="001D1817" w:rsidP="001D1817">
      <w:pPr>
        <w:spacing w:after="0" w:line="240" w:lineRule="auto"/>
        <w:ind w:left="709" w:right="709"/>
        <w:jc w:val="both"/>
        <w:rPr>
          <w:rFonts w:ascii="Verdana" w:eastAsia="Century Gothic" w:hAnsi="Verdana" w:cs="Century Gothic"/>
          <w:color w:val="000000" w:themeColor="text1"/>
          <w:sz w:val="20"/>
          <w:szCs w:val="20"/>
        </w:rPr>
      </w:pPr>
      <w:bookmarkStart w:id="0" w:name="_Hlk95313578"/>
      <w:r w:rsidRPr="00F65D2B">
        <w:rPr>
          <w:rFonts w:ascii="Verdana" w:eastAsia="Century Gothic" w:hAnsi="Verdana" w:cs="Century Gothic"/>
          <w:color w:val="000000" w:themeColor="text1"/>
          <w:sz w:val="20"/>
          <w:szCs w:val="20"/>
        </w:rPr>
        <w:t>“[…]</w:t>
      </w:r>
      <w:r>
        <w:rPr>
          <w:rFonts w:ascii="Verdana" w:eastAsia="Century Gothic" w:hAnsi="Verdana" w:cs="Century Gothic"/>
          <w:color w:val="000000" w:themeColor="text1"/>
          <w:sz w:val="20"/>
          <w:szCs w:val="20"/>
        </w:rPr>
        <w:t xml:space="preserve"> </w:t>
      </w:r>
      <w:r w:rsidRPr="009D24DF">
        <w:rPr>
          <w:rFonts w:ascii="Verdana" w:eastAsia="Century Gothic" w:hAnsi="Verdana" w:cs="Century Gothic"/>
          <w:color w:val="000000" w:themeColor="text1"/>
          <w:sz w:val="20"/>
          <w:szCs w:val="20"/>
        </w:rPr>
        <w:t xml:space="preserve">Solicitó concepto sobre la siguiente situación general: </w:t>
      </w:r>
    </w:p>
    <w:p w14:paraId="2E74E03B" w14:textId="77777777" w:rsidR="001D1817" w:rsidRDefault="001D1817" w:rsidP="001D1817">
      <w:pPr>
        <w:spacing w:after="0" w:line="240" w:lineRule="auto"/>
        <w:ind w:left="709" w:right="709"/>
        <w:jc w:val="both"/>
        <w:rPr>
          <w:rFonts w:ascii="Verdana" w:eastAsia="Century Gothic" w:hAnsi="Verdana" w:cs="Century Gothic"/>
          <w:color w:val="000000" w:themeColor="text1"/>
          <w:sz w:val="20"/>
          <w:szCs w:val="20"/>
        </w:rPr>
      </w:pPr>
    </w:p>
    <w:p w14:paraId="54CAF459" w14:textId="77777777" w:rsidR="001D1817" w:rsidRDefault="001D1817" w:rsidP="001D1817">
      <w:pPr>
        <w:spacing w:after="0" w:line="240" w:lineRule="auto"/>
        <w:ind w:left="709" w:right="709"/>
        <w:jc w:val="both"/>
        <w:rPr>
          <w:rFonts w:ascii="Verdana" w:eastAsia="Century Gothic" w:hAnsi="Verdana" w:cs="Century Gothic"/>
          <w:color w:val="000000" w:themeColor="text1"/>
          <w:sz w:val="20"/>
          <w:szCs w:val="20"/>
        </w:rPr>
      </w:pPr>
      <w:r w:rsidRPr="009D24DF">
        <w:rPr>
          <w:rFonts w:ascii="Verdana" w:eastAsia="Century Gothic" w:hAnsi="Verdana" w:cs="Century Gothic"/>
          <w:color w:val="000000" w:themeColor="text1"/>
          <w:sz w:val="20"/>
          <w:szCs w:val="20"/>
        </w:rPr>
        <w:t xml:space="preserve">una empresa denominada XYZ se presenta a un proceso de selección en el SECOP2, y está al enviar las hojas de vida del equipo mínimo de trabajo incluye para alguno de su personal ofertado, una certificación expedida por la misma empresa XYZ. Mi pregunta es: </w:t>
      </w:r>
    </w:p>
    <w:p w14:paraId="090CEE06" w14:textId="77777777" w:rsidR="001D1817" w:rsidRDefault="001D1817" w:rsidP="001D1817">
      <w:pPr>
        <w:spacing w:after="0" w:line="240" w:lineRule="auto"/>
        <w:ind w:left="709" w:right="709"/>
        <w:jc w:val="both"/>
        <w:rPr>
          <w:rFonts w:ascii="Verdana" w:eastAsia="Century Gothic" w:hAnsi="Verdana" w:cs="Century Gothic"/>
          <w:color w:val="000000" w:themeColor="text1"/>
          <w:sz w:val="20"/>
          <w:szCs w:val="20"/>
        </w:rPr>
      </w:pPr>
    </w:p>
    <w:p w14:paraId="5014210A" w14:textId="77777777" w:rsidR="001D1817" w:rsidRDefault="001D1817" w:rsidP="001D1817">
      <w:pPr>
        <w:spacing w:after="0" w:line="240" w:lineRule="auto"/>
        <w:ind w:left="709" w:right="709"/>
        <w:jc w:val="both"/>
        <w:rPr>
          <w:rFonts w:ascii="Verdana" w:eastAsia="Century Gothic" w:hAnsi="Verdana" w:cs="Century Gothic"/>
          <w:color w:val="000000" w:themeColor="text1"/>
          <w:sz w:val="20"/>
          <w:szCs w:val="20"/>
        </w:rPr>
      </w:pPr>
      <w:r w:rsidRPr="009D24DF">
        <w:rPr>
          <w:rFonts w:ascii="Verdana" w:eastAsia="Century Gothic" w:hAnsi="Verdana" w:cs="Century Gothic"/>
          <w:color w:val="000000" w:themeColor="text1"/>
          <w:sz w:val="20"/>
          <w:szCs w:val="20"/>
        </w:rPr>
        <w:t xml:space="preserve">¿Se puede considerar una auto certificación? </w:t>
      </w:r>
    </w:p>
    <w:p w14:paraId="2F4453B3" w14:textId="77777777" w:rsidR="001D1817" w:rsidRDefault="001D1817" w:rsidP="001D1817">
      <w:pPr>
        <w:spacing w:after="0" w:line="240" w:lineRule="auto"/>
        <w:ind w:left="709" w:right="709"/>
        <w:jc w:val="both"/>
        <w:rPr>
          <w:rFonts w:ascii="Verdana" w:eastAsia="Century Gothic" w:hAnsi="Verdana" w:cs="Century Gothic"/>
          <w:color w:val="000000" w:themeColor="text1"/>
          <w:sz w:val="20"/>
          <w:szCs w:val="20"/>
        </w:rPr>
      </w:pPr>
    </w:p>
    <w:p w14:paraId="6B4BD669" w14:textId="77777777" w:rsidR="001D1817" w:rsidRDefault="001D1817" w:rsidP="001D1817">
      <w:pPr>
        <w:spacing w:after="0" w:line="240" w:lineRule="auto"/>
        <w:ind w:left="709" w:right="709"/>
        <w:jc w:val="both"/>
        <w:rPr>
          <w:rFonts w:ascii="Verdana" w:eastAsia="Century Gothic" w:hAnsi="Verdana" w:cs="Century Gothic"/>
          <w:color w:val="000000" w:themeColor="text1"/>
          <w:sz w:val="20"/>
          <w:szCs w:val="20"/>
        </w:rPr>
      </w:pPr>
      <w:r w:rsidRPr="009D24DF">
        <w:rPr>
          <w:rFonts w:ascii="Verdana" w:eastAsia="Century Gothic" w:hAnsi="Verdana" w:cs="Century Gothic"/>
          <w:color w:val="000000" w:themeColor="text1"/>
          <w:sz w:val="20"/>
          <w:szCs w:val="20"/>
        </w:rPr>
        <w:t>¿existen mecanismos para evitar las certificaciones de los oferentes que no tengan una prueba solida que la experiencia no es inventada?</w:t>
      </w:r>
      <w:r>
        <w:rPr>
          <w:rFonts w:ascii="Verdana" w:eastAsia="Century Gothic" w:hAnsi="Verdana" w:cs="Century Gothic"/>
          <w:color w:val="000000" w:themeColor="text1"/>
          <w:sz w:val="20"/>
          <w:szCs w:val="20"/>
        </w:rPr>
        <w:t xml:space="preserve"> </w:t>
      </w:r>
    </w:p>
    <w:p w14:paraId="576D78EC" w14:textId="77777777" w:rsidR="001D1817" w:rsidRDefault="001D1817" w:rsidP="001D1817">
      <w:pPr>
        <w:spacing w:after="0" w:line="240" w:lineRule="auto"/>
        <w:ind w:left="709" w:right="709"/>
        <w:jc w:val="both"/>
        <w:rPr>
          <w:rFonts w:ascii="Verdana" w:eastAsia="Century Gothic" w:hAnsi="Verdana" w:cs="Century Gothic"/>
          <w:color w:val="000000" w:themeColor="text1"/>
          <w:sz w:val="20"/>
          <w:szCs w:val="20"/>
        </w:rPr>
      </w:pPr>
    </w:p>
    <w:p w14:paraId="1DC4DC77" w14:textId="77777777" w:rsidR="001D1817" w:rsidRDefault="001D1817" w:rsidP="001D1817">
      <w:pPr>
        <w:spacing w:after="0" w:line="240" w:lineRule="auto"/>
        <w:ind w:left="709" w:right="709"/>
        <w:jc w:val="both"/>
        <w:rPr>
          <w:rFonts w:ascii="Verdana" w:eastAsia="Century Gothic" w:hAnsi="Verdana" w:cs="Century Gothic"/>
          <w:color w:val="000000" w:themeColor="text1"/>
          <w:sz w:val="20"/>
          <w:szCs w:val="20"/>
        </w:rPr>
      </w:pPr>
      <w:r w:rsidRPr="009D24DF">
        <w:rPr>
          <w:rFonts w:ascii="Verdana" w:eastAsia="Century Gothic" w:hAnsi="Verdana" w:cs="Century Gothic"/>
          <w:color w:val="000000" w:themeColor="text1"/>
          <w:sz w:val="20"/>
          <w:szCs w:val="20"/>
        </w:rPr>
        <w:t>¿existe la posibilidad de que el oferente si pueda certificar a su equipo de trabajo, cumpliendo solo el formalismo de los pliegos en cuanto al contenido del mismo?</w:t>
      </w:r>
      <w:r>
        <w:rPr>
          <w:rFonts w:ascii="Verdana" w:eastAsia="Century Gothic" w:hAnsi="Verdana" w:cs="Century Gothic"/>
          <w:color w:val="000000" w:themeColor="text1"/>
          <w:sz w:val="20"/>
          <w:szCs w:val="20"/>
        </w:rPr>
        <w:t xml:space="preserve"> </w:t>
      </w:r>
    </w:p>
    <w:p w14:paraId="244A75D5" w14:textId="77777777" w:rsidR="001D1817" w:rsidRDefault="001D1817" w:rsidP="001D1817">
      <w:pPr>
        <w:spacing w:after="0" w:line="240" w:lineRule="auto"/>
        <w:ind w:left="709" w:right="709"/>
        <w:jc w:val="both"/>
        <w:rPr>
          <w:rFonts w:ascii="Verdana" w:eastAsia="Century Gothic" w:hAnsi="Verdana" w:cs="Century Gothic"/>
          <w:color w:val="000000" w:themeColor="text1"/>
          <w:sz w:val="20"/>
          <w:szCs w:val="20"/>
        </w:rPr>
      </w:pPr>
    </w:p>
    <w:p w14:paraId="5797337C" w14:textId="77777777" w:rsidR="001D1817" w:rsidRPr="00F65D2B" w:rsidRDefault="001D1817" w:rsidP="001D1817">
      <w:pPr>
        <w:spacing w:after="0" w:line="240" w:lineRule="auto"/>
        <w:ind w:left="709" w:right="709"/>
        <w:jc w:val="both"/>
        <w:rPr>
          <w:rFonts w:ascii="Verdana" w:eastAsia="Century Gothic" w:hAnsi="Verdana" w:cs="Century Gothic"/>
          <w:color w:val="000000" w:themeColor="text1"/>
          <w:sz w:val="20"/>
          <w:szCs w:val="20"/>
        </w:rPr>
      </w:pPr>
      <w:r w:rsidRPr="009D24DF">
        <w:rPr>
          <w:rFonts w:ascii="Verdana" w:eastAsia="Century Gothic" w:hAnsi="Verdana" w:cs="Century Gothic"/>
          <w:color w:val="000000" w:themeColor="text1"/>
          <w:sz w:val="20"/>
          <w:szCs w:val="20"/>
        </w:rPr>
        <w:t>¿existe alguna norma, pronunciamiento, jurisprudencia o demás que permita que la entidad pueda rechazar una oferta si el oferente es quien certifica a su equipo de trabajo?</w:t>
      </w:r>
      <w:r w:rsidRPr="00F65D2B">
        <w:rPr>
          <w:rFonts w:ascii="Verdana" w:eastAsia="Century Gothic" w:hAnsi="Verdana" w:cs="Century Gothic"/>
          <w:color w:val="000000" w:themeColor="text1"/>
          <w:sz w:val="20"/>
          <w:szCs w:val="20"/>
        </w:rPr>
        <w:t>”.</w:t>
      </w:r>
      <w:bookmarkEnd w:id="0"/>
    </w:p>
    <w:p w14:paraId="5E9F0458" w14:textId="77777777" w:rsidR="001D1817" w:rsidRPr="00F65D2B" w:rsidRDefault="001D1817" w:rsidP="001D1817">
      <w:pPr>
        <w:spacing w:after="0" w:line="240" w:lineRule="auto"/>
        <w:ind w:firstLine="709"/>
        <w:contextualSpacing/>
        <w:jc w:val="both"/>
        <w:rPr>
          <w:rFonts w:ascii="Verdana" w:eastAsia="Calibri" w:hAnsi="Verdana" w:cs="Arial"/>
          <w:color w:val="000000" w:themeColor="text1"/>
          <w:lang w:eastAsia="es-ES"/>
        </w:rPr>
      </w:pPr>
    </w:p>
    <w:p w14:paraId="15769E2E" w14:textId="77777777" w:rsidR="001D1817" w:rsidRPr="00F65D2B" w:rsidRDefault="001D1817" w:rsidP="001D1817">
      <w:pPr>
        <w:spacing w:after="0" w:line="276" w:lineRule="auto"/>
        <w:ind w:firstLine="709"/>
        <w:contextualSpacing/>
        <w:jc w:val="both"/>
        <w:rPr>
          <w:rFonts w:ascii="Verdana" w:eastAsia="Calibri" w:hAnsi="Verdana" w:cs="Arial"/>
          <w:color w:val="000000" w:themeColor="text1"/>
          <w:szCs w:val="24"/>
          <w:lang w:eastAsia="es-ES_tradnl"/>
        </w:rPr>
      </w:pPr>
      <w:r w:rsidRPr="00F65D2B">
        <w:rPr>
          <w:rFonts w:ascii="Verdana" w:eastAsia="Calibri" w:hAnsi="Verdana" w:cs="Arial"/>
          <w:color w:val="000000" w:themeColor="text1"/>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65D2B">
        <w:rPr>
          <w:rFonts w:ascii="Verdana" w:eastAsia="Calibri" w:hAnsi="Verdana" w:cs="Arial"/>
          <w:color w:val="000000" w:themeColor="text1"/>
          <w:szCs w:val="24"/>
          <w:lang w:eastAsia="es-ES_tradnl"/>
        </w:rPr>
        <w:tab/>
      </w:r>
    </w:p>
    <w:p w14:paraId="029F0802" w14:textId="77777777" w:rsidR="001D1817" w:rsidRPr="00F65D2B" w:rsidRDefault="001D1817" w:rsidP="001D1817">
      <w:pPr>
        <w:spacing w:before="120" w:after="0" w:line="276" w:lineRule="auto"/>
        <w:ind w:firstLine="709"/>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2A02D82B" w14:textId="77777777" w:rsidR="001D1817" w:rsidRPr="00F65D2B" w:rsidRDefault="001D1817" w:rsidP="001D1817">
      <w:pPr>
        <w:spacing w:after="0" w:line="276" w:lineRule="auto"/>
        <w:ind w:firstLine="709"/>
        <w:jc w:val="both"/>
        <w:rPr>
          <w:rFonts w:ascii="Verdana" w:eastAsia="Calibri" w:hAnsi="Verdana" w:cs="Arial"/>
          <w:color w:val="000000" w:themeColor="text1"/>
          <w:lang w:eastAsia="es-ES"/>
        </w:rPr>
      </w:pPr>
    </w:p>
    <w:p w14:paraId="4A2BC03E" w14:textId="77777777" w:rsidR="001D1817" w:rsidRPr="00F65D2B" w:rsidRDefault="001D1817" w:rsidP="001D1817">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Problema planteado:</w:t>
      </w:r>
    </w:p>
    <w:p w14:paraId="0B7AD41B" w14:textId="77777777" w:rsidR="001D1817" w:rsidRPr="00F65D2B" w:rsidRDefault="001D1817" w:rsidP="001D1817">
      <w:pPr>
        <w:tabs>
          <w:tab w:val="left" w:pos="426"/>
        </w:tabs>
        <w:spacing w:after="0" w:line="276" w:lineRule="auto"/>
        <w:jc w:val="both"/>
        <w:rPr>
          <w:rFonts w:ascii="Verdana" w:eastAsia="Century Gothic" w:hAnsi="Verdana" w:cs="Century Gothic"/>
          <w:color w:val="000000" w:themeColor="text1"/>
        </w:rPr>
      </w:pPr>
    </w:p>
    <w:p w14:paraId="0227D186" w14:textId="77777777" w:rsidR="001D1817" w:rsidRPr="00F65D2B" w:rsidRDefault="001D1817" w:rsidP="001D1817">
      <w:pPr>
        <w:spacing w:after="0" w:line="276" w:lineRule="auto"/>
        <w:jc w:val="both"/>
        <w:rPr>
          <w:rFonts w:ascii="Verdana" w:eastAsia="Century Gothic" w:hAnsi="Verdana" w:cs="Century Gothic"/>
          <w:color w:val="000000" w:themeColor="text1"/>
        </w:rPr>
      </w:pPr>
      <w:r w:rsidRPr="00F65D2B">
        <w:rPr>
          <w:rFonts w:ascii="Verdana" w:eastAsia="Century Gothic" w:hAnsi="Verdana" w:cs="Century Gothic"/>
          <w:color w:val="000000" w:themeColor="text1"/>
        </w:rPr>
        <w:t xml:space="preserve">De acuerdo con el contenido de su solicitud, esta Agencia resolverá el siguiente problema jurídico: </w:t>
      </w:r>
      <w:r w:rsidRPr="00820E26">
        <w:rPr>
          <w:rFonts w:ascii="Verdana" w:eastAsia="Century Gothic" w:hAnsi="Verdana" w:cs="Century Gothic"/>
          <w:color w:val="000000" w:themeColor="text1"/>
        </w:rPr>
        <w:t xml:space="preserve">¿Es jurídicamente válido que el oferente certifique la experiencia del personal clave evaluable vinculado a su empresa, o dicha actuación debe entenderse como una </w:t>
      </w:r>
      <w:r w:rsidRPr="00820E26">
        <w:rPr>
          <w:rFonts w:ascii="Verdana" w:eastAsia="Century Gothic" w:hAnsi="Verdana" w:cs="Century Gothic"/>
          <w:i/>
          <w:iCs/>
          <w:color w:val="000000" w:themeColor="text1"/>
        </w:rPr>
        <w:t>autocertificación</w:t>
      </w:r>
      <w:r w:rsidRPr="00820E26">
        <w:rPr>
          <w:rFonts w:ascii="Verdana" w:eastAsia="Century Gothic" w:hAnsi="Verdana" w:cs="Century Gothic"/>
          <w:color w:val="000000" w:themeColor="text1"/>
        </w:rPr>
        <w:t xml:space="preserve"> no admisible en los procesos de selección?</w:t>
      </w:r>
    </w:p>
    <w:p w14:paraId="4C9DC09E" w14:textId="77777777" w:rsidR="001D1817" w:rsidRPr="00F65D2B" w:rsidRDefault="001D1817" w:rsidP="001D1817">
      <w:pPr>
        <w:spacing w:after="0" w:line="276" w:lineRule="auto"/>
        <w:jc w:val="both"/>
        <w:rPr>
          <w:rFonts w:ascii="Verdana" w:eastAsia="Calibri" w:hAnsi="Verdana" w:cs="Arial"/>
          <w:color w:val="000000" w:themeColor="text1"/>
        </w:rPr>
      </w:pPr>
    </w:p>
    <w:p w14:paraId="5AF35D6B" w14:textId="77777777" w:rsidR="001D1817" w:rsidRPr="00F65D2B" w:rsidRDefault="001D1817" w:rsidP="001D1817">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lastRenderedPageBreak/>
        <w:t>Respuesta:</w:t>
      </w:r>
    </w:p>
    <w:p w14:paraId="4553B18E" w14:textId="77777777" w:rsidR="001D1817" w:rsidRPr="00F65D2B" w:rsidRDefault="001D1817" w:rsidP="001D1817">
      <w:pPr>
        <w:tabs>
          <w:tab w:val="left" w:pos="142"/>
          <w:tab w:val="left" w:pos="284"/>
        </w:tabs>
        <w:spacing w:after="0" w:line="276" w:lineRule="auto"/>
        <w:jc w:val="both"/>
        <w:rPr>
          <w:rFonts w:ascii="Verdana" w:eastAsia="Century Gothic" w:hAnsi="Verdana" w:cs="Century Gothic"/>
          <w:b/>
          <w:bCs/>
          <w:color w:val="000000" w:themeColor="text1"/>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D1817" w:rsidRPr="00F65D2B" w14:paraId="492235FC" w14:textId="77777777" w:rsidTr="009D1989">
        <w:tc>
          <w:tcPr>
            <w:tcW w:w="8828" w:type="dxa"/>
          </w:tcPr>
          <w:p w14:paraId="36CF6CB4" w14:textId="77777777" w:rsidR="001D1817" w:rsidRPr="003E18C4" w:rsidRDefault="001D1817" w:rsidP="009D1989">
            <w:pPr>
              <w:widowControl w:val="0"/>
              <w:autoSpaceDE w:val="0"/>
              <w:autoSpaceDN w:val="0"/>
              <w:spacing w:before="120" w:line="276" w:lineRule="auto"/>
              <w:jc w:val="both"/>
              <w:rPr>
                <w:rFonts w:ascii="Verdana" w:hAnsi="Verdana"/>
                <w:shd w:val="clear" w:color="auto" w:fill="FFFFFF"/>
              </w:rPr>
            </w:pPr>
            <w:r w:rsidRPr="003E18C4">
              <w:rPr>
                <w:rFonts w:ascii="Verdana" w:hAnsi="Verdana"/>
                <w:shd w:val="clear" w:color="auto" w:fill="FFFFFF"/>
              </w:rPr>
              <w:t>En atención a la consulta formulada, esta Agencia considera que no puede entenderse como una “autocertificación” la expedición de certificaciones laborales por parte del mismo oferente respecto del personal clave evaluable que presenta en su oferta, siempre que dichas certificaciones correspondan a la experiencia efectivamente adquirida por dichos profesionales dentro de la empresa y cumplan con los requisitos de contenido y soporte exigidos en el proceso de selección.</w:t>
            </w:r>
          </w:p>
          <w:p w14:paraId="4E8A003E" w14:textId="77777777" w:rsidR="001D1817" w:rsidRPr="003E18C4" w:rsidRDefault="001D1817" w:rsidP="009D1989">
            <w:pPr>
              <w:widowControl w:val="0"/>
              <w:autoSpaceDE w:val="0"/>
              <w:autoSpaceDN w:val="0"/>
              <w:spacing w:before="120" w:line="276" w:lineRule="auto"/>
              <w:ind w:firstLine="744"/>
              <w:jc w:val="both"/>
              <w:rPr>
                <w:rFonts w:ascii="Verdana" w:hAnsi="Verdana"/>
                <w:shd w:val="clear" w:color="auto" w:fill="FFFFFF"/>
              </w:rPr>
            </w:pPr>
            <w:r>
              <w:rPr>
                <w:rFonts w:ascii="Verdana" w:hAnsi="Verdana"/>
                <w:shd w:val="clear" w:color="auto" w:fill="FFFFFF"/>
              </w:rPr>
              <w:t>A modo de ejemplo, e</w:t>
            </w:r>
            <w:r w:rsidRPr="003E18C4">
              <w:rPr>
                <w:rFonts w:ascii="Verdana" w:hAnsi="Verdana"/>
                <w:shd w:val="clear" w:color="auto" w:fill="FFFFFF"/>
              </w:rPr>
              <w:t xml:space="preserve">n los procesos de contratación regidos por documentos tipo, </w:t>
            </w:r>
            <w:r>
              <w:rPr>
                <w:rFonts w:ascii="Verdana" w:hAnsi="Verdana"/>
                <w:shd w:val="clear" w:color="auto" w:fill="FFFFFF"/>
              </w:rPr>
              <w:t>no se establece prohibición alguna para que</w:t>
            </w:r>
            <w:r w:rsidRPr="003E18C4">
              <w:rPr>
                <w:rFonts w:ascii="Verdana" w:hAnsi="Verdana"/>
                <w:shd w:val="clear" w:color="auto" w:fill="FFFFFF"/>
              </w:rPr>
              <w:t xml:space="preserve"> el oferente certifique la experiencia del personal clave que haya trabajado bajo su vínculo, por cuanto resulta razonable que la empresa que conoce las funciones y actividades desarrolladas por sus profesionales sea quien las acredite. En estos casos, la certificación laboral expedida por el oferente constituye un medio legítimo de acreditación de experiencia, siempre que la información consignada pueda ser verificada por la entidad contratante.</w:t>
            </w:r>
          </w:p>
          <w:p w14:paraId="1F3835F9" w14:textId="77777777" w:rsidR="001D1817" w:rsidRPr="003E18C4" w:rsidRDefault="001D1817" w:rsidP="009D1989">
            <w:pPr>
              <w:widowControl w:val="0"/>
              <w:autoSpaceDE w:val="0"/>
              <w:autoSpaceDN w:val="0"/>
              <w:spacing w:before="120" w:line="276" w:lineRule="auto"/>
              <w:ind w:firstLine="744"/>
              <w:jc w:val="both"/>
              <w:rPr>
                <w:rFonts w:ascii="Verdana" w:hAnsi="Verdana"/>
                <w:shd w:val="clear" w:color="auto" w:fill="FFFFFF"/>
              </w:rPr>
            </w:pPr>
            <w:r w:rsidRPr="003E18C4">
              <w:rPr>
                <w:rFonts w:ascii="Verdana" w:hAnsi="Verdana"/>
                <w:shd w:val="clear" w:color="auto" w:fill="FFFFFF"/>
              </w:rPr>
              <w:t>Por su parte, en los procesos de selección en los que no aplican documentos tipo, corresponde a la entidad estatal determinar en los pliegos de condiciones los mecanismos y medios de acreditación que considere idóneos para verificar la experiencia del personal clave evaluable. Dicha verificación puede efectuarse durante el proceso de selección o en la etapa de ejecución contractual, de acuerdo con la estructura de control y seguimiento que defina la entidad.</w:t>
            </w:r>
          </w:p>
          <w:p w14:paraId="4A7B5711" w14:textId="77777777" w:rsidR="001D1817" w:rsidRPr="003E18C4" w:rsidRDefault="001D1817" w:rsidP="009D1989">
            <w:pPr>
              <w:widowControl w:val="0"/>
              <w:autoSpaceDE w:val="0"/>
              <w:autoSpaceDN w:val="0"/>
              <w:spacing w:before="120" w:line="276" w:lineRule="auto"/>
              <w:ind w:firstLine="744"/>
              <w:jc w:val="both"/>
              <w:rPr>
                <w:rFonts w:ascii="Verdana" w:hAnsi="Verdana"/>
                <w:shd w:val="clear" w:color="auto" w:fill="FFFFFF"/>
              </w:rPr>
            </w:pPr>
            <w:r w:rsidRPr="003E18C4">
              <w:rPr>
                <w:rFonts w:ascii="Verdana" w:hAnsi="Verdana"/>
                <w:shd w:val="clear" w:color="auto" w:fill="FFFFFF"/>
              </w:rPr>
              <w:t>Lo esencial es que la entidad contratante asegure que la experiencia alegada sea real y verificable, y que los documentos aportados contengan como mínimo la identificación del contratante y contratista, el objeto contractual, las principales actividades u obligaciones desarrolladas, las fechas de inicio y terminación, el nombre y cargo de quien expide la certificación y, cuando aplique, el porcentaje de dedicación del profesional.</w:t>
            </w:r>
          </w:p>
          <w:p w14:paraId="78C7F732" w14:textId="77777777" w:rsidR="001D1817" w:rsidRPr="003E18C4" w:rsidRDefault="001D1817" w:rsidP="009D1989">
            <w:pPr>
              <w:widowControl w:val="0"/>
              <w:autoSpaceDE w:val="0"/>
              <w:autoSpaceDN w:val="0"/>
              <w:spacing w:before="120" w:line="276" w:lineRule="auto"/>
              <w:ind w:firstLine="744"/>
              <w:jc w:val="both"/>
              <w:rPr>
                <w:rFonts w:ascii="Verdana" w:hAnsi="Verdana"/>
                <w:shd w:val="clear" w:color="auto" w:fill="FFFFFF"/>
              </w:rPr>
            </w:pPr>
            <w:r w:rsidRPr="003E18C4">
              <w:rPr>
                <w:rFonts w:ascii="Verdana" w:hAnsi="Verdana"/>
                <w:shd w:val="clear" w:color="auto" w:fill="FFFFFF"/>
              </w:rPr>
              <w:t>Asimismo, la entidad puede prever medios de acreditación complementarios, tales como soportes de aportes a seguridad social, contratos laborales o de prestación de servicios, o registros de participación en proyectos, con el fin de corroborar la autenticidad de la experiencia declarada.</w:t>
            </w:r>
          </w:p>
          <w:p w14:paraId="2A633911" w14:textId="77777777" w:rsidR="001D1817" w:rsidRPr="003E18C4" w:rsidRDefault="001D1817" w:rsidP="009D1989">
            <w:pPr>
              <w:widowControl w:val="0"/>
              <w:autoSpaceDE w:val="0"/>
              <w:autoSpaceDN w:val="0"/>
              <w:spacing w:before="120" w:line="276" w:lineRule="auto"/>
              <w:ind w:firstLine="744"/>
              <w:jc w:val="both"/>
              <w:rPr>
                <w:rFonts w:ascii="Verdana" w:hAnsi="Verdana"/>
                <w:shd w:val="clear" w:color="auto" w:fill="FFFFFF"/>
              </w:rPr>
            </w:pPr>
            <w:r w:rsidRPr="003E18C4">
              <w:rPr>
                <w:rFonts w:ascii="Verdana" w:hAnsi="Verdana"/>
                <w:shd w:val="clear" w:color="auto" w:fill="FFFFFF"/>
              </w:rPr>
              <w:t xml:space="preserve">En ese sentido, lo determinante no es la naturaleza del emisor de la certificación, sino la veracidad y verificabilidad del contenido de la misma. Por </w:t>
            </w:r>
            <w:r w:rsidRPr="003E18C4">
              <w:rPr>
                <w:rFonts w:ascii="Verdana" w:hAnsi="Verdana"/>
                <w:shd w:val="clear" w:color="auto" w:fill="FFFFFF"/>
              </w:rPr>
              <w:lastRenderedPageBreak/>
              <w:t>tanto, no existe fundamento normativo que impida aceptar certificaciones expedidas por el mismo oferente respecto de su personal clave, siempre que estas cumplan los requisitos previstos en los pliegos y puedan ser objeto de verificación por la entidad.</w:t>
            </w:r>
          </w:p>
          <w:p w14:paraId="3B911D6A" w14:textId="77777777" w:rsidR="001D1817" w:rsidRPr="00F65D2B" w:rsidRDefault="001D1817" w:rsidP="009D1989">
            <w:pPr>
              <w:widowControl w:val="0"/>
              <w:autoSpaceDE w:val="0"/>
              <w:autoSpaceDN w:val="0"/>
              <w:spacing w:before="120" w:line="276" w:lineRule="auto"/>
              <w:ind w:firstLine="744"/>
              <w:jc w:val="both"/>
              <w:rPr>
                <w:rFonts w:ascii="Verdana" w:hAnsi="Verdana"/>
                <w:shd w:val="clear" w:color="auto" w:fill="FFFFFF"/>
              </w:rPr>
            </w:pPr>
            <w:r w:rsidRPr="003E18C4">
              <w:rPr>
                <w:rFonts w:ascii="Verdana" w:hAnsi="Verdana"/>
                <w:shd w:val="clear" w:color="auto" w:fill="FFFFFF"/>
              </w:rPr>
              <w:t>Finalmente, debe resaltarse que las entidades estatales cuentan con plena discrecionalidad técnica y jurídica para establecer en sus pliegos de condiciones las reglas de acreditación y los mecanismos de verificación de la experiencia del personal clave evaluable, conforme a los principios de transparencia, selección objetiva y responsabilidad que rigen la contratación estatal.</w:t>
            </w:r>
          </w:p>
        </w:tc>
      </w:tr>
    </w:tbl>
    <w:p w14:paraId="407DF384" w14:textId="77777777" w:rsidR="001D1817" w:rsidRPr="00F65D2B" w:rsidRDefault="001D1817" w:rsidP="001D1817">
      <w:pPr>
        <w:tabs>
          <w:tab w:val="left" w:pos="142"/>
          <w:tab w:val="left" w:pos="284"/>
        </w:tabs>
        <w:spacing w:after="0" w:line="276" w:lineRule="auto"/>
        <w:jc w:val="both"/>
        <w:rPr>
          <w:rFonts w:ascii="Verdana" w:eastAsia="Century Gothic" w:hAnsi="Verdana" w:cs="Century Gothic"/>
          <w:b/>
          <w:bCs/>
          <w:color w:val="000000" w:themeColor="text1"/>
        </w:rPr>
      </w:pPr>
    </w:p>
    <w:p w14:paraId="3AF3E92B" w14:textId="77777777" w:rsidR="001D1817" w:rsidRPr="00F65D2B" w:rsidRDefault="001D1817" w:rsidP="001D1817">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Razones de la respuesta:</w:t>
      </w:r>
    </w:p>
    <w:p w14:paraId="3A44E4C6" w14:textId="77777777" w:rsidR="001D1817" w:rsidRPr="00F65D2B" w:rsidRDefault="001D1817" w:rsidP="001D1817">
      <w:pPr>
        <w:spacing w:after="0" w:line="276" w:lineRule="auto"/>
        <w:jc w:val="both"/>
        <w:rPr>
          <w:rFonts w:ascii="Verdana" w:eastAsia="Calibri" w:hAnsi="Verdana" w:cs="Arial"/>
          <w:color w:val="000000" w:themeColor="text1"/>
        </w:rPr>
      </w:pPr>
    </w:p>
    <w:p w14:paraId="000944B8" w14:textId="77777777" w:rsidR="001D1817" w:rsidRPr="00F65D2B" w:rsidRDefault="001D1817" w:rsidP="001D1817">
      <w:pPr>
        <w:spacing w:after="0" w:line="276" w:lineRule="auto"/>
        <w:jc w:val="both"/>
        <w:rPr>
          <w:rFonts w:ascii="Verdana" w:eastAsia="Calibri" w:hAnsi="Verdana" w:cs="Arial"/>
          <w:color w:val="000000" w:themeColor="text1"/>
        </w:rPr>
      </w:pPr>
      <w:r w:rsidRPr="00F65D2B">
        <w:rPr>
          <w:rFonts w:ascii="Verdana" w:eastAsia="Calibri" w:hAnsi="Verdana" w:cs="Arial"/>
          <w:color w:val="000000" w:themeColor="text1"/>
        </w:rPr>
        <w:t xml:space="preserve">Lo anterior se sustenta en las siguientes consideraciones: </w:t>
      </w:r>
    </w:p>
    <w:p w14:paraId="7E9DF093" w14:textId="77777777" w:rsidR="001D1817" w:rsidRDefault="001D1817" w:rsidP="001D1817">
      <w:pPr>
        <w:snapToGrid w:val="0"/>
        <w:spacing w:after="0" w:line="276" w:lineRule="auto"/>
        <w:jc w:val="both"/>
        <w:rPr>
          <w:rFonts w:ascii="Verdana" w:eastAsia="Calibri" w:hAnsi="Verdana" w:cs="Arial"/>
          <w:kern w:val="2"/>
          <w14:ligatures w14:val="standardContextual"/>
        </w:rPr>
      </w:pPr>
    </w:p>
    <w:p w14:paraId="0C233E47" w14:textId="77777777" w:rsidR="001D1817" w:rsidRPr="0092421B" w:rsidRDefault="001D1817" w:rsidP="001D1817">
      <w:pPr>
        <w:jc w:val="both"/>
        <w:rPr>
          <w:rFonts w:ascii="Verdana" w:eastAsia="Calibri" w:hAnsi="Verdana" w:cs="Arial"/>
          <w:kern w:val="2"/>
          <w14:ligatures w14:val="standardContextual"/>
        </w:rPr>
      </w:pPr>
      <w:r w:rsidRPr="00A56BD3">
        <w:rPr>
          <w:rFonts w:ascii="Verdana" w:hAnsi="Verdana"/>
        </w:rPr>
        <w:t xml:space="preserve">Antes de abordar el análisis de fondo sobre la validez o alcance de las certificaciones emitidas por el propio oferente respecto de su equipo de trabajo, resulta pertinente efectuar una breve explicación sobre la figura del </w:t>
      </w:r>
      <w:r w:rsidRPr="00A56BD3">
        <w:rPr>
          <w:rFonts w:ascii="Verdana" w:hAnsi="Verdana"/>
          <w:i/>
          <w:iCs/>
        </w:rPr>
        <w:t>personal clave evaluable</w:t>
      </w:r>
      <w:r w:rsidRPr="00A56BD3">
        <w:rPr>
          <w:rFonts w:ascii="Verdana" w:hAnsi="Verdana"/>
        </w:rPr>
        <w:t xml:space="preserve"> y el contexto normativo en el cual esta se enmarca. Ello, por cuanto la posibilidad de evaluar la experiencia y formación del equipo de trabajo no es común a todas las modalidades de selección, sino que encuentra fundamento específico en el concurso de méritos, modalidad en la cual la idoneidad técnica del personal propuesto constituye un elemento esencial del proceso.</w:t>
      </w:r>
    </w:p>
    <w:p w14:paraId="3F18E942" w14:textId="77777777" w:rsidR="001D1817" w:rsidRDefault="001D1817" w:rsidP="001D1817">
      <w:pPr>
        <w:ind w:firstLine="708"/>
        <w:jc w:val="both"/>
        <w:rPr>
          <w:rFonts w:ascii="Verdana" w:eastAsia="Calibri" w:hAnsi="Verdana" w:cs="Arial"/>
          <w:i/>
          <w:iCs/>
          <w:kern w:val="2"/>
          <w14:ligatures w14:val="standardContextual"/>
        </w:rPr>
      </w:pPr>
      <w:r>
        <w:rPr>
          <w:rFonts w:ascii="Verdana" w:eastAsia="Calibri" w:hAnsi="Verdana" w:cs="Arial"/>
          <w:kern w:val="2"/>
          <w14:ligatures w14:val="standardContextual"/>
        </w:rPr>
        <w:t>En ese orden, u</w:t>
      </w:r>
      <w:r w:rsidRPr="0026272F">
        <w:rPr>
          <w:rFonts w:ascii="Verdana" w:eastAsia="Calibri" w:hAnsi="Verdana" w:cs="Arial"/>
          <w:kern w:val="2"/>
          <w14:ligatures w14:val="standardContextual"/>
        </w:rPr>
        <w:t>na aproximación inicial al concepto de consultoría permite identificar que su esencia radica en el componente intelectivo y especializado de la actividad. Esta característica no solo delimita su naturaleza jurídica frente a otras formas de contratación, sino que también justifica su tratamiento diferenciado en el marco normativo. La definición lingüística del término refuerza esta idea al describir la consultoría como la labor desarrollada por una</w:t>
      </w:r>
      <w:r w:rsidRPr="000D102A">
        <w:rPr>
          <w:rFonts w:ascii="Verdana" w:eastAsia="Calibri" w:hAnsi="Verdana" w:cs="Arial"/>
          <w:i/>
          <w:iCs/>
          <w:kern w:val="2"/>
          <w14:ligatures w14:val="standardContextual"/>
        </w:rPr>
        <w:t xml:space="preserve"> </w:t>
      </w:r>
      <w:r w:rsidRPr="005B27BC">
        <w:rPr>
          <w:rFonts w:ascii="Verdana" w:eastAsia="Calibri" w:hAnsi="Verdana" w:cs="Arial"/>
          <w:i/>
          <w:iCs/>
          <w:kern w:val="2"/>
          <w14:ligatures w14:val="standardContextual"/>
        </w:rPr>
        <w:t>“persona experta en una materia sobre la que asesora profesionalmente</w:t>
      </w:r>
      <w:r>
        <w:rPr>
          <w:rStyle w:val="Refdenotaalpie"/>
          <w:rFonts w:ascii="Verdana" w:eastAsia="Calibri" w:hAnsi="Verdana" w:cs="Arial"/>
          <w:i/>
          <w:iCs/>
          <w:kern w:val="2"/>
          <w14:ligatures w14:val="standardContextual"/>
        </w:rPr>
        <w:footnoteReference w:id="1"/>
      </w:r>
      <w:r w:rsidRPr="005B27BC">
        <w:rPr>
          <w:rFonts w:ascii="Verdana" w:eastAsia="Calibri" w:hAnsi="Verdana" w:cs="Arial"/>
          <w:i/>
          <w:iCs/>
          <w:kern w:val="2"/>
          <w14:ligatures w14:val="standardContextual"/>
        </w:rPr>
        <w:t>”</w:t>
      </w:r>
      <w:r w:rsidRPr="00E43179">
        <w:rPr>
          <w:rFonts w:ascii="Verdana" w:eastAsia="Calibri" w:hAnsi="Verdana" w:cs="Arial"/>
          <w:kern w:val="2"/>
          <w14:ligatures w14:val="standardContextual"/>
        </w:rPr>
        <w:t>.</w:t>
      </w:r>
    </w:p>
    <w:p w14:paraId="39B95D0C" w14:textId="77777777" w:rsidR="001D1817" w:rsidRPr="0034189A" w:rsidRDefault="001D1817" w:rsidP="001D1817">
      <w:pPr>
        <w:spacing w:after="0" w:line="276" w:lineRule="auto"/>
        <w:ind w:firstLine="709"/>
        <w:jc w:val="both"/>
        <w:rPr>
          <w:rFonts w:ascii="Verdana" w:eastAsia="Calibri" w:hAnsi="Verdana" w:cs="Arial"/>
          <w:bCs/>
          <w:lang w:val="es-ES_tradnl"/>
        </w:rPr>
      </w:pPr>
      <w:r w:rsidRPr="0034189A">
        <w:rPr>
          <w:rFonts w:ascii="Verdana" w:eastAsia="Calibri" w:hAnsi="Verdana" w:cs="Arial"/>
          <w:bCs/>
          <w:lang w:val="es-ES_tradnl"/>
        </w:rPr>
        <w:t xml:space="preserve">Para explicar qué se entiende por asesoría, se acude al Diccionario </w:t>
      </w:r>
      <w:r>
        <w:rPr>
          <w:rFonts w:ascii="Verdana" w:eastAsia="Calibri" w:hAnsi="Verdana" w:cs="Arial"/>
          <w:bCs/>
          <w:lang w:val="es-ES_tradnl"/>
        </w:rPr>
        <w:t>P</w:t>
      </w:r>
      <w:r w:rsidRPr="0034189A">
        <w:rPr>
          <w:rFonts w:ascii="Verdana" w:eastAsia="Calibri" w:hAnsi="Verdana" w:cs="Arial"/>
          <w:bCs/>
          <w:lang w:val="es-ES_tradnl"/>
        </w:rPr>
        <w:t xml:space="preserve">anhispánico de Español Jurídico, que la define como: </w:t>
      </w:r>
      <w:r w:rsidRPr="0034189A">
        <w:rPr>
          <w:rFonts w:ascii="Verdana" w:hAnsi="Verdana" w:cs="Arial"/>
        </w:rPr>
        <w:t>“</w:t>
      </w:r>
      <w:r w:rsidRPr="0034189A">
        <w:rPr>
          <w:rFonts w:ascii="Verdana" w:eastAsia="Calibri" w:hAnsi="Verdana" w:cs="Arial"/>
          <w:bCs/>
          <w:lang w:val="es-ES_tradnl"/>
        </w:rPr>
        <w:t xml:space="preserve">1. Civ. Servicio profesional de información y consejo en materia especializada (jurídica, fiscal, técnica, cultural, laboral, contable, etc.); 2. Civ. Establecimiento dedicado a la </w:t>
      </w:r>
      <w:r w:rsidRPr="0034189A">
        <w:rPr>
          <w:rFonts w:ascii="Verdana" w:eastAsia="Calibri" w:hAnsi="Verdana" w:cs="Arial"/>
          <w:bCs/>
          <w:lang w:val="es-ES_tradnl"/>
        </w:rPr>
        <w:lastRenderedPageBreak/>
        <w:t>prestación profesional de asesoría; 3. Civ. Órgano administrativo o empresarial encargado de la función de asesoramiento de un área especializada. […]</w:t>
      </w:r>
      <w:r w:rsidRPr="0034189A">
        <w:rPr>
          <w:rFonts w:ascii="Verdana" w:hAnsi="Verdana" w:cs="Arial"/>
        </w:rPr>
        <w:t>”</w:t>
      </w:r>
      <w:r w:rsidRPr="002C394D">
        <w:rPr>
          <w:rStyle w:val="Refdenotaalpie"/>
          <w:rFonts w:ascii="Verdana" w:eastAsia="Calibri" w:hAnsi="Verdana" w:cs="Arial"/>
        </w:rPr>
        <w:footnoteReference w:id="2"/>
      </w:r>
      <w:r w:rsidRPr="0034189A">
        <w:rPr>
          <w:rFonts w:ascii="Verdana" w:eastAsia="Calibri" w:hAnsi="Verdana" w:cs="Arial"/>
          <w:bCs/>
          <w:lang w:val="es-ES_tradnl"/>
        </w:rPr>
        <w:t xml:space="preserve">. Así mismo, la doctrina ha señalado frente a este tema lo siguiente: </w:t>
      </w:r>
    </w:p>
    <w:p w14:paraId="1733678F" w14:textId="77777777" w:rsidR="001D1817" w:rsidRPr="00DB23D2" w:rsidRDefault="001D1817" w:rsidP="001D1817">
      <w:pPr>
        <w:pStyle w:val="Prrafodelista"/>
        <w:spacing w:after="0" w:line="276" w:lineRule="auto"/>
        <w:jc w:val="both"/>
        <w:rPr>
          <w:rFonts w:ascii="Verdana" w:eastAsia="Calibri" w:hAnsi="Verdana" w:cs="Arial"/>
          <w:bCs/>
          <w:lang w:val="es-ES_tradnl"/>
        </w:rPr>
      </w:pPr>
    </w:p>
    <w:p w14:paraId="2A189664" w14:textId="77777777" w:rsidR="001D1817" w:rsidRPr="002C394D" w:rsidRDefault="001D1817" w:rsidP="001D1817">
      <w:pPr>
        <w:autoSpaceDE w:val="0"/>
        <w:autoSpaceDN w:val="0"/>
        <w:adjustRightInd w:val="0"/>
        <w:spacing w:after="0" w:line="240" w:lineRule="auto"/>
        <w:ind w:left="709" w:right="709"/>
        <w:jc w:val="both"/>
        <w:rPr>
          <w:rFonts w:ascii="Verdana" w:hAnsi="Verdana" w:cs="Arial"/>
          <w:sz w:val="20"/>
          <w:szCs w:val="20"/>
          <w:lang w:val="es-ES"/>
        </w:rPr>
      </w:pPr>
      <w:r w:rsidRPr="002C394D">
        <w:rPr>
          <w:rFonts w:ascii="Verdana" w:hAnsi="Verdana" w:cs="Arial"/>
          <w:sz w:val="20"/>
          <w:szCs w:val="20"/>
          <w:lang w:val="es-ES"/>
        </w:rPr>
        <w:t>“[…] con base en el contrato de consultoría se pueden contratar los estudios de prefactibilidad o factibilidad para programas o proyectos específicos, los cuales sirven para determinar la viabilidad de un proyecto de inversión; y de paso, las asesorías técnicas que pueden ser utilizadas con el objeto de soportar técnicamente las decisiones de la Administración, y por ello es viable llamar a las ciencias y artes que con sus conocimientos pueden colaborar a llevar a cabo un proyecto y, por ejemplo, la coordinación, control o supervisión del mismo”</w:t>
      </w:r>
      <w:r w:rsidRPr="002C394D">
        <w:rPr>
          <w:rStyle w:val="Refdenotaalpie"/>
          <w:rFonts w:ascii="Verdana" w:hAnsi="Verdana" w:cs="Arial"/>
          <w:sz w:val="20"/>
          <w:szCs w:val="20"/>
        </w:rPr>
        <w:footnoteReference w:id="3"/>
      </w:r>
      <w:r w:rsidRPr="002C394D">
        <w:rPr>
          <w:rFonts w:ascii="Verdana" w:hAnsi="Verdana" w:cs="Arial"/>
          <w:sz w:val="20"/>
          <w:szCs w:val="20"/>
          <w:lang w:val="es-ES"/>
        </w:rPr>
        <w:t>.</w:t>
      </w:r>
    </w:p>
    <w:p w14:paraId="0C4E5213" w14:textId="77777777" w:rsidR="001D1817" w:rsidRDefault="001D1817" w:rsidP="001D1817">
      <w:pPr>
        <w:autoSpaceDE w:val="0"/>
        <w:autoSpaceDN w:val="0"/>
        <w:adjustRightInd w:val="0"/>
        <w:spacing w:after="0" w:line="276" w:lineRule="auto"/>
        <w:jc w:val="both"/>
        <w:rPr>
          <w:rFonts w:ascii="Verdana" w:hAnsi="Verdana" w:cs="Arial"/>
          <w:lang w:val="es-ES"/>
        </w:rPr>
      </w:pPr>
    </w:p>
    <w:p w14:paraId="33AF4AEA" w14:textId="77777777" w:rsidR="001D1817" w:rsidRDefault="001D1817" w:rsidP="001D1817">
      <w:pPr>
        <w:snapToGrid w:val="0"/>
        <w:spacing w:after="0" w:line="276" w:lineRule="auto"/>
        <w:ind w:firstLine="709"/>
        <w:jc w:val="both"/>
        <w:rPr>
          <w:rFonts w:ascii="Verdana" w:eastAsia="Calibri" w:hAnsi="Verdana" w:cs="Arial"/>
          <w:kern w:val="2"/>
          <w:lang w:val="es-ES"/>
          <w14:ligatures w14:val="standardContextual"/>
        </w:rPr>
      </w:pPr>
      <w:r w:rsidRPr="00F6199C">
        <w:rPr>
          <w:rFonts w:ascii="Verdana" w:eastAsia="Calibri" w:hAnsi="Verdana" w:cs="Arial"/>
          <w:kern w:val="2"/>
          <w:lang w:val="es-ES"/>
          <w14:ligatures w14:val="standardContextual"/>
        </w:rPr>
        <w:t xml:space="preserve">El numeral 2 del artículo 32 de la Ley 80 de 1993 </w:t>
      </w:r>
      <w:r>
        <w:rPr>
          <w:rFonts w:ascii="Verdana" w:eastAsia="Calibri" w:hAnsi="Verdana" w:cs="Arial"/>
          <w:kern w:val="2"/>
          <w:lang w:val="es-ES"/>
          <w14:ligatures w14:val="standardContextual"/>
        </w:rPr>
        <w:t>contempla</w:t>
      </w:r>
      <w:r w:rsidRPr="00F6199C">
        <w:rPr>
          <w:rFonts w:ascii="Verdana" w:eastAsia="Calibri" w:hAnsi="Verdana" w:cs="Arial"/>
          <w:kern w:val="2"/>
          <w:lang w:val="es-ES"/>
          <w14:ligatures w14:val="standardContextual"/>
        </w:rPr>
        <w:t xml:space="preserve"> el contrato de consultoría y señala que</w:t>
      </w:r>
      <w:r>
        <w:rPr>
          <w:rFonts w:ascii="Verdana" w:eastAsia="Calibri" w:hAnsi="Verdana" w:cs="Arial"/>
          <w:kern w:val="2"/>
          <w:lang w:val="es-ES"/>
          <w14:ligatures w14:val="standardContextual"/>
        </w:rPr>
        <w:t xml:space="preserve">: </w:t>
      </w:r>
    </w:p>
    <w:p w14:paraId="66D9CCB2" w14:textId="77777777" w:rsidR="001D1817" w:rsidRDefault="001D1817" w:rsidP="001D1817">
      <w:pPr>
        <w:snapToGrid w:val="0"/>
        <w:spacing w:after="0" w:line="276" w:lineRule="auto"/>
        <w:ind w:firstLine="709"/>
        <w:jc w:val="both"/>
        <w:rPr>
          <w:rFonts w:ascii="Verdana" w:eastAsia="Calibri" w:hAnsi="Verdana" w:cs="Arial"/>
          <w:kern w:val="2"/>
          <w:lang w:val="es-ES"/>
          <w14:ligatures w14:val="standardContextual"/>
        </w:rPr>
      </w:pPr>
    </w:p>
    <w:p w14:paraId="4C8EB2C3" w14:textId="77777777" w:rsidR="001D1817" w:rsidRPr="00954A17" w:rsidRDefault="001D1817" w:rsidP="001D1817">
      <w:pPr>
        <w:snapToGrid w:val="0"/>
        <w:spacing w:after="0" w:line="240" w:lineRule="auto"/>
        <w:ind w:left="709" w:right="709"/>
        <w:jc w:val="both"/>
        <w:rPr>
          <w:rFonts w:ascii="Verdana" w:eastAsia="Calibri" w:hAnsi="Verdana" w:cs="Arial"/>
          <w:kern w:val="2"/>
          <w:sz w:val="20"/>
          <w:szCs w:val="20"/>
          <w14:ligatures w14:val="standardContextual"/>
        </w:rPr>
      </w:pPr>
      <w:r w:rsidRPr="00954A17">
        <w:rPr>
          <w:rFonts w:ascii="Verdana" w:eastAsia="Calibri" w:hAnsi="Verdana" w:cs="Arial"/>
          <w:kern w:val="2"/>
          <w:sz w:val="20"/>
          <w:szCs w:val="20"/>
          <w:lang w:val="es-ES"/>
          <w14:ligatures w14:val="standardContextual"/>
        </w:rPr>
        <w:t>“</w:t>
      </w:r>
      <w:r w:rsidRPr="00954A17">
        <w:rPr>
          <w:rFonts w:ascii="Verdana" w:eastAsia="Calibri" w:hAnsi="Verdana" w:cs="Arial"/>
          <w:kern w:val="2"/>
          <w:sz w:val="20"/>
          <w:szCs w:val="20"/>
          <w14:ligatures w14:val="standardContextual"/>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196CC479" w14:textId="77777777" w:rsidR="001D1817" w:rsidRDefault="001D1817" w:rsidP="001D1817">
      <w:pPr>
        <w:snapToGrid w:val="0"/>
        <w:spacing w:after="0" w:line="240" w:lineRule="auto"/>
        <w:ind w:left="709" w:right="709"/>
        <w:jc w:val="both"/>
        <w:rPr>
          <w:rFonts w:ascii="Verdana" w:eastAsia="Calibri" w:hAnsi="Verdana" w:cs="Arial"/>
          <w:kern w:val="2"/>
          <w:sz w:val="20"/>
          <w:szCs w:val="20"/>
          <w14:ligatures w14:val="standardContextual"/>
        </w:rPr>
      </w:pPr>
    </w:p>
    <w:p w14:paraId="7CBA236E" w14:textId="77777777" w:rsidR="001D1817" w:rsidRPr="00954A17" w:rsidRDefault="001D1817" w:rsidP="001D1817">
      <w:pPr>
        <w:snapToGrid w:val="0"/>
        <w:spacing w:after="0" w:line="240" w:lineRule="auto"/>
        <w:ind w:left="709" w:right="709"/>
        <w:jc w:val="both"/>
        <w:rPr>
          <w:rFonts w:ascii="Verdana" w:eastAsia="Calibri" w:hAnsi="Verdana" w:cs="Arial"/>
          <w:kern w:val="2"/>
          <w:sz w:val="20"/>
          <w:szCs w:val="20"/>
          <w14:ligatures w14:val="standardContextual"/>
        </w:rPr>
      </w:pPr>
      <w:r w:rsidRPr="00954A17">
        <w:rPr>
          <w:rFonts w:ascii="Verdana" w:eastAsia="Calibri" w:hAnsi="Verdana" w:cs="Arial"/>
          <w:kern w:val="2"/>
          <w:sz w:val="20"/>
          <w:szCs w:val="20"/>
          <w14:ligatures w14:val="standardContextual"/>
        </w:rPr>
        <w:t>Son también contratos de consultoría los que tienen por objeto la interventoría, asesoría, gerencia de obra o de proyectos, dirección, programación y la ejecución de diseños, planos, anteproyectos y proyectos. (…)”</w:t>
      </w:r>
    </w:p>
    <w:p w14:paraId="0BEE2C20" w14:textId="77777777" w:rsidR="001D1817" w:rsidRDefault="001D1817" w:rsidP="001D1817">
      <w:pPr>
        <w:tabs>
          <w:tab w:val="left" w:pos="709"/>
        </w:tabs>
        <w:spacing w:after="0" w:line="276" w:lineRule="auto"/>
        <w:ind w:firstLine="709"/>
        <w:jc w:val="both"/>
        <w:rPr>
          <w:rFonts w:ascii="Verdana" w:hAnsi="Verdana"/>
          <w:lang w:val="es-MX"/>
        </w:rPr>
      </w:pPr>
    </w:p>
    <w:p w14:paraId="4B1F7029" w14:textId="77777777" w:rsidR="001D1817" w:rsidRDefault="001D1817" w:rsidP="001D1817">
      <w:pPr>
        <w:tabs>
          <w:tab w:val="left" w:pos="709"/>
        </w:tabs>
        <w:spacing w:after="0" w:line="276" w:lineRule="auto"/>
        <w:ind w:firstLine="709"/>
        <w:jc w:val="both"/>
        <w:rPr>
          <w:rFonts w:ascii="Verdana" w:hAnsi="Verdana"/>
          <w:lang w:val="es-MX"/>
        </w:rPr>
      </w:pPr>
      <w:r w:rsidRPr="00DB23D2">
        <w:rPr>
          <w:rFonts w:ascii="Verdana" w:hAnsi="Verdana"/>
          <w:lang w:val="es-MX"/>
        </w:rPr>
        <w:t>La doctrina expresa que el art</w:t>
      </w:r>
      <w:r w:rsidRPr="00DB23D2">
        <w:rPr>
          <w:rFonts w:ascii="Verdana" w:hAnsi="Verdana" w:hint="eastAsia"/>
          <w:lang w:val="es-MX"/>
        </w:rPr>
        <w:t>í</w:t>
      </w:r>
      <w:r w:rsidRPr="00DB23D2">
        <w:rPr>
          <w:rFonts w:ascii="Verdana" w:hAnsi="Verdana"/>
          <w:lang w:val="es-MX"/>
        </w:rPr>
        <w:t>culo 32, numeral 2, no establece una definici</w:t>
      </w:r>
      <w:r w:rsidRPr="00DB23D2">
        <w:rPr>
          <w:rFonts w:ascii="Verdana" w:hAnsi="Verdana" w:hint="eastAsia"/>
          <w:lang w:val="es-MX"/>
        </w:rPr>
        <w:t>ó</w:t>
      </w:r>
      <w:r w:rsidRPr="00DB23D2">
        <w:rPr>
          <w:rFonts w:ascii="Verdana" w:hAnsi="Verdana"/>
          <w:lang w:val="es-MX"/>
        </w:rPr>
        <w:t>n de contrato de consultor</w:t>
      </w:r>
      <w:r w:rsidRPr="00DB23D2">
        <w:rPr>
          <w:rFonts w:ascii="Verdana" w:hAnsi="Verdana" w:hint="eastAsia"/>
          <w:lang w:val="es-MX"/>
        </w:rPr>
        <w:t>í</w:t>
      </w:r>
      <w:r w:rsidRPr="00DB23D2">
        <w:rPr>
          <w:rFonts w:ascii="Verdana" w:hAnsi="Verdana"/>
          <w:lang w:val="es-MX"/>
        </w:rPr>
        <w:t>a, sino que, simplemente, enuncia una serie de actividades que pueden hacer parte de este tipo contractual</w:t>
      </w:r>
      <w:r w:rsidRPr="00DB23D2">
        <w:rPr>
          <w:rFonts w:ascii="Verdana" w:hAnsi="Verdana"/>
          <w:vertAlign w:val="superscript"/>
          <w:lang w:val="es-MX"/>
        </w:rPr>
        <w:footnoteReference w:id="4"/>
      </w:r>
      <w:r w:rsidRPr="00DB23D2">
        <w:rPr>
          <w:rFonts w:ascii="Verdana" w:hAnsi="Verdana"/>
          <w:lang w:val="es-MX"/>
        </w:rPr>
        <w:t>. Es decir, no hay un concepto propio de consultor</w:t>
      </w:r>
      <w:r w:rsidRPr="00DB23D2">
        <w:rPr>
          <w:rFonts w:ascii="Verdana" w:hAnsi="Verdana" w:hint="eastAsia"/>
          <w:lang w:val="es-MX"/>
        </w:rPr>
        <w:t>í</w:t>
      </w:r>
      <w:r w:rsidRPr="00DB23D2">
        <w:rPr>
          <w:rFonts w:ascii="Verdana" w:hAnsi="Verdana"/>
          <w:lang w:val="es-MX"/>
        </w:rPr>
        <w:t>a dentro de la Ley 80 de 1993, pero s</w:t>
      </w:r>
      <w:r w:rsidRPr="00DB23D2">
        <w:rPr>
          <w:rFonts w:ascii="Verdana" w:hAnsi="Verdana" w:hint="eastAsia"/>
          <w:lang w:val="es-MX"/>
        </w:rPr>
        <w:t>í</w:t>
      </w:r>
      <w:r w:rsidRPr="00DB23D2">
        <w:rPr>
          <w:rFonts w:ascii="Verdana" w:hAnsi="Verdana"/>
          <w:lang w:val="es-MX"/>
        </w:rPr>
        <w:t xml:space="preserve"> se establecen elementos o actividades que configuran este tipo de contratos. </w:t>
      </w:r>
      <w:r>
        <w:rPr>
          <w:rStyle w:val="Refdenotaalpie"/>
          <w:rFonts w:ascii="Verdana" w:hAnsi="Verdana"/>
          <w:lang w:val="es-MX"/>
        </w:rPr>
        <w:footnoteReference w:id="5"/>
      </w:r>
      <w:r w:rsidRPr="00DB23D2">
        <w:rPr>
          <w:rFonts w:ascii="Verdana" w:hAnsi="Verdana"/>
          <w:lang w:val="es-MX"/>
        </w:rPr>
        <w:t xml:space="preserve">Al respecto, el Consejo de Estado expresa: </w:t>
      </w:r>
    </w:p>
    <w:p w14:paraId="101EB901" w14:textId="77777777" w:rsidR="001D1817" w:rsidRPr="00DB23D2" w:rsidRDefault="001D1817" w:rsidP="001D1817">
      <w:pPr>
        <w:tabs>
          <w:tab w:val="left" w:pos="709"/>
        </w:tabs>
        <w:spacing w:after="0" w:line="276" w:lineRule="auto"/>
        <w:ind w:firstLine="709"/>
        <w:jc w:val="both"/>
        <w:rPr>
          <w:rFonts w:ascii="Verdana" w:hAnsi="Verdana"/>
          <w:lang w:val="es-MX"/>
        </w:rPr>
      </w:pPr>
    </w:p>
    <w:p w14:paraId="05AC0241" w14:textId="77777777" w:rsidR="001D1817" w:rsidRPr="004E614C" w:rsidRDefault="001D1817" w:rsidP="001D1817">
      <w:pPr>
        <w:tabs>
          <w:tab w:val="left" w:pos="709"/>
        </w:tabs>
        <w:spacing w:after="0" w:line="240" w:lineRule="auto"/>
        <w:ind w:left="709" w:right="709"/>
        <w:jc w:val="both"/>
        <w:rPr>
          <w:rFonts w:ascii="Verdana" w:hAnsi="Verdana"/>
          <w:sz w:val="20"/>
          <w:szCs w:val="20"/>
          <w:lang w:val="es-MX"/>
        </w:rPr>
      </w:pPr>
      <w:r>
        <w:rPr>
          <w:rFonts w:ascii="Verdana" w:hAnsi="Verdana"/>
          <w:sz w:val="20"/>
          <w:szCs w:val="20"/>
          <w:lang w:val="es-MX"/>
        </w:rPr>
        <w:t>“</w:t>
      </w:r>
      <w:r w:rsidRPr="004E614C">
        <w:rPr>
          <w:rFonts w:ascii="Verdana" w:hAnsi="Verdana"/>
          <w:sz w:val="20"/>
          <w:szCs w:val="20"/>
          <w:lang w:val="es-MX"/>
        </w:rPr>
        <w:t>Son de la esencia del contrato de consultor</w:t>
      </w:r>
      <w:r w:rsidRPr="004E614C">
        <w:rPr>
          <w:rFonts w:ascii="Verdana" w:hAnsi="Verdana" w:hint="eastAsia"/>
          <w:sz w:val="20"/>
          <w:szCs w:val="20"/>
          <w:lang w:val="es-MX"/>
        </w:rPr>
        <w:t>í</w:t>
      </w:r>
      <w:r w:rsidRPr="004E614C">
        <w:rPr>
          <w:rFonts w:ascii="Verdana" w:hAnsi="Verdana"/>
          <w:sz w:val="20"/>
          <w:szCs w:val="20"/>
          <w:lang w:val="es-MX"/>
        </w:rPr>
        <w:t>a el que una parte se obligue a prestar un servicio consistente en realizar estudios para la ejecuci</w:t>
      </w:r>
      <w:r w:rsidRPr="004E614C">
        <w:rPr>
          <w:rFonts w:ascii="Verdana" w:hAnsi="Verdana" w:hint="eastAsia"/>
          <w:sz w:val="20"/>
          <w:szCs w:val="20"/>
          <w:lang w:val="es-MX"/>
        </w:rPr>
        <w:t>ó</w:t>
      </w:r>
      <w:r w:rsidRPr="004E614C">
        <w:rPr>
          <w:rFonts w:ascii="Verdana" w:hAnsi="Verdana"/>
          <w:sz w:val="20"/>
          <w:szCs w:val="20"/>
          <w:lang w:val="es-MX"/>
        </w:rPr>
        <w:t xml:space="preserve">n de </w:t>
      </w:r>
      <w:r w:rsidRPr="004E614C">
        <w:rPr>
          <w:rFonts w:ascii="Verdana" w:hAnsi="Verdana"/>
          <w:sz w:val="20"/>
          <w:szCs w:val="20"/>
          <w:lang w:val="es-MX"/>
        </w:rPr>
        <w:lastRenderedPageBreak/>
        <w:t>proyectos de inversi</w:t>
      </w:r>
      <w:r w:rsidRPr="004E614C">
        <w:rPr>
          <w:rFonts w:ascii="Verdana" w:hAnsi="Verdana" w:hint="eastAsia"/>
          <w:sz w:val="20"/>
          <w:szCs w:val="20"/>
          <w:lang w:val="es-MX"/>
        </w:rPr>
        <w:t>ó</w:t>
      </w:r>
      <w:r w:rsidRPr="004E614C">
        <w:rPr>
          <w:rFonts w:ascii="Verdana" w:hAnsi="Verdana"/>
          <w:sz w:val="20"/>
          <w:szCs w:val="20"/>
          <w:lang w:val="es-MX"/>
        </w:rPr>
        <w:t>n, estudios de diagn</w:t>
      </w:r>
      <w:r w:rsidRPr="004E614C">
        <w:rPr>
          <w:rFonts w:ascii="Verdana" w:hAnsi="Verdana" w:hint="eastAsia"/>
          <w:sz w:val="20"/>
          <w:szCs w:val="20"/>
          <w:lang w:val="es-MX"/>
        </w:rPr>
        <w:t>ó</w:t>
      </w:r>
      <w:r w:rsidRPr="004E614C">
        <w:rPr>
          <w:rFonts w:ascii="Verdana" w:hAnsi="Verdana"/>
          <w:sz w:val="20"/>
          <w:szCs w:val="20"/>
          <w:lang w:val="es-MX"/>
        </w:rPr>
        <w:t>stico, prefactibilidad o factibilidad para programas o proyectos determinados, prestar asesor</w:t>
      </w:r>
      <w:r w:rsidRPr="004E614C">
        <w:rPr>
          <w:rFonts w:ascii="Verdana" w:hAnsi="Verdana" w:hint="eastAsia"/>
          <w:sz w:val="20"/>
          <w:szCs w:val="20"/>
          <w:lang w:val="es-MX"/>
        </w:rPr>
        <w:t>í</w:t>
      </w:r>
      <w:r w:rsidRPr="004E614C">
        <w:rPr>
          <w:rFonts w:ascii="Verdana" w:hAnsi="Verdana"/>
          <w:sz w:val="20"/>
          <w:szCs w:val="20"/>
          <w:lang w:val="es-MX"/>
        </w:rPr>
        <w:t>a t</w:t>
      </w:r>
      <w:r w:rsidRPr="004E614C">
        <w:rPr>
          <w:rFonts w:ascii="Verdana" w:hAnsi="Verdana" w:hint="eastAsia"/>
          <w:sz w:val="20"/>
          <w:szCs w:val="20"/>
          <w:lang w:val="es-MX"/>
        </w:rPr>
        <w:t>é</w:t>
      </w:r>
      <w:r w:rsidRPr="004E614C">
        <w:rPr>
          <w:rFonts w:ascii="Verdana" w:hAnsi="Verdana"/>
          <w:sz w:val="20"/>
          <w:szCs w:val="20"/>
          <w:lang w:val="es-MX"/>
        </w:rPr>
        <w:t>cnica de coordinaci</w:t>
      </w:r>
      <w:r w:rsidRPr="004E614C">
        <w:rPr>
          <w:rFonts w:ascii="Verdana" w:hAnsi="Verdana" w:hint="eastAsia"/>
          <w:sz w:val="20"/>
          <w:szCs w:val="20"/>
          <w:lang w:val="es-MX"/>
        </w:rPr>
        <w:t>ó</w:t>
      </w:r>
      <w:r w:rsidRPr="004E614C">
        <w:rPr>
          <w:rFonts w:ascii="Verdana" w:hAnsi="Verdana"/>
          <w:sz w:val="20"/>
          <w:szCs w:val="20"/>
          <w:lang w:val="es-MX"/>
        </w:rPr>
        <w:t>n, control y supervisi</w:t>
      </w:r>
      <w:r w:rsidRPr="004E614C">
        <w:rPr>
          <w:rFonts w:ascii="Verdana" w:hAnsi="Verdana" w:hint="eastAsia"/>
          <w:sz w:val="20"/>
          <w:szCs w:val="20"/>
          <w:lang w:val="es-MX"/>
        </w:rPr>
        <w:t>ó</w:t>
      </w:r>
      <w:r w:rsidRPr="004E614C">
        <w:rPr>
          <w:rFonts w:ascii="Verdana" w:hAnsi="Verdana"/>
          <w:sz w:val="20"/>
          <w:szCs w:val="20"/>
          <w:lang w:val="es-MX"/>
        </w:rPr>
        <w:t>n, realizar actividades de interventor</w:t>
      </w:r>
      <w:r w:rsidRPr="004E614C">
        <w:rPr>
          <w:rFonts w:ascii="Verdana" w:hAnsi="Verdana" w:hint="eastAsia"/>
          <w:sz w:val="20"/>
          <w:szCs w:val="20"/>
          <w:lang w:val="es-MX"/>
        </w:rPr>
        <w:t>í</w:t>
      </w:r>
      <w:r w:rsidRPr="004E614C">
        <w:rPr>
          <w:rFonts w:ascii="Verdana" w:hAnsi="Verdana"/>
          <w:sz w:val="20"/>
          <w:szCs w:val="20"/>
          <w:lang w:val="es-MX"/>
        </w:rPr>
        <w:t>a, asesor</w:t>
      </w:r>
      <w:r w:rsidRPr="004E614C">
        <w:rPr>
          <w:rFonts w:ascii="Verdana" w:hAnsi="Verdana" w:hint="eastAsia"/>
          <w:sz w:val="20"/>
          <w:szCs w:val="20"/>
          <w:lang w:val="es-MX"/>
        </w:rPr>
        <w:t>í</w:t>
      </w:r>
      <w:r w:rsidRPr="004E614C">
        <w:rPr>
          <w:rFonts w:ascii="Verdana" w:hAnsi="Verdana"/>
          <w:sz w:val="20"/>
          <w:szCs w:val="20"/>
          <w:lang w:val="es-MX"/>
        </w:rPr>
        <w:t>a y gerencia de obra o de proyectos, as</w:t>
      </w:r>
      <w:r w:rsidRPr="004E614C">
        <w:rPr>
          <w:rFonts w:ascii="Verdana" w:hAnsi="Verdana" w:hint="eastAsia"/>
          <w:sz w:val="20"/>
          <w:szCs w:val="20"/>
          <w:lang w:val="es-MX"/>
        </w:rPr>
        <w:t>í</w:t>
      </w:r>
      <w:r w:rsidRPr="004E614C">
        <w:rPr>
          <w:rFonts w:ascii="Verdana" w:hAnsi="Verdana"/>
          <w:sz w:val="20"/>
          <w:szCs w:val="20"/>
          <w:lang w:val="es-MX"/>
        </w:rPr>
        <w:t xml:space="preserve"> como la direcci</w:t>
      </w:r>
      <w:r w:rsidRPr="004E614C">
        <w:rPr>
          <w:rFonts w:ascii="Verdana" w:hAnsi="Verdana" w:hint="eastAsia"/>
          <w:sz w:val="20"/>
          <w:szCs w:val="20"/>
          <w:lang w:val="es-MX"/>
        </w:rPr>
        <w:t>ó</w:t>
      </w:r>
      <w:r w:rsidRPr="004E614C">
        <w:rPr>
          <w:rFonts w:ascii="Verdana" w:hAnsi="Verdana"/>
          <w:sz w:val="20"/>
          <w:szCs w:val="20"/>
          <w:lang w:val="es-MX"/>
        </w:rPr>
        <w:t>n, programaci</w:t>
      </w:r>
      <w:r w:rsidRPr="004E614C">
        <w:rPr>
          <w:rFonts w:ascii="Verdana" w:hAnsi="Verdana" w:hint="eastAsia"/>
          <w:sz w:val="20"/>
          <w:szCs w:val="20"/>
          <w:lang w:val="es-MX"/>
        </w:rPr>
        <w:t>ó</w:t>
      </w:r>
      <w:r w:rsidRPr="004E614C">
        <w:rPr>
          <w:rFonts w:ascii="Verdana" w:hAnsi="Verdana"/>
          <w:sz w:val="20"/>
          <w:szCs w:val="20"/>
          <w:lang w:val="es-MX"/>
        </w:rPr>
        <w:t>n y la ejecuci</w:t>
      </w:r>
      <w:r w:rsidRPr="004E614C">
        <w:rPr>
          <w:rFonts w:ascii="Verdana" w:hAnsi="Verdana" w:hint="eastAsia"/>
          <w:sz w:val="20"/>
          <w:szCs w:val="20"/>
          <w:lang w:val="es-MX"/>
        </w:rPr>
        <w:t>ó</w:t>
      </w:r>
      <w:r w:rsidRPr="004E614C">
        <w:rPr>
          <w:rFonts w:ascii="Verdana" w:hAnsi="Verdana"/>
          <w:sz w:val="20"/>
          <w:szCs w:val="20"/>
          <w:lang w:val="es-MX"/>
        </w:rPr>
        <w:t>n de dise</w:t>
      </w:r>
      <w:r w:rsidRPr="004E614C">
        <w:rPr>
          <w:rFonts w:ascii="Verdana" w:hAnsi="Verdana" w:hint="eastAsia"/>
          <w:sz w:val="20"/>
          <w:szCs w:val="20"/>
          <w:lang w:val="es-MX"/>
        </w:rPr>
        <w:t>ñ</w:t>
      </w:r>
      <w:r w:rsidRPr="004E614C">
        <w:rPr>
          <w:rFonts w:ascii="Verdana" w:hAnsi="Verdana"/>
          <w:sz w:val="20"/>
          <w:szCs w:val="20"/>
          <w:lang w:val="es-MX"/>
        </w:rPr>
        <w:t>os, planos, anteproyectos y proyectos, y el que la otra se obligue a pagar una determinada remuneraci</w:t>
      </w:r>
      <w:r w:rsidRPr="004E614C">
        <w:rPr>
          <w:rFonts w:ascii="Verdana" w:hAnsi="Verdana" w:hint="eastAsia"/>
          <w:sz w:val="20"/>
          <w:szCs w:val="20"/>
          <w:lang w:val="es-MX"/>
        </w:rPr>
        <w:t>ó</w:t>
      </w:r>
      <w:r w:rsidRPr="004E614C">
        <w:rPr>
          <w:rFonts w:ascii="Verdana" w:hAnsi="Verdana"/>
          <w:sz w:val="20"/>
          <w:szCs w:val="20"/>
          <w:lang w:val="es-MX"/>
        </w:rPr>
        <w:t>n como retribuci</w:t>
      </w:r>
      <w:r w:rsidRPr="004E614C">
        <w:rPr>
          <w:rFonts w:ascii="Verdana" w:hAnsi="Verdana" w:hint="eastAsia"/>
          <w:sz w:val="20"/>
          <w:szCs w:val="20"/>
          <w:lang w:val="es-MX"/>
        </w:rPr>
        <w:t>ó</w:t>
      </w:r>
      <w:r w:rsidRPr="004E614C">
        <w:rPr>
          <w:rFonts w:ascii="Verdana" w:hAnsi="Verdana"/>
          <w:sz w:val="20"/>
          <w:szCs w:val="20"/>
          <w:lang w:val="es-MX"/>
        </w:rPr>
        <w:t>n por el servicio prestado</w:t>
      </w:r>
      <w:r>
        <w:rPr>
          <w:rFonts w:ascii="Verdana" w:hAnsi="Verdana"/>
          <w:sz w:val="20"/>
          <w:szCs w:val="20"/>
          <w:lang w:val="es-MX"/>
        </w:rPr>
        <w:t>”</w:t>
      </w:r>
      <w:r w:rsidRPr="004E614C">
        <w:rPr>
          <w:rFonts w:ascii="Verdana" w:hAnsi="Verdana"/>
          <w:sz w:val="20"/>
          <w:szCs w:val="20"/>
          <w:vertAlign w:val="superscript"/>
          <w:lang w:val="es-MX"/>
        </w:rPr>
        <w:footnoteReference w:id="6"/>
      </w:r>
      <w:r w:rsidRPr="004E614C">
        <w:rPr>
          <w:rFonts w:ascii="Verdana" w:hAnsi="Verdana"/>
          <w:sz w:val="20"/>
          <w:szCs w:val="20"/>
          <w:lang w:val="es-MX"/>
        </w:rPr>
        <w:t>.</w:t>
      </w:r>
    </w:p>
    <w:p w14:paraId="32DF3581" w14:textId="77777777" w:rsidR="001D1817" w:rsidRPr="00954A17" w:rsidRDefault="001D1817" w:rsidP="001D1817">
      <w:pPr>
        <w:tabs>
          <w:tab w:val="left" w:pos="709"/>
        </w:tabs>
        <w:spacing w:after="0" w:line="276" w:lineRule="auto"/>
        <w:ind w:right="709"/>
        <w:jc w:val="both"/>
        <w:rPr>
          <w:rFonts w:ascii="Verdana" w:hAnsi="Verdana"/>
          <w:lang w:val="es-MX"/>
        </w:rPr>
      </w:pPr>
      <w:r>
        <w:rPr>
          <w:rFonts w:ascii="Verdana" w:hAnsi="Verdana"/>
          <w:lang w:val="es-MX"/>
        </w:rPr>
        <w:tab/>
      </w:r>
    </w:p>
    <w:p w14:paraId="3814710D" w14:textId="77777777" w:rsidR="001D1817" w:rsidRDefault="001D1817" w:rsidP="001D1817">
      <w:pPr>
        <w:spacing w:after="0" w:line="276" w:lineRule="auto"/>
        <w:ind w:firstLine="709"/>
        <w:jc w:val="both"/>
        <w:rPr>
          <w:rFonts w:ascii="Verdana" w:eastAsia="Calibri" w:hAnsi="Verdana" w:cs="Arial"/>
          <w:bCs/>
          <w:lang w:val="es-ES_tradnl"/>
        </w:rPr>
      </w:pPr>
      <w:r w:rsidRPr="0026272F">
        <w:rPr>
          <w:rFonts w:ascii="Verdana" w:eastAsia="Calibri" w:hAnsi="Verdana" w:cs="Arial"/>
          <w:bCs/>
          <w:lang w:val="es-ES_tradnl"/>
        </w:rPr>
        <w:t xml:space="preserve">De acuerdo </w:t>
      </w:r>
      <w:r>
        <w:rPr>
          <w:rFonts w:ascii="Verdana" w:eastAsia="Calibri" w:hAnsi="Verdana" w:cs="Arial"/>
          <w:bCs/>
          <w:lang w:val="es-ES_tradnl"/>
        </w:rPr>
        <w:t>con lo anterior</w:t>
      </w:r>
      <w:r w:rsidRPr="0026272F">
        <w:rPr>
          <w:rFonts w:ascii="Verdana" w:eastAsia="Calibri" w:hAnsi="Verdana" w:cs="Arial"/>
          <w:bCs/>
          <w:lang w:val="es-ES_tradnl"/>
        </w:rPr>
        <w:t xml:space="preserve">, los contratos de consultoría son entonces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programación y la ejecución de diseños, planos, anteproyectos y proyectos. Al respecto, </w:t>
      </w:r>
      <w:bookmarkStart w:id="1" w:name="_Hlk184214965"/>
      <w:r w:rsidRPr="0026272F">
        <w:rPr>
          <w:rFonts w:ascii="Verdana" w:eastAsia="Calibri" w:hAnsi="Verdana" w:cs="Arial"/>
          <w:bCs/>
          <w:lang w:val="es-ES_tradnl"/>
        </w:rPr>
        <w:t xml:space="preserve">la Sección Tercera del Consejo de Estado en Sentencia de Unificación con radicado 41.179 </w:t>
      </w:r>
      <w:bookmarkEnd w:id="1"/>
      <w:r w:rsidRPr="0026272F">
        <w:rPr>
          <w:rFonts w:ascii="Verdana" w:eastAsia="Calibri" w:hAnsi="Verdana" w:cs="Arial"/>
          <w:bCs/>
          <w:lang w:val="es-ES_tradnl"/>
        </w:rPr>
        <w:t>señaló frente al contrato de consultoría lo siguiente:</w:t>
      </w:r>
    </w:p>
    <w:p w14:paraId="0341DBBD" w14:textId="77777777" w:rsidR="001D1817" w:rsidRPr="0026272F" w:rsidRDefault="001D1817" w:rsidP="001D1817">
      <w:pPr>
        <w:spacing w:after="0" w:line="276" w:lineRule="auto"/>
        <w:ind w:firstLine="709"/>
        <w:jc w:val="both"/>
        <w:rPr>
          <w:rFonts w:ascii="Verdana" w:eastAsia="Calibri" w:hAnsi="Verdana" w:cs="Arial"/>
          <w:bCs/>
          <w:lang w:val="es-ES_tradnl"/>
        </w:rPr>
      </w:pPr>
    </w:p>
    <w:p w14:paraId="1097973D" w14:textId="77777777" w:rsidR="001D1817" w:rsidRPr="002C394D" w:rsidRDefault="001D1817" w:rsidP="001D1817">
      <w:pPr>
        <w:spacing w:after="0"/>
        <w:ind w:left="992" w:right="709"/>
        <w:jc w:val="both"/>
        <w:rPr>
          <w:rFonts w:ascii="Verdana" w:hAnsi="Verdana" w:cs="Arial"/>
          <w:sz w:val="20"/>
          <w:szCs w:val="20"/>
        </w:rPr>
      </w:pPr>
      <w:r w:rsidRPr="002C394D">
        <w:rPr>
          <w:rFonts w:ascii="Verdana" w:hAnsi="Verdana" w:cs="Arial"/>
          <w:sz w:val="20"/>
          <w:szCs w:val="20"/>
        </w:rPr>
        <w:t xml:space="preserve">“Su objeto contractual está centrado hacia el desarrollo de actividades que implican el despliegue de actividades de carácter eminentemente intelectivo, pero presenta como particularidad sustantiva que tales esfuerzos están dirigidos, específicamente, al cumplimiento de ciertos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 Se incluyen dentro de este tipo aquellos contratos que tienen por objeto la interventoría, asesoría, gerencia de obra o de proyectos, dirección, programas y la ejecución de diseños, planos, anteproyectos y proyectos.  </w:t>
      </w:r>
    </w:p>
    <w:p w14:paraId="2291ADC5" w14:textId="77777777" w:rsidR="001D1817" w:rsidRPr="002C394D" w:rsidRDefault="001D1817" w:rsidP="001D1817">
      <w:pPr>
        <w:spacing w:after="0"/>
        <w:ind w:left="992" w:right="709"/>
        <w:jc w:val="both"/>
        <w:rPr>
          <w:rFonts w:ascii="Verdana" w:hAnsi="Verdana" w:cs="Arial"/>
          <w:sz w:val="20"/>
          <w:szCs w:val="20"/>
        </w:rPr>
      </w:pPr>
    </w:p>
    <w:p w14:paraId="49C4284C" w14:textId="77777777" w:rsidR="001D1817" w:rsidRPr="002C394D" w:rsidRDefault="001D1817" w:rsidP="001D1817">
      <w:pPr>
        <w:spacing w:after="0" w:line="276" w:lineRule="auto"/>
        <w:ind w:left="992" w:right="709"/>
        <w:jc w:val="both"/>
        <w:rPr>
          <w:rFonts w:ascii="Verdana" w:hAnsi="Verdana" w:cs="Arial"/>
          <w:sz w:val="20"/>
          <w:szCs w:val="20"/>
        </w:rPr>
      </w:pPr>
      <w:r w:rsidRPr="002C394D">
        <w:rPr>
          <w:rFonts w:ascii="Verdana" w:hAnsi="Verdana" w:cs="Arial"/>
          <w:sz w:val="20"/>
          <w:szCs w:val="20"/>
        </w:rPr>
        <w:t>Además de estos objetos contractuales, se incluyen allí aquellos que las demás disposiciones legales especiales (y reglamentarias) establezcan”</w:t>
      </w:r>
      <w:r w:rsidRPr="002C394D">
        <w:rPr>
          <w:rStyle w:val="Refdenotaalpie"/>
          <w:rFonts w:ascii="Verdana" w:hAnsi="Verdana" w:cs="Arial"/>
          <w:sz w:val="20"/>
          <w:szCs w:val="20"/>
        </w:rPr>
        <w:footnoteReference w:id="7"/>
      </w:r>
      <w:r w:rsidRPr="002C394D">
        <w:rPr>
          <w:rFonts w:ascii="Verdana" w:hAnsi="Verdana" w:cs="Arial"/>
          <w:sz w:val="20"/>
          <w:szCs w:val="20"/>
        </w:rPr>
        <w:t>.</w:t>
      </w:r>
    </w:p>
    <w:p w14:paraId="054ABB43" w14:textId="77777777" w:rsidR="001D1817" w:rsidRPr="002C394D" w:rsidRDefault="001D1817" w:rsidP="001D1817">
      <w:pPr>
        <w:spacing w:after="0" w:line="276" w:lineRule="auto"/>
        <w:ind w:left="992" w:right="709"/>
        <w:jc w:val="both"/>
        <w:rPr>
          <w:rFonts w:ascii="Verdana" w:eastAsia="Calibri" w:hAnsi="Verdana" w:cs="Arial"/>
          <w:bCs/>
          <w:sz w:val="20"/>
          <w:szCs w:val="20"/>
          <w:lang w:val="es-ES_tradnl"/>
        </w:rPr>
      </w:pPr>
    </w:p>
    <w:p w14:paraId="1EFEB00A" w14:textId="77777777" w:rsidR="001D1817" w:rsidRPr="0026272F" w:rsidRDefault="001D1817" w:rsidP="001D1817">
      <w:pPr>
        <w:spacing w:after="0" w:line="276" w:lineRule="auto"/>
        <w:ind w:firstLine="709"/>
        <w:jc w:val="both"/>
        <w:rPr>
          <w:rFonts w:ascii="Verdana" w:eastAsia="Calibri" w:hAnsi="Verdana" w:cs="Arial"/>
          <w:bCs/>
          <w:lang w:val="es-ES_tradnl"/>
        </w:rPr>
      </w:pPr>
      <w:r w:rsidRPr="0026272F">
        <w:rPr>
          <w:rFonts w:ascii="Verdana" w:eastAsia="Calibri" w:hAnsi="Verdana" w:cs="Arial"/>
          <w:bCs/>
          <w:lang w:val="es-ES_tradnl"/>
        </w:rPr>
        <w:lastRenderedPageBreak/>
        <w:t xml:space="preserve">Bajo este entendimiento, la característica fundamental para identificar los contratos estatales de consultoría es el carácter ampliamente técnico de su contenido, que se diferencia de otros tipos contractuales, como el de prestación de servicios –apoyo a la gestión, servicios profesionales o de ejecución de trabajos artísticos–. A diferencia del contrato de consultoría, el de prestación de servicios supone el desarrollo de </w:t>
      </w:r>
      <w:r w:rsidRPr="0026272F">
        <w:rPr>
          <w:rFonts w:ascii="Verdana" w:hAnsi="Verdana" w:cs="Arial"/>
        </w:rPr>
        <w:t xml:space="preserve">actividades de colaboración y apoyo a la gestión de la entidad dirigidas al cumplimiento de las funciones asignadas a esta, de carácter temporal, excepcional u ocasional, siempre que no haya suficiente personal de planta o que, </w:t>
      </w:r>
      <w:r w:rsidRPr="0026272F">
        <w:rPr>
          <w:rFonts w:ascii="Verdana" w:hAnsi="Verdana" w:cs="Arial"/>
          <w:noProof/>
          <w:lang w:val="es-ES_tradnl"/>
        </w:rPr>
        <w:t>existiendo, está sobrecargado de trabajo, o</w:t>
      </w:r>
      <w:r w:rsidRPr="0026272F">
        <w:rPr>
          <w:rFonts w:ascii="Verdana" w:hAnsi="Verdana" w:cs="Arial"/>
        </w:rPr>
        <w:t xml:space="preserve"> que sean actividades que requieran conocimientos especializados, según lo prescrito en el artículo 32.3. de la </w:t>
      </w:r>
      <w:bookmarkStart w:id="2" w:name="_Hlk184214932"/>
      <w:r w:rsidRPr="0026272F">
        <w:rPr>
          <w:rFonts w:ascii="Verdana" w:hAnsi="Verdana" w:cs="Arial"/>
        </w:rPr>
        <w:t>Ley 80 de 1993</w:t>
      </w:r>
      <w:bookmarkEnd w:id="2"/>
      <w:r w:rsidRPr="0026272F">
        <w:rPr>
          <w:rFonts w:ascii="Verdana" w:hAnsi="Verdana" w:cs="Arial"/>
        </w:rPr>
        <w:t xml:space="preserve">. Al respecto, el Consejo de Estado ha señalado la diferencia entre estos dos contratos, de la siguiente manera: </w:t>
      </w:r>
    </w:p>
    <w:p w14:paraId="2BB43A0A" w14:textId="77777777" w:rsidR="001D1817" w:rsidRPr="002C394D" w:rsidRDefault="001D1817" w:rsidP="001D1817">
      <w:pPr>
        <w:pStyle w:val="Textoindependiente"/>
        <w:spacing w:after="0"/>
        <w:ind w:right="102" w:firstLine="709"/>
        <w:jc w:val="both"/>
        <w:rPr>
          <w:rFonts w:ascii="Verdana" w:hAnsi="Verdana" w:cs="Arial"/>
        </w:rPr>
      </w:pPr>
    </w:p>
    <w:p w14:paraId="3C235345" w14:textId="77777777" w:rsidR="001D1817" w:rsidRDefault="001D1817" w:rsidP="001D1817">
      <w:pPr>
        <w:tabs>
          <w:tab w:val="left" w:pos="993"/>
          <w:tab w:val="left" w:pos="1134"/>
          <w:tab w:val="left" w:pos="1276"/>
        </w:tabs>
        <w:spacing w:after="0"/>
        <w:ind w:left="709" w:right="709"/>
        <w:jc w:val="both"/>
        <w:rPr>
          <w:rFonts w:ascii="Verdana" w:hAnsi="Verdana" w:cs="Arial"/>
          <w:sz w:val="20"/>
          <w:szCs w:val="20"/>
          <w:lang w:val="es-ES_tradnl"/>
        </w:rPr>
      </w:pPr>
      <w:r w:rsidRPr="002C394D">
        <w:rPr>
          <w:rFonts w:ascii="Verdana" w:hAnsi="Verdana" w:cs="Arial"/>
          <w:sz w:val="20"/>
          <w:szCs w:val="20"/>
          <w:lang w:val="es-ES_tradnl"/>
        </w:rPr>
        <w:t>“[…] mientras que el contrato de consultoría está revestido de una cláusula de estricta tipicidad cerrada (que condiciona de manera detallada la procedencia de dicho contrato), el de prestación de servicios goza de una regulación jurídica amplia, que se instrumentaliza por vía de los mencionados tres contratos (profesional, de simple apoyo a la gestión y de ejecución de trabajos artísticos que sólo pueden encomendarse a determinadas personas naturales), de manera que los objetos contractuales que no estén comprendidos dentro del contrato de consultoría (de acuerdo con la Ley 80 de 1993 y las demás disposiciones legales especiales actuales o futuras) podrán ser satisfechos por medio del de prestación de servicios siempre que satisfaga los referentes conceptuales que establece el numeral 3° del artículo 32 de la Ley 80 de 1993, conforme a la debida planeación contractual y en armonía con los criterios jurídicos que han sido decantados en el precedente de esta Corporación y en esta providencia”</w:t>
      </w:r>
      <w:r w:rsidRPr="002C394D">
        <w:rPr>
          <w:rStyle w:val="Refdenotaalpie"/>
          <w:rFonts w:ascii="Verdana" w:hAnsi="Verdana" w:cs="Arial"/>
          <w:sz w:val="20"/>
          <w:szCs w:val="20"/>
        </w:rPr>
        <w:footnoteReference w:id="8"/>
      </w:r>
      <w:r w:rsidRPr="002C394D">
        <w:rPr>
          <w:rFonts w:ascii="Verdana" w:hAnsi="Verdana" w:cs="Arial"/>
          <w:sz w:val="20"/>
          <w:szCs w:val="20"/>
          <w:lang w:val="es-ES_tradnl"/>
        </w:rPr>
        <w:t>.</w:t>
      </w:r>
    </w:p>
    <w:p w14:paraId="323E5C67" w14:textId="77777777" w:rsidR="001D1817" w:rsidRDefault="001D1817" w:rsidP="001D1817">
      <w:pPr>
        <w:tabs>
          <w:tab w:val="left" w:pos="993"/>
          <w:tab w:val="left" w:pos="1134"/>
          <w:tab w:val="left" w:pos="1276"/>
        </w:tabs>
        <w:spacing w:after="0"/>
        <w:ind w:left="709" w:right="709"/>
        <w:jc w:val="both"/>
        <w:rPr>
          <w:rFonts w:ascii="Verdana" w:hAnsi="Verdana" w:cs="Arial"/>
          <w:sz w:val="20"/>
          <w:szCs w:val="20"/>
          <w:lang w:val="es-ES_tradnl"/>
        </w:rPr>
      </w:pPr>
    </w:p>
    <w:p w14:paraId="1D6BA932" w14:textId="77777777" w:rsidR="001D1817" w:rsidRDefault="001D1817" w:rsidP="001D1817">
      <w:pPr>
        <w:keepNext/>
        <w:spacing w:after="120" w:line="276" w:lineRule="auto"/>
        <w:ind w:firstLine="709"/>
        <w:jc w:val="both"/>
        <w:outlineLvl w:val="0"/>
        <w:rPr>
          <w:rFonts w:ascii="Verdana" w:hAnsi="Verdana" w:cs="Arial"/>
        </w:rPr>
      </w:pPr>
      <w:r>
        <w:rPr>
          <w:rFonts w:ascii="Verdana" w:hAnsi="Verdana" w:cs="Arial"/>
          <w:lang w:val="es-ES_tradnl"/>
        </w:rPr>
        <w:t>Ahora bien, e</w:t>
      </w:r>
      <w:r w:rsidRPr="0026272F">
        <w:rPr>
          <w:rFonts w:ascii="Verdana" w:hAnsi="Verdana" w:cs="Arial"/>
        </w:rPr>
        <w:t>l procedimiento de selección de concurso de méritos, aplicable para la escogencia de consultores está reglamentado</w:t>
      </w:r>
      <w:r>
        <w:rPr>
          <w:rFonts w:ascii="Verdana" w:hAnsi="Verdana" w:cs="Arial"/>
        </w:rPr>
        <w:t xml:space="preserve"> </w:t>
      </w:r>
      <w:r w:rsidRPr="0026272F">
        <w:rPr>
          <w:rFonts w:ascii="Verdana" w:hAnsi="Verdana" w:cs="Arial"/>
        </w:rPr>
        <w:t xml:space="preserve">por el artículo 2.2.1.2.1.3.2. del Decreto 1082 de 2015, modificado por el Decreto 399 de 2021.  Al respecto, el numeral 1.1 de dicha norma dispone: “La Entidad Estatal en los pliegos de condiciones debe indicar la forma como calificará, entre otros, los siguientes criterios: </w:t>
      </w:r>
      <w:r w:rsidRPr="0026272F">
        <w:rPr>
          <w:rFonts w:ascii="Verdana" w:hAnsi="Verdana" w:cs="Arial"/>
          <w:i/>
          <w:iCs/>
        </w:rPr>
        <w:t xml:space="preserve">a) la experiencia del interesado y del equipo de trabajo </w:t>
      </w:r>
      <w:r w:rsidRPr="00B556A9">
        <w:rPr>
          <w:rFonts w:ascii="Verdana" w:hAnsi="Verdana" w:cs="Arial"/>
        </w:rPr>
        <w:t xml:space="preserve">y b) </w:t>
      </w:r>
      <w:r w:rsidRPr="00B556A9">
        <w:rPr>
          <w:rFonts w:ascii="Verdana" w:hAnsi="Verdana" w:cs="Arial"/>
        </w:rPr>
        <w:lastRenderedPageBreak/>
        <w:t>la formación académica del equipo de trabajo</w:t>
      </w:r>
      <w:r w:rsidRPr="0026272F">
        <w:rPr>
          <w:rFonts w:ascii="Verdana" w:hAnsi="Verdana" w:cs="Arial"/>
          <w:i/>
          <w:iCs/>
        </w:rPr>
        <w:t>”</w:t>
      </w:r>
      <w:r>
        <w:rPr>
          <w:rFonts w:ascii="Verdana" w:hAnsi="Verdana" w:cs="Arial"/>
          <w:i/>
          <w:iCs/>
        </w:rPr>
        <w:t xml:space="preserve"> </w:t>
      </w:r>
      <w:r w:rsidRPr="00057A23">
        <w:rPr>
          <w:rFonts w:ascii="Verdana" w:hAnsi="Verdana" w:cs="Arial"/>
        </w:rPr>
        <w:t>[Énfasis por fuera del texto],</w:t>
      </w:r>
      <w:r w:rsidRPr="0026272F">
        <w:rPr>
          <w:rFonts w:ascii="Verdana" w:hAnsi="Verdana" w:cs="Arial"/>
          <w:i/>
          <w:iCs/>
        </w:rPr>
        <w:t xml:space="preserve"> </w:t>
      </w:r>
      <w:r w:rsidRPr="0026272F">
        <w:rPr>
          <w:rFonts w:ascii="Verdana" w:hAnsi="Verdana" w:cs="Arial"/>
        </w:rPr>
        <w:t>excluyendo el precio como factor de escogencia.</w:t>
      </w:r>
    </w:p>
    <w:p w14:paraId="4646AB78" w14:textId="77777777" w:rsidR="001D1817" w:rsidRDefault="001D1817" w:rsidP="001D1817">
      <w:pPr>
        <w:keepNext/>
        <w:spacing w:after="120" w:line="276" w:lineRule="auto"/>
        <w:ind w:firstLine="709"/>
        <w:jc w:val="both"/>
        <w:outlineLvl w:val="0"/>
        <w:rPr>
          <w:rFonts w:ascii="Verdana" w:hAnsi="Verdana" w:cs="Arial"/>
          <w:lang w:val="es-MX"/>
        </w:rPr>
      </w:pPr>
      <w:r w:rsidRPr="0026272F">
        <w:rPr>
          <w:rFonts w:ascii="Verdana" w:hAnsi="Verdana" w:cs="Arial"/>
        </w:rPr>
        <w:t>Conforme a esto,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w:t>
      </w:r>
      <w:r>
        <w:rPr>
          <w:rFonts w:ascii="Verdana" w:hAnsi="Verdana" w:cs="Arial"/>
        </w:rPr>
        <w:t xml:space="preserve"> </w:t>
      </w:r>
      <w:r>
        <w:rPr>
          <w:rFonts w:ascii="Verdana" w:hAnsi="Verdana" w:cs="Arial"/>
          <w:lang w:val="es-MX"/>
        </w:rPr>
        <w:t>Usualmente en l</w:t>
      </w:r>
      <w:r w:rsidRPr="0034189A">
        <w:rPr>
          <w:rFonts w:ascii="Verdana" w:hAnsi="Verdana" w:cs="Arial"/>
          <w:lang w:val="es-MX"/>
        </w:rPr>
        <w:t xml:space="preserve">os procesos de selección para la contratación de una consultoría </w:t>
      </w:r>
      <w:r>
        <w:rPr>
          <w:rFonts w:ascii="Verdana" w:hAnsi="Verdana" w:cs="Arial"/>
          <w:lang w:val="es-MX"/>
        </w:rPr>
        <w:t xml:space="preserve">se solicita </w:t>
      </w:r>
      <w:r w:rsidRPr="0034189A">
        <w:rPr>
          <w:rFonts w:ascii="Verdana" w:hAnsi="Verdana" w:cs="Arial"/>
          <w:lang w:val="es-MX"/>
        </w:rPr>
        <w:t xml:space="preserve">que en la oferta presentada por el proponente se incluya el desglose del equipo profesional que participará en la ejecución del contrato, lo que suele incluir la </w:t>
      </w:r>
      <w:r>
        <w:rPr>
          <w:rFonts w:ascii="Verdana" w:hAnsi="Verdana" w:cs="Arial"/>
          <w:lang w:val="es-MX"/>
        </w:rPr>
        <w:t>distribución d</w:t>
      </w:r>
      <w:r w:rsidRPr="0034189A">
        <w:rPr>
          <w:rFonts w:ascii="Verdana" w:hAnsi="Verdana" w:cs="Arial"/>
          <w:lang w:val="es-MX"/>
        </w:rPr>
        <w:t xml:space="preserve">el personal y el tiempo de dedicación que tendrá </w:t>
      </w:r>
      <w:r>
        <w:rPr>
          <w:rFonts w:ascii="Verdana" w:hAnsi="Verdana" w:cs="Arial"/>
          <w:lang w:val="es-MX"/>
        </w:rPr>
        <w:t xml:space="preserve">al proyecto, </w:t>
      </w:r>
      <w:r w:rsidRPr="00C36423">
        <w:rPr>
          <w:rFonts w:ascii="Verdana" w:hAnsi="Verdana" w:cs="Arial"/>
          <w:color w:val="000000" w:themeColor="text1"/>
          <w:lang w:val="es-MX"/>
        </w:rPr>
        <w:t>permitiendo a las entidades contratantes estimar la disponibilidad efectiva de los recursos humanos propuestos</w:t>
      </w:r>
      <w:r>
        <w:rPr>
          <w:rFonts w:ascii="Verdana" w:hAnsi="Verdana" w:cs="Arial"/>
          <w:lang w:val="es-MX"/>
        </w:rPr>
        <w:t>.</w:t>
      </w:r>
    </w:p>
    <w:p w14:paraId="202CFF4D" w14:textId="77777777" w:rsidR="001D1817" w:rsidRDefault="001D1817" w:rsidP="001D1817">
      <w:pPr>
        <w:spacing w:before="120" w:after="120" w:line="276" w:lineRule="auto"/>
        <w:ind w:firstLine="709"/>
        <w:jc w:val="both"/>
        <w:rPr>
          <w:rFonts w:ascii="Verdana" w:eastAsia="Arial" w:hAnsi="Verdana" w:cstheme="majorHAnsi"/>
          <w:lang w:val="es-ES"/>
        </w:rPr>
      </w:pPr>
      <w:r>
        <w:rPr>
          <w:rFonts w:ascii="Verdana" w:hAnsi="Verdana" w:cs="Arial"/>
          <w:lang w:val="es-MX"/>
        </w:rPr>
        <w:t>En consecuencia,</w:t>
      </w:r>
      <w:r w:rsidRPr="0034189A">
        <w:rPr>
          <w:rFonts w:ascii="Verdana" w:eastAsia="Arial" w:hAnsi="Verdana" w:cstheme="majorHAnsi"/>
          <w:lang w:val="es-ES"/>
        </w:rPr>
        <w:t xml:space="preserve"> el consultor</w:t>
      </w:r>
      <w:r>
        <w:rPr>
          <w:rFonts w:ascii="Verdana" w:eastAsia="Arial" w:hAnsi="Verdana" w:cstheme="majorHAnsi"/>
          <w:lang w:val="es-ES"/>
        </w:rPr>
        <w:t>, en su calidad de contratista del Estado,</w:t>
      </w:r>
      <w:r w:rsidRPr="0034189A">
        <w:rPr>
          <w:rFonts w:ascii="Verdana" w:eastAsia="Arial" w:hAnsi="Verdana" w:cstheme="majorHAnsi"/>
          <w:lang w:val="es-ES"/>
        </w:rPr>
        <w:t xml:space="preserve"> tiene el deber de contratar al personal con el que adelantará las actividades</w:t>
      </w:r>
      <w:r>
        <w:rPr>
          <w:rFonts w:ascii="Verdana" w:eastAsia="Arial" w:hAnsi="Verdana" w:cstheme="majorHAnsi"/>
          <w:lang w:val="es-ES"/>
        </w:rPr>
        <w:t xml:space="preserve"> </w:t>
      </w:r>
      <w:r w:rsidRPr="0034189A">
        <w:rPr>
          <w:rFonts w:ascii="Verdana" w:eastAsia="Arial" w:hAnsi="Verdana" w:cstheme="majorHAnsi"/>
          <w:lang w:val="es-ES"/>
        </w:rPr>
        <w:t xml:space="preserve">pactadas en el contrato </w:t>
      </w:r>
      <w:r>
        <w:rPr>
          <w:rFonts w:ascii="Verdana" w:eastAsia="Arial" w:hAnsi="Verdana" w:cstheme="majorHAnsi"/>
          <w:lang w:val="es-ES"/>
        </w:rPr>
        <w:t>adjudicado</w:t>
      </w:r>
      <w:r w:rsidRPr="0034189A">
        <w:rPr>
          <w:rFonts w:ascii="Verdana" w:eastAsia="Arial" w:hAnsi="Verdana" w:cstheme="majorHAnsi"/>
          <w:lang w:val="es-ES"/>
        </w:rPr>
        <w:t xml:space="preserve">, de acuerdo con los términos en que haya presentado la oferta a la Entidad Estatal, siendo la oferta presentada por el proponente y aceptada por la Entidad Estatal, la que lo obliga a contratar </w:t>
      </w:r>
      <w:r>
        <w:rPr>
          <w:rFonts w:ascii="Verdana" w:eastAsia="Arial" w:hAnsi="Verdana" w:cstheme="majorHAnsi"/>
          <w:lang w:val="es-ES"/>
        </w:rPr>
        <w:t xml:space="preserve">ya sea </w:t>
      </w:r>
      <w:r w:rsidRPr="0034189A">
        <w:rPr>
          <w:rFonts w:ascii="Verdana" w:eastAsia="Arial" w:hAnsi="Verdana" w:cstheme="majorHAnsi"/>
          <w:lang w:val="es-ES"/>
        </w:rPr>
        <w:t xml:space="preserve">mediante </w:t>
      </w:r>
      <w:r>
        <w:rPr>
          <w:rFonts w:ascii="Verdana" w:eastAsia="Arial" w:hAnsi="Verdana" w:cstheme="majorHAnsi"/>
          <w:lang w:val="es-ES"/>
        </w:rPr>
        <w:t>un contrato de carácter civil como la prestación de servicios</w:t>
      </w:r>
      <w:r w:rsidRPr="0034189A">
        <w:rPr>
          <w:rFonts w:ascii="Verdana" w:eastAsia="Arial" w:hAnsi="Verdana" w:cstheme="majorHAnsi"/>
          <w:lang w:val="es-ES"/>
        </w:rPr>
        <w:t xml:space="preserve"> o mediante vínculo laboral </w:t>
      </w:r>
      <w:r>
        <w:rPr>
          <w:rFonts w:ascii="Verdana" w:eastAsia="Arial" w:hAnsi="Verdana" w:cstheme="majorHAnsi"/>
          <w:lang w:val="es-ES"/>
        </w:rPr>
        <w:t xml:space="preserve">a los miembros del equipo, </w:t>
      </w:r>
      <w:r w:rsidRPr="0034189A">
        <w:rPr>
          <w:rFonts w:ascii="Verdana" w:eastAsia="Arial" w:hAnsi="Verdana" w:cstheme="majorHAnsi"/>
          <w:lang w:val="es-ES"/>
        </w:rPr>
        <w:t>con el fin de garantizar la ejecución de las actividades a las que se obligó el proponente cuando presentó su oferta.</w:t>
      </w:r>
    </w:p>
    <w:p w14:paraId="794AE53E" w14:textId="77777777" w:rsidR="001D1817" w:rsidRDefault="001D1817" w:rsidP="001D1817">
      <w:pPr>
        <w:ind w:firstLine="708"/>
        <w:jc w:val="both"/>
        <w:rPr>
          <w:rFonts w:ascii="Verdana" w:hAnsi="Verdana"/>
        </w:rPr>
      </w:pPr>
      <w:r>
        <w:rPr>
          <w:rFonts w:ascii="Verdana" w:hAnsi="Verdana"/>
        </w:rPr>
        <w:t>Bajo ese contexto, en materia de</w:t>
      </w:r>
      <w:r w:rsidRPr="00ED0F1E">
        <w:rPr>
          <w:rFonts w:ascii="Verdana" w:hAnsi="Verdana"/>
        </w:rPr>
        <w:t xml:space="preserve"> contratación estatal, el </w:t>
      </w:r>
      <w:r w:rsidRPr="00ED0F1E">
        <w:rPr>
          <w:rFonts w:ascii="Verdana" w:hAnsi="Verdana"/>
          <w:i/>
          <w:iCs/>
        </w:rPr>
        <w:t>personal clave evaluable</w:t>
      </w:r>
      <w:r w:rsidRPr="00ED0F1E">
        <w:rPr>
          <w:rFonts w:ascii="Verdana" w:hAnsi="Verdana"/>
        </w:rPr>
        <w:t xml:space="preserve"> corresponde al grupo de profesionales que la entidad contratante identifica como esenciales para la adecuada ejecución de un contrato, especialmente en aquellos procesos en los que la calidad técnica del recurso humano es determinante para el éxito del objeto contractual. Se trata de los integrantes del equipo de trabajo cuya formación, experiencia y competencias son objeto de evaluación y asignación de puntaje en el proceso de selección, razón por la cual su sustitución solo procede de manera excepcional y debidamente justificada.</w:t>
      </w:r>
    </w:p>
    <w:p w14:paraId="4949652C" w14:textId="77777777" w:rsidR="001D1817" w:rsidRDefault="001D1817" w:rsidP="001D1817">
      <w:pPr>
        <w:spacing w:before="120" w:after="120" w:line="276" w:lineRule="auto"/>
        <w:ind w:firstLine="709"/>
        <w:jc w:val="both"/>
        <w:rPr>
          <w:rFonts w:ascii="Verdana" w:eastAsia="Arial" w:hAnsi="Verdana" w:cstheme="majorHAnsi"/>
        </w:rPr>
      </w:pPr>
      <w:r w:rsidRPr="005E11CD">
        <w:rPr>
          <w:rFonts w:ascii="Verdana" w:eastAsia="Arial" w:hAnsi="Verdana" w:cstheme="majorHAnsi"/>
        </w:rPr>
        <w:t xml:space="preserve">Sobre el concepto de experiencia, esta Agencia ha sostenido que aquella “[...] debe ser entendida como el conocimiento adquirido por una persona natural o jurídica, derivado de su participación previa en actividades iguales o similares a las previstas en el objeto del contrato, desarrolladas con contratantes públicos, privados, nacionales o extranjeros”. En el mismo sentido, en pronunciamientos recientes se ha precisado que la experiencia es de carácter personal, en tanto se obtiene mediante la participación directa o indirecta en la </w:t>
      </w:r>
      <w:r w:rsidRPr="005E11CD">
        <w:rPr>
          <w:rFonts w:ascii="Verdana" w:eastAsia="Arial" w:hAnsi="Verdana" w:cstheme="majorHAnsi"/>
        </w:rPr>
        <w:lastRenderedPageBreak/>
        <w:t>ejecución de actividades, proyectos o contratos, de modo que no puede predicarse de quien no haya intervenido efectivamente en ellas. En consecuencia, los profesionales que integren el equipo clave evaluable deben acreditar la experiencia exigida por la entidad contratante en el pliego de condiciones, conforme a los medios de verificación que esta haya definido.</w:t>
      </w:r>
    </w:p>
    <w:p w14:paraId="1FBB2752" w14:textId="77777777" w:rsidR="001D1817" w:rsidRDefault="001D1817" w:rsidP="001D1817">
      <w:pPr>
        <w:spacing w:before="120" w:after="120" w:line="276" w:lineRule="auto"/>
        <w:ind w:firstLine="709"/>
        <w:jc w:val="both"/>
        <w:rPr>
          <w:rFonts w:ascii="Verdana" w:eastAsia="Arial" w:hAnsi="Verdana" w:cstheme="majorHAnsi"/>
        </w:rPr>
      </w:pPr>
      <w:r>
        <w:rPr>
          <w:rFonts w:ascii="Verdana" w:eastAsia="Arial" w:hAnsi="Verdana" w:cstheme="majorHAnsi"/>
        </w:rPr>
        <w:t xml:space="preserve">Dicho esto, atendiendo al objeto de la presente consulta, la cual busca establecer si, eventualmente, </w:t>
      </w:r>
      <w:r w:rsidRPr="00A56BD3">
        <w:rPr>
          <w:rFonts w:ascii="Verdana" w:hAnsi="Verdana"/>
        </w:rPr>
        <w:t>las certificaciones emitidas por el propio oferente respecto de su equipo de trabajo</w:t>
      </w:r>
      <w:r>
        <w:rPr>
          <w:rFonts w:ascii="Verdana" w:hAnsi="Verdana"/>
        </w:rPr>
        <w:t xml:space="preserve"> constituyen certificaciones válidas o sí supondrían una </w:t>
      </w:r>
      <w:r w:rsidRPr="00C25516">
        <w:rPr>
          <w:rFonts w:ascii="Verdana" w:eastAsia="Arial" w:hAnsi="Verdana" w:cstheme="majorHAnsi"/>
        </w:rPr>
        <w:t>“</w:t>
      </w:r>
      <w:r w:rsidRPr="00C25516">
        <w:rPr>
          <w:rFonts w:ascii="Verdana" w:eastAsia="Arial" w:hAnsi="Verdana" w:cstheme="majorHAnsi"/>
          <w:i/>
          <w:iCs/>
        </w:rPr>
        <w:t>autocertificación</w:t>
      </w:r>
      <w:r w:rsidRPr="00C25516">
        <w:rPr>
          <w:rFonts w:ascii="Verdana" w:eastAsia="Arial" w:hAnsi="Verdana" w:cstheme="majorHAnsi"/>
        </w:rPr>
        <w:t>”</w:t>
      </w:r>
      <w:r>
        <w:rPr>
          <w:rFonts w:ascii="Verdana" w:eastAsia="Arial" w:hAnsi="Verdana" w:cstheme="majorHAnsi"/>
        </w:rPr>
        <w:t xml:space="preserve"> en palabras del peticionario, es importante señalar varios aspectos. En primer lugar, no existe disposición legal o reglamentaria que tache o prohíba una certificación de experiencia emitida en esos supuestos. De manera que no puede justificarse su rechazo o su inadmisión por esa simple circunstancia.</w:t>
      </w:r>
    </w:p>
    <w:p w14:paraId="69E04290" w14:textId="77777777" w:rsidR="001D1817" w:rsidRPr="00C25516" w:rsidRDefault="001D1817" w:rsidP="001D1817">
      <w:pPr>
        <w:spacing w:before="120" w:after="120" w:line="276" w:lineRule="auto"/>
        <w:ind w:firstLine="709"/>
        <w:jc w:val="both"/>
        <w:rPr>
          <w:rFonts w:ascii="Verdana" w:eastAsia="Arial" w:hAnsi="Verdana" w:cstheme="majorHAnsi"/>
        </w:rPr>
      </w:pPr>
      <w:r>
        <w:rPr>
          <w:rFonts w:ascii="Verdana" w:eastAsia="Arial" w:hAnsi="Verdana" w:cstheme="majorHAnsi"/>
        </w:rPr>
        <w:t>De hecho, e</w:t>
      </w:r>
      <w:r w:rsidRPr="00C25516">
        <w:rPr>
          <w:rFonts w:ascii="Verdana" w:eastAsia="Arial" w:hAnsi="Verdana" w:cstheme="majorHAnsi"/>
        </w:rPr>
        <w:t>n los procesos de selección en los que se aplican Documentos Tipo</w:t>
      </w:r>
      <w:r>
        <w:rPr>
          <w:rStyle w:val="Refdenotaalpie"/>
          <w:rFonts w:ascii="Verdana" w:eastAsia="Arial" w:hAnsi="Verdana" w:cstheme="majorHAnsi"/>
        </w:rPr>
        <w:footnoteReference w:id="9"/>
      </w:r>
      <w:r w:rsidRPr="00C25516">
        <w:rPr>
          <w:rFonts w:ascii="Verdana" w:eastAsia="Arial" w:hAnsi="Verdana" w:cstheme="majorHAnsi"/>
        </w:rPr>
        <w:t>, adoptados por la Agencia Nacional de Contratación Pública –Colombia Compra Eficiente–, se prevé expresamente que la experiencia del personal clave puede acreditarse mediante certificaciones laborales –</w:t>
      </w:r>
      <w:r>
        <w:rPr>
          <w:rFonts w:ascii="Verdana" w:eastAsia="Arial" w:hAnsi="Verdana" w:cstheme="majorHAnsi"/>
        </w:rPr>
        <w:t xml:space="preserve">sin que prohíba o restringa las </w:t>
      </w:r>
      <w:r w:rsidRPr="00C25516">
        <w:rPr>
          <w:rFonts w:ascii="Verdana" w:eastAsia="Arial" w:hAnsi="Verdana" w:cstheme="majorHAnsi"/>
        </w:rPr>
        <w:t>expedidas por el mismo oferente–, siempre que el profesional haya adquirido dicha experiencia en el marco de una relación laboral o contractual con la empresa. En ese sentido, no es posible calificar esta situación como una “</w:t>
      </w:r>
      <w:r w:rsidRPr="00C25516">
        <w:rPr>
          <w:rFonts w:ascii="Verdana" w:eastAsia="Arial" w:hAnsi="Verdana" w:cstheme="majorHAnsi"/>
          <w:i/>
          <w:iCs/>
        </w:rPr>
        <w:t>autocertificación</w:t>
      </w:r>
      <w:r w:rsidRPr="00C25516">
        <w:rPr>
          <w:rFonts w:ascii="Verdana" w:eastAsia="Arial" w:hAnsi="Verdana" w:cstheme="majorHAnsi"/>
        </w:rPr>
        <w:t>”, toda vez que lo que se acredita es la experiencia individual y verificable del profesional, y no la experiencia institucional del oferente. Resulta razonable que una empresa que ha vinculado laboral o contractualmente a un profesional certifique las actividades ejecutadas por este, en la medida en que cuenta con los elementos objetivos que le permiten dar fe de su desempeño.</w:t>
      </w:r>
    </w:p>
    <w:p w14:paraId="5B667CFB" w14:textId="77777777" w:rsidR="001D1817" w:rsidRPr="00C25516" w:rsidRDefault="001D1817" w:rsidP="001D1817">
      <w:pPr>
        <w:spacing w:before="120" w:after="120" w:line="276" w:lineRule="auto"/>
        <w:ind w:firstLine="709"/>
        <w:jc w:val="both"/>
        <w:rPr>
          <w:rFonts w:ascii="Verdana" w:eastAsia="Arial" w:hAnsi="Verdana" w:cstheme="majorHAnsi"/>
        </w:rPr>
      </w:pPr>
      <w:r w:rsidRPr="00C25516">
        <w:rPr>
          <w:rFonts w:ascii="Verdana" w:eastAsia="Arial" w:hAnsi="Verdana" w:cstheme="majorHAnsi"/>
        </w:rPr>
        <w:t>De otro lado, en los procesos de selección en los que no resultan aplicables los Documentos Tipo, las entidades estatales conservan la potestad y discrecionalidad técnica para determinar los medios idóneos de acreditación de la experiencia del personal clave evaluable, de acuerdo con la naturaleza y complejidad del contrato. Esta facultad comprende tanto la definición de los documentos que el oferente debe aportar para demostrar la experiencia, como el momento procesal en el cual se verificará dicha información, bien sea durante el proceso de selección o en la etapa de ejecución contractual.</w:t>
      </w:r>
    </w:p>
    <w:p w14:paraId="05D58DE4" w14:textId="77777777" w:rsidR="001D1817" w:rsidRPr="00C25516" w:rsidRDefault="001D1817" w:rsidP="001D1817">
      <w:pPr>
        <w:spacing w:before="120" w:after="120" w:line="276" w:lineRule="auto"/>
        <w:ind w:firstLine="709"/>
        <w:jc w:val="both"/>
        <w:rPr>
          <w:rFonts w:ascii="Verdana" w:eastAsia="Arial" w:hAnsi="Verdana" w:cstheme="majorHAnsi"/>
        </w:rPr>
      </w:pPr>
      <w:r>
        <w:rPr>
          <w:rFonts w:ascii="Verdana" w:eastAsia="Arial" w:hAnsi="Verdana" w:cstheme="majorHAnsi"/>
        </w:rPr>
        <w:lastRenderedPageBreak/>
        <w:t>Con todo, p</w:t>
      </w:r>
      <w:r w:rsidRPr="00C25516">
        <w:rPr>
          <w:rFonts w:ascii="Verdana" w:eastAsia="Arial" w:hAnsi="Verdana" w:cstheme="majorHAnsi"/>
        </w:rPr>
        <w:t>ara efectos de garantizar la objetividad y veracidad de la información, las entidades pueden establecer mecanismos complementarios de acreditación, como la verificación de aportes a la seguridad social, copias de contratos laborales o de prestación de servicios, o constancias de ejecución emitidas por terceros que hayan participado en el mismo proyecto. Asimismo, los certificados o documentos que acrediten la experiencia del personal clave deben contener, como mínimo, información sobre el contratante, contratista, objeto contractual, principales actividades desarrolladas, fechas de inicio y terminación, nombre y cargo de quien expide la certificación y porcentaje de dedicación.</w:t>
      </w:r>
    </w:p>
    <w:p w14:paraId="6CB11C19" w14:textId="77777777" w:rsidR="001D1817" w:rsidRPr="00C25516" w:rsidRDefault="001D1817" w:rsidP="001D1817">
      <w:pPr>
        <w:spacing w:before="120" w:after="120" w:line="276" w:lineRule="auto"/>
        <w:ind w:firstLine="709"/>
        <w:jc w:val="both"/>
        <w:rPr>
          <w:rFonts w:ascii="Verdana" w:eastAsia="Arial" w:hAnsi="Verdana" w:cstheme="majorHAnsi"/>
        </w:rPr>
      </w:pPr>
      <w:r w:rsidRPr="00C25516">
        <w:rPr>
          <w:rFonts w:ascii="Verdana" w:eastAsia="Arial" w:hAnsi="Verdana" w:cstheme="majorHAnsi"/>
        </w:rPr>
        <w:t>De esta manera, la entidad no solo puede diseñar distintos medios de acreditación, sino también definir mecanismos de verificación que permitan constatar que las personas que integran el equipo de trabajo realmente adquirieron la experiencia ofertada. Lo relevante, entonces, no es quién expide la certificación, sino que el documento cumpla con los elementos mínimos de validez y permita verificar la experiencia efectiva del profesional propuesto.</w:t>
      </w:r>
    </w:p>
    <w:p w14:paraId="618FD4BB" w14:textId="77777777" w:rsidR="001D1817" w:rsidRPr="00C25516" w:rsidRDefault="001D1817" w:rsidP="001D1817">
      <w:pPr>
        <w:spacing w:before="120" w:after="120" w:line="276" w:lineRule="auto"/>
        <w:ind w:firstLine="709"/>
        <w:jc w:val="both"/>
        <w:rPr>
          <w:rFonts w:ascii="Verdana" w:eastAsia="Arial" w:hAnsi="Verdana" w:cstheme="majorHAnsi"/>
        </w:rPr>
      </w:pPr>
      <w:r w:rsidRPr="00C25516">
        <w:rPr>
          <w:rFonts w:ascii="Verdana" w:eastAsia="Arial" w:hAnsi="Verdana" w:cstheme="majorHAnsi"/>
        </w:rPr>
        <w:t>En los procesos cobijados por Documentos Tipo, Colombia Compra Eficiente ha previsto dos instrumentos que ilustran esta práctica: el Formato No. 8, “Aceptación y cumplimiento de la formación y experiencia del personal clave evaluable”, mediante el cual el representante legal del oferente declara el cumplimiento de los requisitos exigidos, y el Formato No. 9, “Compromiso de acreditar la experiencia y formación adicional del personal clave evaluable”, que permite que el oferente se obligue a acreditar dicha experiencia durante la ejecución contractual.</w:t>
      </w:r>
    </w:p>
    <w:p w14:paraId="65E0E844" w14:textId="77777777" w:rsidR="001D1817" w:rsidRDefault="001D1817" w:rsidP="001D1817">
      <w:pPr>
        <w:spacing w:before="120" w:after="0" w:line="276" w:lineRule="auto"/>
        <w:ind w:firstLine="709"/>
        <w:jc w:val="both"/>
        <w:rPr>
          <w:rFonts w:ascii="Verdana" w:eastAsia="Arial" w:hAnsi="Verdana" w:cstheme="majorHAnsi"/>
        </w:rPr>
      </w:pPr>
      <w:r w:rsidRPr="00C25516">
        <w:rPr>
          <w:rFonts w:ascii="Verdana" w:eastAsia="Arial" w:hAnsi="Verdana" w:cstheme="majorHAnsi"/>
        </w:rPr>
        <w:t xml:space="preserve">En consecuencia, </w:t>
      </w:r>
      <w:r>
        <w:rPr>
          <w:rFonts w:ascii="Verdana" w:eastAsia="Arial" w:hAnsi="Verdana" w:cstheme="majorHAnsi"/>
        </w:rPr>
        <w:t>esta Agencia considera</w:t>
      </w:r>
      <w:r w:rsidRPr="00C25516">
        <w:rPr>
          <w:rFonts w:ascii="Verdana" w:eastAsia="Arial" w:hAnsi="Verdana" w:cstheme="majorHAnsi"/>
        </w:rPr>
        <w:t xml:space="preserve"> que no existe una restricción normativa que prohíba que el oferente expida certificaciones respecto de la experiencia de su propio personal, siempre que se trate de experiencia efectivamente adquirida y susceptible de verificación por parte de la entidad. La responsabilidad de la entidad consiste en establecer los mecanismos de acreditación y verificación idóneos dentro de los pliegos de condiciones, de forma que se garantice la transparencia, objetividad y concurrencia de oferentes en el proceso de selección.</w:t>
      </w:r>
    </w:p>
    <w:p w14:paraId="003B6CD9" w14:textId="77777777" w:rsidR="001D1817" w:rsidRPr="00F65D2B" w:rsidRDefault="001D1817" w:rsidP="001D1817">
      <w:pPr>
        <w:spacing w:after="0" w:line="276" w:lineRule="auto"/>
        <w:ind w:firstLine="709"/>
        <w:jc w:val="both"/>
        <w:rPr>
          <w:rFonts w:ascii="Verdana" w:hAnsi="Verdana"/>
          <w:shd w:val="clear" w:color="auto" w:fill="FFFFFF"/>
        </w:rPr>
      </w:pPr>
    </w:p>
    <w:p w14:paraId="02CB62C7" w14:textId="77777777" w:rsidR="001D1817" w:rsidRPr="00F65D2B" w:rsidRDefault="001D1817" w:rsidP="001D1817">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Referencias normativas, jurisprudenciales y otras fuentes:</w:t>
      </w:r>
    </w:p>
    <w:p w14:paraId="4F992AA2" w14:textId="77777777" w:rsidR="001D1817" w:rsidRPr="00F65D2B" w:rsidRDefault="001D1817" w:rsidP="001D1817">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D1817" w:rsidRPr="00F65D2B" w14:paraId="57E0760C" w14:textId="77777777" w:rsidTr="009D1989">
        <w:trPr>
          <w:trHeight w:val="870"/>
        </w:trPr>
        <w:tc>
          <w:tcPr>
            <w:tcW w:w="8647" w:type="dxa"/>
          </w:tcPr>
          <w:p w14:paraId="420575DC" w14:textId="77777777" w:rsidR="001D1817" w:rsidRDefault="001D1817" w:rsidP="001D1817">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F65D2B">
              <w:rPr>
                <w:rFonts w:ascii="Verdana" w:hAnsi="Verdana" w:cs="Arial"/>
                <w:color w:val="000000" w:themeColor="text1"/>
              </w:rPr>
              <w:lastRenderedPageBreak/>
              <w:t>Ley 80 de 1993: art.</w:t>
            </w:r>
            <w:r>
              <w:rPr>
                <w:rFonts w:ascii="Verdana" w:hAnsi="Verdana" w:cs="Arial"/>
                <w:color w:val="000000" w:themeColor="text1"/>
              </w:rPr>
              <w:t xml:space="preserve"> 32.2</w:t>
            </w:r>
          </w:p>
          <w:p w14:paraId="66875DD9" w14:textId="77777777" w:rsidR="001D1817" w:rsidRPr="00F65D2B" w:rsidRDefault="001D1817" w:rsidP="001D1817">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310207">
              <w:rPr>
                <w:rFonts w:ascii="Verdana" w:hAnsi="Verdana" w:cs="Arial"/>
                <w:color w:val="000000" w:themeColor="text1"/>
              </w:rPr>
              <w:t>Decreto 1082 de 2015, artículo 2.2.1.2.1.3.2.</w:t>
            </w:r>
          </w:p>
          <w:p w14:paraId="7228415E" w14:textId="77777777" w:rsidR="001D1817" w:rsidRPr="007468DB" w:rsidRDefault="001D1817" w:rsidP="001D1817">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7468DB">
              <w:rPr>
                <w:rFonts w:ascii="Verdana" w:hAnsi="Verdana" w:cs="Arial"/>
                <w:color w:val="000000" w:themeColor="text1"/>
              </w:rPr>
              <w:t>CONSEJO DE ESTADO. Sección Tercera. Subsección C. Sentencia del 25 de abril del 2012. Radicado. 52001-23-31-000-2000-00173-01(22167). Magistrado Ponente: Jaime Orlando Santofimio Gamboa.</w:t>
            </w:r>
          </w:p>
          <w:p w14:paraId="0D60B6CD" w14:textId="77777777" w:rsidR="001D1817" w:rsidRDefault="001D1817" w:rsidP="001D1817">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7468DB">
              <w:rPr>
                <w:rFonts w:ascii="Verdana" w:hAnsi="Verdana" w:cs="Arial"/>
                <w:color w:val="000000" w:themeColor="text1"/>
              </w:rPr>
              <w:t>CONSEJO DE ESTADO. Sección Tercera. Subsección C. Sentencia de Unificación del 2 de diciembre de 2013. Radicado. 11001-03-26-000-2011-00039-00(41719). Magistrado Ponente: Jaime Orlando Santofimio Gamboa.</w:t>
            </w:r>
          </w:p>
          <w:p w14:paraId="52518F7E" w14:textId="77777777" w:rsidR="001D1817" w:rsidRDefault="001D1817" w:rsidP="001D1817">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 xml:space="preserve">CONCEPTO </w:t>
            </w:r>
            <w:r w:rsidRPr="007E5BC2">
              <w:rPr>
                <w:rFonts w:ascii="Verdana" w:hAnsi="Verdana" w:cs="Arial"/>
                <w:color w:val="000000" w:themeColor="text1"/>
              </w:rPr>
              <w:t>C-282 de 2024 expedido por la ANCP-CCE</w:t>
            </w:r>
          </w:p>
          <w:p w14:paraId="1DFAB762" w14:textId="77777777" w:rsidR="001D1817" w:rsidRDefault="001D1817" w:rsidP="001D1817">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596F55">
              <w:rPr>
                <w:rFonts w:ascii="Verdana" w:hAnsi="Verdana" w:cs="Arial"/>
                <w:color w:val="000000" w:themeColor="text1"/>
              </w:rPr>
              <w:t xml:space="preserve">AGENCIA NACIONAL DE CONTRATACIÓN PÚBLICA – COLOMBIA COMPRA EFICIENTE. Documentos Tipo: </w:t>
            </w:r>
            <w:hyperlink r:id="rId9" w:history="1">
              <w:r w:rsidRPr="003642CB">
                <w:rPr>
                  <w:rStyle w:val="Hipervnculo"/>
                  <w:rFonts w:ascii="Verdana" w:hAnsi="Verdana" w:cs="Arial"/>
                </w:rPr>
                <w:t>https://www.colombiacompra.gov.co/normativa-y-relatoria/documentos-tipo</w:t>
              </w:r>
            </w:hyperlink>
            <w:r>
              <w:rPr>
                <w:rFonts w:ascii="Verdana" w:hAnsi="Verdana" w:cs="Arial"/>
                <w:color w:val="000000" w:themeColor="text1"/>
              </w:rPr>
              <w:t xml:space="preserve"> </w:t>
            </w:r>
          </w:p>
          <w:p w14:paraId="3659DF94" w14:textId="77777777" w:rsidR="001D1817" w:rsidRPr="00DD646F" w:rsidRDefault="001D1817" w:rsidP="001D1817">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DD646F">
              <w:rPr>
                <w:rFonts w:ascii="Verdana" w:hAnsi="Verdana" w:cs="Arial"/>
                <w:color w:val="000000" w:themeColor="text1"/>
              </w:rPr>
              <w:t>MATALLANA CAMACHO, Ernesto. Manual de Contratación de la Administración Pública. Reforma de la Ley 80 de 1993. Bogotá: Universidad Externado de Colombia, 2015. p. 968.</w:t>
            </w:r>
          </w:p>
          <w:p w14:paraId="30E2F45A" w14:textId="77777777" w:rsidR="001D1817" w:rsidRDefault="001D1817" w:rsidP="001D1817">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DD646F">
              <w:rPr>
                <w:rFonts w:ascii="Verdana" w:hAnsi="Verdana" w:cs="Arial"/>
                <w:color w:val="000000" w:themeColor="text1"/>
              </w:rPr>
              <w:t>DÁVILA VINUEZA, Guillermo. Régimen jurídico de la contratación estatal. Bogotá: Legis, 2016. p. 849.</w:t>
            </w:r>
          </w:p>
          <w:p w14:paraId="0DC4F465" w14:textId="77777777" w:rsidR="001D1817" w:rsidRPr="00DA5360" w:rsidRDefault="001D1817" w:rsidP="001D1817">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7570EB">
              <w:rPr>
                <w:rFonts w:ascii="Verdana" w:hAnsi="Verdana" w:cs="Arial"/>
                <w:color w:val="000000" w:themeColor="text1"/>
              </w:rPr>
              <w:t xml:space="preserve">REAL ACADEMIA DE LA LENGUA ESPAÑOLA. Diccionario jurídico panhispánico de español jurídico. Disponible en línea: </w:t>
            </w:r>
            <w:hyperlink r:id="rId10" w:history="1">
              <w:r w:rsidRPr="003642CB">
                <w:rPr>
                  <w:rStyle w:val="Hipervnculo"/>
                  <w:rFonts w:ascii="Verdana" w:hAnsi="Verdana" w:cs="Arial"/>
                </w:rPr>
                <w:t>https://dpej.rae.es/lema/asesor%C3%ADa</w:t>
              </w:r>
            </w:hyperlink>
            <w:r>
              <w:rPr>
                <w:rFonts w:ascii="Verdana" w:hAnsi="Verdana" w:cs="Arial"/>
                <w:color w:val="000000" w:themeColor="text1"/>
              </w:rPr>
              <w:t xml:space="preserve"> </w:t>
            </w:r>
          </w:p>
        </w:tc>
      </w:tr>
    </w:tbl>
    <w:p w14:paraId="591D7C68" w14:textId="77777777" w:rsidR="001D1817" w:rsidRPr="00F65D2B" w:rsidRDefault="001D1817" w:rsidP="001D1817">
      <w:pPr>
        <w:widowControl w:val="0"/>
        <w:autoSpaceDE w:val="0"/>
        <w:autoSpaceDN w:val="0"/>
        <w:spacing w:after="0" w:line="276" w:lineRule="auto"/>
        <w:jc w:val="both"/>
        <w:rPr>
          <w:rFonts w:ascii="Verdana" w:hAnsi="Verdana" w:cs="Arial"/>
          <w:color w:val="000000" w:themeColor="text1"/>
        </w:rPr>
      </w:pPr>
    </w:p>
    <w:p w14:paraId="5B3A77A6" w14:textId="77777777" w:rsidR="001D1817" w:rsidRPr="00F65D2B" w:rsidRDefault="001D1817" w:rsidP="001D1817">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Doctrina de la Agencia Nacional de Contratación Pública:</w:t>
      </w:r>
    </w:p>
    <w:p w14:paraId="6D0CFB49" w14:textId="77777777" w:rsidR="001D1817" w:rsidRPr="00F65D2B" w:rsidRDefault="001D1817" w:rsidP="001D1817">
      <w:pPr>
        <w:widowControl w:val="0"/>
        <w:autoSpaceDE w:val="0"/>
        <w:autoSpaceDN w:val="0"/>
        <w:spacing w:after="0" w:line="276" w:lineRule="auto"/>
        <w:jc w:val="both"/>
        <w:rPr>
          <w:rFonts w:ascii="Verdana" w:hAnsi="Verdana" w:cs="Arial"/>
          <w:color w:val="000000" w:themeColor="text1"/>
        </w:rPr>
      </w:pPr>
    </w:p>
    <w:p w14:paraId="26111383" w14:textId="77777777" w:rsidR="001D1817" w:rsidRDefault="001D1817" w:rsidP="001D1817">
      <w:pPr>
        <w:widowControl w:val="0"/>
        <w:autoSpaceDE w:val="0"/>
        <w:autoSpaceDN w:val="0"/>
        <w:spacing w:after="0" w:line="276" w:lineRule="auto"/>
        <w:jc w:val="both"/>
        <w:rPr>
          <w:rFonts w:ascii="Verdana" w:hAnsi="Verdana"/>
        </w:rPr>
      </w:pPr>
      <w:r w:rsidRPr="00013EC9">
        <w:rPr>
          <w:rFonts w:ascii="Verdana" w:eastAsia="Calibri" w:hAnsi="Verdana" w:cs="Arial"/>
          <w:color w:val="000000" w:themeColor="text1"/>
          <w:lang w:val="es-ES_tradnl"/>
        </w:rPr>
        <w:t>Sobre la dedicación porcentual de los profesionales ofrecidos en las propuestas para ejecutar contratos de consultoría, la Agencia Nacional de Contratación Pública – Colombia Compra Eficiente no ha emitido ningún pronunciamiento</w:t>
      </w:r>
      <w:r w:rsidRPr="00013EC9">
        <w:rPr>
          <w:rFonts w:ascii="Verdana" w:hAnsi="Verdana" w:cs="Arial"/>
        </w:rPr>
        <w:t>.</w:t>
      </w:r>
      <w:r w:rsidRPr="00013EC9">
        <w:rPr>
          <w:rFonts w:ascii="Verdana" w:hAnsi="Verdana" w:cs="Arial"/>
          <w:shd w:val="clear" w:color="auto" w:fill="FFFFFF"/>
        </w:rPr>
        <w:t xml:space="preserve">  Para consultar los conceptos emitidos por esta Agencia</w:t>
      </w:r>
      <w:r w:rsidRPr="00013EC9">
        <w:rPr>
          <w:rFonts w:ascii="Verdana" w:hAnsi="Verdana"/>
        </w:rPr>
        <w:t xml:space="preserve"> accede a través del siguiente enlace:</w:t>
      </w:r>
    </w:p>
    <w:p w14:paraId="782642F5" w14:textId="77777777" w:rsidR="001D1817" w:rsidRDefault="001D1817" w:rsidP="001D1817">
      <w:pPr>
        <w:widowControl w:val="0"/>
        <w:autoSpaceDE w:val="0"/>
        <w:autoSpaceDN w:val="0"/>
        <w:spacing w:after="0" w:line="276" w:lineRule="auto"/>
        <w:jc w:val="both"/>
      </w:pPr>
    </w:p>
    <w:p w14:paraId="6EE39DF2" w14:textId="77777777" w:rsidR="001D1817" w:rsidRPr="00013EC9" w:rsidRDefault="001D1817" w:rsidP="001D1817">
      <w:pPr>
        <w:widowControl w:val="0"/>
        <w:autoSpaceDE w:val="0"/>
        <w:autoSpaceDN w:val="0"/>
        <w:spacing w:after="0" w:line="276" w:lineRule="auto"/>
        <w:jc w:val="both"/>
        <w:rPr>
          <w:rStyle w:val="normaltextrun"/>
          <w:rFonts w:ascii="Verdana" w:hAnsi="Verdana" w:cs="Arial"/>
          <w:shd w:val="clear" w:color="auto" w:fill="FFFFFF"/>
        </w:rPr>
      </w:pPr>
      <w:hyperlink r:id="rId11" w:history="1">
        <w:r w:rsidRPr="00013EC9">
          <w:rPr>
            <w:rStyle w:val="Hipervnculo"/>
            <w:rFonts w:ascii="Verdana" w:hAnsi="Verdana" w:cs="Arial"/>
            <w:shd w:val="clear" w:color="auto" w:fill="FFFFFF"/>
            <w:lang w:val="es-ES"/>
          </w:rPr>
          <w:t>https://relatoria.colombiacompra.gov.co/busqueda/conceptos</w:t>
        </w:r>
      </w:hyperlink>
      <w:r w:rsidRPr="00013EC9">
        <w:rPr>
          <w:rStyle w:val="normaltextrun"/>
          <w:rFonts w:ascii="Verdana" w:hAnsi="Verdana" w:cs="Arial"/>
          <w:shd w:val="clear" w:color="auto" w:fill="FFFFFF"/>
        </w:rPr>
        <w:t xml:space="preserve">. </w:t>
      </w:r>
    </w:p>
    <w:p w14:paraId="2D2F5150" w14:textId="77777777" w:rsidR="001D1817" w:rsidRPr="00F65D2B" w:rsidRDefault="001D1817" w:rsidP="001D1817">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0B4F4268" w14:textId="77777777" w:rsidR="001D1817" w:rsidRPr="00067BB4" w:rsidRDefault="001D1817" w:rsidP="001D1817">
      <w:pPr>
        <w:spacing w:after="0" w:line="276" w:lineRule="auto"/>
        <w:jc w:val="both"/>
        <w:rPr>
          <w:rFonts w:ascii="Verdana" w:hAnsi="Verdana"/>
        </w:rPr>
      </w:pPr>
      <w:r w:rsidRPr="00067BB4">
        <w:rPr>
          <w:rFonts w:ascii="Verdana" w:hAnsi="Verdana"/>
        </w:rPr>
        <w:t>También le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 xml:space="preserve">Esta Guía se expedide en el marco del cumplimiento de la orden proferida por la Honorable Corte Constitucional en la Sentencia T-302 del 2017. Con su </w:t>
      </w:r>
      <w:r w:rsidRPr="00067BB4">
        <w:rPr>
          <w:rFonts w:ascii="Verdana" w:hAnsi="Verdana"/>
        </w:rPr>
        <w:lastRenderedPageBreak/>
        <w:t>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7AB3492C" w14:textId="77777777" w:rsidR="001D1817" w:rsidRPr="00DC212C" w:rsidRDefault="001D1817" w:rsidP="001D1817">
      <w:pPr>
        <w:spacing w:after="0" w:line="276" w:lineRule="auto"/>
        <w:jc w:val="both"/>
        <w:rPr>
          <w:rFonts w:ascii="Verdana" w:eastAsia="Calibri" w:hAnsi="Verdana" w:cs="Arial"/>
          <w:color w:val="000000"/>
          <w:shd w:val="clear" w:color="auto" w:fill="FFFFFF"/>
        </w:rPr>
      </w:pPr>
    </w:p>
    <w:p w14:paraId="4B0B226E" w14:textId="77777777" w:rsidR="001D1817" w:rsidRPr="00DC212C" w:rsidRDefault="001D1817" w:rsidP="001D1817">
      <w:pPr>
        <w:spacing w:after="0"/>
        <w:jc w:val="both"/>
        <w:rPr>
          <w:rFonts w:ascii="Verdana" w:hAnsi="Verdana"/>
        </w:rPr>
      </w:pPr>
      <w:r>
        <w:rPr>
          <w:rFonts w:ascii="Verdana" w:hAnsi="Verdana"/>
        </w:rPr>
        <w:t>Aprovechamos</w:t>
      </w:r>
      <w:r w:rsidRPr="00DC212C">
        <w:rPr>
          <w:rFonts w:ascii="Verdana" w:hAnsi="Verdana"/>
        </w:rPr>
        <w:t xml:space="preserve">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534C323" w14:textId="77777777" w:rsidR="001D1817" w:rsidRPr="00DC212C" w:rsidRDefault="001D1817" w:rsidP="001D1817">
      <w:pPr>
        <w:spacing w:after="0" w:line="240" w:lineRule="auto"/>
        <w:jc w:val="both"/>
        <w:rPr>
          <w:rFonts w:ascii="Verdana" w:hAnsi="Verdana"/>
        </w:rPr>
      </w:pPr>
    </w:p>
    <w:p w14:paraId="542EBBC7" w14:textId="77777777" w:rsidR="001D1817" w:rsidRPr="00DC212C" w:rsidRDefault="001D1817" w:rsidP="001D1817">
      <w:pPr>
        <w:pStyle w:val="Prrafodelista"/>
        <w:numPr>
          <w:ilvl w:val="0"/>
          <w:numId w:val="1"/>
        </w:numPr>
        <w:spacing w:after="0" w:line="240" w:lineRule="auto"/>
        <w:jc w:val="both"/>
        <w:rPr>
          <w:rFonts w:ascii="Verdana" w:hAnsi="Verdana"/>
        </w:rPr>
      </w:pPr>
      <w:r w:rsidRPr="00DC212C">
        <w:rPr>
          <w:rFonts w:ascii="Verdana" w:hAnsi="Verdana"/>
        </w:rPr>
        <w:t>Línea nacional gratuita o servicio a la ciudadanía: 01800 0520808</w:t>
      </w:r>
    </w:p>
    <w:p w14:paraId="1FE6A5A0" w14:textId="77777777" w:rsidR="001D1817" w:rsidRPr="00DC212C" w:rsidRDefault="001D1817" w:rsidP="001D1817">
      <w:pPr>
        <w:pStyle w:val="Prrafodelista"/>
        <w:numPr>
          <w:ilvl w:val="0"/>
          <w:numId w:val="1"/>
        </w:numPr>
        <w:spacing w:after="0" w:line="240" w:lineRule="auto"/>
        <w:jc w:val="both"/>
        <w:rPr>
          <w:rFonts w:ascii="Verdana" w:hAnsi="Verdana"/>
        </w:rPr>
      </w:pPr>
      <w:r w:rsidRPr="00DC212C">
        <w:rPr>
          <w:rFonts w:ascii="Verdana" w:hAnsi="Verdana"/>
        </w:rPr>
        <w:t>Línea en Bogotá (Mesa de servicio): +57 601 7456788</w:t>
      </w:r>
    </w:p>
    <w:p w14:paraId="6E6CA6EA" w14:textId="77777777" w:rsidR="001D1817" w:rsidRPr="00DC212C" w:rsidRDefault="001D1817" w:rsidP="001D1817">
      <w:pPr>
        <w:pStyle w:val="Prrafodelista"/>
        <w:numPr>
          <w:ilvl w:val="0"/>
          <w:numId w:val="1"/>
        </w:numPr>
        <w:spacing w:after="0" w:line="240" w:lineRule="auto"/>
        <w:jc w:val="both"/>
        <w:rPr>
          <w:rFonts w:ascii="Verdana" w:hAnsi="Verdana"/>
        </w:rPr>
      </w:pPr>
      <w:r w:rsidRPr="00DC212C">
        <w:rPr>
          <w:rFonts w:ascii="Verdana" w:hAnsi="Verdana"/>
        </w:rPr>
        <w:t>Línea de servicio y atención al ciudadano: +57 601 7956600</w:t>
      </w:r>
    </w:p>
    <w:p w14:paraId="594C5D43" w14:textId="77777777" w:rsidR="001D1817" w:rsidRPr="00DC212C" w:rsidRDefault="001D1817" w:rsidP="001D1817">
      <w:pPr>
        <w:pStyle w:val="Prrafodelista"/>
        <w:numPr>
          <w:ilvl w:val="0"/>
          <w:numId w:val="1"/>
        </w:numPr>
        <w:spacing w:after="0" w:line="240" w:lineRule="auto"/>
        <w:jc w:val="both"/>
        <w:rPr>
          <w:rFonts w:ascii="Verdana" w:hAnsi="Verdana"/>
        </w:rPr>
      </w:pPr>
      <w:r w:rsidRPr="00DC212C">
        <w:rPr>
          <w:rFonts w:ascii="Verdana" w:hAnsi="Verdana"/>
        </w:rPr>
        <w:t xml:space="preserve">Página web: </w:t>
      </w:r>
      <w:hyperlink r:id="rId13" w:history="1">
        <w:r w:rsidRPr="00DC212C">
          <w:rPr>
            <w:rStyle w:val="Hipervnculo"/>
            <w:rFonts w:ascii="Verdana" w:hAnsi="Verdana"/>
          </w:rPr>
          <w:t>www.colombiacompra.gov.co</w:t>
        </w:r>
      </w:hyperlink>
    </w:p>
    <w:p w14:paraId="61A2AFBA" w14:textId="77777777" w:rsidR="001D1817" w:rsidRPr="00DC212C" w:rsidRDefault="001D1817" w:rsidP="001D1817">
      <w:pPr>
        <w:pStyle w:val="Prrafodelista"/>
        <w:spacing w:after="0" w:line="240" w:lineRule="auto"/>
        <w:ind w:left="785"/>
        <w:jc w:val="both"/>
        <w:rPr>
          <w:rFonts w:ascii="Verdana" w:hAnsi="Verdana"/>
        </w:rPr>
      </w:pPr>
    </w:p>
    <w:p w14:paraId="393C4AFD" w14:textId="77777777" w:rsidR="001D1817" w:rsidRPr="00DC212C" w:rsidRDefault="001D1817" w:rsidP="001D1817">
      <w:pPr>
        <w:spacing w:after="0" w:line="240" w:lineRule="auto"/>
        <w:jc w:val="both"/>
        <w:rPr>
          <w:rFonts w:ascii="Verdana" w:hAnsi="Verdana"/>
        </w:rPr>
      </w:pPr>
      <w:r w:rsidRPr="00DC212C">
        <w:rPr>
          <w:rFonts w:ascii="Verdana" w:hAnsi="Verdana"/>
        </w:rPr>
        <w:t xml:space="preserve">Por último, lo invitamos a seguirnos en las redes sociales en las cuales se difunde información institucional: </w:t>
      </w:r>
    </w:p>
    <w:p w14:paraId="59158C46" w14:textId="77777777" w:rsidR="001D1817" w:rsidRPr="00DC212C" w:rsidRDefault="001D1817" w:rsidP="001D1817">
      <w:pPr>
        <w:spacing w:after="0" w:line="240" w:lineRule="auto"/>
        <w:jc w:val="both"/>
        <w:rPr>
          <w:rFonts w:ascii="Verdana" w:hAnsi="Verdana"/>
        </w:rPr>
      </w:pPr>
    </w:p>
    <w:p w14:paraId="2AB33465" w14:textId="77777777" w:rsidR="001D1817" w:rsidRPr="00DC212C" w:rsidRDefault="001D1817" w:rsidP="001D1817">
      <w:pPr>
        <w:spacing w:after="0" w:line="240" w:lineRule="auto"/>
        <w:jc w:val="both"/>
        <w:rPr>
          <w:rFonts w:ascii="Verdana" w:hAnsi="Verdana"/>
        </w:rPr>
      </w:pPr>
      <w:r w:rsidRPr="00DC212C">
        <w:rPr>
          <w:rFonts w:ascii="Verdana" w:hAnsi="Verdana"/>
        </w:rPr>
        <w:t xml:space="preserve">Twitter: </w:t>
      </w:r>
      <w:r w:rsidRPr="00DC212C">
        <w:rPr>
          <w:rStyle w:val="Hipervnculo"/>
          <w:rFonts w:ascii="Verdana" w:hAnsi="Verdana"/>
        </w:rPr>
        <w:t>@colombiacompra</w:t>
      </w:r>
      <w:r w:rsidRPr="00DC212C">
        <w:rPr>
          <w:rFonts w:ascii="Verdana" w:hAnsi="Verdana"/>
        </w:rPr>
        <w:t xml:space="preserve"> </w:t>
      </w:r>
    </w:p>
    <w:p w14:paraId="37EDCDCD" w14:textId="77777777" w:rsidR="001D1817" w:rsidRPr="00DC212C" w:rsidRDefault="001D1817" w:rsidP="001D1817">
      <w:pPr>
        <w:spacing w:after="0" w:line="240" w:lineRule="auto"/>
        <w:jc w:val="both"/>
        <w:rPr>
          <w:rFonts w:ascii="Verdana" w:hAnsi="Verdana"/>
        </w:rPr>
      </w:pPr>
      <w:r w:rsidRPr="00DC212C">
        <w:rPr>
          <w:rFonts w:ascii="Verdana" w:hAnsi="Verdana"/>
        </w:rPr>
        <w:t xml:space="preserve">Facebook: </w:t>
      </w:r>
      <w:r w:rsidRPr="00DC212C">
        <w:rPr>
          <w:rStyle w:val="Hipervnculo"/>
          <w:rFonts w:ascii="Verdana" w:hAnsi="Verdana"/>
        </w:rPr>
        <w:t>ColombiaCompraEficiente</w:t>
      </w:r>
    </w:p>
    <w:p w14:paraId="38FCF369" w14:textId="77777777" w:rsidR="001D1817" w:rsidRPr="00DC212C" w:rsidRDefault="001D1817" w:rsidP="001D1817">
      <w:pPr>
        <w:spacing w:after="0" w:line="240" w:lineRule="auto"/>
        <w:jc w:val="both"/>
        <w:rPr>
          <w:rFonts w:ascii="Verdana" w:hAnsi="Verdana"/>
        </w:rPr>
      </w:pPr>
      <w:r w:rsidRPr="00DC212C">
        <w:rPr>
          <w:rFonts w:ascii="Verdana" w:hAnsi="Verdana"/>
        </w:rPr>
        <w:t xml:space="preserve">LinkedIn: </w:t>
      </w:r>
      <w:r w:rsidRPr="00DC212C">
        <w:rPr>
          <w:rStyle w:val="Hipervnculo"/>
          <w:rFonts w:ascii="Verdana" w:hAnsi="Verdana"/>
        </w:rPr>
        <w:t>Agencia Nacional de Contratación Pública - Colombia Compra Eficiente</w:t>
      </w:r>
      <w:r w:rsidRPr="00DC212C">
        <w:rPr>
          <w:rFonts w:ascii="Verdana" w:hAnsi="Verdana"/>
        </w:rPr>
        <w:t xml:space="preserve"> Instagram: </w:t>
      </w:r>
      <w:r w:rsidRPr="00DC212C">
        <w:rPr>
          <w:rStyle w:val="Hipervnculo"/>
          <w:rFonts w:ascii="Verdana" w:hAnsi="Verdana"/>
        </w:rPr>
        <w:t>@colombiacompraeficiente_cce</w:t>
      </w:r>
    </w:p>
    <w:p w14:paraId="5B12D6FD" w14:textId="77777777" w:rsidR="001D1817" w:rsidRPr="00F65D2B" w:rsidRDefault="001D1817" w:rsidP="001D1817">
      <w:pPr>
        <w:widowControl w:val="0"/>
        <w:autoSpaceDE w:val="0"/>
        <w:autoSpaceDN w:val="0"/>
        <w:spacing w:after="0" w:line="276" w:lineRule="auto"/>
        <w:jc w:val="both"/>
        <w:rPr>
          <w:rFonts w:ascii="Verdana" w:hAnsi="Verdana" w:cs="Arial"/>
          <w:color w:val="000000" w:themeColor="text1"/>
        </w:rPr>
      </w:pPr>
    </w:p>
    <w:p w14:paraId="7CCE8B90" w14:textId="77777777" w:rsidR="001D1817" w:rsidRPr="00F65D2B" w:rsidRDefault="001D1817" w:rsidP="001D1817">
      <w:pPr>
        <w:widowControl w:val="0"/>
        <w:autoSpaceDE w:val="0"/>
        <w:autoSpaceDN w:val="0"/>
        <w:spacing w:after="0" w:line="276" w:lineRule="auto"/>
        <w:jc w:val="both"/>
        <w:rPr>
          <w:rFonts w:ascii="Verdana" w:hAnsi="Verdana" w:cs="Arial"/>
          <w:color w:val="000000" w:themeColor="text1"/>
        </w:rPr>
      </w:pPr>
      <w:r w:rsidRPr="00F65D2B">
        <w:rPr>
          <w:rFonts w:ascii="Verdana" w:hAnsi="Verdana" w:cs="Arial"/>
          <w:color w:val="000000" w:themeColor="text1"/>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ACD037C" w14:textId="77777777" w:rsidR="001D1817" w:rsidRPr="00F65D2B" w:rsidRDefault="001D1817" w:rsidP="001D1817">
      <w:pPr>
        <w:widowControl w:val="0"/>
        <w:autoSpaceDE w:val="0"/>
        <w:autoSpaceDN w:val="0"/>
        <w:spacing w:after="0" w:line="276" w:lineRule="auto"/>
        <w:jc w:val="both"/>
        <w:rPr>
          <w:rFonts w:ascii="Verdana" w:hAnsi="Verdana" w:cs="Arial"/>
          <w:color w:val="000000" w:themeColor="text1"/>
        </w:rPr>
      </w:pPr>
    </w:p>
    <w:p w14:paraId="460B5C60" w14:textId="77777777" w:rsidR="001D1817" w:rsidRDefault="001D1817" w:rsidP="001D1817">
      <w:pPr>
        <w:spacing w:after="0" w:line="276" w:lineRule="auto"/>
        <w:rPr>
          <w:rFonts w:ascii="Verdana" w:hAnsi="Verdana" w:cs="Arial"/>
          <w:color w:val="000000" w:themeColor="text1"/>
          <w:lang w:eastAsia="es-CO"/>
        </w:rPr>
      </w:pPr>
      <w:r w:rsidRPr="00F65D2B">
        <w:rPr>
          <w:rFonts w:ascii="Verdana" w:eastAsia="Times New Roman" w:hAnsi="Verdana" w:cs="Arial"/>
          <w:color w:val="000000" w:themeColor="text1"/>
          <w:lang w:eastAsia="es-CO"/>
        </w:rPr>
        <w:t>Atentamente,</w:t>
      </w:r>
      <w:r w:rsidRPr="00F65D2B">
        <w:rPr>
          <w:rFonts w:ascii="Verdana" w:hAnsi="Verdana" w:cs="Arial"/>
          <w:color w:val="000000" w:themeColor="text1"/>
          <w:lang w:eastAsia="es-CO"/>
        </w:rPr>
        <w:t xml:space="preserve"> </w:t>
      </w:r>
    </w:p>
    <w:p w14:paraId="3CE3AEC9" w14:textId="6359E94D" w:rsidR="001D1817" w:rsidRPr="00F65D2B" w:rsidRDefault="00074E6F" w:rsidP="001D1817">
      <w:pPr>
        <w:spacing w:after="0" w:line="276" w:lineRule="auto"/>
        <w:jc w:val="center"/>
        <w:rPr>
          <w:rFonts w:ascii="Verdana" w:hAnsi="Verdana" w:cs="Arial"/>
          <w:color w:val="000000" w:themeColor="text1"/>
          <w:lang w:eastAsia="es-CO"/>
        </w:rPr>
      </w:pPr>
      <w:r w:rsidRPr="004D5C25">
        <w:rPr>
          <w:rFonts w:ascii="Century Gothic" w:hAnsi="Century Gothic"/>
          <w:noProof/>
        </w:rPr>
        <w:drawing>
          <wp:inline distT="0" distB="0" distL="0" distR="0" wp14:anchorId="0B5817A7" wp14:editId="4D900BA1">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D1817" w:rsidRPr="00F65D2B" w14:paraId="2256D1FE" w14:textId="77777777" w:rsidTr="009D1989">
        <w:trPr>
          <w:trHeight w:val="315"/>
        </w:trPr>
        <w:tc>
          <w:tcPr>
            <w:tcW w:w="893" w:type="dxa"/>
            <w:vAlign w:val="center"/>
            <w:hideMark/>
          </w:tcPr>
          <w:p w14:paraId="05B51BAE" w14:textId="77777777" w:rsidR="001D1817" w:rsidRPr="00F65D2B" w:rsidRDefault="001D1817" w:rsidP="009D1989">
            <w:pPr>
              <w:contextualSpacing/>
              <w:rPr>
                <w:rFonts w:ascii="Verdana" w:hAnsi="Verdana" w:cs="Arial"/>
                <w:sz w:val="16"/>
                <w:szCs w:val="16"/>
                <w:lang w:eastAsia="es-ES"/>
              </w:rPr>
            </w:pPr>
            <w:r w:rsidRPr="00F65D2B">
              <w:rPr>
                <w:rFonts w:ascii="Verdana" w:hAnsi="Verdana" w:cs="Arial"/>
                <w:sz w:val="16"/>
                <w:szCs w:val="16"/>
                <w:lang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0FF3A0B4" w14:textId="77777777" w:rsidR="001D1817" w:rsidRPr="00DC212C" w:rsidRDefault="001D1817" w:rsidP="009D1989">
            <w:pPr>
              <w:spacing w:line="256" w:lineRule="auto"/>
              <w:rPr>
                <w:rFonts w:ascii="Verdana" w:eastAsia="Calibri" w:hAnsi="Verdana" w:cs="Times New Roman"/>
                <w:sz w:val="16"/>
                <w:szCs w:val="16"/>
              </w:rPr>
            </w:pPr>
            <w:r>
              <w:rPr>
                <w:rFonts w:ascii="Verdana" w:eastAsia="Calibri" w:hAnsi="Verdana" w:cs="Times New Roman"/>
                <w:sz w:val="16"/>
                <w:szCs w:val="16"/>
              </w:rPr>
              <w:t>Sergio Enrique Caballero Lesmes</w:t>
            </w:r>
          </w:p>
          <w:p w14:paraId="1068DF9A" w14:textId="77777777" w:rsidR="001D1817" w:rsidRPr="00F65D2B" w:rsidRDefault="001D1817" w:rsidP="009D1989">
            <w:pPr>
              <w:contextualSpacing/>
              <w:rPr>
                <w:rFonts w:ascii="Verdana" w:eastAsia="Arial" w:hAnsi="Verdana" w:cs="Arial"/>
                <w:sz w:val="16"/>
                <w:szCs w:val="16"/>
              </w:rPr>
            </w:pPr>
            <w:r>
              <w:rPr>
                <w:rFonts w:ascii="Verdana" w:eastAsia="Calibri" w:hAnsi="Verdana" w:cs="Times New Roman"/>
                <w:sz w:val="16"/>
                <w:szCs w:val="16"/>
              </w:rPr>
              <w:t>Analista T1 -02</w:t>
            </w:r>
            <w:r w:rsidRPr="00DC212C">
              <w:rPr>
                <w:rFonts w:ascii="Verdana" w:eastAsia="Calibri" w:hAnsi="Verdana" w:cs="Times New Roman"/>
                <w:sz w:val="16"/>
                <w:szCs w:val="16"/>
              </w:rPr>
              <w:t xml:space="preserve"> de la Subdirección de Gestión Contractual</w:t>
            </w:r>
          </w:p>
        </w:tc>
      </w:tr>
      <w:tr w:rsidR="001D1817" w:rsidRPr="00F65D2B" w14:paraId="559BBCE1" w14:textId="77777777" w:rsidTr="009D1989">
        <w:trPr>
          <w:trHeight w:val="330"/>
        </w:trPr>
        <w:tc>
          <w:tcPr>
            <w:tcW w:w="893" w:type="dxa"/>
            <w:vAlign w:val="center"/>
            <w:hideMark/>
          </w:tcPr>
          <w:p w14:paraId="77C2B5D7" w14:textId="77777777" w:rsidR="001D1817" w:rsidRPr="00F65D2B" w:rsidRDefault="001D1817" w:rsidP="009D1989">
            <w:pPr>
              <w:contextualSpacing/>
              <w:rPr>
                <w:rFonts w:ascii="Verdana" w:hAnsi="Verdana" w:cs="Arial"/>
                <w:sz w:val="16"/>
                <w:szCs w:val="16"/>
                <w:lang w:eastAsia="es-ES"/>
              </w:rPr>
            </w:pPr>
            <w:r w:rsidRPr="00F65D2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3C6FEA2" w14:textId="77777777" w:rsidR="001D1817" w:rsidRPr="00DC212C" w:rsidRDefault="001D1817" w:rsidP="009D1989">
            <w:pPr>
              <w:spacing w:line="256" w:lineRule="auto"/>
              <w:rPr>
                <w:rFonts w:ascii="Verdana" w:eastAsia="Calibri" w:hAnsi="Verdana" w:cs="Times New Roman"/>
                <w:sz w:val="16"/>
                <w:szCs w:val="16"/>
              </w:rPr>
            </w:pPr>
            <w:r>
              <w:rPr>
                <w:rFonts w:ascii="Verdana" w:eastAsia="Calibri" w:hAnsi="Verdana" w:cs="Times New Roman"/>
                <w:sz w:val="16"/>
                <w:szCs w:val="16"/>
              </w:rPr>
              <w:t xml:space="preserve">Juan Carlos González Vásquez </w:t>
            </w:r>
          </w:p>
          <w:p w14:paraId="04233458" w14:textId="77777777" w:rsidR="001D1817" w:rsidRPr="00F65D2B" w:rsidRDefault="001D1817" w:rsidP="009D1989">
            <w:pPr>
              <w:pStyle w:val="paragraph"/>
              <w:spacing w:before="0" w:beforeAutospacing="0" w:after="0" w:afterAutospacing="0"/>
              <w:contextualSpacing/>
              <w:textAlignment w:val="baseline"/>
              <w:rPr>
                <w:rFonts w:ascii="Verdana" w:hAnsi="Verdana" w:cs="Segoe UI"/>
                <w:sz w:val="16"/>
                <w:szCs w:val="16"/>
              </w:rPr>
            </w:pPr>
            <w:r>
              <w:rPr>
                <w:rFonts w:ascii="Verdana" w:eastAsia="Calibri" w:hAnsi="Verdana"/>
                <w:sz w:val="16"/>
                <w:szCs w:val="16"/>
              </w:rPr>
              <w:t>Contratista</w:t>
            </w:r>
            <w:r w:rsidRPr="00DC212C">
              <w:rPr>
                <w:rFonts w:ascii="Verdana" w:eastAsia="Calibri" w:hAnsi="Verdana"/>
                <w:sz w:val="16"/>
                <w:szCs w:val="16"/>
              </w:rPr>
              <w:t xml:space="preserve"> de la Subdirección de Gestión Contractual </w:t>
            </w:r>
          </w:p>
        </w:tc>
      </w:tr>
      <w:tr w:rsidR="001D1817" w:rsidRPr="00F65D2B" w14:paraId="626A61BD" w14:textId="77777777" w:rsidTr="009D1989">
        <w:trPr>
          <w:trHeight w:val="300"/>
        </w:trPr>
        <w:tc>
          <w:tcPr>
            <w:tcW w:w="893" w:type="dxa"/>
            <w:vAlign w:val="center"/>
          </w:tcPr>
          <w:p w14:paraId="52A9E452" w14:textId="77777777" w:rsidR="001D1817" w:rsidRPr="00F65D2B" w:rsidRDefault="001D1817" w:rsidP="009D1989">
            <w:pPr>
              <w:contextualSpacing/>
              <w:rPr>
                <w:rFonts w:ascii="Verdana" w:hAnsi="Verdana" w:cs="Arial"/>
                <w:sz w:val="16"/>
                <w:szCs w:val="16"/>
                <w:lang w:eastAsia="es-ES"/>
              </w:rPr>
            </w:pPr>
            <w:r w:rsidRPr="00F65D2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AA8FCCC" w14:textId="77777777" w:rsidR="001D1817" w:rsidRPr="00F65D2B" w:rsidRDefault="001D1817" w:rsidP="009D1989">
            <w:pPr>
              <w:contextualSpacing/>
              <w:rPr>
                <w:rFonts w:ascii="Verdana" w:eastAsia="Calibri" w:hAnsi="Verdana" w:cs="Arial"/>
                <w:sz w:val="16"/>
                <w:szCs w:val="16"/>
                <w:lang w:eastAsia="es-ES"/>
              </w:rPr>
            </w:pPr>
            <w:r w:rsidRPr="00F65D2B">
              <w:rPr>
                <w:rFonts w:ascii="Verdana" w:eastAsia="Calibri" w:hAnsi="Verdana" w:cs="Arial"/>
                <w:sz w:val="16"/>
                <w:szCs w:val="16"/>
                <w:lang w:eastAsia="es-ES"/>
              </w:rPr>
              <w:t>Carolina Quintero Gacharná</w:t>
            </w:r>
          </w:p>
          <w:p w14:paraId="1FF7043D" w14:textId="77777777" w:rsidR="001D1817" w:rsidRPr="00F65D2B" w:rsidRDefault="001D1817" w:rsidP="009D1989">
            <w:pPr>
              <w:contextualSpacing/>
              <w:rPr>
                <w:rFonts w:ascii="Verdana" w:eastAsia="Calibri" w:hAnsi="Verdana" w:cs="Arial"/>
                <w:sz w:val="16"/>
                <w:szCs w:val="16"/>
                <w:lang w:eastAsia="es-ES"/>
              </w:rPr>
            </w:pPr>
            <w:r w:rsidRPr="00F65D2B">
              <w:rPr>
                <w:rFonts w:ascii="Verdana" w:eastAsia="Calibri" w:hAnsi="Verdana" w:cs="Arial"/>
                <w:sz w:val="16"/>
                <w:szCs w:val="16"/>
                <w:lang w:eastAsia="es-ES"/>
              </w:rPr>
              <w:t>Subdirectora de Gestión Contractual ANCP – CCE</w:t>
            </w:r>
          </w:p>
        </w:tc>
      </w:tr>
    </w:tbl>
    <w:p w14:paraId="263477BD" w14:textId="77777777" w:rsidR="001D1817" w:rsidRPr="00F65D2B" w:rsidRDefault="001D1817" w:rsidP="001D1817">
      <w:pPr>
        <w:spacing w:after="0"/>
        <w:rPr>
          <w:rFonts w:ascii="Verdana" w:hAnsi="Verdana"/>
        </w:rPr>
      </w:pPr>
    </w:p>
    <w:p w14:paraId="45E24C9A" w14:textId="77777777" w:rsidR="001D1817" w:rsidRPr="00F65D2B" w:rsidRDefault="001D1817" w:rsidP="001D1817">
      <w:pPr>
        <w:spacing w:after="0"/>
        <w:rPr>
          <w:rFonts w:ascii="Verdana" w:eastAsia="Times New Roman" w:hAnsi="Verdana" w:cs="Segoe UI"/>
          <w:sz w:val="18"/>
          <w:szCs w:val="18"/>
          <w:lang w:eastAsia="es-CO"/>
        </w:rPr>
      </w:pPr>
    </w:p>
    <w:p w14:paraId="15A1799A" w14:textId="77777777" w:rsidR="001D1817" w:rsidRDefault="001D1817" w:rsidP="001D1817"/>
    <w:p w14:paraId="6EC2D1A0" w14:textId="77777777" w:rsidR="001D1817" w:rsidRPr="00046945" w:rsidRDefault="001D1817" w:rsidP="001D1817">
      <w:pPr>
        <w:spacing w:after="0"/>
        <w:rPr>
          <w:rFonts w:ascii="Verdana" w:eastAsia="Times New Roman" w:hAnsi="Verdana" w:cs="Segoe UI"/>
          <w:sz w:val="18"/>
          <w:szCs w:val="18"/>
          <w:lang w:eastAsia="es-CO"/>
        </w:rPr>
      </w:pPr>
    </w:p>
    <w:p w14:paraId="7F118B48" w14:textId="77777777" w:rsidR="00C24FFE" w:rsidRDefault="00C24FFE"/>
    <w:sectPr w:rsidR="00C24FFE" w:rsidSect="001D1817">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27109" w14:textId="77777777" w:rsidR="001D1817" w:rsidRDefault="001D1817" w:rsidP="001D1817">
      <w:pPr>
        <w:spacing w:after="0" w:line="240" w:lineRule="auto"/>
      </w:pPr>
      <w:r>
        <w:separator/>
      </w:r>
    </w:p>
  </w:endnote>
  <w:endnote w:type="continuationSeparator" w:id="0">
    <w:p w14:paraId="14920896" w14:textId="77777777" w:rsidR="001D1817" w:rsidRDefault="001D1817" w:rsidP="001D18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1EFE5" w14:textId="77777777" w:rsidR="001D1817" w:rsidRDefault="001D1817">
    <w:pPr>
      <w:pStyle w:val="Piedepgina"/>
    </w:pPr>
  </w:p>
  <w:p w14:paraId="079CD6B2" w14:textId="77777777" w:rsidR="001D1817" w:rsidRPr="00174B77" w:rsidRDefault="001D1817"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6E52E7A" w14:textId="77777777" w:rsidR="001D1817" w:rsidRDefault="001D1817"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134C08F" w14:textId="77777777" w:rsidR="001D1817" w:rsidRPr="00E41027" w:rsidRDefault="001D1817" w:rsidP="00D520D8">
    <w:pPr>
      <w:spacing w:after="0"/>
      <w:jc w:val="both"/>
      <w:rPr>
        <w:rFonts w:ascii="Verdana" w:hAnsi="Verdana"/>
        <w:sz w:val="18"/>
        <w:szCs w:val="18"/>
      </w:rPr>
    </w:pPr>
    <w:r w:rsidRPr="00E41027">
      <w:rPr>
        <w:rFonts w:ascii="Verdana" w:hAnsi="Verdana"/>
        <w:sz w:val="18"/>
        <w:szCs w:val="18"/>
      </w:rPr>
      <w:t>Mesa de servicio: (+57) 601 7456788</w:t>
    </w:r>
  </w:p>
  <w:p w14:paraId="1FCBF74E" w14:textId="77777777" w:rsidR="001D1817" w:rsidRDefault="001D1817"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8FB4A" w14:textId="77777777" w:rsidR="001D1817" w:rsidRDefault="001D1817" w:rsidP="001D1817">
      <w:pPr>
        <w:spacing w:after="0" w:line="240" w:lineRule="auto"/>
      </w:pPr>
      <w:r>
        <w:separator/>
      </w:r>
    </w:p>
  </w:footnote>
  <w:footnote w:type="continuationSeparator" w:id="0">
    <w:p w14:paraId="1B87A15E" w14:textId="77777777" w:rsidR="001D1817" w:rsidRDefault="001D1817" w:rsidP="001D1817">
      <w:pPr>
        <w:spacing w:after="0" w:line="240" w:lineRule="auto"/>
      </w:pPr>
      <w:r>
        <w:continuationSeparator/>
      </w:r>
    </w:p>
  </w:footnote>
  <w:footnote w:id="1">
    <w:p w14:paraId="2592D2F7" w14:textId="77777777" w:rsidR="001D1817" w:rsidRPr="00594A6F" w:rsidRDefault="001D1817" w:rsidP="001D1817">
      <w:pPr>
        <w:pStyle w:val="Textonotapie"/>
        <w:ind w:firstLine="708"/>
        <w:jc w:val="both"/>
        <w:rPr>
          <w:rFonts w:ascii="Verdana" w:hAnsi="Verdana"/>
          <w:sz w:val="14"/>
          <w:szCs w:val="14"/>
          <w:lang w:val="es-CO"/>
        </w:rPr>
      </w:pPr>
      <w:r w:rsidRPr="00594A6F">
        <w:rPr>
          <w:rStyle w:val="Refdenotaalpie"/>
          <w:rFonts w:ascii="Verdana" w:hAnsi="Verdana"/>
          <w:sz w:val="14"/>
          <w:szCs w:val="14"/>
        </w:rPr>
        <w:footnoteRef/>
      </w:r>
      <w:r w:rsidRPr="00594A6F">
        <w:rPr>
          <w:rFonts w:ascii="Verdana" w:hAnsi="Verdana"/>
          <w:sz w:val="14"/>
          <w:szCs w:val="14"/>
        </w:rPr>
        <w:t xml:space="preserve"> </w:t>
      </w:r>
      <w:r w:rsidRPr="00594A6F">
        <w:rPr>
          <w:rFonts w:ascii="Verdana" w:hAnsi="Verdana"/>
          <w:sz w:val="14"/>
          <w:szCs w:val="14"/>
          <w:lang w:val="es-CO"/>
        </w:rPr>
        <w:t xml:space="preserve"> Consultado en: </w:t>
      </w:r>
      <w:hyperlink r:id="rId1" w:history="1">
        <w:r w:rsidRPr="00594A6F">
          <w:rPr>
            <w:rStyle w:val="Hipervnculo"/>
            <w:rFonts w:ascii="Verdana" w:hAnsi="Verdana"/>
            <w:sz w:val="14"/>
            <w:szCs w:val="14"/>
            <w:lang w:val="es-CO"/>
          </w:rPr>
          <w:t>https://www.rae.es/drae2001/consultor</w:t>
        </w:r>
      </w:hyperlink>
    </w:p>
    <w:p w14:paraId="0CB41631" w14:textId="77777777" w:rsidR="001D1817" w:rsidRPr="00594A6F" w:rsidRDefault="001D1817" w:rsidP="001D1817">
      <w:pPr>
        <w:pStyle w:val="Textonotapie"/>
        <w:ind w:firstLine="708"/>
        <w:jc w:val="both"/>
        <w:rPr>
          <w:rFonts w:ascii="Verdana" w:hAnsi="Verdana"/>
          <w:sz w:val="14"/>
          <w:szCs w:val="14"/>
          <w:lang w:val="es-CO"/>
        </w:rPr>
      </w:pPr>
      <w:r w:rsidRPr="00594A6F">
        <w:rPr>
          <w:rFonts w:ascii="Verdana" w:hAnsi="Verdana"/>
          <w:sz w:val="14"/>
          <w:szCs w:val="14"/>
          <w:lang w:val="es-CO"/>
        </w:rPr>
        <w:t xml:space="preserve"> </w:t>
      </w:r>
    </w:p>
  </w:footnote>
  <w:footnote w:id="2">
    <w:p w14:paraId="73C3FBB6" w14:textId="77777777" w:rsidR="001D1817" w:rsidRPr="00594A6F" w:rsidRDefault="001D1817" w:rsidP="001D1817">
      <w:pPr>
        <w:pStyle w:val="Textonotapie"/>
        <w:ind w:firstLine="708"/>
        <w:jc w:val="both"/>
        <w:rPr>
          <w:rFonts w:ascii="Verdana" w:hAnsi="Verdana" w:cs="Arial"/>
          <w:sz w:val="14"/>
          <w:szCs w:val="14"/>
        </w:rPr>
      </w:pPr>
      <w:r w:rsidRPr="00594A6F">
        <w:rPr>
          <w:rStyle w:val="Refdenotaalpie"/>
          <w:rFonts w:ascii="Verdana" w:hAnsi="Verdana" w:cs="Arial"/>
          <w:sz w:val="14"/>
          <w:szCs w:val="14"/>
        </w:rPr>
        <w:footnoteRef/>
      </w:r>
      <w:r w:rsidRPr="00594A6F">
        <w:rPr>
          <w:rFonts w:ascii="Verdana" w:hAnsi="Verdana" w:cs="Arial"/>
          <w:sz w:val="14"/>
          <w:szCs w:val="14"/>
        </w:rPr>
        <w:t xml:space="preserve"> REAL ACADEMIA DE LA LENGUA ESPAÑOLA. Diccionario jurídico panhispánico de español jurídico. Disponible en línea: </w:t>
      </w:r>
      <w:hyperlink r:id="rId2" w:history="1">
        <w:r w:rsidRPr="00594A6F">
          <w:rPr>
            <w:rStyle w:val="Hipervnculo"/>
            <w:rFonts w:ascii="Verdana" w:hAnsi="Verdana" w:cs="Arial"/>
            <w:sz w:val="14"/>
            <w:szCs w:val="14"/>
          </w:rPr>
          <w:t>https://dpej.rae.es/lema/asesor%C3%ADa</w:t>
        </w:r>
      </w:hyperlink>
      <w:r w:rsidRPr="00594A6F">
        <w:rPr>
          <w:rFonts w:ascii="Verdana" w:hAnsi="Verdana" w:cs="Arial"/>
          <w:sz w:val="14"/>
          <w:szCs w:val="14"/>
        </w:rPr>
        <w:t xml:space="preserve">. </w:t>
      </w:r>
    </w:p>
    <w:p w14:paraId="409C71E0" w14:textId="77777777" w:rsidR="001D1817" w:rsidRPr="00594A6F" w:rsidRDefault="001D1817" w:rsidP="001D1817">
      <w:pPr>
        <w:pStyle w:val="Textonotapie"/>
        <w:ind w:firstLine="708"/>
        <w:jc w:val="both"/>
        <w:rPr>
          <w:rFonts w:ascii="Verdana" w:hAnsi="Verdana" w:cs="Arial"/>
          <w:sz w:val="14"/>
          <w:szCs w:val="14"/>
          <w:lang w:val="es-ES"/>
        </w:rPr>
      </w:pPr>
    </w:p>
  </w:footnote>
  <w:footnote w:id="3">
    <w:p w14:paraId="4CC9627C" w14:textId="77777777" w:rsidR="001D1817" w:rsidRPr="00594A6F" w:rsidRDefault="001D1817" w:rsidP="001D1817">
      <w:pPr>
        <w:pStyle w:val="Textonotapie"/>
        <w:ind w:firstLine="708"/>
        <w:jc w:val="both"/>
        <w:rPr>
          <w:rFonts w:ascii="Verdana" w:hAnsi="Verdana" w:cs="Arial"/>
          <w:sz w:val="14"/>
          <w:szCs w:val="14"/>
        </w:rPr>
      </w:pPr>
      <w:r w:rsidRPr="00594A6F">
        <w:rPr>
          <w:rStyle w:val="Refdenotaalpie"/>
          <w:rFonts w:ascii="Verdana" w:hAnsi="Verdana" w:cs="Arial"/>
          <w:sz w:val="14"/>
          <w:szCs w:val="14"/>
        </w:rPr>
        <w:footnoteRef/>
      </w:r>
      <w:r w:rsidRPr="00594A6F">
        <w:rPr>
          <w:rFonts w:ascii="Verdana" w:hAnsi="Verdana" w:cs="Arial"/>
          <w:sz w:val="14"/>
          <w:szCs w:val="14"/>
        </w:rPr>
        <w:t xml:space="preserve"> MATALLANA CAMACHO, Ernesto. Manual de Contratación de la Administración Pública. Reforma de la Ley 80 de 1993. Bogotá: Universidad Externado de Colombia, 2015. p. 968.</w:t>
      </w:r>
    </w:p>
    <w:p w14:paraId="64D40D28" w14:textId="77777777" w:rsidR="001D1817" w:rsidRPr="00594A6F" w:rsidRDefault="001D1817" w:rsidP="001D1817">
      <w:pPr>
        <w:pStyle w:val="Textonotapie"/>
        <w:ind w:firstLine="708"/>
        <w:jc w:val="both"/>
        <w:rPr>
          <w:rFonts w:ascii="Verdana" w:hAnsi="Verdana" w:cs="Arial"/>
          <w:sz w:val="14"/>
          <w:szCs w:val="14"/>
          <w:lang w:val="es-ES"/>
        </w:rPr>
      </w:pPr>
    </w:p>
  </w:footnote>
  <w:footnote w:id="4">
    <w:p w14:paraId="360996C4" w14:textId="77777777" w:rsidR="001D1817" w:rsidRDefault="001D1817" w:rsidP="001D1817">
      <w:pPr>
        <w:pStyle w:val="Textonotapie"/>
        <w:ind w:firstLine="708"/>
        <w:jc w:val="both"/>
        <w:rPr>
          <w:rFonts w:ascii="Verdana" w:hAnsi="Verdana" w:cs="Arial"/>
          <w:sz w:val="14"/>
          <w:szCs w:val="14"/>
        </w:rPr>
      </w:pPr>
      <w:r w:rsidRPr="00594A6F">
        <w:rPr>
          <w:rStyle w:val="Refdenotaalpie"/>
          <w:rFonts w:ascii="Verdana" w:hAnsi="Verdana" w:cs="Arial"/>
          <w:sz w:val="14"/>
          <w:szCs w:val="14"/>
        </w:rPr>
        <w:footnoteRef/>
      </w:r>
      <w:r w:rsidRPr="00594A6F">
        <w:rPr>
          <w:rFonts w:ascii="Verdana" w:hAnsi="Verdana" w:cs="Arial"/>
          <w:sz w:val="14"/>
          <w:szCs w:val="14"/>
        </w:rPr>
        <w:t xml:space="preserve"> DÁVILA VINUEZA, Guillermo. Régimen jurídico de la contratación estatal. Bogotá: Legis, 2016. p. 849.</w:t>
      </w:r>
    </w:p>
    <w:p w14:paraId="28E9B1E0" w14:textId="77777777" w:rsidR="001D1817" w:rsidRPr="00594A6F" w:rsidRDefault="001D1817" w:rsidP="001D1817">
      <w:pPr>
        <w:pStyle w:val="Textonotapie"/>
        <w:ind w:firstLine="708"/>
        <w:jc w:val="both"/>
        <w:rPr>
          <w:rFonts w:ascii="Verdana" w:hAnsi="Verdana" w:cs="Arial"/>
          <w:sz w:val="14"/>
          <w:szCs w:val="14"/>
        </w:rPr>
      </w:pPr>
    </w:p>
  </w:footnote>
  <w:footnote w:id="5">
    <w:p w14:paraId="28599B98" w14:textId="77777777" w:rsidR="001D1817" w:rsidRPr="00594A6F" w:rsidRDefault="001D1817" w:rsidP="001D1817">
      <w:pPr>
        <w:pStyle w:val="Textonotapie"/>
        <w:ind w:firstLine="708"/>
        <w:jc w:val="both"/>
        <w:rPr>
          <w:rFonts w:ascii="Verdana" w:hAnsi="Verdana"/>
          <w:sz w:val="14"/>
          <w:szCs w:val="14"/>
          <w:lang w:val="es-ES"/>
        </w:rPr>
      </w:pPr>
      <w:r w:rsidRPr="00594A6F">
        <w:rPr>
          <w:rStyle w:val="Refdenotaalpie"/>
          <w:rFonts w:ascii="Verdana" w:hAnsi="Verdana"/>
          <w:sz w:val="14"/>
          <w:szCs w:val="14"/>
        </w:rPr>
        <w:footnoteRef/>
      </w:r>
      <w:r w:rsidRPr="00594A6F">
        <w:rPr>
          <w:rFonts w:ascii="Verdana" w:hAnsi="Verdana"/>
          <w:sz w:val="14"/>
          <w:szCs w:val="14"/>
        </w:rPr>
        <w:t xml:space="preserve"> </w:t>
      </w:r>
      <w:r w:rsidRPr="00594A6F">
        <w:rPr>
          <w:rFonts w:ascii="Verdana" w:hAnsi="Verdana"/>
          <w:sz w:val="14"/>
          <w:szCs w:val="14"/>
          <w:lang w:val="es-ES"/>
        </w:rPr>
        <w:t>C-282 de 2024 expedido por la ANCP-CCE.</w:t>
      </w:r>
    </w:p>
    <w:p w14:paraId="10B2D90F" w14:textId="77777777" w:rsidR="001D1817" w:rsidRPr="00594A6F" w:rsidRDefault="001D1817" w:rsidP="001D1817">
      <w:pPr>
        <w:pStyle w:val="Textonotapie"/>
        <w:ind w:firstLine="708"/>
        <w:jc w:val="both"/>
        <w:rPr>
          <w:rFonts w:ascii="Verdana" w:hAnsi="Verdana"/>
          <w:sz w:val="14"/>
          <w:szCs w:val="14"/>
          <w:lang w:val="es-ES"/>
        </w:rPr>
      </w:pPr>
    </w:p>
  </w:footnote>
  <w:footnote w:id="6">
    <w:p w14:paraId="383DC8D3" w14:textId="77777777" w:rsidR="001D1817" w:rsidRDefault="001D1817" w:rsidP="001D1817">
      <w:pPr>
        <w:pStyle w:val="Textonotapie"/>
        <w:ind w:firstLine="708"/>
        <w:jc w:val="both"/>
        <w:rPr>
          <w:rFonts w:ascii="Verdana" w:hAnsi="Verdana" w:cs="Arial"/>
          <w:sz w:val="14"/>
          <w:szCs w:val="14"/>
          <w:lang w:val="pt-BR"/>
        </w:rPr>
      </w:pPr>
      <w:r w:rsidRPr="00594A6F">
        <w:rPr>
          <w:rStyle w:val="Refdenotaalpie"/>
          <w:rFonts w:ascii="Verdana" w:hAnsi="Verdana" w:cs="Arial"/>
          <w:sz w:val="14"/>
          <w:szCs w:val="14"/>
        </w:rPr>
        <w:footnoteRef/>
      </w:r>
      <w:r w:rsidRPr="00594A6F">
        <w:rPr>
          <w:rFonts w:ascii="Verdana" w:hAnsi="Verdana" w:cs="Arial"/>
          <w:sz w:val="14"/>
          <w:szCs w:val="14"/>
        </w:rPr>
        <w:t xml:space="preserve"> CONSEJO DE ESTADO. Sección Tercera. Subsección C. Sentencia del 25 de abril del 2012. </w:t>
      </w:r>
      <w:r w:rsidRPr="00594A6F">
        <w:rPr>
          <w:rFonts w:ascii="Verdana" w:hAnsi="Verdana" w:cs="Arial"/>
          <w:sz w:val="14"/>
          <w:szCs w:val="14"/>
          <w:lang w:val="pt-BR"/>
        </w:rPr>
        <w:t>Radicado. 52001-23-31-000-2000-00173-01(22167). Magistrado Ponente: Jaime Orlando Santofimio Gamboa.</w:t>
      </w:r>
    </w:p>
    <w:p w14:paraId="354E1F38" w14:textId="77777777" w:rsidR="001D1817" w:rsidRPr="00594A6F" w:rsidRDefault="001D1817" w:rsidP="001D1817">
      <w:pPr>
        <w:pStyle w:val="Textonotapie"/>
        <w:ind w:firstLine="708"/>
        <w:jc w:val="both"/>
        <w:rPr>
          <w:rFonts w:ascii="Verdana" w:hAnsi="Verdana" w:cs="Arial"/>
          <w:sz w:val="14"/>
          <w:szCs w:val="14"/>
          <w:lang w:val="pt-BR"/>
        </w:rPr>
      </w:pPr>
    </w:p>
  </w:footnote>
  <w:footnote w:id="7">
    <w:p w14:paraId="111075A6" w14:textId="77777777" w:rsidR="001D1817" w:rsidRPr="00594A6F" w:rsidRDefault="001D1817" w:rsidP="001D1817">
      <w:pPr>
        <w:pStyle w:val="Textonotapie"/>
        <w:ind w:firstLine="708"/>
        <w:jc w:val="both"/>
        <w:rPr>
          <w:rFonts w:ascii="Verdana" w:hAnsi="Verdana" w:cs="Arial"/>
          <w:bCs/>
          <w:sz w:val="14"/>
          <w:szCs w:val="14"/>
          <w:shd w:val="clear" w:color="auto" w:fill="FFFFFF"/>
          <w:lang w:val="pt-BR"/>
        </w:rPr>
      </w:pPr>
      <w:r w:rsidRPr="00594A6F">
        <w:rPr>
          <w:rStyle w:val="Refdenotaalpie"/>
          <w:rFonts w:ascii="Verdana" w:hAnsi="Verdana" w:cs="Arial"/>
          <w:sz w:val="14"/>
          <w:szCs w:val="14"/>
        </w:rPr>
        <w:footnoteRef/>
      </w:r>
      <w:r w:rsidRPr="00594A6F">
        <w:rPr>
          <w:rFonts w:ascii="Verdana" w:hAnsi="Verdana" w:cs="Arial"/>
          <w:sz w:val="14"/>
          <w:szCs w:val="14"/>
          <w:lang w:val="pt-BR"/>
        </w:rPr>
        <w:t xml:space="preserve"> CONSEJO DE ESTADO. </w:t>
      </w:r>
      <w:r w:rsidRPr="00594A6F">
        <w:rPr>
          <w:rFonts w:ascii="Verdana" w:hAnsi="Verdana" w:cs="Arial"/>
          <w:sz w:val="14"/>
          <w:szCs w:val="14"/>
        </w:rPr>
        <w:t xml:space="preserve">Sección Tercera. Subsección C. Sentencia de Unificación del 2 de diciembre de 2013. </w:t>
      </w:r>
      <w:r w:rsidRPr="00594A6F">
        <w:rPr>
          <w:rFonts w:ascii="Verdana" w:hAnsi="Verdana" w:cs="Arial"/>
          <w:sz w:val="14"/>
          <w:szCs w:val="14"/>
          <w:lang w:val="pt-BR"/>
        </w:rPr>
        <w:t xml:space="preserve">Radicado. </w:t>
      </w:r>
      <w:r w:rsidRPr="00594A6F">
        <w:rPr>
          <w:rFonts w:ascii="Verdana" w:hAnsi="Verdana" w:cs="Arial"/>
          <w:bCs/>
          <w:sz w:val="14"/>
          <w:szCs w:val="14"/>
          <w:shd w:val="clear" w:color="auto" w:fill="FFFFFF"/>
          <w:lang w:val="pt-BR"/>
        </w:rPr>
        <w:t>11001-03-26-000-2011-00039-00(41719). Magistrado Ponente: Jaime Orlando Santofimio Gamboa.</w:t>
      </w:r>
    </w:p>
    <w:p w14:paraId="3F7E0DAA" w14:textId="77777777" w:rsidR="001D1817" w:rsidRPr="00594A6F" w:rsidRDefault="001D1817" w:rsidP="001D1817">
      <w:pPr>
        <w:pStyle w:val="Textonotapie"/>
        <w:ind w:firstLine="708"/>
        <w:jc w:val="both"/>
        <w:rPr>
          <w:rFonts w:ascii="Verdana" w:hAnsi="Verdana" w:cs="Arial"/>
          <w:sz w:val="14"/>
          <w:szCs w:val="14"/>
          <w:lang w:val="pt-BR"/>
        </w:rPr>
      </w:pPr>
    </w:p>
  </w:footnote>
  <w:footnote w:id="8">
    <w:p w14:paraId="61DEFA9D" w14:textId="77777777" w:rsidR="001D1817" w:rsidRPr="00594A6F" w:rsidRDefault="001D1817" w:rsidP="001D1817">
      <w:pPr>
        <w:pStyle w:val="Textonotapie"/>
        <w:ind w:firstLine="708"/>
        <w:jc w:val="both"/>
        <w:rPr>
          <w:rFonts w:ascii="Verdana" w:hAnsi="Verdana" w:cs="Arial"/>
          <w:bCs/>
          <w:sz w:val="14"/>
          <w:szCs w:val="14"/>
          <w:shd w:val="clear" w:color="auto" w:fill="FFFFFF"/>
        </w:rPr>
      </w:pPr>
      <w:r w:rsidRPr="00594A6F">
        <w:rPr>
          <w:rStyle w:val="Refdenotaalpie"/>
          <w:rFonts w:ascii="Verdana" w:hAnsi="Verdana" w:cs="Arial"/>
          <w:sz w:val="14"/>
          <w:szCs w:val="14"/>
        </w:rPr>
        <w:footnoteRef/>
      </w:r>
      <w:r w:rsidRPr="00594A6F">
        <w:rPr>
          <w:rFonts w:ascii="Verdana" w:hAnsi="Verdana" w:cs="Arial"/>
          <w:sz w:val="14"/>
          <w:szCs w:val="14"/>
          <w:lang w:val="pt-BR"/>
        </w:rPr>
        <w:t xml:space="preserve"> CONSEJO DE ESTADO. </w:t>
      </w:r>
      <w:r w:rsidRPr="00594A6F">
        <w:rPr>
          <w:rFonts w:ascii="Verdana" w:hAnsi="Verdana" w:cs="Arial"/>
          <w:sz w:val="14"/>
          <w:szCs w:val="14"/>
        </w:rPr>
        <w:t xml:space="preserve">Sección Tercera. Subsección C. Sentencia del 2 de diciembre de 2013. Radicado. </w:t>
      </w:r>
      <w:r w:rsidRPr="00594A6F">
        <w:rPr>
          <w:rFonts w:ascii="Verdana" w:hAnsi="Verdana" w:cs="Arial"/>
          <w:bCs/>
          <w:sz w:val="14"/>
          <w:szCs w:val="14"/>
          <w:shd w:val="clear" w:color="auto" w:fill="FFFFFF"/>
        </w:rPr>
        <w:t xml:space="preserve">11001-03-26-000-2011-00039-00(41719). Magistrado Ponente: Jaime Orlando Santofimio Gamboa. </w:t>
      </w:r>
    </w:p>
    <w:p w14:paraId="42413A4B" w14:textId="77777777" w:rsidR="001D1817" w:rsidRPr="00594A6F" w:rsidRDefault="001D1817" w:rsidP="001D1817">
      <w:pPr>
        <w:pStyle w:val="Textonotapie"/>
        <w:ind w:firstLine="708"/>
        <w:jc w:val="both"/>
        <w:rPr>
          <w:rFonts w:ascii="Verdana" w:hAnsi="Verdana" w:cs="Arial"/>
          <w:sz w:val="14"/>
          <w:szCs w:val="14"/>
        </w:rPr>
      </w:pPr>
    </w:p>
  </w:footnote>
  <w:footnote w:id="9">
    <w:p w14:paraId="5B66203E" w14:textId="77777777" w:rsidR="001D1817" w:rsidRPr="00594A6F" w:rsidRDefault="001D1817" w:rsidP="001D1817">
      <w:pPr>
        <w:pStyle w:val="Textonotapie"/>
        <w:ind w:firstLine="708"/>
        <w:jc w:val="both"/>
        <w:rPr>
          <w:rFonts w:ascii="Verdana" w:hAnsi="Verdana"/>
          <w:sz w:val="14"/>
          <w:szCs w:val="14"/>
          <w:lang w:val="es-CO"/>
        </w:rPr>
      </w:pPr>
      <w:r w:rsidRPr="00594A6F">
        <w:rPr>
          <w:rStyle w:val="Refdenotaalpie"/>
          <w:rFonts w:ascii="Verdana" w:hAnsi="Verdana"/>
          <w:sz w:val="14"/>
          <w:szCs w:val="14"/>
        </w:rPr>
        <w:footnoteRef/>
      </w:r>
      <w:r w:rsidRPr="00594A6F">
        <w:rPr>
          <w:rFonts w:ascii="Verdana" w:hAnsi="Verdana"/>
          <w:sz w:val="14"/>
          <w:szCs w:val="14"/>
        </w:rPr>
        <w:t xml:space="preserve"> </w:t>
      </w:r>
      <w:r w:rsidRPr="00594A6F">
        <w:rPr>
          <w:rFonts w:ascii="Verdana" w:hAnsi="Verdana"/>
          <w:sz w:val="14"/>
          <w:szCs w:val="14"/>
          <w:lang w:val="es-CO"/>
        </w:rPr>
        <w:t xml:space="preserve">AGENCIA NACIONAL DE CONTRATACIÓN PÚBLICA – COLOMBIA COMPRA EFICIENTE. Documentos Tipo: </w:t>
      </w:r>
      <w:hyperlink r:id="rId3" w:history="1">
        <w:r w:rsidRPr="00594A6F">
          <w:rPr>
            <w:rStyle w:val="Hipervnculo"/>
            <w:rFonts w:ascii="Verdana" w:hAnsi="Verdana"/>
            <w:sz w:val="14"/>
            <w:szCs w:val="14"/>
            <w:lang w:val="es-CO"/>
          </w:rPr>
          <w:t>https://www.colombiacompra.gov.co/normativa-y-relatoria/documentos-tipo</w:t>
        </w:r>
      </w:hyperlink>
      <w:r w:rsidRPr="00594A6F">
        <w:rPr>
          <w:rFonts w:ascii="Verdana" w:hAnsi="Verdana"/>
          <w:sz w:val="14"/>
          <w:szCs w:val="14"/>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FD1EC" w14:textId="77777777" w:rsidR="001D1817" w:rsidRDefault="001D1817">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5E6678A7" wp14:editId="1C2F8207">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59BF479" wp14:editId="2AFEAD0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6553E0D" w14:textId="77777777" w:rsidR="001D1817" w:rsidRDefault="001D1817">
    <w:pPr>
      <w:pStyle w:val="Encabezado"/>
    </w:pPr>
  </w:p>
  <w:p w14:paraId="4F3A412D" w14:textId="77777777" w:rsidR="001D1817" w:rsidRDefault="001D1817" w:rsidP="004A305D">
    <w:pPr>
      <w:spacing w:after="0"/>
      <w:rPr>
        <w:rFonts w:ascii="Verdana" w:hAnsi="Verdana"/>
        <w:b/>
        <w:bCs/>
      </w:rPr>
    </w:pPr>
  </w:p>
  <w:p w14:paraId="08E34DFE" w14:textId="77777777" w:rsidR="001D1817" w:rsidRPr="004A305D" w:rsidRDefault="001D1817" w:rsidP="00B01B1A">
    <w:pPr>
      <w:spacing w:after="0" w:line="120" w:lineRule="auto"/>
      <w:rPr>
        <w:rFonts w:ascii="Century Gothic" w:eastAsia="Geo" w:hAnsi="Century Gothic" w:cs="Geo"/>
        <w:sz w:val="16"/>
        <w:szCs w:val="16"/>
        <w:lang w:eastAsia="es-CO"/>
      </w:rPr>
    </w:pPr>
  </w:p>
  <w:p w14:paraId="1333B94E" w14:textId="77777777" w:rsidR="001D1817" w:rsidRDefault="001D1817"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341274352">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817"/>
    <w:rsid w:val="000568AD"/>
    <w:rsid w:val="00074E6F"/>
    <w:rsid w:val="001D1817"/>
    <w:rsid w:val="003715D3"/>
    <w:rsid w:val="004311C8"/>
    <w:rsid w:val="00474DF4"/>
    <w:rsid w:val="00485D25"/>
    <w:rsid w:val="004F471F"/>
    <w:rsid w:val="00A114BB"/>
    <w:rsid w:val="00B80F30"/>
    <w:rsid w:val="00C03005"/>
    <w:rsid w:val="00C24FFE"/>
    <w:rsid w:val="00D4051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95EF5E0"/>
  <w15:chartTrackingRefBased/>
  <w15:docId w15:val="{411B7583-5C71-46D5-B85D-765519A9F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817"/>
    <w:rPr>
      <w:kern w:val="0"/>
      <w14:ligatures w14:val="none"/>
    </w:rPr>
  </w:style>
  <w:style w:type="paragraph" w:styleId="Ttulo1">
    <w:name w:val="heading 1"/>
    <w:basedOn w:val="Normal"/>
    <w:next w:val="Normal"/>
    <w:link w:val="Ttulo1Car"/>
    <w:uiPriority w:val="9"/>
    <w:qFormat/>
    <w:rsid w:val="001D181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D181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D181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D181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D181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D181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181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181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181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181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D181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D181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D181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D181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D181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181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181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1817"/>
    <w:rPr>
      <w:rFonts w:eastAsiaTheme="majorEastAsia" w:cstheme="majorBidi"/>
      <w:color w:val="272727" w:themeColor="text1" w:themeTint="D8"/>
    </w:rPr>
  </w:style>
  <w:style w:type="paragraph" w:styleId="Ttulo">
    <w:name w:val="Title"/>
    <w:basedOn w:val="Normal"/>
    <w:next w:val="Normal"/>
    <w:link w:val="TtuloCar"/>
    <w:uiPriority w:val="10"/>
    <w:qFormat/>
    <w:rsid w:val="001D18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181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181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181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1817"/>
    <w:pPr>
      <w:spacing w:before="160"/>
      <w:jc w:val="center"/>
    </w:pPr>
    <w:rPr>
      <w:i/>
      <w:iCs/>
      <w:color w:val="404040" w:themeColor="text1" w:themeTint="BF"/>
    </w:rPr>
  </w:style>
  <w:style w:type="character" w:customStyle="1" w:styleId="CitaCar">
    <w:name w:val="Cita Car"/>
    <w:basedOn w:val="Fuentedeprrafopredeter"/>
    <w:link w:val="Cita"/>
    <w:uiPriority w:val="29"/>
    <w:rsid w:val="001D1817"/>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1D1817"/>
    <w:pPr>
      <w:ind w:left="720"/>
      <w:contextualSpacing/>
    </w:pPr>
  </w:style>
  <w:style w:type="character" w:styleId="nfasisintenso">
    <w:name w:val="Intense Emphasis"/>
    <w:basedOn w:val="Fuentedeprrafopredeter"/>
    <w:uiPriority w:val="21"/>
    <w:qFormat/>
    <w:rsid w:val="001D1817"/>
    <w:rPr>
      <w:i/>
      <w:iCs/>
      <w:color w:val="2F5496" w:themeColor="accent1" w:themeShade="BF"/>
    </w:rPr>
  </w:style>
  <w:style w:type="paragraph" w:styleId="Citadestacada">
    <w:name w:val="Intense Quote"/>
    <w:basedOn w:val="Normal"/>
    <w:next w:val="Normal"/>
    <w:link w:val="CitadestacadaCar"/>
    <w:uiPriority w:val="30"/>
    <w:qFormat/>
    <w:rsid w:val="001D181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D1817"/>
    <w:rPr>
      <w:i/>
      <w:iCs/>
      <w:color w:val="2F5496" w:themeColor="accent1" w:themeShade="BF"/>
    </w:rPr>
  </w:style>
  <w:style w:type="character" w:styleId="Referenciaintensa">
    <w:name w:val="Intense Reference"/>
    <w:basedOn w:val="Fuentedeprrafopredeter"/>
    <w:uiPriority w:val="32"/>
    <w:qFormat/>
    <w:rsid w:val="001D1817"/>
    <w:rPr>
      <w:b/>
      <w:bCs/>
      <w:smallCaps/>
      <w:color w:val="2F5496" w:themeColor="accent1" w:themeShade="BF"/>
      <w:spacing w:val="5"/>
    </w:rPr>
  </w:style>
  <w:style w:type="paragraph" w:styleId="Encabezado">
    <w:name w:val="header"/>
    <w:basedOn w:val="Normal"/>
    <w:link w:val="EncabezadoCar"/>
    <w:uiPriority w:val="99"/>
    <w:unhideWhenUsed/>
    <w:rsid w:val="001D181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D1817"/>
    <w:rPr>
      <w:kern w:val="0"/>
      <w14:ligatures w14:val="none"/>
    </w:rPr>
  </w:style>
  <w:style w:type="paragraph" w:styleId="Piedepgina">
    <w:name w:val="footer"/>
    <w:basedOn w:val="Normal"/>
    <w:link w:val="PiedepginaCar"/>
    <w:uiPriority w:val="99"/>
    <w:unhideWhenUsed/>
    <w:rsid w:val="001D181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D1817"/>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D181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D1817"/>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D1817"/>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1D1817"/>
    <w:rPr>
      <w:vertAlign w:val="superscript"/>
    </w:rPr>
  </w:style>
  <w:style w:type="character" w:customStyle="1" w:styleId="normaltextrun">
    <w:name w:val="normaltextrun"/>
    <w:basedOn w:val="Fuentedeprrafopredeter"/>
    <w:rsid w:val="001D1817"/>
  </w:style>
  <w:style w:type="table" w:styleId="Tablaconcuadrcula">
    <w:name w:val="Table Grid"/>
    <w:basedOn w:val="Tablanormal"/>
    <w:uiPriority w:val="39"/>
    <w:qFormat/>
    <w:rsid w:val="001D181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D1817"/>
    <w:rPr>
      <w:color w:val="0000FF"/>
      <w:u w:val="single"/>
    </w:rPr>
  </w:style>
  <w:style w:type="paragraph" w:customStyle="1" w:styleId="paragraph">
    <w:name w:val="paragraph"/>
    <w:basedOn w:val="Normal"/>
    <w:rsid w:val="001D181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1D1817"/>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D1817"/>
  </w:style>
  <w:style w:type="paragraph" w:styleId="Textoindependiente">
    <w:name w:val="Body Text"/>
    <w:basedOn w:val="Normal"/>
    <w:link w:val="TextoindependienteCar"/>
    <w:uiPriority w:val="99"/>
    <w:unhideWhenUsed/>
    <w:rsid w:val="001D1817"/>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1D1817"/>
    <w:rPr>
      <w:rFonts w:eastAsiaTheme="minorEastAsia"/>
      <w:kern w:val="0"/>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losjulio.contrerasmarin@gmail.com" TargetMode="Externa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2.png"/><Relationship Id="rId12"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dpej.rae.es/lema/asesor%C3%ADa"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www.colombiacompra.gov.co/normativa-y-relatoria/documentos-tipo" TargetMode="Externa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normativa-y-relatoria/documentos-tipo" TargetMode="External"/><Relationship Id="rId2" Type="http://schemas.openxmlformats.org/officeDocument/2006/relationships/hyperlink" Target="https://dpej.rae.es/lema/asesor%C3%ADa" TargetMode="External"/><Relationship Id="rId1" Type="http://schemas.openxmlformats.org/officeDocument/2006/relationships/hyperlink" Target="https://www.rae.es/drae2001/consulto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CEE339C-C2FF-46A0-9728-9AFDC61333E4}"/>
</file>

<file path=customXml/itemProps2.xml><?xml version="1.0" encoding="utf-8"?>
<ds:datastoreItem xmlns:ds="http://schemas.openxmlformats.org/officeDocument/2006/customXml" ds:itemID="{DA653A28-65CC-4BE0-9108-37D195E44C41}"/>
</file>

<file path=customXml/itemProps3.xml><?xml version="1.0" encoding="utf-8"?>
<ds:datastoreItem xmlns:ds="http://schemas.openxmlformats.org/officeDocument/2006/customXml" ds:itemID="{6359AD01-5A0F-40B5-BA41-A2B31DCDD57D}"/>
</file>

<file path=docProps/app.xml><?xml version="1.0" encoding="utf-8"?>
<Properties xmlns="http://schemas.openxmlformats.org/officeDocument/2006/extended-properties" xmlns:vt="http://schemas.openxmlformats.org/officeDocument/2006/docPropsVTypes">
  <Template>Normal</Template>
  <TotalTime>87</TotalTime>
  <Pages>16</Pages>
  <Words>5037</Words>
  <Characters>28890</Characters>
  <Application>Microsoft Office Word</Application>
  <DocSecurity>0</DocSecurity>
  <Lines>588</Lines>
  <Paragraphs>109</Paragraphs>
  <ScaleCrop>false</ScaleCrop>
  <Company/>
  <LinksUpToDate>false</LinksUpToDate>
  <CharactersWithSpaces>33891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7</cp:revision>
  <dcterms:created xsi:type="dcterms:W3CDTF">2025-10-15T00:28:00Z</dcterms:created>
  <dcterms:modified xsi:type="dcterms:W3CDTF">2025-10-21T18:39:00Z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