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0D272" w14:textId="77777777" w:rsidR="00F4269D" w:rsidRPr="00F4269D" w:rsidRDefault="00F4269D" w:rsidP="00F4269D">
      <w:pPr>
        <w:jc w:val="both"/>
        <w:rPr>
          <w:rFonts w:ascii="Verdana" w:eastAsia="Calibri" w:hAnsi="Verdana" w:cs="Arial"/>
          <w:b/>
          <w:color w:val="000000" w:themeColor="text1"/>
          <w:lang w:val="es-MX" w:eastAsia="es-ES"/>
        </w:rPr>
      </w:pPr>
      <w:bookmarkStart w:id="0" w:name="_Hlk143780582"/>
      <w:r w:rsidRPr="00F4269D">
        <w:rPr>
          <w:rFonts w:ascii="Verdana" w:eastAsia="Calibri" w:hAnsi="Verdana" w:cs="Arial"/>
          <w:b/>
          <w:color w:val="000000" w:themeColor="text1"/>
          <w:lang w:val="es-MX" w:eastAsia="es-ES"/>
        </w:rPr>
        <w:t xml:space="preserve">DEFINICIÓN DE LA SITUACIÓN MILITAR – Verificación - </w:t>
      </w:r>
      <w:r w:rsidRPr="00F4269D">
        <w:rPr>
          <w:rFonts w:ascii="Verdana" w:eastAsia="Calibri" w:hAnsi="Verdana" w:cs="Arial"/>
          <w:b/>
          <w:lang w:val="es-ES" w:eastAsia="es-ES"/>
        </w:rPr>
        <w:t xml:space="preserve">Contratos de prestación de servicios </w:t>
      </w:r>
    </w:p>
    <w:p w14:paraId="51C9275F" w14:textId="6AA20CF5" w:rsidR="00F4269D" w:rsidRDefault="00F4269D" w:rsidP="00F4269D">
      <w:pPr>
        <w:jc w:val="both"/>
        <w:rPr>
          <w:rFonts w:ascii="Verdana" w:eastAsia="Calibri" w:hAnsi="Verdana" w:cs="Arial"/>
          <w:bCs/>
          <w:color w:val="000000" w:themeColor="text1"/>
          <w:lang w:val="es-MX" w:eastAsia="es-ES"/>
        </w:rPr>
      </w:pPr>
      <w:r>
        <w:rPr>
          <w:rFonts w:ascii="Verdana" w:hAnsi="Verdana"/>
        </w:rPr>
        <w:t>e</w:t>
      </w:r>
      <w:r w:rsidRPr="00D6538D">
        <w:rPr>
          <w:rFonts w:ascii="Verdana" w:hAnsi="Verdana"/>
        </w:rPr>
        <w:t xml:space="preserve">l artículo 42 de la Ley 1861 de 2017 dispone en su primer inciso que la situación militar se deberá acreditar en tres eventos: i) para ejercer cargos públicos, </w:t>
      </w:r>
      <w:proofErr w:type="spellStart"/>
      <w:r w:rsidRPr="00D6538D">
        <w:rPr>
          <w:rFonts w:ascii="Verdana" w:hAnsi="Verdana"/>
        </w:rPr>
        <w:t>ii</w:t>
      </w:r>
      <w:proofErr w:type="spellEnd"/>
      <w:r w:rsidRPr="00D6538D">
        <w:rPr>
          <w:rFonts w:ascii="Verdana" w:hAnsi="Verdana"/>
        </w:rPr>
        <w:t xml:space="preserve">) trabajar en el sector privado y </w:t>
      </w:r>
      <w:proofErr w:type="spellStart"/>
      <w:r w:rsidRPr="00D6538D">
        <w:rPr>
          <w:rFonts w:ascii="Verdana" w:hAnsi="Verdana"/>
        </w:rPr>
        <w:t>iii</w:t>
      </w:r>
      <w:proofErr w:type="spellEnd"/>
      <w:r w:rsidRPr="00D6538D">
        <w:rPr>
          <w:rFonts w:ascii="Verdana" w:hAnsi="Verdana"/>
        </w:rPr>
        <w:t>) celebrar contratos de prestación de servicios como persona natural con cualquier entidad de derecho público. De esta manera, se concluye prima facie que, para la celebración de contratos de prestación de servicios con personas naturales, resulta obligatorio que se acredite definida la situación militar</w:t>
      </w:r>
      <w:r>
        <w:rPr>
          <w:rFonts w:ascii="Verdana" w:hAnsi="Verdana"/>
        </w:rPr>
        <w:t xml:space="preserve"> […]</w:t>
      </w:r>
    </w:p>
    <w:p w14:paraId="48C1A4D1" w14:textId="42765C8B" w:rsidR="00F4269D" w:rsidRPr="00F4269D" w:rsidRDefault="00F4269D" w:rsidP="00F4269D">
      <w:pPr>
        <w:jc w:val="both"/>
        <w:rPr>
          <w:rFonts w:ascii="Verdana" w:eastAsia="Calibri" w:hAnsi="Verdana" w:cs="Arial"/>
          <w:b/>
          <w:lang w:val="es-ES" w:eastAsia="es-ES"/>
        </w:rPr>
      </w:pPr>
      <w:r w:rsidRPr="00F4269D">
        <w:rPr>
          <w:rFonts w:ascii="Verdana" w:eastAsia="Calibri" w:hAnsi="Verdana" w:cs="Arial"/>
          <w:b/>
          <w:color w:val="000000" w:themeColor="text1"/>
          <w:lang w:val="es-MX" w:eastAsia="es-ES"/>
        </w:rPr>
        <w:t xml:space="preserve">ACREDITACIÓN DE LA SITUACIÓN MILITAR – Exigibilidad – Personas naturales </w:t>
      </w:r>
      <w:r w:rsidRPr="00F4269D">
        <w:rPr>
          <w:rFonts w:ascii="Verdana" w:eastAsia="Calibri" w:hAnsi="Verdana" w:cs="Arial"/>
          <w:b/>
          <w:lang w:val="es-ES" w:eastAsia="es-ES"/>
        </w:rPr>
        <w:t xml:space="preserve">- Medios de prueba </w:t>
      </w:r>
    </w:p>
    <w:p w14:paraId="5177C7AC" w14:textId="470F0E38" w:rsidR="00F4269D" w:rsidRPr="00835BA5" w:rsidRDefault="00F4269D" w:rsidP="00F4269D">
      <w:pPr>
        <w:spacing w:after="0" w:line="276" w:lineRule="auto"/>
        <w:ind w:right="49"/>
        <w:jc w:val="both"/>
        <w:rPr>
          <w:rFonts w:ascii="Verdana" w:hAnsi="Verdana"/>
        </w:rPr>
      </w:pPr>
      <w:r w:rsidRPr="00835BA5">
        <w:rPr>
          <w:rFonts w:ascii="Verdana" w:hAnsi="Verdana"/>
        </w:rPr>
        <w:t>la Circular Externa Única expedida por la Agencia Nacional de Contratación Pública – Colombia Compra Eficiente señaló que es deber de las Entidades Públicas verificar que la situación militar del futuro contratista se encuentre definida para efectos de la celebración del contrato de prestación de servicios. Adicionalmente, concluyo que:</w:t>
      </w:r>
    </w:p>
    <w:p w14:paraId="7B33E5ED" w14:textId="77777777" w:rsidR="00F4269D" w:rsidRPr="00835BA5" w:rsidRDefault="00F4269D" w:rsidP="00F4269D">
      <w:pPr>
        <w:spacing w:after="0" w:line="276" w:lineRule="auto"/>
        <w:ind w:left="142" w:right="49" w:firstLine="567"/>
        <w:jc w:val="both"/>
        <w:rPr>
          <w:rFonts w:ascii="Verdana" w:hAnsi="Verdana"/>
        </w:rPr>
      </w:pPr>
    </w:p>
    <w:p w14:paraId="1108AA24" w14:textId="77777777" w:rsidR="00F4269D" w:rsidRPr="00835BA5" w:rsidRDefault="00F4269D" w:rsidP="00F4269D">
      <w:pPr>
        <w:spacing w:after="0" w:line="276" w:lineRule="auto"/>
        <w:ind w:left="709" w:right="709"/>
        <w:jc w:val="both"/>
        <w:rPr>
          <w:rFonts w:ascii="Verdana" w:hAnsi="Verdana"/>
          <w:sz w:val="20"/>
          <w:szCs w:val="20"/>
        </w:rPr>
      </w:pPr>
      <w:r>
        <w:rPr>
          <w:rFonts w:ascii="Verdana" w:hAnsi="Verdana"/>
          <w:sz w:val="20"/>
          <w:szCs w:val="20"/>
        </w:rPr>
        <w:t>“</w:t>
      </w:r>
      <w:r w:rsidRPr="00835BA5">
        <w:rPr>
          <w:rFonts w:ascii="Verdana" w:hAnsi="Verdana"/>
          <w:sz w:val="20"/>
          <w:szCs w:val="20"/>
        </w:rPr>
        <w:t xml:space="preserve">los ciudadanos que pretendan suscribir un contrato de prestación de servicios con una Entidad Estatal podrán acreditar su situación militar de la siguiente manera: i) copia de la libreta militar; o </w:t>
      </w:r>
      <w:proofErr w:type="spellStart"/>
      <w:r w:rsidRPr="00835BA5">
        <w:rPr>
          <w:rFonts w:ascii="Verdana" w:hAnsi="Verdana"/>
          <w:sz w:val="20"/>
          <w:szCs w:val="20"/>
        </w:rPr>
        <w:t>ii</w:t>
      </w:r>
      <w:proofErr w:type="spellEnd"/>
      <w:r w:rsidRPr="00835BA5">
        <w:rPr>
          <w:rFonts w:ascii="Verdana" w:hAnsi="Verdana"/>
          <w:sz w:val="20"/>
          <w:szCs w:val="20"/>
        </w:rPr>
        <w:t xml:space="preserve">) certificación provisional en línea la cual acreditará que su situación militar se encuentra en trámite; o </w:t>
      </w:r>
      <w:proofErr w:type="spellStart"/>
      <w:r w:rsidRPr="00835BA5">
        <w:rPr>
          <w:rFonts w:ascii="Verdana" w:hAnsi="Verdana"/>
          <w:sz w:val="20"/>
          <w:szCs w:val="20"/>
        </w:rPr>
        <w:t>iii</w:t>
      </w:r>
      <w:proofErr w:type="spellEnd"/>
      <w:r w:rsidRPr="00835BA5">
        <w:rPr>
          <w:rFonts w:ascii="Verdana" w:hAnsi="Verdana"/>
          <w:sz w:val="20"/>
          <w:szCs w:val="20"/>
        </w:rPr>
        <w:t xml:space="preserve">) declaración juramentada, en la que el ciudadano manifiesta que ha realizado las actuaciones tendientes a definir su situación militar –esta puede materializarse en virtud del principio constitucional de buena fe a través de cualquier documento que allegue el ciudadano con la respectiva declaración o, incluso a través de formatos estandarizados por la Entidad Estatal para dicho fin–; o </w:t>
      </w:r>
      <w:proofErr w:type="spellStart"/>
      <w:r w:rsidRPr="00835BA5">
        <w:rPr>
          <w:rFonts w:ascii="Verdana" w:hAnsi="Verdana"/>
          <w:sz w:val="20"/>
          <w:szCs w:val="20"/>
        </w:rPr>
        <w:t>iv</w:t>
      </w:r>
      <w:proofErr w:type="spellEnd"/>
      <w:r w:rsidRPr="00835BA5">
        <w:rPr>
          <w:rFonts w:ascii="Verdana" w:hAnsi="Verdana"/>
          <w:sz w:val="20"/>
          <w:szCs w:val="20"/>
        </w:rPr>
        <w:t>) cualquier otro medio de prueba que resulte conducente para demostrar que la persona con la que se va a suscribir el contrato es beneficiario de la prerrogativa establecida en el artículo 42 de la Ley 1861 de 2017 y ha adelantado actuaciones tendientes a definir su situación militar.</w:t>
      </w:r>
    </w:p>
    <w:p w14:paraId="78629FC5" w14:textId="77777777" w:rsidR="00F4269D" w:rsidRDefault="00F4269D" w:rsidP="00DC37EE">
      <w:pPr>
        <w:spacing w:after="0" w:line="240" w:lineRule="auto"/>
        <w:rPr>
          <w:rFonts w:ascii="Verdana" w:hAnsi="Verdana"/>
        </w:rPr>
      </w:pPr>
    </w:p>
    <w:p w14:paraId="3CA2DC8B" w14:textId="681E0188" w:rsidR="00F4269D" w:rsidRDefault="00F4269D" w:rsidP="00DC37EE">
      <w:pPr>
        <w:spacing w:after="0" w:line="240" w:lineRule="auto"/>
        <w:rPr>
          <w:rFonts w:ascii="Verdana" w:hAnsi="Verdana"/>
        </w:rPr>
      </w:pPr>
      <w:r>
        <w:rPr>
          <w:rFonts w:ascii="Verdana" w:hAnsi="Verdana"/>
        </w:rPr>
        <w:t>[…]</w:t>
      </w:r>
    </w:p>
    <w:p w14:paraId="6F4A0B62" w14:textId="77777777" w:rsidR="00F4269D" w:rsidRDefault="00F4269D" w:rsidP="00DC37EE">
      <w:pPr>
        <w:spacing w:after="0" w:line="240" w:lineRule="auto"/>
        <w:rPr>
          <w:rFonts w:ascii="Verdana" w:hAnsi="Verdana"/>
        </w:rPr>
      </w:pPr>
    </w:p>
    <w:p w14:paraId="4C54162D" w14:textId="77777777" w:rsidR="00F4269D" w:rsidRDefault="00F4269D" w:rsidP="00DC37EE">
      <w:pPr>
        <w:spacing w:after="0" w:line="240" w:lineRule="auto"/>
        <w:rPr>
          <w:rFonts w:ascii="Verdana" w:hAnsi="Verdana"/>
        </w:rPr>
      </w:pPr>
    </w:p>
    <w:p w14:paraId="444DB4E5" w14:textId="77777777" w:rsidR="00F4269D" w:rsidRDefault="00F4269D" w:rsidP="00DC37EE">
      <w:pPr>
        <w:spacing w:after="0" w:line="240" w:lineRule="auto"/>
        <w:rPr>
          <w:rFonts w:ascii="Verdana" w:hAnsi="Verdana"/>
        </w:rPr>
      </w:pPr>
    </w:p>
    <w:p w14:paraId="48E8BB84" w14:textId="77777777" w:rsidR="00F4269D" w:rsidRDefault="00F4269D" w:rsidP="00DC37EE">
      <w:pPr>
        <w:spacing w:after="0" w:line="240" w:lineRule="auto"/>
        <w:rPr>
          <w:rFonts w:ascii="Verdana" w:hAnsi="Verdana"/>
        </w:rPr>
      </w:pPr>
    </w:p>
    <w:p w14:paraId="61DE22A0" w14:textId="77777777" w:rsidR="00F4269D" w:rsidRDefault="00F4269D" w:rsidP="00DC37EE">
      <w:pPr>
        <w:spacing w:after="0" w:line="240" w:lineRule="auto"/>
        <w:rPr>
          <w:rFonts w:ascii="Verdana" w:hAnsi="Verdana"/>
        </w:rPr>
      </w:pPr>
    </w:p>
    <w:p w14:paraId="3FE2184B" w14:textId="179C618A" w:rsidR="00E245AB" w:rsidRPr="0044528D" w:rsidRDefault="00F4269D" w:rsidP="00DC37EE">
      <w:pPr>
        <w:spacing w:after="0" w:line="240" w:lineRule="auto"/>
        <w:rPr>
          <w:rFonts w:ascii="Verdana" w:hAnsi="Verdana"/>
        </w:rPr>
      </w:pPr>
      <w:r>
        <w:rPr>
          <w:rFonts w:ascii="Verdana" w:eastAsia="Calibri" w:hAnsi="Verdana" w:cs="Arial"/>
          <w:noProof/>
          <w:lang w:val="es-ES" w:eastAsia="es-ES"/>
        </w:rPr>
        <w:lastRenderedPageBreak/>
        <w:drawing>
          <wp:anchor distT="0" distB="0" distL="114300" distR="114300" simplePos="0" relativeHeight="251658240" behindDoc="0" locked="0" layoutInCell="1" allowOverlap="1" wp14:anchorId="5B58428E" wp14:editId="574877D9">
            <wp:simplePos x="0" y="0"/>
            <wp:positionH relativeFrom="column">
              <wp:posOffset>3109705</wp:posOffset>
            </wp:positionH>
            <wp:positionV relativeFrom="paragraph">
              <wp:posOffset>21672</wp:posOffset>
            </wp:positionV>
            <wp:extent cx="2391852" cy="711555"/>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0">
                      <a:extLst>
                        <a:ext uri="{28A0092B-C50C-407E-A947-70E740481C1C}">
                          <a14:useLocalDpi xmlns:a14="http://schemas.microsoft.com/office/drawing/2010/main" val="0"/>
                        </a:ext>
                      </a:extLst>
                    </a:blip>
                    <a:stretch>
                      <a:fillRect/>
                    </a:stretch>
                  </pic:blipFill>
                  <pic:spPr>
                    <a:xfrm>
                      <a:off x="0" y="0"/>
                      <a:ext cx="2391852" cy="711555"/>
                    </a:xfrm>
                    <a:prstGeom prst="rect">
                      <a:avLst/>
                    </a:prstGeom>
                  </pic:spPr>
                </pic:pic>
              </a:graphicData>
            </a:graphic>
            <wp14:sizeRelH relativeFrom="page">
              <wp14:pctWidth>0</wp14:pctWidth>
            </wp14:sizeRelH>
            <wp14:sizeRelV relativeFrom="page">
              <wp14:pctHeight>0</wp14:pctHeight>
            </wp14:sizeRelV>
          </wp:anchor>
        </w:drawing>
      </w:r>
      <w:r w:rsidR="00897A3A" w:rsidRPr="0044528D">
        <w:rPr>
          <w:rFonts w:ascii="Verdana" w:hAnsi="Verdana"/>
        </w:rPr>
        <w:t xml:space="preserve">Bogotá D.C., </w:t>
      </w:r>
      <w:r>
        <w:rPr>
          <w:rFonts w:ascii="Verdana" w:hAnsi="Verdana"/>
        </w:rPr>
        <w:t xml:space="preserve">15 </w:t>
      </w:r>
      <w:proofErr w:type="gramStart"/>
      <w:r>
        <w:rPr>
          <w:rFonts w:ascii="Verdana" w:hAnsi="Verdana"/>
        </w:rPr>
        <w:t>Octubre</w:t>
      </w:r>
      <w:proofErr w:type="gramEnd"/>
      <w:r>
        <w:rPr>
          <w:rFonts w:ascii="Verdana" w:hAnsi="Verdana"/>
        </w:rPr>
        <w:t xml:space="preserve"> 2025</w:t>
      </w:r>
      <w:r w:rsidR="00891928" w:rsidRPr="0044528D">
        <w:rPr>
          <w:rFonts w:ascii="Verdana" w:hAnsi="Verdana"/>
        </w:rPr>
        <w:tab/>
      </w:r>
    </w:p>
    <w:p w14:paraId="5FCADBF9" w14:textId="00A4B9E0" w:rsidR="00E245AB" w:rsidRDefault="00E245AB" w:rsidP="00DC37EE">
      <w:pPr>
        <w:spacing w:after="0" w:line="240" w:lineRule="auto"/>
        <w:rPr>
          <w:rFonts w:ascii="Verdana" w:hAnsi="Verdana"/>
        </w:rPr>
      </w:pPr>
    </w:p>
    <w:p w14:paraId="04F75434" w14:textId="197D93CD" w:rsidR="00020783" w:rsidRDefault="00020783" w:rsidP="00020783">
      <w:pPr>
        <w:spacing w:after="0" w:line="240" w:lineRule="auto"/>
        <w:jc w:val="both"/>
        <w:rPr>
          <w:rFonts w:ascii="Verdana" w:eastAsia="Calibri" w:hAnsi="Verdana" w:cs="Arial"/>
          <w:lang w:val="es-ES" w:eastAsia="es-ES"/>
        </w:rPr>
      </w:pPr>
      <w:bookmarkStart w:id="1" w:name="_Hlk208479311"/>
      <w:r>
        <w:rPr>
          <w:rFonts w:ascii="Verdana" w:eastAsia="Calibri" w:hAnsi="Verdana" w:cs="Arial"/>
          <w:lang w:val="es-ES" w:eastAsia="es-ES"/>
        </w:rPr>
        <w:t>Señor</w:t>
      </w:r>
    </w:p>
    <w:p w14:paraId="1F661507" w14:textId="77777777" w:rsidR="00020783" w:rsidRDefault="00020783" w:rsidP="00020783">
      <w:pPr>
        <w:spacing w:after="0" w:line="240" w:lineRule="auto"/>
        <w:rPr>
          <w:rFonts w:ascii="Verdana" w:eastAsia="Calibri" w:hAnsi="Verdana" w:cs="Arial"/>
          <w:b/>
          <w:lang w:val="es-ES" w:eastAsia="es-ES"/>
        </w:rPr>
      </w:pPr>
      <w:r>
        <w:rPr>
          <w:rFonts w:ascii="Verdana" w:eastAsia="Calibri" w:hAnsi="Verdana" w:cs="Arial"/>
          <w:b/>
          <w:lang w:val="es-ES" w:eastAsia="es-ES"/>
        </w:rPr>
        <w:t xml:space="preserve">Luis </w:t>
      </w:r>
      <w:proofErr w:type="spellStart"/>
      <w:r>
        <w:rPr>
          <w:rFonts w:ascii="Verdana" w:eastAsia="Calibri" w:hAnsi="Verdana" w:cs="Arial"/>
          <w:b/>
          <w:lang w:val="es-ES" w:eastAsia="es-ES"/>
        </w:rPr>
        <w:t>Mogollon</w:t>
      </w:r>
      <w:proofErr w:type="spellEnd"/>
      <w:r>
        <w:rPr>
          <w:rFonts w:ascii="Verdana" w:eastAsia="Calibri" w:hAnsi="Verdana" w:cs="Arial"/>
          <w:b/>
          <w:lang w:val="es-ES" w:eastAsia="es-ES"/>
        </w:rPr>
        <w:t xml:space="preserve"> </w:t>
      </w:r>
      <w:proofErr w:type="spellStart"/>
      <w:r>
        <w:rPr>
          <w:rFonts w:ascii="Verdana" w:eastAsia="Calibri" w:hAnsi="Verdana" w:cs="Arial"/>
          <w:b/>
          <w:lang w:val="es-ES" w:eastAsia="es-ES"/>
        </w:rPr>
        <w:t>Behaine</w:t>
      </w:r>
      <w:proofErr w:type="spellEnd"/>
    </w:p>
    <w:p w14:paraId="2A41619F" w14:textId="77777777" w:rsidR="00020783" w:rsidRPr="00C53B42" w:rsidRDefault="00020783" w:rsidP="00020783">
      <w:pPr>
        <w:spacing w:after="0" w:line="240" w:lineRule="auto"/>
        <w:rPr>
          <w:rFonts w:ascii="Verdana" w:hAnsi="Verdana" w:cs="ArialMT"/>
        </w:rPr>
      </w:pPr>
      <w:hyperlink r:id="rId11" w:history="1">
        <w:r w:rsidRPr="00473CC9">
          <w:rPr>
            <w:rStyle w:val="Hipervnculo"/>
            <w:rFonts w:ascii="Verdana" w:hAnsi="Verdana" w:cs="ArialMT"/>
          </w:rPr>
          <w:t>luismogollon20@hotmail.com</w:t>
        </w:r>
      </w:hyperlink>
      <w:r w:rsidRPr="00473CC9">
        <w:rPr>
          <w:rFonts w:ascii="Verdana" w:hAnsi="Verdana" w:cs="ArialMT"/>
        </w:rPr>
        <w:t xml:space="preserve">   </w:t>
      </w:r>
    </w:p>
    <w:bookmarkEnd w:id="1"/>
    <w:p w14:paraId="294ACD75" w14:textId="77777777" w:rsidR="00020783" w:rsidRPr="00867EB5" w:rsidRDefault="00020783" w:rsidP="00020783">
      <w:pPr>
        <w:spacing w:after="0" w:line="240" w:lineRule="auto"/>
        <w:rPr>
          <w:rFonts w:ascii="Verdana" w:hAnsi="Verdana" w:cs="ArialMT"/>
        </w:rPr>
      </w:pPr>
      <w:r w:rsidRPr="00867EB5">
        <w:rPr>
          <w:rFonts w:ascii="Verdana" w:eastAsia="Calibri" w:hAnsi="Verdana" w:cs="Arial"/>
          <w:lang w:val="es-ES" w:eastAsia="es-ES"/>
        </w:rPr>
        <w:t>Bogotá D.C.</w:t>
      </w:r>
    </w:p>
    <w:p w14:paraId="35B8B9ED" w14:textId="77777777" w:rsidR="00020783" w:rsidRPr="00C114AA" w:rsidRDefault="00020783" w:rsidP="00020783">
      <w:pPr>
        <w:spacing w:after="0" w:line="240" w:lineRule="auto"/>
        <w:rPr>
          <w:rFonts w:ascii="Verdana" w:eastAsia="Calibri" w:hAnsi="Verdana" w:cs="Arial"/>
          <w:b/>
          <w:bCs/>
          <w:color w:val="000000"/>
          <w:highlight w:val="yellow"/>
          <w:lang w:val="es-ES_tradnl" w:eastAsia="es-ES_tradnl"/>
        </w:rPr>
      </w:pPr>
    </w:p>
    <w:p w14:paraId="0AC18A53" w14:textId="77777777" w:rsidR="00020783" w:rsidRPr="00C114AA" w:rsidRDefault="00020783" w:rsidP="00020783">
      <w:pPr>
        <w:spacing w:after="0" w:line="240" w:lineRule="auto"/>
        <w:rPr>
          <w:rFonts w:ascii="Verdana" w:eastAsia="Calibri" w:hAnsi="Verdana" w:cs="Arial"/>
          <w:b/>
          <w:bCs/>
          <w:color w:val="000000"/>
          <w:highlight w:val="yellow"/>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20783" w:rsidRPr="00C114AA" w14:paraId="43AC0ED2" w14:textId="77777777" w:rsidTr="00624D01">
        <w:trPr>
          <w:trHeight w:val="218"/>
        </w:trPr>
        <w:tc>
          <w:tcPr>
            <w:tcW w:w="2689" w:type="dxa"/>
          </w:tcPr>
          <w:p w14:paraId="3DE441BB" w14:textId="77777777" w:rsidR="00020783" w:rsidRPr="00C114AA" w:rsidRDefault="00020783" w:rsidP="00624D01">
            <w:pPr>
              <w:jc w:val="both"/>
              <w:rPr>
                <w:rFonts w:ascii="Verdana" w:eastAsia="Calibri" w:hAnsi="Verdana" w:cs="Arial"/>
                <w:b/>
                <w:bCs/>
                <w:color w:val="7030A0"/>
                <w:highlight w:val="yellow"/>
                <w:lang w:val="es-ES_tradnl" w:eastAsia="es-ES_tradnl"/>
              </w:rPr>
            </w:pPr>
          </w:p>
        </w:tc>
        <w:tc>
          <w:tcPr>
            <w:tcW w:w="6100" w:type="dxa"/>
            <w:hideMark/>
          </w:tcPr>
          <w:p w14:paraId="78BA89E2" w14:textId="77777777" w:rsidR="00020783" w:rsidRDefault="00020783" w:rsidP="00624D01">
            <w:pPr>
              <w:jc w:val="both"/>
              <w:rPr>
                <w:rFonts w:ascii="Verdana" w:eastAsia="Calibri" w:hAnsi="Verdana" w:cs="Arial"/>
                <w:b/>
                <w:bCs/>
                <w:lang w:val="es-ES" w:eastAsia="es-ES"/>
              </w:rPr>
            </w:pPr>
            <w:r w:rsidRPr="00867EB5">
              <w:rPr>
                <w:rFonts w:ascii="Verdana" w:eastAsia="Calibri" w:hAnsi="Verdana" w:cs="Arial"/>
                <w:b/>
                <w:bCs/>
                <w:lang w:val="es-ES" w:eastAsia="es-ES"/>
              </w:rPr>
              <w:t>Concepto C-1269 de 2025</w:t>
            </w:r>
          </w:p>
          <w:p w14:paraId="263B1547" w14:textId="77777777" w:rsidR="00020783" w:rsidRPr="00C114AA" w:rsidRDefault="00020783" w:rsidP="00624D01">
            <w:pPr>
              <w:jc w:val="both"/>
              <w:rPr>
                <w:rFonts w:ascii="Verdana" w:eastAsia="Calibri" w:hAnsi="Verdana" w:cs="Arial"/>
                <w:b/>
                <w:bCs/>
                <w:highlight w:val="yellow"/>
                <w:lang w:val="es-ES" w:eastAsia="es-ES"/>
              </w:rPr>
            </w:pPr>
          </w:p>
        </w:tc>
      </w:tr>
      <w:tr w:rsidR="00020783" w:rsidRPr="00C114AA" w14:paraId="320623B9" w14:textId="77777777" w:rsidTr="00624D01">
        <w:trPr>
          <w:trHeight w:val="884"/>
        </w:trPr>
        <w:tc>
          <w:tcPr>
            <w:tcW w:w="2689" w:type="dxa"/>
            <w:hideMark/>
          </w:tcPr>
          <w:p w14:paraId="3AC179D0" w14:textId="77777777" w:rsidR="00020783" w:rsidRPr="00867EB5" w:rsidRDefault="00020783" w:rsidP="00624D01">
            <w:pPr>
              <w:jc w:val="both"/>
              <w:rPr>
                <w:rFonts w:ascii="Verdana" w:eastAsia="Calibri" w:hAnsi="Verdana" w:cs="Arial"/>
                <w:color w:val="000000"/>
                <w:lang w:val="es-ES_tradnl" w:eastAsia="es-ES_tradnl"/>
              </w:rPr>
            </w:pPr>
            <w:r w:rsidRPr="00867EB5">
              <w:rPr>
                <w:rFonts w:ascii="Verdana" w:eastAsia="Calibri" w:hAnsi="Verdana" w:cs="Arial"/>
                <w:b/>
                <w:color w:val="000000"/>
                <w:lang w:val="es-ES_tradnl" w:eastAsia="es-ES_tradnl"/>
              </w:rPr>
              <w:t>Temas:</w:t>
            </w:r>
            <w:r w:rsidRPr="00867EB5">
              <w:rPr>
                <w:rFonts w:ascii="Verdana" w:eastAsia="Calibri" w:hAnsi="Verdana" w:cs="Arial"/>
                <w:color w:val="000000"/>
                <w:lang w:val="es-ES_tradnl" w:eastAsia="es-ES_tradnl"/>
              </w:rPr>
              <w:t xml:space="preserve">                   </w:t>
            </w:r>
          </w:p>
        </w:tc>
        <w:tc>
          <w:tcPr>
            <w:tcW w:w="6100" w:type="dxa"/>
            <w:hideMark/>
          </w:tcPr>
          <w:p w14:paraId="2B6AED24" w14:textId="77777777" w:rsidR="00020783" w:rsidRDefault="00020783" w:rsidP="00624D01">
            <w:pPr>
              <w:jc w:val="both"/>
              <w:rPr>
                <w:rFonts w:ascii="Verdana" w:eastAsia="Calibri" w:hAnsi="Verdana" w:cs="Arial"/>
                <w:lang w:val="es-ES" w:eastAsia="es-ES"/>
              </w:rPr>
            </w:pPr>
            <w:r w:rsidRPr="00867EB5">
              <w:rPr>
                <w:rFonts w:ascii="Verdana" w:eastAsia="Calibri" w:hAnsi="Verdana" w:cs="Arial"/>
                <w:bCs/>
                <w:color w:val="000000" w:themeColor="text1"/>
                <w:lang w:val="es-MX" w:eastAsia="es-ES"/>
              </w:rPr>
              <w:t xml:space="preserve">DEFINICIÓN DE LA SITUACIÓN MILITAR – Verificación - </w:t>
            </w:r>
            <w:r w:rsidRPr="00867EB5">
              <w:rPr>
                <w:rFonts w:ascii="Verdana" w:eastAsia="Calibri" w:hAnsi="Verdana" w:cs="Arial"/>
                <w:lang w:val="es-ES" w:eastAsia="es-ES"/>
              </w:rPr>
              <w:t xml:space="preserve">Contratos de prestación de servicios </w:t>
            </w:r>
            <w:r w:rsidRPr="00867EB5">
              <w:rPr>
                <w:rFonts w:ascii="Verdana" w:eastAsia="Calibri" w:hAnsi="Verdana" w:cs="Arial"/>
                <w:bCs/>
                <w:color w:val="000000" w:themeColor="text1"/>
                <w:lang w:val="es-MX" w:eastAsia="es-ES"/>
              </w:rPr>
              <w:t xml:space="preserve">/ ACREDITACIÓN DE LA SITUACIÓN MILITAR – Exigibilidad – Personas naturales </w:t>
            </w:r>
            <w:r w:rsidRPr="00867EB5">
              <w:rPr>
                <w:rFonts w:ascii="Verdana" w:eastAsia="Calibri" w:hAnsi="Verdana" w:cs="Arial"/>
                <w:lang w:val="es-ES" w:eastAsia="es-ES"/>
              </w:rPr>
              <w:t xml:space="preserve">- Medios de prueba </w:t>
            </w:r>
          </w:p>
          <w:p w14:paraId="7EDAFC18" w14:textId="77777777" w:rsidR="00020783" w:rsidRPr="00867EB5" w:rsidRDefault="00020783" w:rsidP="00624D01">
            <w:pPr>
              <w:jc w:val="both"/>
              <w:rPr>
                <w:rFonts w:ascii="Verdana" w:eastAsia="Calibri" w:hAnsi="Verdana" w:cs="Arial"/>
                <w:lang w:val="es-ES" w:eastAsia="es-ES"/>
              </w:rPr>
            </w:pPr>
          </w:p>
        </w:tc>
      </w:tr>
      <w:tr w:rsidR="00020783" w14:paraId="5529BADB" w14:textId="77777777" w:rsidTr="00624D01">
        <w:tc>
          <w:tcPr>
            <w:tcW w:w="2689" w:type="dxa"/>
            <w:hideMark/>
          </w:tcPr>
          <w:p w14:paraId="3095458D" w14:textId="77777777" w:rsidR="00020783" w:rsidRPr="00867EB5" w:rsidRDefault="00020783" w:rsidP="00624D01">
            <w:pPr>
              <w:jc w:val="both"/>
              <w:rPr>
                <w:rFonts w:ascii="Verdana" w:eastAsia="Calibri" w:hAnsi="Verdana" w:cs="Arial"/>
                <w:b/>
                <w:color w:val="7030A0"/>
                <w:lang w:val="es-ES_tradnl" w:eastAsia="es-ES_tradnl"/>
              </w:rPr>
            </w:pPr>
            <w:r w:rsidRPr="00867EB5">
              <w:rPr>
                <w:rFonts w:ascii="Verdana" w:eastAsia="Calibri" w:hAnsi="Verdana" w:cs="Arial"/>
                <w:b/>
                <w:lang w:val="es-ES_tradnl" w:eastAsia="es-ES_tradnl"/>
              </w:rPr>
              <w:t>Radicación:</w:t>
            </w:r>
            <w:r w:rsidRPr="00867EB5">
              <w:rPr>
                <w:rFonts w:ascii="Verdana" w:eastAsia="Calibri" w:hAnsi="Verdana" w:cs="Arial"/>
                <w:lang w:val="es-ES_tradnl" w:eastAsia="es-ES_tradnl"/>
              </w:rPr>
              <w:t xml:space="preserve">               </w:t>
            </w:r>
          </w:p>
        </w:tc>
        <w:tc>
          <w:tcPr>
            <w:tcW w:w="6100" w:type="dxa"/>
          </w:tcPr>
          <w:p w14:paraId="699A07CA" w14:textId="77777777" w:rsidR="00020783" w:rsidRPr="00867EB5" w:rsidRDefault="00020783" w:rsidP="00624D01">
            <w:pPr>
              <w:jc w:val="both"/>
              <w:rPr>
                <w:rFonts w:ascii="Verdana" w:eastAsia="Calibri" w:hAnsi="Verdana" w:cs="Arial"/>
                <w:lang w:val="es-ES_tradnl" w:eastAsia="es-ES_tradnl"/>
              </w:rPr>
            </w:pPr>
            <w:r w:rsidRPr="00867EB5">
              <w:rPr>
                <w:rFonts w:ascii="Verdana" w:eastAsia="Calibri" w:hAnsi="Verdana" w:cs="Arial"/>
                <w:lang w:val="es-ES_tradnl" w:eastAsia="es-ES_tradnl"/>
              </w:rPr>
              <w:t>Respuesta a consulta con radicado No. 1_2025_09_05_009658</w:t>
            </w:r>
          </w:p>
        </w:tc>
      </w:tr>
    </w:tbl>
    <w:p w14:paraId="3CF241AB" w14:textId="77777777" w:rsidR="00020783" w:rsidRDefault="00020783" w:rsidP="00020783">
      <w:pPr>
        <w:spacing w:after="0" w:line="240" w:lineRule="auto"/>
        <w:jc w:val="both"/>
        <w:rPr>
          <w:rFonts w:ascii="Verdana" w:eastAsia="Calibri" w:hAnsi="Verdana" w:cs="Arial"/>
          <w:color w:val="000000"/>
          <w:lang w:val="es-ES_tradnl" w:eastAsia="es-ES_tradnl"/>
        </w:rPr>
      </w:pPr>
    </w:p>
    <w:p w14:paraId="34CE1C5B" w14:textId="77777777" w:rsidR="00020783" w:rsidRDefault="00020783" w:rsidP="00020783">
      <w:pPr>
        <w:spacing w:after="0" w:line="240" w:lineRule="auto"/>
        <w:jc w:val="both"/>
        <w:rPr>
          <w:rFonts w:ascii="Verdana" w:eastAsia="Calibri" w:hAnsi="Verdana" w:cs="Arial"/>
          <w:color w:val="000000"/>
          <w:lang w:val="es-ES_tradnl" w:eastAsia="es-ES_tradnl"/>
        </w:rPr>
      </w:pPr>
    </w:p>
    <w:p w14:paraId="6222A3BA" w14:textId="77777777" w:rsidR="00020783" w:rsidRDefault="00020783" w:rsidP="00020783">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Estimado señor </w:t>
      </w:r>
      <w:proofErr w:type="spellStart"/>
      <w:r>
        <w:rPr>
          <w:rFonts w:ascii="Verdana" w:eastAsia="Calibri" w:hAnsi="Verdana" w:cs="Arial"/>
          <w:color w:val="000000" w:themeColor="text1"/>
          <w:lang w:val="es-ES" w:eastAsia="es-ES"/>
        </w:rPr>
        <w:t>Mogollon</w:t>
      </w:r>
      <w:proofErr w:type="spellEnd"/>
      <w:r>
        <w:rPr>
          <w:rFonts w:ascii="Verdana" w:eastAsia="Calibri" w:hAnsi="Verdana" w:cs="Arial"/>
          <w:color w:val="000000" w:themeColor="text1"/>
          <w:lang w:val="es-ES" w:eastAsia="es-ES"/>
        </w:rPr>
        <w:t>,</w:t>
      </w:r>
    </w:p>
    <w:p w14:paraId="65EFFA26" w14:textId="77777777" w:rsidR="00020783" w:rsidRDefault="00020783" w:rsidP="0002078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25C6D01" w14:textId="77777777" w:rsidR="00020783" w:rsidRDefault="00020783" w:rsidP="00020783">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con fecha 4 de septiembre de 2025, en la cual manifiesta lo siguiente: </w:t>
      </w:r>
    </w:p>
    <w:p w14:paraId="6ECE9A19" w14:textId="77777777" w:rsidR="00020783" w:rsidRDefault="00020783" w:rsidP="0002078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6FAB004" w14:textId="307D724F" w:rsidR="00020783" w:rsidRDefault="00020783" w:rsidP="00020783">
      <w:pPr>
        <w:autoSpaceDE w:val="0"/>
        <w:autoSpaceDN w:val="0"/>
        <w:adjustRightInd w:val="0"/>
        <w:spacing w:after="0" w:line="240" w:lineRule="auto"/>
        <w:ind w:left="709" w:right="709"/>
        <w:jc w:val="both"/>
        <w:rPr>
          <w:rFonts w:ascii="Verdana" w:hAnsi="Verdana" w:cs="ArialMT"/>
          <w:sz w:val="20"/>
          <w:szCs w:val="20"/>
        </w:rPr>
      </w:pPr>
      <w:r w:rsidRPr="00BF30E7">
        <w:rPr>
          <w:rFonts w:ascii="Verdana" w:hAnsi="Verdana" w:cs="ArialMT"/>
          <w:sz w:val="20"/>
          <w:szCs w:val="20"/>
        </w:rPr>
        <w:t>“</w:t>
      </w:r>
      <w:proofErr w:type="gramStart"/>
      <w:r>
        <w:rPr>
          <w:rFonts w:ascii="Verdana" w:hAnsi="Verdana" w:cs="ArialMT"/>
          <w:sz w:val="20"/>
          <w:szCs w:val="20"/>
        </w:rPr>
        <w:t>Un hombre que luego de consultada su situación militar la misma se encuentra “En registro”, puede contratar con el estado?</w:t>
      </w:r>
      <w:proofErr w:type="gramEnd"/>
      <w:r>
        <w:rPr>
          <w:rFonts w:ascii="Verdana" w:hAnsi="Verdana" w:cs="ArialMT"/>
          <w:sz w:val="20"/>
          <w:szCs w:val="20"/>
        </w:rPr>
        <w:t>, tal como se evidencia a continuación: […]</w:t>
      </w:r>
      <w:r w:rsidR="00473CC9">
        <w:rPr>
          <w:rFonts w:ascii="Verdana" w:hAnsi="Verdana" w:cs="ArialMT"/>
          <w:sz w:val="20"/>
          <w:szCs w:val="20"/>
        </w:rPr>
        <w:t xml:space="preserve"> </w:t>
      </w:r>
    </w:p>
    <w:p w14:paraId="5A3F318A" w14:textId="77777777" w:rsidR="00020783" w:rsidRPr="00BF30E7" w:rsidRDefault="00020783" w:rsidP="00020783">
      <w:pPr>
        <w:autoSpaceDE w:val="0"/>
        <w:autoSpaceDN w:val="0"/>
        <w:adjustRightInd w:val="0"/>
        <w:spacing w:after="0" w:line="240" w:lineRule="auto"/>
        <w:ind w:left="709" w:right="709"/>
        <w:jc w:val="both"/>
        <w:rPr>
          <w:rFonts w:ascii="Verdana" w:hAnsi="Verdana" w:cs="ArialMT"/>
          <w:sz w:val="20"/>
          <w:szCs w:val="20"/>
        </w:rPr>
      </w:pPr>
      <w:proofErr w:type="gramStart"/>
      <w:r>
        <w:rPr>
          <w:rFonts w:ascii="Verdana" w:hAnsi="Verdana" w:cs="ArialMT"/>
          <w:sz w:val="20"/>
          <w:szCs w:val="20"/>
        </w:rPr>
        <w:t>En qué estado se debe encontrar la situación militar de un varón para poder contratar con el estado?</w:t>
      </w:r>
      <w:proofErr w:type="gramEnd"/>
      <w:r>
        <w:rPr>
          <w:rFonts w:ascii="Verdana" w:hAnsi="Verdana" w:cs="ArialMT"/>
          <w:sz w:val="20"/>
          <w:szCs w:val="20"/>
        </w:rPr>
        <w:t>”</w:t>
      </w:r>
    </w:p>
    <w:p w14:paraId="455C5BCA" w14:textId="77777777" w:rsidR="00020783" w:rsidRPr="00924340" w:rsidRDefault="00020783" w:rsidP="00020783">
      <w:pPr>
        <w:autoSpaceDE w:val="0"/>
        <w:autoSpaceDN w:val="0"/>
        <w:adjustRightInd w:val="0"/>
        <w:spacing w:after="0" w:line="276" w:lineRule="auto"/>
        <w:ind w:left="709" w:right="709"/>
        <w:jc w:val="both"/>
        <w:rPr>
          <w:rFonts w:ascii="Verdana" w:eastAsia="Century Gothic" w:hAnsi="Verdana" w:cs="Century Gothic"/>
          <w:b/>
        </w:rPr>
      </w:pPr>
    </w:p>
    <w:p w14:paraId="033A3A5D" w14:textId="77777777" w:rsidR="00020783" w:rsidRDefault="00020783" w:rsidP="00020783">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Pr>
          <w:rFonts w:ascii="Verdana" w:eastAsia="Calibri" w:hAnsi="Verdana" w:cs="Arial"/>
          <w:color w:val="000000"/>
          <w:lang w:val="es-ES" w:eastAsia="es-ES"/>
        </w:rPr>
        <w:lastRenderedPageBreak/>
        <w:t xml:space="preserve">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6BDDBD6D" w14:textId="77777777" w:rsidR="00020783" w:rsidRDefault="00020783" w:rsidP="00020783">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34B8EEEB" w14:textId="77777777" w:rsidR="00020783" w:rsidRPr="009B0144" w:rsidRDefault="00020783" w:rsidP="00020783">
      <w:pPr>
        <w:spacing w:after="0" w:line="276" w:lineRule="auto"/>
        <w:ind w:firstLine="709"/>
        <w:jc w:val="both"/>
        <w:rPr>
          <w:rFonts w:ascii="Verdana" w:eastAsia="Calibri" w:hAnsi="Verdana" w:cs="Arial"/>
          <w:lang w:val="es-ES" w:eastAsia="es-ES"/>
        </w:rPr>
      </w:pPr>
    </w:p>
    <w:p w14:paraId="35B28291" w14:textId="77777777" w:rsidR="00020783" w:rsidRDefault="00020783" w:rsidP="000207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1C47BC4F" w14:textId="77777777" w:rsidR="00020783" w:rsidRDefault="00020783" w:rsidP="00020783">
      <w:pPr>
        <w:tabs>
          <w:tab w:val="left" w:pos="426"/>
        </w:tabs>
        <w:spacing w:after="0" w:line="276" w:lineRule="auto"/>
        <w:jc w:val="both"/>
        <w:rPr>
          <w:rFonts w:ascii="Verdana" w:eastAsia="Century Gothic" w:hAnsi="Verdana" w:cs="Century Gothic"/>
          <w:lang w:val="es-ES"/>
        </w:rPr>
      </w:pPr>
    </w:p>
    <w:p w14:paraId="070FEF0E" w14:textId="77777777" w:rsidR="00020783" w:rsidRDefault="00020783" w:rsidP="00020783">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¿Cómo se acredita la situación militar para contratar con el Estado? </w:t>
      </w:r>
    </w:p>
    <w:p w14:paraId="0952A316" w14:textId="77777777" w:rsidR="00020783" w:rsidRPr="009B0144" w:rsidRDefault="00020783" w:rsidP="00020783">
      <w:pPr>
        <w:spacing w:after="0" w:line="276" w:lineRule="auto"/>
        <w:jc w:val="both"/>
        <w:rPr>
          <w:rFonts w:ascii="Verdana" w:eastAsia="Calibri" w:hAnsi="Verdana" w:cs="Arial"/>
          <w:lang w:val="es-ES"/>
        </w:rPr>
      </w:pPr>
    </w:p>
    <w:p w14:paraId="424742E8" w14:textId="77777777" w:rsidR="00020783" w:rsidRDefault="00020783" w:rsidP="000207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42DE95CC" w14:textId="77777777" w:rsidR="00020783" w:rsidRDefault="00020783" w:rsidP="0002078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0783" w:rsidRPr="001B5827" w14:paraId="19652755" w14:textId="77777777" w:rsidTr="00624D01">
        <w:tc>
          <w:tcPr>
            <w:tcW w:w="8828" w:type="dxa"/>
            <w:tcBorders>
              <w:top w:val="dotted" w:sz="4" w:space="0" w:color="auto"/>
              <w:left w:val="dotted" w:sz="4" w:space="0" w:color="auto"/>
              <w:bottom w:val="dotted" w:sz="4" w:space="0" w:color="auto"/>
              <w:right w:val="dotted" w:sz="4" w:space="0" w:color="auto"/>
            </w:tcBorders>
          </w:tcPr>
          <w:p w14:paraId="702592F1" w14:textId="77777777" w:rsidR="00020783" w:rsidRDefault="00020783" w:rsidP="00624D01">
            <w:pPr>
              <w:spacing w:after="120" w:line="276" w:lineRule="auto"/>
              <w:jc w:val="both"/>
              <w:rPr>
                <w:rFonts w:ascii="Verdana" w:eastAsia="Times New Roman" w:hAnsi="Verdana" w:cs="Century Gothic"/>
                <w:lang w:val="es-ES"/>
              </w:rPr>
            </w:pPr>
            <w:r>
              <w:rPr>
                <w:rFonts w:ascii="Verdana" w:hAnsi="Verdana"/>
              </w:rPr>
              <w:t>E</w:t>
            </w:r>
            <w:r w:rsidRPr="00D6538D">
              <w:rPr>
                <w:rFonts w:ascii="Verdana" w:hAnsi="Verdana"/>
              </w:rPr>
              <w:t xml:space="preserve">l artículo 42 de la Ley 1861 de 2017 dispone en su primer inciso que la situación militar se deberá acreditar en tres eventos: i) para ejercer cargos públicos, </w:t>
            </w:r>
            <w:proofErr w:type="spellStart"/>
            <w:r w:rsidRPr="00D6538D">
              <w:rPr>
                <w:rFonts w:ascii="Verdana" w:hAnsi="Verdana"/>
              </w:rPr>
              <w:t>ii</w:t>
            </w:r>
            <w:proofErr w:type="spellEnd"/>
            <w:r w:rsidRPr="00D6538D">
              <w:rPr>
                <w:rFonts w:ascii="Verdana" w:hAnsi="Verdana"/>
              </w:rPr>
              <w:t xml:space="preserve">) trabajar en el sector privado y </w:t>
            </w:r>
            <w:proofErr w:type="spellStart"/>
            <w:r w:rsidRPr="00D6538D">
              <w:rPr>
                <w:rFonts w:ascii="Verdana" w:hAnsi="Verdana"/>
              </w:rPr>
              <w:t>iii</w:t>
            </w:r>
            <w:proofErr w:type="spellEnd"/>
            <w:r w:rsidRPr="00D6538D">
              <w:rPr>
                <w:rFonts w:ascii="Verdana" w:hAnsi="Verdana"/>
              </w:rPr>
              <w:t>) celebrar contratos de prestación de servicios como persona natural con cualquier entidad de derecho público.</w:t>
            </w:r>
            <w:r>
              <w:rPr>
                <w:rFonts w:ascii="Verdana" w:hAnsi="Verdana"/>
              </w:rPr>
              <w:t xml:space="preserve"> </w:t>
            </w:r>
            <w:r w:rsidRPr="00816DD5">
              <w:rPr>
                <w:rFonts w:ascii="Verdana" w:eastAsia="Times New Roman" w:hAnsi="Verdana" w:cs="Century Gothic"/>
                <w:lang w:val="es-ES"/>
              </w:rPr>
              <w:t xml:space="preserve">Sin embargo, el inciso segundo del </w:t>
            </w:r>
            <w:r>
              <w:rPr>
                <w:rFonts w:ascii="Verdana" w:eastAsia="Times New Roman" w:hAnsi="Verdana" w:cs="Century Gothic"/>
                <w:lang w:val="es-ES"/>
              </w:rPr>
              <w:t>mismo artículo</w:t>
            </w:r>
            <w:r w:rsidRPr="00816DD5">
              <w:rPr>
                <w:rFonts w:ascii="Verdana" w:eastAsia="Times New Roman" w:hAnsi="Verdana" w:cs="Century Gothic"/>
                <w:lang w:val="es-ES"/>
              </w:rPr>
              <w:t xml:space="preserve"> permitió el acceso temporal al trabajo a quienes no hayan definido su situación militar, cuando se encuentren clasificadas como no aptas, exentas o hayan superado la edad máxima de incorporación a filas. Adicionalmente, dicho beneficio se extendió a las personas aptas pero exoneradas de pagar la cuota de compensación militar, en virtud de lo resuelto en la sentencia de la Corte Constitucional C- 277 de 2019</w:t>
            </w:r>
            <w:r>
              <w:rPr>
                <w:rFonts w:ascii="Verdana" w:eastAsia="Times New Roman" w:hAnsi="Verdana" w:cs="Century Gothic"/>
                <w:lang w:val="es-ES"/>
              </w:rPr>
              <w:t>.</w:t>
            </w:r>
          </w:p>
          <w:p w14:paraId="6C830D9A" w14:textId="77777777" w:rsidR="00020783" w:rsidRPr="00DC37EE" w:rsidRDefault="00020783" w:rsidP="00DC37EE">
            <w:pPr>
              <w:spacing w:after="120" w:line="276" w:lineRule="auto"/>
              <w:ind w:firstLine="709"/>
              <w:jc w:val="both"/>
              <w:rPr>
                <w:rFonts w:ascii="Verdana" w:hAnsi="Verdana"/>
              </w:rPr>
            </w:pPr>
            <w:r>
              <w:rPr>
                <w:rFonts w:ascii="Verdana" w:hAnsi="Verdana"/>
              </w:rPr>
              <w:t xml:space="preserve">Así, </w:t>
            </w:r>
            <w:r w:rsidRPr="00DC37EE">
              <w:rPr>
                <w:rFonts w:ascii="Verdana" w:hAnsi="Verdana"/>
              </w:rPr>
              <w:t xml:space="preserve">los ciudadanos que pretendan suscribir un contrato de prestación de servicios con una Entidad Estatal podrán acreditar su situación militar de la siguiente manera: i) copia de la libreta militar; o </w:t>
            </w:r>
            <w:proofErr w:type="spellStart"/>
            <w:r w:rsidRPr="00DC37EE">
              <w:rPr>
                <w:rFonts w:ascii="Verdana" w:hAnsi="Verdana"/>
              </w:rPr>
              <w:t>ii</w:t>
            </w:r>
            <w:proofErr w:type="spellEnd"/>
            <w:r w:rsidRPr="00DC37EE">
              <w:rPr>
                <w:rFonts w:ascii="Verdana" w:hAnsi="Verdana"/>
              </w:rPr>
              <w:t xml:space="preserve">) certificación provisional en línea la cual acreditará que su situación militar se encuentra en trámite; o </w:t>
            </w:r>
            <w:proofErr w:type="spellStart"/>
            <w:r w:rsidRPr="00DC37EE">
              <w:rPr>
                <w:rFonts w:ascii="Verdana" w:hAnsi="Verdana"/>
              </w:rPr>
              <w:t>iii</w:t>
            </w:r>
            <w:proofErr w:type="spellEnd"/>
            <w:r w:rsidRPr="00DC37EE">
              <w:rPr>
                <w:rFonts w:ascii="Verdana" w:hAnsi="Verdana"/>
              </w:rPr>
              <w:t xml:space="preserve">) declaración juramentada, en la que el ciudadano manifiesta que ha realizado las actuaciones tendientes a definir su situación militar –esta puede materializarse en virtud del principio constitucional de buena fe a través de cualquier documento que allegue el ciudadano con la respectiva declaración o, incluso a través de formatos estandarizados por la Entidad Estatal para dicho </w:t>
            </w:r>
            <w:r w:rsidRPr="00DC37EE">
              <w:rPr>
                <w:rFonts w:ascii="Verdana" w:hAnsi="Verdana"/>
              </w:rPr>
              <w:lastRenderedPageBreak/>
              <w:t xml:space="preserve">fin–; o </w:t>
            </w:r>
            <w:proofErr w:type="spellStart"/>
            <w:r w:rsidRPr="00DC37EE">
              <w:rPr>
                <w:rFonts w:ascii="Verdana" w:hAnsi="Verdana"/>
              </w:rPr>
              <w:t>iv</w:t>
            </w:r>
            <w:proofErr w:type="spellEnd"/>
            <w:r w:rsidRPr="00DC37EE">
              <w:rPr>
                <w:rFonts w:ascii="Verdana" w:hAnsi="Verdana"/>
              </w:rPr>
              <w:t>) cualquier otro medio de prueba que resulte conducente para demostrar que la persona con la que se va a suscribir el contrato es beneficiario de la prerrogativa establecida en el artículo 42 de la Ley 1861 de 2017 y ha adelantado actuaciones tendientes a definir su situación militar.</w:t>
            </w:r>
          </w:p>
          <w:p w14:paraId="752EA462" w14:textId="2AA49371" w:rsidR="00020783" w:rsidRPr="001B5827" w:rsidRDefault="00020783" w:rsidP="00DC37EE">
            <w:pPr>
              <w:spacing w:line="276" w:lineRule="auto"/>
              <w:ind w:firstLine="709"/>
              <w:jc w:val="both"/>
              <w:rPr>
                <w:rFonts w:ascii="Verdana" w:hAnsi="Verdana"/>
              </w:rPr>
            </w:pPr>
            <w:r w:rsidRPr="00DC37EE">
              <w:rPr>
                <w:rFonts w:ascii="Verdana" w:hAnsi="Verdana"/>
              </w:rPr>
              <w:t>La Entidad Estatal contratante deberá estudiar los medios de prueba presentados por el ciudadano, analizando si este cumple o no con los presupuestos indicados en el segundo inciso del artículo 42 de la Ley 1861 de 2017.</w:t>
            </w:r>
          </w:p>
        </w:tc>
      </w:tr>
    </w:tbl>
    <w:p w14:paraId="58A2B8BA" w14:textId="77777777" w:rsidR="00020783" w:rsidRPr="001B5827" w:rsidRDefault="00020783" w:rsidP="00020783">
      <w:pPr>
        <w:tabs>
          <w:tab w:val="left" w:pos="142"/>
          <w:tab w:val="left" w:pos="284"/>
        </w:tabs>
        <w:spacing w:after="0" w:line="276" w:lineRule="auto"/>
        <w:jc w:val="both"/>
        <w:rPr>
          <w:rFonts w:ascii="Verdana" w:eastAsia="Century Gothic" w:hAnsi="Verdana" w:cs="Century Gothic"/>
          <w:b/>
          <w:bCs/>
          <w:lang w:val="es-ES"/>
        </w:rPr>
      </w:pPr>
    </w:p>
    <w:p w14:paraId="75959108" w14:textId="77777777" w:rsidR="00020783" w:rsidRPr="001B5827" w:rsidRDefault="00020783" w:rsidP="000207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B5827">
        <w:rPr>
          <w:rFonts w:ascii="Verdana" w:eastAsia="Century Gothic" w:hAnsi="Verdana" w:cs="Century Gothic"/>
          <w:b/>
          <w:bCs/>
        </w:rPr>
        <w:t>Razones de la respuesta:</w:t>
      </w:r>
    </w:p>
    <w:p w14:paraId="05E9DB78" w14:textId="77777777" w:rsidR="00020783" w:rsidRPr="001B5827" w:rsidRDefault="00020783" w:rsidP="00020783">
      <w:pPr>
        <w:spacing w:after="0" w:line="276" w:lineRule="auto"/>
        <w:jc w:val="both"/>
        <w:rPr>
          <w:rFonts w:ascii="Verdana" w:eastAsia="Calibri" w:hAnsi="Verdana" w:cs="Arial"/>
          <w:lang w:val="es-ES"/>
        </w:rPr>
      </w:pPr>
    </w:p>
    <w:p w14:paraId="77952BEF" w14:textId="77777777" w:rsidR="00020783" w:rsidRDefault="00020783" w:rsidP="00020783">
      <w:pPr>
        <w:spacing w:after="0" w:line="276" w:lineRule="auto"/>
        <w:jc w:val="both"/>
        <w:rPr>
          <w:rFonts w:ascii="Verdana" w:eastAsia="Calibri" w:hAnsi="Verdana" w:cs="Arial"/>
          <w:lang w:val="es-ES"/>
        </w:rPr>
      </w:pPr>
      <w:r w:rsidRPr="001B5827">
        <w:rPr>
          <w:rFonts w:ascii="Verdana" w:eastAsia="Calibri" w:hAnsi="Verdana" w:cs="Arial"/>
          <w:lang w:val="es-ES"/>
        </w:rPr>
        <w:t xml:space="preserve">Lo anterior se sustenta en las siguientes consideraciones: </w:t>
      </w:r>
    </w:p>
    <w:p w14:paraId="30C36982" w14:textId="77777777" w:rsidR="00020783" w:rsidRDefault="00020783" w:rsidP="00020783">
      <w:pPr>
        <w:spacing w:after="0" w:line="276" w:lineRule="auto"/>
        <w:jc w:val="both"/>
        <w:rPr>
          <w:rFonts w:ascii="Verdana" w:eastAsia="Calibri" w:hAnsi="Verdana" w:cs="Arial"/>
          <w:lang w:val="es-ES"/>
        </w:rPr>
      </w:pPr>
    </w:p>
    <w:p w14:paraId="53B37977" w14:textId="264C0B54" w:rsidR="00020783" w:rsidRDefault="00020783" w:rsidP="00DC37EE">
      <w:pPr>
        <w:spacing w:after="120" w:line="276" w:lineRule="auto"/>
        <w:jc w:val="both"/>
        <w:rPr>
          <w:rFonts w:ascii="Verdana" w:hAnsi="Verdana"/>
        </w:rPr>
      </w:pPr>
      <w:r w:rsidRPr="00D6538D">
        <w:rPr>
          <w:rFonts w:ascii="Verdana" w:eastAsia="Calibri" w:hAnsi="Verdana" w:cs="Arial"/>
          <w:lang w:val="es-ES"/>
        </w:rPr>
        <w:t>En el artículo 216 de la Constitución Política de 1991 se consagra el deber constitucional del servicio militar obligatorio:</w:t>
      </w:r>
      <w:r w:rsidR="00F125E3">
        <w:rPr>
          <w:rFonts w:ascii="Verdana" w:eastAsia="Calibri" w:hAnsi="Verdana" w:cs="Arial"/>
          <w:lang w:val="es-ES"/>
        </w:rPr>
        <w:t xml:space="preserve"> </w:t>
      </w:r>
      <w:r w:rsidRPr="00D6538D">
        <w:rPr>
          <w:rFonts w:ascii="Verdana" w:hAnsi="Verdana"/>
        </w:rPr>
        <w:t xml:space="preserve">“[…]Todos los colombianos estamos obligados a tomar las armas cuando las necesidades públicas lo exijan para defender la independencia nacional y las instituciones públicas. […]”. Para tal efecto, el constituyente dispuso que a través de la Ley se determinarían las condiciones que, en todo tiempo, eximen del servicio militar y las prerrogativas para su prestación. </w:t>
      </w:r>
    </w:p>
    <w:p w14:paraId="2747B0E2" w14:textId="77777777" w:rsidR="00020783" w:rsidRDefault="00020783" w:rsidP="00DC37EE">
      <w:pPr>
        <w:spacing w:after="120" w:line="276" w:lineRule="auto"/>
        <w:ind w:firstLine="708"/>
        <w:jc w:val="both"/>
        <w:rPr>
          <w:rFonts w:ascii="Verdana" w:hAnsi="Verdana"/>
        </w:rPr>
      </w:pPr>
      <w:r w:rsidRPr="00D6538D">
        <w:rPr>
          <w:rFonts w:ascii="Verdana" w:hAnsi="Verdana"/>
        </w:rPr>
        <w:t>En la actualidad, la Ley 1861 de 2017 “</w:t>
      </w:r>
      <w:r w:rsidRPr="00D6538D">
        <w:rPr>
          <w:rFonts w:ascii="Verdana" w:hAnsi="Verdana" w:cs="Open Sans"/>
        </w:rPr>
        <w:t xml:space="preserve">Por la cual se reglamenta el servicio de reclutamiento, control de reservas y la movilización.” </w:t>
      </w:r>
      <w:r w:rsidRPr="00D6538D">
        <w:rPr>
          <w:rFonts w:ascii="Verdana" w:hAnsi="Verdana"/>
        </w:rPr>
        <w:t>estipula, entre otras cosas, los beneficios y exclusiones de la prestación del servicio militar obligatorio, indicando en su artículo 4 que dicha obligación nace al momento en el que los colombianos cumplen su mayoría edad, con el fin de contribuir y alcanzar los fines del Estado encomendados a la Fuerza Pública.</w:t>
      </w:r>
    </w:p>
    <w:p w14:paraId="0459A21A" w14:textId="77777777" w:rsidR="00020783" w:rsidRPr="00867EB5" w:rsidRDefault="00020783" w:rsidP="00DC37EE">
      <w:pPr>
        <w:spacing w:after="120" w:line="276" w:lineRule="auto"/>
        <w:ind w:firstLine="708"/>
        <w:jc w:val="both"/>
        <w:rPr>
          <w:rFonts w:ascii="Verdana" w:hAnsi="Verdana"/>
        </w:rPr>
      </w:pPr>
      <w:r>
        <w:rPr>
          <w:rFonts w:ascii="Verdana" w:eastAsia="Calibri" w:hAnsi="Verdana" w:cs="Arial"/>
          <w:lang w:val="es-ES"/>
        </w:rPr>
        <w:t xml:space="preserve">Sin embargo, </w:t>
      </w:r>
      <w:r>
        <w:rPr>
          <w:rFonts w:ascii="Verdana" w:eastAsia="Times New Roman" w:hAnsi="Verdana" w:cs="Century Gothic"/>
          <w:lang w:val="es-ES"/>
        </w:rPr>
        <w:t>n</w:t>
      </w:r>
      <w:r w:rsidRPr="00816DD5">
        <w:rPr>
          <w:rFonts w:ascii="Verdana" w:eastAsia="Times New Roman" w:hAnsi="Verdana" w:cs="Century Gothic"/>
          <w:lang w:val="es-ES"/>
        </w:rPr>
        <w:t xml:space="preserve">o todo colombiano se encuentra obligado a cumplir con esta obligación constitucional, sino tan sólo aquellos que sean declarados aptos de conformidad con los requisitos establecidos en la Ley 1861 de 2017 y que hayan sido seleccionados a través de un sorteo, siempre y cuando este sea procedente, a partir de la mayoría de edad hasta faltando un día para cumplir los veinticuatro (24) años. </w:t>
      </w:r>
      <w:bookmarkStart w:id="2" w:name="_Hlk143791252"/>
    </w:p>
    <w:p w14:paraId="7DAC644E" w14:textId="77777777" w:rsidR="00020783" w:rsidRPr="00D6538D" w:rsidRDefault="00020783" w:rsidP="00020783">
      <w:pPr>
        <w:spacing w:after="120" w:line="276" w:lineRule="auto"/>
        <w:ind w:firstLine="709"/>
        <w:jc w:val="both"/>
        <w:rPr>
          <w:rFonts w:ascii="Verdana" w:eastAsia="Times New Roman" w:hAnsi="Verdana" w:cs="Century Gothic"/>
          <w:lang w:val="es-ES"/>
        </w:rPr>
      </w:pPr>
      <w:r w:rsidRPr="00816DD5">
        <w:rPr>
          <w:rFonts w:ascii="Verdana" w:eastAsia="Times New Roman" w:hAnsi="Verdana" w:cs="Century Gothic"/>
          <w:lang w:val="es-ES"/>
        </w:rPr>
        <w:t xml:space="preserve">De igual forma, </w:t>
      </w:r>
      <w:bookmarkStart w:id="3" w:name="_Hlk143964974"/>
      <w:r w:rsidRPr="00816DD5">
        <w:rPr>
          <w:rFonts w:ascii="Verdana" w:eastAsia="Times New Roman" w:hAnsi="Verdana" w:cs="Century Gothic"/>
          <w:lang w:val="es-ES"/>
        </w:rPr>
        <w:t xml:space="preserve">el artículo 12 de la Ley 1861 de 2017 contempló dieciséis (16) causales de exoneración para prestar el servicio militar obligatorio. Ahora bien, pese a que eventualmente existiera una causal de exoneración, de conformidad con el </w:t>
      </w:r>
      <w:r w:rsidRPr="00D6538D">
        <w:rPr>
          <w:rFonts w:ascii="Verdana" w:eastAsia="Times New Roman" w:hAnsi="Verdana" w:cs="Century Gothic"/>
          <w:lang w:val="es-ES"/>
        </w:rPr>
        <w:t xml:space="preserve">artículo 11 ibidem, todo “varón colombiano” deberá definir </w:t>
      </w:r>
      <w:r w:rsidRPr="00D6538D">
        <w:rPr>
          <w:rFonts w:ascii="Verdana" w:eastAsia="Times New Roman" w:hAnsi="Verdana" w:cs="Century Gothic"/>
          <w:lang w:val="es-ES"/>
        </w:rPr>
        <w:lastRenderedPageBreak/>
        <w:t xml:space="preserve">su situación militar, a partir de la fecha que cumpla su mayoría de edad y hasta el día en que cumpla 50 años. </w:t>
      </w:r>
      <w:bookmarkEnd w:id="2"/>
      <w:bookmarkEnd w:id="3"/>
    </w:p>
    <w:p w14:paraId="599112A0" w14:textId="77777777" w:rsidR="00020783" w:rsidRPr="00D6538D" w:rsidRDefault="00020783" w:rsidP="00020783">
      <w:pPr>
        <w:spacing w:after="120" w:line="276" w:lineRule="auto"/>
        <w:ind w:firstLine="709"/>
        <w:jc w:val="both"/>
        <w:rPr>
          <w:rFonts w:ascii="Verdana" w:eastAsia="Times New Roman" w:hAnsi="Verdana" w:cs="Century Gothic"/>
          <w:lang w:val="es-ES"/>
        </w:rPr>
      </w:pPr>
      <w:r w:rsidRPr="00D6538D">
        <w:rPr>
          <w:rFonts w:ascii="Verdana" w:eastAsia="Times New Roman" w:hAnsi="Verdana" w:cs="Century Gothic"/>
          <w:lang w:val="es-ES"/>
        </w:rPr>
        <w:t>El trámite para la definición de la situación militar inicia con la inscripción que realiza la Organización de Reclutamiento y Movilización</w:t>
      </w:r>
      <w:r w:rsidRPr="00D6538D">
        <w:rPr>
          <w:rStyle w:val="Refdenotaalpie"/>
          <w:rFonts w:ascii="Verdana" w:eastAsia="Times New Roman" w:hAnsi="Verdana" w:cs="Century Gothic"/>
          <w:lang w:val="es-ES"/>
        </w:rPr>
        <w:footnoteReference w:id="2"/>
      </w:r>
      <w:r w:rsidRPr="00D6538D">
        <w:rPr>
          <w:rFonts w:ascii="Verdana" w:eastAsia="Times New Roman" w:hAnsi="Verdana" w:cs="Century Gothic"/>
          <w:lang w:val="es-ES"/>
        </w:rPr>
        <w:t xml:space="preserve"> y culmina con el pago de la cuota de compensación militar, cuando no se está exonerado de esta</w:t>
      </w:r>
      <w:r w:rsidRPr="00D6538D">
        <w:rPr>
          <w:rStyle w:val="Refdenotaalpie"/>
          <w:rFonts w:ascii="Verdana" w:eastAsia="Times New Roman" w:hAnsi="Verdana" w:cs="Century Gothic"/>
          <w:lang w:val="es-ES"/>
        </w:rPr>
        <w:footnoteReference w:id="3"/>
      </w:r>
      <w:r w:rsidRPr="00D6538D">
        <w:rPr>
          <w:rFonts w:ascii="Verdana" w:eastAsia="Times New Roman" w:hAnsi="Verdana" w:cs="Century Gothic"/>
          <w:lang w:val="es-ES"/>
        </w:rPr>
        <w:t xml:space="preserve">. Al respecto, el artículo 2.3.1.4.3.1. del Decreto 1070 de 2015, modificado por el Decreto 977 de 2018, que reglamentó el servicio de reclutamiento, control de reservas y movilizaciones, indica que es la Organización de Reclutamiento y Movilización la responsable de inscribir anualmente a los colombianos que en dicho periodo estén llamados a definir su situación militar, una vez hayan cumplido la mayoría de edad, conforme a lo dispuesto por el parágrafo 2° del artículo 17 de la Ley 1861 de 2017.  </w:t>
      </w:r>
    </w:p>
    <w:p w14:paraId="2D845B91" w14:textId="77777777" w:rsidR="00020783" w:rsidRPr="00D6538D" w:rsidRDefault="00020783" w:rsidP="00020783">
      <w:pPr>
        <w:spacing w:after="120" w:line="276" w:lineRule="auto"/>
        <w:ind w:firstLine="709"/>
        <w:jc w:val="both"/>
        <w:rPr>
          <w:rFonts w:ascii="Verdana" w:eastAsia="Times New Roman" w:hAnsi="Verdana" w:cs="Century Gothic"/>
          <w:lang w:val="es-ES"/>
        </w:rPr>
      </w:pPr>
      <w:r w:rsidRPr="00D6538D">
        <w:rPr>
          <w:rFonts w:ascii="Verdana" w:eastAsia="Times New Roman" w:hAnsi="Verdana" w:cs="Century Gothic"/>
          <w:lang w:val="es-ES"/>
        </w:rPr>
        <w:t xml:space="preserve">Posteriormente, dicho registro es complementado por el ciudadano al momento en el que éste inicie la inscripción para definir su situación militar en el portal web dispuesto para tal fin, creando un correo electrónico y adjuntando a la plataforma informática sus datos personales y los soportes documentales que acrediten las causales de exoneración y/o aplazamiento, en el cual el ciudadano podrá obtener un certificado en línea que acredite el inicio del proceso. Nótese que el </w:t>
      </w:r>
      <w:bookmarkStart w:id="4" w:name="_Hlk211006642"/>
      <w:r w:rsidRPr="00D6538D">
        <w:rPr>
          <w:rFonts w:ascii="Verdana" w:eastAsia="Times New Roman" w:hAnsi="Verdana" w:cs="Century Gothic"/>
          <w:lang w:val="es-ES"/>
        </w:rPr>
        <w:t xml:space="preserve">artículo 2.3.1.4.3.1. </w:t>
      </w:r>
      <w:bookmarkEnd w:id="4"/>
      <w:r w:rsidRPr="00D6538D">
        <w:rPr>
          <w:rFonts w:ascii="Verdana" w:eastAsia="Times New Roman" w:hAnsi="Verdana" w:cs="Century Gothic"/>
          <w:lang w:val="es-ES"/>
        </w:rPr>
        <w:t xml:space="preserve">del Decreto 1070 de 2015, modificado por el Decreto 977 de 2018, dispone que el ciudadano, al momento de la inscripción para definir su situación militar, debe allegar como mínimo, entre otros documentos descritos en el citado artículo, los soportes documentales que acrediten que se está incurso en alguna de las causales de exoneración, de lo cual se concluye que aun cuando se configure alguna de las circunstancias señaladas en el artículo 12 de la Ley 1861 de 2017 es obligatorio definir la situación militar. </w:t>
      </w:r>
    </w:p>
    <w:p w14:paraId="49B9A28A" w14:textId="77777777" w:rsidR="00020783" w:rsidRPr="00D6538D" w:rsidRDefault="00020783" w:rsidP="00020783">
      <w:pPr>
        <w:spacing w:after="120" w:line="276" w:lineRule="auto"/>
        <w:ind w:firstLine="709"/>
        <w:jc w:val="both"/>
        <w:rPr>
          <w:rFonts w:ascii="Verdana" w:hAnsi="Verdana"/>
        </w:rPr>
      </w:pPr>
      <w:r w:rsidRPr="00D6538D">
        <w:rPr>
          <w:rFonts w:ascii="Verdana" w:hAnsi="Verdana"/>
        </w:rPr>
        <w:t xml:space="preserve">De esta manera, una vez se culmine con el trámite previsto en el Capítulo 4 del Título I de la Parte 3 del Libro 2 del Decreto 1070 de 2015, modificado por el Decreto 977 de 2018, se entiende que la situación militar se acredita resuelta o definida cuando el ciudadano posee tarjeta de reservista militar –de primera o segunda clase–, el certificado digital o cédula militar de que tratan los artículos </w:t>
      </w:r>
      <w:r w:rsidRPr="00D6538D">
        <w:rPr>
          <w:rFonts w:ascii="Verdana" w:hAnsi="Verdana"/>
        </w:rPr>
        <w:lastRenderedPageBreak/>
        <w:t>35, 40</w:t>
      </w:r>
      <w:r w:rsidRPr="00D6538D">
        <w:rPr>
          <w:rStyle w:val="Refdenotaalpie"/>
          <w:rFonts w:ascii="Verdana" w:hAnsi="Verdana"/>
        </w:rPr>
        <w:footnoteReference w:id="4"/>
      </w:r>
      <w:r w:rsidRPr="00D6538D">
        <w:rPr>
          <w:rFonts w:ascii="Verdana" w:hAnsi="Verdana"/>
        </w:rPr>
        <w:t xml:space="preserve"> y 41</w:t>
      </w:r>
      <w:r w:rsidRPr="00D6538D">
        <w:rPr>
          <w:rStyle w:val="Refdenotaalpie"/>
          <w:rFonts w:ascii="Verdana" w:hAnsi="Verdana"/>
        </w:rPr>
        <w:footnoteReference w:id="5"/>
      </w:r>
      <w:r w:rsidRPr="00D6538D">
        <w:rPr>
          <w:rFonts w:ascii="Verdana" w:hAnsi="Verdana"/>
        </w:rPr>
        <w:t xml:space="preserve"> de la Ley 1861 de 2017. De acuerdo con el artículo 35 de la citada Ley, la Tarjeta de Reservista Militar o Policial “es el documento con el cual se comprueba que el ciudadano definió su situación militar”, y el artículo 37 ibidem dispone que la Tarjeta de Reservista Militar o Policial de Segunda Clase “es el documento que se otorga al ciudadano que no presta servicio militar por estar incurso en una causal de exoneración o inhabilidad, de conformidad con lo establecido en el artículo 12 de la Ley 1861 de 2017”</w:t>
      </w:r>
    </w:p>
    <w:p w14:paraId="719D724E" w14:textId="77777777" w:rsidR="00020783" w:rsidRPr="00D6538D" w:rsidRDefault="00020783" w:rsidP="00020783">
      <w:pPr>
        <w:spacing w:after="120" w:line="276" w:lineRule="auto"/>
        <w:ind w:firstLine="709"/>
        <w:jc w:val="both"/>
        <w:rPr>
          <w:rFonts w:ascii="Verdana" w:hAnsi="Verdana"/>
        </w:rPr>
      </w:pPr>
      <w:r w:rsidRPr="00D6538D">
        <w:rPr>
          <w:rFonts w:ascii="Verdana" w:hAnsi="Verdana"/>
        </w:rPr>
        <w:t xml:space="preserve">Ahora bien, </w:t>
      </w:r>
      <w:r>
        <w:rPr>
          <w:rFonts w:ascii="Verdana" w:hAnsi="Verdana"/>
        </w:rPr>
        <w:t>e</w:t>
      </w:r>
      <w:r w:rsidRPr="00D6538D">
        <w:rPr>
          <w:rFonts w:ascii="Verdana" w:hAnsi="Verdana"/>
        </w:rPr>
        <w:t xml:space="preserve">l artículo 42 de la Ley 1861 de 2017 dispone en su primer inciso que la situación militar se deberá acreditar en tres eventos: i) para ejercer cargos públicos, </w:t>
      </w:r>
      <w:proofErr w:type="spellStart"/>
      <w:r w:rsidRPr="00D6538D">
        <w:rPr>
          <w:rFonts w:ascii="Verdana" w:hAnsi="Verdana"/>
        </w:rPr>
        <w:t>ii</w:t>
      </w:r>
      <w:proofErr w:type="spellEnd"/>
      <w:r w:rsidRPr="00D6538D">
        <w:rPr>
          <w:rFonts w:ascii="Verdana" w:hAnsi="Verdana"/>
        </w:rPr>
        <w:t xml:space="preserve">) trabajar en el sector privado y </w:t>
      </w:r>
      <w:proofErr w:type="spellStart"/>
      <w:r w:rsidRPr="00D6538D">
        <w:rPr>
          <w:rFonts w:ascii="Verdana" w:hAnsi="Verdana"/>
        </w:rPr>
        <w:t>iii</w:t>
      </w:r>
      <w:proofErr w:type="spellEnd"/>
      <w:r w:rsidRPr="00D6538D">
        <w:rPr>
          <w:rFonts w:ascii="Verdana" w:hAnsi="Verdana"/>
        </w:rPr>
        <w:t xml:space="preserve">) celebrar contratos de prestación de servicios como persona natural con cualquier entidad de derecho público. De esta manera, se concluye prima facie que, para la celebración de contratos de prestación de servicios con personas naturales, resulta obligatorio que se acredite definida la situación militar mediante los documentos señalados en el párrafo anterior. </w:t>
      </w:r>
    </w:p>
    <w:p w14:paraId="403702F0" w14:textId="77777777" w:rsidR="00020783" w:rsidRDefault="00020783" w:rsidP="00020783">
      <w:pPr>
        <w:spacing w:after="120" w:line="276" w:lineRule="auto"/>
        <w:ind w:firstLine="709"/>
        <w:jc w:val="both"/>
        <w:rPr>
          <w:rFonts w:ascii="Verdana" w:eastAsia="Times New Roman" w:hAnsi="Verdana" w:cs="Century Gothic"/>
          <w:lang w:val="es-ES"/>
        </w:rPr>
      </w:pPr>
      <w:r w:rsidRPr="00816DD5">
        <w:rPr>
          <w:rFonts w:ascii="Verdana" w:eastAsia="Times New Roman" w:hAnsi="Verdana" w:cs="Century Gothic"/>
          <w:lang w:val="es-ES"/>
        </w:rPr>
        <w:t xml:space="preserve">Sin embargo, </w:t>
      </w:r>
      <w:bookmarkStart w:id="5" w:name="_Hlk143965057"/>
      <w:r w:rsidRPr="00816DD5">
        <w:rPr>
          <w:rFonts w:ascii="Verdana" w:eastAsia="Times New Roman" w:hAnsi="Verdana" w:cs="Century Gothic"/>
          <w:lang w:val="es-ES"/>
        </w:rPr>
        <w:t>el inciso segundo del artículo 42 de la Ley 1861 de 2017 permitió el acceso temporal al trabajo a quienes no hayan definido su situación militar, cuando se encuentren clasificadas como no aptas, exentas o hayan superado la edad máxima de incorporación a filas. Adicionalmente, dicho beneficio se extendió a las personas aptas pero exoneradas de pagar la cuota de compensación militar, en virtud de lo resuelto en la sentencia de la Corte Constitucional C- 277 de 2019</w:t>
      </w:r>
      <w:bookmarkEnd w:id="5"/>
      <w:r w:rsidRPr="00EA7A3F">
        <w:rPr>
          <w:rFonts w:ascii="Verdana" w:eastAsia="Times New Roman" w:hAnsi="Verdana" w:cs="Century Gothic"/>
          <w:vertAlign w:val="superscript"/>
          <w:lang w:val="es-ES"/>
        </w:rPr>
        <w:footnoteReference w:id="6"/>
      </w:r>
      <w:r w:rsidRPr="00816DD5">
        <w:rPr>
          <w:rFonts w:ascii="Verdana" w:eastAsia="Times New Roman" w:hAnsi="Verdana" w:cs="Century Gothic"/>
          <w:lang w:val="es-ES"/>
        </w:rPr>
        <w:t>.</w:t>
      </w:r>
    </w:p>
    <w:p w14:paraId="19787A8C" w14:textId="77777777" w:rsidR="00020783" w:rsidRDefault="00020783" w:rsidP="00DC37EE">
      <w:pPr>
        <w:spacing w:after="0" w:line="276" w:lineRule="auto"/>
        <w:ind w:firstLine="708"/>
        <w:contextualSpacing/>
        <w:jc w:val="both"/>
        <w:rPr>
          <w:rFonts w:ascii="Verdana" w:eastAsia="Times New Roman" w:hAnsi="Verdana" w:cs="Century Gothic"/>
          <w:lang w:val="es-ES"/>
        </w:rPr>
      </w:pPr>
      <w:r>
        <w:rPr>
          <w:rFonts w:ascii="Verdana" w:eastAsia="Times New Roman" w:hAnsi="Verdana" w:cs="Century Gothic"/>
          <w:lang w:val="es-ES"/>
        </w:rPr>
        <w:t>E</w:t>
      </w:r>
      <w:r w:rsidRPr="00816DD5">
        <w:rPr>
          <w:rFonts w:ascii="Verdana" w:eastAsia="Times New Roman" w:hAnsi="Verdana" w:cs="Century Gothic"/>
          <w:lang w:val="es-ES"/>
        </w:rPr>
        <w:t xml:space="preserve">l inciso primero del artículo 2.3.1.4.9.2 del Decreto 1070 de 2015, modificado por el Decreto 977 de 2018, dispuso que el anterior beneficio se obtendría automáticamente cuando el ciudadano se vincule laboral o contractualmente a una empresa nacional o extranjera, oficial o particular, y se encuentre clasificado en los términos de la Ley 1861 de 2017 como no apto, exento o si ha superado la edad máxima de incorporación, incluyendo el nuevo grupo poblacional beneficiario en virtud de lo resuelto en la sentencia anteriormente citada. Para tal efecto, el inciso segundo otorgó un plazo máximo </w:t>
      </w:r>
      <w:r w:rsidRPr="00816DD5">
        <w:rPr>
          <w:rFonts w:ascii="Verdana" w:eastAsia="Times New Roman" w:hAnsi="Verdana" w:cs="Century Gothic"/>
          <w:lang w:val="es-ES"/>
        </w:rPr>
        <w:lastRenderedPageBreak/>
        <w:t>de dieciocho (18) meses para definir su situación militar. En lo pertinente, la disposición citada establece:</w:t>
      </w:r>
    </w:p>
    <w:p w14:paraId="3E01F9AB" w14:textId="77777777" w:rsidR="00020783" w:rsidRPr="00816DD5" w:rsidRDefault="00020783" w:rsidP="00DC37EE">
      <w:pPr>
        <w:spacing w:after="0" w:line="276" w:lineRule="auto"/>
        <w:ind w:left="723"/>
        <w:contextualSpacing/>
        <w:jc w:val="both"/>
        <w:rPr>
          <w:rFonts w:ascii="Verdana" w:eastAsia="Times New Roman" w:hAnsi="Verdana" w:cs="Century Gothic"/>
          <w:lang w:val="es-ES"/>
        </w:rPr>
      </w:pPr>
    </w:p>
    <w:p w14:paraId="6CD3E06C" w14:textId="77777777" w:rsidR="00020783" w:rsidRDefault="00020783" w:rsidP="00DC37EE">
      <w:pPr>
        <w:spacing w:after="0" w:line="240" w:lineRule="auto"/>
        <w:ind w:left="709" w:right="709"/>
        <w:contextualSpacing/>
        <w:jc w:val="both"/>
        <w:rPr>
          <w:rFonts w:ascii="Verdana" w:eastAsia="Times New Roman" w:hAnsi="Verdana" w:cs="Century Gothic"/>
          <w:sz w:val="20"/>
          <w:szCs w:val="20"/>
          <w:lang w:val="es-ES"/>
        </w:rPr>
      </w:pPr>
      <w:r w:rsidRPr="00816DD5">
        <w:rPr>
          <w:rFonts w:ascii="Verdana" w:eastAsia="Times New Roman" w:hAnsi="Verdana" w:cs="Century Gothic"/>
          <w:sz w:val="20"/>
          <w:szCs w:val="20"/>
          <w:lang w:val="es-ES"/>
        </w:rPr>
        <w:t xml:space="preserve">“[…] Sin perjuicio de la obligación anterior, </w:t>
      </w:r>
      <w:r w:rsidRPr="005607F8">
        <w:rPr>
          <w:rFonts w:ascii="Verdana" w:eastAsia="Times New Roman" w:hAnsi="Verdana" w:cs="Century Gothic"/>
          <w:i/>
          <w:iCs/>
          <w:sz w:val="20"/>
          <w:szCs w:val="20"/>
          <w:lang w:val="es-ES"/>
        </w:rPr>
        <w:t>las entidades públicas o privadas no podrán exigir al ciudadano la presentación de la tarjeta militar para ingresar a un empleo. Las personas declaradas no aptas, exentas o que hayan superado la edad máxima de incorporación a filas podrán acceder a un empleo sin haber definido su situación militar. Sin embargo, a partir de la fecha de su vinculación laboral estas personas tendrán un lapso de dieciocho (18) meses para definir su situación militar.</w:t>
      </w:r>
      <w:r w:rsidRPr="00816DD5">
        <w:rPr>
          <w:rFonts w:ascii="Verdana" w:eastAsia="Times New Roman" w:hAnsi="Verdana" w:cs="Century Gothic"/>
          <w:sz w:val="20"/>
          <w:szCs w:val="20"/>
          <w:lang w:val="es-ES"/>
        </w:rPr>
        <w:t xml:space="preserve"> En todo caso, no se podrán contabilizar dentro de los dieciocho (18) meses, las demoras que no le sean imputables al trabajador. […]”. [Énfasis fuera de texto]</w:t>
      </w:r>
    </w:p>
    <w:p w14:paraId="17557E22" w14:textId="77777777" w:rsidR="00020783" w:rsidRDefault="00020783" w:rsidP="00DC37EE">
      <w:pPr>
        <w:spacing w:after="0" w:line="276" w:lineRule="auto"/>
        <w:jc w:val="both"/>
      </w:pPr>
    </w:p>
    <w:p w14:paraId="45D48B3C" w14:textId="77777777" w:rsidR="00020783" w:rsidRPr="00D6538D" w:rsidRDefault="00020783" w:rsidP="00020783">
      <w:pPr>
        <w:spacing w:after="120" w:line="276" w:lineRule="auto"/>
        <w:ind w:firstLine="709"/>
        <w:jc w:val="both"/>
        <w:rPr>
          <w:rFonts w:ascii="Verdana" w:eastAsia="Calibri" w:hAnsi="Verdana" w:cs="Arial"/>
          <w:bCs/>
          <w:lang w:val="es-ES_tradnl"/>
        </w:rPr>
      </w:pPr>
      <w:r w:rsidRPr="00EA7A3F">
        <w:rPr>
          <w:rFonts w:ascii="Verdana" w:eastAsia="Calibri" w:hAnsi="Verdana" w:cs="Arial"/>
          <w:bCs/>
        </w:rPr>
        <w:t>Quienes accedan a este beneficio deben gestionar un certificado provisional en línea ante las autoridades de reclutamiento, que acredite el inicio del trámite de definición de su situación militar. Este certificado será válido por dieciocho (18) meses. El objetivo es permitir temporalmente el acceso al trabajo a este grupo de personas, siempre y cuando inicien el proceso para definir su situación militar dentro del plazo establecido por la ley.</w:t>
      </w:r>
    </w:p>
    <w:p w14:paraId="05EE4F12" w14:textId="77777777" w:rsidR="00020783" w:rsidRPr="00835BA5" w:rsidRDefault="00020783" w:rsidP="00AF0893">
      <w:pPr>
        <w:spacing w:after="0" w:line="276" w:lineRule="auto"/>
        <w:ind w:left="142" w:right="49" w:firstLine="567"/>
        <w:jc w:val="both"/>
        <w:rPr>
          <w:rFonts w:ascii="Verdana" w:hAnsi="Verdana"/>
        </w:rPr>
      </w:pPr>
      <w:r w:rsidRPr="00835BA5">
        <w:rPr>
          <w:rFonts w:ascii="Verdana" w:hAnsi="Verdana"/>
        </w:rPr>
        <w:t>En relación con este punto, la Circular Externa Única expedida por la Agencia Nacional de Contratación Pública – Colombia Compra Eficiente</w:t>
      </w:r>
      <w:r>
        <w:rPr>
          <w:rStyle w:val="Refdenotaalpie"/>
          <w:rFonts w:ascii="Verdana" w:hAnsi="Verdana"/>
        </w:rPr>
        <w:footnoteReference w:id="7"/>
      </w:r>
      <w:r w:rsidRPr="00835BA5">
        <w:rPr>
          <w:rFonts w:ascii="Verdana" w:hAnsi="Verdana"/>
        </w:rPr>
        <w:t xml:space="preserve"> señaló que es deber de las Entidades Públicas verificar que la situación militar del futuro contratista se encuentre definida para efectos de la celebración del contrato de prestación de servicios. Adicionalmente, concluyo que:</w:t>
      </w:r>
    </w:p>
    <w:p w14:paraId="6ACE93A3" w14:textId="77777777" w:rsidR="00AF0893" w:rsidRPr="00835BA5" w:rsidRDefault="00AF0893" w:rsidP="00DC37EE">
      <w:pPr>
        <w:spacing w:after="0" w:line="276" w:lineRule="auto"/>
        <w:ind w:left="142" w:right="49" w:firstLine="567"/>
        <w:jc w:val="both"/>
        <w:rPr>
          <w:rFonts w:ascii="Verdana" w:hAnsi="Verdana"/>
        </w:rPr>
      </w:pPr>
    </w:p>
    <w:p w14:paraId="225C29F3" w14:textId="644DAB8B" w:rsidR="00020783" w:rsidRPr="00835BA5" w:rsidRDefault="00AF0893" w:rsidP="00AF0893">
      <w:pPr>
        <w:spacing w:after="0" w:line="276" w:lineRule="auto"/>
        <w:ind w:left="709" w:right="709"/>
        <w:jc w:val="both"/>
        <w:rPr>
          <w:rFonts w:ascii="Verdana" w:hAnsi="Verdana"/>
          <w:sz w:val="20"/>
          <w:szCs w:val="20"/>
        </w:rPr>
      </w:pPr>
      <w:r>
        <w:rPr>
          <w:rFonts w:ascii="Verdana" w:hAnsi="Verdana"/>
          <w:sz w:val="20"/>
          <w:szCs w:val="20"/>
        </w:rPr>
        <w:t>“</w:t>
      </w:r>
      <w:r w:rsidR="00020783" w:rsidRPr="00835BA5">
        <w:rPr>
          <w:rFonts w:ascii="Verdana" w:hAnsi="Verdana"/>
          <w:sz w:val="20"/>
          <w:szCs w:val="20"/>
        </w:rPr>
        <w:t xml:space="preserve">los ciudadanos que pretendan suscribir un contrato de prestación de servicios con una Entidad Estatal podrán acreditar su situación militar de la siguiente manera: i) copia de la libreta militar; o </w:t>
      </w:r>
      <w:proofErr w:type="spellStart"/>
      <w:r w:rsidR="00020783" w:rsidRPr="00835BA5">
        <w:rPr>
          <w:rFonts w:ascii="Verdana" w:hAnsi="Verdana"/>
          <w:sz w:val="20"/>
          <w:szCs w:val="20"/>
        </w:rPr>
        <w:t>ii</w:t>
      </w:r>
      <w:proofErr w:type="spellEnd"/>
      <w:r w:rsidR="00020783" w:rsidRPr="00835BA5">
        <w:rPr>
          <w:rFonts w:ascii="Verdana" w:hAnsi="Verdana"/>
          <w:sz w:val="20"/>
          <w:szCs w:val="20"/>
        </w:rPr>
        <w:t xml:space="preserve">) certificación provisional en línea la cual acreditará que su situación militar se encuentra en trámite; o </w:t>
      </w:r>
      <w:proofErr w:type="spellStart"/>
      <w:r w:rsidR="00020783" w:rsidRPr="00835BA5">
        <w:rPr>
          <w:rFonts w:ascii="Verdana" w:hAnsi="Verdana"/>
          <w:sz w:val="20"/>
          <w:szCs w:val="20"/>
        </w:rPr>
        <w:t>iii</w:t>
      </w:r>
      <w:proofErr w:type="spellEnd"/>
      <w:r w:rsidR="00020783" w:rsidRPr="00835BA5">
        <w:rPr>
          <w:rFonts w:ascii="Verdana" w:hAnsi="Verdana"/>
          <w:sz w:val="20"/>
          <w:szCs w:val="20"/>
        </w:rPr>
        <w:t xml:space="preserve">) declaración juramentada, en la que el ciudadano manifiesta que ha realizado las actuaciones tendientes a definir su situación militar –esta puede materializarse en virtud del principio constitucional de buena fe a través de cualquier documento que allegue el ciudadano con la respectiva declaración o, incluso a través de formatos estandarizados por la Entidad Estatal para dicho fin–; o </w:t>
      </w:r>
      <w:proofErr w:type="spellStart"/>
      <w:r w:rsidR="00020783" w:rsidRPr="00835BA5">
        <w:rPr>
          <w:rFonts w:ascii="Verdana" w:hAnsi="Verdana"/>
          <w:sz w:val="20"/>
          <w:szCs w:val="20"/>
        </w:rPr>
        <w:t>iv</w:t>
      </w:r>
      <w:proofErr w:type="spellEnd"/>
      <w:r w:rsidR="00020783" w:rsidRPr="00835BA5">
        <w:rPr>
          <w:rFonts w:ascii="Verdana" w:hAnsi="Verdana"/>
          <w:sz w:val="20"/>
          <w:szCs w:val="20"/>
        </w:rPr>
        <w:t xml:space="preserve">) cualquier otro medio de prueba que resulte conducente para demostrar que la persona con la que se va a suscribir el contrato es beneficiario de la prerrogativa </w:t>
      </w:r>
      <w:r w:rsidR="00020783" w:rsidRPr="00835BA5">
        <w:rPr>
          <w:rFonts w:ascii="Verdana" w:hAnsi="Verdana"/>
          <w:sz w:val="20"/>
          <w:szCs w:val="20"/>
        </w:rPr>
        <w:lastRenderedPageBreak/>
        <w:t>establecida en el artículo 42 de la Ley 1861 de 2017 y ha adelantado actuaciones tendientes a definir su situación militar.</w:t>
      </w:r>
    </w:p>
    <w:p w14:paraId="795ED92C" w14:textId="77777777" w:rsidR="00AF0893" w:rsidRPr="00835BA5" w:rsidRDefault="00AF0893" w:rsidP="00DC37EE">
      <w:pPr>
        <w:spacing w:after="0" w:line="276" w:lineRule="auto"/>
        <w:ind w:left="709" w:right="709"/>
        <w:jc w:val="both"/>
        <w:rPr>
          <w:rFonts w:ascii="Verdana" w:hAnsi="Verdana"/>
          <w:sz w:val="20"/>
          <w:szCs w:val="20"/>
        </w:rPr>
      </w:pPr>
    </w:p>
    <w:p w14:paraId="44C222E6" w14:textId="77777777" w:rsidR="00020783" w:rsidRPr="00835BA5" w:rsidRDefault="00020783" w:rsidP="00AF0893">
      <w:pPr>
        <w:spacing w:after="0" w:line="276" w:lineRule="auto"/>
        <w:ind w:left="709" w:right="709"/>
        <w:jc w:val="both"/>
        <w:rPr>
          <w:rFonts w:ascii="Verdana" w:hAnsi="Verdana"/>
          <w:sz w:val="20"/>
          <w:szCs w:val="20"/>
        </w:rPr>
      </w:pPr>
      <w:r w:rsidRPr="00835BA5">
        <w:rPr>
          <w:rFonts w:ascii="Verdana" w:hAnsi="Verdana"/>
          <w:sz w:val="20"/>
          <w:szCs w:val="20"/>
        </w:rPr>
        <w:t>La Entidad Estatal contratante deberá estudiar los medios de prueba presentados por el ciudadano, analizando si este cumple o no con los presupuestos indicados en el segundo inciso del artículo 42 de la Ley 1861 de 2017.</w:t>
      </w:r>
    </w:p>
    <w:p w14:paraId="226A6DE0" w14:textId="77777777" w:rsidR="00AF0893" w:rsidRPr="00835BA5" w:rsidRDefault="00AF0893" w:rsidP="00DC37EE">
      <w:pPr>
        <w:spacing w:after="0" w:line="276" w:lineRule="auto"/>
        <w:ind w:left="709" w:right="709"/>
        <w:jc w:val="both"/>
        <w:rPr>
          <w:rFonts w:ascii="Verdana" w:hAnsi="Verdana"/>
          <w:sz w:val="20"/>
          <w:szCs w:val="20"/>
        </w:rPr>
      </w:pPr>
    </w:p>
    <w:p w14:paraId="66C1A04D" w14:textId="77777777" w:rsidR="00020783" w:rsidRDefault="00020783" w:rsidP="00020783">
      <w:pPr>
        <w:widowControl w:val="0"/>
        <w:autoSpaceDE w:val="0"/>
        <w:autoSpaceDN w:val="0"/>
        <w:spacing w:after="0" w:line="276" w:lineRule="auto"/>
        <w:ind w:right="176" w:firstLine="708"/>
        <w:jc w:val="both"/>
        <w:rPr>
          <w:rFonts w:ascii="Verdana" w:hAnsi="Verdana"/>
        </w:rPr>
      </w:pPr>
      <w:r w:rsidRPr="00F07825">
        <w:rPr>
          <w:rFonts w:ascii="Verdana" w:hAnsi="Verdana"/>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D2FA681" w14:textId="77777777" w:rsidR="00020783" w:rsidRPr="00125A1D" w:rsidRDefault="00020783" w:rsidP="00020783">
      <w:pPr>
        <w:widowControl w:val="0"/>
        <w:autoSpaceDE w:val="0"/>
        <w:autoSpaceDN w:val="0"/>
        <w:spacing w:after="0" w:line="276" w:lineRule="auto"/>
        <w:jc w:val="both"/>
        <w:rPr>
          <w:rFonts w:ascii="Verdana" w:hAnsi="Verdana" w:cs="Arial"/>
        </w:rPr>
      </w:pPr>
    </w:p>
    <w:p w14:paraId="1813785C" w14:textId="77777777" w:rsidR="00020783" w:rsidRPr="00125A1D" w:rsidRDefault="00020783" w:rsidP="000207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Referencias normativas, jurisprudenciales y otras fuentes:</w:t>
      </w:r>
    </w:p>
    <w:p w14:paraId="3DFD1E90" w14:textId="77777777" w:rsidR="00020783" w:rsidRPr="00125A1D" w:rsidRDefault="00020783" w:rsidP="00020783">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020783" w:rsidRPr="00125A1D" w14:paraId="31DCF868" w14:textId="77777777" w:rsidTr="00624D01">
        <w:trPr>
          <w:trHeight w:val="870"/>
        </w:trPr>
        <w:tc>
          <w:tcPr>
            <w:tcW w:w="8647" w:type="dxa"/>
            <w:tcBorders>
              <w:top w:val="dotted" w:sz="4" w:space="0" w:color="auto"/>
              <w:left w:val="dotted" w:sz="4" w:space="0" w:color="auto"/>
              <w:bottom w:val="dotted" w:sz="4" w:space="0" w:color="auto"/>
              <w:right w:val="dotted" w:sz="4" w:space="0" w:color="auto"/>
            </w:tcBorders>
            <w:hideMark/>
          </w:tcPr>
          <w:p w14:paraId="328A5C8B" w14:textId="77777777" w:rsidR="00020783" w:rsidRPr="00D6538D" w:rsidRDefault="00020783" w:rsidP="00020783">
            <w:pPr>
              <w:pStyle w:val="Prrafodelista"/>
              <w:numPr>
                <w:ilvl w:val="0"/>
                <w:numId w:val="17"/>
              </w:numPr>
              <w:spacing w:line="256" w:lineRule="auto"/>
              <w:rPr>
                <w:rFonts w:ascii="Verdana" w:hAnsi="Verdana"/>
              </w:rPr>
            </w:pPr>
            <w:r w:rsidRPr="00D6538D">
              <w:rPr>
                <w:rFonts w:ascii="Verdana" w:hAnsi="Verdana"/>
              </w:rPr>
              <w:t>Constitución Política de 1991. Artículo 216</w:t>
            </w:r>
          </w:p>
          <w:p w14:paraId="010D1F5C" w14:textId="77777777" w:rsidR="00020783" w:rsidRPr="00D6538D" w:rsidRDefault="00020783" w:rsidP="00020783">
            <w:pPr>
              <w:pStyle w:val="Prrafodelista"/>
              <w:numPr>
                <w:ilvl w:val="0"/>
                <w:numId w:val="17"/>
              </w:numPr>
              <w:spacing w:line="256" w:lineRule="auto"/>
              <w:rPr>
                <w:rFonts w:ascii="Verdana" w:eastAsia="Times New Roman" w:hAnsi="Verdana" w:cs="Century Gothic"/>
              </w:rPr>
            </w:pPr>
            <w:r w:rsidRPr="00D6538D">
              <w:rPr>
                <w:rFonts w:ascii="Verdana" w:hAnsi="Verdana"/>
              </w:rPr>
              <w:t>Ley 1861 de 2017. Artículo 4, 11, 12, 17, 35, 40, 41 y 42</w:t>
            </w:r>
          </w:p>
          <w:p w14:paraId="6F78BE3F" w14:textId="77777777" w:rsidR="00020783" w:rsidRPr="00D6538D" w:rsidRDefault="00020783" w:rsidP="00020783">
            <w:pPr>
              <w:pStyle w:val="Prrafodelista"/>
              <w:numPr>
                <w:ilvl w:val="0"/>
                <w:numId w:val="17"/>
              </w:numPr>
              <w:spacing w:line="256" w:lineRule="auto"/>
              <w:jc w:val="both"/>
              <w:rPr>
                <w:rFonts w:ascii="Verdana" w:hAnsi="Verdana" w:cs="Arial"/>
              </w:rPr>
            </w:pPr>
            <w:r w:rsidRPr="00D6538D">
              <w:rPr>
                <w:rFonts w:ascii="Verdana" w:hAnsi="Verdana"/>
              </w:rPr>
              <w:t xml:space="preserve">Decreto 1070 de 2015. </w:t>
            </w:r>
            <w:r w:rsidRPr="00D6538D">
              <w:rPr>
                <w:rFonts w:ascii="Verdana" w:eastAsia="Times New Roman" w:hAnsi="Verdana" w:cs="Century Gothic"/>
              </w:rPr>
              <w:t>Artículo 2.3.1.4.3.1.</w:t>
            </w:r>
          </w:p>
          <w:p w14:paraId="06276F14" w14:textId="77777777" w:rsidR="00020783" w:rsidRPr="00D6538D" w:rsidRDefault="00020783" w:rsidP="00020783">
            <w:pPr>
              <w:pStyle w:val="Prrafodelista"/>
              <w:numPr>
                <w:ilvl w:val="0"/>
                <w:numId w:val="17"/>
              </w:numPr>
              <w:spacing w:line="256" w:lineRule="auto"/>
              <w:jc w:val="both"/>
              <w:rPr>
                <w:rFonts w:ascii="Verdana" w:hAnsi="Verdana" w:cs="Arial"/>
                <w:sz w:val="16"/>
                <w:szCs w:val="16"/>
              </w:rPr>
            </w:pPr>
            <w:r w:rsidRPr="00D6538D">
              <w:rPr>
                <w:rFonts w:ascii="Verdana" w:hAnsi="Verdana" w:cs="Arial"/>
              </w:rPr>
              <w:t>Corte Constitucional. Sentencia C-277 del 19 de junio de 2019. M.P. Carlos Bernal Pulido.</w:t>
            </w:r>
          </w:p>
        </w:tc>
      </w:tr>
    </w:tbl>
    <w:p w14:paraId="053272B8" w14:textId="77777777" w:rsidR="00020783" w:rsidRPr="00125A1D" w:rsidRDefault="00020783" w:rsidP="00020783">
      <w:pPr>
        <w:widowControl w:val="0"/>
        <w:autoSpaceDE w:val="0"/>
        <w:autoSpaceDN w:val="0"/>
        <w:spacing w:after="0" w:line="276" w:lineRule="auto"/>
        <w:jc w:val="both"/>
        <w:rPr>
          <w:rFonts w:ascii="Verdana" w:hAnsi="Verdana" w:cs="Arial"/>
        </w:rPr>
      </w:pPr>
    </w:p>
    <w:p w14:paraId="7B67B483" w14:textId="77777777" w:rsidR="00020783" w:rsidRPr="00125A1D" w:rsidRDefault="00020783" w:rsidP="0002078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125A1D">
        <w:rPr>
          <w:rFonts w:ascii="Verdana" w:eastAsia="Century Gothic" w:hAnsi="Verdana" w:cs="Century Gothic"/>
          <w:b/>
          <w:bCs/>
        </w:rPr>
        <w:t>Doctrina de la Agencia Nacional de Contratación Pública:</w:t>
      </w:r>
    </w:p>
    <w:p w14:paraId="54850438" w14:textId="77777777" w:rsidR="00020783" w:rsidRPr="00125A1D" w:rsidRDefault="00020783" w:rsidP="00020783">
      <w:pPr>
        <w:widowControl w:val="0"/>
        <w:autoSpaceDE w:val="0"/>
        <w:autoSpaceDN w:val="0"/>
        <w:spacing w:after="0" w:line="276" w:lineRule="auto"/>
        <w:jc w:val="both"/>
        <w:rPr>
          <w:rFonts w:ascii="Verdana" w:hAnsi="Verdana" w:cs="Arial"/>
        </w:rPr>
      </w:pPr>
    </w:p>
    <w:p w14:paraId="0DFFB149" w14:textId="77777777" w:rsidR="00020783" w:rsidRPr="00125A1D" w:rsidRDefault="00020783" w:rsidP="00020783">
      <w:pPr>
        <w:widowControl w:val="0"/>
        <w:autoSpaceDE w:val="0"/>
        <w:autoSpaceDN w:val="0"/>
        <w:spacing w:after="0" w:line="276" w:lineRule="auto"/>
        <w:jc w:val="both"/>
        <w:rPr>
          <w:rStyle w:val="normaltextrun"/>
          <w:rFonts w:ascii="Verdana" w:hAnsi="Verdana"/>
          <w:color w:val="FF0000"/>
          <w:shd w:val="clear" w:color="auto" w:fill="FFFFFF"/>
          <w:lang w:val="es-ES"/>
        </w:rPr>
      </w:pPr>
      <w:r w:rsidRPr="00E55233">
        <w:rPr>
          <w:rFonts w:ascii="Verdana" w:hAnsi="Verdana" w:cs="Arial"/>
          <w:color w:val="000000" w:themeColor="text1"/>
          <w:shd w:val="clear" w:color="auto" w:fill="FFFFFF"/>
          <w:lang w:val="es-ES"/>
        </w:rPr>
        <w:t xml:space="preserve">Sobre la </w:t>
      </w:r>
      <w:r>
        <w:rPr>
          <w:rFonts w:ascii="Verdana" w:hAnsi="Verdana" w:cs="Arial"/>
          <w:color w:val="000000" w:themeColor="text1"/>
          <w:shd w:val="clear" w:color="auto" w:fill="FFFFFF"/>
          <w:lang w:val="es-ES"/>
        </w:rPr>
        <w:t>acreditación de la situación militar como requisito para contratos de prestación de servicios</w:t>
      </w:r>
      <w:r w:rsidRPr="00E55233">
        <w:rPr>
          <w:rFonts w:ascii="Verdana" w:hAnsi="Verdana" w:cs="Arial"/>
          <w:color w:val="000000" w:themeColor="text1"/>
          <w:shd w:val="clear" w:color="auto" w:fill="FFFFFF"/>
          <w:lang w:val="es-ES"/>
        </w:rPr>
        <w:t xml:space="preserve">, esta Subdirección se ha referido en los Conceptos </w:t>
      </w:r>
      <w:r>
        <w:rPr>
          <w:rFonts w:ascii="Verdana" w:hAnsi="Verdana" w:cs="Arial"/>
          <w:color w:val="000000" w:themeColor="text1"/>
          <w:shd w:val="clear" w:color="auto" w:fill="FFFFFF"/>
          <w:lang w:val="es-ES_tradnl"/>
        </w:rPr>
        <w:t>C-328 de 2023, C-317 de 2024, C-690 de 2024, C-169 de 2025, C-785 de 2025,</w:t>
      </w:r>
      <w:r>
        <w:rPr>
          <w:rFonts w:ascii="Verdana" w:hAnsi="Verdana" w:cs="Arial"/>
          <w:color w:val="000000" w:themeColor="text1"/>
          <w:shd w:val="clear" w:color="auto" w:fill="FFFFFF"/>
          <w:lang w:val="es-ES"/>
        </w:rPr>
        <w:t xml:space="preserve"> </w:t>
      </w:r>
      <w:r w:rsidRPr="00125A1D">
        <w:rPr>
          <w:rFonts w:ascii="Verdana" w:hAnsi="Verdana" w:cs="Arial"/>
          <w:shd w:val="clear" w:color="auto" w:fill="FFFFFF"/>
        </w:rPr>
        <w:t>entre otros.</w:t>
      </w:r>
      <w:r w:rsidRPr="00125A1D">
        <w:rPr>
          <w:rStyle w:val="normaltextrun"/>
          <w:rFonts w:ascii="Verdana" w:hAnsi="Verdana" w:cs="Arial"/>
          <w:shd w:val="clear" w:color="auto" w:fill="FFFFFF"/>
          <w:lang w:val="es-ES"/>
        </w:rPr>
        <w:t xml:space="preserve"> Es</w:t>
      </w:r>
      <w:r w:rsidRPr="00125A1D">
        <w:rPr>
          <w:rFonts w:ascii="Verdana" w:hAnsi="Verdana"/>
        </w:rPr>
        <w:t>tos y otros conceptos se encuentran disponibles para consulta en el Sistema de relatoría de la Agencia, al cual se puede acceder a través del siguiente enlace:</w:t>
      </w:r>
      <w:r w:rsidRPr="00125A1D">
        <w:rPr>
          <w:rStyle w:val="normaltextrun"/>
          <w:rFonts w:ascii="Verdana" w:hAnsi="Verdana" w:cs="Arial"/>
          <w:shd w:val="clear" w:color="auto" w:fill="FFFFFF"/>
          <w:lang w:val="es-ES"/>
        </w:rPr>
        <w:t xml:space="preserve"> </w:t>
      </w:r>
      <w:hyperlink r:id="rId12" w:history="1">
        <w:r w:rsidRPr="00A011BE">
          <w:rPr>
            <w:rStyle w:val="Hipervnculo"/>
            <w:rFonts w:ascii="Verdana" w:hAnsi="Verdana" w:cs="Arial"/>
            <w:shd w:val="clear" w:color="auto" w:fill="FFFFFF"/>
            <w:lang w:val="es-ES"/>
          </w:rPr>
          <w:t>https://relatoria.colombiacompra.gov.co/busqueda/conceptos</w:t>
        </w:r>
      </w:hyperlink>
      <w:r w:rsidRPr="00A011BE">
        <w:rPr>
          <w:rStyle w:val="normaltextrun"/>
          <w:rFonts w:ascii="Verdana" w:hAnsi="Verdana" w:cs="Arial"/>
          <w:color w:val="FF0000"/>
          <w:shd w:val="clear" w:color="auto" w:fill="FFFFFF"/>
          <w:lang w:val="es-ES"/>
        </w:rPr>
        <w:t xml:space="preserve">. </w:t>
      </w:r>
    </w:p>
    <w:p w14:paraId="2541084D" w14:textId="77777777" w:rsidR="00020783" w:rsidRPr="00125A1D" w:rsidRDefault="00020783" w:rsidP="0002078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AE83016" w14:textId="77777777" w:rsidR="00020783" w:rsidRPr="00125A1D" w:rsidRDefault="00020783" w:rsidP="00020783">
      <w:pPr>
        <w:shd w:val="clear" w:color="auto" w:fill="FFFFFF"/>
        <w:spacing w:after="0" w:line="276" w:lineRule="auto"/>
        <w:jc w:val="both"/>
        <w:textAlignment w:val="baseline"/>
        <w:rPr>
          <w:rFonts w:ascii="Verdana" w:hAnsi="Verdana"/>
          <w:color w:val="467886"/>
          <w:u w:val="single"/>
          <w:bdr w:val="none" w:sz="0" w:space="0" w:color="auto" w:frame="1"/>
        </w:rPr>
      </w:pPr>
      <w:r w:rsidRPr="00125A1D">
        <w:rPr>
          <w:rFonts w:ascii="Verdana" w:hAnsi="Verdana"/>
          <w:color w:val="000000"/>
          <w:bdr w:val="none" w:sz="0" w:space="0" w:color="auto" w:frame="1"/>
        </w:rPr>
        <w:t>Le contamos que ya se encuentra disponible la </w:t>
      </w:r>
      <w:r w:rsidRPr="00125A1D">
        <w:rPr>
          <w:rFonts w:ascii="Verdana" w:hAnsi="Verdana"/>
          <w:b/>
          <w:bCs/>
          <w:color w:val="000000"/>
          <w:bdr w:val="none" w:sz="0" w:space="0" w:color="auto" w:frame="1"/>
        </w:rPr>
        <w:t xml:space="preserve">Guía de lineamientos de transparencia y selección objetiva para el departamento de La Guajira – </w:t>
      </w:r>
      <w:r w:rsidRPr="00125A1D">
        <w:rPr>
          <w:rFonts w:ascii="Verdana" w:hAnsi="Verdana"/>
          <w:b/>
          <w:bCs/>
          <w:color w:val="000000"/>
          <w:bdr w:val="none" w:sz="0" w:space="0" w:color="auto" w:frame="1"/>
        </w:rPr>
        <w:lastRenderedPageBreak/>
        <w:t>Objetivo sexto constitucional de la Sentencia T-302 del 2017. </w:t>
      </w:r>
      <w:r w:rsidRPr="00125A1D">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25A1D">
        <w:rPr>
          <w:rFonts w:ascii="Verdana" w:hAnsi="Verdana"/>
          <w:color w:val="000000"/>
          <w:bdr w:val="none" w:sz="0" w:space="0" w:color="auto" w:frame="1"/>
        </w:rPr>
        <w:t>Wayúu</w:t>
      </w:r>
      <w:proofErr w:type="spellEnd"/>
      <w:r w:rsidRPr="00125A1D">
        <w:rPr>
          <w:rFonts w:ascii="Verdana" w:hAnsi="Verdana"/>
          <w:color w:val="000000"/>
          <w:bdr w:val="none" w:sz="0" w:space="0" w:color="auto" w:frame="1"/>
        </w:rPr>
        <w:t xml:space="preserve">. </w:t>
      </w:r>
      <w:r w:rsidRPr="00A011BE">
        <w:rPr>
          <w:rFonts w:ascii="Verdana" w:hAnsi="Verdana"/>
          <w:color w:val="000000"/>
          <w:bdr w:val="none" w:sz="0" w:space="0" w:color="auto" w:frame="1"/>
        </w:rPr>
        <w:t>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011BE">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sidRPr="00A011BE">
        <w:rPr>
          <w:rFonts w:ascii="Verdana" w:hAnsi="Verdana"/>
          <w:color w:val="467886"/>
          <w:u w:val="single"/>
          <w:bdr w:val="none" w:sz="0" w:space="0" w:color="auto" w:frame="1"/>
        </w:rPr>
        <w:t>"</w:t>
      </w:r>
    </w:p>
    <w:p w14:paraId="4889AC16" w14:textId="77777777" w:rsidR="00020783" w:rsidRPr="00125A1D" w:rsidRDefault="00020783" w:rsidP="00020783">
      <w:pPr>
        <w:spacing w:after="0" w:line="276" w:lineRule="auto"/>
        <w:jc w:val="both"/>
        <w:rPr>
          <w:rFonts w:ascii="Verdana" w:hAnsi="Verdana"/>
        </w:rPr>
      </w:pPr>
    </w:p>
    <w:p w14:paraId="649B97A4" w14:textId="77777777" w:rsidR="00020783" w:rsidRPr="00125A1D" w:rsidRDefault="00020783" w:rsidP="00020783">
      <w:pPr>
        <w:spacing w:after="0" w:line="276" w:lineRule="auto"/>
        <w:jc w:val="both"/>
        <w:rPr>
          <w:rFonts w:ascii="Verdana" w:hAnsi="Verdana"/>
        </w:rPr>
      </w:pPr>
      <w:r w:rsidRPr="00125A1D">
        <w:rPr>
          <w:rFonts w:ascii="Verdana" w:hAnsi="Verdana"/>
        </w:rPr>
        <w:t xml:space="preserve">Por último, lo invitamos a seguirnos en las redes sociales en las cuales se difunde información institucional: </w:t>
      </w:r>
    </w:p>
    <w:p w14:paraId="40154BA4" w14:textId="77777777" w:rsidR="00020783" w:rsidRPr="00125A1D" w:rsidRDefault="00020783" w:rsidP="00020783">
      <w:pPr>
        <w:spacing w:after="0" w:line="276" w:lineRule="auto"/>
        <w:jc w:val="both"/>
        <w:rPr>
          <w:rFonts w:ascii="Verdana" w:hAnsi="Verdana"/>
        </w:rPr>
      </w:pPr>
    </w:p>
    <w:p w14:paraId="0C039CFC" w14:textId="77777777" w:rsidR="00020783" w:rsidRPr="00125A1D" w:rsidRDefault="00020783" w:rsidP="00020783">
      <w:pPr>
        <w:spacing w:after="0" w:line="276" w:lineRule="auto"/>
        <w:jc w:val="both"/>
        <w:rPr>
          <w:rFonts w:ascii="Verdana" w:hAnsi="Verdana"/>
        </w:rPr>
      </w:pPr>
      <w:r w:rsidRPr="00125A1D">
        <w:rPr>
          <w:rFonts w:ascii="Verdana" w:hAnsi="Verdana"/>
        </w:rPr>
        <w:t xml:space="preserve">Twitter: </w:t>
      </w:r>
      <w:r w:rsidRPr="00125A1D">
        <w:rPr>
          <w:rStyle w:val="Hipervnculo"/>
          <w:rFonts w:ascii="Verdana" w:hAnsi="Verdana"/>
          <w:color w:val="4472C4" w:themeColor="accent1"/>
        </w:rPr>
        <w:t>@colombiacompra</w:t>
      </w:r>
      <w:r w:rsidRPr="00125A1D">
        <w:rPr>
          <w:rFonts w:ascii="Verdana" w:hAnsi="Verdana"/>
          <w:color w:val="4472C4" w:themeColor="accent1"/>
        </w:rPr>
        <w:t xml:space="preserve"> </w:t>
      </w:r>
    </w:p>
    <w:p w14:paraId="01AA3130" w14:textId="77777777" w:rsidR="00020783" w:rsidRPr="00125A1D" w:rsidRDefault="00020783" w:rsidP="00020783">
      <w:pPr>
        <w:spacing w:after="0" w:line="276" w:lineRule="auto"/>
        <w:jc w:val="both"/>
        <w:rPr>
          <w:rFonts w:ascii="Verdana" w:hAnsi="Verdana"/>
        </w:rPr>
      </w:pPr>
      <w:r w:rsidRPr="00125A1D">
        <w:rPr>
          <w:rFonts w:ascii="Verdana" w:hAnsi="Verdana"/>
        </w:rPr>
        <w:t xml:space="preserve">Facebook: </w:t>
      </w:r>
      <w:proofErr w:type="spellStart"/>
      <w:r w:rsidRPr="00125A1D">
        <w:rPr>
          <w:rStyle w:val="Hipervnculo"/>
          <w:rFonts w:ascii="Verdana" w:hAnsi="Verdana"/>
          <w:color w:val="4472C4" w:themeColor="accent1"/>
        </w:rPr>
        <w:t>ColombiaCompraEficiente</w:t>
      </w:r>
      <w:proofErr w:type="spellEnd"/>
    </w:p>
    <w:p w14:paraId="792DB668" w14:textId="77777777" w:rsidR="00020783" w:rsidRPr="00125A1D" w:rsidRDefault="00020783" w:rsidP="00020783">
      <w:pPr>
        <w:spacing w:after="0" w:line="276" w:lineRule="auto"/>
        <w:jc w:val="both"/>
        <w:rPr>
          <w:rFonts w:ascii="Verdana" w:hAnsi="Verdana"/>
        </w:rPr>
      </w:pPr>
      <w:r w:rsidRPr="00125A1D">
        <w:rPr>
          <w:rFonts w:ascii="Verdana" w:hAnsi="Verdana"/>
        </w:rPr>
        <w:t xml:space="preserve">LinkedIn: </w:t>
      </w:r>
      <w:r w:rsidRPr="00125A1D">
        <w:rPr>
          <w:rStyle w:val="Hipervnculo"/>
          <w:rFonts w:ascii="Verdana" w:hAnsi="Verdana"/>
          <w:color w:val="4472C4" w:themeColor="accent1"/>
        </w:rPr>
        <w:t>Agencia Nacional de Contratación Pública - Colombia Compra Eficiente</w:t>
      </w:r>
      <w:r w:rsidRPr="00125A1D">
        <w:rPr>
          <w:rFonts w:ascii="Verdana" w:hAnsi="Verdana"/>
          <w:color w:val="4472C4" w:themeColor="accent1"/>
        </w:rPr>
        <w:t xml:space="preserve"> </w:t>
      </w:r>
      <w:r w:rsidRPr="00125A1D">
        <w:rPr>
          <w:rFonts w:ascii="Verdana" w:hAnsi="Verdana"/>
        </w:rPr>
        <w:t xml:space="preserve">Instagram: </w:t>
      </w:r>
      <w:r w:rsidRPr="00125A1D">
        <w:rPr>
          <w:rStyle w:val="Hipervnculo"/>
          <w:rFonts w:ascii="Verdana" w:hAnsi="Verdana"/>
          <w:color w:val="4472C4" w:themeColor="accent1"/>
        </w:rPr>
        <w:t>@colombiacompraeficiente_cce</w:t>
      </w:r>
    </w:p>
    <w:p w14:paraId="69BBA7EB" w14:textId="77777777" w:rsidR="00020783" w:rsidRPr="00125A1D" w:rsidRDefault="00020783" w:rsidP="00020783">
      <w:pPr>
        <w:widowControl w:val="0"/>
        <w:autoSpaceDE w:val="0"/>
        <w:autoSpaceDN w:val="0"/>
        <w:spacing w:after="0" w:line="276" w:lineRule="auto"/>
        <w:jc w:val="both"/>
        <w:rPr>
          <w:rFonts w:ascii="Verdana" w:hAnsi="Verdana" w:cs="Arial"/>
        </w:rPr>
      </w:pPr>
    </w:p>
    <w:p w14:paraId="5F25DC94" w14:textId="77777777" w:rsidR="00020783" w:rsidRPr="00125A1D" w:rsidRDefault="00020783" w:rsidP="00020783">
      <w:pPr>
        <w:widowControl w:val="0"/>
        <w:autoSpaceDE w:val="0"/>
        <w:autoSpaceDN w:val="0"/>
        <w:spacing w:after="0" w:line="276" w:lineRule="auto"/>
        <w:jc w:val="both"/>
        <w:rPr>
          <w:rFonts w:ascii="Verdana" w:hAnsi="Verdana" w:cs="Arial"/>
          <w:lang w:val="es-ES_tradnl"/>
        </w:rPr>
      </w:pPr>
      <w:r w:rsidRPr="00125A1D">
        <w:rPr>
          <w:rFonts w:ascii="Verdana" w:hAnsi="Verdana" w:cs="Arial"/>
        </w:rPr>
        <w:t xml:space="preserve">Este concepto tiene el alcance previsto en el artículo 28 del Código de Procedimiento Administrativo y de lo Contencioso Administrativo </w:t>
      </w:r>
      <w:r w:rsidRPr="00125A1D">
        <w:rPr>
          <w:rFonts w:ascii="Verdana" w:hAnsi="Verdana" w:cs="Arial"/>
          <w:lang w:val="es-ES_tradnl"/>
        </w:rPr>
        <w:t>y las expresiones aquí utilizadas con mayúscula inicial deben ser entendidas con el significado que les otorga el artículo 2.2.1.1.1.3.1. del Decreto 1082 de 2015.</w:t>
      </w:r>
    </w:p>
    <w:p w14:paraId="4A8BFD6C" w14:textId="77777777" w:rsidR="00020783" w:rsidRPr="00125A1D" w:rsidRDefault="00020783" w:rsidP="00020783">
      <w:pPr>
        <w:widowControl w:val="0"/>
        <w:autoSpaceDE w:val="0"/>
        <w:autoSpaceDN w:val="0"/>
        <w:spacing w:after="0" w:line="276" w:lineRule="auto"/>
        <w:jc w:val="both"/>
        <w:rPr>
          <w:rFonts w:ascii="Verdana" w:hAnsi="Verdana" w:cs="Arial"/>
        </w:rPr>
      </w:pPr>
    </w:p>
    <w:p w14:paraId="7785E209" w14:textId="77777777" w:rsidR="00020783" w:rsidRPr="00125A1D" w:rsidRDefault="00020783" w:rsidP="00020783">
      <w:pPr>
        <w:spacing w:after="0" w:line="276" w:lineRule="auto"/>
        <w:rPr>
          <w:rFonts w:ascii="Verdana" w:hAnsi="Verdana" w:cs="Arial"/>
          <w:lang w:eastAsia="es-CO"/>
        </w:rPr>
      </w:pPr>
      <w:bookmarkStart w:id="7" w:name="_Hlk208479366"/>
      <w:r w:rsidRPr="00125A1D">
        <w:rPr>
          <w:rFonts w:ascii="Verdana" w:eastAsia="Times New Roman" w:hAnsi="Verdana" w:cs="Arial"/>
          <w:lang w:eastAsia="es-CO"/>
        </w:rPr>
        <w:t>Atentamente,</w:t>
      </w:r>
      <w:r w:rsidRPr="00125A1D">
        <w:rPr>
          <w:rFonts w:ascii="Verdana" w:hAnsi="Verdana" w:cs="Arial"/>
          <w:lang w:eastAsia="es-CO"/>
        </w:rPr>
        <w:t xml:space="preserve"> </w:t>
      </w:r>
    </w:p>
    <w:p w14:paraId="663D703F" w14:textId="18EA05AA" w:rsidR="00020783" w:rsidRDefault="00F4269D" w:rsidP="00020783">
      <w:pPr>
        <w:spacing w:line="276" w:lineRule="auto"/>
        <w:jc w:val="center"/>
        <w:rPr>
          <w:rFonts w:ascii="Verdana" w:hAnsi="Verdana" w:cs="Arial"/>
          <w:color w:val="000000"/>
          <w:lang w:val="es-ES_tradnl" w:eastAsia="es-CO"/>
        </w:rPr>
      </w:pPr>
      <w:r>
        <w:rPr>
          <w:noProof/>
        </w:rPr>
        <w:drawing>
          <wp:inline distT="0" distB="0" distL="0" distR="0" wp14:anchorId="64E80C9E" wp14:editId="3538FCA4">
            <wp:extent cx="3768725" cy="1399540"/>
            <wp:effectExtent l="0" t="0" r="3175" b="0"/>
            <wp:docPr id="5" name="Imagen 5"/>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20783" w14:paraId="389116B1" w14:textId="77777777" w:rsidTr="00624D01">
        <w:trPr>
          <w:trHeight w:val="315"/>
        </w:trPr>
        <w:tc>
          <w:tcPr>
            <w:tcW w:w="893" w:type="dxa"/>
            <w:vAlign w:val="center"/>
            <w:hideMark/>
          </w:tcPr>
          <w:p w14:paraId="5E082030" w14:textId="77777777" w:rsidR="00020783" w:rsidRDefault="00020783" w:rsidP="00624D01">
            <w:pPr>
              <w:spacing w:after="255"/>
              <w:contextualSpacing/>
              <w:rPr>
                <w:rFonts w:ascii="Verdana" w:hAnsi="Verdana" w:cs="Arial"/>
                <w:sz w:val="16"/>
                <w:szCs w:val="16"/>
                <w:lang w:val="es-ES" w:eastAsia="es-ES"/>
              </w:rPr>
            </w:pPr>
            <w:r>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8C7C293" w14:textId="77777777" w:rsidR="00020783" w:rsidRDefault="00020783" w:rsidP="00624D01">
            <w:pPr>
              <w:spacing w:after="255"/>
              <w:contextualSpacing/>
              <w:rPr>
                <w:rFonts w:ascii="Verdana" w:eastAsia="Arial" w:hAnsi="Verdana" w:cs="Arial"/>
                <w:sz w:val="16"/>
                <w:szCs w:val="16"/>
              </w:rPr>
            </w:pPr>
            <w:r>
              <w:rPr>
                <w:rStyle w:val="normaltextrun"/>
                <w:rFonts w:ascii="Verdana" w:hAnsi="Verdana"/>
                <w:sz w:val="16"/>
                <w:szCs w:val="16"/>
              </w:rPr>
              <w:t xml:space="preserve">Catalina Cubides </w:t>
            </w:r>
            <w:proofErr w:type="spellStart"/>
            <w:r>
              <w:rPr>
                <w:rStyle w:val="normaltextrun"/>
                <w:rFonts w:ascii="Verdana" w:hAnsi="Verdana"/>
                <w:sz w:val="16"/>
                <w:szCs w:val="16"/>
              </w:rPr>
              <w:t>Estupiñan</w:t>
            </w:r>
            <w:proofErr w:type="spellEnd"/>
          </w:p>
          <w:p w14:paraId="22808C3F" w14:textId="77777777" w:rsidR="00020783" w:rsidRDefault="00020783" w:rsidP="00624D01">
            <w:pPr>
              <w:spacing w:after="255"/>
              <w:contextualSpacing/>
              <w:rPr>
                <w:rFonts w:ascii="Verdana" w:eastAsia="Arial" w:hAnsi="Verdana" w:cs="Arial"/>
                <w:sz w:val="16"/>
                <w:szCs w:val="16"/>
              </w:rPr>
            </w:pPr>
            <w:r>
              <w:rPr>
                <w:rStyle w:val="normaltextrun"/>
                <w:rFonts w:ascii="Verdana" w:eastAsia="Arial" w:hAnsi="Verdana" w:cs="Arial"/>
                <w:sz w:val="16"/>
                <w:szCs w:val="16"/>
              </w:rPr>
              <w:t>C</w:t>
            </w:r>
            <w:r>
              <w:rPr>
                <w:rStyle w:val="normaltextrun"/>
                <w:rFonts w:ascii="Verdana" w:eastAsia="Arial" w:hAnsi="Verdana"/>
                <w:sz w:val="16"/>
                <w:szCs w:val="16"/>
              </w:rPr>
              <w:t>ontratista d</w:t>
            </w:r>
            <w:r>
              <w:rPr>
                <w:rStyle w:val="normaltextrun"/>
                <w:rFonts w:ascii="Verdana" w:eastAsia="Arial" w:hAnsi="Verdana" w:cs="Arial"/>
                <w:sz w:val="16"/>
                <w:szCs w:val="16"/>
              </w:rPr>
              <w:t>e la Subdirección de Gestión Contractual</w:t>
            </w:r>
          </w:p>
        </w:tc>
      </w:tr>
      <w:tr w:rsidR="00020783" w14:paraId="4F35B995" w14:textId="77777777" w:rsidTr="00624D01">
        <w:trPr>
          <w:trHeight w:val="330"/>
        </w:trPr>
        <w:tc>
          <w:tcPr>
            <w:tcW w:w="893" w:type="dxa"/>
            <w:vAlign w:val="center"/>
            <w:hideMark/>
          </w:tcPr>
          <w:p w14:paraId="31205AEB" w14:textId="77777777" w:rsidR="00020783" w:rsidRDefault="00020783" w:rsidP="00624D01">
            <w:pPr>
              <w:spacing w:after="255"/>
              <w:contextualSpacing/>
              <w:rPr>
                <w:rFonts w:ascii="Verdana" w:hAnsi="Verdana" w:cs="Arial"/>
                <w:sz w:val="16"/>
                <w:szCs w:val="16"/>
                <w:lang w:val="es-ES" w:eastAsia="es-ES"/>
              </w:rPr>
            </w:pPr>
            <w:r>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14CC250" w14:textId="77777777" w:rsidR="00020783" w:rsidRDefault="00020783" w:rsidP="00624D01">
            <w:pPr>
              <w:pStyle w:val="paragraph"/>
              <w:spacing w:before="0" w:beforeAutospacing="0" w:after="0" w:afterAutospacing="0"/>
              <w:contextualSpacing/>
              <w:textAlignment w:val="baseline"/>
              <w:rPr>
                <w:rFonts w:ascii="Verdana" w:hAnsi="Verdana" w:cs="Segoe UI"/>
                <w:sz w:val="16"/>
                <w:szCs w:val="16"/>
                <w:lang w:eastAsia="es-ES_tradnl"/>
              </w:rPr>
            </w:pPr>
            <w:r>
              <w:rPr>
                <w:rFonts w:ascii="Verdana" w:hAnsi="Verdana" w:cs="Segoe UI"/>
                <w:sz w:val="16"/>
                <w:szCs w:val="16"/>
              </w:rPr>
              <w:t>Diana Lucía Saavedra Castañeda</w:t>
            </w:r>
          </w:p>
          <w:p w14:paraId="38C741D7" w14:textId="77777777" w:rsidR="00020783" w:rsidRDefault="00020783" w:rsidP="00624D01">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Contratista de la Subdirección de Gestión Contractual</w:t>
            </w:r>
            <w:r>
              <w:rPr>
                <w:rStyle w:val="eop"/>
                <w:rFonts w:ascii="Verdana" w:hAnsi="Verdana" w:cs="Arial"/>
                <w:sz w:val="16"/>
                <w:szCs w:val="16"/>
              </w:rPr>
              <w:t> </w:t>
            </w:r>
          </w:p>
        </w:tc>
      </w:tr>
      <w:tr w:rsidR="00020783" w14:paraId="1902F6AB" w14:textId="77777777" w:rsidTr="00624D01">
        <w:trPr>
          <w:trHeight w:val="300"/>
        </w:trPr>
        <w:tc>
          <w:tcPr>
            <w:tcW w:w="893" w:type="dxa"/>
            <w:vAlign w:val="center"/>
            <w:hideMark/>
          </w:tcPr>
          <w:p w14:paraId="5B1D7938" w14:textId="77777777" w:rsidR="00020783" w:rsidRDefault="00020783" w:rsidP="00624D01">
            <w:pPr>
              <w:spacing w:after="255"/>
              <w:contextualSpacing/>
              <w:rPr>
                <w:rFonts w:ascii="Verdana" w:hAnsi="Verdana" w:cs="Arial"/>
                <w:sz w:val="16"/>
                <w:szCs w:val="16"/>
                <w:lang w:val="es-ES" w:eastAsia="es-ES"/>
              </w:rPr>
            </w:pPr>
            <w:r>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4C04F5C" w14:textId="77777777" w:rsidR="00020783" w:rsidRDefault="00020783" w:rsidP="00624D01">
            <w:pPr>
              <w:spacing w:after="255"/>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Gacharná</w:t>
            </w:r>
            <w:proofErr w:type="spellEnd"/>
          </w:p>
          <w:p w14:paraId="30B1331F" w14:textId="77777777" w:rsidR="00020783" w:rsidRDefault="00020783" w:rsidP="00624D01">
            <w:pPr>
              <w:spacing w:after="255"/>
              <w:contextualSpacing/>
              <w:rPr>
                <w:rFonts w:ascii="Verdana" w:eastAsia="Calibri" w:hAnsi="Verdana" w:cs="Arial"/>
                <w:sz w:val="16"/>
                <w:szCs w:val="16"/>
                <w:lang w:val="pt-BR" w:eastAsia="es-ES"/>
              </w:rPr>
            </w:pPr>
            <w:r>
              <w:rPr>
                <w:rFonts w:ascii="Verdana" w:eastAsia="Calibri" w:hAnsi="Verdana" w:cs="Arial"/>
                <w:sz w:val="16"/>
                <w:szCs w:val="16"/>
                <w:lang w:eastAsia="es-ES"/>
              </w:rPr>
              <w:t>Subdirectora</w:t>
            </w:r>
            <w:r>
              <w:rPr>
                <w:rFonts w:ascii="Verdana" w:eastAsia="Calibri" w:hAnsi="Verdana" w:cs="Arial"/>
                <w:sz w:val="16"/>
                <w:szCs w:val="16"/>
                <w:lang w:val="pt-BR" w:eastAsia="es-ES"/>
              </w:rPr>
              <w:t xml:space="preserve"> de Gestión </w:t>
            </w:r>
            <w:proofErr w:type="spellStart"/>
            <w:r>
              <w:rPr>
                <w:rFonts w:ascii="Verdana" w:eastAsia="Calibri" w:hAnsi="Verdana" w:cs="Arial"/>
                <w:sz w:val="16"/>
                <w:szCs w:val="16"/>
                <w:lang w:val="pt-BR" w:eastAsia="es-ES"/>
              </w:rPr>
              <w:t>Contractual</w:t>
            </w:r>
            <w:proofErr w:type="spellEnd"/>
            <w:r>
              <w:rPr>
                <w:rFonts w:ascii="Verdana" w:eastAsia="Calibri" w:hAnsi="Verdana" w:cs="Arial"/>
                <w:sz w:val="16"/>
                <w:szCs w:val="16"/>
                <w:lang w:val="pt-BR" w:eastAsia="es-ES"/>
              </w:rPr>
              <w:t xml:space="preserve"> ANCP – CCE</w:t>
            </w:r>
          </w:p>
        </w:tc>
      </w:tr>
      <w:bookmarkEnd w:id="0"/>
      <w:bookmarkEnd w:id="7"/>
    </w:tbl>
    <w:p w14:paraId="5A4D5D52" w14:textId="77777777" w:rsidR="00020783" w:rsidRPr="0044528D" w:rsidRDefault="00020783" w:rsidP="00E245AB">
      <w:pPr>
        <w:spacing w:after="0"/>
        <w:rPr>
          <w:rFonts w:ascii="Verdana" w:hAnsi="Verdana"/>
        </w:rPr>
      </w:pPr>
    </w:p>
    <w:sectPr w:rsidR="00020783" w:rsidRPr="0044528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A1533E" w14:textId="77777777" w:rsidR="000E311E" w:rsidRDefault="000E311E" w:rsidP="004A1847">
      <w:pPr>
        <w:spacing w:after="0" w:line="240" w:lineRule="auto"/>
      </w:pPr>
      <w:r>
        <w:separator/>
      </w:r>
    </w:p>
  </w:endnote>
  <w:endnote w:type="continuationSeparator" w:id="0">
    <w:p w14:paraId="029F3039" w14:textId="77777777" w:rsidR="000E311E" w:rsidRDefault="000E311E" w:rsidP="004A1847">
      <w:pPr>
        <w:spacing w:after="0" w:line="240" w:lineRule="auto"/>
      </w:pPr>
      <w:r>
        <w:continuationSeparator/>
      </w:r>
    </w:p>
  </w:endnote>
  <w:endnote w:type="continuationNotice" w:id="1">
    <w:p w14:paraId="7DF6380C" w14:textId="77777777" w:rsidR="000E311E" w:rsidRDefault="000E311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Klee One"/>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62A863" w14:textId="77777777" w:rsidR="000E311E" w:rsidRDefault="000E311E" w:rsidP="004A1847">
      <w:pPr>
        <w:spacing w:after="0" w:line="240" w:lineRule="auto"/>
      </w:pPr>
      <w:r>
        <w:separator/>
      </w:r>
    </w:p>
  </w:footnote>
  <w:footnote w:type="continuationSeparator" w:id="0">
    <w:p w14:paraId="2AE97718" w14:textId="77777777" w:rsidR="000E311E" w:rsidRDefault="000E311E" w:rsidP="004A1847">
      <w:pPr>
        <w:spacing w:after="0" w:line="240" w:lineRule="auto"/>
      </w:pPr>
      <w:r>
        <w:continuationSeparator/>
      </w:r>
    </w:p>
  </w:footnote>
  <w:footnote w:type="continuationNotice" w:id="1">
    <w:p w14:paraId="33882E4B" w14:textId="77777777" w:rsidR="000E311E" w:rsidRDefault="000E311E">
      <w:pPr>
        <w:spacing w:after="0" w:line="240" w:lineRule="auto"/>
      </w:pPr>
    </w:p>
  </w:footnote>
  <w:footnote w:id="2">
    <w:p w14:paraId="2E1371EA" w14:textId="77777777" w:rsidR="00020783" w:rsidRPr="00DC37EE" w:rsidRDefault="00020783" w:rsidP="00DC37EE">
      <w:pPr>
        <w:pStyle w:val="Textonotapie"/>
        <w:ind w:firstLine="709"/>
        <w:rPr>
          <w:rFonts w:ascii="Verdana" w:hAnsi="Verdana"/>
          <w:sz w:val="14"/>
          <w:szCs w:val="14"/>
          <w:lang w:val="es-CO"/>
        </w:rPr>
      </w:pPr>
      <w:r w:rsidRPr="00DC37EE">
        <w:rPr>
          <w:rStyle w:val="Refdenotaalpie"/>
          <w:rFonts w:ascii="Verdana" w:hAnsi="Verdana"/>
          <w:sz w:val="14"/>
          <w:szCs w:val="14"/>
        </w:rPr>
        <w:footnoteRef/>
      </w:r>
      <w:r w:rsidRPr="00DC37EE">
        <w:rPr>
          <w:rFonts w:ascii="Verdana" w:hAnsi="Verdana"/>
          <w:sz w:val="14"/>
          <w:szCs w:val="14"/>
        </w:rPr>
        <w:t xml:space="preserve"> Artículo 17 de la Ley 1861 de 2017</w:t>
      </w:r>
    </w:p>
  </w:footnote>
  <w:footnote w:id="3">
    <w:p w14:paraId="3B05DC59" w14:textId="77777777" w:rsidR="00020783" w:rsidRPr="00DC37EE" w:rsidRDefault="00020783" w:rsidP="00DC37EE">
      <w:pPr>
        <w:pStyle w:val="Textonotapie"/>
        <w:ind w:firstLine="709"/>
        <w:rPr>
          <w:rFonts w:ascii="Verdana" w:hAnsi="Verdana"/>
          <w:sz w:val="14"/>
          <w:szCs w:val="14"/>
          <w:lang w:val="es-CO"/>
        </w:rPr>
      </w:pPr>
      <w:r w:rsidRPr="00DC37EE">
        <w:rPr>
          <w:rStyle w:val="Refdenotaalpie"/>
          <w:rFonts w:ascii="Verdana" w:hAnsi="Verdana"/>
          <w:sz w:val="14"/>
          <w:szCs w:val="14"/>
        </w:rPr>
        <w:footnoteRef/>
      </w:r>
      <w:r w:rsidRPr="00DC37EE">
        <w:rPr>
          <w:rFonts w:ascii="Verdana" w:hAnsi="Verdana"/>
          <w:sz w:val="14"/>
          <w:szCs w:val="14"/>
        </w:rPr>
        <w:t xml:space="preserve"> Artículos 26 a 28, Ibídem.</w:t>
      </w:r>
    </w:p>
  </w:footnote>
  <w:footnote w:id="4">
    <w:p w14:paraId="6AE320F7" w14:textId="77777777" w:rsidR="00020783" w:rsidRPr="00DC37EE" w:rsidRDefault="00020783" w:rsidP="00DC37EE">
      <w:pPr>
        <w:pStyle w:val="Textonotapie"/>
        <w:ind w:firstLine="709"/>
        <w:rPr>
          <w:rFonts w:ascii="Verdana" w:hAnsi="Verdana"/>
          <w:sz w:val="14"/>
          <w:szCs w:val="14"/>
          <w:lang w:val="es-CO"/>
        </w:rPr>
      </w:pPr>
      <w:r w:rsidRPr="00DC37EE">
        <w:rPr>
          <w:rStyle w:val="Refdenotaalpie"/>
          <w:rFonts w:ascii="Verdana" w:hAnsi="Verdana"/>
          <w:sz w:val="14"/>
          <w:szCs w:val="14"/>
        </w:rPr>
        <w:footnoteRef/>
      </w:r>
      <w:r w:rsidRPr="00DC37EE">
        <w:rPr>
          <w:rFonts w:ascii="Verdana" w:hAnsi="Verdana"/>
          <w:sz w:val="14"/>
          <w:szCs w:val="14"/>
        </w:rPr>
        <w:t xml:space="preserve"> “Artículo 40. Documento Público. Las tarjetas de reservista se clasificarán como material reservado adquiriendo el carácter de documento público, una vez hayan sido expedidas legalmente por la respectiva Dirección de Reclutamiento. Parágrafo 1o. A partir de la vigencia de la presente ley, el ciudadano podrá expedir certificado digital que acredita la definición de la situación militar como reservista de segunda clase a través del portal web dispuesto para tal fin, el cual gozará del carácter de documento público. […]”</w:t>
      </w:r>
    </w:p>
  </w:footnote>
  <w:footnote w:id="5">
    <w:p w14:paraId="26748D62" w14:textId="77777777" w:rsidR="00020783" w:rsidRPr="00DC37EE" w:rsidRDefault="00020783" w:rsidP="00DC37EE">
      <w:pPr>
        <w:pStyle w:val="Textonotapie"/>
        <w:ind w:firstLine="709"/>
        <w:rPr>
          <w:rFonts w:ascii="Verdana" w:hAnsi="Verdana"/>
          <w:sz w:val="14"/>
          <w:szCs w:val="14"/>
          <w:lang w:val="es-CO"/>
        </w:rPr>
      </w:pPr>
      <w:r w:rsidRPr="00DC37EE">
        <w:rPr>
          <w:rStyle w:val="Refdenotaalpie"/>
          <w:rFonts w:ascii="Verdana" w:hAnsi="Verdana"/>
          <w:sz w:val="14"/>
          <w:szCs w:val="14"/>
        </w:rPr>
        <w:footnoteRef/>
      </w:r>
      <w:r w:rsidRPr="00DC37EE">
        <w:rPr>
          <w:rFonts w:ascii="Verdana" w:hAnsi="Verdana"/>
          <w:sz w:val="14"/>
          <w:szCs w:val="14"/>
          <w:lang w:val="es-CO"/>
        </w:rPr>
        <w:t xml:space="preserve"> </w:t>
      </w:r>
      <w:r w:rsidRPr="00DC37EE">
        <w:rPr>
          <w:rFonts w:ascii="Verdana" w:hAnsi="Verdana"/>
          <w:sz w:val="14"/>
          <w:szCs w:val="14"/>
        </w:rPr>
        <w:t>“Artículo 41. Cédula Militar. Para los oficiales, suboficiales, soldados e infantes de marina profesionales en servicio activo, situación de retiro o de reserva la cédula militar reemplaza la tarjeta de reservista para todos los actos en que esta sea requerida”.</w:t>
      </w:r>
    </w:p>
  </w:footnote>
  <w:footnote w:id="6">
    <w:p w14:paraId="75FCF52D" w14:textId="3847E87B" w:rsidR="00020783" w:rsidRPr="00DC37EE" w:rsidRDefault="00020783" w:rsidP="00DC37EE">
      <w:pPr>
        <w:pStyle w:val="Textonotapie"/>
        <w:ind w:firstLine="709"/>
        <w:jc w:val="both"/>
        <w:rPr>
          <w:rFonts w:ascii="Verdana" w:hAnsi="Verdana"/>
          <w:sz w:val="14"/>
          <w:szCs w:val="14"/>
        </w:rPr>
      </w:pPr>
      <w:r w:rsidRPr="00DC37EE">
        <w:rPr>
          <w:rFonts w:ascii="Verdana" w:hAnsi="Verdana" w:cs="Arial"/>
          <w:sz w:val="14"/>
          <w:szCs w:val="14"/>
          <w:vertAlign w:val="superscript"/>
        </w:rPr>
        <w:footnoteRef/>
      </w:r>
      <w:r w:rsidRPr="00DC37EE">
        <w:rPr>
          <w:rFonts w:ascii="Verdana" w:hAnsi="Verdana" w:cs="Arial"/>
          <w:sz w:val="14"/>
          <w:szCs w:val="14"/>
        </w:rPr>
        <w:t xml:space="preserve"> </w:t>
      </w:r>
      <w:bookmarkStart w:id="6" w:name="_Hlk211006688"/>
      <w:r w:rsidRPr="00DC37EE">
        <w:rPr>
          <w:rFonts w:ascii="Verdana" w:hAnsi="Verdana" w:cs="Arial"/>
          <w:sz w:val="14"/>
          <w:szCs w:val="14"/>
        </w:rPr>
        <w:t>Corte Constitucional. Sentencia C-277 del 19 de junio de 2019. M.P. Carlos Bernal Pulido.</w:t>
      </w:r>
      <w:bookmarkEnd w:id="6"/>
    </w:p>
  </w:footnote>
  <w:footnote w:id="7">
    <w:p w14:paraId="0456AE05" w14:textId="77777777" w:rsidR="00020783" w:rsidRPr="00DC37EE" w:rsidRDefault="00020783" w:rsidP="00DC37EE">
      <w:pPr>
        <w:pStyle w:val="Textonotapie"/>
        <w:ind w:firstLine="709"/>
        <w:rPr>
          <w:rFonts w:ascii="Verdana" w:hAnsi="Verdana"/>
          <w:sz w:val="14"/>
          <w:szCs w:val="14"/>
          <w:lang w:val="es-CO"/>
        </w:rPr>
      </w:pPr>
      <w:r w:rsidRPr="00DC37EE">
        <w:rPr>
          <w:rStyle w:val="Refdenotaalpie"/>
          <w:rFonts w:ascii="Verdana" w:hAnsi="Verdana"/>
          <w:sz w:val="14"/>
          <w:szCs w:val="14"/>
        </w:rPr>
        <w:footnoteRef/>
      </w:r>
      <w:r w:rsidRPr="00DC37EE">
        <w:rPr>
          <w:rFonts w:ascii="Verdana" w:hAnsi="Verdana"/>
          <w:sz w:val="14"/>
          <w:szCs w:val="14"/>
        </w:rPr>
        <w:t xml:space="preserve"> </w:t>
      </w:r>
      <w:hyperlink r:id="rId1" w:history="1">
        <w:r w:rsidRPr="00DC37EE">
          <w:rPr>
            <w:rStyle w:val="Hipervnculo"/>
            <w:rFonts w:ascii="Verdana" w:hAnsi="Verdana"/>
            <w:sz w:val="14"/>
            <w:szCs w:val="14"/>
          </w:rPr>
          <w:t>https://www.colombiacompra.gov.co/wp-content/uploads/2024/08/circular_externa_unica_version_3_vf49.pdf</w:t>
        </w:r>
      </w:hyperlink>
      <w:r w:rsidRPr="00DC37EE">
        <w:rPr>
          <w:rFonts w:ascii="Verdana" w:hAnsi="Verdana"/>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AAF789E"/>
    <w:multiLevelType w:val="hybridMultilevel"/>
    <w:tmpl w:val="2D0EEA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14297108">
    <w:abstractNumId w:val="6"/>
  </w:num>
  <w:num w:numId="2" w16cid:durableId="1626081312">
    <w:abstractNumId w:val="2"/>
  </w:num>
  <w:num w:numId="3" w16cid:durableId="1298606943">
    <w:abstractNumId w:val="4"/>
  </w:num>
  <w:num w:numId="4" w16cid:durableId="136501182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67648396">
    <w:abstractNumId w:val="2"/>
  </w:num>
  <w:num w:numId="6" w16cid:durableId="1056657858">
    <w:abstractNumId w:val="13"/>
  </w:num>
  <w:num w:numId="7" w16cid:durableId="1826821472">
    <w:abstractNumId w:val="5"/>
  </w:num>
  <w:num w:numId="8" w16cid:durableId="917786567">
    <w:abstractNumId w:val="12"/>
  </w:num>
  <w:num w:numId="9" w16cid:durableId="233010342">
    <w:abstractNumId w:val="7"/>
  </w:num>
  <w:num w:numId="10" w16cid:durableId="1628855376">
    <w:abstractNumId w:val="11"/>
  </w:num>
  <w:num w:numId="11" w16cid:durableId="1669206595">
    <w:abstractNumId w:val="8"/>
  </w:num>
  <w:num w:numId="12" w16cid:durableId="705101925">
    <w:abstractNumId w:val="1"/>
  </w:num>
  <w:num w:numId="13" w16cid:durableId="1240289908">
    <w:abstractNumId w:val="3"/>
  </w:num>
  <w:num w:numId="14" w16cid:durableId="1612282617">
    <w:abstractNumId w:val="14"/>
  </w:num>
  <w:num w:numId="15" w16cid:durableId="460853406">
    <w:abstractNumId w:val="10"/>
  </w:num>
  <w:num w:numId="16" w16cid:durableId="185888078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911137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0783"/>
    <w:rsid w:val="00046945"/>
    <w:rsid w:val="00061B2A"/>
    <w:rsid w:val="00082362"/>
    <w:rsid w:val="000A683E"/>
    <w:rsid w:val="000B19B9"/>
    <w:rsid w:val="000D0334"/>
    <w:rsid w:val="000E311E"/>
    <w:rsid w:val="000F6486"/>
    <w:rsid w:val="001233F9"/>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804BA"/>
    <w:rsid w:val="003A779E"/>
    <w:rsid w:val="003D0F4D"/>
    <w:rsid w:val="003D5751"/>
    <w:rsid w:val="003D5B0D"/>
    <w:rsid w:val="003E0499"/>
    <w:rsid w:val="003F3941"/>
    <w:rsid w:val="00406575"/>
    <w:rsid w:val="00414C74"/>
    <w:rsid w:val="0042722E"/>
    <w:rsid w:val="0044528D"/>
    <w:rsid w:val="00473CC9"/>
    <w:rsid w:val="00477E3A"/>
    <w:rsid w:val="004A1847"/>
    <w:rsid w:val="004A305D"/>
    <w:rsid w:val="004F21C4"/>
    <w:rsid w:val="004F685F"/>
    <w:rsid w:val="005566E8"/>
    <w:rsid w:val="005738A1"/>
    <w:rsid w:val="005738C6"/>
    <w:rsid w:val="00574867"/>
    <w:rsid w:val="00591460"/>
    <w:rsid w:val="005C3777"/>
    <w:rsid w:val="005C5CDC"/>
    <w:rsid w:val="005D476C"/>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A0DFA"/>
    <w:rsid w:val="009B25A8"/>
    <w:rsid w:val="009B2D26"/>
    <w:rsid w:val="009C71FA"/>
    <w:rsid w:val="009C72E7"/>
    <w:rsid w:val="009D03BC"/>
    <w:rsid w:val="009D3058"/>
    <w:rsid w:val="009F3A13"/>
    <w:rsid w:val="00A011BE"/>
    <w:rsid w:val="00A122D3"/>
    <w:rsid w:val="00A17F13"/>
    <w:rsid w:val="00A20739"/>
    <w:rsid w:val="00A33C78"/>
    <w:rsid w:val="00A82782"/>
    <w:rsid w:val="00AB0ADB"/>
    <w:rsid w:val="00AF0893"/>
    <w:rsid w:val="00B00C0E"/>
    <w:rsid w:val="00B01B1A"/>
    <w:rsid w:val="00B27E92"/>
    <w:rsid w:val="00B44A47"/>
    <w:rsid w:val="00B72CD3"/>
    <w:rsid w:val="00B72FFF"/>
    <w:rsid w:val="00BC3D36"/>
    <w:rsid w:val="00BD7F72"/>
    <w:rsid w:val="00C04FB3"/>
    <w:rsid w:val="00C330EB"/>
    <w:rsid w:val="00C754BE"/>
    <w:rsid w:val="00C76B1C"/>
    <w:rsid w:val="00CB6357"/>
    <w:rsid w:val="00CC1B26"/>
    <w:rsid w:val="00D423A2"/>
    <w:rsid w:val="00D520D8"/>
    <w:rsid w:val="00D63AC2"/>
    <w:rsid w:val="00D7383B"/>
    <w:rsid w:val="00DA231B"/>
    <w:rsid w:val="00DC37EE"/>
    <w:rsid w:val="00DC39FC"/>
    <w:rsid w:val="00DF5254"/>
    <w:rsid w:val="00E16408"/>
    <w:rsid w:val="00E20894"/>
    <w:rsid w:val="00E245AB"/>
    <w:rsid w:val="00E2764C"/>
    <w:rsid w:val="00E27F2E"/>
    <w:rsid w:val="00E45425"/>
    <w:rsid w:val="00E50AFE"/>
    <w:rsid w:val="00E519F7"/>
    <w:rsid w:val="00E75C92"/>
    <w:rsid w:val="00E771DC"/>
    <w:rsid w:val="00E8772A"/>
    <w:rsid w:val="00E90F6B"/>
    <w:rsid w:val="00E92C27"/>
    <w:rsid w:val="00EA0E3D"/>
    <w:rsid w:val="00EC38A7"/>
    <w:rsid w:val="00EE1AA8"/>
    <w:rsid w:val="00F125E3"/>
    <w:rsid w:val="00F1284B"/>
    <w:rsid w:val="00F31EDC"/>
    <w:rsid w:val="00F4269D"/>
    <w:rsid w:val="00F462B3"/>
    <w:rsid w:val="00F5664F"/>
    <w:rsid w:val="00F666C4"/>
    <w:rsid w:val="00F76AFC"/>
    <w:rsid w:val="00F8118D"/>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20783"/>
    <w:rPr>
      <w:rFonts w:ascii="Geomanist Light" w:hAnsi="Geomanist Light"/>
      <w:lang w:val="es-ES"/>
    </w:rPr>
  </w:style>
  <w:style w:type="paragraph" w:customStyle="1" w:styleId="Appelnotedebasde">
    <w:name w:val="Appel note de bas de..."/>
    <w:basedOn w:val="Normal"/>
    <w:link w:val="Refdenotaalpie"/>
    <w:uiPriority w:val="99"/>
    <w:rsid w:val="0002078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uismogollon20@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tmp"/><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content/uploads/2024/08/circular_externa_unica_version_3_vf49.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7F50D8-D424-42F7-9DDE-7E94F5A1CA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infopath/2007/PartnerControls"/>
    <ds:schemaRef ds:uri="9d85dbaf-23eb-4e57-a637-93dcacc8b1a1"/>
    <ds:schemaRef ds:uri="http://schemas.microsoft.com/office/2006/documentManagement/types"/>
    <ds:schemaRef ds:uri="http://schemas.openxmlformats.org/package/2006/metadata/core-properties"/>
    <ds:schemaRef ds:uri="http://schemas.microsoft.com/office/2006/metadata/properties"/>
    <ds:schemaRef ds:uri="http://purl.org/dc/elements/1.1/"/>
    <ds:schemaRef ds:uri="http://purl.org/dc/dcmitype/"/>
    <ds:schemaRef ds:uri="a6cb9e4b-f1d1-4245-83ec-6cad768d538a"/>
    <ds:schemaRef ds:uri="http://www.w3.org/XML/1998/namespace"/>
    <ds:schemaRef ds:uri="http://purl.org/dc/term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9</Pages>
  <Words>3015</Words>
  <Characters>16585</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2025-10-22T17:04:00Z</dcterms:created>
  <dcterms:modified xsi:type="dcterms:W3CDTF">2025-10-22T17:04:00Z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