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93742" w14:textId="77777777" w:rsidR="004D54CC" w:rsidRPr="00F10612" w:rsidRDefault="004D54CC" w:rsidP="004D54CC">
      <w:pPr>
        <w:spacing w:line="240" w:lineRule="auto"/>
        <w:contextualSpacing/>
        <w:jc w:val="both"/>
        <w:rPr>
          <w:rFonts w:ascii="Verdana" w:eastAsia="Yu Gothic UI Semibold" w:hAnsi="Verdana" w:cs="Arial"/>
          <w:b/>
          <w:color w:val="000000" w:themeColor="text1"/>
          <w:sz w:val="20"/>
          <w:szCs w:val="20"/>
          <w:lang w:val="es-MX"/>
        </w:rPr>
      </w:pPr>
      <w:r w:rsidRPr="00F10612">
        <w:rPr>
          <w:rFonts w:ascii="Verdana" w:eastAsia="Yu Gothic UI Semibold" w:hAnsi="Verdana" w:cs="Arial"/>
          <w:b/>
          <w:color w:val="000000" w:themeColor="text1"/>
          <w:sz w:val="20"/>
          <w:szCs w:val="20"/>
          <w:lang w:val="es-MX"/>
        </w:rPr>
        <w:t>CONTRATOS DE PRESTACIÓN DE SERVICIOS – Generalidades</w:t>
      </w:r>
    </w:p>
    <w:p w14:paraId="3349C807" w14:textId="77777777" w:rsidR="004D54CC" w:rsidRPr="00F10612" w:rsidRDefault="004D54CC" w:rsidP="004D54CC">
      <w:pPr>
        <w:spacing w:line="240" w:lineRule="auto"/>
        <w:contextualSpacing/>
        <w:jc w:val="both"/>
        <w:rPr>
          <w:rFonts w:ascii="Verdana" w:hAnsi="Verdana" w:cs="Arial"/>
          <w:color w:val="000000" w:themeColor="text1"/>
          <w:sz w:val="20"/>
          <w:szCs w:val="20"/>
          <w:lang w:val="es-MX"/>
        </w:rPr>
      </w:pPr>
    </w:p>
    <w:p w14:paraId="308B8159" w14:textId="77777777" w:rsidR="004D54CC" w:rsidRPr="00F10612" w:rsidRDefault="004D54CC" w:rsidP="004D54CC">
      <w:pPr>
        <w:spacing w:line="240" w:lineRule="auto"/>
        <w:contextualSpacing/>
        <w:jc w:val="both"/>
        <w:rPr>
          <w:rFonts w:ascii="Verdana" w:eastAsia="Yu Gothic UI Semibold" w:hAnsi="Verdana" w:cs="Arial"/>
          <w:b/>
          <w:color w:val="000000" w:themeColor="text1"/>
          <w:sz w:val="20"/>
          <w:szCs w:val="20"/>
          <w:lang w:val="es-MX"/>
        </w:rPr>
      </w:pPr>
      <w:r w:rsidRPr="00F10612">
        <w:rPr>
          <w:rFonts w:ascii="Verdana" w:hAnsi="Verdana" w:cs="Arial"/>
          <w:color w:val="000000" w:themeColor="text1"/>
          <w:sz w:val="20"/>
          <w:szCs w:val="20"/>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F10612">
        <w:rPr>
          <w:rFonts w:ascii="Verdana" w:eastAsia="Calibri" w:hAnsi="Verdana" w:cs="Arial"/>
          <w:color w:val="000000" w:themeColor="text1"/>
          <w:sz w:val="20"/>
          <w:szCs w:val="20"/>
          <w:lang w:val="es-ES_tradnl"/>
        </w:rPr>
        <w:t xml:space="preserve"> La celebración de dicho contrato debe efectuarse a través de la modalidad de contratación directa.</w:t>
      </w:r>
    </w:p>
    <w:p w14:paraId="72EDEDC6" w14:textId="77777777" w:rsidR="004D54CC" w:rsidRPr="00F10612" w:rsidRDefault="004D54CC" w:rsidP="004D54CC">
      <w:pPr>
        <w:spacing w:line="240" w:lineRule="auto"/>
        <w:contextualSpacing/>
        <w:jc w:val="both"/>
        <w:rPr>
          <w:rFonts w:ascii="Verdana" w:eastAsia="Yu Gothic UI Semibold" w:hAnsi="Verdana" w:cs="Arial"/>
          <w:b/>
          <w:color w:val="000000" w:themeColor="text1"/>
          <w:sz w:val="20"/>
          <w:szCs w:val="20"/>
          <w:lang w:val="es-MX"/>
        </w:rPr>
      </w:pPr>
    </w:p>
    <w:p w14:paraId="2CC7B8D8" w14:textId="77777777" w:rsidR="004D54CC" w:rsidRPr="00F10612" w:rsidRDefault="004D54CC" w:rsidP="004D54CC">
      <w:pPr>
        <w:spacing w:line="240" w:lineRule="auto"/>
        <w:contextualSpacing/>
        <w:jc w:val="both"/>
        <w:rPr>
          <w:rFonts w:ascii="Verdana" w:eastAsia="Yu Gothic UI Semibold" w:hAnsi="Verdana" w:cs="Arial"/>
          <w:b/>
          <w:color w:val="000000" w:themeColor="text1"/>
          <w:sz w:val="20"/>
          <w:szCs w:val="20"/>
          <w:lang w:val="es-MX"/>
        </w:rPr>
      </w:pPr>
      <w:r w:rsidRPr="00F10612">
        <w:rPr>
          <w:rFonts w:ascii="Verdana" w:eastAsia="Yu Gothic UI Semibold" w:hAnsi="Verdana" w:cs="Arial"/>
          <w:b/>
          <w:color w:val="000000" w:themeColor="text1"/>
          <w:sz w:val="20"/>
          <w:szCs w:val="20"/>
          <w:lang w:val="es-MX"/>
        </w:rPr>
        <w:t>ESTABILIDAD LABORAL REFORZADA DE MUJER EMBARAZADA – Concepto</w:t>
      </w:r>
    </w:p>
    <w:p w14:paraId="050B1050" w14:textId="77777777" w:rsidR="004D54CC" w:rsidRDefault="004D54CC" w:rsidP="004D54CC">
      <w:pPr>
        <w:spacing w:line="240" w:lineRule="auto"/>
        <w:contextualSpacing/>
        <w:jc w:val="both"/>
        <w:rPr>
          <w:rFonts w:ascii="Verdana" w:eastAsia="Yu Gothic UI Semibold" w:hAnsi="Verdana" w:cs="Arial"/>
          <w:b/>
          <w:color w:val="000000" w:themeColor="text1"/>
          <w:sz w:val="20"/>
          <w:szCs w:val="20"/>
          <w:lang w:val="es-MX"/>
        </w:rPr>
      </w:pPr>
    </w:p>
    <w:p w14:paraId="147D7860" w14:textId="77777777" w:rsidR="004D54CC" w:rsidRPr="00F10612" w:rsidRDefault="004D54CC" w:rsidP="004D54CC">
      <w:pPr>
        <w:spacing w:line="240" w:lineRule="auto"/>
        <w:contextualSpacing/>
        <w:jc w:val="both"/>
        <w:rPr>
          <w:rFonts w:ascii="Verdana" w:eastAsia="Yu Gothic UI Semibold" w:hAnsi="Verdana" w:cs="Arial"/>
          <w:b/>
          <w:color w:val="000000" w:themeColor="text1"/>
          <w:sz w:val="20"/>
          <w:szCs w:val="20"/>
          <w:lang w:val="es-MX"/>
        </w:rPr>
      </w:pPr>
      <w:r w:rsidRPr="00F10612">
        <w:rPr>
          <w:rFonts w:ascii="Verdana" w:eastAsia="Calibri" w:hAnsi="Verdana" w:cs="Arial"/>
          <w:sz w:val="20"/>
          <w:szCs w:val="20"/>
          <w:lang w:val="es-MX"/>
        </w:rPr>
        <w:t>El fuero de maternidad es una figura</w:t>
      </w:r>
      <w:r>
        <w:rPr>
          <w:rFonts w:ascii="Verdana" w:eastAsia="Calibri" w:hAnsi="Verdana" w:cs="Arial"/>
          <w:sz w:val="20"/>
          <w:szCs w:val="20"/>
          <w:lang w:val="es-MX"/>
        </w:rPr>
        <w:t xml:space="preserve"> jurídica</w:t>
      </w:r>
      <w:r w:rsidRPr="00F10612">
        <w:rPr>
          <w:rFonts w:ascii="Verdana" w:eastAsia="Calibri" w:hAnsi="Verdana" w:cs="Arial"/>
          <w:sz w:val="20"/>
          <w:szCs w:val="20"/>
          <w:lang w:val="es-MX"/>
        </w:rPr>
        <w:t xml:space="preserve">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“impedir la discriminación constituida por el despido, la terminación o la no renovación del contrato por causa o con ocasión del embarazo o la lactancia”.</w:t>
      </w:r>
    </w:p>
    <w:p w14:paraId="2C7FADE7" w14:textId="77777777" w:rsidR="004D54CC" w:rsidRPr="00F10612" w:rsidRDefault="004D54CC" w:rsidP="004D54CC">
      <w:pPr>
        <w:spacing w:line="240" w:lineRule="auto"/>
        <w:contextualSpacing/>
        <w:jc w:val="both"/>
        <w:rPr>
          <w:rFonts w:ascii="Verdana" w:eastAsia="Yu Gothic UI Semibold" w:hAnsi="Verdana" w:cs="Arial"/>
          <w:b/>
          <w:color w:val="000000" w:themeColor="text1"/>
          <w:sz w:val="20"/>
          <w:szCs w:val="20"/>
          <w:lang w:val="es-MX"/>
        </w:rPr>
      </w:pPr>
    </w:p>
    <w:p w14:paraId="393F4525" w14:textId="77777777" w:rsidR="004D54CC" w:rsidRPr="00F10612" w:rsidRDefault="004D54CC" w:rsidP="004D54CC">
      <w:pPr>
        <w:spacing w:line="240" w:lineRule="auto"/>
        <w:contextualSpacing/>
        <w:jc w:val="both"/>
        <w:rPr>
          <w:rFonts w:ascii="Verdana" w:eastAsia="Yu Gothic UI Semibold" w:hAnsi="Verdana" w:cs="Arial"/>
          <w:b/>
          <w:color w:val="000000" w:themeColor="text1"/>
          <w:sz w:val="20"/>
          <w:szCs w:val="20"/>
          <w:lang w:val="es-MX"/>
        </w:rPr>
      </w:pPr>
      <w:r w:rsidRPr="00F10612">
        <w:rPr>
          <w:rFonts w:ascii="Verdana" w:eastAsia="Yu Gothic UI Semibold" w:hAnsi="Verdana" w:cs="Arial"/>
          <w:b/>
          <w:color w:val="000000" w:themeColor="text1"/>
          <w:sz w:val="20"/>
          <w:szCs w:val="20"/>
          <w:lang w:val="es-MX"/>
        </w:rPr>
        <w:t xml:space="preserve">ESTABILIDAD LABORAL REFORZADA DE MUJER EMBARAZADA – Unificación jurisprudencial </w:t>
      </w:r>
      <w:r>
        <w:rPr>
          <w:rFonts w:ascii="Verdana" w:eastAsia="Yu Gothic UI Semibold" w:hAnsi="Verdana" w:cs="Arial"/>
          <w:b/>
          <w:color w:val="000000" w:themeColor="text1"/>
          <w:sz w:val="20"/>
          <w:szCs w:val="20"/>
          <w:lang w:val="es-MX"/>
        </w:rPr>
        <w:t xml:space="preserve">– Corte Constitucional </w:t>
      </w:r>
    </w:p>
    <w:p w14:paraId="4B4C6832" w14:textId="77777777" w:rsidR="004D54CC" w:rsidRPr="00F10612" w:rsidRDefault="004D54CC" w:rsidP="004D54CC">
      <w:pPr>
        <w:spacing w:line="240" w:lineRule="auto"/>
        <w:contextualSpacing/>
        <w:jc w:val="both"/>
        <w:rPr>
          <w:rFonts w:ascii="Verdana" w:eastAsia="Yu Gothic UI Semibold" w:hAnsi="Verdana" w:cs="Arial"/>
          <w:b/>
          <w:color w:val="000000" w:themeColor="text1"/>
          <w:sz w:val="20"/>
          <w:szCs w:val="20"/>
          <w:lang w:val="es-MX"/>
        </w:rPr>
      </w:pPr>
    </w:p>
    <w:p w14:paraId="4D461224" w14:textId="77777777" w:rsidR="004D54CC" w:rsidRPr="00F10612" w:rsidRDefault="004D54CC" w:rsidP="004D54CC">
      <w:pPr>
        <w:spacing w:line="240" w:lineRule="auto"/>
        <w:contextualSpacing/>
        <w:jc w:val="both"/>
        <w:rPr>
          <w:rFonts w:ascii="Verdana" w:hAnsi="Verdana" w:cs="Arial"/>
          <w:sz w:val="20"/>
          <w:szCs w:val="20"/>
        </w:rPr>
      </w:pPr>
      <w:r w:rsidRPr="00F10612">
        <w:rPr>
          <w:rFonts w:ascii="Verdana" w:eastAsia="Yu Gothic UI Semibold" w:hAnsi="Verdana" w:cs="Arial"/>
          <w:sz w:val="20"/>
          <w:szCs w:val="20"/>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r>
        <w:rPr>
          <w:rFonts w:ascii="Verdana" w:eastAsia="Yu Gothic UI Semibold" w:hAnsi="Verdana" w:cs="Arial"/>
          <w:sz w:val="20"/>
          <w:szCs w:val="20"/>
        </w:rPr>
        <w:t>.</w:t>
      </w:r>
    </w:p>
    <w:p w14:paraId="1432CFF7" w14:textId="77777777" w:rsidR="004D54CC" w:rsidRDefault="004D54CC" w:rsidP="004D54CC">
      <w:pPr>
        <w:spacing w:line="240" w:lineRule="auto"/>
        <w:contextualSpacing/>
        <w:jc w:val="both"/>
        <w:rPr>
          <w:rFonts w:ascii="Verdana" w:eastAsia="Yu Gothic UI Semibold" w:hAnsi="Verdana" w:cs="Arial"/>
          <w:b/>
          <w:color w:val="000000" w:themeColor="text1"/>
          <w:sz w:val="20"/>
          <w:szCs w:val="20"/>
          <w:lang w:val="es-MX"/>
        </w:rPr>
      </w:pPr>
    </w:p>
    <w:p w14:paraId="7C60E4E2" w14:textId="77777777" w:rsidR="004D54CC" w:rsidRPr="00F10612" w:rsidRDefault="004D54CC" w:rsidP="004D54CC">
      <w:pPr>
        <w:spacing w:line="240" w:lineRule="auto"/>
        <w:contextualSpacing/>
        <w:jc w:val="both"/>
        <w:rPr>
          <w:rFonts w:ascii="Verdana" w:eastAsia="Yu Gothic UI Semibold" w:hAnsi="Verdana" w:cs="Arial"/>
          <w:b/>
          <w:color w:val="000000" w:themeColor="text1"/>
          <w:sz w:val="20"/>
          <w:szCs w:val="20"/>
          <w:lang w:val="es-MX"/>
        </w:rPr>
      </w:pPr>
      <w:r w:rsidRPr="00F10612">
        <w:rPr>
          <w:rFonts w:ascii="Verdana" w:eastAsia="Yu Gothic UI Semibold" w:hAnsi="Verdana" w:cs="Arial"/>
          <w:b/>
          <w:color w:val="000000" w:themeColor="text1"/>
          <w:sz w:val="20"/>
          <w:szCs w:val="20"/>
          <w:lang w:val="es-MX"/>
        </w:rPr>
        <w:t>ESTABILIDAD LABORAL REFORZADA DE MUJER EMBARAZADA – Procedencia</w:t>
      </w:r>
      <w:r>
        <w:rPr>
          <w:rFonts w:ascii="Verdana" w:eastAsia="Yu Gothic UI Semibold" w:hAnsi="Verdana" w:cs="Arial"/>
          <w:b/>
          <w:color w:val="000000" w:themeColor="text1"/>
          <w:sz w:val="20"/>
          <w:szCs w:val="20"/>
          <w:lang w:val="es-MX"/>
        </w:rPr>
        <w:t xml:space="preserve"> </w:t>
      </w:r>
      <w:r w:rsidRPr="005A5AEA">
        <w:rPr>
          <w:rFonts w:ascii="Verdana" w:eastAsia="Yu Gothic UI Semibold" w:hAnsi="Verdana" w:cs="Arial"/>
          <w:b/>
          <w:color w:val="000000" w:themeColor="text1"/>
          <w:sz w:val="20"/>
          <w:szCs w:val="20"/>
          <w:lang w:val="es-MX"/>
        </w:rPr>
        <w:t>– Contratos de prestación de servicios</w:t>
      </w:r>
    </w:p>
    <w:p w14:paraId="2C39AE1C" w14:textId="77777777" w:rsidR="004D54CC" w:rsidRPr="00F10612" w:rsidRDefault="004D54CC" w:rsidP="004D54CC">
      <w:pPr>
        <w:spacing w:line="240" w:lineRule="auto"/>
        <w:contextualSpacing/>
        <w:jc w:val="both"/>
        <w:rPr>
          <w:rFonts w:ascii="Verdana" w:hAnsi="Verdana" w:cs="Arial"/>
          <w:sz w:val="20"/>
          <w:szCs w:val="20"/>
        </w:rPr>
      </w:pPr>
    </w:p>
    <w:p w14:paraId="3BD93353" w14:textId="77777777" w:rsidR="004D54CC" w:rsidRDefault="004D54CC" w:rsidP="004D54CC">
      <w:pPr>
        <w:spacing w:line="240" w:lineRule="auto"/>
        <w:contextualSpacing/>
        <w:jc w:val="both"/>
        <w:rPr>
          <w:rFonts w:ascii="Verdana" w:eastAsia="Arial" w:hAnsi="Verdana" w:cs="Arial"/>
          <w:sz w:val="20"/>
          <w:szCs w:val="20"/>
        </w:rPr>
      </w:pPr>
      <w:r w:rsidRPr="00F10612">
        <w:rPr>
          <w:rFonts w:ascii="Verdana" w:eastAsia="Arial" w:hAnsi="Verdana" w:cs="Arial"/>
          <w:sz w:val="20"/>
          <w:szCs w:val="20"/>
        </w:rPr>
        <w:t xml:space="preserve">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w:t>
      </w:r>
      <w:r w:rsidRPr="00F10612">
        <w:rPr>
          <w:rFonts w:ascii="Verdana" w:eastAsia="Arial" w:hAnsi="Verdana" w:cs="Arial"/>
          <w:sz w:val="20"/>
          <w:szCs w:val="20"/>
        </w:rPr>
        <w:lastRenderedPageBreak/>
        <w:t>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1692D81D" w14:textId="77777777" w:rsidR="004D54CC" w:rsidRDefault="004D54CC" w:rsidP="004D54CC">
      <w:pPr>
        <w:spacing w:line="240" w:lineRule="auto"/>
        <w:contextualSpacing/>
        <w:jc w:val="both"/>
        <w:rPr>
          <w:rFonts w:ascii="Verdana" w:eastAsia="Arial" w:hAnsi="Verdana" w:cs="Arial"/>
          <w:sz w:val="20"/>
          <w:szCs w:val="20"/>
        </w:rPr>
      </w:pPr>
    </w:p>
    <w:p w14:paraId="1A7985A9" w14:textId="77777777" w:rsidR="004D54CC" w:rsidRDefault="004D54CC" w:rsidP="004D54CC">
      <w:pPr>
        <w:spacing w:line="240" w:lineRule="auto"/>
        <w:contextualSpacing/>
        <w:jc w:val="both"/>
        <w:rPr>
          <w:rFonts w:ascii="Verdana" w:eastAsia="Yu Gothic UI Semibold" w:hAnsi="Verdana" w:cs="Arial"/>
          <w:b/>
          <w:color w:val="000000" w:themeColor="text1"/>
          <w:sz w:val="20"/>
          <w:szCs w:val="20"/>
          <w:lang w:val="es-MX"/>
        </w:rPr>
      </w:pPr>
      <w:r>
        <w:rPr>
          <w:rFonts w:ascii="Verdana" w:eastAsia="Yu Gothic UI Semibold" w:hAnsi="Verdana" w:cs="Arial"/>
          <w:b/>
          <w:color w:val="000000" w:themeColor="text1"/>
          <w:sz w:val="20"/>
          <w:szCs w:val="20"/>
          <w:lang w:val="es-MX"/>
        </w:rPr>
        <w:t>DOBLE ASIGNACIÓN SALARIAL</w:t>
      </w:r>
      <w:r w:rsidRPr="00F10612">
        <w:rPr>
          <w:rFonts w:ascii="Verdana" w:eastAsia="Yu Gothic UI Semibold" w:hAnsi="Verdana" w:cs="Arial"/>
          <w:b/>
          <w:color w:val="000000" w:themeColor="text1"/>
          <w:sz w:val="20"/>
          <w:szCs w:val="20"/>
          <w:lang w:val="es-MX"/>
        </w:rPr>
        <w:t xml:space="preserve"> – </w:t>
      </w:r>
      <w:r>
        <w:rPr>
          <w:rFonts w:ascii="Verdana" w:eastAsia="Yu Gothic UI Semibold" w:hAnsi="Verdana" w:cs="Arial"/>
          <w:b/>
          <w:color w:val="000000" w:themeColor="text1"/>
          <w:sz w:val="20"/>
          <w:szCs w:val="20"/>
          <w:lang w:val="es-MX"/>
        </w:rPr>
        <w:t>No aplica en contratistas del Estado</w:t>
      </w:r>
    </w:p>
    <w:p w14:paraId="430975EB" w14:textId="77777777" w:rsidR="004D54CC" w:rsidRDefault="004D54CC" w:rsidP="004D54CC">
      <w:pPr>
        <w:spacing w:line="240" w:lineRule="auto"/>
        <w:contextualSpacing/>
        <w:jc w:val="both"/>
        <w:rPr>
          <w:rFonts w:ascii="Verdana" w:eastAsia="Yu Gothic UI Semibold" w:hAnsi="Verdana" w:cs="Arial"/>
          <w:b/>
          <w:color w:val="000000" w:themeColor="text1"/>
          <w:sz w:val="20"/>
          <w:szCs w:val="20"/>
          <w:lang w:val="es-MX"/>
        </w:rPr>
      </w:pPr>
    </w:p>
    <w:p w14:paraId="5CFD83D3" w14:textId="77777777" w:rsidR="004D54CC" w:rsidRPr="00850741" w:rsidRDefault="004D54CC" w:rsidP="004D54CC">
      <w:pPr>
        <w:spacing w:line="240" w:lineRule="auto"/>
        <w:contextualSpacing/>
        <w:jc w:val="both"/>
        <w:rPr>
          <w:rFonts w:ascii="Verdana" w:eastAsia="Arial" w:hAnsi="Verdana" w:cs="Arial"/>
          <w:sz w:val="20"/>
          <w:szCs w:val="20"/>
        </w:rPr>
      </w:pPr>
      <w:r>
        <w:rPr>
          <w:rFonts w:ascii="Verdana" w:eastAsia="Arial" w:hAnsi="Verdana" w:cs="Arial"/>
          <w:sz w:val="20"/>
          <w:szCs w:val="20"/>
        </w:rPr>
        <w:t xml:space="preserve">[…] </w:t>
      </w:r>
      <w:r w:rsidRPr="003E7543">
        <w:rPr>
          <w:rFonts w:ascii="Verdana" w:eastAsia="Arial" w:hAnsi="Verdana" w:cs="Arial"/>
          <w:sz w:val="20"/>
          <w:szCs w:val="20"/>
        </w:rPr>
        <w:t xml:space="preserve">a los contratistas del Estado no les aplica la prohibición del artículo 128 de la Constitución Política, toda vez que no se consideran servidores públicos porque su relación con el Estado está dada en el marco de un negocio jurídico y no en virtud de una relación laboral. </w:t>
      </w:r>
      <w:r w:rsidRPr="00850741">
        <w:rPr>
          <w:rFonts w:ascii="Verdana" w:eastAsia="Arial" w:hAnsi="Verdana" w:cs="Arial"/>
          <w:sz w:val="20"/>
          <w:szCs w:val="20"/>
        </w:rPr>
        <w:t>Por su parte, la licencia de maternidad tiene como finalidad reemplazar los ingresos que la mujer deja de percibir durante el periodo de gestación y posparto, y no constituye una asignación salarial, sino una prestación económica del sistema de seguridad social en salud, orientada a garantizar la protección de la maternidad y del mínimo vital de la madre y el recién nacido (Sentencia T-489 de 2018).</w:t>
      </w:r>
    </w:p>
    <w:p w14:paraId="04B70C20" w14:textId="77777777" w:rsidR="004D54CC" w:rsidRDefault="004D54CC" w:rsidP="004D54CC">
      <w:pPr>
        <w:spacing w:line="240" w:lineRule="auto"/>
        <w:contextualSpacing/>
        <w:jc w:val="both"/>
        <w:rPr>
          <w:rFonts w:ascii="Verdana" w:eastAsia="Arial" w:hAnsi="Verdana" w:cs="Arial"/>
          <w:sz w:val="20"/>
          <w:szCs w:val="20"/>
        </w:rPr>
      </w:pPr>
    </w:p>
    <w:p w14:paraId="7D58CC43" w14:textId="77777777" w:rsidR="004D54CC" w:rsidRDefault="004D54CC" w:rsidP="004D54CC">
      <w:pPr>
        <w:spacing w:line="240" w:lineRule="auto"/>
        <w:contextualSpacing/>
        <w:jc w:val="both"/>
        <w:rPr>
          <w:rFonts w:ascii="Verdana" w:eastAsia="Arial" w:hAnsi="Verdana" w:cs="Arial"/>
          <w:sz w:val="20"/>
          <w:szCs w:val="20"/>
        </w:rPr>
      </w:pPr>
      <w:r w:rsidRPr="00850741">
        <w:rPr>
          <w:rFonts w:ascii="Verdana" w:eastAsia="Arial" w:hAnsi="Verdana" w:cs="Arial"/>
          <w:sz w:val="20"/>
          <w:szCs w:val="20"/>
        </w:rPr>
        <w:t>En consecuencia, los pagos que una contratista reciba por concepto de licencia de maternidad no tienen naturaleza de doble asignación presupuestal, ya que provienen de fuentes distintas (EPS y entidad contratante), responden a hechos generadores diferentes y no derivan de una relación laboral o del desempeño simultáneo de empleos públicos.</w:t>
      </w:r>
    </w:p>
    <w:p w14:paraId="52A11FB9" w14:textId="77777777" w:rsidR="004D54CC" w:rsidRDefault="004D54CC" w:rsidP="004D54CC">
      <w:pPr>
        <w:spacing w:line="240" w:lineRule="auto"/>
        <w:contextualSpacing/>
        <w:jc w:val="both"/>
        <w:rPr>
          <w:rFonts w:ascii="Verdana" w:eastAsia="Arial" w:hAnsi="Verdana" w:cs="Arial"/>
          <w:sz w:val="20"/>
          <w:szCs w:val="20"/>
        </w:rPr>
      </w:pPr>
    </w:p>
    <w:p w14:paraId="0A4ADFF1" w14:textId="77777777" w:rsidR="004D54CC" w:rsidRPr="00EA2CFE" w:rsidRDefault="004D54CC" w:rsidP="004D54CC">
      <w:pPr>
        <w:spacing w:line="240" w:lineRule="auto"/>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 xml:space="preserve">SUSPENSIÓN DEL CONTRATO – Estado de embarazo y licencia de maternidad </w:t>
      </w:r>
    </w:p>
    <w:p w14:paraId="757DCAF5" w14:textId="77777777" w:rsidR="004D54CC" w:rsidRDefault="004D54CC" w:rsidP="004D54CC">
      <w:pPr>
        <w:spacing w:line="240" w:lineRule="auto"/>
        <w:contextualSpacing/>
        <w:jc w:val="both"/>
        <w:rPr>
          <w:rFonts w:ascii="Verdana" w:eastAsia="Arial" w:hAnsi="Verdana" w:cs="Arial"/>
          <w:sz w:val="20"/>
          <w:szCs w:val="20"/>
          <w:lang w:val="es-MX"/>
        </w:rPr>
      </w:pPr>
    </w:p>
    <w:p w14:paraId="75E011DC" w14:textId="77777777" w:rsidR="004D54CC" w:rsidRPr="00E8131D" w:rsidRDefault="004D54CC" w:rsidP="004D54CC">
      <w:pPr>
        <w:spacing w:line="240" w:lineRule="auto"/>
        <w:contextualSpacing/>
        <w:jc w:val="both"/>
        <w:rPr>
          <w:rFonts w:ascii="Verdana" w:eastAsia="Arial" w:hAnsi="Verdana" w:cs="Arial"/>
          <w:sz w:val="20"/>
          <w:szCs w:val="20"/>
        </w:rPr>
      </w:pPr>
      <w:r w:rsidRPr="00E8131D">
        <w:rPr>
          <w:rFonts w:ascii="Verdana" w:eastAsia="Arial" w:hAnsi="Verdana" w:cs="Arial"/>
          <w:sz w:val="20"/>
          <w:szCs w:val="20"/>
        </w:rPr>
        <w:t>Conforme lo anterior, cuando se presenten el tipo de situaciones descritas en la consulta, la entidad estatal, a través del supervisor del contrato, determinará si las obligaciones contractuales no pueden desarrollarse temporalmente por parte de la contratista y, en consecuencia, debe proceder a la suspensión del contrato durante su estado de embarazo o en el periodo de la licencia de maternidad. En ese sentido, si a pesar de la licencia, las partes acuerdan no suspender el contrato y la contratista acredita el cumplimiento de las actividades contratadas, habría lugar al pago de honorarios, pues el objeto contractual estaría siendo ejecutado. Por el contrario, si deciden suspenderlo, teniendo en cuenta que no se estarían cumpliendo las obligaciones contractuales no habría lugar al pago de honorarios y la prestación económica sería asumida por el Sistema General de Seguridad Social en salud, es decir, estaría a cargo de las ESP.</w:t>
      </w:r>
    </w:p>
    <w:p w14:paraId="301A24AD" w14:textId="77777777" w:rsidR="004D54CC" w:rsidRPr="00E8131D" w:rsidRDefault="004D54CC" w:rsidP="004D54CC">
      <w:pPr>
        <w:spacing w:line="240" w:lineRule="auto"/>
        <w:contextualSpacing/>
        <w:jc w:val="both"/>
        <w:rPr>
          <w:rFonts w:ascii="Verdana" w:eastAsia="Arial" w:hAnsi="Verdana" w:cs="Arial"/>
          <w:sz w:val="20"/>
          <w:szCs w:val="20"/>
        </w:rPr>
      </w:pPr>
    </w:p>
    <w:p w14:paraId="75FDCF25" w14:textId="77777777" w:rsidR="004D54CC" w:rsidRPr="003E7543" w:rsidRDefault="004D54CC" w:rsidP="004D54CC">
      <w:pPr>
        <w:spacing w:line="240" w:lineRule="auto"/>
        <w:contextualSpacing/>
        <w:jc w:val="both"/>
        <w:rPr>
          <w:rFonts w:ascii="Verdana" w:eastAsia="Arial" w:hAnsi="Verdana" w:cs="Arial"/>
          <w:sz w:val="20"/>
          <w:szCs w:val="20"/>
          <w:lang w:val="es-MX"/>
        </w:rPr>
      </w:pPr>
    </w:p>
    <w:p w14:paraId="2500B787" w14:textId="77777777" w:rsidR="004D54CC" w:rsidRDefault="004D54CC" w:rsidP="004D54CC">
      <w:pPr>
        <w:spacing w:after="0"/>
        <w:rPr>
          <w:rFonts w:ascii="Verdana" w:hAnsi="Verdana"/>
        </w:rPr>
      </w:pPr>
    </w:p>
    <w:p w14:paraId="278D7DE7" w14:textId="77777777" w:rsidR="004D54CC" w:rsidRDefault="004D54CC" w:rsidP="004D54CC">
      <w:pPr>
        <w:spacing w:after="0"/>
        <w:rPr>
          <w:rFonts w:ascii="Verdana" w:hAnsi="Verdana"/>
        </w:rPr>
      </w:pPr>
    </w:p>
    <w:p w14:paraId="7A23C1CF" w14:textId="77777777" w:rsidR="004D54CC" w:rsidRDefault="004D54CC" w:rsidP="004D54CC">
      <w:pPr>
        <w:spacing w:after="0"/>
        <w:rPr>
          <w:rFonts w:ascii="Verdana" w:hAnsi="Verdana"/>
        </w:rPr>
      </w:pPr>
    </w:p>
    <w:p w14:paraId="48CF198F" w14:textId="77777777" w:rsidR="004D54CC" w:rsidRDefault="004D54CC" w:rsidP="004D54CC">
      <w:pPr>
        <w:spacing w:after="0"/>
        <w:rPr>
          <w:rFonts w:ascii="Verdana" w:hAnsi="Verdana"/>
        </w:rPr>
      </w:pPr>
    </w:p>
    <w:p w14:paraId="4C146A6D" w14:textId="77777777" w:rsidR="004D54CC" w:rsidRDefault="004D54CC" w:rsidP="004D54CC">
      <w:pPr>
        <w:spacing w:after="0"/>
        <w:rPr>
          <w:rFonts w:ascii="Verdana" w:hAnsi="Verdana"/>
        </w:rPr>
      </w:pPr>
    </w:p>
    <w:p w14:paraId="4643AB84" w14:textId="77777777" w:rsidR="004D54CC" w:rsidRDefault="004D54CC" w:rsidP="004D54CC">
      <w:pPr>
        <w:spacing w:after="0"/>
        <w:rPr>
          <w:rFonts w:ascii="Verdana" w:hAnsi="Verdana"/>
        </w:rPr>
      </w:pPr>
    </w:p>
    <w:p w14:paraId="2D17D194" w14:textId="77777777" w:rsidR="004D54CC" w:rsidRDefault="004D54CC" w:rsidP="004D54CC">
      <w:pPr>
        <w:spacing w:after="0"/>
        <w:rPr>
          <w:rFonts w:ascii="Verdana" w:hAnsi="Verdana"/>
        </w:rPr>
      </w:pPr>
    </w:p>
    <w:p w14:paraId="05CFE074" w14:textId="77777777" w:rsidR="004D54CC" w:rsidRDefault="004D54CC" w:rsidP="004D54CC">
      <w:pPr>
        <w:spacing w:after="0"/>
        <w:rPr>
          <w:rFonts w:ascii="Verdana" w:hAnsi="Verdana"/>
        </w:rPr>
      </w:pPr>
    </w:p>
    <w:p w14:paraId="5279A2D5" w14:textId="381ABB7A" w:rsidR="00721AF6" w:rsidRDefault="004D54CC" w:rsidP="004D54CC">
      <w:pPr>
        <w:spacing w:after="0"/>
        <w:rPr>
          <w:rFonts w:ascii="Verdana" w:hAnsi="Verdana"/>
        </w:rPr>
      </w:pPr>
      <w:r w:rsidRPr="0044528D">
        <w:rPr>
          <w:rFonts w:ascii="Verdana" w:hAnsi="Verdana"/>
        </w:rPr>
        <w:t xml:space="preserve">Bogotá D.C., </w:t>
      </w:r>
      <w:r w:rsidR="00721AF6">
        <w:rPr>
          <w:rFonts w:ascii="Verdana" w:hAnsi="Verdana"/>
        </w:rPr>
        <w:t>14 de octubre de 2025</w:t>
      </w:r>
    </w:p>
    <w:p w14:paraId="12E272C6" w14:textId="4059DCD5" w:rsidR="004D54CC" w:rsidRPr="0044528D" w:rsidRDefault="004D54CC" w:rsidP="004D54CC">
      <w:pPr>
        <w:spacing w:after="0"/>
        <w:rPr>
          <w:rFonts w:ascii="Verdana" w:hAnsi="Verdana"/>
        </w:rPr>
      </w:pPr>
      <w:r w:rsidRPr="0044528D">
        <w:rPr>
          <w:rFonts w:ascii="Verdana" w:hAnsi="Verdana"/>
        </w:rPr>
        <w:tab/>
      </w:r>
    </w:p>
    <w:p w14:paraId="1459C4FD" w14:textId="2220AC90" w:rsidR="004D54CC" w:rsidRPr="00044A56" w:rsidRDefault="00721AF6" w:rsidP="00721AF6">
      <w:pPr>
        <w:spacing w:after="0"/>
        <w:jc w:val="right"/>
        <w:rPr>
          <w:rFonts w:ascii="Verdana" w:hAnsi="Verdana"/>
        </w:rPr>
      </w:pPr>
      <w:r w:rsidRPr="00721AF6">
        <w:rPr>
          <w:rFonts w:ascii="Verdana" w:hAnsi="Verdana"/>
        </w:rPr>
        <w:drawing>
          <wp:inline distT="0" distB="0" distL="0" distR="0" wp14:anchorId="5A88CF07" wp14:editId="42EE059B">
            <wp:extent cx="3339193" cy="899973"/>
            <wp:effectExtent l="0" t="0" r="0" b="0"/>
            <wp:docPr id="812357578"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357578" name="Imagen 1" descr="Texto&#10;&#10;El contenido generado por IA puede ser incorrecto."/>
                    <pic:cNvPicPr/>
                  </pic:nvPicPr>
                  <pic:blipFill>
                    <a:blip r:embed="rId7"/>
                    <a:stretch>
                      <a:fillRect/>
                    </a:stretch>
                  </pic:blipFill>
                  <pic:spPr>
                    <a:xfrm>
                      <a:off x="0" y="0"/>
                      <a:ext cx="3346185" cy="901857"/>
                    </a:xfrm>
                    <a:prstGeom prst="rect">
                      <a:avLst/>
                    </a:prstGeom>
                  </pic:spPr>
                </pic:pic>
              </a:graphicData>
            </a:graphic>
          </wp:inline>
        </w:drawing>
      </w:r>
    </w:p>
    <w:p w14:paraId="52E6D415" w14:textId="77777777" w:rsidR="004D54CC" w:rsidRPr="00F65D2B" w:rsidRDefault="004D54CC" w:rsidP="004D54CC">
      <w:pPr>
        <w:spacing w:after="0" w:line="240" w:lineRule="auto"/>
        <w:jc w:val="right"/>
        <w:rPr>
          <w:rFonts w:ascii="Verdana" w:eastAsia="Calibri" w:hAnsi="Verdana" w:cs="Arial"/>
          <w:bCs/>
          <w:noProof/>
          <w:color w:val="000000" w:themeColor="text1"/>
          <w:lang w:eastAsia="es-ES_tradnl"/>
        </w:rPr>
      </w:pPr>
    </w:p>
    <w:p w14:paraId="7C630FFA" w14:textId="77777777" w:rsidR="004D54CC" w:rsidRPr="00F65D2B" w:rsidRDefault="004D54CC" w:rsidP="004D54CC">
      <w:pPr>
        <w:spacing w:after="0" w:line="240"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Señor</w:t>
      </w:r>
    </w:p>
    <w:p w14:paraId="7F68EEAA" w14:textId="77777777" w:rsidR="004D54CC" w:rsidRDefault="004D54CC" w:rsidP="004D54CC">
      <w:pPr>
        <w:spacing w:after="0" w:line="240" w:lineRule="auto"/>
        <w:rPr>
          <w:rFonts w:ascii="Verdana" w:eastAsia="Calibri" w:hAnsi="Verdana" w:cs="Arial"/>
          <w:b/>
          <w:color w:val="000000" w:themeColor="text1"/>
          <w:lang w:eastAsia="es-ES_tradnl"/>
        </w:rPr>
      </w:pPr>
      <w:r w:rsidRPr="008B2145">
        <w:rPr>
          <w:rFonts w:ascii="Verdana" w:eastAsia="Calibri" w:hAnsi="Verdana" w:cs="Arial"/>
          <w:b/>
          <w:color w:val="000000" w:themeColor="text1"/>
          <w:lang w:eastAsia="es-ES_tradnl"/>
        </w:rPr>
        <w:t>Karen Silvana Zambrano Fernández</w:t>
      </w:r>
    </w:p>
    <w:p w14:paraId="7798F1E8" w14:textId="77777777" w:rsidR="004D54CC" w:rsidRPr="008B2145" w:rsidRDefault="004D54CC" w:rsidP="004D54CC">
      <w:pPr>
        <w:spacing w:after="0" w:line="240" w:lineRule="auto"/>
        <w:rPr>
          <w:rFonts w:ascii="Verdana" w:hAnsi="Verdana"/>
        </w:rPr>
      </w:pPr>
      <w:hyperlink r:id="rId8" w:history="1">
        <w:r w:rsidRPr="008B2145">
          <w:rPr>
            <w:rStyle w:val="Hipervnculo"/>
            <w:rFonts w:ascii="Verdana" w:hAnsi="Verdana"/>
          </w:rPr>
          <w:t>gobierno@zapatoca-santander.gov.co</w:t>
        </w:r>
      </w:hyperlink>
    </w:p>
    <w:p w14:paraId="41853EC0" w14:textId="77777777" w:rsidR="004D54CC" w:rsidRPr="00F65D2B" w:rsidRDefault="004D54CC" w:rsidP="004D54CC">
      <w:pPr>
        <w:spacing w:after="0" w:line="240" w:lineRule="auto"/>
        <w:rPr>
          <w:rFonts w:ascii="Verdana" w:eastAsia="Calibri" w:hAnsi="Verdana" w:cs="Arial"/>
          <w:bCs/>
          <w:color w:val="000000" w:themeColor="text1"/>
          <w:lang w:eastAsia="es-ES_tradnl"/>
        </w:rPr>
      </w:pPr>
      <w:r>
        <w:rPr>
          <w:rFonts w:ascii="Verdana" w:eastAsia="Calibri" w:hAnsi="Verdana" w:cs="Arial"/>
          <w:color w:val="000000" w:themeColor="text1"/>
          <w:lang w:eastAsia="es-ES"/>
        </w:rPr>
        <w:t>Bogotá, D.C.</w:t>
      </w:r>
    </w:p>
    <w:p w14:paraId="2FC53420" w14:textId="77777777" w:rsidR="004D54CC" w:rsidRPr="00F65D2B" w:rsidRDefault="004D54CC" w:rsidP="004D54CC">
      <w:pPr>
        <w:spacing w:after="0" w:line="240" w:lineRule="auto"/>
        <w:rPr>
          <w:rFonts w:ascii="Verdana" w:eastAsia="Calibri" w:hAnsi="Verdana" w:cs="Arial"/>
          <w:b/>
          <w:bCs/>
          <w:color w:val="000000" w:themeColor="text1"/>
          <w:lang w:eastAsia="es-ES_tradnl"/>
        </w:rPr>
      </w:pPr>
    </w:p>
    <w:p w14:paraId="3B6D8A70" w14:textId="77777777" w:rsidR="004D54CC" w:rsidRPr="00F65D2B" w:rsidRDefault="004D54CC" w:rsidP="004D54CC">
      <w:pPr>
        <w:spacing w:after="0" w:line="240" w:lineRule="auto"/>
        <w:rPr>
          <w:rFonts w:ascii="Verdana" w:eastAsia="Calibri" w:hAnsi="Verdana" w:cs="Arial"/>
          <w:b/>
          <w:bCs/>
          <w:color w:val="000000" w:themeColor="text1"/>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D54CC" w:rsidRPr="00F65D2B" w14:paraId="1FA11964" w14:textId="77777777" w:rsidTr="009E10DA">
        <w:trPr>
          <w:trHeight w:val="304"/>
        </w:trPr>
        <w:tc>
          <w:tcPr>
            <w:tcW w:w="2689" w:type="dxa"/>
          </w:tcPr>
          <w:p w14:paraId="7464CA38" w14:textId="77777777" w:rsidR="004D54CC" w:rsidRPr="00F65D2B" w:rsidRDefault="004D54CC" w:rsidP="009E10DA">
            <w:pPr>
              <w:jc w:val="both"/>
              <w:rPr>
                <w:rFonts w:ascii="Verdana" w:eastAsia="Calibri" w:hAnsi="Verdana" w:cs="Arial"/>
                <w:b/>
                <w:bCs/>
                <w:color w:val="000000" w:themeColor="text1"/>
                <w:lang w:eastAsia="es-ES_tradnl"/>
              </w:rPr>
            </w:pPr>
          </w:p>
        </w:tc>
        <w:tc>
          <w:tcPr>
            <w:tcW w:w="6100" w:type="dxa"/>
          </w:tcPr>
          <w:p w14:paraId="59AEB6E3" w14:textId="77777777" w:rsidR="004D54CC" w:rsidRPr="00F65D2B" w:rsidRDefault="004D54CC" w:rsidP="009E10DA">
            <w:pPr>
              <w:jc w:val="both"/>
              <w:rPr>
                <w:rFonts w:ascii="Verdana" w:eastAsia="Calibri" w:hAnsi="Verdana" w:cs="Arial"/>
                <w:b/>
                <w:bCs/>
                <w:color w:val="000000" w:themeColor="text1"/>
                <w:lang w:eastAsia="es-ES"/>
              </w:rPr>
            </w:pPr>
            <w:r w:rsidRPr="00F65D2B">
              <w:rPr>
                <w:rFonts w:ascii="Verdana" w:eastAsia="Calibri" w:hAnsi="Verdana" w:cs="Arial"/>
                <w:b/>
                <w:bCs/>
                <w:color w:val="000000" w:themeColor="text1"/>
                <w:lang w:eastAsia="es-ES"/>
              </w:rPr>
              <w:t>Concepto C-12</w:t>
            </w:r>
            <w:r>
              <w:rPr>
                <w:rFonts w:ascii="Verdana" w:eastAsia="Calibri" w:hAnsi="Verdana" w:cs="Arial"/>
                <w:b/>
                <w:bCs/>
                <w:color w:val="000000" w:themeColor="text1"/>
                <w:lang w:eastAsia="es-ES"/>
              </w:rPr>
              <w:t>72</w:t>
            </w:r>
            <w:r w:rsidRPr="00F65D2B">
              <w:rPr>
                <w:rFonts w:ascii="Verdana" w:eastAsia="Calibri" w:hAnsi="Verdana" w:cs="Arial"/>
                <w:b/>
                <w:bCs/>
                <w:color w:val="000000" w:themeColor="text1"/>
                <w:lang w:eastAsia="es-ES"/>
              </w:rPr>
              <w:t xml:space="preserve"> de 2025</w:t>
            </w:r>
          </w:p>
          <w:p w14:paraId="1EAAF5B6" w14:textId="77777777" w:rsidR="004D54CC" w:rsidRPr="00F65D2B" w:rsidRDefault="004D54CC" w:rsidP="009E10DA">
            <w:pPr>
              <w:jc w:val="both"/>
              <w:rPr>
                <w:rFonts w:ascii="Verdana" w:eastAsia="Calibri" w:hAnsi="Verdana" w:cs="Arial"/>
                <w:b/>
                <w:bCs/>
                <w:color w:val="000000" w:themeColor="text1"/>
                <w:lang w:eastAsia="es-ES"/>
              </w:rPr>
            </w:pPr>
          </w:p>
        </w:tc>
      </w:tr>
      <w:tr w:rsidR="004D54CC" w:rsidRPr="00F65D2B" w14:paraId="3ACDE874" w14:textId="77777777" w:rsidTr="009E10DA">
        <w:trPr>
          <w:trHeight w:val="884"/>
        </w:trPr>
        <w:tc>
          <w:tcPr>
            <w:tcW w:w="2689" w:type="dxa"/>
          </w:tcPr>
          <w:p w14:paraId="0257D5BE" w14:textId="77777777" w:rsidR="004D54CC" w:rsidRPr="00F65D2B" w:rsidRDefault="004D54CC" w:rsidP="009E10DA">
            <w:pPr>
              <w:jc w:val="both"/>
              <w:rPr>
                <w:rFonts w:ascii="Verdana" w:eastAsia="Calibri" w:hAnsi="Verdana" w:cs="Arial"/>
                <w:color w:val="000000" w:themeColor="text1"/>
                <w:lang w:eastAsia="es-ES_tradnl"/>
              </w:rPr>
            </w:pPr>
            <w:r w:rsidRPr="00F65D2B">
              <w:rPr>
                <w:rFonts w:ascii="Verdana" w:eastAsia="Calibri" w:hAnsi="Verdana" w:cs="Arial"/>
                <w:b/>
                <w:color w:val="000000" w:themeColor="text1"/>
                <w:lang w:eastAsia="es-ES_tradnl"/>
              </w:rPr>
              <w:t>Temas:</w:t>
            </w:r>
            <w:r w:rsidRPr="00F65D2B">
              <w:rPr>
                <w:rFonts w:ascii="Verdana" w:eastAsia="Calibri" w:hAnsi="Verdana" w:cs="Arial"/>
                <w:color w:val="000000" w:themeColor="text1"/>
                <w:lang w:eastAsia="es-ES_tradnl"/>
              </w:rPr>
              <w:t xml:space="preserve">                   </w:t>
            </w:r>
          </w:p>
        </w:tc>
        <w:tc>
          <w:tcPr>
            <w:tcW w:w="6100" w:type="dxa"/>
          </w:tcPr>
          <w:p w14:paraId="7EAF8747" w14:textId="77777777" w:rsidR="004D54CC" w:rsidRPr="005A5AEA" w:rsidRDefault="004D54CC" w:rsidP="009E10DA">
            <w:pPr>
              <w:jc w:val="both"/>
              <w:rPr>
                <w:rFonts w:ascii="Verdana" w:eastAsia="Calibri" w:hAnsi="Verdana" w:cs="Arial"/>
                <w:lang w:val="es-MX" w:eastAsia="es-ES"/>
              </w:rPr>
            </w:pPr>
            <w:r w:rsidRPr="000952AC">
              <w:rPr>
                <w:rFonts w:ascii="Verdana" w:eastAsia="Calibri" w:hAnsi="Verdana" w:cs="Arial"/>
                <w:lang w:eastAsia="es-ES"/>
              </w:rPr>
              <w:t>CONTRATOS DE PRESTACIÓN DE SERVICIOS –Generalidades / ESTABILIDAD OCUPACIONAL REFORZADA DE MUJER EMBARAZADA – Concepto / ESTABILIDAD OCUPACIONAL REFORZADA DE MUJER EMBARAZADA</w:t>
            </w:r>
            <w:r w:rsidRPr="000952AC">
              <w:rPr>
                <w:rFonts w:ascii="Verdana" w:eastAsia="Calibri" w:hAnsi="Verdana" w:cs="Arial"/>
                <w:lang w:eastAsia="es-ES"/>
              </w:rPr>
              <w:tab/>
              <w:t>–</w:t>
            </w:r>
            <w:r w:rsidRPr="000952AC">
              <w:rPr>
                <w:rFonts w:ascii="Verdana" w:eastAsia="Calibri" w:hAnsi="Verdana" w:cs="Arial"/>
                <w:lang w:eastAsia="es-ES"/>
              </w:rPr>
              <w:tab/>
              <w:t>Unificación</w:t>
            </w:r>
            <w:r>
              <w:rPr>
                <w:rFonts w:ascii="Verdana" w:eastAsia="Calibri" w:hAnsi="Verdana" w:cs="Arial"/>
                <w:lang w:eastAsia="es-ES"/>
              </w:rPr>
              <w:t xml:space="preserve"> </w:t>
            </w:r>
            <w:r w:rsidRPr="000952AC">
              <w:rPr>
                <w:rFonts w:ascii="Verdana" w:eastAsia="Calibri" w:hAnsi="Verdana" w:cs="Arial"/>
                <w:lang w:eastAsia="es-ES"/>
              </w:rPr>
              <w:t>jurisprudencial</w:t>
            </w:r>
            <w:r>
              <w:rPr>
                <w:rFonts w:ascii="Verdana" w:eastAsia="Calibri" w:hAnsi="Verdana" w:cs="Arial"/>
                <w:lang w:eastAsia="es-ES"/>
              </w:rPr>
              <w:t xml:space="preserve"> </w:t>
            </w:r>
            <w:r w:rsidRPr="000952AC">
              <w:rPr>
                <w:rFonts w:ascii="Verdana" w:eastAsia="Calibri" w:hAnsi="Verdana" w:cs="Arial"/>
                <w:lang w:eastAsia="es-ES"/>
              </w:rPr>
              <w:t xml:space="preserve">/ ESTABILIDAD OCUPACIONAL REFORZADA DE MUJER EMBARAZADA – Procedencia – Contratos de prestación de servicios / </w:t>
            </w:r>
            <w:r w:rsidRPr="005A5AEA">
              <w:rPr>
                <w:rFonts w:ascii="Verdana" w:eastAsia="Calibri" w:hAnsi="Verdana" w:cs="Arial"/>
                <w:lang w:eastAsia="es-ES"/>
              </w:rPr>
              <w:t>DOBLE ASIGNACIÓN SALARIAL – No aplica en contratistas del Estado</w:t>
            </w:r>
            <w:r>
              <w:rPr>
                <w:rFonts w:ascii="Verdana" w:eastAsia="Calibri" w:hAnsi="Verdana" w:cs="Arial"/>
                <w:lang w:eastAsia="es-ES"/>
              </w:rPr>
              <w:t xml:space="preserve"> / </w:t>
            </w:r>
            <w:r w:rsidRPr="005A5AEA">
              <w:rPr>
                <w:rFonts w:ascii="Verdana" w:eastAsia="Calibri" w:hAnsi="Verdana" w:cs="Arial"/>
                <w:lang w:eastAsia="es-ES"/>
              </w:rPr>
              <w:t>SUSPENSIÓN DEL CONTRATO – Estado de embarazo y licencia de maternidad</w:t>
            </w:r>
          </w:p>
          <w:p w14:paraId="2EE5A3E9" w14:textId="77777777" w:rsidR="004D54CC" w:rsidRPr="00F65D2B" w:rsidRDefault="004D54CC" w:rsidP="009E10DA">
            <w:pPr>
              <w:spacing w:line="276" w:lineRule="auto"/>
              <w:jc w:val="both"/>
              <w:rPr>
                <w:rFonts w:ascii="Verdana" w:eastAsia="Calibri" w:hAnsi="Verdana" w:cs="Arial"/>
                <w:color w:val="000000" w:themeColor="text1"/>
                <w:lang w:eastAsia="es-ES"/>
              </w:rPr>
            </w:pPr>
          </w:p>
        </w:tc>
      </w:tr>
      <w:tr w:rsidR="004D54CC" w:rsidRPr="00F65D2B" w14:paraId="3A287185" w14:textId="77777777" w:rsidTr="009E10DA">
        <w:tc>
          <w:tcPr>
            <w:tcW w:w="2689" w:type="dxa"/>
          </w:tcPr>
          <w:p w14:paraId="085B7692" w14:textId="77777777" w:rsidR="004D54CC" w:rsidRPr="00F65D2B" w:rsidRDefault="004D54CC" w:rsidP="009E10DA">
            <w:pPr>
              <w:jc w:val="both"/>
              <w:rPr>
                <w:rFonts w:ascii="Verdana" w:eastAsia="Calibri" w:hAnsi="Verdana" w:cs="Arial"/>
                <w:b/>
                <w:color w:val="000000" w:themeColor="text1"/>
                <w:lang w:eastAsia="es-ES_tradnl"/>
              </w:rPr>
            </w:pPr>
            <w:r w:rsidRPr="00F65D2B">
              <w:rPr>
                <w:rFonts w:ascii="Verdana" w:eastAsia="Calibri" w:hAnsi="Verdana" w:cs="Arial"/>
                <w:b/>
                <w:color w:val="000000" w:themeColor="text1"/>
                <w:lang w:eastAsia="es-ES_tradnl"/>
              </w:rPr>
              <w:t>Radicación:</w:t>
            </w:r>
            <w:r w:rsidRPr="00F65D2B">
              <w:rPr>
                <w:rFonts w:ascii="Verdana" w:eastAsia="Calibri" w:hAnsi="Verdana" w:cs="Arial"/>
                <w:color w:val="000000" w:themeColor="text1"/>
                <w:lang w:eastAsia="es-ES_tradnl"/>
              </w:rPr>
              <w:t xml:space="preserve">               </w:t>
            </w:r>
          </w:p>
        </w:tc>
        <w:tc>
          <w:tcPr>
            <w:tcW w:w="6100" w:type="dxa"/>
          </w:tcPr>
          <w:p w14:paraId="37E07D01" w14:textId="77777777" w:rsidR="004D54CC" w:rsidRPr="00F65D2B" w:rsidRDefault="004D54CC" w:rsidP="009E10DA">
            <w:pPr>
              <w:jc w:val="both"/>
              <w:rPr>
                <w:rFonts w:ascii="Verdana" w:eastAsia="Calibri" w:hAnsi="Verdana" w:cs="Arial"/>
                <w:color w:val="000000" w:themeColor="text1"/>
                <w:lang w:eastAsia="es-ES_tradnl"/>
              </w:rPr>
            </w:pPr>
            <w:r w:rsidRPr="00F65D2B">
              <w:rPr>
                <w:rFonts w:ascii="Verdana" w:eastAsia="Calibri" w:hAnsi="Verdana" w:cs="Arial"/>
                <w:color w:val="000000" w:themeColor="text1"/>
                <w:lang w:eastAsia="es-ES_tradnl"/>
              </w:rPr>
              <w:t xml:space="preserve">Respuesta a consulta con radicado No. </w:t>
            </w:r>
            <w:r w:rsidRPr="000F6641">
              <w:rPr>
                <w:rFonts w:ascii="Verdana" w:eastAsia="Calibri" w:hAnsi="Verdana" w:cs="Arial"/>
                <w:color w:val="000000" w:themeColor="text1"/>
                <w:lang w:eastAsia="es-ES_tradnl"/>
              </w:rPr>
              <w:t>1_2025_09_04_009593</w:t>
            </w:r>
          </w:p>
        </w:tc>
      </w:tr>
    </w:tbl>
    <w:p w14:paraId="3C97D335" w14:textId="77777777" w:rsidR="004D54CC" w:rsidRPr="00F65D2B" w:rsidRDefault="004D54CC" w:rsidP="004D54CC">
      <w:pPr>
        <w:spacing w:after="0" w:line="276" w:lineRule="auto"/>
        <w:jc w:val="both"/>
        <w:rPr>
          <w:rFonts w:ascii="Verdana" w:eastAsia="Calibri" w:hAnsi="Verdana" w:cs="Arial"/>
          <w:color w:val="000000" w:themeColor="text1"/>
          <w:lang w:eastAsia="es-ES_tradnl"/>
        </w:rPr>
      </w:pPr>
    </w:p>
    <w:p w14:paraId="278E7491" w14:textId="77777777" w:rsidR="004D54CC" w:rsidRPr="00F65D2B" w:rsidRDefault="004D54CC" w:rsidP="004D54CC">
      <w:pPr>
        <w:spacing w:after="0" w:line="276"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 xml:space="preserve">Estimado señor </w:t>
      </w:r>
      <w:r>
        <w:rPr>
          <w:rFonts w:ascii="Verdana" w:eastAsia="Calibri" w:hAnsi="Verdana" w:cs="Arial"/>
          <w:color w:val="000000" w:themeColor="text1"/>
          <w:lang w:eastAsia="es-ES"/>
        </w:rPr>
        <w:t>Contreras</w:t>
      </w:r>
      <w:r w:rsidRPr="00F65D2B">
        <w:rPr>
          <w:rFonts w:ascii="Verdana" w:eastAsia="Calibri" w:hAnsi="Verdana" w:cs="Arial"/>
          <w:color w:val="000000" w:themeColor="text1"/>
          <w:lang w:eastAsia="es-ES"/>
        </w:rPr>
        <w:t xml:space="preserve">: </w:t>
      </w:r>
    </w:p>
    <w:p w14:paraId="1F1AB020" w14:textId="77777777" w:rsidR="004D54CC" w:rsidRPr="00F65D2B" w:rsidRDefault="004D54CC" w:rsidP="004D54CC">
      <w:pPr>
        <w:tabs>
          <w:tab w:val="left" w:pos="3768"/>
        </w:tabs>
        <w:spacing w:after="0" w:line="276"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ab/>
      </w:r>
    </w:p>
    <w:p w14:paraId="5DE3801C" w14:textId="77777777" w:rsidR="004D54CC" w:rsidRPr="00F65D2B" w:rsidRDefault="004D54CC" w:rsidP="004D54CC">
      <w:pPr>
        <w:spacing w:after="0" w:line="276" w:lineRule="auto"/>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En ejercicio de la competencia otorgada por los artículos 3, numeral 5º, y 11, numeral 8º, del Decreto Ley 4170 de 2011,</w:t>
      </w:r>
      <w:r w:rsidRPr="00F65D2B">
        <w:rPr>
          <w:rFonts w:ascii="Verdana" w:eastAsia="Arial MT" w:hAnsi="Verdana" w:cs="Arial MT"/>
          <w:color w:val="000000" w:themeColor="text1"/>
          <w:lang w:eastAsia="es-ES"/>
        </w:rPr>
        <w:t xml:space="preserve"> </w:t>
      </w:r>
      <w:r w:rsidRPr="00F65D2B">
        <w:rPr>
          <w:rFonts w:ascii="Verdana" w:eastAsia="Calibri" w:hAnsi="Verdana" w:cs="Times New Roman"/>
        </w:rPr>
        <w:t xml:space="preserve">la Agencia Nacional de Contratación Pública – Colombia Compra Eficiente– da respuesta a la solicitud radicada el </w:t>
      </w:r>
      <w:r>
        <w:rPr>
          <w:rFonts w:ascii="Verdana" w:eastAsia="Calibri" w:hAnsi="Verdana" w:cs="Times New Roman"/>
        </w:rPr>
        <w:t>5</w:t>
      </w:r>
      <w:r w:rsidRPr="00F65D2B">
        <w:rPr>
          <w:rFonts w:ascii="Verdana" w:eastAsia="Calibri" w:hAnsi="Verdana" w:cs="Times New Roman"/>
        </w:rPr>
        <w:t xml:space="preserve"> de </w:t>
      </w:r>
      <w:r>
        <w:rPr>
          <w:rFonts w:ascii="Verdana" w:eastAsia="Calibri" w:hAnsi="Verdana" w:cs="Times New Roman"/>
        </w:rPr>
        <w:t>septiembre</w:t>
      </w:r>
      <w:r w:rsidRPr="00F65D2B">
        <w:rPr>
          <w:rFonts w:ascii="Verdana" w:eastAsia="Calibri" w:hAnsi="Verdana" w:cs="Times New Roman"/>
        </w:rPr>
        <w:t xml:space="preserve"> de 2025, mediante la cual consulta:</w:t>
      </w:r>
    </w:p>
    <w:p w14:paraId="7BB68CC2" w14:textId="77777777" w:rsidR="004D54CC" w:rsidRPr="00F65D2B" w:rsidRDefault="004D54CC" w:rsidP="004D54CC">
      <w:pPr>
        <w:spacing w:after="0" w:line="276" w:lineRule="auto"/>
        <w:jc w:val="both"/>
        <w:rPr>
          <w:rFonts w:ascii="Verdana" w:eastAsia="Calibri" w:hAnsi="Verdana" w:cs="Arial"/>
          <w:color w:val="000000" w:themeColor="text1"/>
          <w:lang w:eastAsia="es-ES"/>
        </w:rPr>
      </w:pPr>
    </w:p>
    <w:p w14:paraId="2542DF78" w14:textId="77777777" w:rsidR="004D54CC" w:rsidRDefault="004D54CC" w:rsidP="004D54CC">
      <w:pPr>
        <w:spacing w:after="0" w:line="240" w:lineRule="auto"/>
        <w:ind w:left="709" w:right="709"/>
        <w:jc w:val="both"/>
        <w:rPr>
          <w:rFonts w:ascii="Verdana" w:eastAsia="Century Gothic" w:hAnsi="Verdana" w:cs="Century Gothic"/>
          <w:color w:val="000000" w:themeColor="text1"/>
          <w:sz w:val="20"/>
          <w:szCs w:val="20"/>
        </w:rPr>
      </w:pPr>
      <w:bookmarkStart w:id="0" w:name="_Hlk95313578"/>
      <w:r w:rsidRPr="00F65D2B">
        <w:rPr>
          <w:rFonts w:ascii="Verdana" w:eastAsia="Century Gothic" w:hAnsi="Verdana" w:cs="Century Gothic"/>
          <w:color w:val="000000" w:themeColor="text1"/>
          <w:sz w:val="20"/>
          <w:szCs w:val="20"/>
        </w:rPr>
        <w:t>“[…]</w:t>
      </w:r>
      <w:r>
        <w:rPr>
          <w:rFonts w:ascii="Verdana" w:eastAsia="Century Gothic" w:hAnsi="Verdana" w:cs="Century Gothic"/>
          <w:color w:val="000000" w:themeColor="text1"/>
          <w:sz w:val="20"/>
          <w:szCs w:val="20"/>
        </w:rPr>
        <w:t xml:space="preserve"> </w:t>
      </w:r>
    </w:p>
    <w:p w14:paraId="1183D524" w14:textId="77777777" w:rsidR="004D54CC" w:rsidRDefault="004D54CC" w:rsidP="004D54CC">
      <w:pPr>
        <w:spacing w:after="0" w:line="240" w:lineRule="auto"/>
        <w:ind w:left="709" w:right="709"/>
        <w:jc w:val="both"/>
        <w:rPr>
          <w:rFonts w:ascii="Verdana" w:eastAsia="Century Gothic" w:hAnsi="Verdana" w:cs="Century Gothic"/>
          <w:color w:val="000000" w:themeColor="text1"/>
          <w:sz w:val="20"/>
          <w:szCs w:val="20"/>
        </w:rPr>
      </w:pPr>
    </w:p>
    <w:p w14:paraId="099471B1" w14:textId="77777777" w:rsidR="004D54CC" w:rsidRDefault="004D54CC" w:rsidP="004D54CC">
      <w:pPr>
        <w:spacing w:after="0" w:line="240" w:lineRule="auto"/>
        <w:ind w:left="709" w:right="709"/>
        <w:jc w:val="both"/>
        <w:rPr>
          <w:rFonts w:ascii="Verdana" w:eastAsia="Century Gothic" w:hAnsi="Verdana" w:cs="Century Gothic"/>
          <w:color w:val="000000" w:themeColor="text1"/>
          <w:sz w:val="20"/>
          <w:szCs w:val="20"/>
        </w:rPr>
      </w:pPr>
      <w:r w:rsidRPr="001A5258">
        <w:rPr>
          <w:rFonts w:ascii="Verdana" w:eastAsia="Century Gothic" w:hAnsi="Verdana" w:cs="Century Gothic"/>
          <w:color w:val="000000" w:themeColor="text1"/>
          <w:sz w:val="20"/>
          <w:szCs w:val="20"/>
        </w:rPr>
        <w:lastRenderedPageBreak/>
        <w:t xml:space="preserve">a) ¿Cómo se aplica la protección especial de la maternidad a las contratistas del Estado, teniendo en cuenta que no son empleadas públicas y su vínculo es contractual, no laboral? </w:t>
      </w:r>
    </w:p>
    <w:p w14:paraId="1EDA3BD7" w14:textId="77777777" w:rsidR="004D54CC" w:rsidRDefault="004D54CC" w:rsidP="004D54CC">
      <w:pPr>
        <w:spacing w:after="0" w:line="240" w:lineRule="auto"/>
        <w:ind w:left="709" w:right="709"/>
        <w:jc w:val="both"/>
        <w:rPr>
          <w:rFonts w:ascii="Verdana" w:eastAsia="Century Gothic" w:hAnsi="Verdana" w:cs="Century Gothic"/>
          <w:color w:val="000000" w:themeColor="text1"/>
          <w:sz w:val="20"/>
          <w:szCs w:val="20"/>
        </w:rPr>
      </w:pPr>
    </w:p>
    <w:p w14:paraId="353664D9" w14:textId="77777777" w:rsidR="004D54CC" w:rsidRDefault="004D54CC" w:rsidP="004D54CC">
      <w:pPr>
        <w:spacing w:after="0" w:line="240" w:lineRule="auto"/>
        <w:ind w:left="709" w:right="709"/>
        <w:jc w:val="both"/>
        <w:rPr>
          <w:rFonts w:ascii="Verdana" w:eastAsia="Century Gothic" w:hAnsi="Verdana" w:cs="Century Gothic"/>
          <w:color w:val="000000" w:themeColor="text1"/>
          <w:sz w:val="20"/>
          <w:szCs w:val="20"/>
        </w:rPr>
      </w:pPr>
      <w:r w:rsidRPr="001A5258">
        <w:rPr>
          <w:rFonts w:ascii="Verdana" w:eastAsia="Century Gothic" w:hAnsi="Verdana" w:cs="Century Gothic"/>
          <w:color w:val="000000" w:themeColor="text1"/>
          <w:sz w:val="20"/>
          <w:szCs w:val="20"/>
        </w:rPr>
        <w:t xml:space="preserve">b) ¿Es compatible que una contratista perciba simultáneamente la licencia de maternidad pagada por la EPS y los honorarios del contrato de prestación de servicios? ¿Existe alguna norma que regule esta situación o que prohíba la doble erogación de recursos públicos en este contexto? </w:t>
      </w:r>
    </w:p>
    <w:p w14:paraId="02C7A616" w14:textId="77777777" w:rsidR="004D54CC" w:rsidRDefault="004D54CC" w:rsidP="004D54CC">
      <w:pPr>
        <w:spacing w:after="0" w:line="240" w:lineRule="auto"/>
        <w:ind w:left="709" w:right="709"/>
        <w:jc w:val="both"/>
        <w:rPr>
          <w:rFonts w:ascii="Verdana" w:eastAsia="Century Gothic" w:hAnsi="Verdana" w:cs="Century Gothic"/>
          <w:color w:val="000000" w:themeColor="text1"/>
          <w:sz w:val="20"/>
          <w:szCs w:val="20"/>
        </w:rPr>
      </w:pPr>
    </w:p>
    <w:p w14:paraId="403B57E2" w14:textId="77777777" w:rsidR="004D54CC" w:rsidRDefault="004D54CC" w:rsidP="004D54CC">
      <w:pPr>
        <w:spacing w:after="0" w:line="240" w:lineRule="auto"/>
        <w:ind w:left="709" w:right="709"/>
        <w:jc w:val="both"/>
        <w:rPr>
          <w:rFonts w:ascii="Verdana" w:eastAsia="Century Gothic" w:hAnsi="Verdana" w:cs="Century Gothic"/>
          <w:color w:val="000000" w:themeColor="text1"/>
          <w:sz w:val="20"/>
          <w:szCs w:val="20"/>
        </w:rPr>
      </w:pPr>
      <w:r w:rsidRPr="001A5258">
        <w:rPr>
          <w:rFonts w:ascii="Verdana" w:eastAsia="Century Gothic" w:hAnsi="Verdana" w:cs="Century Gothic"/>
          <w:color w:val="000000" w:themeColor="text1"/>
          <w:sz w:val="20"/>
          <w:szCs w:val="20"/>
        </w:rPr>
        <w:t xml:space="preserve">c) ¿Cuál es el procedimiento técnico y legalmente correcto para manejar el contrato de la persona en cuestión? ¿Se debe realizar una suspensión bilateral o una suspensión unilateral del contrato durante el período de licencia, o hay otra figura jurídica aplicable? ¿Qué efectos tendría esta suspensión sobre la duración final del contrato? </w:t>
      </w:r>
    </w:p>
    <w:p w14:paraId="3FA7544B" w14:textId="77777777" w:rsidR="004D54CC" w:rsidRDefault="004D54CC" w:rsidP="004D54CC">
      <w:pPr>
        <w:spacing w:after="0" w:line="240" w:lineRule="auto"/>
        <w:ind w:left="709" w:right="709"/>
        <w:jc w:val="both"/>
        <w:rPr>
          <w:rFonts w:ascii="Verdana" w:eastAsia="Century Gothic" w:hAnsi="Verdana" w:cs="Century Gothic"/>
          <w:color w:val="000000" w:themeColor="text1"/>
          <w:sz w:val="20"/>
          <w:szCs w:val="20"/>
        </w:rPr>
      </w:pPr>
    </w:p>
    <w:p w14:paraId="11598DE7" w14:textId="77777777" w:rsidR="004D54CC" w:rsidRDefault="004D54CC" w:rsidP="004D54CC">
      <w:pPr>
        <w:spacing w:after="0" w:line="240" w:lineRule="auto"/>
        <w:ind w:left="709" w:right="709"/>
        <w:jc w:val="both"/>
        <w:rPr>
          <w:rFonts w:ascii="Verdana" w:eastAsia="Century Gothic" w:hAnsi="Verdana" w:cs="Century Gothic"/>
          <w:color w:val="000000" w:themeColor="text1"/>
          <w:sz w:val="20"/>
          <w:szCs w:val="20"/>
        </w:rPr>
      </w:pPr>
      <w:r w:rsidRPr="001A5258">
        <w:rPr>
          <w:rFonts w:ascii="Verdana" w:eastAsia="Century Gothic" w:hAnsi="Verdana" w:cs="Century Gothic"/>
          <w:color w:val="000000" w:themeColor="text1"/>
          <w:sz w:val="20"/>
          <w:szCs w:val="20"/>
        </w:rPr>
        <w:t xml:space="preserve">d) ¿Qué implicaciones legales y administrativas tiene que una contratista decida no tomar la totalidad o parte de su licencia de maternidad para continuar prestando sus servicios? ¿Puede la entidad pública negarse a esta solicitud, y bajo qué argumentos jurídicos? ¿Qué responsabilidad asumiría la Alcaldía en caso de que la contratista o el recién nacido sufran algún problema de salud? </w:t>
      </w:r>
    </w:p>
    <w:p w14:paraId="33A5836D" w14:textId="77777777" w:rsidR="004D54CC" w:rsidRDefault="004D54CC" w:rsidP="004D54CC">
      <w:pPr>
        <w:spacing w:after="0" w:line="240" w:lineRule="auto"/>
        <w:ind w:left="709" w:right="709"/>
        <w:jc w:val="both"/>
        <w:rPr>
          <w:rFonts w:ascii="Verdana" w:eastAsia="Century Gothic" w:hAnsi="Verdana" w:cs="Century Gothic"/>
          <w:color w:val="000000" w:themeColor="text1"/>
          <w:sz w:val="20"/>
          <w:szCs w:val="20"/>
        </w:rPr>
      </w:pPr>
    </w:p>
    <w:p w14:paraId="6FAFC263" w14:textId="77777777" w:rsidR="004D54CC" w:rsidRPr="00F65D2B" w:rsidRDefault="004D54CC" w:rsidP="004D54CC">
      <w:pPr>
        <w:spacing w:after="0" w:line="240" w:lineRule="auto"/>
        <w:ind w:left="709" w:right="709"/>
        <w:jc w:val="both"/>
        <w:rPr>
          <w:rFonts w:ascii="Verdana" w:eastAsia="Century Gothic" w:hAnsi="Verdana" w:cs="Century Gothic"/>
          <w:color w:val="000000" w:themeColor="text1"/>
          <w:sz w:val="20"/>
          <w:szCs w:val="20"/>
        </w:rPr>
      </w:pPr>
      <w:r w:rsidRPr="001A5258">
        <w:rPr>
          <w:rFonts w:ascii="Verdana" w:eastAsia="Century Gothic" w:hAnsi="Verdana" w:cs="Century Gothic"/>
          <w:color w:val="000000" w:themeColor="text1"/>
          <w:sz w:val="20"/>
          <w:szCs w:val="20"/>
        </w:rPr>
        <w:t>e) ¿Puede una contratista, después de superada su licencia de maternidad, ser vinculada a otra dependencia de la Alcaldía? En caso de ser posible, ¿qué procedimiento legal se debe seguir para modificar el contrato de prestación de servicios sin incurrir en una vulneración de sus derechos o en una alteración unilateral de las condiciones contractuales? ¿Se requiere la firma de un nuevo contrato?</w:t>
      </w:r>
      <w:r w:rsidRPr="00F65D2B">
        <w:rPr>
          <w:rFonts w:ascii="Verdana" w:eastAsia="Century Gothic" w:hAnsi="Verdana" w:cs="Century Gothic"/>
          <w:color w:val="000000" w:themeColor="text1"/>
          <w:sz w:val="20"/>
          <w:szCs w:val="20"/>
        </w:rPr>
        <w:t>”.</w:t>
      </w:r>
      <w:bookmarkEnd w:id="0"/>
    </w:p>
    <w:p w14:paraId="44C14F58" w14:textId="77777777" w:rsidR="004D54CC" w:rsidRPr="00F65D2B" w:rsidRDefault="004D54CC" w:rsidP="004D54CC">
      <w:pPr>
        <w:spacing w:after="0" w:line="240" w:lineRule="auto"/>
        <w:ind w:firstLine="709"/>
        <w:contextualSpacing/>
        <w:jc w:val="both"/>
        <w:rPr>
          <w:rFonts w:ascii="Verdana" w:eastAsia="Calibri" w:hAnsi="Verdana" w:cs="Arial"/>
          <w:color w:val="000000" w:themeColor="text1"/>
          <w:lang w:eastAsia="es-ES"/>
        </w:rPr>
      </w:pPr>
    </w:p>
    <w:p w14:paraId="470DB4B7" w14:textId="77777777" w:rsidR="004D54CC" w:rsidRDefault="004D54CC" w:rsidP="004D54CC">
      <w:pPr>
        <w:spacing w:after="120" w:line="276" w:lineRule="auto"/>
        <w:ind w:firstLine="708"/>
        <w:jc w:val="both"/>
        <w:rPr>
          <w:rFonts w:ascii="Verdana" w:eastAsia="Calibri" w:hAnsi="Verdana" w:cs="Arial"/>
          <w:color w:val="000000" w:themeColor="text1"/>
          <w:szCs w:val="24"/>
          <w:lang w:eastAsia="es-ES_tradnl"/>
        </w:rPr>
      </w:pPr>
      <w:r w:rsidRPr="00F65D2B">
        <w:rPr>
          <w:rFonts w:ascii="Verdana" w:eastAsia="Calibri" w:hAnsi="Verdana" w:cs="Arial"/>
          <w:color w:val="000000" w:themeColor="text1"/>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F65D2B">
        <w:rPr>
          <w:rFonts w:ascii="Verdana" w:eastAsia="Calibri" w:hAnsi="Verdana" w:cs="Arial"/>
          <w:color w:val="000000" w:themeColor="text1"/>
          <w:szCs w:val="24"/>
          <w:lang w:eastAsia="es-ES_tradnl"/>
        </w:rPr>
        <w:tab/>
      </w:r>
    </w:p>
    <w:p w14:paraId="73DAB0D6" w14:textId="77777777" w:rsidR="004D54CC" w:rsidRPr="00F65D2B" w:rsidRDefault="004D54CC" w:rsidP="004D54CC">
      <w:pPr>
        <w:spacing w:after="0" w:line="276" w:lineRule="auto"/>
        <w:ind w:firstLine="709"/>
        <w:contextualSpacing/>
        <w:jc w:val="both"/>
        <w:rPr>
          <w:rFonts w:ascii="Verdana" w:eastAsia="Calibri" w:hAnsi="Verdana" w:cs="Arial"/>
          <w:color w:val="000000" w:themeColor="text1"/>
          <w:szCs w:val="24"/>
          <w:lang w:eastAsia="es-ES_tradnl"/>
        </w:rPr>
      </w:pPr>
      <w:r w:rsidRPr="00FC3BF1">
        <w:rPr>
          <w:rFonts w:ascii="Verdana" w:eastAsia="Calibri" w:hAnsi="Verdana" w:cs="Arial"/>
          <w:color w:val="000000" w:themeColor="text1"/>
          <w:szCs w:val="24"/>
          <w:lang w:eastAsia="es-ES_tradnl"/>
        </w:rPr>
        <w:t xml:space="preserve">Su consulta plantea supuestos fácticos y solicita pronunciamientos sobre eventuales implicaciones legales y administrativas; sin embargo, en el marco de </w:t>
      </w:r>
      <w:r w:rsidRPr="00FC3BF1">
        <w:rPr>
          <w:rFonts w:ascii="Verdana" w:eastAsia="Calibri" w:hAnsi="Verdana" w:cs="Arial"/>
          <w:color w:val="000000" w:themeColor="text1"/>
          <w:szCs w:val="24"/>
          <w:lang w:eastAsia="es-ES_tradnl"/>
        </w:rPr>
        <w:lastRenderedPageBreak/>
        <w:t>las competencias atribuidas a esta Agencia, no es posible emitir respuestas de fondo frente a casos concretos, ni definir consecuencias jurídicas que correspondería establecer al operador judicial dentro de un proceso de esa naturaleza. De igual forma, no le es dable a esta Entidad orientar o determinar los pasos que deba seguir una entidad contratante en situaciones específicas, por cuanto ello configuraría una asesoría particular que excede el alcance consultivo general previsto en el Decreto Ley 4170 de 2011.</w:t>
      </w:r>
    </w:p>
    <w:p w14:paraId="27BEF236" w14:textId="77777777" w:rsidR="004D54CC" w:rsidRPr="00F65D2B" w:rsidRDefault="004D54CC" w:rsidP="004D54CC">
      <w:pPr>
        <w:spacing w:before="120" w:after="0" w:line="276" w:lineRule="auto"/>
        <w:ind w:firstLine="709"/>
        <w:jc w:val="both"/>
        <w:rPr>
          <w:rFonts w:ascii="Verdana" w:eastAsia="Calibri" w:hAnsi="Verdana" w:cs="Arial"/>
          <w:color w:val="000000" w:themeColor="text1"/>
          <w:lang w:eastAsia="es-ES"/>
        </w:rPr>
      </w:pPr>
      <w:r w:rsidRPr="00F65D2B">
        <w:rPr>
          <w:rFonts w:ascii="Verdana" w:eastAsia="Calibri" w:hAnsi="Verdana" w:cs="Arial"/>
          <w:color w:val="000000" w:themeColor="text1"/>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35ECDD1" w14:textId="77777777" w:rsidR="004D54CC" w:rsidRPr="00F65D2B" w:rsidRDefault="004D54CC" w:rsidP="004D54CC">
      <w:pPr>
        <w:spacing w:after="0" w:line="276" w:lineRule="auto"/>
        <w:ind w:firstLine="709"/>
        <w:jc w:val="both"/>
        <w:rPr>
          <w:rFonts w:ascii="Verdana" w:eastAsia="Calibri" w:hAnsi="Verdana" w:cs="Arial"/>
          <w:color w:val="000000" w:themeColor="text1"/>
          <w:lang w:eastAsia="es-ES"/>
        </w:rPr>
      </w:pPr>
    </w:p>
    <w:p w14:paraId="470AC0B7" w14:textId="77777777" w:rsidR="004D54CC" w:rsidRPr="00F65D2B" w:rsidRDefault="004D54CC" w:rsidP="004D54CC">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Problema planteado:</w:t>
      </w:r>
    </w:p>
    <w:p w14:paraId="028FF4A4" w14:textId="77777777" w:rsidR="004D54CC" w:rsidRPr="00F65D2B" w:rsidRDefault="004D54CC" w:rsidP="004D54CC">
      <w:pPr>
        <w:tabs>
          <w:tab w:val="left" w:pos="426"/>
        </w:tabs>
        <w:spacing w:after="0" w:line="276" w:lineRule="auto"/>
        <w:jc w:val="both"/>
        <w:rPr>
          <w:rFonts w:ascii="Verdana" w:eastAsia="Century Gothic" w:hAnsi="Verdana" w:cs="Century Gothic"/>
          <w:color w:val="000000" w:themeColor="text1"/>
        </w:rPr>
      </w:pPr>
    </w:p>
    <w:p w14:paraId="67A8E7FB" w14:textId="77777777" w:rsidR="004D54CC" w:rsidRDefault="004D54CC" w:rsidP="004D54CC">
      <w:pPr>
        <w:spacing w:after="0" w:line="276" w:lineRule="auto"/>
        <w:jc w:val="both"/>
        <w:rPr>
          <w:rFonts w:ascii="Verdana" w:eastAsia="Century Gothic" w:hAnsi="Verdana" w:cs="Century Gothic"/>
          <w:color w:val="000000" w:themeColor="text1"/>
        </w:rPr>
      </w:pPr>
      <w:r w:rsidRPr="00F65D2B">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los</w:t>
      </w:r>
      <w:r w:rsidRPr="00F65D2B">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F65D2B">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F65D2B">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F65D2B">
        <w:rPr>
          <w:rFonts w:ascii="Verdana" w:eastAsia="Century Gothic" w:hAnsi="Verdana" w:cs="Century Gothic"/>
          <w:color w:val="000000" w:themeColor="text1"/>
        </w:rPr>
        <w:t xml:space="preserve">: </w:t>
      </w:r>
    </w:p>
    <w:p w14:paraId="55D86F10" w14:textId="77777777" w:rsidR="004D54CC" w:rsidRDefault="004D54CC" w:rsidP="004D54CC">
      <w:pPr>
        <w:spacing w:after="0" w:line="276" w:lineRule="auto"/>
        <w:jc w:val="both"/>
        <w:rPr>
          <w:rFonts w:ascii="Verdana" w:eastAsia="Century Gothic" w:hAnsi="Verdana" w:cs="Century Gothic"/>
          <w:color w:val="000000" w:themeColor="text1"/>
        </w:rPr>
      </w:pPr>
    </w:p>
    <w:p w14:paraId="6B299259" w14:textId="77777777" w:rsidR="004D54CC" w:rsidRDefault="004D54CC" w:rsidP="004D54CC">
      <w:pPr>
        <w:spacing w:after="0" w:line="276" w:lineRule="auto"/>
        <w:jc w:val="both"/>
        <w:rPr>
          <w:rFonts w:ascii="Verdana" w:eastAsia="Century Gothic" w:hAnsi="Verdana" w:cs="Century Gothic"/>
          <w:color w:val="000000" w:themeColor="text1"/>
        </w:rPr>
      </w:pPr>
      <w:r>
        <w:rPr>
          <w:rFonts w:ascii="Verdana" w:eastAsia="Century Gothic" w:hAnsi="Verdana" w:cs="Century Gothic"/>
          <w:color w:val="000000" w:themeColor="text1"/>
        </w:rPr>
        <w:t xml:space="preserve">1. </w:t>
      </w:r>
      <w:r w:rsidRPr="009C7592">
        <w:rPr>
          <w:rFonts w:ascii="Verdana" w:eastAsia="Century Gothic" w:hAnsi="Verdana" w:cs="Century Gothic"/>
          <w:color w:val="000000" w:themeColor="text1"/>
        </w:rPr>
        <w:t>¿</w:t>
      </w:r>
      <w:r>
        <w:rPr>
          <w:rFonts w:ascii="Verdana" w:eastAsia="Century Gothic" w:hAnsi="Verdana" w:cs="Century Gothic"/>
          <w:color w:val="000000" w:themeColor="text1"/>
        </w:rPr>
        <w:t>Cómo opera</w:t>
      </w:r>
      <w:r w:rsidRPr="009C7592">
        <w:rPr>
          <w:rFonts w:ascii="Verdana" w:eastAsia="Century Gothic" w:hAnsi="Verdana" w:cs="Century Gothic"/>
          <w:color w:val="000000" w:themeColor="text1"/>
        </w:rPr>
        <w:t xml:space="preserve"> la protección especial de la maternidad en el marco de un contrato de prestación de servicios estatal?</w:t>
      </w:r>
    </w:p>
    <w:p w14:paraId="34E062DC" w14:textId="77777777" w:rsidR="004D54CC" w:rsidRDefault="004D54CC" w:rsidP="004D54CC">
      <w:pPr>
        <w:spacing w:after="0" w:line="276" w:lineRule="auto"/>
        <w:jc w:val="both"/>
        <w:rPr>
          <w:rFonts w:ascii="Verdana" w:eastAsia="Century Gothic" w:hAnsi="Verdana" w:cs="Century Gothic"/>
          <w:color w:val="000000" w:themeColor="text1"/>
        </w:rPr>
      </w:pPr>
    </w:p>
    <w:p w14:paraId="1F3D5596" w14:textId="77777777" w:rsidR="004D54CC" w:rsidRDefault="004D54CC" w:rsidP="004D54CC">
      <w:pPr>
        <w:spacing w:after="0" w:line="276" w:lineRule="auto"/>
        <w:jc w:val="both"/>
        <w:rPr>
          <w:rFonts w:ascii="Verdana" w:eastAsia="Century Gothic" w:hAnsi="Verdana" w:cs="Century Gothic"/>
          <w:color w:val="000000" w:themeColor="text1"/>
        </w:rPr>
      </w:pPr>
      <w:r>
        <w:rPr>
          <w:rFonts w:ascii="Verdana" w:eastAsia="Century Gothic" w:hAnsi="Verdana" w:cs="Century Gothic"/>
          <w:color w:val="000000" w:themeColor="text1"/>
        </w:rPr>
        <w:t xml:space="preserve">2. </w:t>
      </w:r>
      <w:r w:rsidRPr="000A44C0">
        <w:rPr>
          <w:rFonts w:ascii="Verdana" w:eastAsia="Century Gothic" w:hAnsi="Verdana" w:cs="Century Gothic"/>
          <w:color w:val="000000" w:themeColor="text1"/>
        </w:rPr>
        <w:t>¿Configura una doble asignación presupuestal que una contratista en estado de maternidad reciba simultáneamente los honorarios derivados de su contrato de prestación de servicios y el pago de la licencia de maternidad efectuado por la EPS?</w:t>
      </w:r>
    </w:p>
    <w:p w14:paraId="0F090FCC" w14:textId="77777777" w:rsidR="004D54CC" w:rsidRDefault="004D54CC" w:rsidP="004D54CC">
      <w:pPr>
        <w:spacing w:after="0" w:line="276" w:lineRule="auto"/>
        <w:jc w:val="both"/>
        <w:rPr>
          <w:rFonts w:ascii="Verdana" w:eastAsia="Century Gothic" w:hAnsi="Verdana" w:cs="Century Gothic"/>
          <w:color w:val="000000" w:themeColor="text1"/>
        </w:rPr>
      </w:pPr>
    </w:p>
    <w:p w14:paraId="69AFB057" w14:textId="77777777" w:rsidR="004D54CC" w:rsidRPr="00F65D2B" w:rsidRDefault="004D54CC" w:rsidP="004D54CC">
      <w:pPr>
        <w:spacing w:after="0" w:line="276" w:lineRule="auto"/>
        <w:jc w:val="both"/>
        <w:rPr>
          <w:rFonts w:ascii="Verdana" w:eastAsia="Century Gothic" w:hAnsi="Verdana" w:cs="Century Gothic"/>
          <w:color w:val="000000" w:themeColor="text1"/>
        </w:rPr>
      </w:pPr>
      <w:r>
        <w:rPr>
          <w:rFonts w:ascii="Verdana" w:eastAsia="Century Gothic" w:hAnsi="Verdana" w:cs="Century Gothic"/>
          <w:color w:val="000000" w:themeColor="text1"/>
        </w:rPr>
        <w:t xml:space="preserve">3. </w:t>
      </w:r>
      <w:r w:rsidRPr="008950B4">
        <w:rPr>
          <w:rFonts w:ascii="Verdana" w:eastAsia="Century Gothic" w:hAnsi="Verdana" w:cs="Century Gothic"/>
          <w:color w:val="000000" w:themeColor="text1"/>
        </w:rPr>
        <w:t>¿Resulta procedente la suspensión o la continuación del contrato de prestación de servicios durante el período de licencia de maternidad de la contratista?</w:t>
      </w:r>
    </w:p>
    <w:p w14:paraId="140CF265" w14:textId="77777777" w:rsidR="004D54CC" w:rsidRPr="00F65D2B" w:rsidRDefault="004D54CC" w:rsidP="004D54CC">
      <w:pPr>
        <w:spacing w:after="0" w:line="276" w:lineRule="auto"/>
        <w:jc w:val="both"/>
        <w:rPr>
          <w:rFonts w:ascii="Verdana" w:eastAsia="Calibri" w:hAnsi="Verdana" w:cs="Arial"/>
          <w:color w:val="000000" w:themeColor="text1"/>
        </w:rPr>
      </w:pPr>
    </w:p>
    <w:p w14:paraId="4FBBB8AC" w14:textId="77777777" w:rsidR="004D54CC" w:rsidRPr="00F65D2B" w:rsidRDefault="004D54CC" w:rsidP="004D54CC">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Respuesta:</w:t>
      </w:r>
    </w:p>
    <w:p w14:paraId="6FA89039" w14:textId="77777777" w:rsidR="004D54CC" w:rsidRPr="00F65D2B" w:rsidRDefault="004D54CC" w:rsidP="004D54CC">
      <w:pPr>
        <w:tabs>
          <w:tab w:val="left" w:pos="142"/>
          <w:tab w:val="left" w:pos="284"/>
        </w:tabs>
        <w:spacing w:after="0" w:line="276" w:lineRule="auto"/>
        <w:jc w:val="both"/>
        <w:rPr>
          <w:rFonts w:ascii="Verdana" w:eastAsia="Century Gothic" w:hAnsi="Verdana" w:cs="Century Gothic"/>
          <w:b/>
          <w:bCs/>
          <w:color w:val="000000" w:themeColor="text1"/>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D54CC" w:rsidRPr="00F65D2B" w14:paraId="213393A9" w14:textId="77777777" w:rsidTr="009E10DA">
        <w:tc>
          <w:tcPr>
            <w:tcW w:w="8828" w:type="dxa"/>
          </w:tcPr>
          <w:p w14:paraId="30B1D092" w14:textId="77777777" w:rsidR="004D54CC" w:rsidRPr="00C93443" w:rsidRDefault="004D54CC" w:rsidP="009E10DA">
            <w:pPr>
              <w:spacing w:after="120" w:line="276" w:lineRule="auto"/>
              <w:jc w:val="both"/>
              <w:rPr>
                <w:rFonts w:ascii="Verdana" w:hAnsi="Verdana"/>
                <w:shd w:val="clear" w:color="auto" w:fill="FFFFFF"/>
              </w:rPr>
            </w:pPr>
            <w:r>
              <w:rPr>
                <w:rFonts w:ascii="Verdana" w:hAnsi="Verdana"/>
                <w:shd w:val="clear" w:color="auto" w:fill="FFFFFF"/>
              </w:rPr>
              <w:t xml:space="preserve">1. </w:t>
            </w:r>
            <w:r w:rsidRPr="00C93443">
              <w:rPr>
                <w:rFonts w:ascii="Verdana" w:hAnsi="Verdana"/>
                <w:shd w:val="clear" w:color="auto" w:fill="FFFFFF"/>
              </w:rPr>
              <w:t xml:space="preserve">La protección especial derivada del fuero de maternidad también es aplicable a las mujeres vinculadas mediante contratos de prestación de servicios con entidades estatales, en tanto se trata de una garantía </w:t>
            </w:r>
            <w:r w:rsidRPr="00C93443">
              <w:rPr>
                <w:rFonts w:ascii="Verdana" w:hAnsi="Verdana"/>
                <w:shd w:val="clear" w:color="auto" w:fill="FFFFFF"/>
              </w:rPr>
              <w:lastRenderedPageBreak/>
              <w:t>constitucional que busca evitar toda forma de discriminación por razón del embarazo, la licencia de maternidad o el periodo de lactancia.</w:t>
            </w:r>
          </w:p>
          <w:p w14:paraId="309B403D" w14:textId="77777777" w:rsidR="004D54CC" w:rsidRPr="00C93443" w:rsidRDefault="004D54CC" w:rsidP="009E10DA">
            <w:pPr>
              <w:spacing w:after="120" w:line="276" w:lineRule="auto"/>
              <w:ind w:firstLine="708"/>
              <w:jc w:val="both"/>
              <w:rPr>
                <w:rFonts w:ascii="Verdana" w:hAnsi="Verdana"/>
                <w:shd w:val="clear" w:color="auto" w:fill="FFFFFF"/>
              </w:rPr>
            </w:pPr>
            <w:r w:rsidRPr="00C93443">
              <w:rPr>
                <w:rFonts w:ascii="Verdana" w:hAnsi="Verdana"/>
                <w:shd w:val="clear" w:color="auto" w:fill="FFFFFF"/>
              </w:rPr>
              <w:t>Si bien el contrato de prestación de servicios, regulado en el numeral 3 del artículo 32 de la Ley 80 de 1993, no genera relación laboral ni prestaciones sociales, la Corte Constitucional ha señalado que la protección a la maternidad trasciende el tipo de vínculo jurídico y se extiende a toda relación de trabajo o de prestación que pueda verse afectada por prácticas discriminatorias.</w:t>
            </w:r>
          </w:p>
          <w:p w14:paraId="4EFC3DC6" w14:textId="77777777" w:rsidR="004D54CC" w:rsidRDefault="004D54CC" w:rsidP="009E10DA">
            <w:pPr>
              <w:spacing w:after="120" w:line="276" w:lineRule="auto"/>
              <w:ind w:firstLine="708"/>
              <w:jc w:val="both"/>
              <w:rPr>
                <w:rFonts w:ascii="Verdana" w:hAnsi="Verdana"/>
                <w:shd w:val="clear" w:color="auto" w:fill="FFFFFF"/>
              </w:rPr>
            </w:pPr>
            <w:r w:rsidRPr="00C93443">
              <w:rPr>
                <w:rFonts w:ascii="Verdana" w:hAnsi="Verdana"/>
                <w:shd w:val="clear" w:color="auto" w:fill="FFFFFF"/>
              </w:rPr>
              <w:t>De conformidad con la jurisprudencia unificada (Sentencia SU-075 de 2018, reiterada en las sentencias T-743 de 2017 y T-329 de 2022), la protección opera en dos escenarios:</w:t>
            </w:r>
          </w:p>
          <w:p w14:paraId="3DDAB80F" w14:textId="77777777" w:rsidR="004D54CC" w:rsidRPr="00E325AE" w:rsidRDefault="004D54CC" w:rsidP="004D54CC">
            <w:pPr>
              <w:pStyle w:val="Prrafodelista"/>
              <w:widowControl w:val="0"/>
              <w:numPr>
                <w:ilvl w:val="0"/>
                <w:numId w:val="5"/>
              </w:numPr>
              <w:autoSpaceDE w:val="0"/>
              <w:autoSpaceDN w:val="0"/>
              <w:spacing w:before="120" w:line="276" w:lineRule="auto"/>
              <w:jc w:val="both"/>
              <w:rPr>
                <w:rFonts w:ascii="Verdana" w:hAnsi="Verdana"/>
                <w:shd w:val="clear" w:color="auto" w:fill="FFFFFF"/>
              </w:rPr>
            </w:pPr>
            <w:r w:rsidRPr="00E325AE">
              <w:rPr>
                <w:rFonts w:ascii="Verdana" w:hAnsi="Verdana"/>
                <w:shd w:val="clear" w:color="auto" w:fill="FFFFFF"/>
              </w:rPr>
              <w:t>cuando el contrato de prestación de servicios encubre una relación laboral —caso en el cual se aplican las reglas de estabilidad propias de los contratos a término fijo—, y</w:t>
            </w:r>
          </w:p>
          <w:p w14:paraId="0AD3FD35" w14:textId="77777777" w:rsidR="004D54CC" w:rsidRPr="00E325AE" w:rsidRDefault="004D54CC" w:rsidP="004D54CC">
            <w:pPr>
              <w:pStyle w:val="Prrafodelista"/>
              <w:widowControl w:val="0"/>
              <w:numPr>
                <w:ilvl w:val="0"/>
                <w:numId w:val="5"/>
              </w:numPr>
              <w:autoSpaceDE w:val="0"/>
              <w:autoSpaceDN w:val="0"/>
              <w:spacing w:before="120" w:after="160" w:line="276" w:lineRule="auto"/>
              <w:jc w:val="both"/>
              <w:rPr>
                <w:rFonts w:ascii="Verdana" w:hAnsi="Verdana"/>
                <w:shd w:val="clear" w:color="auto" w:fill="FFFFFF"/>
              </w:rPr>
            </w:pPr>
            <w:r w:rsidRPr="00E325AE">
              <w:rPr>
                <w:rFonts w:ascii="Verdana" w:hAnsi="Verdana"/>
                <w:shd w:val="clear" w:color="auto" w:fill="FFFFFF"/>
              </w:rPr>
              <w:t xml:space="preserve">cuando, aun sin configurarse un contrato realidad, la terminación o no renovación del contrato tiene origen en el estado de embarazo o lactancia, supuesto en el que el juez debe disponer medidas de restablecimiento como la renovación del contrato, el pago de honorarios dejados de percibir y la indemnización por despido discriminatorio. </w:t>
            </w:r>
          </w:p>
          <w:p w14:paraId="01A580FF" w14:textId="77777777" w:rsidR="004D54CC" w:rsidRDefault="004D54CC" w:rsidP="009E10DA">
            <w:pPr>
              <w:spacing w:after="120" w:line="276" w:lineRule="auto"/>
              <w:ind w:firstLine="708"/>
              <w:jc w:val="both"/>
              <w:rPr>
                <w:rFonts w:ascii="Verdana" w:hAnsi="Verdana"/>
                <w:shd w:val="clear" w:color="auto" w:fill="FFFFFF"/>
              </w:rPr>
            </w:pPr>
            <w:r w:rsidRPr="00C93443">
              <w:rPr>
                <w:rFonts w:ascii="Verdana" w:hAnsi="Verdana"/>
                <w:shd w:val="clear" w:color="auto" w:fill="FFFFFF"/>
              </w:rPr>
              <w:t>En consecuencia, las entidades estatales deben abstenerse de terminar o no renovar contratos de prestación de servicios por razones relacionadas con la maternidad, pues ello vulneraría derechos fundamentales y desconocería el principio de igualdad y la protección reforzada que la Constitución y la jurisprudencia otorgan a la mujer gestante o lactante.</w:t>
            </w:r>
          </w:p>
          <w:p w14:paraId="45526697" w14:textId="77777777" w:rsidR="004D54CC" w:rsidRPr="00850741" w:rsidRDefault="004D54CC" w:rsidP="009E10DA">
            <w:pPr>
              <w:spacing w:after="120" w:line="276" w:lineRule="auto"/>
              <w:ind w:firstLine="708"/>
              <w:jc w:val="both"/>
              <w:rPr>
                <w:rFonts w:ascii="Verdana" w:hAnsi="Verdana"/>
                <w:shd w:val="clear" w:color="auto" w:fill="FFFFFF"/>
              </w:rPr>
            </w:pPr>
            <w:r>
              <w:rPr>
                <w:rFonts w:ascii="Verdana" w:hAnsi="Verdana"/>
                <w:shd w:val="clear" w:color="auto" w:fill="FFFFFF"/>
              </w:rPr>
              <w:t xml:space="preserve">2. </w:t>
            </w:r>
            <w:r w:rsidRPr="00850741">
              <w:rPr>
                <w:rFonts w:ascii="Verdana" w:hAnsi="Verdana"/>
                <w:shd w:val="clear" w:color="auto" w:fill="FFFFFF"/>
              </w:rPr>
              <w:t xml:space="preserve">No </w:t>
            </w:r>
            <w:r>
              <w:rPr>
                <w:rFonts w:ascii="Verdana" w:hAnsi="Verdana"/>
                <w:shd w:val="clear" w:color="auto" w:fill="FFFFFF"/>
              </w:rPr>
              <w:t>constituye</w:t>
            </w:r>
            <w:r w:rsidRPr="00850741">
              <w:rPr>
                <w:rFonts w:ascii="Verdana" w:hAnsi="Verdana"/>
                <w:shd w:val="clear" w:color="auto" w:fill="FFFFFF"/>
              </w:rPr>
              <w:t xml:space="preserve"> doble asignación presupuestal </w:t>
            </w:r>
            <w:r>
              <w:rPr>
                <w:rFonts w:ascii="Verdana" w:hAnsi="Verdana"/>
                <w:shd w:val="clear" w:color="auto" w:fill="FFFFFF"/>
              </w:rPr>
              <w:t>el hecho de</w:t>
            </w:r>
            <w:r w:rsidRPr="00850741">
              <w:rPr>
                <w:rFonts w:ascii="Verdana" w:hAnsi="Verdana"/>
                <w:shd w:val="clear" w:color="auto" w:fill="FFFFFF"/>
              </w:rPr>
              <w:t xml:space="preserve"> que una contratista del Estado en licencia de maternidad perciba simultáneamente los honorarios derivados de su contrato de prestación de servicios y el pago de la licencia de maternidad efectuado por la EPS.</w:t>
            </w:r>
          </w:p>
          <w:p w14:paraId="0536924A" w14:textId="77777777" w:rsidR="004D54CC" w:rsidRPr="00850741" w:rsidRDefault="004D54CC" w:rsidP="009E10DA">
            <w:pPr>
              <w:spacing w:after="120" w:line="276" w:lineRule="auto"/>
              <w:ind w:firstLine="708"/>
              <w:jc w:val="both"/>
              <w:rPr>
                <w:rFonts w:ascii="Verdana" w:hAnsi="Verdana"/>
                <w:shd w:val="clear" w:color="auto" w:fill="FFFFFF"/>
              </w:rPr>
            </w:pPr>
            <w:r w:rsidRPr="00850741">
              <w:rPr>
                <w:rFonts w:ascii="Verdana" w:hAnsi="Verdana"/>
                <w:shd w:val="clear" w:color="auto" w:fill="FFFFFF"/>
              </w:rPr>
              <w:t>En primer lugar, la prohibición constitucional de recibir más de una asignación del tesoro público, prevista en el artículo 128 de la Constitución Política y desarrollada en el artículo 19 de la Ley 4 de 1992, aplica exclusivamente a los servidores públicos, entendidos como quienes ejercen empleos en entidades del Estado y reciben una remuneración derivada de una relación laboral o legal y reglamentaria.</w:t>
            </w:r>
          </w:p>
          <w:p w14:paraId="1996E140" w14:textId="77777777" w:rsidR="004D54CC" w:rsidRPr="00850741" w:rsidRDefault="004D54CC" w:rsidP="009E10DA">
            <w:pPr>
              <w:spacing w:after="120" w:line="276" w:lineRule="auto"/>
              <w:ind w:firstLine="708"/>
              <w:jc w:val="both"/>
              <w:rPr>
                <w:rFonts w:ascii="Verdana" w:hAnsi="Verdana"/>
                <w:shd w:val="clear" w:color="auto" w:fill="FFFFFF"/>
              </w:rPr>
            </w:pPr>
            <w:r w:rsidRPr="00850741">
              <w:rPr>
                <w:rFonts w:ascii="Verdana" w:hAnsi="Verdana"/>
                <w:shd w:val="clear" w:color="auto" w:fill="FFFFFF"/>
              </w:rPr>
              <w:lastRenderedPageBreak/>
              <w:t>La retribución del contratista de prestación de servicios, prevista en el artículo 32 de la Ley 80 de 1993, no constituye salario ni asignación en los términos del artículo 128 constitucional, sino honorarios derivados de un negocio jurídico de naturaleza civil o comercial, fundado en la autonomía de la voluntad y sin vínculo de subordinación. En tal sentido, la Sala de Consulta y Servicio Civil del Consejo de Estado (Concepto 1344 de 2001) precisó que los contratistas no son servidores públicos ni perciben asignaciones en el sentido constitucional.</w:t>
            </w:r>
          </w:p>
          <w:p w14:paraId="4C4C08D9" w14:textId="77777777" w:rsidR="004D54CC" w:rsidRPr="00850741" w:rsidRDefault="004D54CC" w:rsidP="009E10DA">
            <w:pPr>
              <w:spacing w:after="120" w:line="276" w:lineRule="auto"/>
              <w:ind w:firstLine="708"/>
              <w:jc w:val="both"/>
              <w:rPr>
                <w:rFonts w:ascii="Verdana" w:hAnsi="Verdana"/>
                <w:shd w:val="clear" w:color="auto" w:fill="FFFFFF"/>
              </w:rPr>
            </w:pPr>
            <w:r w:rsidRPr="00850741">
              <w:rPr>
                <w:rFonts w:ascii="Verdana" w:hAnsi="Verdana"/>
                <w:shd w:val="clear" w:color="auto" w:fill="FFFFFF"/>
              </w:rPr>
              <w:t>Por su parte, la licencia de maternidad tiene como finalidad reemplazar los ingresos que la mujer deja de percibir durante el periodo de gestación y posparto, y no constituye una asignación salarial, sino una prestación económica del sistema de seguridad social en salud, orientada a garantizar la protección de la maternidad y del mínimo vital de la madre y el recién nacido (Sentencia T-489 de 2018).</w:t>
            </w:r>
          </w:p>
          <w:p w14:paraId="1BFC5A4E" w14:textId="77777777" w:rsidR="004D54CC" w:rsidRDefault="004D54CC" w:rsidP="009E10DA">
            <w:pPr>
              <w:spacing w:after="120" w:line="276" w:lineRule="auto"/>
              <w:ind w:firstLine="708"/>
              <w:jc w:val="both"/>
              <w:rPr>
                <w:rFonts w:ascii="Verdana" w:hAnsi="Verdana"/>
                <w:shd w:val="clear" w:color="auto" w:fill="FFFFFF"/>
              </w:rPr>
            </w:pPr>
            <w:r w:rsidRPr="00850741">
              <w:rPr>
                <w:rFonts w:ascii="Verdana" w:hAnsi="Verdana"/>
                <w:shd w:val="clear" w:color="auto" w:fill="FFFFFF"/>
              </w:rPr>
              <w:t>En consecuencia, los pagos que una contratista reciba por concepto de licencia de maternidad no tienen naturaleza de doble asignación presupuestal, ya que provienen de fuentes distintas (EPS y entidad contratante), responden a hechos generadores diferentes y no derivan de una relación laboral o del desempeño simultáneo de empleos públicos.</w:t>
            </w:r>
          </w:p>
          <w:p w14:paraId="3B212446" w14:textId="77777777" w:rsidR="004D54CC" w:rsidRPr="0008338A" w:rsidRDefault="004D54CC" w:rsidP="009E10DA">
            <w:pPr>
              <w:spacing w:after="120" w:line="276" w:lineRule="auto"/>
              <w:ind w:firstLine="708"/>
              <w:jc w:val="both"/>
              <w:rPr>
                <w:rFonts w:ascii="Verdana" w:hAnsi="Verdana"/>
                <w:shd w:val="clear" w:color="auto" w:fill="FFFFFF"/>
              </w:rPr>
            </w:pPr>
            <w:r>
              <w:rPr>
                <w:rFonts w:ascii="Verdana" w:hAnsi="Verdana"/>
                <w:shd w:val="clear" w:color="auto" w:fill="FFFFFF"/>
              </w:rPr>
              <w:t xml:space="preserve">3. </w:t>
            </w:r>
            <w:r w:rsidRPr="0008338A">
              <w:rPr>
                <w:rFonts w:ascii="Verdana" w:hAnsi="Verdana"/>
                <w:shd w:val="clear" w:color="auto" w:fill="FFFFFF"/>
              </w:rPr>
              <w:t>Ahora bien, frente a la consulta relacionada con la procedencia de suspender un contrato de prestación de servicios cuando la contratista se encuentra en estado de embarazo o durante la licencia de maternidad, debe señalarse que no existe disposición normativa que consagre de manera expresa las causales de suspensión de este tipo de contratos, y menos aún en virtud del estado de gestación o del disfrute de la licencia de maternidad.</w:t>
            </w:r>
          </w:p>
          <w:p w14:paraId="01796547" w14:textId="77777777" w:rsidR="004D54CC" w:rsidRPr="0008338A" w:rsidRDefault="004D54CC" w:rsidP="009E10DA">
            <w:pPr>
              <w:spacing w:after="120" w:line="276" w:lineRule="auto"/>
              <w:ind w:firstLine="708"/>
              <w:jc w:val="both"/>
              <w:rPr>
                <w:rFonts w:ascii="Verdana" w:hAnsi="Verdana"/>
                <w:shd w:val="clear" w:color="auto" w:fill="FFFFFF"/>
              </w:rPr>
            </w:pPr>
            <w:r w:rsidRPr="0008338A">
              <w:rPr>
                <w:rFonts w:ascii="Verdana" w:hAnsi="Verdana"/>
                <w:shd w:val="clear" w:color="auto" w:fill="FFFFFF"/>
              </w:rPr>
              <w:t>En virtud del principio de autonomía de la voluntad, las partes pueden pactar la cláusula de suspensión del contrato de prestación de servicios, definiendo las condiciones y reglas aplicables conforme a lo previsto en la Ley 80 de 1993 y la Ley 1150 de 2007. Por lo tanto, la suspensión únicamente procede cuando así se haya convenido expresamente, y ninguna de las partes podrá declararla de manera unilateral por fuera de lo pactado.</w:t>
            </w:r>
          </w:p>
          <w:p w14:paraId="292F1216" w14:textId="77777777" w:rsidR="004D54CC" w:rsidRPr="0008338A" w:rsidRDefault="004D54CC" w:rsidP="009E10DA">
            <w:pPr>
              <w:spacing w:after="120" w:line="276" w:lineRule="auto"/>
              <w:ind w:firstLine="708"/>
              <w:jc w:val="both"/>
              <w:rPr>
                <w:rFonts w:ascii="Verdana" w:hAnsi="Verdana"/>
                <w:shd w:val="clear" w:color="auto" w:fill="FFFFFF"/>
              </w:rPr>
            </w:pPr>
            <w:r w:rsidRPr="0008338A">
              <w:rPr>
                <w:rFonts w:ascii="Verdana" w:hAnsi="Verdana"/>
                <w:shd w:val="clear" w:color="auto" w:fill="FFFFFF"/>
              </w:rPr>
              <w:t xml:space="preserve">En los casos en que la contratista no pueda desarrollar temporalmente las obligaciones a su cargo, la entidad estatal, a través del supervisor del contrato, podrá disponer la suspensión del mismo, de acuerdo con lo previsto en el contrato y en la normatividad aplicable. Si, por el contrario, las partes </w:t>
            </w:r>
            <w:r w:rsidRPr="0008338A">
              <w:rPr>
                <w:rFonts w:ascii="Verdana" w:hAnsi="Verdana"/>
                <w:shd w:val="clear" w:color="auto" w:fill="FFFFFF"/>
              </w:rPr>
              <w:lastRenderedPageBreak/>
              <w:t>acuerdan continuar con la ejecución y la contratista acredita el cumplimiento de las actividades contratadas, habrá lugar al pago de honorarios, en tanto se verifique la efectiva prestación del servicio.</w:t>
            </w:r>
          </w:p>
          <w:p w14:paraId="0DD59FCD" w14:textId="77777777" w:rsidR="004D54CC" w:rsidRPr="0008338A" w:rsidRDefault="004D54CC" w:rsidP="009E10DA">
            <w:pPr>
              <w:spacing w:after="120" w:line="276" w:lineRule="auto"/>
              <w:ind w:firstLine="708"/>
              <w:jc w:val="both"/>
              <w:rPr>
                <w:rFonts w:ascii="Verdana" w:hAnsi="Verdana"/>
                <w:shd w:val="clear" w:color="auto" w:fill="FFFFFF"/>
              </w:rPr>
            </w:pPr>
            <w:r w:rsidRPr="0008338A">
              <w:rPr>
                <w:rFonts w:ascii="Verdana" w:hAnsi="Verdana"/>
                <w:shd w:val="clear" w:color="auto" w:fill="FFFFFF"/>
              </w:rPr>
              <w:t>Debe precisarse que la suspensión del contrato no implica la ampliación automática del plazo de ejecución, sino la interrupción temporal de las actividades pactadas, sin que haya lugar al pago de honorarios por dicho periodo. En ese evento, la prestación económica derivada de la licencia de maternidad será asumida por el Sistema General de Seguridad Social en Salud, a cargo de la EPS.</w:t>
            </w:r>
          </w:p>
          <w:p w14:paraId="5760373A" w14:textId="77777777" w:rsidR="004D54CC" w:rsidRPr="00F65D2B" w:rsidRDefault="004D54CC" w:rsidP="009E10DA">
            <w:pPr>
              <w:spacing w:after="120" w:line="276" w:lineRule="auto"/>
              <w:ind w:firstLine="708"/>
              <w:jc w:val="both"/>
              <w:rPr>
                <w:rFonts w:ascii="Verdana" w:hAnsi="Verdana"/>
                <w:shd w:val="clear" w:color="auto" w:fill="FFFFFF"/>
              </w:rPr>
            </w:pPr>
            <w:r w:rsidRPr="0008338A">
              <w:rPr>
                <w:rFonts w:ascii="Verdana" w:hAnsi="Verdana"/>
                <w:shd w:val="clear" w:color="auto" w:fill="FFFFFF"/>
              </w:rPr>
              <w:t>Finalmente, es competencia de la entidad contratante, en el marco de su gestión contractual, determinar el tratamiento aplicable a la licencia de maternidad de la contratista, conforme a las particularidades del caso concreto y a las reglas contractuales previamente pactadas. En todo caso, lo aquí expuesto se formula en el marco de la función consultiva de esta Agencia y no comporta pronunciamiento sobre una situación contractual específica</w:t>
            </w:r>
            <w:r>
              <w:rPr>
                <w:rFonts w:ascii="Verdana" w:hAnsi="Verdana"/>
                <w:shd w:val="clear" w:color="auto" w:fill="FFFFFF"/>
              </w:rPr>
              <w:t>.</w:t>
            </w:r>
          </w:p>
        </w:tc>
      </w:tr>
    </w:tbl>
    <w:p w14:paraId="52B4859F" w14:textId="77777777" w:rsidR="004D54CC" w:rsidRPr="00F65D2B" w:rsidRDefault="004D54CC" w:rsidP="004D54CC">
      <w:pPr>
        <w:tabs>
          <w:tab w:val="left" w:pos="142"/>
          <w:tab w:val="left" w:pos="284"/>
        </w:tabs>
        <w:spacing w:after="0" w:line="276" w:lineRule="auto"/>
        <w:jc w:val="both"/>
        <w:rPr>
          <w:rFonts w:ascii="Verdana" w:eastAsia="Century Gothic" w:hAnsi="Verdana" w:cs="Century Gothic"/>
          <w:b/>
          <w:bCs/>
          <w:color w:val="000000" w:themeColor="text1"/>
        </w:rPr>
      </w:pPr>
    </w:p>
    <w:p w14:paraId="72770CAF" w14:textId="77777777" w:rsidR="004D54CC" w:rsidRPr="00F65D2B" w:rsidRDefault="004D54CC" w:rsidP="004D54CC">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Razones de la respuesta:</w:t>
      </w:r>
    </w:p>
    <w:p w14:paraId="5C2E934D" w14:textId="77777777" w:rsidR="004D54CC" w:rsidRPr="00F65D2B" w:rsidRDefault="004D54CC" w:rsidP="004D54CC">
      <w:pPr>
        <w:spacing w:after="0" w:line="276" w:lineRule="auto"/>
        <w:jc w:val="both"/>
        <w:rPr>
          <w:rFonts w:ascii="Verdana" w:eastAsia="Calibri" w:hAnsi="Verdana" w:cs="Arial"/>
          <w:color w:val="000000" w:themeColor="text1"/>
        </w:rPr>
      </w:pPr>
    </w:p>
    <w:p w14:paraId="01D5E963" w14:textId="77777777" w:rsidR="004D54CC" w:rsidRPr="00F65D2B" w:rsidRDefault="004D54CC" w:rsidP="004D54CC">
      <w:pPr>
        <w:spacing w:after="0" w:line="276" w:lineRule="auto"/>
        <w:jc w:val="both"/>
        <w:rPr>
          <w:rFonts w:ascii="Verdana" w:eastAsia="Calibri" w:hAnsi="Verdana" w:cs="Arial"/>
          <w:color w:val="000000" w:themeColor="text1"/>
        </w:rPr>
      </w:pPr>
      <w:r w:rsidRPr="00F65D2B">
        <w:rPr>
          <w:rFonts w:ascii="Verdana" w:eastAsia="Calibri" w:hAnsi="Verdana" w:cs="Arial"/>
          <w:color w:val="000000" w:themeColor="text1"/>
        </w:rPr>
        <w:t xml:space="preserve">Lo anterior se sustenta en las siguientes consideraciones: </w:t>
      </w:r>
    </w:p>
    <w:p w14:paraId="06672A79" w14:textId="77777777" w:rsidR="004D54CC" w:rsidRDefault="004D54CC" w:rsidP="004D54CC">
      <w:pPr>
        <w:snapToGrid w:val="0"/>
        <w:spacing w:after="0" w:line="276" w:lineRule="auto"/>
        <w:jc w:val="both"/>
        <w:rPr>
          <w:rFonts w:ascii="Verdana" w:eastAsia="Calibri" w:hAnsi="Verdana" w:cs="Arial"/>
          <w:kern w:val="2"/>
          <w14:ligatures w14:val="standardContextual"/>
        </w:rPr>
      </w:pPr>
    </w:p>
    <w:p w14:paraId="3ED51D94" w14:textId="77777777" w:rsidR="004D54CC" w:rsidRPr="003B4A30" w:rsidRDefault="004D54CC" w:rsidP="004D54CC">
      <w:pPr>
        <w:pStyle w:val="Textoindependiente"/>
        <w:jc w:val="both"/>
        <w:rPr>
          <w:rFonts w:ascii="Verdana" w:hAnsi="Verdana"/>
        </w:rPr>
      </w:pPr>
      <w:r>
        <w:rPr>
          <w:rFonts w:ascii="Verdana" w:hAnsi="Verdana"/>
        </w:rPr>
        <w:t xml:space="preserve">i) </w:t>
      </w:r>
      <w:r w:rsidRPr="003B4A30">
        <w:rPr>
          <w:rFonts w:ascii="Verdana" w:hAnsi="Verdana"/>
        </w:rPr>
        <w:t>El contrato de prestación de servicios es un contrato estatal típico, regulado en el numeral 3 del artículo 32 de la Ley 80 de 1993. Este se define como aquel que “celebren</w:t>
      </w:r>
      <w:r w:rsidRPr="003B4A30">
        <w:rPr>
          <w:rFonts w:ascii="Verdana" w:hAnsi="Verdana"/>
          <w:spacing w:val="-20"/>
        </w:rPr>
        <w:t xml:space="preserve"> </w:t>
      </w:r>
      <w:r w:rsidRPr="003B4A30">
        <w:rPr>
          <w:rFonts w:ascii="Verdana" w:hAnsi="Verdana"/>
        </w:rPr>
        <w:t>las</w:t>
      </w:r>
      <w:r w:rsidRPr="003B4A30">
        <w:rPr>
          <w:rFonts w:ascii="Verdana" w:hAnsi="Verdana"/>
          <w:spacing w:val="-19"/>
        </w:rPr>
        <w:t xml:space="preserve"> </w:t>
      </w:r>
      <w:r w:rsidRPr="003B4A30">
        <w:rPr>
          <w:rFonts w:ascii="Verdana" w:hAnsi="Verdana"/>
        </w:rPr>
        <w:t>entidades</w:t>
      </w:r>
      <w:r w:rsidRPr="003B4A30">
        <w:rPr>
          <w:rFonts w:ascii="Verdana" w:hAnsi="Verdana"/>
          <w:spacing w:val="-19"/>
        </w:rPr>
        <w:t xml:space="preserve"> </w:t>
      </w:r>
      <w:r w:rsidRPr="003B4A30">
        <w:rPr>
          <w:rFonts w:ascii="Verdana" w:hAnsi="Verdana"/>
        </w:rPr>
        <w:t>estatales</w:t>
      </w:r>
      <w:r w:rsidRPr="003B4A30">
        <w:rPr>
          <w:rFonts w:ascii="Verdana" w:hAnsi="Verdana"/>
          <w:spacing w:val="-20"/>
        </w:rPr>
        <w:t xml:space="preserve"> </w:t>
      </w:r>
      <w:r w:rsidRPr="003B4A30">
        <w:rPr>
          <w:rFonts w:ascii="Verdana" w:hAnsi="Verdana"/>
        </w:rPr>
        <w:t>para</w:t>
      </w:r>
      <w:r w:rsidRPr="003B4A30">
        <w:rPr>
          <w:rFonts w:ascii="Verdana" w:hAnsi="Verdana"/>
          <w:spacing w:val="-19"/>
        </w:rPr>
        <w:t xml:space="preserve"> </w:t>
      </w:r>
      <w:r w:rsidRPr="003B4A30">
        <w:rPr>
          <w:rFonts w:ascii="Verdana" w:hAnsi="Verdana"/>
        </w:rPr>
        <w:t>desarrollar</w:t>
      </w:r>
      <w:r w:rsidRPr="003B4A30">
        <w:rPr>
          <w:rFonts w:ascii="Verdana" w:hAnsi="Verdana"/>
          <w:spacing w:val="-20"/>
        </w:rPr>
        <w:t xml:space="preserve"> </w:t>
      </w:r>
      <w:r w:rsidRPr="003B4A30">
        <w:rPr>
          <w:rFonts w:ascii="Verdana" w:hAnsi="Verdana"/>
        </w:rPr>
        <w:t>actividades</w:t>
      </w:r>
      <w:r w:rsidRPr="003B4A30">
        <w:rPr>
          <w:rFonts w:ascii="Verdana" w:hAnsi="Verdana"/>
          <w:spacing w:val="-19"/>
        </w:rPr>
        <w:t xml:space="preserve"> </w:t>
      </w:r>
      <w:r w:rsidRPr="003B4A30">
        <w:rPr>
          <w:rFonts w:ascii="Verdana" w:hAnsi="Verdana"/>
        </w:rPr>
        <w:t>relacionadas</w:t>
      </w:r>
      <w:r w:rsidRPr="003B4A30">
        <w:rPr>
          <w:rFonts w:ascii="Verdana" w:hAnsi="Verdana"/>
          <w:spacing w:val="-19"/>
        </w:rPr>
        <w:t xml:space="preserve"> </w:t>
      </w:r>
      <w:r w:rsidRPr="003B4A30">
        <w:rPr>
          <w:rFonts w:ascii="Verdana" w:hAnsi="Verdana"/>
        </w:rPr>
        <w:t>con</w:t>
      </w:r>
      <w:r w:rsidRPr="003B4A30">
        <w:rPr>
          <w:rFonts w:ascii="Verdana" w:hAnsi="Verdana"/>
          <w:spacing w:val="-20"/>
        </w:rPr>
        <w:t xml:space="preserve"> </w:t>
      </w:r>
      <w:r w:rsidRPr="003B4A30">
        <w:rPr>
          <w:rFonts w:ascii="Verdana" w:hAnsi="Verdana"/>
        </w:rPr>
        <w:t>la administración o funcionamiento de la entidad. Estos contratos sólo se podrán celebrar</w:t>
      </w:r>
      <w:r w:rsidRPr="003B4A30">
        <w:rPr>
          <w:rFonts w:ascii="Verdana" w:hAnsi="Verdana"/>
          <w:spacing w:val="-9"/>
        </w:rPr>
        <w:t xml:space="preserve"> </w:t>
      </w:r>
      <w:r w:rsidRPr="003B4A30">
        <w:rPr>
          <w:rFonts w:ascii="Verdana" w:hAnsi="Verdana"/>
        </w:rPr>
        <w:t>con</w:t>
      </w:r>
      <w:r w:rsidRPr="003B4A30">
        <w:rPr>
          <w:rFonts w:ascii="Verdana" w:hAnsi="Verdana"/>
          <w:spacing w:val="-11"/>
        </w:rPr>
        <w:t xml:space="preserve"> </w:t>
      </w:r>
      <w:r w:rsidRPr="003B4A30">
        <w:rPr>
          <w:rFonts w:ascii="Verdana" w:hAnsi="Verdana"/>
        </w:rPr>
        <w:t>personas</w:t>
      </w:r>
      <w:r w:rsidRPr="003B4A30">
        <w:rPr>
          <w:rFonts w:ascii="Verdana" w:hAnsi="Verdana"/>
          <w:spacing w:val="-9"/>
        </w:rPr>
        <w:t xml:space="preserve"> </w:t>
      </w:r>
      <w:r w:rsidRPr="003B4A30">
        <w:rPr>
          <w:rFonts w:ascii="Verdana" w:hAnsi="Verdana"/>
        </w:rPr>
        <w:t>naturales</w:t>
      </w:r>
      <w:r w:rsidRPr="003B4A30">
        <w:rPr>
          <w:rFonts w:ascii="Verdana" w:hAnsi="Verdana"/>
          <w:spacing w:val="-9"/>
        </w:rPr>
        <w:t xml:space="preserve"> </w:t>
      </w:r>
      <w:r w:rsidRPr="003B4A30">
        <w:rPr>
          <w:rFonts w:ascii="Verdana" w:hAnsi="Verdana"/>
        </w:rPr>
        <w:t>cuando</w:t>
      </w:r>
      <w:r w:rsidRPr="003B4A30">
        <w:rPr>
          <w:rFonts w:ascii="Verdana" w:hAnsi="Verdana"/>
          <w:spacing w:val="-10"/>
        </w:rPr>
        <w:t xml:space="preserve"> </w:t>
      </w:r>
      <w:r w:rsidRPr="003B4A30">
        <w:rPr>
          <w:rFonts w:ascii="Verdana" w:hAnsi="Verdana"/>
        </w:rPr>
        <w:t>dichas</w:t>
      </w:r>
      <w:r w:rsidRPr="003B4A30">
        <w:rPr>
          <w:rFonts w:ascii="Verdana" w:hAnsi="Verdana"/>
          <w:spacing w:val="-10"/>
        </w:rPr>
        <w:t xml:space="preserve"> </w:t>
      </w:r>
      <w:r w:rsidRPr="003B4A30">
        <w:rPr>
          <w:rFonts w:ascii="Verdana" w:hAnsi="Verdana"/>
        </w:rPr>
        <w:t>actividades</w:t>
      </w:r>
      <w:r w:rsidRPr="003B4A30">
        <w:rPr>
          <w:rFonts w:ascii="Verdana" w:hAnsi="Verdana"/>
          <w:spacing w:val="-9"/>
        </w:rPr>
        <w:t xml:space="preserve"> </w:t>
      </w:r>
      <w:r w:rsidRPr="003B4A30">
        <w:rPr>
          <w:rFonts w:ascii="Verdana" w:hAnsi="Verdana"/>
        </w:rPr>
        <w:t>no</w:t>
      </w:r>
      <w:r w:rsidRPr="003B4A30">
        <w:rPr>
          <w:rFonts w:ascii="Verdana" w:hAnsi="Verdana"/>
          <w:spacing w:val="-11"/>
        </w:rPr>
        <w:t xml:space="preserve"> </w:t>
      </w:r>
      <w:r w:rsidRPr="003B4A30">
        <w:rPr>
          <w:rFonts w:ascii="Verdana" w:hAnsi="Verdana"/>
        </w:rPr>
        <w:t>puedan</w:t>
      </w:r>
      <w:r w:rsidRPr="003B4A30">
        <w:rPr>
          <w:rFonts w:ascii="Verdana" w:hAnsi="Verdana"/>
          <w:spacing w:val="-10"/>
        </w:rPr>
        <w:t xml:space="preserve"> </w:t>
      </w:r>
      <w:r w:rsidRPr="003B4A30">
        <w:rPr>
          <w:rFonts w:ascii="Verdana" w:hAnsi="Verdana"/>
        </w:rPr>
        <w:t>realizarse con</w:t>
      </w:r>
      <w:r w:rsidRPr="003B4A30">
        <w:rPr>
          <w:rFonts w:ascii="Verdana" w:hAnsi="Verdana"/>
          <w:spacing w:val="-20"/>
        </w:rPr>
        <w:t xml:space="preserve"> </w:t>
      </w:r>
      <w:r w:rsidRPr="003B4A30">
        <w:rPr>
          <w:rFonts w:ascii="Verdana" w:hAnsi="Verdana"/>
        </w:rPr>
        <w:t>personal</w:t>
      </w:r>
      <w:r w:rsidRPr="003B4A30">
        <w:rPr>
          <w:rFonts w:ascii="Verdana" w:hAnsi="Verdana"/>
          <w:spacing w:val="-19"/>
        </w:rPr>
        <w:t xml:space="preserve"> </w:t>
      </w:r>
      <w:r w:rsidRPr="003B4A30">
        <w:rPr>
          <w:rFonts w:ascii="Verdana" w:hAnsi="Verdana"/>
        </w:rPr>
        <w:t>de</w:t>
      </w:r>
      <w:r w:rsidRPr="003B4A30">
        <w:rPr>
          <w:rFonts w:ascii="Verdana" w:hAnsi="Verdana"/>
          <w:spacing w:val="-19"/>
        </w:rPr>
        <w:t xml:space="preserve"> </w:t>
      </w:r>
      <w:r w:rsidRPr="003B4A30">
        <w:rPr>
          <w:rFonts w:ascii="Verdana" w:hAnsi="Verdana"/>
        </w:rPr>
        <w:t>planta</w:t>
      </w:r>
      <w:r w:rsidRPr="003B4A30">
        <w:rPr>
          <w:rFonts w:ascii="Verdana" w:hAnsi="Verdana"/>
          <w:spacing w:val="-20"/>
        </w:rPr>
        <w:t xml:space="preserve"> </w:t>
      </w:r>
      <w:r w:rsidRPr="003B4A30">
        <w:rPr>
          <w:rFonts w:ascii="Verdana" w:hAnsi="Verdana"/>
        </w:rPr>
        <w:t>o</w:t>
      </w:r>
      <w:r w:rsidRPr="003B4A30">
        <w:rPr>
          <w:rFonts w:ascii="Verdana" w:hAnsi="Verdana"/>
          <w:spacing w:val="-19"/>
        </w:rPr>
        <w:t xml:space="preserve"> </w:t>
      </w:r>
      <w:r w:rsidRPr="003B4A30">
        <w:rPr>
          <w:rFonts w:ascii="Verdana" w:hAnsi="Verdana"/>
        </w:rPr>
        <w:t>requieran</w:t>
      </w:r>
      <w:r w:rsidRPr="003B4A30">
        <w:rPr>
          <w:rFonts w:ascii="Verdana" w:hAnsi="Verdana"/>
          <w:spacing w:val="-20"/>
        </w:rPr>
        <w:t xml:space="preserve"> </w:t>
      </w:r>
      <w:r w:rsidRPr="003B4A30">
        <w:rPr>
          <w:rFonts w:ascii="Verdana" w:hAnsi="Verdana"/>
        </w:rPr>
        <w:t>conocimientos</w:t>
      </w:r>
      <w:r w:rsidRPr="003B4A30">
        <w:rPr>
          <w:rFonts w:ascii="Verdana" w:hAnsi="Verdana"/>
          <w:spacing w:val="-19"/>
        </w:rPr>
        <w:t xml:space="preserve"> </w:t>
      </w:r>
      <w:r w:rsidRPr="003B4A30">
        <w:rPr>
          <w:rFonts w:ascii="Verdana" w:hAnsi="Verdana"/>
        </w:rPr>
        <w:t>especializados.</w:t>
      </w:r>
      <w:r w:rsidRPr="003B4A30">
        <w:rPr>
          <w:rFonts w:ascii="Verdana" w:hAnsi="Verdana"/>
          <w:spacing w:val="-19"/>
        </w:rPr>
        <w:t xml:space="preserve"> </w:t>
      </w:r>
      <w:r w:rsidRPr="003B4A30">
        <w:rPr>
          <w:rFonts w:ascii="Verdana" w:hAnsi="Verdana"/>
        </w:rPr>
        <w:t>En</w:t>
      </w:r>
      <w:r w:rsidRPr="003B4A30">
        <w:rPr>
          <w:rFonts w:ascii="Verdana" w:hAnsi="Verdana"/>
          <w:spacing w:val="-20"/>
        </w:rPr>
        <w:t xml:space="preserve"> </w:t>
      </w:r>
      <w:r w:rsidRPr="003B4A30">
        <w:rPr>
          <w:rFonts w:ascii="Verdana" w:hAnsi="Verdana"/>
        </w:rPr>
        <w:t>ningún</w:t>
      </w:r>
      <w:r w:rsidRPr="003B4A30">
        <w:rPr>
          <w:rFonts w:ascii="Verdana" w:hAnsi="Verdana"/>
          <w:spacing w:val="-19"/>
        </w:rPr>
        <w:t xml:space="preserve"> </w:t>
      </w:r>
      <w:r w:rsidRPr="003B4A30">
        <w:rPr>
          <w:rFonts w:ascii="Verdana" w:hAnsi="Verdana"/>
        </w:rPr>
        <w:t>caso estos</w:t>
      </w:r>
      <w:r w:rsidRPr="003B4A30">
        <w:rPr>
          <w:rFonts w:ascii="Verdana" w:hAnsi="Verdana"/>
          <w:spacing w:val="-11"/>
        </w:rPr>
        <w:t xml:space="preserve"> </w:t>
      </w:r>
      <w:r w:rsidRPr="003B4A30">
        <w:rPr>
          <w:rFonts w:ascii="Verdana" w:hAnsi="Verdana"/>
        </w:rPr>
        <w:t>contratos</w:t>
      </w:r>
      <w:r w:rsidRPr="003B4A30">
        <w:rPr>
          <w:rFonts w:ascii="Verdana" w:hAnsi="Verdana"/>
          <w:spacing w:val="-10"/>
        </w:rPr>
        <w:t xml:space="preserve"> </w:t>
      </w:r>
      <w:r w:rsidRPr="003B4A30">
        <w:rPr>
          <w:rFonts w:ascii="Verdana" w:hAnsi="Verdana"/>
        </w:rPr>
        <w:t>generan</w:t>
      </w:r>
      <w:r w:rsidRPr="003B4A30">
        <w:rPr>
          <w:rFonts w:ascii="Verdana" w:hAnsi="Verdana"/>
          <w:spacing w:val="-10"/>
        </w:rPr>
        <w:t xml:space="preserve"> </w:t>
      </w:r>
      <w:r w:rsidRPr="003B4A30">
        <w:rPr>
          <w:rFonts w:ascii="Verdana" w:hAnsi="Verdana"/>
        </w:rPr>
        <w:t>relación</w:t>
      </w:r>
      <w:r w:rsidRPr="003B4A30">
        <w:rPr>
          <w:rFonts w:ascii="Verdana" w:hAnsi="Verdana"/>
          <w:spacing w:val="-10"/>
        </w:rPr>
        <w:t xml:space="preserve"> </w:t>
      </w:r>
      <w:r w:rsidRPr="003B4A30">
        <w:rPr>
          <w:rFonts w:ascii="Verdana" w:hAnsi="Verdana"/>
        </w:rPr>
        <w:t>laboral</w:t>
      </w:r>
      <w:r w:rsidRPr="003B4A30">
        <w:rPr>
          <w:rFonts w:ascii="Verdana" w:hAnsi="Verdana"/>
          <w:spacing w:val="-10"/>
        </w:rPr>
        <w:t xml:space="preserve"> </w:t>
      </w:r>
      <w:r w:rsidRPr="003B4A30">
        <w:rPr>
          <w:rFonts w:ascii="Verdana" w:hAnsi="Verdana"/>
        </w:rPr>
        <w:t>ni</w:t>
      </w:r>
      <w:r w:rsidRPr="003B4A30">
        <w:rPr>
          <w:rFonts w:ascii="Verdana" w:hAnsi="Verdana"/>
          <w:spacing w:val="-12"/>
        </w:rPr>
        <w:t xml:space="preserve"> </w:t>
      </w:r>
      <w:r w:rsidRPr="003B4A30">
        <w:rPr>
          <w:rFonts w:ascii="Verdana" w:hAnsi="Verdana"/>
        </w:rPr>
        <w:t>prestaciones</w:t>
      </w:r>
      <w:r w:rsidRPr="003B4A30">
        <w:rPr>
          <w:rFonts w:ascii="Verdana" w:hAnsi="Verdana"/>
          <w:spacing w:val="-9"/>
        </w:rPr>
        <w:t xml:space="preserve"> </w:t>
      </w:r>
      <w:r w:rsidRPr="003B4A30">
        <w:rPr>
          <w:rFonts w:ascii="Verdana" w:hAnsi="Verdana"/>
        </w:rPr>
        <w:t>sociales</w:t>
      </w:r>
      <w:r w:rsidRPr="003B4A30">
        <w:rPr>
          <w:rFonts w:ascii="Verdana" w:hAnsi="Verdana"/>
          <w:spacing w:val="-10"/>
        </w:rPr>
        <w:t xml:space="preserve"> </w:t>
      </w:r>
      <w:r w:rsidRPr="003B4A30">
        <w:rPr>
          <w:rFonts w:ascii="Verdana" w:hAnsi="Verdana"/>
        </w:rPr>
        <w:t>y</w:t>
      </w:r>
      <w:r w:rsidRPr="003B4A30">
        <w:rPr>
          <w:rFonts w:ascii="Verdana" w:hAnsi="Verdana"/>
          <w:spacing w:val="-12"/>
        </w:rPr>
        <w:t xml:space="preserve"> </w:t>
      </w:r>
      <w:r w:rsidRPr="003B4A30">
        <w:rPr>
          <w:rFonts w:ascii="Verdana" w:hAnsi="Verdana"/>
        </w:rPr>
        <w:t>se</w:t>
      </w:r>
      <w:r w:rsidRPr="003B4A30">
        <w:rPr>
          <w:rFonts w:ascii="Verdana" w:hAnsi="Verdana"/>
          <w:spacing w:val="-12"/>
        </w:rPr>
        <w:t xml:space="preserve"> </w:t>
      </w:r>
      <w:r w:rsidRPr="003B4A30">
        <w:rPr>
          <w:rFonts w:ascii="Verdana" w:hAnsi="Verdana"/>
        </w:rPr>
        <w:t>celebrarán por el término estrictamente indispensable”.</w:t>
      </w:r>
    </w:p>
    <w:p w14:paraId="10DC9B63" w14:textId="77777777" w:rsidR="004D54CC" w:rsidRDefault="004D54CC" w:rsidP="004D54CC">
      <w:pPr>
        <w:pStyle w:val="Textoindependiente"/>
        <w:spacing w:after="0"/>
        <w:ind w:firstLine="709"/>
        <w:jc w:val="both"/>
        <w:rPr>
          <w:rFonts w:ascii="Verdana" w:hAnsi="Verdana"/>
        </w:rPr>
      </w:pPr>
      <w:r w:rsidRPr="003B4A30">
        <w:rPr>
          <w:rFonts w:ascii="Verdana" w:hAnsi="Verdana"/>
        </w:rPr>
        <w:t>La</w:t>
      </w:r>
      <w:r w:rsidRPr="003B4A30">
        <w:rPr>
          <w:rFonts w:ascii="Verdana" w:hAnsi="Verdana"/>
          <w:spacing w:val="-15"/>
        </w:rPr>
        <w:t xml:space="preserve"> </w:t>
      </w:r>
      <w:r w:rsidRPr="003B4A30">
        <w:rPr>
          <w:rFonts w:ascii="Verdana" w:hAnsi="Verdana"/>
        </w:rPr>
        <w:t>celebración</w:t>
      </w:r>
      <w:r w:rsidRPr="003B4A30">
        <w:rPr>
          <w:rFonts w:ascii="Verdana" w:hAnsi="Verdana"/>
          <w:spacing w:val="-11"/>
        </w:rPr>
        <w:t xml:space="preserve"> </w:t>
      </w:r>
      <w:r w:rsidRPr="003B4A30">
        <w:rPr>
          <w:rFonts w:ascii="Verdana" w:hAnsi="Verdana"/>
        </w:rPr>
        <w:t>de</w:t>
      </w:r>
      <w:r w:rsidRPr="003B4A30">
        <w:rPr>
          <w:rFonts w:ascii="Verdana" w:hAnsi="Verdana"/>
          <w:spacing w:val="-15"/>
        </w:rPr>
        <w:t xml:space="preserve"> </w:t>
      </w:r>
      <w:r w:rsidRPr="003B4A30">
        <w:rPr>
          <w:rFonts w:ascii="Verdana" w:hAnsi="Verdana"/>
        </w:rPr>
        <w:t>dicho</w:t>
      </w:r>
      <w:r w:rsidRPr="003B4A30">
        <w:rPr>
          <w:rFonts w:ascii="Verdana" w:hAnsi="Verdana"/>
          <w:spacing w:val="-14"/>
        </w:rPr>
        <w:t xml:space="preserve"> </w:t>
      </w:r>
      <w:r w:rsidRPr="003B4A30">
        <w:rPr>
          <w:rFonts w:ascii="Verdana" w:hAnsi="Verdana"/>
        </w:rPr>
        <w:t>contrato</w:t>
      </w:r>
      <w:r w:rsidRPr="003B4A30">
        <w:rPr>
          <w:rFonts w:ascii="Verdana" w:hAnsi="Verdana"/>
          <w:spacing w:val="-13"/>
        </w:rPr>
        <w:t xml:space="preserve"> </w:t>
      </w:r>
      <w:r w:rsidRPr="003B4A30">
        <w:rPr>
          <w:rFonts w:ascii="Verdana" w:hAnsi="Verdana"/>
        </w:rPr>
        <w:t>debe</w:t>
      </w:r>
      <w:r w:rsidRPr="003B4A30">
        <w:rPr>
          <w:rFonts w:ascii="Verdana" w:hAnsi="Verdana"/>
          <w:spacing w:val="-14"/>
        </w:rPr>
        <w:t xml:space="preserve"> </w:t>
      </w:r>
      <w:r w:rsidRPr="003B4A30">
        <w:rPr>
          <w:rFonts w:ascii="Verdana" w:hAnsi="Verdana"/>
        </w:rPr>
        <w:t>efectuarse</w:t>
      </w:r>
      <w:r w:rsidRPr="003B4A30">
        <w:rPr>
          <w:rFonts w:ascii="Verdana" w:hAnsi="Verdana"/>
          <w:spacing w:val="-12"/>
        </w:rPr>
        <w:t xml:space="preserve"> </w:t>
      </w:r>
      <w:r w:rsidRPr="003B4A30">
        <w:rPr>
          <w:rFonts w:ascii="Verdana" w:hAnsi="Verdana"/>
        </w:rPr>
        <w:t>a</w:t>
      </w:r>
      <w:r w:rsidRPr="003B4A30">
        <w:rPr>
          <w:rFonts w:ascii="Verdana" w:hAnsi="Verdana"/>
          <w:spacing w:val="-15"/>
        </w:rPr>
        <w:t xml:space="preserve"> </w:t>
      </w:r>
      <w:r w:rsidRPr="003B4A30">
        <w:rPr>
          <w:rFonts w:ascii="Verdana" w:hAnsi="Verdana"/>
        </w:rPr>
        <w:t>través</w:t>
      </w:r>
      <w:r w:rsidRPr="003B4A30">
        <w:rPr>
          <w:rFonts w:ascii="Verdana" w:hAnsi="Verdana"/>
          <w:spacing w:val="-14"/>
        </w:rPr>
        <w:t xml:space="preserve"> </w:t>
      </w:r>
      <w:r w:rsidRPr="003B4A30">
        <w:rPr>
          <w:rFonts w:ascii="Verdana" w:hAnsi="Verdana"/>
        </w:rPr>
        <w:t>de</w:t>
      </w:r>
      <w:r w:rsidRPr="003B4A30">
        <w:rPr>
          <w:rFonts w:ascii="Verdana" w:hAnsi="Verdana"/>
          <w:spacing w:val="-15"/>
        </w:rPr>
        <w:t xml:space="preserve"> </w:t>
      </w:r>
      <w:r w:rsidRPr="003B4A30">
        <w:rPr>
          <w:rFonts w:ascii="Verdana" w:hAnsi="Verdana"/>
        </w:rPr>
        <w:t>la</w:t>
      </w:r>
      <w:r w:rsidRPr="003B4A30">
        <w:rPr>
          <w:rFonts w:ascii="Verdana" w:hAnsi="Verdana"/>
          <w:spacing w:val="-15"/>
        </w:rPr>
        <w:t xml:space="preserve"> </w:t>
      </w:r>
      <w:r w:rsidRPr="003B4A30">
        <w:rPr>
          <w:rFonts w:ascii="Verdana" w:hAnsi="Verdana"/>
        </w:rPr>
        <w:t>modalidad de contratación directa. Así lo dispone el artículo 2, numeral 4°, literal h) de la Ley</w:t>
      </w:r>
      <w:r w:rsidRPr="003B4A30">
        <w:rPr>
          <w:rFonts w:ascii="Verdana" w:hAnsi="Verdana"/>
          <w:spacing w:val="-7"/>
        </w:rPr>
        <w:t xml:space="preserve"> </w:t>
      </w:r>
      <w:r w:rsidRPr="003B4A30">
        <w:rPr>
          <w:rFonts w:ascii="Verdana" w:hAnsi="Verdana"/>
        </w:rPr>
        <w:t>1150</w:t>
      </w:r>
      <w:r w:rsidRPr="003B4A30">
        <w:rPr>
          <w:rFonts w:ascii="Verdana" w:hAnsi="Verdana"/>
          <w:spacing w:val="-6"/>
        </w:rPr>
        <w:t xml:space="preserve"> </w:t>
      </w:r>
      <w:r w:rsidRPr="003B4A30">
        <w:rPr>
          <w:rFonts w:ascii="Verdana" w:hAnsi="Verdana"/>
        </w:rPr>
        <w:t>de</w:t>
      </w:r>
      <w:r w:rsidRPr="003B4A30">
        <w:rPr>
          <w:rFonts w:ascii="Verdana" w:hAnsi="Verdana"/>
          <w:spacing w:val="-7"/>
        </w:rPr>
        <w:t xml:space="preserve"> </w:t>
      </w:r>
      <w:r w:rsidRPr="003B4A30">
        <w:rPr>
          <w:rFonts w:ascii="Verdana" w:hAnsi="Verdana"/>
        </w:rPr>
        <w:t xml:space="preserve">2007, el cual señala: </w:t>
      </w:r>
    </w:p>
    <w:p w14:paraId="7A41ED58" w14:textId="77777777" w:rsidR="004D54CC" w:rsidRDefault="004D54CC" w:rsidP="004D54CC">
      <w:pPr>
        <w:pStyle w:val="Textoindependiente"/>
        <w:spacing w:after="0"/>
        <w:ind w:firstLine="709"/>
        <w:jc w:val="both"/>
        <w:rPr>
          <w:rFonts w:ascii="Verdana" w:hAnsi="Verdana"/>
        </w:rPr>
      </w:pPr>
    </w:p>
    <w:p w14:paraId="4E3B34A4" w14:textId="77777777" w:rsidR="004D54CC" w:rsidRPr="003B4A30" w:rsidRDefault="004D54CC" w:rsidP="004D54CC">
      <w:pPr>
        <w:spacing w:after="0" w:line="240" w:lineRule="auto"/>
        <w:ind w:left="709" w:right="709"/>
        <w:jc w:val="both"/>
        <w:rPr>
          <w:rFonts w:ascii="Verdana" w:hAnsi="Verdana"/>
          <w:sz w:val="20"/>
          <w:szCs w:val="20"/>
        </w:rPr>
      </w:pPr>
      <w:r w:rsidRPr="003B4A30">
        <w:rPr>
          <w:rFonts w:ascii="Verdana" w:hAnsi="Verdana"/>
          <w:sz w:val="20"/>
          <w:szCs w:val="20"/>
        </w:rPr>
        <w:t>“La</w:t>
      </w:r>
      <w:r w:rsidRPr="003B4A30">
        <w:rPr>
          <w:rFonts w:ascii="Verdana" w:hAnsi="Verdana"/>
          <w:spacing w:val="-4"/>
          <w:sz w:val="20"/>
          <w:szCs w:val="20"/>
        </w:rPr>
        <w:t xml:space="preserve"> </w:t>
      </w:r>
      <w:r w:rsidRPr="003B4A30">
        <w:rPr>
          <w:rFonts w:ascii="Verdana" w:hAnsi="Verdana"/>
          <w:sz w:val="20"/>
          <w:szCs w:val="20"/>
        </w:rPr>
        <w:t>escogencia</w:t>
      </w:r>
      <w:r w:rsidRPr="003B4A30">
        <w:rPr>
          <w:rFonts w:ascii="Verdana" w:hAnsi="Verdana"/>
          <w:spacing w:val="-4"/>
          <w:sz w:val="20"/>
          <w:szCs w:val="20"/>
        </w:rPr>
        <w:t xml:space="preserve"> </w:t>
      </w:r>
      <w:r w:rsidRPr="003B4A30">
        <w:rPr>
          <w:rFonts w:ascii="Verdana" w:hAnsi="Verdana"/>
          <w:sz w:val="20"/>
          <w:szCs w:val="20"/>
        </w:rPr>
        <w:t>del</w:t>
      </w:r>
      <w:r w:rsidRPr="003B4A30">
        <w:rPr>
          <w:rFonts w:ascii="Verdana" w:hAnsi="Verdana"/>
          <w:spacing w:val="-4"/>
          <w:sz w:val="20"/>
          <w:szCs w:val="20"/>
        </w:rPr>
        <w:t xml:space="preserve"> </w:t>
      </w:r>
      <w:r w:rsidRPr="003B4A30">
        <w:rPr>
          <w:rFonts w:ascii="Verdana" w:hAnsi="Verdana"/>
          <w:sz w:val="20"/>
          <w:szCs w:val="20"/>
        </w:rPr>
        <w:t>contratista</w:t>
      </w:r>
      <w:r w:rsidRPr="003B4A30">
        <w:rPr>
          <w:rFonts w:ascii="Verdana" w:hAnsi="Verdana"/>
          <w:spacing w:val="-4"/>
          <w:sz w:val="20"/>
          <w:szCs w:val="20"/>
        </w:rPr>
        <w:t xml:space="preserve"> </w:t>
      </w:r>
      <w:r w:rsidRPr="003B4A30">
        <w:rPr>
          <w:rFonts w:ascii="Verdana" w:hAnsi="Verdana"/>
          <w:sz w:val="20"/>
          <w:szCs w:val="20"/>
        </w:rPr>
        <w:t>se</w:t>
      </w:r>
      <w:r w:rsidRPr="003B4A30">
        <w:rPr>
          <w:rFonts w:ascii="Verdana" w:hAnsi="Verdana"/>
          <w:spacing w:val="-4"/>
          <w:sz w:val="20"/>
          <w:szCs w:val="20"/>
        </w:rPr>
        <w:t xml:space="preserve"> </w:t>
      </w:r>
      <w:r w:rsidRPr="003B4A30">
        <w:rPr>
          <w:rFonts w:ascii="Verdana" w:hAnsi="Verdana"/>
          <w:sz w:val="20"/>
          <w:szCs w:val="20"/>
        </w:rPr>
        <w:t>efectuará</w:t>
      </w:r>
      <w:r w:rsidRPr="003B4A30">
        <w:rPr>
          <w:rFonts w:ascii="Verdana" w:hAnsi="Verdana"/>
          <w:spacing w:val="-4"/>
          <w:sz w:val="20"/>
          <w:szCs w:val="20"/>
        </w:rPr>
        <w:t xml:space="preserve"> </w:t>
      </w:r>
      <w:r w:rsidRPr="003B4A30">
        <w:rPr>
          <w:rFonts w:ascii="Verdana" w:hAnsi="Verdana"/>
          <w:sz w:val="20"/>
          <w:szCs w:val="20"/>
        </w:rPr>
        <w:t>con</w:t>
      </w:r>
      <w:r w:rsidRPr="003B4A30">
        <w:rPr>
          <w:rFonts w:ascii="Verdana" w:hAnsi="Verdana"/>
          <w:spacing w:val="-4"/>
          <w:sz w:val="20"/>
          <w:szCs w:val="20"/>
        </w:rPr>
        <w:t xml:space="preserve"> </w:t>
      </w:r>
      <w:r w:rsidRPr="003B4A30">
        <w:rPr>
          <w:rFonts w:ascii="Verdana" w:hAnsi="Verdana"/>
          <w:sz w:val="20"/>
          <w:szCs w:val="20"/>
        </w:rPr>
        <w:t>arreglo</w:t>
      </w:r>
      <w:r w:rsidRPr="003B4A30">
        <w:rPr>
          <w:rFonts w:ascii="Verdana" w:hAnsi="Verdana"/>
          <w:spacing w:val="-4"/>
          <w:sz w:val="20"/>
          <w:szCs w:val="20"/>
        </w:rPr>
        <w:t xml:space="preserve"> </w:t>
      </w:r>
      <w:r w:rsidRPr="003B4A30">
        <w:rPr>
          <w:rFonts w:ascii="Verdana" w:hAnsi="Verdana"/>
          <w:sz w:val="20"/>
          <w:szCs w:val="20"/>
        </w:rPr>
        <w:t>a</w:t>
      </w:r>
      <w:r w:rsidRPr="003B4A30">
        <w:rPr>
          <w:rFonts w:ascii="Verdana" w:hAnsi="Verdana"/>
          <w:spacing w:val="-4"/>
          <w:sz w:val="20"/>
          <w:szCs w:val="20"/>
        </w:rPr>
        <w:t xml:space="preserve"> </w:t>
      </w:r>
      <w:r w:rsidRPr="003B4A30">
        <w:rPr>
          <w:rFonts w:ascii="Verdana" w:hAnsi="Verdana"/>
          <w:sz w:val="20"/>
          <w:szCs w:val="20"/>
        </w:rPr>
        <w:t>las</w:t>
      </w:r>
      <w:r w:rsidRPr="003B4A30">
        <w:rPr>
          <w:rFonts w:ascii="Verdana" w:hAnsi="Verdana"/>
          <w:spacing w:val="-4"/>
          <w:sz w:val="20"/>
          <w:szCs w:val="20"/>
        </w:rPr>
        <w:t xml:space="preserve"> </w:t>
      </w:r>
      <w:r w:rsidRPr="003B4A30">
        <w:rPr>
          <w:rFonts w:ascii="Verdana" w:hAnsi="Verdana"/>
          <w:sz w:val="20"/>
          <w:szCs w:val="20"/>
        </w:rPr>
        <w:t>modalidades</w:t>
      </w:r>
      <w:r w:rsidRPr="003B4A30">
        <w:rPr>
          <w:rFonts w:ascii="Verdana" w:hAnsi="Verdana"/>
          <w:spacing w:val="-4"/>
          <w:sz w:val="20"/>
          <w:szCs w:val="20"/>
        </w:rPr>
        <w:t xml:space="preserve"> </w:t>
      </w:r>
      <w:r w:rsidRPr="003B4A30">
        <w:rPr>
          <w:rFonts w:ascii="Verdana" w:hAnsi="Verdana"/>
          <w:sz w:val="20"/>
          <w:szCs w:val="20"/>
        </w:rPr>
        <w:t>de</w:t>
      </w:r>
      <w:r w:rsidRPr="003B4A30">
        <w:rPr>
          <w:rFonts w:ascii="Verdana" w:hAnsi="Verdana"/>
          <w:spacing w:val="-4"/>
          <w:sz w:val="20"/>
          <w:szCs w:val="20"/>
        </w:rPr>
        <w:t xml:space="preserve"> </w:t>
      </w:r>
      <w:r w:rsidRPr="003B4A30">
        <w:rPr>
          <w:rFonts w:ascii="Verdana" w:hAnsi="Verdana"/>
          <w:sz w:val="20"/>
          <w:szCs w:val="20"/>
        </w:rPr>
        <w:t>selección</w:t>
      </w:r>
      <w:r w:rsidRPr="003B4A30">
        <w:rPr>
          <w:rFonts w:ascii="Verdana" w:hAnsi="Verdana"/>
          <w:spacing w:val="-4"/>
          <w:sz w:val="20"/>
          <w:szCs w:val="20"/>
        </w:rPr>
        <w:t xml:space="preserve"> </w:t>
      </w:r>
      <w:r w:rsidRPr="003B4A30">
        <w:rPr>
          <w:rFonts w:ascii="Verdana" w:hAnsi="Verdana"/>
          <w:sz w:val="20"/>
          <w:szCs w:val="20"/>
        </w:rPr>
        <w:t>de</w:t>
      </w:r>
      <w:r w:rsidRPr="003B4A30">
        <w:rPr>
          <w:rFonts w:ascii="Verdana" w:hAnsi="Verdana"/>
          <w:spacing w:val="-4"/>
          <w:sz w:val="20"/>
          <w:szCs w:val="20"/>
        </w:rPr>
        <w:t xml:space="preserve"> </w:t>
      </w:r>
      <w:r w:rsidRPr="003B4A30">
        <w:rPr>
          <w:rFonts w:ascii="Verdana" w:hAnsi="Verdana"/>
          <w:sz w:val="20"/>
          <w:szCs w:val="20"/>
        </w:rPr>
        <w:t>licitación</w:t>
      </w:r>
      <w:r w:rsidRPr="003B4A30">
        <w:rPr>
          <w:rFonts w:ascii="Verdana" w:hAnsi="Verdana"/>
          <w:spacing w:val="-4"/>
          <w:sz w:val="20"/>
          <w:szCs w:val="20"/>
        </w:rPr>
        <w:t xml:space="preserve"> </w:t>
      </w:r>
      <w:r w:rsidRPr="003B4A30">
        <w:rPr>
          <w:rFonts w:ascii="Verdana" w:hAnsi="Verdana"/>
          <w:sz w:val="20"/>
          <w:szCs w:val="20"/>
        </w:rPr>
        <w:t>pública,</w:t>
      </w:r>
      <w:r w:rsidRPr="003B4A30">
        <w:rPr>
          <w:rFonts w:ascii="Verdana" w:hAnsi="Verdana"/>
          <w:spacing w:val="-4"/>
          <w:sz w:val="20"/>
          <w:szCs w:val="20"/>
        </w:rPr>
        <w:t xml:space="preserve"> </w:t>
      </w:r>
      <w:r w:rsidRPr="003B4A30">
        <w:rPr>
          <w:rFonts w:ascii="Verdana" w:hAnsi="Verdana"/>
          <w:sz w:val="20"/>
          <w:szCs w:val="20"/>
        </w:rPr>
        <w:t>selección</w:t>
      </w:r>
      <w:r w:rsidRPr="003B4A30">
        <w:rPr>
          <w:rFonts w:ascii="Verdana" w:hAnsi="Verdana"/>
          <w:spacing w:val="-4"/>
          <w:sz w:val="20"/>
          <w:szCs w:val="20"/>
        </w:rPr>
        <w:t xml:space="preserve"> </w:t>
      </w:r>
      <w:r w:rsidRPr="003B4A30">
        <w:rPr>
          <w:rFonts w:ascii="Verdana" w:hAnsi="Verdana"/>
          <w:sz w:val="20"/>
          <w:szCs w:val="20"/>
        </w:rPr>
        <w:t>abreviada,</w:t>
      </w:r>
      <w:r w:rsidRPr="003B4A30">
        <w:rPr>
          <w:rFonts w:ascii="Verdana" w:hAnsi="Verdana"/>
          <w:spacing w:val="-4"/>
          <w:sz w:val="20"/>
          <w:szCs w:val="20"/>
        </w:rPr>
        <w:t xml:space="preserve"> </w:t>
      </w:r>
      <w:r w:rsidRPr="003B4A30">
        <w:rPr>
          <w:rFonts w:ascii="Verdana" w:hAnsi="Verdana"/>
          <w:sz w:val="20"/>
          <w:szCs w:val="20"/>
        </w:rPr>
        <w:t>concurso</w:t>
      </w:r>
      <w:r w:rsidRPr="003B4A30">
        <w:rPr>
          <w:rFonts w:ascii="Verdana" w:hAnsi="Verdana"/>
          <w:spacing w:val="-4"/>
          <w:sz w:val="20"/>
          <w:szCs w:val="20"/>
        </w:rPr>
        <w:t xml:space="preserve"> </w:t>
      </w:r>
      <w:r w:rsidRPr="003B4A30">
        <w:rPr>
          <w:rFonts w:ascii="Verdana" w:hAnsi="Verdana"/>
          <w:sz w:val="20"/>
          <w:szCs w:val="20"/>
        </w:rPr>
        <w:t>de méritos y contratación directa, con base en las siguientes reglas:</w:t>
      </w:r>
    </w:p>
    <w:p w14:paraId="505F522A" w14:textId="77777777" w:rsidR="004D54CC" w:rsidRPr="003B4A30" w:rsidRDefault="004D54CC" w:rsidP="004D54CC">
      <w:pPr>
        <w:spacing w:after="0" w:line="240" w:lineRule="auto"/>
        <w:ind w:left="709" w:right="709" w:firstLine="709"/>
        <w:jc w:val="both"/>
        <w:rPr>
          <w:rFonts w:ascii="Verdana" w:hAnsi="Verdana"/>
          <w:sz w:val="20"/>
          <w:szCs w:val="20"/>
        </w:rPr>
      </w:pPr>
      <w:r w:rsidRPr="003B4A30">
        <w:rPr>
          <w:rFonts w:ascii="Verdana" w:hAnsi="Verdana"/>
          <w:spacing w:val="-5"/>
          <w:sz w:val="20"/>
          <w:szCs w:val="20"/>
        </w:rPr>
        <w:t>[…]</w:t>
      </w:r>
    </w:p>
    <w:p w14:paraId="73E0063F" w14:textId="77777777" w:rsidR="004D54CC" w:rsidRPr="003B4A30" w:rsidRDefault="004D54CC" w:rsidP="004D54CC">
      <w:pPr>
        <w:spacing w:after="0" w:line="240" w:lineRule="auto"/>
        <w:ind w:left="709" w:right="709"/>
        <w:jc w:val="both"/>
        <w:rPr>
          <w:rFonts w:ascii="Verdana" w:hAnsi="Verdana"/>
          <w:sz w:val="20"/>
          <w:szCs w:val="20"/>
        </w:rPr>
      </w:pPr>
      <w:r w:rsidRPr="003B4A30">
        <w:rPr>
          <w:rFonts w:ascii="Verdana" w:hAnsi="Verdana"/>
          <w:sz w:val="20"/>
          <w:szCs w:val="20"/>
        </w:rPr>
        <w:lastRenderedPageBreak/>
        <w:t>“4. Contratación</w:t>
      </w:r>
      <w:r w:rsidRPr="003B4A30">
        <w:rPr>
          <w:rFonts w:ascii="Verdana" w:hAnsi="Verdana"/>
          <w:spacing w:val="-4"/>
          <w:sz w:val="20"/>
          <w:szCs w:val="20"/>
        </w:rPr>
        <w:t xml:space="preserve"> </w:t>
      </w:r>
      <w:r w:rsidRPr="003B4A30">
        <w:rPr>
          <w:rFonts w:ascii="Verdana" w:hAnsi="Verdana"/>
          <w:sz w:val="20"/>
          <w:szCs w:val="20"/>
        </w:rPr>
        <w:t>directa.</w:t>
      </w:r>
      <w:r w:rsidRPr="003B4A30">
        <w:rPr>
          <w:rFonts w:ascii="Verdana" w:hAnsi="Verdana"/>
          <w:spacing w:val="-4"/>
          <w:sz w:val="20"/>
          <w:szCs w:val="20"/>
        </w:rPr>
        <w:t xml:space="preserve"> </w:t>
      </w:r>
      <w:r w:rsidRPr="003B4A30">
        <w:rPr>
          <w:rFonts w:ascii="Verdana" w:hAnsi="Verdana"/>
          <w:sz w:val="20"/>
          <w:szCs w:val="20"/>
        </w:rPr>
        <w:t>La</w:t>
      </w:r>
      <w:r w:rsidRPr="003B4A30">
        <w:rPr>
          <w:rFonts w:ascii="Verdana" w:hAnsi="Verdana"/>
          <w:spacing w:val="-4"/>
          <w:sz w:val="20"/>
          <w:szCs w:val="20"/>
        </w:rPr>
        <w:t xml:space="preserve"> </w:t>
      </w:r>
      <w:r w:rsidRPr="003B4A30">
        <w:rPr>
          <w:rFonts w:ascii="Verdana" w:hAnsi="Verdana"/>
          <w:sz w:val="20"/>
          <w:szCs w:val="20"/>
        </w:rPr>
        <w:t>modalidad</w:t>
      </w:r>
      <w:r w:rsidRPr="003B4A30">
        <w:rPr>
          <w:rFonts w:ascii="Verdana" w:hAnsi="Verdana"/>
          <w:spacing w:val="-4"/>
          <w:sz w:val="20"/>
          <w:szCs w:val="20"/>
        </w:rPr>
        <w:t xml:space="preserve"> </w:t>
      </w:r>
      <w:r w:rsidRPr="003B4A30">
        <w:rPr>
          <w:rFonts w:ascii="Verdana" w:hAnsi="Verdana"/>
          <w:sz w:val="20"/>
          <w:szCs w:val="20"/>
        </w:rPr>
        <w:t>de</w:t>
      </w:r>
      <w:r w:rsidRPr="003B4A30">
        <w:rPr>
          <w:rFonts w:ascii="Verdana" w:hAnsi="Verdana"/>
          <w:spacing w:val="-4"/>
          <w:sz w:val="20"/>
          <w:szCs w:val="20"/>
        </w:rPr>
        <w:t xml:space="preserve"> </w:t>
      </w:r>
      <w:r w:rsidRPr="003B4A30">
        <w:rPr>
          <w:rFonts w:ascii="Verdana" w:hAnsi="Verdana"/>
          <w:sz w:val="20"/>
          <w:szCs w:val="20"/>
        </w:rPr>
        <w:t>selección</w:t>
      </w:r>
      <w:r w:rsidRPr="003B4A30">
        <w:rPr>
          <w:rFonts w:ascii="Verdana" w:hAnsi="Verdana"/>
          <w:spacing w:val="-4"/>
          <w:sz w:val="20"/>
          <w:szCs w:val="20"/>
        </w:rPr>
        <w:t xml:space="preserve"> </w:t>
      </w:r>
      <w:r w:rsidRPr="003B4A30">
        <w:rPr>
          <w:rFonts w:ascii="Verdana" w:hAnsi="Verdana"/>
          <w:sz w:val="20"/>
          <w:szCs w:val="20"/>
        </w:rPr>
        <w:t>de</w:t>
      </w:r>
      <w:r w:rsidRPr="003B4A30">
        <w:rPr>
          <w:rFonts w:ascii="Verdana" w:hAnsi="Verdana"/>
          <w:spacing w:val="-4"/>
          <w:sz w:val="20"/>
          <w:szCs w:val="20"/>
        </w:rPr>
        <w:t xml:space="preserve"> </w:t>
      </w:r>
      <w:r w:rsidRPr="003B4A30">
        <w:rPr>
          <w:rFonts w:ascii="Verdana" w:hAnsi="Verdana"/>
          <w:sz w:val="20"/>
          <w:szCs w:val="20"/>
        </w:rPr>
        <w:t>contratación directa,</w:t>
      </w:r>
      <w:r w:rsidRPr="003B4A30">
        <w:rPr>
          <w:rFonts w:ascii="Verdana" w:hAnsi="Verdana"/>
          <w:spacing w:val="-3"/>
          <w:sz w:val="20"/>
          <w:szCs w:val="20"/>
        </w:rPr>
        <w:t xml:space="preserve"> </w:t>
      </w:r>
      <w:r w:rsidRPr="003B4A30">
        <w:rPr>
          <w:rFonts w:ascii="Verdana" w:hAnsi="Verdana"/>
          <w:sz w:val="20"/>
          <w:szCs w:val="20"/>
        </w:rPr>
        <w:t>solamente</w:t>
      </w:r>
      <w:r w:rsidRPr="003B4A30">
        <w:rPr>
          <w:rFonts w:ascii="Verdana" w:hAnsi="Verdana"/>
          <w:spacing w:val="-4"/>
          <w:sz w:val="20"/>
          <w:szCs w:val="20"/>
        </w:rPr>
        <w:t xml:space="preserve"> </w:t>
      </w:r>
      <w:r w:rsidRPr="003B4A30">
        <w:rPr>
          <w:rFonts w:ascii="Verdana" w:hAnsi="Verdana"/>
          <w:sz w:val="20"/>
          <w:szCs w:val="20"/>
        </w:rPr>
        <w:t>procederá</w:t>
      </w:r>
      <w:r w:rsidRPr="003B4A30">
        <w:rPr>
          <w:rFonts w:ascii="Verdana" w:hAnsi="Verdana"/>
          <w:spacing w:val="-4"/>
          <w:sz w:val="20"/>
          <w:szCs w:val="20"/>
        </w:rPr>
        <w:t xml:space="preserve"> </w:t>
      </w:r>
      <w:r w:rsidRPr="003B4A30">
        <w:rPr>
          <w:rFonts w:ascii="Verdana" w:hAnsi="Verdana"/>
          <w:sz w:val="20"/>
          <w:szCs w:val="20"/>
        </w:rPr>
        <w:t>en</w:t>
      </w:r>
      <w:r w:rsidRPr="003B4A30">
        <w:rPr>
          <w:rFonts w:ascii="Verdana" w:hAnsi="Verdana"/>
          <w:spacing w:val="-4"/>
          <w:sz w:val="20"/>
          <w:szCs w:val="20"/>
        </w:rPr>
        <w:t xml:space="preserve"> </w:t>
      </w:r>
      <w:r w:rsidRPr="003B4A30">
        <w:rPr>
          <w:rFonts w:ascii="Verdana" w:hAnsi="Verdana"/>
          <w:sz w:val="20"/>
          <w:szCs w:val="20"/>
        </w:rPr>
        <w:t>los</w:t>
      </w:r>
      <w:r w:rsidRPr="003B4A30">
        <w:rPr>
          <w:rFonts w:ascii="Verdana" w:hAnsi="Verdana"/>
          <w:spacing w:val="-4"/>
          <w:sz w:val="20"/>
          <w:szCs w:val="20"/>
        </w:rPr>
        <w:t xml:space="preserve"> </w:t>
      </w:r>
      <w:r w:rsidRPr="003B4A30">
        <w:rPr>
          <w:rFonts w:ascii="Verdana" w:hAnsi="Verdana"/>
          <w:sz w:val="20"/>
          <w:szCs w:val="20"/>
        </w:rPr>
        <w:t>siguientes</w:t>
      </w:r>
      <w:r w:rsidRPr="003B4A30">
        <w:rPr>
          <w:rFonts w:ascii="Verdana" w:hAnsi="Verdana"/>
          <w:spacing w:val="-4"/>
          <w:sz w:val="20"/>
          <w:szCs w:val="20"/>
        </w:rPr>
        <w:t xml:space="preserve"> </w:t>
      </w:r>
      <w:r w:rsidRPr="003B4A30">
        <w:rPr>
          <w:rFonts w:ascii="Verdana" w:hAnsi="Verdana"/>
          <w:sz w:val="20"/>
          <w:szCs w:val="20"/>
        </w:rPr>
        <w:t xml:space="preserve">casos: </w:t>
      </w:r>
      <w:r w:rsidRPr="003B4A30">
        <w:rPr>
          <w:rFonts w:ascii="Verdana" w:hAnsi="Verdana"/>
          <w:spacing w:val="-4"/>
          <w:sz w:val="20"/>
          <w:szCs w:val="20"/>
        </w:rPr>
        <w:t>[…]</w:t>
      </w:r>
    </w:p>
    <w:p w14:paraId="745C9BCA" w14:textId="77777777" w:rsidR="004D54CC" w:rsidRPr="003B4A30" w:rsidRDefault="004D54CC" w:rsidP="004D54CC">
      <w:pPr>
        <w:spacing w:after="0" w:line="240" w:lineRule="auto"/>
        <w:ind w:left="709" w:right="709"/>
        <w:jc w:val="both"/>
        <w:rPr>
          <w:rFonts w:ascii="Verdana" w:hAnsi="Verdana"/>
          <w:sz w:val="20"/>
          <w:szCs w:val="20"/>
        </w:rPr>
      </w:pPr>
    </w:p>
    <w:p w14:paraId="1FD18CCB" w14:textId="77777777" w:rsidR="004D54CC" w:rsidRDefault="004D54CC" w:rsidP="004D54CC">
      <w:pPr>
        <w:spacing w:after="0" w:line="240" w:lineRule="auto"/>
        <w:ind w:left="709" w:right="709"/>
        <w:jc w:val="both"/>
        <w:rPr>
          <w:rFonts w:ascii="Verdana" w:hAnsi="Verdana"/>
          <w:sz w:val="20"/>
          <w:szCs w:val="20"/>
        </w:rPr>
      </w:pPr>
      <w:r w:rsidRPr="003B4A30">
        <w:rPr>
          <w:rFonts w:ascii="Verdana" w:hAnsi="Verdana"/>
          <w:sz w:val="20"/>
          <w:szCs w:val="20"/>
        </w:rPr>
        <w:t>h) Para</w:t>
      </w:r>
      <w:r w:rsidRPr="003B4A30">
        <w:rPr>
          <w:rFonts w:ascii="Verdana" w:hAnsi="Verdana"/>
          <w:spacing w:val="-3"/>
          <w:sz w:val="20"/>
          <w:szCs w:val="20"/>
        </w:rPr>
        <w:t xml:space="preserve"> </w:t>
      </w:r>
      <w:r w:rsidRPr="003B4A30">
        <w:rPr>
          <w:rFonts w:ascii="Verdana" w:hAnsi="Verdana"/>
          <w:sz w:val="20"/>
          <w:szCs w:val="20"/>
        </w:rPr>
        <w:t>la</w:t>
      </w:r>
      <w:r w:rsidRPr="003B4A30">
        <w:rPr>
          <w:rFonts w:ascii="Verdana" w:hAnsi="Verdana"/>
          <w:spacing w:val="-3"/>
          <w:sz w:val="20"/>
          <w:szCs w:val="20"/>
        </w:rPr>
        <w:t xml:space="preserve"> </w:t>
      </w:r>
      <w:r w:rsidRPr="003B4A30">
        <w:rPr>
          <w:rFonts w:ascii="Verdana" w:hAnsi="Verdana"/>
          <w:sz w:val="20"/>
          <w:szCs w:val="20"/>
        </w:rPr>
        <w:t>prestación</w:t>
      </w:r>
      <w:r w:rsidRPr="003B4A30">
        <w:rPr>
          <w:rFonts w:ascii="Verdana" w:hAnsi="Verdana"/>
          <w:spacing w:val="-3"/>
          <w:sz w:val="20"/>
          <w:szCs w:val="20"/>
        </w:rPr>
        <w:t xml:space="preserve"> </w:t>
      </w:r>
      <w:r w:rsidRPr="003B4A30">
        <w:rPr>
          <w:rFonts w:ascii="Verdana" w:hAnsi="Verdana"/>
          <w:sz w:val="20"/>
          <w:szCs w:val="20"/>
        </w:rPr>
        <w:t>de</w:t>
      </w:r>
      <w:r w:rsidRPr="003B4A30">
        <w:rPr>
          <w:rFonts w:ascii="Verdana" w:hAnsi="Verdana"/>
          <w:spacing w:val="-3"/>
          <w:sz w:val="20"/>
          <w:szCs w:val="20"/>
        </w:rPr>
        <w:t xml:space="preserve"> </w:t>
      </w:r>
      <w:r w:rsidRPr="003B4A30">
        <w:rPr>
          <w:rFonts w:ascii="Verdana" w:hAnsi="Verdana"/>
          <w:sz w:val="20"/>
          <w:szCs w:val="20"/>
        </w:rPr>
        <w:t>servicios</w:t>
      </w:r>
      <w:r w:rsidRPr="003B4A30">
        <w:rPr>
          <w:rFonts w:ascii="Verdana" w:hAnsi="Verdana"/>
          <w:spacing w:val="-3"/>
          <w:sz w:val="20"/>
          <w:szCs w:val="20"/>
        </w:rPr>
        <w:t xml:space="preserve"> </w:t>
      </w:r>
      <w:r w:rsidRPr="003B4A30">
        <w:rPr>
          <w:rFonts w:ascii="Verdana" w:hAnsi="Verdana"/>
          <w:sz w:val="20"/>
          <w:szCs w:val="20"/>
        </w:rPr>
        <w:t>profesionales</w:t>
      </w:r>
      <w:r w:rsidRPr="003B4A30">
        <w:rPr>
          <w:rFonts w:ascii="Verdana" w:hAnsi="Verdana"/>
          <w:spacing w:val="-3"/>
          <w:sz w:val="20"/>
          <w:szCs w:val="20"/>
        </w:rPr>
        <w:t xml:space="preserve"> </w:t>
      </w:r>
      <w:r w:rsidRPr="003B4A30">
        <w:rPr>
          <w:rFonts w:ascii="Verdana" w:hAnsi="Verdana"/>
          <w:sz w:val="20"/>
          <w:szCs w:val="20"/>
        </w:rPr>
        <w:t>y</w:t>
      </w:r>
      <w:r w:rsidRPr="003B4A30">
        <w:rPr>
          <w:rFonts w:ascii="Verdana" w:hAnsi="Verdana"/>
          <w:spacing w:val="-3"/>
          <w:sz w:val="20"/>
          <w:szCs w:val="20"/>
        </w:rPr>
        <w:t xml:space="preserve"> </w:t>
      </w:r>
      <w:r w:rsidRPr="003B4A30">
        <w:rPr>
          <w:rFonts w:ascii="Verdana" w:hAnsi="Verdana"/>
          <w:sz w:val="20"/>
          <w:szCs w:val="20"/>
        </w:rPr>
        <w:t>de</w:t>
      </w:r>
      <w:r w:rsidRPr="003B4A30">
        <w:rPr>
          <w:rFonts w:ascii="Verdana" w:hAnsi="Verdana"/>
          <w:spacing w:val="-3"/>
          <w:sz w:val="20"/>
          <w:szCs w:val="20"/>
        </w:rPr>
        <w:t xml:space="preserve"> </w:t>
      </w:r>
      <w:r w:rsidRPr="003B4A30">
        <w:rPr>
          <w:rFonts w:ascii="Verdana" w:hAnsi="Verdana"/>
          <w:sz w:val="20"/>
          <w:szCs w:val="20"/>
        </w:rPr>
        <w:t>apoyo</w:t>
      </w:r>
      <w:r w:rsidRPr="003B4A30">
        <w:rPr>
          <w:rFonts w:ascii="Verdana" w:hAnsi="Verdana"/>
          <w:spacing w:val="-3"/>
          <w:sz w:val="20"/>
          <w:szCs w:val="20"/>
        </w:rPr>
        <w:t xml:space="preserve"> </w:t>
      </w:r>
      <w:r w:rsidRPr="003B4A30">
        <w:rPr>
          <w:rFonts w:ascii="Verdana" w:hAnsi="Verdana"/>
          <w:sz w:val="20"/>
          <w:szCs w:val="20"/>
        </w:rPr>
        <w:t>a</w:t>
      </w:r>
      <w:r w:rsidRPr="003B4A30">
        <w:rPr>
          <w:rFonts w:ascii="Verdana" w:hAnsi="Verdana"/>
          <w:spacing w:val="-3"/>
          <w:sz w:val="20"/>
          <w:szCs w:val="20"/>
        </w:rPr>
        <w:t xml:space="preserve"> </w:t>
      </w:r>
      <w:r w:rsidRPr="003B4A30">
        <w:rPr>
          <w:rFonts w:ascii="Verdana" w:hAnsi="Verdana"/>
          <w:sz w:val="20"/>
          <w:szCs w:val="20"/>
        </w:rPr>
        <w:t>la</w:t>
      </w:r>
      <w:r w:rsidRPr="003B4A30">
        <w:rPr>
          <w:rFonts w:ascii="Verdana" w:hAnsi="Verdana"/>
          <w:spacing w:val="-3"/>
          <w:sz w:val="20"/>
          <w:szCs w:val="20"/>
        </w:rPr>
        <w:t xml:space="preserve"> </w:t>
      </w:r>
      <w:r w:rsidRPr="003B4A30">
        <w:rPr>
          <w:rFonts w:ascii="Verdana" w:hAnsi="Verdana"/>
          <w:sz w:val="20"/>
          <w:szCs w:val="20"/>
        </w:rPr>
        <w:t>gestión,</w:t>
      </w:r>
      <w:r w:rsidRPr="003B4A30">
        <w:rPr>
          <w:rFonts w:ascii="Verdana" w:hAnsi="Verdana"/>
          <w:spacing w:val="-3"/>
          <w:sz w:val="20"/>
          <w:szCs w:val="20"/>
        </w:rPr>
        <w:t xml:space="preserve"> </w:t>
      </w:r>
      <w:r w:rsidRPr="003B4A30">
        <w:rPr>
          <w:rFonts w:ascii="Verdana" w:hAnsi="Verdana"/>
          <w:sz w:val="20"/>
          <w:szCs w:val="20"/>
        </w:rPr>
        <w:t>o</w:t>
      </w:r>
      <w:r w:rsidRPr="003B4A30">
        <w:rPr>
          <w:rFonts w:ascii="Verdana" w:hAnsi="Verdana"/>
          <w:spacing w:val="-3"/>
          <w:sz w:val="20"/>
          <w:szCs w:val="20"/>
        </w:rPr>
        <w:t xml:space="preserve"> </w:t>
      </w:r>
      <w:r w:rsidRPr="003B4A30">
        <w:rPr>
          <w:rFonts w:ascii="Verdana" w:hAnsi="Verdana"/>
          <w:sz w:val="20"/>
          <w:szCs w:val="20"/>
        </w:rPr>
        <w:t>para</w:t>
      </w:r>
      <w:r w:rsidRPr="003B4A30">
        <w:rPr>
          <w:rFonts w:ascii="Verdana" w:hAnsi="Verdana"/>
          <w:spacing w:val="-3"/>
          <w:sz w:val="20"/>
          <w:szCs w:val="20"/>
        </w:rPr>
        <w:t xml:space="preserve"> </w:t>
      </w:r>
      <w:r w:rsidRPr="003B4A30">
        <w:rPr>
          <w:rFonts w:ascii="Verdana" w:hAnsi="Verdana"/>
          <w:sz w:val="20"/>
          <w:szCs w:val="20"/>
        </w:rPr>
        <w:t>la</w:t>
      </w:r>
      <w:r w:rsidRPr="003B4A30">
        <w:rPr>
          <w:rFonts w:ascii="Verdana" w:hAnsi="Verdana"/>
          <w:spacing w:val="-3"/>
          <w:sz w:val="20"/>
          <w:szCs w:val="20"/>
        </w:rPr>
        <w:t xml:space="preserve"> </w:t>
      </w:r>
      <w:r w:rsidRPr="003B4A30">
        <w:rPr>
          <w:rFonts w:ascii="Verdana" w:hAnsi="Verdana"/>
          <w:sz w:val="20"/>
          <w:szCs w:val="20"/>
        </w:rPr>
        <w:t>ejecución</w:t>
      </w:r>
      <w:r w:rsidRPr="003B4A30">
        <w:rPr>
          <w:rFonts w:ascii="Verdana" w:hAnsi="Verdana"/>
          <w:spacing w:val="-3"/>
          <w:sz w:val="20"/>
          <w:szCs w:val="20"/>
        </w:rPr>
        <w:t xml:space="preserve"> </w:t>
      </w:r>
      <w:r w:rsidRPr="003B4A30">
        <w:rPr>
          <w:rFonts w:ascii="Verdana" w:hAnsi="Verdana"/>
          <w:sz w:val="20"/>
          <w:szCs w:val="20"/>
        </w:rPr>
        <w:t>de</w:t>
      </w:r>
      <w:r w:rsidRPr="003B4A30">
        <w:rPr>
          <w:rFonts w:ascii="Verdana" w:hAnsi="Verdana"/>
          <w:spacing w:val="-3"/>
          <w:sz w:val="20"/>
          <w:szCs w:val="20"/>
        </w:rPr>
        <w:t xml:space="preserve"> </w:t>
      </w:r>
      <w:r w:rsidRPr="003B4A30">
        <w:rPr>
          <w:rFonts w:ascii="Verdana" w:hAnsi="Verdana"/>
          <w:sz w:val="20"/>
          <w:szCs w:val="20"/>
        </w:rPr>
        <w:t>trabajos</w:t>
      </w:r>
      <w:r w:rsidRPr="003B4A30">
        <w:rPr>
          <w:rFonts w:ascii="Verdana" w:hAnsi="Verdana"/>
          <w:spacing w:val="-3"/>
          <w:sz w:val="20"/>
          <w:szCs w:val="20"/>
        </w:rPr>
        <w:t xml:space="preserve"> </w:t>
      </w:r>
      <w:r w:rsidRPr="003B4A30">
        <w:rPr>
          <w:rFonts w:ascii="Verdana" w:hAnsi="Verdana"/>
          <w:sz w:val="20"/>
          <w:szCs w:val="20"/>
        </w:rPr>
        <w:t>artísticos</w:t>
      </w:r>
      <w:r w:rsidRPr="003B4A30">
        <w:rPr>
          <w:rFonts w:ascii="Verdana" w:hAnsi="Verdana"/>
          <w:spacing w:val="-3"/>
          <w:sz w:val="20"/>
          <w:szCs w:val="20"/>
        </w:rPr>
        <w:t xml:space="preserve"> </w:t>
      </w:r>
      <w:r w:rsidRPr="003B4A30">
        <w:rPr>
          <w:rFonts w:ascii="Verdana" w:hAnsi="Verdana"/>
          <w:sz w:val="20"/>
          <w:szCs w:val="20"/>
        </w:rPr>
        <w:t>que</w:t>
      </w:r>
      <w:r w:rsidRPr="003B4A30">
        <w:rPr>
          <w:rFonts w:ascii="Verdana" w:hAnsi="Verdana"/>
          <w:spacing w:val="-3"/>
          <w:sz w:val="20"/>
          <w:szCs w:val="20"/>
        </w:rPr>
        <w:t xml:space="preserve"> </w:t>
      </w:r>
      <w:r w:rsidRPr="003B4A30">
        <w:rPr>
          <w:rFonts w:ascii="Verdana" w:hAnsi="Verdana"/>
          <w:sz w:val="20"/>
          <w:szCs w:val="20"/>
        </w:rPr>
        <w:t>sólo</w:t>
      </w:r>
      <w:r w:rsidRPr="003B4A30">
        <w:rPr>
          <w:rFonts w:ascii="Verdana" w:hAnsi="Verdana"/>
          <w:spacing w:val="-3"/>
          <w:sz w:val="20"/>
          <w:szCs w:val="20"/>
        </w:rPr>
        <w:t xml:space="preserve"> </w:t>
      </w:r>
      <w:r w:rsidRPr="003B4A30">
        <w:rPr>
          <w:rFonts w:ascii="Verdana" w:hAnsi="Verdana"/>
          <w:sz w:val="20"/>
          <w:szCs w:val="20"/>
        </w:rPr>
        <w:t>puedan</w:t>
      </w:r>
      <w:r w:rsidRPr="003B4A30">
        <w:rPr>
          <w:rFonts w:ascii="Verdana" w:hAnsi="Verdana"/>
          <w:spacing w:val="-3"/>
          <w:sz w:val="20"/>
          <w:szCs w:val="20"/>
        </w:rPr>
        <w:t xml:space="preserve"> </w:t>
      </w:r>
      <w:r w:rsidRPr="003B4A30">
        <w:rPr>
          <w:rFonts w:ascii="Verdana" w:hAnsi="Verdana"/>
          <w:sz w:val="20"/>
          <w:szCs w:val="20"/>
        </w:rPr>
        <w:t>encomendarse a determinadas personas naturales”.</w:t>
      </w:r>
    </w:p>
    <w:p w14:paraId="45131DB0" w14:textId="77777777" w:rsidR="004D54CC" w:rsidRPr="003B4A30" w:rsidRDefault="004D54CC" w:rsidP="004D54CC">
      <w:pPr>
        <w:spacing w:after="0" w:line="240" w:lineRule="auto"/>
        <w:ind w:left="709" w:right="709"/>
        <w:jc w:val="both"/>
        <w:rPr>
          <w:rFonts w:ascii="Verdana" w:hAnsi="Verdana"/>
        </w:rPr>
      </w:pPr>
    </w:p>
    <w:p w14:paraId="0966CFE5" w14:textId="77777777" w:rsidR="004D54CC" w:rsidRDefault="004D54CC" w:rsidP="004D54CC">
      <w:pPr>
        <w:pStyle w:val="Textoindependiente"/>
        <w:spacing w:after="0"/>
        <w:ind w:firstLine="709"/>
        <w:jc w:val="both"/>
        <w:rPr>
          <w:rFonts w:ascii="Verdana" w:hAnsi="Verdana"/>
        </w:rPr>
      </w:pPr>
      <w:r w:rsidRPr="003B4A30">
        <w:rPr>
          <w:rFonts w:ascii="Verdana" w:hAnsi="Verdana"/>
        </w:rPr>
        <w:t>En</w:t>
      </w:r>
      <w:r w:rsidRPr="003B4A30">
        <w:rPr>
          <w:rFonts w:ascii="Verdana" w:hAnsi="Verdana"/>
          <w:spacing w:val="-7"/>
        </w:rPr>
        <w:t xml:space="preserve"> </w:t>
      </w:r>
      <w:r w:rsidRPr="003B4A30">
        <w:rPr>
          <w:rFonts w:ascii="Verdana" w:hAnsi="Verdana"/>
        </w:rPr>
        <w:t>tal</w:t>
      </w:r>
      <w:r w:rsidRPr="003B4A30">
        <w:rPr>
          <w:rFonts w:ascii="Verdana" w:hAnsi="Verdana"/>
          <w:spacing w:val="-7"/>
        </w:rPr>
        <w:t xml:space="preserve"> </w:t>
      </w:r>
      <w:r w:rsidRPr="003B4A30">
        <w:rPr>
          <w:rFonts w:ascii="Verdana" w:hAnsi="Verdana"/>
        </w:rPr>
        <w:t>sentido,</w:t>
      </w:r>
      <w:r w:rsidRPr="003B4A30">
        <w:rPr>
          <w:rFonts w:ascii="Verdana" w:hAnsi="Verdana"/>
          <w:spacing w:val="-5"/>
        </w:rPr>
        <w:t xml:space="preserve"> </w:t>
      </w:r>
      <w:r w:rsidRPr="003B4A30">
        <w:rPr>
          <w:rFonts w:ascii="Verdana" w:hAnsi="Verdana"/>
        </w:rPr>
        <w:t>el</w:t>
      </w:r>
      <w:r w:rsidRPr="003B4A30">
        <w:rPr>
          <w:rFonts w:ascii="Verdana" w:hAnsi="Verdana"/>
          <w:spacing w:val="-7"/>
        </w:rPr>
        <w:t xml:space="preserve"> </w:t>
      </w:r>
      <w:r w:rsidRPr="003B4A30">
        <w:rPr>
          <w:rFonts w:ascii="Verdana" w:hAnsi="Verdana"/>
        </w:rPr>
        <w:t>artículo</w:t>
      </w:r>
      <w:r w:rsidRPr="003B4A30">
        <w:rPr>
          <w:rFonts w:ascii="Verdana" w:hAnsi="Verdana"/>
          <w:spacing w:val="-5"/>
        </w:rPr>
        <w:t xml:space="preserve"> </w:t>
      </w:r>
      <w:r w:rsidRPr="003B4A30">
        <w:rPr>
          <w:rFonts w:ascii="Verdana" w:hAnsi="Verdana"/>
        </w:rPr>
        <w:t>2.2.1.2.1.4.9</w:t>
      </w:r>
      <w:r w:rsidRPr="003B4A30">
        <w:rPr>
          <w:rFonts w:ascii="Verdana" w:hAnsi="Verdana"/>
          <w:spacing w:val="-3"/>
        </w:rPr>
        <w:t xml:space="preserve"> </w:t>
      </w:r>
      <w:r w:rsidRPr="003B4A30">
        <w:rPr>
          <w:rFonts w:ascii="Verdana" w:hAnsi="Verdana"/>
        </w:rPr>
        <w:t>del</w:t>
      </w:r>
      <w:r w:rsidRPr="003B4A30">
        <w:rPr>
          <w:rFonts w:ascii="Verdana" w:hAnsi="Verdana"/>
          <w:spacing w:val="-7"/>
        </w:rPr>
        <w:t xml:space="preserve"> </w:t>
      </w:r>
      <w:r w:rsidRPr="003B4A30">
        <w:rPr>
          <w:rFonts w:ascii="Verdana" w:hAnsi="Verdana"/>
        </w:rPr>
        <w:t>Decreto</w:t>
      </w:r>
      <w:r w:rsidRPr="003B4A30">
        <w:rPr>
          <w:rFonts w:ascii="Verdana" w:hAnsi="Verdana"/>
          <w:spacing w:val="-5"/>
        </w:rPr>
        <w:t xml:space="preserve"> </w:t>
      </w:r>
      <w:r w:rsidRPr="003B4A30">
        <w:rPr>
          <w:rFonts w:ascii="Verdana" w:hAnsi="Verdana"/>
        </w:rPr>
        <w:t>1082</w:t>
      </w:r>
      <w:r w:rsidRPr="003B4A30">
        <w:rPr>
          <w:rFonts w:ascii="Verdana" w:hAnsi="Verdana"/>
          <w:spacing w:val="-6"/>
        </w:rPr>
        <w:t xml:space="preserve"> </w:t>
      </w:r>
      <w:r w:rsidRPr="003B4A30">
        <w:rPr>
          <w:rFonts w:ascii="Verdana" w:hAnsi="Verdana"/>
        </w:rPr>
        <w:t>de 2015 reglamentó la contratación directa para los contratos de servicios profesionales y de apoyo a la gestión, o para la ejecución de trabajos artísticos que sólo pueden encomendarse a determinadas personas naturales, en los siguientes términos:</w:t>
      </w:r>
    </w:p>
    <w:p w14:paraId="48422755" w14:textId="77777777" w:rsidR="004D54CC" w:rsidRPr="000952AC" w:rsidRDefault="004D54CC" w:rsidP="004D54CC">
      <w:pPr>
        <w:pStyle w:val="Textoindependiente"/>
        <w:spacing w:after="0"/>
        <w:ind w:firstLine="709"/>
        <w:jc w:val="both"/>
      </w:pPr>
    </w:p>
    <w:p w14:paraId="2CEBC8FD" w14:textId="77777777" w:rsidR="004D54CC" w:rsidRDefault="004D54CC" w:rsidP="004D54CC">
      <w:pPr>
        <w:spacing w:after="0" w:line="240" w:lineRule="auto"/>
        <w:ind w:left="709" w:right="709"/>
        <w:jc w:val="both"/>
        <w:rPr>
          <w:rFonts w:ascii="Verdana" w:hAnsi="Verdana"/>
          <w:sz w:val="20"/>
          <w:szCs w:val="20"/>
        </w:rPr>
      </w:pPr>
      <w:r w:rsidRPr="76FD4F24">
        <w:rPr>
          <w:rFonts w:ascii="Verdana" w:hAnsi="Verdana"/>
          <w:sz w:val="20"/>
          <w:szCs w:val="20"/>
        </w:rPr>
        <w:t>“Las Entidades Estatales pueden contratar bajo la modalidad de contratación directa la</w:t>
      </w:r>
      <w:r w:rsidRPr="76FD4F24">
        <w:rPr>
          <w:rFonts w:ascii="Verdana" w:hAnsi="Verdana"/>
          <w:spacing w:val="-1"/>
          <w:sz w:val="20"/>
          <w:szCs w:val="20"/>
        </w:rPr>
        <w:t xml:space="preserve"> </w:t>
      </w:r>
      <w:r w:rsidRPr="76FD4F24">
        <w:rPr>
          <w:rFonts w:ascii="Verdana" w:hAnsi="Verdana"/>
          <w:sz w:val="20"/>
          <w:szCs w:val="20"/>
        </w:rPr>
        <w:t>prestación de</w:t>
      </w:r>
      <w:r w:rsidRPr="76FD4F24">
        <w:rPr>
          <w:rFonts w:ascii="Verdana" w:hAnsi="Verdana"/>
          <w:spacing w:val="-1"/>
          <w:sz w:val="20"/>
          <w:szCs w:val="20"/>
        </w:rPr>
        <w:t xml:space="preserve"> </w:t>
      </w:r>
      <w:r w:rsidRPr="76FD4F24">
        <w:rPr>
          <w:rFonts w:ascii="Verdana" w:hAnsi="Verdana"/>
          <w:sz w:val="20"/>
          <w:szCs w:val="20"/>
        </w:rPr>
        <w:t>servicios profesionales y</w:t>
      </w:r>
      <w:r w:rsidRPr="76FD4F24">
        <w:rPr>
          <w:rFonts w:ascii="Verdana" w:hAnsi="Verdana"/>
          <w:spacing w:val="-1"/>
          <w:sz w:val="20"/>
          <w:szCs w:val="20"/>
        </w:rPr>
        <w:t xml:space="preserve"> </w:t>
      </w:r>
      <w:r w:rsidRPr="76FD4F24">
        <w:rPr>
          <w:rFonts w:ascii="Verdana" w:hAnsi="Verdana"/>
          <w:sz w:val="20"/>
          <w:szCs w:val="20"/>
        </w:rPr>
        <w:t>de</w:t>
      </w:r>
      <w:r w:rsidRPr="76FD4F24">
        <w:rPr>
          <w:rFonts w:ascii="Verdana" w:hAnsi="Verdana"/>
          <w:spacing w:val="-1"/>
          <w:sz w:val="20"/>
          <w:szCs w:val="20"/>
        </w:rPr>
        <w:t xml:space="preserve"> </w:t>
      </w:r>
      <w:r w:rsidRPr="76FD4F24">
        <w:rPr>
          <w:rFonts w:ascii="Verdana" w:hAnsi="Verdana"/>
          <w:sz w:val="20"/>
          <w:szCs w:val="20"/>
        </w:rPr>
        <w:t>apoyo a la gestión con la persona natural o jurídica que esté en capacidad de ejecutar el objeto del contrato, siempre y cuando la Entidad Estatal verifique</w:t>
      </w:r>
      <w:r w:rsidRPr="76FD4F24">
        <w:rPr>
          <w:rFonts w:ascii="Verdana" w:hAnsi="Verdana"/>
          <w:spacing w:val="-11"/>
          <w:sz w:val="20"/>
          <w:szCs w:val="20"/>
        </w:rPr>
        <w:t xml:space="preserve"> </w:t>
      </w:r>
      <w:r w:rsidRPr="76FD4F24">
        <w:rPr>
          <w:rFonts w:ascii="Verdana" w:hAnsi="Verdana"/>
          <w:sz w:val="20"/>
          <w:szCs w:val="20"/>
        </w:rPr>
        <w:t>la</w:t>
      </w:r>
      <w:r w:rsidRPr="76FD4F24">
        <w:rPr>
          <w:rFonts w:ascii="Verdana" w:hAnsi="Verdana"/>
          <w:spacing w:val="-13"/>
          <w:sz w:val="20"/>
          <w:szCs w:val="20"/>
        </w:rPr>
        <w:t xml:space="preserve"> </w:t>
      </w:r>
      <w:r w:rsidRPr="76FD4F24">
        <w:rPr>
          <w:rFonts w:ascii="Verdana" w:hAnsi="Verdana"/>
          <w:sz w:val="20"/>
          <w:szCs w:val="20"/>
        </w:rPr>
        <w:t>idoneidad</w:t>
      </w:r>
      <w:r w:rsidRPr="76FD4F24">
        <w:rPr>
          <w:rFonts w:ascii="Verdana" w:hAnsi="Verdana"/>
          <w:spacing w:val="-11"/>
          <w:sz w:val="20"/>
          <w:szCs w:val="20"/>
        </w:rPr>
        <w:t xml:space="preserve"> </w:t>
      </w:r>
      <w:r w:rsidRPr="76FD4F24">
        <w:rPr>
          <w:rFonts w:ascii="Verdana" w:hAnsi="Verdana"/>
          <w:sz w:val="20"/>
          <w:szCs w:val="20"/>
        </w:rPr>
        <w:t>o</w:t>
      </w:r>
      <w:r w:rsidRPr="76FD4F24">
        <w:rPr>
          <w:rFonts w:ascii="Verdana" w:hAnsi="Verdana"/>
          <w:spacing w:val="-13"/>
          <w:sz w:val="20"/>
          <w:szCs w:val="20"/>
        </w:rPr>
        <w:t xml:space="preserve"> </w:t>
      </w:r>
      <w:r w:rsidRPr="76FD4F24">
        <w:rPr>
          <w:rFonts w:ascii="Verdana" w:hAnsi="Verdana"/>
          <w:sz w:val="20"/>
          <w:szCs w:val="20"/>
        </w:rPr>
        <w:t>experiencia</w:t>
      </w:r>
      <w:r w:rsidRPr="76FD4F24">
        <w:rPr>
          <w:rFonts w:ascii="Verdana" w:hAnsi="Verdana"/>
          <w:spacing w:val="-10"/>
          <w:sz w:val="20"/>
          <w:szCs w:val="20"/>
        </w:rPr>
        <w:t xml:space="preserve"> </w:t>
      </w:r>
      <w:r w:rsidRPr="76FD4F24">
        <w:rPr>
          <w:rFonts w:ascii="Verdana" w:hAnsi="Verdana"/>
          <w:sz w:val="20"/>
          <w:szCs w:val="20"/>
        </w:rPr>
        <w:t>requerida</w:t>
      </w:r>
      <w:r w:rsidRPr="76FD4F24">
        <w:rPr>
          <w:rFonts w:ascii="Verdana" w:hAnsi="Verdana"/>
          <w:spacing w:val="-11"/>
          <w:sz w:val="20"/>
          <w:szCs w:val="20"/>
        </w:rPr>
        <w:t xml:space="preserve"> </w:t>
      </w:r>
      <w:r w:rsidRPr="76FD4F24">
        <w:rPr>
          <w:rFonts w:ascii="Verdana" w:hAnsi="Verdana"/>
          <w:sz w:val="20"/>
          <w:szCs w:val="20"/>
        </w:rPr>
        <w:t>y</w:t>
      </w:r>
      <w:r w:rsidRPr="76FD4F24">
        <w:rPr>
          <w:rFonts w:ascii="Verdana" w:hAnsi="Verdana"/>
          <w:spacing w:val="-13"/>
          <w:sz w:val="20"/>
          <w:szCs w:val="20"/>
        </w:rPr>
        <w:t xml:space="preserve"> </w:t>
      </w:r>
      <w:r w:rsidRPr="76FD4F24">
        <w:rPr>
          <w:rFonts w:ascii="Verdana" w:hAnsi="Verdana"/>
          <w:sz w:val="20"/>
          <w:szCs w:val="20"/>
        </w:rPr>
        <w:t>relacionada</w:t>
      </w:r>
      <w:r w:rsidRPr="76FD4F24">
        <w:rPr>
          <w:rFonts w:ascii="Verdana" w:hAnsi="Verdana"/>
          <w:spacing w:val="-10"/>
          <w:sz w:val="20"/>
          <w:szCs w:val="20"/>
        </w:rPr>
        <w:t xml:space="preserve"> </w:t>
      </w:r>
      <w:r w:rsidRPr="76FD4F24">
        <w:rPr>
          <w:rFonts w:ascii="Verdana" w:hAnsi="Verdana"/>
          <w:sz w:val="20"/>
          <w:szCs w:val="20"/>
        </w:rPr>
        <w:t>con</w:t>
      </w:r>
      <w:r w:rsidRPr="76FD4F24">
        <w:rPr>
          <w:rFonts w:ascii="Verdana" w:hAnsi="Verdana"/>
          <w:spacing w:val="-12"/>
          <w:sz w:val="20"/>
          <w:szCs w:val="20"/>
        </w:rPr>
        <w:t xml:space="preserve"> </w:t>
      </w:r>
      <w:r w:rsidRPr="76FD4F24">
        <w:rPr>
          <w:rFonts w:ascii="Verdana" w:hAnsi="Verdana"/>
          <w:sz w:val="20"/>
          <w:szCs w:val="20"/>
        </w:rPr>
        <w:t>el</w:t>
      </w:r>
      <w:r w:rsidRPr="76FD4F24">
        <w:rPr>
          <w:rFonts w:ascii="Verdana" w:hAnsi="Verdana"/>
          <w:spacing w:val="-13"/>
          <w:sz w:val="20"/>
          <w:szCs w:val="20"/>
        </w:rPr>
        <w:t xml:space="preserve"> </w:t>
      </w:r>
      <w:r w:rsidRPr="76FD4F24">
        <w:rPr>
          <w:rFonts w:ascii="Verdana" w:hAnsi="Verdana"/>
          <w:sz w:val="20"/>
          <w:szCs w:val="20"/>
        </w:rPr>
        <w:t>área</w:t>
      </w:r>
      <w:r w:rsidRPr="76FD4F24">
        <w:rPr>
          <w:rFonts w:ascii="Verdana" w:hAnsi="Verdana"/>
          <w:spacing w:val="-12"/>
          <w:sz w:val="20"/>
          <w:szCs w:val="20"/>
        </w:rPr>
        <w:t xml:space="preserve"> </w:t>
      </w:r>
      <w:r w:rsidRPr="76FD4F24">
        <w:rPr>
          <w:rFonts w:ascii="Verdana" w:hAnsi="Verdana"/>
          <w:sz w:val="20"/>
          <w:szCs w:val="20"/>
        </w:rPr>
        <w:t>de que se trate. En este caso, no es necesario que la Entidad Estatal haya obtenido previamente varias ofertas, de lo cual el ordenador del gasto debe dejar constancia escrita.</w:t>
      </w:r>
    </w:p>
    <w:p w14:paraId="6C8A54F8" w14:textId="77777777" w:rsidR="004D54CC" w:rsidRPr="000952AC" w:rsidRDefault="004D54CC" w:rsidP="004D54CC">
      <w:pPr>
        <w:spacing w:after="0" w:line="240" w:lineRule="auto"/>
        <w:ind w:left="709" w:right="709"/>
        <w:jc w:val="both"/>
        <w:rPr>
          <w:rFonts w:ascii="Verdana" w:hAnsi="Verdana"/>
          <w:sz w:val="20"/>
          <w:szCs w:val="20"/>
        </w:rPr>
      </w:pPr>
    </w:p>
    <w:p w14:paraId="11EA9DBD" w14:textId="77777777" w:rsidR="004D54CC" w:rsidRPr="000952AC" w:rsidRDefault="004D54CC" w:rsidP="004D54CC">
      <w:pPr>
        <w:spacing w:after="0" w:line="240" w:lineRule="auto"/>
        <w:ind w:left="709" w:right="709"/>
        <w:jc w:val="both"/>
        <w:rPr>
          <w:rFonts w:ascii="Verdana" w:hAnsi="Verdana"/>
          <w:sz w:val="20"/>
          <w:szCs w:val="20"/>
        </w:rPr>
      </w:pPr>
      <w:r w:rsidRPr="76FD4F24">
        <w:rPr>
          <w:rFonts w:ascii="Verdana" w:hAnsi="Verdana"/>
          <w:sz w:val="20"/>
          <w:szCs w:val="20"/>
        </w:rPr>
        <w:t>Los</w:t>
      </w:r>
      <w:r w:rsidRPr="76FD4F24">
        <w:rPr>
          <w:rFonts w:ascii="Verdana" w:hAnsi="Verdana"/>
          <w:spacing w:val="-18"/>
          <w:sz w:val="20"/>
          <w:szCs w:val="20"/>
        </w:rPr>
        <w:t xml:space="preserve"> </w:t>
      </w:r>
      <w:r w:rsidRPr="76FD4F24">
        <w:rPr>
          <w:rFonts w:ascii="Verdana" w:hAnsi="Verdana"/>
          <w:sz w:val="20"/>
          <w:szCs w:val="20"/>
        </w:rPr>
        <w:t>servicios</w:t>
      </w:r>
      <w:r w:rsidRPr="76FD4F24">
        <w:rPr>
          <w:rFonts w:ascii="Verdana" w:hAnsi="Verdana"/>
          <w:spacing w:val="-18"/>
          <w:sz w:val="20"/>
          <w:szCs w:val="20"/>
        </w:rPr>
        <w:t xml:space="preserve"> </w:t>
      </w:r>
      <w:r w:rsidRPr="76FD4F24">
        <w:rPr>
          <w:rFonts w:ascii="Verdana" w:hAnsi="Verdana"/>
          <w:sz w:val="20"/>
          <w:szCs w:val="20"/>
        </w:rPr>
        <w:t>profesionales</w:t>
      </w:r>
      <w:r w:rsidRPr="76FD4F24">
        <w:rPr>
          <w:rFonts w:ascii="Verdana" w:hAnsi="Verdana"/>
          <w:spacing w:val="-17"/>
          <w:sz w:val="20"/>
          <w:szCs w:val="20"/>
        </w:rPr>
        <w:t xml:space="preserve"> </w:t>
      </w:r>
      <w:r w:rsidRPr="76FD4F24">
        <w:rPr>
          <w:rFonts w:ascii="Verdana" w:hAnsi="Verdana"/>
          <w:sz w:val="20"/>
          <w:szCs w:val="20"/>
        </w:rPr>
        <w:t>y</w:t>
      </w:r>
      <w:r w:rsidRPr="76FD4F24">
        <w:rPr>
          <w:rFonts w:ascii="Verdana" w:hAnsi="Verdana"/>
          <w:spacing w:val="-18"/>
          <w:sz w:val="20"/>
          <w:szCs w:val="20"/>
        </w:rPr>
        <w:t xml:space="preserve"> </w:t>
      </w:r>
      <w:r w:rsidRPr="76FD4F24">
        <w:rPr>
          <w:rFonts w:ascii="Verdana" w:hAnsi="Verdana"/>
          <w:sz w:val="20"/>
          <w:szCs w:val="20"/>
        </w:rPr>
        <w:t>de</w:t>
      </w:r>
      <w:r w:rsidRPr="76FD4F24">
        <w:rPr>
          <w:rFonts w:ascii="Verdana" w:hAnsi="Verdana"/>
          <w:spacing w:val="-17"/>
          <w:sz w:val="20"/>
          <w:szCs w:val="20"/>
        </w:rPr>
        <w:t xml:space="preserve"> </w:t>
      </w:r>
      <w:r w:rsidRPr="76FD4F24">
        <w:rPr>
          <w:rFonts w:ascii="Verdana" w:hAnsi="Verdana"/>
          <w:sz w:val="20"/>
          <w:szCs w:val="20"/>
        </w:rPr>
        <w:t>apoyo</w:t>
      </w:r>
      <w:r w:rsidRPr="76FD4F24">
        <w:rPr>
          <w:rFonts w:ascii="Verdana" w:hAnsi="Verdana"/>
          <w:spacing w:val="-18"/>
          <w:sz w:val="20"/>
          <w:szCs w:val="20"/>
        </w:rPr>
        <w:t xml:space="preserve"> </w:t>
      </w:r>
      <w:r w:rsidRPr="76FD4F24">
        <w:rPr>
          <w:rFonts w:ascii="Verdana" w:hAnsi="Verdana"/>
          <w:sz w:val="20"/>
          <w:szCs w:val="20"/>
        </w:rPr>
        <w:t>a</w:t>
      </w:r>
      <w:r w:rsidRPr="76FD4F24">
        <w:rPr>
          <w:rFonts w:ascii="Verdana" w:hAnsi="Verdana"/>
          <w:spacing w:val="-18"/>
          <w:sz w:val="20"/>
          <w:szCs w:val="20"/>
        </w:rPr>
        <w:t xml:space="preserve"> </w:t>
      </w:r>
      <w:r w:rsidRPr="76FD4F24">
        <w:rPr>
          <w:rFonts w:ascii="Verdana" w:hAnsi="Verdana"/>
          <w:sz w:val="20"/>
          <w:szCs w:val="20"/>
        </w:rPr>
        <w:t>la</w:t>
      </w:r>
      <w:r w:rsidRPr="76FD4F24">
        <w:rPr>
          <w:rFonts w:ascii="Verdana" w:hAnsi="Verdana"/>
          <w:spacing w:val="-17"/>
          <w:sz w:val="20"/>
          <w:szCs w:val="20"/>
        </w:rPr>
        <w:t xml:space="preserve"> </w:t>
      </w:r>
      <w:r w:rsidRPr="76FD4F24">
        <w:rPr>
          <w:rFonts w:ascii="Verdana" w:hAnsi="Verdana"/>
          <w:sz w:val="20"/>
          <w:szCs w:val="20"/>
        </w:rPr>
        <w:t>gestión</w:t>
      </w:r>
      <w:r w:rsidRPr="76FD4F24">
        <w:rPr>
          <w:rFonts w:ascii="Verdana" w:hAnsi="Verdana"/>
          <w:spacing w:val="-18"/>
          <w:sz w:val="20"/>
          <w:szCs w:val="20"/>
        </w:rPr>
        <w:t xml:space="preserve"> </w:t>
      </w:r>
      <w:r w:rsidRPr="76FD4F24">
        <w:rPr>
          <w:rFonts w:ascii="Verdana" w:hAnsi="Verdana"/>
          <w:sz w:val="20"/>
          <w:szCs w:val="20"/>
        </w:rPr>
        <w:t>corresponden</w:t>
      </w:r>
      <w:r w:rsidRPr="76FD4F24">
        <w:rPr>
          <w:rFonts w:ascii="Verdana" w:hAnsi="Verdana"/>
          <w:spacing w:val="-17"/>
          <w:sz w:val="20"/>
          <w:szCs w:val="20"/>
        </w:rPr>
        <w:t xml:space="preserve"> </w:t>
      </w:r>
      <w:r w:rsidRPr="76FD4F24">
        <w:rPr>
          <w:rFonts w:ascii="Verdana" w:hAnsi="Verdana"/>
          <w:sz w:val="20"/>
          <w:szCs w:val="20"/>
        </w:rPr>
        <w:t>a</w:t>
      </w:r>
      <w:r w:rsidRPr="76FD4F24">
        <w:rPr>
          <w:rFonts w:ascii="Verdana" w:hAnsi="Verdana"/>
          <w:spacing w:val="-18"/>
          <w:sz w:val="20"/>
          <w:szCs w:val="20"/>
        </w:rPr>
        <w:t xml:space="preserve"> </w:t>
      </w:r>
      <w:r w:rsidRPr="76FD4F24">
        <w:rPr>
          <w:rFonts w:ascii="Verdana" w:hAnsi="Verdana"/>
          <w:sz w:val="20"/>
          <w:szCs w:val="20"/>
        </w:rPr>
        <w:t>aquellos de naturaleza intelectual diferentes a los de consultoría que se derivan del cumplimiento de las funciones de la Entidad Estatal, así como los relacionados con actividades operativas, logísticas, o asistenciales.</w:t>
      </w:r>
    </w:p>
    <w:p w14:paraId="70B22802" w14:textId="77777777" w:rsidR="004D54CC" w:rsidRDefault="004D54CC" w:rsidP="004D54CC">
      <w:pPr>
        <w:spacing w:after="0" w:line="240" w:lineRule="auto"/>
        <w:ind w:left="709" w:right="709"/>
        <w:jc w:val="both"/>
        <w:rPr>
          <w:rFonts w:ascii="Verdana" w:hAnsi="Verdana"/>
          <w:sz w:val="20"/>
          <w:szCs w:val="20"/>
        </w:rPr>
      </w:pPr>
    </w:p>
    <w:p w14:paraId="7DB5D872" w14:textId="77777777" w:rsidR="004D54CC" w:rsidRDefault="004D54CC" w:rsidP="004D54CC">
      <w:pPr>
        <w:spacing w:after="0" w:line="240" w:lineRule="auto"/>
        <w:ind w:left="709" w:right="709"/>
        <w:jc w:val="both"/>
        <w:rPr>
          <w:rFonts w:ascii="Verdana" w:hAnsi="Verdana"/>
          <w:sz w:val="20"/>
          <w:szCs w:val="20"/>
        </w:rPr>
      </w:pPr>
      <w:r w:rsidRPr="76FD4F24">
        <w:rPr>
          <w:rFonts w:ascii="Verdana" w:hAnsi="Verdana"/>
          <w:sz w:val="20"/>
          <w:szCs w:val="20"/>
        </w:rPr>
        <w:t>La Entidad Estatal, para la contratación de trabajos artísticos que solamente puedan encomendarse a determinadas personas naturales, debe justificar esta situación en los estudios y documentos previos”.</w:t>
      </w:r>
    </w:p>
    <w:p w14:paraId="443D9A34" w14:textId="77777777" w:rsidR="004D54CC" w:rsidRDefault="004D54CC" w:rsidP="004D54CC">
      <w:pPr>
        <w:spacing w:after="0"/>
        <w:ind w:firstLine="709"/>
        <w:jc w:val="both"/>
        <w:rPr>
          <w:rFonts w:ascii="Verdana" w:hAnsi="Verdana"/>
        </w:rPr>
      </w:pPr>
    </w:p>
    <w:p w14:paraId="0A51A26C" w14:textId="77777777" w:rsidR="004D54CC" w:rsidRDefault="004D54CC" w:rsidP="004D54CC">
      <w:pPr>
        <w:spacing w:after="120"/>
        <w:ind w:firstLine="709"/>
        <w:jc w:val="both"/>
        <w:rPr>
          <w:rFonts w:ascii="Verdana" w:hAnsi="Verdana"/>
        </w:rPr>
      </w:pPr>
      <w:r w:rsidRPr="000952AC">
        <w:rPr>
          <w:rFonts w:ascii="Verdana" w:hAnsi="Verdana"/>
        </w:rPr>
        <w:t>Ahora bien, el fuero de maternidad es una figura</w:t>
      </w:r>
      <w:r>
        <w:rPr>
          <w:rFonts w:ascii="Verdana" w:hAnsi="Verdana"/>
        </w:rPr>
        <w:t xml:space="preserve"> jurídica</w:t>
      </w:r>
      <w:r w:rsidRPr="000952AC">
        <w:rPr>
          <w:rFonts w:ascii="Verdana" w:hAnsi="Verdana"/>
        </w:rPr>
        <w:t xml:space="preserve"> que otorga una protección reforzada a la futura madre y a la que acaba de serlo, es decir, a la mujer</w:t>
      </w:r>
      <w:r w:rsidRPr="000952AC">
        <w:rPr>
          <w:rFonts w:ascii="Verdana" w:hAnsi="Verdana"/>
          <w:spacing w:val="-6"/>
        </w:rPr>
        <w:t xml:space="preserve"> </w:t>
      </w:r>
      <w:r w:rsidRPr="000952AC">
        <w:rPr>
          <w:rFonts w:ascii="Verdana" w:hAnsi="Verdana"/>
        </w:rPr>
        <w:t>que</w:t>
      </w:r>
      <w:r w:rsidRPr="000952AC">
        <w:rPr>
          <w:rFonts w:ascii="Verdana" w:hAnsi="Verdana"/>
          <w:spacing w:val="-7"/>
        </w:rPr>
        <w:t xml:space="preserve"> </w:t>
      </w:r>
      <w:r w:rsidRPr="000952AC">
        <w:rPr>
          <w:rFonts w:ascii="Verdana" w:hAnsi="Verdana"/>
        </w:rPr>
        <w:t>se</w:t>
      </w:r>
      <w:r w:rsidRPr="000952AC">
        <w:rPr>
          <w:rFonts w:ascii="Verdana" w:hAnsi="Verdana"/>
          <w:spacing w:val="-7"/>
        </w:rPr>
        <w:t xml:space="preserve"> </w:t>
      </w:r>
      <w:r w:rsidRPr="000952AC">
        <w:rPr>
          <w:rFonts w:ascii="Verdana" w:hAnsi="Verdana"/>
        </w:rPr>
        <w:t>encuentra</w:t>
      </w:r>
      <w:r w:rsidRPr="000952AC">
        <w:rPr>
          <w:rFonts w:ascii="Verdana" w:hAnsi="Verdana"/>
          <w:spacing w:val="-5"/>
        </w:rPr>
        <w:t xml:space="preserve"> </w:t>
      </w:r>
      <w:r w:rsidRPr="000952AC">
        <w:rPr>
          <w:rFonts w:ascii="Verdana" w:hAnsi="Verdana"/>
        </w:rPr>
        <w:t>en</w:t>
      </w:r>
      <w:r w:rsidRPr="000952AC">
        <w:rPr>
          <w:rFonts w:ascii="Verdana" w:hAnsi="Verdana"/>
          <w:spacing w:val="-7"/>
        </w:rPr>
        <w:t xml:space="preserve"> </w:t>
      </w:r>
      <w:r w:rsidRPr="000952AC">
        <w:rPr>
          <w:rFonts w:ascii="Verdana" w:hAnsi="Verdana"/>
        </w:rPr>
        <w:t>estado</w:t>
      </w:r>
      <w:r w:rsidRPr="000952AC">
        <w:rPr>
          <w:rFonts w:ascii="Verdana" w:hAnsi="Verdana"/>
          <w:spacing w:val="-6"/>
        </w:rPr>
        <w:t xml:space="preserve"> </w:t>
      </w:r>
      <w:r w:rsidRPr="000952AC">
        <w:rPr>
          <w:rFonts w:ascii="Verdana" w:hAnsi="Verdana"/>
        </w:rPr>
        <w:t>de</w:t>
      </w:r>
      <w:r w:rsidRPr="000952AC">
        <w:rPr>
          <w:rFonts w:ascii="Verdana" w:hAnsi="Verdana"/>
          <w:spacing w:val="-7"/>
        </w:rPr>
        <w:t xml:space="preserve"> </w:t>
      </w:r>
      <w:r w:rsidRPr="000952AC">
        <w:rPr>
          <w:rFonts w:ascii="Verdana" w:hAnsi="Verdana"/>
        </w:rPr>
        <w:t>embarazo,</w:t>
      </w:r>
      <w:r w:rsidRPr="000952AC">
        <w:rPr>
          <w:rFonts w:ascii="Verdana" w:hAnsi="Verdana"/>
          <w:spacing w:val="-7"/>
        </w:rPr>
        <w:t xml:space="preserve"> </w:t>
      </w:r>
      <w:r w:rsidRPr="000952AC">
        <w:rPr>
          <w:rFonts w:ascii="Verdana" w:hAnsi="Verdana"/>
        </w:rPr>
        <w:t>en</w:t>
      </w:r>
      <w:r w:rsidRPr="000952AC">
        <w:rPr>
          <w:rFonts w:ascii="Verdana" w:hAnsi="Verdana"/>
          <w:spacing w:val="-7"/>
        </w:rPr>
        <w:t xml:space="preserve"> </w:t>
      </w:r>
      <w:r w:rsidRPr="000952AC">
        <w:rPr>
          <w:rFonts w:ascii="Verdana" w:hAnsi="Verdana"/>
        </w:rPr>
        <w:t>licencia</w:t>
      </w:r>
      <w:r w:rsidRPr="000952AC">
        <w:rPr>
          <w:rFonts w:ascii="Verdana" w:hAnsi="Verdana"/>
          <w:spacing w:val="-5"/>
        </w:rPr>
        <w:t xml:space="preserve"> </w:t>
      </w:r>
      <w:r w:rsidRPr="000952AC">
        <w:rPr>
          <w:rFonts w:ascii="Verdana" w:hAnsi="Verdana"/>
        </w:rPr>
        <w:t>de</w:t>
      </w:r>
      <w:r w:rsidRPr="000952AC">
        <w:rPr>
          <w:rFonts w:ascii="Verdana" w:hAnsi="Verdana"/>
          <w:spacing w:val="-7"/>
        </w:rPr>
        <w:t xml:space="preserve"> </w:t>
      </w:r>
      <w:r w:rsidRPr="000952AC">
        <w:rPr>
          <w:rFonts w:ascii="Verdana" w:hAnsi="Verdana"/>
        </w:rPr>
        <w:t>maternidad</w:t>
      </w:r>
      <w:r w:rsidRPr="000952AC">
        <w:rPr>
          <w:rFonts w:ascii="Verdana" w:hAnsi="Verdana"/>
          <w:spacing w:val="-5"/>
        </w:rPr>
        <w:t xml:space="preserve"> </w:t>
      </w:r>
      <w:r w:rsidRPr="000952AC">
        <w:rPr>
          <w:rFonts w:ascii="Verdana" w:hAnsi="Verdana"/>
        </w:rPr>
        <w:t>y</w:t>
      </w:r>
      <w:r w:rsidRPr="000952AC">
        <w:rPr>
          <w:rFonts w:ascii="Verdana" w:hAnsi="Verdana"/>
          <w:spacing w:val="-7"/>
        </w:rPr>
        <w:t xml:space="preserve"> </w:t>
      </w:r>
      <w:r w:rsidRPr="000952AC">
        <w:rPr>
          <w:rFonts w:ascii="Verdana" w:hAnsi="Verdana"/>
        </w:rPr>
        <w:t>en periodo</w:t>
      </w:r>
      <w:r w:rsidRPr="000952AC">
        <w:rPr>
          <w:rFonts w:ascii="Verdana" w:hAnsi="Verdana"/>
          <w:spacing w:val="-10"/>
        </w:rPr>
        <w:t xml:space="preserve"> </w:t>
      </w:r>
      <w:r w:rsidRPr="000952AC">
        <w:rPr>
          <w:rFonts w:ascii="Verdana" w:hAnsi="Verdana"/>
        </w:rPr>
        <w:t>de</w:t>
      </w:r>
      <w:r w:rsidRPr="000952AC">
        <w:rPr>
          <w:rFonts w:ascii="Verdana" w:hAnsi="Verdana"/>
          <w:spacing w:val="-11"/>
        </w:rPr>
        <w:t xml:space="preserve"> </w:t>
      </w:r>
      <w:r w:rsidRPr="000952AC">
        <w:rPr>
          <w:rFonts w:ascii="Verdana" w:hAnsi="Verdana"/>
        </w:rPr>
        <w:t>lactancia</w:t>
      </w:r>
      <w:r>
        <w:rPr>
          <w:rFonts w:ascii="Verdana" w:hAnsi="Verdana"/>
        </w:rPr>
        <w:t>. Esto</w:t>
      </w:r>
      <w:r w:rsidRPr="000952AC">
        <w:rPr>
          <w:rFonts w:ascii="Verdana" w:hAnsi="Verdana"/>
          <w:spacing w:val="-12"/>
        </w:rPr>
        <w:t xml:space="preserve"> </w:t>
      </w:r>
      <w:r w:rsidRPr="000952AC">
        <w:rPr>
          <w:rFonts w:ascii="Verdana" w:hAnsi="Verdana"/>
        </w:rPr>
        <w:t>con</w:t>
      </w:r>
      <w:r w:rsidRPr="000952AC">
        <w:rPr>
          <w:rFonts w:ascii="Verdana" w:hAnsi="Verdana"/>
          <w:spacing w:val="-11"/>
        </w:rPr>
        <w:t xml:space="preserve"> </w:t>
      </w:r>
      <w:r w:rsidRPr="000952AC">
        <w:rPr>
          <w:rFonts w:ascii="Verdana" w:hAnsi="Verdana"/>
        </w:rPr>
        <w:t>el</w:t>
      </w:r>
      <w:r w:rsidRPr="000952AC">
        <w:rPr>
          <w:rFonts w:ascii="Verdana" w:hAnsi="Verdana"/>
          <w:spacing w:val="-11"/>
        </w:rPr>
        <w:t xml:space="preserve"> </w:t>
      </w:r>
      <w:r w:rsidRPr="000952AC">
        <w:rPr>
          <w:rFonts w:ascii="Verdana" w:hAnsi="Verdana"/>
        </w:rPr>
        <w:t>fin</w:t>
      </w:r>
      <w:r w:rsidRPr="000952AC">
        <w:rPr>
          <w:rFonts w:ascii="Verdana" w:hAnsi="Verdana"/>
          <w:spacing w:val="-11"/>
        </w:rPr>
        <w:t xml:space="preserve"> </w:t>
      </w:r>
      <w:r w:rsidRPr="000952AC">
        <w:rPr>
          <w:rFonts w:ascii="Verdana" w:hAnsi="Verdana"/>
        </w:rPr>
        <w:t>de</w:t>
      </w:r>
      <w:r w:rsidRPr="000952AC">
        <w:rPr>
          <w:rFonts w:ascii="Verdana" w:hAnsi="Verdana"/>
          <w:spacing w:val="-11"/>
        </w:rPr>
        <w:t xml:space="preserve"> </w:t>
      </w:r>
      <w:r w:rsidRPr="000952AC">
        <w:rPr>
          <w:rFonts w:ascii="Verdana" w:hAnsi="Verdana"/>
        </w:rPr>
        <w:t>que</w:t>
      </w:r>
      <w:r w:rsidRPr="000952AC">
        <w:rPr>
          <w:rFonts w:ascii="Verdana" w:hAnsi="Verdana"/>
          <w:spacing w:val="-11"/>
        </w:rPr>
        <w:t xml:space="preserve"> </w:t>
      </w:r>
      <w:r w:rsidRPr="000952AC">
        <w:rPr>
          <w:rFonts w:ascii="Verdana" w:hAnsi="Verdana"/>
        </w:rPr>
        <w:t>el</w:t>
      </w:r>
      <w:r w:rsidRPr="000952AC">
        <w:rPr>
          <w:rFonts w:ascii="Verdana" w:hAnsi="Verdana"/>
          <w:spacing w:val="-11"/>
        </w:rPr>
        <w:t xml:space="preserve"> </w:t>
      </w:r>
      <w:r w:rsidRPr="000952AC">
        <w:rPr>
          <w:rFonts w:ascii="Verdana" w:hAnsi="Verdana"/>
        </w:rPr>
        <w:t>proceso</w:t>
      </w:r>
      <w:r w:rsidRPr="000952AC">
        <w:rPr>
          <w:rFonts w:ascii="Verdana" w:hAnsi="Verdana"/>
          <w:spacing w:val="-9"/>
        </w:rPr>
        <w:t xml:space="preserve"> </w:t>
      </w:r>
      <w:r w:rsidRPr="000952AC">
        <w:rPr>
          <w:rFonts w:ascii="Verdana" w:hAnsi="Verdana"/>
        </w:rPr>
        <w:t>de</w:t>
      </w:r>
      <w:r w:rsidRPr="000952AC">
        <w:rPr>
          <w:rFonts w:ascii="Verdana" w:hAnsi="Verdana"/>
          <w:spacing w:val="-11"/>
        </w:rPr>
        <w:t xml:space="preserve"> </w:t>
      </w:r>
      <w:r w:rsidRPr="000952AC">
        <w:rPr>
          <w:rFonts w:ascii="Verdana" w:hAnsi="Verdana"/>
        </w:rPr>
        <w:t>gestación</w:t>
      </w:r>
      <w:r w:rsidRPr="000952AC">
        <w:rPr>
          <w:rFonts w:ascii="Verdana" w:hAnsi="Verdana"/>
          <w:spacing w:val="-8"/>
        </w:rPr>
        <w:t xml:space="preserve"> </w:t>
      </w:r>
      <w:r w:rsidRPr="000952AC">
        <w:rPr>
          <w:rFonts w:ascii="Verdana" w:hAnsi="Verdana"/>
        </w:rPr>
        <w:t>no</w:t>
      </w:r>
      <w:r w:rsidRPr="000952AC">
        <w:rPr>
          <w:rFonts w:ascii="Verdana" w:hAnsi="Verdana"/>
          <w:spacing w:val="-11"/>
        </w:rPr>
        <w:t xml:space="preserve"> </w:t>
      </w:r>
      <w:r w:rsidRPr="000952AC">
        <w:rPr>
          <w:rFonts w:ascii="Verdana" w:hAnsi="Verdana"/>
        </w:rPr>
        <w:t>interfiera</w:t>
      </w:r>
      <w:r w:rsidRPr="000952AC">
        <w:rPr>
          <w:rFonts w:ascii="Verdana" w:hAnsi="Verdana"/>
          <w:spacing w:val="-9"/>
        </w:rPr>
        <w:t xml:space="preserve"> </w:t>
      </w:r>
      <w:r w:rsidRPr="000952AC">
        <w:rPr>
          <w:rFonts w:ascii="Verdana" w:hAnsi="Verdana"/>
        </w:rPr>
        <w:t>en</w:t>
      </w:r>
      <w:r w:rsidRPr="000952AC">
        <w:rPr>
          <w:rFonts w:ascii="Verdana" w:hAnsi="Verdana"/>
          <w:spacing w:val="-11"/>
        </w:rPr>
        <w:t xml:space="preserve"> </w:t>
      </w:r>
      <w:r w:rsidRPr="000952AC">
        <w:rPr>
          <w:rFonts w:ascii="Verdana" w:hAnsi="Verdana"/>
        </w:rPr>
        <w:t xml:space="preserve">la estabilidad </w:t>
      </w:r>
      <w:r>
        <w:rPr>
          <w:rFonts w:ascii="Verdana" w:hAnsi="Verdana"/>
        </w:rPr>
        <w:t>ocupacional</w:t>
      </w:r>
      <w:r w:rsidRPr="000952AC">
        <w:rPr>
          <w:rFonts w:ascii="Verdana" w:hAnsi="Verdana"/>
        </w:rPr>
        <w:t xml:space="preserve"> que, como trabajadora, le asiste. El propósito es que las aspiraciones familiares y profesionales de la mujer no se excluyan y puedan armonizarse, al punto de desarrollar su proyecto de vida y su personalidad en condiciones</w:t>
      </w:r>
      <w:r w:rsidRPr="000952AC">
        <w:rPr>
          <w:rFonts w:ascii="Verdana" w:hAnsi="Verdana"/>
          <w:spacing w:val="-12"/>
        </w:rPr>
        <w:t xml:space="preserve"> </w:t>
      </w:r>
      <w:r w:rsidRPr="000952AC">
        <w:rPr>
          <w:rFonts w:ascii="Verdana" w:hAnsi="Verdana"/>
        </w:rPr>
        <w:t>de</w:t>
      </w:r>
      <w:r w:rsidRPr="000952AC">
        <w:rPr>
          <w:rFonts w:ascii="Verdana" w:hAnsi="Verdana"/>
          <w:spacing w:val="-15"/>
        </w:rPr>
        <w:t xml:space="preserve"> </w:t>
      </w:r>
      <w:r w:rsidRPr="000952AC">
        <w:rPr>
          <w:rFonts w:ascii="Verdana" w:hAnsi="Verdana"/>
        </w:rPr>
        <w:t>dignidad</w:t>
      </w:r>
      <w:r w:rsidRPr="000952AC">
        <w:rPr>
          <w:rFonts w:ascii="Verdana" w:hAnsi="Verdana"/>
          <w:spacing w:val="-14"/>
        </w:rPr>
        <w:t xml:space="preserve"> </w:t>
      </w:r>
      <w:r w:rsidRPr="000952AC">
        <w:rPr>
          <w:rFonts w:ascii="Verdana" w:hAnsi="Verdana"/>
        </w:rPr>
        <w:t>y</w:t>
      </w:r>
      <w:r w:rsidRPr="000952AC">
        <w:rPr>
          <w:rFonts w:ascii="Verdana" w:hAnsi="Verdana"/>
          <w:spacing w:val="-15"/>
        </w:rPr>
        <w:t xml:space="preserve"> </w:t>
      </w:r>
      <w:r w:rsidRPr="000952AC">
        <w:rPr>
          <w:rFonts w:ascii="Verdana" w:hAnsi="Verdana"/>
        </w:rPr>
        <w:t>libertad,</w:t>
      </w:r>
      <w:r w:rsidRPr="000952AC">
        <w:rPr>
          <w:rFonts w:ascii="Verdana" w:hAnsi="Verdana"/>
          <w:spacing w:val="-13"/>
        </w:rPr>
        <w:t xml:space="preserve"> </w:t>
      </w:r>
      <w:r w:rsidRPr="000952AC">
        <w:rPr>
          <w:rFonts w:ascii="Verdana" w:hAnsi="Verdana"/>
        </w:rPr>
        <w:t>pues</w:t>
      </w:r>
      <w:r w:rsidRPr="000952AC">
        <w:rPr>
          <w:rFonts w:ascii="Verdana" w:hAnsi="Verdana"/>
          <w:spacing w:val="-14"/>
        </w:rPr>
        <w:t xml:space="preserve"> </w:t>
      </w:r>
      <w:r w:rsidRPr="000952AC">
        <w:rPr>
          <w:rFonts w:ascii="Verdana" w:hAnsi="Verdana"/>
        </w:rPr>
        <w:t>históricamente</w:t>
      </w:r>
      <w:r w:rsidRPr="000952AC">
        <w:rPr>
          <w:rFonts w:ascii="Verdana" w:hAnsi="Verdana"/>
          <w:spacing w:val="-11"/>
        </w:rPr>
        <w:t xml:space="preserve"> </w:t>
      </w:r>
      <w:r w:rsidRPr="000952AC">
        <w:rPr>
          <w:rFonts w:ascii="Verdana" w:hAnsi="Verdana"/>
        </w:rPr>
        <w:t>el</w:t>
      </w:r>
      <w:r w:rsidRPr="000952AC">
        <w:rPr>
          <w:rFonts w:ascii="Verdana" w:hAnsi="Verdana"/>
          <w:spacing w:val="-15"/>
        </w:rPr>
        <w:t xml:space="preserve"> </w:t>
      </w:r>
      <w:r w:rsidRPr="000952AC">
        <w:rPr>
          <w:rFonts w:ascii="Verdana" w:hAnsi="Verdana"/>
        </w:rPr>
        <w:t>estado</w:t>
      </w:r>
      <w:r w:rsidRPr="000952AC">
        <w:rPr>
          <w:rFonts w:ascii="Verdana" w:hAnsi="Verdana"/>
          <w:spacing w:val="-14"/>
        </w:rPr>
        <w:t xml:space="preserve"> </w:t>
      </w:r>
      <w:r w:rsidRPr="000952AC">
        <w:rPr>
          <w:rFonts w:ascii="Verdana" w:hAnsi="Verdana"/>
        </w:rPr>
        <w:t>de</w:t>
      </w:r>
      <w:r w:rsidRPr="000952AC">
        <w:rPr>
          <w:rFonts w:ascii="Verdana" w:hAnsi="Verdana"/>
          <w:spacing w:val="-15"/>
        </w:rPr>
        <w:t xml:space="preserve"> </w:t>
      </w:r>
      <w:r w:rsidRPr="000952AC">
        <w:rPr>
          <w:rFonts w:ascii="Verdana" w:hAnsi="Verdana"/>
        </w:rPr>
        <w:t>gravidez</w:t>
      </w:r>
      <w:r w:rsidRPr="000952AC">
        <w:rPr>
          <w:rFonts w:ascii="Verdana" w:hAnsi="Verdana"/>
          <w:spacing w:val="-13"/>
        </w:rPr>
        <w:t xml:space="preserve"> </w:t>
      </w:r>
      <w:r w:rsidRPr="000952AC">
        <w:rPr>
          <w:rFonts w:ascii="Verdana" w:hAnsi="Verdana"/>
        </w:rPr>
        <w:t>ha constituido</w:t>
      </w:r>
      <w:r w:rsidRPr="000952AC">
        <w:rPr>
          <w:rFonts w:ascii="Verdana" w:hAnsi="Verdana"/>
          <w:spacing w:val="-14"/>
        </w:rPr>
        <w:t xml:space="preserve"> </w:t>
      </w:r>
      <w:r w:rsidRPr="000952AC">
        <w:rPr>
          <w:rFonts w:ascii="Verdana" w:hAnsi="Verdana"/>
        </w:rPr>
        <w:t>un</w:t>
      </w:r>
      <w:r w:rsidRPr="000952AC">
        <w:rPr>
          <w:rFonts w:ascii="Verdana" w:hAnsi="Verdana"/>
          <w:spacing w:val="-17"/>
        </w:rPr>
        <w:t xml:space="preserve"> </w:t>
      </w:r>
      <w:r w:rsidRPr="000952AC">
        <w:rPr>
          <w:rFonts w:ascii="Verdana" w:hAnsi="Verdana"/>
        </w:rPr>
        <w:t>motivo</w:t>
      </w:r>
      <w:r w:rsidRPr="000952AC">
        <w:rPr>
          <w:rFonts w:ascii="Verdana" w:hAnsi="Verdana"/>
          <w:spacing w:val="-16"/>
        </w:rPr>
        <w:t xml:space="preserve"> </w:t>
      </w:r>
      <w:r w:rsidRPr="000952AC">
        <w:rPr>
          <w:rFonts w:ascii="Verdana" w:hAnsi="Verdana"/>
        </w:rPr>
        <w:t>de</w:t>
      </w:r>
      <w:r w:rsidRPr="000952AC">
        <w:rPr>
          <w:rFonts w:ascii="Verdana" w:hAnsi="Verdana"/>
          <w:spacing w:val="-18"/>
        </w:rPr>
        <w:t xml:space="preserve"> </w:t>
      </w:r>
      <w:r w:rsidRPr="000952AC">
        <w:rPr>
          <w:rFonts w:ascii="Verdana" w:hAnsi="Verdana"/>
        </w:rPr>
        <w:t>exclusión</w:t>
      </w:r>
      <w:r w:rsidRPr="000952AC">
        <w:rPr>
          <w:rFonts w:ascii="Verdana" w:hAnsi="Verdana"/>
          <w:spacing w:val="-15"/>
        </w:rPr>
        <w:t xml:space="preserve"> </w:t>
      </w:r>
      <w:r w:rsidRPr="000952AC">
        <w:rPr>
          <w:rFonts w:ascii="Verdana" w:hAnsi="Verdana"/>
        </w:rPr>
        <w:t>de</w:t>
      </w:r>
      <w:r w:rsidRPr="000952AC">
        <w:rPr>
          <w:rFonts w:ascii="Verdana" w:hAnsi="Verdana"/>
          <w:spacing w:val="-18"/>
        </w:rPr>
        <w:t xml:space="preserve"> </w:t>
      </w:r>
      <w:r w:rsidRPr="000952AC">
        <w:rPr>
          <w:rFonts w:ascii="Verdana" w:hAnsi="Verdana"/>
        </w:rPr>
        <w:t>la</w:t>
      </w:r>
      <w:r w:rsidRPr="000952AC">
        <w:rPr>
          <w:rFonts w:ascii="Verdana" w:hAnsi="Verdana"/>
          <w:spacing w:val="-18"/>
        </w:rPr>
        <w:t xml:space="preserve"> </w:t>
      </w:r>
      <w:r w:rsidRPr="000952AC">
        <w:rPr>
          <w:rFonts w:ascii="Verdana" w:hAnsi="Verdana"/>
        </w:rPr>
        <w:t>mujer</w:t>
      </w:r>
      <w:r w:rsidRPr="000952AC">
        <w:rPr>
          <w:rFonts w:ascii="Verdana" w:hAnsi="Verdana"/>
          <w:spacing w:val="-16"/>
        </w:rPr>
        <w:t xml:space="preserve"> </w:t>
      </w:r>
      <w:r w:rsidRPr="000952AC">
        <w:rPr>
          <w:rFonts w:ascii="Verdana" w:hAnsi="Verdana"/>
        </w:rPr>
        <w:t>en</w:t>
      </w:r>
      <w:r w:rsidRPr="000952AC">
        <w:rPr>
          <w:rFonts w:ascii="Verdana" w:hAnsi="Verdana"/>
          <w:spacing w:val="-17"/>
        </w:rPr>
        <w:t xml:space="preserve"> </w:t>
      </w:r>
      <w:r w:rsidRPr="000952AC">
        <w:rPr>
          <w:rFonts w:ascii="Verdana" w:hAnsi="Verdana"/>
        </w:rPr>
        <w:t>el</w:t>
      </w:r>
      <w:r w:rsidRPr="000952AC">
        <w:rPr>
          <w:rFonts w:ascii="Verdana" w:hAnsi="Verdana"/>
          <w:spacing w:val="-18"/>
        </w:rPr>
        <w:t xml:space="preserve"> </w:t>
      </w:r>
      <w:r w:rsidRPr="000952AC">
        <w:rPr>
          <w:rFonts w:ascii="Verdana" w:hAnsi="Verdana"/>
        </w:rPr>
        <w:t>trabajo,</w:t>
      </w:r>
      <w:r w:rsidRPr="000952AC">
        <w:rPr>
          <w:rFonts w:ascii="Verdana" w:hAnsi="Verdana"/>
          <w:spacing w:val="-16"/>
        </w:rPr>
        <w:t xml:space="preserve"> </w:t>
      </w:r>
      <w:r w:rsidRPr="000952AC">
        <w:rPr>
          <w:rFonts w:ascii="Verdana" w:hAnsi="Verdana"/>
        </w:rPr>
        <w:t>en</w:t>
      </w:r>
      <w:r w:rsidRPr="000952AC">
        <w:rPr>
          <w:rFonts w:ascii="Verdana" w:hAnsi="Verdana"/>
          <w:spacing w:val="-17"/>
        </w:rPr>
        <w:t xml:space="preserve"> </w:t>
      </w:r>
      <w:r w:rsidRPr="000952AC">
        <w:rPr>
          <w:rFonts w:ascii="Verdana" w:hAnsi="Verdana"/>
        </w:rPr>
        <w:t>el</w:t>
      </w:r>
      <w:r w:rsidRPr="000952AC">
        <w:rPr>
          <w:rFonts w:ascii="Verdana" w:hAnsi="Verdana"/>
          <w:spacing w:val="-18"/>
        </w:rPr>
        <w:t xml:space="preserve"> </w:t>
      </w:r>
      <w:r w:rsidRPr="000952AC">
        <w:rPr>
          <w:rFonts w:ascii="Verdana" w:hAnsi="Verdana"/>
        </w:rPr>
        <w:t>que</w:t>
      </w:r>
      <w:r w:rsidRPr="000952AC">
        <w:rPr>
          <w:rFonts w:ascii="Verdana" w:hAnsi="Verdana"/>
          <w:spacing w:val="-17"/>
        </w:rPr>
        <w:t xml:space="preserve"> </w:t>
      </w:r>
      <w:r w:rsidRPr="000952AC">
        <w:rPr>
          <w:rFonts w:ascii="Verdana" w:hAnsi="Verdana"/>
        </w:rPr>
        <w:t>es</w:t>
      </w:r>
      <w:r w:rsidRPr="000952AC">
        <w:rPr>
          <w:rFonts w:ascii="Verdana" w:hAnsi="Verdana"/>
          <w:spacing w:val="-17"/>
        </w:rPr>
        <w:t xml:space="preserve"> </w:t>
      </w:r>
      <w:r w:rsidRPr="000952AC">
        <w:rPr>
          <w:rFonts w:ascii="Verdana" w:hAnsi="Verdana"/>
        </w:rPr>
        <w:t xml:space="preserve">preciso “impedir la discriminación constituida por el despido, la </w:t>
      </w:r>
      <w:r w:rsidRPr="000952AC">
        <w:rPr>
          <w:rFonts w:ascii="Verdana" w:hAnsi="Verdana"/>
        </w:rPr>
        <w:lastRenderedPageBreak/>
        <w:t>terminación o la no renovación del contrato por causa o con ocasión del embarazo o la lactancia</w:t>
      </w:r>
      <w:r w:rsidRPr="000952AC">
        <w:rPr>
          <w:rFonts w:ascii="Verdana" w:hAnsi="Verdana"/>
          <w:spacing w:val="-52"/>
        </w:rPr>
        <w:t xml:space="preserve"> </w:t>
      </w:r>
      <w:r w:rsidRPr="000952AC">
        <w:rPr>
          <w:rFonts w:ascii="Verdana" w:hAnsi="Verdana"/>
        </w:rPr>
        <w:t>”</w:t>
      </w:r>
      <w:r w:rsidRPr="000952AC">
        <w:rPr>
          <w:rStyle w:val="Refdenotaalpie"/>
          <w:rFonts w:ascii="Verdana" w:hAnsi="Verdana"/>
        </w:rPr>
        <w:footnoteReference w:id="1"/>
      </w:r>
      <w:r w:rsidRPr="000952AC">
        <w:rPr>
          <w:rFonts w:ascii="Verdana" w:hAnsi="Verdana"/>
        </w:rPr>
        <w:t>.</w:t>
      </w:r>
    </w:p>
    <w:p w14:paraId="78D0C16D" w14:textId="77777777" w:rsidR="004D54CC" w:rsidRDefault="004D54CC" w:rsidP="004D54CC">
      <w:pPr>
        <w:spacing w:after="120"/>
        <w:ind w:firstLine="709"/>
        <w:jc w:val="both"/>
        <w:rPr>
          <w:rFonts w:ascii="Verdana" w:hAnsi="Verdana"/>
        </w:rPr>
      </w:pPr>
      <w:r w:rsidRPr="000952AC">
        <w:rPr>
          <w:rFonts w:ascii="Verdana" w:hAnsi="Verdana"/>
        </w:rPr>
        <w:t>La Corte Constitucional profirió la sentencia de unificación SU-075 de 2018, en la cual recoge, entre otras, las sentencias T-350 del 2016, T-030 de 2018. En esta providencia, el Alto Tribunal estableció unos criterios con el fin de impedir la discriminación que puede presentarse frente a una mujer en estado de embarazo</w:t>
      </w:r>
      <w:r>
        <w:rPr>
          <w:rFonts w:ascii="Verdana" w:hAnsi="Verdana"/>
        </w:rPr>
        <w:t>, en periodo de licencia de maternidad</w:t>
      </w:r>
      <w:r w:rsidRPr="000952AC">
        <w:rPr>
          <w:rFonts w:ascii="Verdana" w:hAnsi="Verdana"/>
        </w:rPr>
        <w:t xml:space="preserve"> o</w:t>
      </w:r>
      <w:r>
        <w:rPr>
          <w:rFonts w:ascii="Verdana" w:hAnsi="Verdana"/>
        </w:rPr>
        <w:t xml:space="preserve"> de</w:t>
      </w:r>
      <w:r w:rsidRPr="000952AC">
        <w:rPr>
          <w:rFonts w:ascii="Verdana" w:hAnsi="Verdana"/>
        </w:rPr>
        <w:t xml:space="preserv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r w:rsidRPr="000952AC">
        <w:rPr>
          <w:rStyle w:val="Refdenotaalpie"/>
          <w:rFonts w:ascii="Verdana" w:hAnsi="Verdana"/>
        </w:rPr>
        <w:footnoteReference w:id="2"/>
      </w:r>
      <w:r w:rsidRPr="000952AC">
        <w:rPr>
          <w:rFonts w:ascii="Verdana" w:hAnsi="Verdana"/>
        </w:rPr>
        <w:t>.</w:t>
      </w:r>
    </w:p>
    <w:p w14:paraId="7B997BA3" w14:textId="77777777" w:rsidR="004D54CC" w:rsidRDefault="004D54CC" w:rsidP="004D54CC">
      <w:pPr>
        <w:pStyle w:val="Textoindependiente"/>
        <w:spacing w:after="0"/>
        <w:ind w:right="49" w:firstLine="709"/>
        <w:jc w:val="both"/>
        <w:rPr>
          <w:rFonts w:ascii="Verdana" w:hAnsi="Verdana"/>
        </w:rPr>
      </w:pPr>
      <w:r w:rsidRPr="0042267D">
        <w:rPr>
          <w:rFonts w:ascii="Verdana" w:hAnsi="Verdana"/>
        </w:rPr>
        <w:t>La sentencia de unificación citada determina el tratamiento que deberían darles las entidades a sus trabajadoras o contratistas cuando se encuentren en estado de embarazo o lactancia, estableciendo su procedencia en los siguientes términos:</w:t>
      </w:r>
    </w:p>
    <w:p w14:paraId="4A2924F5" w14:textId="77777777" w:rsidR="004D54CC" w:rsidRPr="0042267D" w:rsidRDefault="004D54CC" w:rsidP="004D54CC">
      <w:pPr>
        <w:pStyle w:val="Textoindependiente"/>
        <w:spacing w:after="0"/>
        <w:ind w:right="49" w:firstLine="709"/>
        <w:jc w:val="both"/>
        <w:rPr>
          <w:rFonts w:ascii="Verdana" w:eastAsia="Calibri" w:hAnsi="Verdana" w:cs="Arial"/>
        </w:rPr>
      </w:pPr>
    </w:p>
    <w:p w14:paraId="277BB7E0" w14:textId="77777777" w:rsidR="004D54CC" w:rsidRDefault="004D54CC" w:rsidP="004D54CC">
      <w:pPr>
        <w:spacing w:after="0" w:line="240" w:lineRule="auto"/>
        <w:ind w:left="709" w:right="709"/>
        <w:jc w:val="both"/>
        <w:rPr>
          <w:rFonts w:ascii="Verdana" w:hAnsi="Verdana"/>
          <w:sz w:val="20"/>
          <w:szCs w:val="20"/>
        </w:rPr>
      </w:pPr>
      <w:r w:rsidRPr="0042267D">
        <w:rPr>
          <w:rFonts w:ascii="Verdana" w:hAnsi="Verdana"/>
          <w:sz w:val="20"/>
          <w:szCs w:val="20"/>
        </w:rPr>
        <w:t>“La protección reforzada a la maternidad y la lactancia en el ámbito del trabajo</w:t>
      </w:r>
      <w:r w:rsidRPr="0042267D">
        <w:rPr>
          <w:rFonts w:ascii="Verdana" w:hAnsi="Verdana"/>
          <w:spacing w:val="-1"/>
          <w:sz w:val="20"/>
          <w:szCs w:val="20"/>
        </w:rPr>
        <w:t xml:space="preserve"> </w:t>
      </w:r>
      <w:r w:rsidRPr="0042267D">
        <w:rPr>
          <w:rFonts w:ascii="Verdana" w:hAnsi="Verdana"/>
          <w:sz w:val="20"/>
          <w:szCs w:val="20"/>
        </w:rPr>
        <w:t>procede cuando se demuestre, sin ninguna otra exigencia adicional, lo siguiente:</w:t>
      </w:r>
    </w:p>
    <w:p w14:paraId="5049E34B" w14:textId="77777777" w:rsidR="004D54CC" w:rsidRPr="0042267D" w:rsidRDefault="004D54CC" w:rsidP="004D54CC">
      <w:pPr>
        <w:spacing w:after="0" w:line="240" w:lineRule="auto"/>
        <w:ind w:left="709" w:right="709"/>
        <w:jc w:val="both"/>
        <w:rPr>
          <w:rFonts w:ascii="Verdana" w:hAnsi="Verdana"/>
          <w:sz w:val="20"/>
          <w:szCs w:val="20"/>
        </w:rPr>
      </w:pPr>
    </w:p>
    <w:p w14:paraId="3DA182B2" w14:textId="77777777" w:rsidR="004D54CC" w:rsidRPr="00255BF3" w:rsidRDefault="004D54CC" w:rsidP="004D54CC">
      <w:pPr>
        <w:pStyle w:val="Prrafodelista"/>
        <w:widowControl w:val="0"/>
        <w:numPr>
          <w:ilvl w:val="1"/>
          <w:numId w:val="6"/>
        </w:numPr>
        <w:tabs>
          <w:tab w:val="left" w:pos="1339"/>
        </w:tabs>
        <w:autoSpaceDE w:val="0"/>
        <w:autoSpaceDN w:val="0"/>
        <w:spacing w:after="0" w:line="240" w:lineRule="auto"/>
        <w:ind w:right="709"/>
        <w:jc w:val="both"/>
        <w:rPr>
          <w:rFonts w:ascii="Verdana" w:hAnsi="Verdana"/>
          <w:sz w:val="20"/>
          <w:szCs w:val="20"/>
        </w:rPr>
      </w:pPr>
      <w:r w:rsidRPr="00255BF3">
        <w:rPr>
          <w:rFonts w:ascii="Verdana" w:hAnsi="Verdana"/>
          <w:sz w:val="20"/>
          <w:szCs w:val="20"/>
        </w:rPr>
        <w:t>La</w:t>
      </w:r>
      <w:r w:rsidRPr="00255BF3">
        <w:rPr>
          <w:rFonts w:ascii="Verdana" w:hAnsi="Verdana"/>
          <w:spacing w:val="-11"/>
          <w:sz w:val="20"/>
          <w:szCs w:val="20"/>
        </w:rPr>
        <w:t xml:space="preserve"> </w:t>
      </w:r>
      <w:r w:rsidRPr="00255BF3">
        <w:rPr>
          <w:rFonts w:ascii="Verdana" w:hAnsi="Verdana"/>
          <w:sz w:val="20"/>
          <w:szCs w:val="20"/>
        </w:rPr>
        <w:t>existencia</w:t>
      </w:r>
      <w:r w:rsidRPr="00255BF3">
        <w:rPr>
          <w:rFonts w:ascii="Verdana" w:hAnsi="Verdana"/>
          <w:spacing w:val="-10"/>
          <w:sz w:val="20"/>
          <w:szCs w:val="20"/>
        </w:rPr>
        <w:t xml:space="preserve"> </w:t>
      </w:r>
      <w:r w:rsidRPr="00255BF3">
        <w:rPr>
          <w:rFonts w:ascii="Verdana" w:hAnsi="Verdana"/>
          <w:sz w:val="20"/>
          <w:szCs w:val="20"/>
        </w:rPr>
        <w:t>de</w:t>
      </w:r>
      <w:r w:rsidRPr="00255BF3">
        <w:rPr>
          <w:rFonts w:ascii="Verdana" w:hAnsi="Verdana"/>
          <w:spacing w:val="-6"/>
          <w:sz w:val="20"/>
          <w:szCs w:val="20"/>
        </w:rPr>
        <w:t xml:space="preserve"> </w:t>
      </w:r>
      <w:r w:rsidRPr="00255BF3">
        <w:rPr>
          <w:rFonts w:ascii="Verdana" w:hAnsi="Verdana"/>
          <w:sz w:val="20"/>
          <w:szCs w:val="20"/>
        </w:rPr>
        <w:t>una</w:t>
      </w:r>
      <w:r w:rsidRPr="00255BF3">
        <w:rPr>
          <w:rFonts w:ascii="Verdana" w:hAnsi="Verdana"/>
          <w:spacing w:val="-10"/>
          <w:sz w:val="20"/>
          <w:szCs w:val="20"/>
        </w:rPr>
        <w:t xml:space="preserve"> </w:t>
      </w:r>
      <w:r w:rsidRPr="00255BF3">
        <w:rPr>
          <w:rFonts w:ascii="Verdana" w:hAnsi="Verdana"/>
          <w:sz w:val="20"/>
          <w:szCs w:val="20"/>
        </w:rPr>
        <w:t>relación</w:t>
      </w:r>
      <w:r w:rsidRPr="00255BF3">
        <w:rPr>
          <w:rFonts w:ascii="Verdana" w:hAnsi="Verdana"/>
          <w:spacing w:val="-10"/>
          <w:sz w:val="20"/>
          <w:szCs w:val="20"/>
        </w:rPr>
        <w:t xml:space="preserve"> </w:t>
      </w:r>
      <w:r w:rsidRPr="00255BF3">
        <w:rPr>
          <w:rFonts w:ascii="Verdana" w:hAnsi="Verdana"/>
          <w:sz w:val="20"/>
          <w:szCs w:val="20"/>
        </w:rPr>
        <w:t>laboral</w:t>
      </w:r>
      <w:r w:rsidRPr="00255BF3">
        <w:rPr>
          <w:rFonts w:ascii="Verdana" w:hAnsi="Verdana"/>
          <w:spacing w:val="-10"/>
          <w:sz w:val="20"/>
          <w:szCs w:val="20"/>
        </w:rPr>
        <w:t xml:space="preserve"> </w:t>
      </w:r>
      <w:r w:rsidRPr="00255BF3">
        <w:rPr>
          <w:rFonts w:ascii="Verdana" w:hAnsi="Verdana"/>
          <w:sz w:val="20"/>
          <w:szCs w:val="20"/>
        </w:rPr>
        <w:t>o</w:t>
      </w:r>
      <w:r w:rsidRPr="00255BF3">
        <w:rPr>
          <w:rFonts w:ascii="Verdana" w:hAnsi="Verdana"/>
          <w:spacing w:val="-11"/>
          <w:sz w:val="20"/>
          <w:szCs w:val="20"/>
        </w:rPr>
        <w:t xml:space="preserve"> </w:t>
      </w:r>
      <w:r w:rsidRPr="00255BF3">
        <w:rPr>
          <w:rFonts w:ascii="Verdana" w:hAnsi="Verdana"/>
          <w:sz w:val="20"/>
          <w:szCs w:val="20"/>
        </w:rPr>
        <w:t>de</w:t>
      </w:r>
      <w:r w:rsidRPr="00255BF3">
        <w:rPr>
          <w:rFonts w:ascii="Verdana" w:hAnsi="Verdana"/>
          <w:spacing w:val="-10"/>
          <w:sz w:val="20"/>
          <w:szCs w:val="20"/>
        </w:rPr>
        <w:t xml:space="preserve"> </w:t>
      </w:r>
      <w:r w:rsidRPr="00255BF3">
        <w:rPr>
          <w:rFonts w:ascii="Verdana" w:hAnsi="Verdana"/>
          <w:sz w:val="20"/>
          <w:szCs w:val="20"/>
        </w:rPr>
        <w:t>prestación</w:t>
      </w:r>
      <w:r w:rsidRPr="00255BF3">
        <w:rPr>
          <w:rFonts w:ascii="Verdana" w:hAnsi="Verdana"/>
          <w:spacing w:val="-10"/>
          <w:sz w:val="20"/>
          <w:szCs w:val="20"/>
        </w:rPr>
        <w:t xml:space="preserve"> </w:t>
      </w:r>
      <w:r w:rsidRPr="00255BF3">
        <w:rPr>
          <w:rFonts w:ascii="Verdana" w:hAnsi="Verdana"/>
          <w:sz w:val="20"/>
          <w:szCs w:val="20"/>
        </w:rPr>
        <w:t>de</w:t>
      </w:r>
      <w:r w:rsidRPr="00255BF3">
        <w:rPr>
          <w:rFonts w:ascii="Verdana" w:hAnsi="Verdana"/>
          <w:spacing w:val="-10"/>
          <w:sz w:val="20"/>
          <w:szCs w:val="20"/>
        </w:rPr>
        <w:t xml:space="preserve"> </w:t>
      </w:r>
      <w:r w:rsidRPr="00255BF3">
        <w:rPr>
          <w:rFonts w:ascii="Verdana" w:hAnsi="Verdana"/>
          <w:sz w:val="20"/>
          <w:szCs w:val="20"/>
        </w:rPr>
        <w:t>servicios</w:t>
      </w:r>
      <w:r w:rsidRPr="00255BF3">
        <w:rPr>
          <w:rFonts w:ascii="Verdana" w:hAnsi="Verdana"/>
          <w:spacing w:val="-11"/>
          <w:sz w:val="20"/>
          <w:szCs w:val="20"/>
        </w:rPr>
        <w:t xml:space="preserve"> </w:t>
      </w:r>
      <w:r w:rsidRPr="00255BF3">
        <w:rPr>
          <w:rFonts w:ascii="Verdana" w:hAnsi="Verdana"/>
          <w:spacing w:val="-5"/>
          <w:sz w:val="20"/>
          <w:szCs w:val="20"/>
        </w:rPr>
        <w:t>y;</w:t>
      </w:r>
    </w:p>
    <w:p w14:paraId="781FC752" w14:textId="77777777" w:rsidR="004D54CC" w:rsidRDefault="004D54CC" w:rsidP="004D54CC">
      <w:pPr>
        <w:pStyle w:val="Prrafodelista"/>
        <w:widowControl w:val="0"/>
        <w:numPr>
          <w:ilvl w:val="1"/>
          <w:numId w:val="6"/>
        </w:numPr>
        <w:tabs>
          <w:tab w:val="left" w:pos="1339"/>
        </w:tabs>
        <w:autoSpaceDE w:val="0"/>
        <w:autoSpaceDN w:val="0"/>
        <w:spacing w:after="0" w:line="240" w:lineRule="auto"/>
        <w:ind w:right="709"/>
        <w:jc w:val="both"/>
        <w:rPr>
          <w:rFonts w:ascii="Verdana" w:hAnsi="Verdana"/>
          <w:sz w:val="20"/>
          <w:szCs w:val="20"/>
        </w:rPr>
      </w:pPr>
      <w:r w:rsidRPr="00255BF3">
        <w:rPr>
          <w:rFonts w:ascii="Verdana" w:hAnsi="Verdana"/>
          <w:sz w:val="20"/>
          <w:szCs w:val="20"/>
        </w:rPr>
        <w:t>Que la mujer se encuentra en estado de embarazo o dentro de los tres meses siguientes al parto, en vigencia de dicha relación laboral o de prestación.</w:t>
      </w:r>
    </w:p>
    <w:p w14:paraId="762E7AC3" w14:textId="77777777" w:rsidR="004D54CC" w:rsidRPr="00255BF3" w:rsidRDefault="004D54CC" w:rsidP="004D54CC">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70289348" w14:textId="77777777" w:rsidR="004D54CC" w:rsidRDefault="004D54CC" w:rsidP="004D54CC">
      <w:pPr>
        <w:pStyle w:val="Prrafodelista"/>
        <w:widowControl w:val="0"/>
        <w:tabs>
          <w:tab w:val="left" w:pos="1339"/>
        </w:tabs>
        <w:autoSpaceDE w:val="0"/>
        <w:autoSpaceDN w:val="0"/>
        <w:spacing w:after="0" w:line="240" w:lineRule="auto"/>
        <w:ind w:left="709" w:right="709"/>
        <w:jc w:val="both"/>
        <w:rPr>
          <w:rFonts w:ascii="Verdana" w:hAnsi="Verdana"/>
          <w:sz w:val="20"/>
          <w:szCs w:val="20"/>
        </w:rPr>
      </w:pPr>
      <w:r w:rsidRPr="0042267D">
        <w:rPr>
          <w:rFonts w:ascii="Verdana" w:hAnsi="Verdana"/>
          <w:sz w:val="20"/>
          <w:szCs w:val="20"/>
        </w:rPr>
        <w:t>No obstante, el alcance de la protección se debe determinar a partir de dos factores</w:t>
      </w:r>
      <w:r>
        <w:rPr>
          <w:rFonts w:ascii="Verdana" w:hAnsi="Verdana"/>
          <w:sz w:val="20"/>
          <w:szCs w:val="20"/>
        </w:rPr>
        <w:t>:</w:t>
      </w:r>
    </w:p>
    <w:p w14:paraId="5FA72884" w14:textId="77777777" w:rsidR="004D54CC" w:rsidRPr="0042267D" w:rsidRDefault="004D54CC" w:rsidP="004D54CC">
      <w:pPr>
        <w:pStyle w:val="Prrafodelista"/>
        <w:widowControl w:val="0"/>
        <w:tabs>
          <w:tab w:val="left" w:pos="1339"/>
        </w:tabs>
        <w:autoSpaceDE w:val="0"/>
        <w:autoSpaceDN w:val="0"/>
        <w:spacing w:after="0" w:line="240" w:lineRule="auto"/>
        <w:ind w:left="709" w:right="709"/>
        <w:jc w:val="both"/>
        <w:rPr>
          <w:rFonts w:ascii="Verdana" w:hAnsi="Verdana"/>
          <w:sz w:val="20"/>
          <w:szCs w:val="20"/>
        </w:rPr>
      </w:pPr>
    </w:p>
    <w:p w14:paraId="2ACA376E" w14:textId="77777777" w:rsidR="004D54CC" w:rsidRPr="009A1BE2" w:rsidRDefault="004D54CC" w:rsidP="004D54CC">
      <w:pPr>
        <w:spacing w:after="0" w:line="240" w:lineRule="auto"/>
        <w:ind w:left="709" w:right="709"/>
        <w:jc w:val="both"/>
        <w:rPr>
          <w:rFonts w:ascii="Verdana" w:hAnsi="Verdana"/>
          <w:sz w:val="20"/>
          <w:szCs w:val="20"/>
        </w:rPr>
      </w:pPr>
      <w:r w:rsidRPr="009A1BE2">
        <w:rPr>
          <w:rFonts w:ascii="Verdana" w:hAnsi="Verdana"/>
          <w:sz w:val="20"/>
          <w:szCs w:val="20"/>
        </w:rPr>
        <w:t>a) El conocimiento del embarazo por parte del empleador; y</w:t>
      </w:r>
    </w:p>
    <w:p w14:paraId="2ABD4AE2" w14:textId="77777777" w:rsidR="004D54CC" w:rsidRPr="0042267D" w:rsidRDefault="004D54CC" w:rsidP="004D54CC">
      <w:pPr>
        <w:spacing w:after="0" w:line="240" w:lineRule="auto"/>
        <w:ind w:left="709" w:right="709"/>
        <w:jc w:val="both"/>
        <w:rPr>
          <w:rFonts w:ascii="Verdana" w:hAnsi="Verdana"/>
          <w:sz w:val="20"/>
          <w:szCs w:val="20"/>
        </w:rPr>
      </w:pPr>
      <w:r>
        <w:rPr>
          <w:rFonts w:ascii="Verdana" w:hAnsi="Verdana"/>
          <w:sz w:val="20"/>
          <w:szCs w:val="20"/>
        </w:rPr>
        <w:t xml:space="preserve">b) </w:t>
      </w:r>
      <w:r w:rsidRPr="0042267D">
        <w:rPr>
          <w:rFonts w:ascii="Verdana" w:hAnsi="Verdana"/>
          <w:sz w:val="20"/>
          <w:szCs w:val="20"/>
        </w:rPr>
        <w:t>La alternativa laboral mediante la cual se encontraba vinculada la mujer embarazada”.</w:t>
      </w:r>
    </w:p>
    <w:p w14:paraId="3AEE845D" w14:textId="77777777" w:rsidR="004D54CC" w:rsidRPr="0042267D" w:rsidRDefault="004D54CC" w:rsidP="004D54CC">
      <w:pPr>
        <w:pStyle w:val="Prrafodelista"/>
        <w:widowControl w:val="0"/>
        <w:tabs>
          <w:tab w:val="left" w:pos="1339"/>
        </w:tabs>
        <w:autoSpaceDE w:val="0"/>
        <w:autoSpaceDN w:val="0"/>
        <w:spacing w:after="0" w:line="276" w:lineRule="auto"/>
        <w:ind w:left="709" w:right="618"/>
        <w:rPr>
          <w:rFonts w:ascii="Verdana" w:hAnsi="Verdana"/>
        </w:rPr>
      </w:pPr>
    </w:p>
    <w:p w14:paraId="6B58A977" w14:textId="77777777" w:rsidR="004D54CC" w:rsidRDefault="004D54CC" w:rsidP="004D54CC">
      <w:pPr>
        <w:pStyle w:val="Textoindependiente"/>
        <w:spacing w:after="0"/>
        <w:ind w:right="49" w:firstLine="709"/>
        <w:jc w:val="both"/>
        <w:rPr>
          <w:rFonts w:ascii="Verdana" w:hAnsi="Verdana"/>
        </w:rPr>
      </w:pPr>
      <w:r w:rsidRPr="0042267D">
        <w:rPr>
          <w:rFonts w:ascii="Verdana" w:hAnsi="Verdana"/>
        </w:rPr>
        <w:t xml:space="preserve">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w:t>
      </w:r>
      <w:r w:rsidRPr="0042267D">
        <w:rPr>
          <w:rFonts w:ascii="Verdana" w:hAnsi="Verdana"/>
        </w:rPr>
        <w:lastRenderedPageBreak/>
        <w:t>en periodo de lactancia. Para el caso concreto de los contratos de prestación de servicios, la sentencia en mención determina:</w:t>
      </w:r>
    </w:p>
    <w:p w14:paraId="436A3796" w14:textId="77777777" w:rsidR="004D54CC" w:rsidRPr="0042267D" w:rsidRDefault="004D54CC" w:rsidP="004D54CC">
      <w:pPr>
        <w:pStyle w:val="Textoindependiente"/>
        <w:spacing w:after="0"/>
        <w:ind w:right="49" w:firstLine="709"/>
        <w:jc w:val="both"/>
        <w:rPr>
          <w:rFonts w:ascii="Verdana" w:hAnsi="Verdana"/>
          <w:sz w:val="20"/>
        </w:rPr>
      </w:pPr>
    </w:p>
    <w:p w14:paraId="5CE34AFC" w14:textId="77777777" w:rsidR="004D54CC" w:rsidRPr="0042267D" w:rsidRDefault="004D54CC" w:rsidP="004D54CC">
      <w:pPr>
        <w:spacing w:after="0" w:line="240" w:lineRule="auto"/>
        <w:ind w:left="709" w:right="709"/>
        <w:jc w:val="both"/>
        <w:rPr>
          <w:rFonts w:ascii="Verdana" w:hAnsi="Verdana"/>
          <w:sz w:val="20"/>
          <w:szCs w:val="20"/>
        </w:rPr>
      </w:pPr>
      <w:r w:rsidRPr="0042267D">
        <w:rPr>
          <w:rFonts w:ascii="Verdana" w:hAnsi="Verdana"/>
          <w:sz w:val="20"/>
          <w:szCs w:val="20"/>
        </w:rPr>
        <w:t>“[…]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p>
    <w:p w14:paraId="16C0890E" w14:textId="77777777" w:rsidR="004D54CC" w:rsidRPr="0042267D" w:rsidRDefault="004D54CC" w:rsidP="004D54CC">
      <w:pPr>
        <w:spacing w:after="0" w:line="240" w:lineRule="auto"/>
        <w:ind w:left="709" w:right="709"/>
        <w:jc w:val="both"/>
        <w:rPr>
          <w:rFonts w:ascii="Verdana" w:hAnsi="Verdana"/>
          <w:sz w:val="20"/>
          <w:szCs w:val="20"/>
        </w:rPr>
      </w:pPr>
    </w:p>
    <w:p w14:paraId="735699F3" w14:textId="77777777" w:rsidR="004D54CC" w:rsidRPr="0042267D" w:rsidRDefault="004D54CC" w:rsidP="004D54CC">
      <w:pPr>
        <w:pStyle w:val="Textoindependiente"/>
        <w:ind w:firstLine="709"/>
        <w:jc w:val="both"/>
        <w:rPr>
          <w:rFonts w:ascii="Verdana" w:hAnsi="Verdana"/>
        </w:rPr>
      </w:pPr>
      <w:r w:rsidRPr="0042267D">
        <w:rPr>
          <w:rFonts w:ascii="Verdana" w:hAnsi="Verdana"/>
        </w:rPr>
        <w:t>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5C5D0480" w14:textId="77777777" w:rsidR="004D54CC" w:rsidRPr="0042267D" w:rsidRDefault="004D54CC" w:rsidP="004D54CC">
      <w:pPr>
        <w:pStyle w:val="Textoindependiente"/>
        <w:ind w:firstLine="709"/>
        <w:jc w:val="both"/>
        <w:rPr>
          <w:rFonts w:ascii="Verdana" w:hAnsi="Verdana"/>
        </w:rPr>
      </w:pPr>
      <w:r w:rsidRPr="0042267D">
        <w:rPr>
          <w:rFonts w:ascii="Verdana" w:hAnsi="Verdana"/>
        </w:rPr>
        <w:t>Asimismo, se resalta que el Alto Tribunal Constitucional, en la sentencia T-743 de 2017</w:t>
      </w:r>
      <w:r w:rsidRPr="0042267D">
        <w:rPr>
          <w:rStyle w:val="Refdenotaalpie"/>
          <w:rFonts w:ascii="Verdana" w:hAnsi="Verdana"/>
        </w:rPr>
        <w:footnoteReference w:id="3"/>
      </w:r>
      <w:r w:rsidRPr="0042267D">
        <w:rPr>
          <w:rFonts w:ascii="Verdana" w:hAnsi="Verdana"/>
        </w:rPr>
        <w:t>, reiteró que la protección a la mujer en estado de embarazo, en licencia de maternidad y en periodo de lactancia está sustentada en cuatro presupuestos de origen constitucional: i) el deber de protección especial a la mujer gestante, ii) la contención de prácticas discriminatorias en el escenario laboral contra la mujer con ocasión del estado de embarazo, iii) la protección a la vida y a la mujer como su gestora y iv) la relevancia de la familia en el ordenamiento social colombiano.</w:t>
      </w:r>
    </w:p>
    <w:p w14:paraId="77827AD6" w14:textId="77777777" w:rsidR="004D54CC" w:rsidRDefault="004D54CC" w:rsidP="004D54CC">
      <w:pPr>
        <w:pStyle w:val="Textoindependiente"/>
        <w:spacing w:after="0"/>
        <w:ind w:firstLine="709"/>
        <w:jc w:val="both"/>
        <w:rPr>
          <w:rFonts w:ascii="Verdana" w:hAnsi="Verdana"/>
        </w:rPr>
      </w:pPr>
      <w:r w:rsidRPr="0042267D">
        <w:rPr>
          <w:rFonts w:ascii="Verdana" w:hAnsi="Verdana"/>
        </w:rPr>
        <w:t>Adicionalmente, la Corte Constitucional profirió la sentencia T-329 de 2022</w:t>
      </w:r>
      <w:r w:rsidRPr="0042267D">
        <w:rPr>
          <w:rStyle w:val="Refdenotaalpie"/>
          <w:rFonts w:ascii="Verdana" w:hAnsi="Verdana"/>
        </w:rPr>
        <w:footnoteReference w:id="4"/>
      </w:r>
      <w:r w:rsidRPr="0042267D">
        <w:rPr>
          <w:rFonts w:ascii="Verdana" w:hAnsi="Verdana"/>
        </w:rPr>
        <w:t>, con ponencia de la magistrada Natalia Ángel Cabo, en la cual reiteró el precedente sobre la protección de la mujer embarazada y en período de lactancia en contratos de prestación de servicios establecido en la Sentencia SU-070 de 2013</w:t>
      </w:r>
      <w:r w:rsidRPr="0042267D">
        <w:rPr>
          <w:rStyle w:val="Refdenotaalpie"/>
          <w:rFonts w:ascii="Verdana" w:hAnsi="Verdana"/>
        </w:rPr>
        <w:footnoteReference w:id="5"/>
      </w:r>
      <w:r w:rsidRPr="0042267D">
        <w:rPr>
          <w:rFonts w:ascii="Verdana" w:hAnsi="Verdana"/>
        </w:rPr>
        <w:t>, al indicar lo siguiente:</w:t>
      </w:r>
    </w:p>
    <w:p w14:paraId="63AF69DD" w14:textId="77777777" w:rsidR="004D54CC" w:rsidRPr="0042267D" w:rsidRDefault="004D54CC" w:rsidP="004D54CC">
      <w:pPr>
        <w:pStyle w:val="Textoindependiente"/>
        <w:spacing w:after="0"/>
        <w:ind w:firstLine="709"/>
        <w:jc w:val="both"/>
        <w:rPr>
          <w:rFonts w:ascii="Verdana" w:hAnsi="Verdana"/>
        </w:rPr>
      </w:pPr>
    </w:p>
    <w:p w14:paraId="5B7D2285" w14:textId="77777777" w:rsidR="004D54CC" w:rsidRDefault="004D54CC" w:rsidP="004D54CC">
      <w:pPr>
        <w:pStyle w:val="Textoindependiente"/>
        <w:spacing w:after="0" w:line="240" w:lineRule="auto"/>
        <w:ind w:left="709" w:right="709"/>
        <w:jc w:val="both"/>
        <w:rPr>
          <w:rFonts w:ascii="Verdana" w:hAnsi="Verdana"/>
          <w:sz w:val="20"/>
          <w:szCs w:val="20"/>
        </w:rPr>
      </w:pPr>
      <w:r w:rsidRPr="0042267D">
        <w:rPr>
          <w:rFonts w:ascii="Verdana" w:hAnsi="Verdana"/>
          <w:sz w:val="20"/>
          <w:szCs w:val="20"/>
        </w:rPr>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6AA21CFC" w14:textId="77777777" w:rsidR="004D54CC" w:rsidRPr="0042267D" w:rsidRDefault="004D54CC" w:rsidP="004D54CC">
      <w:pPr>
        <w:pStyle w:val="Textoindependiente"/>
        <w:spacing w:after="0"/>
        <w:ind w:left="709" w:right="709"/>
        <w:jc w:val="both"/>
        <w:rPr>
          <w:rFonts w:ascii="Verdana" w:eastAsiaTheme="minorHAnsi" w:hAnsi="Verdana"/>
          <w:sz w:val="20"/>
        </w:rPr>
      </w:pPr>
    </w:p>
    <w:p w14:paraId="683ED320" w14:textId="77777777" w:rsidR="004D54CC" w:rsidRDefault="004D54CC" w:rsidP="004D54CC">
      <w:pPr>
        <w:spacing w:after="0" w:line="276" w:lineRule="auto"/>
        <w:ind w:firstLine="709"/>
        <w:jc w:val="both"/>
        <w:rPr>
          <w:rFonts w:ascii="Verdana" w:eastAsia="Arial" w:hAnsi="Verdana" w:cstheme="majorHAnsi"/>
        </w:rPr>
      </w:pPr>
      <w:r w:rsidRPr="0042267D">
        <w:rPr>
          <w:rFonts w:ascii="Verdana" w:hAnsi="Verdana"/>
        </w:rPr>
        <w:t>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w:t>
      </w:r>
      <w:r w:rsidRPr="0042267D">
        <w:rPr>
          <w:rFonts w:ascii="Verdana" w:eastAsia="Arial" w:hAnsi="Verdana" w:cstheme="majorHAnsi"/>
        </w:rPr>
        <w:t>.</w:t>
      </w:r>
    </w:p>
    <w:p w14:paraId="4D365BD3" w14:textId="77777777" w:rsidR="004D54CC" w:rsidRDefault="004D54CC" w:rsidP="004D54CC">
      <w:pPr>
        <w:spacing w:after="0" w:line="276" w:lineRule="auto"/>
        <w:ind w:firstLine="709"/>
        <w:jc w:val="both"/>
        <w:rPr>
          <w:rFonts w:ascii="Verdana" w:eastAsia="Arial" w:hAnsi="Verdana" w:cstheme="majorHAnsi"/>
        </w:rPr>
      </w:pPr>
    </w:p>
    <w:p w14:paraId="396D8864" w14:textId="77777777" w:rsidR="004D54CC" w:rsidRDefault="004D54CC" w:rsidP="004D54CC">
      <w:pPr>
        <w:pStyle w:val="Textoindependiente"/>
        <w:spacing w:after="0" w:line="240" w:lineRule="auto"/>
        <w:ind w:left="709" w:right="709"/>
        <w:jc w:val="both"/>
        <w:rPr>
          <w:rFonts w:ascii="Verdana" w:hAnsi="Verdana"/>
          <w:sz w:val="20"/>
          <w:szCs w:val="20"/>
        </w:rPr>
      </w:pPr>
      <w:r w:rsidRPr="00294332">
        <w:rPr>
          <w:rFonts w:ascii="Verdana" w:hAnsi="Verdana"/>
          <w:sz w:val="20"/>
          <w:szCs w:val="20"/>
        </w:rPr>
        <w:t>“(i) la protección de la mujer gestante o en periodo de lactancia se deriva de, entre otros, los artículos 43, 53 y 13 de la Constitución Nacional; (ii) la Sentencia SU-070 de 2013 reiteró la protección a la mujer embarazada en todas las alternativas laborales o de trabajo en las que se incluye el contrato de prestación de servicios; (iii)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(iv) las salas de revisión de la Corte Constitucional reconocen la protección derivada del fuero de maternidad en los contratos de prestación de servicios</w:t>
      </w:r>
      <w:r w:rsidRPr="00294332">
        <w:rPr>
          <w:rFonts w:ascii="Verdana" w:hAnsi="Verdana"/>
          <w:vertAlign w:val="superscript"/>
        </w:rPr>
        <w:footnoteReference w:id="6"/>
      </w:r>
      <w:r w:rsidRPr="00294332">
        <w:rPr>
          <w:rFonts w:ascii="Verdana" w:hAnsi="Verdana"/>
          <w:sz w:val="20"/>
          <w:szCs w:val="20"/>
        </w:rPr>
        <w:t>”.</w:t>
      </w:r>
    </w:p>
    <w:p w14:paraId="3A163CE5" w14:textId="77777777" w:rsidR="004D54CC" w:rsidRDefault="004D54CC" w:rsidP="004D54CC">
      <w:pPr>
        <w:pStyle w:val="Textoindependiente"/>
        <w:spacing w:after="0" w:line="240" w:lineRule="auto"/>
        <w:ind w:left="709" w:right="709"/>
        <w:jc w:val="both"/>
        <w:rPr>
          <w:rFonts w:ascii="Verdana" w:hAnsi="Verdana"/>
          <w:sz w:val="20"/>
          <w:szCs w:val="20"/>
        </w:rPr>
      </w:pPr>
    </w:p>
    <w:p w14:paraId="022AEB7F" w14:textId="77777777" w:rsidR="004D54CC" w:rsidRPr="001D2E2E" w:rsidRDefault="004D54CC" w:rsidP="004D54CC">
      <w:pPr>
        <w:spacing w:after="0" w:line="276" w:lineRule="auto"/>
        <w:ind w:firstLine="709"/>
        <w:jc w:val="both"/>
        <w:rPr>
          <w:rFonts w:ascii="Verdana" w:hAnsi="Verdana"/>
        </w:rPr>
      </w:pPr>
      <w:r w:rsidRPr="001D2E2E">
        <w:rPr>
          <w:rFonts w:ascii="Verdana" w:hAnsi="Verdana"/>
        </w:rPr>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4399137F" w14:textId="77777777" w:rsidR="004D54CC" w:rsidRDefault="004D54CC" w:rsidP="004D54CC">
      <w:pPr>
        <w:pStyle w:val="Textoindependiente"/>
        <w:spacing w:after="0" w:line="240" w:lineRule="auto"/>
        <w:ind w:left="709" w:right="709"/>
        <w:jc w:val="both"/>
        <w:rPr>
          <w:rFonts w:ascii="Verdana" w:hAnsi="Verdana"/>
          <w:sz w:val="20"/>
          <w:szCs w:val="20"/>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1815"/>
        <w:gridCol w:w="7022"/>
      </w:tblGrid>
      <w:tr w:rsidR="004D54CC" w:rsidRPr="000952AC" w14:paraId="0CE94442" w14:textId="77777777" w:rsidTr="009E10DA">
        <w:trPr>
          <w:trHeight w:val="729"/>
          <w:jc w:val="center"/>
        </w:trPr>
        <w:tc>
          <w:tcPr>
            <w:tcW w:w="1815" w:type="dxa"/>
            <w:tcBorders>
              <w:bottom w:val="single" w:sz="4" w:space="0" w:color="auto"/>
            </w:tcBorders>
            <w:shd w:val="clear" w:color="auto" w:fill="D9E2F3" w:themeFill="accent1" w:themeFillTint="33"/>
          </w:tcPr>
          <w:p w14:paraId="628DB6FE" w14:textId="77777777" w:rsidR="004D54CC" w:rsidRPr="000952AC" w:rsidRDefault="004D54CC" w:rsidP="009E10DA">
            <w:pPr>
              <w:pStyle w:val="TableParagraph"/>
              <w:ind w:left="438" w:right="428" w:firstLine="58"/>
              <w:rPr>
                <w:b/>
                <w:sz w:val="20"/>
                <w:szCs w:val="20"/>
                <w:lang w:val="es-CO"/>
              </w:rPr>
            </w:pPr>
            <w:r w:rsidRPr="76FD4F24">
              <w:rPr>
                <w:b/>
                <w:sz w:val="20"/>
                <w:szCs w:val="20"/>
                <w:lang w:val="es-CO"/>
              </w:rPr>
              <w:t xml:space="preserve">Tipo de </w:t>
            </w:r>
            <w:r w:rsidRPr="76FD4F24">
              <w:rPr>
                <w:b/>
                <w:spacing w:val="-2"/>
                <w:sz w:val="20"/>
                <w:szCs w:val="20"/>
                <w:lang w:val="es-CO"/>
              </w:rPr>
              <w:t>relación material</w:t>
            </w:r>
          </w:p>
        </w:tc>
        <w:tc>
          <w:tcPr>
            <w:tcW w:w="7022" w:type="dxa"/>
            <w:tcBorders>
              <w:bottom w:val="single" w:sz="4" w:space="0" w:color="auto"/>
            </w:tcBorders>
            <w:shd w:val="clear" w:color="auto" w:fill="D9E2F3" w:themeFill="accent1" w:themeFillTint="33"/>
          </w:tcPr>
          <w:p w14:paraId="71B22688" w14:textId="77777777" w:rsidR="004D54CC" w:rsidRPr="000952AC" w:rsidRDefault="004D54CC" w:rsidP="009E10DA">
            <w:pPr>
              <w:pStyle w:val="TableParagraph"/>
              <w:jc w:val="left"/>
              <w:rPr>
                <w:sz w:val="20"/>
                <w:szCs w:val="20"/>
                <w:lang w:val="es-CO"/>
              </w:rPr>
            </w:pPr>
          </w:p>
          <w:p w14:paraId="5A7D1DB3" w14:textId="77777777" w:rsidR="004D54CC" w:rsidRPr="000952AC" w:rsidRDefault="004D54CC" w:rsidP="009E10DA">
            <w:pPr>
              <w:pStyle w:val="TableParagraph"/>
              <w:ind w:left="4"/>
              <w:jc w:val="center"/>
              <w:rPr>
                <w:b/>
                <w:sz w:val="20"/>
                <w:lang w:val="es-CO"/>
              </w:rPr>
            </w:pPr>
            <w:r w:rsidRPr="000952AC">
              <w:rPr>
                <w:b/>
                <w:sz w:val="20"/>
                <w:lang w:val="es-CO"/>
              </w:rPr>
              <w:t>Alcance</w:t>
            </w:r>
            <w:r w:rsidRPr="000952AC">
              <w:rPr>
                <w:b/>
                <w:spacing w:val="-9"/>
                <w:sz w:val="20"/>
                <w:lang w:val="es-CO"/>
              </w:rPr>
              <w:t xml:space="preserve"> </w:t>
            </w:r>
            <w:r w:rsidRPr="000952AC">
              <w:rPr>
                <w:b/>
                <w:sz w:val="20"/>
                <w:lang w:val="es-CO"/>
              </w:rPr>
              <w:t>de</w:t>
            </w:r>
            <w:r w:rsidRPr="000952AC">
              <w:rPr>
                <w:b/>
                <w:spacing w:val="-8"/>
                <w:sz w:val="20"/>
                <w:lang w:val="es-CO"/>
              </w:rPr>
              <w:t xml:space="preserve"> </w:t>
            </w:r>
            <w:r w:rsidRPr="000952AC">
              <w:rPr>
                <w:b/>
                <w:sz w:val="20"/>
                <w:lang w:val="es-CO"/>
              </w:rPr>
              <w:t>la</w:t>
            </w:r>
            <w:r w:rsidRPr="000952AC">
              <w:rPr>
                <w:b/>
                <w:spacing w:val="-8"/>
                <w:sz w:val="20"/>
                <w:lang w:val="es-CO"/>
              </w:rPr>
              <w:t xml:space="preserve"> </w:t>
            </w:r>
            <w:r w:rsidRPr="000952AC">
              <w:rPr>
                <w:b/>
                <w:spacing w:val="-2"/>
                <w:sz w:val="20"/>
                <w:lang w:val="es-CO"/>
              </w:rPr>
              <w:t>protección</w:t>
            </w:r>
          </w:p>
        </w:tc>
      </w:tr>
      <w:tr w:rsidR="004D54CC" w:rsidRPr="000952AC" w14:paraId="72CA01A8" w14:textId="77777777" w:rsidTr="009E10DA">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1815" w:type="dxa"/>
            <w:tcBorders>
              <w:top w:val="single" w:sz="4" w:space="0" w:color="auto"/>
              <w:left w:val="single" w:sz="4" w:space="0" w:color="auto"/>
              <w:bottom w:val="single" w:sz="4" w:space="0" w:color="auto"/>
              <w:right w:val="single" w:sz="4" w:space="0" w:color="auto"/>
            </w:tcBorders>
            <w:vAlign w:val="center"/>
          </w:tcPr>
          <w:p w14:paraId="6BEC3E7D" w14:textId="77777777" w:rsidR="004D54CC" w:rsidRPr="000952AC" w:rsidRDefault="004D54CC" w:rsidP="009E10DA">
            <w:pPr>
              <w:pStyle w:val="TableParagraph"/>
              <w:ind w:left="89" w:right="80"/>
              <w:jc w:val="center"/>
              <w:rPr>
                <w:b/>
                <w:sz w:val="20"/>
                <w:szCs w:val="20"/>
                <w:lang w:val="es-CO"/>
              </w:rPr>
            </w:pPr>
          </w:p>
          <w:p w14:paraId="6126292F" w14:textId="77777777" w:rsidR="004D54CC" w:rsidRPr="000952AC" w:rsidRDefault="004D54CC" w:rsidP="009E10DA">
            <w:pPr>
              <w:pStyle w:val="TableParagraph"/>
              <w:ind w:left="89" w:right="80"/>
              <w:jc w:val="center"/>
              <w:rPr>
                <w:b/>
                <w:sz w:val="20"/>
                <w:szCs w:val="20"/>
                <w:lang w:val="es-CO"/>
              </w:rPr>
            </w:pPr>
            <w:r w:rsidRPr="76FD4F24">
              <w:rPr>
                <w:b/>
                <w:sz w:val="20"/>
                <w:szCs w:val="20"/>
                <w:lang w:val="es-CO"/>
              </w:rPr>
              <w:t>Se</w:t>
            </w:r>
            <w:r w:rsidRPr="76FD4F24">
              <w:rPr>
                <w:b/>
                <w:spacing w:val="-18"/>
                <w:sz w:val="20"/>
                <w:szCs w:val="20"/>
                <w:lang w:val="es-CO"/>
              </w:rPr>
              <w:t xml:space="preserve"> </w:t>
            </w:r>
            <w:r w:rsidRPr="76FD4F24">
              <w:rPr>
                <w:b/>
                <w:sz w:val="20"/>
                <w:szCs w:val="20"/>
                <w:lang w:val="es-CO"/>
              </w:rPr>
              <w:t xml:space="preserve">configura un contrato </w:t>
            </w:r>
            <w:r w:rsidRPr="76FD4F24">
              <w:rPr>
                <w:b/>
                <w:spacing w:val="-2"/>
                <w:sz w:val="20"/>
                <w:szCs w:val="20"/>
                <w:lang w:val="es-CO"/>
              </w:rPr>
              <w:t>realidad</w:t>
            </w:r>
          </w:p>
        </w:tc>
        <w:tc>
          <w:tcPr>
            <w:tcW w:w="7022" w:type="dxa"/>
            <w:tcBorders>
              <w:top w:val="single" w:sz="4" w:space="0" w:color="auto"/>
              <w:left w:val="single" w:sz="4" w:space="0" w:color="auto"/>
              <w:bottom w:val="single" w:sz="4" w:space="0" w:color="000000" w:themeColor="text1"/>
              <w:right w:val="single" w:sz="4" w:space="0" w:color="auto"/>
            </w:tcBorders>
          </w:tcPr>
          <w:p w14:paraId="1006DFF2" w14:textId="77777777" w:rsidR="004D54CC" w:rsidRPr="000952AC" w:rsidRDefault="004D54CC" w:rsidP="009E10DA">
            <w:pPr>
              <w:pStyle w:val="TableParagraph"/>
              <w:ind w:left="108" w:right="95"/>
              <w:rPr>
                <w:sz w:val="20"/>
                <w:szCs w:val="20"/>
                <w:lang w:val="es-CO"/>
              </w:rPr>
            </w:pPr>
            <w:r w:rsidRPr="76FD4F24">
              <w:rPr>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76FD4F24">
              <w:rPr>
                <w:rStyle w:val="Refdenotaalpie"/>
                <w:sz w:val="20"/>
                <w:szCs w:val="20"/>
                <w:lang w:val="es-CO"/>
              </w:rPr>
              <w:footnoteReference w:id="7"/>
            </w:r>
            <w:r w:rsidRPr="76FD4F24">
              <w:rPr>
                <w:sz w:val="20"/>
                <w:szCs w:val="20"/>
                <w:lang w:val="es-CO"/>
              </w:rPr>
              <w:t>.</w:t>
            </w:r>
          </w:p>
        </w:tc>
      </w:tr>
      <w:tr w:rsidR="004D54CC" w:rsidRPr="000952AC" w14:paraId="4E00000F" w14:textId="77777777" w:rsidTr="009E10DA">
        <w:trPr>
          <w:trHeight w:val="267"/>
          <w:jc w:val="center"/>
        </w:trPr>
        <w:tc>
          <w:tcPr>
            <w:tcW w:w="1815" w:type="dxa"/>
            <w:tcBorders>
              <w:top w:val="single" w:sz="4" w:space="0" w:color="auto"/>
              <w:left w:val="single" w:sz="4" w:space="0" w:color="auto"/>
              <w:bottom w:val="single" w:sz="4" w:space="0" w:color="auto"/>
              <w:right w:val="single" w:sz="4" w:space="0" w:color="auto"/>
            </w:tcBorders>
          </w:tcPr>
          <w:p w14:paraId="4AAE7374" w14:textId="77777777" w:rsidR="004D54CC" w:rsidRPr="000952AC" w:rsidRDefault="004D54CC" w:rsidP="009E10DA">
            <w:pPr>
              <w:pStyle w:val="TableParagraph"/>
              <w:jc w:val="left"/>
              <w:rPr>
                <w:sz w:val="20"/>
                <w:lang w:val="es-CO"/>
              </w:rPr>
            </w:pPr>
          </w:p>
          <w:p w14:paraId="219018DC" w14:textId="77777777" w:rsidR="004D54CC" w:rsidRPr="000952AC" w:rsidRDefault="004D54CC" w:rsidP="009E10DA">
            <w:pPr>
              <w:pStyle w:val="TableParagraph"/>
              <w:jc w:val="left"/>
              <w:rPr>
                <w:sz w:val="20"/>
                <w:lang w:val="es-CO"/>
              </w:rPr>
            </w:pPr>
          </w:p>
          <w:p w14:paraId="30168318" w14:textId="77777777" w:rsidR="004D54CC" w:rsidRPr="000952AC" w:rsidRDefault="004D54CC" w:rsidP="009E10DA">
            <w:pPr>
              <w:pStyle w:val="TableParagraph"/>
              <w:jc w:val="left"/>
              <w:rPr>
                <w:sz w:val="20"/>
                <w:lang w:val="es-CO"/>
              </w:rPr>
            </w:pPr>
          </w:p>
          <w:p w14:paraId="6AAFFB05" w14:textId="77777777" w:rsidR="004D54CC" w:rsidRPr="000952AC" w:rsidRDefault="004D54CC" w:rsidP="009E10DA">
            <w:pPr>
              <w:pStyle w:val="TableParagraph"/>
              <w:jc w:val="left"/>
              <w:rPr>
                <w:sz w:val="20"/>
                <w:lang w:val="es-CO"/>
              </w:rPr>
            </w:pPr>
          </w:p>
          <w:p w14:paraId="7C3DDDB5" w14:textId="77777777" w:rsidR="004D54CC" w:rsidRPr="000952AC" w:rsidRDefault="004D54CC" w:rsidP="009E10DA">
            <w:pPr>
              <w:pStyle w:val="TableParagraph"/>
              <w:jc w:val="left"/>
              <w:rPr>
                <w:sz w:val="20"/>
                <w:szCs w:val="20"/>
                <w:lang w:val="es-CO"/>
              </w:rPr>
            </w:pPr>
          </w:p>
          <w:p w14:paraId="6C6F625C" w14:textId="77777777" w:rsidR="004D54CC" w:rsidRPr="000952AC" w:rsidRDefault="004D54CC" w:rsidP="009E10DA">
            <w:pPr>
              <w:pStyle w:val="TableParagraph"/>
              <w:ind w:left="198" w:right="189" w:firstLine="2"/>
              <w:jc w:val="center"/>
              <w:rPr>
                <w:b/>
                <w:sz w:val="20"/>
                <w:lang w:val="es-CO"/>
              </w:rPr>
            </w:pPr>
            <w:r w:rsidRPr="000952AC">
              <w:rPr>
                <w:b/>
                <w:sz w:val="20"/>
                <w:lang w:val="es-CO"/>
              </w:rPr>
              <w:t>No se configura</w:t>
            </w:r>
            <w:r w:rsidRPr="000952AC">
              <w:rPr>
                <w:b/>
                <w:spacing w:val="-18"/>
                <w:sz w:val="20"/>
                <w:lang w:val="es-CO"/>
              </w:rPr>
              <w:t xml:space="preserve"> </w:t>
            </w:r>
            <w:r w:rsidRPr="000952AC">
              <w:rPr>
                <w:b/>
                <w:sz w:val="20"/>
                <w:lang w:val="es-CO"/>
              </w:rPr>
              <w:t xml:space="preserve">un </w:t>
            </w:r>
            <w:r w:rsidRPr="000952AC">
              <w:rPr>
                <w:b/>
                <w:spacing w:val="-2"/>
                <w:sz w:val="20"/>
                <w:lang w:val="es-CO"/>
              </w:rPr>
              <w:t>contrato realidad</w:t>
            </w:r>
          </w:p>
        </w:tc>
        <w:tc>
          <w:tcPr>
            <w:tcW w:w="7022" w:type="dxa"/>
            <w:tcBorders>
              <w:top w:val="single" w:sz="4" w:space="0" w:color="auto"/>
              <w:left w:val="single" w:sz="4" w:space="0" w:color="auto"/>
              <w:bottom w:val="single" w:sz="4" w:space="0" w:color="auto"/>
              <w:right w:val="single" w:sz="4" w:space="0" w:color="auto"/>
            </w:tcBorders>
          </w:tcPr>
          <w:p w14:paraId="081D5C23" w14:textId="77777777" w:rsidR="004D54CC" w:rsidRDefault="004D54CC" w:rsidP="009E10DA">
            <w:pPr>
              <w:pStyle w:val="TableParagraph"/>
              <w:tabs>
                <w:tab w:val="left" w:pos="828"/>
              </w:tabs>
              <w:ind w:right="96"/>
              <w:rPr>
                <w:spacing w:val="-2"/>
                <w:sz w:val="20"/>
                <w:szCs w:val="20"/>
                <w:lang w:val="es-CO"/>
              </w:rPr>
            </w:pPr>
            <w:r w:rsidRPr="76FD4F24">
              <w:rPr>
                <w:sz w:val="20"/>
                <w:szCs w:val="20"/>
                <w:lang w:val="es-CO"/>
              </w:rPr>
              <w:t>Si</w:t>
            </w:r>
            <w:r w:rsidRPr="76FD4F24">
              <w:rPr>
                <w:spacing w:val="-14"/>
                <w:sz w:val="20"/>
                <w:szCs w:val="20"/>
                <w:lang w:val="es-CO"/>
              </w:rPr>
              <w:t xml:space="preserve"> </w:t>
            </w:r>
            <w:r w:rsidRPr="76FD4F24">
              <w:rPr>
                <w:sz w:val="20"/>
                <w:szCs w:val="20"/>
                <w:lang w:val="es-CO"/>
              </w:rPr>
              <w:t>(i)</w:t>
            </w:r>
            <w:r w:rsidRPr="76FD4F24">
              <w:rPr>
                <w:spacing w:val="-14"/>
                <w:sz w:val="20"/>
                <w:szCs w:val="20"/>
                <w:lang w:val="es-CO"/>
              </w:rPr>
              <w:t xml:space="preserve"> </w:t>
            </w:r>
            <w:r w:rsidRPr="76FD4F24">
              <w:rPr>
                <w:sz w:val="20"/>
                <w:szCs w:val="20"/>
                <w:lang w:val="es-CO"/>
              </w:rPr>
              <w:t>el</w:t>
            </w:r>
            <w:r w:rsidRPr="76FD4F24">
              <w:rPr>
                <w:spacing w:val="-13"/>
                <w:sz w:val="20"/>
                <w:szCs w:val="20"/>
                <w:lang w:val="es-CO"/>
              </w:rPr>
              <w:t xml:space="preserve"> </w:t>
            </w:r>
            <w:r w:rsidRPr="76FD4F24">
              <w:rPr>
                <w:sz w:val="20"/>
                <w:szCs w:val="20"/>
                <w:lang w:val="es-CO"/>
              </w:rPr>
              <w:t>contratante</w:t>
            </w:r>
            <w:r w:rsidRPr="76FD4F24">
              <w:rPr>
                <w:spacing w:val="-11"/>
                <w:sz w:val="20"/>
                <w:szCs w:val="20"/>
                <w:lang w:val="es-CO"/>
              </w:rPr>
              <w:t xml:space="preserve"> </w:t>
            </w:r>
            <w:r w:rsidRPr="76FD4F24">
              <w:rPr>
                <w:sz w:val="20"/>
                <w:szCs w:val="20"/>
                <w:lang w:val="es-CO"/>
              </w:rPr>
              <w:t>conoce</w:t>
            </w:r>
            <w:r w:rsidRPr="76FD4F24">
              <w:rPr>
                <w:spacing w:val="-13"/>
                <w:sz w:val="20"/>
                <w:szCs w:val="20"/>
                <w:lang w:val="es-CO"/>
              </w:rPr>
              <w:t xml:space="preserve"> </w:t>
            </w:r>
            <w:r w:rsidRPr="76FD4F24">
              <w:rPr>
                <w:sz w:val="20"/>
                <w:szCs w:val="20"/>
                <w:lang w:val="es-CO"/>
              </w:rPr>
              <w:t>el</w:t>
            </w:r>
            <w:r w:rsidRPr="76FD4F24">
              <w:rPr>
                <w:spacing w:val="-14"/>
                <w:sz w:val="20"/>
                <w:szCs w:val="20"/>
                <w:lang w:val="es-CO"/>
              </w:rPr>
              <w:t xml:space="preserve"> </w:t>
            </w:r>
            <w:r w:rsidRPr="76FD4F24">
              <w:rPr>
                <w:sz w:val="20"/>
                <w:szCs w:val="20"/>
                <w:lang w:val="es-CO"/>
              </w:rPr>
              <w:t>estado</w:t>
            </w:r>
            <w:r w:rsidRPr="76FD4F24">
              <w:rPr>
                <w:spacing w:val="-12"/>
                <w:sz w:val="20"/>
                <w:szCs w:val="20"/>
                <w:lang w:val="es-CO"/>
              </w:rPr>
              <w:t xml:space="preserve"> </w:t>
            </w:r>
            <w:r w:rsidRPr="76FD4F24">
              <w:rPr>
                <w:sz w:val="20"/>
                <w:szCs w:val="20"/>
                <w:lang w:val="es-CO"/>
              </w:rPr>
              <w:t>de</w:t>
            </w:r>
            <w:r w:rsidRPr="76FD4F24">
              <w:rPr>
                <w:spacing w:val="-14"/>
                <w:sz w:val="20"/>
                <w:szCs w:val="20"/>
                <w:lang w:val="es-CO"/>
              </w:rPr>
              <w:t xml:space="preserve"> </w:t>
            </w:r>
            <w:r w:rsidRPr="76FD4F24">
              <w:rPr>
                <w:sz w:val="20"/>
                <w:szCs w:val="20"/>
                <w:lang w:val="es-CO"/>
              </w:rPr>
              <w:t>embarazo</w:t>
            </w:r>
            <w:r w:rsidRPr="76FD4F24">
              <w:rPr>
                <w:spacing w:val="-12"/>
                <w:sz w:val="20"/>
                <w:szCs w:val="20"/>
                <w:lang w:val="es-CO"/>
              </w:rPr>
              <w:t xml:space="preserve"> </w:t>
            </w:r>
            <w:r w:rsidRPr="76FD4F24">
              <w:rPr>
                <w:sz w:val="20"/>
                <w:szCs w:val="20"/>
                <w:lang w:val="es-CO"/>
              </w:rPr>
              <w:t>de</w:t>
            </w:r>
            <w:r w:rsidRPr="76FD4F24">
              <w:rPr>
                <w:spacing w:val="-13"/>
                <w:sz w:val="20"/>
                <w:szCs w:val="20"/>
                <w:lang w:val="es-CO"/>
              </w:rPr>
              <w:t xml:space="preserve"> </w:t>
            </w:r>
            <w:r w:rsidRPr="76FD4F24">
              <w:rPr>
                <w:sz w:val="20"/>
                <w:szCs w:val="20"/>
                <w:lang w:val="es-CO"/>
              </w:rPr>
              <w:t>la</w:t>
            </w:r>
            <w:r w:rsidRPr="76FD4F24">
              <w:rPr>
                <w:spacing w:val="-14"/>
                <w:sz w:val="20"/>
                <w:szCs w:val="20"/>
                <w:lang w:val="es-CO"/>
              </w:rPr>
              <w:t xml:space="preserve"> </w:t>
            </w:r>
            <w:r w:rsidRPr="76FD4F24">
              <w:rPr>
                <w:spacing w:val="-2"/>
                <w:sz w:val="20"/>
                <w:szCs w:val="20"/>
                <w:lang w:val="es-CO"/>
              </w:rPr>
              <w:t>contratista,</w:t>
            </w:r>
            <w:r w:rsidRPr="76FD4F24">
              <w:rPr>
                <w:sz w:val="20"/>
                <w:szCs w:val="20"/>
                <w:lang w:val="es-CO"/>
              </w:rPr>
              <w:t xml:space="preserve"> (ii) subsiste la causa del contrato y (iii) no cuenta con permiso del inspector del trabajo para terminar el contrato, el juez deberá </w:t>
            </w:r>
            <w:r w:rsidRPr="76FD4F24">
              <w:rPr>
                <w:spacing w:val="-2"/>
                <w:sz w:val="20"/>
                <w:szCs w:val="20"/>
                <w:lang w:val="es-CO"/>
              </w:rPr>
              <w:t>ordenar:</w:t>
            </w:r>
          </w:p>
          <w:p w14:paraId="69644FCD" w14:textId="77777777" w:rsidR="004D54CC" w:rsidRDefault="004D54CC" w:rsidP="009E10DA">
            <w:pPr>
              <w:pStyle w:val="TableParagraph"/>
              <w:tabs>
                <w:tab w:val="left" w:pos="828"/>
              </w:tabs>
              <w:ind w:right="96"/>
              <w:rPr>
                <w:spacing w:val="-2"/>
                <w:sz w:val="20"/>
                <w:szCs w:val="20"/>
                <w:lang w:val="es-CO"/>
              </w:rPr>
            </w:pPr>
          </w:p>
          <w:p w14:paraId="4856684E" w14:textId="77777777" w:rsidR="004D54CC" w:rsidRDefault="004D54CC" w:rsidP="004D54CC">
            <w:pPr>
              <w:pStyle w:val="TableParagraph"/>
              <w:numPr>
                <w:ilvl w:val="0"/>
                <w:numId w:val="4"/>
              </w:numPr>
              <w:tabs>
                <w:tab w:val="left" w:pos="828"/>
              </w:tabs>
              <w:ind w:right="96"/>
              <w:rPr>
                <w:sz w:val="20"/>
                <w:szCs w:val="20"/>
                <w:lang w:val="es-CO"/>
              </w:rPr>
            </w:pPr>
            <w:r w:rsidRPr="76FD4F24">
              <w:rPr>
                <w:sz w:val="20"/>
                <w:szCs w:val="20"/>
                <w:lang w:val="es-CO"/>
              </w:rPr>
              <w:t>La</w:t>
            </w:r>
            <w:r w:rsidRPr="76FD4F24">
              <w:rPr>
                <w:spacing w:val="-18"/>
                <w:sz w:val="20"/>
                <w:szCs w:val="20"/>
                <w:lang w:val="es-CO"/>
              </w:rPr>
              <w:t xml:space="preserve"> </w:t>
            </w:r>
            <w:r w:rsidRPr="76FD4F24">
              <w:rPr>
                <w:sz w:val="20"/>
                <w:szCs w:val="20"/>
                <w:lang w:val="es-CO"/>
              </w:rPr>
              <w:t>renovación</w:t>
            </w:r>
            <w:r w:rsidRPr="76FD4F24">
              <w:rPr>
                <w:spacing w:val="-18"/>
                <w:sz w:val="20"/>
                <w:szCs w:val="20"/>
                <w:lang w:val="es-CO"/>
              </w:rPr>
              <w:t xml:space="preserve"> </w:t>
            </w:r>
            <w:r w:rsidRPr="76FD4F24">
              <w:rPr>
                <w:sz w:val="20"/>
                <w:szCs w:val="20"/>
                <w:lang w:val="es-CO"/>
              </w:rPr>
              <w:t>de</w:t>
            </w:r>
            <w:r w:rsidRPr="76FD4F24">
              <w:rPr>
                <w:spacing w:val="-17"/>
                <w:sz w:val="20"/>
                <w:szCs w:val="20"/>
                <w:lang w:val="es-CO"/>
              </w:rPr>
              <w:t xml:space="preserve"> </w:t>
            </w:r>
            <w:r w:rsidRPr="76FD4F24">
              <w:rPr>
                <w:sz w:val="20"/>
                <w:szCs w:val="20"/>
                <w:lang w:val="es-CO"/>
              </w:rPr>
              <w:t>la</w:t>
            </w:r>
            <w:r w:rsidRPr="76FD4F24">
              <w:rPr>
                <w:spacing w:val="-18"/>
                <w:sz w:val="20"/>
                <w:szCs w:val="20"/>
                <w:lang w:val="es-CO"/>
              </w:rPr>
              <w:t xml:space="preserve"> </w:t>
            </w:r>
            <w:r w:rsidRPr="76FD4F24">
              <w:rPr>
                <w:sz w:val="20"/>
                <w:szCs w:val="20"/>
                <w:lang w:val="es-CO"/>
              </w:rPr>
              <w:t>relación</w:t>
            </w:r>
            <w:r w:rsidRPr="76FD4F24">
              <w:rPr>
                <w:spacing w:val="-17"/>
                <w:sz w:val="20"/>
                <w:szCs w:val="20"/>
                <w:lang w:val="es-CO"/>
              </w:rPr>
              <w:t xml:space="preserve"> </w:t>
            </w:r>
            <w:r w:rsidRPr="76FD4F24">
              <w:rPr>
                <w:sz w:val="20"/>
                <w:szCs w:val="20"/>
                <w:lang w:val="es-CO"/>
              </w:rPr>
              <w:t>contractual,</w:t>
            </w:r>
            <w:r w:rsidRPr="76FD4F24">
              <w:rPr>
                <w:spacing w:val="-18"/>
                <w:sz w:val="20"/>
                <w:szCs w:val="20"/>
                <w:lang w:val="es-CO"/>
              </w:rPr>
              <w:t xml:space="preserve"> </w:t>
            </w:r>
            <w:r w:rsidRPr="76FD4F24">
              <w:rPr>
                <w:sz w:val="20"/>
                <w:szCs w:val="20"/>
                <w:lang w:val="es-CO"/>
              </w:rPr>
              <w:t>la</w:t>
            </w:r>
            <w:r w:rsidRPr="76FD4F24">
              <w:rPr>
                <w:spacing w:val="-18"/>
                <w:sz w:val="20"/>
                <w:szCs w:val="20"/>
                <w:lang w:val="es-CO"/>
              </w:rPr>
              <w:t xml:space="preserve"> </w:t>
            </w:r>
            <w:r w:rsidRPr="76FD4F24">
              <w:rPr>
                <w:sz w:val="20"/>
                <w:szCs w:val="20"/>
                <w:lang w:val="es-CO"/>
              </w:rPr>
              <w:t>cual</w:t>
            </w:r>
            <w:r w:rsidRPr="76FD4F24">
              <w:rPr>
                <w:spacing w:val="-17"/>
                <w:sz w:val="20"/>
                <w:szCs w:val="20"/>
                <w:lang w:val="es-CO"/>
              </w:rPr>
              <w:t xml:space="preserve"> </w:t>
            </w:r>
            <w:r w:rsidRPr="76FD4F24">
              <w:rPr>
                <w:sz w:val="20"/>
                <w:szCs w:val="20"/>
                <w:lang w:val="es-CO"/>
              </w:rPr>
              <w:t>se</w:t>
            </w:r>
            <w:r w:rsidRPr="76FD4F24">
              <w:rPr>
                <w:spacing w:val="-18"/>
                <w:sz w:val="20"/>
                <w:szCs w:val="20"/>
                <w:lang w:val="es-CO"/>
              </w:rPr>
              <w:t xml:space="preserve"> </w:t>
            </w:r>
            <w:r w:rsidRPr="76FD4F24">
              <w:rPr>
                <w:sz w:val="20"/>
                <w:szCs w:val="20"/>
                <w:lang w:val="es-CO"/>
              </w:rPr>
              <w:t>dará</w:t>
            </w:r>
            <w:r w:rsidRPr="76FD4F24">
              <w:rPr>
                <w:spacing w:val="-17"/>
                <w:sz w:val="20"/>
                <w:szCs w:val="20"/>
                <w:lang w:val="es-CO"/>
              </w:rPr>
              <w:t xml:space="preserve"> </w:t>
            </w:r>
            <w:r w:rsidRPr="76FD4F24">
              <w:rPr>
                <w:sz w:val="20"/>
                <w:szCs w:val="20"/>
                <w:lang w:val="es-CO"/>
              </w:rPr>
              <w:t>hasta por el término del periodo de lactancia.</w:t>
            </w:r>
          </w:p>
          <w:p w14:paraId="35EC4357" w14:textId="77777777" w:rsidR="004D54CC" w:rsidRPr="000952AC" w:rsidRDefault="004D54CC" w:rsidP="004D54CC">
            <w:pPr>
              <w:pStyle w:val="TableParagraph"/>
              <w:numPr>
                <w:ilvl w:val="0"/>
                <w:numId w:val="4"/>
              </w:numPr>
              <w:tabs>
                <w:tab w:val="left" w:pos="828"/>
              </w:tabs>
              <w:ind w:right="96"/>
              <w:rPr>
                <w:sz w:val="20"/>
                <w:szCs w:val="20"/>
                <w:lang w:val="es-CO"/>
              </w:rPr>
            </w:pPr>
            <w:r w:rsidRPr="76FD4F24">
              <w:rPr>
                <w:sz w:val="20"/>
                <w:szCs w:val="20"/>
                <w:lang w:val="es-CO"/>
              </w:rPr>
              <w:t>El</w:t>
            </w:r>
            <w:r w:rsidRPr="76FD4F24">
              <w:rPr>
                <w:spacing w:val="-1"/>
                <w:sz w:val="20"/>
                <w:szCs w:val="20"/>
                <w:lang w:val="es-CO"/>
              </w:rPr>
              <w:t xml:space="preserve"> </w:t>
            </w:r>
            <w:r w:rsidRPr="76FD4F24">
              <w:rPr>
                <w:sz w:val="20"/>
                <w:szCs w:val="20"/>
                <w:lang w:val="es-CO"/>
              </w:rPr>
              <w:t>pago de</w:t>
            </w:r>
            <w:r w:rsidRPr="76FD4F24">
              <w:rPr>
                <w:spacing w:val="-1"/>
                <w:sz w:val="20"/>
                <w:szCs w:val="20"/>
                <w:lang w:val="es-CO"/>
              </w:rPr>
              <w:t xml:space="preserve"> </w:t>
            </w:r>
            <w:r w:rsidRPr="76FD4F24">
              <w:rPr>
                <w:sz w:val="20"/>
                <w:szCs w:val="20"/>
                <w:lang w:val="es-CO"/>
              </w:rPr>
              <w:t>los</w:t>
            </w:r>
            <w:r w:rsidRPr="76FD4F24">
              <w:rPr>
                <w:spacing w:val="-1"/>
                <w:sz w:val="20"/>
                <w:szCs w:val="20"/>
                <w:lang w:val="es-CO"/>
              </w:rPr>
              <w:t xml:space="preserve"> </w:t>
            </w:r>
            <w:r w:rsidRPr="76FD4F24">
              <w:rPr>
                <w:sz w:val="20"/>
                <w:szCs w:val="20"/>
                <w:lang w:val="es-CO"/>
              </w:rPr>
              <w:t>honorarios dejados de</w:t>
            </w:r>
            <w:r w:rsidRPr="76FD4F24">
              <w:rPr>
                <w:spacing w:val="-1"/>
                <w:sz w:val="20"/>
                <w:szCs w:val="20"/>
                <w:lang w:val="es-CO"/>
              </w:rPr>
              <w:t xml:space="preserve"> </w:t>
            </w:r>
            <w:r w:rsidRPr="76FD4F24">
              <w:rPr>
                <w:sz w:val="20"/>
                <w:szCs w:val="20"/>
                <w:lang w:val="es-CO"/>
              </w:rPr>
              <w:t>percibir desde la</w:t>
            </w:r>
            <w:r w:rsidRPr="76FD4F24">
              <w:rPr>
                <w:spacing w:val="-1"/>
                <w:sz w:val="20"/>
                <w:szCs w:val="20"/>
                <w:lang w:val="es-CO"/>
              </w:rPr>
              <w:t xml:space="preserve"> </w:t>
            </w:r>
            <w:r w:rsidRPr="76FD4F24">
              <w:rPr>
                <w:sz w:val="20"/>
                <w:szCs w:val="20"/>
                <w:lang w:val="es-CO"/>
              </w:rPr>
              <w:t xml:space="preserve">fecha de no renovación del contrato, hasta la renovación del </w:t>
            </w:r>
            <w:r w:rsidRPr="76FD4F24">
              <w:rPr>
                <w:spacing w:val="-2"/>
                <w:sz w:val="20"/>
                <w:szCs w:val="20"/>
                <w:lang w:val="es-CO"/>
              </w:rPr>
              <w:t>mismo;</w:t>
            </w:r>
          </w:p>
          <w:p w14:paraId="43E033A0" w14:textId="77777777" w:rsidR="004D54CC" w:rsidRPr="000952AC" w:rsidRDefault="004D54CC" w:rsidP="004D54CC">
            <w:pPr>
              <w:pStyle w:val="TableParagraph"/>
              <w:numPr>
                <w:ilvl w:val="0"/>
                <w:numId w:val="4"/>
              </w:numPr>
              <w:tabs>
                <w:tab w:val="left" w:pos="826"/>
                <w:tab w:val="left" w:pos="828"/>
              </w:tabs>
              <w:ind w:right="97"/>
              <w:rPr>
                <w:sz w:val="20"/>
                <w:szCs w:val="20"/>
                <w:lang w:val="es-CO"/>
              </w:rPr>
            </w:pPr>
            <w:r w:rsidRPr="76FD4F24">
              <w:rPr>
                <w:sz w:val="20"/>
                <w:szCs w:val="20"/>
                <w:lang w:val="es-CO"/>
              </w:rPr>
              <w:t>El pago por concepto de la indemnización por despido discriminatorio</w:t>
            </w:r>
            <w:r w:rsidRPr="76FD4F24">
              <w:rPr>
                <w:rStyle w:val="Refdenotaalpie"/>
                <w:sz w:val="20"/>
                <w:szCs w:val="20"/>
                <w:lang w:val="es-CO"/>
              </w:rPr>
              <w:footnoteReference w:id="8"/>
            </w:r>
            <w:r w:rsidRPr="76FD4F24">
              <w:rPr>
                <w:sz w:val="20"/>
                <w:szCs w:val="20"/>
                <w:lang w:val="es-CO"/>
              </w:rPr>
              <w:t>; y</w:t>
            </w:r>
          </w:p>
          <w:p w14:paraId="0B2964DC" w14:textId="77777777" w:rsidR="004D54CC" w:rsidRPr="000952AC" w:rsidRDefault="004D54CC" w:rsidP="004D54CC">
            <w:pPr>
              <w:pStyle w:val="TableParagraph"/>
              <w:numPr>
                <w:ilvl w:val="0"/>
                <w:numId w:val="4"/>
              </w:numPr>
              <w:tabs>
                <w:tab w:val="left" w:pos="826"/>
                <w:tab w:val="left" w:pos="828"/>
              </w:tabs>
              <w:ind w:right="95"/>
              <w:rPr>
                <w:sz w:val="20"/>
                <w:szCs w:val="20"/>
                <w:lang w:val="es-CO"/>
              </w:rPr>
            </w:pPr>
            <w:r w:rsidRPr="76FD4F24">
              <w:rPr>
                <w:sz w:val="20"/>
                <w:szCs w:val="20"/>
                <w:lang w:val="es-CO"/>
              </w:rPr>
              <w:t>El pago de la licencia de maternidad. Este pago no se realizará</w:t>
            </w:r>
            <w:r w:rsidRPr="76FD4F24">
              <w:rPr>
                <w:spacing w:val="-7"/>
                <w:sz w:val="20"/>
                <w:szCs w:val="20"/>
                <w:lang w:val="es-CO"/>
              </w:rPr>
              <w:t xml:space="preserve"> </w:t>
            </w:r>
            <w:r w:rsidRPr="76FD4F24">
              <w:rPr>
                <w:sz w:val="20"/>
                <w:szCs w:val="20"/>
                <w:lang w:val="es-CO"/>
              </w:rPr>
              <w:t>si</w:t>
            </w:r>
            <w:r w:rsidRPr="76FD4F24">
              <w:rPr>
                <w:spacing w:val="-9"/>
                <w:sz w:val="20"/>
                <w:szCs w:val="20"/>
                <w:lang w:val="es-CO"/>
              </w:rPr>
              <w:t xml:space="preserve"> </w:t>
            </w:r>
            <w:r w:rsidRPr="76FD4F24">
              <w:rPr>
                <w:sz w:val="20"/>
                <w:szCs w:val="20"/>
                <w:lang w:val="es-CO"/>
              </w:rPr>
              <w:t>en</w:t>
            </w:r>
            <w:r w:rsidRPr="76FD4F24">
              <w:rPr>
                <w:spacing w:val="-9"/>
                <w:sz w:val="20"/>
                <w:szCs w:val="20"/>
                <w:lang w:val="es-CO"/>
              </w:rPr>
              <w:t xml:space="preserve"> </w:t>
            </w:r>
            <w:r w:rsidRPr="76FD4F24">
              <w:rPr>
                <w:sz w:val="20"/>
                <w:szCs w:val="20"/>
                <w:lang w:val="es-CO"/>
              </w:rPr>
              <w:t>el</w:t>
            </w:r>
            <w:r w:rsidRPr="76FD4F24">
              <w:rPr>
                <w:spacing w:val="-9"/>
                <w:sz w:val="20"/>
                <w:szCs w:val="20"/>
                <w:lang w:val="es-CO"/>
              </w:rPr>
              <w:t xml:space="preserve"> </w:t>
            </w:r>
            <w:r w:rsidRPr="76FD4F24">
              <w:rPr>
                <w:sz w:val="20"/>
                <w:szCs w:val="20"/>
                <w:lang w:val="es-CO"/>
              </w:rPr>
              <w:t>caso</w:t>
            </w:r>
            <w:r w:rsidRPr="76FD4F24">
              <w:rPr>
                <w:spacing w:val="-8"/>
                <w:sz w:val="20"/>
                <w:szCs w:val="20"/>
                <w:lang w:val="es-CO"/>
              </w:rPr>
              <w:t xml:space="preserve"> </w:t>
            </w:r>
            <w:r w:rsidRPr="76FD4F24">
              <w:rPr>
                <w:sz w:val="20"/>
                <w:szCs w:val="20"/>
                <w:lang w:val="es-CO"/>
              </w:rPr>
              <w:t>se</w:t>
            </w:r>
            <w:r w:rsidRPr="76FD4F24">
              <w:rPr>
                <w:spacing w:val="-8"/>
                <w:sz w:val="20"/>
                <w:szCs w:val="20"/>
                <w:lang w:val="es-CO"/>
              </w:rPr>
              <w:t xml:space="preserve"> </w:t>
            </w:r>
            <w:r w:rsidRPr="76FD4F24">
              <w:rPr>
                <w:sz w:val="20"/>
                <w:szCs w:val="20"/>
                <w:lang w:val="es-CO"/>
              </w:rPr>
              <w:t>acredita</w:t>
            </w:r>
            <w:r w:rsidRPr="76FD4F24">
              <w:rPr>
                <w:spacing w:val="-7"/>
                <w:sz w:val="20"/>
                <w:szCs w:val="20"/>
                <w:lang w:val="es-CO"/>
              </w:rPr>
              <w:t xml:space="preserve"> </w:t>
            </w:r>
            <w:r w:rsidRPr="76FD4F24">
              <w:rPr>
                <w:sz w:val="20"/>
                <w:szCs w:val="20"/>
                <w:lang w:val="es-CO"/>
              </w:rPr>
              <w:t>que</w:t>
            </w:r>
            <w:r w:rsidRPr="76FD4F24">
              <w:rPr>
                <w:spacing w:val="-8"/>
                <w:sz w:val="20"/>
                <w:szCs w:val="20"/>
                <w:lang w:val="es-CO"/>
              </w:rPr>
              <w:t xml:space="preserve"> </w:t>
            </w:r>
            <w:r w:rsidRPr="76FD4F24">
              <w:rPr>
                <w:sz w:val="20"/>
                <w:szCs w:val="20"/>
                <w:lang w:val="es-CO"/>
              </w:rPr>
              <w:t>la</w:t>
            </w:r>
            <w:r w:rsidRPr="76FD4F24">
              <w:rPr>
                <w:spacing w:val="-9"/>
                <w:sz w:val="20"/>
                <w:szCs w:val="20"/>
                <w:lang w:val="es-CO"/>
              </w:rPr>
              <w:t xml:space="preserve"> </w:t>
            </w:r>
            <w:r w:rsidRPr="76FD4F24">
              <w:rPr>
                <w:sz w:val="20"/>
                <w:szCs w:val="20"/>
                <w:lang w:val="es-CO"/>
              </w:rPr>
              <w:t>madre</w:t>
            </w:r>
            <w:r w:rsidRPr="76FD4F24">
              <w:rPr>
                <w:spacing w:val="-8"/>
                <w:sz w:val="20"/>
                <w:szCs w:val="20"/>
                <w:lang w:val="es-CO"/>
              </w:rPr>
              <w:t xml:space="preserve"> </w:t>
            </w:r>
            <w:r w:rsidRPr="76FD4F24">
              <w:rPr>
                <w:sz w:val="20"/>
                <w:szCs w:val="20"/>
                <w:lang w:val="es-CO"/>
              </w:rPr>
              <w:t>disfrutó</w:t>
            </w:r>
            <w:r w:rsidRPr="76FD4F24">
              <w:rPr>
                <w:spacing w:val="-6"/>
                <w:sz w:val="20"/>
                <w:szCs w:val="20"/>
                <w:lang w:val="es-CO"/>
              </w:rPr>
              <w:t xml:space="preserve"> </w:t>
            </w:r>
            <w:r w:rsidRPr="76FD4F24">
              <w:rPr>
                <w:sz w:val="20"/>
                <w:szCs w:val="20"/>
                <w:lang w:val="es-CO"/>
              </w:rPr>
              <w:t>de</w:t>
            </w:r>
            <w:r w:rsidRPr="76FD4F24">
              <w:rPr>
                <w:spacing w:val="-9"/>
                <w:sz w:val="20"/>
                <w:szCs w:val="20"/>
                <w:lang w:val="es-CO"/>
              </w:rPr>
              <w:t xml:space="preserve"> </w:t>
            </w:r>
            <w:r w:rsidRPr="76FD4F24">
              <w:rPr>
                <w:sz w:val="20"/>
                <w:szCs w:val="20"/>
                <w:lang w:val="es-CO"/>
              </w:rPr>
              <w:t>la licencia de maternidad</w:t>
            </w:r>
            <w:r w:rsidRPr="76FD4F24">
              <w:rPr>
                <w:rStyle w:val="Refdenotaalpie"/>
                <w:sz w:val="20"/>
                <w:szCs w:val="20"/>
                <w:lang w:val="es-CO"/>
              </w:rPr>
              <w:footnoteReference w:id="9"/>
            </w:r>
            <w:r w:rsidRPr="76FD4F24">
              <w:rPr>
                <w:sz w:val="20"/>
                <w:szCs w:val="20"/>
                <w:lang w:val="es-CO"/>
              </w:rPr>
              <w:t>.</w:t>
            </w:r>
          </w:p>
          <w:p w14:paraId="4E0EF655" w14:textId="77777777" w:rsidR="004D54CC" w:rsidRDefault="004D54CC" w:rsidP="004D54CC">
            <w:pPr>
              <w:pStyle w:val="TableParagraph"/>
              <w:numPr>
                <w:ilvl w:val="0"/>
                <w:numId w:val="4"/>
              </w:numPr>
              <w:tabs>
                <w:tab w:val="left" w:pos="828"/>
              </w:tabs>
              <w:ind w:right="95"/>
              <w:rPr>
                <w:sz w:val="20"/>
                <w:szCs w:val="20"/>
                <w:lang w:val="es-CO"/>
              </w:rPr>
            </w:pPr>
            <w:r w:rsidRPr="76FD4F24">
              <w:rPr>
                <w:sz w:val="20"/>
                <w:szCs w:val="20"/>
                <w:lang w:val="es-CO"/>
              </w:rPr>
              <w:t>En</w:t>
            </w:r>
            <w:r w:rsidRPr="76FD4F24">
              <w:rPr>
                <w:spacing w:val="-6"/>
                <w:sz w:val="20"/>
                <w:szCs w:val="20"/>
                <w:lang w:val="es-CO"/>
              </w:rPr>
              <w:t xml:space="preserve"> </w:t>
            </w:r>
            <w:r w:rsidRPr="76FD4F24">
              <w:rPr>
                <w:sz w:val="20"/>
                <w:szCs w:val="20"/>
                <w:lang w:val="es-CO"/>
              </w:rPr>
              <w:t>el</w:t>
            </w:r>
            <w:r w:rsidRPr="76FD4F24">
              <w:rPr>
                <w:spacing w:val="-6"/>
                <w:sz w:val="20"/>
                <w:szCs w:val="20"/>
                <w:lang w:val="es-CO"/>
              </w:rPr>
              <w:t xml:space="preserve"> </w:t>
            </w:r>
            <w:r w:rsidRPr="76FD4F24">
              <w:rPr>
                <w:sz w:val="20"/>
                <w:szCs w:val="20"/>
                <w:lang w:val="es-CO"/>
              </w:rPr>
              <w:t>evento</w:t>
            </w:r>
            <w:r w:rsidRPr="76FD4F24">
              <w:rPr>
                <w:spacing w:val="-5"/>
                <w:sz w:val="20"/>
                <w:szCs w:val="20"/>
                <w:lang w:val="es-CO"/>
              </w:rPr>
              <w:t xml:space="preserve"> </w:t>
            </w:r>
            <w:r w:rsidRPr="76FD4F24">
              <w:rPr>
                <w:sz w:val="20"/>
                <w:szCs w:val="20"/>
                <w:lang w:val="es-CO"/>
              </w:rPr>
              <w:t>en</w:t>
            </w:r>
            <w:r w:rsidRPr="76FD4F24">
              <w:rPr>
                <w:spacing w:val="-6"/>
                <w:sz w:val="20"/>
                <w:szCs w:val="20"/>
                <w:lang w:val="es-CO"/>
              </w:rPr>
              <w:t xml:space="preserve"> </w:t>
            </w:r>
            <w:r w:rsidRPr="76FD4F24">
              <w:rPr>
                <w:sz w:val="20"/>
                <w:szCs w:val="20"/>
                <w:lang w:val="es-CO"/>
              </w:rPr>
              <w:t>el</w:t>
            </w:r>
            <w:r w:rsidRPr="76FD4F24">
              <w:rPr>
                <w:spacing w:val="-6"/>
                <w:sz w:val="20"/>
                <w:szCs w:val="20"/>
                <w:lang w:val="es-CO"/>
              </w:rPr>
              <w:t xml:space="preserve"> </w:t>
            </w:r>
            <w:r w:rsidRPr="76FD4F24">
              <w:rPr>
                <w:sz w:val="20"/>
                <w:szCs w:val="20"/>
                <w:lang w:val="es-CO"/>
              </w:rPr>
              <w:t>que</w:t>
            </w:r>
            <w:r w:rsidRPr="76FD4F24">
              <w:rPr>
                <w:spacing w:val="-6"/>
                <w:sz w:val="20"/>
                <w:szCs w:val="20"/>
                <w:lang w:val="es-CO"/>
              </w:rPr>
              <w:t xml:space="preserve"> </w:t>
            </w:r>
            <w:r w:rsidRPr="76FD4F24">
              <w:rPr>
                <w:sz w:val="20"/>
                <w:szCs w:val="20"/>
                <w:lang w:val="es-CO"/>
              </w:rPr>
              <w:t>el</w:t>
            </w:r>
            <w:r w:rsidRPr="76FD4F24">
              <w:rPr>
                <w:spacing w:val="-6"/>
                <w:sz w:val="20"/>
                <w:szCs w:val="20"/>
                <w:lang w:val="es-CO"/>
              </w:rPr>
              <w:t xml:space="preserve"> </w:t>
            </w:r>
            <w:r w:rsidRPr="76FD4F24">
              <w:rPr>
                <w:sz w:val="20"/>
                <w:szCs w:val="20"/>
                <w:lang w:val="es-CO"/>
              </w:rPr>
              <w:t>término</w:t>
            </w:r>
            <w:r w:rsidRPr="76FD4F24">
              <w:rPr>
                <w:spacing w:val="-5"/>
                <w:sz w:val="20"/>
                <w:szCs w:val="20"/>
                <w:lang w:val="es-CO"/>
              </w:rPr>
              <w:t xml:space="preserve"> </w:t>
            </w:r>
            <w:r w:rsidRPr="76FD4F24">
              <w:rPr>
                <w:sz w:val="20"/>
                <w:szCs w:val="20"/>
                <w:lang w:val="es-CO"/>
              </w:rPr>
              <w:t>del</w:t>
            </w:r>
            <w:r w:rsidRPr="76FD4F24">
              <w:rPr>
                <w:spacing w:val="-6"/>
                <w:sz w:val="20"/>
                <w:szCs w:val="20"/>
                <w:lang w:val="es-CO"/>
              </w:rPr>
              <w:t xml:space="preserve"> </w:t>
            </w:r>
            <w:r w:rsidRPr="76FD4F24">
              <w:rPr>
                <w:sz w:val="20"/>
                <w:szCs w:val="20"/>
                <w:lang w:val="es-CO"/>
              </w:rPr>
              <w:t>periodo</w:t>
            </w:r>
            <w:r w:rsidRPr="76FD4F24">
              <w:rPr>
                <w:spacing w:val="-5"/>
                <w:sz w:val="20"/>
                <w:szCs w:val="20"/>
                <w:lang w:val="es-CO"/>
              </w:rPr>
              <w:t xml:space="preserve"> </w:t>
            </w:r>
            <w:r w:rsidRPr="76FD4F24">
              <w:rPr>
                <w:sz w:val="20"/>
                <w:szCs w:val="20"/>
                <w:lang w:val="es-CO"/>
              </w:rPr>
              <w:t>de</w:t>
            </w:r>
            <w:r w:rsidRPr="76FD4F24">
              <w:rPr>
                <w:spacing w:val="-6"/>
                <w:sz w:val="20"/>
                <w:szCs w:val="20"/>
                <w:lang w:val="es-CO"/>
              </w:rPr>
              <w:t xml:space="preserve"> </w:t>
            </w:r>
            <w:r w:rsidRPr="76FD4F24">
              <w:rPr>
                <w:sz w:val="20"/>
                <w:szCs w:val="20"/>
                <w:lang w:val="es-CO"/>
              </w:rPr>
              <w:t>lactancia</w:t>
            </w:r>
            <w:r w:rsidRPr="76FD4F24">
              <w:rPr>
                <w:spacing w:val="-5"/>
                <w:sz w:val="20"/>
                <w:szCs w:val="20"/>
                <w:lang w:val="es-CO"/>
              </w:rPr>
              <w:t xml:space="preserve"> </w:t>
            </w:r>
            <w:r w:rsidRPr="76FD4F24">
              <w:rPr>
                <w:sz w:val="20"/>
                <w:szCs w:val="20"/>
                <w:lang w:val="es-CO"/>
              </w:rPr>
              <w:t>ya haya terminado, procederá el reconocimiento de los honorarios dejados de percibir hasta la terminación de periodo de lactancia</w:t>
            </w:r>
            <w:r w:rsidRPr="76FD4F24">
              <w:rPr>
                <w:rStyle w:val="Refdenotaalpie"/>
                <w:sz w:val="20"/>
                <w:szCs w:val="20"/>
                <w:lang w:val="es-CO"/>
              </w:rPr>
              <w:footnoteReference w:id="10"/>
            </w:r>
            <w:r w:rsidRPr="76FD4F24">
              <w:rPr>
                <w:sz w:val="20"/>
                <w:szCs w:val="20"/>
                <w:lang w:val="es-CO"/>
              </w:rPr>
              <w:t xml:space="preserve">. </w:t>
            </w:r>
          </w:p>
          <w:p w14:paraId="2F0CED60" w14:textId="77777777" w:rsidR="004D54CC" w:rsidRDefault="004D54CC" w:rsidP="009E10DA">
            <w:pPr>
              <w:pStyle w:val="TableParagraph"/>
              <w:tabs>
                <w:tab w:val="left" w:pos="828"/>
              </w:tabs>
              <w:ind w:left="360" w:right="95"/>
              <w:rPr>
                <w:sz w:val="20"/>
                <w:szCs w:val="20"/>
                <w:lang w:val="es-CO"/>
              </w:rPr>
            </w:pPr>
          </w:p>
          <w:p w14:paraId="1DFB5531" w14:textId="77777777" w:rsidR="004D54CC" w:rsidRPr="000952AC" w:rsidRDefault="004D54CC" w:rsidP="009E10DA">
            <w:pPr>
              <w:pStyle w:val="TableParagraph"/>
              <w:tabs>
                <w:tab w:val="left" w:pos="828"/>
              </w:tabs>
              <w:ind w:right="95"/>
              <w:rPr>
                <w:sz w:val="20"/>
                <w:szCs w:val="20"/>
                <w:lang w:val="es-CO"/>
              </w:rPr>
            </w:pPr>
            <w:r w:rsidRPr="76FD4F24">
              <w:rPr>
                <w:sz w:val="20"/>
                <w:szCs w:val="20"/>
                <w:lang w:val="es-CO"/>
              </w:rPr>
              <w:t>En</w:t>
            </w:r>
            <w:r w:rsidRPr="76FD4F24">
              <w:rPr>
                <w:spacing w:val="-10"/>
                <w:sz w:val="20"/>
                <w:szCs w:val="20"/>
                <w:lang w:val="es-CO"/>
              </w:rPr>
              <w:t xml:space="preserve"> </w:t>
            </w:r>
            <w:r w:rsidRPr="76FD4F24">
              <w:rPr>
                <w:sz w:val="20"/>
                <w:szCs w:val="20"/>
                <w:lang w:val="es-CO"/>
              </w:rPr>
              <w:t>todo</w:t>
            </w:r>
            <w:r w:rsidRPr="76FD4F24">
              <w:rPr>
                <w:spacing w:val="-9"/>
                <w:sz w:val="20"/>
                <w:szCs w:val="20"/>
                <w:lang w:val="es-CO"/>
              </w:rPr>
              <w:t xml:space="preserve"> </w:t>
            </w:r>
            <w:r w:rsidRPr="76FD4F24">
              <w:rPr>
                <w:sz w:val="20"/>
                <w:szCs w:val="20"/>
                <w:lang w:val="es-CO"/>
              </w:rPr>
              <w:t>caso,</w:t>
            </w:r>
            <w:r w:rsidRPr="76FD4F24">
              <w:rPr>
                <w:spacing w:val="-9"/>
                <w:sz w:val="20"/>
                <w:szCs w:val="20"/>
                <w:lang w:val="es-CO"/>
              </w:rPr>
              <w:t xml:space="preserve"> </w:t>
            </w:r>
            <w:r w:rsidRPr="76FD4F24">
              <w:rPr>
                <w:sz w:val="20"/>
                <w:szCs w:val="20"/>
                <w:lang w:val="es-CO"/>
              </w:rPr>
              <w:t>el</w:t>
            </w:r>
            <w:r w:rsidRPr="76FD4F24">
              <w:rPr>
                <w:spacing w:val="-10"/>
                <w:sz w:val="20"/>
                <w:szCs w:val="20"/>
                <w:lang w:val="es-CO"/>
              </w:rPr>
              <w:t xml:space="preserve"> </w:t>
            </w:r>
            <w:r w:rsidRPr="76FD4F24">
              <w:rPr>
                <w:sz w:val="20"/>
                <w:szCs w:val="20"/>
                <w:lang w:val="es-CO"/>
              </w:rPr>
              <w:t>juez</w:t>
            </w:r>
            <w:r w:rsidRPr="76FD4F24">
              <w:rPr>
                <w:spacing w:val="-9"/>
                <w:sz w:val="20"/>
                <w:szCs w:val="20"/>
                <w:lang w:val="es-CO"/>
              </w:rPr>
              <w:t xml:space="preserve"> </w:t>
            </w:r>
            <w:r w:rsidRPr="76FD4F24">
              <w:rPr>
                <w:sz w:val="20"/>
                <w:szCs w:val="20"/>
                <w:lang w:val="es-CO"/>
              </w:rPr>
              <w:t>deberá</w:t>
            </w:r>
            <w:r w:rsidRPr="76FD4F24">
              <w:rPr>
                <w:spacing w:val="-9"/>
                <w:sz w:val="20"/>
                <w:szCs w:val="20"/>
                <w:lang w:val="es-CO"/>
              </w:rPr>
              <w:t xml:space="preserve"> </w:t>
            </w:r>
            <w:r w:rsidRPr="76FD4F24">
              <w:rPr>
                <w:sz w:val="20"/>
                <w:szCs w:val="20"/>
                <w:lang w:val="es-CO"/>
              </w:rPr>
              <w:t>estudiar</w:t>
            </w:r>
            <w:r w:rsidRPr="76FD4F24">
              <w:rPr>
                <w:spacing w:val="-8"/>
                <w:sz w:val="20"/>
                <w:szCs w:val="20"/>
                <w:lang w:val="es-CO"/>
              </w:rPr>
              <w:t xml:space="preserve"> </w:t>
            </w:r>
            <w:r w:rsidRPr="76FD4F24">
              <w:rPr>
                <w:sz w:val="20"/>
                <w:szCs w:val="20"/>
                <w:lang w:val="es-CO"/>
              </w:rPr>
              <w:t>la</w:t>
            </w:r>
            <w:r w:rsidRPr="76FD4F24">
              <w:rPr>
                <w:spacing w:val="-10"/>
                <w:sz w:val="20"/>
                <w:szCs w:val="20"/>
                <w:lang w:val="es-CO"/>
              </w:rPr>
              <w:t xml:space="preserve"> </w:t>
            </w:r>
            <w:r w:rsidRPr="76FD4F24">
              <w:rPr>
                <w:sz w:val="20"/>
                <w:szCs w:val="20"/>
                <w:lang w:val="es-CO"/>
              </w:rPr>
              <w:t>procedencia</w:t>
            </w:r>
            <w:r w:rsidRPr="76FD4F24">
              <w:rPr>
                <w:spacing w:val="-7"/>
                <w:sz w:val="20"/>
                <w:szCs w:val="20"/>
                <w:lang w:val="es-CO"/>
              </w:rPr>
              <w:t xml:space="preserve"> </w:t>
            </w:r>
            <w:r w:rsidRPr="76FD4F24">
              <w:rPr>
                <w:sz w:val="20"/>
                <w:szCs w:val="20"/>
                <w:lang w:val="es-CO"/>
              </w:rPr>
              <w:t>de</w:t>
            </w:r>
            <w:r w:rsidRPr="76FD4F24">
              <w:rPr>
                <w:spacing w:val="-10"/>
                <w:sz w:val="20"/>
                <w:szCs w:val="20"/>
                <w:lang w:val="es-CO"/>
              </w:rPr>
              <w:t xml:space="preserve"> </w:t>
            </w:r>
            <w:r w:rsidRPr="76FD4F24">
              <w:rPr>
                <w:sz w:val="20"/>
                <w:szCs w:val="20"/>
                <w:lang w:val="es-CO"/>
              </w:rPr>
              <w:t>cada</w:t>
            </w:r>
            <w:r w:rsidRPr="76FD4F24">
              <w:rPr>
                <w:spacing w:val="-9"/>
                <w:sz w:val="20"/>
                <w:szCs w:val="20"/>
                <w:lang w:val="es-CO"/>
              </w:rPr>
              <w:t xml:space="preserve"> </w:t>
            </w:r>
            <w:r w:rsidRPr="76FD4F24">
              <w:rPr>
                <w:sz w:val="20"/>
                <w:szCs w:val="20"/>
                <w:lang w:val="es-CO"/>
              </w:rPr>
              <w:t>una</w:t>
            </w:r>
            <w:r w:rsidRPr="76FD4F24">
              <w:rPr>
                <w:spacing w:val="-9"/>
                <w:sz w:val="20"/>
                <w:szCs w:val="20"/>
                <w:lang w:val="es-CO"/>
              </w:rPr>
              <w:t xml:space="preserve"> </w:t>
            </w:r>
            <w:r w:rsidRPr="76FD4F24">
              <w:rPr>
                <w:sz w:val="20"/>
                <w:szCs w:val="20"/>
                <w:lang w:val="es-CO"/>
              </w:rPr>
              <w:t>de estas medidas de protección para lo cual tendrá en cuenta las particularidades del caso</w:t>
            </w:r>
            <w:r w:rsidRPr="000952AC">
              <w:rPr>
                <w:rStyle w:val="Refdenotaalpie"/>
                <w:sz w:val="20"/>
                <w:lang w:val="es-CO"/>
              </w:rPr>
              <w:footnoteReference w:id="11"/>
            </w:r>
            <w:r w:rsidRPr="76FD4F24">
              <w:rPr>
                <w:sz w:val="20"/>
                <w:szCs w:val="20"/>
                <w:lang w:val="es-CO"/>
              </w:rPr>
              <w:t>.</w:t>
            </w:r>
          </w:p>
        </w:tc>
      </w:tr>
    </w:tbl>
    <w:p w14:paraId="710F0F52" w14:textId="77777777" w:rsidR="004D54CC" w:rsidRPr="000952AC" w:rsidRDefault="004D54CC" w:rsidP="004D54CC">
      <w:pPr>
        <w:spacing w:after="0"/>
        <w:ind w:left="301" w:right="49"/>
        <w:jc w:val="center"/>
        <w:rPr>
          <w:b/>
          <w:sz w:val="16"/>
        </w:rPr>
      </w:pPr>
      <w:r w:rsidRPr="000952AC">
        <w:rPr>
          <w:b/>
          <w:sz w:val="16"/>
        </w:rPr>
        <w:t>Tabla:</w:t>
      </w:r>
      <w:r w:rsidRPr="000952AC">
        <w:rPr>
          <w:b/>
          <w:spacing w:val="-5"/>
          <w:sz w:val="16"/>
        </w:rPr>
        <w:t xml:space="preserve"> </w:t>
      </w:r>
      <w:r w:rsidRPr="000952AC">
        <w:rPr>
          <w:b/>
          <w:sz w:val="16"/>
        </w:rPr>
        <w:t>Reglas</w:t>
      </w:r>
      <w:r w:rsidRPr="000952AC">
        <w:rPr>
          <w:b/>
          <w:spacing w:val="-5"/>
          <w:sz w:val="16"/>
        </w:rPr>
        <w:t xml:space="preserve"> </w:t>
      </w:r>
      <w:r w:rsidRPr="000952AC">
        <w:rPr>
          <w:b/>
          <w:sz w:val="16"/>
        </w:rPr>
        <w:t>para</w:t>
      </w:r>
      <w:r w:rsidRPr="000952AC">
        <w:rPr>
          <w:b/>
          <w:spacing w:val="-5"/>
          <w:sz w:val="16"/>
        </w:rPr>
        <w:t xml:space="preserve"> </w:t>
      </w:r>
      <w:r w:rsidRPr="000952AC">
        <w:rPr>
          <w:b/>
          <w:sz w:val="16"/>
        </w:rPr>
        <w:t>la</w:t>
      </w:r>
      <w:r w:rsidRPr="000952AC">
        <w:rPr>
          <w:b/>
          <w:spacing w:val="-5"/>
          <w:sz w:val="16"/>
        </w:rPr>
        <w:t xml:space="preserve"> </w:t>
      </w:r>
      <w:r w:rsidRPr="000952AC">
        <w:rPr>
          <w:b/>
          <w:sz w:val="16"/>
        </w:rPr>
        <w:t>protección</w:t>
      </w:r>
      <w:r w:rsidRPr="000952AC">
        <w:rPr>
          <w:b/>
          <w:spacing w:val="-5"/>
          <w:sz w:val="16"/>
        </w:rPr>
        <w:t xml:space="preserve"> </w:t>
      </w:r>
      <w:r w:rsidRPr="000952AC">
        <w:rPr>
          <w:b/>
          <w:sz w:val="16"/>
        </w:rPr>
        <w:t>de</w:t>
      </w:r>
      <w:r w:rsidRPr="000952AC">
        <w:rPr>
          <w:b/>
          <w:spacing w:val="-5"/>
          <w:sz w:val="16"/>
        </w:rPr>
        <w:t xml:space="preserve"> </w:t>
      </w:r>
      <w:r w:rsidRPr="000952AC">
        <w:rPr>
          <w:b/>
          <w:sz w:val="16"/>
        </w:rPr>
        <w:t>la</w:t>
      </w:r>
      <w:r w:rsidRPr="000952AC">
        <w:rPr>
          <w:b/>
          <w:spacing w:val="-5"/>
          <w:sz w:val="16"/>
        </w:rPr>
        <w:t xml:space="preserve"> </w:t>
      </w:r>
      <w:r w:rsidRPr="000952AC">
        <w:rPr>
          <w:b/>
          <w:sz w:val="16"/>
        </w:rPr>
        <w:t>mujer</w:t>
      </w:r>
      <w:r w:rsidRPr="000952AC">
        <w:rPr>
          <w:b/>
          <w:spacing w:val="-5"/>
          <w:sz w:val="16"/>
        </w:rPr>
        <w:t xml:space="preserve"> </w:t>
      </w:r>
      <w:r w:rsidRPr="000952AC">
        <w:rPr>
          <w:b/>
          <w:sz w:val="16"/>
        </w:rPr>
        <w:t>embarazada</w:t>
      </w:r>
      <w:r w:rsidRPr="000952AC">
        <w:rPr>
          <w:b/>
          <w:spacing w:val="-5"/>
          <w:sz w:val="16"/>
        </w:rPr>
        <w:t xml:space="preserve"> </w:t>
      </w:r>
      <w:r w:rsidRPr="000952AC">
        <w:rPr>
          <w:b/>
          <w:sz w:val="16"/>
        </w:rPr>
        <w:t>en</w:t>
      </w:r>
      <w:r w:rsidRPr="000952AC">
        <w:rPr>
          <w:b/>
          <w:spacing w:val="-5"/>
          <w:sz w:val="16"/>
        </w:rPr>
        <w:t xml:space="preserve"> </w:t>
      </w:r>
      <w:r w:rsidRPr="000952AC">
        <w:rPr>
          <w:b/>
          <w:sz w:val="16"/>
        </w:rPr>
        <w:t>contratos</w:t>
      </w:r>
      <w:r w:rsidRPr="000952AC">
        <w:rPr>
          <w:b/>
          <w:spacing w:val="-5"/>
          <w:sz w:val="16"/>
        </w:rPr>
        <w:t xml:space="preserve"> </w:t>
      </w:r>
      <w:r w:rsidRPr="000952AC">
        <w:rPr>
          <w:b/>
          <w:sz w:val="16"/>
        </w:rPr>
        <w:t>de</w:t>
      </w:r>
      <w:r w:rsidRPr="000952AC">
        <w:rPr>
          <w:b/>
          <w:spacing w:val="-5"/>
          <w:sz w:val="16"/>
        </w:rPr>
        <w:t xml:space="preserve"> </w:t>
      </w:r>
      <w:r w:rsidRPr="000952AC">
        <w:rPr>
          <w:b/>
          <w:sz w:val="16"/>
        </w:rPr>
        <w:t>prestación</w:t>
      </w:r>
      <w:r w:rsidRPr="000952AC">
        <w:rPr>
          <w:b/>
          <w:spacing w:val="-5"/>
          <w:sz w:val="16"/>
        </w:rPr>
        <w:t xml:space="preserve"> </w:t>
      </w:r>
      <w:r w:rsidRPr="000952AC">
        <w:rPr>
          <w:b/>
          <w:sz w:val="16"/>
        </w:rPr>
        <w:t>de</w:t>
      </w:r>
      <w:r w:rsidRPr="000952AC">
        <w:rPr>
          <w:b/>
          <w:spacing w:val="-5"/>
          <w:sz w:val="16"/>
        </w:rPr>
        <w:t xml:space="preserve"> </w:t>
      </w:r>
      <w:r w:rsidRPr="000952AC">
        <w:rPr>
          <w:b/>
          <w:sz w:val="16"/>
        </w:rPr>
        <w:t>servicios. – Tomada de la Sentencia T-329 de 2022.</w:t>
      </w:r>
    </w:p>
    <w:p w14:paraId="69CBAEC1" w14:textId="77777777" w:rsidR="004D54CC" w:rsidRPr="00294332" w:rsidRDefault="004D54CC" w:rsidP="004D54CC">
      <w:pPr>
        <w:pStyle w:val="Textoindependiente"/>
        <w:spacing w:after="0" w:line="240" w:lineRule="auto"/>
        <w:ind w:left="709" w:right="709"/>
        <w:jc w:val="both"/>
        <w:rPr>
          <w:rFonts w:ascii="Verdana" w:hAnsi="Verdana"/>
          <w:sz w:val="20"/>
          <w:szCs w:val="20"/>
        </w:rPr>
      </w:pPr>
    </w:p>
    <w:p w14:paraId="45FC0698" w14:textId="77777777" w:rsidR="004D54CC" w:rsidRDefault="004D54CC" w:rsidP="004D54CC">
      <w:pPr>
        <w:pStyle w:val="Textoindependiente"/>
        <w:ind w:firstLine="709"/>
        <w:jc w:val="both"/>
        <w:rPr>
          <w:rFonts w:ascii="Verdana" w:eastAsia="Century Gothic" w:hAnsi="Verdana" w:cs="Century Gothic"/>
          <w:color w:val="000000" w:themeColor="text1"/>
        </w:rPr>
      </w:pPr>
      <w:r>
        <w:rPr>
          <w:rFonts w:ascii="Verdana" w:eastAsia="Arial" w:hAnsi="Verdana" w:cstheme="majorHAnsi"/>
        </w:rPr>
        <w:t xml:space="preserve">ii) </w:t>
      </w:r>
      <w:r>
        <w:rPr>
          <w:rFonts w:ascii="Verdana" w:eastAsia="Century Gothic" w:hAnsi="Verdana" w:cs="Century Gothic"/>
          <w:color w:val="000000" w:themeColor="text1"/>
        </w:rPr>
        <w:t>En relación con la inquietud sobre si se configuraría</w:t>
      </w:r>
      <w:r w:rsidRPr="000A44C0">
        <w:rPr>
          <w:rFonts w:ascii="Verdana" w:eastAsia="Century Gothic" w:hAnsi="Verdana" w:cs="Century Gothic"/>
          <w:color w:val="000000" w:themeColor="text1"/>
        </w:rPr>
        <w:t xml:space="preserve"> una doble asignación presupuestal </w:t>
      </w:r>
      <w:r>
        <w:rPr>
          <w:rFonts w:ascii="Verdana" w:eastAsia="Century Gothic" w:hAnsi="Verdana" w:cs="Century Gothic"/>
          <w:color w:val="000000" w:themeColor="text1"/>
        </w:rPr>
        <w:t>en el evento en que</w:t>
      </w:r>
      <w:r w:rsidRPr="000A44C0">
        <w:rPr>
          <w:rFonts w:ascii="Verdana" w:eastAsia="Century Gothic" w:hAnsi="Verdana" w:cs="Century Gothic"/>
          <w:color w:val="000000" w:themeColor="text1"/>
        </w:rPr>
        <w:t xml:space="preserve"> una contratista en estado de maternidad recib</w:t>
      </w:r>
      <w:r>
        <w:rPr>
          <w:rFonts w:ascii="Verdana" w:eastAsia="Century Gothic" w:hAnsi="Verdana" w:cs="Century Gothic"/>
          <w:color w:val="000000" w:themeColor="text1"/>
        </w:rPr>
        <w:t>iera</w:t>
      </w:r>
      <w:r w:rsidRPr="000A44C0">
        <w:rPr>
          <w:rFonts w:ascii="Verdana" w:eastAsia="Century Gothic" w:hAnsi="Verdana" w:cs="Century Gothic"/>
          <w:color w:val="000000" w:themeColor="text1"/>
        </w:rPr>
        <w:t xml:space="preserve"> simultáneamente los honorarios derivados de su contrato de prestación de servicios y el pago de la licencia de maternidad efectuado por la EPS</w:t>
      </w:r>
      <w:r>
        <w:rPr>
          <w:rFonts w:ascii="Verdana" w:eastAsia="Century Gothic" w:hAnsi="Verdana" w:cs="Century Gothic"/>
          <w:color w:val="000000" w:themeColor="text1"/>
        </w:rPr>
        <w:t>, vale la pena hacer varias precisiones:</w:t>
      </w:r>
    </w:p>
    <w:p w14:paraId="7095BEF2" w14:textId="77777777" w:rsidR="004D54CC" w:rsidRPr="0066450E" w:rsidRDefault="004D54CC" w:rsidP="004D54CC">
      <w:pPr>
        <w:widowControl w:val="0"/>
        <w:autoSpaceDE w:val="0"/>
        <w:autoSpaceDN w:val="0"/>
        <w:spacing w:after="120" w:line="276" w:lineRule="auto"/>
        <w:ind w:firstLine="708"/>
        <w:jc w:val="both"/>
        <w:rPr>
          <w:rFonts w:ascii="Verdana" w:eastAsia="Arial" w:hAnsi="Verdana" w:cs="Arial"/>
          <w:lang w:val="es-ES"/>
        </w:rPr>
      </w:pPr>
      <w:r w:rsidRPr="0066450E">
        <w:rPr>
          <w:rFonts w:ascii="Verdana" w:eastAsia="Arial" w:hAnsi="Verdana" w:cs="Arial"/>
          <w:lang w:val="es-ES"/>
        </w:rPr>
        <w:t xml:space="preserve">Históricamente se ha prohibido que una misma persona reciba </w:t>
      </w:r>
      <w:r w:rsidRPr="0066450E">
        <w:rPr>
          <w:rFonts w:ascii="Verdana" w:eastAsia="Arial" w:hAnsi="Verdana" w:cs="Arial"/>
          <w:i/>
          <w:iCs/>
          <w:lang w:val="es-ES"/>
        </w:rPr>
        <w:t>doble salario</w:t>
      </w:r>
      <w:r w:rsidRPr="0066450E">
        <w:rPr>
          <w:rFonts w:ascii="Verdana" w:eastAsia="Arial" w:hAnsi="Verdana" w:cs="Arial"/>
          <w:lang w:val="es-ES"/>
        </w:rPr>
        <w:t xml:space="preserve"> proveniente del tesoro público</w:t>
      </w:r>
      <w:r w:rsidRPr="0066450E">
        <w:rPr>
          <w:rFonts w:ascii="Verdana" w:eastAsia="Arial" w:hAnsi="Verdana" w:cs="Arial"/>
          <w:vertAlign w:val="superscript"/>
          <w:lang w:val="es-ES"/>
        </w:rPr>
        <w:footnoteReference w:id="12"/>
      </w:r>
      <w:r w:rsidRPr="0066450E">
        <w:rPr>
          <w:rFonts w:ascii="Verdana" w:eastAsia="Arial" w:hAnsi="Verdana" w:cs="Arial"/>
          <w:lang w:val="es-ES"/>
        </w:rPr>
        <w:t xml:space="preserve">, como lo señaló el artículo 1 de la Ley 78 </w:t>
      </w:r>
      <w:r w:rsidRPr="0066450E">
        <w:rPr>
          <w:rFonts w:ascii="Verdana" w:eastAsia="Arial" w:hAnsi="Verdana" w:cs="Arial"/>
          <w:lang w:val="es-ES"/>
        </w:rPr>
        <w:lastRenderedPageBreak/>
        <w:t>de 1931</w:t>
      </w:r>
      <w:r w:rsidRPr="0066450E">
        <w:rPr>
          <w:rFonts w:ascii="Verdana" w:eastAsia="Arial" w:hAnsi="Verdana" w:cs="Arial"/>
          <w:vertAlign w:val="superscript"/>
          <w:lang w:val="es-ES"/>
        </w:rPr>
        <w:footnoteReference w:id="13"/>
      </w:r>
      <w:r w:rsidRPr="0066450E">
        <w:rPr>
          <w:rFonts w:ascii="Verdana" w:eastAsia="Arial" w:hAnsi="Verdana" w:cs="Arial"/>
          <w:lang w:val="es-ES"/>
        </w:rPr>
        <w:t xml:space="preserve"> y el artículo 23 del Acto Legislativo No. 1 de 1936</w:t>
      </w:r>
      <w:r w:rsidRPr="0066450E">
        <w:rPr>
          <w:rFonts w:ascii="Verdana" w:eastAsia="Arial" w:hAnsi="Verdana" w:cs="Arial"/>
          <w:vertAlign w:val="superscript"/>
          <w:lang w:val="es-ES"/>
        </w:rPr>
        <w:footnoteReference w:id="14"/>
      </w:r>
      <w:r w:rsidRPr="0066450E">
        <w:rPr>
          <w:rFonts w:ascii="Verdana" w:eastAsia="Arial" w:hAnsi="Verdana" w:cs="Arial"/>
          <w:lang w:val="es-ES"/>
        </w:rPr>
        <w:t>, donde se prohibió la acumulación de cargos remunerados en un solo funcionario oficial y se reiteró la prohibición de que una misma persona devengue simultáneamente dos o más sueldos de la nación, los departamentos y los municipios.</w:t>
      </w:r>
    </w:p>
    <w:p w14:paraId="3BCB3FED" w14:textId="77777777" w:rsidR="004D54CC" w:rsidRPr="0066450E" w:rsidRDefault="004D54CC" w:rsidP="004D54CC">
      <w:pPr>
        <w:widowControl w:val="0"/>
        <w:autoSpaceDE w:val="0"/>
        <w:autoSpaceDN w:val="0"/>
        <w:spacing w:after="0" w:line="276" w:lineRule="auto"/>
        <w:ind w:firstLine="709"/>
        <w:jc w:val="both"/>
        <w:rPr>
          <w:rFonts w:ascii="Verdana" w:eastAsia="Arial" w:hAnsi="Verdana" w:cs="Arial"/>
          <w:lang w:val="es-ES"/>
        </w:rPr>
      </w:pPr>
      <w:r w:rsidRPr="0066450E">
        <w:rPr>
          <w:rFonts w:ascii="Verdana" w:eastAsia="Arial" w:hAnsi="Verdana" w:cs="Arial"/>
          <w:lang w:val="es-ES"/>
        </w:rPr>
        <w:t>La Constitución Política de Colombia de 1991, en el artículo 128, incluye, de igual forma, la prohibición de recibir más de una asignación que provenga del tesoro público. Al respecto señala la Carta:</w:t>
      </w:r>
    </w:p>
    <w:p w14:paraId="7F60443B" w14:textId="77777777" w:rsidR="004D54CC" w:rsidRPr="0066450E" w:rsidRDefault="004D54CC" w:rsidP="004D54CC">
      <w:pPr>
        <w:widowControl w:val="0"/>
        <w:autoSpaceDE w:val="0"/>
        <w:autoSpaceDN w:val="0"/>
        <w:spacing w:after="0" w:line="276" w:lineRule="auto"/>
        <w:jc w:val="both"/>
        <w:rPr>
          <w:rFonts w:ascii="Verdana" w:eastAsia="Arial" w:hAnsi="Verdana" w:cs="Arial"/>
          <w:lang w:val="es-ES"/>
        </w:rPr>
      </w:pPr>
    </w:p>
    <w:p w14:paraId="2B26832C" w14:textId="77777777" w:rsidR="004D54CC" w:rsidRPr="009C004A" w:rsidRDefault="004D54CC" w:rsidP="004D54CC">
      <w:pPr>
        <w:spacing w:after="0" w:line="240" w:lineRule="auto"/>
        <w:ind w:left="709" w:right="709"/>
        <w:jc w:val="both"/>
        <w:rPr>
          <w:rFonts w:ascii="Verdana" w:eastAsia="Arial" w:hAnsi="Verdana" w:cs="Arial"/>
          <w:sz w:val="20"/>
          <w:szCs w:val="20"/>
          <w:lang w:eastAsia="es-ES"/>
        </w:rPr>
      </w:pPr>
      <w:r w:rsidRPr="009C004A">
        <w:rPr>
          <w:rFonts w:ascii="Verdana" w:eastAsia="Arial" w:hAnsi="Verdana" w:cs="Arial"/>
          <w:sz w:val="20"/>
          <w:szCs w:val="20"/>
          <w:lang w:eastAsia="es-ES"/>
        </w:rPr>
        <w:t>“Artículo 128. Nadie podrá desempeñar simultáneamente más de un empleo público ni recibir más de una asignación que provenga del tesoro público, o de empresas o de instituciones en las que tenga parte mayoritaria el Estado, salvo los casos expresamente determinados por la ley.</w:t>
      </w:r>
    </w:p>
    <w:p w14:paraId="7F82ECA6" w14:textId="77777777" w:rsidR="004D54CC" w:rsidRPr="009C004A" w:rsidRDefault="004D54CC" w:rsidP="004D54CC">
      <w:pPr>
        <w:widowControl w:val="0"/>
        <w:autoSpaceDE w:val="0"/>
        <w:autoSpaceDN w:val="0"/>
        <w:spacing w:after="0" w:line="240" w:lineRule="auto"/>
        <w:ind w:left="709" w:right="709"/>
        <w:jc w:val="both"/>
        <w:rPr>
          <w:rFonts w:ascii="Verdana" w:eastAsia="Arial" w:hAnsi="Verdana" w:cs="Arial"/>
          <w:sz w:val="20"/>
          <w:szCs w:val="20"/>
          <w:lang w:val="es-ES"/>
        </w:rPr>
      </w:pPr>
    </w:p>
    <w:p w14:paraId="5CBD88F3" w14:textId="77777777" w:rsidR="004D54CC" w:rsidRPr="009C004A" w:rsidRDefault="004D54CC" w:rsidP="004D54CC">
      <w:pPr>
        <w:spacing w:after="0" w:line="240" w:lineRule="auto"/>
        <w:ind w:left="709" w:right="709"/>
        <w:jc w:val="both"/>
        <w:rPr>
          <w:rFonts w:ascii="Verdana" w:eastAsia="Arial" w:hAnsi="Verdana" w:cs="Arial"/>
          <w:sz w:val="20"/>
          <w:szCs w:val="20"/>
          <w:lang w:eastAsia="es-ES"/>
        </w:rPr>
      </w:pPr>
      <w:r w:rsidRPr="009C004A">
        <w:rPr>
          <w:rFonts w:ascii="Verdana" w:eastAsia="Arial" w:hAnsi="Verdana" w:cs="Arial"/>
          <w:sz w:val="20"/>
          <w:szCs w:val="20"/>
          <w:lang w:eastAsia="es-ES"/>
        </w:rPr>
        <w:t xml:space="preserve">Entiéndese por tesoro público el de la Nación, el de las entidades territoriales y el de las descentralizadas”. </w:t>
      </w:r>
    </w:p>
    <w:p w14:paraId="6E3BBACD" w14:textId="77777777" w:rsidR="004D54CC" w:rsidRPr="0066450E" w:rsidRDefault="004D54CC" w:rsidP="004D54CC">
      <w:pPr>
        <w:widowControl w:val="0"/>
        <w:autoSpaceDE w:val="0"/>
        <w:autoSpaceDN w:val="0"/>
        <w:spacing w:after="0" w:line="276" w:lineRule="auto"/>
        <w:jc w:val="both"/>
        <w:rPr>
          <w:rFonts w:ascii="Verdana" w:eastAsia="Arial" w:hAnsi="Verdana" w:cs="Arial"/>
          <w:lang w:val="es-ES"/>
        </w:rPr>
      </w:pPr>
    </w:p>
    <w:p w14:paraId="047A333A" w14:textId="77777777" w:rsidR="004D54CC" w:rsidRPr="0066450E" w:rsidRDefault="004D54CC" w:rsidP="004D54CC">
      <w:pPr>
        <w:widowControl w:val="0"/>
        <w:autoSpaceDE w:val="0"/>
        <w:autoSpaceDN w:val="0"/>
        <w:spacing w:after="0" w:line="276" w:lineRule="auto"/>
        <w:ind w:firstLine="709"/>
        <w:jc w:val="both"/>
        <w:rPr>
          <w:rFonts w:ascii="Verdana" w:eastAsia="Arial" w:hAnsi="Verdana" w:cs="Arial"/>
          <w:lang w:val="es-ES"/>
        </w:rPr>
      </w:pPr>
      <w:r w:rsidRPr="0066450E">
        <w:rPr>
          <w:rFonts w:ascii="Verdana" w:eastAsia="Arial" w:hAnsi="Verdana" w:cs="Arial"/>
          <w:lang w:val="es-ES"/>
        </w:rPr>
        <w:t>Esta norma se desarrolló a través del artículo 19 de la Ley 4 de 1992</w:t>
      </w:r>
      <w:r w:rsidRPr="0066450E">
        <w:rPr>
          <w:rFonts w:ascii="Verdana" w:eastAsia="Arial" w:hAnsi="Verdana" w:cs="Arial"/>
          <w:vertAlign w:val="superscript"/>
          <w:lang w:val="es-ES"/>
        </w:rPr>
        <w:footnoteReference w:id="15"/>
      </w:r>
      <w:r w:rsidRPr="0066450E">
        <w:rPr>
          <w:rFonts w:ascii="Verdana" w:eastAsia="Arial" w:hAnsi="Verdana" w:cs="Arial"/>
          <w:lang w:val="es-ES"/>
        </w:rPr>
        <w:t>, precisando la prohibición del artículo 128 y señalando los eventos exceptuados en los que una misma persona puede recibir simultáneamente doble asignación presupuestal. El artículo 19 expresa:</w:t>
      </w:r>
    </w:p>
    <w:p w14:paraId="5F0BE926" w14:textId="77777777" w:rsidR="004D54CC" w:rsidRPr="0066450E" w:rsidRDefault="004D54CC" w:rsidP="004D54CC">
      <w:pPr>
        <w:widowControl w:val="0"/>
        <w:autoSpaceDE w:val="0"/>
        <w:autoSpaceDN w:val="0"/>
        <w:spacing w:after="0" w:line="276" w:lineRule="auto"/>
        <w:jc w:val="both"/>
        <w:rPr>
          <w:rFonts w:ascii="Verdana" w:eastAsia="Arial" w:hAnsi="Verdana" w:cs="Arial"/>
          <w:lang w:val="es-ES"/>
        </w:rPr>
      </w:pPr>
    </w:p>
    <w:p w14:paraId="66FC2FAB" w14:textId="77777777" w:rsidR="004D54CC" w:rsidRPr="00B92C67" w:rsidRDefault="004D54CC" w:rsidP="004D54CC">
      <w:pPr>
        <w:spacing w:after="0" w:line="240" w:lineRule="auto"/>
        <w:ind w:left="709" w:right="709"/>
        <w:jc w:val="both"/>
        <w:rPr>
          <w:rFonts w:ascii="Verdana" w:eastAsia="Arial" w:hAnsi="Verdana" w:cs="Arial"/>
          <w:sz w:val="20"/>
          <w:szCs w:val="20"/>
          <w:lang w:eastAsia="es-ES"/>
        </w:rPr>
      </w:pPr>
      <w:r w:rsidRPr="00B92C67">
        <w:rPr>
          <w:rFonts w:ascii="Verdana" w:eastAsia="Arial" w:hAnsi="Verdana" w:cs="Arial"/>
          <w:sz w:val="20"/>
          <w:szCs w:val="20"/>
          <w:lang w:eastAsia="es-ES"/>
        </w:rPr>
        <w:t>“Artículo 19. Nadie podrá desempeñar simultáneamente más de un empleo público, ni recibir más de una asignación que provenga del Tesoro Público, o de empresas o de instituciones en las que tenga parte mayoritaria el Estado. Exceptúense las siguientes</w:t>
      </w:r>
      <w:r w:rsidRPr="00B92C67">
        <w:rPr>
          <w:rFonts w:ascii="Verdana" w:eastAsia="Arial" w:hAnsi="Verdana" w:cs="Arial"/>
          <w:spacing w:val="-2"/>
          <w:sz w:val="20"/>
          <w:szCs w:val="20"/>
          <w:lang w:eastAsia="es-ES"/>
        </w:rPr>
        <w:t xml:space="preserve"> </w:t>
      </w:r>
      <w:r w:rsidRPr="00B92C67">
        <w:rPr>
          <w:rFonts w:ascii="Verdana" w:eastAsia="Arial" w:hAnsi="Verdana" w:cs="Arial"/>
          <w:sz w:val="20"/>
          <w:szCs w:val="20"/>
          <w:lang w:eastAsia="es-ES"/>
        </w:rPr>
        <w:t>asignaciones:</w:t>
      </w:r>
    </w:p>
    <w:p w14:paraId="73BD9D4B" w14:textId="77777777" w:rsidR="004D54CC" w:rsidRPr="00B92C67" w:rsidRDefault="004D54CC" w:rsidP="004D54CC">
      <w:pPr>
        <w:widowControl w:val="0"/>
        <w:autoSpaceDE w:val="0"/>
        <w:autoSpaceDN w:val="0"/>
        <w:spacing w:after="0" w:line="240" w:lineRule="auto"/>
        <w:ind w:left="709" w:right="709"/>
        <w:jc w:val="both"/>
        <w:rPr>
          <w:rFonts w:ascii="Verdana" w:eastAsia="Arial" w:hAnsi="Verdana" w:cs="Arial"/>
          <w:sz w:val="20"/>
          <w:szCs w:val="20"/>
          <w:lang w:val="es-ES"/>
        </w:rPr>
      </w:pPr>
    </w:p>
    <w:p w14:paraId="4C482ED8" w14:textId="77777777" w:rsidR="004D54CC" w:rsidRPr="00B92C67" w:rsidRDefault="004D54CC" w:rsidP="004D54CC">
      <w:pPr>
        <w:widowControl w:val="0"/>
        <w:numPr>
          <w:ilvl w:val="0"/>
          <w:numId w:val="7"/>
        </w:numPr>
        <w:tabs>
          <w:tab w:val="left" w:pos="1338"/>
        </w:tabs>
        <w:autoSpaceDE w:val="0"/>
        <w:autoSpaceDN w:val="0"/>
        <w:spacing w:after="0" w:line="240" w:lineRule="auto"/>
        <w:ind w:right="709"/>
        <w:jc w:val="both"/>
        <w:rPr>
          <w:rFonts w:ascii="Verdana" w:eastAsia="Arial" w:hAnsi="Verdana" w:cs="Arial"/>
          <w:sz w:val="20"/>
          <w:szCs w:val="20"/>
          <w:lang w:val="es-MX"/>
        </w:rPr>
      </w:pPr>
      <w:r w:rsidRPr="00B92C67">
        <w:rPr>
          <w:rFonts w:ascii="Verdana" w:eastAsia="Arial" w:hAnsi="Verdana" w:cs="Arial"/>
          <w:sz w:val="20"/>
          <w:szCs w:val="20"/>
          <w:lang w:val="es-MX"/>
        </w:rPr>
        <w:t>Las que reciban los profesores universitarios que se desempeñen como asesores de la Rama</w:t>
      </w:r>
      <w:r w:rsidRPr="00B92C67">
        <w:rPr>
          <w:rFonts w:ascii="Verdana" w:eastAsia="Arial" w:hAnsi="Verdana" w:cs="Arial"/>
          <w:spacing w:val="-5"/>
          <w:sz w:val="20"/>
          <w:szCs w:val="20"/>
          <w:lang w:val="es-MX"/>
        </w:rPr>
        <w:t xml:space="preserve"> </w:t>
      </w:r>
      <w:r w:rsidRPr="00B92C67">
        <w:rPr>
          <w:rFonts w:ascii="Verdana" w:eastAsia="Arial" w:hAnsi="Verdana" w:cs="Arial"/>
          <w:sz w:val="20"/>
          <w:szCs w:val="20"/>
          <w:lang w:val="es-MX"/>
        </w:rPr>
        <w:t>Legislativa;</w:t>
      </w:r>
    </w:p>
    <w:p w14:paraId="083A0431" w14:textId="77777777" w:rsidR="004D54CC" w:rsidRPr="00B92C67" w:rsidRDefault="004D54CC" w:rsidP="004D54CC">
      <w:pPr>
        <w:widowControl w:val="0"/>
        <w:numPr>
          <w:ilvl w:val="0"/>
          <w:numId w:val="7"/>
        </w:numPr>
        <w:tabs>
          <w:tab w:val="left" w:pos="1308"/>
        </w:tabs>
        <w:autoSpaceDE w:val="0"/>
        <w:autoSpaceDN w:val="0"/>
        <w:spacing w:after="0" w:line="240" w:lineRule="auto"/>
        <w:ind w:right="709"/>
        <w:jc w:val="both"/>
        <w:rPr>
          <w:rFonts w:ascii="Verdana" w:eastAsia="Arial" w:hAnsi="Verdana" w:cs="Arial"/>
          <w:sz w:val="20"/>
          <w:szCs w:val="20"/>
          <w:lang w:val="es-MX"/>
        </w:rPr>
      </w:pPr>
      <w:r w:rsidRPr="00B92C67">
        <w:rPr>
          <w:rFonts w:ascii="Verdana" w:eastAsia="Arial" w:hAnsi="Verdana" w:cs="Arial"/>
          <w:sz w:val="20"/>
          <w:szCs w:val="20"/>
          <w:lang w:val="es-MX"/>
        </w:rPr>
        <w:t>Las percibidas por el personal con asignación de retiro o pensión militar o policial de la Fuerza</w:t>
      </w:r>
      <w:r w:rsidRPr="00B92C67">
        <w:rPr>
          <w:rFonts w:ascii="Verdana" w:eastAsia="Arial" w:hAnsi="Verdana" w:cs="Arial"/>
          <w:spacing w:val="-5"/>
          <w:sz w:val="20"/>
          <w:szCs w:val="20"/>
          <w:lang w:val="es-MX"/>
        </w:rPr>
        <w:t xml:space="preserve"> </w:t>
      </w:r>
      <w:r w:rsidRPr="00B92C67">
        <w:rPr>
          <w:rFonts w:ascii="Verdana" w:eastAsia="Arial" w:hAnsi="Verdana" w:cs="Arial"/>
          <w:sz w:val="20"/>
          <w:szCs w:val="20"/>
          <w:lang w:val="es-MX"/>
        </w:rPr>
        <w:t>Pública;</w:t>
      </w:r>
    </w:p>
    <w:p w14:paraId="34BF789C" w14:textId="77777777" w:rsidR="004D54CC" w:rsidRPr="00B92C67" w:rsidRDefault="004D54CC" w:rsidP="004D54CC">
      <w:pPr>
        <w:widowControl w:val="0"/>
        <w:numPr>
          <w:ilvl w:val="0"/>
          <w:numId w:val="7"/>
        </w:numPr>
        <w:tabs>
          <w:tab w:val="left" w:pos="1241"/>
        </w:tabs>
        <w:autoSpaceDE w:val="0"/>
        <w:autoSpaceDN w:val="0"/>
        <w:spacing w:after="0" w:line="240" w:lineRule="auto"/>
        <w:ind w:right="709"/>
        <w:jc w:val="both"/>
        <w:rPr>
          <w:rFonts w:ascii="Verdana" w:eastAsia="Arial" w:hAnsi="Verdana" w:cs="Arial"/>
          <w:sz w:val="20"/>
          <w:szCs w:val="20"/>
          <w:lang w:val="es-MX"/>
        </w:rPr>
      </w:pPr>
      <w:r w:rsidRPr="00B92C67">
        <w:rPr>
          <w:rFonts w:ascii="Verdana" w:eastAsia="Arial" w:hAnsi="Verdana" w:cs="Arial"/>
          <w:sz w:val="20"/>
          <w:szCs w:val="20"/>
          <w:lang w:val="es-MX"/>
        </w:rPr>
        <w:t>Las percibidas por concepto de sustitución</w:t>
      </w:r>
      <w:r w:rsidRPr="00B92C67">
        <w:rPr>
          <w:rFonts w:ascii="Verdana" w:eastAsia="Arial" w:hAnsi="Verdana" w:cs="Arial"/>
          <w:spacing w:val="-8"/>
          <w:sz w:val="20"/>
          <w:szCs w:val="20"/>
          <w:lang w:val="es-MX"/>
        </w:rPr>
        <w:t xml:space="preserve"> </w:t>
      </w:r>
      <w:r w:rsidRPr="00B92C67">
        <w:rPr>
          <w:rFonts w:ascii="Verdana" w:eastAsia="Arial" w:hAnsi="Verdana" w:cs="Arial"/>
          <w:sz w:val="20"/>
          <w:szCs w:val="20"/>
          <w:lang w:val="es-MX"/>
        </w:rPr>
        <w:t>pensional;</w:t>
      </w:r>
    </w:p>
    <w:p w14:paraId="3082C3FA" w14:textId="77777777" w:rsidR="004D54CC" w:rsidRPr="00B92C67" w:rsidRDefault="004D54CC" w:rsidP="004D54CC">
      <w:pPr>
        <w:widowControl w:val="0"/>
        <w:numPr>
          <w:ilvl w:val="0"/>
          <w:numId w:val="7"/>
        </w:numPr>
        <w:tabs>
          <w:tab w:val="left" w:pos="1253"/>
        </w:tabs>
        <w:autoSpaceDE w:val="0"/>
        <w:autoSpaceDN w:val="0"/>
        <w:spacing w:after="0" w:line="240" w:lineRule="auto"/>
        <w:ind w:right="709"/>
        <w:jc w:val="both"/>
        <w:rPr>
          <w:rFonts w:ascii="Verdana" w:eastAsia="Arial" w:hAnsi="Verdana" w:cs="Arial"/>
          <w:sz w:val="20"/>
          <w:szCs w:val="20"/>
          <w:lang w:val="es-MX"/>
        </w:rPr>
      </w:pPr>
      <w:r w:rsidRPr="00B92C67">
        <w:rPr>
          <w:rFonts w:ascii="Verdana" w:eastAsia="Arial" w:hAnsi="Verdana" w:cs="Arial"/>
          <w:sz w:val="20"/>
          <w:szCs w:val="20"/>
          <w:lang w:val="es-MX"/>
        </w:rPr>
        <w:lastRenderedPageBreak/>
        <w:t>Los honorarios percibidos por concepto de</w:t>
      </w:r>
      <w:r w:rsidRPr="00B92C67">
        <w:rPr>
          <w:rFonts w:ascii="Verdana" w:eastAsia="Arial" w:hAnsi="Verdana" w:cs="Arial"/>
          <w:spacing w:val="-8"/>
          <w:sz w:val="20"/>
          <w:szCs w:val="20"/>
          <w:lang w:val="es-MX"/>
        </w:rPr>
        <w:t xml:space="preserve"> </w:t>
      </w:r>
      <w:r w:rsidRPr="00B92C67">
        <w:rPr>
          <w:rFonts w:ascii="Verdana" w:eastAsia="Arial" w:hAnsi="Verdana" w:cs="Arial"/>
          <w:sz w:val="20"/>
          <w:szCs w:val="20"/>
          <w:lang w:val="es-MX"/>
        </w:rPr>
        <w:t>hora-cátedra;</w:t>
      </w:r>
    </w:p>
    <w:p w14:paraId="23A5165A" w14:textId="77777777" w:rsidR="004D54CC" w:rsidRPr="00B92C67" w:rsidRDefault="004D54CC" w:rsidP="004D54CC">
      <w:pPr>
        <w:widowControl w:val="0"/>
        <w:numPr>
          <w:ilvl w:val="0"/>
          <w:numId w:val="7"/>
        </w:numPr>
        <w:tabs>
          <w:tab w:val="left" w:pos="1253"/>
        </w:tabs>
        <w:autoSpaceDE w:val="0"/>
        <w:autoSpaceDN w:val="0"/>
        <w:spacing w:after="0" w:line="240" w:lineRule="auto"/>
        <w:ind w:right="709"/>
        <w:jc w:val="both"/>
        <w:rPr>
          <w:rFonts w:ascii="Verdana" w:eastAsia="Arial" w:hAnsi="Verdana" w:cs="Arial"/>
          <w:sz w:val="20"/>
          <w:szCs w:val="20"/>
          <w:lang w:val="es-MX"/>
        </w:rPr>
      </w:pPr>
      <w:r w:rsidRPr="00B92C67">
        <w:rPr>
          <w:rFonts w:ascii="Verdana" w:eastAsia="Arial" w:hAnsi="Verdana" w:cs="Arial"/>
          <w:sz w:val="20"/>
          <w:szCs w:val="20"/>
          <w:lang w:val="es-MX"/>
        </w:rPr>
        <w:t>Los honorarios percibidos por concepto de servicios profesionales de</w:t>
      </w:r>
      <w:r w:rsidRPr="00B92C67">
        <w:rPr>
          <w:rFonts w:ascii="Verdana" w:eastAsia="Arial" w:hAnsi="Verdana" w:cs="Arial"/>
          <w:spacing w:val="-19"/>
          <w:sz w:val="20"/>
          <w:szCs w:val="20"/>
          <w:lang w:val="es-MX"/>
        </w:rPr>
        <w:t xml:space="preserve"> </w:t>
      </w:r>
      <w:r w:rsidRPr="00B92C67">
        <w:rPr>
          <w:rFonts w:ascii="Verdana" w:eastAsia="Arial" w:hAnsi="Verdana" w:cs="Arial"/>
          <w:sz w:val="20"/>
          <w:szCs w:val="20"/>
          <w:lang w:val="es-MX"/>
        </w:rPr>
        <w:t>salud;</w:t>
      </w:r>
    </w:p>
    <w:p w14:paraId="0F574DF2" w14:textId="77777777" w:rsidR="004D54CC" w:rsidRPr="00B92C67" w:rsidRDefault="004D54CC" w:rsidP="004D54CC">
      <w:pPr>
        <w:widowControl w:val="0"/>
        <w:numPr>
          <w:ilvl w:val="0"/>
          <w:numId w:val="7"/>
        </w:numPr>
        <w:tabs>
          <w:tab w:val="left" w:pos="1198"/>
        </w:tabs>
        <w:autoSpaceDE w:val="0"/>
        <w:autoSpaceDN w:val="0"/>
        <w:spacing w:after="0" w:line="240" w:lineRule="auto"/>
        <w:ind w:right="709"/>
        <w:jc w:val="both"/>
        <w:rPr>
          <w:rFonts w:ascii="Verdana" w:eastAsia="Arial" w:hAnsi="Verdana" w:cs="Arial"/>
          <w:sz w:val="20"/>
          <w:szCs w:val="20"/>
          <w:lang w:val="es-MX"/>
        </w:rPr>
      </w:pPr>
      <w:r w:rsidRPr="00B92C67">
        <w:rPr>
          <w:rFonts w:ascii="Verdana" w:eastAsia="Arial" w:hAnsi="Verdana" w:cs="Arial"/>
          <w:sz w:val="20"/>
          <w:szCs w:val="20"/>
          <w:lang w:val="es-MX"/>
        </w:rPr>
        <w:t>Los honorarios percibidos por los miembros de las Juntas Directivas, en razón de su asistencia a las mismas, siempre que no se trate de más de dos</w:t>
      </w:r>
      <w:r w:rsidRPr="00B92C67">
        <w:rPr>
          <w:rFonts w:ascii="Verdana" w:eastAsia="Arial" w:hAnsi="Verdana" w:cs="Arial"/>
          <w:spacing w:val="-18"/>
          <w:sz w:val="20"/>
          <w:szCs w:val="20"/>
          <w:lang w:val="es-MX"/>
        </w:rPr>
        <w:t xml:space="preserve"> </w:t>
      </w:r>
      <w:r w:rsidRPr="00B92C67">
        <w:rPr>
          <w:rFonts w:ascii="Verdana" w:eastAsia="Arial" w:hAnsi="Verdana" w:cs="Arial"/>
          <w:sz w:val="20"/>
          <w:szCs w:val="20"/>
          <w:lang w:val="es-MX"/>
        </w:rPr>
        <w:t>juntas;</w:t>
      </w:r>
    </w:p>
    <w:p w14:paraId="2355E8D3" w14:textId="77777777" w:rsidR="004D54CC" w:rsidRPr="00B92C67" w:rsidRDefault="004D54CC" w:rsidP="004D54CC">
      <w:pPr>
        <w:widowControl w:val="0"/>
        <w:numPr>
          <w:ilvl w:val="0"/>
          <w:numId w:val="7"/>
        </w:numPr>
        <w:tabs>
          <w:tab w:val="left" w:pos="1308"/>
        </w:tabs>
        <w:autoSpaceDE w:val="0"/>
        <w:autoSpaceDN w:val="0"/>
        <w:spacing w:after="0" w:line="240" w:lineRule="auto"/>
        <w:ind w:right="709"/>
        <w:jc w:val="both"/>
        <w:rPr>
          <w:rFonts w:ascii="Verdana" w:eastAsia="Arial" w:hAnsi="Verdana" w:cs="Arial"/>
          <w:sz w:val="20"/>
          <w:szCs w:val="20"/>
          <w:lang w:val="es-MX"/>
        </w:rPr>
      </w:pPr>
      <w:r w:rsidRPr="00B92C67">
        <w:rPr>
          <w:rFonts w:ascii="Verdana" w:eastAsia="Arial" w:hAnsi="Verdana" w:cs="Arial"/>
          <w:sz w:val="20"/>
          <w:szCs w:val="20"/>
          <w:lang w:val="es-MX"/>
        </w:rPr>
        <w:t>Las que a la fecha de entrar en vigencia la presente Ley beneficien a los servidores oficiales docentes</w:t>
      </w:r>
      <w:r w:rsidRPr="00B92C67">
        <w:rPr>
          <w:rFonts w:ascii="Verdana" w:eastAsia="Arial" w:hAnsi="Verdana" w:cs="Arial"/>
          <w:spacing w:val="-4"/>
          <w:sz w:val="20"/>
          <w:szCs w:val="20"/>
          <w:lang w:val="es-MX"/>
        </w:rPr>
        <w:t xml:space="preserve"> </w:t>
      </w:r>
      <w:r w:rsidRPr="00B92C67">
        <w:rPr>
          <w:rFonts w:ascii="Verdana" w:eastAsia="Arial" w:hAnsi="Verdana" w:cs="Arial"/>
          <w:sz w:val="20"/>
          <w:szCs w:val="20"/>
          <w:lang w:val="es-MX"/>
        </w:rPr>
        <w:t>pensionados.</w:t>
      </w:r>
    </w:p>
    <w:p w14:paraId="31D1AB10" w14:textId="77777777" w:rsidR="004D54CC" w:rsidRPr="00B92C67" w:rsidRDefault="004D54CC" w:rsidP="004D54CC">
      <w:pPr>
        <w:widowControl w:val="0"/>
        <w:autoSpaceDE w:val="0"/>
        <w:autoSpaceDN w:val="0"/>
        <w:spacing w:after="0" w:line="240" w:lineRule="auto"/>
        <w:ind w:left="709" w:right="709"/>
        <w:jc w:val="both"/>
        <w:rPr>
          <w:rFonts w:ascii="Verdana" w:eastAsia="Arial" w:hAnsi="Verdana" w:cs="Arial"/>
          <w:sz w:val="20"/>
          <w:szCs w:val="20"/>
          <w:lang w:val="es-ES"/>
        </w:rPr>
      </w:pPr>
    </w:p>
    <w:p w14:paraId="539C586E" w14:textId="77777777" w:rsidR="004D54CC" w:rsidRPr="00B92C67" w:rsidRDefault="004D54CC" w:rsidP="004D54CC">
      <w:pPr>
        <w:spacing w:after="0" w:line="240" w:lineRule="auto"/>
        <w:ind w:left="709" w:right="709"/>
        <w:jc w:val="both"/>
        <w:rPr>
          <w:rFonts w:ascii="Verdana" w:eastAsia="Arial" w:hAnsi="Verdana" w:cs="Arial"/>
          <w:sz w:val="20"/>
          <w:szCs w:val="20"/>
          <w:lang w:eastAsia="es-ES"/>
        </w:rPr>
      </w:pPr>
      <w:r w:rsidRPr="00B92C67">
        <w:rPr>
          <w:rFonts w:ascii="Verdana" w:eastAsia="Arial" w:hAnsi="Verdana" w:cs="Arial"/>
          <w:sz w:val="20"/>
          <w:szCs w:val="20"/>
          <w:lang w:eastAsia="es-ES"/>
        </w:rPr>
        <w:t>Parágrafo. No se podrán recibir honorarios que sumados correspondan a más de ocho (8) horas diarias de trabajo a varias entidades”.</w:t>
      </w:r>
    </w:p>
    <w:p w14:paraId="2FF96913" w14:textId="77777777" w:rsidR="004D54CC" w:rsidRPr="0066450E" w:rsidRDefault="004D54CC" w:rsidP="004D54CC">
      <w:pPr>
        <w:widowControl w:val="0"/>
        <w:autoSpaceDE w:val="0"/>
        <w:autoSpaceDN w:val="0"/>
        <w:spacing w:after="0" w:line="276" w:lineRule="auto"/>
        <w:jc w:val="both"/>
        <w:rPr>
          <w:rFonts w:ascii="Verdana" w:eastAsia="Arial" w:hAnsi="Verdana" w:cs="Arial"/>
          <w:lang w:val="es-ES"/>
        </w:rPr>
      </w:pPr>
    </w:p>
    <w:p w14:paraId="0E40D413" w14:textId="77777777" w:rsidR="004D54CC" w:rsidRPr="0066450E" w:rsidRDefault="004D54CC" w:rsidP="004D54CC">
      <w:pPr>
        <w:widowControl w:val="0"/>
        <w:autoSpaceDE w:val="0"/>
        <w:autoSpaceDN w:val="0"/>
        <w:spacing w:after="120" w:line="276" w:lineRule="auto"/>
        <w:ind w:firstLine="709"/>
        <w:jc w:val="both"/>
        <w:rPr>
          <w:rFonts w:ascii="Verdana" w:eastAsia="Arial" w:hAnsi="Verdana" w:cs="Arial"/>
          <w:lang w:val="es-ES"/>
        </w:rPr>
      </w:pPr>
      <w:r w:rsidRPr="0066450E">
        <w:rPr>
          <w:rFonts w:ascii="Verdana" w:eastAsia="Arial" w:hAnsi="Verdana" w:cs="Arial"/>
          <w:lang w:val="es-ES"/>
        </w:rPr>
        <w:t>De conformidad con el artículo 128 de la Carta y con la Ley 4 de 1992, la prohibición de recibir doble asignación está directamente relacionada con las personas que ejercen empleos públicos. Al respecto, la Sala de Consulta y Servicio Civil del Consejo de Estado, en</w:t>
      </w:r>
      <w:r w:rsidRPr="0066450E">
        <w:rPr>
          <w:rFonts w:ascii="Verdana" w:eastAsia="Arial" w:hAnsi="Verdana" w:cs="Arial"/>
          <w:spacing w:val="53"/>
          <w:lang w:val="es-ES"/>
        </w:rPr>
        <w:t xml:space="preserve"> </w:t>
      </w:r>
      <w:r w:rsidRPr="0066450E">
        <w:rPr>
          <w:rFonts w:ascii="Verdana" w:eastAsia="Arial" w:hAnsi="Verdana" w:cs="Arial"/>
          <w:lang w:val="es-ES"/>
        </w:rPr>
        <w:t>concepto</w:t>
      </w:r>
      <w:r w:rsidRPr="0066450E">
        <w:rPr>
          <w:rFonts w:ascii="Verdana" w:eastAsia="Arial" w:hAnsi="Verdana" w:cs="Arial"/>
          <w:spacing w:val="54"/>
          <w:lang w:val="es-ES"/>
        </w:rPr>
        <w:t xml:space="preserve"> </w:t>
      </w:r>
      <w:r w:rsidRPr="0066450E">
        <w:rPr>
          <w:rFonts w:ascii="Verdana" w:eastAsia="Arial" w:hAnsi="Verdana" w:cs="Arial"/>
          <w:lang w:val="es-ES"/>
        </w:rPr>
        <w:t>No</w:t>
      </w:r>
      <w:r w:rsidRPr="0066450E">
        <w:rPr>
          <w:rFonts w:ascii="Verdana" w:eastAsia="Arial" w:hAnsi="Verdana" w:cs="Arial"/>
          <w:spacing w:val="54"/>
          <w:lang w:val="es-ES"/>
        </w:rPr>
        <w:t xml:space="preserve"> </w:t>
      </w:r>
      <w:r w:rsidRPr="0066450E">
        <w:rPr>
          <w:rFonts w:ascii="Verdana" w:eastAsia="Arial" w:hAnsi="Verdana" w:cs="Arial"/>
          <w:lang w:val="es-ES"/>
        </w:rPr>
        <w:t>1.344,</w:t>
      </w:r>
      <w:r w:rsidRPr="0066450E">
        <w:rPr>
          <w:rFonts w:ascii="Verdana" w:eastAsia="Arial" w:hAnsi="Verdana" w:cs="Arial"/>
          <w:spacing w:val="54"/>
          <w:lang w:val="es-ES"/>
        </w:rPr>
        <w:t xml:space="preserve"> </w:t>
      </w:r>
      <w:r w:rsidRPr="0066450E">
        <w:rPr>
          <w:rFonts w:ascii="Verdana" w:eastAsia="Arial" w:hAnsi="Verdana" w:cs="Arial"/>
          <w:lang w:val="es-ES"/>
        </w:rPr>
        <w:t>del</w:t>
      </w:r>
      <w:r w:rsidRPr="0066450E">
        <w:rPr>
          <w:rFonts w:ascii="Verdana" w:eastAsia="Arial" w:hAnsi="Verdana" w:cs="Arial"/>
          <w:spacing w:val="55"/>
          <w:lang w:val="es-ES"/>
        </w:rPr>
        <w:t xml:space="preserve"> </w:t>
      </w:r>
      <w:r w:rsidRPr="0066450E">
        <w:rPr>
          <w:rFonts w:ascii="Verdana" w:eastAsia="Arial" w:hAnsi="Verdana" w:cs="Arial"/>
          <w:lang w:val="es-ES"/>
        </w:rPr>
        <w:t>10</w:t>
      </w:r>
      <w:r w:rsidRPr="0066450E">
        <w:rPr>
          <w:rFonts w:ascii="Verdana" w:eastAsia="Arial" w:hAnsi="Verdana" w:cs="Arial"/>
          <w:spacing w:val="54"/>
          <w:lang w:val="es-ES"/>
        </w:rPr>
        <w:t xml:space="preserve"> </w:t>
      </w:r>
      <w:r w:rsidRPr="0066450E">
        <w:rPr>
          <w:rFonts w:ascii="Verdana" w:eastAsia="Arial" w:hAnsi="Verdana" w:cs="Arial"/>
          <w:lang w:val="es-ES"/>
        </w:rPr>
        <w:t>de</w:t>
      </w:r>
      <w:r w:rsidRPr="0066450E">
        <w:rPr>
          <w:rFonts w:ascii="Verdana" w:eastAsia="Arial" w:hAnsi="Verdana" w:cs="Arial"/>
          <w:spacing w:val="53"/>
          <w:lang w:val="es-ES"/>
        </w:rPr>
        <w:t xml:space="preserve"> </w:t>
      </w:r>
      <w:r w:rsidRPr="0066450E">
        <w:rPr>
          <w:rFonts w:ascii="Verdana" w:eastAsia="Arial" w:hAnsi="Verdana" w:cs="Arial"/>
          <w:lang w:val="es-ES"/>
        </w:rPr>
        <w:t>mayo</w:t>
      </w:r>
      <w:r w:rsidRPr="0066450E">
        <w:rPr>
          <w:rFonts w:ascii="Verdana" w:eastAsia="Arial" w:hAnsi="Verdana" w:cs="Arial"/>
          <w:spacing w:val="54"/>
          <w:lang w:val="es-ES"/>
        </w:rPr>
        <w:t xml:space="preserve"> </w:t>
      </w:r>
      <w:r w:rsidRPr="0066450E">
        <w:rPr>
          <w:rFonts w:ascii="Verdana" w:eastAsia="Arial" w:hAnsi="Verdana" w:cs="Arial"/>
          <w:lang w:val="es-ES"/>
        </w:rPr>
        <w:t>de</w:t>
      </w:r>
      <w:r w:rsidRPr="0066450E">
        <w:rPr>
          <w:rFonts w:ascii="Verdana" w:eastAsia="Arial" w:hAnsi="Verdana" w:cs="Arial"/>
          <w:spacing w:val="54"/>
          <w:lang w:val="es-ES"/>
        </w:rPr>
        <w:t xml:space="preserve"> </w:t>
      </w:r>
      <w:r w:rsidRPr="0066450E">
        <w:rPr>
          <w:rFonts w:ascii="Verdana" w:eastAsia="Arial" w:hAnsi="Verdana" w:cs="Arial"/>
          <w:lang w:val="es-ES"/>
        </w:rPr>
        <w:t>2001,</w:t>
      </w:r>
      <w:r w:rsidRPr="0066450E">
        <w:rPr>
          <w:rFonts w:ascii="Verdana" w:eastAsia="Arial" w:hAnsi="Verdana" w:cs="Arial"/>
          <w:spacing w:val="52"/>
          <w:lang w:val="es-ES"/>
        </w:rPr>
        <w:t xml:space="preserve"> </w:t>
      </w:r>
      <w:r w:rsidRPr="0066450E">
        <w:rPr>
          <w:rFonts w:ascii="Verdana" w:eastAsia="Arial" w:hAnsi="Verdana" w:cs="Arial"/>
          <w:lang w:val="es-ES"/>
        </w:rPr>
        <w:t>con</w:t>
      </w:r>
      <w:r w:rsidRPr="0066450E">
        <w:rPr>
          <w:rFonts w:ascii="Verdana" w:eastAsia="Arial" w:hAnsi="Verdana" w:cs="Arial"/>
          <w:spacing w:val="53"/>
          <w:lang w:val="es-ES"/>
        </w:rPr>
        <w:t xml:space="preserve"> </w:t>
      </w:r>
      <w:r w:rsidRPr="0066450E">
        <w:rPr>
          <w:rFonts w:ascii="Verdana" w:eastAsia="Arial" w:hAnsi="Verdana" w:cs="Arial"/>
          <w:lang w:val="es-ES"/>
        </w:rPr>
        <w:t>ponencia</w:t>
      </w:r>
      <w:r w:rsidRPr="0066450E">
        <w:rPr>
          <w:rFonts w:ascii="Verdana" w:eastAsia="Arial" w:hAnsi="Verdana" w:cs="Arial"/>
          <w:spacing w:val="54"/>
          <w:lang w:val="es-ES"/>
        </w:rPr>
        <w:t xml:space="preserve"> </w:t>
      </w:r>
      <w:r w:rsidRPr="0066450E">
        <w:rPr>
          <w:rFonts w:ascii="Verdana" w:eastAsia="Arial" w:hAnsi="Verdana" w:cs="Arial"/>
          <w:lang w:val="es-ES"/>
        </w:rPr>
        <w:t>del</w:t>
      </w:r>
      <w:r w:rsidRPr="0066450E">
        <w:rPr>
          <w:rFonts w:ascii="Verdana" w:eastAsia="Arial" w:hAnsi="Verdana" w:cs="Arial"/>
          <w:spacing w:val="55"/>
          <w:lang w:val="es-ES"/>
        </w:rPr>
        <w:t xml:space="preserve"> </w:t>
      </w:r>
      <w:r w:rsidRPr="0066450E">
        <w:rPr>
          <w:rFonts w:ascii="Verdana" w:eastAsia="Arial" w:hAnsi="Verdana" w:cs="Arial"/>
          <w:lang w:val="es-ES"/>
        </w:rPr>
        <w:t>Consejero</w:t>
      </w:r>
      <w:r w:rsidRPr="0066450E">
        <w:rPr>
          <w:rFonts w:ascii="Verdana" w:eastAsia="Arial" w:hAnsi="Verdana" w:cs="Arial"/>
          <w:spacing w:val="59"/>
          <w:lang w:val="es-ES"/>
        </w:rPr>
        <w:t xml:space="preserve"> </w:t>
      </w:r>
      <w:r w:rsidRPr="0066450E">
        <w:rPr>
          <w:rFonts w:ascii="Verdana" w:eastAsia="Arial" w:hAnsi="Verdana" w:cs="Arial"/>
          <w:lang w:val="es-ES"/>
        </w:rPr>
        <w:t>Flavio Augusto Rodríguez Arce, estudió la expresión “asignación” que se encuentra en la norma constitucional, expresando que tiene relación “con el ejercicio de empleos en el sector oficial o con el pago de prestaciones provenientes del ejercicio de estos empleos”. De igual forma, expresó que las asignaciones a las que hace relación el artículo 128 de la Constitución y el artículo 19 de la Ley 4 de 1992 comprenden salarios, prestaciones sociales y “toda clase de remuneración que tenga como fundamento un vínculo o relación laboral con entidades del Estado”.</w:t>
      </w:r>
    </w:p>
    <w:p w14:paraId="68148C08" w14:textId="77777777" w:rsidR="004D54CC" w:rsidRPr="0066450E" w:rsidRDefault="004D54CC" w:rsidP="004D54CC">
      <w:pPr>
        <w:widowControl w:val="0"/>
        <w:autoSpaceDE w:val="0"/>
        <w:autoSpaceDN w:val="0"/>
        <w:spacing w:after="0" w:line="276" w:lineRule="auto"/>
        <w:ind w:firstLine="709"/>
        <w:jc w:val="both"/>
        <w:rPr>
          <w:rFonts w:ascii="Verdana" w:eastAsia="Arial" w:hAnsi="Verdana" w:cs="Arial"/>
          <w:lang w:val="es-ES"/>
        </w:rPr>
      </w:pPr>
      <w:r w:rsidRPr="0066450E">
        <w:rPr>
          <w:rFonts w:ascii="Verdana" w:eastAsia="Arial" w:hAnsi="Verdana" w:cs="Arial"/>
          <w:lang w:val="es-ES"/>
        </w:rPr>
        <w:t>La Corte Constitucional, en la sentencia C-133 del 1 de abril de 1993, Magistrado Ponente Vladimiro Naranjo Mesa, analizó la demanda de inconstitucionalidad contra el artículo 19 de la Ley 4 de 1992. Señaló que la expresión “asignación” comprende todo tipo de remuneración que proviene del tesoro</w:t>
      </w:r>
      <w:r w:rsidRPr="0066450E">
        <w:rPr>
          <w:rFonts w:ascii="Verdana" w:eastAsia="Arial" w:hAnsi="Verdana" w:cs="Arial"/>
          <w:spacing w:val="-8"/>
          <w:lang w:val="es-ES"/>
        </w:rPr>
        <w:t xml:space="preserve"> </w:t>
      </w:r>
      <w:r w:rsidRPr="0066450E">
        <w:rPr>
          <w:rFonts w:ascii="Verdana" w:eastAsia="Arial" w:hAnsi="Verdana" w:cs="Arial"/>
          <w:lang w:val="es-ES"/>
        </w:rPr>
        <w:t>público:</w:t>
      </w:r>
    </w:p>
    <w:p w14:paraId="774CF268" w14:textId="77777777" w:rsidR="004D54CC" w:rsidRPr="0066450E" w:rsidRDefault="004D54CC" w:rsidP="004D54CC">
      <w:pPr>
        <w:widowControl w:val="0"/>
        <w:autoSpaceDE w:val="0"/>
        <w:autoSpaceDN w:val="0"/>
        <w:spacing w:after="0" w:line="276" w:lineRule="auto"/>
        <w:jc w:val="both"/>
        <w:rPr>
          <w:rFonts w:ascii="Verdana" w:eastAsia="Arial" w:hAnsi="Verdana" w:cs="Arial"/>
          <w:lang w:val="es-ES"/>
        </w:rPr>
      </w:pPr>
    </w:p>
    <w:p w14:paraId="5DFC8860" w14:textId="77777777" w:rsidR="004D54CC" w:rsidRPr="00DE5F8D" w:rsidRDefault="004D54CC" w:rsidP="004D54CC">
      <w:pPr>
        <w:spacing w:after="0" w:line="240" w:lineRule="auto"/>
        <w:ind w:left="709" w:right="709"/>
        <w:jc w:val="both"/>
        <w:rPr>
          <w:rFonts w:ascii="Verdana" w:eastAsia="Arial" w:hAnsi="Verdana" w:cs="Arial"/>
          <w:sz w:val="20"/>
          <w:szCs w:val="20"/>
          <w:lang w:eastAsia="es-ES"/>
        </w:rPr>
      </w:pPr>
      <w:r w:rsidRPr="00DE5F8D">
        <w:rPr>
          <w:rFonts w:ascii="Verdana" w:eastAsia="Arial" w:hAnsi="Verdana" w:cs="Arial"/>
          <w:sz w:val="20"/>
          <w:szCs w:val="20"/>
          <w:lang w:eastAsia="es-ES"/>
        </w:rPr>
        <w:t xml:space="preserve">“Si bien es cierto que en el artículo 128 C.P. se consagra una incompatibilidad, no lo es menos que ésta se encuentra en íntima relación de conexidad con la remuneración de los servidores estatales; basta ver que en ella se prohíbe la concurrencia de dos o más cargos públicos en una misma persona, tanto como recibir más de una asignación que provenga del erario público. El término "asignación” comprende toda clase de remuneración que emane del tesoro público, llámese sueldo, honorario, mesada pensional, etc. Siendo así, bien podía el legislador ordinario establecer dicha incompatibilidad dentro de la citada Ley 4a. de 1992, sin contrariar mandato constitucional alguno. Aún en el remoto caso de que se hubiere concluido que el régimen de inhabilidades e incompatibilidades </w:t>
      </w:r>
      <w:r w:rsidRPr="00DE5F8D">
        <w:rPr>
          <w:rFonts w:ascii="Verdana" w:eastAsia="Arial" w:hAnsi="Verdana" w:cs="Arial"/>
          <w:sz w:val="20"/>
          <w:szCs w:val="20"/>
          <w:lang w:eastAsia="es-ES"/>
        </w:rPr>
        <w:lastRenderedPageBreak/>
        <w:t>para los funcionarios públicos debía ser regulado por medio de ley ordinaria, el artículo 19, objeto de acusación, tampoco sería inconstitucional, por cuanto el legislador estaba perfectamente facultado para hacerlo”.</w:t>
      </w:r>
    </w:p>
    <w:p w14:paraId="3C08A9CF" w14:textId="77777777" w:rsidR="004D54CC" w:rsidRPr="0066450E" w:rsidRDefault="004D54CC" w:rsidP="004D54CC">
      <w:pPr>
        <w:widowControl w:val="0"/>
        <w:autoSpaceDE w:val="0"/>
        <w:autoSpaceDN w:val="0"/>
        <w:spacing w:after="0" w:line="276" w:lineRule="auto"/>
        <w:jc w:val="both"/>
        <w:rPr>
          <w:rFonts w:ascii="Verdana" w:eastAsia="Arial" w:hAnsi="Verdana" w:cs="Arial"/>
          <w:lang w:val="es-ES"/>
        </w:rPr>
      </w:pPr>
    </w:p>
    <w:p w14:paraId="3367495C" w14:textId="77777777" w:rsidR="004D54CC" w:rsidRPr="0066450E" w:rsidRDefault="004D54CC" w:rsidP="004D54CC">
      <w:pPr>
        <w:widowControl w:val="0"/>
        <w:autoSpaceDE w:val="0"/>
        <w:autoSpaceDN w:val="0"/>
        <w:spacing w:after="120" w:line="276" w:lineRule="auto"/>
        <w:ind w:firstLine="708"/>
        <w:jc w:val="both"/>
        <w:rPr>
          <w:rFonts w:ascii="Verdana" w:eastAsia="Arial" w:hAnsi="Verdana" w:cs="Arial"/>
          <w:lang w:val="es-ES"/>
        </w:rPr>
      </w:pPr>
      <w:r w:rsidRPr="0066450E">
        <w:rPr>
          <w:rFonts w:ascii="Verdana" w:eastAsia="Arial" w:hAnsi="Verdana" w:cs="Arial"/>
          <w:lang w:val="es-ES"/>
        </w:rPr>
        <w:t>En el concepto citado anteriormente, la Sala consideró necesario utilizar diferentes criterios de interpretación de estas normas, toda vez que le permitirían concluir que la finalidad de la norma está dirigida a: i) prevenir que existan en una misma persona más de un empleo público remunerado, con la acumulación de funciones públicas y ii) evitar que un funcionario público reciba otra asignación proveniente del tesoro público, además de su salario, y por consiguiente la necesidad de prohibir constitucionalmente la doble asignación que emane del tesoro</w:t>
      </w:r>
      <w:r w:rsidRPr="0066450E">
        <w:rPr>
          <w:rFonts w:ascii="Verdana" w:eastAsia="Arial" w:hAnsi="Verdana" w:cs="Arial"/>
          <w:spacing w:val="-6"/>
          <w:lang w:val="es-ES"/>
        </w:rPr>
        <w:t xml:space="preserve"> </w:t>
      </w:r>
      <w:r w:rsidRPr="0066450E">
        <w:rPr>
          <w:rFonts w:ascii="Verdana" w:eastAsia="Arial" w:hAnsi="Verdana" w:cs="Arial"/>
          <w:lang w:val="es-ES"/>
        </w:rPr>
        <w:t>público.</w:t>
      </w:r>
    </w:p>
    <w:p w14:paraId="1C761C20" w14:textId="77777777" w:rsidR="004D54CC" w:rsidRPr="0066450E" w:rsidRDefault="004D54CC" w:rsidP="004D54CC">
      <w:pPr>
        <w:widowControl w:val="0"/>
        <w:autoSpaceDE w:val="0"/>
        <w:autoSpaceDN w:val="0"/>
        <w:spacing w:after="120" w:line="276" w:lineRule="auto"/>
        <w:ind w:firstLine="708"/>
        <w:jc w:val="both"/>
        <w:rPr>
          <w:rFonts w:ascii="Verdana" w:eastAsia="Arial" w:hAnsi="Verdana" w:cs="Arial"/>
          <w:lang w:val="es-ES"/>
        </w:rPr>
      </w:pPr>
      <w:r w:rsidRPr="0066450E">
        <w:rPr>
          <w:rFonts w:ascii="Verdana" w:eastAsia="Arial" w:hAnsi="Verdana" w:cs="Arial"/>
          <w:lang w:val="es-ES"/>
        </w:rPr>
        <w:t>Finalmente, la Sala precisó que si bien lo anterior se relaciona con los empleos públicos, no se puede olvidar lo previsto en el artículo 123 de la Constitución Política, que incluye en la clasificación de servidores públicos a los miembros de las corporaciones públicas, quienes no son empleados públicos ni tienen un vínculo laboral con el Estado, pero que de conformidad</w:t>
      </w:r>
      <w:r w:rsidRPr="0066450E">
        <w:rPr>
          <w:rFonts w:ascii="Verdana" w:eastAsia="Arial" w:hAnsi="Verdana" w:cs="Arial"/>
          <w:spacing w:val="17"/>
          <w:lang w:val="es-ES"/>
        </w:rPr>
        <w:t xml:space="preserve"> </w:t>
      </w:r>
      <w:r w:rsidRPr="0066450E">
        <w:rPr>
          <w:rFonts w:ascii="Verdana" w:eastAsia="Arial" w:hAnsi="Verdana" w:cs="Arial"/>
          <w:lang w:val="es-ES"/>
        </w:rPr>
        <w:t>con</w:t>
      </w:r>
      <w:r w:rsidRPr="0066450E">
        <w:rPr>
          <w:rFonts w:ascii="Verdana" w:eastAsia="Arial" w:hAnsi="Verdana" w:cs="Arial"/>
          <w:spacing w:val="18"/>
          <w:lang w:val="es-ES"/>
        </w:rPr>
        <w:t xml:space="preserve"> </w:t>
      </w:r>
      <w:r w:rsidRPr="0066450E">
        <w:rPr>
          <w:rFonts w:ascii="Verdana" w:eastAsia="Arial" w:hAnsi="Verdana" w:cs="Arial"/>
          <w:lang w:val="es-ES"/>
        </w:rPr>
        <w:t>las</w:t>
      </w:r>
      <w:r w:rsidRPr="0066450E">
        <w:rPr>
          <w:rFonts w:ascii="Verdana" w:eastAsia="Arial" w:hAnsi="Verdana" w:cs="Arial"/>
          <w:spacing w:val="18"/>
          <w:lang w:val="es-ES"/>
        </w:rPr>
        <w:t xml:space="preserve"> </w:t>
      </w:r>
      <w:r w:rsidRPr="0066450E">
        <w:rPr>
          <w:rFonts w:ascii="Verdana" w:eastAsia="Arial" w:hAnsi="Verdana" w:cs="Arial"/>
          <w:lang w:val="es-ES"/>
        </w:rPr>
        <w:t>normas</w:t>
      </w:r>
      <w:r w:rsidRPr="0066450E">
        <w:rPr>
          <w:rFonts w:ascii="Verdana" w:eastAsia="Arial" w:hAnsi="Verdana" w:cs="Arial"/>
          <w:spacing w:val="17"/>
          <w:lang w:val="es-ES"/>
        </w:rPr>
        <w:t xml:space="preserve"> </w:t>
      </w:r>
      <w:r w:rsidRPr="0066450E">
        <w:rPr>
          <w:rFonts w:ascii="Verdana" w:eastAsia="Arial" w:hAnsi="Verdana" w:cs="Arial"/>
          <w:lang w:val="es-ES"/>
        </w:rPr>
        <w:t>especiales</w:t>
      </w:r>
      <w:r w:rsidRPr="0066450E">
        <w:rPr>
          <w:rFonts w:ascii="Verdana" w:eastAsia="Arial" w:hAnsi="Verdana" w:cs="Arial"/>
          <w:spacing w:val="19"/>
          <w:lang w:val="es-ES"/>
        </w:rPr>
        <w:t xml:space="preserve"> </w:t>
      </w:r>
      <w:r w:rsidRPr="0066450E">
        <w:rPr>
          <w:rFonts w:ascii="Verdana" w:eastAsia="Arial" w:hAnsi="Verdana" w:cs="Arial"/>
          <w:lang w:val="es-ES"/>
        </w:rPr>
        <w:t>para</w:t>
      </w:r>
      <w:r w:rsidRPr="0066450E">
        <w:rPr>
          <w:rFonts w:ascii="Verdana" w:eastAsia="Arial" w:hAnsi="Verdana" w:cs="Arial"/>
          <w:spacing w:val="16"/>
          <w:lang w:val="es-ES"/>
        </w:rPr>
        <w:t xml:space="preserve"> </w:t>
      </w:r>
      <w:r w:rsidRPr="0066450E">
        <w:rPr>
          <w:rFonts w:ascii="Verdana" w:eastAsia="Arial" w:hAnsi="Verdana" w:cs="Arial"/>
          <w:lang w:val="es-ES"/>
        </w:rPr>
        <w:t>cada</w:t>
      </w:r>
      <w:r w:rsidRPr="0066450E">
        <w:rPr>
          <w:rFonts w:ascii="Verdana" w:eastAsia="Arial" w:hAnsi="Verdana" w:cs="Arial"/>
          <w:spacing w:val="19"/>
          <w:lang w:val="es-ES"/>
        </w:rPr>
        <w:t xml:space="preserve"> </w:t>
      </w:r>
      <w:r w:rsidRPr="0066450E">
        <w:rPr>
          <w:rFonts w:ascii="Verdana" w:eastAsia="Arial" w:hAnsi="Verdana" w:cs="Arial"/>
          <w:lang w:val="es-ES"/>
        </w:rPr>
        <w:t>respectivo</w:t>
      </w:r>
      <w:r w:rsidRPr="0066450E">
        <w:rPr>
          <w:rFonts w:ascii="Verdana" w:eastAsia="Arial" w:hAnsi="Verdana" w:cs="Arial"/>
          <w:spacing w:val="17"/>
          <w:lang w:val="es-ES"/>
        </w:rPr>
        <w:t xml:space="preserve"> </w:t>
      </w:r>
      <w:r w:rsidRPr="0066450E">
        <w:rPr>
          <w:rFonts w:ascii="Verdana" w:eastAsia="Arial" w:hAnsi="Verdana" w:cs="Arial"/>
          <w:lang w:val="es-ES"/>
        </w:rPr>
        <w:t>miembro</w:t>
      </w:r>
      <w:r w:rsidRPr="0066450E">
        <w:rPr>
          <w:rFonts w:ascii="Verdana" w:eastAsia="Arial" w:hAnsi="Verdana" w:cs="Arial"/>
          <w:spacing w:val="17"/>
          <w:lang w:val="es-ES"/>
        </w:rPr>
        <w:t xml:space="preserve"> </w:t>
      </w:r>
      <w:r w:rsidRPr="0066450E">
        <w:rPr>
          <w:rFonts w:ascii="Verdana" w:eastAsia="Arial" w:hAnsi="Verdana" w:cs="Arial"/>
          <w:lang w:val="es-ES"/>
        </w:rPr>
        <w:t>de</w:t>
      </w:r>
      <w:r w:rsidRPr="0066450E">
        <w:rPr>
          <w:rFonts w:ascii="Verdana" w:eastAsia="Arial" w:hAnsi="Verdana" w:cs="Arial"/>
          <w:spacing w:val="14"/>
          <w:lang w:val="es-ES"/>
        </w:rPr>
        <w:t xml:space="preserve"> </w:t>
      </w:r>
      <w:r w:rsidRPr="0066450E">
        <w:rPr>
          <w:rFonts w:ascii="Verdana" w:eastAsia="Arial" w:hAnsi="Verdana" w:cs="Arial"/>
          <w:lang w:val="es-ES"/>
        </w:rPr>
        <w:t>la</w:t>
      </w:r>
      <w:r w:rsidRPr="0066450E">
        <w:rPr>
          <w:rFonts w:ascii="Verdana" w:eastAsia="Arial" w:hAnsi="Verdana" w:cs="Arial"/>
          <w:spacing w:val="18"/>
          <w:lang w:val="es-ES"/>
        </w:rPr>
        <w:t xml:space="preserve"> </w:t>
      </w:r>
      <w:r w:rsidRPr="0066450E">
        <w:rPr>
          <w:rFonts w:ascii="Verdana" w:eastAsia="Arial" w:hAnsi="Verdana" w:cs="Arial"/>
          <w:lang w:val="es-ES"/>
        </w:rPr>
        <w:t>corporación, se les prohíbe desempeñar cargo alguno en la administración pública o vincularse como trabajador oficial</w:t>
      </w:r>
      <w:r w:rsidRPr="0066450E">
        <w:rPr>
          <w:rFonts w:ascii="Verdana" w:eastAsia="Arial" w:hAnsi="Verdana" w:cs="Arial"/>
          <w:vertAlign w:val="superscript"/>
          <w:lang w:val="es-ES"/>
        </w:rPr>
        <w:footnoteReference w:id="16"/>
      </w:r>
      <w:r w:rsidRPr="0066450E">
        <w:rPr>
          <w:rFonts w:ascii="Verdana" w:eastAsia="Arial" w:hAnsi="Verdana" w:cs="Arial"/>
          <w:lang w:val="es-ES"/>
        </w:rPr>
        <w:t>.</w:t>
      </w:r>
    </w:p>
    <w:p w14:paraId="7A21B8F6" w14:textId="77777777" w:rsidR="004D54CC" w:rsidRPr="0066450E" w:rsidRDefault="004D54CC" w:rsidP="004D54CC">
      <w:pPr>
        <w:widowControl w:val="0"/>
        <w:autoSpaceDE w:val="0"/>
        <w:autoSpaceDN w:val="0"/>
        <w:spacing w:after="120" w:line="276" w:lineRule="auto"/>
        <w:ind w:firstLine="708"/>
        <w:jc w:val="both"/>
        <w:rPr>
          <w:rFonts w:ascii="Verdana" w:eastAsia="Arial" w:hAnsi="Verdana" w:cs="Arial"/>
          <w:lang w:val="es-ES"/>
        </w:rPr>
      </w:pPr>
      <w:r w:rsidRPr="0066450E">
        <w:rPr>
          <w:rFonts w:ascii="Verdana" w:eastAsia="Arial" w:hAnsi="Verdana" w:cs="Arial"/>
          <w:lang w:val="es-ES"/>
        </w:rPr>
        <w:t xml:space="preserve">En este orden de ideas, la prohibición de recibir doble asignación </w:t>
      </w:r>
      <w:bookmarkStart w:id="1" w:name="_Hlk141120008"/>
      <w:r w:rsidRPr="0066450E">
        <w:rPr>
          <w:rFonts w:ascii="Verdana" w:eastAsia="Arial" w:hAnsi="Verdana" w:cs="Arial"/>
          <w:lang w:val="es-ES"/>
        </w:rPr>
        <w:t xml:space="preserve">del tesoro público </w:t>
      </w:r>
      <w:bookmarkEnd w:id="1"/>
      <w:r w:rsidRPr="0066450E">
        <w:rPr>
          <w:rFonts w:ascii="Verdana" w:eastAsia="Arial" w:hAnsi="Verdana" w:cs="Arial"/>
          <w:lang w:val="es-ES"/>
        </w:rPr>
        <w:t>recae sobre los servidores públicos, incluidos los miembros de las corporaciones públicas, donde el término “</w:t>
      </w:r>
      <w:r w:rsidRPr="00B614B9">
        <w:rPr>
          <w:rFonts w:ascii="Verdana" w:eastAsia="Arial" w:hAnsi="Verdana" w:cs="Arial"/>
          <w:i/>
          <w:iCs/>
          <w:lang w:val="es-ES"/>
        </w:rPr>
        <w:t>asignación</w:t>
      </w:r>
      <w:r w:rsidRPr="0066450E">
        <w:rPr>
          <w:rFonts w:ascii="Verdana" w:eastAsia="Arial" w:hAnsi="Verdana" w:cs="Arial"/>
          <w:lang w:val="es-ES"/>
        </w:rPr>
        <w:t>” comprende los dineros y recursos que provienen del tesoro público, o de empresas o de instituciones en las que tenga parte mayoritaria el Estado, en calidad de pago para retribuir un servicio laboral.</w:t>
      </w:r>
    </w:p>
    <w:p w14:paraId="7AC19E30" w14:textId="77777777" w:rsidR="004D54CC" w:rsidRPr="0066450E" w:rsidRDefault="004D54CC" w:rsidP="004D54CC">
      <w:pPr>
        <w:widowControl w:val="0"/>
        <w:autoSpaceDE w:val="0"/>
        <w:autoSpaceDN w:val="0"/>
        <w:spacing w:after="0" w:line="276" w:lineRule="auto"/>
        <w:ind w:firstLine="709"/>
        <w:jc w:val="both"/>
        <w:rPr>
          <w:rFonts w:ascii="Verdana" w:eastAsia="Arial" w:hAnsi="Verdana" w:cs="Arial"/>
          <w:lang w:val="es-ES"/>
        </w:rPr>
      </w:pPr>
      <w:r w:rsidRPr="0066450E">
        <w:rPr>
          <w:rFonts w:ascii="Verdana" w:eastAsia="Arial" w:hAnsi="Verdana" w:cs="Arial"/>
          <w:lang w:val="es-ES"/>
        </w:rPr>
        <w:t xml:space="preserve">De conformidad con lo anterior, y </w:t>
      </w:r>
      <w:bookmarkStart w:id="2" w:name="_Hlk141119984"/>
      <w:r w:rsidRPr="0066450E">
        <w:rPr>
          <w:rFonts w:ascii="Verdana" w:eastAsia="Arial" w:hAnsi="Verdana" w:cs="Arial"/>
          <w:lang w:val="es-ES"/>
        </w:rPr>
        <w:t xml:space="preserve">teniendo en cuenta la naturaleza jurídica del contrato de prestación de servicios, la prohibición de percibir doble asignación no es aplicable, pues estos, en virtud del artículo 32 de la Ley 80 de 1993, no comportan una relación laboral, sino que son fruto de la libre autonomía de la voluntad de los contratantes, por consiguiente el contratista no </w:t>
      </w:r>
      <w:r w:rsidRPr="0066450E">
        <w:rPr>
          <w:rFonts w:ascii="Verdana" w:eastAsia="Arial" w:hAnsi="Verdana" w:cs="Arial"/>
          <w:lang w:val="es-ES"/>
        </w:rPr>
        <w:lastRenderedPageBreak/>
        <w:t xml:space="preserve">es considerado un servidor público, al no tener un vínculo de subordinación con el Estado, elemento propio de un contrato laboral. </w:t>
      </w:r>
      <w:bookmarkEnd w:id="2"/>
      <w:r w:rsidRPr="0066450E">
        <w:rPr>
          <w:rFonts w:ascii="Verdana" w:eastAsia="Arial" w:hAnsi="Verdana" w:cs="Arial"/>
          <w:lang w:val="es-ES"/>
        </w:rPr>
        <w:t>En este contexto, el Consejo de Estado, en el citado concepto, expresó que la retribución económica de los contratistas de prestación de servicios no constituye salario y, por lo tanto, no puede considerarse asignación presupuestal a la que hace referencia el artículo 128 de la Constitución. Al respecto</w:t>
      </w:r>
      <w:r w:rsidRPr="0066450E">
        <w:rPr>
          <w:rFonts w:ascii="Verdana" w:eastAsia="Arial" w:hAnsi="Verdana" w:cs="Arial"/>
          <w:spacing w:val="-4"/>
          <w:lang w:val="es-ES"/>
        </w:rPr>
        <w:t xml:space="preserve"> </w:t>
      </w:r>
      <w:r w:rsidRPr="0066450E">
        <w:rPr>
          <w:rFonts w:ascii="Verdana" w:eastAsia="Arial" w:hAnsi="Verdana" w:cs="Arial"/>
          <w:lang w:val="es-ES"/>
        </w:rPr>
        <w:t>expresó:</w:t>
      </w:r>
    </w:p>
    <w:p w14:paraId="70DE9C22" w14:textId="77777777" w:rsidR="004D54CC" w:rsidRPr="0066450E" w:rsidRDefault="004D54CC" w:rsidP="004D54CC">
      <w:pPr>
        <w:widowControl w:val="0"/>
        <w:autoSpaceDE w:val="0"/>
        <w:autoSpaceDN w:val="0"/>
        <w:spacing w:after="0" w:line="276" w:lineRule="auto"/>
        <w:jc w:val="both"/>
        <w:rPr>
          <w:rFonts w:ascii="Verdana" w:eastAsia="Arial" w:hAnsi="Verdana" w:cs="Arial"/>
          <w:lang w:val="es-ES"/>
        </w:rPr>
      </w:pPr>
    </w:p>
    <w:p w14:paraId="2718B891" w14:textId="77777777" w:rsidR="004D54CC" w:rsidRPr="00DE5F8D" w:rsidRDefault="004D54CC" w:rsidP="004D54CC">
      <w:pPr>
        <w:widowControl w:val="0"/>
        <w:autoSpaceDE w:val="0"/>
        <w:autoSpaceDN w:val="0"/>
        <w:spacing w:after="0" w:line="240" w:lineRule="auto"/>
        <w:ind w:left="709" w:right="709"/>
        <w:jc w:val="both"/>
        <w:rPr>
          <w:rFonts w:ascii="Verdana" w:eastAsia="Arial" w:hAnsi="Verdana" w:cs="Arial"/>
          <w:sz w:val="20"/>
          <w:szCs w:val="20"/>
          <w:lang w:val="es-ES"/>
        </w:rPr>
      </w:pPr>
      <w:r w:rsidRPr="00DE5F8D">
        <w:rPr>
          <w:rFonts w:ascii="Verdana" w:eastAsia="Arial" w:hAnsi="Verdana" w:cs="Arial"/>
          <w:sz w:val="20"/>
          <w:szCs w:val="20"/>
          <w:lang w:val="es-ES"/>
        </w:rPr>
        <w:t>“Es así como los trabajadores oficiales perciben por sus servicios un salario,  que constituye asignación, la retribución de los contratistas de prestación de servicios son los honorarios, que no tienen tal carácter. Así, la fuente del reconocimiento es bien distinta: en el primero, la vinculación laboral administrativa y, en el segundo, el negocio jurídico, fundado en la autonomía de la</w:t>
      </w:r>
      <w:r w:rsidRPr="00DE5F8D">
        <w:rPr>
          <w:rFonts w:ascii="Verdana" w:eastAsia="Arial" w:hAnsi="Verdana" w:cs="Arial"/>
          <w:spacing w:val="-2"/>
          <w:sz w:val="20"/>
          <w:szCs w:val="20"/>
          <w:lang w:val="es-ES"/>
        </w:rPr>
        <w:t xml:space="preserve"> </w:t>
      </w:r>
      <w:r w:rsidRPr="00DE5F8D">
        <w:rPr>
          <w:rFonts w:ascii="Verdana" w:eastAsia="Arial" w:hAnsi="Verdana" w:cs="Arial"/>
          <w:sz w:val="20"/>
          <w:szCs w:val="20"/>
          <w:lang w:val="es-ES"/>
        </w:rPr>
        <w:t>voluntad.</w:t>
      </w:r>
    </w:p>
    <w:p w14:paraId="7A6D6206" w14:textId="77777777" w:rsidR="004D54CC" w:rsidRPr="00DE5F8D" w:rsidRDefault="004D54CC" w:rsidP="004D54CC">
      <w:pPr>
        <w:widowControl w:val="0"/>
        <w:autoSpaceDE w:val="0"/>
        <w:autoSpaceDN w:val="0"/>
        <w:spacing w:after="0" w:line="240" w:lineRule="auto"/>
        <w:ind w:left="709" w:right="709"/>
        <w:jc w:val="both"/>
        <w:rPr>
          <w:rFonts w:ascii="Verdana" w:eastAsia="Arial" w:hAnsi="Verdana" w:cs="Arial"/>
          <w:sz w:val="20"/>
          <w:szCs w:val="20"/>
          <w:lang w:val="es-ES"/>
        </w:rPr>
      </w:pPr>
    </w:p>
    <w:p w14:paraId="515667BB" w14:textId="77777777" w:rsidR="004D54CC" w:rsidRPr="0066450E" w:rsidRDefault="004D54CC" w:rsidP="004D54CC">
      <w:pPr>
        <w:widowControl w:val="0"/>
        <w:autoSpaceDE w:val="0"/>
        <w:autoSpaceDN w:val="0"/>
        <w:spacing w:after="0" w:line="240" w:lineRule="auto"/>
        <w:ind w:left="709" w:right="709"/>
        <w:jc w:val="both"/>
        <w:rPr>
          <w:rFonts w:ascii="Verdana" w:eastAsia="Arial" w:hAnsi="Verdana" w:cs="Arial"/>
          <w:sz w:val="21"/>
          <w:szCs w:val="21"/>
          <w:lang w:val="es-ES"/>
        </w:rPr>
      </w:pPr>
      <w:r w:rsidRPr="00DE5F8D">
        <w:rPr>
          <w:rFonts w:ascii="Verdana" w:eastAsia="Arial" w:hAnsi="Verdana" w:cs="Arial"/>
          <w:sz w:val="20"/>
          <w:szCs w:val="20"/>
          <w:lang w:val="es-ES"/>
        </w:rPr>
        <w:t>De los presupuestos de la definición legal y de los elementos analizados, se concluye que particulares que colaboran con el Estado mediante un contrato de prestación de servicios o cualquier otro, tipificado en la ley 80 de l993 o producto de la autonomía de la voluntad, no están subsumidos en el contexto de la función pública, ni son, por tanto, servidores públicos y, por lo mismo, no reciben “asignación” en los términos establecidos, lo que hace imposible aplicarles el régimen de estos”.</w:t>
      </w:r>
    </w:p>
    <w:p w14:paraId="7AD64BF8" w14:textId="77777777" w:rsidR="004D54CC" w:rsidRPr="0066450E" w:rsidRDefault="004D54CC" w:rsidP="004D54CC">
      <w:pPr>
        <w:widowControl w:val="0"/>
        <w:autoSpaceDE w:val="0"/>
        <w:autoSpaceDN w:val="0"/>
        <w:spacing w:after="0" w:line="276" w:lineRule="auto"/>
        <w:jc w:val="both"/>
        <w:rPr>
          <w:rFonts w:ascii="Verdana" w:eastAsia="Arial" w:hAnsi="Verdana" w:cs="Arial"/>
          <w:lang w:val="es-ES"/>
        </w:rPr>
      </w:pPr>
    </w:p>
    <w:p w14:paraId="0A2D5D89" w14:textId="77777777" w:rsidR="004D54CC" w:rsidRPr="00850741" w:rsidRDefault="004D54CC" w:rsidP="004D54CC">
      <w:pPr>
        <w:spacing w:after="120" w:line="276" w:lineRule="auto"/>
        <w:ind w:firstLine="708"/>
        <w:jc w:val="both"/>
        <w:rPr>
          <w:rFonts w:ascii="Verdana" w:hAnsi="Verdana"/>
          <w:shd w:val="clear" w:color="auto" w:fill="FFFFFF"/>
        </w:rPr>
      </w:pPr>
      <w:r w:rsidRPr="0066450E">
        <w:rPr>
          <w:rFonts w:ascii="Verdana" w:eastAsia="Arial" w:hAnsi="Verdana" w:cs="Arial"/>
          <w:lang w:val="es-ES"/>
        </w:rPr>
        <w:t>Por consiguiente, a los contratistas del Estado no les aplica la prohibición del artículo 128 de la Constitución Política, toda vez que no se consideran servidores públicos porque su relación con el Estado está dada en el marco de un negocio jurídico y no en virtud de una relación laboral</w:t>
      </w:r>
      <w:r>
        <w:rPr>
          <w:rFonts w:ascii="Verdana" w:eastAsia="Arial" w:hAnsi="Verdana" w:cs="Arial"/>
          <w:lang w:val="es-ES"/>
        </w:rPr>
        <w:t xml:space="preserve">. </w:t>
      </w:r>
      <w:r w:rsidRPr="00850741">
        <w:rPr>
          <w:rFonts w:ascii="Verdana" w:hAnsi="Verdana"/>
          <w:shd w:val="clear" w:color="auto" w:fill="FFFFFF"/>
        </w:rPr>
        <w:t>Por su parte, la licencia de maternidad tiene como finalidad reemplazar los ingresos que la mujer deja de percibir durante el periodo de gestación y posparto, y no constituye una asignación salarial, sino una prestación económica del sistema de seguridad social en salud, orientada a garantizar la protección de la maternidad y del mínimo vital de la madre y el recién nacido (Sentencia T-489 de 2018).</w:t>
      </w:r>
    </w:p>
    <w:p w14:paraId="096A0EBD" w14:textId="77777777" w:rsidR="004D54CC" w:rsidRDefault="004D54CC" w:rsidP="004D54CC">
      <w:pPr>
        <w:spacing w:after="120" w:line="276" w:lineRule="auto"/>
        <w:ind w:firstLine="708"/>
        <w:jc w:val="both"/>
        <w:rPr>
          <w:rFonts w:ascii="Verdana" w:hAnsi="Verdana"/>
          <w:shd w:val="clear" w:color="auto" w:fill="FFFFFF"/>
        </w:rPr>
      </w:pPr>
      <w:r w:rsidRPr="00850741">
        <w:rPr>
          <w:rFonts w:ascii="Verdana" w:hAnsi="Verdana"/>
          <w:shd w:val="clear" w:color="auto" w:fill="FFFFFF"/>
        </w:rPr>
        <w:t>En consecuencia, los pagos que una contratista reciba por concepto de licencia de maternidad no tienen naturaleza de doble asignación presupuestal, ya que provienen de fuentes distintas (EPS y entidad contratante), responden a hechos generadores diferentes y no derivan de una relación laboral o del desempeño simultáneo de empleos públicos.</w:t>
      </w:r>
    </w:p>
    <w:p w14:paraId="44C42474" w14:textId="77777777" w:rsidR="004D54CC" w:rsidRPr="009954A8" w:rsidRDefault="004D54CC" w:rsidP="004D54CC">
      <w:pPr>
        <w:widowControl w:val="0"/>
        <w:autoSpaceDE w:val="0"/>
        <w:autoSpaceDN w:val="0"/>
        <w:spacing w:after="0" w:line="276" w:lineRule="auto"/>
        <w:ind w:firstLine="708"/>
        <w:jc w:val="both"/>
        <w:rPr>
          <w:rFonts w:ascii="Verdana" w:hAnsi="Verdana" w:cs="Arial"/>
        </w:rPr>
      </w:pPr>
      <w:r>
        <w:rPr>
          <w:rFonts w:ascii="Verdana" w:eastAsia="Arial" w:hAnsi="Verdana" w:cstheme="majorHAnsi"/>
        </w:rPr>
        <w:t xml:space="preserve">iii) </w:t>
      </w:r>
      <w:r>
        <w:rPr>
          <w:rFonts w:ascii="Verdana" w:eastAsia="Calibri" w:hAnsi="Verdana" w:cs="Arial"/>
          <w:bCs/>
          <w:lang w:val="es-MX"/>
        </w:rPr>
        <w:t xml:space="preserve">Por otra parte, sobre </w:t>
      </w:r>
      <w:r w:rsidRPr="009954A8">
        <w:rPr>
          <w:rFonts w:ascii="Verdana" w:eastAsia="Calibri" w:hAnsi="Verdana" w:cs="Arial"/>
          <w:bCs/>
          <w:lang w:val="es-MX"/>
        </w:rPr>
        <w:t xml:space="preserve">si </w:t>
      </w:r>
      <w:r>
        <w:rPr>
          <w:rFonts w:ascii="Verdana" w:eastAsia="Calibri" w:hAnsi="Verdana" w:cs="Arial"/>
          <w:bCs/>
          <w:lang w:val="es-MX"/>
        </w:rPr>
        <w:t>resulta</w:t>
      </w:r>
      <w:r w:rsidRPr="009954A8">
        <w:rPr>
          <w:rFonts w:ascii="Verdana" w:eastAsia="Calibri" w:hAnsi="Verdana" w:cs="Arial"/>
          <w:bCs/>
          <w:lang w:val="es-MX"/>
        </w:rPr>
        <w:t xml:space="preserve"> procedente o no suspender un contrato de prestación de servicios cuando la contratista está en estado de embarazo o </w:t>
      </w:r>
      <w:r w:rsidRPr="009954A8">
        <w:rPr>
          <w:rFonts w:ascii="Verdana" w:eastAsia="Calibri" w:hAnsi="Verdana" w:cs="Arial"/>
          <w:bCs/>
          <w:lang w:val="es-MX"/>
        </w:rPr>
        <w:lastRenderedPageBreak/>
        <w:t>durante la licencia de maternidad</w:t>
      </w:r>
      <w:r w:rsidRPr="009954A8">
        <w:rPr>
          <w:rStyle w:val="Refdenotaalpie"/>
          <w:rFonts w:ascii="Verdana" w:eastAsia="Calibri" w:hAnsi="Verdana" w:cs="Arial"/>
          <w:bCs/>
          <w:lang w:val="es-MX"/>
        </w:rPr>
        <w:footnoteReference w:id="17"/>
      </w:r>
      <w:r>
        <w:rPr>
          <w:rFonts w:ascii="Verdana" w:eastAsia="Calibri" w:hAnsi="Verdana" w:cs="Arial"/>
          <w:bCs/>
          <w:lang w:val="es-MX"/>
        </w:rPr>
        <w:t>,</w:t>
      </w:r>
      <w:r w:rsidRPr="009954A8">
        <w:rPr>
          <w:rFonts w:ascii="Verdana" w:eastAsia="Calibri" w:hAnsi="Verdana" w:cs="Arial"/>
          <w:bCs/>
          <w:lang w:val="es-MX"/>
        </w:rPr>
        <w:t xml:space="preserve"> debe señalarse que </w:t>
      </w:r>
      <w:r w:rsidRPr="009954A8">
        <w:rPr>
          <w:rFonts w:ascii="Verdana" w:hAnsi="Verdana" w:cs="Arial"/>
        </w:rPr>
        <w:t>no existe disposición normativa que consagre de forma expresa las causales de suspensión del contrato, mucho menos en virtud del estado de embarazo o de la licencia de maternidad. El Consejo de Estado, en sentencia del 28 de abril de 2010, se refirió a las causales que suspenden el contrato, en los siguientes términos:</w:t>
      </w:r>
    </w:p>
    <w:p w14:paraId="33B74E08" w14:textId="77777777" w:rsidR="004D54CC" w:rsidRPr="009954A8" w:rsidRDefault="004D54CC" w:rsidP="004D54CC">
      <w:pPr>
        <w:pStyle w:val="NormalWeb"/>
        <w:shd w:val="clear" w:color="auto" w:fill="FFFFFF"/>
        <w:spacing w:before="0" w:beforeAutospacing="0" w:after="0" w:afterAutospacing="0" w:line="276" w:lineRule="auto"/>
        <w:ind w:firstLine="709"/>
        <w:jc w:val="both"/>
        <w:rPr>
          <w:rFonts w:ascii="Verdana" w:hAnsi="Verdana" w:cs="Arial"/>
          <w:sz w:val="22"/>
          <w:szCs w:val="22"/>
        </w:rPr>
      </w:pPr>
    </w:p>
    <w:p w14:paraId="1A396538" w14:textId="77777777" w:rsidR="004D54CC" w:rsidRPr="00F470FE" w:rsidRDefault="004D54CC" w:rsidP="004D54CC">
      <w:pPr>
        <w:widowControl w:val="0"/>
        <w:autoSpaceDE w:val="0"/>
        <w:autoSpaceDN w:val="0"/>
        <w:spacing w:after="0" w:line="240" w:lineRule="auto"/>
        <w:ind w:left="709" w:right="709"/>
        <w:jc w:val="both"/>
        <w:rPr>
          <w:rFonts w:ascii="Verdana" w:eastAsia="Arial" w:hAnsi="Verdana" w:cs="Arial"/>
          <w:sz w:val="20"/>
          <w:szCs w:val="20"/>
          <w:lang w:val="es-ES"/>
        </w:rPr>
      </w:pPr>
      <w:r w:rsidRPr="00F470FE">
        <w:rPr>
          <w:rFonts w:ascii="Verdana" w:eastAsia="Arial" w:hAnsi="Verdana" w:cs="Arial"/>
          <w:sz w:val="20"/>
          <w:szCs w:val="20"/>
          <w:lang w:val="es-ES"/>
        </w:rPr>
        <w:t>“En efecto, la finalidad de la suspensión del contrato estatal, como medida excepcional, está encaminada a reconocer la ocurrencia de situaciones de fuerza mayor, caso fortuito o de interés público que impiden la ejecución temporal del negocio jurídico, y es precisamente por ese motivo que la misma no puede ser indefinida, sino que debe estar sujeta al vencimiento de un plazo o al cumplimiento de una condición. Por lo tanto, la suspensión no adiciona el contrato en su vigencia o plazo, sino que se delimita como una medida de tipo provisional y excepcional que debe ajustarse a los criterios de necesidad y proporcionalidad, sujeta a un término o condición, período este durante el que las obligaciones contenidas en el contrato no se ejecutan, pero sin que se impute ese tiempo al plazo pactado inicialmente por las partes. […]”</w:t>
      </w:r>
    </w:p>
    <w:p w14:paraId="26ECE6CB" w14:textId="77777777" w:rsidR="004D54CC" w:rsidRPr="00F470FE" w:rsidRDefault="004D54CC" w:rsidP="004D54CC">
      <w:pPr>
        <w:widowControl w:val="0"/>
        <w:autoSpaceDE w:val="0"/>
        <w:autoSpaceDN w:val="0"/>
        <w:spacing w:after="0" w:line="240" w:lineRule="auto"/>
        <w:ind w:left="709" w:right="709"/>
        <w:jc w:val="both"/>
        <w:rPr>
          <w:rFonts w:ascii="Verdana" w:eastAsia="Arial" w:hAnsi="Verdana" w:cs="Arial"/>
          <w:sz w:val="20"/>
          <w:szCs w:val="20"/>
          <w:lang w:val="es-ES"/>
        </w:rPr>
      </w:pPr>
    </w:p>
    <w:p w14:paraId="695EBE3A" w14:textId="77777777" w:rsidR="004D54CC" w:rsidRPr="006C3A4B" w:rsidRDefault="004D54CC" w:rsidP="004D54CC">
      <w:pPr>
        <w:widowControl w:val="0"/>
        <w:autoSpaceDE w:val="0"/>
        <w:autoSpaceDN w:val="0"/>
        <w:spacing w:after="0" w:line="276" w:lineRule="auto"/>
        <w:ind w:firstLine="708"/>
        <w:jc w:val="both"/>
        <w:rPr>
          <w:rFonts w:ascii="Verdana" w:hAnsi="Verdana" w:cs="Arial"/>
        </w:rPr>
      </w:pPr>
      <w:r w:rsidRPr="006C3A4B">
        <w:rPr>
          <w:rFonts w:ascii="Verdana" w:hAnsi="Verdana" w:cs="Arial"/>
        </w:rPr>
        <w:t>Por otro lado, el Ministerio de Trabajo al absolver una consulta con relación a la suspensión del contrato de prestación de servicios, por licencia de maternidad, conceptuó:</w:t>
      </w:r>
    </w:p>
    <w:p w14:paraId="72B4B805" w14:textId="77777777" w:rsidR="004D54CC" w:rsidRPr="009954A8" w:rsidRDefault="004D54CC" w:rsidP="004D54CC">
      <w:pPr>
        <w:ind w:left="709" w:right="709"/>
        <w:contextualSpacing/>
        <w:jc w:val="both"/>
        <w:rPr>
          <w:rFonts w:ascii="Verdana" w:hAnsi="Verdana" w:cs="Arial"/>
          <w:sz w:val="21"/>
          <w:szCs w:val="21"/>
        </w:rPr>
      </w:pPr>
    </w:p>
    <w:p w14:paraId="1A0488D0" w14:textId="77777777" w:rsidR="004D54CC" w:rsidRPr="00ED24D9" w:rsidRDefault="004D54CC" w:rsidP="004D54CC">
      <w:pPr>
        <w:widowControl w:val="0"/>
        <w:autoSpaceDE w:val="0"/>
        <w:autoSpaceDN w:val="0"/>
        <w:spacing w:after="0" w:line="240" w:lineRule="auto"/>
        <w:ind w:left="709" w:right="709"/>
        <w:jc w:val="both"/>
        <w:rPr>
          <w:rFonts w:ascii="Verdana" w:eastAsia="Arial" w:hAnsi="Verdana" w:cs="Arial"/>
          <w:sz w:val="20"/>
          <w:szCs w:val="20"/>
          <w:lang w:val="es-ES"/>
        </w:rPr>
      </w:pPr>
      <w:r w:rsidRPr="00ED24D9">
        <w:rPr>
          <w:rFonts w:ascii="Verdana" w:eastAsia="Arial" w:hAnsi="Verdana" w:cs="Arial"/>
          <w:sz w:val="20"/>
          <w:szCs w:val="20"/>
          <w:lang w:val="es-ES"/>
        </w:rPr>
        <w:t>“La legislación que regula la contratación estatal, concretamente la Ley 80 de 1993, modificada por la Ley 1150 de 2007 y sus Decretos Reglamentarios, no contempló las causales de suspensión del contrato de prestación de servicios celebrado con entidad pública, motivo por el cual debe señalarse que no existe ninguna disposición normativa que consagre de forma expresa, la suspensión del contrato en virtud de la licencia de maternidad de la contratista […]</w:t>
      </w:r>
    </w:p>
    <w:p w14:paraId="3B0143BE" w14:textId="77777777" w:rsidR="004D54CC" w:rsidRPr="00ED24D9" w:rsidRDefault="004D54CC" w:rsidP="004D54CC">
      <w:pPr>
        <w:widowControl w:val="0"/>
        <w:autoSpaceDE w:val="0"/>
        <w:autoSpaceDN w:val="0"/>
        <w:spacing w:after="0" w:line="240" w:lineRule="auto"/>
        <w:ind w:left="709" w:right="709"/>
        <w:jc w:val="both"/>
        <w:rPr>
          <w:rFonts w:ascii="Verdana" w:eastAsia="Arial" w:hAnsi="Verdana" w:cs="Arial"/>
          <w:sz w:val="20"/>
          <w:szCs w:val="20"/>
          <w:lang w:val="es-ES"/>
        </w:rPr>
      </w:pPr>
    </w:p>
    <w:p w14:paraId="3A90A1FF" w14:textId="77777777" w:rsidR="004D54CC" w:rsidRPr="00ED24D9" w:rsidRDefault="004D54CC" w:rsidP="004D54CC">
      <w:pPr>
        <w:widowControl w:val="0"/>
        <w:autoSpaceDE w:val="0"/>
        <w:autoSpaceDN w:val="0"/>
        <w:spacing w:after="0" w:line="240" w:lineRule="auto"/>
        <w:ind w:left="709" w:right="709"/>
        <w:jc w:val="both"/>
        <w:rPr>
          <w:rFonts w:ascii="Verdana" w:eastAsia="Arial" w:hAnsi="Verdana" w:cs="Arial"/>
          <w:sz w:val="20"/>
          <w:szCs w:val="20"/>
          <w:lang w:val="es-ES"/>
        </w:rPr>
      </w:pPr>
      <w:r w:rsidRPr="00ED24D9">
        <w:rPr>
          <w:rFonts w:ascii="Verdana" w:eastAsia="Arial" w:hAnsi="Verdana" w:cs="Arial"/>
          <w:sz w:val="20"/>
          <w:szCs w:val="20"/>
          <w:lang w:val="es-ES"/>
        </w:rPr>
        <w:t>De conformidad con lo anterior, las partes podrán suspender el contrato de prestación de servicios cuando se determinen eventos que constituyen fuerza mayor o caso fortuito o de interés público que impida, temporalmente cumplir con el objeto de las obligaciones a cargo de las partes contratantes, como es el caso de la contratista que se encuentra en estado de embarazo y se encuentra incapacitada</w:t>
      </w:r>
      <w:r w:rsidRPr="00ED24D9">
        <w:rPr>
          <w:rFonts w:eastAsia="Arial"/>
          <w:sz w:val="20"/>
          <w:szCs w:val="20"/>
          <w:vertAlign w:val="superscript"/>
          <w:lang w:val="es-ES"/>
        </w:rPr>
        <w:footnoteReference w:id="18"/>
      </w:r>
      <w:r w:rsidRPr="00ED24D9">
        <w:rPr>
          <w:rFonts w:ascii="Verdana" w:eastAsia="Arial" w:hAnsi="Verdana" w:cs="Arial"/>
          <w:sz w:val="20"/>
          <w:szCs w:val="20"/>
          <w:lang w:val="es-ES"/>
        </w:rPr>
        <w:t>”.</w:t>
      </w:r>
    </w:p>
    <w:p w14:paraId="59A38289" w14:textId="77777777" w:rsidR="004D54CC" w:rsidRDefault="004D54CC" w:rsidP="004D54CC">
      <w:pPr>
        <w:spacing w:after="0" w:line="276" w:lineRule="auto"/>
        <w:jc w:val="both"/>
        <w:rPr>
          <w:rFonts w:ascii="Verdana" w:hAnsi="Verdana" w:cs="Arial"/>
        </w:rPr>
      </w:pPr>
    </w:p>
    <w:p w14:paraId="70D3A5DF" w14:textId="77777777" w:rsidR="004D54CC" w:rsidRPr="006C3A4B" w:rsidRDefault="004D54CC" w:rsidP="004D54CC">
      <w:pPr>
        <w:widowControl w:val="0"/>
        <w:autoSpaceDE w:val="0"/>
        <w:autoSpaceDN w:val="0"/>
        <w:spacing w:after="0" w:line="276" w:lineRule="auto"/>
        <w:ind w:firstLine="708"/>
        <w:jc w:val="both"/>
        <w:rPr>
          <w:rFonts w:ascii="Verdana" w:hAnsi="Verdana" w:cs="Arial"/>
        </w:rPr>
      </w:pPr>
      <w:r w:rsidRPr="006C3A4B">
        <w:rPr>
          <w:rFonts w:ascii="Verdana" w:hAnsi="Verdana" w:cs="Arial"/>
        </w:rPr>
        <w:t xml:space="preserve">En ejercicio de la autonomía de las partes contratantes, las mismas </w:t>
      </w:r>
      <w:r w:rsidRPr="006C3A4B">
        <w:rPr>
          <w:rFonts w:ascii="Verdana" w:hAnsi="Verdana" w:cs="Arial"/>
        </w:rPr>
        <w:lastRenderedPageBreak/>
        <w:t>podrán convenir la cláusula de suspensión del contrato de prestación de servicios, fijando las reglas por las cuales procederán las mismas teniendo en cuenta las disposiciones referidas en la Ley </w:t>
      </w:r>
      <w:hyperlink r:id="rId9" w:anchor="80" w:history="1">
        <w:r w:rsidRPr="006C3A4B">
          <w:rPr>
            <w:rFonts w:ascii="Verdana" w:hAnsi="Verdana" w:cs="Arial"/>
          </w:rPr>
          <w:t>80</w:t>
        </w:r>
      </w:hyperlink>
      <w:r w:rsidRPr="006C3A4B">
        <w:rPr>
          <w:rFonts w:ascii="Verdana" w:hAnsi="Verdana" w:cs="Arial"/>
        </w:rPr>
        <w:t> de 1993 y Ley </w:t>
      </w:r>
      <w:hyperlink r:id="rId10" w:anchor="1150" w:history="1">
        <w:r w:rsidRPr="006C3A4B">
          <w:rPr>
            <w:rFonts w:ascii="Verdana" w:hAnsi="Verdana" w:cs="Arial"/>
          </w:rPr>
          <w:t>1150</w:t>
        </w:r>
      </w:hyperlink>
      <w:r w:rsidRPr="006C3A4B">
        <w:rPr>
          <w:rFonts w:ascii="Verdana" w:hAnsi="Verdana" w:cs="Arial"/>
        </w:rPr>
        <w:t> de 2007. Así las cosas, las partes son quienes determinan las condiciones y términos según los cuales deben llevarse a cabo la suspensión del contrato, por lo que ninguna de las partes de manera unilateral puede declararla por fuera de lo convenido.</w:t>
      </w:r>
    </w:p>
    <w:p w14:paraId="028F4FA1" w14:textId="77777777" w:rsidR="004D54CC" w:rsidRPr="0065706C" w:rsidRDefault="004D54CC" w:rsidP="004D54CC">
      <w:pPr>
        <w:spacing w:after="0" w:line="276" w:lineRule="auto"/>
        <w:ind w:firstLine="709"/>
        <w:jc w:val="both"/>
        <w:rPr>
          <w:rFonts w:ascii="Verdana" w:eastAsia="Arial" w:hAnsi="Verdana" w:cstheme="majorHAnsi"/>
          <w:lang w:val="es-ES"/>
        </w:rPr>
      </w:pPr>
    </w:p>
    <w:p w14:paraId="4EEE9174" w14:textId="77777777" w:rsidR="004D54CC" w:rsidRDefault="004D54CC" w:rsidP="004D54CC">
      <w:pPr>
        <w:spacing w:after="0" w:line="276" w:lineRule="auto"/>
        <w:jc w:val="both"/>
        <w:rPr>
          <w:rFonts w:ascii="Verdana" w:eastAsia="Century Gothic" w:hAnsi="Verdana" w:cs="Century Gothic"/>
          <w:color w:val="000000" w:themeColor="text1"/>
        </w:rPr>
      </w:pPr>
    </w:p>
    <w:p w14:paraId="314EF14D" w14:textId="77777777" w:rsidR="004D54CC" w:rsidRPr="0042267D" w:rsidRDefault="004D54CC" w:rsidP="004D54CC">
      <w:pPr>
        <w:spacing w:after="0" w:line="276" w:lineRule="auto"/>
        <w:jc w:val="both"/>
        <w:rPr>
          <w:rFonts w:ascii="Verdana" w:eastAsia="Arial" w:hAnsi="Verdana" w:cstheme="majorHAnsi"/>
        </w:rPr>
      </w:pPr>
    </w:p>
    <w:p w14:paraId="3C8BDF81" w14:textId="77777777" w:rsidR="004D54CC" w:rsidRPr="00F65D2B" w:rsidRDefault="004D54CC" w:rsidP="004D54CC">
      <w:pPr>
        <w:spacing w:after="0" w:line="276" w:lineRule="auto"/>
        <w:ind w:firstLine="709"/>
        <w:jc w:val="both"/>
        <w:rPr>
          <w:rFonts w:ascii="Verdana" w:hAnsi="Verdana"/>
          <w:shd w:val="clear" w:color="auto" w:fill="FFFFFF"/>
        </w:rPr>
      </w:pPr>
    </w:p>
    <w:p w14:paraId="5D0A2B1B" w14:textId="77777777" w:rsidR="004D54CC" w:rsidRPr="00F65D2B" w:rsidRDefault="004D54CC" w:rsidP="004D54CC">
      <w:pPr>
        <w:pStyle w:val="Prrafodelista"/>
        <w:numPr>
          <w:ilvl w:val="0"/>
          <w:numId w:val="2"/>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Referencias normativas, jurisprudenciales y otras fuentes:</w:t>
      </w:r>
    </w:p>
    <w:p w14:paraId="6A24A371" w14:textId="77777777" w:rsidR="004D54CC" w:rsidRPr="00F65D2B" w:rsidRDefault="004D54CC" w:rsidP="004D54CC">
      <w:pPr>
        <w:pStyle w:val="Prrafodelista"/>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D54CC" w:rsidRPr="00F65D2B" w14:paraId="6EF9A2BE" w14:textId="77777777" w:rsidTr="009E10DA">
        <w:trPr>
          <w:trHeight w:val="870"/>
        </w:trPr>
        <w:tc>
          <w:tcPr>
            <w:tcW w:w="8647" w:type="dxa"/>
          </w:tcPr>
          <w:p w14:paraId="1A9F10D4" w14:textId="77777777" w:rsidR="004D54CC" w:rsidRDefault="004D54CC" w:rsidP="004D54C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F65D2B">
              <w:rPr>
                <w:rFonts w:ascii="Verdana" w:hAnsi="Verdana" w:cs="Arial"/>
                <w:color w:val="000000" w:themeColor="text1"/>
              </w:rPr>
              <w:t>Ley 80 de 1993: art.</w:t>
            </w:r>
            <w:r>
              <w:rPr>
                <w:rFonts w:ascii="Verdana" w:hAnsi="Verdana" w:cs="Arial"/>
                <w:color w:val="000000" w:themeColor="text1"/>
              </w:rPr>
              <w:t xml:space="preserve"> 32.2</w:t>
            </w:r>
          </w:p>
          <w:p w14:paraId="63554245" w14:textId="77777777" w:rsidR="004D54CC" w:rsidRPr="00F65D2B" w:rsidRDefault="004D54CC" w:rsidP="004D54C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310207">
              <w:rPr>
                <w:rFonts w:ascii="Verdana" w:hAnsi="Verdana" w:cs="Arial"/>
                <w:color w:val="000000" w:themeColor="text1"/>
              </w:rPr>
              <w:t>Decreto 1082 de 2015, artículo 2.2.1.2.1.3.2.</w:t>
            </w:r>
          </w:p>
          <w:p w14:paraId="58DC462E" w14:textId="77777777" w:rsidR="004D54CC" w:rsidRPr="007468DB" w:rsidRDefault="004D54CC" w:rsidP="004D54C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7468DB">
              <w:rPr>
                <w:rFonts w:ascii="Verdana" w:hAnsi="Verdana" w:cs="Arial"/>
                <w:color w:val="000000" w:themeColor="text1"/>
              </w:rPr>
              <w:t>CONSEJO DE ESTADO. Sección Tercera. Subsección C. Sentencia del 25 de abril del 2012. Radicado. 52001-23-31-000-2000-00173-01(22167). Magistrado Ponente: Jaime Orlando Santofimio Gamboa.</w:t>
            </w:r>
          </w:p>
          <w:p w14:paraId="157D28E2" w14:textId="77777777" w:rsidR="004D54CC" w:rsidRDefault="004D54CC" w:rsidP="004D54C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7468DB">
              <w:rPr>
                <w:rFonts w:ascii="Verdana" w:hAnsi="Verdana" w:cs="Arial"/>
                <w:color w:val="000000" w:themeColor="text1"/>
              </w:rPr>
              <w:t>CONSEJO DE ESTADO. Sección Tercera. Subsección C. Sentencia de Unificación del 2 de diciembre de 2013. Radicado. 11001-03-26-000-2011-00039-00(41719). Magistrado Ponente: Jaime Orlando Santofimio Gamboa.</w:t>
            </w:r>
          </w:p>
          <w:p w14:paraId="7D96153A" w14:textId="77777777" w:rsidR="004D54CC" w:rsidRDefault="004D54CC" w:rsidP="004D54C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 xml:space="preserve">CONCEPTO </w:t>
            </w:r>
            <w:r w:rsidRPr="007E5BC2">
              <w:rPr>
                <w:rFonts w:ascii="Verdana" w:hAnsi="Verdana" w:cs="Arial"/>
                <w:color w:val="000000" w:themeColor="text1"/>
              </w:rPr>
              <w:t>C-282 de 2024 expedido por la ANCP-CCE</w:t>
            </w:r>
          </w:p>
          <w:p w14:paraId="01B95BF1" w14:textId="77777777" w:rsidR="004D54CC" w:rsidRDefault="004D54CC" w:rsidP="004D54C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596F55">
              <w:rPr>
                <w:rFonts w:ascii="Verdana" w:hAnsi="Verdana" w:cs="Arial"/>
                <w:color w:val="000000" w:themeColor="text1"/>
              </w:rPr>
              <w:t xml:space="preserve">AGENCIA NACIONAL DE CONTRATACIÓN PÚBLICA – COLOMBIA COMPRA EFICIENTE. Documentos Tipo: </w:t>
            </w:r>
            <w:hyperlink r:id="rId11" w:history="1">
              <w:r w:rsidRPr="003642CB">
                <w:rPr>
                  <w:rStyle w:val="Hipervnculo"/>
                  <w:rFonts w:ascii="Verdana" w:hAnsi="Verdana" w:cs="Arial"/>
                </w:rPr>
                <w:t>https://www.colombiacompra.gov.co/normativa-y-relatoria/documentos-tipo</w:t>
              </w:r>
            </w:hyperlink>
            <w:r>
              <w:rPr>
                <w:rFonts w:ascii="Verdana" w:hAnsi="Verdana" w:cs="Arial"/>
                <w:color w:val="000000" w:themeColor="text1"/>
              </w:rPr>
              <w:t xml:space="preserve"> </w:t>
            </w:r>
          </w:p>
          <w:p w14:paraId="3F08E86B" w14:textId="77777777" w:rsidR="004D54CC" w:rsidRPr="00DD646F" w:rsidRDefault="004D54CC" w:rsidP="004D54C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DD646F">
              <w:rPr>
                <w:rFonts w:ascii="Verdana" w:hAnsi="Verdana" w:cs="Arial"/>
                <w:color w:val="000000" w:themeColor="text1"/>
              </w:rPr>
              <w:t>MATALLANA CAMACHO, Ernesto. Manual de Contratación de la Administración Pública. Reforma de la Ley 80 de 1993. Bogotá: Universidad Externado de Colombia, 2015. p. 968.</w:t>
            </w:r>
          </w:p>
          <w:p w14:paraId="53C92FBB" w14:textId="77777777" w:rsidR="004D54CC" w:rsidRDefault="004D54CC" w:rsidP="004D54C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DD646F">
              <w:rPr>
                <w:rFonts w:ascii="Verdana" w:hAnsi="Verdana" w:cs="Arial"/>
                <w:color w:val="000000" w:themeColor="text1"/>
              </w:rPr>
              <w:t>DÁVILA VINUEZA, Guillermo. Régimen jurídico de la contratación estatal. Bogotá: Legis, 2016. p. 849.</w:t>
            </w:r>
          </w:p>
          <w:p w14:paraId="68390820" w14:textId="77777777" w:rsidR="004D54CC" w:rsidRPr="00DA5360" w:rsidRDefault="004D54CC" w:rsidP="004D54C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7570EB">
              <w:rPr>
                <w:rFonts w:ascii="Verdana" w:hAnsi="Verdana" w:cs="Arial"/>
                <w:color w:val="000000" w:themeColor="text1"/>
              </w:rPr>
              <w:t xml:space="preserve">REAL ACADEMIA DE LA LENGUA ESPAÑOLA. Diccionario jurídico panhispánico de español jurídico. Disponible en línea: </w:t>
            </w:r>
            <w:hyperlink r:id="rId12" w:history="1">
              <w:r w:rsidRPr="003642CB">
                <w:rPr>
                  <w:rStyle w:val="Hipervnculo"/>
                  <w:rFonts w:ascii="Verdana" w:hAnsi="Verdana" w:cs="Arial"/>
                </w:rPr>
                <w:t>https://dpej.rae.es/lema/asesor%C3%ADa</w:t>
              </w:r>
            </w:hyperlink>
            <w:r>
              <w:rPr>
                <w:rFonts w:ascii="Verdana" w:hAnsi="Verdana" w:cs="Arial"/>
                <w:color w:val="000000" w:themeColor="text1"/>
              </w:rPr>
              <w:t xml:space="preserve"> </w:t>
            </w:r>
          </w:p>
        </w:tc>
      </w:tr>
    </w:tbl>
    <w:p w14:paraId="79E53B2C" w14:textId="77777777" w:rsidR="004D54CC" w:rsidRPr="00F65D2B" w:rsidRDefault="004D54CC" w:rsidP="004D54CC">
      <w:pPr>
        <w:widowControl w:val="0"/>
        <w:autoSpaceDE w:val="0"/>
        <w:autoSpaceDN w:val="0"/>
        <w:spacing w:after="0" w:line="276" w:lineRule="auto"/>
        <w:jc w:val="both"/>
        <w:rPr>
          <w:rFonts w:ascii="Verdana" w:hAnsi="Verdana" w:cs="Arial"/>
          <w:color w:val="000000" w:themeColor="text1"/>
        </w:rPr>
      </w:pPr>
    </w:p>
    <w:p w14:paraId="6A1BF367" w14:textId="77777777" w:rsidR="004D54CC" w:rsidRPr="00F65D2B" w:rsidRDefault="004D54CC" w:rsidP="004D54CC">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F65D2B">
        <w:rPr>
          <w:rFonts w:ascii="Verdana" w:eastAsia="Century Gothic" w:hAnsi="Verdana" w:cs="Century Gothic"/>
          <w:b/>
          <w:bCs/>
          <w:color w:val="000000" w:themeColor="text1"/>
        </w:rPr>
        <w:t>Doctrina de la Agencia Nacional de Contratación Pública:</w:t>
      </w:r>
    </w:p>
    <w:p w14:paraId="4D55B053" w14:textId="77777777" w:rsidR="004D54CC" w:rsidRPr="00F65D2B" w:rsidRDefault="004D54CC" w:rsidP="004D54CC">
      <w:pPr>
        <w:widowControl w:val="0"/>
        <w:autoSpaceDE w:val="0"/>
        <w:autoSpaceDN w:val="0"/>
        <w:spacing w:after="0" w:line="276" w:lineRule="auto"/>
        <w:jc w:val="both"/>
        <w:rPr>
          <w:rFonts w:ascii="Verdana" w:hAnsi="Verdana" w:cs="Arial"/>
          <w:color w:val="000000" w:themeColor="text1"/>
        </w:rPr>
      </w:pPr>
    </w:p>
    <w:p w14:paraId="6B5A4E4B" w14:textId="77777777" w:rsidR="004D54CC" w:rsidRPr="00E860E7" w:rsidRDefault="004D54CC" w:rsidP="004D54CC">
      <w:pPr>
        <w:widowControl w:val="0"/>
        <w:autoSpaceDE w:val="0"/>
        <w:autoSpaceDN w:val="0"/>
        <w:spacing w:after="0" w:line="276" w:lineRule="auto"/>
        <w:jc w:val="both"/>
        <w:rPr>
          <w:rFonts w:ascii="Verdana" w:hAnsi="Verdana" w:cs="Arial"/>
          <w:bCs/>
          <w:shd w:val="clear" w:color="auto" w:fill="FFFFFF"/>
        </w:rPr>
      </w:pPr>
      <w:r w:rsidRPr="00E860E7">
        <w:rPr>
          <w:rFonts w:ascii="Verdana" w:hAnsi="Verdana" w:cs="Arial"/>
          <w:bCs/>
          <w:shd w:val="clear" w:color="auto" w:fill="FFFFFF"/>
        </w:rPr>
        <w:lastRenderedPageBreak/>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w:t>
      </w:r>
      <w:r>
        <w:rPr>
          <w:rFonts w:ascii="Verdana" w:hAnsi="Verdana" w:cs="Arial"/>
          <w:bCs/>
          <w:shd w:val="clear" w:color="auto" w:fill="FFFFFF"/>
        </w:rPr>
        <w:t xml:space="preserve">C-709 del 11 de julio de 2025, </w:t>
      </w:r>
      <w:r w:rsidRPr="00E860E7">
        <w:rPr>
          <w:rFonts w:ascii="Verdana" w:hAnsi="Verdana" w:cs="Arial"/>
          <w:bCs/>
          <w:shd w:val="clear" w:color="auto" w:fill="FFFFFF"/>
        </w:rPr>
        <w:t xml:space="preserve">entre otros. </w:t>
      </w:r>
      <w:r w:rsidRPr="00E860E7">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27A93E7" w14:textId="77777777" w:rsidR="004D54CC" w:rsidRDefault="004D54CC" w:rsidP="004D54CC">
      <w:pPr>
        <w:widowControl w:val="0"/>
        <w:autoSpaceDE w:val="0"/>
        <w:autoSpaceDN w:val="0"/>
        <w:spacing w:after="0" w:line="276" w:lineRule="auto"/>
        <w:jc w:val="both"/>
      </w:pPr>
    </w:p>
    <w:p w14:paraId="3388B3C0" w14:textId="77777777" w:rsidR="004D54CC" w:rsidRPr="00013EC9" w:rsidRDefault="004D54CC" w:rsidP="004D54CC">
      <w:pPr>
        <w:widowControl w:val="0"/>
        <w:autoSpaceDE w:val="0"/>
        <w:autoSpaceDN w:val="0"/>
        <w:spacing w:after="0" w:line="276" w:lineRule="auto"/>
        <w:jc w:val="both"/>
        <w:rPr>
          <w:rStyle w:val="normaltextrun"/>
          <w:rFonts w:ascii="Verdana" w:hAnsi="Verdana" w:cs="Arial"/>
          <w:shd w:val="clear" w:color="auto" w:fill="FFFFFF"/>
        </w:rPr>
      </w:pPr>
      <w:hyperlink r:id="rId13" w:history="1">
        <w:r w:rsidRPr="00013EC9">
          <w:rPr>
            <w:rStyle w:val="Hipervnculo"/>
            <w:rFonts w:ascii="Verdana" w:hAnsi="Verdana" w:cs="Arial"/>
            <w:shd w:val="clear" w:color="auto" w:fill="FFFFFF"/>
            <w:lang w:val="es-ES"/>
          </w:rPr>
          <w:t>https://relatoria.colombiacompra.gov.co/busqueda/conceptos</w:t>
        </w:r>
      </w:hyperlink>
      <w:r w:rsidRPr="00013EC9">
        <w:rPr>
          <w:rStyle w:val="normaltextrun"/>
          <w:rFonts w:ascii="Verdana" w:hAnsi="Verdana" w:cs="Arial"/>
          <w:shd w:val="clear" w:color="auto" w:fill="FFFFFF"/>
        </w:rPr>
        <w:t xml:space="preserve">. </w:t>
      </w:r>
    </w:p>
    <w:p w14:paraId="1E649463" w14:textId="77777777" w:rsidR="004D54CC" w:rsidRPr="00F65D2B" w:rsidRDefault="004D54CC" w:rsidP="004D54CC">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139D56F6" w14:textId="77777777" w:rsidR="004D54CC" w:rsidRPr="00067BB4" w:rsidRDefault="004D54CC" w:rsidP="004D54CC">
      <w:pPr>
        <w:spacing w:after="0" w:line="276" w:lineRule="auto"/>
        <w:jc w:val="both"/>
        <w:rPr>
          <w:rFonts w:ascii="Verdana" w:hAnsi="Verdana"/>
        </w:rPr>
      </w:pPr>
      <w:r w:rsidRPr="00067BB4">
        <w:rPr>
          <w:rFonts w:ascii="Verdana" w:hAnsi="Verdana"/>
        </w:rPr>
        <w:t>También le contamos que ya se encuentra disponible la </w:t>
      </w:r>
      <w:r w:rsidRPr="00067BB4">
        <w:rPr>
          <w:rFonts w:ascii="Verdana" w:hAnsi="Verdana"/>
          <w:b/>
          <w:bCs/>
        </w:rPr>
        <w:t>Guía de lineamientos de transparencia y selección objetiva para el departamento de La Guajira – Objetivo sexto constitucional de la Sentencia T-302 del 2017. </w:t>
      </w:r>
      <w:r w:rsidRPr="00067BB4">
        <w:rPr>
          <w:rFonts w:ascii="Verdana" w:hAnsi="Verdana"/>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067BB4">
          <w:rPr>
            <w:rStyle w:val="Hipervnculo"/>
            <w:rFonts w:ascii="Verdana" w:hAnsi="Verdana"/>
          </w:rPr>
          <w:t>Guía de lineamientos de transparencia y selección objetiva para el departamento de La Guajira – Objetivo sexto constitucional de la Sentencia T-302 del 2017</w:t>
        </w:r>
      </w:hyperlink>
    </w:p>
    <w:p w14:paraId="161DC94D" w14:textId="77777777" w:rsidR="004D54CC" w:rsidRPr="00DC212C" w:rsidRDefault="004D54CC" w:rsidP="004D54CC">
      <w:pPr>
        <w:spacing w:after="0" w:line="276" w:lineRule="auto"/>
        <w:jc w:val="both"/>
        <w:rPr>
          <w:rFonts w:ascii="Verdana" w:eastAsia="Calibri" w:hAnsi="Verdana" w:cs="Arial"/>
          <w:color w:val="000000"/>
          <w:shd w:val="clear" w:color="auto" w:fill="FFFFFF"/>
        </w:rPr>
      </w:pPr>
    </w:p>
    <w:p w14:paraId="0FC04FB7" w14:textId="77777777" w:rsidR="004D54CC" w:rsidRPr="00DC212C" w:rsidRDefault="004D54CC" w:rsidP="004D54CC">
      <w:pPr>
        <w:spacing w:after="0"/>
        <w:jc w:val="both"/>
        <w:rPr>
          <w:rFonts w:ascii="Verdana" w:hAnsi="Verdana"/>
        </w:rPr>
      </w:pPr>
      <w:r>
        <w:rPr>
          <w:rFonts w:ascii="Verdana" w:hAnsi="Verdana"/>
        </w:rPr>
        <w:t>Aprovechamos</w:t>
      </w:r>
      <w:r w:rsidRPr="00DC212C">
        <w:rPr>
          <w:rFonts w:ascii="Verdana" w:hAnsi="Verdana"/>
        </w:rPr>
        <w:t xml:space="preserve">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5FBED08F" w14:textId="77777777" w:rsidR="004D54CC" w:rsidRPr="00DC212C" w:rsidRDefault="004D54CC" w:rsidP="004D54CC">
      <w:pPr>
        <w:spacing w:after="0" w:line="240" w:lineRule="auto"/>
        <w:jc w:val="both"/>
        <w:rPr>
          <w:rFonts w:ascii="Verdana" w:hAnsi="Verdana"/>
        </w:rPr>
      </w:pPr>
    </w:p>
    <w:p w14:paraId="3653D6D1" w14:textId="77777777" w:rsidR="004D54CC" w:rsidRPr="00DC212C" w:rsidRDefault="004D54CC" w:rsidP="004D54CC">
      <w:pPr>
        <w:pStyle w:val="Prrafodelista"/>
        <w:numPr>
          <w:ilvl w:val="0"/>
          <w:numId w:val="1"/>
        </w:numPr>
        <w:spacing w:after="0" w:line="240" w:lineRule="auto"/>
        <w:jc w:val="both"/>
        <w:rPr>
          <w:rFonts w:ascii="Verdana" w:hAnsi="Verdana"/>
        </w:rPr>
      </w:pPr>
      <w:r w:rsidRPr="00DC212C">
        <w:rPr>
          <w:rFonts w:ascii="Verdana" w:hAnsi="Verdana"/>
        </w:rPr>
        <w:t>Línea nacional gratuita o servicio a la ciudadanía: 01800 0520808</w:t>
      </w:r>
    </w:p>
    <w:p w14:paraId="4964D3BC" w14:textId="77777777" w:rsidR="004D54CC" w:rsidRPr="00DC212C" w:rsidRDefault="004D54CC" w:rsidP="004D54CC">
      <w:pPr>
        <w:pStyle w:val="Prrafodelista"/>
        <w:numPr>
          <w:ilvl w:val="0"/>
          <w:numId w:val="1"/>
        </w:numPr>
        <w:spacing w:after="0" w:line="240" w:lineRule="auto"/>
        <w:jc w:val="both"/>
        <w:rPr>
          <w:rFonts w:ascii="Verdana" w:hAnsi="Verdana"/>
        </w:rPr>
      </w:pPr>
      <w:r w:rsidRPr="00DC212C">
        <w:rPr>
          <w:rFonts w:ascii="Verdana" w:hAnsi="Verdana"/>
        </w:rPr>
        <w:t>Línea en Bogotá (Mesa de servicio): +57 601 7456788</w:t>
      </w:r>
    </w:p>
    <w:p w14:paraId="3C1BBBE6" w14:textId="77777777" w:rsidR="004D54CC" w:rsidRPr="00DC212C" w:rsidRDefault="004D54CC" w:rsidP="004D54CC">
      <w:pPr>
        <w:pStyle w:val="Prrafodelista"/>
        <w:numPr>
          <w:ilvl w:val="0"/>
          <w:numId w:val="1"/>
        </w:numPr>
        <w:spacing w:after="0" w:line="240" w:lineRule="auto"/>
        <w:jc w:val="both"/>
        <w:rPr>
          <w:rFonts w:ascii="Verdana" w:hAnsi="Verdana"/>
        </w:rPr>
      </w:pPr>
      <w:r w:rsidRPr="00DC212C">
        <w:rPr>
          <w:rFonts w:ascii="Verdana" w:hAnsi="Verdana"/>
        </w:rPr>
        <w:lastRenderedPageBreak/>
        <w:t>Línea de servicio y atención al ciudadano: +57 601 7956600</w:t>
      </w:r>
    </w:p>
    <w:p w14:paraId="0F042FEA" w14:textId="77777777" w:rsidR="004D54CC" w:rsidRPr="00DC212C" w:rsidRDefault="004D54CC" w:rsidP="004D54CC">
      <w:pPr>
        <w:pStyle w:val="Prrafodelista"/>
        <w:numPr>
          <w:ilvl w:val="0"/>
          <w:numId w:val="1"/>
        </w:numPr>
        <w:spacing w:after="0" w:line="240" w:lineRule="auto"/>
        <w:jc w:val="both"/>
        <w:rPr>
          <w:rFonts w:ascii="Verdana" w:hAnsi="Verdana"/>
        </w:rPr>
      </w:pPr>
      <w:r w:rsidRPr="00DC212C">
        <w:rPr>
          <w:rFonts w:ascii="Verdana" w:hAnsi="Verdana"/>
        </w:rPr>
        <w:t xml:space="preserve">Página web: </w:t>
      </w:r>
      <w:hyperlink r:id="rId15" w:history="1">
        <w:r w:rsidRPr="00DC212C">
          <w:rPr>
            <w:rStyle w:val="Hipervnculo"/>
            <w:rFonts w:ascii="Verdana" w:hAnsi="Verdana"/>
          </w:rPr>
          <w:t>www.colombiacompra.gov.co</w:t>
        </w:r>
      </w:hyperlink>
    </w:p>
    <w:p w14:paraId="2EAED0D1" w14:textId="77777777" w:rsidR="004D54CC" w:rsidRPr="00DC212C" w:rsidRDefault="004D54CC" w:rsidP="004D54CC">
      <w:pPr>
        <w:pStyle w:val="Prrafodelista"/>
        <w:spacing w:after="0" w:line="240" w:lineRule="auto"/>
        <w:ind w:left="785"/>
        <w:jc w:val="both"/>
        <w:rPr>
          <w:rFonts w:ascii="Verdana" w:hAnsi="Verdana"/>
        </w:rPr>
      </w:pPr>
    </w:p>
    <w:p w14:paraId="038DAD3C" w14:textId="77777777" w:rsidR="004D54CC" w:rsidRPr="00DC212C" w:rsidRDefault="004D54CC" w:rsidP="004D54CC">
      <w:pPr>
        <w:spacing w:after="0" w:line="240" w:lineRule="auto"/>
        <w:jc w:val="both"/>
        <w:rPr>
          <w:rFonts w:ascii="Verdana" w:hAnsi="Verdana"/>
        </w:rPr>
      </w:pPr>
      <w:r w:rsidRPr="00DC212C">
        <w:rPr>
          <w:rFonts w:ascii="Verdana" w:hAnsi="Verdana"/>
        </w:rPr>
        <w:t xml:space="preserve">Por último, lo invitamos a seguirnos en las redes sociales en las cuales se difunde información institucional: </w:t>
      </w:r>
    </w:p>
    <w:p w14:paraId="6D3B78F6" w14:textId="77777777" w:rsidR="004D54CC" w:rsidRPr="00DC212C" w:rsidRDefault="004D54CC" w:rsidP="004D54CC">
      <w:pPr>
        <w:spacing w:after="0" w:line="240" w:lineRule="auto"/>
        <w:jc w:val="both"/>
        <w:rPr>
          <w:rFonts w:ascii="Verdana" w:hAnsi="Verdana"/>
        </w:rPr>
      </w:pPr>
    </w:p>
    <w:p w14:paraId="1D9C6EFA" w14:textId="77777777" w:rsidR="004D54CC" w:rsidRPr="00DC212C" w:rsidRDefault="004D54CC" w:rsidP="004D54CC">
      <w:pPr>
        <w:spacing w:after="0" w:line="240" w:lineRule="auto"/>
        <w:jc w:val="both"/>
        <w:rPr>
          <w:rFonts w:ascii="Verdana" w:hAnsi="Verdana"/>
        </w:rPr>
      </w:pPr>
      <w:r w:rsidRPr="00DC212C">
        <w:rPr>
          <w:rFonts w:ascii="Verdana" w:hAnsi="Verdana"/>
        </w:rPr>
        <w:t xml:space="preserve">Twitter: </w:t>
      </w:r>
      <w:r w:rsidRPr="00DC212C">
        <w:rPr>
          <w:rStyle w:val="Hipervnculo"/>
          <w:rFonts w:ascii="Verdana" w:hAnsi="Verdana"/>
        </w:rPr>
        <w:t>@colombiacompra</w:t>
      </w:r>
      <w:r w:rsidRPr="00DC212C">
        <w:rPr>
          <w:rFonts w:ascii="Verdana" w:hAnsi="Verdana"/>
        </w:rPr>
        <w:t xml:space="preserve"> </w:t>
      </w:r>
    </w:p>
    <w:p w14:paraId="155A3F2B" w14:textId="77777777" w:rsidR="004D54CC" w:rsidRPr="00DC212C" w:rsidRDefault="004D54CC" w:rsidP="004D54CC">
      <w:pPr>
        <w:spacing w:after="0" w:line="240" w:lineRule="auto"/>
        <w:jc w:val="both"/>
        <w:rPr>
          <w:rFonts w:ascii="Verdana" w:hAnsi="Verdana"/>
        </w:rPr>
      </w:pPr>
      <w:r w:rsidRPr="00DC212C">
        <w:rPr>
          <w:rFonts w:ascii="Verdana" w:hAnsi="Verdana"/>
        </w:rPr>
        <w:t xml:space="preserve">Facebook: </w:t>
      </w:r>
      <w:r w:rsidRPr="00DC212C">
        <w:rPr>
          <w:rStyle w:val="Hipervnculo"/>
          <w:rFonts w:ascii="Verdana" w:hAnsi="Verdana"/>
        </w:rPr>
        <w:t>ColombiaCompraEficiente</w:t>
      </w:r>
    </w:p>
    <w:p w14:paraId="42362000" w14:textId="77777777" w:rsidR="004D54CC" w:rsidRPr="00DC212C" w:rsidRDefault="004D54CC" w:rsidP="004D54CC">
      <w:pPr>
        <w:spacing w:after="0" w:line="240" w:lineRule="auto"/>
        <w:jc w:val="both"/>
        <w:rPr>
          <w:rFonts w:ascii="Verdana" w:hAnsi="Verdana"/>
        </w:rPr>
      </w:pPr>
      <w:r w:rsidRPr="00DC212C">
        <w:rPr>
          <w:rFonts w:ascii="Verdana" w:hAnsi="Verdana"/>
        </w:rPr>
        <w:t xml:space="preserve">LinkedIn: </w:t>
      </w:r>
      <w:r w:rsidRPr="00DC212C">
        <w:rPr>
          <w:rStyle w:val="Hipervnculo"/>
          <w:rFonts w:ascii="Verdana" w:hAnsi="Verdana"/>
        </w:rPr>
        <w:t>Agencia Nacional de Contratación Pública - Colombia Compra Eficiente</w:t>
      </w:r>
      <w:r w:rsidRPr="00DC212C">
        <w:rPr>
          <w:rFonts w:ascii="Verdana" w:hAnsi="Verdana"/>
        </w:rPr>
        <w:t xml:space="preserve"> Instagram: </w:t>
      </w:r>
      <w:r w:rsidRPr="00DC212C">
        <w:rPr>
          <w:rStyle w:val="Hipervnculo"/>
          <w:rFonts w:ascii="Verdana" w:hAnsi="Verdana"/>
        </w:rPr>
        <w:t>@colombiacompraeficiente_cce</w:t>
      </w:r>
    </w:p>
    <w:p w14:paraId="31766F80" w14:textId="77777777" w:rsidR="004D54CC" w:rsidRPr="00F65D2B" w:rsidRDefault="004D54CC" w:rsidP="004D54CC">
      <w:pPr>
        <w:widowControl w:val="0"/>
        <w:autoSpaceDE w:val="0"/>
        <w:autoSpaceDN w:val="0"/>
        <w:spacing w:after="0" w:line="276" w:lineRule="auto"/>
        <w:jc w:val="both"/>
        <w:rPr>
          <w:rFonts w:ascii="Verdana" w:hAnsi="Verdana" w:cs="Arial"/>
          <w:color w:val="000000" w:themeColor="text1"/>
        </w:rPr>
      </w:pPr>
    </w:p>
    <w:p w14:paraId="27A050A0" w14:textId="77777777" w:rsidR="004D54CC" w:rsidRPr="00F65D2B" w:rsidRDefault="004D54CC" w:rsidP="004D54CC">
      <w:pPr>
        <w:widowControl w:val="0"/>
        <w:autoSpaceDE w:val="0"/>
        <w:autoSpaceDN w:val="0"/>
        <w:spacing w:after="0" w:line="276" w:lineRule="auto"/>
        <w:jc w:val="both"/>
        <w:rPr>
          <w:rFonts w:ascii="Verdana" w:hAnsi="Verdana" w:cs="Arial"/>
          <w:color w:val="000000" w:themeColor="text1"/>
        </w:rPr>
      </w:pPr>
      <w:r w:rsidRPr="00F65D2B">
        <w:rPr>
          <w:rFonts w:ascii="Verdana" w:hAnsi="Verdana" w:cs="Arial"/>
          <w:color w:val="000000" w:themeColor="text1"/>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C41DCC5" w14:textId="77777777" w:rsidR="004D54CC" w:rsidRPr="00F65D2B" w:rsidRDefault="004D54CC" w:rsidP="004D54CC">
      <w:pPr>
        <w:widowControl w:val="0"/>
        <w:autoSpaceDE w:val="0"/>
        <w:autoSpaceDN w:val="0"/>
        <w:spacing w:after="0" w:line="276" w:lineRule="auto"/>
        <w:jc w:val="both"/>
        <w:rPr>
          <w:rFonts w:ascii="Verdana" w:hAnsi="Verdana" w:cs="Arial"/>
          <w:color w:val="000000" w:themeColor="text1"/>
        </w:rPr>
      </w:pPr>
    </w:p>
    <w:p w14:paraId="15BF58D2" w14:textId="77777777" w:rsidR="004D54CC" w:rsidRDefault="004D54CC" w:rsidP="004D54CC">
      <w:pPr>
        <w:spacing w:after="0" w:line="276" w:lineRule="auto"/>
        <w:rPr>
          <w:rFonts w:ascii="Verdana" w:hAnsi="Verdana" w:cs="Arial"/>
          <w:color w:val="000000" w:themeColor="text1"/>
          <w:lang w:eastAsia="es-CO"/>
        </w:rPr>
      </w:pPr>
      <w:r w:rsidRPr="00F65D2B">
        <w:rPr>
          <w:rFonts w:ascii="Verdana" w:eastAsia="Times New Roman" w:hAnsi="Verdana" w:cs="Arial"/>
          <w:color w:val="000000" w:themeColor="text1"/>
          <w:lang w:eastAsia="es-CO"/>
        </w:rPr>
        <w:t>Atentamente,</w:t>
      </w:r>
      <w:r w:rsidRPr="00F65D2B">
        <w:rPr>
          <w:rFonts w:ascii="Verdana" w:hAnsi="Verdana" w:cs="Arial"/>
          <w:color w:val="000000" w:themeColor="text1"/>
          <w:lang w:eastAsia="es-CO"/>
        </w:rPr>
        <w:t xml:space="preserve"> </w:t>
      </w:r>
    </w:p>
    <w:p w14:paraId="68BF2F4D" w14:textId="2889AB85" w:rsidR="004D54CC" w:rsidRPr="00F65D2B" w:rsidRDefault="00F434E8" w:rsidP="004D54CC">
      <w:pPr>
        <w:spacing w:after="0" w:line="276" w:lineRule="auto"/>
        <w:jc w:val="center"/>
        <w:rPr>
          <w:rFonts w:ascii="Verdana" w:hAnsi="Verdana" w:cs="Arial"/>
          <w:color w:val="000000" w:themeColor="text1"/>
          <w:lang w:eastAsia="es-CO"/>
        </w:rPr>
      </w:pPr>
      <w:r w:rsidRPr="004D5C25">
        <w:rPr>
          <w:rFonts w:ascii="Century Gothic" w:hAnsi="Century Gothic"/>
          <w:noProof/>
        </w:rPr>
        <w:drawing>
          <wp:inline distT="0" distB="0" distL="0" distR="0" wp14:anchorId="4485D9AB" wp14:editId="5DFC527B">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D54CC" w:rsidRPr="00F65D2B" w14:paraId="4305EC8A" w14:textId="77777777" w:rsidTr="009E10DA">
        <w:trPr>
          <w:trHeight w:val="315"/>
        </w:trPr>
        <w:tc>
          <w:tcPr>
            <w:tcW w:w="893" w:type="dxa"/>
            <w:vAlign w:val="center"/>
            <w:hideMark/>
          </w:tcPr>
          <w:p w14:paraId="098693F6" w14:textId="77777777" w:rsidR="004D54CC" w:rsidRPr="00F65D2B" w:rsidRDefault="004D54CC" w:rsidP="009E10DA">
            <w:pPr>
              <w:contextualSpacing/>
              <w:rPr>
                <w:rFonts w:ascii="Verdana" w:hAnsi="Verdana" w:cs="Arial"/>
                <w:sz w:val="16"/>
                <w:szCs w:val="16"/>
                <w:lang w:eastAsia="es-ES"/>
              </w:rPr>
            </w:pPr>
            <w:r w:rsidRPr="00F65D2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AE708EE" w14:textId="77777777" w:rsidR="004D54CC" w:rsidRPr="00DC212C" w:rsidRDefault="004D54CC" w:rsidP="009E10DA">
            <w:pPr>
              <w:spacing w:line="256" w:lineRule="auto"/>
              <w:rPr>
                <w:rFonts w:ascii="Verdana" w:eastAsia="Calibri" w:hAnsi="Verdana" w:cs="Times New Roman"/>
                <w:sz w:val="16"/>
                <w:szCs w:val="16"/>
              </w:rPr>
            </w:pPr>
            <w:r>
              <w:rPr>
                <w:rFonts w:ascii="Verdana" w:eastAsia="Calibri" w:hAnsi="Verdana" w:cs="Times New Roman"/>
                <w:sz w:val="16"/>
                <w:szCs w:val="16"/>
              </w:rPr>
              <w:t>Sergio Enrique Caballero Lesmes</w:t>
            </w:r>
          </w:p>
          <w:p w14:paraId="5C4E4DA7" w14:textId="77777777" w:rsidR="004D54CC" w:rsidRPr="00F65D2B" w:rsidRDefault="004D54CC" w:rsidP="009E10DA">
            <w:pPr>
              <w:contextualSpacing/>
              <w:rPr>
                <w:rFonts w:ascii="Verdana" w:eastAsia="Arial" w:hAnsi="Verdana" w:cs="Arial"/>
                <w:sz w:val="16"/>
                <w:szCs w:val="16"/>
              </w:rPr>
            </w:pPr>
            <w:r>
              <w:rPr>
                <w:rFonts w:ascii="Verdana" w:eastAsia="Calibri" w:hAnsi="Verdana" w:cs="Times New Roman"/>
                <w:sz w:val="16"/>
                <w:szCs w:val="16"/>
              </w:rPr>
              <w:t>Analista T1 -02</w:t>
            </w:r>
            <w:r w:rsidRPr="00DC212C">
              <w:rPr>
                <w:rFonts w:ascii="Verdana" w:eastAsia="Calibri" w:hAnsi="Verdana" w:cs="Times New Roman"/>
                <w:sz w:val="16"/>
                <w:szCs w:val="16"/>
              </w:rPr>
              <w:t xml:space="preserve"> de la Subdirección de Gestión Contractual</w:t>
            </w:r>
          </w:p>
        </w:tc>
      </w:tr>
      <w:tr w:rsidR="004D54CC" w:rsidRPr="00F65D2B" w14:paraId="6773DF8E" w14:textId="77777777" w:rsidTr="009E10DA">
        <w:trPr>
          <w:trHeight w:val="330"/>
        </w:trPr>
        <w:tc>
          <w:tcPr>
            <w:tcW w:w="893" w:type="dxa"/>
            <w:vAlign w:val="center"/>
            <w:hideMark/>
          </w:tcPr>
          <w:p w14:paraId="5550410C" w14:textId="77777777" w:rsidR="004D54CC" w:rsidRPr="00F65D2B" w:rsidRDefault="004D54CC" w:rsidP="009E10DA">
            <w:pPr>
              <w:contextualSpacing/>
              <w:rPr>
                <w:rFonts w:ascii="Verdana" w:hAnsi="Verdana" w:cs="Arial"/>
                <w:sz w:val="16"/>
                <w:szCs w:val="16"/>
                <w:lang w:eastAsia="es-ES"/>
              </w:rPr>
            </w:pPr>
            <w:r w:rsidRPr="00F65D2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2DC5E2D" w14:textId="77777777" w:rsidR="004D54CC" w:rsidRPr="00DC212C" w:rsidRDefault="004D54CC" w:rsidP="009E10DA">
            <w:pPr>
              <w:spacing w:line="256" w:lineRule="auto"/>
              <w:rPr>
                <w:rFonts w:ascii="Verdana" w:eastAsia="Calibri" w:hAnsi="Verdana" w:cs="Times New Roman"/>
                <w:sz w:val="16"/>
                <w:szCs w:val="16"/>
              </w:rPr>
            </w:pPr>
            <w:r>
              <w:rPr>
                <w:rFonts w:ascii="Verdana" w:eastAsia="Calibri" w:hAnsi="Verdana" w:cs="Times New Roman"/>
                <w:sz w:val="16"/>
                <w:szCs w:val="16"/>
              </w:rPr>
              <w:t>Diana Lucía Saavedra Castañeda</w:t>
            </w:r>
          </w:p>
          <w:p w14:paraId="5B159EA4" w14:textId="77777777" w:rsidR="004D54CC" w:rsidRPr="00F65D2B" w:rsidRDefault="004D54CC" w:rsidP="009E10DA">
            <w:pPr>
              <w:pStyle w:val="paragraph"/>
              <w:spacing w:before="0" w:beforeAutospacing="0" w:after="0" w:afterAutospacing="0"/>
              <w:contextualSpacing/>
              <w:textAlignment w:val="baseline"/>
              <w:rPr>
                <w:rFonts w:ascii="Verdana" w:hAnsi="Verdana" w:cs="Segoe UI"/>
                <w:sz w:val="16"/>
                <w:szCs w:val="16"/>
              </w:rPr>
            </w:pPr>
            <w:r>
              <w:rPr>
                <w:rFonts w:ascii="Verdana" w:eastAsia="Calibri" w:hAnsi="Verdana"/>
                <w:sz w:val="16"/>
                <w:szCs w:val="16"/>
              </w:rPr>
              <w:t>Contratista</w:t>
            </w:r>
            <w:r w:rsidRPr="00DC212C">
              <w:rPr>
                <w:rFonts w:ascii="Verdana" w:eastAsia="Calibri" w:hAnsi="Verdana"/>
                <w:sz w:val="16"/>
                <w:szCs w:val="16"/>
              </w:rPr>
              <w:t xml:space="preserve"> de la Subdirección de Gestión Contractual </w:t>
            </w:r>
          </w:p>
        </w:tc>
      </w:tr>
      <w:tr w:rsidR="004D54CC" w:rsidRPr="00F65D2B" w14:paraId="01206E16" w14:textId="77777777" w:rsidTr="009E10DA">
        <w:trPr>
          <w:trHeight w:val="300"/>
        </w:trPr>
        <w:tc>
          <w:tcPr>
            <w:tcW w:w="893" w:type="dxa"/>
            <w:vAlign w:val="center"/>
          </w:tcPr>
          <w:p w14:paraId="63544398" w14:textId="77777777" w:rsidR="004D54CC" w:rsidRPr="00F65D2B" w:rsidRDefault="004D54CC" w:rsidP="009E10DA">
            <w:pPr>
              <w:contextualSpacing/>
              <w:rPr>
                <w:rFonts w:ascii="Verdana" w:hAnsi="Verdana" w:cs="Arial"/>
                <w:sz w:val="16"/>
                <w:szCs w:val="16"/>
                <w:lang w:eastAsia="es-ES"/>
              </w:rPr>
            </w:pPr>
            <w:r w:rsidRPr="00F65D2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2B20579" w14:textId="77777777" w:rsidR="004D54CC" w:rsidRPr="00F65D2B" w:rsidRDefault="004D54CC" w:rsidP="009E10DA">
            <w:pPr>
              <w:contextualSpacing/>
              <w:rPr>
                <w:rFonts w:ascii="Verdana" w:eastAsia="Calibri" w:hAnsi="Verdana" w:cs="Arial"/>
                <w:sz w:val="16"/>
                <w:szCs w:val="16"/>
                <w:lang w:eastAsia="es-ES"/>
              </w:rPr>
            </w:pPr>
            <w:r w:rsidRPr="00F65D2B">
              <w:rPr>
                <w:rFonts w:ascii="Verdana" w:eastAsia="Calibri" w:hAnsi="Verdana" w:cs="Arial"/>
                <w:sz w:val="16"/>
                <w:szCs w:val="16"/>
                <w:lang w:eastAsia="es-ES"/>
              </w:rPr>
              <w:t>Carolina Quintero Gacharná</w:t>
            </w:r>
          </w:p>
          <w:p w14:paraId="7288B1F8" w14:textId="77777777" w:rsidR="004D54CC" w:rsidRPr="00F65D2B" w:rsidRDefault="004D54CC" w:rsidP="009E10DA">
            <w:pPr>
              <w:contextualSpacing/>
              <w:rPr>
                <w:rFonts w:ascii="Verdana" w:eastAsia="Calibri" w:hAnsi="Verdana" w:cs="Arial"/>
                <w:sz w:val="16"/>
                <w:szCs w:val="16"/>
                <w:lang w:eastAsia="es-ES"/>
              </w:rPr>
            </w:pPr>
            <w:r w:rsidRPr="00F65D2B">
              <w:rPr>
                <w:rFonts w:ascii="Verdana" w:eastAsia="Calibri" w:hAnsi="Verdana" w:cs="Arial"/>
                <w:sz w:val="16"/>
                <w:szCs w:val="16"/>
                <w:lang w:eastAsia="es-ES"/>
              </w:rPr>
              <w:t>Subdirectora de Gestión Contractual ANCP – CCE</w:t>
            </w:r>
          </w:p>
        </w:tc>
      </w:tr>
    </w:tbl>
    <w:p w14:paraId="542BE030" w14:textId="77777777" w:rsidR="004D54CC" w:rsidRPr="00F65D2B" w:rsidRDefault="004D54CC" w:rsidP="004D54CC">
      <w:pPr>
        <w:spacing w:after="0"/>
        <w:rPr>
          <w:rFonts w:ascii="Verdana" w:hAnsi="Verdana"/>
        </w:rPr>
      </w:pPr>
    </w:p>
    <w:p w14:paraId="324472FF" w14:textId="77777777" w:rsidR="004D54CC" w:rsidRPr="00F65D2B" w:rsidRDefault="004D54CC" w:rsidP="004D54CC">
      <w:pPr>
        <w:spacing w:after="0"/>
        <w:rPr>
          <w:rFonts w:ascii="Verdana" w:eastAsia="Times New Roman" w:hAnsi="Verdana" w:cs="Segoe UI"/>
          <w:sz w:val="18"/>
          <w:szCs w:val="18"/>
          <w:lang w:eastAsia="es-CO"/>
        </w:rPr>
      </w:pPr>
    </w:p>
    <w:p w14:paraId="06FC729D" w14:textId="77777777" w:rsidR="004D54CC" w:rsidRDefault="004D54CC" w:rsidP="004D54CC"/>
    <w:p w14:paraId="1DC59993" w14:textId="77777777" w:rsidR="004D54CC" w:rsidRPr="00046945" w:rsidRDefault="004D54CC" w:rsidP="004D54CC">
      <w:pPr>
        <w:spacing w:after="0"/>
        <w:rPr>
          <w:rFonts w:ascii="Verdana" w:eastAsia="Times New Roman" w:hAnsi="Verdana" w:cs="Segoe UI"/>
          <w:sz w:val="18"/>
          <w:szCs w:val="18"/>
          <w:lang w:eastAsia="es-CO"/>
        </w:rPr>
      </w:pPr>
    </w:p>
    <w:p w14:paraId="40A15A25" w14:textId="77777777" w:rsidR="004D54CC" w:rsidRDefault="004D54CC" w:rsidP="004D54CC"/>
    <w:p w14:paraId="090C0AB2" w14:textId="77777777" w:rsidR="004D54CC" w:rsidRPr="007B45D6" w:rsidRDefault="004D54CC" w:rsidP="004D54CC"/>
    <w:p w14:paraId="5317CE2B" w14:textId="77777777" w:rsidR="00C24FFE" w:rsidRDefault="00C24FFE"/>
    <w:sectPr w:rsidR="00C24FFE" w:rsidSect="004D54CC">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C32CD5" w14:textId="77777777" w:rsidR="004D54CC" w:rsidRDefault="004D54CC" w:rsidP="004D54CC">
      <w:pPr>
        <w:spacing w:after="0" w:line="240" w:lineRule="auto"/>
      </w:pPr>
      <w:r>
        <w:separator/>
      </w:r>
    </w:p>
  </w:endnote>
  <w:endnote w:type="continuationSeparator" w:id="0">
    <w:p w14:paraId="428369A8" w14:textId="77777777" w:rsidR="004D54CC" w:rsidRDefault="004D54CC" w:rsidP="004D5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UI Semibold">
    <w:panose1 w:val="020B07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AE45A" w14:textId="77777777" w:rsidR="004D54CC" w:rsidRDefault="004D54CC">
    <w:pPr>
      <w:pStyle w:val="Piedepgina"/>
    </w:pPr>
  </w:p>
  <w:p w14:paraId="2CD723A4" w14:textId="77777777" w:rsidR="004D54CC" w:rsidRPr="00174B77" w:rsidRDefault="004D54CC"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547F2757" w14:textId="77777777" w:rsidR="004D54CC" w:rsidRDefault="004D54CC"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2D150980" w14:textId="77777777" w:rsidR="004D54CC" w:rsidRPr="00E41027" w:rsidRDefault="004D54CC" w:rsidP="00D520D8">
    <w:pPr>
      <w:spacing w:after="0"/>
      <w:jc w:val="both"/>
      <w:rPr>
        <w:rFonts w:ascii="Verdana" w:hAnsi="Verdana"/>
        <w:sz w:val="18"/>
        <w:szCs w:val="18"/>
      </w:rPr>
    </w:pPr>
    <w:r w:rsidRPr="00E41027">
      <w:rPr>
        <w:rFonts w:ascii="Verdana" w:hAnsi="Verdana"/>
        <w:sz w:val="18"/>
        <w:szCs w:val="18"/>
      </w:rPr>
      <w:t>Mesa de servicio: (+57) 601 7456788</w:t>
    </w:r>
  </w:p>
  <w:p w14:paraId="1B1A45A0" w14:textId="77777777" w:rsidR="004D54CC" w:rsidRDefault="004D54CC"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AAEE3B" w14:textId="77777777" w:rsidR="004D54CC" w:rsidRDefault="004D54CC" w:rsidP="004D54CC">
      <w:pPr>
        <w:spacing w:after="0" w:line="240" w:lineRule="auto"/>
      </w:pPr>
      <w:r>
        <w:separator/>
      </w:r>
    </w:p>
  </w:footnote>
  <w:footnote w:type="continuationSeparator" w:id="0">
    <w:p w14:paraId="7F673B9D" w14:textId="77777777" w:rsidR="004D54CC" w:rsidRDefault="004D54CC" w:rsidP="004D54CC">
      <w:pPr>
        <w:spacing w:after="0" w:line="240" w:lineRule="auto"/>
      </w:pPr>
      <w:r>
        <w:continuationSeparator/>
      </w:r>
    </w:p>
  </w:footnote>
  <w:footnote w:id="1">
    <w:p w14:paraId="5BDD4DF1" w14:textId="77777777" w:rsidR="004D54CC" w:rsidRPr="0066450E" w:rsidRDefault="004D54CC" w:rsidP="004D54CC">
      <w:pPr>
        <w:pStyle w:val="Textonotapie"/>
        <w:ind w:firstLine="709"/>
        <w:rPr>
          <w:rFonts w:ascii="Verdana" w:hAnsi="Verdana"/>
          <w:sz w:val="12"/>
          <w:szCs w:val="12"/>
          <w:lang w:val="it-IT"/>
        </w:rPr>
      </w:pPr>
      <w:r w:rsidRPr="0066450E">
        <w:rPr>
          <w:rStyle w:val="Refdenotaalpie"/>
          <w:rFonts w:ascii="Verdana" w:hAnsi="Verdana"/>
          <w:sz w:val="12"/>
          <w:szCs w:val="12"/>
          <w:lang w:val="es-CO"/>
        </w:rPr>
        <w:footnoteRef/>
      </w:r>
      <w:r w:rsidRPr="0066450E">
        <w:rPr>
          <w:rFonts w:ascii="Verdana" w:hAnsi="Verdana"/>
          <w:sz w:val="12"/>
          <w:szCs w:val="12"/>
          <w:lang w:val="pt-BR"/>
        </w:rPr>
        <w:t xml:space="preserve"> Corte Constitucional, sentencia T-743 de 2017, Exp. </w:t>
      </w:r>
      <w:r w:rsidRPr="0066450E">
        <w:rPr>
          <w:rFonts w:ascii="Verdana" w:hAnsi="Verdana"/>
          <w:sz w:val="12"/>
          <w:szCs w:val="12"/>
          <w:lang w:val="it-IT"/>
        </w:rPr>
        <w:t>T-6.366.648 Magistrada Ponente Cristina Pardo Schlesinger.</w:t>
      </w:r>
    </w:p>
    <w:p w14:paraId="5403F27D" w14:textId="77777777" w:rsidR="004D54CC" w:rsidRPr="0066450E" w:rsidRDefault="004D54CC" w:rsidP="004D54CC">
      <w:pPr>
        <w:pStyle w:val="Textonotapie"/>
        <w:ind w:firstLine="709"/>
        <w:rPr>
          <w:rFonts w:ascii="Verdana" w:hAnsi="Verdana"/>
          <w:sz w:val="12"/>
          <w:szCs w:val="12"/>
          <w:lang w:val="it-IT"/>
        </w:rPr>
      </w:pPr>
    </w:p>
  </w:footnote>
  <w:footnote w:id="2">
    <w:p w14:paraId="367A7A61" w14:textId="77777777" w:rsidR="004D54CC" w:rsidRPr="0066450E" w:rsidRDefault="004D54CC" w:rsidP="004D54CC">
      <w:pPr>
        <w:pStyle w:val="Textonotapie"/>
        <w:ind w:firstLine="709"/>
        <w:rPr>
          <w:rFonts w:ascii="Verdana" w:hAnsi="Verdana"/>
          <w:sz w:val="12"/>
          <w:szCs w:val="12"/>
          <w:lang w:val="it-IT"/>
        </w:rPr>
      </w:pPr>
      <w:r w:rsidRPr="0066450E">
        <w:rPr>
          <w:rStyle w:val="Refdenotaalpie"/>
          <w:rFonts w:ascii="Verdana" w:hAnsi="Verdana"/>
          <w:sz w:val="12"/>
          <w:szCs w:val="12"/>
          <w:lang w:val="es-CO"/>
        </w:rPr>
        <w:footnoteRef/>
      </w:r>
      <w:r w:rsidRPr="0066450E">
        <w:rPr>
          <w:rFonts w:ascii="Verdana" w:hAnsi="Verdana"/>
          <w:sz w:val="12"/>
          <w:szCs w:val="12"/>
          <w:lang w:val="it-IT"/>
        </w:rPr>
        <w:t xml:space="preserve"> Corte Constitucional. Sentencia SU-075 de 2018. Magistrado Ponente: Gloria Stella Ortiz Delgado.</w:t>
      </w:r>
    </w:p>
  </w:footnote>
  <w:footnote w:id="3">
    <w:p w14:paraId="13B5B455" w14:textId="77777777" w:rsidR="004D54CC" w:rsidRPr="0066450E" w:rsidRDefault="004D54CC" w:rsidP="004D54CC">
      <w:pPr>
        <w:pStyle w:val="Textonotapie"/>
        <w:ind w:firstLine="709"/>
        <w:rPr>
          <w:rFonts w:ascii="Verdana" w:hAnsi="Verdana"/>
          <w:sz w:val="12"/>
          <w:szCs w:val="12"/>
          <w:lang w:val="it-IT"/>
        </w:rPr>
      </w:pPr>
      <w:r w:rsidRPr="0066450E">
        <w:rPr>
          <w:rStyle w:val="Refdenotaalpie"/>
          <w:rFonts w:ascii="Verdana" w:hAnsi="Verdana"/>
          <w:sz w:val="12"/>
          <w:szCs w:val="12"/>
          <w:lang w:val="es-CO"/>
        </w:rPr>
        <w:footnoteRef/>
      </w:r>
      <w:r w:rsidRPr="0066450E">
        <w:rPr>
          <w:rFonts w:ascii="Verdana" w:hAnsi="Verdana"/>
          <w:sz w:val="12"/>
          <w:szCs w:val="12"/>
          <w:lang w:val="it-IT"/>
        </w:rPr>
        <w:t xml:space="preserve">  M.P: Gloria Stella Ortiz Delgado. </w:t>
      </w:r>
    </w:p>
    <w:p w14:paraId="3CD3D33B" w14:textId="77777777" w:rsidR="004D54CC" w:rsidRPr="0066450E" w:rsidRDefault="004D54CC" w:rsidP="004D54CC">
      <w:pPr>
        <w:pStyle w:val="Textonotapie"/>
        <w:ind w:firstLine="709"/>
        <w:rPr>
          <w:rFonts w:ascii="Verdana" w:hAnsi="Verdana"/>
          <w:sz w:val="12"/>
          <w:szCs w:val="12"/>
          <w:lang w:val="it-IT"/>
        </w:rPr>
      </w:pPr>
    </w:p>
  </w:footnote>
  <w:footnote w:id="4">
    <w:p w14:paraId="255B5AAC" w14:textId="77777777" w:rsidR="004D54CC" w:rsidRPr="0066450E" w:rsidRDefault="004D54CC" w:rsidP="004D54CC">
      <w:pPr>
        <w:pStyle w:val="Textonotapie"/>
        <w:ind w:firstLine="709"/>
        <w:jc w:val="both"/>
        <w:rPr>
          <w:rFonts w:ascii="Verdana" w:hAnsi="Verdana"/>
          <w:sz w:val="12"/>
          <w:szCs w:val="12"/>
          <w:lang w:val="es-CO"/>
        </w:rPr>
      </w:pPr>
      <w:r w:rsidRPr="0066450E">
        <w:rPr>
          <w:rStyle w:val="Refdenotaalpie"/>
          <w:rFonts w:ascii="Verdana" w:hAnsi="Verdana"/>
          <w:sz w:val="12"/>
          <w:szCs w:val="12"/>
          <w:lang w:val="es-CO"/>
        </w:rPr>
        <w:footnoteRef/>
      </w:r>
      <w:r w:rsidRPr="0066450E">
        <w:rPr>
          <w:rFonts w:ascii="Verdana" w:hAnsi="Verdana"/>
          <w:sz w:val="12"/>
          <w:szCs w:val="12"/>
          <w:lang w:val="it-IT"/>
        </w:rPr>
        <w:t xml:space="preserve"> M.P: Natalia Ángel Cabo. </w:t>
      </w:r>
      <w:r w:rsidRPr="0066450E">
        <w:rPr>
          <w:rFonts w:ascii="Verdana" w:hAnsi="Verdana"/>
          <w:sz w:val="12"/>
          <w:szCs w:val="12"/>
          <w:lang w:val="es-CO"/>
        </w:rPr>
        <w:t xml:space="preserve">Reiterada en sentencia de la Corte Constitucional T-119 de 2023. M.P: Paola Andrea Meneses Mosquera. </w:t>
      </w:r>
    </w:p>
    <w:p w14:paraId="3CB242F7" w14:textId="77777777" w:rsidR="004D54CC" w:rsidRPr="0066450E" w:rsidRDefault="004D54CC" w:rsidP="004D54CC">
      <w:pPr>
        <w:pStyle w:val="Textonotapie"/>
        <w:ind w:firstLine="709"/>
        <w:jc w:val="both"/>
        <w:rPr>
          <w:rFonts w:ascii="Verdana" w:hAnsi="Verdana"/>
          <w:sz w:val="12"/>
          <w:szCs w:val="12"/>
          <w:lang w:val="es-CO"/>
        </w:rPr>
      </w:pPr>
    </w:p>
  </w:footnote>
  <w:footnote w:id="5">
    <w:p w14:paraId="1DBFC657" w14:textId="77777777" w:rsidR="004D54CC" w:rsidRPr="0066450E" w:rsidRDefault="004D54CC" w:rsidP="004D54CC">
      <w:pPr>
        <w:pStyle w:val="Textonotapie"/>
        <w:ind w:firstLine="709"/>
        <w:rPr>
          <w:rFonts w:ascii="Verdana" w:hAnsi="Verdana"/>
          <w:sz w:val="12"/>
          <w:szCs w:val="12"/>
          <w:lang w:val="es-CO"/>
        </w:rPr>
      </w:pPr>
      <w:r w:rsidRPr="0066450E">
        <w:rPr>
          <w:rStyle w:val="Refdenotaalpie"/>
          <w:rFonts w:ascii="Verdana" w:hAnsi="Verdana"/>
          <w:sz w:val="12"/>
          <w:szCs w:val="12"/>
          <w:lang w:val="es-CO"/>
        </w:rPr>
        <w:footnoteRef/>
      </w:r>
      <w:r w:rsidRPr="0066450E">
        <w:rPr>
          <w:rFonts w:ascii="Verdana" w:hAnsi="Verdana"/>
          <w:sz w:val="12"/>
          <w:szCs w:val="12"/>
          <w:lang w:val="es-CO"/>
        </w:rPr>
        <w:t xml:space="preserve"> M.P: Alexey Julio Estrada. </w:t>
      </w:r>
    </w:p>
    <w:p w14:paraId="6128AB74" w14:textId="77777777" w:rsidR="004D54CC" w:rsidRPr="0066450E" w:rsidRDefault="004D54CC" w:rsidP="004D54CC">
      <w:pPr>
        <w:pStyle w:val="Textonotapie"/>
        <w:ind w:firstLine="709"/>
        <w:rPr>
          <w:rFonts w:ascii="Verdana" w:hAnsi="Verdana"/>
          <w:sz w:val="12"/>
          <w:szCs w:val="12"/>
          <w:lang w:val="es-CO"/>
        </w:rPr>
      </w:pPr>
    </w:p>
  </w:footnote>
  <w:footnote w:id="6">
    <w:p w14:paraId="704675A7" w14:textId="77777777" w:rsidR="004D54CC" w:rsidRPr="0066450E" w:rsidRDefault="004D54CC" w:rsidP="004D54CC">
      <w:pPr>
        <w:spacing w:after="0" w:line="240" w:lineRule="auto"/>
        <w:ind w:firstLine="709"/>
        <w:rPr>
          <w:rFonts w:ascii="Verdana" w:hAnsi="Verdana"/>
          <w:sz w:val="12"/>
          <w:szCs w:val="12"/>
        </w:rPr>
      </w:pPr>
      <w:r w:rsidRPr="0066450E">
        <w:rPr>
          <w:rStyle w:val="Refdenotaalpie"/>
          <w:rFonts w:ascii="Verdana" w:hAnsi="Verdana"/>
          <w:sz w:val="12"/>
          <w:szCs w:val="12"/>
        </w:rPr>
        <w:footnoteRef/>
      </w:r>
      <w:r w:rsidRPr="0066450E">
        <w:rPr>
          <w:rFonts w:ascii="Verdana" w:hAnsi="Verdana"/>
          <w:sz w:val="12"/>
          <w:szCs w:val="12"/>
        </w:rPr>
        <w:t xml:space="preserve"> Corte</w:t>
      </w:r>
      <w:r w:rsidRPr="0066450E">
        <w:rPr>
          <w:rFonts w:ascii="Verdana" w:hAnsi="Verdana"/>
          <w:spacing w:val="1"/>
          <w:sz w:val="12"/>
          <w:szCs w:val="12"/>
        </w:rPr>
        <w:t xml:space="preserve"> </w:t>
      </w:r>
      <w:r w:rsidRPr="0066450E">
        <w:rPr>
          <w:rFonts w:ascii="Verdana" w:hAnsi="Verdana"/>
          <w:sz w:val="12"/>
          <w:szCs w:val="12"/>
        </w:rPr>
        <w:t>Constitucional.</w:t>
      </w:r>
      <w:r w:rsidRPr="0066450E">
        <w:rPr>
          <w:rFonts w:ascii="Verdana" w:hAnsi="Verdana"/>
          <w:spacing w:val="3"/>
          <w:sz w:val="12"/>
          <w:szCs w:val="12"/>
        </w:rPr>
        <w:t xml:space="preserve"> </w:t>
      </w:r>
      <w:r w:rsidRPr="0066450E">
        <w:rPr>
          <w:rFonts w:ascii="Verdana" w:hAnsi="Verdana"/>
          <w:sz w:val="12"/>
          <w:szCs w:val="12"/>
        </w:rPr>
        <w:t>Sentencia</w:t>
      </w:r>
      <w:r w:rsidRPr="0066450E">
        <w:rPr>
          <w:rFonts w:ascii="Verdana" w:hAnsi="Verdana"/>
          <w:spacing w:val="2"/>
          <w:sz w:val="12"/>
          <w:szCs w:val="12"/>
        </w:rPr>
        <w:t xml:space="preserve"> </w:t>
      </w:r>
      <w:r w:rsidRPr="0066450E">
        <w:rPr>
          <w:rFonts w:ascii="Verdana" w:hAnsi="Verdana"/>
          <w:sz w:val="12"/>
          <w:szCs w:val="12"/>
        </w:rPr>
        <w:t>T-329</w:t>
      </w:r>
      <w:r w:rsidRPr="0066450E">
        <w:rPr>
          <w:rFonts w:ascii="Verdana" w:hAnsi="Verdana"/>
          <w:spacing w:val="1"/>
          <w:sz w:val="12"/>
          <w:szCs w:val="12"/>
        </w:rPr>
        <w:t xml:space="preserve"> </w:t>
      </w:r>
      <w:r w:rsidRPr="0066450E">
        <w:rPr>
          <w:rFonts w:ascii="Verdana" w:hAnsi="Verdana"/>
          <w:sz w:val="12"/>
          <w:szCs w:val="12"/>
        </w:rPr>
        <w:t>del</w:t>
      </w:r>
      <w:r w:rsidRPr="0066450E">
        <w:rPr>
          <w:rFonts w:ascii="Verdana" w:hAnsi="Verdana"/>
          <w:spacing w:val="2"/>
          <w:sz w:val="12"/>
          <w:szCs w:val="12"/>
        </w:rPr>
        <w:t xml:space="preserve"> </w:t>
      </w:r>
      <w:r w:rsidRPr="0066450E">
        <w:rPr>
          <w:rFonts w:ascii="Verdana" w:hAnsi="Verdana"/>
          <w:sz w:val="12"/>
          <w:szCs w:val="12"/>
        </w:rPr>
        <w:t>19 de septiembre</w:t>
      </w:r>
      <w:r w:rsidRPr="0066450E">
        <w:rPr>
          <w:rFonts w:ascii="Verdana" w:hAnsi="Verdana"/>
          <w:spacing w:val="2"/>
          <w:sz w:val="12"/>
          <w:szCs w:val="12"/>
        </w:rPr>
        <w:t xml:space="preserve"> </w:t>
      </w:r>
      <w:r w:rsidRPr="0066450E">
        <w:rPr>
          <w:rFonts w:ascii="Verdana" w:hAnsi="Verdana"/>
          <w:sz w:val="12"/>
          <w:szCs w:val="12"/>
        </w:rPr>
        <w:t>de</w:t>
      </w:r>
      <w:r w:rsidRPr="0066450E">
        <w:rPr>
          <w:rFonts w:ascii="Verdana" w:hAnsi="Verdana"/>
          <w:spacing w:val="1"/>
          <w:sz w:val="12"/>
          <w:szCs w:val="12"/>
        </w:rPr>
        <w:t xml:space="preserve"> </w:t>
      </w:r>
      <w:r w:rsidRPr="0066450E">
        <w:rPr>
          <w:rFonts w:ascii="Verdana" w:hAnsi="Verdana"/>
          <w:sz w:val="12"/>
          <w:szCs w:val="12"/>
        </w:rPr>
        <w:t>2022.</w:t>
      </w:r>
      <w:r w:rsidRPr="0066450E">
        <w:rPr>
          <w:rFonts w:ascii="Verdana" w:hAnsi="Verdana"/>
          <w:spacing w:val="1"/>
          <w:sz w:val="12"/>
          <w:szCs w:val="12"/>
        </w:rPr>
        <w:t xml:space="preserve"> </w:t>
      </w:r>
      <w:r w:rsidRPr="0066450E">
        <w:rPr>
          <w:rFonts w:ascii="Verdana" w:hAnsi="Verdana"/>
          <w:sz w:val="12"/>
          <w:szCs w:val="12"/>
        </w:rPr>
        <w:t>Expediente</w:t>
      </w:r>
      <w:r w:rsidRPr="0066450E">
        <w:rPr>
          <w:rFonts w:ascii="Verdana" w:hAnsi="Verdana"/>
          <w:spacing w:val="2"/>
          <w:sz w:val="12"/>
          <w:szCs w:val="12"/>
        </w:rPr>
        <w:t xml:space="preserve"> </w:t>
      </w:r>
      <w:r w:rsidRPr="0066450E">
        <w:rPr>
          <w:rFonts w:ascii="Verdana" w:hAnsi="Verdana"/>
          <w:sz w:val="12"/>
          <w:szCs w:val="12"/>
        </w:rPr>
        <w:t>T-8.517.984.</w:t>
      </w:r>
      <w:r w:rsidRPr="0066450E">
        <w:rPr>
          <w:rFonts w:ascii="Verdana" w:hAnsi="Verdana"/>
          <w:spacing w:val="1"/>
          <w:sz w:val="12"/>
          <w:szCs w:val="12"/>
        </w:rPr>
        <w:t xml:space="preserve"> </w:t>
      </w:r>
      <w:r w:rsidRPr="0066450E">
        <w:rPr>
          <w:rFonts w:ascii="Verdana" w:hAnsi="Verdana"/>
          <w:sz w:val="12"/>
          <w:szCs w:val="12"/>
        </w:rPr>
        <w:t>Magistrada</w:t>
      </w:r>
      <w:r w:rsidRPr="0066450E">
        <w:rPr>
          <w:rFonts w:ascii="Verdana" w:hAnsi="Verdana"/>
          <w:spacing w:val="2"/>
          <w:sz w:val="12"/>
          <w:szCs w:val="12"/>
        </w:rPr>
        <w:t xml:space="preserve"> </w:t>
      </w:r>
      <w:r w:rsidRPr="0066450E">
        <w:rPr>
          <w:rFonts w:ascii="Verdana" w:hAnsi="Verdana"/>
          <w:sz w:val="12"/>
          <w:szCs w:val="12"/>
        </w:rPr>
        <w:t>Ponente:</w:t>
      </w:r>
      <w:r w:rsidRPr="0066450E">
        <w:rPr>
          <w:rFonts w:ascii="Verdana" w:hAnsi="Verdana"/>
          <w:spacing w:val="1"/>
          <w:sz w:val="12"/>
          <w:szCs w:val="12"/>
        </w:rPr>
        <w:t xml:space="preserve"> </w:t>
      </w:r>
      <w:r w:rsidRPr="0066450E">
        <w:rPr>
          <w:rFonts w:ascii="Verdana" w:hAnsi="Verdana"/>
          <w:sz w:val="12"/>
          <w:szCs w:val="12"/>
        </w:rPr>
        <w:t>Natalia</w:t>
      </w:r>
      <w:r w:rsidRPr="0066450E">
        <w:rPr>
          <w:rFonts w:ascii="Verdana" w:hAnsi="Verdana"/>
          <w:spacing w:val="1"/>
          <w:sz w:val="12"/>
          <w:szCs w:val="12"/>
        </w:rPr>
        <w:t xml:space="preserve"> </w:t>
      </w:r>
      <w:r w:rsidRPr="0066450E">
        <w:rPr>
          <w:rFonts w:ascii="Verdana" w:hAnsi="Verdana"/>
          <w:spacing w:val="-2"/>
          <w:sz w:val="12"/>
          <w:szCs w:val="12"/>
        </w:rPr>
        <w:t xml:space="preserve">Ángel Cabo. </w:t>
      </w:r>
    </w:p>
    <w:p w14:paraId="5A1C72D0" w14:textId="77777777" w:rsidR="004D54CC" w:rsidRPr="0066450E" w:rsidRDefault="004D54CC" w:rsidP="004D54CC">
      <w:pPr>
        <w:pStyle w:val="Textonotapie"/>
        <w:rPr>
          <w:rFonts w:ascii="Verdana" w:hAnsi="Verdana"/>
          <w:sz w:val="12"/>
          <w:szCs w:val="12"/>
          <w:lang w:val="es-CO"/>
        </w:rPr>
      </w:pPr>
    </w:p>
  </w:footnote>
  <w:footnote w:id="7">
    <w:p w14:paraId="106D8C2D" w14:textId="77777777" w:rsidR="004D54CC" w:rsidRPr="0066450E" w:rsidRDefault="004D54CC" w:rsidP="004D54CC">
      <w:pPr>
        <w:pStyle w:val="Textonotapie"/>
        <w:ind w:firstLine="709"/>
        <w:rPr>
          <w:rFonts w:ascii="Verdana" w:hAnsi="Verdana"/>
          <w:spacing w:val="-2"/>
          <w:sz w:val="12"/>
          <w:szCs w:val="12"/>
          <w:lang w:val="es-CO"/>
        </w:rPr>
      </w:pPr>
      <w:r w:rsidRPr="0066450E">
        <w:rPr>
          <w:rStyle w:val="Refdenotaalpie"/>
          <w:rFonts w:ascii="Verdana" w:hAnsi="Verdana"/>
          <w:sz w:val="12"/>
          <w:szCs w:val="12"/>
          <w:lang w:val="es-CO"/>
        </w:rPr>
        <w:footnoteRef/>
      </w:r>
      <w:r w:rsidRPr="0066450E">
        <w:rPr>
          <w:rFonts w:ascii="Verdana" w:hAnsi="Verdana"/>
          <w:sz w:val="12"/>
          <w:szCs w:val="12"/>
          <w:lang w:val="es-CO"/>
        </w:rPr>
        <w:t xml:space="preserve"> Sentencia</w:t>
      </w:r>
      <w:r w:rsidRPr="0066450E">
        <w:rPr>
          <w:rFonts w:ascii="Verdana" w:hAnsi="Verdana"/>
          <w:spacing w:val="-7"/>
          <w:sz w:val="12"/>
          <w:szCs w:val="12"/>
          <w:lang w:val="es-CO"/>
        </w:rPr>
        <w:t xml:space="preserve"> </w:t>
      </w:r>
      <w:r w:rsidRPr="0066450E">
        <w:rPr>
          <w:rFonts w:ascii="Verdana" w:hAnsi="Verdana"/>
          <w:sz w:val="12"/>
          <w:szCs w:val="12"/>
          <w:lang w:val="es-CO"/>
        </w:rPr>
        <w:t>SU-070</w:t>
      </w:r>
      <w:r w:rsidRPr="0066450E">
        <w:rPr>
          <w:rFonts w:ascii="Verdana" w:hAnsi="Verdana"/>
          <w:spacing w:val="-8"/>
          <w:sz w:val="12"/>
          <w:szCs w:val="12"/>
          <w:lang w:val="es-CO"/>
        </w:rPr>
        <w:t xml:space="preserve"> </w:t>
      </w:r>
      <w:r w:rsidRPr="0066450E">
        <w:rPr>
          <w:rFonts w:ascii="Verdana" w:hAnsi="Verdana"/>
          <w:sz w:val="12"/>
          <w:szCs w:val="12"/>
          <w:lang w:val="es-CO"/>
        </w:rPr>
        <w:t>de</w:t>
      </w:r>
      <w:r w:rsidRPr="0066450E">
        <w:rPr>
          <w:rFonts w:ascii="Verdana" w:hAnsi="Verdana"/>
          <w:spacing w:val="-7"/>
          <w:sz w:val="12"/>
          <w:szCs w:val="12"/>
          <w:lang w:val="es-CO"/>
        </w:rPr>
        <w:t xml:space="preserve"> </w:t>
      </w:r>
      <w:r w:rsidRPr="0066450E">
        <w:rPr>
          <w:rFonts w:ascii="Verdana" w:hAnsi="Verdana"/>
          <w:sz w:val="12"/>
          <w:szCs w:val="12"/>
          <w:lang w:val="es-CO"/>
        </w:rPr>
        <w:t>2013.</w:t>
      </w:r>
      <w:r w:rsidRPr="0066450E">
        <w:rPr>
          <w:rFonts w:ascii="Verdana" w:hAnsi="Verdana"/>
          <w:spacing w:val="-7"/>
          <w:sz w:val="12"/>
          <w:szCs w:val="12"/>
          <w:lang w:val="es-CO"/>
        </w:rPr>
        <w:t xml:space="preserve"> </w:t>
      </w:r>
      <w:r w:rsidRPr="0066450E">
        <w:rPr>
          <w:rFonts w:ascii="Verdana" w:hAnsi="Verdana"/>
          <w:sz w:val="12"/>
          <w:szCs w:val="12"/>
          <w:lang w:val="es-CO"/>
        </w:rPr>
        <w:t>Fund.</w:t>
      </w:r>
      <w:r w:rsidRPr="0066450E">
        <w:rPr>
          <w:rFonts w:ascii="Verdana" w:hAnsi="Verdana"/>
          <w:spacing w:val="-8"/>
          <w:sz w:val="12"/>
          <w:szCs w:val="12"/>
          <w:lang w:val="es-CO"/>
        </w:rPr>
        <w:t xml:space="preserve"> </w:t>
      </w:r>
      <w:r w:rsidRPr="0066450E">
        <w:rPr>
          <w:rFonts w:ascii="Verdana" w:hAnsi="Verdana"/>
          <w:sz w:val="12"/>
          <w:szCs w:val="12"/>
          <w:lang w:val="es-CO"/>
        </w:rPr>
        <w:t>6.</w:t>
      </w:r>
      <w:r w:rsidRPr="0066450E">
        <w:rPr>
          <w:rFonts w:ascii="Verdana" w:hAnsi="Verdana"/>
          <w:spacing w:val="-7"/>
          <w:sz w:val="12"/>
          <w:szCs w:val="12"/>
          <w:lang w:val="es-CO"/>
        </w:rPr>
        <w:t xml:space="preserve"> </w:t>
      </w:r>
      <w:r w:rsidRPr="0066450E">
        <w:rPr>
          <w:rFonts w:ascii="Verdana" w:hAnsi="Verdana"/>
          <w:sz w:val="12"/>
          <w:szCs w:val="12"/>
          <w:lang w:val="es-CO"/>
        </w:rPr>
        <w:t>Reiterado</w:t>
      </w:r>
      <w:r w:rsidRPr="0066450E">
        <w:rPr>
          <w:rFonts w:ascii="Verdana" w:hAnsi="Verdana"/>
          <w:spacing w:val="-7"/>
          <w:sz w:val="12"/>
          <w:szCs w:val="12"/>
          <w:lang w:val="es-CO"/>
        </w:rPr>
        <w:t xml:space="preserve"> </w:t>
      </w:r>
      <w:r w:rsidRPr="0066450E">
        <w:rPr>
          <w:rFonts w:ascii="Verdana" w:hAnsi="Verdana"/>
          <w:sz w:val="12"/>
          <w:szCs w:val="12"/>
          <w:lang w:val="es-CO"/>
        </w:rPr>
        <w:t>en</w:t>
      </w:r>
      <w:r w:rsidRPr="0066450E">
        <w:rPr>
          <w:rFonts w:ascii="Verdana" w:hAnsi="Verdana"/>
          <w:spacing w:val="-8"/>
          <w:sz w:val="12"/>
          <w:szCs w:val="12"/>
          <w:lang w:val="es-CO"/>
        </w:rPr>
        <w:t xml:space="preserve"> </w:t>
      </w:r>
      <w:r w:rsidRPr="0066450E">
        <w:rPr>
          <w:rFonts w:ascii="Verdana" w:hAnsi="Verdana"/>
          <w:sz w:val="12"/>
          <w:szCs w:val="12"/>
          <w:lang w:val="es-CO"/>
        </w:rPr>
        <w:t>las</w:t>
      </w:r>
      <w:r w:rsidRPr="0066450E">
        <w:rPr>
          <w:rFonts w:ascii="Verdana" w:hAnsi="Verdana"/>
          <w:spacing w:val="1"/>
          <w:sz w:val="12"/>
          <w:szCs w:val="12"/>
          <w:lang w:val="es-CO"/>
        </w:rPr>
        <w:t xml:space="preserve"> </w:t>
      </w:r>
      <w:r w:rsidRPr="0066450E">
        <w:rPr>
          <w:rFonts w:ascii="Verdana" w:hAnsi="Verdana"/>
          <w:sz w:val="12"/>
          <w:szCs w:val="12"/>
          <w:lang w:val="es-CO"/>
        </w:rPr>
        <w:t>sentencias</w:t>
      </w:r>
      <w:r w:rsidRPr="0066450E">
        <w:rPr>
          <w:rFonts w:ascii="Verdana" w:hAnsi="Verdana"/>
          <w:spacing w:val="-7"/>
          <w:sz w:val="12"/>
          <w:szCs w:val="12"/>
          <w:lang w:val="es-CO"/>
        </w:rPr>
        <w:t xml:space="preserve"> </w:t>
      </w:r>
      <w:r w:rsidRPr="0066450E">
        <w:rPr>
          <w:rFonts w:ascii="Verdana" w:hAnsi="Verdana"/>
          <w:sz w:val="12"/>
          <w:szCs w:val="12"/>
          <w:lang w:val="es-CO"/>
        </w:rPr>
        <w:t>SU-040</w:t>
      </w:r>
      <w:r w:rsidRPr="0066450E">
        <w:rPr>
          <w:rFonts w:ascii="Verdana" w:hAnsi="Verdana"/>
          <w:spacing w:val="-7"/>
          <w:sz w:val="12"/>
          <w:szCs w:val="12"/>
          <w:lang w:val="es-CO"/>
        </w:rPr>
        <w:t xml:space="preserve"> </w:t>
      </w:r>
      <w:r w:rsidRPr="0066450E">
        <w:rPr>
          <w:rFonts w:ascii="Verdana" w:hAnsi="Verdana"/>
          <w:sz w:val="12"/>
          <w:szCs w:val="12"/>
          <w:lang w:val="es-CO"/>
        </w:rPr>
        <w:t>de</w:t>
      </w:r>
      <w:r w:rsidRPr="0066450E">
        <w:rPr>
          <w:rFonts w:ascii="Verdana" w:hAnsi="Verdana"/>
          <w:spacing w:val="-8"/>
          <w:sz w:val="12"/>
          <w:szCs w:val="12"/>
          <w:lang w:val="es-CO"/>
        </w:rPr>
        <w:t xml:space="preserve"> </w:t>
      </w:r>
      <w:r w:rsidRPr="0066450E">
        <w:rPr>
          <w:rFonts w:ascii="Verdana" w:hAnsi="Verdana"/>
          <w:sz w:val="12"/>
          <w:szCs w:val="12"/>
          <w:lang w:val="es-CO"/>
        </w:rPr>
        <w:t>2018</w:t>
      </w:r>
      <w:r w:rsidRPr="0066450E">
        <w:rPr>
          <w:rFonts w:ascii="Verdana" w:hAnsi="Verdana"/>
          <w:spacing w:val="-7"/>
          <w:sz w:val="12"/>
          <w:szCs w:val="12"/>
          <w:lang w:val="es-CO"/>
        </w:rPr>
        <w:t xml:space="preserve"> </w:t>
      </w:r>
      <w:r w:rsidRPr="0066450E">
        <w:rPr>
          <w:rFonts w:ascii="Verdana" w:hAnsi="Verdana"/>
          <w:sz w:val="12"/>
          <w:szCs w:val="12"/>
          <w:lang w:val="es-CO"/>
        </w:rPr>
        <w:t>y</w:t>
      </w:r>
      <w:r w:rsidRPr="0066450E">
        <w:rPr>
          <w:rFonts w:ascii="Verdana" w:hAnsi="Verdana"/>
          <w:spacing w:val="-7"/>
          <w:sz w:val="12"/>
          <w:szCs w:val="12"/>
          <w:lang w:val="es-CO"/>
        </w:rPr>
        <w:t xml:space="preserve"> </w:t>
      </w:r>
      <w:r w:rsidRPr="0066450E">
        <w:rPr>
          <w:rFonts w:ascii="Verdana" w:hAnsi="Verdana"/>
          <w:sz w:val="12"/>
          <w:szCs w:val="12"/>
          <w:lang w:val="es-CO"/>
        </w:rPr>
        <w:t>SU-075</w:t>
      </w:r>
      <w:r w:rsidRPr="0066450E">
        <w:rPr>
          <w:rFonts w:ascii="Verdana" w:hAnsi="Verdana"/>
          <w:spacing w:val="-8"/>
          <w:sz w:val="12"/>
          <w:szCs w:val="12"/>
          <w:lang w:val="es-CO"/>
        </w:rPr>
        <w:t xml:space="preserve"> </w:t>
      </w:r>
      <w:r w:rsidRPr="0066450E">
        <w:rPr>
          <w:rFonts w:ascii="Verdana" w:hAnsi="Verdana"/>
          <w:sz w:val="12"/>
          <w:szCs w:val="12"/>
          <w:lang w:val="es-CO"/>
        </w:rPr>
        <w:t>de</w:t>
      </w:r>
      <w:r w:rsidRPr="0066450E">
        <w:rPr>
          <w:rFonts w:ascii="Verdana" w:hAnsi="Verdana"/>
          <w:spacing w:val="-7"/>
          <w:sz w:val="12"/>
          <w:szCs w:val="12"/>
          <w:lang w:val="es-CO"/>
        </w:rPr>
        <w:t xml:space="preserve"> </w:t>
      </w:r>
      <w:r w:rsidRPr="0066450E">
        <w:rPr>
          <w:rFonts w:ascii="Verdana" w:hAnsi="Verdana"/>
          <w:spacing w:val="-2"/>
          <w:sz w:val="12"/>
          <w:szCs w:val="12"/>
          <w:lang w:val="es-CO"/>
        </w:rPr>
        <w:t>2018.</w:t>
      </w:r>
    </w:p>
    <w:p w14:paraId="55A7626D" w14:textId="77777777" w:rsidR="004D54CC" w:rsidRPr="0066450E" w:rsidRDefault="004D54CC" w:rsidP="004D54CC">
      <w:pPr>
        <w:pStyle w:val="Textonotapie"/>
        <w:ind w:firstLine="709"/>
        <w:rPr>
          <w:rFonts w:ascii="Verdana" w:hAnsi="Verdana"/>
          <w:sz w:val="12"/>
          <w:szCs w:val="12"/>
          <w:lang w:val="es-CO"/>
        </w:rPr>
      </w:pPr>
    </w:p>
  </w:footnote>
  <w:footnote w:id="8">
    <w:p w14:paraId="1177E5C3" w14:textId="77777777" w:rsidR="004D54CC" w:rsidRPr="0066450E" w:rsidRDefault="004D54CC" w:rsidP="004D54CC">
      <w:pPr>
        <w:pStyle w:val="Textonotapie"/>
        <w:ind w:firstLine="709"/>
        <w:jc w:val="both"/>
        <w:rPr>
          <w:rFonts w:ascii="Verdana" w:hAnsi="Verdana"/>
          <w:sz w:val="12"/>
          <w:szCs w:val="12"/>
          <w:lang w:val="es-CO"/>
        </w:rPr>
      </w:pPr>
      <w:r w:rsidRPr="0066450E">
        <w:rPr>
          <w:rStyle w:val="Refdenotaalpie"/>
          <w:rFonts w:ascii="Verdana" w:hAnsi="Verdana"/>
          <w:sz w:val="12"/>
          <w:szCs w:val="12"/>
          <w:lang w:val="es-CO"/>
        </w:rPr>
        <w:footnoteRef/>
      </w:r>
      <w:r w:rsidRPr="0066450E">
        <w:rPr>
          <w:rFonts w:ascii="Verdana" w:hAnsi="Verdana"/>
          <w:sz w:val="12"/>
          <w:szCs w:val="12"/>
          <w:lang w:val="es-CO"/>
        </w:rPr>
        <w:t xml:space="preserve"> Esta indemnización se ha reconocido en contratos de prestación de servicios, entre otras las sentencias T-564 de 2017, T -316 de 2016, T-102 de 2016 y T-346 de 2013. </w:t>
      </w:r>
    </w:p>
    <w:p w14:paraId="3FB62E79" w14:textId="77777777" w:rsidR="004D54CC" w:rsidRPr="0066450E" w:rsidRDefault="004D54CC" w:rsidP="004D54CC">
      <w:pPr>
        <w:pStyle w:val="Textonotapie"/>
        <w:ind w:firstLine="709"/>
        <w:jc w:val="both"/>
        <w:rPr>
          <w:rFonts w:ascii="Verdana" w:hAnsi="Verdana"/>
          <w:sz w:val="12"/>
          <w:szCs w:val="12"/>
          <w:lang w:val="es-CO"/>
        </w:rPr>
      </w:pPr>
    </w:p>
  </w:footnote>
  <w:footnote w:id="9">
    <w:p w14:paraId="4B21C07B" w14:textId="77777777" w:rsidR="004D54CC" w:rsidRPr="0066450E" w:rsidRDefault="004D54CC" w:rsidP="004D54CC">
      <w:pPr>
        <w:pStyle w:val="Textonotapie"/>
        <w:ind w:firstLine="709"/>
        <w:jc w:val="both"/>
        <w:rPr>
          <w:rFonts w:ascii="Verdana" w:hAnsi="Verdana"/>
          <w:sz w:val="12"/>
          <w:szCs w:val="12"/>
          <w:lang w:val="es-CO"/>
        </w:rPr>
      </w:pPr>
      <w:r w:rsidRPr="0066450E">
        <w:rPr>
          <w:rStyle w:val="Refdenotaalpie"/>
          <w:rFonts w:ascii="Verdana" w:hAnsi="Verdana"/>
          <w:sz w:val="12"/>
          <w:szCs w:val="12"/>
          <w:lang w:val="es-CO"/>
        </w:rPr>
        <w:footnoteRef/>
      </w:r>
      <w:r w:rsidRPr="0066450E">
        <w:rPr>
          <w:rFonts w:ascii="Verdana" w:hAnsi="Verdana"/>
          <w:sz w:val="12"/>
          <w:szCs w:val="12"/>
          <w:lang w:val="es-CO"/>
        </w:rPr>
        <w:t xml:space="preserve"> En las sentencias T-238 de 2015 y T-350 de 2016 la Corte determinó que no procede el pago de la licencia de maternidad cuando en el caso se observe que la licencia de maternidad ya fue disfrutada.</w:t>
      </w:r>
    </w:p>
    <w:p w14:paraId="68E2176E" w14:textId="77777777" w:rsidR="004D54CC" w:rsidRPr="0066450E" w:rsidRDefault="004D54CC" w:rsidP="004D54CC">
      <w:pPr>
        <w:pStyle w:val="Textonotapie"/>
        <w:ind w:firstLine="709"/>
        <w:jc w:val="both"/>
        <w:rPr>
          <w:rFonts w:ascii="Verdana" w:hAnsi="Verdana"/>
          <w:sz w:val="12"/>
          <w:szCs w:val="12"/>
          <w:lang w:val="es-CO"/>
        </w:rPr>
      </w:pPr>
    </w:p>
  </w:footnote>
  <w:footnote w:id="10">
    <w:p w14:paraId="44A9D49E" w14:textId="77777777" w:rsidR="004D54CC" w:rsidRPr="0066450E" w:rsidRDefault="004D54CC" w:rsidP="004D54CC">
      <w:pPr>
        <w:pStyle w:val="Textonotapie"/>
        <w:ind w:firstLine="709"/>
        <w:rPr>
          <w:rFonts w:ascii="Verdana" w:hAnsi="Verdana"/>
          <w:sz w:val="12"/>
          <w:szCs w:val="12"/>
          <w:lang w:val="es-CO"/>
        </w:rPr>
      </w:pPr>
      <w:r w:rsidRPr="0066450E">
        <w:rPr>
          <w:rStyle w:val="Refdenotaalpie"/>
          <w:rFonts w:ascii="Verdana" w:hAnsi="Verdana"/>
          <w:sz w:val="12"/>
          <w:szCs w:val="12"/>
          <w:lang w:val="es-CO"/>
        </w:rPr>
        <w:footnoteRef/>
      </w:r>
      <w:r w:rsidRPr="0066450E">
        <w:rPr>
          <w:rFonts w:ascii="Verdana" w:hAnsi="Verdana"/>
          <w:sz w:val="12"/>
          <w:szCs w:val="12"/>
          <w:lang w:val="es-CO"/>
        </w:rPr>
        <w:t xml:space="preserve"> Esta</w:t>
      </w:r>
      <w:r w:rsidRPr="0066450E">
        <w:rPr>
          <w:rFonts w:ascii="Verdana" w:hAnsi="Verdana"/>
          <w:spacing w:val="-9"/>
          <w:sz w:val="12"/>
          <w:szCs w:val="12"/>
          <w:lang w:val="es-CO"/>
        </w:rPr>
        <w:t xml:space="preserve"> </w:t>
      </w:r>
      <w:r w:rsidRPr="0066450E">
        <w:rPr>
          <w:rFonts w:ascii="Verdana" w:hAnsi="Verdana"/>
          <w:sz w:val="12"/>
          <w:szCs w:val="12"/>
          <w:lang w:val="es-CO"/>
        </w:rPr>
        <w:t>media</w:t>
      </w:r>
      <w:r w:rsidRPr="0066450E">
        <w:rPr>
          <w:rFonts w:ascii="Verdana" w:hAnsi="Verdana"/>
          <w:spacing w:val="-8"/>
          <w:sz w:val="12"/>
          <w:szCs w:val="12"/>
          <w:lang w:val="es-CO"/>
        </w:rPr>
        <w:t xml:space="preserve"> </w:t>
      </w:r>
      <w:r w:rsidRPr="0066450E">
        <w:rPr>
          <w:rFonts w:ascii="Verdana" w:hAnsi="Verdana"/>
          <w:sz w:val="12"/>
          <w:szCs w:val="12"/>
          <w:lang w:val="es-CO"/>
        </w:rPr>
        <w:t>fue</w:t>
      </w:r>
      <w:r w:rsidRPr="0066450E">
        <w:rPr>
          <w:rFonts w:ascii="Verdana" w:hAnsi="Verdana"/>
          <w:spacing w:val="-8"/>
          <w:sz w:val="12"/>
          <w:szCs w:val="12"/>
          <w:lang w:val="es-CO"/>
        </w:rPr>
        <w:t xml:space="preserve"> </w:t>
      </w:r>
      <w:r w:rsidRPr="0066450E">
        <w:rPr>
          <w:rFonts w:ascii="Verdana" w:hAnsi="Verdana"/>
          <w:sz w:val="12"/>
          <w:szCs w:val="12"/>
          <w:lang w:val="es-CO"/>
        </w:rPr>
        <w:t>aplicada</w:t>
      </w:r>
      <w:r w:rsidRPr="0066450E">
        <w:rPr>
          <w:rFonts w:ascii="Verdana" w:hAnsi="Verdana"/>
          <w:spacing w:val="-8"/>
          <w:sz w:val="12"/>
          <w:szCs w:val="12"/>
          <w:lang w:val="es-CO"/>
        </w:rPr>
        <w:t xml:space="preserve"> </w:t>
      </w:r>
      <w:r w:rsidRPr="0066450E">
        <w:rPr>
          <w:rFonts w:ascii="Verdana" w:hAnsi="Verdana"/>
          <w:sz w:val="12"/>
          <w:szCs w:val="12"/>
          <w:lang w:val="es-CO"/>
        </w:rPr>
        <w:t>en</w:t>
      </w:r>
      <w:r w:rsidRPr="0066450E">
        <w:rPr>
          <w:rFonts w:ascii="Verdana" w:hAnsi="Verdana"/>
          <w:spacing w:val="-8"/>
          <w:sz w:val="12"/>
          <w:szCs w:val="12"/>
          <w:lang w:val="es-CO"/>
        </w:rPr>
        <w:t xml:space="preserve"> </w:t>
      </w:r>
      <w:r w:rsidRPr="0066450E">
        <w:rPr>
          <w:rFonts w:ascii="Verdana" w:hAnsi="Verdana"/>
          <w:sz w:val="12"/>
          <w:szCs w:val="12"/>
          <w:lang w:val="es-CO"/>
        </w:rPr>
        <w:t>la</w:t>
      </w:r>
      <w:r w:rsidRPr="0066450E">
        <w:rPr>
          <w:rFonts w:ascii="Verdana" w:hAnsi="Verdana"/>
          <w:spacing w:val="-8"/>
          <w:sz w:val="12"/>
          <w:szCs w:val="12"/>
          <w:lang w:val="es-CO"/>
        </w:rPr>
        <w:t xml:space="preserve"> </w:t>
      </w:r>
      <w:r w:rsidRPr="0066450E">
        <w:rPr>
          <w:rFonts w:ascii="Verdana" w:hAnsi="Verdana"/>
          <w:sz w:val="12"/>
          <w:szCs w:val="12"/>
          <w:lang w:val="es-CO"/>
        </w:rPr>
        <w:t xml:space="preserve">Sentencia de la Corte Constitucional </w:t>
      </w:r>
      <w:r w:rsidRPr="0066450E">
        <w:rPr>
          <w:rFonts w:ascii="Verdana" w:hAnsi="Verdana"/>
          <w:spacing w:val="-8"/>
          <w:sz w:val="12"/>
          <w:szCs w:val="12"/>
          <w:lang w:val="es-CO"/>
        </w:rPr>
        <w:t>T</w:t>
      </w:r>
      <w:r w:rsidRPr="0066450E">
        <w:rPr>
          <w:rFonts w:ascii="Verdana" w:hAnsi="Verdana"/>
          <w:sz w:val="12"/>
          <w:szCs w:val="12"/>
          <w:lang w:val="es-CO"/>
        </w:rPr>
        <w:t>-030</w:t>
      </w:r>
      <w:r w:rsidRPr="0066450E">
        <w:rPr>
          <w:rFonts w:ascii="Verdana" w:hAnsi="Verdana"/>
          <w:spacing w:val="-8"/>
          <w:sz w:val="12"/>
          <w:szCs w:val="12"/>
          <w:lang w:val="es-CO"/>
        </w:rPr>
        <w:t xml:space="preserve"> </w:t>
      </w:r>
      <w:r w:rsidRPr="0066450E">
        <w:rPr>
          <w:rFonts w:ascii="Verdana" w:hAnsi="Verdana"/>
          <w:sz w:val="12"/>
          <w:szCs w:val="12"/>
          <w:lang w:val="es-CO"/>
        </w:rPr>
        <w:t>de</w:t>
      </w:r>
      <w:r w:rsidRPr="0066450E">
        <w:rPr>
          <w:rFonts w:ascii="Verdana" w:hAnsi="Verdana"/>
          <w:spacing w:val="-8"/>
          <w:sz w:val="12"/>
          <w:szCs w:val="12"/>
          <w:lang w:val="es-CO"/>
        </w:rPr>
        <w:t xml:space="preserve"> </w:t>
      </w:r>
      <w:r w:rsidRPr="0066450E">
        <w:rPr>
          <w:rFonts w:ascii="Verdana" w:hAnsi="Verdana"/>
          <w:sz w:val="12"/>
          <w:szCs w:val="12"/>
          <w:lang w:val="es-CO"/>
        </w:rPr>
        <w:t>2018.</w:t>
      </w:r>
    </w:p>
    <w:p w14:paraId="424E7C54" w14:textId="77777777" w:rsidR="004D54CC" w:rsidRPr="0066450E" w:rsidRDefault="004D54CC" w:rsidP="004D54CC">
      <w:pPr>
        <w:pStyle w:val="Textonotapie"/>
        <w:ind w:firstLine="709"/>
        <w:rPr>
          <w:rFonts w:ascii="Verdana" w:hAnsi="Verdana"/>
          <w:sz w:val="12"/>
          <w:szCs w:val="12"/>
          <w:lang w:val="es-CO"/>
        </w:rPr>
      </w:pPr>
    </w:p>
  </w:footnote>
  <w:footnote w:id="11">
    <w:p w14:paraId="58046E91" w14:textId="77777777" w:rsidR="004D54CC" w:rsidRPr="0066450E" w:rsidRDefault="004D54CC" w:rsidP="004D54CC">
      <w:pPr>
        <w:pStyle w:val="Textonotapie"/>
        <w:ind w:firstLine="709"/>
        <w:jc w:val="both"/>
        <w:rPr>
          <w:rFonts w:ascii="Verdana" w:hAnsi="Verdana"/>
          <w:sz w:val="12"/>
          <w:szCs w:val="12"/>
          <w:lang w:val="es-CO"/>
        </w:rPr>
      </w:pPr>
      <w:r w:rsidRPr="0066450E">
        <w:rPr>
          <w:rStyle w:val="Refdenotaalpie"/>
          <w:rFonts w:ascii="Verdana" w:hAnsi="Verdana"/>
          <w:sz w:val="12"/>
          <w:szCs w:val="12"/>
          <w:lang w:val="es-CO"/>
        </w:rPr>
        <w:footnoteRef/>
      </w:r>
      <w:r w:rsidRPr="0066450E">
        <w:rPr>
          <w:rFonts w:ascii="Verdana" w:hAnsi="Verdana"/>
          <w:sz w:val="12"/>
          <w:szCs w:val="12"/>
          <w:lang w:val="es-CO"/>
        </w:rPr>
        <w:t xml:space="preserve"> En algunas oportunidades las salas de revisión han reconocido el pago de las prestaciones en materia de seguridad social en salud como en la sentencia T-305 de 2020.</w:t>
      </w:r>
    </w:p>
    <w:p w14:paraId="3D129887" w14:textId="77777777" w:rsidR="004D54CC" w:rsidRPr="0066450E" w:rsidRDefault="004D54CC" w:rsidP="004D54CC">
      <w:pPr>
        <w:pStyle w:val="Textonotapie"/>
        <w:ind w:firstLine="709"/>
        <w:jc w:val="both"/>
        <w:rPr>
          <w:rFonts w:ascii="Verdana" w:hAnsi="Verdana"/>
          <w:sz w:val="12"/>
          <w:szCs w:val="12"/>
          <w:lang w:val="es-CO"/>
        </w:rPr>
      </w:pPr>
    </w:p>
  </w:footnote>
  <w:footnote w:id="12">
    <w:p w14:paraId="0D724372" w14:textId="77777777" w:rsidR="004D54CC" w:rsidRPr="0066450E" w:rsidRDefault="004D54CC" w:rsidP="004D54CC">
      <w:pPr>
        <w:spacing w:after="0" w:line="240" w:lineRule="auto"/>
        <w:ind w:firstLine="707"/>
        <w:contextualSpacing/>
        <w:jc w:val="both"/>
        <w:rPr>
          <w:rFonts w:ascii="Verdana" w:hAnsi="Verdana" w:cs="Arial"/>
          <w:sz w:val="12"/>
          <w:szCs w:val="12"/>
        </w:rPr>
      </w:pPr>
      <w:r w:rsidRPr="0066450E">
        <w:rPr>
          <w:rStyle w:val="Refdenotaalpie"/>
          <w:rFonts w:ascii="Verdana" w:hAnsi="Verdana" w:cs="Arial"/>
          <w:sz w:val="12"/>
          <w:szCs w:val="12"/>
        </w:rPr>
        <w:footnoteRef/>
      </w:r>
      <w:r w:rsidRPr="0066450E">
        <w:rPr>
          <w:rFonts w:ascii="Verdana" w:hAnsi="Verdana" w:cs="Arial"/>
          <w:sz w:val="12"/>
          <w:szCs w:val="12"/>
        </w:rPr>
        <w:t xml:space="preserve"> Constitución Política de 1886: “Artículo 64.- Nadie podrá recibir dos sueldos del Tesoro público, salvo lo que para casos especiales determinen las leyes”.</w:t>
      </w:r>
    </w:p>
    <w:p w14:paraId="73921C11" w14:textId="77777777" w:rsidR="004D54CC" w:rsidRPr="0066450E" w:rsidRDefault="004D54CC" w:rsidP="004D54CC">
      <w:pPr>
        <w:pStyle w:val="Textonotapie"/>
        <w:contextualSpacing/>
        <w:jc w:val="both"/>
        <w:rPr>
          <w:rFonts w:ascii="Verdana" w:hAnsi="Verdana" w:cs="Arial"/>
          <w:sz w:val="12"/>
          <w:szCs w:val="12"/>
          <w:lang w:val="es-CO"/>
        </w:rPr>
      </w:pPr>
    </w:p>
  </w:footnote>
  <w:footnote w:id="13">
    <w:p w14:paraId="474BA618" w14:textId="77777777" w:rsidR="004D54CC" w:rsidRPr="0066450E" w:rsidRDefault="004D54CC" w:rsidP="004D54CC">
      <w:pPr>
        <w:spacing w:after="0" w:line="240" w:lineRule="auto"/>
        <w:ind w:firstLine="707"/>
        <w:contextualSpacing/>
        <w:jc w:val="both"/>
        <w:rPr>
          <w:rFonts w:ascii="Verdana" w:hAnsi="Verdana" w:cs="Arial"/>
          <w:sz w:val="12"/>
          <w:szCs w:val="12"/>
        </w:rPr>
      </w:pPr>
      <w:r w:rsidRPr="0066450E">
        <w:rPr>
          <w:rStyle w:val="Refdenotaalpie"/>
          <w:rFonts w:ascii="Verdana" w:hAnsi="Verdana" w:cs="Arial"/>
          <w:sz w:val="12"/>
          <w:szCs w:val="12"/>
        </w:rPr>
        <w:footnoteRef/>
      </w:r>
      <w:r w:rsidRPr="0066450E">
        <w:rPr>
          <w:rFonts w:ascii="Verdana" w:hAnsi="Verdana" w:cs="Arial"/>
          <w:sz w:val="12"/>
          <w:szCs w:val="12"/>
        </w:rPr>
        <w:t xml:space="preserve"> Ley 78 de 1931: “Artículo 1°: Entiéndese por tesoro público el dinero que, a cualquier título, ingrese a las oficinas públicas, sean nacionales, departamentales o municipales.</w:t>
      </w:r>
    </w:p>
    <w:p w14:paraId="3C2FD28B" w14:textId="77777777" w:rsidR="004D54CC" w:rsidRPr="0066450E" w:rsidRDefault="004D54CC" w:rsidP="004D54CC">
      <w:pPr>
        <w:pStyle w:val="Textoindependiente"/>
        <w:spacing w:after="0" w:line="240" w:lineRule="auto"/>
        <w:contextualSpacing/>
        <w:jc w:val="both"/>
        <w:rPr>
          <w:rFonts w:ascii="Verdana" w:hAnsi="Verdana" w:cs="Arial"/>
          <w:sz w:val="12"/>
          <w:szCs w:val="12"/>
        </w:rPr>
      </w:pPr>
    </w:p>
    <w:p w14:paraId="11ACE096" w14:textId="77777777" w:rsidR="004D54CC" w:rsidRPr="0066450E" w:rsidRDefault="004D54CC" w:rsidP="004D54CC">
      <w:pPr>
        <w:spacing w:after="0" w:line="240" w:lineRule="auto"/>
        <w:contextualSpacing/>
        <w:jc w:val="both"/>
        <w:rPr>
          <w:rFonts w:ascii="Verdana" w:hAnsi="Verdana" w:cs="Arial"/>
          <w:sz w:val="12"/>
          <w:szCs w:val="12"/>
        </w:rPr>
      </w:pPr>
      <w:r w:rsidRPr="0066450E">
        <w:rPr>
          <w:rFonts w:ascii="Verdana" w:hAnsi="Verdana" w:cs="Arial"/>
          <w:sz w:val="12"/>
          <w:szCs w:val="12"/>
        </w:rPr>
        <w:t>“En consecuencia, la prohibición de que trata el artículo 64 de la Constitución comprende a los individuos que devengan simultáneamente sueldos de la nación, del departamento o del municipio”.</w:t>
      </w:r>
    </w:p>
    <w:p w14:paraId="303095E9" w14:textId="77777777" w:rsidR="004D54CC" w:rsidRPr="0066450E" w:rsidRDefault="004D54CC" w:rsidP="004D54CC">
      <w:pPr>
        <w:pStyle w:val="Textonotapie"/>
        <w:contextualSpacing/>
        <w:jc w:val="both"/>
        <w:rPr>
          <w:rFonts w:ascii="Verdana" w:hAnsi="Verdana" w:cs="Arial"/>
          <w:sz w:val="12"/>
          <w:szCs w:val="12"/>
          <w:lang w:val="es-CO"/>
        </w:rPr>
      </w:pPr>
    </w:p>
  </w:footnote>
  <w:footnote w:id="14">
    <w:p w14:paraId="52F3E70E" w14:textId="77777777" w:rsidR="004D54CC" w:rsidRPr="0066450E" w:rsidRDefault="004D54CC" w:rsidP="004D54CC">
      <w:pPr>
        <w:spacing w:after="0" w:line="240" w:lineRule="auto"/>
        <w:ind w:firstLine="707"/>
        <w:contextualSpacing/>
        <w:jc w:val="both"/>
        <w:rPr>
          <w:rFonts w:ascii="Verdana" w:hAnsi="Verdana" w:cs="Arial"/>
          <w:sz w:val="12"/>
          <w:szCs w:val="12"/>
        </w:rPr>
      </w:pPr>
      <w:r w:rsidRPr="0066450E">
        <w:rPr>
          <w:rStyle w:val="Refdenotaalpie"/>
          <w:rFonts w:ascii="Verdana" w:hAnsi="Verdana" w:cs="Arial"/>
          <w:sz w:val="12"/>
          <w:szCs w:val="12"/>
        </w:rPr>
        <w:footnoteRef/>
      </w:r>
      <w:r w:rsidRPr="0066450E">
        <w:rPr>
          <w:rFonts w:ascii="Verdana" w:hAnsi="Verdana" w:cs="Arial"/>
          <w:sz w:val="12"/>
          <w:szCs w:val="12"/>
        </w:rPr>
        <w:t xml:space="preserve"> Acto legislativo No. 1 de 1936: “Artículo 23: Nadie podrá recibir más de una asignación que provenga del Tesoro Público o de empresas o instituciones en que tenga parte principal el Estado, salvo lo que para casos especiales determinen las leyes. Entiéndese por Tesoro Público el de la Nación, los Departamentos y los</w:t>
      </w:r>
      <w:r w:rsidRPr="0066450E">
        <w:rPr>
          <w:rFonts w:ascii="Verdana" w:hAnsi="Verdana" w:cs="Arial"/>
          <w:spacing w:val="-2"/>
          <w:sz w:val="12"/>
          <w:szCs w:val="12"/>
        </w:rPr>
        <w:t xml:space="preserve"> </w:t>
      </w:r>
      <w:r w:rsidRPr="0066450E">
        <w:rPr>
          <w:rFonts w:ascii="Verdana" w:hAnsi="Verdana" w:cs="Arial"/>
          <w:sz w:val="12"/>
          <w:szCs w:val="12"/>
        </w:rPr>
        <w:t>Municipios”.</w:t>
      </w:r>
    </w:p>
    <w:p w14:paraId="71F3F500" w14:textId="77777777" w:rsidR="004D54CC" w:rsidRPr="0066450E" w:rsidRDefault="004D54CC" w:rsidP="004D54CC">
      <w:pPr>
        <w:pStyle w:val="Textonotapie"/>
        <w:contextualSpacing/>
        <w:jc w:val="both"/>
        <w:rPr>
          <w:rFonts w:ascii="Verdana" w:hAnsi="Verdana" w:cs="Arial"/>
          <w:sz w:val="12"/>
          <w:szCs w:val="12"/>
          <w:lang w:val="es-CO"/>
        </w:rPr>
      </w:pPr>
    </w:p>
  </w:footnote>
  <w:footnote w:id="15">
    <w:p w14:paraId="370AF6F0" w14:textId="77777777" w:rsidR="004D54CC" w:rsidRPr="0066450E" w:rsidRDefault="004D54CC" w:rsidP="004D54CC">
      <w:pPr>
        <w:spacing w:after="0" w:line="240" w:lineRule="auto"/>
        <w:ind w:firstLine="707"/>
        <w:contextualSpacing/>
        <w:jc w:val="both"/>
        <w:rPr>
          <w:rFonts w:ascii="Verdana" w:hAnsi="Verdana" w:cs="Arial"/>
          <w:sz w:val="12"/>
          <w:szCs w:val="12"/>
        </w:rPr>
      </w:pPr>
      <w:r w:rsidRPr="0066450E">
        <w:rPr>
          <w:rStyle w:val="Refdenotaalpie"/>
          <w:rFonts w:ascii="Verdana" w:hAnsi="Verdana" w:cs="Arial"/>
          <w:sz w:val="12"/>
          <w:szCs w:val="12"/>
        </w:rPr>
        <w:footnoteRef/>
      </w:r>
      <w:r w:rsidRPr="0066450E">
        <w:rPr>
          <w:rFonts w:ascii="Verdana" w:hAnsi="Verdana" w:cs="Arial"/>
          <w:sz w:val="12"/>
          <w:szCs w:val="12"/>
        </w:rPr>
        <w:t xml:space="preserve"> Mediante la cual se señalan las normas, objetivos y criterios que debe observar el Gobierno Nacional para la fijación del régimen salarial y prestacional de los empleados públicos, de los miembros del Congreso Nacional y de la Fuerza Pública y para la fijación de las prestaciones sociales de los Trabajadores Oficiales y se dictan otras disposiciones, de conformidad con lo establecido en el artículo </w:t>
      </w:r>
      <w:hyperlink r:id="rId1" w:anchor="150">
        <w:r w:rsidRPr="0066450E">
          <w:rPr>
            <w:rFonts w:ascii="Verdana" w:hAnsi="Verdana" w:cs="Arial"/>
            <w:sz w:val="12"/>
            <w:szCs w:val="12"/>
          </w:rPr>
          <w:t>150,</w:t>
        </w:r>
      </w:hyperlink>
      <w:r w:rsidRPr="0066450E">
        <w:rPr>
          <w:rFonts w:ascii="Verdana" w:hAnsi="Verdana" w:cs="Arial"/>
          <w:sz w:val="12"/>
          <w:szCs w:val="12"/>
        </w:rPr>
        <w:t xml:space="preserve"> numeral 19, literales e) y f) de la Constitución</w:t>
      </w:r>
      <w:r w:rsidRPr="0066450E">
        <w:rPr>
          <w:rFonts w:ascii="Verdana" w:hAnsi="Verdana" w:cs="Arial"/>
          <w:spacing w:val="-5"/>
          <w:sz w:val="12"/>
          <w:szCs w:val="12"/>
        </w:rPr>
        <w:t xml:space="preserve"> </w:t>
      </w:r>
      <w:r w:rsidRPr="0066450E">
        <w:rPr>
          <w:rFonts w:ascii="Verdana" w:hAnsi="Verdana" w:cs="Arial"/>
          <w:sz w:val="12"/>
          <w:szCs w:val="12"/>
        </w:rPr>
        <w:t>Política.</w:t>
      </w:r>
    </w:p>
    <w:p w14:paraId="3AB02B6E" w14:textId="77777777" w:rsidR="004D54CC" w:rsidRPr="0066450E" w:rsidRDefault="004D54CC" w:rsidP="004D54CC">
      <w:pPr>
        <w:pStyle w:val="Textonotapie"/>
        <w:contextualSpacing/>
        <w:jc w:val="both"/>
        <w:rPr>
          <w:rFonts w:ascii="Verdana" w:hAnsi="Verdana" w:cs="Arial"/>
          <w:sz w:val="12"/>
          <w:szCs w:val="12"/>
          <w:lang w:val="es-CO"/>
        </w:rPr>
      </w:pPr>
    </w:p>
  </w:footnote>
  <w:footnote w:id="16">
    <w:p w14:paraId="137EF76D" w14:textId="77777777" w:rsidR="004D54CC" w:rsidRPr="0066450E" w:rsidRDefault="004D54CC" w:rsidP="004D54CC">
      <w:pPr>
        <w:spacing w:after="0" w:line="240" w:lineRule="auto"/>
        <w:ind w:firstLine="707"/>
        <w:contextualSpacing/>
        <w:jc w:val="both"/>
        <w:rPr>
          <w:rFonts w:ascii="Verdana" w:hAnsi="Verdana" w:cs="Arial"/>
          <w:sz w:val="12"/>
          <w:szCs w:val="12"/>
        </w:rPr>
      </w:pPr>
      <w:r w:rsidRPr="0066450E">
        <w:rPr>
          <w:rStyle w:val="Refdenotaalpie"/>
          <w:rFonts w:ascii="Verdana" w:hAnsi="Verdana" w:cs="Arial"/>
          <w:sz w:val="12"/>
          <w:szCs w:val="12"/>
        </w:rPr>
        <w:footnoteRef/>
      </w:r>
      <w:r w:rsidRPr="0066450E">
        <w:rPr>
          <w:rFonts w:ascii="Verdana" w:hAnsi="Verdana" w:cs="Arial"/>
          <w:sz w:val="12"/>
          <w:szCs w:val="12"/>
        </w:rPr>
        <w:t xml:space="preserve"> Consejo de Estado, Sala de Consulta y servicio Civil, concepto No 1.344, del 10 de mayo de 2001. Consejero Ponente: Flavio Augusto Rodríguez Arce: “El artículo 123, a su vez, dentro de la clasificación de los servidores públicos, incluye a los miembros de las corporaciones públicas quienes, aunque ejercen funciones públicas, no tienen la calidad de empleados públicos ni poseen nexo laboral con el Estado, por lo que la prohibición se les aplica a estos, no con fundamento en el artículo 128, sino en las normas especiales de los respectivos regímenes de incompatibilidades que prohíben, a los congresistas, desempeñar cargo o empleo público - arts. 180.1 de la C.P. y 282.1, ley 5ª/92-; a los diputados, aceptar o desempeñar cargo como empleado oficial - art. 34.1 ley 617/00, y a los concejales, aceptar o desempeñar cargo alguno en la administración pública o vincularse como trabajador oficial - art. 45.1 ley 136/94, sustituido por el art. 3° de la ley</w:t>
      </w:r>
      <w:r w:rsidRPr="0066450E">
        <w:rPr>
          <w:rFonts w:ascii="Verdana" w:hAnsi="Verdana" w:cs="Arial"/>
          <w:spacing w:val="-4"/>
          <w:sz w:val="12"/>
          <w:szCs w:val="12"/>
        </w:rPr>
        <w:t xml:space="preserve"> </w:t>
      </w:r>
      <w:r w:rsidRPr="0066450E">
        <w:rPr>
          <w:rFonts w:ascii="Verdana" w:hAnsi="Verdana" w:cs="Arial"/>
          <w:sz w:val="12"/>
          <w:szCs w:val="12"/>
        </w:rPr>
        <w:t>177/94”.</w:t>
      </w:r>
    </w:p>
    <w:p w14:paraId="08E6C99F" w14:textId="77777777" w:rsidR="004D54CC" w:rsidRPr="0066450E" w:rsidRDefault="004D54CC" w:rsidP="004D54CC">
      <w:pPr>
        <w:pStyle w:val="Textonotapie"/>
        <w:contextualSpacing/>
        <w:jc w:val="both"/>
        <w:rPr>
          <w:rFonts w:ascii="Verdana" w:hAnsi="Verdana" w:cs="Arial"/>
          <w:sz w:val="12"/>
          <w:szCs w:val="12"/>
          <w:lang w:val="es-CO"/>
        </w:rPr>
      </w:pPr>
    </w:p>
  </w:footnote>
  <w:footnote w:id="17">
    <w:p w14:paraId="18D19502" w14:textId="77777777" w:rsidR="004D54CC" w:rsidRPr="00805B32" w:rsidRDefault="004D54CC" w:rsidP="004D54CC">
      <w:pPr>
        <w:ind w:firstLine="708"/>
        <w:contextualSpacing/>
        <w:jc w:val="both"/>
        <w:rPr>
          <w:rFonts w:ascii="Verdana" w:hAnsi="Verdana" w:cs="Arial"/>
          <w:sz w:val="10"/>
          <w:szCs w:val="10"/>
        </w:rPr>
      </w:pPr>
    </w:p>
    <w:p w14:paraId="3B4E22B4" w14:textId="77777777" w:rsidR="004D54CC" w:rsidRPr="00805B32" w:rsidRDefault="004D54CC" w:rsidP="004D54CC">
      <w:pPr>
        <w:ind w:firstLine="708"/>
        <w:contextualSpacing/>
        <w:jc w:val="both"/>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La licencia de maternidad es un descanso remunerado que la ley confiere a la mujer que tiene un hijo, el cual aplica tanto para mujeres vinculadas por contrato de trabajo, como a las que están vinculadas por un contrato de prestación de servicios.</w:t>
      </w:r>
    </w:p>
    <w:p w14:paraId="3F9616FA" w14:textId="77777777" w:rsidR="004D54CC" w:rsidRPr="00805B32" w:rsidRDefault="004D54CC" w:rsidP="004D54CC">
      <w:pPr>
        <w:ind w:firstLine="708"/>
        <w:contextualSpacing/>
        <w:jc w:val="both"/>
        <w:rPr>
          <w:rFonts w:ascii="Verdana" w:eastAsia="Calibri" w:hAnsi="Verdana" w:cs="Arial"/>
          <w:bCs/>
          <w:sz w:val="10"/>
          <w:szCs w:val="10"/>
          <w:lang w:val="es-MX"/>
        </w:rPr>
      </w:pPr>
    </w:p>
  </w:footnote>
  <w:footnote w:id="18">
    <w:p w14:paraId="7BFC4883" w14:textId="77777777" w:rsidR="004D54CC" w:rsidRPr="00805B32" w:rsidRDefault="004D54CC" w:rsidP="004D54CC">
      <w:pPr>
        <w:shd w:val="clear" w:color="auto" w:fill="FFFFFF"/>
        <w:ind w:right="49" w:firstLine="708"/>
        <w:contextualSpacing/>
        <w:jc w:val="both"/>
        <w:rPr>
          <w:rFonts w:ascii="Verdana" w:hAnsi="Verdana" w:cs="Arial"/>
          <w:sz w:val="10"/>
          <w:szCs w:val="10"/>
        </w:rPr>
      </w:pPr>
      <w:r w:rsidRPr="00805B32">
        <w:rPr>
          <w:rStyle w:val="Refdenotaalpie"/>
          <w:rFonts w:ascii="Verdana" w:hAnsi="Verdana" w:cs="Arial"/>
          <w:sz w:val="10"/>
          <w:szCs w:val="10"/>
        </w:rPr>
        <w:footnoteRef/>
      </w:r>
      <w:r w:rsidRPr="00805B32">
        <w:rPr>
          <w:rFonts w:ascii="Verdana" w:hAnsi="Verdana" w:cs="Arial"/>
          <w:sz w:val="10"/>
          <w:szCs w:val="10"/>
        </w:rPr>
        <w:t xml:space="preserve"> Ministerio del Trabajo. Concepto 9972 de 5 de marzo de 2014. </w:t>
      </w:r>
    </w:p>
    <w:p w14:paraId="1876C5AD" w14:textId="77777777" w:rsidR="004D54CC" w:rsidRPr="00805B32" w:rsidRDefault="004D54CC" w:rsidP="004D54CC">
      <w:pPr>
        <w:pStyle w:val="Textonotapie"/>
        <w:contextualSpacing/>
        <w:jc w:val="both"/>
        <w:rPr>
          <w:rFonts w:ascii="Verdana" w:hAnsi="Verdana" w:cs="Arial"/>
          <w:sz w:val="10"/>
          <w:szCs w:val="1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A2988" w14:textId="77777777" w:rsidR="004D54CC" w:rsidRDefault="004D54CC">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BA09637" wp14:editId="2AAF76A7">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867A0C3" wp14:editId="2A8F263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2681C47" w14:textId="77777777" w:rsidR="004D54CC" w:rsidRDefault="004D54CC">
    <w:pPr>
      <w:pStyle w:val="Encabezado"/>
    </w:pPr>
  </w:p>
  <w:p w14:paraId="3F11896A" w14:textId="77777777" w:rsidR="004D54CC" w:rsidRDefault="004D54CC" w:rsidP="004A305D">
    <w:pPr>
      <w:spacing w:after="0"/>
      <w:rPr>
        <w:rFonts w:ascii="Verdana" w:hAnsi="Verdana"/>
        <w:b/>
        <w:bCs/>
      </w:rPr>
    </w:pPr>
  </w:p>
  <w:p w14:paraId="1ED17523" w14:textId="77777777" w:rsidR="004D54CC" w:rsidRPr="00DC39FC" w:rsidRDefault="004D54CC" w:rsidP="004A305D">
    <w:pPr>
      <w:spacing w:after="0"/>
      <w:rPr>
        <w:rFonts w:ascii="Verdana" w:hAnsi="Verdana"/>
        <w:b/>
        <w:bCs/>
      </w:rPr>
    </w:pPr>
    <w:r w:rsidRPr="00DC39FC">
      <w:rPr>
        <w:rFonts w:ascii="Verdana" w:hAnsi="Verdana"/>
        <w:b/>
        <w:bCs/>
      </w:rPr>
      <w:t>FORMATO PQRSD</w:t>
    </w:r>
  </w:p>
  <w:p w14:paraId="64877A15" w14:textId="77777777" w:rsidR="004D54CC" w:rsidRPr="004A305D" w:rsidRDefault="004D54CC" w:rsidP="00B01B1A">
    <w:pPr>
      <w:spacing w:after="0" w:line="120" w:lineRule="auto"/>
      <w:rPr>
        <w:rFonts w:ascii="Century Gothic" w:eastAsia="Geo" w:hAnsi="Century Gothic" w:cs="Geo"/>
        <w:sz w:val="16"/>
        <w:szCs w:val="16"/>
        <w:lang w:eastAsia="es-CO"/>
      </w:rPr>
    </w:pPr>
  </w:p>
  <w:p w14:paraId="3C636493" w14:textId="77777777" w:rsidR="004D54CC" w:rsidRDefault="004D54CC"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65pt;height:11.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4" w15:restartNumberingAfterBreak="0">
    <w:nsid w:val="6A8E2169"/>
    <w:multiLevelType w:val="hybridMultilevel"/>
    <w:tmpl w:val="CED68E10"/>
    <w:lvl w:ilvl="0" w:tplc="240A001B">
      <w:start w:val="1"/>
      <w:numFmt w:val="low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6D9C424B"/>
    <w:multiLevelType w:val="hybridMultilevel"/>
    <w:tmpl w:val="C14C10EE"/>
    <w:lvl w:ilvl="0" w:tplc="FC4C84DA">
      <w:start w:val="1"/>
      <w:numFmt w:val="lowerLetter"/>
      <w:lvlText w:val="%1)"/>
      <w:lvlJc w:val="left"/>
      <w:pPr>
        <w:ind w:left="1008" w:hanging="330"/>
      </w:pPr>
      <w:rPr>
        <w:rFonts w:hint="default"/>
        <w:color w:val="4E4D4D"/>
        <w:spacing w:val="-28"/>
        <w:w w:val="100"/>
        <w:sz w:val="20"/>
        <w:szCs w:val="20"/>
        <w:lang w:val="es-ES" w:eastAsia="en-US" w:bidi="ar-SA"/>
      </w:rPr>
    </w:lvl>
    <w:lvl w:ilvl="1" w:tplc="FFFFFFFF">
      <w:numFmt w:val="bullet"/>
      <w:lvlText w:val="•"/>
      <w:lvlJc w:val="left"/>
      <w:pPr>
        <w:ind w:left="1834" w:hanging="330"/>
      </w:pPr>
      <w:rPr>
        <w:rFonts w:hint="default"/>
        <w:lang w:val="es-ES" w:eastAsia="en-US" w:bidi="ar-SA"/>
      </w:rPr>
    </w:lvl>
    <w:lvl w:ilvl="2" w:tplc="FFFFFFFF">
      <w:numFmt w:val="bullet"/>
      <w:lvlText w:val="•"/>
      <w:lvlJc w:val="left"/>
      <w:pPr>
        <w:ind w:left="2668" w:hanging="330"/>
      </w:pPr>
      <w:rPr>
        <w:rFonts w:hint="default"/>
        <w:lang w:val="es-ES" w:eastAsia="en-US" w:bidi="ar-SA"/>
      </w:rPr>
    </w:lvl>
    <w:lvl w:ilvl="3" w:tplc="FFFFFFFF">
      <w:numFmt w:val="bullet"/>
      <w:lvlText w:val="•"/>
      <w:lvlJc w:val="left"/>
      <w:pPr>
        <w:ind w:left="3502" w:hanging="330"/>
      </w:pPr>
      <w:rPr>
        <w:rFonts w:hint="default"/>
        <w:lang w:val="es-ES" w:eastAsia="en-US" w:bidi="ar-SA"/>
      </w:rPr>
    </w:lvl>
    <w:lvl w:ilvl="4" w:tplc="FFFFFFFF">
      <w:numFmt w:val="bullet"/>
      <w:lvlText w:val="•"/>
      <w:lvlJc w:val="left"/>
      <w:pPr>
        <w:ind w:left="4336" w:hanging="330"/>
      </w:pPr>
      <w:rPr>
        <w:rFonts w:hint="default"/>
        <w:lang w:val="es-ES" w:eastAsia="en-US" w:bidi="ar-SA"/>
      </w:rPr>
    </w:lvl>
    <w:lvl w:ilvl="5" w:tplc="FFFFFFFF">
      <w:numFmt w:val="bullet"/>
      <w:lvlText w:val="•"/>
      <w:lvlJc w:val="left"/>
      <w:pPr>
        <w:ind w:left="5170" w:hanging="330"/>
      </w:pPr>
      <w:rPr>
        <w:rFonts w:hint="default"/>
        <w:lang w:val="es-ES" w:eastAsia="en-US" w:bidi="ar-SA"/>
      </w:rPr>
    </w:lvl>
    <w:lvl w:ilvl="6" w:tplc="FFFFFFFF">
      <w:numFmt w:val="bullet"/>
      <w:lvlText w:val="•"/>
      <w:lvlJc w:val="left"/>
      <w:pPr>
        <w:ind w:left="6004" w:hanging="330"/>
      </w:pPr>
      <w:rPr>
        <w:rFonts w:hint="default"/>
        <w:lang w:val="es-ES" w:eastAsia="en-US" w:bidi="ar-SA"/>
      </w:rPr>
    </w:lvl>
    <w:lvl w:ilvl="7" w:tplc="FFFFFFFF">
      <w:numFmt w:val="bullet"/>
      <w:lvlText w:val="•"/>
      <w:lvlJc w:val="left"/>
      <w:pPr>
        <w:ind w:left="6838" w:hanging="330"/>
      </w:pPr>
      <w:rPr>
        <w:rFonts w:hint="default"/>
        <w:lang w:val="es-ES" w:eastAsia="en-US" w:bidi="ar-SA"/>
      </w:rPr>
    </w:lvl>
    <w:lvl w:ilvl="8" w:tplc="FFFFFFFF">
      <w:numFmt w:val="bullet"/>
      <w:lvlText w:val="•"/>
      <w:lvlJc w:val="left"/>
      <w:pPr>
        <w:ind w:left="7672" w:hanging="330"/>
      </w:pPr>
      <w:rPr>
        <w:rFonts w:hint="default"/>
        <w:lang w:val="es-ES" w:eastAsia="en-US" w:bidi="ar-SA"/>
      </w:rPr>
    </w:lvl>
  </w:abstractNum>
  <w:abstractNum w:abstractNumId="6" w15:restartNumberingAfterBreak="0">
    <w:nsid w:val="783279AD"/>
    <w:multiLevelType w:val="hybridMultilevel"/>
    <w:tmpl w:val="06AC3144"/>
    <w:lvl w:ilvl="0" w:tplc="FFFFFFFF">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240A0017">
      <w:start w:val="1"/>
      <w:numFmt w:val="lowerLetter"/>
      <w:lvlText w:val="%2)"/>
      <w:lvlJc w:val="left"/>
      <w:pPr>
        <w:ind w:left="1329" w:hanging="360"/>
      </w:pPr>
    </w:lvl>
    <w:lvl w:ilvl="2" w:tplc="FFFFFFFF">
      <w:numFmt w:val="bullet"/>
      <w:lvlText w:val="•"/>
      <w:lvlJc w:val="left"/>
      <w:pPr>
        <w:ind w:left="2311" w:hanging="373"/>
      </w:pPr>
      <w:rPr>
        <w:rFonts w:hint="default"/>
        <w:lang w:val="es-ES" w:eastAsia="en-US" w:bidi="ar-SA"/>
      </w:rPr>
    </w:lvl>
    <w:lvl w:ilvl="3" w:tplc="FFFFFFFF">
      <w:numFmt w:val="bullet"/>
      <w:lvlText w:val="•"/>
      <w:lvlJc w:val="left"/>
      <w:pPr>
        <w:ind w:left="3282" w:hanging="373"/>
      </w:pPr>
      <w:rPr>
        <w:rFonts w:hint="default"/>
        <w:lang w:val="es-ES" w:eastAsia="en-US" w:bidi="ar-SA"/>
      </w:rPr>
    </w:lvl>
    <w:lvl w:ilvl="4" w:tplc="FFFFFFFF">
      <w:numFmt w:val="bullet"/>
      <w:lvlText w:val="•"/>
      <w:lvlJc w:val="left"/>
      <w:pPr>
        <w:ind w:left="4253" w:hanging="373"/>
      </w:pPr>
      <w:rPr>
        <w:rFonts w:hint="default"/>
        <w:lang w:val="es-ES" w:eastAsia="en-US" w:bidi="ar-SA"/>
      </w:rPr>
    </w:lvl>
    <w:lvl w:ilvl="5" w:tplc="FFFFFFFF">
      <w:numFmt w:val="bullet"/>
      <w:lvlText w:val="•"/>
      <w:lvlJc w:val="left"/>
      <w:pPr>
        <w:ind w:left="5224" w:hanging="373"/>
      </w:pPr>
      <w:rPr>
        <w:rFonts w:hint="default"/>
        <w:lang w:val="es-ES" w:eastAsia="en-US" w:bidi="ar-SA"/>
      </w:rPr>
    </w:lvl>
    <w:lvl w:ilvl="6" w:tplc="FFFFFFFF">
      <w:numFmt w:val="bullet"/>
      <w:lvlText w:val="•"/>
      <w:lvlJc w:val="left"/>
      <w:pPr>
        <w:ind w:left="6195" w:hanging="373"/>
      </w:pPr>
      <w:rPr>
        <w:rFonts w:hint="default"/>
        <w:lang w:val="es-ES" w:eastAsia="en-US" w:bidi="ar-SA"/>
      </w:rPr>
    </w:lvl>
    <w:lvl w:ilvl="7" w:tplc="FFFFFFFF">
      <w:numFmt w:val="bullet"/>
      <w:lvlText w:val="•"/>
      <w:lvlJc w:val="left"/>
      <w:pPr>
        <w:ind w:left="7166" w:hanging="373"/>
      </w:pPr>
      <w:rPr>
        <w:rFonts w:hint="default"/>
        <w:lang w:val="es-ES" w:eastAsia="en-US" w:bidi="ar-SA"/>
      </w:rPr>
    </w:lvl>
    <w:lvl w:ilvl="8" w:tplc="FFFFFFFF">
      <w:numFmt w:val="bullet"/>
      <w:lvlText w:val="•"/>
      <w:lvlJc w:val="left"/>
      <w:pPr>
        <w:ind w:left="8137" w:hanging="373"/>
      </w:pPr>
      <w:rPr>
        <w:rFonts w:hint="default"/>
        <w:lang w:val="es-ES" w:eastAsia="en-US" w:bidi="ar-SA"/>
      </w:rPr>
    </w:lvl>
  </w:abstractNum>
  <w:num w:numId="1" w16cid:durableId="390349800">
    <w:abstractNumId w:val="3"/>
  </w:num>
  <w:num w:numId="2" w16cid:durableId="341274352">
    <w:abstractNumId w:val="0"/>
  </w:num>
  <w:num w:numId="3" w16cid:durableId="679089576">
    <w:abstractNumId w:val="1"/>
  </w:num>
  <w:num w:numId="4" w16cid:durableId="1619603397">
    <w:abstractNumId w:val="2"/>
  </w:num>
  <w:num w:numId="5" w16cid:durableId="1368339248">
    <w:abstractNumId w:val="4"/>
  </w:num>
  <w:num w:numId="6" w16cid:durableId="850333963">
    <w:abstractNumId w:val="6"/>
  </w:num>
  <w:num w:numId="7" w16cid:durableId="1886855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4CC"/>
    <w:rsid w:val="000E1A82"/>
    <w:rsid w:val="003715D3"/>
    <w:rsid w:val="00474DF4"/>
    <w:rsid w:val="00485D25"/>
    <w:rsid w:val="004D54CC"/>
    <w:rsid w:val="004F471F"/>
    <w:rsid w:val="00721AF6"/>
    <w:rsid w:val="008D3AE2"/>
    <w:rsid w:val="00C24FFE"/>
    <w:rsid w:val="00F434E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7593685"/>
  <w15:chartTrackingRefBased/>
  <w15:docId w15:val="{EAE95345-D0F3-4E35-A0D6-8370086A1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54CC"/>
    <w:rPr>
      <w:kern w:val="0"/>
      <w14:ligatures w14:val="none"/>
    </w:rPr>
  </w:style>
  <w:style w:type="paragraph" w:styleId="Ttulo1">
    <w:name w:val="heading 1"/>
    <w:basedOn w:val="Normal"/>
    <w:next w:val="Normal"/>
    <w:link w:val="Ttulo1Car"/>
    <w:uiPriority w:val="9"/>
    <w:qFormat/>
    <w:rsid w:val="004D54C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D54C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D54CC"/>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D54CC"/>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D54CC"/>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D54C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D54C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D54C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D54C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D54CC"/>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D54CC"/>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D54CC"/>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D54CC"/>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D54CC"/>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D54C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D54C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D54C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D54CC"/>
    <w:rPr>
      <w:rFonts w:eastAsiaTheme="majorEastAsia" w:cstheme="majorBidi"/>
      <w:color w:val="272727" w:themeColor="text1" w:themeTint="D8"/>
    </w:rPr>
  </w:style>
  <w:style w:type="paragraph" w:styleId="Ttulo">
    <w:name w:val="Title"/>
    <w:basedOn w:val="Normal"/>
    <w:next w:val="Normal"/>
    <w:link w:val="TtuloCar"/>
    <w:uiPriority w:val="10"/>
    <w:qFormat/>
    <w:rsid w:val="004D54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D54C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D54C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D54C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D54CC"/>
    <w:pPr>
      <w:spacing w:before="160"/>
      <w:jc w:val="center"/>
    </w:pPr>
    <w:rPr>
      <w:i/>
      <w:iCs/>
      <w:color w:val="404040" w:themeColor="text1" w:themeTint="BF"/>
    </w:rPr>
  </w:style>
  <w:style w:type="character" w:customStyle="1" w:styleId="CitaCar">
    <w:name w:val="Cita Car"/>
    <w:basedOn w:val="Fuentedeprrafopredeter"/>
    <w:link w:val="Cita"/>
    <w:uiPriority w:val="29"/>
    <w:rsid w:val="004D54CC"/>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4D54CC"/>
    <w:pPr>
      <w:ind w:left="720"/>
      <w:contextualSpacing/>
    </w:pPr>
  </w:style>
  <w:style w:type="character" w:styleId="nfasisintenso">
    <w:name w:val="Intense Emphasis"/>
    <w:basedOn w:val="Fuentedeprrafopredeter"/>
    <w:uiPriority w:val="21"/>
    <w:qFormat/>
    <w:rsid w:val="004D54CC"/>
    <w:rPr>
      <w:i/>
      <w:iCs/>
      <w:color w:val="2F5496" w:themeColor="accent1" w:themeShade="BF"/>
    </w:rPr>
  </w:style>
  <w:style w:type="paragraph" w:styleId="Citadestacada">
    <w:name w:val="Intense Quote"/>
    <w:basedOn w:val="Normal"/>
    <w:next w:val="Normal"/>
    <w:link w:val="CitadestacadaCar"/>
    <w:uiPriority w:val="30"/>
    <w:qFormat/>
    <w:rsid w:val="004D54C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D54CC"/>
    <w:rPr>
      <w:i/>
      <w:iCs/>
      <w:color w:val="2F5496" w:themeColor="accent1" w:themeShade="BF"/>
    </w:rPr>
  </w:style>
  <w:style w:type="character" w:styleId="Referenciaintensa">
    <w:name w:val="Intense Reference"/>
    <w:basedOn w:val="Fuentedeprrafopredeter"/>
    <w:uiPriority w:val="32"/>
    <w:qFormat/>
    <w:rsid w:val="004D54CC"/>
    <w:rPr>
      <w:b/>
      <w:bCs/>
      <w:smallCaps/>
      <w:color w:val="2F5496" w:themeColor="accent1" w:themeShade="BF"/>
      <w:spacing w:val="5"/>
    </w:rPr>
  </w:style>
  <w:style w:type="paragraph" w:styleId="Encabezado">
    <w:name w:val="header"/>
    <w:basedOn w:val="Normal"/>
    <w:link w:val="EncabezadoCar"/>
    <w:uiPriority w:val="99"/>
    <w:unhideWhenUsed/>
    <w:rsid w:val="004D54C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54CC"/>
    <w:rPr>
      <w:kern w:val="0"/>
      <w14:ligatures w14:val="none"/>
    </w:rPr>
  </w:style>
  <w:style w:type="paragraph" w:styleId="Piedepgina">
    <w:name w:val="footer"/>
    <w:basedOn w:val="Normal"/>
    <w:link w:val="PiedepginaCar"/>
    <w:uiPriority w:val="99"/>
    <w:unhideWhenUsed/>
    <w:rsid w:val="004D54C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54CC"/>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D54C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D54CC"/>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D54CC"/>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D54CC"/>
    <w:rPr>
      <w:vertAlign w:val="superscript"/>
    </w:rPr>
  </w:style>
  <w:style w:type="character" w:customStyle="1" w:styleId="normaltextrun">
    <w:name w:val="normaltextrun"/>
    <w:basedOn w:val="Fuentedeprrafopredeter"/>
    <w:rsid w:val="004D54CC"/>
  </w:style>
  <w:style w:type="table" w:styleId="Tablaconcuadrcula">
    <w:name w:val="Table Grid"/>
    <w:basedOn w:val="Tablanormal"/>
    <w:uiPriority w:val="39"/>
    <w:qFormat/>
    <w:rsid w:val="004D54C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4D54CC"/>
    <w:rPr>
      <w:color w:val="0000FF"/>
      <w:u w:val="single"/>
    </w:rPr>
  </w:style>
  <w:style w:type="paragraph" w:customStyle="1" w:styleId="paragraph">
    <w:name w:val="paragraph"/>
    <w:basedOn w:val="Normal"/>
    <w:rsid w:val="004D54C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4D54C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4D54CC"/>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D54CC"/>
  </w:style>
  <w:style w:type="paragraph" w:styleId="Textoindependiente">
    <w:name w:val="Body Text"/>
    <w:basedOn w:val="Normal"/>
    <w:link w:val="TextoindependienteCar"/>
    <w:uiPriority w:val="99"/>
    <w:unhideWhenUsed/>
    <w:rsid w:val="004D54CC"/>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4D54CC"/>
    <w:rPr>
      <w:rFonts w:eastAsiaTheme="minorEastAsia"/>
      <w:kern w:val="0"/>
      <w:lang w:eastAsia="es-CO"/>
      <w14:ligatures w14:val="none"/>
    </w:rPr>
  </w:style>
  <w:style w:type="paragraph" w:customStyle="1" w:styleId="TableParagraph">
    <w:name w:val="Table Paragraph"/>
    <w:basedOn w:val="Normal"/>
    <w:uiPriority w:val="1"/>
    <w:qFormat/>
    <w:rsid w:val="004D54CC"/>
    <w:pPr>
      <w:widowControl w:val="0"/>
      <w:autoSpaceDE w:val="0"/>
      <w:autoSpaceDN w:val="0"/>
      <w:spacing w:after="0" w:line="240" w:lineRule="auto"/>
      <w:jc w:val="both"/>
    </w:pPr>
    <w:rPr>
      <w:rFonts w:ascii="Verdana" w:eastAsia="Verdana" w:hAnsi="Verdana" w:cs="Verdana"/>
      <w:lang w:val="es-ES"/>
    </w:rPr>
  </w:style>
  <w:style w:type="table" w:customStyle="1" w:styleId="TableNormal1">
    <w:name w:val="Table Normal1"/>
    <w:uiPriority w:val="2"/>
    <w:semiHidden/>
    <w:unhideWhenUsed/>
    <w:qFormat/>
    <w:rsid w:val="004D54CC"/>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character" w:customStyle="1" w:styleId="NormalWebCar">
    <w:name w:val="Normal (Web) Car"/>
    <w:link w:val="NormalWeb"/>
    <w:uiPriority w:val="99"/>
    <w:rsid w:val="004D54CC"/>
    <w:rPr>
      <w:rFonts w:ascii="Times New Roman" w:eastAsia="Times New Roman" w:hAnsi="Times New Roman" w:cs="Times New Roman"/>
      <w:kern w:val="0"/>
      <w:sz w:val="24"/>
      <w:szCs w:val="24"/>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obierno@zapatoca-santander.gov.co" TargetMode="Externa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image" Target="media/image2.png"/><Relationship Id="rId12" Type="http://schemas.openxmlformats.org/officeDocument/2006/relationships/hyperlink" Target="https://dpej.rae.es/lema/asesor%C3%ADa"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lombiacompra.gov.co/normativa-y-relatoria/documentos-tipo" TargetMode="External"/><Relationship Id="rId5" Type="http://schemas.openxmlformats.org/officeDocument/2006/relationships/footnotes" Target="footnotes.xml"/><Relationship Id="rId15" Type="http://schemas.openxmlformats.org/officeDocument/2006/relationships/hyperlink" Target="http://www.colombiacompra.gov.co" TargetMode="External"/><Relationship Id="rId23" Type="http://schemas.openxmlformats.org/officeDocument/2006/relationships/customXml" Target="../customXml/item3.xml"/><Relationship Id="rId10" Type="http://schemas.openxmlformats.org/officeDocument/2006/relationships/hyperlink" Target="https://www.funcionpublica.gov.co/eva/gestornormativo/norma.php?i=25678"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funcionpublica.gov.co/eva/gestornormativo/norma.php?i=304" TargetMode="Externa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constitucion_politica_1991_pr004.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A8C758E-6881-4B97-9329-1480E8DDC607}"/>
</file>

<file path=customXml/itemProps2.xml><?xml version="1.0" encoding="utf-8"?>
<ds:datastoreItem xmlns:ds="http://schemas.openxmlformats.org/officeDocument/2006/customXml" ds:itemID="{3E63B2F7-6CB3-4F5A-8869-DD8AC3F4ECC6}"/>
</file>

<file path=customXml/itemProps3.xml><?xml version="1.0" encoding="utf-8"?>
<ds:datastoreItem xmlns:ds="http://schemas.openxmlformats.org/officeDocument/2006/customXml" ds:itemID="{ACB50F0E-0B31-4155-BEBD-9A29F6377F7A}"/>
</file>

<file path=docProps/app.xml><?xml version="1.0" encoding="utf-8"?>
<Properties xmlns="http://schemas.openxmlformats.org/officeDocument/2006/extended-properties" xmlns:vt="http://schemas.openxmlformats.org/officeDocument/2006/docPropsVTypes">
  <Template>Normal</Template>
  <TotalTime>3</TotalTime>
  <Pages>21</Pages>
  <Words>7301</Words>
  <Characters>39209</Characters>
  <Application>Microsoft Office Word</Application>
  <DocSecurity>0</DocSecurity>
  <Lines>834</Lines>
  <Paragraphs>201</Paragraphs>
  <ScaleCrop>false</ScaleCrop>
  <Company/>
  <LinksUpToDate>false</LinksUpToDate>
  <CharactersWithSpaces>46309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4</cp:revision>
  <dcterms:created xsi:type="dcterms:W3CDTF">2025-10-16T23:08:00Z</dcterms:created>
  <dcterms:modified xsi:type="dcterms:W3CDTF">2025-10-21T18:42:00Z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