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EF880" w14:textId="77777777" w:rsidR="001032B6" w:rsidRPr="009B46EA" w:rsidRDefault="001032B6" w:rsidP="001032B6">
      <w:pPr>
        <w:pStyle w:val="Textoindependiente"/>
        <w:spacing w:after="0" w:line="240" w:lineRule="auto"/>
        <w:ind w:right="102"/>
        <w:jc w:val="both"/>
        <w:rPr>
          <w:rFonts w:ascii="Verdana" w:hAnsi="Verdana" w:cs="Arial"/>
          <w:b/>
          <w:color w:val="000000" w:themeColor="text1"/>
          <w:sz w:val="20"/>
          <w:szCs w:val="20"/>
          <w:lang w:val="es-ES_tradnl"/>
        </w:rPr>
      </w:pPr>
    </w:p>
    <w:p w14:paraId="658FF8ED" w14:textId="77777777" w:rsidR="001032B6" w:rsidRPr="009B46EA" w:rsidRDefault="001032B6" w:rsidP="001032B6">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CONTRATO SIN CUMPLIMIENTO DE LOS REQUISITOS LEGALES</w:t>
      </w:r>
      <w:r w:rsidRPr="009B46EA">
        <w:rPr>
          <w:rFonts w:ascii="Verdana" w:hAnsi="Verdana" w:cs="Arial"/>
          <w:b/>
          <w:color w:val="000000" w:themeColor="text1"/>
          <w:lang w:val="es-ES_tradnl"/>
        </w:rPr>
        <w:t xml:space="preserve"> – </w:t>
      </w:r>
      <w:r>
        <w:rPr>
          <w:rFonts w:ascii="Verdana" w:hAnsi="Verdana" w:cs="Arial"/>
          <w:b/>
          <w:color w:val="000000" w:themeColor="text1"/>
          <w:lang w:val="es-ES_tradnl"/>
        </w:rPr>
        <w:t>Tipo penal en blanco</w:t>
      </w:r>
      <w:r w:rsidRPr="009B46EA">
        <w:rPr>
          <w:rFonts w:ascii="Verdana" w:hAnsi="Verdana" w:cs="Arial"/>
          <w:b/>
          <w:color w:val="000000" w:themeColor="text1"/>
          <w:lang w:val="es-ES_tradnl"/>
        </w:rPr>
        <w:t xml:space="preserve"> – </w:t>
      </w:r>
      <w:r>
        <w:rPr>
          <w:rFonts w:ascii="Verdana" w:hAnsi="Verdana" w:cs="Arial"/>
          <w:b/>
          <w:color w:val="000000" w:themeColor="text1"/>
          <w:lang w:val="es-ES_tradnl"/>
        </w:rPr>
        <w:t>Integración normativa</w:t>
      </w:r>
      <w:r w:rsidRPr="009B46EA">
        <w:rPr>
          <w:rFonts w:ascii="Verdana" w:hAnsi="Verdana" w:cs="Arial"/>
          <w:b/>
          <w:color w:val="000000" w:themeColor="text1"/>
          <w:lang w:val="es-ES_tradnl"/>
        </w:rPr>
        <w:t xml:space="preserve"> </w:t>
      </w:r>
    </w:p>
    <w:p w14:paraId="5F4D7F4D" w14:textId="77777777" w:rsidR="001032B6" w:rsidRPr="009B46EA" w:rsidRDefault="001032B6" w:rsidP="001032B6">
      <w:pPr>
        <w:pStyle w:val="Textoindependiente"/>
        <w:spacing w:after="0" w:line="240" w:lineRule="auto"/>
        <w:ind w:right="102"/>
        <w:jc w:val="both"/>
        <w:rPr>
          <w:rFonts w:ascii="Verdana" w:hAnsi="Verdana" w:cs="Arial"/>
          <w:color w:val="000000" w:themeColor="text1"/>
          <w:sz w:val="20"/>
          <w:szCs w:val="20"/>
          <w:lang w:val="es-ES_tradnl"/>
        </w:rPr>
      </w:pPr>
    </w:p>
    <w:p w14:paraId="3B1999B2" w14:textId="77777777" w:rsidR="001032B6" w:rsidRDefault="001032B6" w:rsidP="001032B6">
      <w:pPr>
        <w:spacing w:after="0" w:line="240" w:lineRule="auto"/>
        <w:jc w:val="both"/>
        <w:rPr>
          <w:rFonts w:ascii="Verdana" w:eastAsia="Arial" w:hAnsi="Verdana" w:cs="Arial"/>
          <w:color w:val="000000" w:themeColor="text1"/>
          <w:sz w:val="20"/>
          <w:szCs w:val="20"/>
          <w:lang w:val="es-ES_tradnl"/>
        </w:rPr>
      </w:pPr>
      <w:r>
        <w:rPr>
          <w:rFonts w:ascii="Verdana" w:eastAsia="Arial" w:hAnsi="Verdana" w:cs="Arial"/>
          <w:color w:val="000000" w:themeColor="text1"/>
          <w:sz w:val="20"/>
          <w:szCs w:val="20"/>
          <w:lang w:val="es-ES_tradnl"/>
        </w:rPr>
        <w:t>D</w:t>
      </w:r>
      <w:r w:rsidRPr="00882F83">
        <w:rPr>
          <w:rFonts w:ascii="Verdana" w:eastAsia="Arial" w:hAnsi="Verdana" w:cs="Arial"/>
          <w:color w:val="000000" w:themeColor="text1"/>
          <w:sz w:val="20"/>
          <w:szCs w:val="20"/>
          <w:lang w:val="es-ES_tradnl"/>
        </w:rPr>
        <w:t xml:space="preserve">e acuerdo con el artículo 410 del Código Penal, el delito de contrato sin cumplimiento de requisitos legales se tipifica cuando un servidor público, por razón del ejercicio de sus funciones, tramita, celebra o liquida contratos sin cumplimiento de los requisitos legales esenciales. Los verbos rectores incorporan un elemento normativo, pues no es el incumplimiento de cualquier requisito el que da lugar a la tipicidad de la conducta, sino la preterición de aquellos que tengan naturaleza esencial. </w:t>
      </w:r>
    </w:p>
    <w:p w14:paraId="602A0AA5" w14:textId="77777777" w:rsidR="001032B6" w:rsidRPr="00882F83" w:rsidRDefault="001032B6" w:rsidP="001032B6">
      <w:pPr>
        <w:spacing w:after="0" w:line="240" w:lineRule="auto"/>
        <w:jc w:val="both"/>
        <w:rPr>
          <w:rFonts w:ascii="Verdana" w:eastAsia="Arial" w:hAnsi="Verdana" w:cs="Arial"/>
          <w:color w:val="000000" w:themeColor="text1"/>
          <w:sz w:val="20"/>
          <w:szCs w:val="20"/>
          <w:lang w:val="es-ES_tradnl"/>
        </w:rPr>
      </w:pPr>
    </w:p>
    <w:p w14:paraId="47E732A2" w14:textId="77777777" w:rsidR="001032B6" w:rsidRPr="009B46EA" w:rsidRDefault="001032B6" w:rsidP="001032B6">
      <w:pPr>
        <w:spacing w:after="0" w:line="240" w:lineRule="auto"/>
        <w:jc w:val="both"/>
        <w:rPr>
          <w:rFonts w:ascii="Verdana" w:eastAsia="Arial" w:hAnsi="Verdana" w:cs="Arial"/>
          <w:color w:val="000000" w:themeColor="text1"/>
          <w:sz w:val="20"/>
          <w:szCs w:val="20"/>
          <w:lang w:val="es-ES_tradnl"/>
        </w:rPr>
      </w:pPr>
      <w:r w:rsidRPr="00882F83">
        <w:rPr>
          <w:rFonts w:ascii="Verdana" w:eastAsia="Arial" w:hAnsi="Verdana" w:cs="Arial"/>
          <w:color w:val="000000" w:themeColor="text1"/>
          <w:sz w:val="20"/>
          <w:szCs w:val="20"/>
          <w:lang w:val="es-ES_tradnl"/>
        </w:rPr>
        <w:t>Ello hace de la norma en comento un tipo penal en blanco, por lo que es necesario remitirse a las disposiciones del sistema de compras públicas para determinar si la conducta está acorde al principio de legalidad. Éstas serán las de la Ley 80 de 1993 para las entidades sometidas al EGCAP; las del derecho civil y comercial, sin perjuicio de lo previsto en el artículo 13 de la Ley 1150 de 2007, para las entidades exceptuadas; y las Decreto 092 de 2017, tratándose del régimen especial para la contratación con entidades privadas sin ánimo de lucro</w:t>
      </w:r>
      <w:r w:rsidRPr="009B46EA">
        <w:rPr>
          <w:rFonts w:ascii="Verdana" w:eastAsia="Arial" w:hAnsi="Verdana" w:cs="Arial"/>
          <w:color w:val="000000" w:themeColor="text1"/>
          <w:sz w:val="20"/>
          <w:szCs w:val="20"/>
          <w:lang w:val="es-ES_tradnl"/>
        </w:rPr>
        <w:t>.</w:t>
      </w:r>
    </w:p>
    <w:p w14:paraId="0B8E50C3" w14:textId="77777777" w:rsidR="001032B6" w:rsidRPr="000E52E5" w:rsidRDefault="001032B6" w:rsidP="001032B6">
      <w:pPr>
        <w:spacing w:after="0" w:line="240" w:lineRule="auto"/>
        <w:jc w:val="both"/>
        <w:rPr>
          <w:rFonts w:ascii="Verdana" w:eastAsia="Geomanist Light" w:hAnsi="Verdana" w:cs="Arial"/>
          <w:b/>
          <w:bCs/>
          <w:color w:val="000000" w:themeColor="text1"/>
          <w:sz w:val="20"/>
          <w:szCs w:val="20"/>
          <w:lang w:val="es-MX"/>
        </w:rPr>
      </w:pPr>
    </w:p>
    <w:p w14:paraId="6DBD0F7F" w14:textId="77777777" w:rsidR="001032B6" w:rsidRPr="000E52E5" w:rsidRDefault="001032B6" w:rsidP="001032B6">
      <w:pPr>
        <w:spacing w:after="0" w:line="240" w:lineRule="auto"/>
        <w:jc w:val="both"/>
        <w:rPr>
          <w:rFonts w:ascii="Verdana" w:eastAsia="Calibri" w:hAnsi="Verdana" w:cs="Arial"/>
          <w:bCs/>
          <w:lang w:val="es-ES_tradnl"/>
        </w:rPr>
      </w:pPr>
      <w:r w:rsidRPr="000E52E5">
        <w:rPr>
          <w:rFonts w:ascii="Verdana" w:eastAsia="Calibri" w:hAnsi="Verdana" w:cs="Arial"/>
          <w:b/>
          <w:lang w:val="es-ES_tradnl"/>
        </w:rPr>
        <w:t>CONCEPTOS DE COLOMBIA COMPRA EFICIENTE – Obligatoriedad</w:t>
      </w:r>
    </w:p>
    <w:p w14:paraId="09085FFE" w14:textId="77777777" w:rsidR="001032B6" w:rsidRPr="000E52E5" w:rsidRDefault="001032B6" w:rsidP="001032B6">
      <w:pPr>
        <w:spacing w:after="0" w:line="240" w:lineRule="auto"/>
        <w:jc w:val="both"/>
        <w:rPr>
          <w:rFonts w:ascii="Verdana" w:hAnsi="Verdana" w:cs="Arial"/>
          <w:sz w:val="20"/>
          <w:szCs w:val="20"/>
          <w:highlight w:val="yellow"/>
          <w:lang w:val="es-ES_tradnl"/>
        </w:rPr>
      </w:pPr>
    </w:p>
    <w:p w14:paraId="2157597C" w14:textId="77777777" w:rsidR="001032B6" w:rsidRPr="000E52E5" w:rsidRDefault="001032B6" w:rsidP="001032B6">
      <w:pPr>
        <w:pStyle w:val="Prrafodelista"/>
        <w:spacing w:after="0" w:line="240" w:lineRule="auto"/>
        <w:ind w:left="0"/>
        <w:jc w:val="both"/>
        <w:rPr>
          <w:rFonts w:ascii="Verdana" w:eastAsia="Calibri" w:hAnsi="Verdana" w:cs="Arial"/>
          <w:sz w:val="20"/>
          <w:szCs w:val="20"/>
          <w:highlight w:val="yellow"/>
          <w:lang w:val="es-ES_tradnl"/>
        </w:rPr>
      </w:pPr>
      <w:r w:rsidRPr="000E52E5">
        <w:rPr>
          <w:rFonts w:ascii="Verdana" w:eastAsia="Calibri" w:hAnsi="Verdana" w:cs="Arial"/>
          <w:sz w:val="20"/>
          <w:szCs w:val="20"/>
          <w:lang w:val="es-ES_tradnl"/>
        </w:rPr>
        <w:t>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tienen respecto del ordenamiento jurídico. Esto explica por qué esta Agencia, reiteradamente, no resuelve controversias concretas ni brinda asesoría a los partícipes de la contratación estatal.</w:t>
      </w:r>
    </w:p>
    <w:p w14:paraId="2F10A517" w14:textId="77777777" w:rsidR="001032B6" w:rsidRPr="000E52E5" w:rsidRDefault="001032B6" w:rsidP="001032B6">
      <w:pPr>
        <w:spacing w:after="0" w:line="240" w:lineRule="auto"/>
        <w:jc w:val="both"/>
        <w:rPr>
          <w:rFonts w:ascii="Verdana" w:eastAsia="Calibri" w:hAnsi="Verdana" w:cs="Arial"/>
          <w:b/>
          <w:sz w:val="20"/>
          <w:szCs w:val="20"/>
          <w:highlight w:val="yellow"/>
          <w:lang w:val="es-ES_tradnl"/>
        </w:rPr>
      </w:pPr>
    </w:p>
    <w:p w14:paraId="2C9A424B" w14:textId="77777777" w:rsidR="001032B6" w:rsidRPr="000E52E5" w:rsidRDefault="001032B6" w:rsidP="001032B6">
      <w:pPr>
        <w:spacing w:after="0" w:line="240" w:lineRule="auto"/>
        <w:jc w:val="both"/>
        <w:rPr>
          <w:rFonts w:ascii="Verdana" w:eastAsia="Calibri" w:hAnsi="Verdana" w:cs="Arial"/>
          <w:bCs/>
          <w:lang w:val="es-ES_tradnl"/>
        </w:rPr>
      </w:pPr>
      <w:r w:rsidRPr="000E52E5">
        <w:rPr>
          <w:rFonts w:ascii="Verdana" w:eastAsia="Calibri" w:hAnsi="Verdana" w:cs="Arial"/>
          <w:b/>
          <w:lang w:val="es-ES_tradnl"/>
        </w:rPr>
        <w:t>FUNCIÓN CONSULTIVA – Alcance</w:t>
      </w:r>
    </w:p>
    <w:p w14:paraId="34EDF00B" w14:textId="77777777" w:rsidR="001032B6" w:rsidRPr="000E52E5" w:rsidRDefault="001032B6" w:rsidP="001032B6">
      <w:pPr>
        <w:spacing w:after="0" w:line="240" w:lineRule="auto"/>
        <w:jc w:val="both"/>
        <w:rPr>
          <w:rFonts w:ascii="Verdana" w:hAnsi="Verdana" w:cs="Arial"/>
          <w:sz w:val="20"/>
          <w:szCs w:val="20"/>
          <w:highlight w:val="yellow"/>
          <w:lang w:val="es-ES_tradnl"/>
        </w:rPr>
      </w:pPr>
    </w:p>
    <w:p w14:paraId="271EA3B3" w14:textId="77777777" w:rsidR="001032B6" w:rsidRPr="000E52E5" w:rsidRDefault="001032B6" w:rsidP="001032B6">
      <w:pPr>
        <w:pStyle w:val="Prrafodelista"/>
        <w:spacing w:after="0" w:line="240" w:lineRule="auto"/>
        <w:ind w:left="0"/>
        <w:jc w:val="both"/>
        <w:rPr>
          <w:rFonts w:ascii="Verdana" w:eastAsia="Calibri" w:hAnsi="Verdana" w:cs="Arial"/>
          <w:sz w:val="20"/>
          <w:szCs w:val="20"/>
          <w:lang w:val="es-ES_tradnl"/>
        </w:rPr>
      </w:pPr>
      <w:r w:rsidRPr="000E52E5">
        <w:rPr>
          <w:rFonts w:ascii="Verdana" w:eastAsia="Calibri" w:hAnsi="Verdana" w:cs="Arial"/>
          <w:sz w:val="20"/>
          <w:szCs w:val="20"/>
          <w:lang w:val="es-ES_tradnl"/>
        </w:rPr>
        <w:t xml:space="preserve">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De todos modos, esto no significa que el criterio de una u otra tenga validez o prevalencia sobre la otra, ya que se trata de opiniones emitidas a título de concepto, pese a que entre las entidades exista una jerarquía o de la naturaleza y competencias que se prediquen de una y otra. Incluso, aun cuando los jueces interpreten con autoridad el sentido de la disposición normativa, el concepto emitido por la entidad no deja de ser un concepto y no adquiere efectos vinculantes, por más que coincida con el de la autoridad judicial, pues, en esa hipótesis, lo que vincula es la decisión del juez, no el de la entidad que ejerció la función consultiva, pues, como se viene diciendo, dicha competencia se </w:t>
      </w:r>
      <w:r w:rsidRPr="000E52E5">
        <w:rPr>
          <w:rFonts w:ascii="Verdana" w:eastAsia="Calibri" w:hAnsi="Verdana" w:cs="Arial"/>
          <w:sz w:val="20"/>
          <w:szCs w:val="20"/>
          <w:lang w:val="es-ES_tradnl"/>
        </w:rPr>
        <w:lastRenderedPageBreak/>
        <w:t xml:space="preserve">enmarca en el artículo 28 de la Ley 1437 de 2011. En otras palabras, los conceptos </w:t>
      </w:r>
      <w:r>
        <w:rPr>
          <w:rFonts w:ascii="Verdana" w:eastAsia="Calibri" w:hAnsi="Verdana" w:cs="Arial"/>
          <w:sz w:val="20"/>
          <w:szCs w:val="20"/>
          <w:lang w:val="es-ES_tradnl"/>
        </w:rPr>
        <w:t>“</w:t>
      </w:r>
      <w:r w:rsidRPr="000E52E5">
        <w:rPr>
          <w:rFonts w:ascii="Verdana" w:eastAsia="Calibri" w:hAnsi="Verdana" w:cs="Arial"/>
          <w:sz w:val="20"/>
          <w:szCs w:val="20"/>
          <w:lang w:val="es-ES_tradnl"/>
        </w:rPr>
        <w:t>no serán de obligatorio cumplimiento o ejecución</w:t>
      </w:r>
      <w:r>
        <w:rPr>
          <w:rFonts w:ascii="Verdana" w:eastAsia="Calibri" w:hAnsi="Verdana" w:cs="Arial"/>
          <w:sz w:val="20"/>
          <w:szCs w:val="20"/>
          <w:lang w:val="es-ES_tradnl"/>
        </w:rPr>
        <w:t>”</w:t>
      </w:r>
      <w:r w:rsidRPr="000E52E5">
        <w:rPr>
          <w:rFonts w:ascii="Verdana" w:eastAsia="Calibri" w:hAnsi="Verdana" w:cs="Arial"/>
          <w:sz w:val="20"/>
          <w:szCs w:val="20"/>
          <w:lang w:val="es-ES_tradnl"/>
        </w:rPr>
        <w:t xml:space="preserve">. </w:t>
      </w:r>
    </w:p>
    <w:p w14:paraId="5D7ACB5D" w14:textId="77777777" w:rsidR="001032B6" w:rsidRPr="009B46EA" w:rsidRDefault="001032B6" w:rsidP="001032B6">
      <w:pPr>
        <w:spacing w:after="0" w:line="240" w:lineRule="auto"/>
        <w:jc w:val="both"/>
        <w:rPr>
          <w:rFonts w:ascii="Verdana" w:eastAsia="Calibri" w:hAnsi="Verdana" w:cs="Arial"/>
          <w:b/>
          <w:color w:val="000000" w:themeColor="text1"/>
          <w:lang w:val="es-ES_tradnl"/>
        </w:rPr>
      </w:pPr>
    </w:p>
    <w:p w14:paraId="4AD8979C" w14:textId="77777777" w:rsidR="001032B6" w:rsidRPr="009B46EA" w:rsidRDefault="001032B6" w:rsidP="001032B6">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DELITOS CONTRA LA ADMINISTRACIÓN PÚBLICA</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Autoridades judiciales</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Competencia exclusiva y excluyente</w:t>
      </w:r>
      <w:r w:rsidRPr="009B46EA">
        <w:rPr>
          <w:rFonts w:ascii="Verdana" w:eastAsia="Calibri" w:hAnsi="Verdana" w:cs="Arial"/>
          <w:b/>
          <w:color w:val="000000" w:themeColor="text1"/>
          <w:lang w:val="es-ES_tradnl"/>
        </w:rPr>
        <w:t xml:space="preserve"> </w:t>
      </w:r>
    </w:p>
    <w:p w14:paraId="723D19EE" w14:textId="77777777" w:rsidR="001032B6" w:rsidRPr="009B46EA" w:rsidRDefault="001032B6" w:rsidP="001032B6">
      <w:pPr>
        <w:spacing w:after="0" w:line="240" w:lineRule="auto"/>
        <w:jc w:val="both"/>
        <w:rPr>
          <w:rFonts w:ascii="Verdana" w:eastAsia="Calibri" w:hAnsi="Verdana" w:cs="Arial"/>
          <w:bCs/>
          <w:color w:val="000000" w:themeColor="text1"/>
          <w:sz w:val="20"/>
          <w:szCs w:val="20"/>
          <w:lang w:val="es-ES_tradnl"/>
        </w:rPr>
      </w:pPr>
    </w:p>
    <w:p w14:paraId="2D18ACA2" w14:textId="77777777" w:rsidR="001032B6" w:rsidRDefault="001032B6" w:rsidP="001032B6">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P</w:t>
      </w:r>
      <w:r w:rsidRPr="00F23962">
        <w:rPr>
          <w:rFonts w:ascii="Verdana" w:hAnsi="Verdana" w:cs="Arial"/>
          <w:color w:val="000000" w:themeColor="text1"/>
          <w:sz w:val="20"/>
          <w:szCs w:val="20"/>
          <w:lang w:val="es-ES_tradnl"/>
        </w:rPr>
        <w:t>ese a la competencia consultiva de la ANCP – CCE, ninguna norma del ordenamiento jurídico le asigna atribuciones a esta entidad para comprometerse a minimizar el impacto del delito de contrato sin cumplimiento de requisitos legales en las entidades públicas. Dentro de este marco, los jueces y fiscales son independientes y autónomos para tipificar la conducta del artículo 410 del Código Penal en función de las circunstancias en que se ejecute la acción punible, sin que la Agencia tenga atribuciones para intervenir al respecto.</w:t>
      </w:r>
    </w:p>
    <w:p w14:paraId="26A38F5B" w14:textId="77777777" w:rsidR="001032B6" w:rsidRPr="00F23962" w:rsidRDefault="001032B6" w:rsidP="001032B6">
      <w:pPr>
        <w:spacing w:after="0" w:line="240" w:lineRule="auto"/>
        <w:jc w:val="both"/>
        <w:rPr>
          <w:rFonts w:ascii="Verdana" w:hAnsi="Verdana" w:cs="Arial"/>
          <w:color w:val="000000" w:themeColor="text1"/>
          <w:sz w:val="20"/>
          <w:szCs w:val="20"/>
          <w:lang w:val="es-ES_tradnl"/>
        </w:rPr>
      </w:pPr>
    </w:p>
    <w:p w14:paraId="6BBF5AFE" w14:textId="77777777" w:rsidR="001032B6" w:rsidRDefault="001032B6" w:rsidP="001032B6">
      <w:pPr>
        <w:spacing w:after="0" w:line="240" w:lineRule="auto"/>
        <w:jc w:val="both"/>
        <w:rPr>
          <w:rFonts w:ascii="Verdana" w:hAnsi="Verdana" w:cs="Arial"/>
          <w:color w:val="000000" w:themeColor="text1"/>
          <w:sz w:val="20"/>
          <w:szCs w:val="20"/>
          <w:lang w:val="es-ES_tradnl"/>
        </w:rPr>
      </w:pPr>
      <w:r w:rsidRPr="00F23962">
        <w:rPr>
          <w:rFonts w:ascii="Verdana" w:hAnsi="Verdana" w:cs="Arial"/>
          <w:color w:val="000000" w:themeColor="text1"/>
          <w:sz w:val="20"/>
          <w:szCs w:val="20"/>
          <w:lang w:val="es-ES_tradnl"/>
        </w:rPr>
        <w:t>Para efectos del procedimiento penal, el inciso 3 del artículo 226 del Código General del Proceso, normativa a la que remite el artículo 25 de la Ley 906 de 2005, establece expresamente que “No serán admisibles los dictámenes periciales que versen sobre puntos de derecho”. En consecuencia, lo decidido en torno a los procesos donde se investigue la presunta comisión del delito de celebración de contrato sin cumplimiento de los requisitos legales es responsabilidad única y exclusiva de las instancias judiciales competentes</w:t>
      </w:r>
      <w:r w:rsidRPr="009B46EA">
        <w:rPr>
          <w:rFonts w:ascii="Verdana" w:hAnsi="Verdana" w:cs="Arial"/>
          <w:color w:val="000000" w:themeColor="text1"/>
          <w:sz w:val="20"/>
          <w:szCs w:val="20"/>
          <w:lang w:val="es-ES_tradnl"/>
        </w:rPr>
        <w:t>.</w:t>
      </w:r>
    </w:p>
    <w:p w14:paraId="07BD3E81" w14:textId="77777777" w:rsidR="001032B6" w:rsidRDefault="001032B6" w:rsidP="001032B6">
      <w:pPr>
        <w:spacing w:after="0" w:line="240" w:lineRule="auto"/>
        <w:jc w:val="both"/>
        <w:rPr>
          <w:rFonts w:ascii="Verdana" w:hAnsi="Verdana" w:cs="Arial"/>
          <w:color w:val="000000" w:themeColor="text1"/>
          <w:sz w:val="20"/>
          <w:szCs w:val="20"/>
          <w:lang w:val="es-ES_tradnl"/>
        </w:rPr>
      </w:pPr>
    </w:p>
    <w:p w14:paraId="2812B41E" w14:textId="77777777" w:rsidR="001032B6" w:rsidRPr="001032B6" w:rsidRDefault="001032B6" w:rsidP="001032B6">
      <w:pPr>
        <w:spacing w:after="0" w:line="240" w:lineRule="auto"/>
        <w:jc w:val="both"/>
        <w:rPr>
          <w:rFonts w:ascii="Verdana" w:hAnsi="Verdana" w:cs="Arial"/>
          <w:bCs/>
          <w:color w:val="000000" w:themeColor="text1"/>
          <w:sz w:val="20"/>
          <w:szCs w:val="20"/>
        </w:rPr>
      </w:pPr>
      <w:r w:rsidRPr="001032B6">
        <w:rPr>
          <w:rFonts w:ascii="Verdana" w:hAnsi="Verdana" w:cs="Arial"/>
          <w:bCs/>
          <w:color w:val="000000" w:themeColor="text1"/>
          <w:sz w:val="20"/>
          <w:szCs w:val="20"/>
        </w:rPr>
        <w:t>Sin perjuicio de lo anterior, en el marco del artículo 3.2 del Decreto Ley 4170 de 2011, esta entidad tiene competencia para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Por ello, a través de guías, manuales, circulares, capacitaciones, etc., la ANCP – CCE ha enfilado esfuerzos de cara a la transparencia por medio de diferentes instrumentos de política pública para fortalecer las capacidades entre los actores del sistema de compras. Lo anterior con el fin de mitigar prácticas que lesionen el ordenamiento jurídico y la probidad en la ejecución de recursos públicos.</w:t>
      </w:r>
    </w:p>
    <w:p w14:paraId="4171067D" w14:textId="77777777" w:rsidR="001032B6" w:rsidRPr="001032B6" w:rsidRDefault="001032B6" w:rsidP="001032B6">
      <w:pPr>
        <w:spacing w:after="0" w:line="240" w:lineRule="auto"/>
        <w:jc w:val="both"/>
        <w:rPr>
          <w:rFonts w:ascii="Verdana" w:hAnsi="Verdana" w:cs="Arial"/>
          <w:color w:val="000000" w:themeColor="text1"/>
          <w:sz w:val="20"/>
          <w:szCs w:val="20"/>
        </w:rPr>
      </w:pPr>
    </w:p>
    <w:p w14:paraId="1B97A724" w14:textId="77777777" w:rsidR="001032B6" w:rsidRPr="001032B6" w:rsidRDefault="001032B6" w:rsidP="0036004A">
      <w:pPr>
        <w:spacing w:after="0" w:line="240" w:lineRule="auto"/>
        <w:rPr>
          <w:rFonts w:ascii="Verdana" w:eastAsia="Geomanist Light" w:hAnsi="Verdana" w:cs="Arial"/>
          <w:color w:val="000000" w:themeColor="text1"/>
          <w:lang w:val="es-ES_tradnl"/>
        </w:rPr>
      </w:pPr>
    </w:p>
    <w:p w14:paraId="5C7666AB" w14:textId="77777777" w:rsidR="001032B6" w:rsidRDefault="001032B6" w:rsidP="0036004A">
      <w:pPr>
        <w:spacing w:after="0" w:line="240" w:lineRule="auto"/>
        <w:rPr>
          <w:rFonts w:ascii="Verdana" w:eastAsia="Geomanist Light" w:hAnsi="Verdana" w:cs="Arial"/>
          <w:color w:val="000000" w:themeColor="text1"/>
          <w:lang w:val="es-MX"/>
        </w:rPr>
      </w:pPr>
    </w:p>
    <w:p w14:paraId="4E50ECE7" w14:textId="77777777" w:rsidR="001032B6" w:rsidRDefault="001032B6" w:rsidP="0036004A">
      <w:pPr>
        <w:spacing w:after="0" w:line="240" w:lineRule="auto"/>
        <w:rPr>
          <w:rFonts w:ascii="Verdana" w:eastAsia="Geomanist Light" w:hAnsi="Verdana" w:cs="Arial"/>
          <w:color w:val="000000" w:themeColor="text1"/>
          <w:lang w:val="es-MX"/>
        </w:rPr>
      </w:pPr>
    </w:p>
    <w:p w14:paraId="31755656" w14:textId="77777777" w:rsidR="001032B6" w:rsidRDefault="001032B6" w:rsidP="0036004A">
      <w:pPr>
        <w:spacing w:after="0" w:line="240" w:lineRule="auto"/>
        <w:rPr>
          <w:rFonts w:ascii="Verdana" w:eastAsia="Geomanist Light" w:hAnsi="Verdana" w:cs="Arial"/>
          <w:color w:val="000000" w:themeColor="text1"/>
          <w:lang w:val="es-MX"/>
        </w:rPr>
      </w:pPr>
    </w:p>
    <w:p w14:paraId="643BB021" w14:textId="77777777" w:rsidR="001032B6" w:rsidRDefault="001032B6" w:rsidP="0036004A">
      <w:pPr>
        <w:spacing w:after="0" w:line="240" w:lineRule="auto"/>
        <w:rPr>
          <w:rFonts w:ascii="Verdana" w:eastAsia="Geomanist Light" w:hAnsi="Verdana" w:cs="Arial"/>
          <w:color w:val="000000" w:themeColor="text1"/>
          <w:lang w:val="es-MX"/>
        </w:rPr>
      </w:pPr>
    </w:p>
    <w:p w14:paraId="2972BB9A" w14:textId="77777777" w:rsidR="001032B6" w:rsidRDefault="001032B6" w:rsidP="0036004A">
      <w:pPr>
        <w:spacing w:after="0" w:line="240" w:lineRule="auto"/>
        <w:rPr>
          <w:rFonts w:ascii="Verdana" w:eastAsia="Geomanist Light" w:hAnsi="Verdana" w:cs="Arial"/>
          <w:color w:val="000000" w:themeColor="text1"/>
          <w:lang w:val="es-MX"/>
        </w:rPr>
      </w:pPr>
    </w:p>
    <w:p w14:paraId="0E4AF68F" w14:textId="77777777" w:rsidR="001032B6" w:rsidRDefault="001032B6" w:rsidP="0036004A">
      <w:pPr>
        <w:spacing w:after="0" w:line="240" w:lineRule="auto"/>
        <w:rPr>
          <w:rFonts w:ascii="Verdana" w:eastAsia="Geomanist Light" w:hAnsi="Verdana" w:cs="Arial"/>
          <w:color w:val="000000" w:themeColor="text1"/>
          <w:lang w:val="es-MX"/>
        </w:rPr>
      </w:pPr>
    </w:p>
    <w:p w14:paraId="2499EAFA" w14:textId="77777777" w:rsidR="001032B6" w:rsidRDefault="001032B6" w:rsidP="0036004A">
      <w:pPr>
        <w:spacing w:after="0" w:line="240" w:lineRule="auto"/>
        <w:rPr>
          <w:rFonts w:ascii="Verdana" w:eastAsia="Geomanist Light" w:hAnsi="Verdana" w:cs="Arial"/>
          <w:color w:val="000000" w:themeColor="text1"/>
          <w:lang w:val="es-MX"/>
        </w:rPr>
      </w:pPr>
    </w:p>
    <w:p w14:paraId="631CB1CC" w14:textId="77777777" w:rsidR="001032B6" w:rsidRDefault="001032B6" w:rsidP="0036004A">
      <w:pPr>
        <w:spacing w:after="0" w:line="240" w:lineRule="auto"/>
        <w:rPr>
          <w:rFonts w:ascii="Verdana" w:eastAsia="Geomanist Light" w:hAnsi="Verdana" w:cs="Arial"/>
          <w:color w:val="000000" w:themeColor="text1"/>
          <w:lang w:val="es-MX"/>
        </w:rPr>
      </w:pPr>
    </w:p>
    <w:p w14:paraId="7D743845" w14:textId="77777777" w:rsidR="001032B6" w:rsidRDefault="001032B6" w:rsidP="0036004A">
      <w:pPr>
        <w:spacing w:after="0" w:line="240" w:lineRule="auto"/>
        <w:rPr>
          <w:rFonts w:ascii="Verdana" w:eastAsia="Geomanist Light" w:hAnsi="Verdana" w:cs="Arial"/>
          <w:color w:val="000000" w:themeColor="text1"/>
          <w:lang w:val="es-MX"/>
        </w:rPr>
      </w:pPr>
    </w:p>
    <w:p w14:paraId="7F13BBCF" w14:textId="77777777" w:rsidR="001032B6" w:rsidRDefault="001032B6" w:rsidP="0036004A">
      <w:pPr>
        <w:spacing w:after="0" w:line="240" w:lineRule="auto"/>
        <w:rPr>
          <w:rFonts w:ascii="Verdana" w:eastAsia="Geomanist Light" w:hAnsi="Verdana" w:cs="Arial"/>
          <w:color w:val="000000" w:themeColor="text1"/>
          <w:lang w:val="es-MX"/>
        </w:rPr>
      </w:pPr>
    </w:p>
    <w:p w14:paraId="5F81C3B9" w14:textId="6E9FAF44" w:rsidR="0036004A" w:rsidRPr="00593A5F" w:rsidRDefault="0036004A" w:rsidP="0036004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1B7C12">
        <w:rPr>
          <w:rFonts w:ascii="Verdana" w:eastAsia="Geomanist Light" w:hAnsi="Verdana" w:cs="Arial"/>
          <w:color w:val="000000" w:themeColor="text1"/>
          <w:lang w:val="es-MX"/>
        </w:rPr>
        <w:t>01</w:t>
      </w:r>
      <w:r w:rsidR="00F04578">
        <w:rPr>
          <w:rFonts w:ascii="Verdana" w:eastAsia="Geomanist Light" w:hAnsi="Verdana" w:cs="Arial"/>
          <w:color w:val="000000" w:themeColor="text1"/>
          <w:lang w:val="es-MX"/>
        </w:rPr>
        <w:t xml:space="preserve"> de Octubre de 2025</w:t>
      </w:r>
    </w:p>
    <w:p w14:paraId="103E6C99" w14:textId="77777777" w:rsidR="0036004A" w:rsidRDefault="0036004A" w:rsidP="0036004A">
      <w:pPr>
        <w:spacing w:after="0" w:line="240" w:lineRule="auto"/>
        <w:jc w:val="both"/>
        <w:rPr>
          <w:rFonts w:ascii="Verdana" w:eastAsia="Calibri" w:hAnsi="Verdana" w:cs="Arial"/>
          <w:color w:val="000000"/>
          <w:lang w:val="es-ES"/>
        </w:rPr>
      </w:pPr>
    </w:p>
    <w:p w14:paraId="5F0E3B8C" w14:textId="66A1DF84" w:rsidR="001B7C12" w:rsidRDefault="001B7C12" w:rsidP="001B7C12">
      <w:pPr>
        <w:spacing w:after="0" w:line="240" w:lineRule="auto"/>
        <w:jc w:val="right"/>
        <w:rPr>
          <w:rFonts w:ascii="Verdana" w:eastAsia="Calibri" w:hAnsi="Verdana" w:cs="Arial"/>
          <w:color w:val="000000"/>
          <w:lang w:val="es-ES"/>
        </w:rPr>
      </w:pPr>
      <w:r w:rsidRPr="001B7C12">
        <w:rPr>
          <w:rFonts w:ascii="Verdana" w:eastAsia="Calibri" w:hAnsi="Verdana" w:cs="Arial"/>
          <w:noProof/>
          <w:color w:val="000000"/>
          <w:lang w:val="es-ES"/>
        </w:rPr>
        <w:drawing>
          <wp:inline distT="0" distB="0" distL="0" distR="0" wp14:anchorId="6B08BC3E" wp14:editId="492A88F0">
            <wp:extent cx="2400300" cy="622300"/>
            <wp:effectExtent l="0" t="0" r="0" b="0"/>
            <wp:docPr id="6336867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686724" name=""/>
                    <pic:cNvPicPr/>
                  </pic:nvPicPr>
                  <pic:blipFill>
                    <a:blip r:embed="rId11"/>
                    <a:stretch>
                      <a:fillRect/>
                    </a:stretch>
                  </pic:blipFill>
                  <pic:spPr>
                    <a:xfrm>
                      <a:off x="0" y="0"/>
                      <a:ext cx="2400300" cy="622300"/>
                    </a:xfrm>
                    <a:prstGeom prst="rect">
                      <a:avLst/>
                    </a:prstGeom>
                  </pic:spPr>
                </pic:pic>
              </a:graphicData>
            </a:graphic>
          </wp:inline>
        </w:drawing>
      </w:r>
    </w:p>
    <w:p w14:paraId="45D8DBA2" w14:textId="77777777" w:rsidR="0036004A" w:rsidRPr="00593A5F" w:rsidRDefault="0036004A" w:rsidP="0036004A">
      <w:pPr>
        <w:spacing w:after="0" w:line="240" w:lineRule="auto"/>
        <w:jc w:val="both"/>
        <w:rPr>
          <w:rFonts w:ascii="Verdana" w:eastAsia="Calibri" w:hAnsi="Verdana" w:cs="Arial"/>
          <w:color w:val="000000"/>
          <w:lang w:val="es-ES"/>
        </w:rPr>
      </w:pPr>
    </w:p>
    <w:p w14:paraId="2B6EBC94" w14:textId="77777777" w:rsidR="0036004A" w:rsidRPr="00B96799" w:rsidRDefault="0036004A" w:rsidP="0036004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24554BA" w14:textId="77777777" w:rsidR="0036004A" w:rsidRPr="0085423D" w:rsidRDefault="0036004A" w:rsidP="0036004A">
      <w:pPr>
        <w:spacing w:after="0" w:line="240" w:lineRule="auto"/>
        <w:rPr>
          <w:rFonts w:ascii="Verdana" w:eastAsia="Calibri" w:hAnsi="Verdana" w:cs="Arial"/>
          <w:b/>
          <w:lang w:val="es-ES_tradnl" w:eastAsia="es-ES_tradnl"/>
        </w:rPr>
      </w:pPr>
      <w:r w:rsidRPr="005B08B0">
        <w:rPr>
          <w:rFonts w:ascii="Verdana" w:eastAsia="Calibri" w:hAnsi="Verdana" w:cs="Arial"/>
          <w:b/>
          <w:lang w:val="es-ES_tradnl" w:eastAsia="es-ES_tradnl"/>
        </w:rPr>
        <w:t>Anderson Camacho Idárraga</w:t>
      </w:r>
      <w:r w:rsidRPr="007F2F02">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p w14:paraId="48D0510A" w14:textId="77777777" w:rsidR="0036004A" w:rsidRPr="00E34812" w:rsidRDefault="0036004A" w:rsidP="0036004A">
      <w:pPr>
        <w:spacing w:after="0" w:line="240" w:lineRule="auto"/>
        <w:rPr>
          <w:rFonts w:ascii="Verdana" w:eastAsia="Calibri" w:hAnsi="Verdana" w:cs="Arial"/>
          <w:lang w:val="es-ES" w:eastAsia="es-ES"/>
        </w:rPr>
      </w:pPr>
      <w:hyperlink r:id="rId12" w:history="1">
        <w:r w:rsidRPr="00315EC2">
          <w:rPr>
            <w:rStyle w:val="Hipervnculo"/>
            <w:rFonts w:ascii="Verdana" w:hAnsi="Verdana"/>
          </w:rPr>
          <w:t>anderson.camacho@cecar.edu.co</w:t>
        </w:r>
      </w:hyperlink>
      <w:r>
        <w:rPr>
          <w:rFonts w:ascii="Verdana" w:hAnsi="Verdana"/>
        </w:rPr>
        <w:t xml:space="preserve"> </w:t>
      </w:r>
      <w:r w:rsidRPr="00E34812">
        <w:rPr>
          <w:rFonts w:ascii="Verdana" w:hAnsi="Verdana"/>
        </w:rPr>
        <w:t xml:space="preserve">           </w:t>
      </w:r>
      <w:r w:rsidRPr="00E34812">
        <w:rPr>
          <w:rFonts w:ascii="Verdana" w:eastAsia="Calibri" w:hAnsi="Verdana" w:cs="Arial"/>
          <w:lang w:val="es-ES" w:eastAsia="es-ES"/>
        </w:rPr>
        <w:t xml:space="preserve">    </w:t>
      </w:r>
    </w:p>
    <w:p w14:paraId="7AC1D4EE" w14:textId="77777777" w:rsidR="0036004A" w:rsidRDefault="0036004A" w:rsidP="0036004A">
      <w:pPr>
        <w:spacing w:after="0" w:line="240" w:lineRule="auto"/>
        <w:rPr>
          <w:rFonts w:ascii="Verdana" w:eastAsia="Calibri" w:hAnsi="Verdana" w:cs="Arial"/>
          <w:lang w:val="es-ES" w:eastAsia="es-ES"/>
        </w:rPr>
      </w:pPr>
      <w:r>
        <w:rPr>
          <w:rFonts w:ascii="Verdana" w:eastAsia="Geomanist Light" w:hAnsi="Verdana" w:cs="Arial"/>
          <w:color w:val="000000" w:themeColor="text1"/>
          <w:lang w:val="es-MX"/>
        </w:rPr>
        <w:t>Sincelejo, Sucre</w:t>
      </w:r>
      <w:r>
        <w:rPr>
          <w:rFonts w:ascii="Verdana" w:eastAsia="Calibri" w:hAnsi="Verdana" w:cs="Arial"/>
          <w:lang w:val="es-ES" w:eastAsia="es-ES"/>
        </w:rPr>
        <w:t xml:space="preserve"> </w:t>
      </w:r>
    </w:p>
    <w:p w14:paraId="7912A8AA" w14:textId="77777777" w:rsidR="0036004A" w:rsidRPr="00593A5F" w:rsidRDefault="0036004A" w:rsidP="0036004A">
      <w:pPr>
        <w:spacing w:after="0" w:line="240" w:lineRule="auto"/>
        <w:rPr>
          <w:rFonts w:ascii="Verdana" w:eastAsia="Calibri" w:hAnsi="Verdana" w:cs="Arial"/>
          <w:b/>
          <w:bCs/>
          <w:color w:val="000000"/>
          <w:lang w:val="es-ES_tradnl" w:eastAsia="es-ES_tradnl"/>
        </w:rPr>
      </w:pPr>
    </w:p>
    <w:p w14:paraId="5BDD8BD9" w14:textId="77777777" w:rsidR="0036004A" w:rsidRPr="00593A5F" w:rsidRDefault="0036004A" w:rsidP="0036004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6004A" w:rsidRPr="00593A5F" w14:paraId="766ABA0F" w14:textId="77777777">
        <w:trPr>
          <w:trHeight w:val="884"/>
        </w:trPr>
        <w:tc>
          <w:tcPr>
            <w:tcW w:w="2689" w:type="dxa"/>
          </w:tcPr>
          <w:p w14:paraId="5D4AFB0B" w14:textId="77777777" w:rsidR="0036004A" w:rsidRPr="00C00976" w:rsidRDefault="0036004A">
            <w:pPr>
              <w:jc w:val="both"/>
              <w:rPr>
                <w:rFonts w:ascii="Verdana" w:eastAsia="Calibri" w:hAnsi="Verdana" w:cs="Arial"/>
                <w:b/>
                <w:bCs/>
                <w:color w:val="7030A0"/>
                <w:lang w:val="es-ES_tradnl" w:eastAsia="es-ES_tradnl"/>
              </w:rPr>
            </w:pPr>
          </w:p>
        </w:tc>
        <w:tc>
          <w:tcPr>
            <w:tcW w:w="6100" w:type="dxa"/>
          </w:tcPr>
          <w:p w14:paraId="208DAE76" w14:textId="77777777" w:rsidR="0036004A" w:rsidRPr="00C00976" w:rsidRDefault="0036004A">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1275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36004A" w:rsidRPr="00593A5F" w14:paraId="4E638A76" w14:textId="77777777">
        <w:trPr>
          <w:trHeight w:val="884"/>
        </w:trPr>
        <w:tc>
          <w:tcPr>
            <w:tcW w:w="2689" w:type="dxa"/>
          </w:tcPr>
          <w:p w14:paraId="7770BF71" w14:textId="77777777" w:rsidR="0036004A" w:rsidRPr="00593A5F" w:rsidRDefault="0036004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B6D44C4" w14:textId="77777777" w:rsidR="0036004A" w:rsidRPr="00A11406" w:rsidRDefault="0036004A">
            <w:pPr>
              <w:spacing w:line="276" w:lineRule="auto"/>
              <w:jc w:val="both"/>
              <w:rPr>
                <w:rFonts w:ascii="Verdana" w:eastAsia="Calibri" w:hAnsi="Verdana" w:cs="Arial"/>
                <w:lang w:val="es-ES" w:eastAsia="es-ES"/>
              </w:rPr>
            </w:pPr>
            <w:r w:rsidRPr="00F23962">
              <w:rPr>
                <w:rFonts w:ascii="Verdana" w:eastAsia="Calibri" w:hAnsi="Verdana" w:cs="Arial"/>
                <w:lang w:val="es-ES" w:eastAsia="es-ES"/>
              </w:rPr>
              <w:t>CONTRATO SIN CUMPLIMIENTO DE LOS REQUISITOS LEGALES – Tipo penal en blanco – Integración normativa</w:t>
            </w:r>
            <w:r>
              <w:rPr>
                <w:rFonts w:ascii="Verdana" w:eastAsia="Calibri" w:hAnsi="Verdana" w:cs="Arial"/>
                <w:lang w:val="es-ES" w:eastAsia="es-ES"/>
              </w:rPr>
              <w:t xml:space="preserve"> / </w:t>
            </w:r>
            <w:r w:rsidRPr="00F23962">
              <w:rPr>
                <w:rFonts w:ascii="Verdana" w:eastAsia="Calibri" w:hAnsi="Verdana" w:cs="Arial"/>
                <w:lang w:val="es-ES" w:eastAsia="es-ES"/>
              </w:rPr>
              <w:t>CONCEPTOS DE COLOMBIA COMPRA EFICIENTE – Obligatoriedad</w:t>
            </w:r>
            <w:r>
              <w:rPr>
                <w:rFonts w:ascii="Verdana" w:eastAsia="Calibri" w:hAnsi="Verdana" w:cs="Arial"/>
                <w:lang w:val="es-ES" w:eastAsia="es-ES"/>
              </w:rPr>
              <w:t xml:space="preserve"> / </w:t>
            </w:r>
            <w:r w:rsidRPr="00F23962">
              <w:rPr>
                <w:rFonts w:ascii="Verdana" w:eastAsia="Calibri" w:hAnsi="Verdana" w:cs="Arial"/>
                <w:lang w:val="es-ES" w:eastAsia="es-ES"/>
              </w:rPr>
              <w:t>FUNCIÓN CONSULTIVA – Alcance</w:t>
            </w:r>
            <w:r>
              <w:rPr>
                <w:rFonts w:ascii="Verdana" w:eastAsia="Calibri" w:hAnsi="Verdana" w:cs="Arial"/>
                <w:lang w:val="es-ES" w:eastAsia="es-ES"/>
              </w:rPr>
              <w:t xml:space="preserve"> / </w:t>
            </w:r>
            <w:r w:rsidRPr="00F23962">
              <w:rPr>
                <w:rFonts w:ascii="Verdana" w:eastAsia="Calibri" w:hAnsi="Verdana" w:cs="Arial"/>
                <w:lang w:val="es-ES" w:eastAsia="es-ES"/>
              </w:rPr>
              <w:t xml:space="preserve">DELITOS CONTRA LA ADMINISTRACIÓN PÚBLICA – Autoridades judiciales – Competencia exclusiva y excluyente </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9F3F0A3" w14:textId="77777777" w:rsidR="0036004A" w:rsidRPr="00593A5F" w:rsidRDefault="0036004A">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36004A" w:rsidRPr="008E6AD9" w14:paraId="31E0A364" w14:textId="77777777">
        <w:tc>
          <w:tcPr>
            <w:tcW w:w="2689" w:type="dxa"/>
          </w:tcPr>
          <w:p w14:paraId="5BC3A443" w14:textId="77777777" w:rsidR="0036004A" w:rsidRPr="008E6AD9" w:rsidRDefault="0036004A">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B817E8B" w14:textId="77777777" w:rsidR="0036004A" w:rsidRPr="008E6AD9" w:rsidRDefault="0036004A">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 No.</w:t>
            </w:r>
            <w:r>
              <w:rPr>
                <w:rFonts w:ascii="Verdana" w:eastAsia="Calibri" w:hAnsi="Verdana" w:cs="Arial"/>
                <w:lang w:val="es-ES_tradnl" w:eastAsia="es-ES_tradnl"/>
              </w:rPr>
              <w:t xml:space="preserve"> </w:t>
            </w:r>
            <w:r w:rsidRPr="00E34812">
              <w:rPr>
                <w:rFonts w:ascii="Verdana" w:eastAsia="Calibri" w:hAnsi="Verdana" w:cs="Arial"/>
                <w:lang w:val="es-ES_tradnl" w:eastAsia="es-ES_tradnl"/>
              </w:rPr>
              <w:t xml:space="preserve">1_2025_09_05_009662 </w:t>
            </w:r>
            <w:r>
              <w:rPr>
                <w:rFonts w:ascii="Verdana" w:eastAsia="Calibri" w:hAnsi="Verdana" w:cs="Arial"/>
                <w:lang w:val="es-ES_tradnl" w:eastAsia="es-ES_tradnl"/>
              </w:rPr>
              <w:t>y</w:t>
            </w:r>
            <w:r w:rsidRPr="00E34812">
              <w:rPr>
                <w:rFonts w:ascii="Verdana" w:eastAsia="Calibri" w:hAnsi="Verdana" w:cs="Arial"/>
                <w:lang w:val="es-ES_tradnl" w:eastAsia="es-ES_tradnl"/>
              </w:rPr>
              <w:t xml:space="preserve"> 1_2025_09_09_009822</w:t>
            </w:r>
            <w:r>
              <w:rPr>
                <w:rFonts w:ascii="Verdana" w:eastAsia="Calibri" w:hAnsi="Verdana" w:cs="Arial"/>
                <w:lang w:val="es-ES_tradnl" w:eastAsia="es-ES_tradnl"/>
              </w:rPr>
              <w:t xml:space="preserve">       –Acumuladas–</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1E907C7" w14:textId="77777777" w:rsidR="0036004A" w:rsidRPr="00593A5F" w:rsidRDefault="0036004A" w:rsidP="0036004A">
      <w:pPr>
        <w:spacing w:after="0" w:line="240" w:lineRule="auto"/>
        <w:jc w:val="both"/>
        <w:rPr>
          <w:rFonts w:ascii="Verdana" w:eastAsia="Calibri" w:hAnsi="Verdana" w:cs="Arial"/>
          <w:color w:val="000000"/>
          <w:lang w:val="es-ES_tradnl" w:eastAsia="es-ES_tradnl"/>
        </w:rPr>
      </w:pPr>
    </w:p>
    <w:p w14:paraId="33DC059B" w14:textId="77777777" w:rsidR="0036004A" w:rsidRPr="00593A5F" w:rsidRDefault="0036004A" w:rsidP="0036004A">
      <w:pPr>
        <w:spacing w:after="0" w:line="240" w:lineRule="auto"/>
        <w:jc w:val="both"/>
        <w:rPr>
          <w:rFonts w:ascii="Verdana" w:eastAsia="Calibri" w:hAnsi="Verdana" w:cs="Arial"/>
          <w:color w:val="000000"/>
          <w:lang w:val="es-ES_tradnl" w:eastAsia="es-ES_tradnl"/>
        </w:rPr>
      </w:pPr>
    </w:p>
    <w:p w14:paraId="1ACFDA83" w14:textId="77777777" w:rsidR="0036004A" w:rsidRPr="008E6AD9" w:rsidRDefault="0036004A" w:rsidP="0036004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DE39CB">
        <w:rPr>
          <w:rFonts w:ascii="Verdana" w:eastAsia="Calibri" w:hAnsi="Verdana" w:cs="Arial"/>
          <w:lang w:val="es-ES" w:eastAsia="es-ES"/>
        </w:rPr>
        <w:t>Camacho Idárraga</w:t>
      </w:r>
      <w:r w:rsidRPr="008E6AD9">
        <w:rPr>
          <w:rFonts w:ascii="Verdana" w:eastAsia="Calibri" w:hAnsi="Verdana" w:cs="Arial"/>
          <w:lang w:val="es-ES" w:eastAsia="es-ES"/>
        </w:rPr>
        <w:t xml:space="preserve">: </w:t>
      </w:r>
    </w:p>
    <w:p w14:paraId="32FE86D8" w14:textId="77777777" w:rsidR="0036004A" w:rsidRDefault="0036004A" w:rsidP="0036004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987C93C" w14:textId="77777777" w:rsidR="0036004A" w:rsidRPr="00593A5F" w:rsidRDefault="0036004A" w:rsidP="0036004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s 5 y 8 de septiembre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solicita lo siguiente:</w:t>
      </w:r>
      <w:r w:rsidRPr="008E6AD9">
        <w:rPr>
          <w:rFonts w:ascii="Verdana" w:eastAsia="Calibri" w:hAnsi="Verdana" w:cs="Arial"/>
          <w:lang w:val="es-ES" w:eastAsia="es-ES"/>
        </w:rPr>
        <w:t xml:space="preserve"> </w:t>
      </w:r>
    </w:p>
    <w:p w14:paraId="193FE88D" w14:textId="77777777" w:rsidR="0036004A" w:rsidRPr="00272A7B" w:rsidRDefault="0036004A" w:rsidP="0036004A">
      <w:pPr>
        <w:pStyle w:val="Prrafodelista"/>
        <w:tabs>
          <w:tab w:val="left" w:pos="142"/>
          <w:tab w:val="left" w:pos="284"/>
        </w:tabs>
        <w:spacing w:after="0" w:line="276" w:lineRule="auto"/>
        <w:ind w:left="0"/>
        <w:jc w:val="both"/>
        <w:rPr>
          <w:rFonts w:ascii="Verdana" w:eastAsia="Century Gothic" w:hAnsi="Verdana" w:cs="Century Gothic"/>
          <w:b/>
          <w:bCs/>
        </w:rPr>
      </w:pPr>
    </w:p>
    <w:p w14:paraId="43C93653" w14:textId="77777777" w:rsidR="0036004A" w:rsidRPr="00D00FF6" w:rsidRDefault="0036004A" w:rsidP="0036004A">
      <w:pPr>
        <w:spacing w:after="120" w:line="240" w:lineRule="auto"/>
        <w:ind w:left="709" w:right="709"/>
        <w:jc w:val="both"/>
        <w:rPr>
          <w:rFonts w:ascii="Verdana" w:eastAsia="Century Gothic" w:hAnsi="Verdana" w:cs="Century Gothic"/>
          <w:sz w:val="21"/>
          <w:szCs w:val="21"/>
          <w:lang w:val="es-ES"/>
        </w:rPr>
      </w:pPr>
      <w:r w:rsidRPr="00D00FF6">
        <w:rPr>
          <w:rFonts w:ascii="Verdana" w:eastAsia="Century Gothic" w:hAnsi="Verdana" w:cs="Century Gothic"/>
          <w:sz w:val="21"/>
          <w:szCs w:val="21"/>
          <w:lang w:val="es-ES"/>
        </w:rPr>
        <w:lastRenderedPageBreak/>
        <w:t>1.</w:t>
      </w:r>
      <w:r>
        <w:rPr>
          <w:rFonts w:ascii="Verdana" w:eastAsia="Century Gothic" w:hAnsi="Verdana" w:cs="Century Gothic"/>
          <w:sz w:val="21"/>
          <w:szCs w:val="21"/>
          <w:lang w:val="es-ES"/>
        </w:rPr>
        <w:t xml:space="preserve"> “</w:t>
      </w:r>
      <w:r w:rsidRPr="008D28EC">
        <w:rPr>
          <w:rFonts w:ascii="Verdana" w:eastAsia="Century Gothic" w:hAnsi="Verdana" w:cs="Century Gothic"/>
          <w:sz w:val="21"/>
          <w:szCs w:val="21"/>
          <w:lang w:val="es-ES"/>
        </w:rPr>
        <w:t>Suministrar de manera comedida, información sobre la relación de procesos/contratos de 2020 a 2025 con estado: cancelado, desierto, revocado, terminado anticipadamente y motivo</w:t>
      </w:r>
      <w:r>
        <w:rPr>
          <w:rFonts w:ascii="Verdana" w:eastAsia="Century Gothic" w:hAnsi="Verdana" w:cs="Century Gothic"/>
          <w:sz w:val="21"/>
          <w:szCs w:val="21"/>
          <w:lang w:val="es-ES"/>
        </w:rPr>
        <w:t>”</w:t>
      </w:r>
      <w:r w:rsidRPr="008D28EC">
        <w:rPr>
          <w:rFonts w:ascii="Verdana" w:eastAsia="Century Gothic" w:hAnsi="Verdana" w:cs="Century Gothic"/>
          <w:sz w:val="21"/>
          <w:szCs w:val="21"/>
          <w:lang w:val="es-ES"/>
        </w:rPr>
        <w:t>.</w:t>
      </w:r>
    </w:p>
    <w:p w14:paraId="1935E479" w14:textId="77777777" w:rsidR="0036004A" w:rsidRPr="00D00FF6" w:rsidRDefault="0036004A" w:rsidP="0036004A">
      <w:pPr>
        <w:spacing w:after="120" w:line="240" w:lineRule="auto"/>
        <w:ind w:left="709" w:right="709"/>
        <w:jc w:val="both"/>
        <w:rPr>
          <w:rFonts w:ascii="Verdana" w:eastAsia="Century Gothic" w:hAnsi="Verdana" w:cs="Century Gothic"/>
          <w:sz w:val="21"/>
          <w:szCs w:val="21"/>
          <w:lang w:val="es-ES"/>
        </w:rPr>
      </w:pPr>
      <w:r w:rsidRPr="00D00FF6">
        <w:rPr>
          <w:rFonts w:ascii="Verdana" w:eastAsia="Century Gothic" w:hAnsi="Verdana" w:cs="Century Gothic"/>
          <w:sz w:val="21"/>
          <w:szCs w:val="21"/>
          <w:lang w:val="es-ES"/>
        </w:rPr>
        <w:t xml:space="preserve">2. </w:t>
      </w:r>
      <w:r>
        <w:rPr>
          <w:rFonts w:ascii="Verdana" w:eastAsia="Century Gothic" w:hAnsi="Verdana" w:cs="Century Gothic"/>
          <w:sz w:val="21"/>
          <w:szCs w:val="21"/>
          <w:lang w:val="es-ES"/>
        </w:rPr>
        <w:t>“</w:t>
      </w:r>
      <w:r w:rsidRPr="008D28EC">
        <w:rPr>
          <w:rFonts w:ascii="Verdana" w:eastAsia="Century Gothic" w:hAnsi="Verdana" w:cs="Century Gothic"/>
          <w:sz w:val="21"/>
          <w:szCs w:val="21"/>
          <w:lang w:val="es-ES"/>
        </w:rPr>
        <w:t>Suministrar de manera comedida, información sobre el registro de inhabilidades</w:t>
      </w:r>
      <w:r>
        <w:rPr>
          <w:rFonts w:ascii="Verdana" w:eastAsia="Century Gothic" w:hAnsi="Verdana" w:cs="Century Gothic"/>
          <w:sz w:val="21"/>
          <w:szCs w:val="21"/>
          <w:lang w:val="es-ES"/>
        </w:rPr>
        <w:t xml:space="preserve"> </w:t>
      </w:r>
      <w:r w:rsidRPr="008D28EC">
        <w:rPr>
          <w:rFonts w:ascii="Verdana" w:eastAsia="Century Gothic" w:hAnsi="Verdana" w:cs="Century Gothic"/>
          <w:sz w:val="21"/>
          <w:szCs w:val="21"/>
          <w:lang w:val="es-ES"/>
        </w:rPr>
        <w:t>impuestas por sanciones penales/disciplinarias a servidores públicos relacionados con</w:t>
      </w:r>
      <w:r>
        <w:rPr>
          <w:rFonts w:ascii="Verdana" w:eastAsia="Century Gothic" w:hAnsi="Verdana" w:cs="Century Gothic"/>
          <w:sz w:val="21"/>
          <w:szCs w:val="21"/>
          <w:lang w:val="es-ES"/>
        </w:rPr>
        <w:t xml:space="preserve"> </w:t>
      </w:r>
      <w:r w:rsidRPr="008D28EC">
        <w:rPr>
          <w:rFonts w:ascii="Verdana" w:eastAsia="Century Gothic" w:hAnsi="Verdana" w:cs="Century Gothic"/>
          <w:sz w:val="21"/>
          <w:szCs w:val="21"/>
          <w:lang w:val="es-ES"/>
        </w:rPr>
        <w:t>contratación, en específico por delito del art. 410 CP.</w:t>
      </w:r>
      <w:r>
        <w:rPr>
          <w:rFonts w:ascii="Verdana" w:eastAsia="Century Gothic" w:hAnsi="Verdana" w:cs="Century Gothic"/>
          <w:sz w:val="21"/>
          <w:szCs w:val="21"/>
          <w:lang w:val="es-ES"/>
        </w:rPr>
        <w:t xml:space="preserve"> </w:t>
      </w:r>
      <w:r w:rsidRPr="008D28EC">
        <w:rPr>
          <w:rFonts w:ascii="Verdana" w:eastAsia="Century Gothic" w:hAnsi="Verdana" w:cs="Century Gothic"/>
          <w:sz w:val="21"/>
          <w:szCs w:val="21"/>
          <w:lang w:val="es-ES"/>
        </w:rPr>
        <w:t>Información: Tipo de sanción, vigencia, entidad</w:t>
      </w:r>
      <w:r>
        <w:rPr>
          <w:rFonts w:ascii="Verdana" w:eastAsia="Century Gothic" w:hAnsi="Verdana" w:cs="Century Gothic"/>
          <w:sz w:val="21"/>
          <w:szCs w:val="21"/>
          <w:lang w:val="es-ES"/>
        </w:rPr>
        <w:t>”</w:t>
      </w:r>
      <w:r w:rsidRPr="008D28EC">
        <w:rPr>
          <w:rFonts w:ascii="Verdana" w:eastAsia="Century Gothic" w:hAnsi="Verdana" w:cs="Century Gothic"/>
          <w:sz w:val="21"/>
          <w:szCs w:val="21"/>
          <w:lang w:val="es-ES"/>
        </w:rPr>
        <w:t>.</w:t>
      </w:r>
    </w:p>
    <w:p w14:paraId="438AB306" w14:textId="77777777" w:rsidR="0036004A" w:rsidRPr="005B7798" w:rsidRDefault="0036004A" w:rsidP="0036004A">
      <w:pPr>
        <w:spacing w:after="0" w:line="240" w:lineRule="auto"/>
        <w:ind w:left="709" w:right="709"/>
        <w:jc w:val="both"/>
        <w:rPr>
          <w:rFonts w:ascii="Verdana" w:eastAsia="Century Gothic" w:hAnsi="Verdana" w:cs="Century Gothic"/>
          <w:sz w:val="21"/>
          <w:szCs w:val="21"/>
          <w:lang w:val="es-ES"/>
        </w:rPr>
      </w:pPr>
      <w:r w:rsidRPr="00D00FF6">
        <w:rPr>
          <w:rFonts w:ascii="Verdana" w:eastAsia="Century Gothic" w:hAnsi="Verdana" w:cs="Century Gothic"/>
          <w:sz w:val="21"/>
          <w:szCs w:val="21"/>
          <w:lang w:val="es-ES"/>
        </w:rPr>
        <w:t xml:space="preserve">3. </w:t>
      </w:r>
      <w:r>
        <w:rPr>
          <w:rFonts w:ascii="Verdana" w:eastAsia="Century Gothic" w:hAnsi="Verdana" w:cs="Century Gothic"/>
          <w:sz w:val="21"/>
          <w:szCs w:val="21"/>
          <w:lang w:val="es-ES"/>
        </w:rPr>
        <w:t>“</w:t>
      </w:r>
      <w:r w:rsidRPr="008D28EC">
        <w:rPr>
          <w:rFonts w:ascii="Verdana" w:eastAsia="Century Gothic" w:hAnsi="Verdana" w:cs="Century Gothic"/>
          <w:sz w:val="21"/>
          <w:szCs w:val="21"/>
          <w:lang w:val="es-ES"/>
        </w:rPr>
        <w:t>Rendir concepto técnico y jurídico sobre el delito de contrato sin cumplimiento de requisitos legales (art. 410) y su remisión a la ley 80 de 1993, estableciendo los compromisos de la agencia en minimizar el impacto de dicho delito en las entidades públicas bajo sus funciones de fomento e implementación a la eficiencia, transparencia, competitividad</w:t>
      </w:r>
      <w:r>
        <w:rPr>
          <w:rFonts w:ascii="Verdana" w:eastAsia="Century Gothic" w:hAnsi="Verdana" w:cs="Century Gothic"/>
          <w:sz w:val="21"/>
          <w:szCs w:val="21"/>
          <w:lang w:val="es-ES"/>
        </w:rPr>
        <w:t>”</w:t>
      </w:r>
      <w:r w:rsidRPr="00D00FF6">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3B02C871" w14:textId="77777777" w:rsidR="0036004A" w:rsidRDefault="0036004A" w:rsidP="0036004A">
      <w:pPr>
        <w:spacing w:after="0" w:line="276" w:lineRule="auto"/>
        <w:jc w:val="both"/>
        <w:rPr>
          <w:rFonts w:ascii="Verdana" w:eastAsia="Calibri" w:hAnsi="Verdana" w:cs="Arial"/>
          <w:color w:val="000000"/>
          <w:lang w:val="es-ES" w:eastAsia="es-ES"/>
        </w:rPr>
      </w:pPr>
    </w:p>
    <w:p w14:paraId="74D07A07" w14:textId="77777777" w:rsidR="0036004A" w:rsidRDefault="0036004A" w:rsidP="0036004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mediante oficios </w:t>
      </w:r>
      <w:r w:rsidRPr="00DF5F14">
        <w:rPr>
          <w:rFonts w:ascii="Verdana" w:eastAsia="Calibri" w:hAnsi="Verdana" w:cs="Arial"/>
          <w:color w:val="000000"/>
          <w:lang w:val="es-ES" w:eastAsia="es-ES"/>
        </w:rPr>
        <w:t>2_2025_09_15_009628</w:t>
      </w:r>
      <w:r>
        <w:rPr>
          <w:rFonts w:ascii="Verdana" w:eastAsia="Calibri" w:hAnsi="Verdana" w:cs="Arial"/>
          <w:color w:val="000000"/>
          <w:lang w:val="es-ES" w:eastAsia="es-ES"/>
        </w:rPr>
        <w:t xml:space="preserve">, </w:t>
      </w:r>
      <w:r w:rsidRPr="00DF5F14">
        <w:rPr>
          <w:rFonts w:ascii="Verdana" w:eastAsia="Calibri" w:hAnsi="Verdana" w:cs="Arial"/>
          <w:color w:val="000000"/>
          <w:lang w:val="es-ES" w:eastAsia="es-ES"/>
        </w:rPr>
        <w:t>2_2025_09_15_009629</w:t>
      </w:r>
      <w:r>
        <w:rPr>
          <w:rFonts w:ascii="Verdana" w:eastAsia="Calibri" w:hAnsi="Verdana" w:cs="Arial"/>
          <w:color w:val="000000"/>
          <w:lang w:val="es-ES" w:eastAsia="es-ES"/>
        </w:rPr>
        <w:t xml:space="preserve">, </w:t>
      </w:r>
      <w:r w:rsidRPr="00DF5F14">
        <w:rPr>
          <w:rFonts w:ascii="Verdana" w:eastAsia="Calibri" w:hAnsi="Verdana" w:cs="Arial"/>
          <w:color w:val="000000"/>
          <w:lang w:val="es-ES" w:eastAsia="es-ES"/>
        </w:rPr>
        <w:t>2_2025_09_15_009658</w:t>
      </w:r>
      <w:r>
        <w:rPr>
          <w:rFonts w:ascii="Verdana" w:eastAsia="Calibri" w:hAnsi="Verdana" w:cs="Arial"/>
          <w:color w:val="000000"/>
          <w:lang w:val="es-ES" w:eastAsia="es-ES"/>
        </w:rPr>
        <w:t xml:space="preserve"> y </w:t>
      </w:r>
      <w:r w:rsidRPr="00DF5F14">
        <w:rPr>
          <w:rFonts w:ascii="Verdana" w:eastAsia="Calibri" w:hAnsi="Verdana" w:cs="Arial"/>
          <w:color w:val="000000"/>
          <w:lang w:val="es-ES" w:eastAsia="es-ES"/>
        </w:rPr>
        <w:t>2_2025_09_15_009659</w:t>
      </w:r>
      <w:r>
        <w:rPr>
          <w:rFonts w:ascii="Verdana" w:eastAsia="Calibri" w:hAnsi="Verdana" w:cs="Arial"/>
          <w:color w:val="000000"/>
          <w:lang w:val="es-ES" w:eastAsia="es-ES"/>
        </w:rPr>
        <w:t xml:space="preserve"> del 15 de septiembre de 2025, la Agencia –conforme al artículo 21 de la Ley 1437 de 2011– remitió la pregunta del numeral 2 a la </w:t>
      </w:r>
      <w:proofErr w:type="gramStart"/>
      <w:r>
        <w:rPr>
          <w:rFonts w:ascii="Verdana" w:eastAsia="Calibri" w:hAnsi="Verdana" w:cs="Arial"/>
          <w:color w:val="000000"/>
          <w:lang w:val="es-ES" w:eastAsia="es-ES"/>
        </w:rPr>
        <w:t>Fiscalía General</w:t>
      </w:r>
      <w:proofErr w:type="gramEnd"/>
      <w:r>
        <w:rPr>
          <w:rFonts w:ascii="Verdana" w:eastAsia="Calibri" w:hAnsi="Verdana" w:cs="Arial"/>
          <w:color w:val="000000"/>
          <w:lang w:val="es-ES" w:eastAsia="es-ES"/>
        </w:rPr>
        <w:t xml:space="preserve"> de la Nación y la Procuraduría General de la Nación. Por tanto, lo relacionado con la información sobre las sanciones penales y disciplinarias impuestas a los servidores públicos será resuelto por las autoridades competentes.</w:t>
      </w:r>
    </w:p>
    <w:p w14:paraId="7CE65CB8" w14:textId="77777777" w:rsidR="0036004A" w:rsidRPr="00A652FF" w:rsidRDefault="0036004A" w:rsidP="0036004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Como el presente documento se enfoca en las preguntas de los numerales 1 y 3, </w:t>
      </w:r>
      <w:r w:rsidRPr="00593A5F">
        <w:rPr>
          <w:rFonts w:ascii="Verdana" w:eastAsia="Calibri" w:hAnsi="Verdana" w:cs="Arial"/>
          <w:color w:val="000000"/>
          <w:lang w:val="es-ES" w:eastAsia="es-ES"/>
        </w:rPr>
        <w:t>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C7FFA8D" w14:textId="77777777" w:rsidR="0036004A" w:rsidRDefault="0036004A" w:rsidP="0036004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específicas que la </w:t>
      </w:r>
      <w:r>
        <w:rPr>
          <w:rFonts w:ascii="Verdana" w:eastAsia="Calibri" w:hAnsi="Verdana" w:cs="Arial"/>
          <w:color w:val="000000"/>
          <w:lang w:val="es-ES" w:eastAsia="es-ES"/>
        </w:rPr>
        <w:lastRenderedPageBreak/>
        <w:t>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4BBC8DE" w14:textId="77777777" w:rsidR="0036004A" w:rsidRPr="00593A5F" w:rsidRDefault="0036004A" w:rsidP="0036004A">
      <w:pPr>
        <w:spacing w:after="0" w:line="276" w:lineRule="auto"/>
        <w:ind w:firstLine="709"/>
        <w:jc w:val="both"/>
        <w:rPr>
          <w:rFonts w:ascii="Verdana" w:eastAsia="Calibri" w:hAnsi="Verdana" w:cs="Arial"/>
          <w:color w:val="000000"/>
          <w:lang w:val="es-ES" w:eastAsia="es-ES"/>
        </w:rPr>
      </w:pPr>
    </w:p>
    <w:p w14:paraId="7315B7B9" w14:textId="77777777" w:rsidR="0036004A" w:rsidRPr="00593A5F" w:rsidRDefault="0036004A" w:rsidP="0036004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23363490" w14:textId="77777777" w:rsidR="0036004A" w:rsidRPr="00593A5F" w:rsidRDefault="0036004A" w:rsidP="0036004A">
      <w:pPr>
        <w:tabs>
          <w:tab w:val="left" w:pos="426"/>
        </w:tabs>
        <w:spacing w:after="0" w:line="276" w:lineRule="auto"/>
        <w:jc w:val="both"/>
        <w:rPr>
          <w:rFonts w:ascii="Verdana" w:eastAsia="Century Gothic" w:hAnsi="Verdana" w:cs="Century Gothic"/>
          <w:lang w:val="es-ES"/>
        </w:rPr>
      </w:pPr>
    </w:p>
    <w:p w14:paraId="718B31A1" w14:textId="77777777" w:rsidR="0036004A" w:rsidRPr="00593A5F" w:rsidRDefault="0036004A" w:rsidP="0036004A">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s</w:t>
      </w:r>
      <w:r w:rsidRPr="00906BE9">
        <w:rPr>
          <w:rFonts w:ascii="Verdana" w:eastAsia="Century Gothic" w:hAnsi="Verdana" w:cs="Century Gothic"/>
        </w:rPr>
        <w:t xml:space="preserve"> 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¿cuál es el marco normativo del delito de contrato sin cumplimiento de los requisitos legales respecto a su integración con las normas del sistema de compras públicas? y </w:t>
      </w:r>
      <w:proofErr w:type="spellStart"/>
      <w:r>
        <w:rPr>
          <w:rFonts w:ascii="Verdana" w:eastAsia="Century Gothic" w:hAnsi="Verdana" w:cs="Century Gothic"/>
        </w:rPr>
        <w:t>ii</w:t>
      </w:r>
      <w:proofErr w:type="spellEnd"/>
      <w:r>
        <w:rPr>
          <w:rFonts w:ascii="Verdana" w:eastAsia="Century Gothic" w:hAnsi="Verdana" w:cs="Century Gothic"/>
        </w:rPr>
        <w:t xml:space="preserve">) ¿la Agencia juega algún papel en la prevención de este delito o, por el contrario, es responsabilidad de las autoridades judiciales?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3FBEBF9" w14:textId="77777777" w:rsidR="0036004A" w:rsidRPr="004B140F" w:rsidRDefault="0036004A" w:rsidP="0036004A">
      <w:pPr>
        <w:spacing w:after="0" w:line="276" w:lineRule="auto"/>
        <w:jc w:val="both"/>
        <w:rPr>
          <w:rFonts w:ascii="Verdana" w:eastAsia="Calibri" w:hAnsi="Verdana" w:cs="Arial"/>
          <w:color w:val="7030A0"/>
        </w:rPr>
      </w:pPr>
    </w:p>
    <w:p w14:paraId="729853F2" w14:textId="77777777" w:rsidR="0036004A" w:rsidRPr="00593A5F" w:rsidRDefault="0036004A" w:rsidP="0036004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58D9565C" w14:textId="77777777" w:rsidR="0036004A" w:rsidRPr="00593A5F" w:rsidRDefault="0036004A" w:rsidP="0036004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6004A" w:rsidRPr="00593A5F" w14:paraId="60DE1D2A" w14:textId="77777777">
        <w:trPr>
          <w:jc w:val="center"/>
        </w:trPr>
        <w:tc>
          <w:tcPr>
            <w:tcW w:w="8828" w:type="dxa"/>
          </w:tcPr>
          <w:p w14:paraId="496DCF05" w14:textId="77777777" w:rsidR="003627AA" w:rsidRDefault="0036004A">
            <w:pPr>
              <w:spacing w:after="120" w:line="276" w:lineRule="auto"/>
              <w:jc w:val="both"/>
              <w:rPr>
                <w:rFonts w:ascii="Verdana" w:eastAsia="Calibri" w:hAnsi="Verdana" w:cs="Times New Roman"/>
                <w:iCs/>
                <w:lang w:val="es-ES"/>
              </w:rPr>
            </w:pPr>
            <w:bookmarkStart w:id="0" w:name="_Hlk171694685"/>
            <w:r w:rsidRPr="00C41B56">
              <w:rPr>
                <w:rFonts w:ascii="Verdana" w:eastAsia="Calibri" w:hAnsi="Verdana" w:cs="Times New Roman"/>
                <w:i/>
                <w:lang w:val="es-ES"/>
              </w:rPr>
              <w:t>Por un lado</w:t>
            </w:r>
            <w:r>
              <w:rPr>
                <w:rFonts w:ascii="Verdana" w:eastAsia="Calibri" w:hAnsi="Verdana" w:cs="Times New Roman"/>
                <w:iCs/>
                <w:lang w:val="es-ES"/>
              </w:rPr>
              <w:t xml:space="preserve">, respecto a “[…] </w:t>
            </w:r>
            <w:r w:rsidRPr="00301847">
              <w:rPr>
                <w:rFonts w:ascii="Verdana" w:eastAsia="Calibri" w:hAnsi="Verdana" w:cs="Times New Roman"/>
                <w:iCs/>
                <w:lang w:val="es-ES"/>
              </w:rPr>
              <w:t>la relación de procesos/contratos de 2020 a 2025 con estado: cancelado, desierto, revocado, terminado anticipadamente y motivo</w:t>
            </w:r>
            <w:r>
              <w:rPr>
                <w:rFonts w:ascii="Verdana" w:eastAsia="Calibri" w:hAnsi="Verdana" w:cs="Times New Roman"/>
                <w:iCs/>
                <w:lang w:val="es-ES"/>
              </w:rPr>
              <w:t xml:space="preserve">”, se remite el insumo facilitado por la </w:t>
            </w:r>
            <w:r w:rsidRPr="00C41B56">
              <w:rPr>
                <w:rFonts w:ascii="Verdana" w:eastAsia="Calibri" w:hAnsi="Verdana" w:cs="Times New Roman"/>
                <w:iCs/>
                <w:lang w:val="es-ES"/>
              </w:rPr>
              <w:t>Subdirección de Estudios de Mercado y Abastecimiento Estratégico</w:t>
            </w:r>
            <w:r>
              <w:rPr>
                <w:rFonts w:ascii="Verdana" w:eastAsia="Calibri" w:hAnsi="Verdana" w:cs="Times New Roman"/>
                <w:iCs/>
                <w:lang w:val="es-ES"/>
              </w:rPr>
              <w:t xml:space="preserve"> junto con la tabla en formato Excel que contiene la información solicitada. Ello conforme a los dos (2) documentos que se anexan al presente oficio. </w:t>
            </w:r>
          </w:p>
          <w:p w14:paraId="24D2F365" w14:textId="0068A425" w:rsidR="0036004A" w:rsidRPr="00C41B56" w:rsidRDefault="0036004A" w:rsidP="00FA5641">
            <w:pPr>
              <w:spacing w:after="120" w:line="276" w:lineRule="auto"/>
              <w:ind w:firstLine="709"/>
              <w:jc w:val="both"/>
              <w:rPr>
                <w:rFonts w:ascii="Verdana" w:eastAsia="Calibri" w:hAnsi="Verdana" w:cs="Times New Roman"/>
                <w:iCs/>
                <w:lang w:val="es-ES"/>
              </w:rPr>
            </w:pPr>
            <w:r w:rsidRPr="00C41B56">
              <w:rPr>
                <w:rFonts w:ascii="Verdana" w:eastAsia="Calibri" w:hAnsi="Verdana" w:cs="Times New Roman"/>
                <w:i/>
                <w:lang w:val="es-ES"/>
              </w:rPr>
              <w:t>Por otra parte</w:t>
            </w:r>
            <w:r>
              <w:rPr>
                <w:rFonts w:ascii="Verdana" w:eastAsia="Calibri" w:hAnsi="Verdana" w:cs="Times New Roman"/>
                <w:iCs/>
                <w:lang w:val="es-ES"/>
              </w:rPr>
              <w:t>, en lo relacionado con el concepto técnico y jurídico, la Agencia estima lo siguiente:</w:t>
            </w:r>
          </w:p>
          <w:p w14:paraId="4BD039B7" w14:textId="77777777" w:rsidR="0036004A" w:rsidRDefault="0036004A">
            <w:pPr>
              <w:spacing w:after="120" w:line="276" w:lineRule="auto"/>
              <w:ind w:firstLine="737"/>
              <w:jc w:val="both"/>
              <w:rPr>
                <w:rFonts w:ascii="Verdana" w:hAnsi="Verdana"/>
                <w:color w:val="000000"/>
              </w:rPr>
            </w:pPr>
            <w:r>
              <w:rPr>
                <w:rFonts w:ascii="Verdana" w:eastAsia="Calibri" w:hAnsi="Verdana" w:cs="Times New Roman"/>
                <w:iCs/>
                <w:lang w:val="es-ES"/>
              </w:rPr>
              <w:t>Conforme a la interpretación general de las normas del sistema de compras públicas,</w:t>
            </w:r>
            <w:r w:rsidRPr="00185EE9">
              <w:rPr>
                <w:rFonts w:ascii="Verdana" w:eastAsia="Calibri" w:hAnsi="Verdana" w:cs="Times New Roman"/>
                <w:iCs/>
                <w:lang w:val="es-ES"/>
              </w:rPr>
              <w:t xml:space="preserve"> </w:t>
            </w:r>
            <w:r>
              <w:rPr>
                <w:rFonts w:ascii="Verdana" w:eastAsia="Calibri" w:hAnsi="Verdana" w:cs="Times New Roman"/>
                <w:iCs/>
                <w:lang w:val="es-ES"/>
              </w:rPr>
              <w:t xml:space="preserve">de acuerdo con el artículo 410 del Código Penal, </w:t>
            </w:r>
            <w:r w:rsidRPr="006305DD">
              <w:rPr>
                <w:rFonts w:ascii="Verdana" w:eastAsia="Calibri" w:hAnsi="Verdana" w:cs="Times New Roman"/>
                <w:iCs/>
                <w:lang w:val="es-ES"/>
              </w:rPr>
              <w:t>el delito de contrato sin cumplimiento de requisitos legales</w:t>
            </w:r>
            <w:r>
              <w:rPr>
                <w:rFonts w:ascii="Verdana" w:eastAsia="Calibri" w:hAnsi="Verdana" w:cs="Times New Roman"/>
                <w:iCs/>
                <w:lang w:val="es-ES"/>
              </w:rPr>
              <w:t xml:space="preserve"> se tipifica cuando un servidor público, </w:t>
            </w:r>
            <w:r w:rsidRPr="003773FC">
              <w:rPr>
                <w:rFonts w:ascii="Verdana" w:hAnsi="Verdana"/>
                <w:color w:val="000000"/>
              </w:rPr>
              <w:t>por razón del ejercicio de sus funciones</w:t>
            </w:r>
            <w:r>
              <w:rPr>
                <w:rFonts w:ascii="Verdana" w:hAnsi="Verdana"/>
                <w:color w:val="000000"/>
              </w:rPr>
              <w:t xml:space="preserve">, </w:t>
            </w:r>
            <w:r w:rsidRPr="0076499A">
              <w:rPr>
                <w:rFonts w:ascii="Verdana" w:hAnsi="Verdana"/>
                <w:color w:val="000000"/>
              </w:rPr>
              <w:t>tramita, celebra o liquida contratos sin cumplimiento de los requisitos legales esenciales</w:t>
            </w:r>
            <w:r>
              <w:rPr>
                <w:rFonts w:ascii="Verdana" w:hAnsi="Verdana"/>
                <w:color w:val="000000"/>
              </w:rPr>
              <w:t xml:space="preserve">. </w:t>
            </w:r>
            <w:r w:rsidRPr="0076499A">
              <w:rPr>
                <w:rFonts w:ascii="Verdana" w:hAnsi="Verdana"/>
                <w:color w:val="000000"/>
              </w:rPr>
              <w:t xml:space="preserve">Los verbos rectores incorporan un elemento normativo, pues no es el incumplimiento de cualquier requisito el que da lugar a la tipicidad de la conducta, sino la preterición de aquellos que tengan naturaleza esencial. </w:t>
            </w:r>
          </w:p>
          <w:p w14:paraId="0E42FB06" w14:textId="77777777" w:rsidR="0036004A" w:rsidRDefault="0036004A">
            <w:pPr>
              <w:spacing w:after="120" w:line="276" w:lineRule="auto"/>
              <w:ind w:firstLine="737"/>
              <w:jc w:val="both"/>
              <w:rPr>
                <w:rFonts w:ascii="Verdana" w:hAnsi="Verdana"/>
                <w:color w:val="000000"/>
              </w:rPr>
            </w:pPr>
            <w:r w:rsidRPr="0076499A">
              <w:rPr>
                <w:rFonts w:ascii="Verdana" w:hAnsi="Verdana"/>
                <w:color w:val="000000"/>
              </w:rPr>
              <w:t xml:space="preserve">Ello hace de la norma en comento un tipo penal en blanco, por lo que es necesario remitirse a las disposiciones del sistema de compras públicas para determinar si la conducta está acorde al principio de legalidad. Éstas serán las de la Ley 80 de 1993 para las entidades sometidas al EGCAP; las del derecho civil y comercial, sin perjuicio de lo previsto en el artículo 13 de la Ley 1150 de 2007, para las entidades exceptuadas; y las Decreto 092 de 2017, </w:t>
            </w:r>
            <w:r w:rsidRPr="0076499A">
              <w:rPr>
                <w:rFonts w:ascii="Verdana" w:hAnsi="Verdana"/>
                <w:color w:val="000000"/>
              </w:rPr>
              <w:lastRenderedPageBreak/>
              <w:t>tratándose del régimen especial para la contratación con entidades privadas sin ánimo de lucro</w:t>
            </w:r>
            <w:r>
              <w:rPr>
                <w:rFonts w:ascii="Verdana" w:hAnsi="Verdana"/>
                <w:color w:val="000000"/>
              </w:rPr>
              <w:t>.</w:t>
            </w:r>
          </w:p>
          <w:p w14:paraId="05D84548" w14:textId="77777777" w:rsidR="00DA77C3" w:rsidRDefault="00DA77C3" w:rsidP="00DA77C3">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 xml:space="preserve">En todo caso, la Fiscalía General de la Nación y la </w:t>
            </w:r>
            <w:r w:rsidRPr="00E4649D">
              <w:rPr>
                <w:rFonts w:ascii="Verdana" w:eastAsia="Calibri" w:hAnsi="Verdana" w:cs="Arial"/>
                <w:bCs/>
                <w:color w:val="000000" w:themeColor="text1"/>
              </w:rPr>
              <w:t>Oficina de las Naciones Unidas</w:t>
            </w:r>
            <w:r>
              <w:rPr>
                <w:rFonts w:ascii="Verdana" w:eastAsia="Calibri" w:hAnsi="Verdana" w:cs="Arial"/>
                <w:bCs/>
                <w:color w:val="000000" w:themeColor="text1"/>
              </w:rPr>
              <w:t xml:space="preserve"> </w:t>
            </w:r>
            <w:r w:rsidRPr="00E4649D">
              <w:rPr>
                <w:rFonts w:ascii="Verdana" w:eastAsia="Calibri" w:hAnsi="Verdana" w:cs="Arial"/>
                <w:bCs/>
                <w:color w:val="000000" w:themeColor="text1"/>
              </w:rPr>
              <w:t>contra la Droga y el Delito</w:t>
            </w:r>
            <w:r>
              <w:rPr>
                <w:rFonts w:ascii="Verdana" w:eastAsia="Calibri" w:hAnsi="Verdana" w:cs="Arial"/>
                <w:bCs/>
                <w:color w:val="000000" w:themeColor="text1"/>
              </w:rPr>
              <w:t xml:space="preserve"> estiman que son formas de corrupción constitutivas de delito, entre otras, las siguientes: i) la elusión de los procedimientos a través del fraccionamiento de contrato, </w:t>
            </w: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el direccionamiento de las adjudicaciones, </w:t>
            </w: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la ejecución de obras sin diseños, </w:t>
            </w: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la ausencia de disponibilidad presupuestal en la apertura del proceso de selección, v) la legalización de hechos cumplidos, vi) la </w:t>
            </w:r>
            <w:r w:rsidRPr="00055436">
              <w:rPr>
                <w:rFonts w:ascii="Verdana" w:eastAsia="Calibri" w:hAnsi="Verdana" w:cs="Arial"/>
                <w:bCs/>
                <w:color w:val="000000" w:themeColor="text1"/>
              </w:rPr>
              <w:t>declaratoria irregular de un estado de paz y salvo</w:t>
            </w:r>
            <w:r>
              <w:rPr>
                <w:rFonts w:ascii="Verdana" w:eastAsia="Calibri" w:hAnsi="Verdana" w:cs="Arial"/>
                <w:bCs/>
                <w:color w:val="000000" w:themeColor="text1"/>
              </w:rPr>
              <w:t xml:space="preserve">, </w:t>
            </w: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el r</w:t>
            </w:r>
            <w:r w:rsidRPr="00B52CE5">
              <w:rPr>
                <w:rFonts w:ascii="Verdana" w:eastAsia="Calibri" w:hAnsi="Verdana" w:cs="Arial"/>
                <w:bCs/>
                <w:color w:val="000000" w:themeColor="text1"/>
              </w:rPr>
              <w:t>econocimiento de sumas de dinero falsamente adeudadas al contratista</w:t>
            </w:r>
            <w:r>
              <w:rPr>
                <w:rFonts w:ascii="Verdana" w:eastAsia="Calibri" w:hAnsi="Verdana" w:cs="Arial"/>
                <w:bCs/>
                <w:color w:val="000000" w:themeColor="text1"/>
              </w:rPr>
              <w:t xml:space="preserve">, etc. </w:t>
            </w:r>
          </w:p>
          <w:p w14:paraId="5F0BC2B1" w14:textId="54210049" w:rsidR="0036004A" w:rsidRPr="002C0096" w:rsidRDefault="0036004A" w:rsidP="00B1210D">
            <w:pPr>
              <w:spacing w:after="120" w:line="276" w:lineRule="auto"/>
              <w:ind w:firstLine="709"/>
              <w:jc w:val="both"/>
              <w:rPr>
                <w:rFonts w:ascii="Verdana" w:eastAsia="Calibri" w:hAnsi="Verdana" w:cs="Arial"/>
                <w:bCs/>
                <w:lang w:val="es-ES_tradnl"/>
              </w:rPr>
            </w:pPr>
            <w:r>
              <w:rPr>
                <w:rFonts w:ascii="Verdana" w:hAnsi="Verdana"/>
                <w:color w:val="000000"/>
              </w:rPr>
              <w:t>No obstante, pese a la competencia consultiva de la ANCP – CCE, ninguna norma del ordenamiento jurídico le asigna atribuciones a esta entidad para comprometerse a</w:t>
            </w:r>
            <w:r w:rsidRPr="0011672F">
              <w:rPr>
                <w:rFonts w:ascii="Verdana" w:hAnsi="Verdana"/>
                <w:color w:val="000000"/>
              </w:rPr>
              <w:t xml:space="preserve"> minimizar el impacto </w:t>
            </w:r>
            <w:r>
              <w:rPr>
                <w:rFonts w:ascii="Verdana" w:hAnsi="Verdana"/>
                <w:color w:val="000000"/>
              </w:rPr>
              <w:t>del delito</w:t>
            </w:r>
            <w:r w:rsidRPr="0011672F">
              <w:rPr>
                <w:rFonts w:ascii="Verdana" w:hAnsi="Verdana"/>
                <w:color w:val="000000"/>
              </w:rPr>
              <w:t xml:space="preserve"> </w:t>
            </w:r>
            <w:r>
              <w:rPr>
                <w:rFonts w:ascii="Verdana" w:eastAsia="Calibri" w:hAnsi="Verdana" w:cs="Arial"/>
                <w:lang w:val="es-ES"/>
              </w:rPr>
              <w:t>de contrato sin cumplimiento de requisitos legales en</w:t>
            </w:r>
            <w:r w:rsidRPr="0011672F">
              <w:rPr>
                <w:rFonts w:ascii="Verdana" w:hAnsi="Verdana"/>
                <w:color w:val="000000"/>
              </w:rPr>
              <w:t xml:space="preserve"> las entidades públicas</w:t>
            </w:r>
            <w:r>
              <w:rPr>
                <w:rFonts w:ascii="Verdana" w:hAnsi="Verdana"/>
                <w:color w:val="000000"/>
              </w:rPr>
              <w:t xml:space="preserve">. </w:t>
            </w:r>
            <w:r>
              <w:rPr>
                <w:rFonts w:ascii="Verdana" w:eastAsia="Calibri" w:hAnsi="Verdana" w:cs="Arial"/>
                <w:bCs/>
                <w:lang w:val="es-ES_tradnl"/>
              </w:rPr>
              <w:t>Dentro de este marco, los jueces y fiscales son independientes y autónomos para tipificar la conducta del artículo 410 del Código Penal en función de las circunstancias en que se ejecute la acción punible, sin que la Agencia tenga atribuciones para intervenir al respecto.</w:t>
            </w:r>
            <w:r w:rsidR="004941C4">
              <w:rPr>
                <w:rFonts w:ascii="Verdana" w:eastAsia="Calibri" w:hAnsi="Verdana" w:cs="Arial"/>
                <w:bCs/>
                <w:lang w:val="es-ES_tradnl"/>
              </w:rPr>
              <w:t xml:space="preserve"> </w:t>
            </w:r>
            <w:r w:rsidRPr="00DE39CB">
              <w:rPr>
                <w:rFonts w:ascii="Verdana" w:eastAsia="Calibri" w:hAnsi="Verdana" w:cs="Arial"/>
                <w:bCs/>
                <w:lang w:val="es-ES_tradnl"/>
              </w:rPr>
              <w:t xml:space="preserve">Para efectos del procedimiento penal, el inciso 3 del artículo 226 del Código General del Proceso, normativa a la que remite el artículo 25 de la Ley 906 de 2005, establece expresamente que “No serán admisibles los dictámenes periciales que versen sobre puntos de derecho”. </w:t>
            </w:r>
            <w:r>
              <w:rPr>
                <w:rFonts w:ascii="Verdana" w:eastAsia="Calibri" w:hAnsi="Verdana" w:cs="Arial"/>
                <w:bCs/>
                <w:lang w:val="es-ES_tradnl"/>
              </w:rPr>
              <w:t>En consecuencia</w:t>
            </w:r>
            <w:r w:rsidRPr="00DE39CB">
              <w:rPr>
                <w:rFonts w:ascii="Verdana" w:eastAsia="Calibri" w:hAnsi="Verdana" w:cs="Arial"/>
                <w:bCs/>
                <w:lang w:val="es-ES_tradnl"/>
              </w:rPr>
              <w:t xml:space="preserve">, lo decidido en torno a los procesos </w:t>
            </w:r>
            <w:r>
              <w:rPr>
                <w:rFonts w:ascii="Verdana" w:eastAsia="Calibri" w:hAnsi="Verdana" w:cs="Arial"/>
                <w:bCs/>
                <w:lang w:val="es-ES_tradnl"/>
              </w:rPr>
              <w:t>donde se investigue la presunta comisión del delito de celebración de contrato sin cumplimiento de los requisitos legales</w:t>
            </w:r>
            <w:r w:rsidRPr="00DE39CB">
              <w:rPr>
                <w:rFonts w:ascii="Verdana" w:eastAsia="Calibri" w:hAnsi="Verdana" w:cs="Arial"/>
                <w:bCs/>
                <w:lang w:val="es-ES_tradnl"/>
              </w:rPr>
              <w:t xml:space="preserve"> es responsabilidad única y exclusiva de las instancias judiciales competentes.</w:t>
            </w:r>
          </w:p>
          <w:p w14:paraId="61B9B0D8" w14:textId="4C37CA8F" w:rsidR="00FC6ADC" w:rsidRDefault="00DA77C3" w:rsidP="00B1210D">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Sin perjuicio de lo anterior</w:t>
            </w:r>
            <w:r w:rsidR="00FC6ADC">
              <w:rPr>
                <w:rFonts w:ascii="Verdana" w:eastAsia="Calibri" w:hAnsi="Verdana" w:cs="Arial"/>
                <w:bCs/>
                <w:color w:val="000000" w:themeColor="text1"/>
              </w:rPr>
              <w:t>, en el marco del artículo 3.2 del Decreto Ley 4170 de 2011, esta entidad tiene competencia para “</w:t>
            </w:r>
            <w:r w:rsidR="00B11C22" w:rsidRPr="00B11C22">
              <w:rPr>
                <w:rFonts w:ascii="Verdana" w:eastAsia="Calibri" w:hAnsi="Verdana" w:cs="Arial"/>
                <w:bCs/>
                <w:color w:val="000000" w:themeColor="text1"/>
              </w:rPr>
              <w:t>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w:t>
            </w:r>
            <w:r w:rsidR="00B11C22">
              <w:rPr>
                <w:rFonts w:ascii="Verdana" w:eastAsia="Calibri" w:hAnsi="Verdana" w:cs="Arial"/>
                <w:bCs/>
                <w:color w:val="000000" w:themeColor="text1"/>
              </w:rPr>
              <w:t>”</w:t>
            </w:r>
            <w:r w:rsidR="00B11C22" w:rsidRPr="00B11C22">
              <w:rPr>
                <w:rFonts w:ascii="Verdana" w:eastAsia="Calibri" w:hAnsi="Verdana" w:cs="Arial"/>
                <w:bCs/>
                <w:color w:val="000000" w:themeColor="text1"/>
              </w:rPr>
              <w:t>.</w:t>
            </w:r>
            <w:r w:rsidR="00B11C22">
              <w:rPr>
                <w:rFonts w:ascii="Verdana" w:eastAsia="Calibri" w:hAnsi="Verdana" w:cs="Arial"/>
                <w:bCs/>
                <w:color w:val="000000" w:themeColor="text1"/>
              </w:rPr>
              <w:t xml:space="preserve"> Por ello, </w:t>
            </w:r>
            <w:r w:rsidR="00680ACE">
              <w:rPr>
                <w:rFonts w:ascii="Verdana" w:eastAsia="Calibri" w:hAnsi="Verdana" w:cs="Arial"/>
                <w:bCs/>
                <w:color w:val="000000" w:themeColor="text1"/>
              </w:rPr>
              <w:t>a través de guías, manuales</w:t>
            </w:r>
            <w:r w:rsidR="00F63C9E">
              <w:rPr>
                <w:rFonts w:ascii="Verdana" w:eastAsia="Calibri" w:hAnsi="Verdana" w:cs="Arial"/>
                <w:bCs/>
                <w:color w:val="000000" w:themeColor="text1"/>
              </w:rPr>
              <w:t xml:space="preserve">, circulares, </w:t>
            </w:r>
            <w:r w:rsidR="00680ACE">
              <w:rPr>
                <w:rFonts w:ascii="Verdana" w:eastAsia="Calibri" w:hAnsi="Verdana" w:cs="Arial"/>
                <w:bCs/>
                <w:color w:val="000000" w:themeColor="text1"/>
              </w:rPr>
              <w:t>capacitaciones</w:t>
            </w:r>
            <w:r w:rsidR="00F63C9E">
              <w:rPr>
                <w:rFonts w:ascii="Verdana" w:eastAsia="Calibri" w:hAnsi="Verdana" w:cs="Arial"/>
                <w:bCs/>
                <w:color w:val="000000" w:themeColor="text1"/>
              </w:rPr>
              <w:t>, etc.</w:t>
            </w:r>
            <w:r w:rsidR="00680ACE">
              <w:rPr>
                <w:rFonts w:ascii="Verdana" w:eastAsia="Calibri" w:hAnsi="Verdana" w:cs="Arial"/>
                <w:bCs/>
                <w:color w:val="000000" w:themeColor="text1"/>
              </w:rPr>
              <w:t>, la ANCP – CCE</w:t>
            </w:r>
            <w:r w:rsidR="0025022E">
              <w:rPr>
                <w:rFonts w:ascii="Verdana" w:eastAsia="Calibri" w:hAnsi="Verdana" w:cs="Arial"/>
                <w:bCs/>
                <w:color w:val="000000" w:themeColor="text1"/>
              </w:rPr>
              <w:t xml:space="preserve"> ha enfilado</w:t>
            </w:r>
            <w:r w:rsidR="00680ACE" w:rsidRPr="00680ACE">
              <w:rPr>
                <w:rFonts w:ascii="Verdana" w:eastAsia="Calibri" w:hAnsi="Verdana" w:cs="Arial"/>
                <w:bCs/>
                <w:color w:val="000000" w:themeColor="text1"/>
              </w:rPr>
              <w:t xml:space="preserve"> esfuerzos de cara a la transparencia</w:t>
            </w:r>
            <w:r w:rsidR="0025022E">
              <w:rPr>
                <w:rFonts w:ascii="Verdana" w:eastAsia="Calibri" w:hAnsi="Verdana" w:cs="Arial"/>
                <w:bCs/>
                <w:color w:val="000000" w:themeColor="text1"/>
              </w:rPr>
              <w:t xml:space="preserve"> por medio de</w:t>
            </w:r>
            <w:r w:rsidR="00680ACE" w:rsidRPr="00680ACE">
              <w:rPr>
                <w:rFonts w:ascii="Verdana" w:eastAsia="Calibri" w:hAnsi="Verdana" w:cs="Arial"/>
                <w:bCs/>
                <w:color w:val="000000" w:themeColor="text1"/>
              </w:rPr>
              <w:t xml:space="preserve"> diferentes instrumentos de </w:t>
            </w:r>
            <w:r w:rsidR="0025022E" w:rsidRPr="00680ACE">
              <w:rPr>
                <w:rFonts w:ascii="Verdana" w:eastAsia="Calibri" w:hAnsi="Verdana" w:cs="Arial"/>
                <w:bCs/>
                <w:color w:val="000000" w:themeColor="text1"/>
              </w:rPr>
              <w:t>política</w:t>
            </w:r>
            <w:r w:rsidR="00680ACE" w:rsidRPr="00680ACE">
              <w:rPr>
                <w:rFonts w:ascii="Verdana" w:eastAsia="Calibri" w:hAnsi="Verdana" w:cs="Arial"/>
                <w:bCs/>
                <w:color w:val="000000" w:themeColor="text1"/>
              </w:rPr>
              <w:t xml:space="preserve"> p</w:t>
            </w:r>
            <w:r w:rsidR="0025022E">
              <w:rPr>
                <w:rFonts w:ascii="Verdana" w:eastAsia="Calibri" w:hAnsi="Verdana" w:cs="Arial"/>
                <w:bCs/>
                <w:color w:val="000000" w:themeColor="text1"/>
              </w:rPr>
              <w:t>ú</w:t>
            </w:r>
            <w:r w:rsidR="00680ACE" w:rsidRPr="00680ACE">
              <w:rPr>
                <w:rFonts w:ascii="Verdana" w:eastAsia="Calibri" w:hAnsi="Verdana" w:cs="Arial"/>
                <w:bCs/>
                <w:color w:val="000000" w:themeColor="text1"/>
              </w:rPr>
              <w:t xml:space="preserve">blica </w:t>
            </w:r>
            <w:r w:rsidR="001A71A5">
              <w:rPr>
                <w:rFonts w:ascii="Verdana" w:eastAsia="Calibri" w:hAnsi="Verdana" w:cs="Arial"/>
                <w:bCs/>
                <w:color w:val="000000" w:themeColor="text1"/>
              </w:rPr>
              <w:t>para</w:t>
            </w:r>
            <w:r w:rsidR="00680ACE" w:rsidRPr="00680ACE">
              <w:rPr>
                <w:rFonts w:ascii="Verdana" w:eastAsia="Calibri" w:hAnsi="Verdana" w:cs="Arial"/>
                <w:bCs/>
                <w:color w:val="000000" w:themeColor="text1"/>
              </w:rPr>
              <w:t xml:space="preserve"> fortalec</w:t>
            </w:r>
            <w:r w:rsidR="001A71A5">
              <w:rPr>
                <w:rFonts w:ascii="Verdana" w:eastAsia="Calibri" w:hAnsi="Verdana" w:cs="Arial"/>
                <w:bCs/>
                <w:color w:val="000000" w:themeColor="text1"/>
              </w:rPr>
              <w:t>er</w:t>
            </w:r>
            <w:r w:rsidR="00680ACE" w:rsidRPr="00680ACE">
              <w:rPr>
                <w:rFonts w:ascii="Verdana" w:eastAsia="Calibri" w:hAnsi="Verdana" w:cs="Arial"/>
                <w:bCs/>
                <w:color w:val="000000" w:themeColor="text1"/>
              </w:rPr>
              <w:t xml:space="preserve"> </w:t>
            </w:r>
            <w:r w:rsidR="001A71A5">
              <w:rPr>
                <w:rFonts w:ascii="Verdana" w:eastAsia="Calibri" w:hAnsi="Verdana" w:cs="Arial"/>
                <w:bCs/>
                <w:color w:val="000000" w:themeColor="text1"/>
              </w:rPr>
              <w:t>las</w:t>
            </w:r>
            <w:r w:rsidR="00680ACE" w:rsidRPr="00680ACE">
              <w:rPr>
                <w:rFonts w:ascii="Verdana" w:eastAsia="Calibri" w:hAnsi="Verdana" w:cs="Arial"/>
                <w:bCs/>
                <w:color w:val="000000" w:themeColor="text1"/>
              </w:rPr>
              <w:t xml:space="preserve"> ca</w:t>
            </w:r>
            <w:r w:rsidR="001A71A5">
              <w:rPr>
                <w:rFonts w:ascii="Verdana" w:eastAsia="Calibri" w:hAnsi="Verdana" w:cs="Arial"/>
                <w:bCs/>
                <w:color w:val="000000" w:themeColor="text1"/>
              </w:rPr>
              <w:t>p</w:t>
            </w:r>
            <w:r w:rsidR="00680ACE" w:rsidRPr="00680ACE">
              <w:rPr>
                <w:rFonts w:ascii="Verdana" w:eastAsia="Calibri" w:hAnsi="Verdana" w:cs="Arial"/>
                <w:bCs/>
                <w:color w:val="000000" w:themeColor="text1"/>
              </w:rPr>
              <w:t xml:space="preserve">acidades entre los </w:t>
            </w:r>
            <w:r w:rsidR="001A71A5">
              <w:rPr>
                <w:rFonts w:ascii="Verdana" w:eastAsia="Calibri" w:hAnsi="Verdana" w:cs="Arial"/>
                <w:bCs/>
                <w:color w:val="000000" w:themeColor="text1"/>
              </w:rPr>
              <w:lastRenderedPageBreak/>
              <w:t xml:space="preserve">actores </w:t>
            </w:r>
            <w:r w:rsidR="00680ACE" w:rsidRPr="00680ACE">
              <w:rPr>
                <w:rFonts w:ascii="Verdana" w:eastAsia="Calibri" w:hAnsi="Verdana" w:cs="Arial"/>
                <w:bCs/>
                <w:color w:val="000000" w:themeColor="text1"/>
              </w:rPr>
              <w:t>del sistema</w:t>
            </w:r>
            <w:r w:rsidR="001A71A5">
              <w:rPr>
                <w:rFonts w:ascii="Verdana" w:eastAsia="Calibri" w:hAnsi="Verdana" w:cs="Arial"/>
                <w:bCs/>
                <w:color w:val="000000" w:themeColor="text1"/>
              </w:rPr>
              <w:t xml:space="preserve"> de comp</w:t>
            </w:r>
            <w:r w:rsidR="00C82B4F">
              <w:rPr>
                <w:rFonts w:ascii="Verdana" w:eastAsia="Calibri" w:hAnsi="Verdana" w:cs="Arial"/>
                <w:bCs/>
                <w:color w:val="000000" w:themeColor="text1"/>
              </w:rPr>
              <w:t>ras.</w:t>
            </w:r>
            <w:r w:rsidR="00680ACE" w:rsidRPr="00680ACE">
              <w:rPr>
                <w:rFonts w:ascii="Verdana" w:eastAsia="Calibri" w:hAnsi="Verdana" w:cs="Arial"/>
                <w:bCs/>
                <w:color w:val="000000" w:themeColor="text1"/>
              </w:rPr>
              <w:t xml:space="preserve"> </w:t>
            </w:r>
            <w:r w:rsidR="00C82B4F">
              <w:rPr>
                <w:rFonts w:ascii="Verdana" w:eastAsia="Calibri" w:hAnsi="Verdana" w:cs="Arial"/>
                <w:bCs/>
                <w:color w:val="000000" w:themeColor="text1"/>
              </w:rPr>
              <w:t xml:space="preserve">Lo anterior </w:t>
            </w:r>
            <w:r w:rsidR="00680ACE" w:rsidRPr="00680ACE">
              <w:rPr>
                <w:rFonts w:ascii="Verdana" w:eastAsia="Calibri" w:hAnsi="Verdana" w:cs="Arial"/>
                <w:bCs/>
                <w:color w:val="000000" w:themeColor="text1"/>
              </w:rPr>
              <w:t xml:space="preserve">con el fin de mitigar </w:t>
            </w:r>
            <w:r w:rsidR="00C82B4F" w:rsidRPr="00680ACE">
              <w:rPr>
                <w:rFonts w:ascii="Verdana" w:eastAsia="Calibri" w:hAnsi="Verdana" w:cs="Arial"/>
                <w:bCs/>
                <w:color w:val="000000" w:themeColor="text1"/>
              </w:rPr>
              <w:t>prácticas</w:t>
            </w:r>
            <w:r w:rsidR="00680ACE" w:rsidRPr="00680ACE">
              <w:rPr>
                <w:rFonts w:ascii="Verdana" w:eastAsia="Calibri" w:hAnsi="Verdana" w:cs="Arial"/>
                <w:bCs/>
                <w:color w:val="000000" w:themeColor="text1"/>
              </w:rPr>
              <w:t xml:space="preserve"> que lesionen el ordenamiento </w:t>
            </w:r>
            <w:r w:rsidR="00C82B4F" w:rsidRPr="00680ACE">
              <w:rPr>
                <w:rFonts w:ascii="Verdana" w:eastAsia="Calibri" w:hAnsi="Verdana" w:cs="Arial"/>
                <w:bCs/>
                <w:color w:val="000000" w:themeColor="text1"/>
              </w:rPr>
              <w:t>jurídico</w:t>
            </w:r>
            <w:r w:rsidR="00680ACE" w:rsidRPr="00680ACE">
              <w:rPr>
                <w:rFonts w:ascii="Verdana" w:eastAsia="Calibri" w:hAnsi="Verdana" w:cs="Arial"/>
                <w:bCs/>
                <w:color w:val="000000" w:themeColor="text1"/>
              </w:rPr>
              <w:t xml:space="preserve"> y la probidad en la </w:t>
            </w:r>
            <w:r w:rsidR="00C82B4F" w:rsidRPr="00680ACE">
              <w:rPr>
                <w:rFonts w:ascii="Verdana" w:eastAsia="Calibri" w:hAnsi="Verdana" w:cs="Arial"/>
                <w:bCs/>
                <w:color w:val="000000" w:themeColor="text1"/>
              </w:rPr>
              <w:t>ejecución</w:t>
            </w:r>
            <w:r w:rsidR="00680ACE" w:rsidRPr="00680ACE">
              <w:rPr>
                <w:rFonts w:ascii="Verdana" w:eastAsia="Calibri" w:hAnsi="Verdana" w:cs="Arial"/>
                <w:bCs/>
                <w:color w:val="000000" w:themeColor="text1"/>
              </w:rPr>
              <w:t xml:space="preserve"> de recursos </w:t>
            </w:r>
            <w:r w:rsidR="00C82B4F" w:rsidRPr="00680ACE">
              <w:rPr>
                <w:rFonts w:ascii="Verdana" w:eastAsia="Calibri" w:hAnsi="Verdana" w:cs="Arial"/>
                <w:bCs/>
                <w:color w:val="000000" w:themeColor="text1"/>
              </w:rPr>
              <w:t>públicos</w:t>
            </w:r>
            <w:r w:rsidR="00C82B4F">
              <w:rPr>
                <w:rFonts w:ascii="Verdana" w:eastAsia="Calibri" w:hAnsi="Verdana" w:cs="Arial"/>
                <w:bCs/>
                <w:color w:val="000000" w:themeColor="text1"/>
              </w:rPr>
              <w:t>.</w:t>
            </w:r>
          </w:p>
          <w:p w14:paraId="6138F364" w14:textId="14503DE6" w:rsidR="0036004A" w:rsidRPr="001A09C8" w:rsidRDefault="0036004A">
            <w:pPr>
              <w:spacing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411CC4B" w14:textId="77777777" w:rsidR="0036004A" w:rsidRPr="00593A5F" w:rsidRDefault="0036004A" w:rsidP="0036004A">
      <w:pPr>
        <w:tabs>
          <w:tab w:val="left" w:pos="142"/>
          <w:tab w:val="left" w:pos="284"/>
        </w:tabs>
        <w:spacing w:after="0" w:line="276" w:lineRule="auto"/>
        <w:jc w:val="both"/>
        <w:rPr>
          <w:rFonts w:ascii="Verdana" w:eastAsia="Century Gothic" w:hAnsi="Verdana" w:cs="Century Gothic"/>
          <w:b/>
          <w:bCs/>
          <w:lang w:val="es-ES"/>
        </w:rPr>
      </w:pPr>
    </w:p>
    <w:bookmarkEnd w:id="0"/>
    <w:p w14:paraId="79D732A2" w14:textId="77777777" w:rsidR="0036004A" w:rsidRPr="00593A5F" w:rsidRDefault="0036004A" w:rsidP="0036004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p>
    <w:p w14:paraId="4FBE6570" w14:textId="77777777" w:rsidR="0036004A" w:rsidRPr="00593A5F" w:rsidRDefault="0036004A" w:rsidP="0036004A">
      <w:pPr>
        <w:spacing w:after="0" w:line="276" w:lineRule="auto"/>
        <w:jc w:val="both"/>
        <w:rPr>
          <w:rFonts w:ascii="Verdana" w:eastAsia="Calibri" w:hAnsi="Verdana" w:cs="Arial"/>
          <w:color w:val="7030A0"/>
          <w:lang w:val="es-ES"/>
        </w:rPr>
      </w:pPr>
    </w:p>
    <w:p w14:paraId="56466BCD" w14:textId="77777777" w:rsidR="0036004A" w:rsidRDefault="0036004A" w:rsidP="0036004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6A289D0" w14:textId="77777777" w:rsidR="0036004A" w:rsidRPr="00415608" w:rsidRDefault="0036004A" w:rsidP="0036004A">
      <w:pPr>
        <w:spacing w:after="0" w:line="276" w:lineRule="auto"/>
        <w:jc w:val="both"/>
        <w:rPr>
          <w:rFonts w:ascii="Verdana" w:eastAsia="Calibri" w:hAnsi="Verdana" w:cs="Arial"/>
          <w:lang w:val="es-ES"/>
        </w:rPr>
      </w:pPr>
    </w:p>
    <w:p w14:paraId="048DD173" w14:textId="77777777" w:rsidR="0036004A" w:rsidRDefault="0036004A" w:rsidP="0036004A">
      <w:pPr>
        <w:spacing w:after="120" w:line="276" w:lineRule="auto"/>
        <w:jc w:val="both"/>
        <w:rPr>
          <w:rFonts w:ascii="Verdana" w:hAnsi="Verdana"/>
          <w:color w:val="000000"/>
        </w:rPr>
      </w:pPr>
      <w:r>
        <w:rPr>
          <w:rFonts w:ascii="Verdana" w:eastAsia="Calibri" w:hAnsi="Verdana" w:cs="Arial"/>
          <w:lang w:val="es-ES"/>
        </w:rPr>
        <w:t>El delito de contrato sin cumplimiento de requisitos legales está tipificado en el artículo 410 del Código Penal en los siguientes términos: “</w:t>
      </w:r>
      <w:r w:rsidRPr="00BB0F34">
        <w:rPr>
          <w:rFonts w:ascii="Verdana" w:eastAsia="Calibri" w:hAnsi="Verdana" w:cs="Arial"/>
          <w:lang w:val="es-ES"/>
        </w:rPr>
        <w:t>El servidor público que por razón del ejercicio de sus funciones tramite contrato sin observancia de los requisitos legales esenciales o lo celebre o liquide sin verificar el cumplimiento de los mismos, incurrirá en prisión de sesenta y cuatro (64) a doscientos dieciséis (216) meses, multa de sesenta y seis punto sesenta y seis (66.66) a trescientos (300) salarios mínimos legales mensuales vigentes, e inhabilitación para el ejercicio de derechos y funciones públicas de ochenta (80) a doscientos dieciséis (216) meses</w:t>
      </w:r>
      <w:r>
        <w:rPr>
          <w:rFonts w:ascii="Verdana" w:eastAsia="Calibri" w:hAnsi="Verdana" w:cs="Arial"/>
          <w:lang w:val="es-ES"/>
        </w:rPr>
        <w:t>”</w:t>
      </w:r>
      <w:r w:rsidRPr="00BB0F34">
        <w:rPr>
          <w:rFonts w:ascii="Verdana" w:eastAsia="Calibri" w:hAnsi="Verdana" w:cs="Arial"/>
          <w:lang w:val="es-ES"/>
        </w:rPr>
        <w:t>.</w:t>
      </w:r>
      <w:r>
        <w:rPr>
          <w:rFonts w:ascii="Verdana" w:eastAsia="Calibri" w:hAnsi="Verdana" w:cs="Arial"/>
          <w:lang w:val="es-ES"/>
        </w:rPr>
        <w:t xml:space="preserve"> Dicho tipo penal, junto con la v</w:t>
      </w:r>
      <w:r w:rsidRPr="00AD4801">
        <w:rPr>
          <w:rFonts w:ascii="Verdana" w:eastAsia="Calibri" w:hAnsi="Verdana" w:cs="Arial"/>
          <w:lang w:val="es-ES"/>
        </w:rPr>
        <w:t>iolación del régimen legal o constitucional de inhabilidades e incompatibilidades</w:t>
      </w:r>
      <w:r>
        <w:rPr>
          <w:rFonts w:ascii="Verdana" w:eastAsia="Calibri" w:hAnsi="Verdana" w:cs="Arial"/>
          <w:lang w:val="es-ES"/>
        </w:rPr>
        <w:t>, el i</w:t>
      </w:r>
      <w:r>
        <w:rPr>
          <w:rFonts w:ascii="Verdana" w:hAnsi="Verdana"/>
          <w:color w:val="000000"/>
        </w:rPr>
        <w:t>nterés indebido en la celebración de contratos y los a</w:t>
      </w:r>
      <w:r w:rsidRPr="00AD4801">
        <w:rPr>
          <w:rFonts w:ascii="Verdana" w:hAnsi="Verdana"/>
          <w:color w:val="000000"/>
        </w:rPr>
        <w:t>cuerdos restrictivos de la competencia</w:t>
      </w:r>
      <w:r>
        <w:rPr>
          <w:rFonts w:ascii="Verdana" w:hAnsi="Verdana"/>
          <w:color w:val="000000"/>
        </w:rPr>
        <w:t>, hacen parte de los delitos contra la Administración pública por celebración indebida de contratos.</w:t>
      </w:r>
    </w:p>
    <w:p w14:paraId="4FA8D6EF" w14:textId="77777777" w:rsidR="0036004A" w:rsidRDefault="0036004A" w:rsidP="0036004A">
      <w:pPr>
        <w:spacing w:after="120" w:line="276" w:lineRule="auto"/>
        <w:jc w:val="both"/>
        <w:rPr>
          <w:rFonts w:ascii="Verdana" w:hAnsi="Verdana"/>
          <w:color w:val="000000"/>
        </w:rPr>
      </w:pPr>
      <w:r>
        <w:rPr>
          <w:rFonts w:ascii="Verdana" w:hAnsi="Verdana"/>
          <w:color w:val="000000"/>
        </w:rPr>
        <w:tab/>
        <w:t xml:space="preserve">El juicio de tipicidad exige un sujeto activo cualificado, pues sólo puede realizarse por un </w:t>
      </w:r>
      <w:r w:rsidRPr="00AD4801">
        <w:rPr>
          <w:rFonts w:ascii="Verdana" w:hAnsi="Verdana"/>
          <w:i/>
          <w:iCs/>
          <w:color w:val="000000"/>
        </w:rPr>
        <w:t>servidor público</w:t>
      </w:r>
      <w:r>
        <w:rPr>
          <w:rFonts w:ascii="Verdana" w:hAnsi="Verdana"/>
          <w:color w:val="000000"/>
        </w:rPr>
        <w:t>. Aunque el inciso primero del artículo 123 superior dispone que “</w:t>
      </w:r>
      <w:r w:rsidRPr="00B26A4B">
        <w:rPr>
          <w:rFonts w:ascii="Verdana" w:hAnsi="Verdana"/>
          <w:color w:val="000000"/>
        </w:rPr>
        <w:t>Son servidores públicos los miembros de las corporaciones públicas, los empleados y trabajadores del Estado y de sus entidades descentralizadas territorialmente y por servicios</w:t>
      </w:r>
      <w:r>
        <w:rPr>
          <w:rFonts w:ascii="Verdana" w:hAnsi="Verdana"/>
          <w:color w:val="000000"/>
        </w:rPr>
        <w:t>”, el artículo 20 del Código Penal establece una definición especial para la materia</w:t>
      </w:r>
      <w:r w:rsidRPr="00B26A4B">
        <w:rPr>
          <w:rFonts w:ascii="Verdana" w:hAnsi="Verdana"/>
          <w:color w:val="000000"/>
        </w:rPr>
        <w:t>.</w:t>
      </w:r>
      <w:r>
        <w:rPr>
          <w:rFonts w:ascii="Verdana" w:hAnsi="Verdana"/>
          <w:color w:val="000000"/>
        </w:rPr>
        <w:t xml:space="preserve"> En este contexto, para efectos </w:t>
      </w:r>
      <w:r>
        <w:rPr>
          <w:rFonts w:ascii="Verdana" w:hAnsi="Verdana"/>
          <w:color w:val="000000"/>
        </w:rPr>
        <w:lastRenderedPageBreak/>
        <w:t xml:space="preserve">del artículo 410 </w:t>
      </w:r>
      <w:r w:rsidRPr="00B26A4B">
        <w:rPr>
          <w:rFonts w:ascii="Verdana" w:hAnsi="Verdana"/>
          <w:i/>
          <w:iCs/>
          <w:color w:val="000000"/>
        </w:rPr>
        <w:t>ibidem</w:t>
      </w:r>
      <w:r>
        <w:rPr>
          <w:rFonts w:ascii="Verdana" w:hAnsi="Verdana"/>
          <w:color w:val="000000"/>
        </w:rPr>
        <w:t xml:space="preserve">, también </w:t>
      </w:r>
      <w:r w:rsidRPr="00B26A4B">
        <w:rPr>
          <w:rFonts w:ascii="Verdana" w:hAnsi="Verdana"/>
          <w:color w:val="000000"/>
        </w:rPr>
        <w:t>se consideran servidores públicos</w:t>
      </w:r>
      <w:r>
        <w:rPr>
          <w:rFonts w:ascii="Verdana" w:hAnsi="Verdana"/>
          <w:color w:val="000000"/>
        </w:rPr>
        <w:t xml:space="preserve"> “[…] </w:t>
      </w:r>
      <w:r w:rsidRPr="00B26A4B">
        <w:rPr>
          <w:rFonts w:ascii="Verdana" w:hAnsi="Verdana"/>
          <w:color w:val="000000"/>
        </w:rPr>
        <w:t>los miembros de la fuerza pública, los particulares que ejerzan funciones públicas en forma permanente o transitoria, los funcionarios y trabajadores del Banco de la República, los integrantes de la Comisión Nacional Ciudadana para la Lucha contra la Corrupción y las personas que administren los recursos de que trata el artículo 338 de la Constitución Política</w:t>
      </w:r>
      <w:r>
        <w:rPr>
          <w:rFonts w:ascii="Verdana" w:hAnsi="Verdana"/>
          <w:color w:val="000000"/>
        </w:rPr>
        <w:t>”</w:t>
      </w:r>
      <w:r w:rsidRPr="00B26A4B">
        <w:rPr>
          <w:rFonts w:ascii="Verdana" w:hAnsi="Verdana"/>
          <w:color w:val="000000"/>
        </w:rPr>
        <w:t>.</w:t>
      </w:r>
      <w:r>
        <w:rPr>
          <w:rFonts w:ascii="Verdana" w:hAnsi="Verdana"/>
          <w:color w:val="000000"/>
        </w:rPr>
        <w:t xml:space="preserve"> Incluso, conforme al artículo 56 de la Ley 80 de 1993, “[…] </w:t>
      </w:r>
      <w:r w:rsidRPr="00B26A4B">
        <w:rPr>
          <w:rFonts w:ascii="Verdana" w:hAnsi="Verdana"/>
          <w:color w:val="000000"/>
        </w:rPr>
        <w:t>el contratista, el interventor, el consultor y el asesor se consideran particulares que cumplen funciones públicas en todo lo concerniente a la celebración, ejecución y liquidación de los contratos que celebren con las entidades estatales</w:t>
      </w:r>
      <w:r>
        <w:rPr>
          <w:rFonts w:ascii="Verdana" w:hAnsi="Verdana"/>
          <w:color w:val="000000"/>
        </w:rPr>
        <w:t xml:space="preserve"> […]”. </w:t>
      </w:r>
    </w:p>
    <w:p w14:paraId="1B4A6478" w14:textId="77777777" w:rsidR="0036004A" w:rsidRDefault="0036004A" w:rsidP="0036004A">
      <w:pPr>
        <w:spacing w:after="120" w:line="276" w:lineRule="auto"/>
        <w:jc w:val="both"/>
        <w:rPr>
          <w:rFonts w:ascii="Verdana" w:hAnsi="Verdana"/>
          <w:color w:val="000000"/>
        </w:rPr>
      </w:pPr>
      <w:r>
        <w:rPr>
          <w:rFonts w:ascii="Verdana" w:hAnsi="Verdana"/>
          <w:color w:val="000000"/>
        </w:rPr>
        <w:tab/>
        <w:t>Bajo la modalidad dolosa, el objeto de la conducta se concreta en t</w:t>
      </w:r>
      <w:r w:rsidRPr="009A4DAF">
        <w:rPr>
          <w:rFonts w:ascii="Verdana" w:hAnsi="Verdana"/>
          <w:color w:val="000000"/>
        </w:rPr>
        <w:t>ramitar</w:t>
      </w:r>
      <w:r>
        <w:rPr>
          <w:rFonts w:ascii="Verdana" w:hAnsi="Verdana"/>
          <w:color w:val="000000"/>
        </w:rPr>
        <w:t>, celebrar o liquidar contratos sin cumplimiento de los requisitos legales esenciales</w:t>
      </w:r>
      <w:r>
        <w:rPr>
          <w:rStyle w:val="Refdenotaalpie"/>
          <w:rFonts w:ascii="Verdana" w:hAnsi="Verdana"/>
          <w:color w:val="000000"/>
        </w:rPr>
        <w:footnoteReference w:id="2"/>
      </w:r>
      <w:r>
        <w:rPr>
          <w:rFonts w:ascii="Verdana" w:hAnsi="Verdana"/>
          <w:color w:val="000000"/>
        </w:rPr>
        <w:t xml:space="preserve">. El </w:t>
      </w:r>
      <w:r w:rsidRPr="00962B7B">
        <w:rPr>
          <w:rFonts w:ascii="Verdana" w:hAnsi="Verdana"/>
          <w:i/>
          <w:iCs/>
          <w:color w:val="000000"/>
        </w:rPr>
        <w:t>trámite</w:t>
      </w:r>
      <w:r>
        <w:rPr>
          <w:rFonts w:ascii="Verdana" w:hAnsi="Verdana"/>
          <w:color w:val="000000"/>
        </w:rPr>
        <w:t xml:space="preserve"> corresponde a la etapa precontractual, y se relaciona principalmente con los procedimientos de selección; la </w:t>
      </w:r>
      <w:r w:rsidRPr="00962B7B">
        <w:rPr>
          <w:rFonts w:ascii="Verdana" w:hAnsi="Verdana"/>
          <w:i/>
          <w:iCs/>
          <w:color w:val="000000"/>
        </w:rPr>
        <w:t>celebración</w:t>
      </w:r>
      <w:r>
        <w:rPr>
          <w:rFonts w:ascii="Verdana" w:hAnsi="Verdana"/>
          <w:color w:val="000000"/>
        </w:rPr>
        <w:t xml:space="preserve"> se relaciona con el régimen de perfeccionamiento del contrato; mientras que </w:t>
      </w:r>
      <w:r w:rsidRPr="00962B7B">
        <w:rPr>
          <w:rFonts w:ascii="Verdana" w:hAnsi="Verdana"/>
          <w:i/>
          <w:iCs/>
          <w:color w:val="000000"/>
        </w:rPr>
        <w:t>liquidación</w:t>
      </w:r>
      <w:r>
        <w:rPr>
          <w:rFonts w:ascii="Verdana" w:hAnsi="Verdana"/>
          <w:color w:val="000000"/>
        </w:rPr>
        <w:t xml:space="preserve"> es la etapa final de cruce de cuentas para determinar si las partes están a paz y salvo en el cumplimiento de las obligaciones. De esta forma, el artículo 410 del Código Penal excluye la fase de ejecución contractual</w:t>
      </w:r>
      <w:r>
        <w:rPr>
          <w:rStyle w:val="Refdenotaalpie"/>
          <w:rFonts w:ascii="Verdana" w:hAnsi="Verdana"/>
          <w:color w:val="000000"/>
        </w:rPr>
        <w:footnoteReference w:id="3"/>
      </w:r>
      <w:r>
        <w:rPr>
          <w:rFonts w:ascii="Verdana" w:hAnsi="Verdana"/>
          <w:color w:val="000000"/>
        </w:rPr>
        <w:t xml:space="preserve">. </w:t>
      </w:r>
    </w:p>
    <w:p w14:paraId="0FFD1AAD" w14:textId="77777777" w:rsidR="0036004A" w:rsidRDefault="0036004A" w:rsidP="0036004A">
      <w:pPr>
        <w:spacing w:after="0" w:line="276" w:lineRule="auto"/>
        <w:jc w:val="both"/>
        <w:rPr>
          <w:rFonts w:ascii="Verdana" w:hAnsi="Verdana"/>
          <w:color w:val="000000"/>
        </w:rPr>
      </w:pPr>
      <w:r>
        <w:rPr>
          <w:rFonts w:ascii="Verdana" w:hAnsi="Verdana"/>
          <w:color w:val="000000"/>
        </w:rPr>
        <w:tab/>
        <w:t>Los verbos rectores incorporan un elemento normativo, pues no es el incumplimiento de cualquier requisito el que da lugar a la tipicidad de la conducta, sino la preterición de aquellos que tengan naturaleza esencial. Ello hace de la norma en comento un tipo penal en blanco, por lo que es necesario remitirse a las disposiciones del sistema de compras públicas para determinar si la conducta está acorde al principio de legalidad</w:t>
      </w:r>
      <w:r>
        <w:rPr>
          <w:rStyle w:val="Refdenotaalpie"/>
          <w:rFonts w:ascii="Verdana" w:hAnsi="Verdana"/>
          <w:color w:val="000000"/>
        </w:rPr>
        <w:footnoteReference w:id="4"/>
      </w:r>
      <w:r>
        <w:rPr>
          <w:rFonts w:ascii="Verdana" w:hAnsi="Verdana"/>
          <w:color w:val="000000"/>
        </w:rPr>
        <w:t xml:space="preserve">. Éstas serán las de la Ley 80 de 1993 para las entidades sometidas al EGCAP; las del derecho civil y comercial, sin perjuicio de lo previsto en el artículo 13 de la Ley 1150 de 2007, para las </w:t>
      </w:r>
      <w:r>
        <w:rPr>
          <w:rFonts w:ascii="Verdana" w:hAnsi="Verdana"/>
          <w:color w:val="000000"/>
        </w:rPr>
        <w:lastRenderedPageBreak/>
        <w:t>entidades exceptuadas; y las Decreto 092 de 2017, tratándose del régimen especial para la contratación con entidades privadas sin ánimo de lucro. En esta medida, la Sala de Casación Penal de la Corte Suprema de Justicia explica que:</w:t>
      </w:r>
    </w:p>
    <w:p w14:paraId="7BF51278" w14:textId="77777777" w:rsidR="0036004A" w:rsidRDefault="0036004A" w:rsidP="0036004A">
      <w:pPr>
        <w:spacing w:after="0" w:line="276" w:lineRule="auto"/>
        <w:jc w:val="both"/>
        <w:rPr>
          <w:rFonts w:ascii="Verdana" w:hAnsi="Verdana"/>
          <w:color w:val="000000"/>
        </w:rPr>
      </w:pPr>
    </w:p>
    <w:p w14:paraId="03D28B92" w14:textId="77777777" w:rsidR="0036004A" w:rsidRPr="00255EDC" w:rsidRDefault="0036004A" w:rsidP="0036004A">
      <w:pPr>
        <w:spacing w:after="0" w:line="240" w:lineRule="auto"/>
        <w:ind w:left="709" w:right="709"/>
        <w:jc w:val="both"/>
        <w:rPr>
          <w:rFonts w:ascii="Verdana" w:hAnsi="Verdana"/>
          <w:color w:val="000000"/>
          <w:sz w:val="21"/>
          <w:szCs w:val="21"/>
        </w:rPr>
      </w:pPr>
      <w:r w:rsidRPr="00255EDC">
        <w:rPr>
          <w:rFonts w:ascii="Verdana" w:hAnsi="Verdana"/>
          <w:color w:val="000000"/>
          <w:sz w:val="21"/>
          <w:szCs w:val="21"/>
        </w:rPr>
        <w:t>“[…] La definición de los respectivos ingredientes normativos de la descripción típica ha de precisarse a la luz de la normatividad aplicable a la ‘contratación estatal’. Esto es, con el Estatuto General de la Contratación de la Administración Pública y demás normas que lo complementen (arts. 1.º y 32 de la Ley 80 de 1993)3. Sin embargo, dada la existencia de regímenes contractuales especiales, regulados por disposiciones normativas diferentes al mencionado estatuto, serán aquéllas las llamadas a definir los elementos normativos del tipo, cuando de tipologías o procedimientos de regulación propia se trate”</w:t>
      </w:r>
      <w:r w:rsidRPr="00255EDC">
        <w:rPr>
          <w:rStyle w:val="Refdenotaalpie"/>
          <w:rFonts w:ascii="Verdana" w:hAnsi="Verdana"/>
          <w:color w:val="000000"/>
          <w:sz w:val="21"/>
          <w:szCs w:val="21"/>
        </w:rPr>
        <w:footnoteReference w:id="5"/>
      </w:r>
      <w:r w:rsidRPr="00255EDC">
        <w:rPr>
          <w:rFonts w:ascii="Verdana" w:hAnsi="Verdana"/>
          <w:color w:val="000000"/>
          <w:sz w:val="21"/>
          <w:szCs w:val="21"/>
        </w:rPr>
        <w:t>.</w:t>
      </w:r>
    </w:p>
    <w:p w14:paraId="3F410AD3" w14:textId="77777777" w:rsidR="0036004A" w:rsidRDefault="0036004A" w:rsidP="0036004A">
      <w:pPr>
        <w:spacing w:after="0" w:line="276" w:lineRule="auto"/>
        <w:jc w:val="both"/>
        <w:rPr>
          <w:rFonts w:ascii="Verdana" w:hAnsi="Verdana"/>
          <w:color w:val="000000"/>
        </w:rPr>
      </w:pPr>
    </w:p>
    <w:p w14:paraId="3D490FA1" w14:textId="77777777" w:rsidR="0036004A" w:rsidRDefault="0036004A" w:rsidP="0036004A">
      <w:pPr>
        <w:spacing w:after="120" w:line="276" w:lineRule="auto"/>
        <w:jc w:val="both"/>
        <w:rPr>
          <w:rFonts w:ascii="Verdana" w:hAnsi="Verdana"/>
          <w:color w:val="000000"/>
        </w:rPr>
      </w:pPr>
      <w:r>
        <w:rPr>
          <w:rFonts w:ascii="Verdana" w:hAnsi="Verdana"/>
          <w:color w:val="000000"/>
        </w:rPr>
        <w:tab/>
        <w:t>Para la jurisprudencia, la concreción de los “requisitos legales esenciales” debe tener en cuenta la teoría general de contrato y del negocio jurídico. Entre ellos se encuentran los siguientes aspectos: i) “[…]</w:t>
      </w:r>
      <w:r w:rsidRPr="00C0534A">
        <w:rPr>
          <w:rFonts w:ascii="Verdana" w:hAnsi="Verdana"/>
          <w:color w:val="000000"/>
        </w:rPr>
        <w:t xml:space="preserve"> aquellas cosas sin las cuales, o no produce efecto alguno, o degeneran en otro contrato diferente</w:t>
      </w:r>
      <w:r>
        <w:rPr>
          <w:rFonts w:ascii="Verdana" w:hAnsi="Verdana"/>
          <w:color w:val="000000"/>
        </w:rPr>
        <w:t xml:space="preserve"> […]” –art. 1501 del Código Civil–, </w:t>
      </w:r>
      <w:proofErr w:type="spellStart"/>
      <w:r>
        <w:rPr>
          <w:rFonts w:ascii="Verdana" w:hAnsi="Verdana"/>
          <w:color w:val="000000"/>
        </w:rPr>
        <w:t>ii</w:t>
      </w:r>
      <w:proofErr w:type="spellEnd"/>
      <w:r>
        <w:rPr>
          <w:rFonts w:ascii="Verdana" w:hAnsi="Verdana"/>
          <w:color w:val="000000"/>
        </w:rPr>
        <w:t xml:space="preserve">) los que al ser incumplidos generan la nulidad absoluta del contrato –art. 44 de la Ley 80 de 1993– y, en especial, </w:t>
      </w:r>
      <w:proofErr w:type="spellStart"/>
      <w:r>
        <w:rPr>
          <w:rFonts w:ascii="Verdana" w:hAnsi="Verdana"/>
          <w:color w:val="000000"/>
        </w:rPr>
        <w:t>iii</w:t>
      </w:r>
      <w:proofErr w:type="spellEnd"/>
      <w:r>
        <w:rPr>
          <w:rFonts w:ascii="Verdana" w:hAnsi="Verdana"/>
          <w:color w:val="000000"/>
        </w:rPr>
        <w:t xml:space="preserve">) aquellas formas legales que materializan uno o varios principios de la contratación estatal –art. 23 </w:t>
      </w:r>
      <w:r w:rsidRPr="00C0534A">
        <w:rPr>
          <w:rFonts w:ascii="Verdana" w:hAnsi="Verdana"/>
          <w:i/>
          <w:iCs/>
          <w:color w:val="000000"/>
        </w:rPr>
        <w:t>ibidem</w:t>
      </w:r>
      <w:r>
        <w:rPr>
          <w:rFonts w:ascii="Verdana" w:hAnsi="Verdana"/>
          <w:color w:val="000000"/>
        </w:rPr>
        <w:t>–</w:t>
      </w:r>
      <w:r>
        <w:rPr>
          <w:rStyle w:val="Refdenotaalpie"/>
          <w:rFonts w:ascii="Verdana" w:hAnsi="Verdana"/>
          <w:color w:val="000000"/>
        </w:rPr>
        <w:footnoteReference w:id="6"/>
      </w:r>
      <w:r>
        <w:rPr>
          <w:rFonts w:ascii="Verdana" w:hAnsi="Verdana"/>
          <w:color w:val="000000"/>
        </w:rPr>
        <w:t>. Así, “[…] D</w:t>
      </w:r>
      <w:r w:rsidRPr="009E0B1E">
        <w:rPr>
          <w:rFonts w:ascii="Verdana" w:hAnsi="Verdana"/>
          <w:color w:val="000000"/>
        </w:rPr>
        <w:t>eterminar cuáles son los requisitos legales esenciales que se deben</w:t>
      </w:r>
      <w:r>
        <w:rPr>
          <w:rFonts w:ascii="Verdana" w:hAnsi="Verdana"/>
          <w:color w:val="000000"/>
        </w:rPr>
        <w:t xml:space="preserve"> </w:t>
      </w:r>
      <w:r w:rsidRPr="009E0B1E">
        <w:rPr>
          <w:rFonts w:ascii="Verdana" w:hAnsi="Verdana"/>
          <w:color w:val="000000"/>
        </w:rPr>
        <w:t>cumplir en cada una de dichas etapas de la actividad contractual es asunto librado al derecho administrativo de la contratación, de lo cual se ocupa la doctrina</w:t>
      </w:r>
      <w:r>
        <w:rPr>
          <w:rFonts w:ascii="Verdana" w:hAnsi="Verdana"/>
          <w:color w:val="000000"/>
        </w:rPr>
        <w:t xml:space="preserve"> </w:t>
      </w:r>
      <w:r w:rsidRPr="009E0B1E">
        <w:rPr>
          <w:rFonts w:ascii="Verdana" w:hAnsi="Verdana"/>
          <w:color w:val="000000"/>
        </w:rPr>
        <w:t>especializada</w:t>
      </w:r>
      <w:r>
        <w:rPr>
          <w:rFonts w:ascii="Verdana" w:hAnsi="Verdana"/>
          <w:color w:val="000000"/>
        </w:rPr>
        <w:t xml:space="preserve"> […]”</w:t>
      </w:r>
      <w:r>
        <w:rPr>
          <w:rStyle w:val="Refdenotaalpie"/>
          <w:rFonts w:ascii="Verdana" w:hAnsi="Verdana"/>
          <w:color w:val="000000"/>
        </w:rPr>
        <w:footnoteReference w:id="7"/>
      </w:r>
      <w:r w:rsidRPr="009E0B1E">
        <w:rPr>
          <w:rFonts w:ascii="Verdana" w:hAnsi="Verdana"/>
          <w:color w:val="000000"/>
        </w:rPr>
        <w:t>.</w:t>
      </w:r>
      <w:r>
        <w:rPr>
          <w:rFonts w:ascii="Verdana" w:hAnsi="Verdana"/>
          <w:color w:val="000000"/>
        </w:rPr>
        <w:t xml:space="preserve">  </w:t>
      </w:r>
    </w:p>
    <w:p w14:paraId="36E95833" w14:textId="77777777" w:rsidR="0036004A" w:rsidRDefault="0036004A" w:rsidP="0036004A">
      <w:pPr>
        <w:spacing w:after="120" w:line="276" w:lineRule="auto"/>
        <w:jc w:val="both"/>
        <w:rPr>
          <w:rFonts w:ascii="Verdana" w:hAnsi="Verdana"/>
          <w:color w:val="000000"/>
        </w:rPr>
      </w:pPr>
      <w:r>
        <w:rPr>
          <w:rFonts w:ascii="Verdana" w:hAnsi="Verdana"/>
          <w:color w:val="000000"/>
        </w:rPr>
        <w:tab/>
        <w:t>Finalmente, la conducta desplegada por el sujeto activo debe realizarse “</w:t>
      </w:r>
      <w:r w:rsidRPr="003773FC">
        <w:rPr>
          <w:rFonts w:ascii="Verdana" w:hAnsi="Verdana"/>
          <w:color w:val="000000"/>
        </w:rPr>
        <w:t>por razón del ejercicio de sus funciones</w:t>
      </w:r>
      <w:r>
        <w:rPr>
          <w:rFonts w:ascii="Verdana" w:hAnsi="Verdana"/>
          <w:color w:val="000000"/>
        </w:rPr>
        <w:t xml:space="preserve">”, lo que implica que </w:t>
      </w:r>
      <w:r w:rsidRPr="003773FC">
        <w:rPr>
          <w:rFonts w:ascii="Verdana" w:hAnsi="Verdana"/>
          <w:color w:val="000000"/>
        </w:rPr>
        <w:t>a través de ley, decreto, reglamento, circular, acto administrativo u orden verbal por parte del jefe, se</w:t>
      </w:r>
      <w:r>
        <w:rPr>
          <w:rFonts w:ascii="Verdana" w:hAnsi="Verdana"/>
          <w:color w:val="000000"/>
        </w:rPr>
        <w:t xml:space="preserve"> </w:t>
      </w:r>
      <w:r w:rsidRPr="003773FC">
        <w:rPr>
          <w:rFonts w:ascii="Verdana" w:hAnsi="Verdana"/>
          <w:color w:val="000000"/>
        </w:rPr>
        <w:t>le asignen funciones para intervenir de alguna manera en</w:t>
      </w:r>
      <w:r>
        <w:rPr>
          <w:rFonts w:ascii="Verdana" w:hAnsi="Verdana"/>
          <w:color w:val="000000"/>
        </w:rPr>
        <w:t xml:space="preserve"> </w:t>
      </w:r>
      <w:r w:rsidRPr="003773FC">
        <w:rPr>
          <w:rFonts w:ascii="Verdana" w:hAnsi="Verdana"/>
          <w:color w:val="000000"/>
        </w:rPr>
        <w:t>el trámite, celebración, ejecución o liquidación del contrato</w:t>
      </w:r>
      <w:r>
        <w:rPr>
          <w:rFonts w:ascii="Verdana" w:hAnsi="Verdana"/>
          <w:color w:val="000000"/>
        </w:rPr>
        <w:t xml:space="preserve">: </w:t>
      </w:r>
      <w:r w:rsidRPr="003773FC">
        <w:rPr>
          <w:rFonts w:ascii="Verdana" w:hAnsi="Verdana"/>
          <w:color w:val="000000"/>
        </w:rPr>
        <w:t>si un servidor público interviene</w:t>
      </w:r>
      <w:r>
        <w:rPr>
          <w:rFonts w:ascii="Verdana" w:hAnsi="Verdana"/>
          <w:color w:val="000000"/>
        </w:rPr>
        <w:t xml:space="preserve"> </w:t>
      </w:r>
      <w:r w:rsidRPr="003773FC">
        <w:rPr>
          <w:rFonts w:ascii="Verdana" w:hAnsi="Verdana"/>
          <w:color w:val="000000"/>
        </w:rPr>
        <w:t>en cualquiera de las fases anteriores, pero no en ejercicio de</w:t>
      </w:r>
      <w:r>
        <w:rPr>
          <w:rFonts w:ascii="Verdana" w:hAnsi="Verdana"/>
          <w:color w:val="000000"/>
        </w:rPr>
        <w:t xml:space="preserve"> </w:t>
      </w:r>
      <w:r w:rsidRPr="003773FC">
        <w:rPr>
          <w:rFonts w:ascii="Verdana" w:hAnsi="Verdana"/>
          <w:color w:val="000000"/>
        </w:rPr>
        <w:t>sus funciones, no puede ser sujeto activo de esta conducta</w:t>
      </w:r>
      <w:r>
        <w:rPr>
          <w:rStyle w:val="Refdenotaalpie"/>
          <w:rFonts w:ascii="Verdana" w:hAnsi="Verdana"/>
          <w:color w:val="000000"/>
        </w:rPr>
        <w:footnoteReference w:id="8"/>
      </w:r>
      <w:r>
        <w:rPr>
          <w:rFonts w:ascii="Verdana" w:hAnsi="Verdana"/>
          <w:color w:val="000000"/>
        </w:rPr>
        <w:t xml:space="preserve">. En suma, bajo el principio de responsabilidad de los servidores públicos de que trata el artículo 6 de la </w:t>
      </w:r>
      <w:r>
        <w:rPr>
          <w:rFonts w:ascii="Verdana" w:hAnsi="Verdana"/>
          <w:color w:val="000000"/>
        </w:rPr>
        <w:lastRenderedPageBreak/>
        <w:t>Constitución Política de 1991, el artículo 410 del Código Penal tiene como objetivo el respeto a la legalidad contractual</w:t>
      </w:r>
      <w:r>
        <w:rPr>
          <w:rStyle w:val="Refdenotaalpie"/>
          <w:rFonts w:ascii="Verdana" w:hAnsi="Verdana"/>
          <w:color w:val="000000"/>
        </w:rPr>
        <w:footnoteReference w:id="9"/>
      </w:r>
      <w:r>
        <w:rPr>
          <w:rFonts w:ascii="Verdana" w:hAnsi="Verdana"/>
          <w:color w:val="000000"/>
        </w:rPr>
        <w:t>.</w:t>
      </w:r>
    </w:p>
    <w:p w14:paraId="30E965A9" w14:textId="77777777" w:rsidR="0036004A" w:rsidRDefault="0036004A" w:rsidP="0036004A">
      <w:pPr>
        <w:spacing w:after="120" w:line="276" w:lineRule="auto"/>
        <w:jc w:val="both"/>
        <w:rPr>
          <w:rFonts w:ascii="Verdana" w:eastAsia="Calibri" w:hAnsi="Verdana" w:cs="Arial"/>
          <w:color w:val="000000" w:themeColor="text1"/>
        </w:rPr>
      </w:pPr>
      <w:r>
        <w:rPr>
          <w:rFonts w:ascii="Verdana" w:hAnsi="Verdana"/>
          <w:color w:val="000000"/>
        </w:rPr>
        <w:tab/>
        <w:t>No obstante, ninguna norma del ordenamiento jurídico le asigna atribuciones a esta entidad para comprometerse a</w:t>
      </w:r>
      <w:r w:rsidRPr="0011672F">
        <w:rPr>
          <w:rFonts w:ascii="Verdana" w:hAnsi="Verdana"/>
          <w:color w:val="000000"/>
        </w:rPr>
        <w:t xml:space="preserve"> minimizar el impacto </w:t>
      </w:r>
      <w:r>
        <w:rPr>
          <w:rFonts w:ascii="Verdana" w:hAnsi="Verdana"/>
          <w:color w:val="000000"/>
        </w:rPr>
        <w:t>del delito</w:t>
      </w:r>
      <w:r w:rsidRPr="0011672F">
        <w:rPr>
          <w:rFonts w:ascii="Verdana" w:hAnsi="Verdana"/>
          <w:color w:val="000000"/>
        </w:rPr>
        <w:t xml:space="preserve"> </w:t>
      </w:r>
      <w:r>
        <w:rPr>
          <w:rFonts w:ascii="Verdana" w:eastAsia="Calibri" w:hAnsi="Verdana" w:cs="Arial"/>
          <w:lang w:val="es-ES"/>
        </w:rPr>
        <w:t>de contrato sin cumplimiento de requisitos legales en</w:t>
      </w:r>
      <w:r w:rsidRPr="0011672F">
        <w:rPr>
          <w:rFonts w:ascii="Verdana" w:hAnsi="Verdana"/>
          <w:color w:val="000000"/>
        </w:rPr>
        <w:t xml:space="preserve"> las entidades públicas</w:t>
      </w:r>
      <w:r>
        <w:rPr>
          <w:rFonts w:ascii="Verdana" w:hAnsi="Verdana"/>
          <w:color w:val="000000"/>
        </w:rPr>
        <w:t xml:space="preserve">. </w:t>
      </w:r>
      <w:r>
        <w:rPr>
          <w:rFonts w:ascii="Verdana" w:eastAsia="Calibri" w:hAnsi="Verdana" w:cs="Arial"/>
          <w:color w:val="000000" w:themeColor="text1"/>
        </w:rPr>
        <w:t>L</w:t>
      </w:r>
      <w:r w:rsidRPr="00651574">
        <w:rPr>
          <w:rFonts w:ascii="Verdana" w:eastAsia="Calibri" w:hAnsi="Verdana" w:cs="Arial"/>
          <w:color w:val="000000" w:themeColor="text1"/>
        </w:rPr>
        <w:t xml:space="preserve">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al ser consciente de la necesidad de contar en la estructura del Estado con un órgano técnico especializado que asumiera la tarea de </w:t>
      </w:r>
      <w:r>
        <w:rPr>
          <w:rFonts w:ascii="Verdana" w:eastAsia="Calibri" w:hAnsi="Verdana" w:cs="Arial"/>
          <w:color w:val="000000" w:themeColor="text1"/>
        </w:rPr>
        <w:t>asesorar a las entidades públicas en la formulación de</w:t>
      </w:r>
      <w:r w:rsidRPr="00651574">
        <w:rPr>
          <w:rFonts w:ascii="Verdana" w:eastAsia="Calibri" w:hAnsi="Verdana" w:cs="Arial"/>
          <w:color w:val="000000" w:themeColor="text1"/>
        </w:rPr>
        <w:t xml:space="preserve"> políticas </w:t>
      </w:r>
      <w:r>
        <w:rPr>
          <w:rFonts w:ascii="Verdana" w:eastAsia="Calibri" w:hAnsi="Verdana" w:cs="Arial"/>
          <w:color w:val="000000" w:themeColor="text1"/>
        </w:rPr>
        <w:t>y</w:t>
      </w:r>
      <w:r w:rsidRPr="00651574">
        <w:rPr>
          <w:rFonts w:ascii="Verdana" w:eastAsia="Calibri" w:hAnsi="Verdana" w:cs="Arial"/>
          <w:color w:val="000000" w:themeColor="text1"/>
        </w:rPr>
        <w:t xml:space="preserve"> normas </w:t>
      </w:r>
      <w:r>
        <w:rPr>
          <w:rFonts w:ascii="Verdana" w:eastAsia="Calibri" w:hAnsi="Verdana" w:cs="Arial"/>
          <w:color w:val="000000" w:themeColor="text1"/>
        </w:rPr>
        <w:t>para</w:t>
      </w:r>
      <w:r w:rsidRPr="00651574">
        <w:rPr>
          <w:rFonts w:ascii="Verdana" w:eastAsia="Calibri" w:hAnsi="Verdana" w:cs="Arial"/>
          <w:color w:val="000000" w:themeColor="text1"/>
        </w:rPr>
        <w:t xml:space="preserve"> unificar los procesos de contratación estatal</w:t>
      </w:r>
      <w:r>
        <w:rPr>
          <w:rFonts w:ascii="Verdana" w:eastAsia="Calibri" w:hAnsi="Verdana" w:cs="Arial"/>
          <w:color w:val="000000" w:themeColor="text1"/>
        </w:rPr>
        <w:t xml:space="preserve">. En este contexto, las competencias de la Agencia no se extienden a la represión de delitos contra la administración pública, pues es una autoridad administrativa y, por tanto, al carecer de funciones jurisdiccionales, no puede juzgar si la conducta de los servidores públicos es ajustada o no a la legalidad. </w:t>
      </w:r>
    </w:p>
    <w:p w14:paraId="04EDC2AA" w14:textId="77777777" w:rsidR="0036004A" w:rsidRPr="00856F20" w:rsidRDefault="0036004A" w:rsidP="0036004A">
      <w:pPr>
        <w:tabs>
          <w:tab w:val="left" w:pos="426"/>
        </w:tabs>
        <w:spacing w:after="0" w:line="276" w:lineRule="auto"/>
        <w:jc w:val="both"/>
        <w:rPr>
          <w:rFonts w:ascii="Verdana" w:eastAsia="Calibri" w:hAnsi="Verdana" w:cs="Arial"/>
          <w:bCs/>
          <w:lang w:val="es-ES_tradnl"/>
        </w:rPr>
      </w:pPr>
      <w:r>
        <w:rPr>
          <w:rFonts w:ascii="Verdana" w:eastAsia="Calibri" w:hAnsi="Verdana" w:cs="Arial"/>
          <w:color w:val="000000" w:themeColor="text1"/>
        </w:rPr>
        <w:tab/>
      </w:r>
      <w:r>
        <w:rPr>
          <w:rFonts w:ascii="Verdana" w:eastAsia="Calibri" w:hAnsi="Verdana" w:cs="Arial"/>
          <w:color w:val="000000" w:themeColor="text1"/>
        </w:rPr>
        <w:tab/>
        <w:t xml:space="preserve">Aunque la entidad tiene asignadas funciones consultivas, los conceptos expedidos carecen de fuerza obligatoria para la demás autoridades públicas. </w:t>
      </w:r>
      <w:r w:rsidRPr="00856F20">
        <w:rPr>
          <w:rFonts w:ascii="Verdana" w:eastAsia="Calibri" w:hAnsi="Verdana" w:cs="Arial"/>
          <w:bCs/>
          <w:lang w:val="es-ES_tradnl"/>
        </w:rPr>
        <w:t>En ejercicio de las competencias consagradas en los artículos 3, numeral 5, 11, numeral 8, 12, numeral 6, y 13, numeral 4, del Decreto 4170 de 2011, la Agencia Nacional de Contratación Pública – Colombia Compra Eficiente resuelve consultas sobre los asuntos de su competencia, esto es, sobre las normas que conforman el sistema de compras y contratación pública. Esta competencia consultiva se relaciona con el artículo 28 de la Ley 1437 de 2011, sustituido por el artículo 1 de la Ley 1755, que dispone lo siguiente:</w:t>
      </w:r>
    </w:p>
    <w:p w14:paraId="3051A510" w14:textId="77777777" w:rsidR="0036004A" w:rsidRPr="00856F20" w:rsidRDefault="0036004A" w:rsidP="0036004A">
      <w:pPr>
        <w:tabs>
          <w:tab w:val="left" w:pos="426"/>
        </w:tabs>
        <w:spacing w:after="0" w:line="276" w:lineRule="auto"/>
        <w:jc w:val="both"/>
        <w:rPr>
          <w:rFonts w:ascii="Verdana" w:eastAsia="Calibri" w:hAnsi="Verdana" w:cs="Arial"/>
          <w:bCs/>
          <w:lang w:val="es-ES_tradnl"/>
        </w:rPr>
      </w:pPr>
    </w:p>
    <w:p w14:paraId="47361E38" w14:textId="77777777" w:rsidR="0036004A" w:rsidRPr="00856F20" w:rsidRDefault="0036004A" w:rsidP="0036004A">
      <w:pPr>
        <w:tabs>
          <w:tab w:val="left" w:pos="426"/>
        </w:tabs>
        <w:spacing w:after="0" w:line="240" w:lineRule="auto"/>
        <w:ind w:left="709" w:right="709"/>
        <w:jc w:val="both"/>
        <w:rPr>
          <w:rFonts w:ascii="Verdana" w:eastAsia="Calibri" w:hAnsi="Verdana" w:cs="Arial"/>
          <w:bCs/>
          <w:sz w:val="21"/>
          <w:szCs w:val="21"/>
          <w:lang w:val="es-ES_tradnl"/>
        </w:rPr>
      </w:pPr>
      <w:r>
        <w:rPr>
          <w:rFonts w:ascii="Verdana" w:eastAsia="Calibri" w:hAnsi="Verdana" w:cs="Arial"/>
          <w:bCs/>
          <w:sz w:val="21"/>
          <w:szCs w:val="21"/>
          <w:lang w:val="es-ES_tradnl"/>
        </w:rPr>
        <w:t>“</w:t>
      </w:r>
      <w:r w:rsidRPr="00856F20">
        <w:rPr>
          <w:rFonts w:ascii="Verdana" w:eastAsia="Calibri" w:hAnsi="Verdana" w:cs="Arial"/>
          <w:bCs/>
          <w:sz w:val="21"/>
          <w:szCs w:val="21"/>
          <w:lang w:val="es-ES_tradnl"/>
        </w:rPr>
        <w:t>Artículo 28. Alcance de los conceptos. Salvo disposición legal en contrario, los conceptos emitidos por las autoridades como respuestas a peticiones realizadas en ejercicio del derecho a formular consultas no serán de obligatorio cumplimiento o ejecución</w:t>
      </w:r>
      <w:r>
        <w:rPr>
          <w:rFonts w:ascii="Verdana" w:eastAsia="Calibri" w:hAnsi="Verdana" w:cs="Arial"/>
          <w:bCs/>
          <w:sz w:val="21"/>
          <w:szCs w:val="21"/>
          <w:lang w:val="es-ES_tradnl"/>
        </w:rPr>
        <w:t>”</w:t>
      </w:r>
      <w:r w:rsidRPr="00856F20">
        <w:rPr>
          <w:rFonts w:ascii="Verdana" w:eastAsia="Calibri" w:hAnsi="Verdana" w:cs="Arial"/>
          <w:bCs/>
          <w:sz w:val="21"/>
          <w:szCs w:val="21"/>
          <w:lang w:val="es-ES_tradnl"/>
        </w:rPr>
        <w:t xml:space="preserve">.  </w:t>
      </w:r>
    </w:p>
    <w:p w14:paraId="02322828" w14:textId="77777777" w:rsidR="0036004A" w:rsidRPr="00856F20" w:rsidRDefault="0036004A" w:rsidP="0036004A">
      <w:pPr>
        <w:tabs>
          <w:tab w:val="left" w:pos="426"/>
        </w:tabs>
        <w:spacing w:after="0" w:line="276" w:lineRule="auto"/>
        <w:jc w:val="both"/>
        <w:rPr>
          <w:rFonts w:ascii="Verdana" w:eastAsia="Calibri" w:hAnsi="Verdana" w:cs="Arial"/>
          <w:bCs/>
          <w:lang w:val="es-ES_tradnl"/>
        </w:rPr>
      </w:pPr>
    </w:p>
    <w:p w14:paraId="593B49E4" w14:textId="77777777" w:rsidR="0036004A" w:rsidRPr="00856F20" w:rsidRDefault="0036004A" w:rsidP="0036004A">
      <w:pPr>
        <w:tabs>
          <w:tab w:val="left" w:pos="709"/>
        </w:tabs>
        <w:spacing w:line="276" w:lineRule="auto"/>
        <w:jc w:val="both"/>
        <w:rPr>
          <w:rFonts w:ascii="Verdana" w:eastAsia="Calibri" w:hAnsi="Verdana" w:cs="Arial"/>
          <w:bCs/>
          <w:lang w:val="es-ES_tradnl"/>
        </w:rPr>
      </w:pPr>
      <w:r w:rsidRPr="00856F20">
        <w:rPr>
          <w:rFonts w:ascii="Verdana" w:eastAsia="Calibri" w:hAnsi="Verdana" w:cs="Arial"/>
          <w:bCs/>
          <w:lang w:val="es-ES_tradnl"/>
        </w:rPr>
        <w:tab/>
        <w:t>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tienen respecto del ordenamiento jurídico. Esto explica por qué esta Agencia, reiteradamente, no resuelve controversias concretas ni brinda asesorías puntuales a los partícipes de la contratación estatal.</w:t>
      </w:r>
    </w:p>
    <w:p w14:paraId="528E94FC" w14:textId="77777777" w:rsidR="0036004A" w:rsidRPr="00856F20" w:rsidRDefault="0036004A" w:rsidP="0036004A">
      <w:pPr>
        <w:tabs>
          <w:tab w:val="left" w:pos="709"/>
        </w:tabs>
        <w:spacing w:before="120" w:line="276" w:lineRule="auto"/>
        <w:jc w:val="both"/>
        <w:rPr>
          <w:rFonts w:ascii="Verdana" w:eastAsia="Calibri" w:hAnsi="Verdana" w:cs="Arial"/>
          <w:bCs/>
          <w:sz w:val="21"/>
          <w:szCs w:val="21"/>
          <w:lang w:val="es-ES_tradnl"/>
        </w:rPr>
      </w:pPr>
      <w:r w:rsidRPr="00856F20">
        <w:rPr>
          <w:rFonts w:ascii="Verdana" w:eastAsia="Calibri" w:hAnsi="Verdana" w:cs="Arial"/>
          <w:bCs/>
          <w:lang w:val="es-ES_tradnl"/>
        </w:rPr>
        <w:tab/>
        <w:t xml:space="preserve">Esta posición es compartida por varias entidades públicas que ejercen la misma función. Por ejemplo, la Procuraduría General de la Nación aclaró que el concepto </w:t>
      </w:r>
      <w:r>
        <w:rPr>
          <w:rFonts w:ascii="Verdana" w:eastAsia="Calibri" w:hAnsi="Verdana" w:cs="Arial"/>
          <w:bCs/>
          <w:lang w:val="es-ES_tradnl"/>
        </w:rPr>
        <w:t>“</w:t>
      </w:r>
      <w:r w:rsidRPr="00856F20">
        <w:rPr>
          <w:rFonts w:ascii="Verdana" w:eastAsia="Calibri" w:hAnsi="Verdana" w:cs="Arial"/>
          <w:bCs/>
          <w:lang w:val="es-ES_tradnl"/>
        </w:rPr>
        <w:t>sólo constituye un criterio auxiliar de interpretación y que no tiene carácter vinculante de acuerdo con lo dispuesto en los artículos 230 de la Constitución Política, 5° de la Ley 153 de 1887 y 28 de la ley 1437 de 2011</w:t>
      </w:r>
      <w:r>
        <w:rPr>
          <w:rFonts w:ascii="Verdana" w:eastAsia="Calibri" w:hAnsi="Verdana" w:cs="Arial"/>
          <w:bCs/>
          <w:lang w:val="es-ES_tradnl"/>
        </w:rPr>
        <w:t>”</w:t>
      </w:r>
      <w:r w:rsidRPr="00856F20">
        <w:rPr>
          <w:rStyle w:val="Refdenotaalpie"/>
          <w:rFonts w:ascii="Verdana" w:eastAsia="Calibri" w:hAnsi="Verdana" w:cs="Arial"/>
          <w:bCs/>
          <w:lang w:val="es-ES_tradnl"/>
        </w:rPr>
        <w:footnoteReference w:id="10"/>
      </w:r>
      <w:r w:rsidRPr="00856F20">
        <w:rPr>
          <w:rFonts w:ascii="Verdana" w:eastAsia="Calibri" w:hAnsi="Verdana" w:cs="Arial"/>
          <w:bCs/>
          <w:lang w:val="es-ES_tradnl"/>
        </w:rPr>
        <w:t>. Igualmente, en concepto del año 2017</w:t>
      </w:r>
      <w:r w:rsidRPr="00856F20">
        <w:rPr>
          <w:rStyle w:val="Refdenotaalpie"/>
          <w:rFonts w:ascii="Verdana" w:eastAsia="Calibri" w:hAnsi="Verdana" w:cs="Arial"/>
          <w:bCs/>
          <w:lang w:val="es-ES_tradnl"/>
        </w:rPr>
        <w:footnoteReference w:id="11"/>
      </w:r>
      <w:r w:rsidRPr="00856F20">
        <w:rPr>
          <w:rFonts w:ascii="Verdana" w:eastAsia="Calibri" w:hAnsi="Verdana" w:cs="Arial"/>
          <w:bCs/>
          <w:lang w:val="es-ES_tradnl"/>
        </w:rPr>
        <w:t xml:space="preserve">, la Contraloría General de la República precisó que los </w:t>
      </w:r>
      <w:r>
        <w:rPr>
          <w:rFonts w:ascii="Verdana" w:eastAsia="Calibri" w:hAnsi="Verdana" w:cs="Arial"/>
          <w:bCs/>
          <w:lang w:val="es-ES_tradnl"/>
        </w:rPr>
        <w:t>“</w:t>
      </w:r>
      <w:r w:rsidRPr="00856F20">
        <w:rPr>
          <w:rFonts w:ascii="Verdana" w:eastAsia="Calibri" w:hAnsi="Verdana" w:cs="Arial"/>
          <w:bCs/>
          <w:lang w:val="es-ES_tradnl"/>
        </w:rPr>
        <w:t>[…]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r>
        <w:rPr>
          <w:rFonts w:ascii="Verdana" w:eastAsia="Calibri" w:hAnsi="Verdana" w:cs="Arial"/>
          <w:bCs/>
          <w:lang w:val="es-ES_tradnl"/>
        </w:rPr>
        <w:t>”</w:t>
      </w:r>
      <w:r w:rsidRPr="00856F20">
        <w:rPr>
          <w:rFonts w:ascii="Verdana" w:eastAsia="Calibri" w:hAnsi="Verdana" w:cs="Arial"/>
          <w:bCs/>
          <w:lang w:val="es-ES_tradnl"/>
        </w:rPr>
        <w:t>.</w:t>
      </w:r>
    </w:p>
    <w:p w14:paraId="42F65A45" w14:textId="77777777" w:rsidR="0036004A" w:rsidRPr="00856F20" w:rsidRDefault="0036004A" w:rsidP="0036004A">
      <w:pPr>
        <w:tabs>
          <w:tab w:val="left" w:pos="709"/>
        </w:tabs>
        <w:spacing w:before="120" w:line="276" w:lineRule="auto"/>
        <w:jc w:val="both"/>
        <w:rPr>
          <w:rFonts w:ascii="Verdana" w:eastAsia="Calibri" w:hAnsi="Verdana" w:cs="Arial"/>
          <w:bCs/>
          <w:lang w:val="es-ES_tradnl"/>
        </w:rPr>
      </w:pPr>
      <w:r w:rsidRPr="00856F20">
        <w:rPr>
          <w:rFonts w:ascii="Verdana" w:eastAsia="Calibri" w:hAnsi="Verdana" w:cs="Arial"/>
          <w:bCs/>
          <w:lang w:val="es-ES_tradnl"/>
        </w:rPr>
        <w:tab/>
        <w:t xml:space="preserve">En términos generales,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o asumir la </w:t>
      </w:r>
      <w:r w:rsidRPr="00856F20">
        <w:rPr>
          <w:rFonts w:ascii="Verdana" w:eastAsia="Calibri" w:hAnsi="Verdana" w:cs="Arial"/>
          <w:bCs/>
          <w:i/>
          <w:iCs/>
          <w:lang w:val="es-ES_tradnl"/>
        </w:rPr>
        <w:t>única</w:t>
      </w:r>
      <w:r w:rsidRPr="00856F20">
        <w:rPr>
          <w:rFonts w:ascii="Verdana" w:eastAsia="Calibri" w:hAnsi="Verdana" w:cs="Arial"/>
          <w:bCs/>
          <w:lang w:val="es-ES_tradnl"/>
        </w:rPr>
        <w:t xml:space="preserve"> posible interpretación de una disposición normativa. Esto no descarta que, en la práctica, al emitirse la opinión sobre la interpretación del ordenamiento jurídico, exista coincidencia con el criterio que expone alguna de </w:t>
      </w:r>
      <w:r w:rsidRPr="00856F20">
        <w:rPr>
          <w:rFonts w:ascii="Verdana" w:eastAsia="Calibri" w:hAnsi="Verdana" w:cs="Arial"/>
          <w:bCs/>
          <w:lang w:val="es-ES_tradnl"/>
        </w:rPr>
        <w:lastRenderedPageBreak/>
        <w:t>las partes o la persona que solicita la consulta, circunstancia que no descarta interpretaciones diferentes</w:t>
      </w:r>
      <w:r w:rsidRPr="00856F20">
        <w:rPr>
          <w:rStyle w:val="Refdenotaalpie"/>
          <w:rFonts w:ascii="Verdana" w:eastAsia="Calibri" w:hAnsi="Verdana" w:cs="Arial"/>
          <w:bCs/>
          <w:lang w:val="es-ES_tradnl"/>
        </w:rPr>
        <w:footnoteReference w:id="12"/>
      </w:r>
      <w:r w:rsidRPr="00856F20">
        <w:rPr>
          <w:rFonts w:ascii="Verdana" w:eastAsia="Calibri" w:hAnsi="Verdana" w:cs="Arial"/>
          <w:bCs/>
          <w:lang w:val="es-ES_tradnl"/>
        </w:rPr>
        <w:t>.</w:t>
      </w:r>
    </w:p>
    <w:p w14:paraId="7FF1D0EB" w14:textId="77777777" w:rsidR="0036004A" w:rsidRPr="00856F20" w:rsidRDefault="0036004A" w:rsidP="10BCB27A">
      <w:pPr>
        <w:tabs>
          <w:tab w:val="left" w:pos="709"/>
        </w:tabs>
        <w:spacing w:before="120" w:line="276" w:lineRule="auto"/>
        <w:ind w:firstLine="709"/>
        <w:jc w:val="both"/>
        <w:rPr>
          <w:rFonts w:ascii="Verdana" w:eastAsia="Calibri" w:hAnsi="Verdana" w:cs="Arial"/>
          <w:lang w:val="es-ES"/>
        </w:rPr>
      </w:pPr>
      <w:r w:rsidRPr="10BCB27A">
        <w:rPr>
          <w:rFonts w:ascii="Verdana" w:eastAsia="Calibri" w:hAnsi="Verdana" w:cs="Arial"/>
          <w:lang w:val="es-ES"/>
        </w:rPr>
        <w:t xml:space="preserve">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De todos modos, esto no significa que el criterio de una u otra tenga validez o prevalencia sobre la otra, ya que se trata de opiniones emitidas a título de concepto, pese a que entre las entidades exista una jerarquía o de la naturaleza y competencias que se prediquen de una y otra. Incluso, aun cuando los jueces interpreten con autoridad el sentido de la disposición normativa, el concepto emitido por la entidad no deja de ser tal y no adquiere efectos vinculantes, por más que coincida con el de la autoridad judicial, pues, en esa hipótesis, lo que vincula es la decisión del juez, no el de la entidad que ejerció la función consultiva, pues, como se viene diciendo, dicha competencia se enmarca en el artículo 28 de la Ley 1437 de 2011. En otras palabras, los conceptos “no serán de obligatorio cumplimiento o ejecución”. </w:t>
      </w:r>
    </w:p>
    <w:p w14:paraId="7AE8CEFD" w14:textId="77777777" w:rsidR="0036004A" w:rsidRPr="00856F20" w:rsidRDefault="0036004A" w:rsidP="0036004A">
      <w:pPr>
        <w:tabs>
          <w:tab w:val="left" w:pos="709"/>
        </w:tabs>
        <w:spacing w:before="120" w:after="0" w:line="276" w:lineRule="auto"/>
        <w:jc w:val="both"/>
        <w:rPr>
          <w:rFonts w:ascii="Verdana" w:eastAsia="Calibri" w:hAnsi="Verdana" w:cs="Arial"/>
          <w:bCs/>
          <w:lang w:val="es-ES_tradnl"/>
        </w:rPr>
      </w:pPr>
      <w:r w:rsidRPr="00856F20">
        <w:rPr>
          <w:rFonts w:ascii="Verdana" w:eastAsia="Calibri" w:hAnsi="Verdana" w:cs="Arial"/>
          <w:bCs/>
          <w:lang w:val="es-ES_tradnl"/>
        </w:rPr>
        <w:tab/>
        <w:t xml:space="preserve">En similares términos, el artículo 112 de la Ley 1437 de 2011 establece, en relación con la Sala de Consulta y Servicio Civil, que </w:t>
      </w:r>
      <w:r>
        <w:rPr>
          <w:rFonts w:ascii="Verdana" w:eastAsia="Calibri" w:hAnsi="Verdana" w:cs="Arial"/>
          <w:bCs/>
          <w:lang w:val="es-ES_tradnl"/>
        </w:rPr>
        <w:t>“</w:t>
      </w:r>
      <w:r w:rsidRPr="00856F20">
        <w:rPr>
          <w:rFonts w:ascii="Verdana" w:eastAsia="Calibri" w:hAnsi="Verdana" w:cs="Arial"/>
          <w:bCs/>
          <w:lang w:val="es-ES_tradnl"/>
        </w:rPr>
        <w:t>los conceptos de la Sala no serán vinculantes, salvo que la ley disponga lo contrario</w:t>
      </w:r>
      <w:r>
        <w:rPr>
          <w:rFonts w:ascii="Verdana" w:eastAsia="Calibri" w:hAnsi="Verdana" w:cs="Arial"/>
          <w:bCs/>
          <w:lang w:val="es-ES_tradnl"/>
        </w:rPr>
        <w:t>”</w:t>
      </w:r>
      <w:r w:rsidRPr="00856F20">
        <w:rPr>
          <w:rStyle w:val="Refdenotaalpie"/>
          <w:rFonts w:ascii="Verdana" w:eastAsia="Calibri" w:hAnsi="Verdana" w:cs="Arial"/>
          <w:bCs/>
          <w:lang w:val="es-ES_tradnl"/>
        </w:rPr>
        <w:footnoteReference w:id="13"/>
      </w:r>
      <w:r w:rsidRPr="00856F20">
        <w:rPr>
          <w:rFonts w:ascii="Verdana" w:eastAsia="Calibri" w:hAnsi="Verdana" w:cs="Arial"/>
          <w:bCs/>
          <w:lang w:val="es-ES_tradnl"/>
        </w:rPr>
        <w:t xml:space="preserve">. Se trata, </w:t>
      </w:r>
      <w:r w:rsidRPr="00856F20">
        <w:rPr>
          <w:rFonts w:ascii="Verdana" w:eastAsia="Calibri" w:hAnsi="Verdana" w:cs="Arial"/>
          <w:bCs/>
          <w:i/>
          <w:iCs/>
          <w:lang w:val="es-ES_tradnl"/>
        </w:rPr>
        <w:t>mutatis mutandis</w:t>
      </w:r>
      <w:r w:rsidRPr="00856F20">
        <w:rPr>
          <w:rFonts w:ascii="Verdana" w:eastAsia="Calibri" w:hAnsi="Verdana" w:cs="Arial"/>
          <w:bCs/>
          <w:lang w:val="es-ES_tradnl"/>
        </w:rPr>
        <w:t>,</w:t>
      </w:r>
      <w:r w:rsidRPr="00856F20">
        <w:rPr>
          <w:rFonts w:ascii="Verdana" w:eastAsia="Calibri" w:hAnsi="Verdana" w:cs="Arial"/>
          <w:bCs/>
          <w:i/>
          <w:iCs/>
          <w:lang w:val="es-ES_tradnl"/>
        </w:rPr>
        <w:t xml:space="preserve"> </w:t>
      </w:r>
      <w:r w:rsidRPr="00856F20">
        <w:rPr>
          <w:rFonts w:ascii="Verdana" w:eastAsia="Calibri" w:hAnsi="Verdana" w:cs="Arial"/>
          <w:bCs/>
          <w:lang w:val="es-ES_tradnl"/>
        </w:rPr>
        <w:t>del ejercicio de una función consultiva, cuyos efectos, por ende, serán los mismos: no vinculantes ni de obligatorio cumplimiento. En relación con el tema, la Sala de Consulta y Servicio Civil del Consejo de Estado, se pronunció en los siguientes términos:</w:t>
      </w:r>
    </w:p>
    <w:p w14:paraId="5059B745" w14:textId="77777777" w:rsidR="0036004A" w:rsidRPr="00856F20" w:rsidRDefault="0036004A" w:rsidP="0036004A">
      <w:pPr>
        <w:tabs>
          <w:tab w:val="left" w:pos="426"/>
        </w:tabs>
        <w:spacing w:after="0" w:line="276" w:lineRule="auto"/>
        <w:jc w:val="both"/>
        <w:rPr>
          <w:rFonts w:ascii="Verdana" w:eastAsia="Calibri" w:hAnsi="Verdana" w:cs="Arial"/>
          <w:bCs/>
          <w:lang w:val="es-ES_tradnl"/>
        </w:rPr>
      </w:pPr>
    </w:p>
    <w:p w14:paraId="1CD8B98B" w14:textId="77777777" w:rsidR="0036004A" w:rsidRPr="00856F20" w:rsidRDefault="0036004A" w:rsidP="0036004A">
      <w:pPr>
        <w:tabs>
          <w:tab w:val="left" w:pos="426"/>
        </w:tabs>
        <w:spacing w:after="120" w:line="240" w:lineRule="auto"/>
        <w:ind w:left="709" w:right="709"/>
        <w:jc w:val="both"/>
        <w:rPr>
          <w:rFonts w:ascii="Verdana" w:eastAsia="Calibri" w:hAnsi="Verdana" w:cs="Arial"/>
          <w:bCs/>
          <w:sz w:val="21"/>
          <w:szCs w:val="21"/>
          <w:lang w:val="es-ES_tradnl"/>
        </w:rPr>
      </w:pPr>
      <w:r>
        <w:rPr>
          <w:rFonts w:ascii="Verdana" w:eastAsia="Calibri" w:hAnsi="Verdana" w:cs="Arial"/>
          <w:bCs/>
          <w:sz w:val="21"/>
          <w:szCs w:val="21"/>
          <w:lang w:val="es-ES_tradnl"/>
        </w:rPr>
        <w:lastRenderedPageBreak/>
        <w:t>“</w:t>
      </w:r>
      <w:r w:rsidRPr="00856F20">
        <w:rPr>
          <w:rFonts w:ascii="Verdana" w:eastAsia="Calibri" w:hAnsi="Verdana" w:cs="Arial"/>
          <w:bCs/>
          <w:sz w:val="21"/>
          <w:szCs w:val="21"/>
          <w:lang w:val="es-ES_tradnl"/>
        </w:rPr>
        <w:t xml:space="preserve">De otra parte, recuerda la Sala que la función consultiva no constituye un trámite controversial de tipo judicial; se encuentra establecida como un mecanismo constitucional dirigido a asegurar que la actuación de la Administración se adecue al ordenamiento jurídico y al interés general por el que le corresponde velar en el ejercicio de sus funciones. La defensa del ordenamiento jurídico por esta vía se realiza a través de un órgano independiente y autónomo del poder judicial, que actúa por tanto con independencia de criterios, dentro de una lógica de colaboración armónica de poderes (art.113 C.P).  </w:t>
      </w:r>
    </w:p>
    <w:p w14:paraId="4152DD6B" w14:textId="77777777" w:rsidR="0036004A" w:rsidRPr="00856F20" w:rsidRDefault="0036004A" w:rsidP="0036004A">
      <w:pPr>
        <w:tabs>
          <w:tab w:val="left" w:pos="426"/>
        </w:tabs>
        <w:spacing w:after="0" w:line="240" w:lineRule="auto"/>
        <w:ind w:left="709" w:right="709"/>
        <w:jc w:val="both"/>
        <w:rPr>
          <w:rFonts w:ascii="Verdana" w:eastAsia="Calibri" w:hAnsi="Verdana" w:cs="Arial"/>
          <w:bCs/>
          <w:sz w:val="21"/>
          <w:szCs w:val="21"/>
          <w:lang w:val="es-ES_tradnl"/>
        </w:rPr>
      </w:pPr>
      <w:r w:rsidRPr="00856F20">
        <w:rPr>
          <w:rFonts w:ascii="Verdana" w:eastAsia="Calibri" w:hAnsi="Verdana" w:cs="Arial"/>
          <w:bCs/>
          <w:sz w:val="21"/>
          <w:szCs w:val="21"/>
          <w:lang w:val="es-ES_tradnl"/>
        </w:rPr>
        <w:t>No se trata entonces de dar la razón a una u otra posición en temas controvertibles, sino de rendir un concepto jurídico que sirva a la Administración en la búsqueda del cumplimiento de las finalidades esenciales del Estado</w:t>
      </w:r>
      <w:r>
        <w:rPr>
          <w:rFonts w:ascii="Verdana" w:eastAsia="Calibri" w:hAnsi="Verdana" w:cs="Arial"/>
          <w:bCs/>
          <w:sz w:val="21"/>
          <w:szCs w:val="21"/>
          <w:lang w:val="es-ES_tradnl"/>
        </w:rPr>
        <w:t>”</w:t>
      </w:r>
      <w:r w:rsidRPr="00856F20">
        <w:rPr>
          <w:rStyle w:val="Refdenotaalpie"/>
          <w:rFonts w:ascii="Verdana" w:eastAsia="Calibri" w:hAnsi="Verdana" w:cs="Arial"/>
          <w:bCs/>
          <w:sz w:val="21"/>
          <w:szCs w:val="21"/>
          <w:lang w:val="es-ES_tradnl"/>
        </w:rPr>
        <w:footnoteReference w:id="14"/>
      </w:r>
      <w:r w:rsidRPr="00856F20">
        <w:rPr>
          <w:rFonts w:ascii="Verdana" w:eastAsia="Calibri" w:hAnsi="Verdana" w:cs="Arial"/>
          <w:bCs/>
          <w:sz w:val="21"/>
          <w:szCs w:val="21"/>
          <w:lang w:val="es-ES_tradnl"/>
        </w:rPr>
        <w:t>.</w:t>
      </w:r>
    </w:p>
    <w:p w14:paraId="23051622" w14:textId="77777777" w:rsidR="0036004A" w:rsidRPr="00856F20" w:rsidRDefault="0036004A" w:rsidP="0036004A">
      <w:pPr>
        <w:tabs>
          <w:tab w:val="left" w:pos="426"/>
        </w:tabs>
        <w:spacing w:after="0" w:line="276" w:lineRule="auto"/>
        <w:jc w:val="both"/>
        <w:rPr>
          <w:rFonts w:ascii="Verdana" w:eastAsia="Calibri" w:hAnsi="Verdana" w:cs="Arial"/>
          <w:bCs/>
          <w:lang w:val="es-ES_tradnl"/>
        </w:rPr>
      </w:pPr>
    </w:p>
    <w:p w14:paraId="152EDC0A" w14:textId="77777777" w:rsidR="0036004A" w:rsidRDefault="0036004A" w:rsidP="0036004A">
      <w:pPr>
        <w:tabs>
          <w:tab w:val="left" w:pos="709"/>
        </w:tabs>
        <w:spacing w:line="276" w:lineRule="auto"/>
        <w:jc w:val="both"/>
        <w:rPr>
          <w:rFonts w:ascii="Verdana" w:eastAsia="Calibri" w:hAnsi="Verdana" w:cs="Arial"/>
          <w:bCs/>
          <w:lang w:val="es-ES_tradnl"/>
        </w:rPr>
      </w:pPr>
      <w:r w:rsidRPr="00856F20">
        <w:rPr>
          <w:rFonts w:ascii="Verdana" w:eastAsia="Calibri" w:hAnsi="Verdana" w:cs="Arial"/>
          <w:bCs/>
          <w:lang w:val="es-ES_tradnl"/>
        </w:rPr>
        <w:tab/>
        <w:t>El ejercicio de la función consultiva del artículo 28 de la Ley 1437 de 2011 descarta la resolución de controversias en curso o de problemas cuyos efectos se concreten. Lo primero, debe manejarlo la propia entidad ante la que se presenta el problema, y lo segundo el juez competente. En últimas, siempre que no exista una decisión judicial vinculante, los destinatarios de la norma serán los que interpreten el ordenamiento jurídico. Así las cosas, a título de ejemplo, si una entidad considera que un término vence en un momento específico, habida cuenta de su lectura exegética de la norma respectiva, pero otra entiende que el término vence en otro momento, amparada en una lectura teleológica del ordenamiento jurídico, serán los destinatarios de dicha norma los que decidirán cuál es la interpretación por la que optan, claro está, sin perjuicio del posterior control judicial que podrá hacerse a solicitud de alguno de los interesados. No se trata, entonces, de jerarquías interpretativas sino de opiniones diferentes. El peso de la interpretación depende de la razonabilidad de los argumentos y de la inteligibilidad de la opinión.</w:t>
      </w:r>
      <w:r>
        <w:rPr>
          <w:rFonts w:ascii="Verdana" w:eastAsia="Calibri" w:hAnsi="Verdana" w:cs="Arial"/>
          <w:bCs/>
          <w:lang w:val="es-ES_tradnl"/>
        </w:rPr>
        <w:t xml:space="preserve"> </w:t>
      </w:r>
    </w:p>
    <w:p w14:paraId="41BC1C43" w14:textId="77777777" w:rsidR="0036004A" w:rsidRDefault="0036004A" w:rsidP="0036004A">
      <w:pPr>
        <w:tabs>
          <w:tab w:val="left" w:pos="709"/>
        </w:tabs>
        <w:spacing w:line="276" w:lineRule="auto"/>
        <w:jc w:val="both"/>
        <w:rPr>
          <w:rFonts w:ascii="Verdana" w:eastAsia="Calibri" w:hAnsi="Verdana" w:cs="Arial"/>
          <w:bCs/>
          <w:lang w:val="es-ES_tradnl"/>
        </w:rPr>
      </w:pPr>
      <w:r>
        <w:rPr>
          <w:rFonts w:ascii="Verdana" w:eastAsia="Calibri" w:hAnsi="Verdana" w:cs="Arial"/>
          <w:bCs/>
          <w:lang w:val="es-ES_tradnl"/>
        </w:rPr>
        <w:tab/>
        <w:t xml:space="preserve">Dentro de este marco, los jueces y fiscales son independientes y autónomos para tipificar la conducta del artículo 410 del Código Penal en función de las circunstancias en que se ejecute la acción punible, sin que la Agencia tenga atribuciones para intervenir al respecto. </w:t>
      </w:r>
      <w:r w:rsidRPr="00DE39CB">
        <w:rPr>
          <w:rFonts w:ascii="Verdana" w:eastAsia="Calibri" w:hAnsi="Verdana" w:cs="Arial"/>
          <w:bCs/>
          <w:lang w:val="es-ES_tradnl"/>
        </w:rPr>
        <w:t xml:space="preserve">Para efectos del procedimiento penal, el inciso 3 del artículo 226 del Código General del Proceso, normativa a la que remite el artículo 25 de la Ley 906 de 2005, establece expresamente que “No serán admisibles los dictámenes periciales que versen sobre puntos de </w:t>
      </w:r>
      <w:r w:rsidRPr="00DE39CB">
        <w:rPr>
          <w:rFonts w:ascii="Verdana" w:eastAsia="Calibri" w:hAnsi="Verdana" w:cs="Arial"/>
          <w:bCs/>
          <w:lang w:val="es-ES_tradnl"/>
        </w:rPr>
        <w:lastRenderedPageBreak/>
        <w:t xml:space="preserve">derecho”. </w:t>
      </w:r>
      <w:r>
        <w:rPr>
          <w:rFonts w:ascii="Verdana" w:eastAsia="Calibri" w:hAnsi="Verdana" w:cs="Arial"/>
          <w:bCs/>
          <w:lang w:val="es-ES_tradnl"/>
        </w:rPr>
        <w:t>En consecuencia</w:t>
      </w:r>
      <w:r w:rsidRPr="00DE39CB">
        <w:rPr>
          <w:rFonts w:ascii="Verdana" w:eastAsia="Calibri" w:hAnsi="Verdana" w:cs="Arial"/>
          <w:bCs/>
          <w:lang w:val="es-ES_tradnl"/>
        </w:rPr>
        <w:t xml:space="preserve">, lo decidido en torno a los procesos </w:t>
      </w:r>
      <w:r>
        <w:rPr>
          <w:rFonts w:ascii="Verdana" w:eastAsia="Calibri" w:hAnsi="Verdana" w:cs="Arial"/>
          <w:bCs/>
          <w:lang w:val="es-ES_tradnl"/>
        </w:rPr>
        <w:t>donde se investigue la presunta comisión del delito de celebración de contrato sin cumplimiento de los requisitos legales</w:t>
      </w:r>
      <w:r w:rsidRPr="00DE39CB">
        <w:rPr>
          <w:rFonts w:ascii="Verdana" w:eastAsia="Calibri" w:hAnsi="Verdana" w:cs="Arial"/>
          <w:bCs/>
          <w:lang w:val="es-ES_tradnl"/>
        </w:rPr>
        <w:t xml:space="preserve"> es responsabilidad única y exclusiva de las instancias judiciales competentes.</w:t>
      </w:r>
    </w:p>
    <w:p w14:paraId="0120ECBE" w14:textId="27B4740E" w:rsidR="004C1F0E" w:rsidRDefault="004C1F0E" w:rsidP="0036004A">
      <w:pPr>
        <w:tabs>
          <w:tab w:val="left" w:pos="709"/>
        </w:tabs>
        <w:spacing w:line="276" w:lineRule="auto"/>
        <w:jc w:val="both"/>
        <w:rPr>
          <w:rFonts w:ascii="Verdana" w:eastAsia="Calibri" w:hAnsi="Verdana" w:cs="Arial"/>
          <w:bCs/>
          <w:color w:val="000000" w:themeColor="text1"/>
        </w:rPr>
      </w:pPr>
      <w:r>
        <w:rPr>
          <w:rFonts w:ascii="Verdana" w:eastAsia="Calibri" w:hAnsi="Verdana" w:cs="Arial"/>
          <w:bCs/>
          <w:lang w:val="es-ES_tradnl"/>
        </w:rPr>
        <w:tab/>
      </w:r>
      <w:r>
        <w:rPr>
          <w:rFonts w:ascii="Verdana" w:eastAsia="Calibri" w:hAnsi="Verdana" w:cs="Arial"/>
          <w:bCs/>
          <w:color w:val="000000" w:themeColor="text1"/>
        </w:rPr>
        <w:t xml:space="preserve">En todo caso, la Fiscalía General de la Nación y la </w:t>
      </w:r>
      <w:r w:rsidRPr="00E4649D">
        <w:rPr>
          <w:rFonts w:ascii="Verdana" w:eastAsia="Calibri" w:hAnsi="Verdana" w:cs="Arial"/>
          <w:bCs/>
          <w:color w:val="000000" w:themeColor="text1"/>
        </w:rPr>
        <w:t>Oficina de las Naciones Unidas</w:t>
      </w:r>
      <w:r>
        <w:rPr>
          <w:rFonts w:ascii="Verdana" w:eastAsia="Calibri" w:hAnsi="Verdana" w:cs="Arial"/>
          <w:bCs/>
          <w:color w:val="000000" w:themeColor="text1"/>
        </w:rPr>
        <w:t xml:space="preserve"> </w:t>
      </w:r>
      <w:r w:rsidRPr="00E4649D">
        <w:rPr>
          <w:rFonts w:ascii="Verdana" w:eastAsia="Calibri" w:hAnsi="Verdana" w:cs="Arial"/>
          <w:bCs/>
          <w:color w:val="000000" w:themeColor="text1"/>
        </w:rPr>
        <w:t>contra la Droga y el Delito</w:t>
      </w:r>
      <w:r>
        <w:rPr>
          <w:rFonts w:ascii="Verdana" w:eastAsia="Calibri" w:hAnsi="Verdana" w:cs="Arial"/>
          <w:bCs/>
          <w:color w:val="000000" w:themeColor="text1"/>
        </w:rPr>
        <w:t xml:space="preserve"> estiman que son formas de corrupción constitutivas de delito, entre otras, las siguientes: i) la elusión de los procedimientos a través del fraccionamiento de contrato, </w:t>
      </w: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el direccionamiento de las adjudicaciones, </w:t>
      </w: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la ejecución de obras sin diseños, </w:t>
      </w: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la ausencia de disponibilidad presupuestal en la apertura del proceso de selección, v) la legalización de hechos cumplidos, vi) la </w:t>
      </w:r>
      <w:r w:rsidRPr="00055436">
        <w:rPr>
          <w:rFonts w:ascii="Verdana" w:eastAsia="Calibri" w:hAnsi="Verdana" w:cs="Arial"/>
          <w:bCs/>
          <w:color w:val="000000" w:themeColor="text1"/>
        </w:rPr>
        <w:t>declaratoria irregular de un estado de paz y salvo</w:t>
      </w:r>
      <w:r>
        <w:rPr>
          <w:rFonts w:ascii="Verdana" w:eastAsia="Calibri" w:hAnsi="Verdana" w:cs="Arial"/>
          <w:bCs/>
          <w:color w:val="000000" w:themeColor="text1"/>
        </w:rPr>
        <w:t xml:space="preserve">, </w:t>
      </w: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el r</w:t>
      </w:r>
      <w:r w:rsidRPr="00B52CE5">
        <w:rPr>
          <w:rFonts w:ascii="Verdana" w:eastAsia="Calibri" w:hAnsi="Verdana" w:cs="Arial"/>
          <w:bCs/>
          <w:color w:val="000000" w:themeColor="text1"/>
        </w:rPr>
        <w:t>econocimiento de sumas de dinero falsamente adeudadas al contratista</w:t>
      </w:r>
      <w:r>
        <w:rPr>
          <w:rFonts w:ascii="Verdana" w:eastAsia="Calibri" w:hAnsi="Verdana" w:cs="Arial"/>
          <w:bCs/>
          <w:color w:val="000000" w:themeColor="text1"/>
        </w:rPr>
        <w:t xml:space="preserve">, </w:t>
      </w:r>
      <w:proofErr w:type="spellStart"/>
      <w:r w:rsidR="00DC5EFE">
        <w:rPr>
          <w:rFonts w:ascii="Verdana" w:eastAsia="Calibri" w:hAnsi="Verdana" w:cs="Arial"/>
          <w:bCs/>
          <w:color w:val="000000" w:themeColor="text1"/>
        </w:rPr>
        <w:t>etc</w:t>
      </w:r>
      <w:proofErr w:type="spellEnd"/>
      <w:r>
        <w:rPr>
          <w:rStyle w:val="Refdenotaalpie"/>
          <w:rFonts w:ascii="Verdana" w:eastAsia="Calibri" w:hAnsi="Verdana" w:cs="Arial"/>
          <w:bCs/>
          <w:color w:val="000000" w:themeColor="text1"/>
        </w:rPr>
        <w:footnoteReference w:id="15"/>
      </w:r>
      <w:r>
        <w:rPr>
          <w:rFonts w:ascii="Verdana" w:eastAsia="Calibri" w:hAnsi="Verdana" w:cs="Arial"/>
          <w:bCs/>
          <w:color w:val="000000" w:themeColor="text1"/>
        </w:rPr>
        <w:t xml:space="preserve">. </w:t>
      </w:r>
    </w:p>
    <w:p w14:paraId="7230FA3E" w14:textId="57D26619" w:rsidR="000471F5" w:rsidRPr="00B1210D" w:rsidRDefault="000471F5" w:rsidP="00B1210D">
      <w:pPr>
        <w:spacing w:after="120"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Por lo demás, en el marco del artículo 3.2 del Decreto Ley 4170 de 2011, esta entidad tiene competencia para “</w:t>
      </w:r>
      <w:r w:rsidRPr="00B11C22">
        <w:rPr>
          <w:rFonts w:ascii="Verdana" w:eastAsia="Calibri" w:hAnsi="Verdana" w:cs="Arial"/>
          <w:bCs/>
          <w:color w:val="000000" w:themeColor="text1"/>
        </w:rPr>
        <w:t>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w:t>
      </w:r>
      <w:r>
        <w:rPr>
          <w:rFonts w:ascii="Verdana" w:eastAsia="Calibri" w:hAnsi="Verdana" w:cs="Arial"/>
          <w:bCs/>
          <w:color w:val="000000" w:themeColor="text1"/>
        </w:rPr>
        <w:t>”</w:t>
      </w:r>
      <w:r w:rsidRPr="00B11C22">
        <w:rPr>
          <w:rFonts w:ascii="Verdana" w:eastAsia="Calibri" w:hAnsi="Verdana" w:cs="Arial"/>
          <w:bCs/>
          <w:color w:val="000000" w:themeColor="text1"/>
        </w:rPr>
        <w:t>.</w:t>
      </w:r>
      <w:r>
        <w:rPr>
          <w:rFonts w:ascii="Verdana" w:eastAsia="Calibri" w:hAnsi="Verdana" w:cs="Arial"/>
          <w:bCs/>
          <w:color w:val="000000" w:themeColor="text1"/>
        </w:rPr>
        <w:t xml:space="preserve"> Por ello, a través de guías, manuales, circulares, capacitaciones, etc., la ANCP – CCE ha enfilado</w:t>
      </w:r>
      <w:r w:rsidRPr="00680ACE">
        <w:rPr>
          <w:rFonts w:ascii="Verdana" w:eastAsia="Calibri" w:hAnsi="Verdana" w:cs="Arial"/>
          <w:bCs/>
          <w:color w:val="000000" w:themeColor="text1"/>
        </w:rPr>
        <w:t xml:space="preserve"> esfuerzos de cara a la transparencia</w:t>
      </w:r>
      <w:r>
        <w:rPr>
          <w:rFonts w:ascii="Verdana" w:eastAsia="Calibri" w:hAnsi="Verdana" w:cs="Arial"/>
          <w:bCs/>
          <w:color w:val="000000" w:themeColor="text1"/>
        </w:rPr>
        <w:t xml:space="preserve"> por medio de</w:t>
      </w:r>
      <w:r w:rsidRPr="00680ACE">
        <w:rPr>
          <w:rFonts w:ascii="Verdana" w:eastAsia="Calibri" w:hAnsi="Verdana" w:cs="Arial"/>
          <w:bCs/>
          <w:color w:val="000000" w:themeColor="text1"/>
        </w:rPr>
        <w:t xml:space="preserve"> diferentes instrumentos de política p</w:t>
      </w:r>
      <w:r>
        <w:rPr>
          <w:rFonts w:ascii="Verdana" w:eastAsia="Calibri" w:hAnsi="Verdana" w:cs="Arial"/>
          <w:bCs/>
          <w:color w:val="000000" w:themeColor="text1"/>
        </w:rPr>
        <w:t>ú</w:t>
      </w:r>
      <w:r w:rsidRPr="00680ACE">
        <w:rPr>
          <w:rFonts w:ascii="Verdana" w:eastAsia="Calibri" w:hAnsi="Verdana" w:cs="Arial"/>
          <w:bCs/>
          <w:color w:val="000000" w:themeColor="text1"/>
        </w:rPr>
        <w:t xml:space="preserve">blica </w:t>
      </w:r>
      <w:r>
        <w:rPr>
          <w:rFonts w:ascii="Verdana" w:eastAsia="Calibri" w:hAnsi="Verdana" w:cs="Arial"/>
          <w:bCs/>
          <w:color w:val="000000" w:themeColor="text1"/>
        </w:rPr>
        <w:t>para</w:t>
      </w:r>
      <w:r w:rsidRPr="00680ACE">
        <w:rPr>
          <w:rFonts w:ascii="Verdana" w:eastAsia="Calibri" w:hAnsi="Verdana" w:cs="Arial"/>
          <w:bCs/>
          <w:color w:val="000000" w:themeColor="text1"/>
        </w:rPr>
        <w:t xml:space="preserve"> fortalec</w:t>
      </w:r>
      <w:r>
        <w:rPr>
          <w:rFonts w:ascii="Verdana" w:eastAsia="Calibri" w:hAnsi="Verdana" w:cs="Arial"/>
          <w:bCs/>
          <w:color w:val="000000" w:themeColor="text1"/>
        </w:rPr>
        <w:t>er</w:t>
      </w:r>
      <w:r w:rsidRPr="00680ACE">
        <w:rPr>
          <w:rFonts w:ascii="Verdana" w:eastAsia="Calibri" w:hAnsi="Verdana" w:cs="Arial"/>
          <w:bCs/>
          <w:color w:val="000000" w:themeColor="text1"/>
        </w:rPr>
        <w:t xml:space="preserve"> </w:t>
      </w:r>
      <w:r>
        <w:rPr>
          <w:rFonts w:ascii="Verdana" w:eastAsia="Calibri" w:hAnsi="Verdana" w:cs="Arial"/>
          <w:bCs/>
          <w:color w:val="000000" w:themeColor="text1"/>
        </w:rPr>
        <w:t>las</w:t>
      </w:r>
      <w:r w:rsidRPr="00680ACE">
        <w:rPr>
          <w:rFonts w:ascii="Verdana" w:eastAsia="Calibri" w:hAnsi="Verdana" w:cs="Arial"/>
          <w:bCs/>
          <w:color w:val="000000" w:themeColor="text1"/>
        </w:rPr>
        <w:t xml:space="preserve"> ca</w:t>
      </w:r>
      <w:r>
        <w:rPr>
          <w:rFonts w:ascii="Verdana" w:eastAsia="Calibri" w:hAnsi="Verdana" w:cs="Arial"/>
          <w:bCs/>
          <w:color w:val="000000" w:themeColor="text1"/>
        </w:rPr>
        <w:t>p</w:t>
      </w:r>
      <w:r w:rsidRPr="00680ACE">
        <w:rPr>
          <w:rFonts w:ascii="Verdana" w:eastAsia="Calibri" w:hAnsi="Verdana" w:cs="Arial"/>
          <w:bCs/>
          <w:color w:val="000000" w:themeColor="text1"/>
        </w:rPr>
        <w:t xml:space="preserve">acidades entre los </w:t>
      </w:r>
      <w:r>
        <w:rPr>
          <w:rFonts w:ascii="Verdana" w:eastAsia="Calibri" w:hAnsi="Verdana" w:cs="Arial"/>
          <w:bCs/>
          <w:color w:val="000000" w:themeColor="text1"/>
        </w:rPr>
        <w:t xml:space="preserve">actores </w:t>
      </w:r>
      <w:r w:rsidRPr="00680ACE">
        <w:rPr>
          <w:rFonts w:ascii="Verdana" w:eastAsia="Calibri" w:hAnsi="Verdana" w:cs="Arial"/>
          <w:bCs/>
          <w:color w:val="000000" w:themeColor="text1"/>
        </w:rPr>
        <w:t>del sistema</w:t>
      </w:r>
      <w:r>
        <w:rPr>
          <w:rFonts w:ascii="Verdana" w:eastAsia="Calibri" w:hAnsi="Verdana" w:cs="Arial"/>
          <w:bCs/>
          <w:color w:val="000000" w:themeColor="text1"/>
        </w:rPr>
        <w:t xml:space="preserve"> de compras.</w:t>
      </w:r>
      <w:r w:rsidRPr="00680ACE">
        <w:rPr>
          <w:rFonts w:ascii="Verdana" w:eastAsia="Calibri" w:hAnsi="Verdana" w:cs="Arial"/>
          <w:bCs/>
          <w:color w:val="000000" w:themeColor="text1"/>
        </w:rPr>
        <w:t xml:space="preserve"> </w:t>
      </w:r>
      <w:r>
        <w:rPr>
          <w:rFonts w:ascii="Verdana" w:eastAsia="Calibri" w:hAnsi="Verdana" w:cs="Arial"/>
          <w:bCs/>
          <w:color w:val="000000" w:themeColor="text1"/>
        </w:rPr>
        <w:t xml:space="preserve">Lo anterior </w:t>
      </w:r>
      <w:r w:rsidRPr="00680ACE">
        <w:rPr>
          <w:rFonts w:ascii="Verdana" w:eastAsia="Calibri" w:hAnsi="Verdana" w:cs="Arial"/>
          <w:bCs/>
          <w:color w:val="000000" w:themeColor="text1"/>
        </w:rPr>
        <w:t>con el fin de mitigar prácticas que lesionen el ordenamiento jurídico y la probidad en la ejecución de recursos públicos</w:t>
      </w:r>
      <w:r>
        <w:rPr>
          <w:rFonts w:ascii="Verdana" w:eastAsia="Calibri" w:hAnsi="Verdana" w:cs="Arial"/>
          <w:bCs/>
          <w:color w:val="000000" w:themeColor="text1"/>
        </w:rPr>
        <w:t>.</w:t>
      </w:r>
    </w:p>
    <w:p w14:paraId="68950BC2" w14:textId="77777777" w:rsidR="0036004A" w:rsidRDefault="0036004A" w:rsidP="0036004A">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E853DE">
        <w:rPr>
          <w:rFonts w:ascii="Verdana" w:eastAsia="Calibri" w:hAnsi="Verdana" w:cs="Arial"/>
          <w:bCs/>
          <w:color w:val="000000" w:themeColor="text1"/>
        </w:rPr>
        <w:lastRenderedPageBreak/>
        <w:t>correspondiente y, en caso de conflicto, a las autoridades judiciales, fiscales y disciplinarias.</w:t>
      </w:r>
    </w:p>
    <w:p w14:paraId="38F0EE04" w14:textId="77777777" w:rsidR="0036004A" w:rsidRPr="00185EE9" w:rsidRDefault="0036004A" w:rsidP="0036004A">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0DE7CF72" w14:textId="77777777" w:rsidR="0036004A" w:rsidRPr="00182C89" w:rsidRDefault="0036004A" w:rsidP="0036004A">
      <w:pPr>
        <w:tabs>
          <w:tab w:val="left" w:pos="709"/>
        </w:tabs>
        <w:spacing w:after="0" w:line="276" w:lineRule="auto"/>
        <w:jc w:val="both"/>
        <w:rPr>
          <w:rFonts w:ascii="Verdana" w:eastAsia="Calibri" w:hAnsi="Verdana" w:cs="Arial"/>
          <w:color w:val="000000" w:themeColor="text1"/>
        </w:rPr>
      </w:pPr>
    </w:p>
    <w:p w14:paraId="110E008A" w14:textId="77777777" w:rsidR="0036004A" w:rsidRPr="00593A5F" w:rsidRDefault="0036004A" w:rsidP="0036004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6137637B" w14:textId="77777777" w:rsidR="0036004A" w:rsidRPr="00593A5F" w:rsidRDefault="0036004A" w:rsidP="0036004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6004A" w:rsidRPr="002407CE" w14:paraId="1AA518FA" w14:textId="77777777">
        <w:trPr>
          <w:trHeight w:val="870"/>
          <w:jc w:val="center"/>
        </w:trPr>
        <w:tc>
          <w:tcPr>
            <w:tcW w:w="8647" w:type="dxa"/>
          </w:tcPr>
          <w:p w14:paraId="24F04C1D" w14:textId="77777777" w:rsidR="0036004A" w:rsidRPr="00B954AE"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6 y 123.</w:t>
            </w:r>
          </w:p>
          <w:p w14:paraId="31A4B3A0" w14:textId="77777777" w:rsidR="0036004A" w:rsidRPr="00882F83"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80 de 1993, artículos 23, 44 y 56.</w:t>
            </w:r>
          </w:p>
          <w:p w14:paraId="168BD8B8" w14:textId="77777777" w:rsidR="0036004A" w:rsidRPr="003D5C53"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906 de 2005, artículo 25.</w:t>
            </w:r>
          </w:p>
          <w:p w14:paraId="0E05CB49" w14:textId="77777777" w:rsidR="0036004A" w:rsidRPr="00882F83"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1150 de 2007, artículo 13.</w:t>
            </w:r>
          </w:p>
          <w:p w14:paraId="0F546B17" w14:textId="77777777" w:rsidR="0036004A" w:rsidRPr="00882F83"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1437 de 2011, artículos 28 y 112.</w:t>
            </w:r>
          </w:p>
          <w:p w14:paraId="349D1458" w14:textId="77777777" w:rsidR="0036004A" w:rsidRPr="00882F83"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Ley 1564 de 2012, artículo 226.</w:t>
            </w:r>
          </w:p>
          <w:p w14:paraId="09223649" w14:textId="77777777" w:rsidR="0036004A" w:rsidRPr="003D5C53"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Decreto Ley 4170 de 2011, artículos 1, 3, 11, 12 y 13.</w:t>
            </w:r>
          </w:p>
          <w:p w14:paraId="0089387C" w14:textId="77777777" w:rsidR="0036004A" w:rsidRPr="003D5C53"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Código Civil, artículo 1501.</w:t>
            </w:r>
          </w:p>
          <w:p w14:paraId="2B4895BC" w14:textId="77777777" w:rsidR="0036004A" w:rsidRPr="00DA543F" w:rsidRDefault="0036004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Código Penal, artículos 20 y 410.</w:t>
            </w:r>
            <w:r w:rsidRPr="002407CE">
              <w:rPr>
                <w:rFonts w:ascii="Verdana" w:hAnsi="Verdana" w:cs="Arial"/>
              </w:rPr>
              <w:t xml:space="preserve">  </w:t>
            </w:r>
          </w:p>
        </w:tc>
      </w:tr>
    </w:tbl>
    <w:p w14:paraId="4ABBFF55" w14:textId="77777777" w:rsidR="0036004A" w:rsidRPr="002407CE" w:rsidRDefault="0036004A" w:rsidP="0036004A">
      <w:pPr>
        <w:widowControl w:val="0"/>
        <w:autoSpaceDE w:val="0"/>
        <w:autoSpaceDN w:val="0"/>
        <w:spacing w:after="0" w:line="276" w:lineRule="auto"/>
        <w:jc w:val="both"/>
        <w:rPr>
          <w:rFonts w:ascii="Verdana" w:hAnsi="Verdana" w:cs="Arial"/>
        </w:rPr>
      </w:pPr>
    </w:p>
    <w:p w14:paraId="293F2D2B" w14:textId="77777777" w:rsidR="0036004A" w:rsidRPr="00593A5F" w:rsidRDefault="0036004A" w:rsidP="0036004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7B49F36" w14:textId="77777777" w:rsidR="0036004A" w:rsidRPr="00593A5F" w:rsidRDefault="0036004A" w:rsidP="0036004A">
      <w:pPr>
        <w:widowControl w:val="0"/>
        <w:autoSpaceDE w:val="0"/>
        <w:autoSpaceDN w:val="0"/>
        <w:spacing w:after="0" w:line="276" w:lineRule="auto"/>
        <w:jc w:val="both"/>
        <w:rPr>
          <w:rFonts w:ascii="Verdana" w:hAnsi="Verdana" w:cs="Arial"/>
        </w:rPr>
      </w:pPr>
    </w:p>
    <w:p w14:paraId="674CDD97" w14:textId="77777777" w:rsidR="0036004A" w:rsidRPr="00ED0098" w:rsidRDefault="0036004A" w:rsidP="0036004A">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conceptos de la Subdirección</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ADDD72E" w14:textId="77777777" w:rsidR="0036004A" w:rsidRPr="00096788" w:rsidRDefault="0036004A" w:rsidP="0036004A">
      <w:pPr>
        <w:widowControl w:val="0"/>
        <w:autoSpaceDE w:val="0"/>
        <w:autoSpaceDN w:val="0"/>
        <w:spacing w:after="0" w:line="276" w:lineRule="auto"/>
        <w:jc w:val="both"/>
        <w:rPr>
          <w:rFonts w:ascii="Verdana" w:hAnsi="Verdana" w:cs="Arial"/>
          <w:color w:val="000000" w:themeColor="text1"/>
          <w:shd w:val="clear" w:color="auto" w:fill="FFFFFF"/>
        </w:rPr>
      </w:pPr>
    </w:p>
    <w:p w14:paraId="7B94B3B5" w14:textId="77777777" w:rsidR="0036004A" w:rsidRPr="00E440FD" w:rsidRDefault="0036004A" w:rsidP="0036004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 xml:space="preserve">Guía de lineamientos de transparencia y selección objetiva para el departamento de La Guajira – </w:t>
      </w:r>
      <w:r w:rsidRPr="00032009">
        <w:rPr>
          <w:rFonts w:ascii="Verdana" w:hAnsi="Verdana"/>
          <w:b/>
          <w:bCs/>
          <w:color w:val="000000"/>
        </w:rPr>
        <w:lastRenderedPageBreak/>
        <w:t>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2BF2935" w14:textId="77777777" w:rsidR="0036004A" w:rsidRPr="009C4035" w:rsidRDefault="0036004A" w:rsidP="0036004A">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A9C92DF" w14:textId="77777777" w:rsidR="0036004A" w:rsidRPr="00593A5F" w:rsidRDefault="0036004A" w:rsidP="0036004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3BB4CD3" w14:textId="77777777" w:rsidR="0036004A" w:rsidRPr="00593A5F" w:rsidRDefault="0036004A" w:rsidP="0036004A">
      <w:pPr>
        <w:widowControl w:val="0"/>
        <w:autoSpaceDE w:val="0"/>
        <w:autoSpaceDN w:val="0"/>
        <w:spacing w:after="0" w:line="276" w:lineRule="auto"/>
        <w:jc w:val="both"/>
        <w:rPr>
          <w:rFonts w:ascii="Verdana" w:hAnsi="Verdana" w:cs="Arial"/>
        </w:rPr>
      </w:pPr>
    </w:p>
    <w:p w14:paraId="737F365B" w14:textId="77777777" w:rsidR="0036004A" w:rsidRPr="00593A5F" w:rsidRDefault="0036004A" w:rsidP="0036004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2553D10" w14:textId="71E43A17" w:rsidR="0036004A" w:rsidRPr="00593A5F" w:rsidRDefault="00F04578" w:rsidP="0036004A">
      <w:pPr>
        <w:spacing w:line="276" w:lineRule="auto"/>
        <w:jc w:val="center"/>
        <w:rPr>
          <w:rFonts w:ascii="Verdana" w:hAnsi="Verdana" w:cs="Arial"/>
          <w:color w:val="000000"/>
          <w:lang w:val="es-ES_tradnl" w:eastAsia="es-CO"/>
        </w:rPr>
      </w:pPr>
      <w:r>
        <w:rPr>
          <w:noProof/>
        </w:rPr>
        <w:drawing>
          <wp:inline distT="0" distB="0" distL="0" distR="0" wp14:anchorId="5B9586F4" wp14:editId="12672F9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6004A" w:rsidRPr="00593A5F" w14:paraId="557428D3" w14:textId="77777777" w:rsidTr="10BCB27A">
        <w:trPr>
          <w:trHeight w:val="315"/>
        </w:trPr>
        <w:tc>
          <w:tcPr>
            <w:tcW w:w="893" w:type="dxa"/>
            <w:vAlign w:val="center"/>
            <w:hideMark/>
          </w:tcPr>
          <w:p w14:paraId="4B148054" w14:textId="77777777" w:rsidR="0036004A" w:rsidRPr="003751C7" w:rsidRDefault="0036004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8BF78C" w14:textId="77777777" w:rsidR="0036004A" w:rsidRPr="00254A7A" w:rsidRDefault="0036004A">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0A49851" w14:textId="77777777" w:rsidR="0036004A" w:rsidRPr="00254A7A" w:rsidRDefault="0036004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36004A" w:rsidRPr="00593A5F" w14:paraId="03D67FF7" w14:textId="77777777" w:rsidTr="10BCB27A">
        <w:trPr>
          <w:trHeight w:val="330"/>
        </w:trPr>
        <w:tc>
          <w:tcPr>
            <w:tcW w:w="893" w:type="dxa"/>
            <w:vAlign w:val="center"/>
            <w:hideMark/>
          </w:tcPr>
          <w:p w14:paraId="644F18D7" w14:textId="77777777" w:rsidR="0036004A" w:rsidRPr="003751C7" w:rsidRDefault="0036004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78E96A" w14:textId="77777777" w:rsidR="0036004A" w:rsidRPr="0033383A" w:rsidRDefault="0036004A">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3E9F6445" w14:textId="77777777" w:rsidR="0036004A" w:rsidRPr="00254A7A" w:rsidRDefault="0036004A">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36004A" w:rsidRPr="00593A5F" w14:paraId="2D78A1C0" w14:textId="77777777" w:rsidTr="10BCB27A">
        <w:trPr>
          <w:trHeight w:val="300"/>
        </w:trPr>
        <w:tc>
          <w:tcPr>
            <w:tcW w:w="893" w:type="dxa"/>
            <w:vAlign w:val="center"/>
          </w:tcPr>
          <w:p w14:paraId="56F7D27D" w14:textId="77777777" w:rsidR="0036004A" w:rsidRPr="003751C7" w:rsidRDefault="0036004A">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52E23E" w14:textId="77777777" w:rsidR="0036004A" w:rsidRPr="00731523" w:rsidRDefault="0036004A" w:rsidP="10BCB27A">
            <w:pPr>
              <w:contextualSpacing/>
              <w:rPr>
                <w:rFonts w:ascii="Verdana" w:eastAsia="Calibri" w:hAnsi="Verdana" w:cs="Arial"/>
                <w:sz w:val="16"/>
                <w:szCs w:val="16"/>
                <w:lang w:val="es-ES" w:eastAsia="es-ES"/>
              </w:rPr>
            </w:pPr>
            <w:r w:rsidRPr="10BCB27A">
              <w:rPr>
                <w:rFonts w:ascii="Verdana" w:eastAsia="Calibri" w:hAnsi="Verdana" w:cs="Arial"/>
                <w:sz w:val="16"/>
                <w:szCs w:val="16"/>
                <w:lang w:val="es-ES" w:eastAsia="es-ES"/>
              </w:rPr>
              <w:t xml:space="preserve">Carolina Quintero </w:t>
            </w:r>
            <w:proofErr w:type="spellStart"/>
            <w:r w:rsidRPr="10BCB27A">
              <w:rPr>
                <w:rFonts w:ascii="Verdana" w:eastAsia="Calibri" w:hAnsi="Verdana" w:cs="Arial"/>
                <w:sz w:val="16"/>
                <w:szCs w:val="16"/>
                <w:lang w:val="es-ES" w:eastAsia="es-ES"/>
              </w:rPr>
              <w:t>Gacharná</w:t>
            </w:r>
            <w:proofErr w:type="spellEnd"/>
          </w:p>
          <w:p w14:paraId="12BE66C0" w14:textId="77777777" w:rsidR="0036004A" w:rsidRPr="003751C7" w:rsidRDefault="0036004A">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r w:rsidR="0036004A" w:rsidRPr="00593A5F" w14:paraId="5CCCDBAC" w14:textId="77777777" w:rsidTr="10BCB27A">
        <w:trPr>
          <w:trHeight w:val="300"/>
        </w:trPr>
        <w:tc>
          <w:tcPr>
            <w:tcW w:w="893" w:type="dxa"/>
            <w:vAlign w:val="center"/>
          </w:tcPr>
          <w:p w14:paraId="07E21FF7" w14:textId="77777777" w:rsidR="0036004A" w:rsidRPr="003751C7" w:rsidRDefault="0036004A">
            <w:pPr>
              <w:contextualSpacing/>
              <w:rPr>
                <w:rFonts w:ascii="Verdana" w:hAnsi="Verdana" w:cs="Arial"/>
                <w:sz w:val="16"/>
                <w:szCs w:val="16"/>
                <w:lang w:val="es-ES" w:eastAsia="es-ES"/>
              </w:rPr>
            </w:pPr>
            <w:r>
              <w:rPr>
                <w:rFonts w:ascii="Verdana" w:hAnsi="Verdana" w:cs="Arial"/>
                <w:sz w:val="16"/>
                <w:szCs w:val="16"/>
                <w:lang w:val="es-ES" w:eastAsia="es-ES"/>
              </w:rPr>
              <w:t>Anexos:</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8F0F8B6" w14:textId="77777777" w:rsidR="0036004A" w:rsidRDefault="0036004A">
            <w:pPr>
              <w:contextualSpacing/>
              <w:rPr>
                <w:rFonts w:ascii="Verdana" w:eastAsia="Calibri" w:hAnsi="Verdana" w:cs="Arial"/>
                <w:sz w:val="16"/>
                <w:szCs w:val="16"/>
                <w:lang w:val="es-ES_tradnl" w:eastAsia="es-ES"/>
              </w:rPr>
            </w:pPr>
            <w:r w:rsidRPr="00CD3D0A">
              <w:rPr>
                <w:rFonts w:ascii="Verdana" w:eastAsia="Calibri" w:hAnsi="Verdana" w:cs="Arial"/>
                <w:sz w:val="16"/>
                <w:szCs w:val="16"/>
                <w:lang w:val="es-ES_tradnl" w:eastAsia="es-ES"/>
              </w:rPr>
              <w:t>EMAE 1_2025_09_05_009662</w:t>
            </w:r>
          </w:p>
          <w:p w14:paraId="1F821784" w14:textId="77777777" w:rsidR="0036004A" w:rsidRPr="00731523" w:rsidRDefault="0036004A">
            <w:pPr>
              <w:contextualSpacing/>
              <w:rPr>
                <w:rFonts w:ascii="Verdana" w:eastAsia="Calibri" w:hAnsi="Verdana" w:cs="Arial"/>
                <w:sz w:val="16"/>
                <w:szCs w:val="16"/>
                <w:lang w:val="es-ES_tradnl" w:eastAsia="es-ES"/>
              </w:rPr>
            </w:pPr>
            <w:r w:rsidRPr="00CD3D0A">
              <w:rPr>
                <w:rFonts w:ascii="Verdana" w:eastAsia="Calibri" w:hAnsi="Verdana" w:cs="Arial"/>
                <w:sz w:val="16"/>
                <w:szCs w:val="16"/>
                <w:lang w:val="es-ES_tradnl" w:eastAsia="es-ES"/>
              </w:rPr>
              <w:t>EMAE Apoyo rad. 1_2025_09_05_009662</w:t>
            </w:r>
          </w:p>
        </w:tc>
      </w:tr>
    </w:tbl>
    <w:p w14:paraId="3A144295" w14:textId="77777777" w:rsidR="0036004A" w:rsidRPr="00543BFE" w:rsidRDefault="0036004A" w:rsidP="0036004A"/>
    <w:p w14:paraId="0F293BF4" w14:textId="6BCC203F" w:rsidR="00127233" w:rsidRPr="0090265E" w:rsidRDefault="00127233" w:rsidP="0090265E"/>
    <w:sectPr w:rsidR="00127233" w:rsidRPr="0090265E"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EAEA2" w14:textId="77777777" w:rsidR="00F772EA" w:rsidRDefault="00F772EA" w:rsidP="004A1847">
      <w:pPr>
        <w:spacing w:after="0" w:line="240" w:lineRule="auto"/>
      </w:pPr>
      <w:r>
        <w:separator/>
      </w:r>
    </w:p>
  </w:endnote>
  <w:endnote w:type="continuationSeparator" w:id="0">
    <w:p w14:paraId="3BA3A15B" w14:textId="77777777" w:rsidR="00F772EA" w:rsidRDefault="00F772EA" w:rsidP="004A1847">
      <w:pPr>
        <w:spacing w:after="0" w:line="240" w:lineRule="auto"/>
      </w:pPr>
      <w:r>
        <w:continuationSeparator/>
      </w:r>
    </w:p>
  </w:endnote>
  <w:endnote w:type="continuationNotice" w:id="1">
    <w:p w14:paraId="1F56A337" w14:textId="77777777" w:rsidR="00F772EA" w:rsidRDefault="00F772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Arial"/>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altName w:val="Arial"/>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CF333" w14:textId="77777777" w:rsidR="00F772EA" w:rsidRDefault="00F772EA" w:rsidP="004A1847">
      <w:pPr>
        <w:spacing w:after="0" w:line="240" w:lineRule="auto"/>
      </w:pPr>
      <w:r>
        <w:separator/>
      </w:r>
    </w:p>
  </w:footnote>
  <w:footnote w:type="continuationSeparator" w:id="0">
    <w:p w14:paraId="3EC51CA1" w14:textId="77777777" w:rsidR="00F772EA" w:rsidRDefault="00F772EA" w:rsidP="004A1847">
      <w:pPr>
        <w:spacing w:after="0" w:line="240" w:lineRule="auto"/>
      </w:pPr>
      <w:r>
        <w:continuationSeparator/>
      </w:r>
    </w:p>
  </w:footnote>
  <w:footnote w:type="continuationNotice" w:id="1">
    <w:p w14:paraId="249AD2A4" w14:textId="77777777" w:rsidR="00F772EA" w:rsidRDefault="00F772EA">
      <w:pPr>
        <w:spacing w:after="0" w:line="240" w:lineRule="auto"/>
      </w:pPr>
    </w:p>
  </w:footnote>
  <w:footnote w:id="2">
    <w:p w14:paraId="72908454" w14:textId="77777777" w:rsidR="0036004A" w:rsidRPr="00FF0CA0" w:rsidRDefault="0036004A" w:rsidP="0036004A">
      <w:pPr>
        <w:pStyle w:val="Textonotapie"/>
        <w:ind w:firstLine="708"/>
        <w:jc w:val="both"/>
        <w:rPr>
          <w:rFonts w:ascii="Verdana" w:hAnsi="Verdana"/>
          <w:sz w:val="16"/>
          <w:szCs w:val="16"/>
          <w:lang w:val="es-CO"/>
        </w:rPr>
      </w:pPr>
      <w:r w:rsidRPr="00FF0CA0">
        <w:rPr>
          <w:rStyle w:val="Refdenotaalpie"/>
          <w:rFonts w:ascii="Verdana" w:hAnsi="Verdana"/>
          <w:sz w:val="16"/>
          <w:szCs w:val="16"/>
        </w:rPr>
        <w:footnoteRef/>
      </w:r>
      <w:r w:rsidRPr="009342FE">
        <w:rPr>
          <w:rFonts w:ascii="Verdana" w:hAnsi="Verdana"/>
          <w:sz w:val="16"/>
          <w:szCs w:val="16"/>
          <w:lang w:val="pt-BR"/>
        </w:rPr>
        <w:t xml:space="preserve"> Cfr. CORTE SUPREMA DE JUSTICIA. </w:t>
      </w:r>
      <w:r w:rsidRPr="00FF0CA0">
        <w:rPr>
          <w:rFonts w:ascii="Verdana" w:hAnsi="Verdana"/>
          <w:sz w:val="16"/>
          <w:szCs w:val="16"/>
        </w:rPr>
        <w:t>Sala de Casación Penal. Sentencia del</w:t>
      </w:r>
      <w:r>
        <w:rPr>
          <w:rFonts w:ascii="Verdana" w:hAnsi="Verdana"/>
          <w:sz w:val="16"/>
          <w:szCs w:val="16"/>
        </w:rPr>
        <w:t xml:space="preserve"> 2 de octubre de 2024. Rad. 61315. M.P. </w:t>
      </w:r>
      <w:r w:rsidRPr="00FF0CA0">
        <w:rPr>
          <w:rFonts w:ascii="Verdana" w:hAnsi="Verdana"/>
          <w:sz w:val="16"/>
          <w:szCs w:val="16"/>
        </w:rPr>
        <w:t>Myriam Ávila Roldán</w:t>
      </w:r>
      <w:r>
        <w:rPr>
          <w:rFonts w:ascii="Verdana" w:hAnsi="Verdana"/>
          <w:sz w:val="16"/>
          <w:szCs w:val="16"/>
        </w:rPr>
        <w:t>.</w:t>
      </w:r>
    </w:p>
  </w:footnote>
  <w:footnote w:id="3">
    <w:p w14:paraId="2D318C5E" w14:textId="77777777" w:rsidR="0036004A" w:rsidRPr="0061772B" w:rsidRDefault="0036004A" w:rsidP="0036004A">
      <w:pPr>
        <w:pStyle w:val="Textonotapie"/>
        <w:ind w:firstLine="708"/>
        <w:jc w:val="both"/>
        <w:rPr>
          <w:rFonts w:ascii="Verdana" w:hAnsi="Verdana"/>
          <w:sz w:val="16"/>
          <w:szCs w:val="16"/>
          <w:lang w:val="es-CO"/>
        </w:rPr>
      </w:pPr>
      <w:r w:rsidRPr="0061772B">
        <w:rPr>
          <w:rStyle w:val="Refdenotaalpie"/>
          <w:rFonts w:ascii="Verdana" w:hAnsi="Verdana"/>
          <w:sz w:val="16"/>
          <w:szCs w:val="16"/>
        </w:rPr>
        <w:footnoteRef/>
      </w:r>
      <w:r w:rsidRPr="0061772B">
        <w:rPr>
          <w:rFonts w:ascii="Verdana" w:hAnsi="Verdana"/>
          <w:sz w:val="16"/>
          <w:szCs w:val="16"/>
        </w:rPr>
        <w:t xml:space="preserve"> </w:t>
      </w:r>
      <w:r>
        <w:rPr>
          <w:rFonts w:ascii="Verdana" w:hAnsi="Verdana"/>
          <w:sz w:val="16"/>
          <w:szCs w:val="16"/>
        </w:rPr>
        <w:t>Cfr. URIBE GARCÍA, Saúl. Delitos contra la administración pública. Medellín: Ediciones UNAULA, 2012. p. 208.</w:t>
      </w:r>
    </w:p>
  </w:footnote>
  <w:footnote w:id="4">
    <w:p w14:paraId="60E2C3BE" w14:textId="77777777" w:rsidR="0036004A" w:rsidRPr="00BC00F0" w:rsidRDefault="0036004A" w:rsidP="0036004A">
      <w:pPr>
        <w:pStyle w:val="Textonotapie"/>
        <w:ind w:firstLine="708"/>
        <w:jc w:val="both"/>
        <w:rPr>
          <w:rFonts w:ascii="Verdana" w:hAnsi="Verdana"/>
          <w:sz w:val="16"/>
          <w:szCs w:val="16"/>
          <w:lang w:val="es-CO"/>
        </w:rPr>
      </w:pPr>
      <w:r w:rsidRPr="00BC00F0">
        <w:rPr>
          <w:rStyle w:val="Refdenotaalpie"/>
          <w:rFonts w:ascii="Verdana" w:hAnsi="Verdana"/>
          <w:sz w:val="16"/>
          <w:szCs w:val="16"/>
        </w:rPr>
        <w:footnoteRef/>
      </w:r>
      <w:r w:rsidRPr="00BC00F0">
        <w:rPr>
          <w:rFonts w:ascii="Verdana" w:hAnsi="Verdana"/>
          <w:sz w:val="16"/>
          <w:szCs w:val="16"/>
        </w:rPr>
        <w:t xml:space="preserve"> </w:t>
      </w:r>
      <w:r>
        <w:rPr>
          <w:rFonts w:ascii="Verdana" w:hAnsi="Verdana"/>
          <w:sz w:val="16"/>
          <w:szCs w:val="16"/>
        </w:rPr>
        <w:t xml:space="preserve">De acuerdo con la jurisprudencia, un tipo penal en blanco es aquel donde “[…] </w:t>
      </w:r>
      <w:r w:rsidRPr="00BC00F0">
        <w:rPr>
          <w:rFonts w:ascii="Verdana" w:hAnsi="Verdana"/>
          <w:sz w:val="16"/>
          <w:szCs w:val="16"/>
        </w:rPr>
        <w:t>el supuesto de hecho se encuentra desarrollado total o parcialmente por una norma de carácter extrapenal</w:t>
      </w:r>
      <w:r>
        <w:rPr>
          <w:rFonts w:ascii="Verdana" w:hAnsi="Verdana"/>
          <w:sz w:val="16"/>
          <w:szCs w:val="16"/>
        </w:rPr>
        <w:t xml:space="preserve"> […]” (Cfr. CORTE CONSTITUCIONAL. Sentencia C-121 de 2012. M.P. </w:t>
      </w:r>
      <w:r w:rsidRPr="00BC00F0">
        <w:rPr>
          <w:rFonts w:ascii="Verdana" w:hAnsi="Verdana"/>
          <w:sz w:val="16"/>
          <w:szCs w:val="16"/>
        </w:rPr>
        <w:t>Luis Ernesto Vargas Silva</w:t>
      </w:r>
      <w:r>
        <w:rPr>
          <w:rFonts w:ascii="Verdana" w:hAnsi="Verdana"/>
          <w:sz w:val="16"/>
          <w:szCs w:val="16"/>
        </w:rPr>
        <w:t xml:space="preserve">). Por lo demás, “[…] </w:t>
      </w:r>
      <w:r w:rsidRPr="005B7C9F">
        <w:rPr>
          <w:rFonts w:ascii="Verdana" w:hAnsi="Verdana"/>
          <w:sz w:val="16"/>
          <w:szCs w:val="16"/>
        </w:rPr>
        <w:t>los tipos penales en blanco juegan un rol importante en la legislación penal, puesto que le permiten al Legislador abordar temas especializados y en permanente evolución, lo cual es imperativo para adaptar las normas jurídicas a las necesidades sociales en un mundo cambiante como el nuestro. Así, es claro que la mera existencia de tipos penales en blanco en nuestro ordenamiento no implica su inconstitucionalidad, toda vez que la Corte los ha reconocido como figuras útiles, valiosas y legítimas dentro de la amplia potestad de configuración que tiene el Legislador en materia penal, pues es a él a quien le corresponde la estructuración de la política criminal en nuestro país</w:t>
      </w:r>
      <w:r>
        <w:rPr>
          <w:rFonts w:ascii="Verdana" w:hAnsi="Verdana"/>
          <w:sz w:val="16"/>
          <w:szCs w:val="16"/>
        </w:rPr>
        <w:t xml:space="preserve">” (Cfr. CORTE CONSTITUCIONAL. Sentencia C-411 de 2022. M.P. </w:t>
      </w:r>
      <w:r w:rsidRPr="005B7C9F">
        <w:rPr>
          <w:rFonts w:ascii="Verdana" w:hAnsi="Verdana"/>
          <w:sz w:val="16"/>
          <w:szCs w:val="16"/>
        </w:rPr>
        <w:t>Alejandro Linares Cantillo</w:t>
      </w:r>
      <w:r>
        <w:rPr>
          <w:rFonts w:ascii="Verdana" w:hAnsi="Verdana"/>
          <w:sz w:val="16"/>
          <w:szCs w:val="16"/>
        </w:rPr>
        <w:t>).</w:t>
      </w:r>
    </w:p>
  </w:footnote>
  <w:footnote w:id="5">
    <w:p w14:paraId="767C48CE" w14:textId="77777777" w:rsidR="0036004A" w:rsidRPr="005B7C9F" w:rsidRDefault="0036004A" w:rsidP="0036004A">
      <w:pPr>
        <w:pStyle w:val="Textonotapie"/>
        <w:ind w:firstLine="708"/>
        <w:jc w:val="both"/>
        <w:rPr>
          <w:rFonts w:ascii="Verdana" w:hAnsi="Verdana"/>
          <w:sz w:val="16"/>
          <w:szCs w:val="16"/>
          <w:lang w:val="es-CO"/>
        </w:rPr>
      </w:pPr>
      <w:r w:rsidRPr="005B7C9F">
        <w:rPr>
          <w:rStyle w:val="Refdenotaalpie"/>
          <w:rFonts w:ascii="Verdana" w:hAnsi="Verdana"/>
          <w:sz w:val="16"/>
          <w:szCs w:val="16"/>
        </w:rPr>
        <w:footnoteRef/>
      </w:r>
      <w:r w:rsidRPr="005B7C9F">
        <w:rPr>
          <w:rFonts w:ascii="Verdana" w:hAnsi="Verdana"/>
          <w:sz w:val="16"/>
          <w:szCs w:val="16"/>
        </w:rPr>
        <w:t xml:space="preserve"> </w:t>
      </w:r>
      <w:r>
        <w:rPr>
          <w:rFonts w:ascii="Verdana" w:hAnsi="Verdana"/>
          <w:sz w:val="16"/>
          <w:szCs w:val="16"/>
        </w:rPr>
        <w:t xml:space="preserve">CORTE SUPREMA DE JUSTICIA. Sala de Casación Penal. Sentencia del 13 de agosto de 2025. Rad. 59104. M.P. </w:t>
      </w:r>
      <w:r w:rsidRPr="005B7C9F">
        <w:rPr>
          <w:rFonts w:ascii="Verdana" w:hAnsi="Verdana"/>
          <w:sz w:val="16"/>
          <w:szCs w:val="16"/>
        </w:rPr>
        <w:t>Jorge Hernán Díaz Soto</w:t>
      </w:r>
      <w:r>
        <w:rPr>
          <w:rFonts w:ascii="Verdana" w:hAnsi="Verdana"/>
          <w:sz w:val="16"/>
          <w:szCs w:val="16"/>
        </w:rPr>
        <w:t>.</w:t>
      </w:r>
    </w:p>
  </w:footnote>
  <w:footnote w:id="6">
    <w:p w14:paraId="1901FF8C" w14:textId="77777777" w:rsidR="0036004A" w:rsidRPr="00C0534A" w:rsidRDefault="0036004A" w:rsidP="0036004A">
      <w:pPr>
        <w:pStyle w:val="Textonotapie"/>
        <w:ind w:firstLine="708"/>
        <w:jc w:val="both"/>
        <w:rPr>
          <w:rFonts w:ascii="Verdana" w:hAnsi="Verdana"/>
          <w:sz w:val="16"/>
          <w:szCs w:val="16"/>
          <w:lang w:val="es-CO"/>
        </w:rPr>
      </w:pPr>
      <w:r w:rsidRPr="00C0534A">
        <w:rPr>
          <w:rStyle w:val="Refdenotaalpie"/>
          <w:rFonts w:ascii="Verdana" w:hAnsi="Verdana"/>
          <w:sz w:val="16"/>
          <w:szCs w:val="16"/>
        </w:rPr>
        <w:footnoteRef/>
      </w:r>
      <w:r w:rsidRPr="00C0534A">
        <w:rPr>
          <w:rFonts w:ascii="Verdana" w:hAnsi="Verdana"/>
          <w:sz w:val="16"/>
          <w:szCs w:val="16"/>
        </w:rPr>
        <w:t xml:space="preserve"> </w:t>
      </w:r>
      <w:r>
        <w:rPr>
          <w:rFonts w:ascii="Verdana" w:hAnsi="Verdana"/>
          <w:sz w:val="16"/>
          <w:szCs w:val="16"/>
        </w:rPr>
        <w:t xml:space="preserve">CORTE SUPREMA DE JUSTICIA. Sala de Casación Penal. Sentencia del 2 de julio de 2025. Rad. 67642. M.P. </w:t>
      </w:r>
      <w:r w:rsidRPr="00C0534A">
        <w:rPr>
          <w:rFonts w:ascii="Verdana" w:hAnsi="Verdana"/>
          <w:sz w:val="16"/>
          <w:szCs w:val="16"/>
        </w:rPr>
        <w:t>Carlos Roberto Solórzano Garavito</w:t>
      </w:r>
      <w:r>
        <w:rPr>
          <w:rFonts w:ascii="Verdana" w:hAnsi="Verdana"/>
          <w:sz w:val="16"/>
          <w:szCs w:val="16"/>
        </w:rPr>
        <w:t>.</w:t>
      </w:r>
    </w:p>
  </w:footnote>
  <w:footnote w:id="7">
    <w:p w14:paraId="7CB5694F" w14:textId="77777777" w:rsidR="0036004A" w:rsidRPr="009E0B1E" w:rsidRDefault="0036004A" w:rsidP="0036004A">
      <w:pPr>
        <w:pStyle w:val="Textonotapie"/>
        <w:ind w:firstLine="708"/>
        <w:jc w:val="both"/>
        <w:rPr>
          <w:rFonts w:ascii="Verdana" w:hAnsi="Verdana"/>
          <w:sz w:val="16"/>
          <w:szCs w:val="16"/>
          <w:lang w:val="es-CO"/>
        </w:rPr>
      </w:pPr>
      <w:r w:rsidRPr="009E0B1E">
        <w:rPr>
          <w:rStyle w:val="Refdenotaalpie"/>
          <w:rFonts w:ascii="Verdana" w:hAnsi="Verdana"/>
          <w:sz w:val="16"/>
          <w:szCs w:val="16"/>
        </w:rPr>
        <w:footnoteRef/>
      </w:r>
      <w:r w:rsidRPr="009E0B1E">
        <w:rPr>
          <w:rFonts w:ascii="Verdana" w:hAnsi="Verdana"/>
          <w:sz w:val="16"/>
          <w:szCs w:val="16"/>
        </w:rPr>
        <w:t xml:space="preserve"> </w:t>
      </w:r>
      <w:r>
        <w:rPr>
          <w:rFonts w:ascii="Verdana" w:hAnsi="Verdana"/>
          <w:sz w:val="16"/>
          <w:szCs w:val="16"/>
        </w:rPr>
        <w:t>GÓMEZ MÉNDEZ, Alfonso y GÓMEZ PAVAJEAU, Carlos Arturo. Delitos contra la administración pública. Tercera edición. Bogotá: Universidad Externado de Colombia, 2008. p. 410.</w:t>
      </w:r>
    </w:p>
  </w:footnote>
  <w:footnote w:id="8">
    <w:p w14:paraId="5695F887" w14:textId="77777777" w:rsidR="0036004A" w:rsidRPr="003773FC" w:rsidRDefault="0036004A" w:rsidP="0036004A">
      <w:pPr>
        <w:pStyle w:val="Textonotapie"/>
        <w:ind w:firstLine="708"/>
        <w:jc w:val="both"/>
        <w:rPr>
          <w:rFonts w:ascii="Verdana" w:hAnsi="Verdana"/>
          <w:sz w:val="16"/>
          <w:szCs w:val="16"/>
          <w:lang w:val="es-CO"/>
        </w:rPr>
      </w:pPr>
      <w:r w:rsidRPr="003773FC">
        <w:rPr>
          <w:rStyle w:val="Refdenotaalpie"/>
          <w:rFonts w:ascii="Verdana" w:hAnsi="Verdana"/>
          <w:sz w:val="16"/>
          <w:szCs w:val="16"/>
        </w:rPr>
        <w:footnoteRef/>
      </w:r>
      <w:r w:rsidRPr="003773FC">
        <w:rPr>
          <w:rFonts w:ascii="Verdana" w:hAnsi="Verdana"/>
          <w:sz w:val="16"/>
          <w:szCs w:val="16"/>
        </w:rPr>
        <w:t xml:space="preserve"> </w:t>
      </w:r>
      <w:r>
        <w:rPr>
          <w:rFonts w:ascii="Verdana" w:hAnsi="Verdana"/>
          <w:sz w:val="16"/>
          <w:szCs w:val="16"/>
        </w:rPr>
        <w:t>URIBE GARCÍA, Delitos contra… Op. cit., pp. 203-204.</w:t>
      </w:r>
    </w:p>
  </w:footnote>
  <w:footnote w:id="9">
    <w:p w14:paraId="526C4469" w14:textId="77777777" w:rsidR="0036004A" w:rsidRPr="009014AF" w:rsidRDefault="0036004A" w:rsidP="0036004A">
      <w:pPr>
        <w:pStyle w:val="Textonotapie"/>
        <w:ind w:firstLine="708"/>
        <w:jc w:val="both"/>
        <w:rPr>
          <w:rFonts w:ascii="Verdana" w:hAnsi="Verdana"/>
          <w:sz w:val="16"/>
          <w:szCs w:val="16"/>
        </w:rPr>
      </w:pPr>
      <w:r w:rsidRPr="009014AF">
        <w:rPr>
          <w:rStyle w:val="Refdenotaalpie"/>
          <w:rFonts w:ascii="Verdana" w:hAnsi="Verdana"/>
          <w:sz w:val="16"/>
          <w:szCs w:val="16"/>
        </w:rPr>
        <w:footnoteRef/>
      </w:r>
      <w:r w:rsidRPr="009014AF">
        <w:rPr>
          <w:rFonts w:ascii="Verdana" w:hAnsi="Verdana"/>
          <w:sz w:val="16"/>
          <w:szCs w:val="16"/>
        </w:rPr>
        <w:t xml:space="preserve"> </w:t>
      </w:r>
      <w:r>
        <w:rPr>
          <w:rFonts w:ascii="Verdana" w:hAnsi="Verdana"/>
          <w:sz w:val="16"/>
          <w:szCs w:val="16"/>
        </w:rPr>
        <w:t>Para SANTOFIMIO GAMBOA, “E</w:t>
      </w:r>
      <w:r w:rsidRPr="009014AF">
        <w:rPr>
          <w:rFonts w:ascii="Verdana" w:hAnsi="Verdana"/>
          <w:sz w:val="16"/>
          <w:szCs w:val="16"/>
        </w:rPr>
        <w:t>l principio de legalidad</w:t>
      </w:r>
      <w:r>
        <w:rPr>
          <w:rFonts w:ascii="Verdana" w:hAnsi="Verdana"/>
          <w:sz w:val="16"/>
          <w:szCs w:val="16"/>
        </w:rPr>
        <w:t xml:space="preserve"> […] </w:t>
      </w:r>
      <w:r w:rsidRPr="009014AF">
        <w:rPr>
          <w:rFonts w:ascii="Verdana" w:hAnsi="Verdana"/>
          <w:sz w:val="16"/>
          <w:szCs w:val="16"/>
        </w:rPr>
        <w:t>no</w:t>
      </w:r>
      <w:r>
        <w:rPr>
          <w:rFonts w:ascii="Verdana" w:hAnsi="Verdana"/>
          <w:sz w:val="16"/>
          <w:szCs w:val="16"/>
        </w:rPr>
        <w:t xml:space="preserve"> </w:t>
      </w:r>
      <w:r w:rsidRPr="009014AF">
        <w:rPr>
          <w:rFonts w:ascii="Verdana" w:hAnsi="Verdana"/>
          <w:sz w:val="16"/>
          <w:szCs w:val="16"/>
        </w:rPr>
        <w:t>puede ser desconocido ni por las autoridades ni por los particulares investidos</w:t>
      </w:r>
      <w:r>
        <w:rPr>
          <w:rFonts w:ascii="Verdana" w:hAnsi="Verdana"/>
          <w:sz w:val="16"/>
          <w:szCs w:val="16"/>
        </w:rPr>
        <w:t xml:space="preserve"> </w:t>
      </w:r>
      <w:r w:rsidRPr="009014AF">
        <w:rPr>
          <w:rFonts w:ascii="Verdana" w:hAnsi="Verdana"/>
          <w:sz w:val="16"/>
          <w:szCs w:val="16"/>
        </w:rPr>
        <w:t>de facultades administrativas, cuando les corresponde adelantar trámites contractuales, celebrar contratos, acompañar la ejecución de los mismos, y realizar</w:t>
      </w:r>
      <w:r>
        <w:rPr>
          <w:rFonts w:ascii="Verdana" w:hAnsi="Verdana"/>
          <w:sz w:val="16"/>
          <w:szCs w:val="16"/>
        </w:rPr>
        <w:t xml:space="preserve"> </w:t>
      </w:r>
      <w:r w:rsidRPr="009014AF">
        <w:rPr>
          <w:rFonts w:ascii="Verdana" w:hAnsi="Verdana"/>
          <w:sz w:val="16"/>
          <w:szCs w:val="16"/>
        </w:rPr>
        <w:t>las correspondientes liquidaciones. En este sentido, el estudio de la legalidad</w:t>
      </w:r>
      <w:r>
        <w:rPr>
          <w:rFonts w:ascii="Verdana" w:hAnsi="Verdana"/>
          <w:sz w:val="16"/>
          <w:szCs w:val="16"/>
        </w:rPr>
        <w:t xml:space="preserve"> </w:t>
      </w:r>
      <w:r w:rsidRPr="009014AF">
        <w:rPr>
          <w:rFonts w:ascii="Verdana" w:hAnsi="Verdana"/>
          <w:sz w:val="16"/>
          <w:szCs w:val="16"/>
        </w:rPr>
        <w:t>del contrato estatal significa comprometerse en un análisis de las bases sistemáticas normativas de principios y valores que orientan y vinculan cualquier</w:t>
      </w:r>
      <w:r>
        <w:rPr>
          <w:rFonts w:ascii="Verdana" w:hAnsi="Verdana"/>
          <w:sz w:val="16"/>
          <w:szCs w:val="16"/>
        </w:rPr>
        <w:t xml:space="preserve"> </w:t>
      </w:r>
      <w:r w:rsidRPr="009014AF">
        <w:rPr>
          <w:rFonts w:ascii="Verdana" w:hAnsi="Verdana"/>
          <w:sz w:val="16"/>
          <w:szCs w:val="16"/>
        </w:rPr>
        <w:t>actuación de la administración pública. Implica aproximarse a las estructuras</w:t>
      </w:r>
      <w:r>
        <w:rPr>
          <w:rFonts w:ascii="Verdana" w:hAnsi="Verdana"/>
          <w:sz w:val="16"/>
          <w:szCs w:val="16"/>
        </w:rPr>
        <w:t xml:space="preserve"> </w:t>
      </w:r>
      <w:r w:rsidRPr="009014AF">
        <w:rPr>
          <w:rFonts w:ascii="Verdana" w:hAnsi="Verdana"/>
          <w:sz w:val="16"/>
          <w:szCs w:val="16"/>
        </w:rPr>
        <w:t>mismas de construcción del Estado, esto es, a los fenómenos sustanciales que</w:t>
      </w:r>
      <w:r>
        <w:rPr>
          <w:rFonts w:ascii="Verdana" w:hAnsi="Verdana"/>
          <w:sz w:val="16"/>
          <w:szCs w:val="16"/>
        </w:rPr>
        <w:t xml:space="preserve"> </w:t>
      </w:r>
      <w:r w:rsidRPr="0011672F">
        <w:rPr>
          <w:rFonts w:ascii="Verdana" w:hAnsi="Verdana"/>
          <w:sz w:val="16"/>
          <w:szCs w:val="16"/>
        </w:rPr>
        <w:t>dan forma a la voluntad de la administración, dentro del contexto del Estado</w:t>
      </w:r>
      <w:r>
        <w:rPr>
          <w:rFonts w:ascii="Verdana" w:hAnsi="Verdana"/>
          <w:sz w:val="16"/>
          <w:szCs w:val="16"/>
        </w:rPr>
        <w:t xml:space="preserve"> </w:t>
      </w:r>
      <w:r w:rsidRPr="0011672F">
        <w:rPr>
          <w:rFonts w:ascii="Verdana" w:hAnsi="Verdana"/>
          <w:sz w:val="16"/>
          <w:szCs w:val="16"/>
        </w:rPr>
        <w:t>de derecho, en donde el principio de legalidad se ha venido consolidando como</w:t>
      </w:r>
      <w:r>
        <w:rPr>
          <w:rFonts w:ascii="Verdana" w:hAnsi="Verdana"/>
          <w:sz w:val="16"/>
          <w:szCs w:val="16"/>
        </w:rPr>
        <w:t xml:space="preserve"> </w:t>
      </w:r>
      <w:r w:rsidRPr="0011672F">
        <w:rPr>
          <w:rFonts w:ascii="Verdana" w:hAnsi="Verdana"/>
          <w:sz w:val="16"/>
          <w:szCs w:val="16"/>
        </w:rPr>
        <w:t>el más característico de sus elementos, es decir, uno de sus dogmas más tradicionales. Entendido el principio de legalidad como inherente al Estado de derecho, regula en todos los sentidos el ejercicio del poder público, en beneficio</w:t>
      </w:r>
      <w:r>
        <w:rPr>
          <w:rFonts w:ascii="Verdana" w:hAnsi="Verdana"/>
          <w:sz w:val="16"/>
          <w:szCs w:val="16"/>
        </w:rPr>
        <w:t xml:space="preserve"> </w:t>
      </w:r>
      <w:r w:rsidRPr="0011672F">
        <w:rPr>
          <w:rFonts w:ascii="Verdana" w:hAnsi="Verdana"/>
          <w:sz w:val="16"/>
          <w:szCs w:val="16"/>
        </w:rPr>
        <w:t>directo de los administrados y de la estabilidad y seguridad que debe implicar</w:t>
      </w:r>
      <w:r>
        <w:rPr>
          <w:rFonts w:ascii="Verdana" w:hAnsi="Verdana"/>
          <w:sz w:val="16"/>
          <w:szCs w:val="16"/>
        </w:rPr>
        <w:t xml:space="preserve"> </w:t>
      </w:r>
      <w:r w:rsidRPr="0011672F">
        <w:rPr>
          <w:rFonts w:ascii="Verdana" w:hAnsi="Verdana"/>
          <w:sz w:val="16"/>
          <w:szCs w:val="16"/>
        </w:rPr>
        <w:t>su ejercicio</w:t>
      </w:r>
      <w:r>
        <w:rPr>
          <w:rFonts w:ascii="Verdana" w:hAnsi="Verdana"/>
          <w:sz w:val="16"/>
          <w:szCs w:val="16"/>
        </w:rPr>
        <w:t>” (Cfr.</w:t>
      </w:r>
      <w:r w:rsidRPr="0011672F">
        <w:rPr>
          <w:rFonts w:ascii="Verdana" w:hAnsi="Verdana"/>
          <w:sz w:val="16"/>
          <w:szCs w:val="16"/>
        </w:rPr>
        <w:t xml:space="preserve"> </w:t>
      </w:r>
      <w:r>
        <w:rPr>
          <w:rFonts w:ascii="Verdana" w:hAnsi="Verdana"/>
          <w:sz w:val="16"/>
          <w:szCs w:val="16"/>
        </w:rPr>
        <w:t xml:space="preserve">SANTOFIMIO GAMBOA, Jaime Orlando. Tratado de derecho administrativo: contratación indebida. Bogotá: Universidad Externado de Colombia, 2004. pp. 115-116). </w:t>
      </w:r>
    </w:p>
  </w:footnote>
  <w:footnote w:id="10">
    <w:p w14:paraId="1E89432B" w14:textId="77777777" w:rsidR="0036004A" w:rsidRPr="00856F20" w:rsidRDefault="0036004A" w:rsidP="0036004A">
      <w:pPr>
        <w:pStyle w:val="Textonotapie"/>
        <w:ind w:firstLine="709"/>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Procuraduría General de la Nación. Concepto del 15 de octubre de 2014. Procuraduría Delegada para Asuntos Disciplinarios. Radicado PAD C-114-2014.</w:t>
      </w:r>
    </w:p>
  </w:footnote>
  <w:footnote w:id="11">
    <w:p w14:paraId="12E285FE" w14:textId="77777777" w:rsidR="0036004A" w:rsidRPr="00856F20" w:rsidRDefault="0036004A" w:rsidP="0036004A">
      <w:pPr>
        <w:pStyle w:val="Textonotapie"/>
        <w:ind w:firstLine="708"/>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Contraloría General de la República. Oficina Jurídica. Concepto 80112-OJ-008 2017.</w:t>
      </w:r>
    </w:p>
  </w:footnote>
  <w:footnote w:id="12">
    <w:p w14:paraId="173B0BB0" w14:textId="549B3E22" w:rsidR="0036004A" w:rsidRPr="00856F20" w:rsidRDefault="0036004A" w:rsidP="0036004A">
      <w:pPr>
        <w:pStyle w:val="Textonotapie"/>
        <w:ind w:firstLine="708"/>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ARBOLEDA PERDO</w:t>
      </w:r>
      <w:r w:rsidR="004166E5">
        <w:rPr>
          <w:rFonts w:ascii="Verdana" w:hAnsi="Verdana" w:cs="Arial"/>
          <w:sz w:val="16"/>
          <w:szCs w:val="16"/>
        </w:rPr>
        <w:t>M</w:t>
      </w:r>
      <w:r w:rsidRPr="00856F20">
        <w:rPr>
          <w:rFonts w:ascii="Verdana" w:hAnsi="Verdana" w:cs="Arial"/>
          <w:sz w:val="16"/>
          <w:szCs w:val="16"/>
        </w:rPr>
        <w:t>O, Enrique José. Comentarios al Nuevo Código de Procedimiento Administrativo y de lo Contencioso Administrativo (2ª ed.). Editorial Legis. Bogotá. 2012. p. 59.</w:t>
      </w:r>
    </w:p>
  </w:footnote>
  <w:footnote w:id="13">
    <w:p w14:paraId="4F3C0B12" w14:textId="77777777" w:rsidR="0036004A" w:rsidRPr="00856F20" w:rsidRDefault="0036004A" w:rsidP="0036004A">
      <w:pPr>
        <w:pStyle w:val="Textonotapie"/>
        <w:ind w:firstLine="709"/>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Cfr. HERNÁNDEZ BECERRA, Augusto. Función Consultiva y Consejo de Estado en Colombia. Ponencia presentada en las III Jornadas Internacionales de la Función Consultiva, organizadas por el Instituto de Investigaciones Jurídicas y el programa de Postgrado en Derecho de la Universidad Nacional Autónoma de México – UNAM. México. 2012. Pág. 9. Texto disponible para ser consultado en el siguiente hipervínculo: </w:t>
      </w:r>
      <w:hyperlink r:id="rId1" w:history="1">
        <w:r w:rsidRPr="00856F20">
          <w:rPr>
            <w:rStyle w:val="Hipervnculo"/>
            <w:rFonts w:ascii="Verdana" w:hAnsi="Verdana" w:cs="Arial"/>
            <w:sz w:val="16"/>
            <w:szCs w:val="16"/>
          </w:rPr>
          <w:t>https://issuu.com/estudiolegalhernandez/docs/ahb._funci__n_consultiva_y_consejo_</w:t>
        </w:r>
      </w:hyperlink>
      <w:r w:rsidRPr="00856F20">
        <w:rPr>
          <w:rFonts w:ascii="Verdana" w:hAnsi="Verdana" w:cs="Arial"/>
          <w:sz w:val="16"/>
          <w:szCs w:val="16"/>
        </w:rPr>
        <w:t>.</w:t>
      </w:r>
    </w:p>
  </w:footnote>
  <w:footnote w:id="14">
    <w:p w14:paraId="4D818ADA" w14:textId="77777777" w:rsidR="0036004A" w:rsidRPr="00856F20" w:rsidRDefault="0036004A" w:rsidP="0036004A">
      <w:pPr>
        <w:pStyle w:val="Textonotapie"/>
        <w:ind w:firstLine="708"/>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Consejo de Estado. Sala de Consulta y Servicio Civil. Concepto del 5 de octubre de 2009. Expediente 11001-03-06-000-2009-00049-00(1966). C.P. William Zambrano Cetina.</w:t>
      </w:r>
    </w:p>
  </w:footnote>
  <w:footnote w:id="15">
    <w:p w14:paraId="0552F7DD" w14:textId="020D11B3" w:rsidR="004C1F0E" w:rsidRPr="00B1210D" w:rsidRDefault="004C1F0E" w:rsidP="00B1210D">
      <w:pPr>
        <w:pStyle w:val="Textonotapie"/>
        <w:ind w:firstLine="708"/>
        <w:jc w:val="both"/>
        <w:rPr>
          <w:rFonts w:ascii="Verdana" w:hAnsi="Verdana"/>
          <w:sz w:val="16"/>
          <w:szCs w:val="16"/>
        </w:rPr>
      </w:pPr>
      <w:r w:rsidRPr="00B1210D">
        <w:rPr>
          <w:rStyle w:val="Refdenotaalpie"/>
          <w:rFonts w:ascii="Verdana" w:hAnsi="Verdana"/>
          <w:sz w:val="16"/>
          <w:szCs w:val="16"/>
        </w:rPr>
        <w:footnoteRef/>
      </w:r>
      <w:r w:rsidR="00C606CD" w:rsidRPr="00C606CD">
        <w:rPr>
          <w:rFonts w:ascii="Verdana" w:hAnsi="Verdana"/>
          <w:sz w:val="16"/>
          <w:szCs w:val="16"/>
        </w:rPr>
        <w:t xml:space="preserve"> </w:t>
      </w:r>
      <w:r w:rsidR="00C606CD">
        <w:rPr>
          <w:rFonts w:ascii="Verdana" w:hAnsi="Verdana"/>
          <w:sz w:val="16"/>
          <w:szCs w:val="16"/>
        </w:rPr>
        <w:t>T</w:t>
      </w:r>
      <w:r w:rsidR="00C606CD" w:rsidRPr="00E80B79">
        <w:rPr>
          <w:rFonts w:ascii="Verdana" w:hAnsi="Verdana"/>
          <w:sz w:val="16"/>
          <w:szCs w:val="16"/>
        </w:rPr>
        <w:t>ipologías de</w:t>
      </w:r>
      <w:r w:rsidR="00C606CD">
        <w:rPr>
          <w:rFonts w:ascii="Verdana" w:hAnsi="Verdana"/>
          <w:sz w:val="16"/>
          <w:szCs w:val="16"/>
        </w:rPr>
        <w:t xml:space="preserve"> </w:t>
      </w:r>
      <w:r w:rsidR="00C606CD" w:rsidRPr="00E80B79">
        <w:rPr>
          <w:rFonts w:ascii="Verdana" w:hAnsi="Verdana"/>
          <w:sz w:val="16"/>
          <w:szCs w:val="16"/>
        </w:rPr>
        <w:t>corrupción</w:t>
      </w:r>
      <w:r w:rsidR="00C606CD">
        <w:rPr>
          <w:rFonts w:ascii="Verdana" w:hAnsi="Verdana"/>
          <w:sz w:val="16"/>
          <w:szCs w:val="16"/>
        </w:rPr>
        <w:t xml:space="preserve"> </w:t>
      </w:r>
      <w:r w:rsidR="00C606CD" w:rsidRPr="00E80B79">
        <w:rPr>
          <w:rFonts w:ascii="Verdana" w:hAnsi="Verdana"/>
          <w:sz w:val="16"/>
          <w:szCs w:val="16"/>
        </w:rPr>
        <w:t xml:space="preserve">en </w:t>
      </w:r>
      <w:r w:rsidR="00C606CD">
        <w:rPr>
          <w:rFonts w:ascii="Verdana" w:hAnsi="Verdana"/>
          <w:sz w:val="16"/>
          <w:szCs w:val="16"/>
        </w:rPr>
        <w:t>C</w:t>
      </w:r>
      <w:r w:rsidR="00C606CD" w:rsidRPr="00E80B79">
        <w:rPr>
          <w:rFonts w:ascii="Verdana" w:hAnsi="Verdana"/>
          <w:sz w:val="16"/>
          <w:szCs w:val="16"/>
        </w:rPr>
        <w:t>olombia</w:t>
      </w:r>
      <w:r w:rsidR="00C606CD">
        <w:rPr>
          <w:rFonts w:ascii="Verdana" w:hAnsi="Verdana"/>
          <w:sz w:val="16"/>
          <w:szCs w:val="16"/>
        </w:rPr>
        <w:t>:</w:t>
      </w:r>
      <w:r w:rsidR="00C606CD" w:rsidRPr="00E80B79">
        <w:rPr>
          <w:rFonts w:ascii="Verdana" w:hAnsi="Verdana"/>
          <w:sz w:val="16"/>
          <w:szCs w:val="16"/>
        </w:rPr>
        <w:t xml:space="preserve"> </w:t>
      </w:r>
      <w:r w:rsidR="00C606CD">
        <w:rPr>
          <w:rFonts w:ascii="Verdana" w:hAnsi="Verdana"/>
          <w:sz w:val="16"/>
          <w:szCs w:val="16"/>
        </w:rPr>
        <w:t>F</w:t>
      </w:r>
      <w:r w:rsidR="00C606CD" w:rsidRPr="00E80B79">
        <w:rPr>
          <w:rFonts w:ascii="Verdana" w:hAnsi="Verdana"/>
          <w:sz w:val="16"/>
          <w:szCs w:val="16"/>
        </w:rPr>
        <w:t>iscales unidos por la transparencia y la integridad</w:t>
      </w:r>
      <w:r w:rsidR="00C606CD">
        <w:rPr>
          <w:rFonts w:ascii="Verdana" w:hAnsi="Verdana"/>
          <w:sz w:val="16"/>
          <w:szCs w:val="16"/>
        </w:rPr>
        <w:t xml:space="preserve">. Tomo III: </w:t>
      </w:r>
      <w:r w:rsidR="00C76DE9" w:rsidRPr="00C76DE9">
        <w:rPr>
          <w:rFonts w:ascii="Verdana" w:hAnsi="Verdana"/>
          <w:sz w:val="16"/>
          <w:szCs w:val="16"/>
        </w:rPr>
        <w:t>Celebración indebida</w:t>
      </w:r>
      <w:r w:rsidR="00C76DE9">
        <w:rPr>
          <w:rFonts w:ascii="Verdana" w:hAnsi="Verdana"/>
          <w:sz w:val="16"/>
          <w:szCs w:val="16"/>
        </w:rPr>
        <w:t xml:space="preserve"> </w:t>
      </w:r>
      <w:r w:rsidR="00C76DE9" w:rsidRPr="00C76DE9">
        <w:rPr>
          <w:rFonts w:ascii="Verdana" w:hAnsi="Verdana"/>
          <w:sz w:val="16"/>
          <w:szCs w:val="16"/>
        </w:rPr>
        <w:t>de contratos</w:t>
      </w:r>
      <w:r w:rsidR="00C76DE9">
        <w:rPr>
          <w:rFonts w:ascii="Verdana" w:hAnsi="Verdana"/>
          <w:sz w:val="16"/>
          <w:szCs w:val="16"/>
        </w:rPr>
        <w:t xml:space="preserve">. Consultado el 29 de septiembre de 2025 en la página web </w:t>
      </w:r>
      <w:hyperlink r:id="rId2" w:history="1">
        <w:r w:rsidR="00DC5EFE" w:rsidRPr="00AA3042">
          <w:rPr>
            <w:rStyle w:val="Hipervnculo"/>
            <w:rFonts w:ascii="Verdana" w:hAnsi="Verdana"/>
            <w:sz w:val="16"/>
            <w:szCs w:val="16"/>
          </w:rPr>
          <w:t>https://www.fiscalia.gov.co/colombia/wp-content/uploads/Tomo-III.pdf</w:t>
        </w:r>
      </w:hyperlink>
      <w:r w:rsidR="00DC5EFE">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04F"/>
    <w:rsid w:val="00016F78"/>
    <w:rsid w:val="00046945"/>
    <w:rsid w:val="00046C2A"/>
    <w:rsid w:val="000471F5"/>
    <w:rsid w:val="00055436"/>
    <w:rsid w:val="00057684"/>
    <w:rsid w:val="00061B2A"/>
    <w:rsid w:val="000771C3"/>
    <w:rsid w:val="00082362"/>
    <w:rsid w:val="000A1534"/>
    <w:rsid w:val="000A683E"/>
    <w:rsid w:val="000B19B9"/>
    <w:rsid w:val="000D0334"/>
    <w:rsid w:val="000D5CBD"/>
    <w:rsid w:val="000F6486"/>
    <w:rsid w:val="001032B6"/>
    <w:rsid w:val="00125105"/>
    <w:rsid w:val="00127233"/>
    <w:rsid w:val="00140D56"/>
    <w:rsid w:val="00151AB0"/>
    <w:rsid w:val="001621D0"/>
    <w:rsid w:val="001675E1"/>
    <w:rsid w:val="001A71A5"/>
    <w:rsid w:val="001B7C12"/>
    <w:rsid w:val="001E4177"/>
    <w:rsid w:val="001F7DC6"/>
    <w:rsid w:val="002421BB"/>
    <w:rsid w:val="00246A78"/>
    <w:rsid w:val="0025022E"/>
    <w:rsid w:val="00252021"/>
    <w:rsid w:val="0025796E"/>
    <w:rsid w:val="002707A2"/>
    <w:rsid w:val="002951A0"/>
    <w:rsid w:val="002962BC"/>
    <w:rsid w:val="002A093D"/>
    <w:rsid w:val="002A0DD0"/>
    <w:rsid w:val="002A49AC"/>
    <w:rsid w:val="002A64FD"/>
    <w:rsid w:val="002B659F"/>
    <w:rsid w:val="002C7A84"/>
    <w:rsid w:val="002E4FD9"/>
    <w:rsid w:val="00317B7E"/>
    <w:rsid w:val="00322A85"/>
    <w:rsid w:val="00324168"/>
    <w:rsid w:val="00324504"/>
    <w:rsid w:val="003448F4"/>
    <w:rsid w:val="0036004A"/>
    <w:rsid w:val="003627AA"/>
    <w:rsid w:val="00374F5E"/>
    <w:rsid w:val="00377E3E"/>
    <w:rsid w:val="003A6E8F"/>
    <w:rsid w:val="003A779E"/>
    <w:rsid w:val="003D0F4D"/>
    <w:rsid w:val="003D5B0D"/>
    <w:rsid w:val="003E0499"/>
    <w:rsid w:val="003F3941"/>
    <w:rsid w:val="004003DB"/>
    <w:rsid w:val="00406575"/>
    <w:rsid w:val="00414C74"/>
    <w:rsid w:val="004166E5"/>
    <w:rsid w:val="0042722E"/>
    <w:rsid w:val="0044528D"/>
    <w:rsid w:val="00464955"/>
    <w:rsid w:val="00487DF0"/>
    <w:rsid w:val="004941C4"/>
    <w:rsid w:val="004A1847"/>
    <w:rsid w:val="004A305D"/>
    <w:rsid w:val="004C1F0E"/>
    <w:rsid w:val="004F21C4"/>
    <w:rsid w:val="004F685F"/>
    <w:rsid w:val="00506C19"/>
    <w:rsid w:val="005270AC"/>
    <w:rsid w:val="00546968"/>
    <w:rsid w:val="005566E8"/>
    <w:rsid w:val="00574867"/>
    <w:rsid w:val="00591460"/>
    <w:rsid w:val="005B150C"/>
    <w:rsid w:val="005B2DE4"/>
    <w:rsid w:val="005C3777"/>
    <w:rsid w:val="005C5CDC"/>
    <w:rsid w:val="005D476C"/>
    <w:rsid w:val="005F5D08"/>
    <w:rsid w:val="00602880"/>
    <w:rsid w:val="006219F8"/>
    <w:rsid w:val="006302F7"/>
    <w:rsid w:val="00643FAC"/>
    <w:rsid w:val="00665D70"/>
    <w:rsid w:val="00680ACE"/>
    <w:rsid w:val="006900D9"/>
    <w:rsid w:val="00690F0A"/>
    <w:rsid w:val="006A760C"/>
    <w:rsid w:val="006F748A"/>
    <w:rsid w:val="00706C16"/>
    <w:rsid w:val="00756841"/>
    <w:rsid w:val="007649AB"/>
    <w:rsid w:val="00771D0C"/>
    <w:rsid w:val="007833AC"/>
    <w:rsid w:val="007B268C"/>
    <w:rsid w:val="007B7171"/>
    <w:rsid w:val="007C0C0F"/>
    <w:rsid w:val="007C3DC2"/>
    <w:rsid w:val="007D1FAB"/>
    <w:rsid w:val="007D3D07"/>
    <w:rsid w:val="007E5497"/>
    <w:rsid w:val="007E6E86"/>
    <w:rsid w:val="00802635"/>
    <w:rsid w:val="00806F5F"/>
    <w:rsid w:val="00820278"/>
    <w:rsid w:val="00851597"/>
    <w:rsid w:val="00856DFB"/>
    <w:rsid w:val="00867F95"/>
    <w:rsid w:val="008755AC"/>
    <w:rsid w:val="008843B6"/>
    <w:rsid w:val="00891928"/>
    <w:rsid w:val="00897A3A"/>
    <w:rsid w:val="008A446D"/>
    <w:rsid w:val="008D180B"/>
    <w:rsid w:val="008E793E"/>
    <w:rsid w:val="008F0EA7"/>
    <w:rsid w:val="008F59B9"/>
    <w:rsid w:val="008F6F8D"/>
    <w:rsid w:val="0090265E"/>
    <w:rsid w:val="009203E5"/>
    <w:rsid w:val="00923EEF"/>
    <w:rsid w:val="00931689"/>
    <w:rsid w:val="009342FE"/>
    <w:rsid w:val="009419F9"/>
    <w:rsid w:val="00956667"/>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6025"/>
    <w:rsid w:val="00AB0ADB"/>
    <w:rsid w:val="00B00C0E"/>
    <w:rsid w:val="00B01B1A"/>
    <w:rsid w:val="00B11C22"/>
    <w:rsid w:val="00B11F7E"/>
    <w:rsid w:val="00B1210D"/>
    <w:rsid w:val="00B305BB"/>
    <w:rsid w:val="00B44A47"/>
    <w:rsid w:val="00B47340"/>
    <w:rsid w:val="00B52CE5"/>
    <w:rsid w:val="00B72CD3"/>
    <w:rsid w:val="00B72FFF"/>
    <w:rsid w:val="00B819B0"/>
    <w:rsid w:val="00B870FA"/>
    <w:rsid w:val="00BC3D36"/>
    <w:rsid w:val="00BC66E4"/>
    <w:rsid w:val="00BD7F72"/>
    <w:rsid w:val="00C04FB3"/>
    <w:rsid w:val="00C10040"/>
    <w:rsid w:val="00C330EB"/>
    <w:rsid w:val="00C42994"/>
    <w:rsid w:val="00C57777"/>
    <w:rsid w:val="00C606CD"/>
    <w:rsid w:val="00C72865"/>
    <w:rsid w:val="00C754BE"/>
    <w:rsid w:val="00C76B1C"/>
    <w:rsid w:val="00C76DE9"/>
    <w:rsid w:val="00C82B4F"/>
    <w:rsid w:val="00CB6357"/>
    <w:rsid w:val="00CC1B26"/>
    <w:rsid w:val="00CD378A"/>
    <w:rsid w:val="00CF13DB"/>
    <w:rsid w:val="00D2799C"/>
    <w:rsid w:val="00D423A2"/>
    <w:rsid w:val="00D4663B"/>
    <w:rsid w:val="00D520D8"/>
    <w:rsid w:val="00D56678"/>
    <w:rsid w:val="00D57988"/>
    <w:rsid w:val="00D63AC2"/>
    <w:rsid w:val="00D71E4B"/>
    <w:rsid w:val="00D7383B"/>
    <w:rsid w:val="00DA231B"/>
    <w:rsid w:val="00DA65D2"/>
    <w:rsid w:val="00DA77C3"/>
    <w:rsid w:val="00DC39FC"/>
    <w:rsid w:val="00DC3FC9"/>
    <w:rsid w:val="00DC5EFE"/>
    <w:rsid w:val="00DF5254"/>
    <w:rsid w:val="00E1371B"/>
    <w:rsid w:val="00E16408"/>
    <w:rsid w:val="00E20894"/>
    <w:rsid w:val="00E245AB"/>
    <w:rsid w:val="00E2764C"/>
    <w:rsid w:val="00E27F2E"/>
    <w:rsid w:val="00E40D1F"/>
    <w:rsid w:val="00E4649D"/>
    <w:rsid w:val="00E47852"/>
    <w:rsid w:val="00E50AFE"/>
    <w:rsid w:val="00E55A89"/>
    <w:rsid w:val="00E75C92"/>
    <w:rsid w:val="00E771DC"/>
    <w:rsid w:val="00E80B79"/>
    <w:rsid w:val="00E8772A"/>
    <w:rsid w:val="00E90F6B"/>
    <w:rsid w:val="00E92C27"/>
    <w:rsid w:val="00EA0E3D"/>
    <w:rsid w:val="00EC38A7"/>
    <w:rsid w:val="00EE1AA8"/>
    <w:rsid w:val="00EF5EE7"/>
    <w:rsid w:val="00F04578"/>
    <w:rsid w:val="00F047CB"/>
    <w:rsid w:val="00F22E29"/>
    <w:rsid w:val="00F31EDC"/>
    <w:rsid w:val="00F44F92"/>
    <w:rsid w:val="00F462B3"/>
    <w:rsid w:val="00F5664F"/>
    <w:rsid w:val="00F63C9E"/>
    <w:rsid w:val="00F666C4"/>
    <w:rsid w:val="00F76AFC"/>
    <w:rsid w:val="00F772EA"/>
    <w:rsid w:val="00FA23B3"/>
    <w:rsid w:val="00FA47C0"/>
    <w:rsid w:val="00FA5641"/>
    <w:rsid w:val="00FB5DD1"/>
    <w:rsid w:val="00FC2B5D"/>
    <w:rsid w:val="00FC6ADC"/>
    <w:rsid w:val="00FD3831"/>
    <w:rsid w:val="00FF1449"/>
    <w:rsid w:val="10BCB2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3D348A2-FFE4-48A3-9E2D-3A1E4067B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6004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6004A"/>
    <w:rPr>
      <w:rFonts w:ascii="Geomanist Light" w:hAnsi="Geomanist Light"/>
      <w:lang w:val="es-ES"/>
    </w:rPr>
  </w:style>
  <w:style w:type="paragraph" w:styleId="Textoindependiente">
    <w:name w:val="Body Text"/>
    <w:basedOn w:val="Normal"/>
    <w:link w:val="TextoindependienteCar"/>
    <w:uiPriority w:val="99"/>
    <w:unhideWhenUsed/>
    <w:rsid w:val="0036004A"/>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36004A"/>
    <w:rPr>
      <w:rFonts w:eastAsiaTheme="minorEastAsia"/>
      <w:lang w:eastAsia="es-CO"/>
    </w:rPr>
  </w:style>
  <w:style w:type="character" w:customStyle="1" w:styleId="s15">
    <w:name w:val="s15"/>
    <w:basedOn w:val="Fuentedeprrafopredeter"/>
    <w:rsid w:val="0036004A"/>
  </w:style>
  <w:style w:type="character" w:customStyle="1" w:styleId="apple-converted-space">
    <w:name w:val="apple-converted-space"/>
    <w:basedOn w:val="Fuentedeprrafopredeter"/>
    <w:rsid w:val="0036004A"/>
  </w:style>
  <w:style w:type="character" w:styleId="Refdecomentario">
    <w:name w:val="annotation reference"/>
    <w:basedOn w:val="Fuentedeprrafopredeter"/>
    <w:uiPriority w:val="99"/>
    <w:semiHidden/>
    <w:unhideWhenUsed/>
    <w:rsid w:val="009342FE"/>
    <w:rPr>
      <w:sz w:val="16"/>
      <w:szCs w:val="16"/>
    </w:rPr>
  </w:style>
  <w:style w:type="paragraph" w:styleId="Textocomentario">
    <w:name w:val="annotation text"/>
    <w:basedOn w:val="Normal"/>
    <w:link w:val="TextocomentarioCar"/>
    <w:uiPriority w:val="99"/>
    <w:unhideWhenUsed/>
    <w:rsid w:val="009342FE"/>
    <w:pPr>
      <w:spacing w:line="240" w:lineRule="auto"/>
    </w:pPr>
    <w:rPr>
      <w:sz w:val="20"/>
      <w:szCs w:val="20"/>
    </w:rPr>
  </w:style>
  <w:style w:type="character" w:customStyle="1" w:styleId="TextocomentarioCar">
    <w:name w:val="Texto comentario Car"/>
    <w:basedOn w:val="Fuentedeprrafopredeter"/>
    <w:link w:val="Textocomentario"/>
    <w:uiPriority w:val="99"/>
    <w:rsid w:val="009342FE"/>
    <w:rPr>
      <w:sz w:val="20"/>
      <w:szCs w:val="20"/>
    </w:rPr>
  </w:style>
  <w:style w:type="paragraph" w:styleId="Asuntodelcomentario">
    <w:name w:val="annotation subject"/>
    <w:basedOn w:val="Textocomentario"/>
    <w:next w:val="Textocomentario"/>
    <w:link w:val="AsuntodelcomentarioCar"/>
    <w:uiPriority w:val="99"/>
    <w:semiHidden/>
    <w:unhideWhenUsed/>
    <w:rsid w:val="009342FE"/>
    <w:rPr>
      <w:b/>
      <w:bCs/>
    </w:rPr>
  </w:style>
  <w:style w:type="character" w:customStyle="1" w:styleId="AsuntodelcomentarioCar">
    <w:name w:val="Asunto del comentario Car"/>
    <w:basedOn w:val="TextocomentarioCar"/>
    <w:link w:val="Asuntodelcomentario"/>
    <w:uiPriority w:val="99"/>
    <w:semiHidden/>
    <w:rsid w:val="009342F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erson.camacho@cecar.edu.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fiscalia.gov.co/colombia/wp-content/uploads/Tomo-III.pdf" TargetMode="External"/><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85D8088-132D-1C47-BDE3-E675947B5E60}">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F856739-4FDD-426D-B490-266F8935DC23}"/>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16</Pages>
  <Words>5451</Words>
  <Characters>29983</Characters>
  <Application>Microsoft Office Word</Application>
  <DocSecurity>0</DocSecurity>
  <Lines>249</Lines>
  <Paragraphs>70</Paragraphs>
  <ScaleCrop>false</ScaleCrop>
  <Company/>
  <LinksUpToDate>false</LinksUpToDate>
  <CharactersWithSpaces>35364</CharactersWithSpaces>
  <SharedDoc>false</SharedDoc>
  <HLinks>
    <vt:vector size="24" baseType="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7536735</vt:i4>
      </vt:variant>
      <vt:variant>
        <vt:i4>0</vt:i4>
      </vt:variant>
      <vt:variant>
        <vt:i4>0</vt:i4>
      </vt:variant>
      <vt:variant>
        <vt:i4>5</vt:i4>
      </vt:variant>
      <vt:variant>
        <vt:lpwstr>mailto:anderson.camacho@cecar.edu.co</vt:lpwstr>
      </vt:variant>
      <vt:variant>
        <vt:lpwstr/>
      </vt:variant>
      <vt:variant>
        <vt:i4>3080313</vt:i4>
      </vt:variant>
      <vt:variant>
        <vt:i4>0</vt:i4>
      </vt:variant>
      <vt:variant>
        <vt:i4>0</vt:i4>
      </vt:variant>
      <vt:variant>
        <vt:i4>5</vt:i4>
      </vt:variant>
      <vt:variant>
        <vt:lpwstr>about:blank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9</cp:revision>
  <cp:lastPrinted>2023-01-11T00:18:00Z</cp:lastPrinted>
  <dcterms:created xsi:type="dcterms:W3CDTF">2025-10-01T13:42:00Z</dcterms:created>
  <dcterms:modified xsi:type="dcterms:W3CDTF">2025-10-01T15:27:00Z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