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EB64F" w14:textId="77777777" w:rsidR="000D566B" w:rsidRPr="003E4F32" w:rsidRDefault="000D566B" w:rsidP="00452E74">
      <w:pPr>
        <w:spacing w:after="0" w:line="240" w:lineRule="auto"/>
        <w:jc w:val="both"/>
        <w:rPr>
          <w:rFonts w:ascii="Verdana" w:hAnsi="Verdana"/>
          <w:b/>
          <w:lang w:val="es-ES"/>
        </w:rPr>
      </w:pPr>
      <w:bookmarkStart w:id="0" w:name="_Hlk143780582"/>
      <w:r w:rsidRPr="003E4F32">
        <w:rPr>
          <w:rFonts w:ascii="Verdana" w:hAnsi="Verdana"/>
          <w:b/>
          <w:lang w:val="es-ES"/>
        </w:rPr>
        <w:t xml:space="preserve">CONTRATOS Y CONVENIOS INTERADMINISTRATIVOS – Noción – Diferencias </w:t>
      </w:r>
    </w:p>
    <w:p w14:paraId="69D4A3D4" w14:textId="77777777" w:rsidR="000D566B" w:rsidRDefault="000D566B" w:rsidP="00452E74">
      <w:pPr>
        <w:spacing w:after="0" w:line="240" w:lineRule="auto"/>
        <w:jc w:val="both"/>
        <w:rPr>
          <w:rFonts w:ascii="Verdana" w:hAnsi="Verdana"/>
          <w:b/>
          <w:lang w:val="es-ES"/>
        </w:rPr>
      </w:pPr>
    </w:p>
    <w:p w14:paraId="1D9DDF86" w14:textId="77777777" w:rsidR="000D566B" w:rsidRDefault="000D566B" w:rsidP="00452E74">
      <w:pPr>
        <w:spacing w:after="0" w:line="240" w:lineRule="auto"/>
        <w:jc w:val="both"/>
        <w:rPr>
          <w:rFonts w:ascii="Verdana" w:hAnsi="Verdana"/>
          <w:sz w:val="20"/>
        </w:rPr>
      </w:pPr>
      <w:r w:rsidRPr="003E4F32">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4C94D38C" w14:textId="77777777" w:rsidR="000D566B" w:rsidRPr="003E4F32" w:rsidRDefault="000D566B" w:rsidP="00452E74">
      <w:pPr>
        <w:spacing w:after="0" w:line="240" w:lineRule="auto"/>
        <w:jc w:val="both"/>
        <w:rPr>
          <w:rFonts w:ascii="Verdana" w:hAnsi="Verdana"/>
          <w:sz w:val="20"/>
        </w:rPr>
      </w:pPr>
    </w:p>
    <w:p w14:paraId="048480B9" w14:textId="77777777" w:rsidR="000D566B" w:rsidRPr="003E4F32" w:rsidRDefault="000D566B" w:rsidP="00452E74">
      <w:pPr>
        <w:spacing w:after="0" w:line="240" w:lineRule="auto"/>
        <w:jc w:val="both"/>
        <w:rPr>
          <w:rFonts w:ascii="Verdana" w:hAnsi="Verdana"/>
          <w:sz w:val="20"/>
        </w:rPr>
      </w:pPr>
      <w:r w:rsidRPr="003E4F32">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6A4AEB08" w14:textId="77777777" w:rsidR="000D566B" w:rsidRPr="003E4F32" w:rsidRDefault="000D566B" w:rsidP="00452E74">
      <w:pPr>
        <w:spacing w:after="0" w:line="240" w:lineRule="auto"/>
        <w:jc w:val="both"/>
        <w:rPr>
          <w:rFonts w:ascii="Verdana" w:hAnsi="Verdana"/>
          <w:b/>
        </w:rPr>
      </w:pPr>
    </w:p>
    <w:p w14:paraId="57278A17" w14:textId="77777777" w:rsidR="000D566B" w:rsidRPr="003E4F32" w:rsidRDefault="000D566B" w:rsidP="00452E74">
      <w:pPr>
        <w:spacing w:after="0" w:line="240" w:lineRule="auto"/>
        <w:jc w:val="both"/>
        <w:rPr>
          <w:rFonts w:ascii="Verdana" w:hAnsi="Verdana"/>
          <w:b/>
          <w:lang w:val="es-ES"/>
        </w:rPr>
      </w:pPr>
      <w:r w:rsidRPr="003E4F32">
        <w:rPr>
          <w:rFonts w:ascii="Verdana" w:hAnsi="Verdana"/>
          <w:b/>
          <w:lang w:val="es-ES"/>
        </w:rPr>
        <w:t xml:space="preserve">CONVENIO INTERADMINISTRATIVO – Naturaleza – Inaplicabilidad – Ley 80 de 1993 </w:t>
      </w:r>
    </w:p>
    <w:p w14:paraId="22E97BAF" w14:textId="77777777" w:rsidR="000D566B" w:rsidRDefault="000D566B" w:rsidP="00452E74">
      <w:pPr>
        <w:spacing w:after="0" w:line="240" w:lineRule="auto"/>
        <w:jc w:val="both"/>
        <w:rPr>
          <w:rFonts w:ascii="Verdana" w:hAnsi="Verdana"/>
          <w:b/>
          <w:lang w:val="es-ES"/>
        </w:rPr>
      </w:pPr>
    </w:p>
    <w:p w14:paraId="723AAE8E" w14:textId="77777777" w:rsidR="000D566B" w:rsidRPr="003E4F32" w:rsidRDefault="000D566B" w:rsidP="00452E74">
      <w:pPr>
        <w:spacing w:after="0" w:line="240" w:lineRule="auto"/>
        <w:jc w:val="both"/>
        <w:rPr>
          <w:rFonts w:ascii="Verdana" w:hAnsi="Verdana"/>
          <w:sz w:val="20"/>
        </w:rPr>
      </w:pPr>
      <w:r w:rsidRPr="003E4F32">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50477073" w14:textId="77777777" w:rsidR="000D566B" w:rsidRPr="003E4F32" w:rsidRDefault="000D566B" w:rsidP="00452E74">
      <w:pPr>
        <w:spacing w:after="0" w:line="240" w:lineRule="auto"/>
        <w:jc w:val="both"/>
        <w:rPr>
          <w:rFonts w:ascii="Verdana" w:hAnsi="Verdana"/>
          <w:sz w:val="20"/>
        </w:rPr>
      </w:pPr>
    </w:p>
    <w:p w14:paraId="5FB1D726" w14:textId="77777777" w:rsidR="000D566B" w:rsidRPr="003E4F32" w:rsidRDefault="000D566B" w:rsidP="00452E74">
      <w:pPr>
        <w:spacing w:after="0" w:line="240" w:lineRule="auto"/>
        <w:jc w:val="both"/>
        <w:rPr>
          <w:rFonts w:ascii="Verdana" w:hAnsi="Verdana"/>
          <w:sz w:val="20"/>
        </w:rPr>
      </w:pPr>
      <w:r w:rsidRPr="003E4F32">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5EC18217" w14:textId="77777777" w:rsidR="000D566B" w:rsidRPr="000D566B" w:rsidRDefault="000D566B" w:rsidP="00452E74">
      <w:pPr>
        <w:spacing w:after="0" w:line="240" w:lineRule="auto"/>
        <w:rPr>
          <w:rFonts w:ascii="Verdana" w:hAnsi="Verdana"/>
          <w:b/>
        </w:rPr>
      </w:pPr>
    </w:p>
    <w:p w14:paraId="18CD0828" w14:textId="77777777" w:rsidR="000D566B" w:rsidRPr="000D566B" w:rsidRDefault="000D566B" w:rsidP="00452E74">
      <w:pPr>
        <w:spacing w:after="0" w:line="240" w:lineRule="auto"/>
        <w:rPr>
          <w:rFonts w:ascii="Verdana" w:hAnsi="Verdana"/>
          <w:b/>
          <w:bCs/>
          <w:lang w:val="es-ES"/>
        </w:rPr>
      </w:pPr>
      <w:r w:rsidRPr="000D566B">
        <w:rPr>
          <w:rFonts w:ascii="Verdana" w:hAnsi="Verdana"/>
          <w:b/>
          <w:bCs/>
          <w:lang w:val="es-ES"/>
        </w:rPr>
        <w:t>PARTICIPACIÓN CIUDADANA – Fundamentos constitucionales</w:t>
      </w:r>
    </w:p>
    <w:p w14:paraId="0F7B00B3" w14:textId="3DA05E06" w:rsidR="000D566B" w:rsidRDefault="000D566B" w:rsidP="00452E74">
      <w:pPr>
        <w:spacing w:after="0" w:line="240" w:lineRule="auto"/>
        <w:rPr>
          <w:rFonts w:ascii="Verdana" w:hAnsi="Verdana"/>
          <w:b/>
          <w:bCs/>
          <w:lang w:val="es-ES"/>
        </w:rPr>
      </w:pPr>
    </w:p>
    <w:p w14:paraId="4C43DB9A" w14:textId="383771CF" w:rsidR="000D566B" w:rsidRDefault="000D566B" w:rsidP="00452E74">
      <w:pPr>
        <w:spacing w:after="0" w:line="240" w:lineRule="auto"/>
        <w:jc w:val="both"/>
        <w:rPr>
          <w:rFonts w:ascii="Verdana" w:hAnsi="Verdana"/>
          <w:bCs/>
          <w:sz w:val="20"/>
          <w:lang w:val="es-ES"/>
        </w:rPr>
      </w:pPr>
      <w:r w:rsidRPr="000D566B">
        <w:rPr>
          <w:rFonts w:ascii="Verdana" w:hAnsi="Verdana"/>
          <w:bCs/>
          <w:sz w:val="20"/>
          <w:lang w:val="es-ES"/>
        </w:rPr>
        <w:t>La participación ciudadana en las decisiones del Estado tiene fundamento en la Constitución Política. En efecto, el artículo 2 de la Constitución dispone cuáles son los fines esenciales del Estado, entre ellos, “[...] facilitar la participación de todos en las decisiones que los afectan y en la vida económica, política, administrativa y cultural de la Nación</w:t>
      </w:r>
      <w:r w:rsidRPr="000D566B">
        <w:rPr>
          <w:rFonts w:ascii="Verdana" w:hAnsi="Verdana"/>
          <w:bCs/>
          <w:i/>
          <w:iCs/>
          <w:sz w:val="20"/>
          <w:lang w:val="es-ES"/>
        </w:rPr>
        <w:t xml:space="preserve"> </w:t>
      </w:r>
      <w:r w:rsidRPr="000D566B">
        <w:rPr>
          <w:rFonts w:ascii="Verdana" w:hAnsi="Verdana"/>
          <w:bCs/>
          <w:sz w:val="20"/>
          <w:lang w:val="es-ES"/>
        </w:rPr>
        <w:t xml:space="preserve">[...]”. Por su parte, el artículo 270 de la Constitución atribuye a la Ley la organización de “[...] las formas y los sistemas de participación ciudadana que permitan </w:t>
      </w:r>
      <w:r w:rsidRPr="000D566B">
        <w:rPr>
          <w:rFonts w:ascii="Verdana" w:hAnsi="Verdana"/>
          <w:bCs/>
          <w:sz w:val="20"/>
          <w:lang w:val="es-ES"/>
        </w:rPr>
        <w:lastRenderedPageBreak/>
        <w:t>vigilar la gestión pública que se cumpla en los diversos niveles administrativos y sus resultados”.</w:t>
      </w:r>
    </w:p>
    <w:p w14:paraId="4215D124" w14:textId="77777777" w:rsidR="000D566B" w:rsidRPr="000D566B" w:rsidRDefault="000D566B" w:rsidP="00452E74">
      <w:pPr>
        <w:spacing w:after="0" w:line="240" w:lineRule="auto"/>
        <w:jc w:val="both"/>
        <w:rPr>
          <w:rFonts w:ascii="Verdana" w:hAnsi="Verdana"/>
          <w:bCs/>
          <w:sz w:val="20"/>
          <w:lang w:val="es-ES"/>
        </w:rPr>
      </w:pPr>
    </w:p>
    <w:p w14:paraId="5C2A9361" w14:textId="77777777" w:rsidR="000D566B" w:rsidRPr="000D566B" w:rsidRDefault="000D566B" w:rsidP="00452E74">
      <w:pPr>
        <w:spacing w:after="0" w:line="240" w:lineRule="auto"/>
        <w:rPr>
          <w:rFonts w:ascii="Verdana" w:hAnsi="Verdana"/>
          <w:b/>
          <w:bCs/>
          <w:lang w:val="es-ES"/>
        </w:rPr>
      </w:pPr>
      <w:r w:rsidRPr="000D566B">
        <w:rPr>
          <w:rFonts w:ascii="Verdana" w:hAnsi="Verdana"/>
          <w:b/>
          <w:bCs/>
          <w:lang w:val="es-ES"/>
        </w:rPr>
        <w:t xml:space="preserve">PARTICIPACIÓN CIUDADANA – Contratación pública </w:t>
      </w:r>
    </w:p>
    <w:p w14:paraId="41DA0681" w14:textId="588F4C31" w:rsidR="000D566B" w:rsidRDefault="000D566B" w:rsidP="00452E74">
      <w:pPr>
        <w:spacing w:after="0" w:line="240" w:lineRule="auto"/>
        <w:rPr>
          <w:rFonts w:ascii="Verdana" w:hAnsi="Verdana"/>
          <w:b/>
          <w:bCs/>
          <w:lang w:val="es-ES"/>
        </w:rPr>
      </w:pPr>
    </w:p>
    <w:p w14:paraId="0C6ADFA0" w14:textId="2301A817" w:rsidR="000D566B" w:rsidRDefault="000D566B" w:rsidP="00452E74">
      <w:pPr>
        <w:spacing w:after="0" w:line="240" w:lineRule="auto"/>
        <w:jc w:val="both"/>
        <w:rPr>
          <w:rFonts w:ascii="Verdana" w:hAnsi="Verdana"/>
          <w:bCs/>
          <w:sz w:val="20"/>
          <w:szCs w:val="20"/>
          <w:lang w:val="es-ES"/>
        </w:rPr>
      </w:pPr>
      <w:r w:rsidRPr="000D566B">
        <w:rPr>
          <w:rFonts w:ascii="Verdana" w:hAnsi="Verdana"/>
          <w:bCs/>
          <w:sz w:val="20"/>
          <w:szCs w:val="20"/>
          <w:lang w:val="es-ES"/>
        </w:rPr>
        <w:t>La disposición normativa precitada dispuso que todo contrato que celebren las entidades estatales estará sujeto a la vigilancia y control ciudadano, prescribiendo así el ámbito de aplicación de la participación ciudadana en la contratación estatal. De igual manera, dicho precepto determina, entre otros aspectos, el deber de las autoridades de brindar especial apoyo y colaboración a las personas y asociaciones que realicen el control y vigilancia de la gestión pública contractual, así como de suministrar oportunamente la documentación e información que requieran para el cumplimiento de tales tareas. En adición a la Ley 80 de 1993, existen otras normas que regulan la participación de la ciudadanía en el control social de la gestión pública, tales como las leyes 134 de 1994, 393 de 1997, 472 de 1998 y 489 de 1998, entre otras.</w:t>
      </w:r>
    </w:p>
    <w:p w14:paraId="119A41EA" w14:textId="77777777" w:rsidR="000D566B" w:rsidRPr="000D566B" w:rsidRDefault="000D566B" w:rsidP="00452E74">
      <w:pPr>
        <w:spacing w:after="0" w:line="240" w:lineRule="auto"/>
        <w:jc w:val="both"/>
        <w:rPr>
          <w:rFonts w:ascii="Verdana" w:hAnsi="Verdana"/>
          <w:bCs/>
          <w:sz w:val="20"/>
          <w:szCs w:val="20"/>
          <w:lang w:val="es-ES"/>
        </w:rPr>
      </w:pPr>
    </w:p>
    <w:p w14:paraId="5FCC054D" w14:textId="77777777" w:rsidR="000D566B" w:rsidRPr="000D566B" w:rsidRDefault="000D566B" w:rsidP="00452E74">
      <w:pPr>
        <w:spacing w:after="0" w:line="240" w:lineRule="auto"/>
        <w:jc w:val="both"/>
        <w:rPr>
          <w:rFonts w:ascii="Verdana" w:hAnsi="Verdana"/>
          <w:b/>
          <w:bCs/>
          <w:lang w:val="es-ES"/>
        </w:rPr>
      </w:pPr>
      <w:r w:rsidRPr="000D566B">
        <w:rPr>
          <w:rFonts w:ascii="Verdana" w:hAnsi="Verdana"/>
          <w:b/>
          <w:bCs/>
          <w:lang w:val="es-ES"/>
        </w:rPr>
        <w:t>VEEDURÍAS CIUDADANAS – Concepto – Formas de constitución – Procedimiento</w:t>
      </w:r>
    </w:p>
    <w:p w14:paraId="1A0348EA" w14:textId="77777777" w:rsidR="00452E74" w:rsidRPr="00452E74" w:rsidRDefault="00452E74" w:rsidP="00452E74">
      <w:pPr>
        <w:spacing w:after="0" w:line="240" w:lineRule="auto"/>
        <w:jc w:val="both"/>
        <w:rPr>
          <w:rFonts w:ascii="Verdana" w:hAnsi="Verdana"/>
          <w:b/>
          <w:bCs/>
          <w:sz w:val="20"/>
          <w:lang w:val="es-ES"/>
        </w:rPr>
      </w:pPr>
    </w:p>
    <w:p w14:paraId="382323E8" w14:textId="77777777" w:rsidR="00452E74" w:rsidRPr="00452E74" w:rsidRDefault="00452E74" w:rsidP="00452E74">
      <w:pPr>
        <w:spacing w:after="0" w:line="240" w:lineRule="auto"/>
        <w:jc w:val="both"/>
        <w:rPr>
          <w:rFonts w:ascii="Verdana" w:hAnsi="Verdana"/>
          <w:bCs/>
          <w:sz w:val="20"/>
        </w:rPr>
      </w:pPr>
      <w:r w:rsidRPr="00452E74">
        <w:rPr>
          <w:rFonts w:ascii="Verdana" w:hAnsi="Verdana"/>
          <w:bCs/>
          <w:sz w:val="20"/>
        </w:rPr>
        <w:t xml:space="preserve">Para la constitución de veedurías ciudadanas el artículo 2° de la Ley 850 de 2003 establece dos posibilidades: i) por iniciativa de un número plural de ciudadanos; </w:t>
      </w:r>
      <w:proofErr w:type="spellStart"/>
      <w:r w:rsidRPr="00452E74">
        <w:rPr>
          <w:rFonts w:ascii="Verdana" w:hAnsi="Verdana"/>
          <w:bCs/>
          <w:sz w:val="20"/>
        </w:rPr>
        <w:t>ii</w:t>
      </w:r>
      <w:proofErr w:type="spellEnd"/>
      <w:r w:rsidRPr="00452E74">
        <w:rPr>
          <w:rFonts w:ascii="Verdana" w:hAnsi="Verdana"/>
          <w:bCs/>
          <w:sz w:val="20"/>
        </w:rPr>
        <w:t xml:space="preserve">) por organizaciones civiles, tales como las organizaciones comunitarias, profesionales, juveniles, sindicales, benéficas o de utilidad común, no gubernamentales, sin ánimo de lucro y constituidas con arreglo a la ley. En esta línea, el artículo 3 de la precitada ley regula el procedimiento de las veedurías para su constitución, en el que las organizaciones civiles o los ciudadanos, proceden a elegir de una forma democrática a los veedores, después elaboran un documento o acta de constitución en la cual conste el nombre de los integrantes, documento de identidad, el objeto de la vigilancia, nivel territorial, duración y lugar de residencia. La inscripción de dicho documento se realizará ante las personerías municipales o distritales o ante las Cámaras de Comercio, quienes deben llevar registro público de las veedurías inscritas en su jurisdicción. En el evento de las comunidades indígenas esta función es asumida por las autoridades propias. </w:t>
      </w:r>
    </w:p>
    <w:p w14:paraId="720E1C47" w14:textId="40EE88CF" w:rsidR="000D566B" w:rsidRPr="000D566B" w:rsidRDefault="000D566B" w:rsidP="00452E74">
      <w:pPr>
        <w:spacing w:after="0" w:line="240" w:lineRule="auto"/>
        <w:jc w:val="both"/>
        <w:rPr>
          <w:rFonts w:ascii="Verdana" w:hAnsi="Verdana"/>
          <w:b/>
          <w:bCs/>
          <w:lang w:val="es-ES"/>
        </w:rPr>
      </w:pPr>
      <w:r w:rsidRPr="000D566B">
        <w:rPr>
          <w:rFonts w:ascii="Verdana" w:hAnsi="Verdana"/>
          <w:b/>
          <w:bCs/>
          <w:lang w:val="es-ES"/>
        </w:rPr>
        <w:t xml:space="preserve"> </w:t>
      </w:r>
    </w:p>
    <w:p w14:paraId="73913616" w14:textId="77777777" w:rsidR="000D566B" w:rsidRPr="000D566B" w:rsidRDefault="000D566B" w:rsidP="00452E74">
      <w:pPr>
        <w:spacing w:after="0" w:line="240" w:lineRule="auto"/>
        <w:rPr>
          <w:rFonts w:ascii="Verdana" w:hAnsi="Verdana"/>
          <w:b/>
          <w:bCs/>
          <w:lang w:val="es-ES"/>
        </w:rPr>
      </w:pPr>
      <w:r w:rsidRPr="000D566B">
        <w:rPr>
          <w:rFonts w:ascii="Verdana" w:hAnsi="Verdana"/>
          <w:b/>
          <w:bCs/>
          <w:lang w:val="es-ES"/>
        </w:rPr>
        <w:t xml:space="preserve">RED DE VEEDURÍAS CIUDADANAS – Conformación – Procedimiento </w:t>
      </w:r>
    </w:p>
    <w:p w14:paraId="08292359" w14:textId="6F868217" w:rsidR="000D566B" w:rsidRDefault="000D566B" w:rsidP="00452E74">
      <w:pPr>
        <w:spacing w:after="0" w:line="240" w:lineRule="auto"/>
        <w:rPr>
          <w:rFonts w:ascii="Verdana" w:hAnsi="Verdana"/>
          <w:b/>
          <w:bCs/>
          <w:lang w:val="es-ES"/>
        </w:rPr>
      </w:pPr>
    </w:p>
    <w:p w14:paraId="3BE45214" w14:textId="410B37D0" w:rsidR="00452E74" w:rsidRPr="00452E74" w:rsidRDefault="00452E74" w:rsidP="00452E74">
      <w:pPr>
        <w:spacing w:after="0" w:line="240" w:lineRule="auto"/>
        <w:jc w:val="both"/>
        <w:rPr>
          <w:rFonts w:ascii="Verdana" w:hAnsi="Verdana"/>
          <w:bCs/>
          <w:sz w:val="20"/>
        </w:rPr>
      </w:pPr>
      <w:r w:rsidRPr="00452E74">
        <w:rPr>
          <w:rFonts w:ascii="Verdana" w:hAnsi="Verdana"/>
          <w:bCs/>
          <w:sz w:val="20"/>
        </w:rPr>
        <w:t xml:space="preserve">Ahora bien, el artículo 21 de la Ley 850 de 2003 modificado por el artículo 66 de la Ley 1757 de 2025 posibilitó que las diferentes veedurías ciudadanas que se organicen a nivel territorial o nacional, puedan comunicarse, informarse, coordinarse y colaborarse, permitiendo acuerdos sobre procedimientos y parámetros de acción, coordinación de actividades y aprovechamiento de experiencias en su actividad y funcionamiento, procurando la formación de una red con miras a fortalecer a la sociedad civil y potenciar la capacidad de control y fiscalización. En términos procedimentales, se establece que la inscripción y reconocimiento de las redes de veedurías se efectúa ante la Cámara de Comercio, o ante las Personerías Municipales o Distritales de cualquiera de las jurisdicciones a que pertenecen las veedurías que conforman la red. En este sentido, se precisa que para la inscripción de redes de veedurías en Personerías Municipales o Distritales, se exigen los mismos requisitos que requieren las organizaciones sin ánimo </w:t>
      </w:r>
      <w:r w:rsidRPr="00452E74">
        <w:rPr>
          <w:rFonts w:ascii="Verdana" w:hAnsi="Verdana"/>
          <w:bCs/>
          <w:sz w:val="20"/>
        </w:rPr>
        <w:lastRenderedPageBreak/>
        <w:t xml:space="preserve">de lucro para inscribirse ante las Gobernaciones o Alcaldías que tengan la competencia de inspección, control y vigilancia de estas organizaciones. </w:t>
      </w:r>
    </w:p>
    <w:p w14:paraId="16399F26" w14:textId="77777777" w:rsidR="00452E74" w:rsidRPr="00452E74" w:rsidRDefault="00452E74" w:rsidP="00452E74">
      <w:pPr>
        <w:spacing w:after="0" w:line="240" w:lineRule="auto"/>
        <w:rPr>
          <w:rFonts w:ascii="Verdana" w:hAnsi="Verdana"/>
          <w:b/>
          <w:bCs/>
        </w:rPr>
      </w:pPr>
    </w:p>
    <w:p w14:paraId="732ED78A" w14:textId="5856773C" w:rsidR="000D566B" w:rsidRPr="000D566B" w:rsidRDefault="000D566B" w:rsidP="00452E74">
      <w:pPr>
        <w:spacing w:after="0" w:line="240" w:lineRule="auto"/>
        <w:rPr>
          <w:rFonts w:ascii="Verdana" w:hAnsi="Verdana"/>
          <w:b/>
          <w:bCs/>
          <w:lang w:val="es-ES_tradnl"/>
        </w:rPr>
      </w:pPr>
      <w:r w:rsidRPr="000D566B">
        <w:rPr>
          <w:rFonts w:ascii="Verdana" w:hAnsi="Verdana"/>
          <w:b/>
          <w:bCs/>
          <w:lang w:val="es-ES"/>
        </w:rPr>
        <w:t xml:space="preserve">RED INSTITUCIONAL – Convenios Interadministrativos – Veedurías – Red de Veedurías Ciudadanas. </w:t>
      </w:r>
    </w:p>
    <w:p w14:paraId="15F0560A" w14:textId="69FC6A41" w:rsidR="000D566B" w:rsidRDefault="000D566B" w:rsidP="00452E74">
      <w:pPr>
        <w:spacing w:after="0" w:line="240" w:lineRule="auto"/>
        <w:rPr>
          <w:rFonts w:ascii="Verdana" w:hAnsi="Verdana"/>
          <w:lang w:val="es-ES_tradnl"/>
        </w:rPr>
      </w:pPr>
    </w:p>
    <w:p w14:paraId="5C9BC748" w14:textId="30794595" w:rsidR="00452E74" w:rsidRDefault="00452E74" w:rsidP="00452E74">
      <w:pPr>
        <w:spacing w:after="0" w:line="240" w:lineRule="auto"/>
        <w:jc w:val="both"/>
        <w:rPr>
          <w:rFonts w:ascii="Verdana" w:hAnsi="Verdana"/>
          <w:bCs/>
          <w:sz w:val="20"/>
          <w:szCs w:val="20"/>
        </w:rPr>
      </w:pPr>
      <w:r w:rsidRPr="00452E74">
        <w:rPr>
          <w:rFonts w:ascii="Verdana" w:hAnsi="Verdana"/>
          <w:bCs/>
          <w:sz w:val="20"/>
          <w:szCs w:val="20"/>
          <w:lang w:val="es-ES"/>
        </w:rPr>
        <w:t xml:space="preserve">Dentro de este análisis, resulta pertinente tener en cuenta lo regulado en el artículo 22 de la Ley 850 de 2003, que posibilita la conformación la red institucional de apoyo a las veedurías ciudadanas. Al respecto, se destaca el inciso segundo del precitado artículo estableció que </w:t>
      </w:r>
      <w:r w:rsidRPr="00452E74">
        <w:rPr>
          <w:rFonts w:ascii="Verdana" w:hAnsi="Verdana"/>
          <w:bCs/>
          <w:sz w:val="20"/>
          <w:szCs w:val="20"/>
        </w:rPr>
        <w:t>la Procuraduría General de la Nación, la Contraloría General de la República, la Defensoría del Pueblo y el Ministerio del Interior, deben prestar su apoyo y concurso a las veedurías ciudadanas y a las redes que las agrupan en todo lo relativo al acompañamiento legal y a la promoción de la vigilancia, para tal efecto, podrán acordar mediante convenios interadministrativos, acciones conjuntas en las materias antes mencionadas.</w:t>
      </w:r>
    </w:p>
    <w:p w14:paraId="376F21F9" w14:textId="77777777" w:rsidR="00452E74" w:rsidRPr="00452E74" w:rsidRDefault="00452E74" w:rsidP="00452E74">
      <w:pPr>
        <w:spacing w:after="0" w:line="240" w:lineRule="auto"/>
        <w:jc w:val="both"/>
        <w:rPr>
          <w:rFonts w:ascii="Verdana" w:hAnsi="Verdana"/>
          <w:bCs/>
          <w:sz w:val="20"/>
          <w:szCs w:val="20"/>
          <w:lang w:val="es-ES"/>
        </w:rPr>
      </w:pPr>
    </w:p>
    <w:p w14:paraId="5F38E9AC" w14:textId="77777777" w:rsidR="00452E74" w:rsidRPr="00452E74" w:rsidRDefault="00452E74" w:rsidP="00452E74">
      <w:pPr>
        <w:spacing w:after="0" w:line="240" w:lineRule="auto"/>
        <w:jc w:val="both"/>
        <w:rPr>
          <w:rFonts w:ascii="Verdana" w:hAnsi="Verdana"/>
          <w:bCs/>
          <w:sz w:val="20"/>
          <w:szCs w:val="20"/>
        </w:rPr>
      </w:pPr>
      <w:r w:rsidRPr="00452E74">
        <w:rPr>
          <w:rFonts w:ascii="Verdana" w:hAnsi="Verdana"/>
          <w:bCs/>
          <w:sz w:val="20"/>
          <w:szCs w:val="20"/>
        </w:rPr>
        <w:t xml:space="preserve">En este aspecto, se resalta que la norma permitió la celebración de convenios interadministrativos entre las veedurías y las redes de veeduría ciudadana con un cierto tipo de entidades como es la Procuraduría General de la Nación, la Contraloría General de la República, la Defensoría del Pueblo y el Ministerio del Interior. Para ello, es importante tener en cuenta que los que suscriban dichos convenios deben estar facultadas, es decir, tengan la competencia y capacidad contractual. El objeto de este convenio debe ser el acompañamiento legal y la promoción de la vigilancia, en el marco de acciones conjuntas entre las partes. En tal sentido, es importante que, en estos convenios interadministrativos, las partes actúan como colaboradoras o cooperantes en el marco de la autonomía de la voluntad de las partes, sin que pueda aludirse a la preponderancia de ciertos regímenes, ni mucho menos la aplicación automática del Estatuto General de Contratación de la Administración Pública. </w:t>
      </w:r>
    </w:p>
    <w:p w14:paraId="13851D5A" w14:textId="46B4CEBF" w:rsidR="00452E74" w:rsidRDefault="00452E74" w:rsidP="00452E74">
      <w:pPr>
        <w:spacing w:after="0" w:line="240" w:lineRule="auto"/>
        <w:rPr>
          <w:rFonts w:ascii="Verdana" w:hAnsi="Verdana"/>
        </w:rPr>
      </w:pPr>
    </w:p>
    <w:p w14:paraId="216C566C" w14:textId="39968962" w:rsidR="00452E74" w:rsidRDefault="00452E74" w:rsidP="006D40B0">
      <w:pPr>
        <w:spacing w:after="0"/>
        <w:rPr>
          <w:rFonts w:ascii="Verdana" w:hAnsi="Verdana"/>
        </w:rPr>
      </w:pPr>
    </w:p>
    <w:p w14:paraId="5F213689" w14:textId="6F322127" w:rsidR="00452E74" w:rsidRDefault="00452E74" w:rsidP="006D40B0">
      <w:pPr>
        <w:spacing w:after="0"/>
        <w:rPr>
          <w:rFonts w:ascii="Verdana" w:hAnsi="Verdana"/>
        </w:rPr>
      </w:pPr>
    </w:p>
    <w:p w14:paraId="712EC6FB" w14:textId="0D1BA674" w:rsidR="00452E74" w:rsidRDefault="00452E74" w:rsidP="006D40B0">
      <w:pPr>
        <w:spacing w:after="0"/>
        <w:rPr>
          <w:rFonts w:ascii="Verdana" w:hAnsi="Verdana"/>
        </w:rPr>
      </w:pPr>
    </w:p>
    <w:p w14:paraId="78CD70F3" w14:textId="4F58E05E" w:rsidR="00452E74" w:rsidRDefault="00452E74" w:rsidP="006D40B0">
      <w:pPr>
        <w:spacing w:after="0"/>
        <w:rPr>
          <w:rFonts w:ascii="Verdana" w:hAnsi="Verdana"/>
        </w:rPr>
      </w:pPr>
    </w:p>
    <w:p w14:paraId="1FA44619" w14:textId="7138CC8E" w:rsidR="00452E74" w:rsidRDefault="00452E74" w:rsidP="006D40B0">
      <w:pPr>
        <w:spacing w:after="0"/>
        <w:rPr>
          <w:rFonts w:ascii="Verdana" w:hAnsi="Verdana"/>
        </w:rPr>
      </w:pPr>
    </w:p>
    <w:p w14:paraId="2B0C527B" w14:textId="327A805D" w:rsidR="00452E74" w:rsidRDefault="00452E74" w:rsidP="006D40B0">
      <w:pPr>
        <w:spacing w:after="0"/>
        <w:rPr>
          <w:rFonts w:ascii="Verdana" w:hAnsi="Verdana"/>
        </w:rPr>
      </w:pPr>
    </w:p>
    <w:p w14:paraId="209B3E03" w14:textId="21605180" w:rsidR="00452E74" w:rsidRDefault="00452E74" w:rsidP="006D40B0">
      <w:pPr>
        <w:spacing w:after="0"/>
        <w:rPr>
          <w:rFonts w:ascii="Verdana" w:hAnsi="Verdana"/>
        </w:rPr>
      </w:pPr>
    </w:p>
    <w:p w14:paraId="07237199" w14:textId="3CB36696" w:rsidR="00452E74" w:rsidRDefault="00452E74" w:rsidP="006D40B0">
      <w:pPr>
        <w:spacing w:after="0"/>
        <w:rPr>
          <w:rFonts w:ascii="Verdana" w:hAnsi="Verdana"/>
        </w:rPr>
      </w:pPr>
    </w:p>
    <w:p w14:paraId="49735020" w14:textId="66DC709F" w:rsidR="00452E74" w:rsidRDefault="00452E74" w:rsidP="006D40B0">
      <w:pPr>
        <w:spacing w:after="0"/>
        <w:rPr>
          <w:rFonts w:ascii="Verdana" w:hAnsi="Verdana"/>
        </w:rPr>
      </w:pPr>
    </w:p>
    <w:p w14:paraId="31D9744E" w14:textId="3B3BE739" w:rsidR="00452E74" w:rsidRDefault="00452E74" w:rsidP="006D40B0">
      <w:pPr>
        <w:spacing w:after="0"/>
        <w:rPr>
          <w:rFonts w:ascii="Verdana" w:hAnsi="Verdana"/>
        </w:rPr>
      </w:pPr>
    </w:p>
    <w:p w14:paraId="042247AF" w14:textId="64081AE7" w:rsidR="00452E74" w:rsidRDefault="00452E74" w:rsidP="006D40B0">
      <w:pPr>
        <w:spacing w:after="0"/>
        <w:rPr>
          <w:rFonts w:ascii="Verdana" w:hAnsi="Verdana"/>
        </w:rPr>
      </w:pPr>
    </w:p>
    <w:p w14:paraId="25FD0C3A" w14:textId="53E93080" w:rsidR="00452E74" w:rsidRDefault="00452E74" w:rsidP="006D40B0">
      <w:pPr>
        <w:spacing w:after="0"/>
        <w:rPr>
          <w:rFonts w:ascii="Verdana" w:hAnsi="Verdana"/>
        </w:rPr>
      </w:pPr>
    </w:p>
    <w:p w14:paraId="33F692F1" w14:textId="60D50362" w:rsidR="00452E74" w:rsidRDefault="00452E74" w:rsidP="006D40B0">
      <w:pPr>
        <w:spacing w:after="0"/>
        <w:rPr>
          <w:rFonts w:ascii="Verdana" w:hAnsi="Verdana"/>
        </w:rPr>
      </w:pPr>
    </w:p>
    <w:p w14:paraId="66EFA562" w14:textId="60495299" w:rsidR="00452E74" w:rsidRDefault="00452E74" w:rsidP="006D40B0">
      <w:pPr>
        <w:spacing w:after="0"/>
        <w:rPr>
          <w:rFonts w:ascii="Verdana" w:hAnsi="Verdana"/>
        </w:rPr>
      </w:pPr>
    </w:p>
    <w:p w14:paraId="77F2917E" w14:textId="1176EFD0" w:rsidR="00452E74" w:rsidRDefault="00452E74" w:rsidP="006D40B0">
      <w:pPr>
        <w:spacing w:after="0"/>
        <w:rPr>
          <w:rFonts w:ascii="Verdana" w:hAnsi="Verdana"/>
        </w:rPr>
      </w:pPr>
    </w:p>
    <w:p w14:paraId="1ADAB2F1" w14:textId="77777777" w:rsidR="00452E74" w:rsidRPr="00452E74" w:rsidRDefault="00452E74" w:rsidP="006D40B0">
      <w:pPr>
        <w:spacing w:after="0"/>
        <w:rPr>
          <w:rFonts w:ascii="Verdana" w:hAnsi="Verdana"/>
        </w:rPr>
      </w:pPr>
    </w:p>
    <w:p w14:paraId="5078A720" w14:textId="0C2F843A" w:rsidR="006D40B0" w:rsidRPr="0044528D" w:rsidRDefault="006D40B0" w:rsidP="006D40B0">
      <w:pPr>
        <w:spacing w:after="0"/>
        <w:rPr>
          <w:rFonts w:ascii="Verdana" w:hAnsi="Verdana"/>
        </w:rPr>
      </w:pPr>
      <w:r w:rsidRPr="0044528D">
        <w:rPr>
          <w:rFonts w:ascii="Verdana" w:hAnsi="Verdana"/>
        </w:rPr>
        <w:lastRenderedPageBreak/>
        <w:t>Bogotá D.C.,</w:t>
      </w:r>
      <w:r w:rsidR="000D566B">
        <w:rPr>
          <w:rFonts w:ascii="Verdana" w:hAnsi="Verdana"/>
        </w:rPr>
        <w:t xml:space="preserve"> 14 de octubre de 2025</w:t>
      </w:r>
      <w:r w:rsidRPr="0044528D">
        <w:rPr>
          <w:rFonts w:ascii="Verdana" w:hAnsi="Verdana"/>
        </w:rPr>
        <w:tab/>
      </w:r>
    </w:p>
    <w:p w14:paraId="3FB05D6D" w14:textId="53FA9AC5" w:rsidR="006D40B0" w:rsidRPr="00B57A1B" w:rsidRDefault="000D566B" w:rsidP="006D40B0">
      <w:pPr>
        <w:spacing w:after="0"/>
        <w:rPr>
          <w:rFonts w:ascii="Verdana" w:hAnsi="Verdana"/>
        </w:rPr>
      </w:pPr>
      <w:r w:rsidRPr="000D566B">
        <w:rPr>
          <w:rFonts w:ascii="Verdana" w:hAnsi="Verdana"/>
          <w:noProof/>
          <w:lang w:val="en-US"/>
        </w:rPr>
        <w:drawing>
          <wp:anchor distT="0" distB="0" distL="114300" distR="114300" simplePos="0" relativeHeight="251658240" behindDoc="0" locked="0" layoutInCell="1" allowOverlap="1" wp14:anchorId="607D5C5D" wp14:editId="55EFB42C">
            <wp:simplePos x="0" y="0"/>
            <wp:positionH relativeFrom="margin">
              <wp:posOffset>2719705</wp:posOffset>
            </wp:positionH>
            <wp:positionV relativeFrom="paragraph">
              <wp:posOffset>29210</wp:posOffset>
            </wp:positionV>
            <wp:extent cx="2894330" cy="798195"/>
            <wp:effectExtent l="0" t="0" r="1270" b="190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4330" cy="7981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FD0087" w14:textId="78FB18FD" w:rsidR="006D40B0" w:rsidRPr="00B57A1B" w:rsidRDefault="006D40B0" w:rsidP="006D40B0">
      <w:pPr>
        <w:spacing w:after="0" w:line="240" w:lineRule="auto"/>
        <w:rPr>
          <w:rFonts w:ascii="Verdana" w:hAnsi="Verdana"/>
        </w:rPr>
      </w:pPr>
    </w:p>
    <w:p w14:paraId="640A2464" w14:textId="77777777" w:rsidR="006D40B0" w:rsidRPr="00EA2220" w:rsidRDefault="006D40B0" w:rsidP="006D40B0">
      <w:pPr>
        <w:spacing w:after="0" w:line="240" w:lineRule="auto"/>
        <w:rPr>
          <w:rFonts w:ascii="Verdana" w:eastAsia="Calibri" w:hAnsi="Verdana" w:cs="Times New Roman"/>
          <w:lang w:val="es-MX"/>
        </w:rPr>
      </w:pPr>
      <w:r w:rsidRPr="00EA2220">
        <w:rPr>
          <w:rFonts w:ascii="Verdana" w:eastAsia="Calibri" w:hAnsi="Verdana" w:cs="Times New Roman"/>
          <w:lang w:val="es-MX"/>
        </w:rPr>
        <w:t>Señor</w:t>
      </w:r>
    </w:p>
    <w:p w14:paraId="7422F926" w14:textId="77777777" w:rsidR="006D40B0" w:rsidRPr="00EA2220" w:rsidRDefault="006D40B0" w:rsidP="006D40B0">
      <w:pPr>
        <w:spacing w:after="0" w:line="240" w:lineRule="auto"/>
        <w:rPr>
          <w:rFonts w:ascii="Verdana" w:eastAsia="Calibri" w:hAnsi="Verdana" w:cs="Times New Roman"/>
          <w:b/>
          <w:highlight w:val="yellow"/>
        </w:rPr>
      </w:pPr>
      <w:r w:rsidRPr="00EA2220">
        <w:rPr>
          <w:rFonts w:ascii="Verdana" w:eastAsia="Calibri" w:hAnsi="Verdana" w:cs="Times New Roman"/>
          <w:b/>
        </w:rPr>
        <w:t>Edwin Orlando Gómez Uribe</w:t>
      </w:r>
    </w:p>
    <w:p w14:paraId="7CBD2B6D" w14:textId="77777777" w:rsidR="006D40B0" w:rsidRPr="00EA2220" w:rsidRDefault="006D40B0" w:rsidP="006D40B0">
      <w:pPr>
        <w:spacing w:after="0" w:line="240" w:lineRule="auto"/>
        <w:rPr>
          <w:rFonts w:ascii="Verdana" w:hAnsi="Verdana"/>
        </w:rPr>
      </w:pPr>
      <w:hyperlink r:id="rId12" w:history="1">
        <w:r w:rsidRPr="00EA2220">
          <w:rPr>
            <w:rStyle w:val="Hipervnculo"/>
            <w:rFonts w:ascii="Verdana" w:hAnsi="Verdana"/>
          </w:rPr>
          <w:t>orlandogomezd4@gmail.com</w:t>
        </w:r>
      </w:hyperlink>
      <w:r w:rsidRPr="00EA2220">
        <w:rPr>
          <w:rFonts w:ascii="Verdana" w:hAnsi="Verdana"/>
        </w:rPr>
        <w:t xml:space="preserve"> </w:t>
      </w:r>
    </w:p>
    <w:p w14:paraId="0037E1EC" w14:textId="77777777" w:rsidR="006D40B0" w:rsidRPr="00EA2220" w:rsidRDefault="006D40B0" w:rsidP="006D40B0">
      <w:pPr>
        <w:spacing w:after="0" w:line="240" w:lineRule="auto"/>
        <w:rPr>
          <w:rFonts w:ascii="Verdana" w:eastAsia="Calibri" w:hAnsi="Verdana" w:cs="Times New Roman"/>
        </w:rPr>
      </w:pPr>
      <w:r w:rsidRPr="00EA2220">
        <w:rPr>
          <w:rFonts w:ascii="Verdana" w:eastAsia="Calibri" w:hAnsi="Verdana" w:cs="Times New Roman"/>
        </w:rPr>
        <w:t>Bucaramanga-Santander</w:t>
      </w:r>
    </w:p>
    <w:p w14:paraId="7AE2CECE" w14:textId="77777777" w:rsidR="006D40B0" w:rsidRPr="00B57A1B" w:rsidRDefault="006D40B0" w:rsidP="006D40B0">
      <w:pPr>
        <w:spacing w:after="0" w:line="256" w:lineRule="auto"/>
        <w:rPr>
          <w:rFonts w:ascii="Verdana" w:eastAsia="Calibri" w:hAnsi="Verdana" w:cs="Times New Roman"/>
        </w:rPr>
      </w:pPr>
    </w:p>
    <w:p w14:paraId="6A24BE41" w14:textId="77777777" w:rsidR="006D40B0" w:rsidRPr="00B57A1B" w:rsidRDefault="006D40B0" w:rsidP="006D40B0">
      <w:pPr>
        <w:spacing w:after="0" w:line="256" w:lineRule="auto"/>
        <w:rPr>
          <w:rFonts w:ascii="Verdana" w:eastAsia="Calibri" w:hAnsi="Verdana" w:cs="Times New Roman"/>
        </w:rPr>
      </w:pPr>
    </w:p>
    <w:p w14:paraId="1EA3B0C9" w14:textId="77777777" w:rsidR="006D40B0" w:rsidRPr="00B57A1B" w:rsidRDefault="006D40B0" w:rsidP="006D40B0">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C–1279</w:t>
      </w:r>
      <w:r w:rsidRPr="00B57A1B">
        <w:rPr>
          <w:rFonts w:ascii="Verdana" w:eastAsia="Calibri" w:hAnsi="Verdana" w:cs="Times New Roman"/>
          <w:b/>
          <w:bCs/>
          <w:lang w:val="es-ES"/>
        </w:rPr>
        <w:t xml:space="preserve"> de 2025</w:t>
      </w:r>
    </w:p>
    <w:p w14:paraId="08C1DB73" w14:textId="77777777" w:rsidR="006D40B0" w:rsidRPr="00B57A1B" w:rsidRDefault="006D40B0" w:rsidP="006D40B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D40B0" w:rsidRPr="00B57A1B" w14:paraId="61E9506C" w14:textId="77777777" w:rsidTr="0072114C">
        <w:trPr>
          <w:trHeight w:val="645"/>
        </w:trPr>
        <w:tc>
          <w:tcPr>
            <w:tcW w:w="2685" w:type="dxa"/>
            <w:hideMark/>
          </w:tcPr>
          <w:p w14:paraId="100C88BF" w14:textId="77777777" w:rsidR="006D40B0" w:rsidRPr="00B57A1B" w:rsidRDefault="006D40B0" w:rsidP="0072114C">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4BE6C32E" w14:textId="77777777" w:rsidR="006D40B0" w:rsidRPr="00B57A1B" w:rsidRDefault="006D40B0" w:rsidP="0072114C">
            <w:pPr>
              <w:spacing w:line="276" w:lineRule="auto"/>
              <w:jc w:val="both"/>
              <w:rPr>
                <w:rFonts w:ascii="Verdana" w:hAnsi="Verdana" w:cs="Arial"/>
                <w:bCs/>
                <w:lang w:val="es-ES_tradnl" w:eastAsia="es-ES"/>
              </w:rPr>
            </w:pPr>
            <w:r w:rsidRPr="00B57A1B">
              <w:rPr>
                <w:rFonts w:ascii="Verdana" w:hAnsi="Verdana" w:cs="Arial"/>
                <w:lang w:val="es-ES" w:eastAsia="es-ES"/>
              </w:rPr>
              <w:t xml:space="preserve">CONTRATOS Y CONVENIOS INTERADMINISTRATIVOS – Noción – Diferencias / CONVENIO INTERADMINISTRATIVO – Naturaleza – Inaplicabilidad – Ley 80 de 1993 / </w:t>
            </w:r>
            <w:r w:rsidRPr="006366CF">
              <w:rPr>
                <w:rFonts w:ascii="Verdana" w:hAnsi="Verdana" w:cs="Arial"/>
                <w:bCs/>
                <w:lang w:val="es-ES" w:eastAsia="es-ES"/>
              </w:rPr>
              <w:t>PARTICIPACIÓN CIUDADANA – Fundamentos constitucionales/ PARTICIPACIÓN CIUDADANA – Contratación pública</w:t>
            </w:r>
            <w:r>
              <w:rPr>
                <w:rFonts w:ascii="Verdana" w:hAnsi="Verdana" w:cs="Arial"/>
                <w:bCs/>
                <w:lang w:val="es-ES" w:eastAsia="es-ES"/>
              </w:rPr>
              <w:t xml:space="preserve"> / VEEDURÍAS CIUDADANAS – Concepto – Formas de constitución – Procedimiento / RED DE VEEDURÍAS CIUDADANAS – Conformación – Procedimiento / RED INSTITUCIONAL – Convenios Interadministrativos – Veedurías – Red de Veedurías Ciudadanas. </w:t>
            </w:r>
          </w:p>
          <w:p w14:paraId="6EDA9399" w14:textId="77777777" w:rsidR="006D40B0" w:rsidRPr="00B57A1B" w:rsidRDefault="006D40B0" w:rsidP="0072114C">
            <w:pPr>
              <w:spacing w:line="276" w:lineRule="auto"/>
              <w:jc w:val="both"/>
              <w:rPr>
                <w:rFonts w:ascii="Verdana" w:hAnsi="Verdana" w:cs="Arial"/>
                <w:lang w:val="es-ES" w:eastAsia="es-ES"/>
              </w:rPr>
            </w:pPr>
          </w:p>
        </w:tc>
        <w:tc>
          <w:tcPr>
            <w:tcW w:w="6237" w:type="dxa"/>
          </w:tcPr>
          <w:p w14:paraId="525D5742" w14:textId="77777777" w:rsidR="006D40B0" w:rsidRPr="00B57A1B" w:rsidRDefault="006D40B0" w:rsidP="0072114C">
            <w:pPr>
              <w:spacing w:line="256" w:lineRule="auto"/>
              <w:rPr>
                <w:rFonts w:ascii="Verdana" w:hAnsi="Verdana"/>
              </w:rPr>
            </w:pPr>
          </w:p>
        </w:tc>
      </w:tr>
      <w:tr w:rsidR="006D40B0" w:rsidRPr="00B57A1B" w14:paraId="6BC06E82" w14:textId="77777777" w:rsidTr="0072114C">
        <w:tc>
          <w:tcPr>
            <w:tcW w:w="2685" w:type="dxa"/>
          </w:tcPr>
          <w:p w14:paraId="4EBF2A15" w14:textId="77777777" w:rsidR="006D40B0" w:rsidRPr="00B57A1B" w:rsidRDefault="006D40B0" w:rsidP="0072114C">
            <w:pPr>
              <w:spacing w:line="256" w:lineRule="auto"/>
              <w:rPr>
                <w:rFonts w:ascii="Verdana" w:hAnsi="Verdana"/>
                <w:lang w:val="es-ES_tradnl"/>
              </w:rPr>
            </w:pPr>
          </w:p>
          <w:p w14:paraId="16BE4238" w14:textId="77777777" w:rsidR="006D40B0" w:rsidRPr="00B57A1B" w:rsidRDefault="006D40B0" w:rsidP="0072114C">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1BFF28FA" w14:textId="77777777" w:rsidR="006D40B0" w:rsidRPr="00B57A1B" w:rsidRDefault="006D40B0" w:rsidP="0072114C">
            <w:pPr>
              <w:spacing w:line="257" w:lineRule="auto"/>
              <w:rPr>
                <w:rFonts w:ascii="Verdana" w:hAnsi="Verdana"/>
                <w:lang w:val="es-ES_tradnl"/>
              </w:rPr>
            </w:pPr>
          </w:p>
          <w:p w14:paraId="26D3AF00" w14:textId="77777777" w:rsidR="006D40B0" w:rsidRPr="0085186E" w:rsidRDefault="006D40B0" w:rsidP="0072114C">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85186E">
              <w:rPr>
                <w:rFonts w:ascii="Verdana" w:hAnsi="Verdana"/>
              </w:rPr>
              <w:t>1_2025_09_05_009705</w:t>
            </w:r>
          </w:p>
          <w:p w14:paraId="21ED64F9" w14:textId="77777777" w:rsidR="006D40B0" w:rsidRPr="00B57A1B" w:rsidRDefault="006D40B0" w:rsidP="0072114C">
            <w:pPr>
              <w:spacing w:line="257" w:lineRule="auto"/>
              <w:jc w:val="both"/>
              <w:rPr>
                <w:rFonts w:ascii="Verdana" w:hAnsi="Verdana"/>
              </w:rPr>
            </w:pPr>
          </w:p>
          <w:p w14:paraId="2B47735C" w14:textId="77777777" w:rsidR="006D40B0" w:rsidRPr="00B57A1B" w:rsidRDefault="006D40B0" w:rsidP="0072114C">
            <w:pPr>
              <w:spacing w:line="257" w:lineRule="auto"/>
              <w:jc w:val="both"/>
              <w:rPr>
                <w:rFonts w:ascii="Verdana" w:hAnsi="Verdana"/>
              </w:rPr>
            </w:pPr>
          </w:p>
        </w:tc>
        <w:tc>
          <w:tcPr>
            <w:tcW w:w="6237" w:type="dxa"/>
          </w:tcPr>
          <w:p w14:paraId="6F214E29" w14:textId="77777777" w:rsidR="006D40B0" w:rsidRPr="00B57A1B" w:rsidRDefault="006D40B0" w:rsidP="0072114C">
            <w:pPr>
              <w:spacing w:line="256" w:lineRule="auto"/>
              <w:rPr>
                <w:rFonts w:ascii="Verdana" w:hAnsi="Verdana"/>
                <w:lang w:val="es-ES_tradnl"/>
              </w:rPr>
            </w:pPr>
          </w:p>
        </w:tc>
      </w:tr>
    </w:tbl>
    <w:p w14:paraId="505C558E" w14:textId="77777777" w:rsidR="006D40B0" w:rsidRPr="00B57A1B" w:rsidRDefault="006D40B0" w:rsidP="006D40B0">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Gómez</w:t>
      </w:r>
      <w:r w:rsidRPr="00B57A1B">
        <w:rPr>
          <w:rFonts w:ascii="Verdana" w:eastAsia="Calibri" w:hAnsi="Verdana" w:cs="Times New Roman"/>
          <w:lang w:val="es-ES"/>
        </w:rPr>
        <w:t xml:space="preserve">: </w:t>
      </w:r>
    </w:p>
    <w:p w14:paraId="014B0AD2" w14:textId="77777777" w:rsidR="006D40B0" w:rsidRPr="00B57A1B" w:rsidRDefault="006D40B0" w:rsidP="006D40B0">
      <w:pPr>
        <w:spacing w:after="0" w:line="256" w:lineRule="auto"/>
        <w:rPr>
          <w:rFonts w:ascii="Verdana" w:eastAsia="Calibri" w:hAnsi="Verdana" w:cs="Times New Roman"/>
          <w:lang w:val="es-ES"/>
        </w:rPr>
      </w:pPr>
    </w:p>
    <w:p w14:paraId="36EAD2C9" w14:textId="77777777" w:rsidR="006D40B0" w:rsidRDefault="006D40B0" w:rsidP="006D40B0">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5 de septiembre</w:t>
      </w:r>
      <w:r w:rsidRPr="00B57A1B">
        <w:rPr>
          <w:rFonts w:ascii="Verdana" w:eastAsia="Calibri" w:hAnsi="Verdana" w:cs="Times New Roman"/>
          <w:bCs/>
          <w:lang w:val="es-ES" w:bidi="es-ES"/>
        </w:rPr>
        <w:t xml:space="preserve">, en la cual manifiesta: </w:t>
      </w:r>
    </w:p>
    <w:p w14:paraId="69A54136" w14:textId="77777777" w:rsidR="006D40B0" w:rsidRPr="00586328" w:rsidRDefault="006D40B0" w:rsidP="006D40B0">
      <w:pPr>
        <w:spacing w:after="0" w:line="276" w:lineRule="auto"/>
        <w:jc w:val="both"/>
        <w:rPr>
          <w:rFonts w:ascii="Verdana" w:eastAsia="Calibri" w:hAnsi="Verdana" w:cs="Times New Roman"/>
          <w:bCs/>
          <w:lang w:bidi="es-ES"/>
        </w:rPr>
      </w:pPr>
    </w:p>
    <w:p w14:paraId="03C391E8" w14:textId="77777777" w:rsidR="006D40B0" w:rsidRPr="00812F2C" w:rsidRDefault="006D40B0" w:rsidP="006D40B0">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Pr="00812F2C">
        <w:rPr>
          <w:rFonts w:ascii="Verdana" w:eastAsia="Calibri" w:hAnsi="Verdana" w:cs="Times New Roman"/>
          <w:bCs/>
          <w:sz w:val="21"/>
          <w:szCs w:val="21"/>
          <w:lang w:bidi="es-ES"/>
        </w:rPr>
        <w:t xml:space="preserve">Solicito muy Respetuosamente Información y Concepto sobre la Celebración de CONVENIOS INTERADMINISTRATIVOS entre las Veedurías Ciudadanas y las Redes de Veedurías Ciudadanas, tal como lo expresa la ley 850 de 2003, en el artículo 22.“La Procuraduría General de la Nación, la Contraloría General de la República, la Defensoría del Pueblo y el Ministerio del Interior, prestarán su apoyo y </w:t>
      </w:r>
      <w:r w:rsidRPr="00812F2C">
        <w:rPr>
          <w:rFonts w:ascii="Verdana" w:eastAsia="Calibri" w:hAnsi="Verdana" w:cs="Times New Roman"/>
          <w:bCs/>
          <w:sz w:val="21"/>
          <w:szCs w:val="21"/>
          <w:lang w:bidi="es-ES"/>
        </w:rPr>
        <w:lastRenderedPageBreak/>
        <w:t>concurso a las veedurías ciudadanas y a las redes que las agrupan en todo lo relativo al apoyo legal y a la promoción de la vigilancia, para tal efecto, PODRÁN ACORDAR MEDIANTE CONVENIOS INTERADMINISTRATIVOS, acciones conjuntas en las materias antes mencionadas”.</w:t>
      </w:r>
      <w:r w:rsidRPr="00812F2C">
        <w:rPr>
          <w:rFonts w:ascii="Verdana" w:hAnsi="Verdana" w:cs="Verdana"/>
          <w:color w:val="000000"/>
          <w:sz w:val="21"/>
          <w:szCs w:val="21"/>
        </w:rPr>
        <w:t xml:space="preserve"> </w:t>
      </w:r>
    </w:p>
    <w:p w14:paraId="00C12A3B" w14:textId="77777777" w:rsidR="006D40B0" w:rsidRDefault="006D40B0" w:rsidP="006D40B0">
      <w:pPr>
        <w:spacing w:after="0" w:line="240" w:lineRule="auto"/>
        <w:ind w:left="709" w:right="709"/>
        <w:jc w:val="both"/>
        <w:rPr>
          <w:rFonts w:ascii="Verdana" w:eastAsia="Calibri" w:hAnsi="Verdana" w:cs="Times New Roman"/>
          <w:bCs/>
          <w:sz w:val="21"/>
          <w:szCs w:val="21"/>
          <w:lang w:bidi="es-ES"/>
        </w:rPr>
      </w:pPr>
      <w:r w:rsidRPr="00812F2C">
        <w:rPr>
          <w:rFonts w:ascii="Verdana" w:eastAsia="Calibri" w:hAnsi="Verdana" w:cs="Times New Roman"/>
          <w:bCs/>
          <w:sz w:val="21"/>
          <w:szCs w:val="21"/>
          <w:lang w:bidi="es-ES"/>
        </w:rPr>
        <w:t xml:space="preserve"> Solicito Saber 1-El Concepto de Convenio Interadministrativo. 2-Marco legal del Convenio Interadministrativo. 3-Proceso de Aplicación del Convenio Interadministrativo de los actores anteriormente mencionados. 4-Procedimiento Convenio Interadministrativo5-Requisitos para poder celebrar Convenios Interadministrativo</w:t>
      </w:r>
      <w:r>
        <w:rPr>
          <w:rFonts w:ascii="Verdana" w:eastAsia="Calibri" w:hAnsi="Verdana" w:cs="Times New Roman"/>
          <w:bCs/>
          <w:sz w:val="21"/>
          <w:szCs w:val="21"/>
          <w:lang w:bidi="es-ES"/>
        </w:rPr>
        <w:t xml:space="preserve"> </w:t>
      </w:r>
      <w:r w:rsidRPr="00812F2C">
        <w:rPr>
          <w:rFonts w:ascii="Verdana" w:eastAsia="Calibri" w:hAnsi="Verdana" w:cs="Times New Roman"/>
          <w:bCs/>
          <w:sz w:val="21"/>
          <w:szCs w:val="21"/>
          <w:lang w:bidi="es-ES"/>
        </w:rPr>
        <w:t>6-Que tipo de Régimen es, General o Especial. Las Veedurías Ciudadanas y Redes de Veedurías Ciudadanas parten del siguiente Concepto CONVENIOS Y CONTRATOS INTERADMINISTRATIVOS – Régimen jurídico – Noción – Diferencias1- La tipología del contrato o convenio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w:t>
      </w:r>
      <w:r>
        <w:rPr>
          <w:rFonts w:ascii="Verdana" w:eastAsia="Calibri" w:hAnsi="Verdana" w:cs="Times New Roman"/>
          <w:bCs/>
          <w:sz w:val="21"/>
          <w:szCs w:val="21"/>
          <w:lang w:bidi="es-ES"/>
        </w:rPr>
        <w:t>”</w:t>
      </w:r>
      <w:r w:rsidRPr="00812F2C">
        <w:rPr>
          <w:rFonts w:ascii="Verdana" w:eastAsia="Calibri" w:hAnsi="Verdana" w:cs="Times New Roman"/>
          <w:bCs/>
          <w:sz w:val="21"/>
          <w:szCs w:val="21"/>
          <w:lang w:bidi="es-ES"/>
        </w:rPr>
        <w:t>.</w:t>
      </w:r>
    </w:p>
    <w:p w14:paraId="0D7DCEB6" w14:textId="77777777" w:rsidR="006D40B0" w:rsidRPr="00812F2C" w:rsidRDefault="006D40B0" w:rsidP="006D40B0">
      <w:pPr>
        <w:spacing w:after="0" w:line="240" w:lineRule="auto"/>
        <w:ind w:left="709" w:right="709"/>
        <w:jc w:val="both"/>
        <w:rPr>
          <w:rFonts w:ascii="Verdana" w:eastAsia="Calibri" w:hAnsi="Verdana" w:cs="Times New Roman"/>
          <w:bCs/>
          <w:sz w:val="21"/>
          <w:szCs w:val="21"/>
          <w:lang w:bidi="es-ES"/>
        </w:rPr>
      </w:pPr>
    </w:p>
    <w:p w14:paraId="2E6FD537" w14:textId="77777777" w:rsidR="006D40B0" w:rsidRPr="00B57A1B" w:rsidRDefault="006D40B0" w:rsidP="006D40B0">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3536DB2" w14:textId="77777777" w:rsidR="006D40B0" w:rsidRPr="00B57A1B" w:rsidRDefault="006D40B0" w:rsidP="006D40B0">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w:t>
      </w:r>
      <w:r w:rsidRPr="00B57A1B">
        <w:rPr>
          <w:rFonts w:ascii="Verdana" w:eastAsia="Calibri" w:hAnsi="Verdana" w:cs="Times New Roman"/>
          <w:lang w:val="es-ES"/>
        </w:rPr>
        <w:t xml:space="preserve">. </w:t>
      </w:r>
    </w:p>
    <w:p w14:paraId="02A4052B" w14:textId="77777777" w:rsidR="006D40B0" w:rsidRPr="00B57A1B" w:rsidRDefault="006D40B0" w:rsidP="006D40B0">
      <w:pPr>
        <w:spacing w:after="0" w:line="256" w:lineRule="auto"/>
        <w:rPr>
          <w:rFonts w:ascii="Verdana" w:eastAsia="Calibri" w:hAnsi="Verdana" w:cs="Times New Roman"/>
          <w:lang w:val="es-ES"/>
        </w:rPr>
      </w:pPr>
    </w:p>
    <w:p w14:paraId="696706FE" w14:textId="77777777" w:rsidR="006D40B0" w:rsidRPr="00B57A1B" w:rsidRDefault="006D40B0" w:rsidP="006D40B0">
      <w:pPr>
        <w:numPr>
          <w:ilvl w:val="0"/>
          <w:numId w:val="19"/>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0842198" w14:textId="77777777" w:rsidR="006D40B0" w:rsidRPr="00B57A1B" w:rsidRDefault="006D40B0" w:rsidP="006D40B0">
      <w:pPr>
        <w:spacing w:after="0" w:line="256" w:lineRule="auto"/>
        <w:rPr>
          <w:rFonts w:ascii="Verdana" w:eastAsia="Calibri" w:hAnsi="Verdana" w:cs="Times New Roman"/>
        </w:rPr>
      </w:pPr>
    </w:p>
    <w:p w14:paraId="580998D0" w14:textId="77777777" w:rsidR="006D40B0" w:rsidRDefault="006D40B0" w:rsidP="006D40B0">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xml:space="preserve">: </w:t>
      </w:r>
      <w:r>
        <w:rPr>
          <w:rFonts w:ascii="Verdana" w:eastAsia="Calibri" w:hAnsi="Verdana" w:cs="Times New Roman"/>
          <w:bCs/>
          <w:iCs/>
        </w:rPr>
        <w:t>¿Qué requisitos y condiciones deben tenerse en cuenta para la celebración de convenios interadministrativos con las Veedurías y Redes de Veedurías Ciudadanas?</w:t>
      </w:r>
    </w:p>
    <w:p w14:paraId="0338402E" w14:textId="77777777" w:rsidR="006D40B0" w:rsidRPr="00B57A1B" w:rsidRDefault="006D40B0" w:rsidP="006D40B0">
      <w:pPr>
        <w:spacing w:after="0" w:line="276" w:lineRule="auto"/>
        <w:jc w:val="both"/>
        <w:rPr>
          <w:rFonts w:ascii="Verdana" w:eastAsia="Calibri" w:hAnsi="Verdana" w:cs="Times New Roman"/>
          <w:i/>
          <w:iCs/>
          <w:lang w:val="es-ES"/>
        </w:rPr>
      </w:pPr>
    </w:p>
    <w:p w14:paraId="2002C54F" w14:textId="77777777" w:rsidR="006D40B0" w:rsidRPr="00B57A1B" w:rsidRDefault="006D40B0" w:rsidP="006D40B0">
      <w:pPr>
        <w:numPr>
          <w:ilvl w:val="0"/>
          <w:numId w:val="19"/>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25581BB4" w14:textId="77777777" w:rsidR="006D40B0" w:rsidRPr="00B57A1B" w:rsidRDefault="006D40B0" w:rsidP="006D40B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D40B0" w:rsidRPr="00B57A1B" w14:paraId="7726444A" w14:textId="77777777" w:rsidTr="0072114C">
        <w:trPr>
          <w:trHeight w:val="345"/>
          <w:jc w:val="center"/>
        </w:trPr>
        <w:tc>
          <w:tcPr>
            <w:tcW w:w="8784" w:type="dxa"/>
            <w:tcBorders>
              <w:bottom w:val="single" w:sz="4" w:space="0" w:color="auto"/>
            </w:tcBorders>
          </w:tcPr>
          <w:p w14:paraId="402B951E" w14:textId="77777777" w:rsidR="006D40B0" w:rsidRDefault="006D40B0" w:rsidP="0072114C">
            <w:pPr>
              <w:tabs>
                <w:tab w:val="left" w:pos="709"/>
              </w:tabs>
              <w:snapToGrid w:val="0"/>
              <w:spacing w:before="120" w:after="120" w:line="276" w:lineRule="auto"/>
              <w:jc w:val="both"/>
              <w:rPr>
                <w:rFonts w:ascii="Verdana" w:eastAsia="Aptos" w:hAnsi="Verdana" w:cs="Arial"/>
                <w:bCs/>
              </w:rPr>
            </w:pPr>
            <w:r w:rsidRPr="00B57A1B">
              <w:rPr>
                <w:rFonts w:ascii="Verdana" w:eastAsia="Calibri" w:hAnsi="Verdana" w:cs="Times New Roman"/>
              </w:rPr>
              <w:t xml:space="preserve">En cuanto al problema jurídico, objeto de consulta, </w:t>
            </w:r>
            <w:r>
              <w:rPr>
                <w:rFonts w:ascii="Verdana" w:eastAsia="Calibri" w:hAnsi="Verdana" w:cs="Times New Roman"/>
              </w:rPr>
              <w:t xml:space="preserve">se expresa que </w:t>
            </w:r>
            <w:r>
              <w:rPr>
                <w:rFonts w:ascii="Verdana" w:eastAsia="Aptos" w:hAnsi="Verdana" w:cs="Arial"/>
                <w:bCs/>
                <w:lang w:val="es-ES"/>
              </w:rPr>
              <w:t xml:space="preserve">el inciso segundo del artículo 22 de la Ley 850 de 2003 estableció que </w:t>
            </w:r>
            <w:r>
              <w:rPr>
                <w:rFonts w:ascii="Verdana" w:eastAsia="Aptos" w:hAnsi="Verdana" w:cs="Arial"/>
                <w:bCs/>
              </w:rPr>
              <w:t>la</w:t>
            </w:r>
            <w:r w:rsidRPr="006C2731">
              <w:rPr>
                <w:rFonts w:ascii="Verdana" w:eastAsia="Aptos" w:hAnsi="Verdana" w:cs="Arial"/>
                <w:bCs/>
              </w:rPr>
              <w:t xml:space="preserve"> Procuraduría General de la Nación, la Contraloría General de la República, la Defensoría del Pueblo y el Ministerio d</w:t>
            </w:r>
            <w:r>
              <w:rPr>
                <w:rFonts w:ascii="Verdana" w:eastAsia="Aptos" w:hAnsi="Verdana" w:cs="Arial"/>
                <w:bCs/>
              </w:rPr>
              <w:t xml:space="preserve">el Interior, deben prestar </w:t>
            </w:r>
            <w:r w:rsidRPr="006C2731">
              <w:rPr>
                <w:rFonts w:ascii="Verdana" w:eastAsia="Aptos" w:hAnsi="Verdana" w:cs="Arial"/>
                <w:bCs/>
              </w:rPr>
              <w:t>su apoyo y concurso a las veedurías ciudadanas y a las redes que las agru</w:t>
            </w:r>
            <w:r>
              <w:rPr>
                <w:rFonts w:ascii="Verdana" w:eastAsia="Aptos" w:hAnsi="Verdana" w:cs="Arial"/>
                <w:bCs/>
              </w:rPr>
              <w:t>pan en todo lo relativo al acompañamiento</w:t>
            </w:r>
            <w:r w:rsidRPr="006C2731">
              <w:rPr>
                <w:rFonts w:ascii="Verdana" w:eastAsia="Aptos" w:hAnsi="Verdana" w:cs="Arial"/>
                <w:bCs/>
              </w:rPr>
              <w:t xml:space="preserve"> legal y a la promoción de la vigilancia, para tal efecto, podrán </w:t>
            </w:r>
            <w:r>
              <w:rPr>
                <w:rFonts w:ascii="Verdana" w:eastAsia="Aptos" w:hAnsi="Verdana" w:cs="Arial"/>
                <w:bCs/>
              </w:rPr>
              <w:t xml:space="preserve">acordar </w:t>
            </w:r>
            <w:r w:rsidRPr="006C2731">
              <w:rPr>
                <w:rFonts w:ascii="Verdana" w:eastAsia="Aptos" w:hAnsi="Verdana" w:cs="Arial"/>
                <w:bCs/>
              </w:rPr>
              <w:t>mediante convenios interadministrativos, acciones conjuntas en las materias antes mencionadas.</w:t>
            </w:r>
          </w:p>
          <w:p w14:paraId="630479BC" w14:textId="77777777" w:rsidR="006D40B0" w:rsidRDefault="006D40B0" w:rsidP="0072114C">
            <w:pPr>
              <w:tabs>
                <w:tab w:val="left" w:pos="709"/>
              </w:tabs>
              <w:snapToGrid w:val="0"/>
              <w:spacing w:before="120" w:after="120" w:line="276" w:lineRule="auto"/>
              <w:jc w:val="both"/>
              <w:rPr>
                <w:rFonts w:ascii="Verdana" w:eastAsia="Aptos" w:hAnsi="Verdana" w:cs="Arial"/>
                <w:bCs/>
              </w:rPr>
            </w:pPr>
            <w:r>
              <w:rPr>
                <w:rFonts w:ascii="Verdana" w:eastAsia="Aptos" w:hAnsi="Verdana" w:cs="Arial"/>
                <w:bCs/>
              </w:rPr>
              <w:tab/>
              <w:t>En este aspecto, se destaca que la norma permitió la celebración de convenios interadministrativos entre las veedurías y las redes de veeduría ciudadana con un cierto tipo de entidades como es la Procuraduría General de la Nación, la Contraloría General de la República, la Defensoría del Pueblo y el Ministerio del Interior. Para ello, es importante tener en cuenta que los que suscriban dichos convenios deben estar facultadas, es decir, tengan la competencia y capacidad contractual. El objeto de este convenio debe ser el acompañamiento legal y</w:t>
            </w:r>
            <w:r w:rsidRPr="000E6820">
              <w:rPr>
                <w:rFonts w:ascii="Verdana" w:eastAsia="Aptos" w:hAnsi="Verdana" w:cs="Arial"/>
                <w:bCs/>
              </w:rPr>
              <w:t xml:space="preserve"> la promoción de la vigilancia</w:t>
            </w:r>
            <w:r>
              <w:rPr>
                <w:rFonts w:ascii="Verdana" w:eastAsia="Aptos" w:hAnsi="Verdana" w:cs="Arial"/>
                <w:bCs/>
              </w:rPr>
              <w:t xml:space="preserve">, en el marco de acciones conjuntas entre las partes. En tal sentido, es importante que, en estos convenios interadministrativos, las partes </w:t>
            </w:r>
            <w:r w:rsidRPr="00C226DE">
              <w:rPr>
                <w:rFonts w:ascii="Verdana" w:eastAsia="Aptos" w:hAnsi="Verdana" w:cs="Arial"/>
                <w:bCs/>
              </w:rPr>
              <w:t>actúan como colaboradoras o cooperantes</w:t>
            </w:r>
            <w:r>
              <w:rPr>
                <w:rFonts w:ascii="Verdana" w:eastAsia="Aptos" w:hAnsi="Verdana" w:cs="Arial"/>
                <w:bCs/>
              </w:rPr>
              <w:t xml:space="preserve"> en el marco de la autonomía de la voluntad de las partes</w:t>
            </w:r>
            <w:r w:rsidRPr="00C226DE">
              <w:rPr>
                <w:rFonts w:ascii="Verdana" w:eastAsia="Aptos" w:hAnsi="Verdana" w:cs="Arial"/>
                <w:bCs/>
              </w:rPr>
              <w:t>, sin que pueda aludirse a la preponderancia de ciertos regímenes</w:t>
            </w:r>
            <w:r>
              <w:rPr>
                <w:rFonts w:ascii="Verdana" w:eastAsia="Aptos" w:hAnsi="Verdana" w:cs="Arial"/>
                <w:bCs/>
              </w:rPr>
              <w:t xml:space="preserve">, ni mucho menos la aplicación automática del Estatuto General de Contratación de la Administración Pública. </w:t>
            </w:r>
          </w:p>
          <w:p w14:paraId="3DBF1955" w14:textId="77777777" w:rsidR="006D40B0" w:rsidRPr="006C2731" w:rsidRDefault="006D40B0" w:rsidP="0072114C">
            <w:pPr>
              <w:tabs>
                <w:tab w:val="left" w:pos="709"/>
              </w:tabs>
              <w:snapToGrid w:val="0"/>
              <w:spacing w:before="120" w:after="120" w:line="276" w:lineRule="auto"/>
              <w:ind w:firstLine="709"/>
              <w:jc w:val="both"/>
              <w:rPr>
                <w:rFonts w:ascii="Verdana" w:eastAsia="Aptos" w:hAnsi="Verdana" w:cs="Arial"/>
                <w:bCs/>
              </w:rPr>
            </w:pPr>
            <w:r>
              <w:rPr>
                <w:rFonts w:ascii="Verdana" w:eastAsia="Aptos" w:hAnsi="Verdana" w:cs="Arial"/>
                <w:bCs/>
              </w:rPr>
              <w:t>De este modo, en dicho tipo de convenios no puede aludirse a intereses económicos u onerosos, sino a los</w:t>
            </w:r>
            <w:r w:rsidRPr="002A10F7">
              <w:rPr>
                <w:rFonts w:ascii="Verdana" w:eastAsia="Aptos" w:hAnsi="Verdana" w:cs="Arial"/>
                <w:bCs/>
              </w:rPr>
              <w:t xml:space="preserve"> intereses de los que son titulare</w:t>
            </w:r>
            <w:r>
              <w:rPr>
                <w:rFonts w:ascii="Verdana" w:eastAsia="Aptos" w:hAnsi="Verdana" w:cs="Arial"/>
                <w:bCs/>
              </w:rPr>
              <w:t>s las partes (entidades públicas y veeduría o red de veeduría ciudadana</w:t>
            </w:r>
            <w:r w:rsidRPr="002A10F7">
              <w:rPr>
                <w:rFonts w:ascii="Verdana" w:eastAsia="Aptos" w:hAnsi="Verdana" w:cs="Arial"/>
                <w:bCs/>
              </w:rPr>
              <w:t xml:space="preserve">) y las finalidades que persiguen alcanzar, en virtud del ánimo de cooperación, </w:t>
            </w:r>
            <w:r>
              <w:rPr>
                <w:rFonts w:ascii="Verdana" w:eastAsia="Aptos" w:hAnsi="Verdana" w:cs="Arial"/>
                <w:bCs/>
              </w:rPr>
              <w:t xml:space="preserve">lo cual implica </w:t>
            </w:r>
            <w:r>
              <w:rPr>
                <w:rFonts w:ascii="Verdana" w:eastAsia="Aptos" w:hAnsi="Verdana" w:cs="Arial"/>
                <w:bCs/>
              </w:rPr>
              <w:lastRenderedPageBreak/>
              <w:t xml:space="preserve">que </w:t>
            </w:r>
            <w:r w:rsidRPr="002A10F7">
              <w:rPr>
                <w:rFonts w:ascii="Verdana" w:eastAsia="Aptos" w:hAnsi="Verdana" w:cs="Arial"/>
                <w:bCs/>
              </w:rPr>
              <w:t xml:space="preserve">en los convenios las partes se relacionan en un paralelismo de intereses bajo </w:t>
            </w:r>
            <w:r>
              <w:rPr>
                <w:rFonts w:ascii="Verdana" w:eastAsia="Aptos" w:hAnsi="Verdana" w:cs="Arial"/>
                <w:bCs/>
              </w:rPr>
              <w:t xml:space="preserve">una </w:t>
            </w:r>
            <w:r w:rsidRPr="002A10F7">
              <w:rPr>
                <w:rFonts w:ascii="Verdana" w:eastAsia="Aptos" w:hAnsi="Verdana" w:cs="Arial"/>
                <w:bCs/>
              </w:rPr>
              <w:t>posi</w:t>
            </w:r>
            <w:r>
              <w:rPr>
                <w:rFonts w:ascii="Verdana" w:eastAsia="Aptos" w:hAnsi="Verdana" w:cs="Arial"/>
                <w:bCs/>
              </w:rPr>
              <w:t>ción de igualdad o equivalencia.</w:t>
            </w:r>
          </w:p>
          <w:p w14:paraId="673BAB44" w14:textId="77777777" w:rsidR="006D40B0" w:rsidRPr="00CD0DCD" w:rsidRDefault="006D40B0" w:rsidP="0072114C">
            <w:pPr>
              <w:spacing w:before="120" w:after="120" w:line="276" w:lineRule="auto"/>
              <w:ind w:firstLine="709"/>
              <w:jc w:val="both"/>
              <w:rPr>
                <w:rFonts w:ascii="Verdana" w:hAnsi="Verdana" w:cs="Arial"/>
                <w:lang w:val="es-ES" w:eastAsia="es-ES"/>
              </w:rPr>
            </w:pPr>
            <w:r w:rsidRPr="00B17041">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216BD00" w14:textId="77777777" w:rsidR="006D40B0" w:rsidRPr="00B57A1B" w:rsidRDefault="006D40B0" w:rsidP="006D40B0">
      <w:pPr>
        <w:spacing w:after="0" w:line="276" w:lineRule="auto"/>
        <w:jc w:val="both"/>
        <w:rPr>
          <w:rFonts w:ascii="Verdana" w:eastAsia="Calibri" w:hAnsi="Verdana" w:cs="Arial"/>
          <w:bCs/>
          <w:color w:val="000000" w:themeColor="text1"/>
        </w:rPr>
      </w:pPr>
    </w:p>
    <w:p w14:paraId="0D5D750E" w14:textId="77777777" w:rsidR="006D40B0" w:rsidRPr="00B57A1B" w:rsidRDefault="006D40B0" w:rsidP="006D40B0">
      <w:pPr>
        <w:numPr>
          <w:ilvl w:val="0"/>
          <w:numId w:val="19"/>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5605B93" w14:textId="77777777" w:rsidR="006D40B0" w:rsidRPr="00B57A1B" w:rsidRDefault="006D40B0" w:rsidP="006D40B0">
      <w:pPr>
        <w:spacing w:after="0" w:line="256" w:lineRule="auto"/>
        <w:rPr>
          <w:rFonts w:ascii="Verdana" w:eastAsia="Calibri" w:hAnsi="Verdana" w:cs="Times New Roman"/>
          <w:b/>
          <w:bCs/>
          <w:lang w:val="es-ES"/>
        </w:rPr>
      </w:pPr>
    </w:p>
    <w:p w14:paraId="6CA5E6CC" w14:textId="77777777" w:rsidR="006D40B0" w:rsidRPr="00B57A1B" w:rsidRDefault="006D40B0" w:rsidP="006D40B0">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33941C7E" w14:textId="77777777" w:rsidR="006D40B0" w:rsidRPr="00B57A1B" w:rsidRDefault="006D40B0" w:rsidP="006D40B0">
      <w:pPr>
        <w:spacing w:after="120" w:line="276" w:lineRule="auto"/>
        <w:jc w:val="both"/>
        <w:rPr>
          <w:rFonts w:ascii="Verdana" w:eastAsia="Times New Roman" w:hAnsi="Verdana" w:cs="Arial"/>
          <w:color w:val="000000"/>
          <w:lang w:val="es-ES" w:eastAsia="es-ES"/>
        </w:rPr>
      </w:pPr>
      <w:bookmarkStart w:id="1" w:name="_Hlk78820161"/>
    </w:p>
    <w:p w14:paraId="5415D554" w14:textId="77777777" w:rsidR="006D40B0" w:rsidRPr="00B57A1B" w:rsidRDefault="006D40B0" w:rsidP="006D40B0">
      <w:pPr>
        <w:tabs>
          <w:tab w:val="left" w:pos="7851"/>
        </w:tabs>
        <w:spacing w:after="120" w:line="276" w:lineRule="auto"/>
        <w:jc w:val="both"/>
        <w:rPr>
          <w:rFonts w:ascii="Arial" w:hAnsi="Arial" w:cs="Arial"/>
          <w:b/>
        </w:rPr>
      </w:pPr>
      <w:r>
        <w:rPr>
          <w:rFonts w:ascii="Verdana" w:eastAsia="Times New Roman" w:hAnsi="Verdana" w:cs="Arial"/>
          <w:color w:val="000000"/>
          <w:lang w:val="es-ES" w:eastAsia="es-ES"/>
        </w:rPr>
        <w:t>i.</w:t>
      </w:r>
      <w:r w:rsidRPr="00B57A1B">
        <w:rPr>
          <w:rFonts w:ascii="Verdana" w:eastAsia="Times New Roman" w:hAnsi="Verdana" w:cs="Arial"/>
          <w:color w:val="000000"/>
          <w:lang w:eastAsia="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2"/>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64A5E343" w14:textId="77777777" w:rsidR="006D40B0" w:rsidRPr="00B57A1B" w:rsidRDefault="006D40B0" w:rsidP="006D40B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w:t>
      </w:r>
      <w:r w:rsidRPr="00B57A1B">
        <w:rPr>
          <w:rFonts w:ascii="Verdana" w:eastAsiaTheme="minorEastAsia" w:hAnsi="Verdana" w:cs="Arial"/>
          <w:lang w:eastAsia="es-CO"/>
        </w:rPr>
        <w:lastRenderedPageBreak/>
        <w:t>Entidad Estatal de régimen especial y no por ello dejará de ser un contrato o convenio interadministrativo.</w:t>
      </w:r>
    </w:p>
    <w:p w14:paraId="4B0C62D2" w14:textId="77777777" w:rsidR="006D40B0" w:rsidRPr="00B57A1B" w:rsidRDefault="006D40B0" w:rsidP="006D40B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3537F831" w14:textId="77777777" w:rsidR="006D40B0" w:rsidRPr="00B57A1B" w:rsidRDefault="006D40B0" w:rsidP="006D40B0">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4"/>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3F394AD7" w14:textId="77777777" w:rsidR="006D40B0" w:rsidRPr="00B57A1B" w:rsidRDefault="006D40B0" w:rsidP="006D40B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13F8E82F" w14:textId="77777777" w:rsidR="006D40B0" w:rsidRPr="00B57A1B" w:rsidRDefault="006D40B0" w:rsidP="006D40B0">
      <w:pPr>
        <w:spacing w:after="0" w:line="276" w:lineRule="auto"/>
        <w:ind w:firstLine="709"/>
        <w:jc w:val="both"/>
        <w:rPr>
          <w:rFonts w:ascii="Verdana" w:eastAsiaTheme="minorEastAsia" w:hAnsi="Verdana" w:cs="Arial"/>
          <w:lang w:eastAsia="es-CO"/>
        </w:rPr>
      </w:pPr>
    </w:p>
    <w:p w14:paraId="4EF010E4" w14:textId="77777777" w:rsidR="006D40B0" w:rsidRPr="000E225C" w:rsidRDefault="006D40B0" w:rsidP="006D40B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AC4CF0C" w14:textId="77777777" w:rsidR="006D40B0" w:rsidRPr="000E225C" w:rsidRDefault="006D40B0" w:rsidP="006D40B0">
      <w:pPr>
        <w:numPr>
          <w:ilvl w:val="0"/>
          <w:numId w:val="40"/>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 xml:space="preserve">lo mismo, son onerosos, lo que implica el gravamen de </w:t>
      </w:r>
      <w:r w:rsidRPr="000E225C">
        <w:rPr>
          <w:rFonts w:ascii="Verdana" w:eastAsiaTheme="minorEastAsia" w:hAnsi="Verdana" w:cs="Arial"/>
          <w:sz w:val="20"/>
          <w:szCs w:val="20"/>
          <w:lang w:eastAsia="es-CO"/>
        </w:rPr>
        <w:lastRenderedPageBreak/>
        <w:t>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1B47DF7F" w14:textId="77777777" w:rsidR="006D40B0" w:rsidRPr="000E225C" w:rsidRDefault="006D40B0" w:rsidP="006D40B0">
      <w:pPr>
        <w:numPr>
          <w:ilvl w:val="0"/>
          <w:numId w:val="40"/>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F55C069" w14:textId="77777777" w:rsidR="006D40B0" w:rsidRPr="000E225C" w:rsidRDefault="006D40B0" w:rsidP="006D40B0">
      <w:pPr>
        <w:numPr>
          <w:ilvl w:val="0"/>
          <w:numId w:val="40"/>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5"/>
      </w:r>
      <w:r w:rsidRPr="000E225C">
        <w:rPr>
          <w:rFonts w:ascii="Verdana" w:eastAsiaTheme="minorEastAsia" w:hAnsi="Verdana" w:cs="Arial"/>
          <w:sz w:val="20"/>
          <w:szCs w:val="20"/>
          <w:lang w:eastAsia="es-CO"/>
        </w:rPr>
        <w:t>.</w:t>
      </w:r>
    </w:p>
    <w:p w14:paraId="07C35B9B" w14:textId="77777777" w:rsidR="006D40B0" w:rsidRPr="00B57A1B" w:rsidRDefault="006D40B0" w:rsidP="006D40B0">
      <w:pPr>
        <w:spacing w:after="0" w:line="276" w:lineRule="auto"/>
        <w:ind w:right="709"/>
        <w:jc w:val="both"/>
        <w:rPr>
          <w:rFonts w:ascii="Verdana" w:eastAsia="Times New Roman" w:hAnsi="Verdana" w:cs="Arial"/>
          <w:lang w:eastAsia="es-ES_tradnl"/>
        </w:rPr>
      </w:pPr>
    </w:p>
    <w:p w14:paraId="6C9E0C84" w14:textId="77777777" w:rsidR="006D40B0" w:rsidRPr="00B57A1B" w:rsidRDefault="006D40B0" w:rsidP="006D40B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6532189" w14:textId="77777777" w:rsidR="006D40B0" w:rsidRPr="00B57A1B" w:rsidRDefault="006D40B0" w:rsidP="006D40B0">
      <w:pPr>
        <w:spacing w:after="0" w:line="276" w:lineRule="auto"/>
        <w:ind w:firstLine="709"/>
        <w:jc w:val="both"/>
        <w:rPr>
          <w:rFonts w:ascii="Verdana" w:eastAsiaTheme="minorEastAsia" w:hAnsi="Verdana" w:cs="Arial"/>
          <w:lang w:eastAsia="es-CO"/>
        </w:rPr>
      </w:pPr>
    </w:p>
    <w:p w14:paraId="3E3A48BB" w14:textId="77777777" w:rsidR="006D40B0" w:rsidRPr="000E225C" w:rsidRDefault="006D40B0" w:rsidP="006D40B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presentes dos entidades públicas en desarrollo de relaciones interadministrativas cuyo objeto es coordinar, cooperar, colaborar o </w:t>
      </w:r>
      <w:r w:rsidRPr="000E225C">
        <w:rPr>
          <w:rFonts w:ascii="Verdana" w:eastAsiaTheme="minorEastAsia" w:hAnsi="Verdana" w:cs="Arial"/>
          <w:sz w:val="20"/>
          <w:szCs w:val="20"/>
          <w:lang w:eastAsia="es-CO"/>
        </w:rPr>
        <w:lastRenderedPageBreak/>
        <w:t>distribuir competencias en la realización de funciones administrativas de interés común a los sujetos negociales.</w:t>
      </w:r>
    </w:p>
    <w:p w14:paraId="5D04FE1B" w14:textId="77777777" w:rsidR="006D40B0" w:rsidRPr="000E225C" w:rsidRDefault="006D40B0" w:rsidP="006D40B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23953949" w14:textId="77777777" w:rsidR="006D40B0" w:rsidRPr="000E225C" w:rsidRDefault="006D40B0" w:rsidP="006D40B0">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6"/>
      </w:r>
      <w:r w:rsidRPr="000E225C">
        <w:rPr>
          <w:rFonts w:ascii="Verdana" w:hAnsi="Verdana" w:cs="Weiss"/>
          <w:sz w:val="20"/>
          <w:szCs w:val="19"/>
        </w:rPr>
        <w:t>.</w:t>
      </w:r>
    </w:p>
    <w:p w14:paraId="2EC37971" w14:textId="77777777" w:rsidR="006D40B0" w:rsidRPr="00B57A1B" w:rsidRDefault="006D40B0" w:rsidP="006D40B0">
      <w:pPr>
        <w:spacing w:after="120" w:line="276" w:lineRule="auto"/>
        <w:jc w:val="both"/>
        <w:rPr>
          <w:rFonts w:ascii="Verdana" w:eastAsiaTheme="minorEastAsia" w:hAnsi="Verdana" w:cs="Arial"/>
          <w:lang w:eastAsia="es-CO"/>
        </w:rPr>
      </w:pPr>
    </w:p>
    <w:p w14:paraId="1C16A850" w14:textId="77777777" w:rsidR="006D40B0" w:rsidRPr="00B57A1B" w:rsidRDefault="006D40B0" w:rsidP="006D40B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7"/>
      </w:r>
      <w:r w:rsidRPr="00B57A1B">
        <w:rPr>
          <w:rFonts w:ascii="Verdana" w:eastAsiaTheme="minorEastAsia" w:hAnsi="Verdana" w:cs="Arial"/>
          <w:lang w:eastAsia="es-CO"/>
        </w:rPr>
        <w:t xml:space="preserve">. De esta manera, el Consejo de Estado expresa:  </w:t>
      </w:r>
    </w:p>
    <w:p w14:paraId="2C43CABF" w14:textId="77777777" w:rsidR="006D40B0" w:rsidRPr="00B57A1B" w:rsidRDefault="006D40B0" w:rsidP="006D40B0">
      <w:pPr>
        <w:widowControl w:val="0"/>
        <w:autoSpaceDE w:val="0"/>
        <w:autoSpaceDN w:val="0"/>
        <w:spacing w:after="120" w:line="276" w:lineRule="auto"/>
        <w:jc w:val="both"/>
        <w:rPr>
          <w:rFonts w:ascii="Verdana" w:eastAsia="Arial MT" w:hAnsi="Verdana" w:cs="Arial MT"/>
        </w:rPr>
      </w:pPr>
    </w:p>
    <w:p w14:paraId="3FC5D861" w14:textId="77777777" w:rsidR="006D40B0" w:rsidRPr="000E225C" w:rsidRDefault="006D40B0" w:rsidP="006D40B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240AD6A9" w14:textId="77777777" w:rsidR="006D40B0" w:rsidRPr="000E225C" w:rsidRDefault="006D40B0" w:rsidP="006D40B0">
      <w:pPr>
        <w:widowControl w:val="0"/>
        <w:autoSpaceDE w:val="0"/>
        <w:autoSpaceDN w:val="0"/>
        <w:spacing w:after="0" w:line="240" w:lineRule="auto"/>
        <w:ind w:left="709" w:right="709"/>
        <w:jc w:val="both"/>
        <w:rPr>
          <w:rFonts w:ascii="Verdana" w:eastAsia="Arial MT" w:hAnsi="Verdana" w:cs="Arial MT"/>
          <w:sz w:val="20"/>
          <w:szCs w:val="19"/>
        </w:rPr>
      </w:pPr>
    </w:p>
    <w:p w14:paraId="4ED9C791" w14:textId="77777777" w:rsidR="006D40B0" w:rsidRPr="000E225C" w:rsidRDefault="006D40B0" w:rsidP="006D40B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w:t>
      </w:r>
      <w:r w:rsidRPr="000E225C">
        <w:rPr>
          <w:rFonts w:ascii="Verdana" w:eastAsia="Arial MT" w:hAnsi="Verdana" w:cs="Arial MT"/>
          <w:i/>
          <w:iCs/>
          <w:sz w:val="20"/>
          <w:szCs w:val="19"/>
        </w:rPr>
        <w:lastRenderedPageBreak/>
        <w:t xml:space="preserve">“contrato”,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13C9EC08" w14:textId="77777777" w:rsidR="006D40B0" w:rsidRPr="000E225C" w:rsidRDefault="006D40B0" w:rsidP="006D40B0">
      <w:pPr>
        <w:widowControl w:val="0"/>
        <w:autoSpaceDE w:val="0"/>
        <w:autoSpaceDN w:val="0"/>
        <w:spacing w:after="0" w:line="240" w:lineRule="auto"/>
        <w:ind w:left="709" w:right="709"/>
        <w:jc w:val="both"/>
        <w:rPr>
          <w:rFonts w:ascii="Verdana" w:eastAsia="Arial MT" w:hAnsi="Verdana" w:cs="Arial MT"/>
          <w:sz w:val="20"/>
          <w:szCs w:val="19"/>
        </w:rPr>
      </w:pPr>
    </w:p>
    <w:p w14:paraId="4470A707" w14:textId="77777777" w:rsidR="006D40B0" w:rsidRPr="000E225C" w:rsidRDefault="006D40B0" w:rsidP="006D40B0">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8"/>
      </w:r>
      <w:r w:rsidRPr="000E225C">
        <w:rPr>
          <w:rFonts w:ascii="Verdana" w:eastAsia="Arial MT" w:hAnsi="Verdana" w:cs="Arial MT"/>
          <w:i/>
          <w:iCs/>
          <w:sz w:val="20"/>
          <w:szCs w:val="19"/>
        </w:rPr>
        <w:t>.</w:t>
      </w:r>
    </w:p>
    <w:p w14:paraId="30C49342" w14:textId="77777777" w:rsidR="006D40B0" w:rsidRPr="00B57A1B" w:rsidRDefault="006D40B0" w:rsidP="006D40B0">
      <w:pPr>
        <w:spacing w:after="0" w:line="276" w:lineRule="auto"/>
        <w:ind w:firstLine="708"/>
        <w:jc w:val="both"/>
        <w:rPr>
          <w:rFonts w:ascii="Verdana" w:eastAsiaTheme="minorEastAsia" w:hAnsi="Verdana" w:cs="Arial"/>
          <w:lang w:val="es-ES" w:eastAsia="es-CO"/>
        </w:rPr>
      </w:pPr>
    </w:p>
    <w:p w14:paraId="00520B0B" w14:textId="77777777" w:rsidR="006D40B0" w:rsidRPr="00B57A1B" w:rsidRDefault="006D40B0" w:rsidP="006D40B0">
      <w:pPr>
        <w:spacing w:after="0" w:line="276" w:lineRule="auto"/>
        <w:ind w:firstLine="708"/>
        <w:jc w:val="both"/>
        <w:rPr>
          <w:rFonts w:ascii="Verdana" w:eastAsiaTheme="minorEastAsia" w:hAnsi="Verdana" w:cs="Arial"/>
          <w:lang w:eastAsia="es-CO"/>
        </w:rPr>
      </w:pPr>
      <w:r w:rsidRPr="00B57A1B">
        <w:rPr>
          <w:rFonts w:ascii="Verdana" w:eastAsiaTheme="minorEastAsia" w:hAnsi="Verdana" w:cs="Arial"/>
          <w:lang w:eastAsia="es-CO"/>
        </w:rPr>
        <w:t xml:space="preserve">Teniendo en cuenta, este entendimiento sobre los convenios </w:t>
      </w:r>
      <w:proofErr w:type="gramStart"/>
      <w:r w:rsidRPr="00B57A1B">
        <w:rPr>
          <w:rFonts w:ascii="Verdana" w:eastAsiaTheme="minorEastAsia" w:hAnsi="Verdana" w:cs="Arial"/>
          <w:lang w:eastAsia="es-CO"/>
        </w:rPr>
        <w:t>interadministrativos,</w:t>
      </w:r>
      <w:proofErr w:type="gramEnd"/>
      <w:r w:rsidRPr="00B57A1B">
        <w:rPr>
          <w:rFonts w:ascii="Verdana" w:eastAsiaTheme="minorEastAsia" w:hAnsi="Verdana" w:cs="Arial"/>
          <w:lang w:eastAsia="es-CO"/>
        </w:rPr>
        <w:t xml:space="preserve"> es nece</w:t>
      </w:r>
      <w:r>
        <w:rPr>
          <w:rFonts w:ascii="Verdana" w:eastAsiaTheme="minorEastAsia" w:hAnsi="Verdana" w:cs="Arial"/>
          <w:lang w:eastAsia="es-CO"/>
        </w:rPr>
        <w:t xml:space="preserve">sario analizar la posibilidad de su celebración o suscripción por parte de veedurías y redes de veedurías con cierto tipo de entidades públicas. Para ello, se procederá un análisis del marco jurídico vigente. </w:t>
      </w:r>
      <w:r w:rsidRPr="00B57A1B">
        <w:rPr>
          <w:rFonts w:ascii="Verdana" w:eastAsiaTheme="minorEastAsia" w:hAnsi="Verdana" w:cs="Arial"/>
          <w:lang w:eastAsia="es-CO"/>
        </w:rPr>
        <w:t xml:space="preserve"> </w:t>
      </w:r>
    </w:p>
    <w:p w14:paraId="667E6415" w14:textId="77777777" w:rsidR="006D40B0" w:rsidRPr="00B57A1B" w:rsidRDefault="006D40B0" w:rsidP="006D40B0">
      <w:pPr>
        <w:spacing w:after="0" w:line="276" w:lineRule="auto"/>
        <w:jc w:val="both"/>
        <w:rPr>
          <w:rFonts w:ascii="Verdana" w:eastAsiaTheme="minorEastAsia" w:hAnsi="Verdana" w:cs="Arial"/>
          <w:lang w:eastAsia="es-CO"/>
        </w:rPr>
      </w:pPr>
    </w:p>
    <w:p w14:paraId="19D27796" w14:textId="77777777" w:rsidR="006D40B0" w:rsidRPr="00E7254D" w:rsidRDefault="006D40B0" w:rsidP="006D40B0">
      <w:pPr>
        <w:tabs>
          <w:tab w:val="left" w:pos="709"/>
        </w:tabs>
        <w:snapToGrid w:val="0"/>
        <w:spacing w:after="120" w:line="276" w:lineRule="auto"/>
        <w:jc w:val="both"/>
        <w:rPr>
          <w:rFonts w:ascii="Verdana" w:eastAsia="Aptos" w:hAnsi="Verdana" w:cs="Arial"/>
          <w:bCs/>
          <w:lang w:val="es-ES"/>
        </w:rPr>
      </w:pPr>
      <w:proofErr w:type="spellStart"/>
      <w:r w:rsidRPr="00B57A1B">
        <w:rPr>
          <w:rFonts w:ascii="Verdana" w:eastAsiaTheme="minorEastAsia" w:hAnsi="Verdana" w:cs="Arial"/>
          <w:lang w:eastAsia="es-CO"/>
        </w:rPr>
        <w:t>ii</w:t>
      </w:r>
      <w:proofErr w:type="spellEnd"/>
      <w:r w:rsidRPr="00B57A1B">
        <w:rPr>
          <w:rFonts w:ascii="Verdana" w:eastAsiaTheme="minorEastAsia" w:hAnsi="Verdana" w:cs="Arial"/>
          <w:lang w:eastAsia="es-CO"/>
        </w:rPr>
        <w:t>.</w:t>
      </w:r>
      <w:r w:rsidRPr="00B57A1B">
        <w:rPr>
          <w:rFonts w:ascii="Verdana" w:eastAsia="Calibri" w:hAnsi="Verdana" w:cs="Arial"/>
          <w:lang w:val="es-ES"/>
        </w:rPr>
        <w:t xml:space="preserve"> </w:t>
      </w:r>
      <w:r w:rsidRPr="00E7254D">
        <w:rPr>
          <w:rFonts w:ascii="Verdana" w:eastAsia="Aptos" w:hAnsi="Verdana" w:cs="Arial"/>
          <w:bCs/>
          <w:lang w:val="es-ES"/>
        </w:rPr>
        <w:t>La participación ciudadana en las decisiones del Estado tiene fundamento en la Constitución Política. En efecto, el artículo 2 de la Constitución dispone cuáles son los fines esenciales del Estado, entre ellos, “[...] facilitar la participación de todos en las decisiones que los afectan y en la vida económica, política, administrativa y cultural de la Nación</w:t>
      </w:r>
      <w:r w:rsidRPr="00E7254D">
        <w:rPr>
          <w:rFonts w:ascii="Verdana" w:eastAsia="Aptos" w:hAnsi="Verdana" w:cs="Arial"/>
          <w:bCs/>
          <w:i/>
          <w:iCs/>
          <w:lang w:val="es-ES"/>
        </w:rPr>
        <w:t xml:space="preserve"> </w:t>
      </w:r>
      <w:r w:rsidRPr="00E7254D">
        <w:rPr>
          <w:rFonts w:ascii="Verdana" w:eastAsia="Aptos" w:hAnsi="Verdana" w:cs="Arial"/>
          <w:bCs/>
          <w:lang w:val="es-ES"/>
        </w:rPr>
        <w:t>[...]”. Por su parte, el artículo 270 de la Constitución atribuye a la Ley la organización de “[...] las formas y los sistemas de participación ciudadana que permitan vigilar la gestión pública que se cumpla en los diversos niveles administrati</w:t>
      </w:r>
      <w:r>
        <w:rPr>
          <w:rFonts w:ascii="Verdana" w:eastAsia="Aptos" w:hAnsi="Verdana" w:cs="Arial"/>
          <w:bCs/>
          <w:lang w:val="es-ES"/>
        </w:rPr>
        <w:t>vos y sus resultados”. En este sentido</w:t>
      </w:r>
      <w:r w:rsidRPr="00E7254D">
        <w:rPr>
          <w:rFonts w:ascii="Verdana" w:eastAsia="Aptos" w:hAnsi="Verdana" w:cs="Arial"/>
          <w:bCs/>
          <w:lang w:val="es-ES"/>
        </w:rPr>
        <w:t>, la participación ciudadana es un elemento fundante del pacto social sobre el que se erige el Estado colombiano. Desde el punto de vista legal, las reglas sobre la participación comunitaria en materia de contratación estatal fueron reguladas por el artículo 66 de la Ley 80 de 1993, que estableció:</w:t>
      </w:r>
    </w:p>
    <w:p w14:paraId="3A428451"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 xml:space="preserve">“ARTICULO 66. DE LA PARTICIPACIÓN COMUNITARIA. Todo contrato que celebren las entidades </w:t>
      </w:r>
      <w:proofErr w:type="gramStart"/>
      <w:r w:rsidRPr="000E225C">
        <w:rPr>
          <w:rFonts w:ascii="Verdana" w:eastAsia="Aptos" w:hAnsi="Verdana" w:cs="Arial"/>
          <w:bCs/>
          <w:sz w:val="20"/>
          <w:szCs w:val="20"/>
        </w:rPr>
        <w:t>estatales,</w:t>
      </w:r>
      <w:proofErr w:type="gramEnd"/>
      <w:r w:rsidRPr="000E225C">
        <w:rPr>
          <w:rFonts w:ascii="Verdana" w:eastAsia="Aptos" w:hAnsi="Verdana" w:cs="Arial"/>
          <w:bCs/>
          <w:sz w:val="20"/>
          <w:szCs w:val="20"/>
        </w:rPr>
        <w:t xml:space="preserve"> estará sujeto a la vigilancia y control ciudadano. </w:t>
      </w:r>
    </w:p>
    <w:p w14:paraId="24DAF490"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p>
    <w:p w14:paraId="7EE509AE"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lastRenderedPageBreak/>
        <w:t>Las asociaciones cívicas, comunitarias, de profesionales, benéficas o de utilidad común, podrán denunciar ante las autoridades competentes las actuaciones, hechos u omisiones de los servidores públicos o de los particulares, que constituyan delitos, contravenciones o faltas en materia de contratación estatal. </w:t>
      </w:r>
    </w:p>
    <w:p w14:paraId="33B16274"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p>
    <w:p w14:paraId="371ADAED"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Las autoridades brindarán especial apoyo y colaboración a las personas y asociaciones que emprendan campañas de control y vigilancia de la gestión pública contractual y oportunamente suministrarán la documentación e información que requieran para el cumplimiento de tales tareas. </w:t>
      </w:r>
    </w:p>
    <w:p w14:paraId="1C4D8753"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p>
    <w:p w14:paraId="654D2ABB"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El Gobierno Nacional y los de las entidades territoriales establecerán sistemas y mecanismos de estímulo de la vigilancia y control comunitario en la actividad contractual orientados a recompensar dichas labores. </w:t>
      </w:r>
    </w:p>
    <w:p w14:paraId="5C6D2EE2"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p>
    <w:p w14:paraId="63AC83F8"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Las entidades estatales podrán contratar con las asociaciones de profesionales y gremiales y con las universidades y centros especializados de investigación, el estudio y análisis de las gestiones contractuales realizadas”. </w:t>
      </w:r>
    </w:p>
    <w:p w14:paraId="6C4FA233" w14:textId="77777777" w:rsidR="006D40B0" w:rsidRPr="00E7254D" w:rsidRDefault="006D40B0" w:rsidP="006D40B0">
      <w:pPr>
        <w:tabs>
          <w:tab w:val="left" w:pos="709"/>
        </w:tabs>
        <w:snapToGrid w:val="0"/>
        <w:spacing w:after="120" w:line="276" w:lineRule="auto"/>
        <w:jc w:val="both"/>
        <w:rPr>
          <w:rFonts w:ascii="Verdana" w:eastAsia="Aptos" w:hAnsi="Verdana" w:cs="Arial"/>
          <w:bCs/>
        </w:rPr>
      </w:pPr>
    </w:p>
    <w:p w14:paraId="460E67F4" w14:textId="77777777" w:rsidR="006D40B0" w:rsidRPr="00E7254D" w:rsidRDefault="006D40B0" w:rsidP="006D40B0">
      <w:pPr>
        <w:tabs>
          <w:tab w:val="left" w:pos="709"/>
        </w:tabs>
        <w:snapToGrid w:val="0"/>
        <w:spacing w:after="120" w:line="276" w:lineRule="auto"/>
        <w:jc w:val="both"/>
        <w:rPr>
          <w:rFonts w:ascii="Verdana" w:eastAsia="Aptos" w:hAnsi="Verdana" w:cs="Arial"/>
          <w:bCs/>
          <w:lang w:val="es-ES"/>
        </w:rPr>
      </w:pPr>
      <w:r w:rsidRPr="00E7254D">
        <w:rPr>
          <w:rFonts w:ascii="Verdana" w:eastAsia="Aptos" w:hAnsi="Verdana" w:cs="Arial"/>
          <w:bCs/>
          <w:lang w:val="es-ES"/>
        </w:rPr>
        <w:tab/>
        <w:t xml:space="preserve">La disposición normativa precitada dispuso que todo contrato que celebren las entidades estatales estará sujeto a la vigilancia y control ciudadano, prescribiendo así el ámbito de aplicación de la participación ciudadana en la contratación estatal. De igual manera, dicho precepto determina, entre otros aspectos, el deber de las autoridades de brindar especial apoyo y colaboración a las personas y asociaciones que realicen el control y vigilancia de la gestión pública contractual, así como de suministrar oportunamente la documentación e información que requieran para el cumplimiento de tales tareas. En adición a la Ley 80 de 1993, existen otras normas que regulan la participación de la ciudadanía en el control social de la gestión pública, tales como las leyes 134 de 1994, 393 de 1997, 472 de 1998 y 489 de 1998, entre otras. </w:t>
      </w:r>
    </w:p>
    <w:p w14:paraId="31B6C4FF" w14:textId="77777777" w:rsidR="006D40B0" w:rsidRDefault="006D40B0" w:rsidP="006D40B0">
      <w:pPr>
        <w:tabs>
          <w:tab w:val="left" w:pos="709"/>
        </w:tabs>
        <w:snapToGrid w:val="0"/>
        <w:spacing w:after="120" w:line="276" w:lineRule="auto"/>
        <w:jc w:val="both"/>
        <w:rPr>
          <w:rFonts w:ascii="Verdana" w:eastAsia="Aptos" w:hAnsi="Verdana" w:cs="Arial"/>
          <w:bCs/>
          <w:lang w:val="es-ES"/>
        </w:rPr>
      </w:pPr>
      <w:r w:rsidRPr="00E7254D">
        <w:rPr>
          <w:rFonts w:ascii="Verdana" w:eastAsia="Aptos" w:hAnsi="Verdana" w:cs="Arial"/>
          <w:bCs/>
          <w:lang w:val="es-ES"/>
        </w:rPr>
        <w:tab/>
        <w:t xml:space="preserve">En particular, la Ley 850 del 2003 reguló las veedurías ciudadanas como un mecanismo democrático de representación que le permite a la ciudadanía y a las diferentes formas de organización comunitaria ejercer vigilancia sobre la gestión pública. </w:t>
      </w:r>
      <w:r>
        <w:rPr>
          <w:rFonts w:ascii="Verdana" w:eastAsia="Aptos" w:hAnsi="Verdana" w:cs="Arial"/>
          <w:bCs/>
          <w:lang w:val="es-ES"/>
        </w:rPr>
        <w:t xml:space="preserve">Al respecto, el artículo 1 dispone: </w:t>
      </w:r>
    </w:p>
    <w:p w14:paraId="4BB03DCF"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BF33CE">
        <w:rPr>
          <w:rFonts w:ascii="Verdana" w:eastAsia="Aptos" w:hAnsi="Verdana" w:cs="Arial"/>
          <w:bCs/>
        </w:rPr>
        <w:br/>
      </w:r>
      <w:r w:rsidRPr="000E225C">
        <w:rPr>
          <w:rFonts w:ascii="Verdana" w:eastAsia="Aptos" w:hAnsi="Verdana" w:cs="Arial"/>
          <w:bCs/>
          <w:sz w:val="20"/>
          <w:szCs w:val="20"/>
        </w:rPr>
        <w:t>“Artículo 1º </w:t>
      </w:r>
      <w:r w:rsidRPr="000E225C">
        <w:rPr>
          <w:rFonts w:ascii="Verdana" w:eastAsia="Aptos" w:hAnsi="Verdana" w:cs="Arial"/>
          <w:bCs/>
          <w:i/>
          <w:iCs/>
          <w:sz w:val="20"/>
          <w:szCs w:val="20"/>
        </w:rPr>
        <w:t>Definición</w:t>
      </w:r>
      <w:r w:rsidRPr="000E225C">
        <w:rPr>
          <w:rFonts w:ascii="Verdana" w:eastAsia="Aptos" w:hAnsi="Verdana" w:cs="Arial"/>
          <w:bCs/>
          <w:sz w:val="20"/>
          <w:szCs w:val="20"/>
        </w:rPr>
        <w:t xml:space="preserve">. Se entiende por Veeduría Ciudadana el mecanismo democrático de representación que le permite a los ciudadanos o a las diferentes organizaciones comunitarias, ejercer vigilancia sobre la gestión pública, respecto a las autoridades, administrativas, políticas, judiciales, electorales, legislativas y órganos de control, así como de las entidades </w:t>
      </w:r>
      <w:r w:rsidRPr="000E225C">
        <w:rPr>
          <w:rFonts w:ascii="Verdana" w:eastAsia="Aptos" w:hAnsi="Verdana" w:cs="Arial"/>
          <w:bCs/>
          <w:sz w:val="20"/>
          <w:szCs w:val="20"/>
        </w:rPr>
        <w:lastRenderedPageBreak/>
        <w:t>públicas o privadas, organizaciones no gubernamentales de carácter nacional o internacional que operen en el país, encargadas de la ejecución de un programa, proyecto, contrato o de la prestación de un servicio público. </w:t>
      </w:r>
    </w:p>
    <w:p w14:paraId="433FF981"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  </w:t>
      </w:r>
    </w:p>
    <w:p w14:paraId="08539266"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 xml:space="preserve">Dicha vigilancia, de conformidad con lo dispuesto en el artículo 270 de la Constitución Política y el artículo 100 de la Ley 134 de 1994, se ejercerá en aquellos ámbitos, aspectos y niveles en los </w:t>
      </w:r>
      <w:proofErr w:type="gramStart"/>
      <w:r w:rsidRPr="000E225C">
        <w:rPr>
          <w:rFonts w:ascii="Verdana" w:eastAsia="Aptos" w:hAnsi="Verdana" w:cs="Arial"/>
          <w:bCs/>
          <w:sz w:val="20"/>
          <w:szCs w:val="20"/>
        </w:rPr>
        <w:t>que</w:t>
      </w:r>
      <w:proofErr w:type="gramEnd"/>
      <w:r w:rsidRPr="000E225C">
        <w:rPr>
          <w:rFonts w:ascii="Verdana" w:eastAsia="Aptos" w:hAnsi="Verdana" w:cs="Arial"/>
          <w:bCs/>
          <w:sz w:val="20"/>
          <w:szCs w:val="20"/>
        </w:rPr>
        <w:t xml:space="preserve"> en forma total o parcial, se empleen los recursos públicos, con sujeción a lo dispuesto en la presente ley. </w:t>
      </w:r>
    </w:p>
    <w:p w14:paraId="0923FFF1"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  </w:t>
      </w:r>
    </w:p>
    <w:p w14:paraId="451E6C75"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Los representantes legales de las entidades públicas o privadas encargadas de la ejecución de un programa, proyecto, contrato o de la prestación de un servicio público deberán por iniciativa propia, u obligatoriamente a solicitud de un ciudadano o de una organización civil informar a los ciudadanos y a las organizaciones civiles a través de un medio de amplia difusión en el respectivo nivel territorial, para que ejerza la vigilancia correspondiente. </w:t>
      </w:r>
    </w:p>
    <w:p w14:paraId="3B33AF47"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  </w:t>
      </w:r>
    </w:p>
    <w:p w14:paraId="48D80A6A" w14:textId="77777777" w:rsidR="006D40B0" w:rsidRPr="000E225C" w:rsidRDefault="006D40B0" w:rsidP="006D40B0">
      <w:pPr>
        <w:tabs>
          <w:tab w:val="left" w:pos="709"/>
        </w:tabs>
        <w:snapToGrid w:val="0"/>
        <w:spacing w:after="0" w:line="240" w:lineRule="auto"/>
        <w:ind w:left="709" w:right="709"/>
        <w:jc w:val="both"/>
        <w:rPr>
          <w:rFonts w:ascii="Verdana" w:eastAsia="Aptos" w:hAnsi="Verdana" w:cs="Arial"/>
          <w:bCs/>
          <w:sz w:val="20"/>
          <w:szCs w:val="20"/>
        </w:rPr>
      </w:pPr>
      <w:r w:rsidRPr="000E225C">
        <w:rPr>
          <w:rFonts w:ascii="Verdana" w:eastAsia="Aptos" w:hAnsi="Verdana" w:cs="Arial"/>
          <w:bCs/>
          <w:sz w:val="20"/>
          <w:szCs w:val="20"/>
        </w:rPr>
        <w:t>Parágrafo: Cuando se trate de Empresas de Servicios Públicos Domiciliarios, este control se ejercerá de conformidad con lo preceptuado en la Ley 142 de 1994”. </w:t>
      </w:r>
    </w:p>
    <w:p w14:paraId="23145342" w14:textId="77777777" w:rsidR="006D40B0" w:rsidRPr="00BF33CE" w:rsidRDefault="006D40B0" w:rsidP="006D40B0">
      <w:pPr>
        <w:tabs>
          <w:tab w:val="left" w:pos="709"/>
        </w:tabs>
        <w:snapToGrid w:val="0"/>
        <w:spacing w:after="120" w:line="276" w:lineRule="auto"/>
        <w:jc w:val="both"/>
        <w:rPr>
          <w:rFonts w:ascii="Verdana" w:eastAsia="Aptos" w:hAnsi="Verdana" w:cs="Arial"/>
          <w:bCs/>
        </w:rPr>
      </w:pPr>
    </w:p>
    <w:p w14:paraId="5DCAE125" w14:textId="77777777" w:rsidR="006D40B0" w:rsidRDefault="006D40B0" w:rsidP="006D40B0">
      <w:pPr>
        <w:tabs>
          <w:tab w:val="left" w:pos="709"/>
        </w:tabs>
        <w:snapToGrid w:val="0"/>
        <w:spacing w:after="120" w:line="276" w:lineRule="auto"/>
        <w:jc w:val="both"/>
        <w:rPr>
          <w:rFonts w:ascii="Verdana" w:eastAsia="Aptos" w:hAnsi="Verdana" w:cs="Arial"/>
          <w:bCs/>
        </w:rPr>
      </w:pPr>
      <w:r>
        <w:rPr>
          <w:rFonts w:ascii="Verdana" w:eastAsia="Aptos" w:hAnsi="Verdana" w:cs="Arial"/>
          <w:bCs/>
        </w:rPr>
        <w:tab/>
        <w:t xml:space="preserve">Para la constitución de veedurías ciudadanas el artículo 2° de la Ley 850 de 2003 establece dos posibilidades: i) por iniciativa de un número plural de ciudadanos; </w:t>
      </w:r>
      <w:proofErr w:type="spellStart"/>
      <w:r>
        <w:rPr>
          <w:rFonts w:ascii="Verdana" w:eastAsia="Aptos" w:hAnsi="Verdana" w:cs="Arial"/>
          <w:bCs/>
        </w:rPr>
        <w:t>ii</w:t>
      </w:r>
      <w:proofErr w:type="spellEnd"/>
      <w:r>
        <w:rPr>
          <w:rFonts w:ascii="Verdana" w:eastAsia="Aptos" w:hAnsi="Verdana" w:cs="Arial"/>
          <w:bCs/>
        </w:rPr>
        <w:t xml:space="preserve">) por organizaciones civiles, tales como las </w:t>
      </w:r>
      <w:r w:rsidRPr="00683DEC">
        <w:rPr>
          <w:rFonts w:ascii="Verdana" w:eastAsia="Aptos" w:hAnsi="Verdana" w:cs="Arial"/>
          <w:bCs/>
        </w:rPr>
        <w:t>organizaciones comunitarias, profesionales, juveniles, sindicales, benéficas o de utilidad común, no gubernamentales, sin ánimo de lucro y constituidas con arreglo a la ley</w:t>
      </w:r>
      <w:r>
        <w:rPr>
          <w:rFonts w:ascii="Verdana" w:eastAsia="Aptos" w:hAnsi="Verdana" w:cs="Arial"/>
          <w:bCs/>
        </w:rPr>
        <w:t>. En esta línea, el artículo 3 de la precitada ley regula el procedimiento de las veedurías para su constitución, en el que</w:t>
      </w:r>
      <w:r w:rsidRPr="00114D30">
        <w:rPr>
          <w:rFonts w:ascii="Verdana" w:eastAsia="Aptos" w:hAnsi="Verdana" w:cs="Arial"/>
          <w:bCs/>
        </w:rPr>
        <w:t xml:space="preserve"> las organizaciones civiles o los ciudadanos, pr</w:t>
      </w:r>
      <w:r>
        <w:rPr>
          <w:rFonts w:ascii="Verdana" w:eastAsia="Aptos" w:hAnsi="Verdana" w:cs="Arial"/>
          <w:bCs/>
        </w:rPr>
        <w:t>oceden</w:t>
      </w:r>
      <w:r w:rsidRPr="00114D30">
        <w:rPr>
          <w:rFonts w:ascii="Verdana" w:eastAsia="Aptos" w:hAnsi="Verdana" w:cs="Arial"/>
          <w:bCs/>
        </w:rPr>
        <w:t xml:space="preserve"> a elegir de una for</w:t>
      </w:r>
      <w:r>
        <w:rPr>
          <w:rFonts w:ascii="Verdana" w:eastAsia="Aptos" w:hAnsi="Verdana" w:cs="Arial"/>
          <w:bCs/>
        </w:rPr>
        <w:t>ma democrática a los veedores, después elabora</w:t>
      </w:r>
      <w:r w:rsidRPr="00114D30">
        <w:rPr>
          <w:rFonts w:ascii="Verdana" w:eastAsia="Aptos" w:hAnsi="Verdana" w:cs="Arial"/>
          <w:bCs/>
        </w:rPr>
        <w:t>n un documento o acta de constitución en la cual conste el nombre de los integrantes, documento de identidad, el objeto de la vigilancia, nivel territorial, duración y lugar de resid</w:t>
      </w:r>
      <w:r>
        <w:rPr>
          <w:rFonts w:ascii="Verdana" w:eastAsia="Aptos" w:hAnsi="Verdana" w:cs="Arial"/>
          <w:bCs/>
        </w:rPr>
        <w:t xml:space="preserve">encia. La inscripción de dicho </w:t>
      </w:r>
      <w:r w:rsidRPr="00114D30">
        <w:rPr>
          <w:rFonts w:ascii="Verdana" w:eastAsia="Aptos" w:hAnsi="Verdana" w:cs="Arial"/>
          <w:bCs/>
        </w:rPr>
        <w:t>documento se realizará ante las personerías municipales o distritales o ante las Cám</w:t>
      </w:r>
      <w:r>
        <w:rPr>
          <w:rFonts w:ascii="Verdana" w:eastAsia="Aptos" w:hAnsi="Verdana" w:cs="Arial"/>
          <w:bCs/>
        </w:rPr>
        <w:t>aras de Comercio, quienes debe</w:t>
      </w:r>
      <w:r w:rsidRPr="00114D30">
        <w:rPr>
          <w:rFonts w:ascii="Verdana" w:eastAsia="Aptos" w:hAnsi="Verdana" w:cs="Arial"/>
          <w:bCs/>
        </w:rPr>
        <w:t>n llevar registro público de las veeduría</w:t>
      </w:r>
      <w:r>
        <w:rPr>
          <w:rFonts w:ascii="Verdana" w:eastAsia="Aptos" w:hAnsi="Verdana" w:cs="Arial"/>
          <w:bCs/>
        </w:rPr>
        <w:t xml:space="preserve">s inscritas en su jurisdicción. En el evento de las comunidades indígenas esta función es asumida por las autoridades propias. </w:t>
      </w:r>
    </w:p>
    <w:p w14:paraId="4B2C1DEF" w14:textId="77777777" w:rsidR="006D40B0" w:rsidRPr="00E7254D" w:rsidRDefault="006D40B0" w:rsidP="006D40B0">
      <w:pPr>
        <w:tabs>
          <w:tab w:val="left" w:pos="709"/>
        </w:tabs>
        <w:snapToGrid w:val="0"/>
        <w:spacing w:after="120" w:line="276" w:lineRule="auto"/>
        <w:jc w:val="both"/>
        <w:rPr>
          <w:rFonts w:ascii="Verdana" w:eastAsia="Aptos" w:hAnsi="Verdana" w:cs="Arial"/>
          <w:bCs/>
          <w:lang w:val="es-ES"/>
        </w:rPr>
      </w:pPr>
      <w:r>
        <w:rPr>
          <w:rFonts w:ascii="Verdana" w:eastAsia="Aptos" w:hAnsi="Verdana" w:cs="Arial"/>
          <w:bCs/>
        </w:rPr>
        <w:tab/>
      </w:r>
      <w:r>
        <w:rPr>
          <w:rFonts w:ascii="Verdana" w:eastAsia="Aptos" w:hAnsi="Verdana" w:cs="Arial"/>
          <w:bCs/>
          <w:lang w:val="es-ES"/>
        </w:rPr>
        <w:t xml:space="preserve">Posteriormente, se expidió </w:t>
      </w:r>
      <w:r w:rsidRPr="00E7254D">
        <w:rPr>
          <w:rFonts w:ascii="Verdana" w:eastAsia="Aptos" w:hAnsi="Verdana" w:cs="Arial"/>
          <w:bCs/>
          <w:lang w:val="es-ES"/>
        </w:rPr>
        <w:t xml:space="preserve">la Ley 1757 de 2015, “Por la cual se dictan disposiciones en materia de promoción y protección del derecho a la participación democrática” regula el Control Social a lo Público e introduce algunos ajustes a ciertas disposiciones de la Ley 850 de 2003. Para tales efectos, </w:t>
      </w:r>
      <w:r w:rsidRPr="00E7254D">
        <w:rPr>
          <w:rFonts w:ascii="Verdana" w:eastAsia="Aptos" w:hAnsi="Verdana" w:cs="Arial"/>
          <w:bCs/>
          <w:lang w:val="es-ES"/>
        </w:rPr>
        <w:lastRenderedPageBreak/>
        <w:t>define el control social como el derecho y el deber de los ciudadanos a participar, de manera individual o colectiva, en la vigilancia de la gestión pública y sus resultados, estableciendo un espectro más amplio de control y vigilancia, puesto que puede ser ejercido por todos los ciudadanos, siendo las veedurías uno de los múltiples actores que pueden adelantar el control social</w:t>
      </w:r>
      <w:r w:rsidRPr="00E7254D">
        <w:rPr>
          <w:rFonts w:ascii="Verdana" w:eastAsia="Aptos" w:hAnsi="Verdana" w:cs="Arial"/>
          <w:bCs/>
          <w:vertAlign w:val="superscript"/>
          <w:lang w:val="es-ES"/>
        </w:rPr>
        <w:footnoteReference w:id="9"/>
      </w:r>
      <w:r w:rsidRPr="00E7254D">
        <w:rPr>
          <w:rFonts w:ascii="Verdana" w:eastAsia="Aptos" w:hAnsi="Verdana" w:cs="Arial"/>
          <w:bCs/>
          <w:lang w:val="es-ES"/>
        </w:rPr>
        <w:t xml:space="preserve">. En ese sentido, la participación ciudadana encuentra su fundamento en la Constitución y en la Ley, constituyéndose en un pilar fundamental en la vigilancia y control de la gestión pública, en especial, de la contratación estatal, con miras a la correcta inversión de los recursos públicos. </w:t>
      </w:r>
    </w:p>
    <w:p w14:paraId="76853D53" w14:textId="77777777" w:rsidR="006D40B0" w:rsidRDefault="006D40B0" w:rsidP="006D40B0">
      <w:pPr>
        <w:tabs>
          <w:tab w:val="left" w:pos="709"/>
        </w:tabs>
        <w:snapToGrid w:val="0"/>
        <w:spacing w:after="120" w:line="276" w:lineRule="auto"/>
        <w:jc w:val="both"/>
        <w:rPr>
          <w:rFonts w:ascii="Verdana" w:eastAsia="Aptos" w:hAnsi="Verdana" w:cs="Arial"/>
          <w:bCs/>
        </w:rPr>
      </w:pPr>
      <w:r>
        <w:rPr>
          <w:rFonts w:ascii="Verdana" w:eastAsia="Aptos" w:hAnsi="Verdana" w:cs="Arial"/>
          <w:bCs/>
        </w:rPr>
        <w:tab/>
        <w:t>Ahora bien, el artículo 21 de la Ley 850 de 2003 modificado por el artículo 66 de la Ley 1757 de 2025</w:t>
      </w:r>
      <w:r>
        <w:rPr>
          <w:rStyle w:val="Refdenotaalpie"/>
          <w:rFonts w:ascii="Verdana" w:eastAsia="Aptos" w:hAnsi="Verdana" w:cs="Arial"/>
          <w:bCs/>
        </w:rPr>
        <w:footnoteReference w:id="10"/>
      </w:r>
      <w:r>
        <w:rPr>
          <w:rFonts w:ascii="Verdana" w:eastAsia="Aptos" w:hAnsi="Verdana" w:cs="Arial"/>
          <w:bCs/>
        </w:rPr>
        <w:t xml:space="preserve"> posibilitó que las diferentes veedurías ciudadanas que se organicen a nivel territorial o nacional, puedan comunicarse, informarse, coordinarse y colaborarse, permitiendo acuerdos sobre procedimientos y parámetros de acción, coordinación de actividades y aprovechamiento de experiencias </w:t>
      </w:r>
      <w:r w:rsidRPr="00A557DF">
        <w:rPr>
          <w:rFonts w:ascii="Verdana" w:eastAsia="Aptos" w:hAnsi="Verdana" w:cs="Arial"/>
          <w:bCs/>
        </w:rPr>
        <w:t>en su actividad y funcionamiento, procurando la formación de una red con miras a fortalecer a la sociedad civil y potenciar la capacid</w:t>
      </w:r>
      <w:r>
        <w:rPr>
          <w:rFonts w:ascii="Verdana" w:eastAsia="Aptos" w:hAnsi="Verdana" w:cs="Arial"/>
          <w:bCs/>
        </w:rPr>
        <w:t>ad de control y fiscalización. En términos procedimentales, se establece que l</w:t>
      </w:r>
      <w:r w:rsidRPr="00A557DF">
        <w:rPr>
          <w:rFonts w:ascii="Verdana" w:eastAsia="Aptos" w:hAnsi="Verdana" w:cs="Arial"/>
          <w:bCs/>
        </w:rPr>
        <w:t>a inscripción y reconocimiento d</w:t>
      </w:r>
      <w:r>
        <w:rPr>
          <w:rFonts w:ascii="Verdana" w:eastAsia="Aptos" w:hAnsi="Verdana" w:cs="Arial"/>
          <w:bCs/>
        </w:rPr>
        <w:t>e las redes de veedurías se efectúa</w:t>
      </w:r>
      <w:r w:rsidRPr="00A557DF">
        <w:rPr>
          <w:rFonts w:ascii="Verdana" w:eastAsia="Aptos" w:hAnsi="Verdana" w:cs="Arial"/>
          <w:bCs/>
        </w:rPr>
        <w:t xml:space="preserve"> ante la Cámara de Comercio, o ante las Personerías Municipales o Distritales de cualquiera de las jurisdicciones a que pertenecen las v</w:t>
      </w:r>
      <w:r>
        <w:rPr>
          <w:rFonts w:ascii="Verdana" w:eastAsia="Aptos" w:hAnsi="Verdana" w:cs="Arial"/>
          <w:bCs/>
        </w:rPr>
        <w:t>eedurías que conforman la red. En este sentido, se precisa que p</w:t>
      </w:r>
      <w:r w:rsidRPr="00A557DF">
        <w:rPr>
          <w:rFonts w:ascii="Verdana" w:eastAsia="Aptos" w:hAnsi="Verdana" w:cs="Arial"/>
          <w:bCs/>
        </w:rPr>
        <w:t>ara la inscripción de redes de veedurías en Personerías Munici</w:t>
      </w:r>
      <w:r>
        <w:rPr>
          <w:rFonts w:ascii="Verdana" w:eastAsia="Aptos" w:hAnsi="Verdana" w:cs="Arial"/>
          <w:bCs/>
        </w:rPr>
        <w:t>pales o Distritales, se exigen</w:t>
      </w:r>
      <w:r w:rsidRPr="00A557DF">
        <w:rPr>
          <w:rFonts w:ascii="Verdana" w:eastAsia="Aptos" w:hAnsi="Verdana" w:cs="Arial"/>
          <w:bCs/>
        </w:rPr>
        <w:t xml:space="preserve"> los mismos requisitos que requieren las </w:t>
      </w:r>
      <w:r w:rsidRPr="00A557DF">
        <w:rPr>
          <w:rFonts w:ascii="Verdana" w:eastAsia="Aptos" w:hAnsi="Verdana" w:cs="Arial"/>
          <w:bCs/>
        </w:rPr>
        <w:lastRenderedPageBreak/>
        <w:t xml:space="preserve">organizaciones sin ánimo de lucro para </w:t>
      </w:r>
      <w:r>
        <w:rPr>
          <w:rFonts w:ascii="Verdana" w:eastAsia="Aptos" w:hAnsi="Verdana" w:cs="Arial"/>
          <w:bCs/>
        </w:rPr>
        <w:t xml:space="preserve">inscribirse </w:t>
      </w:r>
      <w:r w:rsidRPr="00A557DF">
        <w:rPr>
          <w:rFonts w:ascii="Verdana" w:eastAsia="Aptos" w:hAnsi="Verdana" w:cs="Arial"/>
          <w:bCs/>
        </w:rPr>
        <w:t>ante las Gobernaciones o Alcaldías que tengan la competencia de inspección, control y vigila</w:t>
      </w:r>
      <w:r>
        <w:rPr>
          <w:rFonts w:ascii="Verdana" w:eastAsia="Aptos" w:hAnsi="Verdana" w:cs="Arial"/>
          <w:bCs/>
        </w:rPr>
        <w:t xml:space="preserve">ncia de estas organizaciones. </w:t>
      </w:r>
    </w:p>
    <w:p w14:paraId="708EA1BE" w14:textId="77777777" w:rsidR="006D40B0" w:rsidRPr="006366CF" w:rsidRDefault="006D40B0" w:rsidP="006D40B0">
      <w:pPr>
        <w:tabs>
          <w:tab w:val="left" w:pos="709"/>
        </w:tabs>
        <w:snapToGrid w:val="0"/>
        <w:spacing w:after="120" w:line="276" w:lineRule="auto"/>
        <w:jc w:val="both"/>
        <w:rPr>
          <w:rFonts w:ascii="Verdana" w:eastAsia="Aptos" w:hAnsi="Verdana" w:cs="Arial"/>
          <w:bCs/>
          <w:lang w:val="es-ES"/>
        </w:rPr>
      </w:pPr>
      <w:r>
        <w:rPr>
          <w:rFonts w:ascii="Verdana" w:eastAsia="Aptos" w:hAnsi="Verdana" w:cs="Arial"/>
          <w:bCs/>
        </w:rPr>
        <w:tab/>
      </w:r>
      <w:r w:rsidRPr="00E7254D">
        <w:rPr>
          <w:rFonts w:ascii="Verdana" w:eastAsia="Aptos" w:hAnsi="Verdana" w:cs="Arial"/>
          <w:bCs/>
          <w:lang w:val="es-ES"/>
        </w:rPr>
        <w:t>Dentro de e</w:t>
      </w:r>
      <w:r>
        <w:rPr>
          <w:rFonts w:ascii="Verdana" w:eastAsia="Aptos" w:hAnsi="Verdana" w:cs="Arial"/>
          <w:bCs/>
          <w:lang w:val="es-ES"/>
        </w:rPr>
        <w:t>ste análisis, resulta pertinente tener en cuenta lo regulado en el artículo 22 de la Ley 850 de 2003</w:t>
      </w:r>
      <w:r>
        <w:rPr>
          <w:rStyle w:val="Refdenotaalpie"/>
          <w:rFonts w:ascii="Verdana" w:eastAsia="Aptos" w:hAnsi="Verdana" w:cs="Arial"/>
          <w:bCs/>
          <w:lang w:val="es-ES"/>
        </w:rPr>
        <w:footnoteReference w:id="11"/>
      </w:r>
      <w:r>
        <w:rPr>
          <w:rFonts w:ascii="Verdana" w:eastAsia="Aptos" w:hAnsi="Verdana" w:cs="Arial"/>
          <w:bCs/>
          <w:lang w:val="es-ES"/>
        </w:rPr>
        <w:t xml:space="preserve">, que posibilita la conformación la red institucional de apoyo a las veedurías ciudadanas. Al respecto, se destaca el inciso segundo del precitado artículo estableció que </w:t>
      </w:r>
      <w:r>
        <w:rPr>
          <w:rFonts w:ascii="Verdana" w:eastAsia="Aptos" w:hAnsi="Verdana" w:cs="Arial"/>
          <w:bCs/>
        </w:rPr>
        <w:t>la</w:t>
      </w:r>
      <w:r w:rsidRPr="006C2731">
        <w:rPr>
          <w:rFonts w:ascii="Verdana" w:eastAsia="Aptos" w:hAnsi="Verdana" w:cs="Arial"/>
          <w:bCs/>
        </w:rPr>
        <w:t xml:space="preserve"> Procuraduría General de la Nación, la Contraloría General de la República, la Defensoría del Pueblo y el Ministerio d</w:t>
      </w:r>
      <w:r>
        <w:rPr>
          <w:rFonts w:ascii="Verdana" w:eastAsia="Aptos" w:hAnsi="Verdana" w:cs="Arial"/>
          <w:bCs/>
        </w:rPr>
        <w:t xml:space="preserve">el Interior, deben prestar </w:t>
      </w:r>
      <w:r w:rsidRPr="006C2731">
        <w:rPr>
          <w:rFonts w:ascii="Verdana" w:eastAsia="Aptos" w:hAnsi="Verdana" w:cs="Arial"/>
          <w:bCs/>
        </w:rPr>
        <w:t>su apoyo y concurso a las veedurías ciudadanas y a las redes que las agru</w:t>
      </w:r>
      <w:r>
        <w:rPr>
          <w:rFonts w:ascii="Verdana" w:eastAsia="Aptos" w:hAnsi="Verdana" w:cs="Arial"/>
          <w:bCs/>
        </w:rPr>
        <w:t>pan en todo lo relativo al acompañamiento</w:t>
      </w:r>
      <w:r w:rsidRPr="006C2731">
        <w:rPr>
          <w:rFonts w:ascii="Verdana" w:eastAsia="Aptos" w:hAnsi="Verdana" w:cs="Arial"/>
          <w:bCs/>
        </w:rPr>
        <w:t xml:space="preserve"> legal y a la promoción de la vigilancia, para tal efecto, podrán </w:t>
      </w:r>
      <w:r>
        <w:rPr>
          <w:rFonts w:ascii="Verdana" w:eastAsia="Aptos" w:hAnsi="Verdana" w:cs="Arial"/>
          <w:bCs/>
        </w:rPr>
        <w:t xml:space="preserve">acordar </w:t>
      </w:r>
      <w:r w:rsidRPr="006C2731">
        <w:rPr>
          <w:rFonts w:ascii="Verdana" w:eastAsia="Aptos" w:hAnsi="Verdana" w:cs="Arial"/>
          <w:bCs/>
        </w:rPr>
        <w:t>mediante convenios interadministrativos, acciones conjuntas en las materias antes mencionadas.</w:t>
      </w:r>
    </w:p>
    <w:p w14:paraId="2ADFFB53" w14:textId="77777777" w:rsidR="006D40B0" w:rsidRDefault="006D40B0" w:rsidP="006D40B0">
      <w:pPr>
        <w:tabs>
          <w:tab w:val="left" w:pos="709"/>
        </w:tabs>
        <w:snapToGrid w:val="0"/>
        <w:spacing w:before="120" w:after="120" w:line="276" w:lineRule="auto"/>
        <w:ind w:firstLine="709"/>
        <w:jc w:val="both"/>
        <w:rPr>
          <w:rFonts w:ascii="Verdana" w:eastAsia="Aptos" w:hAnsi="Verdana" w:cs="Arial"/>
          <w:bCs/>
        </w:rPr>
      </w:pPr>
      <w:r>
        <w:rPr>
          <w:rFonts w:ascii="Verdana" w:eastAsia="Aptos" w:hAnsi="Verdana" w:cs="Arial"/>
          <w:bCs/>
        </w:rPr>
        <w:t>En este aspecto, se resalta que la norma permitió la celebración de convenios interadministrativos entre las veedurías y las redes de veeduría ciudadana con un cierto tipo de entidades como es la Procuraduría General de la Nación, la Contraloría General de la República, la Defensoría del Pueblo y el Ministerio del Interior. Para ello, es importante tener en cuenta que los que suscriban dichos convenios deben estar facultadas, es decir, tengan la competencia y capacidad contractual. El objeto de este convenio debe ser el acompañamiento legal y</w:t>
      </w:r>
      <w:r w:rsidRPr="000E6820">
        <w:rPr>
          <w:rFonts w:ascii="Verdana" w:eastAsia="Aptos" w:hAnsi="Verdana" w:cs="Arial"/>
          <w:bCs/>
        </w:rPr>
        <w:t xml:space="preserve"> la promoción de la vigilancia</w:t>
      </w:r>
      <w:r>
        <w:rPr>
          <w:rFonts w:ascii="Verdana" w:eastAsia="Aptos" w:hAnsi="Verdana" w:cs="Arial"/>
          <w:bCs/>
        </w:rPr>
        <w:t xml:space="preserve">, en el marco de acciones conjuntas entre las partes. En tal sentido, es importante que, en estos convenios </w:t>
      </w:r>
      <w:r>
        <w:rPr>
          <w:rFonts w:ascii="Verdana" w:eastAsia="Aptos" w:hAnsi="Verdana" w:cs="Arial"/>
          <w:bCs/>
        </w:rPr>
        <w:lastRenderedPageBreak/>
        <w:t xml:space="preserve">interadministrativos, las partes </w:t>
      </w:r>
      <w:r w:rsidRPr="00C226DE">
        <w:rPr>
          <w:rFonts w:ascii="Verdana" w:eastAsia="Aptos" w:hAnsi="Verdana" w:cs="Arial"/>
          <w:bCs/>
        </w:rPr>
        <w:t>actúan como colaboradoras o cooperantes</w:t>
      </w:r>
      <w:r>
        <w:rPr>
          <w:rFonts w:ascii="Verdana" w:eastAsia="Aptos" w:hAnsi="Verdana" w:cs="Arial"/>
          <w:bCs/>
        </w:rPr>
        <w:t xml:space="preserve"> en el marco de la autonomía de la voluntad de las partes</w:t>
      </w:r>
      <w:r w:rsidRPr="00C226DE">
        <w:rPr>
          <w:rFonts w:ascii="Verdana" w:eastAsia="Aptos" w:hAnsi="Verdana" w:cs="Arial"/>
          <w:bCs/>
        </w:rPr>
        <w:t>, sin que pueda aludirse a la preponderancia de ciertos regímenes</w:t>
      </w:r>
      <w:r>
        <w:rPr>
          <w:rFonts w:ascii="Verdana" w:eastAsia="Aptos" w:hAnsi="Verdana" w:cs="Arial"/>
          <w:bCs/>
        </w:rPr>
        <w:t xml:space="preserve">, ni mucho menos la aplicación automática del Estatuto General de Contratación de la Administración Pública. </w:t>
      </w:r>
    </w:p>
    <w:p w14:paraId="6DB95805" w14:textId="77777777" w:rsidR="006D40B0" w:rsidRPr="006C2731" w:rsidRDefault="006D40B0" w:rsidP="006D40B0">
      <w:pPr>
        <w:tabs>
          <w:tab w:val="left" w:pos="709"/>
        </w:tabs>
        <w:snapToGrid w:val="0"/>
        <w:spacing w:before="120" w:after="120" w:line="276" w:lineRule="auto"/>
        <w:ind w:firstLine="709"/>
        <w:jc w:val="both"/>
        <w:rPr>
          <w:rFonts w:ascii="Verdana" w:eastAsia="Aptos" w:hAnsi="Verdana" w:cs="Arial"/>
          <w:bCs/>
        </w:rPr>
      </w:pPr>
      <w:r>
        <w:rPr>
          <w:rFonts w:ascii="Verdana" w:eastAsia="Aptos" w:hAnsi="Verdana" w:cs="Arial"/>
          <w:bCs/>
        </w:rPr>
        <w:t>De este modo, en dicho tipo de convenios no puede aludirse a intereses económicos u onerosos, sino a los</w:t>
      </w:r>
      <w:r w:rsidRPr="002A10F7">
        <w:rPr>
          <w:rFonts w:ascii="Verdana" w:eastAsia="Aptos" w:hAnsi="Verdana" w:cs="Arial"/>
          <w:bCs/>
        </w:rPr>
        <w:t xml:space="preserve"> intereses de los que son titulare</w:t>
      </w:r>
      <w:r>
        <w:rPr>
          <w:rFonts w:ascii="Verdana" w:eastAsia="Aptos" w:hAnsi="Verdana" w:cs="Arial"/>
          <w:bCs/>
        </w:rPr>
        <w:t>s las partes (entidades públicas y veeduría o red de veeduría ciudadana</w:t>
      </w:r>
      <w:r w:rsidRPr="002A10F7">
        <w:rPr>
          <w:rFonts w:ascii="Verdana" w:eastAsia="Aptos" w:hAnsi="Verdana" w:cs="Arial"/>
          <w:bCs/>
        </w:rPr>
        <w:t xml:space="preserve">) y las finalidades que persiguen alcanzar, en virtud del ánimo de cooperación, </w:t>
      </w:r>
      <w:r>
        <w:rPr>
          <w:rFonts w:ascii="Verdana" w:eastAsia="Aptos" w:hAnsi="Verdana" w:cs="Arial"/>
          <w:bCs/>
        </w:rPr>
        <w:t xml:space="preserve">lo cual implica que </w:t>
      </w:r>
      <w:r w:rsidRPr="002A10F7">
        <w:rPr>
          <w:rFonts w:ascii="Verdana" w:eastAsia="Aptos" w:hAnsi="Verdana" w:cs="Arial"/>
          <w:bCs/>
        </w:rPr>
        <w:t xml:space="preserve">en los convenios las partes se relacionan en un paralelismo de intereses bajo </w:t>
      </w:r>
      <w:r>
        <w:rPr>
          <w:rFonts w:ascii="Verdana" w:eastAsia="Aptos" w:hAnsi="Verdana" w:cs="Arial"/>
          <w:bCs/>
        </w:rPr>
        <w:t xml:space="preserve">una </w:t>
      </w:r>
      <w:r w:rsidRPr="002A10F7">
        <w:rPr>
          <w:rFonts w:ascii="Verdana" w:eastAsia="Aptos" w:hAnsi="Verdana" w:cs="Arial"/>
          <w:bCs/>
        </w:rPr>
        <w:t>posi</w:t>
      </w:r>
      <w:r>
        <w:rPr>
          <w:rFonts w:ascii="Verdana" w:eastAsia="Aptos" w:hAnsi="Verdana" w:cs="Arial"/>
          <w:bCs/>
        </w:rPr>
        <w:t>ción de igualdad o equivalencia.</w:t>
      </w:r>
    </w:p>
    <w:bookmarkEnd w:id="1"/>
    <w:p w14:paraId="7A72B2D8" w14:textId="77777777" w:rsidR="006D40B0" w:rsidRDefault="006D40B0" w:rsidP="006D40B0">
      <w:pPr>
        <w:spacing w:after="0" w:line="276" w:lineRule="auto"/>
        <w:jc w:val="both"/>
        <w:rPr>
          <w:rFonts w:ascii="Verdana" w:eastAsia="Calibri" w:hAnsi="Verdana" w:cs="Arial"/>
          <w:lang w:eastAsia="es-MX"/>
        </w:rPr>
      </w:pPr>
    </w:p>
    <w:p w14:paraId="1D441290" w14:textId="77777777" w:rsidR="006D40B0" w:rsidRPr="00B17041" w:rsidRDefault="006D40B0" w:rsidP="006D40B0">
      <w:pPr>
        <w:spacing w:after="120" w:line="276" w:lineRule="auto"/>
        <w:jc w:val="both"/>
        <w:rPr>
          <w:rFonts w:ascii="Verdana" w:eastAsia="Times New Roman" w:hAnsi="Verdana" w:cs="Arial"/>
          <w:iCs/>
          <w:color w:val="000000"/>
          <w:szCs w:val="24"/>
          <w:lang w:eastAsia="es-ES_tradnl"/>
        </w:rPr>
      </w:pPr>
      <w:proofErr w:type="spellStart"/>
      <w:r>
        <w:rPr>
          <w:rFonts w:ascii="Verdana" w:eastAsia="Calibri" w:hAnsi="Verdana" w:cs="Arial"/>
          <w:lang w:eastAsia="es-MX"/>
        </w:rPr>
        <w:t>iii</w:t>
      </w:r>
      <w:proofErr w:type="spellEnd"/>
      <w:r>
        <w:rPr>
          <w:rFonts w:ascii="Verdana" w:eastAsia="Calibri" w:hAnsi="Verdana" w:cs="Arial"/>
          <w:lang w:eastAsia="es-MX"/>
        </w:rPr>
        <w:t xml:space="preserve">. </w:t>
      </w:r>
      <w:r w:rsidRPr="00B17041">
        <w:rPr>
          <w:rFonts w:ascii="Verdana" w:hAnsi="Verdana" w:cs="Arial"/>
          <w:lang w:val="es-ES_tradnl" w:eastAsia="es-ES"/>
        </w:rPr>
        <w:t>Al margen de la explicación precedente debe advertirse que el análisis requerido para resolver pr</w:t>
      </w:r>
      <w:r>
        <w:rPr>
          <w:rFonts w:ascii="Verdana" w:hAnsi="Verdana" w:cs="Arial"/>
          <w:lang w:val="es-ES_tradnl" w:eastAsia="es-ES"/>
        </w:rPr>
        <w:t xml:space="preserve">oblemas específicos en torno a la procedencia de estos convenios interadministrativos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788EF29" w14:textId="77777777" w:rsidR="006D40B0" w:rsidRPr="00B17041" w:rsidRDefault="006D40B0" w:rsidP="006D40B0">
      <w:pPr>
        <w:spacing w:after="0" w:line="276" w:lineRule="auto"/>
        <w:ind w:firstLine="709"/>
        <w:jc w:val="both"/>
        <w:rPr>
          <w:rFonts w:ascii="Verdana" w:hAnsi="Verdana" w:cs="Arial"/>
          <w:lang w:val="es-ES" w:eastAsia="es-ES"/>
        </w:rPr>
      </w:pPr>
      <w:r w:rsidRPr="00B17041">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B4BD15C" w14:textId="77777777" w:rsidR="006D40B0" w:rsidRPr="00CD0DCD" w:rsidRDefault="006D40B0" w:rsidP="006D40B0">
      <w:pPr>
        <w:spacing w:after="0" w:line="276" w:lineRule="auto"/>
        <w:jc w:val="both"/>
        <w:rPr>
          <w:rFonts w:ascii="Verdana" w:eastAsia="Calibri" w:hAnsi="Verdana" w:cs="Arial"/>
          <w:lang w:val="es-ES" w:eastAsia="es-MX"/>
        </w:rPr>
      </w:pPr>
    </w:p>
    <w:p w14:paraId="66AB8B9D" w14:textId="77777777" w:rsidR="006D40B0" w:rsidRPr="00B57A1B" w:rsidRDefault="006D40B0" w:rsidP="006D40B0">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5E17F407" w14:textId="77777777" w:rsidR="006D40B0" w:rsidRPr="00B57A1B" w:rsidRDefault="006D40B0" w:rsidP="006D40B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40B0" w:rsidRPr="00B57A1B" w14:paraId="3A1820D5" w14:textId="77777777" w:rsidTr="0072114C">
        <w:trPr>
          <w:trHeight w:val="487"/>
          <w:jc w:val="center"/>
        </w:trPr>
        <w:tc>
          <w:tcPr>
            <w:tcW w:w="8647" w:type="dxa"/>
          </w:tcPr>
          <w:p w14:paraId="57F9A342" w14:textId="77777777" w:rsidR="006D40B0" w:rsidRPr="00B57A1B"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Código Civil, artículo 1602. </w:t>
            </w:r>
          </w:p>
          <w:p w14:paraId="1EF8F857" w14:textId="77777777" w:rsidR="006D40B0"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artículos 39, 41.  </w:t>
            </w:r>
          </w:p>
          <w:p w14:paraId="505BE185" w14:textId="77777777" w:rsidR="006D40B0" w:rsidRPr="00B57A1B"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lastRenderedPageBreak/>
              <w:t xml:space="preserve">Ley 850 de 2003, artículos 1, 2, 3, 21 y 22. </w:t>
            </w:r>
          </w:p>
          <w:p w14:paraId="6FE782D4" w14:textId="77777777" w:rsidR="006D40B0"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1150 de 2007, artículo 2. </w:t>
            </w:r>
          </w:p>
          <w:p w14:paraId="1F930537" w14:textId="77777777" w:rsidR="006D40B0" w:rsidRPr="00B57A1B"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1757 de 2015, artículos 60 y 66. </w:t>
            </w:r>
          </w:p>
          <w:p w14:paraId="663BCEBE" w14:textId="77777777" w:rsidR="006D40B0" w:rsidRPr="00EE23C2" w:rsidRDefault="006D40B0" w:rsidP="006D40B0">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Decreto 1082 de 2015, a</w:t>
            </w:r>
            <w:proofErr w:type="spellStart"/>
            <w:r w:rsidRPr="00B57A1B">
              <w:rPr>
                <w:rFonts w:ascii="Verdana" w:eastAsia="Arial MT" w:hAnsi="Verdana" w:cs="Arial"/>
                <w:lang w:eastAsia="es-ES" w:bidi="es-ES"/>
              </w:rPr>
              <w:t>rtículos</w:t>
            </w:r>
            <w:proofErr w:type="spellEnd"/>
            <w:r w:rsidRPr="00B57A1B">
              <w:rPr>
                <w:rFonts w:ascii="Verdana" w:eastAsia="Arial MT" w:hAnsi="Verdana" w:cs="Arial"/>
                <w:lang w:eastAsia="es-ES" w:bidi="es-ES"/>
              </w:rPr>
              <w:t xml:space="preserve"> </w:t>
            </w:r>
            <w:r w:rsidRPr="00B57A1B">
              <w:rPr>
                <w:rFonts w:ascii="Verdana" w:eastAsia="Calibri" w:hAnsi="Verdana" w:cs="Arial"/>
              </w:rPr>
              <w:t xml:space="preserve">2.2.1.2.1.4.1, </w:t>
            </w:r>
            <w:r w:rsidRPr="00B57A1B">
              <w:rPr>
                <w:rFonts w:ascii="Verdana" w:eastAsia="Arial MT" w:hAnsi="Verdana" w:cs="Arial"/>
                <w:lang w:eastAsia="es-ES" w:bidi="es-ES"/>
              </w:rPr>
              <w:t>2.2.1.2.1.4.4.</w:t>
            </w:r>
          </w:p>
          <w:p w14:paraId="1F773EF8"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CONSEJO DE ESTADO, Sección Tercera, Subsección A. Sentencia del 23 de junio de 2010. C.P. Mauricio Fajardo Gómez. </w:t>
            </w:r>
            <w:proofErr w:type="spellStart"/>
            <w:r w:rsidRPr="00EE23C2">
              <w:rPr>
                <w:rFonts w:ascii="Verdana" w:eastAsia="Arial MT" w:hAnsi="Verdana" w:cs="Arial"/>
                <w:lang w:val="es-ES" w:eastAsia="es-ES" w:bidi="es-ES"/>
              </w:rPr>
              <w:t>Exp</w:t>
            </w:r>
            <w:proofErr w:type="spellEnd"/>
            <w:r w:rsidRPr="00EE23C2">
              <w:rPr>
                <w:rFonts w:ascii="Verdana" w:eastAsia="Arial MT" w:hAnsi="Verdana" w:cs="Arial"/>
                <w:lang w:val="es-ES" w:eastAsia="es-ES" w:bidi="es-ES"/>
              </w:rPr>
              <w:t xml:space="preserve"> 17860.</w:t>
            </w:r>
          </w:p>
          <w:p w14:paraId="3CB771CE"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CONSEJO DE ESTADO, Sala de Consulta y Servicio Civil. Concepto no. 2257 del 26 de julio de 2016, C.P. Álvaro </w:t>
            </w:r>
            <w:proofErr w:type="spellStart"/>
            <w:r w:rsidRPr="00EE23C2">
              <w:rPr>
                <w:rFonts w:ascii="Verdana" w:eastAsia="Arial MT" w:hAnsi="Verdana" w:cs="Arial"/>
                <w:lang w:val="es-ES" w:eastAsia="es-ES" w:bidi="es-ES"/>
              </w:rPr>
              <w:t>Namén</w:t>
            </w:r>
            <w:proofErr w:type="spellEnd"/>
            <w:r w:rsidRPr="00EE23C2">
              <w:rPr>
                <w:rFonts w:ascii="Verdana" w:eastAsia="Arial MT" w:hAnsi="Verdana" w:cs="Arial"/>
                <w:lang w:val="es-ES" w:eastAsia="es-ES" w:bidi="es-ES"/>
              </w:rPr>
              <w:t xml:space="preserve"> Vargas.</w:t>
            </w:r>
          </w:p>
          <w:p w14:paraId="6495D123"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CONSEJO DE ESTADO. Sección Tercera, Subsección A. Sentencia del 14 de junio de 2019, C.P.: Marta Nubia Velásquez Rico. Rad.: 25000-23-37-000-2010-02552-01 (AP).</w:t>
            </w:r>
          </w:p>
          <w:p w14:paraId="62851BBB"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CONSEJO DE ESTADO. Sección Tercera, Subsección A. Sentencia del 16 de agosto de 2022, C.P.: María Adriana Marín. </w:t>
            </w:r>
            <w:proofErr w:type="spellStart"/>
            <w:r w:rsidRPr="00EE23C2">
              <w:rPr>
                <w:rFonts w:ascii="Verdana" w:eastAsia="Arial MT" w:hAnsi="Verdana" w:cs="Arial"/>
                <w:lang w:val="es-ES" w:eastAsia="es-ES" w:bidi="es-ES"/>
              </w:rPr>
              <w:t>Exp</w:t>
            </w:r>
            <w:proofErr w:type="spellEnd"/>
            <w:r w:rsidRPr="00EE23C2">
              <w:rPr>
                <w:rFonts w:ascii="Verdana" w:eastAsia="Arial MT" w:hAnsi="Verdana" w:cs="Arial"/>
                <w:lang w:val="es-ES" w:eastAsia="es-ES" w:bidi="es-ES"/>
              </w:rPr>
              <w:t>. 60434.</w:t>
            </w:r>
          </w:p>
          <w:p w14:paraId="2785C3FB"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CONSEJO DE ESTADO. Sección Tercera. Auto del 4 de octubre de 2024. C.P. Fredy Ibarra Martínez. </w:t>
            </w:r>
            <w:proofErr w:type="spellStart"/>
            <w:r w:rsidRPr="00EE23C2">
              <w:rPr>
                <w:rFonts w:ascii="Verdana" w:eastAsia="Arial MT" w:hAnsi="Verdana" w:cs="Arial"/>
                <w:lang w:val="es-ES" w:eastAsia="es-ES" w:bidi="es-ES"/>
              </w:rPr>
              <w:t>Exp</w:t>
            </w:r>
            <w:proofErr w:type="spellEnd"/>
            <w:r w:rsidRPr="00EE23C2">
              <w:rPr>
                <w:rFonts w:ascii="Verdana" w:eastAsia="Arial MT" w:hAnsi="Verdana" w:cs="Arial"/>
                <w:lang w:val="es-ES" w:eastAsia="es-ES" w:bidi="es-ES"/>
              </w:rPr>
              <w:t xml:space="preserve"> 70313. </w:t>
            </w:r>
          </w:p>
          <w:p w14:paraId="51BC2F00"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CONSEJO DE ESTADO. Sección Tercera, Subsección A. Sentencia del 25 de mayo de 2025. C.P. María Adriana Marín Hernández. </w:t>
            </w:r>
            <w:proofErr w:type="spellStart"/>
            <w:r w:rsidRPr="00EE23C2">
              <w:rPr>
                <w:rFonts w:ascii="Verdana" w:eastAsia="Arial MT" w:hAnsi="Verdana" w:cs="Arial"/>
                <w:lang w:val="es-ES" w:eastAsia="es-ES" w:bidi="es-ES"/>
              </w:rPr>
              <w:t>Exp</w:t>
            </w:r>
            <w:proofErr w:type="spellEnd"/>
            <w:r w:rsidRPr="00EE23C2">
              <w:rPr>
                <w:rFonts w:ascii="Verdana" w:eastAsia="Arial MT" w:hAnsi="Verdana" w:cs="Arial"/>
                <w:lang w:val="es-ES" w:eastAsia="es-ES" w:bidi="es-ES"/>
              </w:rPr>
              <w:t>. 70.504.</w:t>
            </w:r>
          </w:p>
          <w:p w14:paraId="3B640365"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CORTE CONSTITUCIONAL. Sentencia C-671 de </w:t>
            </w:r>
            <w:r>
              <w:rPr>
                <w:rFonts w:ascii="Verdana" w:eastAsia="Arial MT" w:hAnsi="Verdana" w:cs="Arial"/>
                <w:lang w:val="es-ES" w:eastAsia="es-ES" w:bidi="es-ES"/>
              </w:rPr>
              <w:t>2005. M.P. Álvaro Tafur Galvis.</w:t>
            </w:r>
          </w:p>
          <w:p w14:paraId="06E2FEDB" w14:textId="77777777" w:rsidR="006D40B0" w:rsidRPr="00EE23C2"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 xml:space="preserve">CHAVÉZ MARÍN, Augusto Ramón. Los convenios de la Administración. Entre la gestión pública y la actividad contractual. Bogotá: Temis, 2020. </w:t>
            </w:r>
          </w:p>
          <w:p w14:paraId="4D57BDC6" w14:textId="77777777" w:rsidR="006D40B0" w:rsidRPr="00B57A1B" w:rsidRDefault="006D40B0" w:rsidP="006D40B0">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EE23C2">
              <w:rPr>
                <w:rFonts w:ascii="Verdana" w:eastAsia="Arial MT" w:hAnsi="Verdana" w:cs="Arial"/>
                <w:lang w:val="es-ES" w:eastAsia="es-ES" w:bidi="es-ES"/>
              </w:rPr>
              <w:t>SANTOS RODRÍGUEZ, Jorge Enrique. Consideraciones sobre los contratos y convenios interadministrativos. En: Revista Digital de Derecho Administrativo, 2008.</w:t>
            </w:r>
          </w:p>
        </w:tc>
      </w:tr>
    </w:tbl>
    <w:p w14:paraId="4AB0654B" w14:textId="77777777" w:rsidR="006D40B0" w:rsidRPr="00B57A1B" w:rsidRDefault="006D40B0" w:rsidP="006D40B0">
      <w:pPr>
        <w:widowControl w:val="0"/>
        <w:autoSpaceDE w:val="0"/>
        <w:autoSpaceDN w:val="0"/>
        <w:spacing w:after="0" w:line="276" w:lineRule="auto"/>
        <w:jc w:val="both"/>
        <w:rPr>
          <w:rFonts w:ascii="Verdana" w:hAnsi="Verdana" w:cs="Arial"/>
        </w:rPr>
      </w:pPr>
    </w:p>
    <w:p w14:paraId="6C2AC6E2" w14:textId="77777777" w:rsidR="006D40B0" w:rsidRPr="00B57A1B" w:rsidRDefault="006D40B0" w:rsidP="006D40B0">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401CC7BC" w14:textId="77777777" w:rsidR="006D40B0" w:rsidRPr="00B57A1B" w:rsidRDefault="006D40B0" w:rsidP="006D40B0">
      <w:pPr>
        <w:widowControl w:val="0"/>
        <w:autoSpaceDE w:val="0"/>
        <w:autoSpaceDN w:val="0"/>
        <w:spacing w:after="0" w:line="276" w:lineRule="auto"/>
        <w:jc w:val="both"/>
        <w:rPr>
          <w:rFonts w:ascii="Verdana" w:hAnsi="Verdana" w:cs="Arial"/>
        </w:rPr>
      </w:pPr>
    </w:p>
    <w:p w14:paraId="2B27460C" w14:textId="77777777" w:rsidR="006D40B0" w:rsidRPr="00041187" w:rsidRDefault="006D40B0" w:rsidP="006D40B0">
      <w:pPr>
        <w:widowControl w:val="0"/>
        <w:autoSpaceDE w:val="0"/>
        <w:autoSpaceDN w:val="0"/>
        <w:spacing w:after="0" w:line="276" w:lineRule="auto"/>
        <w:jc w:val="both"/>
        <w:rPr>
          <w:rFonts w:ascii="Verdana" w:hAnsi="Verdana" w:cs="Arial"/>
          <w:bCs/>
          <w:shd w:val="clear" w:color="auto" w:fill="FFFFFF"/>
        </w:rPr>
      </w:pPr>
      <w:r w:rsidRPr="00B57A1B">
        <w:rPr>
          <w:rFonts w:ascii="Verdana" w:hAnsi="Verdana" w:cs="Arial"/>
          <w:shd w:val="clear" w:color="auto" w:fill="FFFFFF"/>
        </w:rPr>
        <w:t xml:space="preserve">Esta Subdirección se ha pronunciado sobre la diferencia entre contratos y convenios </w:t>
      </w:r>
      <w:r>
        <w:rPr>
          <w:rFonts w:ascii="Verdana" w:hAnsi="Verdana" w:cs="Arial"/>
          <w:shd w:val="clear" w:color="auto" w:fill="FFFFFF"/>
        </w:rPr>
        <w:t>interadministrativos en los</w:t>
      </w:r>
      <w:r w:rsidRPr="00B57A1B">
        <w:rPr>
          <w:rFonts w:ascii="Verdana" w:hAnsi="Verdana" w:cs="Arial"/>
          <w:shd w:val="clear" w:color="auto" w:fill="FFFFFF"/>
        </w:rPr>
        <w:t xml:space="preserve"> Concepto C-605 del 27 de junio de 2025, C-1046 del 9 de septiembre de 2025</w:t>
      </w:r>
      <w:r>
        <w:rPr>
          <w:rFonts w:ascii="Verdana" w:hAnsi="Verdana" w:cs="Arial"/>
          <w:shd w:val="clear" w:color="auto" w:fill="FFFFFF"/>
        </w:rPr>
        <w:t>, C-1152 del 23 de septiembre de 2025, entre otros.</w:t>
      </w:r>
      <w:r>
        <w:rPr>
          <w:rFonts w:ascii="Verdana" w:hAnsi="Verdana" w:cs="Arial"/>
          <w:bCs/>
          <w:shd w:val="clear" w:color="auto" w:fill="FFFFFF"/>
          <w:lang w:val="es-ES"/>
        </w:rPr>
        <w:t xml:space="preserve"> </w:t>
      </w:r>
      <w:r w:rsidRPr="00185EE9">
        <w:rPr>
          <w:rFonts w:ascii="Verdana" w:eastAsia="Calibri" w:hAnsi="Verdana" w:cs="Times New Roman"/>
        </w:rPr>
        <w:t xml:space="preserve">Estos y otros conceptos se encuentran disponibles para consulta en </w:t>
      </w:r>
      <w:r w:rsidRPr="00185EE9">
        <w:rPr>
          <w:rFonts w:ascii="Verdana" w:eastAsia="Calibri" w:hAnsi="Verdana" w:cs="Times New Roman"/>
        </w:rPr>
        <w:lastRenderedPageBreak/>
        <w:t>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CB71088" w14:textId="77777777" w:rsidR="006D40B0" w:rsidRPr="00185EE9" w:rsidRDefault="006D40B0" w:rsidP="006D40B0">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3601E089" w14:textId="77777777" w:rsidR="006D40B0" w:rsidRPr="00B57A1B" w:rsidRDefault="006D40B0" w:rsidP="006D40B0">
      <w:pPr>
        <w:spacing w:after="0"/>
        <w:jc w:val="both"/>
        <w:rPr>
          <w:rFonts w:ascii="Verdana" w:hAnsi="Verdana"/>
        </w:rPr>
      </w:pPr>
    </w:p>
    <w:p w14:paraId="010FCB47" w14:textId="77777777" w:rsidR="006D40B0" w:rsidRPr="00B57A1B" w:rsidRDefault="006D40B0" w:rsidP="006D40B0">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5F61EA9" w14:textId="77777777" w:rsidR="006D40B0" w:rsidRPr="00B57A1B" w:rsidRDefault="006D40B0" w:rsidP="006D40B0">
      <w:pPr>
        <w:spacing w:after="0" w:line="240" w:lineRule="auto"/>
        <w:jc w:val="both"/>
        <w:rPr>
          <w:rFonts w:ascii="Verdana" w:hAnsi="Verdana"/>
        </w:rPr>
      </w:pPr>
    </w:p>
    <w:p w14:paraId="5E031841" w14:textId="77777777" w:rsidR="006D40B0" w:rsidRPr="00B57A1B" w:rsidRDefault="006D40B0" w:rsidP="006D40B0">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C65945" w14:textId="77777777" w:rsidR="006D40B0" w:rsidRPr="00B57A1B" w:rsidRDefault="006D40B0" w:rsidP="006D40B0">
      <w:pPr>
        <w:spacing w:after="0" w:line="256" w:lineRule="auto"/>
        <w:jc w:val="both"/>
        <w:rPr>
          <w:rFonts w:ascii="Verdana" w:eastAsia="Calibri" w:hAnsi="Verdana" w:cs="Times New Roman"/>
        </w:rPr>
      </w:pPr>
    </w:p>
    <w:p w14:paraId="4F5B75DF" w14:textId="77777777" w:rsidR="006D40B0" w:rsidRPr="00B57A1B" w:rsidRDefault="006D40B0" w:rsidP="006D40B0">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02C5C2A2" w14:textId="77777777" w:rsidR="006D40B0" w:rsidRDefault="006D40B0" w:rsidP="006D40B0">
      <w:pPr>
        <w:spacing w:after="0" w:line="256" w:lineRule="auto"/>
        <w:rPr>
          <w:rFonts w:ascii="Century Gothic" w:hAnsi="Century Gothic"/>
          <w:noProof/>
          <w:lang w:val="en-US"/>
        </w:rPr>
      </w:pPr>
    </w:p>
    <w:p w14:paraId="77C8736D" w14:textId="4E753E1A" w:rsidR="006D40B0" w:rsidRDefault="00452E74" w:rsidP="006D40B0">
      <w:pPr>
        <w:spacing w:after="0" w:line="256" w:lineRule="auto"/>
        <w:jc w:val="center"/>
        <w:rPr>
          <w:rFonts w:ascii="Verdana" w:eastAsia="Times New Roman" w:hAnsi="Verdana" w:cs="Arial"/>
          <w:noProof/>
          <w:sz w:val="24"/>
          <w:szCs w:val="24"/>
          <w:lang w:val="en-US"/>
        </w:rPr>
      </w:pPr>
      <w:r w:rsidRPr="002C3AD6">
        <w:rPr>
          <w:rFonts w:ascii="Century Gothic" w:hAnsi="Century Gothic"/>
          <w:noProof/>
          <w:lang w:val="en-US"/>
        </w:rPr>
        <w:drawing>
          <wp:inline distT="0" distB="0" distL="0" distR="0" wp14:anchorId="02DC56AC" wp14:editId="59F5C393">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60010DBD" w14:textId="77777777" w:rsidR="006D40B0" w:rsidRPr="00B57A1B" w:rsidRDefault="006D40B0" w:rsidP="006D40B0">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D40B0" w:rsidRPr="00B57A1B" w14:paraId="6F7AB26B" w14:textId="77777777" w:rsidTr="0072114C">
        <w:trPr>
          <w:trHeight w:val="409"/>
        </w:trPr>
        <w:tc>
          <w:tcPr>
            <w:tcW w:w="817" w:type="dxa"/>
            <w:tcBorders>
              <w:top w:val="nil"/>
              <w:left w:val="nil"/>
              <w:bottom w:val="nil"/>
              <w:right w:val="nil"/>
            </w:tcBorders>
            <w:vAlign w:val="center"/>
            <w:hideMark/>
          </w:tcPr>
          <w:p w14:paraId="23790738"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516B6F9"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0376612D"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6D40B0" w:rsidRPr="00B57A1B" w14:paraId="26692374" w14:textId="77777777" w:rsidTr="0072114C">
        <w:trPr>
          <w:trHeight w:val="409"/>
        </w:trPr>
        <w:tc>
          <w:tcPr>
            <w:tcW w:w="817" w:type="dxa"/>
            <w:tcBorders>
              <w:top w:val="nil"/>
              <w:left w:val="nil"/>
              <w:bottom w:val="nil"/>
              <w:right w:val="nil"/>
            </w:tcBorders>
            <w:vAlign w:val="center"/>
            <w:hideMark/>
          </w:tcPr>
          <w:p w14:paraId="511BA01E"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BDA7272"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76654731"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6D40B0" w:rsidRPr="00B57A1B" w14:paraId="6CF0A5EE" w14:textId="77777777" w:rsidTr="0072114C">
        <w:trPr>
          <w:trHeight w:val="389"/>
        </w:trPr>
        <w:tc>
          <w:tcPr>
            <w:tcW w:w="817" w:type="dxa"/>
            <w:tcBorders>
              <w:top w:val="nil"/>
              <w:left w:val="nil"/>
              <w:bottom w:val="nil"/>
              <w:right w:val="nil"/>
            </w:tcBorders>
            <w:vAlign w:val="center"/>
            <w:hideMark/>
          </w:tcPr>
          <w:p w14:paraId="2A81EE56"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5A120DF"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 xml:space="preserve">Carolina Quintero </w:t>
            </w:r>
            <w:proofErr w:type="spellStart"/>
            <w:r w:rsidRPr="00B57A1B">
              <w:rPr>
                <w:rFonts w:ascii="Verdana" w:eastAsia="Calibri" w:hAnsi="Verdana" w:cs="Times New Roman"/>
                <w:sz w:val="16"/>
                <w:szCs w:val="16"/>
              </w:rPr>
              <w:t>Gacharná</w:t>
            </w:r>
            <w:proofErr w:type="spellEnd"/>
          </w:p>
          <w:p w14:paraId="2176FDBB" w14:textId="77777777" w:rsidR="006D40B0" w:rsidRPr="00B57A1B" w:rsidRDefault="006D40B0" w:rsidP="0072114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071E38CF" w14:textId="0268A412" w:rsidR="004B7F41" w:rsidRPr="006D40B0" w:rsidRDefault="004B7F41" w:rsidP="006D40B0"/>
    <w:sectPr w:rsidR="004B7F41" w:rsidRPr="006D40B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6C1A0" w14:textId="77777777" w:rsidR="00B54E07" w:rsidRDefault="00B54E07" w:rsidP="004A1847">
      <w:pPr>
        <w:spacing w:after="0" w:line="240" w:lineRule="auto"/>
      </w:pPr>
      <w:r>
        <w:separator/>
      </w:r>
    </w:p>
  </w:endnote>
  <w:endnote w:type="continuationSeparator" w:id="0">
    <w:p w14:paraId="309D7550" w14:textId="77777777" w:rsidR="00B54E07" w:rsidRDefault="00B54E07" w:rsidP="004A1847">
      <w:pPr>
        <w:spacing w:after="0" w:line="240" w:lineRule="auto"/>
      </w:pPr>
      <w:r>
        <w:continuationSeparator/>
      </w:r>
    </w:p>
  </w:endnote>
  <w:endnote w:type="continuationNotice" w:id="1">
    <w:p w14:paraId="54635F7C" w14:textId="77777777" w:rsidR="00B54E07" w:rsidRDefault="00B54E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72753" w:rsidRDefault="00A72753">
    <w:pPr>
      <w:pStyle w:val="Piedepgina"/>
    </w:pPr>
  </w:p>
  <w:p w14:paraId="594D6D9F" w14:textId="12ECAEAD" w:rsidR="00A72753" w:rsidRPr="00174B77" w:rsidRDefault="00A7275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E1F57" w:rsidRPr="007E1F57">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72753" w:rsidRDefault="00A7275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72753" w:rsidRPr="00E41027" w:rsidRDefault="00A7275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72753" w:rsidRDefault="00A72753"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14488" w14:textId="77777777" w:rsidR="00B54E07" w:rsidRDefault="00B54E07" w:rsidP="004A1847">
      <w:pPr>
        <w:spacing w:after="0" w:line="240" w:lineRule="auto"/>
      </w:pPr>
      <w:r>
        <w:separator/>
      </w:r>
    </w:p>
  </w:footnote>
  <w:footnote w:type="continuationSeparator" w:id="0">
    <w:p w14:paraId="6CE78153" w14:textId="77777777" w:rsidR="00B54E07" w:rsidRDefault="00B54E07" w:rsidP="004A1847">
      <w:pPr>
        <w:spacing w:after="0" w:line="240" w:lineRule="auto"/>
      </w:pPr>
      <w:r>
        <w:continuationSeparator/>
      </w:r>
    </w:p>
  </w:footnote>
  <w:footnote w:type="continuationNotice" w:id="1">
    <w:p w14:paraId="639D9D87" w14:textId="77777777" w:rsidR="00B54E07" w:rsidRDefault="00B54E07">
      <w:pPr>
        <w:spacing w:after="0" w:line="240" w:lineRule="auto"/>
      </w:pPr>
    </w:p>
  </w:footnote>
  <w:footnote w:id="2">
    <w:p w14:paraId="2192E950" w14:textId="77777777" w:rsidR="006D40B0" w:rsidRPr="005D42C1" w:rsidRDefault="006D40B0" w:rsidP="006D40B0">
      <w:pPr>
        <w:spacing w:after="0" w:line="240" w:lineRule="auto"/>
        <w:ind w:firstLine="709"/>
        <w:contextualSpacing/>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C0D711D" w14:textId="77777777" w:rsidR="006D40B0" w:rsidRDefault="006D40B0" w:rsidP="006D40B0">
      <w:pPr>
        <w:spacing w:after="0" w:line="240" w:lineRule="auto"/>
        <w:ind w:firstLine="709"/>
        <w:contextualSpacing/>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p w14:paraId="4AB93136" w14:textId="77777777" w:rsidR="006D40B0" w:rsidRPr="005D42C1" w:rsidRDefault="006D40B0" w:rsidP="006D40B0">
      <w:pPr>
        <w:spacing w:after="0" w:line="240" w:lineRule="auto"/>
        <w:ind w:firstLine="709"/>
        <w:contextualSpacing/>
        <w:jc w:val="both"/>
        <w:rPr>
          <w:rFonts w:ascii="Verdana" w:hAnsi="Verdana" w:cs="Arial"/>
          <w:sz w:val="16"/>
          <w:szCs w:val="16"/>
        </w:rPr>
      </w:pPr>
    </w:p>
  </w:footnote>
  <w:footnote w:id="3">
    <w:p w14:paraId="3DA1CFFD" w14:textId="77777777" w:rsidR="006D40B0" w:rsidRPr="005D42C1" w:rsidRDefault="006D40B0" w:rsidP="006D40B0">
      <w:pPr>
        <w:spacing w:after="0" w:line="240" w:lineRule="auto"/>
        <w:ind w:firstLine="709"/>
        <w:contextualSpacing/>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p w14:paraId="03B501EB" w14:textId="77777777" w:rsidR="006D40B0" w:rsidRPr="006366CF" w:rsidRDefault="006D40B0" w:rsidP="006D40B0">
      <w:pPr>
        <w:spacing w:after="0" w:line="240" w:lineRule="auto"/>
        <w:ind w:firstLine="709"/>
        <w:contextualSpacing/>
        <w:jc w:val="both"/>
        <w:rPr>
          <w:rFonts w:ascii="Verdana" w:hAnsi="Verdana" w:cs="Arial"/>
          <w:sz w:val="16"/>
          <w:szCs w:val="16"/>
        </w:rPr>
      </w:pPr>
    </w:p>
  </w:footnote>
  <w:footnote w:id="4">
    <w:p w14:paraId="52174227" w14:textId="77777777" w:rsidR="006D40B0" w:rsidRPr="006366CF" w:rsidRDefault="006D40B0" w:rsidP="006D40B0">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5">
    <w:p w14:paraId="6151AB55" w14:textId="77777777" w:rsidR="006D40B0" w:rsidRPr="006366CF" w:rsidRDefault="006D40B0" w:rsidP="006D40B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6">
    <w:p w14:paraId="1526BB91" w14:textId="77777777" w:rsidR="006D40B0" w:rsidRDefault="006D40B0" w:rsidP="006D40B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09F65B6F" w14:textId="77777777" w:rsidR="006D40B0" w:rsidRPr="006366CF" w:rsidRDefault="006D40B0" w:rsidP="006D40B0">
      <w:pPr>
        <w:pStyle w:val="Textonotapie"/>
        <w:ind w:firstLine="708"/>
        <w:jc w:val="both"/>
        <w:rPr>
          <w:rFonts w:ascii="Verdana" w:hAnsi="Verdana"/>
          <w:sz w:val="16"/>
          <w:szCs w:val="16"/>
          <w:lang w:val="es-CO"/>
        </w:rPr>
      </w:pPr>
    </w:p>
  </w:footnote>
  <w:footnote w:id="7">
    <w:p w14:paraId="4B1E55D0" w14:textId="77777777" w:rsidR="006D40B0" w:rsidRPr="006366CF" w:rsidRDefault="006D40B0" w:rsidP="006D40B0">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8">
    <w:p w14:paraId="65CEF802" w14:textId="77777777" w:rsidR="006D40B0" w:rsidRDefault="006D40B0" w:rsidP="006D40B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p w14:paraId="500D50B3" w14:textId="77777777" w:rsidR="006D40B0" w:rsidRPr="006366CF" w:rsidRDefault="006D40B0" w:rsidP="006D40B0">
      <w:pPr>
        <w:pStyle w:val="Textonotapie"/>
        <w:ind w:firstLine="708"/>
        <w:jc w:val="both"/>
        <w:rPr>
          <w:rFonts w:ascii="Verdana" w:hAnsi="Verdana"/>
          <w:sz w:val="16"/>
          <w:szCs w:val="16"/>
          <w:lang w:val="es-ES"/>
        </w:rPr>
      </w:pPr>
      <w:r w:rsidRPr="006366CF">
        <w:rPr>
          <w:rFonts w:ascii="Verdana" w:hAnsi="Verdana"/>
          <w:sz w:val="16"/>
          <w:szCs w:val="16"/>
          <w:lang w:val="es-CO"/>
        </w:rPr>
        <w:t xml:space="preserve"> </w:t>
      </w:r>
    </w:p>
  </w:footnote>
  <w:footnote w:id="9">
    <w:p w14:paraId="29DDB30D" w14:textId="77777777" w:rsidR="006D40B0" w:rsidRPr="006366CF" w:rsidRDefault="006D40B0" w:rsidP="006D40B0">
      <w:pPr>
        <w:pStyle w:val="Textonotapie"/>
        <w:ind w:firstLine="708"/>
        <w:jc w:val="both"/>
        <w:rPr>
          <w:rFonts w:ascii="Verdana" w:hAnsi="Verdana"/>
          <w:bCs/>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Pr>
          <w:rFonts w:ascii="Verdana" w:hAnsi="Verdana"/>
          <w:sz w:val="16"/>
          <w:szCs w:val="16"/>
        </w:rPr>
        <w:t>“</w:t>
      </w:r>
      <w:r w:rsidRPr="006366CF">
        <w:rPr>
          <w:rFonts w:ascii="Verdana" w:hAnsi="Verdana"/>
          <w:bCs/>
          <w:sz w:val="16"/>
          <w:szCs w:val="16"/>
          <w:lang w:val="es-CO"/>
        </w:rPr>
        <w:t xml:space="preserve">Artículo 60. </w:t>
      </w:r>
      <w:r w:rsidRPr="006366CF">
        <w:rPr>
          <w:rFonts w:ascii="Verdana" w:hAnsi="Verdana"/>
          <w:bCs/>
          <w:i/>
          <w:iCs/>
          <w:sz w:val="16"/>
          <w:szCs w:val="16"/>
          <w:lang w:val="es-CO"/>
        </w:rPr>
        <w:t>Control Social a lo público</w:t>
      </w:r>
      <w:r w:rsidRPr="006366CF">
        <w:rPr>
          <w:rFonts w:ascii="Verdana" w:hAnsi="Verdana"/>
          <w:bCs/>
          <w:sz w:val="16"/>
          <w:szCs w:val="16"/>
          <w:lang w:val="es-CO"/>
        </w:rPr>
        <w:t>. El control social es el derecho y el deber de los ciudadanos a participar de manera individual o a través de sus organizaciones, redes sociales e instituciones, en la vigilancia de la gestión pública y sus resultados. </w:t>
      </w:r>
    </w:p>
    <w:p w14:paraId="392AD343" w14:textId="77777777" w:rsidR="006D40B0" w:rsidRPr="006366CF" w:rsidRDefault="006D40B0" w:rsidP="006D40B0">
      <w:pPr>
        <w:pStyle w:val="Textonotapie"/>
        <w:ind w:firstLine="708"/>
        <w:jc w:val="both"/>
        <w:rPr>
          <w:rFonts w:ascii="Verdana" w:hAnsi="Verdana"/>
          <w:bCs/>
          <w:sz w:val="16"/>
          <w:szCs w:val="16"/>
          <w:lang w:val="es-CO"/>
        </w:rPr>
      </w:pPr>
      <w:r w:rsidRPr="006366CF">
        <w:rPr>
          <w:rFonts w:ascii="Verdana" w:hAnsi="Verdana"/>
          <w:bCs/>
          <w:sz w:val="16"/>
          <w:szCs w:val="16"/>
          <w:lang w:val="es-CO"/>
        </w:rPr>
        <w:t>Quienes ejerzan control social podrán realizar alianzas con Organizaciones No Gubernamentales, fundaciones, universidades, gremios empresariales, medios de comunicación y entidades afines para fortalecer su ejercicio, darle continuidad y obtener apoyo financiero, operativo y logístico. </w:t>
      </w:r>
    </w:p>
    <w:p w14:paraId="3AF78D81" w14:textId="77777777" w:rsidR="006D40B0" w:rsidRDefault="006D40B0" w:rsidP="006D40B0">
      <w:pPr>
        <w:pStyle w:val="Textonotapie"/>
        <w:ind w:firstLine="708"/>
        <w:jc w:val="both"/>
        <w:rPr>
          <w:rFonts w:ascii="Verdana" w:hAnsi="Verdana"/>
          <w:bCs/>
          <w:sz w:val="16"/>
          <w:szCs w:val="16"/>
          <w:lang w:val="es-CO"/>
        </w:rPr>
      </w:pPr>
      <w:r w:rsidRPr="006366CF">
        <w:rPr>
          <w:rFonts w:ascii="Verdana" w:hAnsi="Verdana"/>
          <w:bCs/>
          <w:sz w:val="16"/>
          <w:szCs w:val="16"/>
          <w:lang w:val="es-CO"/>
        </w:rPr>
        <w:t>De igual manera, podrán coordinar su labor con otras instancias de participación a fin de intercambiar experiencias y sistemas de información, definir estrategias conjuntas de actuación y constituir grupos de apoyo especializado en aspectos jurídicos, administrativos, y financieros</w:t>
      </w:r>
      <w:r>
        <w:rPr>
          <w:rFonts w:ascii="Verdana" w:hAnsi="Verdana"/>
          <w:bCs/>
          <w:sz w:val="16"/>
          <w:szCs w:val="16"/>
          <w:lang w:val="es-CO"/>
        </w:rPr>
        <w:t>”</w:t>
      </w:r>
      <w:r w:rsidRPr="006366CF">
        <w:rPr>
          <w:rFonts w:ascii="Verdana" w:hAnsi="Verdana"/>
          <w:bCs/>
          <w:sz w:val="16"/>
          <w:szCs w:val="16"/>
          <w:lang w:val="es-CO"/>
        </w:rPr>
        <w:t>. </w:t>
      </w:r>
    </w:p>
    <w:p w14:paraId="45FC5160" w14:textId="77777777" w:rsidR="006D40B0" w:rsidRPr="006366CF" w:rsidRDefault="006D40B0" w:rsidP="006D40B0">
      <w:pPr>
        <w:pStyle w:val="Textonotapie"/>
        <w:ind w:firstLine="708"/>
        <w:jc w:val="both"/>
        <w:rPr>
          <w:rFonts w:ascii="Verdana" w:hAnsi="Verdana"/>
          <w:bCs/>
          <w:sz w:val="16"/>
          <w:szCs w:val="16"/>
          <w:lang w:val="es-CO"/>
        </w:rPr>
      </w:pPr>
    </w:p>
  </w:footnote>
  <w:footnote w:id="10">
    <w:p w14:paraId="7BCA9C99" w14:textId="77777777" w:rsidR="006D40B0" w:rsidRPr="006366CF" w:rsidRDefault="006D40B0" w:rsidP="006D40B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Pr>
          <w:rFonts w:ascii="Verdana" w:hAnsi="Verdana"/>
          <w:sz w:val="16"/>
          <w:szCs w:val="16"/>
        </w:rPr>
        <w:t xml:space="preserve"> “</w:t>
      </w:r>
      <w:r w:rsidRPr="006366CF">
        <w:rPr>
          <w:rFonts w:ascii="Verdana" w:hAnsi="Verdana"/>
          <w:bCs/>
          <w:sz w:val="16"/>
          <w:szCs w:val="16"/>
          <w:lang w:val="es-CO"/>
        </w:rPr>
        <w:t>Articulo 21: Redes de veedurías</w:t>
      </w:r>
      <w:r w:rsidRPr="006366CF">
        <w:rPr>
          <w:rFonts w:ascii="Verdana" w:hAnsi="Verdana"/>
          <w:sz w:val="16"/>
          <w:szCs w:val="16"/>
          <w:lang w:val="es-CO"/>
        </w:rPr>
        <w:t>: Los diferentes tipos de veedurías que se organicen a nivel nacional o de las entidades territoriales, pueden establecer entre sí mecanismos de comunicación, información, coordinación y colaboración permitiendo el establecimiento de acuerdos sobre procedimientos y parámetros de acción, coordinación de actividades y aprovechamiento de experiencias en su actividad y funcionamiento, procurando la formación de una red con miras a fortalecer a la sociedad civil y potenciar la capacidad de control y fiscalización.  </w:t>
      </w:r>
    </w:p>
    <w:p w14:paraId="26E699C9"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La inscripción y reconocimiento de las redes de veedurías se hará ante la Cámara de Comercio, o ante las Personerías Municipales o Distritales de cualquiera de las jurisdicciones a que pertenecen las veedurías que conforman la red.  </w:t>
      </w:r>
    </w:p>
    <w:p w14:paraId="77A685C3"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bCs/>
          <w:sz w:val="16"/>
          <w:szCs w:val="16"/>
          <w:lang w:val="es-CO"/>
        </w:rPr>
        <w:t>Parágrafo.</w:t>
      </w:r>
      <w:r w:rsidRPr="006366CF">
        <w:rPr>
          <w:rFonts w:ascii="Verdana" w:hAnsi="Verdana"/>
          <w:sz w:val="16"/>
          <w:szCs w:val="16"/>
          <w:lang w:val="es-CO"/>
        </w:rPr>
        <w:t xml:space="preserve"> Para la inscripción de redes de veedurías en Personerías Municipales o Distritales, se exigirán los mismos requisitos que requieren las organizaciones sin ánimo de lucro para ser inscritas ante las Gobernaciones o Alcaldías que tengan la competencia legal de inspección, control y vigilancia de dichas organizaciones”. </w:t>
      </w:r>
    </w:p>
  </w:footnote>
  <w:footnote w:id="11">
    <w:p w14:paraId="4A669090" w14:textId="77777777" w:rsidR="006D40B0" w:rsidRPr="006366CF" w:rsidRDefault="006D40B0" w:rsidP="006D40B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bookmarkStart w:id="2" w:name="22"/>
      <w:r>
        <w:rPr>
          <w:rFonts w:ascii="Verdana" w:hAnsi="Verdana"/>
          <w:sz w:val="16"/>
          <w:szCs w:val="16"/>
        </w:rPr>
        <w:t>“</w:t>
      </w:r>
      <w:r w:rsidRPr="006366CF">
        <w:rPr>
          <w:rFonts w:ascii="Verdana" w:hAnsi="Verdana"/>
          <w:bCs/>
          <w:sz w:val="16"/>
          <w:szCs w:val="16"/>
          <w:lang w:val="es-CO"/>
        </w:rPr>
        <w:t>ARTÍCULO 22.</w:t>
      </w:r>
      <w:bookmarkEnd w:id="2"/>
      <w:r w:rsidRPr="006366CF">
        <w:rPr>
          <w:rFonts w:ascii="Verdana" w:hAnsi="Verdana"/>
          <w:sz w:val="16"/>
          <w:szCs w:val="16"/>
          <w:lang w:val="es-CO"/>
        </w:rPr>
        <w:t> Confórmase la red institucional de apoyo a las veedurías ciudadanos, la cual se conformará en sus distintos niveles y responsabilidades en la siguiente forma:</w:t>
      </w:r>
    </w:p>
    <w:p w14:paraId="5BC4AE91"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La Procuraduría General de la Nación, la Contraloría General de la República, la Defensoría del Pueblo y el Ministerio del Interior, prestarán su apoyo y concurso a las veedurías ciudadanas y a las redes que las agrupan en todo lo relativo al apoyo legal y a la promoción de la vigilancia, para tal efecto, podrán acordar mediante convenios interadministrativos, acciones conjuntas en las materias antes mencionadas.</w:t>
      </w:r>
    </w:p>
    <w:p w14:paraId="2369CABE"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El Departamento Administrativo de la Función Pública, como parte del mejoramiento de la Gestión Pública en el orden nacional, diseñará metodologías de evaluación de la Gestión Pública, orientada a facilitar el ejercicio de la vigilancia por parte de las veedurías ciudadanas y de las redes que las agrupan y suministrará la información pertinente sobre los planes institucionales y la evaluación del Estatuto Anticorrupción.</w:t>
      </w:r>
    </w:p>
    <w:p w14:paraId="2C939B3D"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La Escuela Superior de Administración Pública será institución de apoyo en el sistema para la organización de los programas de capacitación que demanden la veeduría ciudadana y las redes que las agrupan, para cuyo efecto, los organismos antes mencionados, tendrán en cuenta dicha institución como instrumentos de ejecución de sus programas en esta materia.</w:t>
      </w:r>
    </w:p>
    <w:p w14:paraId="35B74030"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Los organismos de planeación en sus diferentes niveles y ámbitos de acción, suministrarán la información sobre los planes, programas y proyectos adoptados y organizarán sesiones amplias de explicación o instrumentos masivos de divulgación sobre los recursos asignados, beneficiarios y metodologías de seguimiento y evaluación de los mismos.</w:t>
      </w:r>
    </w:p>
    <w:p w14:paraId="522640C9" w14:textId="77777777" w:rsidR="006D40B0" w:rsidRPr="006366CF" w:rsidRDefault="006D40B0" w:rsidP="006D40B0">
      <w:pPr>
        <w:pStyle w:val="Textonotapie"/>
        <w:ind w:firstLine="708"/>
        <w:jc w:val="both"/>
        <w:rPr>
          <w:rFonts w:ascii="Verdana" w:hAnsi="Verdana"/>
          <w:sz w:val="16"/>
          <w:szCs w:val="16"/>
          <w:lang w:val="es-CO"/>
        </w:rPr>
      </w:pPr>
      <w:r w:rsidRPr="006366CF">
        <w:rPr>
          <w:rFonts w:ascii="Verdana" w:hAnsi="Verdana"/>
          <w:sz w:val="16"/>
          <w:szCs w:val="16"/>
          <w:lang w:val="es-CO"/>
        </w:rPr>
        <w:t>El Fondo de Desarrollo Comunal y la Participación, adscrito al Ministerio del Interior contribuirá e impulsará las campañas de conformación de veedurías y redes y las capacitará para el ejercicio de la vigilancia, de la misma manera adelantará evaluaciones de los logros alcanzados por ellas y coordinará la red institucional de apoyo a las veedurías y ejercerá las demás funciones por la ley</w:t>
      </w:r>
      <w:r>
        <w:rPr>
          <w:rFonts w:ascii="Verdana" w:hAnsi="Verdana"/>
          <w:sz w:val="16"/>
          <w:szCs w:val="16"/>
          <w:lang w:val="es-CO"/>
        </w:rPr>
        <w:t>”</w:t>
      </w:r>
      <w:r w:rsidRPr="006366CF">
        <w:rPr>
          <w:rFonts w:ascii="Verdana" w:hAnsi="Verdana"/>
          <w:sz w:val="16"/>
          <w:szCs w:val="16"/>
          <w:lang w:val="es-CO"/>
        </w:rPr>
        <w:t>.</w:t>
      </w:r>
    </w:p>
    <w:p w14:paraId="20904693" w14:textId="77777777" w:rsidR="006D40B0" w:rsidRPr="006366CF" w:rsidRDefault="006D40B0" w:rsidP="006D40B0">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72753" w:rsidRDefault="00A72753">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72753" w:rsidRDefault="00A72753">
    <w:pPr>
      <w:pStyle w:val="Encabezado"/>
    </w:pPr>
  </w:p>
  <w:p w14:paraId="3079FC11" w14:textId="77777777" w:rsidR="00A72753" w:rsidRDefault="00A72753" w:rsidP="004A305D">
    <w:pPr>
      <w:spacing w:after="0"/>
      <w:rPr>
        <w:rFonts w:ascii="Verdana" w:hAnsi="Verdana"/>
        <w:b/>
        <w:bCs/>
      </w:rPr>
    </w:pPr>
  </w:p>
  <w:p w14:paraId="5E18350A" w14:textId="705F7B76" w:rsidR="00A72753" w:rsidRPr="004A305D" w:rsidRDefault="00A72753" w:rsidP="00B01B1A">
    <w:pPr>
      <w:spacing w:after="0" w:line="120" w:lineRule="auto"/>
      <w:rPr>
        <w:rFonts w:ascii="Century Gothic" w:eastAsia="Geo" w:hAnsi="Century Gothic" w:cs="Geo"/>
        <w:sz w:val="16"/>
        <w:szCs w:val="16"/>
        <w:lang w:eastAsia="es-CO"/>
      </w:rPr>
    </w:pPr>
  </w:p>
  <w:p w14:paraId="1FD1C243" w14:textId="6D74A3CF" w:rsidR="00A72753" w:rsidRDefault="00A7275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5pt;height:11.5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1" w15:restartNumberingAfterBreak="0">
    <w:nsid w:val="691F10D9"/>
    <w:multiLevelType w:val="hybridMultilevel"/>
    <w:tmpl w:val="5978BC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761289158">
    <w:abstractNumId w:val="16"/>
  </w:num>
  <w:num w:numId="2" w16cid:durableId="1644772818">
    <w:abstractNumId w:val="5"/>
  </w:num>
  <w:num w:numId="3" w16cid:durableId="1214082435">
    <w:abstractNumId w:val="14"/>
  </w:num>
  <w:num w:numId="4" w16cid:durableId="35836059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37224092">
    <w:abstractNumId w:val="5"/>
  </w:num>
  <w:num w:numId="6" w16cid:durableId="1407603595">
    <w:abstractNumId w:val="34"/>
  </w:num>
  <w:num w:numId="7" w16cid:durableId="705526757">
    <w:abstractNumId w:val="15"/>
  </w:num>
  <w:num w:numId="8" w16cid:durableId="364864242">
    <w:abstractNumId w:val="33"/>
  </w:num>
  <w:num w:numId="9" w16cid:durableId="1628241939">
    <w:abstractNumId w:val="17"/>
  </w:num>
  <w:num w:numId="10" w16cid:durableId="679166347">
    <w:abstractNumId w:val="32"/>
  </w:num>
  <w:num w:numId="11" w16cid:durableId="378405552">
    <w:abstractNumId w:val="18"/>
  </w:num>
  <w:num w:numId="12" w16cid:durableId="371542501">
    <w:abstractNumId w:val="3"/>
  </w:num>
  <w:num w:numId="13" w16cid:durableId="1584797459">
    <w:abstractNumId w:val="10"/>
  </w:num>
  <w:num w:numId="14" w16cid:durableId="903418808">
    <w:abstractNumId w:val="35"/>
  </w:num>
  <w:num w:numId="15" w16cid:durableId="620763028">
    <w:abstractNumId w:val="30"/>
  </w:num>
  <w:num w:numId="16" w16cid:durableId="614793544">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7890886">
    <w:abstractNumId w:val="6"/>
  </w:num>
  <w:num w:numId="18" w16cid:durableId="700130958">
    <w:abstractNumId w:val="28"/>
  </w:num>
  <w:num w:numId="19" w16cid:durableId="1950746017">
    <w:abstractNumId w:val="13"/>
  </w:num>
  <w:num w:numId="20" w16cid:durableId="923805183">
    <w:abstractNumId w:val="19"/>
  </w:num>
  <w:num w:numId="21" w16cid:durableId="1184785368">
    <w:abstractNumId w:val="37"/>
  </w:num>
  <w:num w:numId="22" w16cid:durableId="907375654">
    <w:abstractNumId w:val="22"/>
  </w:num>
  <w:num w:numId="23" w16cid:durableId="1349059082">
    <w:abstractNumId w:val="9"/>
  </w:num>
  <w:num w:numId="24" w16cid:durableId="1071274749">
    <w:abstractNumId w:val="20"/>
  </w:num>
  <w:num w:numId="25" w16cid:durableId="2752596">
    <w:abstractNumId w:val="4"/>
  </w:num>
  <w:num w:numId="26" w16cid:durableId="509489891">
    <w:abstractNumId w:val="7"/>
  </w:num>
  <w:num w:numId="27" w16cid:durableId="18774185">
    <w:abstractNumId w:val="24"/>
  </w:num>
  <w:num w:numId="28" w16cid:durableId="911087959">
    <w:abstractNumId w:val="8"/>
  </w:num>
  <w:num w:numId="29" w16cid:durableId="1779523860">
    <w:abstractNumId w:val="12"/>
  </w:num>
  <w:num w:numId="30" w16cid:durableId="114178465">
    <w:abstractNumId w:val="2"/>
  </w:num>
  <w:num w:numId="31" w16cid:durableId="838957864">
    <w:abstractNumId w:val="21"/>
  </w:num>
  <w:num w:numId="32" w16cid:durableId="1610383016">
    <w:abstractNumId w:val="25"/>
  </w:num>
  <w:num w:numId="33" w16cid:durableId="150603300">
    <w:abstractNumId w:val="27"/>
  </w:num>
  <w:num w:numId="34" w16cid:durableId="396245155">
    <w:abstractNumId w:val="11"/>
  </w:num>
  <w:num w:numId="35" w16cid:durableId="1548444128">
    <w:abstractNumId w:val="26"/>
  </w:num>
  <w:num w:numId="36" w16cid:durableId="518473508">
    <w:abstractNumId w:val="0"/>
  </w:num>
  <w:num w:numId="37" w16cid:durableId="853114308">
    <w:abstractNumId w:val="23"/>
  </w:num>
  <w:num w:numId="38" w16cid:durableId="1351952410">
    <w:abstractNumId w:val="1"/>
  </w:num>
  <w:num w:numId="39" w16cid:durableId="1300960305">
    <w:abstractNumId w:val="29"/>
  </w:num>
  <w:num w:numId="40" w16cid:durableId="720130148">
    <w:abstractNumId w:val="36"/>
  </w:num>
  <w:num w:numId="41" w16cid:durableId="113306213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2753B"/>
    <w:rsid w:val="0003386C"/>
    <w:rsid w:val="00034682"/>
    <w:rsid w:val="00035E21"/>
    <w:rsid w:val="00041256"/>
    <w:rsid w:val="00042856"/>
    <w:rsid w:val="0004434A"/>
    <w:rsid w:val="0005281E"/>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4D78"/>
    <w:rsid w:val="0009387A"/>
    <w:rsid w:val="0009387B"/>
    <w:rsid w:val="000963C6"/>
    <w:rsid w:val="000974AC"/>
    <w:rsid w:val="0009762F"/>
    <w:rsid w:val="000977B3"/>
    <w:rsid w:val="000A31B9"/>
    <w:rsid w:val="000A3330"/>
    <w:rsid w:val="000A36D8"/>
    <w:rsid w:val="000A3D63"/>
    <w:rsid w:val="000A683A"/>
    <w:rsid w:val="000A683E"/>
    <w:rsid w:val="000B19B9"/>
    <w:rsid w:val="000B2908"/>
    <w:rsid w:val="000B3001"/>
    <w:rsid w:val="000B6F36"/>
    <w:rsid w:val="000B7176"/>
    <w:rsid w:val="000C2889"/>
    <w:rsid w:val="000C3673"/>
    <w:rsid w:val="000C538B"/>
    <w:rsid w:val="000D0152"/>
    <w:rsid w:val="000D0334"/>
    <w:rsid w:val="000D0B4D"/>
    <w:rsid w:val="000D10DC"/>
    <w:rsid w:val="000D3B29"/>
    <w:rsid w:val="000D5184"/>
    <w:rsid w:val="000D566B"/>
    <w:rsid w:val="000E06F4"/>
    <w:rsid w:val="000E1AC7"/>
    <w:rsid w:val="000E3596"/>
    <w:rsid w:val="000E471A"/>
    <w:rsid w:val="000E4CE4"/>
    <w:rsid w:val="000E6820"/>
    <w:rsid w:val="000E7B67"/>
    <w:rsid w:val="000F6486"/>
    <w:rsid w:val="000F669F"/>
    <w:rsid w:val="000F67C7"/>
    <w:rsid w:val="001063B3"/>
    <w:rsid w:val="00107ACA"/>
    <w:rsid w:val="001114A9"/>
    <w:rsid w:val="00111979"/>
    <w:rsid w:val="00114D30"/>
    <w:rsid w:val="00116537"/>
    <w:rsid w:val="00120766"/>
    <w:rsid w:val="00121359"/>
    <w:rsid w:val="00122FA6"/>
    <w:rsid w:val="001240BD"/>
    <w:rsid w:val="00125105"/>
    <w:rsid w:val="001268F7"/>
    <w:rsid w:val="00126B2B"/>
    <w:rsid w:val="00127233"/>
    <w:rsid w:val="00127ADB"/>
    <w:rsid w:val="001372FC"/>
    <w:rsid w:val="0014380E"/>
    <w:rsid w:val="00143E81"/>
    <w:rsid w:val="00143FD9"/>
    <w:rsid w:val="00145047"/>
    <w:rsid w:val="00146C57"/>
    <w:rsid w:val="00150ADA"/>
    <w:rsid w:val="001569A8"/>
    <w:rsid w:val="0016332F"/>
    <w:rsid w:val="0016642E"/>
    <w:rsid w:val="001717E9"/>
    <w:rsid w:val="0017238A"/>
    <w:rsid w:val="001800BA"/>
    <w:rsid w:val="00180A30"/>
    <w:rsid w:val="00185EE9"/>
    <w:rsid w:val="00187F79"/>
    <w:rsid w:val="0019204C"/>
    <w:rsid w:val="00196F32"/>
    <w:rsid w:val="00197274"/>
    <w:rsid w:val="001A0B04"/>
    <w:rsid w:val="001A237A"/>
    <w:rsid w:val="001A26CF"/>
    <w:rsid w:val="001A2919"/>
    <w:rsid w:val="001B22E2"/>
    <w:rsid w:val="001B2CFE"/>
    <w:rsid w:val="001C13BD"/>
    <w:rsid w:val="001C222E"/>
    <w:rsid w:val="001C22F9"/>
    <w:rsid w:val="001C4F29"/>
    <w:rsid w:val="001D1C29"/>
    <w:rsid w:val="001D2CCC"/>
    <w:rsid w:val="001E0A23"/>
    <w:rsid w:val="001E3C06"/>
    <w:rsid w:val="001E4177"/>
    <w:rsid w:val="001E7B62"/>
    <w:rsid w:val="001F0A0F"/>
    <w:rsid w:val="001F114C"/>
    <w:rsid w:val="001F218E"/>
    <w:rsid w:val="001F4EFD"/>
    <w:rsid w:val="001F5606"/>
    <w:rsid w:val="001F5E13"/>
    <w:rsid w:val="001F684E"/>
    <w:rsid w:val="001F6D11"/>
    <w:rsid w:val="001F7BF0"/>
    <w:rsid w:val="001F7DC6"/>
    <w:rsid w:val="00202886"/>
    <w:rsid w:val="00205784"/>
    <w:rsid w:val="00206823"/>
    <w:rsid w:val="00210946"/>
    <w:rsid w:val="00213510"/>
    <w:rsid w:val="0021372A"/>
    <w:rsid w:val="00215CEF"/>
    <w:rsid w:val="00217A08"/>
    <w:rsid w:val="00220B77"/>
    <w:rsid w:val="00221D27"/>
    <w:rsid w:val="00222906"/>
    <w:rsid w:val="002249C4"/>
    <w:rsid w:val="002352F2"/>
    <w:rsid w:val="00237233"/>
    <w:rsid w:val="002421BB"/>
    <w:rsid w:val="00245707"/>
    <w:rsid w:val="00246A81"/>
    <w:rsid w:val="00251A5F"/>
    <w:rsid w:val="00252B30"/>
    <w:rsid w:val="002571BD"/>
    <w:rsid w:val="0025796E"/>
    <w:rsid w:val="00257C7E"/>
    <w:rsid w:val="002603E5"/>
    <w:rsid w:val="002638B2"/>
    <w:rsid w:val="002660F2"/>
    <w:rsid w:val="002664BB"/>
    <w:rsid w:val="002707A2"/>
    <w:rsid w:val="002732F2"/>
    <w:rsid w:val="00277150"/>
    <w:rsid w:val="00281DD5"/>
    <w:rsid w:val="002826F0"/>
    <w:rsid w:val="002835A6"/>
    <w:rsid w:val="002844ED"/>
    <w:rsid w:val="00286FAD"/>
    <w:rsid w:val="002951A0"/>
    <w:rsid w:val="002962BC"/>
    <w:rsid w:val="002A093D"/>
    <w:rsid w:val="002A0DD0"/>
    <w:rsid w:val="002A10F7"/>
    <w:rsid w:val="002A1D2F"/>
    <w:rsid w:val="002A49AC"/>
    <w:rsid w:val="002A64FD"/>
    <w:rsid w:val="002A6BBF"/>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5B9F"/>
    <w:rsid w:val="002E6F15"/>
    <w:rsid w:val="002F13FD"/>
    <w:rsid w:val="002F53FB"/>
    <w:rsid w:val="00303544"/>
    <w:rsid w:val="00303985"/>
    <w:rsid w:val="003039C1"/>
    <w:rsid w:val="00310DBE"/>
    <w:rsid w:val="00310E5C"/>
    <w:rsid w:val="003119D8"/>
    <w:rsid w:val="0031430F"/>
    <w:rsid w:val="00316B0B"/>
    <w:rsid w:val="00320BBD"/>
    <w:rsid w:val="003226F7"/>
    <w:rsid w:val="00322A85"/>
    <w:rsid w:val="00324168"/>
    <w:rsid w:val="00325755"/>
    <w:rsid w:val="0033032A"/>
    <w:rsid w:val="00330C97"/>
    <w:rsid w:val="00334C6A"/>
    <w:rsid w:val="00336C05"/>
    <w:rsid w:val="003409C8"/>
    <w:rsid w:val="00342675"/>
    <w:rsid w:val="00342808"/>
    <w:rsid w:val="00343512"/>
    <w:rsid w:val="003448F4"/>
    <w:rsid w:val="00345330"/>
    <w:rsid w:val="00347E58"/>
    <w:rsid w:val="00350480"/>
    <w:rsid w:val="003522B9"/>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2181"/>
    <w:rsid w:val="00386D13"/>
    <w:rsid w:val="00391392"/>
    <w:rsid w:val="00392A49"/>
    <w:rsid w:val="00393812"/>
    <w:rsid w:val="0039606A"/>
    <w:rsid w:val="003A26D1"/>
    <w:rsid w:val="003A3B30"/>
    <w:rsid w:val="003A40E2"/>
    <w:rsid w:val="003A477B"/>
    <w:rsid w:val="003A779E"/>
    <w:rsid w:val="003B005A"/>
    <w:rsid w:val="003B0636"/>
    <w:rsid w:val="003B41F4"/>
    <w:rsid w:val="003B6385"/>
    <w:rsid w:val="003B78C4"/>
    <w:rsid w:val="003B7D19"/>
    <w:rsid w:val="003C3FA5"/>
    <w:rsid w:val="003D0F4D"/>
    <w:rsid w:val="003D1B5E"/>
    <w:rsid w:val="003D5B0D"/>
    <w:rsid w:val="003E0499"/>
    <w:rsid w:val="003E40F2"/>
    <w:rsid w:val="003E4F32"/>
    <w:rsid w:val="003E7EAA"/>
    <w:rsid w:val="003F1B32"/>
    <w:rsid w:val="003F2380"/>
    <w:rsid w:val="003F3941"/>
    <w:rsid w:val="003F3B64"/>
    <w:rsid w:val="00400676"/>
    <w:rsid w:val="004008A9"/>
    <w:rsid w:val="0040480E"/>
    <w:rsid w:val="00406575"/>
    <w:rsid w:val="004069AB"/>
    <w:rsid w:val="00410906"/>
    <w:rsid w:val="0041655A"/>
    <w:rsid w:val="00426FD7"/>
    <w:rsid w:val="0042722E"/>
    <w:rsid w:val="00427DA0"/>
    <w:rsid w:val="00436F71"/>
    <w:rsid w:val="00440391"/>
    <w:rsid w:val="004405A4"/>
    <w:rsid w:val="004426AD"/>
    <w:rsid w:val="00442C7F"/>
    <w:rsid w:val="0044528D"/>
    <w:rsid w:val="00446E9D"/>
    <w:rsid w:val="0044798F"/>
    <w:rsid w:val="00450920"/>
    <w:rsid w:val="00452E74"/>
    <w:rsid w:val="004530EA"/>
    <w:rsid w:val="00454D48"/>
    <w:rsid w:val="004550FC"/>
    <w:rsid w:val="004554F9"/>
    <w:rsid w:val="0046004D"/>
    <w:rsid w:val="00461A6A"/>
    <w:rsid w:val="004633DE"/>
    <w:rsid w:val="00465E71"/>
    <w:rsid w:val="00466040"/>
    <w:rsid w:val="00471654"/>
    <w:rsid w:val="004734BD"/>
    <w:rsid w:val="00475854"/>
    <w:rsid w:val="00480BAF"/>
    <w:rsid w:val="00482608"/>
    <w:rsid w:val="00483749"/>
    <w:rsid w:val="00484809"/>
    <w:rsid w:val="00484BB1"/>
    <w:rsid w:val="004A0980"/>
    <w:rsid w:val="004A0B8B"/>
    <w:rsid w:val="004A1847"/>
    <w:rsid w:val="004A305D"/>
    <w:rsid w:val="004A3312"/>
    <w:rsid w:val="004A66E3"/>
    <w:rsid w:val="004B01B2"/>
    <w:rsid w:val="004B5C11"/>
    <w:rsid w:val="004B740F"/>
    <w:rsid w:val="004B7F41"/>
    <w:rsid w:val="004C1A2F"/>
    <w:rsid w:val="004C28C6"/>
    <w:rsid w:val="004C4B37"/>
    <w:rsid w:val="004D026D"/>
    <w:rsid w:val="004D0BED"/>
    <w:rsid w:val="004D23A7"/>
    <w:rsid w:val="004E221E"/>
    <w:rsid w:val="004E2892"/>
    <w:rsid w:val="004E343A"/>
    <w:rsid w:val="004E4C0B"/>
    <w:rsid w:val="004E505B"/>
    <w:rsid w:val="004E7CE7"/>
    <w:rsid w:val="004F21C4"/>
    <w:rsid w:val="004F3012"/>
    <w:rsid w:val="004F3B9E"/>
    <w:rsid w:val="004F5559"/>
    <w:rsid w:val="004F685F"/>
    <w:rsid w:val="004F7EC9"/>
    <w:rsid w:val="00504CBE"/>
    <w:rsid w:val="00505795"/>
    <w:rsid w:val="00514598"/>
    <w:rsid w:val="005163B5"/>
    <w:rsid w:val="0052543A"/>
    <w:rsid w:val="00525FDB"/>
    <w:rsid w:val="0052785C"/>
    <w:rsid w:val="00533E1B"/>
    <w:rsid w:val="00540C2D"/>
    <w:rsid w:val="0054111E"/>
    <w:rsid w:val="0054335F"/>
    <w:rsid w:val="00552502"/>
    <w:rsid w:val="00554BD4"/>
    <w:rsid w:val="005556B3"/>
    <w:rsid w:val="005559F3"/>
    <w:rsid w:val="005566E8"/>
    <w:rsid w:val="00560CB5"/>
    <w:rsid w:val="00564F8B"/>
    <w:rsid w:val="00570339"/>
    <w:rsid w:val="00570E49"/>
    <w:rsid w:val="0057285F"/>
    <w:rsid w:val="00574122"/>
    <w:rsid w:val="00574867"/>
    <w:rsid w:val="00576DF7"/>
    <w:rsid w:val="00577D09"/>
    <w:rsid w:val="0058087F"/>
    <w:rsid w:val="0058337B"/>
    <w:rsid w:val="00586328"/>
    <w:rsid w:val="00591460"/>
    <w:rsid w:val="00592628"/>
    <w:rsid w:val="00597C75"/>
    <w:rsid w:val="005A0868"/>
    <w:rsid w:val="005A0CFB"/>
    <w:rsid w:val="005A282F"/>
    <w:rsid w:val="005A2AC9"/>
    <w:rsid w:val="005A6C21"/>
    <w:rsid w:val="005A7658"/>
    <w:rsid w:val="005B2CCE"/>
    <w:rsid w:val="005B4055"/>
    <w:rsid w:val="005B58C1"/>
    <w:rsid w:val="005B6033"/>
    <w:rsid w:val="005C3777"/>
    <w:rsid w:val="005C5CDC"/>
    <w:rsid w:val="005D17C8"/>
    <w:rsid w:val="005D2B2B"/>
    <w:rsid w:val="005D42C1"/>
    <w:rsid w:val="005D476C"/>
    <w:rsid w:val="005D51C3"/>
    <w:rsid w:val="005D5F91"/>
    <w:rsid w:val="005D7B25"/>
    <w:rsid w:val="005E4601"/>
    <w:rsid w:val="005E6B74"/>
    <w:rsid w:val="005F3CE0"/>
    <w:rsid w:val="005F7C43"/>
    <w:rsid w:val="00601DFC"/>
    <w:rsid w:val="00605A00"/>
    <w:rsid w:val="00610812"/>
    <w:rsid w:val="00612CE7"/>
    <w:rsid w:val="0061496B"/>
    <w:rsid w:val="00615F46"/>
    <w:rsid w:val="0062005D"/>
    <w:rsid w:val="006219F8"/>
    <w:rsid w:val="0063165E"/>
    <w:rsid w:val="00632C08"/>
    <w:rsid w:val="006366CF"/>
    <w:rsid w:val="0064349C"/>
    <w:rsid w:val="00644F63"/>
    <w:rsid w:val="00650FF7"/>
    <w:rsid w:val="00652B9F"/>
    <w:rsid w:val="00656421"/>
    <w:rsid w:val="00660F6A"/>
    <w:rsid w:val="00663B19"/>
    <w:rsid w:val="00665032"/>
    <w:rsid w:val="00665D70"/>
    <w:rsid w:val="00671DAC"/>
    <w:rsid w:val="006728CB"/>
    <w:rsid w:val="00674007"/>
    <w:rsid w:val="006747C7"/>
    <w:rsid w:val="006827AC"/>
    <w:rsid w:val="00683DEC"/>
    <w:rsid w:val="006859A3"/>
    <w:rsid w:val="00686A2E"/>
    <w:rsid w:val="0068752E"/>
    <w:rsid w:val="006900D9"/>
    <w:rsid w:val="006920AE"/>
    <w:rsid w:val="00697B17"/>
    <w:rsid w:val="006A0008"/>
    <w:rsid w:val="006A10DF"/>
    <w:rsid w:val="006A3147"/>
    <w:rsid w:val="006B14B5"/>
    <w:rsid w:val="006B23CF"/>
    <w:rsid w:val="006B25DE"/>
    <w:rsid w:val="006B4060"/>
    <w:rsid w:val="006B4CA3"/>
    <w:rsid w:val="006B7465"/>
    <w:rsid w:val="006C0240"/>
    <w:rsid w:val="006C238E"/>
    <w:rsid w:val="006C2731"/>
    <w:rsid w:val="006C5595"/>
    <w:rsid w:val="006D12F8"/>
    <w:rsid w:val="006D2F4E"/>
    <w:rsid w:val="006D40B0"/>
    <w:rsid w:val="006D4E33"/>
    <w:rsid w:val="006E41C6"/>
    <w:rsid w:val="006E5BFF"/>
    <w:rsid w:val="006F0D40"/>
    <w:rsid w:val="006F13EA"/>
    <w:rsid w:val="006F2501"/>
    <w:rsid w:val="00700975"/>
    <w:rsid w:val="00704D9B"/>
    <w:rsid w:val="0070513C"/>
    <w:rsid w:val="00705E5F"/>
    <w:rsid w:val="00706C16"/>
    <w:rsid w:val="00711C85"/>
    <w:rsid w:val="0071458F"/>
    <w:rsid w:val="0071627C"/>
    <w:rsid w:val="00723A7F"/>
    <w:rsid w:val="00723F2B"/>
    <w:rsid w:val="00725240"/>
    <w:rsid w:val="007312C3"/>
    <w:rsid w:val="007374E9"/>
    <w:rsid w:val="00737C53"/>
    <w:rsid w:val="00737DFA"/>
    <w:rsid w:val="007534CA"/>
    <w:rsid w:val="00756841"/>
    <w:rsid w:val="0076066F"/>
    <w:rsid w:val="00762AA9"/>
    <w:rsid w:val="007649AB"/>
    <w:rsid w:val="007670E3"/>
    <w:rsid w:val="00771D0C"/>
    <w:rsid w:val="00771FD2"/>
    <w:rsid w:val="0077538C"/>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3B85"/>
    <w:rsid w:val="007B6B04"/>
    <w:rsid w:val="007B7171"/>
    <w:rsid w:val="007B7D02"/>
    <w:rsid w:val="007C0C0F"/>
    <w:rsid w:val="007C2E67"/>
    <w:rsid w:val="007C3DC2"/>
    <w:rsid w:val="007C4E2B"/>
    <w:rsid w:val="007D0457"/>
    <w:rsid w:val="007D124A"/>
    <w:rsid w:val="007D43C9"/>
    <w:rsid w:val="007E1247"/>
    <w:rsid w:val="007E1F57"/>
    <w:rsid w:val="007E5497"/>
    <w:rsid w:val="007F28CA"/>
    <w:rsid w:val="007F52A4"/>
    <w:rsid w:val="007F60FB"/>
    <w:rsid w:val="007F7B94"/>
    <w:rsid w:val="007F7DD8"/>
    <w:rsid w:val="00800789"/>
    <w:rsid w:val="00804981"/>
    <w:rsid w:val="00806CD3"/>
    <w:rsid w:val="00806F5F"/>
    <w:rsid w:val="00811270"/>
    <w:rsid w:val="00811E4F"/>
    <w:rsid w:val="00812F2C"/>
    <w:rsid w:val="008163D7"/>
    <w:rsid w:val="00820278"/>
    <w:rsid w:val="00826415"/>
    <w:rsid w:val="00834554"/>
    <w:rsid w:val="00834B31"/>
    <w:rsid w:val="008377E1"/>
    <w:rsid w:val="00840ADC"/>
    <w:rsid w:val="00841A23"/>
    <w:rsid w:val="00843902"/>
    <w:rsid w:val="00843928"/>
    <w:rsid w:val="00843BF7"/>
    <w:rsid w:val="008449B3"/>
    <w:rsid w:val="00846276"/>
    <w:rsid w:val="00850E23"/>
    <w:rsid w:val="00851137"/>
    <w:rsid w:val="0085186E"/>
    <w:rsid w:val="00853978"/>
    <w:rsid w:val="0085432F"/>
    <w:rsid w:val="00856C43"/>
    <w:rsid w:val="00861497"/>
    <w:rsid w:val="00864209"/>
    <w:rsid w:val="00865414"/>
    <w:rsid w:val="00873217"/>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6432"/>
    <w:rsid w:val="008A7A64"/>
    <w:rsid w:val="008A7F08"/>
    <w:rsid w:val="008B2F0E"/>
    <w:rsid w:val="008B5A2E"/>
    <w:rsid w:val="008D095B"/>
    <w:rsid w:val="008D180B"/>
    <w:rsid w:val="008D1BDB"/>
    <w:rsid w:val="008D4325"/>
    <w:rsid w:val="008D5ACA"/>
    <w:rsid w:val="008D6CDA"/>
    <w:rsid w:val="008D7227"/>
    <w:rsid w:val="008E1F92"/>
    <w:rsid w:val="008E7333"/>
    <w:rsid w:val="008E7B09"/>
    <w:rsid w:val="008E7D4C"/>
    <w:rsid w:val="008F0EA7"/>
    <w:rsid w:val="008F1CA9"/>
    <w:rsid w:val="008F7BB9"/>
    <w:rsid w:val="00904692"/>
    <w:rsid w:val="00910097"/>
    <w:rsid w:val="00910CFB"/>
    <w:rsid w:val="00911C7C"/>
    <w:rsid w:val="0091561E"/>
    <w:rsid w:val="00920849"/>
    <w:rsid w:val="00922F57"/>
    <w:rsid w:val="00923BD0"/>
    <w:rsid w:val="00923EEF"/>
    <w:rsid w:val="009325CC"/>
    <w:rsid w:val="0093558D"/>
    <w:rsid w:val="009411F5"/>
    <w:rsid w:val="009419F9"/>
    <w:rsid w:val="0094476F"/>
    <w:rsid w:val="00945B9F"/>
    <w:rsid w:val="00950BE2"/>
    <w:rsid w:val="0095126A"/>
    <w:rsid w:val="00953AA4"/>
    <w:rsid w:val="00955305"/>
    <w:rsid w:val="00956010"/>
    <w:rsid w:val="0095685E"/>
    <w:rsid w:val="00957293"/>
    <w:rsid w:val="009572D9"/>
    <w:rsid w:val="009600D2"/>
    <w:rsid w:val="00961409"/>
    <w:rsid w:val="00961B09"/>
    <w:rsid w:val="00962300"/>
    <w:rsid w:val="00965111"/>
    <w:rsid w:val="00965334"/>
    <w:rsid w:val="0097093E"/>
    <w:rsid w:val="009725F1"/>
    <w:rsid w:val="00976025"/>
    <w:rsid w:val="00976F04"/>
    <w:rsid w:val="009800BE"/>
    <w:rsid w:val="00982E41"/>
    <w:rsid w:val="00983B79"/>
    <w:rsid w:val="00983EEA"/>
    <w:rsid w:val="00984649"/>
    <w:rsid w:val="009858BE"/>
    <w:rsid w:val="009866C1"/>
    <w:rsid w:val="00993A7C"/>
    <w:rsid w:val="009A0DFA"/>
    <w:rsid w:val="009A3C2C"/>
    <w:rsid w:val="009A4A40"/>
    <w:rsid w:val="009B2D26"/>
    <w:rsid w:val="009B3595"/>
    <w:rsid w:val="009B5228"/>
    <w:rsid w:val="009B6C8C"/>
    <w:rsid w:val="009B780F"/>
    <w:rsid w:val="009C2DD0"/>
    <w:rsid w:val="009C3AC7"/>
    <w:rsid w:val="009C71FA"/>
    <w:rsid w:val="009C72E7"/>
    <w:rsid w:val="009D0555"/>
    <w:rsid w:val="009D1086"/>
    <w:rsid w:val="009D3058"/>
    <w:rsid w:val="009D3A11"/>
    <w:rsid w:val="009D44C4"/>
    <w:rsid w:val="009D6427"/>
    <w:rsid w:val="009D67FD"/>
    <w:rsid w:val="009E4636"/>
    <w:rsid w:val="009E5A30"/>
    <w:rsid w:val="009E7C05"/>
    <w:rsid w:val="009F15A2"/>
    <w:rsid w:val="009F3831"/>
    <w:rsid w:val="009F3832"/>
    <w:rsid w:val="009F3A13"/>
    <w:rsid w:val="009F4AB2"/>
    <w:rsid w:val="009F73F7"/>
    <w:rsid w:val="00A02465"/>
    <w:rsid w:val="00A03415"/>
    <w:rsid w:val="00A04A81"/>
    <w:rsid w:val="00A0596F"/>
    <w:rsid w:val="00A122D3"/>
    <w:rsid w:val="00A145AB"/>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3F57"/>
    <w:rsid w:val="00A557DF"/>
    <w:rsid w:val="00A56959"/>
    <w:rsid w:val="00A56FCA"/>
    <w:rsid w:val="00A6004A"/>
    <w:rsid w:val="00A613C2"/>
    <w:rsid w:val="00A621E1"/>
    <w:rsid w:val="00A6275D"/>
    <w:rsid w:val="00A64336"/>
    <w:rsid w:val="00A72753"/>
    <w:rsid w:val="00A7332E"/>
    <w:rsid w:val="00A745FA"/>
    <w:rsid w:val="00A74DE6"/>
    <w:rsid w:val="00A75866"/>
    <w:rsid w:val="00A75875"/>
    <w:rsid w:val="00A8086A"/>
    <w:rsid w:val="00A80F32"/>
    <w:rsid w:val="00A828F1"/>
    <w:rsid w:val="00A830AD"/>
    <w:rsid w:val="00A87F7D"/>
    <w:rsid w:val="00A9244C"/>
    <w:rsid w:val="00A94B40"/>
    <w:rsid w:val="00A94D14"/>
    <w:rsid w:val="00A95106"/>
    <w:rsid w:val="00A95A1A"/>
    <w:rsid w:val="00AA1328"/>
    <w:rsid w:val="00AA23BB"/>
    <w:rsid w:val="00AB0ADB"/>
    <w:rsid w:val="00AB3FD1"/>
    <w:rsid w:val="00AC0DF9"/>
    <w:rsid w:val="00AC0EAB"/>
    <w:rsid w:val="00AC4701"/>
    <w:rsid w:val="00AC49A2"/>
    <w:rsid w:val="00AD73E2"/>
    <w:rsid w:val="00AE2631"/>
    <w:rsid w:val="00AE3D6C"/>
    <w:rsid w:val="00AF10F5"/>
    <w:rsid w:val="00AF1BEC"/>
    <w:rsid w:val="00AF2C90"/>
    <w:rsid w:val="00AF54CA"/>
    <w:rsid w:val="00B009B8"/>
    <w:rsid w:val="00B01B1A"/>
    <w:rsid w:val="00B0268A"/>
    <w:rsid w:val="00B0410F"/>
    <w:rsid w:val="00B07DDD"/>
    <w:rsid w:val="00B137B3"/>
    <w:rsid w:val="00B14E03"/>
    <w:rsid w:val="00B16798"/>
    <w:rsid w:val="00B26B98"/>
    <w:rsid w:val="00B35201"/>
    <w:rsid w:val="00B35ADC"/>
    <w:rsid w:val="00B37C24"/>
    <w:rsid w:val="00B40FBC"/>
    <w:rsid w:val="00B427E2"/>
    <w:rsid w:val="00B46F27"/>
    <w:rsid w:val="00B47FD7"/>
    <w:rsid w:val="00B51F75"/>
    <w:rsid w:val="00B52169"/>
    <w:rsid w:val="00B53E27"/>
    <w:rsid w:val="00B54E07"/>
    <w:rsid w:val="00B558AF"/>
    <w:rsid w:val="00B615BA"/>
    <w:rsid w:val="00B62D8B"/>
    <w:rsid w:val="00B64355"/>
    <w:rsid w:val="00B72CD3"/>
    <w:rsid w:val="00B72FFF"/>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E4237"/>
    <w:rsid w:val="00BE4ACC"/>
    <w:rsid w:val="00BF0D99"/>
    <w:rsid w:val="00BF1201"/>
    <w:rsid w:val="00BF1D4A"/>
    <w:rsid w:val="00BF230F"/>
    <w:rsid w:val="00BF26BA"/>
    <w:rsid w:val="00BF33CE"/>
    <w:rsid w:val="00C002E3"/>
    <w:rsid w:val="00C012CC"/>
    <w:rsid w:val="00C04FB3"/>
    <w:rsid w:val="00C06C4F"/>
    <w:rsid w:val="00C147D0"/>
    <w:rsid w:val="00C159C1"/>
    <w:rsid w:val="00C16346"/>
    <w:rsid w:val="00C17497"/>
    <w:rsid w:val="00C21B15"/>
    <w:rsid w:val="00C21B8C"/>
    <w:rsid w:val="00C226DE"/>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3821"/>
    <w:rsid w:val="00C65D65"/>
    <w:rsid w:val="00C66D80"/>
    <w:rsid w:val="00C67703"/>
    <w:rsid w:val="00C7173F"/>
    <w:rsid w:val="00C730B6"/>
    <w:rsid w:val="00C7352F"/>
    <w:rsid w:val="00C7482D"/>
    <w:rsid w:val="00C754BE"/>
    <w:rsid w:val="00C76466"/>
    <w:rsid w:val="00C76B1C"/>
    <w:rsid w:val="00C77FF6"/>
    <w:rsid w:val="00C82239"/>
    <w:rsid w:val="00C85844"/>
    <w:rsid w:val="00C90209"/>
    <w:rsid w:val="00C915DD"/>
    <w:rsid w:val="00C91B94"/>
    <w:rsid w:val="00C92665"/>
    <w:rsid w:val="00C95BAE"/>
    <w:rsid w:val="00CA4272"/>
    <w:rsid w:val="00CA6A9D"/>
    <w:rsid w:val="00CA7F6B"/>
    <w:rsid w:val="00CB2F3F"/>
    <w:rsid w:val="00CB6357"/>
    <w:rsid w:val="00CC0FA3"/>
    <w:rsid w:val="00CC1428"/>
    <w:rsid w:val="00CC1B26"/>
    <w:rsid w:val="00CC49F7"/>
    <w:rsid w:val="00CC54DB"/>
    <w:rsid w:val="00CC7787"/>
    <w:rsid w:val="00CD087D"/>
    <w:rsid w:val="00CD0DCD"/>
    <w:rsid w:val="00CD41CB"/>
    <w:rsid w:val="00CD5EE0"/>
    <w:rsid w:val="00CE02A2"/>
    <w:rsid w:val="00CE04FF"/>
    <w:rsid w:val="00CE3273"/>
    <w:rsid w:val="00CE509A"/>
    <w:rsid w:val="00CE5414"/>
    <w:rsid w:val="00CF241F"/>
    <w:rsid w:val="00CF7826"/>
    <w:rsid w:val="00D0157A"/>
    <w:rsid w:val="00D036D8"/>
    <w:rsid w:val="00D038ED"/>
    <w:rsid w:val="00D06D26"/>
    <w:rsid w:val="00D10B75"/>
    <w:rsid w:val="00D13351"/>
    <w:rsid w:val="00D15E25"/>
    <w:rsid w:val="00D17A40"/>
    <w:rsid w:val="00D20368"/>
    <w:rsid w:val="00D22361"/>
    <w:rsid w:val="00D22598"/>
    <w:rsid w:val="00D26924"/>
    <w:rsid w:val="00D35468"/>
    <w:rsid w:val="00D413F6"/>
    <w:rsid w:val="00D4231B"/>
    <w:rsid w:val="00D423A2"/>
    <w:rsid w:val="00D45E4A"/>
    <w:rsid w:val="00D51FF9"/>
    <w:rsid w:val="00D520D8"/>
    <w:rsid w:val="00D52961"/>
    <w:rsid w:val="00D55048"/>
    <w:rsid w:val="00D56C6D"/>
    <w:rsid w:val="00D57FA4"/>
    <w:rsid w:val="00D62DE7"/>
    <w:rsid w:val="00D63AC2"/>
    <w:rsid w:val="00D665B4"/>
    <w:rsid w:val="00D673D0"/>
    <w:rsid w:val="00D7080D"/>
    <w:rsid w:val="00D7156A"/>
    <w:rsid w:val="00D7383B"/>
    <w:rsid w:val="00D7609E"/>
    <w:rsid w:val="00D81A63"/>
    <w:rsid w:val="00D81D25"/>
    <w:rsid w:val="00D85C60"/>
    <w:rsid w:val="00D86C54"/>
    <w:rsid w:val="00D86E8B"/>
    <w:rsid w:val="00D91F8B"/>
    <w:rsid w:val="00D9355F"/>
    <w:rsid w:val="00D9383B"/>
    <w:rsid w:val="00D93B61"/>
    <w:rsid w:val="00D94C40"/>
    <w:rsid w:val="00DA231B"/>
    <w:rsid w:val="00DA23A0"/>
    <w:rsid w:val="00DA7F66"/>
    <w:rsid w:val="00DB186F"/>
    <w:rsid w:val="00DB77B8"/>
    <w:rsid w:val="00DC0BDA"/>
    <w:rsid w:val="00DC39FC"/>
    <w:rsid w:val="00DC4385"/>
    <w:rsid w:val="00DC484F"/>
    <w:rsid w:val="00DC4C27"/>
    <w:rsid w:val="00DC51BC"/>
    <w:rsid w:val="00DC6805"/>
    <w:rsid w:val="00DC78A7"/>
    <w:rsid w:val="00DC793F"/>
    <w:rsid w:val="00DE3067"/>
    <w:rsid w:val="00DE3BDD"/>
    <w:rsid w:val="00DE4629"/>
    <w:rsid w:val="00DE58C9"/>
    <w:rsid w:val="00DE6EAA"/>
    <w:rsid w:val="00DF11FD"/>
    <w:rsid w:val="00DF5254"/>
    <w:rsid w:val="00E052F2"/>
    <w:rsid w:val="00E12426"/>
    <w:rsid w:val="00E13584"/>
    <w:rsid w:val="00E14EB2"/>
    <w:rsid w:val="00E15B15"/>
    <w:rsid w:val="00E15DDF"/>
    <w:rsid w:val="00E16408"/>
    <w:rsid w:val="00E2086F"/>
    <w:rsid w:val="00E20894"/>
    <w:rsid w:val="00E20E4A"/>
    <w:rsid w:val="00E2397D"/>
    <w:rsid w:val="00E23B70"/>
    <w:rsid w:val="00E245AB"/>
    <w:rsid w:val="00E26239"/>
    <w:rsid w:val="00E2701B"/>
    <w:rsid w:val="00E2764C"/>
    <w:rsid w:val="00E27F2E"/>
    <w:rsid w:val="00E308A4"/>
    <w:rsid w:val="00E35539"/>
    <w:rsid w:val="00E413EA"/>
    <w:rsid w:val="00E42941"/>
    <w:rsid w:val="00E47F28"/>
    <w:rsid w:val="00E50AFE"/>
    <w:rsid w:val="00E52E49"/>
    <w:rsid w:val="00E52EAD"/>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220"/>
    <w:rsid w:val="00EA29F8"/>
    <w:rsid w:val="00EA393B"/>
    <w:rsid w:val="00EA39A5"/>
    <w:rsid w:val="00EA65CD"/>
    <w:rsid w:val="00EB2C4B"/>
    <w:rsid w:val="00EB3BB3"/>
    <w:rsid w:val="00EB7E00"/>
    <w:rsid w:val="00EC1A2C"/>
    <w:rsid w:val="00EC1FE1"/>
    <w:rsid w:val="00EC38A7"/>
    <w:rsid w:val="00ED042A"/>
    <w:rsid w:val="00ED0D4A"/>
    <w:rsid w:val="00ED4E37"/>
    <w:rsid w:val="00EE1065"/>
    <w:rsid w:val="00EE1AA8"/>
    <w:rsid w:val="00EE23C2"/>
    <w:rsid w:val="00EE6DCD"/>
    <w:rsid w:val="00EF26C3"/>
    <w:rsid w:val="00EF419E"/>
    <w:rsid w:val="00EF489F"/>
    <w:rsid w:val="00F00796"/>
    <w:rsid w:val="00F11213"/>
    <w:rsid w:val="00F11BAA"/>
    <w:rsid w:val="00F177C1"/>
    <w:rsid w:val="00F17EB6"/>
    <w:rsid w:val="00F238F2"/>
    <w:rsid w:val="00F24580"/>
    <w:rsid w:val="00F248A2"/>
    <w:rsid w:val="00F260AA"/>
    <w:rsid w:val="00F27B26"/>
    <w:rsid w:val="00F308B8"/>
    <w:rsid w:val="00F30B1C"/>
    <w:rsid w:val="00F31EDC"/>
    <w:rsid w:val="00F331A2"/>
    <w:rsid w:val="00F339F4"/>
    <w:rsid w:val="00F34D02"/>
    <w:rsid w:val="00F34E84"/>
    <w:rsid w:val="00F36DF8"/>
    <w:rsid w:val="00F36EE8"/>
    <w:rsid w:val="00F40BAD"/>
    <w:rsid w:val="00F462B3"/>
    <w:rsid w:val="00F50DC9"/>
    <w:rsid w:val="00F5184B"/>
    <w:rsid w:val="00F5491E"/>
    <w:rsid w:val="00F55081"/>
    <w:rsid w:val="00F55168"/>
    <w:rsid w:val="00F5664F"/>
    <w:rsid w:val="00F571A1"/>
    <w:rsid w:val="00F61ABB"/>
    <w:rsid w:val="00F626C4"/>
    <w:rsid w:val="00F64D9E"/>
    <w:rsid w:val="00F664EC"/>
    <w:rsid w:val="00F666C4"/>
    <w:rsid w:val="00F7684C"/>
    <w:rsid w:val="00F76AFC"/>
    <w:rsid w:val="00F80384"/>
    <w:rsid w:val="00F80CBE"/>
    <w:rsid w:val="00F85198"/>
    <w:rsid w:val="00F85237"/>
    <w:rsid w:val="00F939CB"/>
    <w:rsid w:val="00F9479C"/>
    <w:rsid w:val="00F965EE"/>
    <w:rsid w:val="00F97949"/>
    <w:rsid w:val="00FA0BC0"/>
    <w:rsid w:val="00FA1110"/>
    <w:rsid w:val="00FA1361"/>
    <w:rsid w:val="00FA34EC"/>
    <w:rsid w:val="00FA358D"/>
    <w:rsid w:val="00FA47C0"/>
    <w:rsid w:val="00FB4425"/>
    <w:rsid w:val="00FB5615"/>
    <w:rsid w:val="00FB5DD1"/>
    <w:rsid w:val="00FB5F87"/>
    <w:rsid w:val="00FC07B5"/>
    <w:rsid w:val="00FC2B5D"/>
    <w:rsid w:val="00FC4578"/>
    <w:rsid w:val="00FC6192"/>
    <w:rsid w:val="00FD00BB"/>
    <w:rsid w:val="00FD00E9"/>
    <w:rsid w:val="00FD03E3"/>
    <w:rsid w:val="00FD108E"/>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0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61210">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9525555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89132231">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11406287">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667978980">
      <w:bodyDiv w:val="1"/>
      <w:marLeft w:val="0"/>
      <w:marRight w:val="0"/>
      <w:marTop w:val="0"/>
      <w:marBottom w:val="0"/>
      <w:divBdr>
        <w:top w:val="none" w:sz="0" w:space="0" w:color="auto"/>
        <w:left w:val="none" w:sz="0" w:space="0" w:color="auto"/>
        <w:bottom w:val="none" w:sz="0" w:space="0" w:color="auto"/>
        <w:right w:val="none" w:sz="0" w:space="0" w:color="auto"/>
      </w:divBdr>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196111022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rlandogomezd4@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schemas.microsoft.com/office/2006/metadata/properties"/>
    <ds:schemaRef ds:uri="http://schemas.microsoft.com/office/2006/documentManagement/types"/>
    <ds:schemaRef ds:uri="http://www.w3.org/XML/1998/namespace"/>
    <ds:schemaRef ds:uri="http://purl.org/dc/terms/"/>
    <ds:schemaRef ds:uri="http://purl.org/dc/elements/1.1/"/>
    <ds:schemaRef ds:uri="http://schemas.openxmlformats.org/package/2006/metadata/core-properties"/>
    <ds:schemaRef ds:uri="9d85dbaf-23eb-4e57-a637-93dcacc8b1a1"/>
    <ds:schemaRef ds:uri="a6cb9e4b-f1d1-4245-83ec-6cad768d538a"/>
    <ds:schemaRef ds:uri="http://schemas.microsoft.com/office/infopath/2007/PartnerControls"/>
  </ds:schemaRefs>
</ds:datastoreItem>
</file>

<file path=customXml/itemProps3.xml><?xml version="1.0" encoding="utf-8"?>
<ds:datastoreItem xmlns:ds="http://schemas.openxmlformats.org/officeDocument/2006/customXml" ds:itemID="{7AD12FAB-1EAF-40BA-91D1-10E46B2A6B51}">
  <ds:schemaRefs>
    <ds:schemaRef ds:uri="http://schemas.openxmlformats.org/officeDocument/2006/bibliography"/>
  </ds:schemaRefs>
</ds:datastoreItem>
</file>

<file path=customXml/itemProps4.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18</Pages>
  <Words>6138</Words>
  <Characters>33761</Characters>
  <Application>Microsoft Office Word</Application>
  <DocSecurity>0</DocSecurity>
  <Lines>281</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2025-10-15T17:17:00Z</dcterms:created>
  <dcterms:modified xsi:type="dcterms:W3CDTF">2025-10-15T17:17:00Z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