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B26C9" w14:textId="48BBA631" w:rsidR="00EB41C9" w:rsidRDefault="00EB41C9" w:rsidP="00EB41C9">
      <w:pPr>
        <w:jc w:val="both"/>
        <w:rPr>
          <w:rFonts w:ascii="Verdana" w:eastAsia="Calibri" w:hAnsi="Verdana" w:cs="Arial"/>
          <w:b/>
          <w:lang w:val="es-ES_tradnl"/>
        </w:rPr>
      </w:pPr>
      <w:r w:rsidRPr="00EB41C9">
        <w:rPr>
          <w:rFonts w:ascii="Verdana" w:eastAsia="Calibri" w:hAnsi="Verdana" w:cs="Arial"/>
          <w:b/>
          <w:lang w:val="es-ES_tradnl"/>
        </w:rPr>
        <w:t>CAUSALES DE RECHAZO – Carácter restrictivo – Determinación objetiva – Causales de rechazo</w:t>
      </w:r>
    </w:p>
    <w:p w14:paraId="49FCCED2" w14:textId="77777777" w:rsidR="00EB41C9" w:rsidRDefault="00EB41C9" w:rsidP="00EB41C9">
      <w:pPr>
        <w:spacing w:after="120" w:line="276" w:lineRule="auto"/>
        <w:jc w:val="both"/>
        <w:rPr>
          <w:rFonts w:ascii="Verdana" w:eastAsia="Calibri" w:hAnsi="Verdana" w:cs="Arial"/>
          <w:color w:val="000000" w:themeColor="text1"/>
          <w:lang w:val="es-ES" w:eastAsia="es-ES"/>
        </w:rPr>
      </w:pPr>
      <w:r w:rsidRPr="009D6ED9">
        <w:rPr>
          <w:rFonts w:ascii="Verdana" w:eastAsia="Calibri" w:hAnsi="Verdana" w:cs="Arial"/>
          <w:color w:val="000000" w:themeColor="text1"/>
          <w:lang w:val="es-ES" w:eastAsia="es-ES"/>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w:t>
      </w:r>
    </w:p>
    <w:p w14:paraId="02971866" w14:textId="77777777" w:rsidR="00EB41C9" w:rsidRDefault="00EB41C9" w:rsidP="00EB41C9">
      <w:pPr>
        <w:spacing w:after="120" w:line="276" w:lineRule="auto"/>
        <w:jc w:val="both"/>
        <w:rPr>
          <w:rFonts w:ascii="Verdana" w:eastAsia="Calibri" w:hAnsi="Verdana" w:cs="Arial"/>
          <w:color w:val="000000" w:themeColor="text1"/>
          <w:lang w:val="es-ES" w:eastAsia="es-ES"/>
        </w:rPr>
      </w:pPr>
      <w:r w:rsidRPr="009D6ED9">
        <w:rPr>
          <w:rFonts w:ascii="Verdana" w:eastAsia="Calibri" w:hAnsi="Verdana" w:cs="Arial"/>
          <w:color w:val="000000" w:themeColor="text1"/>
          <w:lang w:val="es-ES" w:eastAsia="es-ES"/>
        </w:rPr>
        <w:t>De igual forma, esta Agencia ha reiterado la postura del Consejo de Estado,</w:t>
      </w:r>
      <w:r>
        <w:rPr>
          <w:rFonts w:ascii="Verdana" w:eastAsia="Calibri" w:hAnsi="Verdana" w:cs="Arial"/>
          <w:color w:val="000000" w:themeColor="text1"/>
          <w:lang w:val="es-ES" w:eastAsia="es-ES"/>
        </w:rPr>
        <w:t xml:space="preserve"> </w:t>
      </w:r>
      <w:r w:rsidRPr="009D6ED9">
        <w:rPr>
          <w:rFonts w:ascii="Verdana" w:eastAsia="Calibri" w:hAnsi="Verdana" w:cs="Arial"/>
          <w:color w:val="000000" w:themeColor="text1"/>
          <w:lang w:val="es-ES" w:eastAsia="es-ES"/>
        </w:rPr>
        <w:t>según la cual, por la naturaleza propia de las causales de rechazo, su aplicación</w:t>
      </w:r>
      <w:r>
        <w:rPr>
          <w:rFonts w:ascii="Verdana" w:eastAsia="Calibri" w:hAnsi="Verdana" w:cs="Arial"/>
          <w:color w:val="000000" w:themeColor="text1"/>
          <w:lang w:val="es-ES" w:eastAsia="es-ES"/>
        </w:rPr>
        <w:t xml:space="preserve"> </w:t>
      </w:r>
      <w:r w:rsidRPr="009D6ED9">
        <w:rPr>
          <w:rFonts w:ascii="Verdana" w:eastAsia="Calibri" w:hAnsi="Verdana" w:cs="Arial"/>
          <w:color w:val="000000" w:themeColor="text1"/>
          <w:lang w:val="es-ES" w:eastAsia="es-ES"/>
        </w:rPr>
        <w:t>es estricta y restrictiva, lo que significa que su interpretación gramatical prevalece sobre una interpretación extensiva o de otra índole, mediante la cual se pretenda ampliar su alcance. Al respecto, el Consejo de Estado sostuvo: “En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798FA6D1" w14:textId="77777777" w:rsidR="00EB41C9" w:rsidRDefault="00EB41C9" w:rsidP="00EB41C9">
      <w:pPr>
        <w:spacing w:after="120" w:line="276" w:lineRule="auto"/>
        <w:jc w:val="both"/>
        <w:rPr>
          <w:rFonts w:ascii="Verdana" w:eastAsia="Calibri" w:hAnsi="Verdana" w:cs="Arial"/>
          <w:color w:val="000000" w:themeColor="text1"/>
          <w:lang w:val="es-ES" w:eastAsia="es-ES"/>
        </w:rPr>
      </w:pPr>
      <w:r w:rsidRPr="009D6ED9">
        <w:rPr>
          <w:rFonts w:ascii="Verdana" w:eastAsia="Calibri" w:hAnsi="Verdana" w:cs="Arial"/>
          <w:color w:val="000000" w:themeColor="text1"/>
          <w:lang w:val="es-ES" w:eastAsia="es-ES"/>
        </w:rPr>
        <w:t>Las causales de rechazo son las establecidas en la Ley y las fijadas por la Entidad Estatal en los pliegos de condiciones. Sin embargo, en el ejercicio de dicha facultad a las entidades no les es dable el establecer causales de rechazo que afecten la selección objetiva en la contratación pública. De esta forma, por la naturaleza propia de las causales de rechazo, su aplicación es estricta y restrictiva, lo que significa que su interpretación gramatical prevalece sobre una interpretación extensiva o de otra índole, mediante la cual, se pretenda ampliar su alcance.</w:t>
      </w:r>
    </w:p>
    <w:p w14:paraId="2E355F6D" w14:textId="77777777" w:rsidR="00EB41C9" w:rsidRPr="00EB41C9" w:rsidRDefault="00EB41C9" w:rsidP="00EB41C9">
      <w:pPr>
        <w:jc w:val="both"/>
        <w:rPr>
          <w:rFonts w:ascii="Verdana" w:eastAsia="Times New Roman" w:hAnsi="Verdana" w:cs="Arial"/>
          <w:b/>
          <w:lang w:val="es-ES" w:eastAsia="es-ES_tradnl"/>
        </w:rPr>
      </w:pPr>
    </w:p>
    <w:p w14:paraId="651418AA" w14:textId="77777777" w:rsidR="00EB41C9" w:rsidRDefault="00EB41C9" w:rsidP="00C03BA2">
      <w:pPr>
        <w:rPr>
          <w:rFonts w:ascii="Verdana" w:eastAsia="Times New Roman" w:hAnsi="Verdana" w:cs="Arial"/>
          <w:lang w:eastAsia="es-ES_tradnl"/>
        </w:rPr>
      </w:pPr>
    </w:p>
    <w:p w14:paraId="718DD2AB" w14:textId="74AE735C" w:rsidR="00C03BA2" w:rsidRPr="00D516FD" w:rsidRDefault="00C03BA2" w:rsidP="00C03BA2">
      <w:pPr>
        <w:rPr>
          <w:rFonts w:ascii="Verdana" w:eastAsia="Calibri" w:hAnsi="Verdana" w:cs="Arial"/>
          <w:lang w:val="es-ES_tradnl"/>
        </w:rPr>
      </w:pPr>
      <w:r w:rsidRPr="00093B55">
        <w:rPr>
          <w:rFonts w:ascii="Verdana" w:eastAsia="Times New Roman" w:hAnsi="Verdana" w:cs="Arial"/>
          <w:lang w:eastAsia="es-ES_tradnl"/>
        </w:rPr>
        <w:lastRenderedPageBreak/>
        <w:t>Bogotá D.C., </w:t>
      </w:r>
      <w:r w:rsidR="00EB41C9">
        <w:rPr>
          <w:rFonts w:ascii="Verdana" w:eastAsia="Times New Roman" w:hAnsi="Verdana" w:cs="Arial"/>
          <w:lang w:eastAsia="es-ES_tradnl"/>
        </w:rPr>
        <w:t>16</w:t>
      </w:r>
      <w:r w:rsidRPr="00093B55">
        <w:rPr>
          <w:rFonts w:ascii="Verdana" w:eastAsia="Times New Roman" w:hAnsi="Verdana" w:cs="Arial"/>
          <w:lang w:eastAsia="es-ES_tradnl"/>
        </w:rPr>
        <w:t xml:space="preserve"> de</w:t>
      </w:r>
      <w:r w:rsidR="00EB41C9">
        <w:rPr>
          <w:rFonts w:ascii="Verdana" w:eastAsia="Times New Roman" w:hAnsi="Verdana" w:cs="Arial"/>
          <w:lang w:eastAsia="es-ES_tradnl"/>
        </w:rPr>
        <w:t xml:space="preserve"> octubre</w:t>
      </w:r>
      <w:r w:rsidRPr="00093B55">
        <w:rPr>
          <w:rFonts w:ascii="Verdana" w:eastAsia="Times New Roman" w:hAnsi="Verdana" w:cs="Arial"/>
          <w:lang w:eastAsia="es-ES_tradnl"/>
        </w:rPr>
        <w:t xml:space="preserve"> de </w:t>
      </w:r>
      <w:r w:rsidR="00EB41C9">
        <w:rPr>
          <w:rFonts w:ascii="Verdana" w:eastAsia="Times New Roman" w:hAnsi="Verdana" w:cs="Arial"/>
          <w:lang w:eastAsia="es-ES_tradnl"/>
        </w:rPr>
        <w:t>2025</w:t>
      </w:r>
      <w:r w:rsidRPr="00093B55">
        <w:rPr>
          <w:rFonts w:ascii="Verdana" w:eastAsia="Times New Roman" w:hAnsi="Verdana" w:cs="Arial"/>
          <w:lang w:eastAsia="es-ES_tradnl"/>
        </w:rPr>
        <w:t> </w:t>
      </w:r>
    </w:p>
    <w:p w14:paraId="2E1CB271" w14:textId="77777777" w:rsidR="00C03BA2" w:rsidRDefault="00C03BA2" w:rsidP="00C03BA2">
      <w:pPr>
        <w:spacing w:after="0" w:line="240" w:lineRule="auto"/>
        <w:jc w:val="both"/>
        <w:rPr>
          <w:rFonts w:ascii="Verdana" w:eastAsia="Calibri" w:hAnsi="Verdana" w:cs="Arial"/>
          <w:color w:val="000000" w:themeColor="text1"/>
          <w:lang w:val="es-ES" w:eastAsia="es-ES"/>
        </w:rPr>
      </w:pPr>
    </w:p>
    <w:p w14:paraId="6F3F138A" w14:textId="3EF03AB6" w:rsidR="00EB41C9" w:rsidRDefault="00EB41C9" w:rsidP="00EB41C9">
      <w:pPr>
        <w:spacing w:after="0" w:line="240" w:lineRule="auto"/>
        <w:ind w:left="4956"/>
        <w:jc w:val="both"/>
        <w:rPr>
          <w:rFonts w:ascii="Verdana" w:eastAsia="Calibri" w:hAnsi="Verdana" w:cs="Arial"/>
          <w:color w:val="000000" w:themeColor="text1"/>
          <w:lang w:val="es-ES" w:eastAsia="es-ES"/>
        </w:rPr>
      </w:pPr>
      <w:r w:rsidRPr="00EB41C9">
        <w:rPr>
          <w:rFonts w:ascii="Verdana" w:eastAsia="Calibri" w:hAnsi="Verdana" w:cs="Arial"/>
          <w:noProof/>
          <w:color w:val="000000" w:themeColor="text1"/>
          <w:lang w:val="es-ES" w:eastAsia="es-ES"/>
        </w:rPr>
        <w:drawing>
          <wp:inline distT="0" distB="0" distL="0" distR="0" wp14:anchorId="210921EC" wp14:editId="76673159">
            <wp:extent cx="2648320" cy="866896"/>
            <wp:effectExtent l="0" t="0" r="0" b="9525"/>
            <wp:docPr id="10096103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610369" name=""/>
                    <pic:cNvPicPr/>
                  </pic:nvPicPr>
                  <pic:blipFill>
                    <a:blip r:embed="rId10"/>
                    <a:stretch>
                      <a:fillRect/>
                    </a:stretch>
                  </pic:blipFill>
                  <pic:spPr>
                    <a:xfrm>
                      <a:off x="0" y="0"/>
                      <a:ext cx="2648320" cy="866896"/>
                    </a:xfrm>
                    <a:prstGeom prst="rect">
                      <a:avLst/>
                    </a:prstGeom>
                  </pic:spPr>
                </pic:pic>
              </a:graphicData>
            </a:graphic>
          </wp:inline>
        </w:drawing>
      </w:r>
    </w:p>
    <w:p w14:paraId="68D7DDE2" w14:textId="5FD45148" w:rsidR="00C03BA2" w:rsidRPr="0004784B" w:rsidRDefault="00C03BA2" w:rsidP="00C03BA2">
      <w:pPr>
        <w:spacing w:after="0" w:line="240" w:lineRule="auto"/>
        <w:jc w:val="both"/>
        <w:rPr>
          <w:rFonts w:ascii="Verdana" w:eastAsia="Calibri" w:hAnsi="Verdana" w:cs="Arial"/>
          <w:color w:val="000000" w:themeColor="text1"/>
          <w:lang w:val="es-ES" w:eastAsia="es-ES"/>
        </w:rPr>
      </w:pPr>
      <w:r w:rsidRPr="0004784B">
        <w:rPr>
          <w:rFonts w:ascii="Verdana" w:eastAsia="Calibri" w:hAnsi="Verdana" w:cs="Arial"/>
          <w:color w:val="000000" w:themeColor="text1"/>
          <w:lang w:val="es-ES" w:eastAsia="es-ES"/>
        </w:rPr>
        <w:t>Señor</w:t>
      </w:r>
    </w:p>
    <w:p w14:paraId="3C68195E" w14:textId="77777777" w:rsidR="00C03BA2" w:rsidRPr="00C03BA2" w:rsidRDefault="00C03BA2" w:rsidP="00C03BA2">
      <w:pPr>
        <w:spacing w:after="0" w:line="240" w:lineRule="auto"/>
        <w:rPr>
          <w:rFonts w:ascii="Verdana" w:eastAsia="Calibri" w:hAnsi="Verdana" w:cs="Arial"/>
          <w:b/>
          <w:bCs/>
          <w:color w:val="000000" w:themeColor="text1"/>
          <w:lang w:eastAsia="es-ES"/>
        </w:rPr>
      </w:pPr>
      <w:r>
        <w:rPr>
          <w:rFonts w:ascii="Verdana" w:eastAsia="Calibri" w:hAnsi="Verdana" w:cs="Arial"/>
          <w:b/>
          <w:bCs/>
          <w:color w:val="000000" w:themeColor="text1"/>
          <w:lang w:eastAsia="es-ES"/>
        </w:rPr>
        <w:t>Jesús</w:t>
      </w:r>
      <w:r w:rsidRPr="00C03BA2">
        <w:rPr>
          <w:rFonts w:ascii="Verdana" w:eastAsia="Calibri" w:hAnsi="Verdana" w:cs="Arial"/>
          <w:b/>
          <w:bCs/>
          <w:color w:val="000000" w:themeColor="text1"/>
          <w:lang w:eastAsia="es-ES"/>
        </w:rPr>
        <w:t xml:space="preserve"> Andrade Pizarro</w:t>
      </w:r>
    </w:p>
    <w:p w14:paraId="00A20511" w14:textId="77777777" w:rsidR="00C03BA2" w:rsidRPr="009D6ED9" w:rsidRDefault="00C03BA2" w:rsidP="00C03BA2">
      <w:pPr>
        <w:spacing w:after="0" w:line="240" w:lineRule="auto"/>
        <w:rPr>
          <w:rFonts w:ascii="Verdana" w:eastAsia="Calibri" w:hAnsi="Verdana" w:cs="Arial"/>
          <w:color w:val="000000" w:themeColor="text1"/>
          <w:lang w:eastAsia="es-ES"/>
        </w:rPr>
      </w:pPr>
      <w:hyperlink r:id="rId11" w:history="1">
        <w:r w:rsidRPr="009D6ED9">
          <w:rPr>
            <w:rFonts w:ascii="Verdana" w:eastAsia="Calibri" w:hAnsi="Verdana" w:cs="Arial"/>
            <w:color w:val="000000" w:themeColor="text1"/>
            <w:lang w:eastAsia="es-ES"/>
          </w:rPr>
          <w:t>gerencia@obyproltda.com.co</w:t>
        </w:r>
      </w:hyperlink>
      <w:r>
        <w:rPr>
          <w:rFonts w:ascii="Verdana" w:eastAsia="Calibri" w:hAnsi="Verdana" w:cs="Arial"/>
          <w:color w:val="000000" w:themeColor="text1"/>
          <w:lang w:eastAsia="es-ES"/>
        </w:rPr>
        <w:t xml:space="preserve">; </w:t>
      </w:r>
    </w:p>
    <w:p w14:paraId="62A90F73" w14:textId="77777777" w:rsidR="00C03BA2" w:rsidRPr="0004784B" w:rsidRDefault="00C03BA2" w:rsidP="00C03BA2">
      <w:pPr>
        <w:spacing w:after="0" w:line="240" w:lineRule="auto"/>
        <w:rPr>
          <w:rFonts w:ascii="Verdana" w:eastAsia="Calibri" w:hAnsi="Verdana" w:cs="Arial"/>
          <w:color w:val="000000" w:themeColor="text1"/>
          <w:lang w:eastAsia="es-ES"/>
        </w:rPr>
      </w:pPr>
      <w:r>
        <w:rPr>
          <w:rFonts w:ascii="Verdana" w:eastAsia="Calibri" w:hAnsi="Verdana" w:cs="Arial"/>
          <w:color w:val="000000" w:themeColor="text1"/>
          <w:lang w:eastAsia="es-ES"/>
        </w:rPr>
        <w:t xml:space="preserve">Puerto Colombia, Atlántico. </w:t>
      </w:r>
    </w:p>
    <w:p w14:paraId="0AC2AA6A" w14:textId="77777777" w:rsidR="00C03BA2" w:rsidRPr="0004784B" w:rsidRDefault="00C03BA2" w:rsidP="00C03BA2">
      <w:pPr>
        <w:spacing w:after="0" w:line="240" w:lineRule="auto"/>
        <w:rPr>
          <w:rFonts w:ascii="Verdana" w:eastAsia="Calibri" w:hAnsi="Verdana" w:cs="Arial"/>
          <w:b/>
          <w:bCs/>
          <w:color w:val="000000" w:themeColor="text1"/>
          <w:lang w:eastAsia="es-ES_tradnl"/>
        </w:rPr>
      </w:pPr>
    </w:p>
    <w:p w14:paraId="69105835" w14:textId="77777777" w:rsidR="00C03BA2" w:rsidRPr="0004784B" w:rsidRDefault="00C03BA2" w:rsidP="00C03BA2">
      <w:pPr>
        <w:spacing w:after="0" w:line="240" w:lineRule="auto"/>
        <w:rPr>
          <w:rFonts w:ascii="Verdana" w:eastAsia="Calibri" w:hAnsi="Verdana" w:cs="Arial"/>
          <w:b/>
          <w:bCs/>
          <w:color w:val="000000" w:themeColor="text1"/>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03BA2" w:rsidRPr="0004784B" w14:paraId="06D4C422" w14:textId="77777777" w:rsidTr="00034A99">
        <w:trPr>
          <w:trHeight w:val="164"/>
        </w:trPr>
        <w:tc>
          <w:tcPr>
            <w:tcW w:w="2689" w:type="dxa"/>
          </w:tcPr>
          <w:p w14:paraId="3314CFD5" w14:textId="77777777" w:rsidR="00C03BA2" w:rsidRPr="0004784B" w:rsidRDefault="00C03BA2" w:rsidP="00FC6C46">
            <w:pPr>
              <w:jc w:val="both"/>
              <w:rPr>
                <w:rFonts w:ascii="Verdana" w:eastAsia="Calibri" w:hAnsi="Verdana" w:cs="Arial"/>
                <w:b/>
                <w:bCs/>
                <w:color w:val="000000" w:themeColor="text1"/>
                <w:lang w:eastAsia="es-ES_tradnl"/>
              </w:rPr>
            </w:pPr>
          </w:p>
        </w:tc>
        <w:tc>
          <w:tcPr>
            <w:tcW w:w="6100" w:type="dxa"/>
          </w:tcPr>
          <w:p w14:paraId="47B571ED" w14:textId="77777777" w:rsidR="00C03BA2" w:rsidRDefault="00C03BA2" w:rsidP="00FC6C46">
            <w:pPr>
              <w:jc w:val="both"/>
              <w:rPr>
                <w:rFonts w:ascii="Verdana" w:eastAsia="Calibri" w:hAnsi="Verdana" w:cs="Arial"/>
                <w:b/>
                <w:bCs/>
                <w:color w:val="000000" w:themeColor="text1"/>
                <w:lang w:val="es-ES" w:eastAsia="es-ES"/>
              </w:rPr>
            </w:pPr>
            <w:r w:rsidRPr="0004784B">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1280</w:t>
            </w:r>
            <w:r w:rsidRPr="0004784B">
              <w:rPr>
                <w:rFonts w:ascii="Verdana" w:eastAsia="Calibri" w:hAnsi="Verdana" w:cs="Arial"/>
                <w:b/>
                <w:bCs/>
                <w:color w:val="000000" w:themeColor="text1"/>
                <w:lang w:val="es-ES" w:eastAsia="es-ES"/>
              </w:rPr>
              <w:t xml:space="preserve"> de 2025</w:t>
            </w:r>
          </w:p>
          <w:p w14:paraId="4075EB68" w14:textId="77777777" w:rsidR="00C03BA2" w:rsidRPr="0004784B" w:rsidRDefault="00C03BA2" w:rsidP="00FC6C46">
            <w:pPr>
              <w:jc w:val="both"/>
              <w:rPr>
                <w:rFonts w:ascii="Verdana" w:eastAsia="Calibri" w:hAnsi="Verdana" w:cs="Arial"/>
                <w:b/>
                <w:bCs/>
                <w:color w:val="000000" w:themeColor="text1"/>
                <w:lang w:val="es-ES" w:eastAsia="es-ES"/>
              </w:rPr>
            </w:pPr>
          </w:p>
        </w:tc>
      </w:tr>
      <w:tr w:rsidR="00C03BA2" w:rsidRPr="0004784B" w14:paraId="2D12A052" w14:textId="77777777" w:rsidTr="00FC6C46">
        <w:trPr>
          <w:trHeight w:val="884"/>
        </w:trPr>
        <w:tc>
          <w:tcPr>
            <w:tcW w:w="2689" w:type="dxa"/>
          </w:tcPr>
          <w:p w14:paraId="2B750D8A" w14:textId="77777777" w:rsidR="00C03BA2" w:rsidRPr="0004784B" w:rsidRDefault="00C03BA2" w:rsidP="00FC6C46">
            <w:pPr>
              <w:jc w:val="both"/>
              <w:rPr>
                <w:rFonts w:ascii="Verdana" w:eastAsia="Calibri" w:hAnsi="Verdana" w:cs="Arial"/>
                <w:color w:val="000000" w:themeColor="text1"/>
                <w:lang w:val="es-ES_tradnl" w:eastAsia="es-ES_tradnl"/>
              </w:rPr>
            </w:pPr>
            <w:r>
              <w:rPr>
                <w:rFonts w:ascii="Verdana" w:eastAsia="Calibri" w:hAnsi="Verdana" w:cs="Arial"/>
                <w:b/>
                <w:color w:val="000000" w:themeColor="text1"/>
                <w:lang w:val="es-ES_tradnl" w:eastAsia="es-ES_tradnl"/>
              </w:rPr>
              <w:t>T</w:t>
            </w:r>
            <w:r w:rsidRPr="0004784B">
              <w:rPr>
                <w:rFonts w:ascii="Verdana" w:eastAsia="Calibri" w:hAnsi="Verdana" w:cs="Arial"/>
                <w:b/>
                <w:color w:val="000000" w:themeColor="text1"/>
                <w:lang w:val="es-ES_tradnl" w:eastAsia="es-ES_tradnl"/>
              </w:rPr>
              <w:t>emas:</w:t>
            </w:r>
            <w:r w:rsidRPr="0004784B">
              <w:rPr>
                <w:rFonts w:ascii="Verdana" w:eastAsia="Calibri" w:hAnsi="Verdana" w:cs="Arial"/>
                <w:color w:val="000000" w:themeColor="text1"/>
                <w:lang w:val="es-ES_tradnl" w:eastAsia="es-ES_tradnl"/>
              </w:rPr>
              <w:t xml:space="preserve">                   </w:t>
            </w:r>
          </w:p>
        </w:tc>
        <w:tc>
          <w:tcPr>
            <w:tcW w:w="6100" w:type="dxa"/>
          </w:tcPr>
          <w:p w14:paraId="44954205" w14:textId="77777777" w:rsidR="00C03BA2" w:rsidRPr="0004784B" w:rsidRDefault="00C03BA2" w:rsidP="00FC6C46">
            <w:pPr>
              <w:jc w:val="both"/>
              <w:rPr>
                <w:rFonts w:ascii="Verdana" w:eastAsia="Calibri" w:hAnsi="Verdana" w:cs="Arial"/>
                <w:color w:val="000000" w:themeColor="text1"/>
                <w:lang w:val="es-MX" w:eastAsia="es-ES"/>
              </w:rPr>
            </w:pPr>
            <w:r w:rsidRPr="004368EE">
              <w:rPr>
                <w:rFonts w:ascii="Verdana" w:eastAsia="Calibri" w:hAnsi="Verdana" w:cs="Arial"/>
                <w:bCs/>
                <w:lang w:val="es-ES_tradnl"/>
              </w:rPr>
              <w:t>CAUSALES DE RECHAZO – Carácter restrictivo – Determinación objetiva</w:t>
            </w:r>
            <w:r>
              <w:rPr>
                <w:rFonts w:ascii="Verdana" w:eastAsia="Calibri" w:hAnsi="Verdana" w:cs="Arial"/>
                <w:bCs/>
                <w:lang w:val="es-ES_tradnl"/>
              </w:rPr>
              <w:t xml:space="preserve"> </w:t>
            </w:r>
            <w:r w:rsidRPr="004368EE">
              <w:rPr>
                <w:rFonts w:ascii="Verdana" w:eastAsia="Calibri" w:hAnsi="Verdana" w:cs="Arial"/>
                <w:bCs/>
                <w:lang w:val="es-ES_tradnl"/>
              </w:rPr>
              <w:t>– Causales de rechazo</w:t>
            </w:r>
          </w:p>
        </w:tc>
      </w:tr>
      <w:tr w:rsidR="00C03BA2" w:rsidRPr="0004784B" w14:paraId="7BBE5025" w14:textId="77777777" w:rsidTr="00FC6C46">
        <w:tc>
          <w:tcPr>
            <w:tcW w:w="2689" w:type="dxa"/>
          </w:tcPr>
          <w:p w14:paraId="3E9D2FD9" w14:textId="77777777" w:rsidR="00C03BA2" w:rsidRPr="0004784B" w:rsidRDefault="00C03BA2" w:rsidP="00FC6C46">
            <w:pPr>
              <w:jc w:val="both"/>
              <w:rPr>
                <w:rFonts w:ascii="Verdana" w:eastAsia="Calibri" w:hAnsi="Verdana" w:cs="Arial"/>
                <w:b/>
                <w:color w:val="000000" w:themeColor="text1"/>
                <w:lang w:val="es-ES_tradnl" w:eastAsia="es-ES_tradnl"/>
              </w:rPr>
            </w:pPr>
            <w:r w:rsidRPr="0004784B">
              <w:rPr>
                <w:rFonts w:ascii="Verdana" w:eastAsia="Calibri" w:hAnsi="Verdana" w:cs="Arial"/>
                <w:b/>
                <w:color w:val="000000" w:themeColor="text1"/>
                <w:lang w:val="es-ES_tradnl" w:eastAsia="es-ES_tradnl"/>
              </w:rPr>
              <w:t>Radicación:</w:t>
            </w:r>
            <w:r w:rsidRPr="0004784B">
              <w:rPr>
                <w:rFonts w:ascii="Verdana" w:eastAsia="Calibri" w:hAnsi="Verdana" w:cs="Arial"/>
                <w:color w:val="000000" w:themeColor="text1"/>
                <w:lang w:val="es-ES_tradnl" w:eastAsia="es-ES_tradnl"/>
              </w:rPr>
              <w:t xml:space="preserve">               </w:t>
            </w:r>
          </w:p>
        </w:tc>
        <w:tc>
          <w:tcPr>
            <w:tcW w:w="6100" w:type="dxa"/>
          </w:tcPr>
          <w:p w14:paraId="2F416B4E" w14:textId="77777777" w:rsidR="00C03BA2" w:rsidRPr="0004784B" w:rsidRDefault="00C03BA2" w:rsidP="00FC6C46">
            <w:pPr>
              <w:jc w:val="both"/>
              <w:rPr>
                <w:rFonts w:ascii="Verdana" w:eastAsia="Calibri" w:hAnsi="Verdana" w:cs="Arial"/>
                <w:color w:val="000000" w:themeColor="text1"/>
                <w:lang w:val="es-ES_tradnl" w:eastAsia="es-ES_tradnl"/>
              </w:rPr>
            </w:pPr>
            <w:r w:rsidRPr="0004784B">
              <w:rPr>
                <w:rFonts w:ascii="Verdana" w:eastAsia="Calibri" w:hAnsi="Verdana" w:cs="Arial"/>
                <w:color w:val="000000" w:themeColor="text1"/>
                <w:lang w:val="es-ES_tradnl" w:eastAsia="es-ES_tradnl"/>
              </w:rPr>
              <w:t xml:space="preserve">Respuesta a consulta con radicado No. </w:t>
            </w:r>
            <w:r w:rsidRPr="00825AB6">
              <w:rPr>
                <w:rFonts w:ascii="Verdana" w:eastAsia="Calibri" w:hAnsi="Verdana" w:cs="Arial"/>
                <w:color w:val="000000" w:themeColor="text1"/>
                <w:lang w:eastAsia="es-ES_tradnl"/>
              </w:rPr>
              <w:t>1_2025_09_06_009707</w:t>
            </w:r>
          </w:p>
        </w:tc>
      </w:tr>
    </w:tbl>
    <w:p w14:paraId="4F15A037" w14:textId="77777777" w:rsidR="00C03BA2" w:rsidRPr="0004784B" w:rsidRDefault="00C03BA2" w:rsidP="00AB4D38">
      <w:pPr>
        <w:spacing w:after="0" w:line="276" w:lineRule="auto"/>
        <w:jc w:val="both"/>
        <w:rPr>
          <w:rFonts w:ascii="Verdana" w:eastAsia="Calibri" w:hAnsi="Verdana" w:cs="Arial"/>
          <w:color w:val="000000" w:themeColor="text1"/>
          <w:lang w:val="es-ES_tradnl" w:eastAsia="es-ES_tradnl"/>
        </w:rPr>
      </w:pPr>
    </w:p>
    <w:p w14:paraId="0BB032BA" w14:textId="77777777" w:rsidR="00C03BA2" w:rsidRPr="0004784B" w:rsidRDefault="00C03BA2" w:rsidP="00AB4D38">
      <w:pPr>
        <w:spacing w:after="0" w:line="276" w:lineRule="auto"/>
        <w:jc w:val="both"/>
        <w:rPr>
          <w:rFonts w:ascii="Verdana" w:eastAsia="Calibri" w:hAnsi="Verdana" w:cs="Arial"/>
          <w:color w:val="000000" w:themeColor="text1"/>
          <w:lang w:val="es-ES_tradnl" w:eastAsia="es-ES_tradnl"/>
        </w:rPr>
      </w:pPr>
    </w:p>
    <w:p w14:paraId="0196CDC2" w14:textId="77777777" w:rsidR="00C03BA2" w:rsidRPr="0004784B" w:rsidRDefault="00C03BA2" w:rsidP="00C03BA2">
      <w:pPr>
        <w:spacing w:after="0" w:line="276" w:lineRule="auto"/>
        <w:jc w:val="both"/>
        <w:rPr>
          <w:rFonts w:ascii="Verdana" w:eastAsia="Calibri" w:hAnsi="Verdana" w:cs="Arial"/>
          <w:color w:val="000000" w:themeColor="text1"/>
          <w:lang w:val="es-ES" w:eastAsia="es-ES"/>
        </w:rPr>
      </w:pPr>
      <w:r w:rsidRPr="0004784B">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04784B">
        <w:rPr>
          <w:rFonts w:ascii="Verdana" w:eastAsia="Calibri" w:hAnsi="Verdana" w:cs="Arial"/>
          <w:color w:val="000000" w:themeColor="text1"/>
          <w:lang w:val="es-ES" w:eastAsia="es-ES"/>
        </w:rPr>
        <w:t xml:space="preserve"> señor </w:t>
      </w:r>
      <w:r>
        <w:rPr>
          <w:rFonts w:ascii="Verdana" w:eastAsia="Calibri" w:hAnsi="Verdana" w:cs="Arial"/>
          <w:color w:val="000000" w:themeColor="text1"/>
          <w:lang w:val="es-ES" w:eastAsia="es-ES"/>
        </w:rPr>
        <w:t>Andrade;</w:t>
      </w:r>
      <w:r w:rsidRPr="0004784B">
        <w:rPr>
          <w:rFonts w:ascii="Verdana" w:eastAsia="Calibri" w:hAnsi="Verdana" w:cs="Arial"/>
          <w:color w:val="000000" w:themeColor="text1"/>
          <w:lang w:val="es-ES" w:eastAsia="es-ES"/>
        </w:rPr>
        <w:t xml:space="preserve"> </w:t>
      </w:r>
    </w:p>
    <w:p w14:paraId="11604A32" w14:textId="77777777" w:rsidR="00C03BA2" w:rsidRPr="0004784B" w:rsidRDefault="00C03BA2" w:rsidP="00C03BA2">
      <w:pPr>
        <w:tabs>
          <w:tab w:val="left" w:pos="3768"/>
        </w:tabs>
        <w:spacing w:after="0" w:line="276" w:lineRule="auto"/>
        <w:jc w:val="both"/>
        <w:rPr>
          <w:rFonts w:ascii="Verdana" w:eastAsia="Calibri" w:hAnsi="Verdana" w:cs="Arial"/>
          <w:color w:val="000000" w:themeColor="text1"/>
          <w:lang w:val="es-ES" w:eastAsia="es-ES"/>
        </w:rPr>
      </w:pPr>
      <w:r w:rsidRPr="0004784B">
        <w:rPr>
          <w:rFonts w:ascii="Verdana" w:eastAsia="Calibri" w:hAnsi="Verdana" w:cs="Arial"/>
          <w:color w:val="000000" w:themeColor="text1"/>
          <w:lang w:val="es-ES" w:eastAsia="es-ES"/>
        </w:rPr>
        <w:tab/>
      </w:r>
    </w:p>
    <w:p w14:paraId="360B14EA" w14:textId="77777777" w:rsidR="00C03BA2" w:rsidRPr="0004784B" w:rsidRDefault="00C03BA2" w:rsidP="00C03BA2">
      <w:pPr>
        <w:spacing w:after="0" w:line="276" w:lineRule="auto"/>
        <w:jc w:val="both"/>
        <w:rPr>
          <w:rFonts w:ascii="Verdana" w:eastAsia="Calibri" w:hAnsi="Verdana" w:cs="Arial"/>
          <w:color w:val="000000" w:themeColor="text1"/>
          <w:lang w:val="es-ES" w:eastAsia="es-ES"/>
        </w:rPr>
      </w:pPr>
      <w:r w:rsidRPr="0004784B">
        <w:rPr>
          <w:rFonts w:ascii="Verdana" w:eastAsia="Calibri" w:hAnsi="Verdana" w:cs="Arial"/>
          <w:color w:val="000000" w:themeColor="text1"/>
          <w:lang w:val="es-ES" w:eastAsia="es-ES"/>
        </w:rPr>
        <w:t>En ejercicio de la competencia otorgada por los artículos 3, numeral 5º, y 11, numeral 8º, del Decreto Ley 4170 de 2011,</w:t>
      </w:r>
      <w:r w:rsidRPr="0004784B">
        <w:rPr>
          <w:rFonts w:ascii="Verdana" w:eastAsia="Arial MT" w:hAnsi="Verdana" w:cs="Arial MT"/>
          <w:color w:val="000000" w:themeColor="text1"/>
          <w:lang w:val="es-ES" w:eastAsia="es-ES"/>
        </w:rPr>
        <w:t xml:space="preserve"> </w:t>
      </w:r>
      <w:r w:rsidRPr="0004784B">
        <w:rPr>
          <w:rFonts w:ascii="Verdana" w:hAnsi="Verdana" w:cs="Arial"/>
          <w:color w:val="000000" w:themeColor="text1"/>
        </w:rPr>
        <w:t xml:space="preserve">así como lo establecido en el artículo 4 de la Resolución 1707 de 2018 expedida por esta Entidad, </w:t>
      </w:r>
      <w:r w:rsidRPr="0004784B">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06</w:t>
      </w:r>
      <w:r w:rsidRPr="0004784B">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septiembre</w:t>
      </w:r>
      <w:r w:rsidRPr="0004784B">
        <w:rPr>
          <w:rFonts w:ascii="Verdana" w:eastAsia="Calibri" w:hAnsi="Verdana" w:cs="Arial"/>
          <w:color w:val="000000" w:themeColor="text1"/>
          <w:lang w:val="es-ES" w:eastAsia="es-ES"/>
        </w:rPr>
        <w:t xml:space="preserve"> de 2025, en la cual manifiesta lo siguiente: </w:t>
      </w:r>
    </w:p>
    <w:p w14:paraId="622E358D" w14:textId="77777777" w:rsidR="00C03BA2" w:rsidRPr="0004784B" w:rsidRDefault="00C03BA2" w:rsidP="00C03BA2">
      <w:pPr>
        <w:pStyle w:val="Prrafodelista"/>
        <w:tabs>
          <w:tab w:val="left" w:pos="142"/>
          <w:tab w:val="left" w:pos="284"/>
        </w:tabs>
        <w:spacing w:after="0" w:line="276" w:lineRule="auto"/>
        <w:jc w:val="both"/>
        <w:rPr>
          <w:rFonts w:ascii="Verdana" w:eastAsia="Century Gothic" w:hAnsi="Verdana" w:cs="Century Gothic"/>
          <w:b/>
          <w:color w:val="000000" w:themeColor="text1"/>
        </w:rPr>
      </w:pPr>
    </w:p>
    <w:p w14:paraId="21C950F8" w14:textId="77777777" w:rsidR="00C03BA2" w:rsidRPr="00825AB6" w:rsidRDefault="00C03BA2" w:rsidP="00C03BA2">
      <w:pPr>
        <w:spacing w:after="0" w:line="240" w:lineRule="auto"/>
        <w:ind w:left="709" w:right="709"/>
        <w:jc w:val="both"/>
        <w:rPr>
          <w:rFonts w:ascii="Verdana" w:eastAsia="Century Gothic" w:hAnsi="Verdana" w:cs="Century Gothic"/>
          <w:i/>
          <w:iCs/>
          <w:color w:val="000000" w:themeColor="text1"/>
          <w:sz w:val="21"/>
          <w:szCs w:val="21"/>
        </w:rPr>
      </w:pPr>
      <w:bookmarkStart w:id="0" w:name="_Hlk95313578"/>
      <w:r w:rsidRPr="00C03BA2">
        <w:rPr>
          <w:rFonts w:ascii="Verdana" w:eastAsia="Century Gothic" w:hAnsi="Verdana" w:cs="Century Gothic"/>
          <w:i/>
          <w:iCs/>
          <w:color w:val="000000" w:themeColor="text1"/>
          <w:sz w:val="21"/>
          <w:szCs w:val="21"/>
          <w:lang w:val="es-ES"/>
        </w:rPr>
        <w:t>“</w:t>
      </w:r>
      <w:bookmarkEnd w:id="0"/>
      <w:r w:rsidRPr="00825AB6">
        <w:rPr>
          <w:rFonts w:ascii="Verdana" w:eastAsia="Century Gothic" w:hAnsi="Verdana" w:cs="Century Gothic"/>
          <w:i/>
          <w:iCs/>
          <w:color w:val="000000" w:themeColor="text1"/>
          <w:sz w:val="21"/>
          <w:szCs w:val="21"/>
        </w:rPr>
        <w:t xml:space="preserve">¿Es procedente que la entidad excluya del cálculo de la media y la desviación estándar las ofertas que incurran en causales de rechazo evidentes (conforme a los pliegos), antes de proceder con la evaluación comparativa de precios? </w:t>
      </w:r>
    </w:p>
    <w:p w14:paraId="4333FF67" w14:textId="77777777" w:rsidR="00C03BA2" w:rsidRPr="00825AB6" w:rsidRDefault="00C03BA2" w:rsidP="00C03BA2">
      <w:pPr>
        <w:spacing w:after="0" w:line="240" w:lineRule="auto"/>
        <w:ind w:left="709" w:right="709"/>
        <w:jc w:val="both"/>
        <w:rPr>
          <w:rFonts w:ascii="Verdana" w:eastAsia="Century Gothic" w:hAnsi="Verdana" w:cs="Century Gothic"/>
          <w:i/>
          <w:iCs/>
          <w:color w:val="000000" w:themeColor="text1"/>
          <w:sz w:val="21"/>
          <w:szCs w:val="21"/>
        </w:rPr>
      </w:pPr>
      <w:r w:rsidRPr="00825AB6">
        <w:rPr>
          <w:rFonts w:ascii="Verdana" w:eastAsia="Century Gothic" w:hAnsi="Verdana" w:cs="Century Gothic"/>
          <w:i/>
          <w:iCs/>
          <w:color w:val="000000" w:themeColor="text1"/>
          <w:sz w:val="21"/>
          <w:szCs w:val="21"/>
        </w:rPr>
        <w:t xml:space="preserve">Lo anterior, considerando que incluir ofertas que deben ser rechazadas podría distorsionar artificialmente el resultado del análisis económico, generando un impacto negativo en la objetividad de la evaluación. </w:t>
      </w:r>
    </w:p>
    <w:p w14:paraId="3CD9ECEF" w14:textId="77777777" w:rsidR="00C03BA2" w:rsidRPr="00C03BA2" w:rsidRDefault="00C03BA2" w:rsidP="00C03BA2">
      <w:pPr>
        <w:spacing w:after="0" w:line="240" w:lineRule="auto"/>
        <w:ind w:left="709" w:right="709"/>
        <w:jc w:val="both"/>
        <w:rPr>
          <w:rFonts w:ascii="Verdana" w:eastAsia="Century Gothic" w:hAnsi="Verdana" w:cs="Century Gothic"/>
          <w:i/>
          <w:iCs/>
          <w:color w:val="000000" w:themeColor="text1"/>
          <w:sz w:val="21"/>
          <w:szCs w:val="21"/>
          <w:lang w:val="es-ES"/>
        </w:rPr>
      </w:pPr>
      <w:r w:rsidRPr="00C03BA2">
        <w:rPr>
          <w:rFonts w:ascii="Verdana" w:eastAsia="Century Gothic" w:hAnsi="Verdana" w:cs="Century Gothic"/>
          <w:i/>
          <w:iCs/>
          <w:color w:val="000000" w:themeColor="text1"/>
          <w:sz w:val="21"/>
          <w:szCs w:val="21"/>
        </w:rPr>
        <w:t>Agradezco de antemano la atención prestada a esta consulta y quedo atento a cualquier información adicional que se requiera para su análisis.”</w:t>
      </w:r>
      <w:r w:rsidRPr="00C03BA2">
        <w:rPr>
          <w:rFonts w:ascii="Verdana" w:eastAsia="Century Gothic" w:hAnsi="Verdana" w:cs="Century Gothic"/>
          <w:i/>
          <w:iCs/>
          <w:color w:val="000000" w:themeColor="text1"/>
          <w:sz w:val="21"/>
          <w:szCs w:val="21"/>
          <w:lang w:val="es-ES"/>
        </w:rPr>
        <w:t xml:space="preserve"> </w:t>
      </w:r>
    </w:p>
    <w:p w14:paraId="0F63507D" w14:textId="77777777" w:rsidR="00C03BA2" w:rsidRPr="00825AB6" w:rsidRDefault="00C03BA2" w:rsidP="00C03BA2">
      <w:pPr>
        <w:spacing w:after="0" w:line="240" w:lineRule="auto"/>
        <w:ind w:left="709" w:right="709"/>
        <w:jc w:val="both"/>
        <w:rPr>
          <w:rFonts w:ascii="Verdana" w:eastAsia="Century Gothic" w:hAnsi="Verdana" w:cs="Century Gothic"/>
          <w:i/>
          <w:iCs/>
          <w:color w:val="000000" w:themeColor="text1"/>
          <w:sz w:val="20"/>
          <w:szCs w:val="20"/>
          <w:lang w:val="es-ES"/>
        </w:rPr>
      </w:pPr>
    </w:p>
    <w:p w14:paraId="70137FB5" w14:textId="77777777" w:rsidR="00C03BA2" w:rsidRPr="0004784B" w:rsidRDefault="00C03BA2" w:rsidP="00C03BA2">
      <w:pPr>
        <w:spacing w:after="120" w:line="276" w:lineRule="auto"/>
        <w:ind w:firstLine="709"/>
        <w:jc w:val="both"/>
        <w:rPr>
          <w:rFonts w:ascii="Verdana" w:eastAsia="Calibri" w:hAnsi="Verdana" w:cs="Arial"/>
          <w:color w:val="000000" w:themeColor="text1"/>
          <w:szCs w:val="24"/>
          <w:lang w:val="es-ES_tradnl" w:eastAsia="es-ES_tradnl"/>
        </w:rPr>
      </w:pPr>
      <w:r w:rsidRPr="0004784B">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4784B">
        <w:rPr>
          <w:rFonts w:ascii="Verdana" w:eastAsia="Calibri" w:hAnsi="Verdana" w:cs="Arial"/>
          <w:color w:val="000000" w:themeColor="text1"/>
          <w:szCs w:val="24"/>
          <w:lang w:val="es-ES_tradnl" w:eastAsia="es-ES_tradnl"/>
        </w:rPr>
        <w:tab/>
      </w:r>
    </w:p>
    <w:p w14:paraId="37173AB7" w14:textId="77777777" w:rsidR="00C03BA2" w:rsidRPr="0004784B" w:rsidRDefault="00C03BA2" w:rsidP="00C03BA2">
      <w:pPr>
        <w:spacing w:after="0" w:line="276" w:lineRule="auto"/>
        <w:ind w:firstLine="709"/>
        <w:jc w:val="both"/>
        <w:rPr>
          <w:rFonts w:ascii="Verdana" w:eastAsia="Calibri" w:hAnsi="Verdana" w:cs="Arial"/>
          <w:color w:val="000000" w:themeColor="text1"/>
          <w:lang w:val="es-ES" w:eastAsia="es-ES"/>
        </w:rPr>
      </w:pPr>
      <w:r w:rsidRPr="0004784B">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113450FB" w14:textId="77777777" w:rsidR="00C03BA2" w:rsidRPr="0004784B" w:rsidRDefault="00C03BA2" w:rsidP="00C03BA2">
      <w:pPr>
        <w:spacing w:after="0" w:line="276" w:lineRule="auto"/>
        <w:ind w:firstLine="709"/>
        <w:jc w:val="both"/>
        <w:rPr>
          <w:rFonts w:ascii="Verdana" w:eastAsia="Calibri" w:hAnsi="Verdana" w:cs="Arial"/>
          <w:color w:val="000000" w:themeColor="text1"/>
          <w:lang w:val="es-ES" w:eastAsia="es-ES"/>
        </w:rPr>
      </w:pPr>
    </w:p>
    <w:p w14:paraId="1F136023" w14:textId="77777777" w:rsidR="00C03BA2" w:rsidRPr="0004784B" w:rsidRDefault="00C03BA2" w:rsidP="00C03BA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color w:val="000000" w:themeColor="text1"/>
        </w:rPr>
      </w:pPr>
      <w:r w:rsidRPr="0004784B">
        <w:rPr>
          <w:rFonts w:ascii="Verdana" w:eastAsia="Century Gothic" w:hAnsi="Verdana" w:cs="Century Gothic"/>
          <w:b/>
          <w:color w:val="000000" w:themeColor="text1"/>
        </w:rPr>
        <w:t>Problema planteado:</w:t>
      </w:r>
    </w:p>
    <w:p w14:paraId="455BE5F9" w14:textId="77777777" w:rsidR="00C03BA2" w:rsidRPr="0004784B" w:rsidRDefault="00C03BA2" w:rsidP="00C03BA2">
      <w:pPr>
        <w:tabs>
          <w:tab w:val="left" w:pos="426"/>
        </w:tabs>
        <w:spacing w:after="0" w:line="276" w:lineRule="auto"/>
        <w:jc w:val="both"/>
        <w:rPr>
          <w:rFonts w:ascii="Verdana" w:eastAsia="Century Gothic" w:hAnsi="Verdana" w:cs="Century Gothic"/>
          <w:color w:val="000000" w:themeColor="text1"/>
          <w:lang w:val="es-ES"/>
        </w:rPr>
      </w:pPr>
    </w:p>
    <w:p w14:paraId="71925154" w14:textId="77777777" w:rsidR="00C03BA2" w:rsidRPr="0004784B" w:rsidRDefault="00C03BA2" w:rsidP="00C03BA2">
      <w:pPr>
        <w:spacing w:after="0" w:line="276" w:lineRule="auto"/>
        <w:jc w:val="both"/>
        <w:rPr>
          <w:rFonts w:ascii="Verdana" w:eastAsia="Century Gothic" w:hAnsi="Verdana" w:cs="Century Gothic"/>
          <w:color w:val="000000" w:themeColor="text1"/>
        </w:rPr>
      </w:pPr>
      <w:r w:rsidRPr="0004784B">
        <w:rPr>
          <w:rFonts w:ascii="Verdana" w:eastAsia="Century Gothic" w:hAnsi="Verdana" w:cs="Century Gothic"/>
          <w:color w:val="000000" w:themeColor="text1"/>
        </w:rPr>
        <w:t>De acuerdo con el contenido de su solicitud, esta Agencia resolverá el siguiente problema jurídico: ¿</w:t>
      </w:r>
      <w:r>
        <w:rPr>
          <w:rFonts w:ascii="Verdana" w:eastAsia="Century Gothic" w:hAnsi="Verdana" w:cs="Century Gothic"/>
          <w:color w:val="000000" w:themeColor="text1"/>
        </w:rPr>
        <w:t>Como deben establecerse e interpretarse las causales de rechazo en un proceso de contratación?</w:t>
      </w:r>
    </w:p>
    <w:p w14:paraId="033F85CC" w14:textId="77777777" w:rsidR="00B8056F" w:rsidRPr="0004784B" w:rsidRDefault="00B8056F" w:rsidP="00C03BA2">
      <w:pPr>
        <w:spacing w:after="0" w:line="276" w:lineRule="auto"/>
        <w:jc w:val="both"/>
        <w:rPr>
          <w:rFonts w:ascii="Verdana" w:eastAsia="Century Gothic" w:hAnsi="Verdana" w:cs="Century Gothic"/>
          <w:color w:val="000000" w:themeColor="text1"/>
        </w:rPr>
      </w:pPr>
    </w:p>
    <w:p w14:paraId="1546F57C" w14:textId="3280DD99" w:rsidR="00C03BA2" w:rsidRDefault="001E33D4" w:rsidP="00AB4D3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color w:val="000000" w:themeColor="text1"/>
        </w:rPr>
      </w:pPr>
      <w:r w:rsidRPr="0004784B">
        <w:rPr>
          <w:rFonts w:ascii="Verdana" w:eastAsia="Century Gothic" w:hAnsi="Verdana" w:cs="Century Gothic"/>
          <w:b/>
          <w:color w:val="000000" w:themeColor="text1"/>
        </w:rPr>
        <w:t>Respuesta</w:t>
      </w:r>
      <w:r>
        <w:rPr>
          <w:rFonts w:ascii="Verdana" w:eastAsia="Century Gothic" w:hAnsi="Verdana" w:cs="Century Gothic"/>
          <w:b/>
          <w:color w:val="000000" w:themeColor="text1"/>
        </w:rPr>
        <w:t>:</w:t>
      </w:r>
    </w:p>
    <w:p w14:paraId="38C836FE" w14:textId="77777777" w:rsidR="00B8056F" w:rsidRDefault="00B8056F" w:rsidP="00C03BA2">
      <w:pPr>
        <w:spacing w:after="0" w:line="276" w:lineRule="auto"/>
        <w:jc w:val="both"/>
        <w:rPr>
          <w:rFonts w:ascii="Verdana" w:eastAsia="Century Gothic" w:hAnsi="Verdana" w:cs="Century Gothic"/>
          <w:b/>
          <w:color w:val="000000" w:themeColor="text1"/>
        </w:rPr>
      </w:pPr>
    </w:p>
    <w:tbl>
      <w:tblPr>
        <w:tblStyle w:val="Tablaconcuadrcula"/>
        <w:tblW w:w="891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917"/>
      </w:tblGrid>
      <w:tr w:rsidR="00C03BA2" w:rsidRPr="0004784B" w14:paraId="0A8D51DA" w14:textId="77777777" w:rsidTr="00AB4D38">
        <w:trPr>
          <w:trHeight w:val="3595"/>
        </w:trPr>
        <w:tc>
          <w:tcPr>
            <w:tcW w:w="8917" w:type="dxa"/>
          </w:tcPr>
          <w:p w14:paraId="67C2F18F" w14:textId="703814BF" w:rsidR="00C03BA2" w:rsidRDefault="00C03BA2" w:rsidP="00FC6C46">
            <w:pPr>
              <w:spacing w:after="120" w:line="276" w:lineRule="auto"/>
              <w:jc w:val="both"/>
              <w:rPr>
                <w:rFonts w:ascii="Verdana" w:eastAsia="Calibri" w:hAnsi="Verdana" w:cs="Arial"/>
                <w:color w:val="000000" w:themeColor="text1"/>
                <w:lang w:val="es-ES" w:eastAsia="es-ES"/>
              </w:rPr>
            </w:pPr>
            <w:r w:rsidRPr="009D6ED9">
              <w:rPr>
                <w:rFonts w:ascii="Verdana" w:eastAsia="Calibri" w:hAnsi="Verdana" w:cs="Arial"/>
                <w:color w:val="000000" w:themeColor="text1"/>
                <w:lang w:val="es-ES" w:eastAsia="es-ES"/>
              </w:rPr>
              <w:lastRenderedPageBreak/>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w:t>
            </w:r>
          </w:p>
          <w:p w14:paraId="3CB9D816" w14:textId="77777777" w:rsidR="00C03BA2" w:rsidRDefault="00C03BA2" w:rsidP="00FC6C46">
            <w:pPr>
              <w:spacing w:after="120" w:line="276" w:lineRule="auto"/>
              <w:ind w:firstLine="709"/>
              <w:jc w:val="both"/>
              <w:rPr>
                <w:rFonts w:ascii="Verdana" w:eastAsia="Calibri" w:hAnsi="Verdana" w:cs="Arial"/>
                <w:color w:val="000000" w:themeColor="text1"/>
                <w:lang w:val="es-ES" w:eastAsia="es-ES"/>
              </w:rPr>
            </w:pPr>
            <w:r w:rsidRPr="009D6ED9">
              <w:rPr>
                <w:rFonts w:ascii="Verdana" w:eastAsia="Calibri" w:hAnsi="Verdana" w:cs="Arial"/>
                <w:color w:val="000000" w:themeColor="text1"/>
                <w:lang w:val="es-ES" w:eastAsia="es-ES"/>
              </w:rPr>
              <w:t>De igual forma, esta Agencia ha reiterado la postura del Consejo de Estado,</w:t>
            </w:r>
            <w:r>
              <w:rPr>
                <w:rFonts w:ascii="Verdana" w:eastAsia="Calibri" w:hAnsi="Verdana" w:cs="Arial"/>
                <w:color w:val="000000" w:themeColor="text1"/>
                <w:lang w:val="es-ES" w:eastAsia="es-ES"/>
              </w:rPr>
              <w:t xml:space="preserve"> </w:t>
            </w:r>
            <w:r w:rsidRPr="009D6ED9">
              <w:rPr>
                <w:rFonts w:ascii="Verdana" w:eastAsia="Calibri" w:hAnsi="Verdana" w:cs="Arial"/>
                <w:color w:val="000000" w:themeColor="text1"/>
                <w:lang w:val="es-ES" w:eastAsia="es-ES"/>
              </w:rPr>
              <w:t>según la cual, por la naturaleza propia de las causales de rechazo, su aplicación</w:t>
            </w:r>
            <w:r>
              <w:rPr>
                <w:rFonts w:ascii="Verdana" w:eastAsia="Calibri" w:hAnsi="Verdana" w:cs="Arial"/>
                <w:color w:val="000000" w:themeColor="text1"/>
                <w:lang w:val="es-ES" w:eastAsia="es-ES"/>
              </w:rPr>
              <w:t xml:space="preserve"> </w:t>
            </w:r>
            <w:r w:rsidRPr="009D6ED9">
              <w:rPr>
                <w:rFonts w:ascii="Verdana" w:eastAsia="Calibri" w:hAnsi="Verdana" w:cs="Arial"/>
                <w:color w:val="000000" w:themeColor="text1"/>
                <w:lang w:val="es-ES" w:eastAsia="es-ES"/>
              </w:rPr>
              <w:t>es estricta y restrictiva, lo que significa que su interpretación gramatical prevalece sobre una interpretación extensiva o de otra índole, mediante la cual se pretenda ampliar su alcance. Al respecto, el Consejo de Estado sostuvo: “En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40A3955D" w14:textId="77777777" w:rsidR="00C03BA2" w:rsidRDefault="00C03BA2" w:rsidP="00FC6C46">
            <w:pPr>
              <w:spacing w:after="120" w:line="276" w:lineRule="auto"/>
              <w:ind w:firstLine="709"/>
              <w:jc w:val="both"/>
              <w:rPr>
                <w:rFonts w:ascii="Verdana" w:eastAsia="Calibri" w:hAnsi="Verdana" w:cs="Arial"/>
                <w:color w:val="000000" w:themeColor="text1"/>
                <w:lang w:val="es-ES" w:eastAsia="es-ES"/>
              </w:rPr>
            </w:pPr>
            <w:r w:rsidRPr="009D6ED9">
              <w:rPr>
                <w:rFonts w:ascii="Verdana" w:eastAsia="Calibri" w:hAnsi="Verdana" w:cs="Arial"/>
                <w:color w:val="000000" w:themeColor="text1"/>
                <w:lang w:val="es-ES" w:eastAsia="es-ES"/>
              </w:rPr>
              <w:t>Las causales de rechazo son las establecidas en la Ley y las fijadas por la Entidad Estatal en los pliegos de condiciones. Sin embargo, en el ejercicio de dicha facultad a las entidades no les es dable el establecer causales de rechazo que afecten la selección objetiva en la contratación pública. De esta forma, por la naturaleza propia de las causales de rechazo, su aplicación es estricta y restrictiva, lo que significa que su interpretación gramatical prevalece sobre una interpretación extensiva o de otra índole, mediante la cual, se pretenda ampliar su alcance.</w:t>
            </w:r>
          </w:p>
          <w:p w14:paraId="5EA5F4AA" w14:textId="77777777" w:rsidR="00C03BA2" w:rsidRDefault="00C03BA2" w:rsidP="00FC6C46">
            <w:pPr>
              <w:spacing w:after="120" w:line="276" w:lineRule="auto"/>
              <w:ind w:firstLine="709"/>
              <w:jc w:val="both"/>
              <w:rPr>
                <w:rFonts w:ascii="Verdana" w:eastAsia="Calibri" w:hAnsi="Verdana" w:cs="Arial"/>
                <w:color w:val="000000" w:themeColor="text1"/>
                <w:lang w:val="es-ES" w:eastAsia="es-ES"/>
              </w:rPr>
            </w:pPr>
            <w:r w:rsidRPr="009D6ED9">
              <w:rPr>
                <w:rFonts w:ascii="Verdana" w:eastAsia="Calibri" w:hAnsi="Verdana" w:cs="Arial"/>
                <w:color w:val="000000" w:themeColor="text1"/>
                <w:lang w:val="es-ES" w:eastAsia="es-ES"/>
              </w:rPr>
              <w:t xml:space="preserve">Finalmente debe advertirse, que el análisis requerido para resolver problemas específicos en torno al rechazo de las ofertas debe ser realizado por quienes tengan interés en ello. De esta manera, las afirmaciones aquí realizadas no pueden ser interpretadas como juicios de valor sobre </w:t>
            </w:r>
            <w:r w:rsidRPr="009D6ED9">
              <w:rPr>
                <w:rFonts w:ascii="Verdana" w:eastAsia="Calibri" w:hAnsi="Verdana" w:cs="Arial"/>
                <w:color w:val="000000" w:themeColor="text1"/>
                <w:lang w:val="es-ES" w:eastAsia="es-ES"/>
              </w:rPr>
              <w:lastRenderedPageBreak/>
              <w:t>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p w14:paraId="1FA7FC78" w14:textId="77777777" w:rsidR="00C03BA2" w:rsidRPr="009D6ED9" w:rsidRDefault="00C03BA2" w:rsidP="00FC6C46">
            <w:pPr>
              <w:spacing w:after="120" w:line="276" w:lineRule="auto"/>
              <w:ind w:firstLine="709"/>
              <w:jc w:val="both"/>
              <w:rPr>
                <w:rFonts w:ascii="Verdana" w:eastAsia="Calibri" w:hAnsi="Verdana" w:cs="Arial"/>
                <w:color w:val="000000" w:themeColor="text1"/>
                <w:lang w:val="es-ES" w:eastAsia="es-ES"/>
              </w:rPr>
            </w:pPr>
            <w:r w:rsidRPr="009D6ED9">
              <w:rPr>
                <w:rFonts w:ascii="Verdana" w:eastAsia="Calibri" w:hAnsi="Verdana" w:cs="Arial"/>
                <w:color w:val="000000" w:themeColor="text1"/>
                <w:lang w:val="es-ES" w:eastAsia="es-ES"/>
              </w:rPr>
              <w:t>En ese sentido, al tratarse de un análisis que debe realizarse en el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538AB098" w14:textId="77777777" w:rsidR="00C03BA2" w:rsidRPr="0004784B" w:rsidRDefault="00C03BA2" w:rsidP="00C03BA2">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AA58692" w14:textId="77777777" w:rsidR="00C03BA2" w:rsidRPr="0004784B" w:rsidRDefault="00C03BA2" w:rsidP="00C03BA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color w:val="000000" w:themeColor="text1"/>
        </w:rPr>
      </w:pPr>
      <w:r w:rsidRPr="0004784B">
        <w:rPr>
          <w:rFonts w:ascii="Verdana" w:eastAsia="Century Gothic" w:hAnsi="Verdana" w:cs="Century Gothic"/>
          <w:b/>
          <w:color w:val="000000" w:themeColor="text1"/>
        </w:rPr>
        <w:t>Razones de la respuesta:</w:t>
      </w:r>
    </w:p>
    <w:p w14:paraId="0B28503B" w14:textId="77777777" w:rsidR="00C03BA2" w:rsidRPr="0004784B" w:rsidRDefault="00C03BA2" w:rsidP="00C03BA2">
      <w:pPr>
        <w:spacing w:after="0" w:line="276" w:lineRule="auto"/>
        <w:jc w:val="both"/>
        <w:rPr>
          <w:rFonts w:ascii="Verdana" w:eastAsia="Calibri" w:hAnsi="Verdana" w:cs="Arial"/>
          <w:color w:val="000000" w:themeColor="text1"/>
          <w:lang w:val="es-ES"/>
        </w:rPr>
      </w:pPr>
    </w:p>
    <w:p w14:paraId="249A9BF6" w14:textId="77777777" w:rsidR="00C03BA2" w:rsidRPr="008900F6" w:rsidRDefault="00C03BA2" w:rsidP="00C03BA2">
      <w:pPr>
        <w:spacing w:after="0" w:line="276" w:lineRule="auto"/>
        <w:contextualSpacing/>
        <w:jc w:val="both"/>
        <w:rPr>
          <w:rFonts w:ascii="Verdana" w:eastAsia="Calibri" w:hAnsi="Verdana"/>
          <w:lang w:val="es-ES"/>
        </w:rPr>
      </w:pPr>
      <w:bookmarkStart w:id="1" w:name="_Hlk69487468"/>
      <w:bookmarkStart w:id="2" w:name="_Hlk79145750"/>
      <w:r w:rsidRPr="008900F6">
        <w:rPr>
          <w:rFonts w:ascii="Verdana" w:eastAsia="Calibri" w:hAnsi="Verdana"/>
          <w:lang w:val="es-ES"/>
        </w:rPr>
        <w:t>De manera preliminar, debe precisarse que, las causales de rechazo son las establecidas en la ley y las fijadas por la Entidad Estatal en los pliegos de condiciones o documento equivalente. Sin embargo, en el ejercicio de dicha facultad, a las entidades no les es dable fijar causales de rechazo que soslayen o afecten la selección objetiva en la contratación. Sobre el particular, el Consejo de Estado</w:t>
      </w:r>
      <w:r w:rsidRPr="008900F6">
        <w:rPr>
          <w:rFonts w:ascii="Verdana" w:eastAsia="Calibri" w:hAnsi="Verdana" w:cs="Arial"/>
          <w:i/>
          <w:iCs/>
          <w:vertAlign w:val="superscript"/>
        </w:rPr>
        <w:footnoteReference w:id="1"/>
      </w:r>
      <w:r w:rsidRPr="008900F6">
        <w:rPr>
          <w:rFonts w:ascii="Verdana" w:eastAsia="Calibri" w:hAnsi="Verdana" w:cs="Arial"/>
          <w:sz w:val="24"/>
          <w:szCs w:val="24"/>
        </w:rPr>
        <w:t xml:space="preserve"> </w:t>
      </w:r>
      <w:r w:rsidRPr="008900F6">
        <w:rPr>
          <w:rFonts w:ascii="Verdana" w:eastAsia="Calibri" w:hAnsi="Verdana"/>
          <w:lang w:val="es-ES"/>
        </w:rPr>
        <w:t>señaló:</w:t>
      </w:r>
    </w:p>
    <w:p w14:paraId="5A5DEC81" w14:textId="77777777" w:rsidR="00C03BA2" w:rsidRPr="008900F6" w:rsidRDefault="00C03BA2" w:rsidP="00C03BA2">
      <w:pPr>
        <w:spacing w:after="0" w:line="276" w:lineRule="auto"/>
        <w:ind w:left="720"/>
        <w:contextualSpacing/>
        <w:jc w:val="both"/>
        <w:rPr>
          <w:rFonts w:ascii="Verdana" w:eastAsia="Calibri" w:hAnsi="Verdana"/>
          <w:lang w:val="es-ES"/>
        </w:rPr>
      </w:pPr>
    </w:p>
    <w:p w14:paraId="6046FD48" w14:textId="77777777" w:rsidR="00C03BA2" w:rsidRPr="008900F6" w:rsidRDefault="00C03BA2" w:rsidP="00C03BA2">
      <w:pPr>
        <w:spacing w:after="0" w:line="240" w:lineRule="auto"/>
        <w:ind w:left="426" w:right="616"/>
        <w:contextualSpacing/>
        <w:jc w:val="both"/>
        <w:rPr>
          <w:rFonts w:ascii="Verdana" w:eastAsia="Calibri" w:hAnsi="Verdana"/>
          <w:sz w:val="20"/>
          <w:szCs w:val="20"/>
          <w:lang w:val="es-ES"/>
        </w:rPr>
      </w:pPr>
      <w:r w:rsidRPr="008900F6">
        <w:rPr>
          <w:rFonts w:ascii="Verdana" w:eastAsia="Calibri" w:hAnsi="Verdana"/>
          <w:sz w:val="20"/>
          <w:szCs w:val="20"/>
          <w:lang w:val="es-ES"/>
        </w:rPr>
        <w:t xml:space="preserve">“Quiere con esto destacar la Sala que las causales de rechazo de las propuestas pueden ser legales y por lo mismo generan el efecto del descarte o exclusión de la oferta </w:t>
      </w:r>
      <w:proofErr w:type="spellStart"/>
      <w:r w:rsidRPr="008900F6">
        <w:rPr>
          <w:rFonts w:ascii="Verdana" w:eastAsia="Calibri" w:hAnsi="Verdana"/>
          <w:sz w:val="20"/>
          <w:szCs w:val="20"/>
          <w:lang w:val="es-ES"/>
        </w:rPr>
        <w:t>ope</w:t>
      </w:r>
      <w:proofErr w:type="spellEnd"/>
      <w:r w:rsidRPr="008900F6">
        <w:rPr>
          <w:rFonts w:ascii="Verdana" w:eastAsia="Calibri" w:hAnsi="Verdana"/>
          <w:sz w:val="20"/>
          <w:szCs w:val="20"/>
          <w:lang w:val="es-ES"/>
        </w:rPr>
        <w:t xml:space="preserve"> </w:t>
      </w:r>
      <w:proofErr w:type="spellStart"/>
      <w:r w:rsidRPr="008900F6">
        <w:rPr>
          <w:rFonts w:ascii="Verdana" w:eastAsia="Calibri" w:hAnsi="Verdana"/>
          <w:sz w:val="20"/>
          <w:szCs w:val="20"/>
          <w:lang w:val="es-ES"/>
        </w:rPr>
        <w:t>legis</w:t>
      </w:r>
      <w:proofErr w:type="spellEnd"/>
      <w:r w:rsidRPr="008900F6">
        <w:rPr>
          <w:rFonts w:ascii="Verdana" w:eastAsia="Calibri" w:hAnsi="Verdana"/>
          <w:sz w:val="20"/>
          <w:szCs w:val="20"/>
          <w:lang w:val="es-ES"/>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1E6FACFE" w14:textId="77777777" w:rsidR="00C03BA2" w:rsidRPr="008900F6" w:rsidRDefault="00C03BA2" w:rsidP="00C03BA2">
      <w:pPr>
        <w:spacing w:after="0" w:line="276" w:lineRule="auto"/>
        <w:ind w:left="720"/>
        <w:contextualSpacing/>
        <w:jc w:val="both"/>
        <w:rPr>
          <w:rFonts w:ascii="Verdana" w:eastAsia="Calibri" w:hAnsi="Verdana"/>
          <w:lang w:val="es-ES"/>
        </w:rPr>
      </w:pPr>
    </w:p>
    <w:p w14:paraId="3D4C4D16" w14:textId="77777777" w:rsidR="00C03BA2" w:rsidRPr="008900F6" w:rsidRDefault="00C03BA2" w:rsidP="00C03BA2">
      <w:pPr>
        <w:spacing w:after="0" w:line="276" w:lineRule="auto"/>
        <w:ind w:firstLine="426"/>
        <w:contextualSpacing/>
        <w:jc w:val="both"/>
        <w:rPr>
          <w:rFonts w:ascii="Verdana" w:eastAsia="Calibri" w:hAnsi="Verdana"/>
          <w:lang w:val="es-ES"/>
        </w:rPr>
      </w:pPr>
      <w:r w:rsidRPr="008900F6">
        <w:rPr>
          <w:rFonts w:ascii="Verdana" w:eastAsia="Calibri" w:hAnsi="Verdana"/>
          <w:lang w:val="es-ES"/>
        </w:rPr>
        <w:lastRenderedPageBreak/>
        <w:t>Esta entidad ha reiterado la postura del Consejo de Estado, según la cual, por la naturaleza propia de las causales de rechazo, su aplicación es estricta y restrictiva, lo que significa que su interpretación gramatical prevale sobre una interpretación extensiva o de otra índole, mediante la cual se pretenda ampliar su alcance. Sobre el particular el Alto Tribunal Administrativo</w:t>
      </w:r>
      <w:r w:rsidRPr="008900F6">
        <w:rPr>
          <w:rFonts w:ascii="Verdana" w:eastAsia="Calibri" w:hAnsi="Verdana" w:cs="Arial"/>
          <w:i/>
          <w:vertAlign w:val="superscript"/>
        </w:rPr>
        <w:footnoteReference w:id="2"/>
      </w:r>
      <w:r w:rsidRPr="008900F6">
        <w:rPr>
          <w:rFonts w:ascii="Verdana" w:eastAsia="Calibri" w:hAnsi="Verdana"/>
          <w:lang w:val="es-ES"/>
        </w:rPr>
        <w:t>, sostuvo:</w:t>
      </w:r>
    </w:p>
    <w:p w14:paraId="33362367" w14:textId="77777777" w:rsidR="00C03BA2" w:rsidRPr="008900F6" w:rsidRDefault="00C03BA2" w:rsidP="00C03BA2">
      <w:pPr>
        <w:spacing w:after="0" w:line="276" w:lineRule="auto"/>
        <w:ind w:left="720"/>
        <w:contextualSpacing/>
        <w:jc w:val="both"/>
        <w:rPr>
          <w:rFonts w:ascii="Verdana" w:eastAsia="Calibri" w:hAnsi="Verdana"/>
          <w:lang w:val="es-ES"/>
        </w:rPr>
      </w:pPr>
    </w:p>
    <w:p w14:paraId="3EF8FB2A" w14:textId="77777777" w:rsidR="00C03BA2" w:rsidRPr="008900F6" w:rsidRDefault="00C03BA2" w:rsidP="00C03BA2">
      <w:pPr>
        <w:spacing w:after="0" w:line="240" w:lineRule="auto"/>
        <w:ind w:left="567" w:right="616"/>
        <w:contextualSpacing/>
        <w:jc w:val="both"/>
        <w:rPr>
          <w:rFonts w:ascii="Verdana" w:eastAsia="Calibri" w:hAnsi="Verdana"/>
          <w:lang w:val="es-ES"/>
        </w:rPr>
      </w:pPr>
      <w:r w:rsidRPr="008900F6">
        <w:rPr>
          <w:rFonts w:ascii="Verdana" w:eastAsia="Calibri" w:hAnsi="Verdana"/>
          <w:sz w:val="20"/>
          <w:szCs w:val="20"/>
          <w:lang w:val="es-ES"/>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70C83E71" w14:textId="77777777" w:rsidR="00C03BA2" w:rsidRPr="008900F6" w:rsidRDefault="00C03BA2" w:rsidP="00C03BA2">
      <w:pPr>
        <w:spacing w:after="0" w:line="276" w:lineRule="auto"/>
        <w:ind w:left="720"/>
        <w:contextualSpacing/>
        <w:jc w:val="both"/>
        <w:rPr>
          <w:rFonts w:ascii="Verdana" w:eastAsia="Calibri" w:hAnsi="Verdana"/>
          <w:lang w:val="es-ES"/>
        </w:rPr>
      </w:pPr>
    </w:p>
    <w:p w14:paraId="4D105A21" w14:textId="77777777" w:rsidR="00C03BA2" w:rsidRPr="008900F6" w:rsidRDefault="00C03BA2" w:rsidP="00C03BA2">
      <w:pPr>
        <w:spacing w:after="0" w:line="276" w:lineRule="auto"/>
        <w:ind w:firstLine="567"/>
        <w:contextualSpacing/>
        <w:jc w:val="both"/>
        <w:rPr>
          <w:rFonts w:ascii="Verdana" w:eastAsia="Calibri" w:hAnsi="Verdana"/>
          <w:lang w:val="es-ES"/>
        </w:rPr>
      </w:pPr>
      <w:r w:rsidRPr="008900F6">
        <w:rPr>
          <w:rFonts w:ascii="Verdana" w:eastAsia="Calibri" w:hAnsi="Verdana" w:cs="Arial"/>
          <w:lang w:val="es-ES"/>
        </w:rPr>
        <w:t>Ahora bien, debe precisarse que el numeral 3 del artículo 3 de la Ley 1437 de 2011 prescribe que “[e]n virtud del principio de imparcialidad, las autoridades deberán actuar teniendo en cuenta que la finalidad de los procedimientos consiste en asegurar y garantizar los derechos de todas las personas sin discriminación alguna y sin tener en consideración factores de afecto o de interés y, en general, cualquier clase de motivación subjetiva”. Esta directriz es de especial relevancia en materia de contratación estatal, ya que –en virtud del artículo 77 de la Ley 80 de 1993 y el artículo 13 de la Ley 1150 de 2007– se integra tanto al régimen de las entidades sometidas al Estatuto General de Contratación de la Administración Pública como al de las exceptuadas de este, guardando una estrecha relación con el principio de selección objetiva.</w:t>
      </w:r>
    </w:p>
    <w:p w14:paraId="075E7F2E" w14:textId="77777777" w:rsidR="00C03BA2" w:rsidRPr="008900F6" w:rsidRDefault="00C03BA2" w:rsidP="00C03BA2">
      <w:pPr>
        <w:spacing w:after="0" w:line="276" w:lineRule="auto"/>
        <w:ind w:left="720"/>
        <w:contextualSpacing/>
        <w:jc w:val="both"/>
        <w:rPr>
          <w:rFonts w:ascii="Verdana" w:eastAsia="Calibri" w:hAnsi="Verdana"/>
          <w:lang w:val="es-ES"/>
        </w:rPr>
      </w:pPr>
    </w:p>
    <w:p w14:paraId="4F41BD5C" w14:textId="77777777" w:rsidR="00C03BA2" w:rsidRPr="008900F6" w:rsidRDefault="00C03BA2" w:rsidP="00C03BA2">
      <w:pPr>
        <w:spacing w:after="0" w:line="276" w:lineRule="auto"/>
        <w:ind w:firstLine="708"/>
        <w:contextualSpacing/>
        <w:jc w:val="both"/>
        <w:rPr>
          <w:rFonts w:ascii="Verdana" w:eastAsia="Calibri" w:hAnsi="Verdana" w:cs="Arial"/>
          <w:lang w:val="es-ES"/>
        </w:rPr>
      </w:pPr>
      <w:r w:rsidRPr="008900F6">
        <w:rPr>
          <w:rFonts w:ascii="Verdana" w:eastAsia="Calibri" w:hAnsi="Verdana"/>
          <w:lang w:val="es-ES"/>
        </w:rPr>
        <w:t xml:space="preserve">Dichos principios tienen un papel relevante en la elaboración de los pliegos de condiciones o documentos equivalentes, pues si bien las entidades tienen un margen de autonomía para definir algunos aspectos del futuro negocio, las </w:t>
      </w:r>
      <w:r w:rsidRPr="008900F6">
        <w:rPr>
          <w:rFonts w:ascii="Verdana" w:eastAsia="Calibri" w:hAnsi="Verdana"/>
          <w:lang w:val="es-ES"/>
        </w:rPr>
        <w:lastRenderedPageBreak/>
        <w:t>causales de rechazo de las propuestas deben ser razonables, bien porque algunas de éstas se encuentren previstas en el ordenamiento o porque conducen a que no se adjudique el contrato al proponente que no cumple con los requisitos técnicos y económicos para su ejecución. En esta medida, dichas causales no deben fundamentarse en el simple capricho o el mero arbitrio, lo cual –</w:t>
      </w:r>
      <w:r w:rsidRPr="008900F6">
        <w:rPr>
          <w:rFonts w:ascii="Verdana" w:eastAsia="Calibri" w:hAnsi="Verdana" w:cs="Arial"/>
          <w:lang w:val="es-ES"/>
        </w:rPr>
        <w:t>además de contrariar los principios analizados– limita la participación.</w:t>
      </w:r>
    </w:p>
    <w:p w14:paraId="280A4E5C" w14:textId="77777777" w:rsidR="00C03BA2" w:rsidRPr="008900F6" w:rsidRDefault="00C03BA2" w:rsidP="00C03BA2">
      <w:pPr>
        <w:spacing w:line="276" w:lineRule="auto"/>
        <w:ind w:left="720"/>
        <w:contextualSpacing/>
        <w:rPr>
          <w:rFonts w:ascii="Verdana" w:eastAsia="Calibri" w:hAnsi="Verdana"/>
          <w:lang w:val="es-ES"/>
        </w:rPr>
      </w:pPr>
    </w:p>
    <w:p w14:paraId="2E6CF464" w14:textId="77777777" w:rsidR="00C03BA2" w:rsidRPr="008900F6" w:rsidRDefault="00C03BA2" w:rsidP="00C03BA2">
      <w:pPr>
        <w:spacing w:after="0" w:line="276" w:lineRule="auto"/>
        <w:ind w:firstLine="708"/>
        <w:contextualSpacing/>
        <w:jc w:val="both"/>
        <w:rPr>
          <w:rFonts w:ascii="Verdana" w:eastAsia="Calibri" w:hAnsi="Verdana" w:cs="Arial"/>
          <w:lang w:val="es-ES"/>
        </w:rPr>
      </w:pPr>
      <w:r w:rsidRPr="008900F6">
        <w:rPr>
          <w:rFonts w:ascii="Verdana" w:eastAsia="Calibri" w:hAnsi="Verdana"/>
          <w:lang w:val="es-ES"/>
        </w:rPr>
        <w:t>De esta forma, puede colegirse que las causales de rechazo de la oferta deben emanar directamente de la ley o del pliego de condiciones o incluso, de los Documentos Tipo expedidos por Colombia Compra Eficiente cuando el proceso se rija por estos, pero en uno y en otro caso deberán guardan relación con defectos, omisiones o circunstancias impeditivas que permitan deducir que la oferta no resulta favorable para los intereses de la entidad, en los términos del inciso 1 del artículo 5 de la Ley 1150 de 2007. En otras palabras, la determinación de las causales de rechazo, no pueden fundamentarse en consideraciones subjetivas, que conviertan dichas causales en inhabilidades para participar en los procesos de selección.</w:t>
      </w:r>
    </w:p>
    <w:p w14:paraId="24E8796B" w14:textId="77777777" w:rsidR="00C03BA2" w:rsidRPr="008900F6" w:rsidRDefault="00C03BA2" w:rsidP="00C03BA2">
      <w:pPr>
        <w:spacing w:after="0" w:line="276" w:lineRule="auto"/>
        <w:ind w:right="1276"/>
        <w:contextualSpacing/>
        <w:jc w:val="both"/>
        <w:rPr>
          <w:rFonts w:ascii="Verdana" w:eastAsia="Calibri" w:hAnsi="Verdana" w:cs="Arial"/>
          <w:lang w:val="es-ES"/>
        </w:rPr>
      </w:pPr>
    </w:p>
    <w:p w14:paraId="0586D697" w14:textId="77777777" w:rsidR="00C03BA2" w:rsidRDefault="00C03BA2" w:rsidP="00C03BA2">
      <w:pPr>
        <w:widowControl w:val="0"/>
        <w:autoSpaceDE w:val="0"/>
        <w:autoSpaceDN w:val="0"/>
        <w:spacing w:after="0" w:line="276" w:lineRule="auto"/>
        <w:ind w:firstLine="708"/>
        <w:contextualSpacing/>
        <w:jc w:val="both"/>
        <w:rPr>
          <w:rFonts w:ascii="Verdana" w:eastAsia="Calibri" w:hAnsi="Verdana" w:cs="Arial"/>
          <w:lang w:val="es-ES"/>
        </w:rPr>
      </w:pPr>
      <w:r w:rsidRPr="008900F6">
        <w:rPr>
          <w:rFonts w:ascii="Verdana" w:eastAsia="Calibri" w:hAnsi="Verdana" w:cs="Arial"/>
          <w:lang w:val="es-ES"/>
        </w:rPr>
        <w:t xml:space="preserve">Con fundamento en todo lo expuesto, se colige que las causales de rechazo deben estar necesariamente nominadas en la ley o en el pliego de condiciones y no puede realizarse frente a su redacción, ninguna interpretación extensiva. Por ello, si el Estatuto General de Contratación de la Administración Pública o el pliego de condiciones no establecen de manera literal el supuesto de hecho relacionado por el peticionario en la consulta, no podrá rechazarse la oferta del proponente. Situación contraria, en caso de que dicho supuesto si se encuentre estipulado en la ley o en el pliego de condiciones o documento equivalente. </w:t>
      </w:r>
    </w:p>
    <w:p w14:paraId="20E314BB" w14:textId="77777777" w:rsidR="00C03BA2" w:rsidRDefault="00C03BA2" w:rsidP="00C03BA2">
      <w:pPr>
        <w:widowControl w:val="0"/>
        <w:autoSpaceDE w:val="0"/>
        <w:autoSpaceDN w:val="0"/>
        <w:spacing w:after="0" w:line="276" w:lineRule="auto"/>
        <w:contextualSpacing/>
        <w:jc w:val="both"/>
        <w:rPr>
          <w:rFonts w:ascii="Verdana" w:eastAsia="Calibri" w:hAnsi="Verdana" w:cs="Arial"/>
          <w:lang w:val="es-ES"/>
        </w:rPr>
      </w:pPr>
    </w:p>
    <w:p w14:paraId="429F146A" w14:textId="77777777" w:rsidR="00C03BA2" w:rsidRDefault="00C03BA2" w:rsidP="00C03BA2">
      <w:pPr>
        <w:spacing w:line="276" w:lineRule="auto"/>
        <w:ind w:firstLine="709"/>
        <w:jc w:val="both"/>
        <w:rPr>
          <w:rFonts w:ascii="Verdana" w:eastAsia="Calibri" w:hAnsi="Verdana" w:cs="Arial"/>
          <w:color w:val="000000" w:themeColor="text1"/>
        </w:rPr>
      </w:pPr>
      <w:r w:rsidRPr="00CA419A">
        <w:rPr>
          <w:rFonts w:ascii="Verdana" w:eastAsia="Calibri" w:hAnsi="Verdana" w:cs="Arial"/>
          <w:color w:val="000000" w:themeColor="text1"/>
        </w:rPr>
        <w:t xml:space="preserve">En ese contexto, corresponde a cada entidad estatal, con el apoyo de sus asesores jurídicos y técnicos, realizar el análisis específico para determinar </w:t>
      </w:r>
      <w:r>
        <w:rPr>
          <w:rFonts w:ascii="Verdana" w:eastAsia="Calibri" w:hAnsi="Verdana" w:cs="Arial"/>
          <w:color w:val="000000" w:themeColor="text1"/>
        </w:rPr>
        <w:t>si la situación consultada, encuadra dentro de una causal de rechazo</w:t>
      </w:r>
      <w:r w:rsidRPr="00CA419A">
        <w:rPr>
          <w:rFonts w:ascii="Verdana" w:eastAsia="Calibri" w:hAnsi="Verdana" w:cs="Arial"/>
          <w:color w:val="000000" w:themeColor="text1"/>
        </w:rPr>
        <w:t xml:space="preserve">. Este análisis debe hacerse conforme al principio de legalidad y a la interpretación estricta de las causales de rechazo, sin que la entidad pueda introducir requisitos o causales adicionales </w:t>
      </w:r>
      <w:r>
        <w:rPr>
          <w:rFonts w:ascii="Verdana" w:eastAsia="Calibri" w:hAnsi="Verdana" w:cs="Arial"/>
          <w:color w:val="000000" w:themeColor="text1"/>
        </w:rPr>
        <w:t>que no violenten el principio de selección objetiva</w:t>
      </w:r>
      <w:r w:rsidRPr="00CA419A">
        <w:rPr>
          <w:rFonts w:ascii="Verdana" w:eastAsia="Calibri" w:hAnsi="Verdana" w:cs="Arial"/>
          <w:color w:val="000000" w:themeColor="text1"/>
        </w:rPr>
        <w:t>.</w:t>
      </w:r>
    </w:p>
    <w:p w14:paraId="6BDEEF1C" w14:textId="77777777" w:rsidR="00C03BA2" w:rsidRPr="004368EE" w:rsidRDefault="00C03BA2" w:rsidP="00C03BA2">
      <w:pPr>
        <w:spacing w:line="276" w:lineRule="auto"/>
        <w:ind w:firstLine="708"/>
        <w:jc w:val="both"/>
        <w:rPr>
          <w:rFonts w:ascii="Verdana" w:eastAsia="Calibri" w:hAnsi="Verdana" w:cs="Arial"/>
          <w:color w:val="000000" w:themeColor="text1"/>
        </w:rPr>
      </w:pPr>
      <w:r w:rsidRPr="00DB4737">
        <w:rPr>
          <w:rFonts w:ascii="Verdana" w:eastAsia="Calibri" w:hAnsi="Verdana" w:cs="Times New Roman"/>
          <w:lang w:val="es-ES"/>
        </w:rPr>
        <w:t xml:space="preserve">Finalmente debe advertirse, que el análisis para resolver problemas específicos en torno </w:t>
      </w:r>
      <w:r>
        <w:rPr>
          <w:rFonts w:ascii="Verdana" w:eastAsia="Calibri" w:hAnsi="Verdana" w:cs="Times New Roman"/>
          <w:lang w:val="es-ES"/>
        </w:rPr>
        <w:t xml:space="preserve">a los procesos de contratación </w:t>
      </w:r>
      <w:r w:rsidRPr="00DB4737">
        <w:rPr>
          <w:rFonts w:ascii="Verdana" w:eastAsia="Calibri" w:hAnsi="Verdana" w:cs="Times New Roman"/>
          <w:lang w:val="es-ES"/>
        </w:rPr>
        <w:t xml:space="preserve">debe ser realizado por quienes tengan interés en ello. De esta forma, las afirmaciones aquí realizadas </w:t>
      </w:r>
      <w:r w:rsidRPr="00DB4737">
        <w:rPr>
          <w:rFonts w:ascii="Verdana" w:eastAsia="Calibri" w:hAnsi="Verdana" w:cs="Times New Roman"/>
          <w:lang w:val="es-ES"/>
        </w:rPr>
        <w:lastRenderedPageBreak/>
        <w:t>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628805BF" w14:textId="77777777" w:rsidR="00C03BA2" w:rsidRPr="008900F6" w:rsidRDefault="00C03BA2" w:rsidP="00C03BA2">
      <w:pPr>
        <w:widowControl w:val="0"/>
        <w:autoSpaceDE w:val="0"/>
        <w:autoSpaceDN w:val="0"/>
        <w:spacing w:after="0" w:line="276" w:lineRule="auto"/>
        <w:ind w:firstLine="708"/>
        <w:contextualSpacing/>
        <w:jc w:val="both"/>
        <w:rPr>
          <w:rFonts w:ascii="Verdana" w:hAnsi="Verdana" w:cs="Arial"/>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bookmarkEnd w:id="1"/>
    <w:bookmarkEnd w:id="2"/>
    <w:p w14:paraId="175164E7" w14:textId="77777777" w:rsidR="00C03BA2" w:rsidRPr="0004784B" w:rsidRDefault="00C03BA2" w:rsidP="00C03BA2">
      <w:pPr>
        <w:widowControl w:val="0"/>
        <w:autoSpaceDE w:val="0"/>
        <w:autoSpaceDN w:val="0"/>
        <w:spacing w:after="0" w:line="276" w:lineRule="auto"/>
        <w:jc w:val="both"/>
        <w:rPr>
          <w:rFonts w:ascii="Verdana" w:hAnsi="Verdana" w:cs="Arial"/>
          <w:color w:val="000000" w:themeColor="text1"/>
          <w:lang w:val="es-ES"/>
        </w:rPr>
      </w:pPr>
    </w:p>
    <w:p w14:paraId="2898B6B4" w14:textId="77777777" w:rsidR="00C03BA2" w:rsidRPr="0004784B" w:rsidRDefault="00C03BA2" w:rsidP="00C03BA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color w:val="000000" w:themeColor="text1"/>
        </w:rPr>
      </w:pPr>
      <w:r w:rsidRPr="0004784B">
        <w:rPr>
          <w:rFonts w:ascii="Verdana" w:eastAsia="Century Gothic" w:hAnsi="Verdana" w:cs="Century Gothic"/>
          <w:b/>
          <w:color w:val="000000" w:themeColor="text1"/>
        </w:rPr>
        <w:t>Referencias normativas, jurisprudenciales y otras fuentes:</w:t>
      </w:r>
    </w:p>
    <w:p w14:paraId="05A5E77E" w14:textId="77777777" w:rsidR="00C03BA2" w:rsidRPr="0004784B" w:rsidRDefault="00C03BA2" w:rsidP="00C03BA2">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03BA2" w:rsidRPr="0004784B" w14:paraId="64250A01" w14:textId="77777777" w:rsidTr="00FC6C46">
        <w:trPr>
          <w:trHeight w:val="870"/>
        </w:trPr>
        <w:tc>
          <w:tcPr>
            <w:tcW w:w="8647" w:type="dxa"/>
          </w:tcPr>
          <w:p w14:paraId="48AE86EB" w14:textId="77777777" w:rsidR="00C03BA2" w:rsidRPr="008900F6" w:rsidRDefault="00C03BA2" w:rsidP="00C03BA2">
            <w:pPr>
              <w:widowControl w:val="0"/>
              <w:numPr>
                <w:ilvl w:val="0"/>
                <w:numId w:val="17"/>
              </w:numPr>
              <w:autoSpaceDE w:val="0"/>
              <w:autoSpaceDN w:val="0"/>
              <w:spacing w:after="120" w:line="276" w:lineRule="auto"/>
              <w:contextualSpacing/>
              <w:jc w:val="both"/>
              <w:rPr>
                <w:rFonts w:ascii="Verdana" w:eastAsia="Times New Roman" w:hAnsi="Verdana" w:cs="Arial"/>
              </w:rPr>
            </w:pPr>
            <w:r w:rsidRPr="008900F6">
              <w:rPr>
                <w:rFonts w:ascii="Verdana" w:eastAsia="Calibri" w:hAnsi="Verdana" w:cs="Arial"/>
                <w:lang w:val="es-ES"/>
              </w:rPr>
              <w:t>Ley 1437 de 2011. Artículo 3, Numeral 3</w:t>
            </w:r>
          </w:p>
          <w:p w14:paraId="6A7ABD69" w14:textId="77777777" w:rsidR="00C03BA2" w:rsidRPr="008900F6" w:rsidRDefault="00C03BA2" w:rsidP="00C03BA2">
            <w:pPr>
              <w:widowControl w:val="0"/>
              <w:numPr>
                <w:ilvl w:val="0"/>
                <w:numId w:val="17"/>
              </w:numPr>
              <w:autoSpaceDE w:val="0"/>
              <w:autoSpaceDN w:val="0"/>
              <w:spacing w:after="120" w:line="276" w:lineRule="auto"/>
              <w:contextualSpacing/>
              <w:jc w:val="both"/>
              <w:rPr>
                <w:rFonts w:ascii="Verdana" w:eastAsia="Times New Roman" w:hAnsi="Verdana" w:cs="Arial"/>
              </w:rPr>
            </w:pPr>
            <w:r w:rsidRPr="008900F6">
              <w:rPr>
                <w:rFonts w:ascii="Verdana" w:eastAsia="Calibri" w:hAnsi="Verdana" w:cs="Arial"/>
                <w:lang w:val="es-ES"/>
              </w:rPr>
              <w:t>Ley 80 de 1993. Artículo 77</w:t>
            </w:r>
          </w:p>
          <w:p w14:paraId="01C14F66" w14:textId="77777777" w:rsidR="00C03BA2" w:rsidRPr="008900F6" w:rsidRDefault="00C03BA2" w:rsidP="00C03BA2">
            <w:pPr>
              <w:widowControl w:val="0"/>
              <w:numPr>
                <w:ilvl w:val="0"/>
                <w:numId w:val="17"/>
              </w:numPr>
              <w:autoSpaceDE w:val="0"/>
              <w:autoSpaceDN w:val="0"/>
              <w:spacing w:after="120" w:line="276" w:lineRule="auto"/>
              <w:contextualSpacing/>
              <w:jc w:val="both"/>
              <w:rPr>
                <w:rFonts w:ascii="Verdana" w:hAnsi="Verdana" w:cs="Arial"/>
              </w:rPr>
            </w:pPr>
            <w:r w:rsidRPr="008900F6">
              <w:rPr>
                <w:rFonts w:ascii="Verdana" w:eastAsia="Calibri" w:hAnsi="Verdana" w:cs="Arial"/>
                <w:lang w:val="es-ES"/>
              </w:rPr>
              <w:t xml:space="preserve">Ley 1150 de </w:t>
            </w:r>
            <w:r>
              <w:rPr>
                <w:rFonts w:ascii="Verdana" w:eastAsia="Calibri" w:hAnsi="Verdana" w:cs="Arial"/>
                <w:lang w:val="es-ES"/>
              </w:rPr>
              <w:t>2</w:t>
            </w:r>
            <w:r w:rsidRPr="008900F6">
              <w:rPr>
                <w:rFonts w:ascii="Verdana" w:eastAsia="Calibri" w:hAnsi="Verdana" w:cs="Arial"/>
                <w:lang w:val="es-ES"/>
              </w:rPr>
              <w:t>007. Artículo 5, Inciso 1, Artículo 13</w:t>
            </w:r>
          </w:p>
          <w:p w14:paraId="700F9EE5" w14:textId="77777777" w:rsidR="00C03BA2" w:rsidRPr="008900F6" w:rsidRDefault="00C03BA2" w:rsidP="00C03BA2">
            <w:pPr>
              <w:widowControl w:val="0"/>
              <w:numPr>
                <w:ilvl w:val="0"/>
                <w:numId w:val="17"/>
              </w:numPr>
              <w:autoSpaceDE w:val="0"/>
              <w:autoSpaceDN w:val="0"/>
              <w:spacing w:after="120" w:line="276" w:lineRule="auto"/>
              <w:contextualSpacing/>
              <w:jc w:val="both"/>
              <w:rPr>
                <w:rFonts w:ascii="Verdana" w:hAnsi="Verdana" w:cs="Arial"/>
              </w:rPr>
            </w:pPr>
            <w:r w:rsidRPr="008900F6">
              <w:rPr>
                <w:rFonts w:ascii="Verdana" w:hAnsi="Verdana" w:cs="Arial"/>
              </w:rPr>
              <w:t xml:space="preserve">Consejo de Estado. Sección Tercera. Sentencia del 27 de abril de 2011. </w:t>
            </w:r>
            <w:proofErr w:type="spellStart"/>
            <w:r w:rsidRPr="008900F6">
              <w:rPr>
                <w:rFonts w:ascii="Verdana" w:hAnsi="Verdana" w:cs="Arial"/>
              </w:rPr>
              <w:t>Exp</w:t>
            </w:r>
            <w:proofErr w:type="spellEnd"/>
            <w:r w:rsidRPr="008900F6">
              <w:rPr>
                <w:rFonts w:ascii="Verdana" w:hAnsi="Verdana" w:cs="Arial"/>
              </w:rPr>
              <w:t>. 18.293. C.P. Ruth Stella Correa Palacio.</w:t>
            </w:r>
          </w:p>
          <w:p w14:paraId="224FA2CB" w14:textId="77777777" w:rsidR="00C03BA2" w:rsidRPr="0004784B" w:rsidRDefault="00C03BA2" w:rsidP="00C03BA2">
            <w:pPr>
              <w:widowControl w:val="0"/>
              <w:numPr>
                <w:ilvl w:val="0"/>
                <w:numId w:val="17"/>
              </w:numPr>
              <w:autoSpaceDE w:val="0"/>
              <w:autoSpaceDN w:val="0"/>
              <w:spacing w:after="120" w:line="276" w:lineRule="auto"/>
              <w:contextualSpacing/>
              <w:jc w:val="both"/>
              <w:rPr>
                <w:rFonts w:ascii="Verdana" w:hAnsi="Verdana" w:cs="Arial"/>
              </w:rPr>
            </w:pPr>
            <w:r w:rsidRPr="008863AF">
              <w:rPr>
                <w:rFonts w:ascii="Verdana" w:hAnsi="Verdana" w:cs="Arial"/>
              </w:rPr>
              <w:t xml:space="preserve">Consejo de Estado. Sección Tercera. Sentencia del 21 de noviembre de 2013 </w:t>
            </w:r>
            <w:proofErr w:type="spellStart"/>
            <w:r w:rsidRPr="008863AF">
              <w:rPr>
                <w:rFonts w:ascii="Verdana" w:hAnsi="Verdana" w:cs="Arial"/>
              </w:rPr>
              <w:t>Exp</w:t>
            </w:r>
            <w:proofErr w:type="spellEnd"/>
            <w:r w:rsidRPr="008863AF">
              <w:rPr>
                <w:rFonts w:ascii="Verdana" w:hAnsi="Verdana" w:cs="Arial"/>
              </w:rPr>
              <w:t>. 25397. C.P. Carlos Alberto Zambrano Barrera.</w:t>
            </w:r>
          </w:p>
        </w:tc>
      </w:tr>
    </w:tbl>
    <w:p w14:paraId="7BFDB468" w14:textId="77777777" w:rsidR="00C03BA2" w:rsidRPr="0004784B" w:rsidRDefault="00C03BA2" w:rsidP="00C03BA2">
      <w:pPr>
        <w:widowControl w:val="0"/>
        <w:autoSpaceDE w:val="0"/>
        <w:autoSpaceDN w:val="0"/>
        <w:spacing w:after="0" w:line="276" w:lineRule="auto"/>
        <w:jc w:val="both"/>
        <w:rPr>
          <w:rFonts w:ascii="Verdana" w:hAnsi="Verdana" w:cs="Arial"/>
          <w:color w:val="000000" w:themeColor="text1"/>
        </w:rPr>
      </w:pPr>
    </w:p>
    <w:p w14:paraId="4EFEF723" w14:textId="77777777" w:rsidR="00C03BA2" w:rsidRPr="0004784B" w:rsidRDefault="00C03BA2" w:rsidP="00C03BA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color w:val="000000" w:themeColor="text1"/>
        </w:rPr>
      </w:pPr>
      <w:r w:rsidRPr="0004784B">
        <w:rPr>
          <w:rFonts w:ascii="Verdana" w:eastAsia="Century Gothic" w:hAnsi="Verdana" w:cs="Century Gothic"/>
          <w:b/>
          <w:color w:val="000000" w:themeColor="text1"/>
        </w:rPr>
        <w:t>Doctrina de la Agencia Nacional de Contratación Pública:</w:t>
      </w:r>
    </w:p>
    <w:p w14:paraId="265BCF36" w14:textId="77777777" w:rsidR="00C03BA2" w:rsidRPr="0004784B" w:rsidRDefault="00C03BA2" w:rsidP="00C03BA2">
      <w:pPr>
        <w:widowControl w:val="0"/>
        <w:autoSpaceDE w:val="0"/>
        <w:autoSpaceDN w:val="0"/>
        <w:spacing w:after="0" w:line="276" w:lineRule="auto"/>
        <w:jc w:val="both"/>
        <w:rPr>
          <w:rFonts w:ascii="Verdana" w:hAnsi="Verdana" w:cs="Arial"/>
          <w:color w:val="000000" w:themeColor="text1"/>
        </w:rPr>
      </w:pPr>
    </w:p>
    <w:p w14:paraId="2B2907C3" w14:textId="77777777" w:rsidR="00C03BA2" w:rsidRPr="0004784B" w:rsidRDefault="00C03BA2" w:rsidP="00C03BA2">
      <w:pPr>
        <w:spacing w:after="0" w:line="276" w:lineRule="auto"/>
        <w:contextualSpacing/>
        <w:jc w:val="both"/>
        <w:rPr>
          <w:rFonts w:ascii="Verdana" w:eastAsia="Calibri" w:hAnsi="Verdana" w:cs="Arial"/>
          <w:lang w:val="es-ES_tradnl"/>
        </w:rPr>
      </w:pPr>
      <w:r w:rsidRPr="008900F6">
        <w:rPr>
          <w:rFonts w:ascii="Verdana" w:hAnsi="Verdana" w:cs="Arial"/>
          <w:shd w:val="clear" w:color="auto" w:fill="FFFFFF"/>
          <w:lang w:val="es-ES"/>
        </w:rPr>
        <w:t xml:space="preserve">Sobre la determinación las causales de rechazo en los procesos de contratación estatal, se pronunció esta Subdirección en los conceptos C-278 del 24 de agosto de 2023, C-271 del 15 de agosto de 2023, C-265 de 26 de julio de 2023, C-280 del 06 de junio de 2023, C-216 del 06 de junio de 2023, C-184 del 02 junio de 2023, C-141 de 30 de mayo de 2023, C-053 del 28 de marzo de 2023, </w:t>
      </w:r>
      <w:r>
        <w:rPr>
          <w:rFonts w:ascii="Verdana" w:hAnsi="Verdana" w:cs="Arial"/>
          <w:shd w:val="clear" w:color="auto" w:fill="FFFFFF"/>
          <w:lang w:val="es-ES"/>
        </w:rPr>
        <w:t xml:space="preserve">C-071 del 28 de febrero de 2025 </w:t>
      </w:r>
      <w:r w:rsidRPr="0004784B">
        <w:rPr>
          <w:rFonts w:ascii="Verdana" w:eastAsia="Calibri" w:hAnsi="Verdana" w:cs="Arial"/>
          <w:lang w:val="es-ES_tradnl"/>
        </w:rPr>
        <w:t>entre otros.</w:t>
      </w:r>
      <w:r w:rsidRPr="0004784B">
        <w:rPr>
          <w:rFonts w:ascii="Verdana" w:hAnsi="Verdana" w:cs="Arial"/>
          <w:shd w:val="clear" w:color="auto" w:fill="FFFFFF"/>
          <w:lang w:val="es-ES"/>
        </w:rPr>
        <w:t xml:space="preserve"> Estos</w:t>
      </w:r>
      <w:r w:rsidRPr="0004784B">
        <w:rPr>
          <w:rFonts w:ascii="Verdana" w:hAnsi="Verdana"/>
        </w:rPr>
        <w:t xml:space="preserve"> y otros conceptos se encuentran disponibles para consulta en el Sistema de relatoría de la Agencia, al cual se puede acceder a través del siguiente enlace:</w:t>
      </w:r>
      <w:r w:rsidRPr="0004784B">
        <w:rPr>
          <w:rFonts w:ascii="Verdana" w:hAnsi="Verdana" w:cs="Arial"/>
          <w:shd w:val="clear" w:color="auto" w:fill="FFFFFF"/>
          <w:lang w:val="es-ES"/>
        </w:rPr>
        <w:t xml:space="preserve"> </w:t>
      </w:r>
      <w:hyperlink r:id="rId12" w:history="1">
        <w:r w:rsidRPr="007946E5">
          <w:rPr>
            <w:rStyle w:val="Hipervnculo"/>
            <w:rFonts w:ascii="Verdana" w:hAnsi="Verdana" w:cs="Arial"/>
            <w:shd w:val="clear" w:color="auto" w:fill="FFFFFF"/>
            <w:lang w:val="es-ES"/>
          </w:rPr>
          <w:t>https://relatoria.colombiacompra.gov.co/busqueda/concept os</w:t>
        </w:r>
      </w:hyperlink>
      <w:r w:rsidRPr="0004784B">
        <w:rPr>
          <w:rFonts w:ascii="Verdana" w:hAnsi="Verdana" w:cs="Arial"/>
          <w:shd w:val="clear" w:color="auto" w:fill="FFFFFF"/>
          <w:lang w:val="es-ES"/>
        </w:rPr>
        <w:t>.</w:t>
      </w:r>
      <w:r w:rsidRPr="0004784B">
        <w:rPr>
          <w:rFonts w:ascii="Verdana" w:hAnsi="Verdana" w:cs="Arial"/>
          <w:color w:val="FF0000"/>
          <w:shd w:val="clear" w:color="auto" w:fill="FFFFFF"/>
          <w:lang w:val="es-ES"/>
        </w:rPr>
        <w:t xml:space="preserve"> </w:t>
      </w:r>
      <w:r w:rsidRPr="0004784B">
        <w:rPr>
          <w:rFonts w:ascii="Verdana" w:hAnsi="Verdana" w:cs="Arial"/>
          <w:color w:val="000000" w:themeColor="text1"/>
          <w:shd w:val="clear" w:color="auto" w:fill="FFFFFF"/>
        </w:rPr>
        <w:t>  </w:t>
      </w:r>
    </w:p>
    <w:p w14:paraId="601B7FB5" w14:textId="77777777" w:rsidR="00C03BA2" w:rsidRPr="0004784B" w:rsidRDefault="00C03BA2" w:rsidP="00C03BA2">
      <w:pPr>
        <w:widowControl w:val="0"/>
        <w:autoSpaceDE w:val="0"/>
        <w:autoSpaceDN w:val="0"/>
        <w:spacing w:after="0" w:line="276" w:lineRule="auto"/>
        <w:jc w:val="both"/>
        <w:rPr>
          <w:rStyle w:val="normaltextrun"/>
          <w:rFonts w:ascii="Verdana" w:hAnsi="Verdana" w:cs="Arial"/>
          <w:color w:val="000000" w:themeColor="text1"/>
          <w:shd w:val="clear" w:color="auto" w:fill="FFFFFF"/>
        </w:rPr>
      </w:pPr>
    </w:p>
    <w:p w14:paraId="19FF219E" w14:textId="77777777" w:rsidR="00C03BA2" w:rsidRDefault="00C03BA2" w:rsidP="00C03BA2">
      <w:pPr>
        <w:widowControl w:val="0"/>
        <w:autoSpaceDE w:val="0"/>
        <w:autoSpaceDN w:val="0"/>
        <w:spacing w:after="0" w:line="276" w:lineRule="auto"/>
        <w:jc w:val="both"/>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 xml:space="preserve">Guía de Contratación </w:t>
      </w:r>
      <w:r w:rsidRPr="00505CD6">
        <w:rPr>
          <w:rFonts w:ascii="Verdana" w:hAnsi="Verdana" w:cs="Arial"/>
          <w:b/>
          <w:bCs/>
          <w:color w:val="000000" w:themeColor="text1"/>
          <w:shd w:val="clear" w:color="auto" w:fill="FFFFFF"/>
        </w:rPr>
        <w:lastRenderedPageBreak/>
        <w:t>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t>.</w:t>
      </w:r>
    </w:p>
    <w:p w14:paraId="6BB95C39" w14:textId="77777777" w:rsidR="00C03BA2" w:rsidRDefault="00C03BA2" w:rsidP="00C03BA2">
      <w:pPr>
        <w:widowControl w:val="0"/>
        <w:autoSpaceDE w:val="0"/>
        <w:autoSpaceDN w:val="0"/>
        <w:spacing w:after="0" w:line="276" w:lineRule="auto"/>
        <w:jc w:val="both"/>
      </w:pPr>
    </w:p>
    <w:p w14:paraId="4113EEE4" w14:textId="77777777" w:rsidR="00C03BA2" w:rsidRPr="00505CD6" w:rsidRDefault="00C03BA2" w:rsidP="00C03BA2">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4C08828" w14:textId="77777777" w:rsidR="00C03BA2" w:rsidRPr="0004784B" w:rsidRDefault="00C03BA2" w:rsidP="00C03BA2">
      <w:pPr>
        <w:widowControl w:val="0"/>
        <w:autoSpaceDE w:val="0"/>
        <w:autoSpaceDN w:val="0"/>
        <w:spacing w:after="0" w:line="276" w:lineRule="auto"/>
        <w:jc w:val="both"/>
        <w:rPr>
          <w:rFonts w:ascii="Verdana" w:hAnsi="Verdana" w:cs="Arial"/>
        </w:rPr>
      </w:pPr>
    </w:p>
    <w:p w14:paraId="59342C83" w14:textId="77777777" w:rsidR="00C03BA2" w:rsidRDefault="00C03BA2" w:rsidP="00C03BA2">
      <w:pPr>
        <w:spacing w:after="0" w:line="276" w:lineRule="auto"/>
        <w:jc w:val="both"/>
        <w:rPr>
          <w:rFonts w:ascii="Verdana" w:hAnsi="Verdana" w:cs="Arial"/>
          <w:lang w:eastAsia="es-CO"/>
        </w:rPr>
      </w:pPr>
      <w:r w:rsidRPr="0004784B">
        <w:rPr>
          <w:rFonts w:ascii="Verdana" w:eastAsia="Times New Roman" w:hAnsi="Verdana" w:cs="Arial"/>
          <w:lang w:eastAsia="es-CO"/>
        </w:rPr>
        <w:t>Atentamente,</w:t>
      </w:r>
      <w:r w:rsidRPr="0004784B">
        <w:rPr>
          <w:rFonts w:ascii="Verdana" w:hAnsi="Verdana" w:cs="Arial"/>
          <w:lang w:eastAsia="es-CO"/>
        </w:rPr>
        <w:t xml:space="preserve"> </w:t>
      </w:r>
    </w:p>
    <w:p w14:paraId="419C9075" w14:textId="50A2471A" w:rsidR="00C03BA2" w:rsidRPr="009D6ED9" w:rsidRDefault="00EB41C9" w:rsidP="00C03BA2">
      <w:pPr>
        <w:spacing w:after="0" w:line="276" w:lineRule="auto"/>
        <w:jc w:val="center"/>
        <w:rPr>
          <w:rFonts w:ascii="Verdana" w:hAnsi="Verdana" w:cs="Arial"/>
          <w:lang w:eastAsia="es-CO"/>
        </w:rPr>
      </w:pPr>
      <w:r w:rsidRPr="002C3AD6">
        <w:rPr>
          <w:rFonts w:ascii="Century Gothic" w:hAnsi="Century Gothic"/>
          <w:noProof/>
        </w:rPr>
        <w:drawing>
          <wp:inline distT="0" distB="0" distL="0" distR="0" wp14:anchorId="7C8E99DE" wp14:editId="05B1C94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p w14:paraId="2E5E9D70" w14:textId="77777777" w:rsidR="00C03BA2" w:rsidRDefault="00C03BA2" w:rsidP="00C03BA2">
      <w:pPr>
        <w:spacing w:line="276" w:lineRule="auto"/>
        <w:rPr>
          <w:noProof/>
          <w:color w:val="000000"/>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03BA2" w:rsidRPr="0004784B" w14:paraId="13205856" w14:textId="77777777" w:rsidTr="00FC6C46">
        <w:trPr>
          <w:trHeight w:val="315"/>
        </w:trPr>
        <w:tc>
          <w:tcPr>
            <w:tcW w:w="893" w:type="dxa"/>
            <w:vAlign w:val="center"/>
            <w:hideMark/>
          </w:tcPr>
          <w:p w14:paraId="7ECAAFB8" w14:textId="77777777" w:rsidR="00C03BA2" w:rsidRPr="0004784B" w:rsidRDefault="00C03BA2" w:rsidP="00FC6C46">
            <w:pPr>
              <w:contextualSpacing/>
              <w:rPr>
                <w:rFonts w:ascii="Verdana" w:hAnsi="Verdana" w:cs="Arial"/>
                <w:sz w:val="16"/>
                <w:szCs w:val="16"/>
                <w:lang w:val="es-ES" w:eastAsia="es-ES"/>
              </w:rPr>
            </w:pPr>
            <w:r w:rsidRPr="0004784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0C42479" w14:textId="77777777" w:rsidR="00C03BA2" w:rsidRPr="00EB41C9" w:rsidRDefault="00C03BA2" w:rsidP="00FC6C46">
            <w:pPr>
              <w:contextualSpacing/>
              <w:rPr>
                <w:rFonts w:ascii="Verdana" w:hAnsi="Verdana"/>
                <w:sz w:val="16"/>
                <w:szCs w:val="16"/>
              </w:rPr>
            </w:pPr>
            <w:r w:rsidRPr="00EB41C9">
              <w:rPr>
                <w:rFonts w:ascii="Verdana" w:hAnsi="Verdana"/>
                <w:sz w:val="16"/>
                <w:szCs w:val="16"/>
              </w:rPr>
              <w:t>Richard Andrés Montenegro Siefken</w:t>
            </w:r>
          </w:p>
          <w:p w14:paraId="3FB80EE6" w14:textId="77777777" w:rsidR="00C03BA2" w:rsidRPr="0004784B" w:rsidRDefault="00C03BA2" w:rsidP="00FC6C46">
            <w:pPr>
              <w:contextualSpacing/>
              <w:rPr>
                <w:rFonts w:ascii="Verdana" w:eastAsia="Arial" w:hAnsi="Verdana" w:cs="Arial"/>
                <w:sz w:val="16"/>
                <w:szCs w:val="16"/>
              </w:rPr>
            </w:pPr>
            <w:r w:rsidRPr="0004784B">
              <w:rPr>
                <w:rFonts w:ascii="Verdana" w:hAnsi="Verdana"/>
                <w:sz w:val="16"/>
                <w:szCs w:val="16"/>
              </w:rPr>
              <w:t>Contratista de la Subdirección de Gestión Contractual</w:t>
            </w:r>
          </w:p>
        </w:tc>
      </w:tr>
      <w:tr w:rsidR="00C03BA2" w:rsidRPr="0004784B" w14:paraId="2A3941FD" w14:textId="77777777" w:rsidTr="00FC6C46">
        <w:trPr>
          <w:trHeight w:val="330"/>
        </w:trPr>
        <w:tc>
          <w:tcPr>
            <w:tcW w:w="893" w:type="dxa"/>
            <w:vAlign w:val="center"/>
            <w:hideMark/>
          </w:tcPr>
          <w:p w14:paraId="5AE9995B" w14:textId="77777777" w:rsidR="00C03BA2" w:rsidRPr="0004784B" w:rsidRDefault="00C03BA2" w:rsidP="00FC6C46">
            <w:pPr>
              <w:contextualSpacing/>
              <w:rPr>
                <w:rFonts w:ascii="Verdana" w:hAnsi="Verdana" w:cs="Arial"/>
                <w:sz w:val="16"/>
                <w:szCs w:val="16"/>
                <w:lang w:val="es-ES" w:eastAsia="es-ES"/>
              </w:rPr>
            </w:pPr>
            <w:r w:rsidRPr="0004784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EAD2827" w14:textId="77777777" w:rsidR="00C03BA2" w:rsidRPr="00CE5E41" w:rsidRDefault="00C03BA2" w:rsidP="00FC6C46">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Diana Lucia Saavedra Castañeda</w:t>
            </w:r>
          </w:p>
          <w:p w14:paraId="63EA2FD1" w14:textId="77777777" w:rsidR="00C03BA2" w:rsidRPr="0004784B" w:rsidRDefault="00C03BA2" w:rsidP="00FC6C46">
            <w:pPr>
              <w:pStyle w:val="paragraph"/>
              <w:spacing w:before="0" w:beforeAutospacing="0" w:after="0" w:afterAutospacing="0"/>
              <w:contextualSpacing/>
              <w:textAlignment w:val="baseline"/>
              <w:rPr>
                <w:rFonts w:ascii="Verdana" w:hAnsi="Verdana" w:cstheme="minorHAnsi"/>
                <w:sz w:val="16"/>
                <w:szCs w:val="16"/>
              </w:rPr>
            </w:pPr>
            <w:r w:rsidRPr="0004784B">
              <w:rPr>
                <w:rStyle w:val="normaltextrun"/>
                <w:rFonts w:ascii="Verdana" w:eastAsia="Arial" w:hAnsi="Verdana" w:cs="Arial"/>
                <w:sz w:val="16"/>
                <w:szCs w:val="16"/>
              </w:rPr>
              <w:t>Contratista Subdirección de Gestión Contractual</w:t>
            </w:r>
          </w:p>
        </w:tc>
      </w:tr>
      <w:tr w:rsidR="00C03BA2" w:rsidRPr="00593A5F" w14:paraId="58D595A7" w14:textId="77777777" w:rsidTr="00FC6C46">
        <w:trPr>
          <w:trHeight w:val="300"/>
        </w:trPr>
        <w:tc>
          <w:tcPr>
            <w:tcW w:w="893" w:type="dxa"/>
            <w:vAlign w:val="center"/>
          </w:tcPr>
          <w:p w14:paraId="71A55150" w14:textId="77777777" w:rsidR="00C03BA2" w:rsidRPr="0004784B" w:rsidRDefault="00C03BA2" w:rsidP="00FC6C46">
            <w:pPr>
              <w:contextualSpacing/>
              <w:rPr>
                <w:rFonts w:ascii="Verdana" w:hAnsi="Verdana" w:cs="Arial"/>
                <w:sz w:val="16"/>
                <w:szCs w:val="16"/>
                <w:lang w:val="es-ES" w:eastAsia="es-ES"/>
              </w:rPr>
            </w:pPr>
            <w:r w:rsidRPr="0004784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E2D520F" w14:textId="77777777" w:rsidR="00C03BA2" w:rsidRPr="00767325" w:rsidRDefault="00C03BA2" w:rsidP="00FC6C46">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5BB20E25" w14:textId="77777777" w:rsidR="00C03BA2" w:rsidRPr="000015E6" w:rsidRDefault="00C03BA2" w:rsidP="00FC6C46">
            <w:pPr>
              <w:contextualSpacing/>
              <w:rPr>
                <w:rFonts w:ascii="Verdana" w:eastAsia="Calibri" w:hAnsi="Verdana" w:cs="Arial"/>
                <w:sz w:val="16"/>
                <w:szCs w:val="16"/>
                <w:lang w:val="pt-BR" w:eastAsia="es-ES"/>
              </w:rPr>
            </w:pPr>
            <w:r w:rsidRPr="00767325">
              <w:rPr>
                <w:rFonts w:ascii="Verdana" w:eastAsia="Calibri" w:hAnsi="Verdana" w:cs="Arial"/>
                <w:sz w:val="16"/>
                <w:szCs w:val="16"/>
                <w:lang w:val="pt-BR" w:eastAsia="es-ES"/>
              </w:rPr>
              <w:t>Subdiretora de Gestión Contratual ANCP – CCE</w:t>
            </w:r>
          </w:p>
        </w:tc>
      </w:tr>
    </w:tbl>
    <w:p w14:paraId="14DB1D4F" w14:textId="77777777" w:rsidR="00C03BA2" w:rsidRPr="0044528D" w:rsidRDefault="00C03BA2" w:rsidP="00C03BA2">
      <w:pPr>
        <w:spacing w:after="0"/>
        <w:rPr>
          <w:rFonts w:ascii="Verdana" w:hAnsi="Verdana"/>
        </w:rPr>
      </w:pPr>
    </w:p>
    <w:p w14:paraId="350019EB" w14:textId="77777777" w:rsidR="00C03BA2" w:rsidRPr="00303BD4" w:rsidRDefault="00C03BA2" w:rsidP="00C03BA2"/>
    <w:p w14:paraId="0F293BF4" w14:textId="3E85CB58" w:rsidR="00127233" w:rsidRPr="00AD13D4" w:rsidRDefault="00127233" w:rsidP="00AD13D4"/>
    <w:sectPr w:rsidR="00127233" w:rsidRPr="00AD13D4"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3C590" w14:textId="77777777" w:rsidR="00D32570" w:rsidRDefault="00D32570" w:rsidP="004A1847">
      <w:pPr>
        <w:spacing w:after="0" w:line="240" w:lineRule="auto"/>
      </w:pPr>
      <w:r>
        <w:separator/>
      </w:r>
    </w:p>
  </w:endnote>
  <w:endnote w:type="continuationSeparator" w:id="0">
    <w:p w14:paraId="6BCC5656" w14:textId="77777777" w:rsidR="00D32570" w:rsidRDefault="00D3257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D88E97" w14:textId="77777777" w:rsidR="00D32570" w:rsidRDefault="00D32570" w:rsidP="004A1847">
      <w:pPr>
        <w:spacing w:after="0" w:line="240" w:lineRule="auto"/>
      </w:pPr>
      <w:r>
        <w:separator/>
      </w:r>
    </w:p>
  </w:footnote>
  <w:footnote w:type="continuationSeparator" w:id="0">
    <w:p w14:paraId="6495E2AE" w14:textId="77777777" w:rsidR="00D32570" w:rsidRDefault="00D32570" w:rsidP="004A1847">
      <w:pPr>
        <w:spacing w:after="0" w:line="240" w:lineRule="auto"/>
      </w:pPr>
      <w:r>
        <w:continuationSeparator/>
      </w:r>
    </w:p>
  </w:footnote>
  <w:footnote w:id="1">
    <w:p w14:paraId="0113F5BB" w14:textId="77777777" w:rsidR="00C03BA2" w:rsidRPr="00CA419A" w:rsidRDefault="00C03BA2" w:rsidP="00C03BA2">
      <w:pPr>
        <w:pStyle w:val="Textonotapie"/>
        <w:ind w:firstLine="708"/>
        <w:jc w:val="both"/>
        <w:rPr>
          <w:rFonts w:ascii="Verdana" w:eastAsia="Calibri" w:hAnsi="Verdana" w:cs="Arial"/>
          <w:sz w:val="16"/>
          <w:szCs w:val="16"/>
          <w:lang w:val="es-CO"/>
        </w:rPr>
      </w:pPr>
      <w:r w:rsidRPr="00CA419A">
        <w:rPr>
          <w:rStyle w:val="Refdenotaalpie"/>
          <w:rFonts w:ascii="Verdana" w:hAnsi="Verdana" w:cs="Arial"/>
          <w:sz w:val="16"/>
          <w:szCs w:val="16"/>
        </w:rPr>
        <w:footnoteRef/>
      </w:r>
      <w:r w:rsidRPr="00CA419A">
        <w:rPr>
          <w:rFonts w:ascii="Verdana" w:hAnsi="Verdana" w:cs="Arial"/>
          <w:sz w:val="16"/>
          <w:szCs w:val="16"/>
        </w:rPr>
        <w:t xml:space="preserve"> </w:t>
      </w:r>
      <w:r w:rsidRPr="00CA419A">
        <w:rPr>
          <w:rFonts w:ascii="Verdana" w:eastAsia="Times New Roman" w:hAnsi="Verdana" w:cs="Arial"/>
          <w:sz w:val="16"/>
          <w:szCs w:val="16"/>
          <w:lang w:val="es-CO" w:eastAsia="es-CO"/>
        </w:rPr>
        <w:t>Consejo de Estado. Sección Tercera. Sentencia del 27 de abril de 2011. Exp. 18.293. C.P. Ruth Stella Correa Palacio.</w:t>
      </w:r>
    </w:p>
  </w:footnote>
  <w:footnote w:id="2">
    <w:p w14:paraId="75C6C8CB" w14:textId="77777777" w:rsidR="00C03BA2" w:rsidRPr="00CA419A" w:rsidRDefault="00C03BA2" w:rsidP="00C03BA2">
      <w:pPr>
        <w:pStyle w:val="Textonotapie"/>
        <w:ind w:firstLine="708"/>
        <w:jc w:val="both"/>
        <w:rPr>
          <w:rFonts w:ascii="Verdana" w:eastAsia="Times New Roman" w:hAnsi="Verdana" w:cs="Arial"/>
          <w:sz w:val="16"/>
          <w:szCs w:val="16"/>
          <w:lang w:val="es-CO" w:eastAsia="es-CO"/>
        </w:rPr>
      </w:pPr>
      <w:r w:rsidRPr="00CA419A">
        <w:rPr>
          <w:rStyle w:val="Refdenotaalpie"/>
          <w:rFonts w:ascii="Verdana" w:hAnsi="Verdana" w:cs="Arial"/>
          <w:sz w:val="16"/>
          <w:szCs w:val="16"/>
        </w:rPr>
        <w:footnoteRef/>
      </w:r>
      <w:r w:rsidRPr="00CA419A">
        <w:rPr>
          <w:rFonts w:ascii="Verdana" w:hAnsi="Verdana" w:cs="Arial"/>
          <w:sz w:val="16"/>
          <w:szCs w:val="16"/>
        </w:rPr>
        <w:t xml:space="preserve"> </w:t>
      </w:r>
      <w:r w:rsidRPr="00CA419A">
        <w:rPr>
          <w:rFonts w:ascii="Verdana" w:eastAsia="Times New Roman" w:hAnsi="Verdana" w:cs="Arial"/>
          <w:sz w:val="16"/>
          <w:szCs w:val="16"/>
          <w:lang w:val="es-CO" w:eastAsia="es-CO"/>
        </w:rPr>
        <w:t xml:space="preserve">Consejo de Estado. Sección Tercera. Sentencia del 21 de noviembre de 2013 </w:t>
      </w:r>
      <w:r w:rsidRPr="00CA419A">
        <w:rPr>
          <w:rFonts w:ascii="Verdana" w:eastAsia="Times New Roman" w:hAnsi="Verdana" w:cs="Arial"/>
          <w:sz w:val="16"/>
          <w:szCs w:val="16"/>
          <w:lang w:val="es-CO" w:eastAsia="es-CO"/>
        </w:rPr>
        <w:t>Exp. 25397. C.P. Carlos Alberto Zambrano Barrera.</w:t>
      </w:r>
    </w:p>
    <w:p w14:paraId="661206FC" w14:textId="77777777" w:rsidR="00C03BA2" w:rsidRPr="00CA419A" w:rsidRDefault="00C03BA2" w:rsidP="00C03BA2">
      <w:pPr>
        <w:pStyle w:val="Textonotapie"/>
        <w:ind w:firstLine="708"/>
        <w:jc w:val="both"/>
        <w:rPr>
          <w:rFonts w:ascii="Verdana" w:eastAsia="Calibri" w:hAnsi="Verdana" w:cs="Arial"/>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4A99"/>
    <w:rsid w:val="00046945"/>
    <w:rsid w:val="00061B2A"/>
    <w:rsid w:val="00082362"/>
    <w:rsid w:val="000A683E"/>
    <w:rsid w:val="000B19B9"/>
    <w:rsid w:val="000D0334"/>
    <w:rsid w:val="000F6486"/>
    <w:rsid w:val="00125105"/>
    <w:rsid w:val="00127233"/>
    <w:rsid w:val="001E33D4"/>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6140D"/>
    <w:rsid w:val="00374F5E"/>
    <w:rsid w:val="00377E3E"/>
    <w:rsid w:val="003804BA"/>
    <w:rsid w:val="003A340A"/>
    <w:rsid w:val="003A779E"/>
    <w:rsid w:val="003D0F4D"/>
    <w:rsid w:val="003D5B0D"/>
    <w:rsid w:val="003E0499"/>
    <w:rsid w:val="003E099A"/>
    <w:rsid w:val="003F3941"/>
    <w:rsid w:val="00406575"/>
    <w:rsid w:val="00414C74"/>
    <w:rsid w:val="0042722E"/>
    <w:rsid w:val="0044528D"/>
    <w:rsid w:val="004A1847"/>
    <w:rsid w:val="004A305D"/>
    <w:rsid w:val="004F21C4"/>
    <w:rsid w:val="004F685F"/>
    <w:rsid w:val="005566E8"/>
    <w:rsid w:val="005711CB"/>
    <w:rsid w:val="00574867"/>
    <w:rsid w:val="00591460"/>
    <w:rsid w:val="005C3777"/>
    <w:rsid w:val="005C5CDC"/>
    <w:rsid w:val="005D476C"/>
    <w:rsid w:val="005E0755"/>
    <w:rsid w:val="0062157F"/>
    <w:rsid w:val="006219F8"/>
    <w:rsid w:val="006302F7"/>
    <w:rsid w:val="00665D70"/>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E2D7F"/>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AB4D38"/>
    <w:rsid w:val="00AC08DE"/>
    <w:rsid w:val="00AD13D4"/>
    <w:rsid w:val="00B00C0E"/>
    <w:rsid w:val="00B01B1A"/>
    <w:rsid w:val="00B44A47"/>
    <w:rsid w:val="00B72CD3"/>
    <w:rsid w:val="00B72FFF"/>
    <w:rsid w:val="00B8056F"/>
    <w:rsid w:val="00BC3D36"/>
    <w:rsid w:val="00BD7F72"/>
    <w:rsid w:val="00C0379A"/>
    <w:rsid w:val="00C03BA2"/>
    <w:rsid w:val="00C04FB3"/>
    <w:rsid w:val="00C330EB"/>
    <w:rsid w:val="00C754BE"/>
    <w:rsid w:val="00C76B1C"/>
    <w:rsid w:val="00CB6357"/>
    <w:rsid w:val="00CC1B26"/>
    <w:rsid w:val="00D32570"/>
    <w:rsid w:val="00D423A2"/>
    <w:rsid w:val="00D520D8"/>
    <w:rsid w:val="00D533B2"/>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B41C9"/>
    <w:rsid w:val="00EC38A7"/>
    <w:rsid w:val="00EE1AA8"/>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03BA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03BA2"/>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rencia@obyproltda.com.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dcmitype/"/>
    <ds:schemaRef ds:uri="a6cb9e4b-f1d1-4245-83ec-6cad768d538a"/>
    <ds:schemaRef ds:uri="9d85dbaf-23eb-4e57-a637-93dcacc8b1a1"/>
    <ds:schemaRef ds:uri="http://purl.org/dc/elements/1.1/"/>
    <ds:schemaRef ds:uri="http://www.w3.org/XML/1998/namespace"/>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term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C0A6A80-C689-417E-949B-DF043C2842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9</Pages>
  <Words>2978</Words>
  <Characters>16380</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2025-10-21T14:16:00Z</dcterms:created>
  <dcterms:modified xsi:type="dcterms:W3CDTF">2025-10-21T14:16:00Z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