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81C0C" w14:textId="77777777" w:rsidR="009A2B8B" w:rsidRDefault="004A4E03" w:rsidP="004A4E03">
      <w:pPr>
        <w:jc w:val="both"/>
        <w:rPr>
          <w:rFonts w:ascii="Verdana" w:eastAsia="Arial" w:hAnsi="Verdana" w:cs="Arial"/>
          <w:b/>
          <w:bCs/>
        </w:rPr>
      </w:pPr>
      <w:bookmarkStart w:id="0" w:name="_Hlk143780582"/>
      <w:r w:rsidRPr="009A2B8B">
        <w:rPr>
          <w:rFonts w:ascii="Verdana" w:eastAsia="Arial" w:hAnsi="Verdana" w:cs="Arial"/>
          <w:b/>
          <w:bCs/>
        </w:rPr>
        <w:t xml:space="preserve">DECRETO 1600 DE 2024- Capítulo Tercero – Entidades obligadas a su aplicación </w:t>
      </w:r>
    </w:p>
    <w:p w14:paraId="0E456BA7" w14:textId="77777777" w:rsidR="00100DEA" w:rsidRDefault="00100DEA" w:rsidP="00100DEA">
      <w:pPr>
        <w:jc w:val="both"/>
        <w:rPr>
          <w:rFonts w:ascii="Verdana" w:hAnsi="Verdana" w:cs="Arial"/>
          <w:sz w:val="20"/>
          <w:szCs w:val="20"/>
          <w:lang w:eastAsia="es-ES" w:bidi="es-ES"/>
        </w:rPr>
      </w:pPr>
      <w:r w:rsidRPr="00100DEA">
        <w:rPr>
          <w:rFonts w:ascii="Verdana" w:hAnsi="Verdana" w:cs="Arial"/>
          <w:sz w:val="20"/>
          <w:szCs w:val="20"/>
          <w:lang w:eastAsia="es-ES" w:bidi="es-ES"/>
        </w:rPr>
        <w:t xml:space="preserve">El Capítulo 3°, Sección 1°, Título 4°, Parte 1°, Libro 2° del Decreto 1081 de 2015, que fue modificado por el Decreto 1600 de 2024, tiene como objeto: “[…] 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08DE884F" w14:textId="77777777" w:rsidR="00521801" w:rsidRPr="00100DEA" w:rsidRDefault="00521801" w:rsidP="00100DEA">
      <w:pPr>
        <w:spacing w:after="0" w:line="240" w:lineRule="auto"/>
        <w:jc w:val="both"/>
        <w:rPr>
          <w:rFonts w:ascii="Verdana" w:hAnsi="Verdana" w:cs="Arial"/>
          <w:sz w:val="20"/>
          <w:szCs w:val="20"/>
          <w:lang w:eastAsia="es-ES" w:bidi="es-ES"/>
        </w:rPr>
      </w:pPr>
    </w:p>
    <w:p w14:paraId="09F2F622" w14:textId="183FAE6D" w:rsidR="009A2B8B" w:rsidRPr="00100DEA" w:rsidRDefault="00100DEA" w:rsidP="00100DEA">
      <w:pPr>
        <w:spacing w:after="0" w:line="240" w:lineRule="auto"/>
        <w:jc w:val="both"/>
        <w:rPr>
          <w:rFonts w:ascii="Verdana" w:hAnsi="Verdana" w:cs="Arial"/>
          <w:sz w:val="20"/>
          <w:szCs w:val="20"/>
          <w:lang w:eastAsia="es-ES" w:bidi="es-ES"/>
        </w:rPr>
      </w:pPr>
      <w:r w:rsidRPr="00100DEA">
        <w:rPr>
          <w:rFonts w:ascii="Verdana" w:hAnsi="Verdana" w:cs="Arial"/>
          <w:sz w:val="20"/>
          <w:szCs w:val="20"/>
          <w:lang w:eastAsia="es-ES" w:bidi="es-ES"/>
        </w:rPr>
        <w:t>Ahora bien, el ámbito o campo de aplicación de este capítulo, al cual se hace referencia en su consulta, está regulado en el artículo 2.1.4.3.1.2.  que señala que sus reglas están dirigidas 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w:t>
      </w:r>
    </w:p>
    <w:p w14:paraId="5901E338" w14:textId="77777777" w:rsidR="00100DEA" w:rsidRDefault="00100DEA" w:rsidP="00100DEA">
      <w:pPr>
        <w:spacing w:after="0" w:line="240" w:lineRule="auto"/>
        <w:jc w:val="both"/>
        <w:rPr>
          <w:rFonts w:ascii="Verdana" w:hAnsi="Verdana" w:cs="Arial"/>
          <w:b/>
          <w:bCs/>
          <w:lang w:eastAsia="es-ES" w:bidi="es-ES"/>
        </w:rPr>
      </w:pPr>
    </w:p>
    <w:p w14:paraId="44101179" w14:textId="26099766" w:rsidR="009A2B8B" w:rsidRDefault="004A4E03" w:rsidP="004A4E03">
      <w:pPr>
        <w:jc w:val="both"/>
        <w:rPr>
          <w:rFonts w:ascii="Verdana" w:hAnsi="Verdana" w:cs="Arial"/>
          <w:b/>
          <w:bCs/>
          <w:lang w:eastAsia="es-ES" w:bidi="es-ES"/>
        </w:rPr>
      </w:pPr>
      <w:r w:rsidRPr="009A2B8B">
        <w:rPr>
          <w:rFonts w:ascii="Verdana" w:hAnsi="Verdana" w:cs="Arial"/>
          <w:b/>
          <w:bCs/>
          <w:lang w:eastAsia="es-ES" w:bidi="es-ES"/>
        </w:rPr>
        <w:t xml:space="preserve">DECRETO 1600 DE 2024 – Entidades no obligadas a su aplicación </w:t>
      </w:r>
    </w:p>
    <w:p w14:paraId="4BBF575D" w14:textId="4C5311D1" w:rsidR="009A2B8B" w:rsidRDefault="00100DEA" w:rsidP="00100DEA">
      <w:pPr>
        <w:spacing w:after="0" w:line="240" w:lineRule="auto"/>
        <w:jc w:val="both"/>
        <w:rPr>
          <w:rFonts w:ascii="Verdana" w:eastAsia="Calibri" w:hAnsi="Verdana" w:cs="Arial"/>
          <w:bCs/>
          <w:iCs/>
          <w:sz w:val="20"/>
          <w:szCs w:val="20"/>
          <w:lang w:eastAsia="es-ES_tradnl"/>
        </w:rPr>
      </w:pPr>
      <w:r w:rsidRPr="00100DEA">
        <w:rPr>
          <w:rFonts w:ascii="Verdana" w:eastAsia="Calibri" w:hAnsi="Verdana" w:cs="Arial"/>
          <w:bCs/>
          <w:iCs/>
          <w:sz w:val="20"/>
          <w:szCs w:val="20"/>
          <w:lang w:eastAsia="es-ES_tradnl"/>
        </w:rPr>
        <w:t>De lo expuesto se concluye que, las disposiciones contenidas en el Decreto 1600 de 2024, específicamente en el capítulo 3, son aplicables de forma obligatoria a las entidades y empresas del Estado del orden nacional y pertenecientes a la Rama Ejecutiva del Poder Público, así como a las empresas industriales y comerciales del Estado, las sociedades de economía mixta y todas las demás instituciones sometidas a regímenes especiales de contratación de este orden. Tratándose de las entidades territoriales y sus entidades descentralizadas no serán aplicables dichas disposiciones. No obstante, se establece que en el marco de su autonomía y en cumplimiento de lo previsto en el artículo 32 de la Ley 152 de 1994, aplicarán en sus planes y políticas, las líneas de acción contenidas en el citado Decreto, conforme a lo regulado en el artículo 200</w:t>
      </w:r>
      <w:r w:rsidRPr="00100DEA">
        <w:rPr>
          <w:rFonts w:ascii="Verdana" w:hAnsi="Verdana"/>
          <w:sz w:val="20"/>
          <w:szCs w:val="20"/>
        </w:rPr>
        <w:t xml:space="preserve"> </w:t>
      </w:r>
      <w:r w:rsidRPr="00100DEA">
        <w:rPr>
          <w:rFonts w:ascii="Verdana" w:eastAsia="Calibri" w:hAnsi="Verdana" w:cs="Arial"/>
          <w:bCs/>
          <w:iCs/>
          <w:sz w:val="20"/>
          <w:szCs w:val="20"/>
          <w:lang w:eastAsia="es-ES_tradnl"/>
        </w:rPr>
        <w:t>de la Ley 2294 de 2023.</w:t>
      </w:r>
    </w:p>
    <w:p w14:paraId="7016FF7A" w14:textId="77777777" w:rsidR="00100DEA" w:rsidRPr="00100DEA" w:rsidRDefault="00100DEA" w:rsidP="00100DEA">
      <w:pPr>
        <w:spacing w:after="0" w:line="240" w:lineRule="auto"/>
        <w:jc w:val="both"/>
        <w:rPr>
          <w:rFonts w:ascii="Verdana" w:eastAsia="Calibri" w:hAnsi="Verdana" w:cs="Arial"/>
          <w:bCs/>
          <w:iCs/>
          <w:sz w:val="20"/>
          <w:szCs w:val="20"/>
          <w:lang w:eastAsia="es-ES_tradnl"/>
        </w:rPr>
      </w:pPr>
    </w:p>
    <w:p w14:paraId="03DDB6A5" w14:textId="6E3D631C" w:rsidR="004A4E03" w:rsidRPr="009A2B8B" w:rsidRDefault="004A4E03" w:rsidP="004A4E03">
      <w:pPr>
        <w:jc w:val="both"/>
        <w:rPr>
          <w:rFonts w:ascii="Verdana" w:hAnsi="Verdana" w:cs="Arial"/>
          <w:b/>
          <w:bCs/>
          <w:lang w:eastAsia="es-ES" w:bidi="es-ES"/>
        </w:rPr>
      </w:pPr>
      <w:r w:rsidRPr="009A2B8B">
        <w:rPr>
          <w:rFonts w:ascii="Verdana" w:hAnsi="Verdana" w:cs="Arial"/>
          <w:b/>
          <w:bCs/>
          <w:lang w:eastAsia="es-ES" w:bidi="es-ES"/>
        </w:rPr>
        <w:t xml:space="preserve">DECRETO 1600 DE 2024 – Acciones de la gestión contractual – Aplicación </w:t>
      </w:r>
    </w:p>
    <w:p w14:paraId="7F8FE023" w14:textId="77777777" w:rsidR="00100DEA" w:rsidRPr="00100DEA" w:rsidRDefault="00100DEA" w:rsidP="00100DEA">
      <w:pPr>
        <w:spacing w:after="0" w:line="240" w:lineRule="auto"/>
        <w:jc w:val="both"/>
        <w:rPr>
          <w:rFonts w:ascii="Verdana" w:eastAsia="Calibri" w:hAnsi="Verdana" w:cs="Arial"/>
          <w:bCs/>
          <w:iCs/>
          <w:sz w:val="20"/>
          <w:szCs w:val="20"/>
          <w:lang w:eastAsia="es-ES_tradnl"/>
        </w:rPr>
      </w:pPr>
      <w:r w:rsidRPr="00100DEA">
        <w:rPr>
          <w:rFonts w:ascii="Verdana" w:eastAsia="Calibri" w:hAnsi="Verdana" w:cs="Arial"/>
          <w:bCs/>
          <w:iCs/>
          <w:sz w:val="20"/>
          <w:szCs w:val="20"/>
          <w:lang w:eastAsia="es-ES_tradnl"/>
        </w:rPr>
        <w:t xml:space="preserve">En este sentido, si bien la norma no impone una obligación directa a las entidades territoriales y sus descentralizadas, sí establece un mandato legal que estas deben considerar al momento de estructurar sus planes y políticas. De esta forma, la </w:t>
      </w:r>
      <w:r w:rsidRPr="00100DEA">
        <w:rPr>
          <w:rFonts w:ascii="Verdana" w:eastAsia="Calibri" w:hAnsi="Verdana" w:cs="Arial"/>
          <w:bCs/>
          <w:iCs/>
          <w:sz w:val="20"/>
          <w:szCs w:val="20"/>
          <w:lang w:eastAsia="es-ES_tradnl"/>
        </w:rPr>
        <w:lastRenderedPageBreak/>
        <w:t xml:space="preserve">incorporación de dichas líneas de acción deberá realizarse en el marco de autonomía y en cumplimiento de lo previsto en el artículo 32 de la Ley 152 de 1994, por lo que corresponderá a cada entidad determinar el instrumento más adecuado para integrarlas en sus </w:t>
      </w:r>
      <w:r w:rsidRPr="00100DEA">
        <w:rPr>
          <w:rFonts w:ascii="Verdana" w:eastAsia="Calibri" w:hAnsi="Verdana" w:cs="Arial"/>
          <w:bCs/>
          <w:i/>
          <w:sz w:val="20"/>
          <w:szCs w:val="20"/>
          <w:lang w:eastAsia="es-ES_tradnl"/>
        </w:rPr>
        <w:t>planes</w:t>
      </w:r>
      <w:r w:rsidRPr="00100DEA">
        <w:rPr>
          <w:rFonts w:ascii="Verdana" w:eastAsia="Calibri" w:hAnsi="Verdana" w:cs="Arial"/>
          <w:bCs/>
          <w:iCs/>
          <w:sz w:val="20"/>
          <w:szCs w:val="20"/>
          <w:lang w:eastAsia="es-ES_tradnl"/>
        </w:rPr>
        <w:t xml:space="preserve"> y</w:t>
      </w:r>
      <w:r w:rsidRPr="00100DEA">
        <w:rPr>
          <w:rFonts w:ascii="Verdana" w:eastAsia="Calibri" w:hAnsi="Verdana" w:cs="Arial"/>
          <w:bCs/>
          <w:i/>
          <w:sz w:val="20"/>
          <w:szCs w:val="20"/>
          <w:lang w:eastAsia="es-ES_tradnl"/>
        </w:rPr>
        <w:t xml:space="preserve"> en sus políticas</w:t>
      </w:r>
      <w:r w:rsidRPr="00100DEA">
        <w:rPr>
          <w:rFonts w:ascii="Verdana" w:eastAsia="Calibri" w:hAnsi="Verdana" w:cs="Arial"/>
          <w:bCs/>
          <w:iCs/>
          <w:sz w:val="20"/>
          <w:szCs w:val="20"/>
          <w:lang w:eastAsia="es-ES_tradnl"/>
        </w:rPr>
        <w:t xml:space="preserve">, según sus competencias y capacidades institucionales. </w:t>
      </w:r>
    </w:p>
    <w:p w14:paraId="4C87CF67" w14:textId="77777777" w:rsidR="00100DEA" w:rsidRDefault="00100DEA" w:rsidP="00100DEA">
      <w:pPr>
        <w:spacing w:after="0" w:line="240" w:lineRule="auto"/>
        <w:jc w:val="both"/>
        <w:rPr>
          <w:rFonts w:ascii="Verdana" w:eastAsia="Calibri" w:hAnsi="Verdana" w:cs="Arial"/>
          <w:bCs/>
          <w:iCs/>
          <w:sz w:val="20"/>
          <w:szCs w:val="20"/>
          <w:lang w:eastAsia="es-ES_tradnl"/>
        </w:rPr>
      </w:pPr>
    </w:p>
    <w:p w14:paraId="4D969C5E" w14:textId="42E7AA94" w:rsidR="00100DEA" w:rsidRPr="00100DEA" w:rsidRDefault="00100DEA" w:rsidP="00100DEA">
      <w:pPr>
        <w:spacing w:after="0" w:line="240" w:lineRule="auto"/>
        <w:jc w:val="both"/>
        <w:rPr>
          <w:rFonts w:ascii="Verdana" w:eastAsia="Calibri" w:hAnsi="Verdana" w:cs="Arial"/>
          <w:bCs/>
          <w:sz w:val="20"/>
          <w:szCs w:val="20"/>
          <w:lang w:eastAsia="es-ES_tradnl"/>
        </w:rPr>
      </w:pPr>
      <w:r w:rsidRPr="00100DEA">
        <w:rPr>
          <w:rFonts w:ascii="Verdana" w:eastAsia="Calibri" w:hAnsi="Verdana" w:cs="Arial"/>
          <w:bCs/>
          <w:iCs/>
          <w:sz w:val="20"/>
          <w:szCs w:val="20"/>
          <w:lang w:eastAsia="es-ES_tradnl"/>
        </w:rPr>
        <w:t>En todo caso, aunque la norma no determina un plazo específico es importante tener en cuenta que las líneas de acción establecidas en el 2.1.4.3.2.1, al estar orientadas a la prevención de la corrupción en la contratación pública, requieren acciones prontas. Por ello, su integración en los planes y políticas institucionales de las entidades territoriales debe adelantarse de manera oportuna para que se garantice el cumplimiento del propósito establecido en el artículo 200 de la Ley 2294 de 2023. Por tanto, la entidad adoptará las medidas necesarias para incorporar estas líneas de acción de forma oportuna en el instrumento que, en ejercicio de su autonomía territorial, haya decidido utilizar.</w:t>
      </w:r>
    </w:p>
    <w:p w14:paraId="6A26DF85" w14:textId="77777777" w:rsidR="004A4E03" w:rsidRPr="00100DEA" w:rsidRDefault="004A4E03" w:rsidP="00100DEA">
      <w:pPr>
        <w:spacing w:after="0" w:line="240" w:lineRule="auto"/>
        <w:rPr>
          <w:rFonts w:ascii="Verdana" w:eastAsia="Geomanist Light" w:hAnsi="Verdana" w:cs="Arial"/>
          <w:color w:val="000000" w:themeColor="text1"/>
          <w:sz w:val="20"/>
          <w:szCs w:val="20"/>
        </w:rPr>
      </w:pPr>
    </w:p>
    <w:p w14:paraId="73F075F6" w14:textId="77777777" w:rsidR="00100DEA" w:rsidRPr="00100DEA" w:rsidRDefault="00100DEA" w:rsidP="00100DEA">
      <w:pPr>
        <w:spacing w:after="0" w:line="240" w:lineRule="auto"/>
        <w:rPr>
          <w:rFonts w:ascii="Verdana" w:eastAsia="Geomanist Light" w:hAnsi="Verdana" w:cs="Arial"/>
          <w:color w:val="000000" w:themeColor="text1"/>
          <w:sz w:val="20"/>
          <w:szCs w:val="20"/>
        </w:rPr>
      </w:pPr>
    </w:p>
    <w:p w14:paraId="38584589" w14:textId="77777777" w:rsidR="00100DEA" w:rsidRPr="00100DEA" w:rsidRDefault="00100DEA" w:rsidP="00100DEA">
      <w:pPr>
        <w:spacing w:after="0" w:line="240" w:lineRule="auto"/>
        <w:rPr>
          <w:rFonts w:ascii="Verdana" w:eastAsia="Geomanist Light" w:hAnsi="Verdana" w:cs="Arial"/>
          <w:color w:val="000000" w:themeColor="text1"/>
          <w:sz w:val="20"/>
          <w:szCs w:val="20"/>
        </w:rPr>
      </w:pPr>
    </w:p>
    <w:p w14:paraId="4A1E080E" w14:textId="77777777" w:rsidR="00100DEA" w:rsidRDefault="00100DEA" w:rsidP="00165AC5">
      <w:pPr>
        <w:spacing w:after="0" w:line="240" w:lineRule="auto"/>
        <w:rPr>
          <w:rFonts w:ascii="Verdana" w:eastAsia="Geomanist Light" w:hAnsi="Verdana" w:cs="Arial"/>
          <w:color w:val="000000" w:themeColor="text1"/>
        </w:rPr>
      </w:pPr>
    </w:p>
    <w:p w14:paraId="7EBB741C" w14:textId="77777777" w:rsidR="00100DEA" w:rsidRDefault="00100DEA" w:rsidP="00165AC5">
      <w:pPr>
        <w:spacing w:after="0" w:line="240" w:lineRule="auto"/>
        <w:rPr>
          <w:rFonts w:ascii="Verdana" w:eastAsia="Geomanist Light" w:hAnsi="Verdana" w:cs="Arial"/>
          <w:color w:val="000000" w:themeColor="text1"/>
        </w:rPr>
      </w:pPr>
    </w:p>
    <w:p w14:paraId="6DAA08DD" w14:textId="77777777" w:rsidR="00100DEA" w:rsidRDefault="00100DEA" w:rsidP="00165AC5">
      <w:pPr>
        <w:spacing w:after="0" w:line="240" w:lineRule="auto"/>
        <w:rPr>
          <w:rFonts w:ascii="Verdana" w:eastAsia="Geomanist Light" w:hAnsi="Verdana" w:cs="Arial"/>
          <w:color w:val="000000" w:themeColor="text1"/>
        </w:rPr>
      </w:pPr>
    </w:p>
    <w:p w14:paraId="6BB7526F" w14:textId="77777777" w:rsidR="00100DEA" w:rsidRDefault="00100DEA" w:rsidP="00165AC5">
      <w:pPr>
        <w:spacing w:after="0" w:line="240" w:lineRule="auto"/>
        <w:rPr>
          <w:rFonts w:ascii="Verdana" w:eastAsia="Geomanist Light" w:hAnsi="Verdana" w:cs="Arial"/>
          <w:color w:val="000000" w:themeColor="text1"/>
        </w:rPr>
      </w:pPr>
    </w:p>
    <w:p w14:paraId="70930995" w14:textId="77777777" w:rsidR="00100DEA" w:rsidRDefault="00100DEA" w:rsidP="00165AC5">
      <w:pPr>
        <w:spacing w:after="0" w:line="240" w:lineRule="auto"/>
        <w:rPr>
          <w:rFonts w:ascii="Verdana" w:eastAsia="Geomanist Light" w:hAnsi="Verdana" w:cs="Arial"/>
          <w:color w:val="000000" w:themeColor="text1"/>
        </w:rPr>
      </w:pPr>
    </w:p>
    <w:p w14:paraId="5ACC42AA" w14:textId="77777777" w:rsidR="00100DEA" w:rsidRDefault="00100DEA" w:rsidP="00165AC5">
      <w:pPr>
        <w:spacing w:after="0" w:line="240" w:lineRule="auto"/>
        <w:rPr>
          <w:rFonts w:ascii="Verdana" w:eastAsia="Geomanist Light" w:hAnsi="Verdana" w:cs="Arial"/>
          <w:color w:val="000000" w:themeColor="text1"/>
        </w:rPr>
      </w:pPr>
    </w:p>
    <w:p w14:paraId="7D33DB7C" w14:textId="77777777" w:rsidR="00100DEA" w:rsidRDefault="00100DEA" w:rsidP="00165AC5">
      <w:pPr>
        <w:spacing w:after="0" w:line="240" w:lineRule="auto"/>
        <w:rPr>
          <w:rFonts w:ascii="Verdana" w:eastAsia="Geomanist Light" w:hAnsi="Verdana" w:cs="Arial"/>
          <w:color w:val="000000" w:themeColor="text1"/>
        </w:rPr>
      </w:pPr>
    </w:p>
    <w:p w14:paraId="45DB29C1" w14:textId="77777777" w:rsidR="004A4E03" w:rsidRDefault="004A4E03" w:rsidP="00165AC5">
      <w:pPr>
        <w:spacing w:after="0" w:line="240" w:lineRule="auto"/>
        <w:rPr>
          <w:rFonts w:ascii="Verdana" w:eastAsia="Geomanist Light" w:hAnsi="Verdana" w:cs="Arial"/>
          <w:color w:val="000000" w:themeColor="text1"/>
        </w:rPr>
      </w:pPr>
    </w:p>
    <w:p w14:paraId="525DC5B7" w14:textId="77777777" w:rsidR="00521801" w:rsidRDefault="00521801" w:rsidP="00165AC5">
      <w:pPr>
        <w:spacing w:after="0" w:line="240" w:lineRule="auto"/>
        <w:rPr>
          <w:rFonts w:ascii="Verdana" w:eastAsia="Geomanist Light" w:hAnsi="Verdana" w:cs="Arial"/>
          <w:color w:val="000000" w:themeColor="text1"/>
        </w:rPr>
      </w:pPr>
    </w:p>
    <w:p w14:paraId="54E44E50" w14:textId="77777777" w:rsidR="00521801" w:rsidRDefault="00521801" w:rsidP="00165AC5">
      <w:pPr>
        <w:spacing w:after="0" w:line="240" w:lineRule="auto"/>
        <w:rPr>
          <w:rFonts w:ascii="Verdana" w:eastAsia="Geomanist Light" w:hAnsi="Verdana" w:cs="Arial"/>
          <w:color w:val="000000" w:themeColor="text1"/>
        </w:rPr>
      </w:pPr>
    </w:p>
    <w:p w14:paraId="0B181CDA" w14:textId="77777777" w:rsidR="00521801" w:rsidRDefault="00521801" w:rsidP="00165AC5">
      <w:pPr>
        <w:spacing w:after="0" w:line="240" w:lineRule="auto"/>
        <w:rPr>
          <w:rFonts w:ascii="Verdana" w:eastAsia="Geomanist Light" w:hAnsi="Verdana" w:cs="Arial"/>
          <w:color w:val="000000" w:themeColor="text1"/>
        </w:rPr>
      </w:pPr>
    </w:p>
    <w:p w14:paraId="1BB44B3B" w14:textId="77777777" w:rsidR="00521801" w:rsidRDefault="00521801" w:rsidP="00165AC5">
      <w:pPr>
        <w:spacing w:after="0" w:line="240" w:lineRule="auto"/>
        <w:rPr>
          <w:rFonts w:ascii="Verdana" w:eastAsia="Geomanist Light" w:hAnsi="Verdana" w:cs="Arial"/>
          <w:color w:val="000000" w:themeColor="text1"/>
        </w:rPr>
      </w:pPr>
    </w:p>
    <w:p w14:paraId="7663F631" w14:textId="77777777" w:rsidR="00521801" w:rsidRDefault="00521801" w:rsidP="00165AC5">
      <w:pPr>
        <w:spacing w:after="0" w:line="240" w:lineRule="auto"/>
        <w:rPr>
          <w:rFonts w:ascii="Verdana" w:eastAsia="Geomanist Light" w:hAnsi="Verdana" w:cs="Arial"/>
          <w:color w:val="000000" w:themeColor="text1"/>
        </w:rPr>
      </w:pPr>
    </w:p>
    <w:p w14:paraId="402B26AA" w14:textId="77777777" w:rsidR="00521801" w:rsidRDefault="00521801" w:rsidP="00165AC5">
      <w:pPr>
        <w:spacing w:after="0" w:line="240" w:lineRule="auto"/>
        <w:rPr>
          <w:rFonts w:ascii="Verdana" w:eastAsia="Geomanist Light" w:hAnsi="Verdana" w:cs="Arial"/>
          <w:color w:val="000000" w:themeColor="text1"/>
        </w:rPr>
      </w:pPr>
    </w:p>
    <w:p w14:paraId="3EDDC16D" w14:textId="77777777" w:rsidR="00521801" w:rsidRDefault="00521801" w:rsidP="00165AC5">
      <w:pPr>
        <w:spacing w:after="0" w:line="240" w:lineRule="auto"/>
        <w:rPr>
          <w:rFonts w:ascii="Verdana" w:eastAsia="Geomanist Light" w:hAnsi="Verdana" w:cs="Arial"/>
          <w:color w:val="000000" w:themeColor="text1"/>
        </w:rPr>
      </w:pPr>
    </w:p>
    <w:p w14:paraId="5DEEE37A" w14:textId="77777777" w:rsidR="00521801" w:rsidRDefault="00521801" w:rsidP="00165AC5">
      <w:pPr>
        <w:spacing w:after="0" w:line="240" w:lineRule="auto"/>
        <w:rPr>
          <w:rFonts w:ascii="Verdana" w:eastAsia="Geomanist Light" w:hAnsi="Verdana" w:cs="Arial"/>
          <w:color w:val="000000" w:themeColor="text1"/>
        </w:rPr>
      </w:pPr>
    </w:p>
    <w:p w14:paraId="1155F765" w14:textId="77777777" w:rsidR="00521801" w:rsidRDefault="00521801" w:rsidP="00165AC5">
      <w:pPr>
        <w:spacing w:after="0" w:line="240" w:lineRule="auto"/>
        <w:rPr>
          <w:rFonts w:ascii="Verdana" w:eastAsia="Geomanist Light" w:hAnsi="Verdana" w:cs="Arial"/>
          <w:color w:val="000000" w:themeColor="text1"/>
        </w:rPr>
      </w:pPr>
    </w:p>
    <w:p w14:paraId="74212108" w14:textId="77777777" w:rsidR="00521801" w:rsidRDefault="00521801" w:rsidP="00165AC5">
      <w:pPr>
        <w:spacing w:after="0" w:line="240" w:lineRule="auto"/>
        <w:rPr>
          <w:rFonts w:ascii="Verdana" w:eastAsia="Geomanist Light" w:hAnsi="Verdana" w:cs="Arial"/>
          <w:color w:val="000000" w:themeColor="text1"/>
        </w:rPr>
      </w:pPr>
    </w:p>
    <w:p w14:paraId="4937A171" w14:textId="77777777" w:rsidR="00521801" w:rsidRDefault="00521801" w:rsidP="00165AC5">
      <w:pPr>
        <w:spacing w:after="0" w:line="240" w:lineRule="auto"/>
        <w:rPr>
          <w:rFonts w:ascii="Verdana" w:eastAsia="Geomanist Light" w:hAnsi="Verdana" w:cs="Arial"/>
          <w:color w:val="000000" w:themeColor="text1"/>
        </w:rPr>
      </w:pPr>
    </w:p>
    <w:p w14:paraId="0E212EAB" w14:textId="77777777" w:rsidR="00521801" w:rsidRDefault="00521801" w:rsidP="00165AC5">
      <w:pPr>
        <w:spacing w:after="0" w:line="240" w:lineRule="auto"/>
        <w:rPr>
          <w:rFonts w:ascii="Verdana" w:eastAsia="Geomanist Light" w:hAnsi="Verdana" w:cs="Arial"/>
          <w:color w:val="000000" w:themeColor="text1"/>
        </w:rPr>
      </w:pPr>
    </w:p>
    <w:p w14:paraId="1125C71A" w14:textId="77777777" w:rsidR="00521801" w:rsidRDefault="00521801" w:rsidP="00165AC5">
      <w:pPr>
        <w:spacing w:after="0" w:line="240" w:lineRule="auto"/>
        <w:rPr>
          <w:rFonts w:ascii="Verdana" w:eastAsia="Geomanist Light" w:hAnsi="Verdana" w:cs="Arial"/>
          <w:color w:val="000000" w:themeColor="text1"/>
        </w:rPr>
      </w:pPr>
    </w:p>
    <w:p w14:paraId="3C610F21" w14:textId="77777777" w:rsidR="00521801" w:rsidRDefault="00521801" w:rsidP="00165AC5">
      <w:pPr>
        <w:spacing w:after="0" w:line="240" w:lineRule="auto"/>
        <w:rPr>
          <w:rFonts w:ascii="Verdana" w:eastAsia="Geomanist Light" w:hAnsi="Verdana" w:cs="Arial"/>
          <w:color w:val="000000" w:themeColor="text1"/>
        </w:rPr>
      </w:pPr>
    </w:p>
    <w:p w14:paraId="54133373" w14:textId="77777777" w:rsidR="00521801" w:rsidRDefault="00521801" w:rsidP="00165AC5">
      <w:pPr>
        <w:spacing w:after="0" w:line="240" w:lineRule="auto"/>
        <w:rPr>
          <w:rFonts w:ascii="Verdana" w:eastAsia="Geomanist Light" w:hAnsi="Verdana" w:cs="Arial"/>
          <w:color w:val="000000" w:themeColor="text1"/>
        </w:rPr>
      </w:pPr>
    </w:p>
    <w:p w14:paraId="2854B1CC" w14:textId="77777777" w:rsidR="00521801" w:rsidRDefault="00521801" w:rsidP="00165AC5">
      <w:pPr>
        <w:spacing w:after="0" w:line="240" w:lineRule="auto"/>
        <w:rPr>
          <w:rFonts w:ascii="Verdana" w:eastAsia="Geomanist Light" w:hAnsi="Verdana" w:cs="Arial"/>
          <w:color w:val="000000" w:themeColor="text1"/>
        </w:rPr>
      </w:pPr>
    </w:p>
    <w:p w14:paraId="29982FE3" w14:textId="77777777" w:rsidR="00521801" w:rsidRDefault="00521801" w:rsidP="00165AC5">
      <w:pPr>
        <w:spacing w:after="0" w:line="240" w:lineRule="auto"/>
        <w:rPr>
          <w:rFonts w:ascii="Verdana" w:eastAsia="Geomanist Light" w:hAnsi="Verdana" w:cs="Arial"/>
          <w:color w:val="000000" w:themeColor="text1"/>
        </w:rPr>
      </w:pPr>
    </w:p>
    <w:p w14:paraId="7F9D048C" w14:textId="77777777" w:rsidR="00521801" w:rsidRDefault="00521801" w:rsidP="00165AC5">
      <w:pPr>
        <w:spacing w:after="0" w:line="240" w:lineRule="auto"/>
        <w:rPr>
          <w:rFonts w:ascii="Verdana" w:eastAsia="Geomanist Light" w:hAnsi="Verdana" w:cs="Arial"/>
          <w:color w:val="000000" w:themeColor="text1"/>
        </w:rPr>
      </w:pPr>
    </w:p>
    <w:p w14:paraId="18CC2E42" w14:textId="77777777" w:rsidR="00521801" w:rsidRDefault="00521801" w:rsidP="00165AC5">
      <w:pPr>
        <w:spacing w:after="0" w:line="240" w:lineRule="auto"/>
        <w:rPr>
          <w:rFonts w:ascii="Verdana" w:eastAsia="Geomanist Light" w:hAnsi="Verdana" w:cs="Arial"/>
          <w:color w:val="000000" w:themeColor="text1"/>
        </w:rPr>
      </w:pPr>
    </w:p>
    <w:p w14:paraId="7A2FCC70" w14:textId="77777777" w:rsidR="00521801" w:rsidRDefault="00521801" w:rsidP="00165AC5">
      <w:pPr>
        <w:spacing w:after="0" w:line="240" w:lineRule="auto"/>
        <w:rPr>
          <w:rFonts w:ascii="Verdana" w:eastAsia="Geomanist Light" w:hAnsi="Verdana" w:cs="Arial"/>
          <w:color w:val="000000" w:themeColor="text1"/>
        </w:rPr>
      </w:pPr>
    </w:p>
    <w:p w14:paraId="201C73E2" w14:textId="6C82DD92" w:rsidR="00165AC5" w:rsidRPr="00474A65" w:rsidRDefault="00165AC5" w:rsidP="00165AC5">
      <w:pPr>
        <w:spacing w:after="0" w:line="240" w:lineRule="auto"/>
        <w:rPr>
          <w:rFonts w:ascii="Verdana" w:hAnsi="Verdana"/>
        </w:rPr>
      </w:pPr>
      <w:r w:rsidRPr="00474A65">
        <w:rPr>
          <w:rFonts w:ascii="Verdana" w:eastAsia="Geomanist Light" w:hAnsi="Verdana" w:cs="Arial"/>
          <w:color w:val="000000" w:themeColor="text1"/>
        </w:rPr>
        <w:t>Bogotá D.C., </w:t>
      </w:r>
      <w:r w:rsidR="00521801">
        <w:rPr>
          <w:rFonts w:ascii="Verdana" w:eastAsia="Geomanist Light" w:hAnsi="Verdana" w:cs="Arial"/>
          <w:color w:val="201F1E"/>
        </w:rPr>
        <w:t>14 de octubre de 2025</w:t>
      </w:r>
    </w:p>
    <w:p w14:paraId="7E966C0E" w14:textId="138B2114" w:rsidR="00165AC5" w:rsidRPr="00474A65" w:rsidRDefault="003571AB" w:rsidP="00165AC5">
      <w:pPr>
        <w:spacing w:after="0" w:line="240" w:lineRule="auto"/>
        <w:jc w:val="right"/>
        <w:rPr>
          <w:rFonts w:ascii="Verdana" w:hAnsi="Verdana"/>
        </w:rPr>
      </w:pPr>
      <w:r w:rsidRPr="00521801">
        <w:rPr>
          <w:rFonts w:ascii="Verdana" w:hAnsi="Verdana"/>
          <w:noProof/>
        </w:rPr>
        <w:drawing>
          <wp:anchor distT="0" distB="0" distL="114300" distR="114300" simplePos="0" relativeHeight="251657216" behindDoc="0" locked="0" layoutInCell="1" allowOverlap="1" wp14:anchorId="679BF31A" wp14:editId="43BD5DAA">
            <wp:simplePos x="0" y="0"/>
            <wp:positionH relativeFrom="margin">
              <wp:align>right</wp:align>
            </wp:positionH>
            <wp:positionV relativeFrom="paragraph">
              <wp:posOffset>160020</wp:posOffset>
            </wp:positionV>
            <wp:extent cx="2743200" cy="906780"/>
            <wp:effectExtent l="0" t="0" r="0" b="7620"/>
            <wp:wrapSquare wrapText="bothSides"/>
            <wp:docPr id="12754052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3200" cy="906780"/>
                    </a:xfrm>
                    <a:prstGeom prst="rect">
                      <a:avLst/>
                    </a:prstGeom>
                    <a:noFill/>
                    <a:ln>
                      <a:noFill/>
                    </a:ln>
                  </pic:spPr>
                </pic:pic>
              </a:graphicData>
            </a:graphic>
            <wp14:sizeRelH relativeFrom="margin">
              <wp14:pctWidth>0</wp14:pctWidth>
            </wp14:sizeRelH>
          </wp:anchor>
        </w:drawing>
      </w:r>
    </w:p>
    <w:p w14:paraId="6BBC55CF" w14:textId="7BF2253A" w:rsidR="00165AC5" w:rsidRPr="00474A65" w:rsidRDefault="00165AC5" w:rsidP="00165AC5">
      <w:pPr>
        <w:spacing w:after="0" w:line="240" w:lineRule="auto"/>
        <w:jc w:val="right"/>
        <w:rPr>
          <w:rFonts w:ascii="Verdana" w:hAnsi="Verdana"/>
        </w:rPr>
      </w:pPr>
    </w:p>
    <w:p w14:paraId="3334E8CD" w14:textId="77777777" w:rsidR="00165AC5" w:rsidRPr="00474A65" w:rsidRDefault="00165AC5" w:rsidP="00165AC5">
      <w:pPr>
        <w:spacing w:after="0" w:line="240" w:lineRule="auto"/>
        <w:jc w:val="both"/>
        <w:rPr>
          <w:rFonts w:ascii="Verdana" w:eastAsia="Calibri" w:hAnsi="Verdana" w:cs="Arial"/>
          <w:lang w:eastAsia="es-ES"/>
        </w:rPr>
      </w:pPr>
      <w:bookmarkStart w:id="1" w:name="_Hlk197462763"/>
      <w:bookmarkStart w:id="2" w:name="_Hlk197529996"/>
      <w:r w:rsidRPr="00474A65">
        <w:rPr>
          <w:rFonts w:ascii="Verdana" w:eastAsia="Calibri" w:hAnsi="Verdana" w:cs="Arial"/>
          <w:lang w:eastAsia="es-ES"/>
        </w:rPr>
        <w:t>Señor</w:t>
      </w:r>
    </w:p>
    <w:p w14:paraId="0FD3CB08" w14:textId="77777777" w:rsidR="00165AC5" w:rsidRPr="00474A65" w:rsidRDefault="00165AC5" w:rsidP="00165AC5">
      <w:pPr>
        <w:spacing w:after="0" w:line="240" w:lineRule="auto"/>
        <w:rPr>
          <w:rFonts w:ascii="Verdana" w:eastAsia="Calibri" w:hAnsi="Verdana" w:cs="Arial"/>
          <w:b/>
          <w:lang w:eastAsia="es-ES_tradnl"/>
        </w:rPr>
      </w:pPr>
      <w:r w:rsidRPr="00474A65">
        <w:rPr>
          <w:rFonts w:ascii="Verdana" w:eastAsia="Calibri" w:hAnsi="Verdana" w:cs="Arial"/>
          <w:b/>
          <w:lang w:eastAsia="es-ES_tradnl"/>
        </w:rPr>
        <w:t xml:space="preserve">Luis Rodríguez Camargo </w:t>
      </w:r>
    </w:p>
    <w:p w14:paraId="4B209B1E" w14:textId="77777777" w:rsidR="00165AC5" w:rsidRPr="00EB6649" w:rsidRDefault="00165AC5" w:rsidP="00165AC5">
      <w:pPr>
        <w:spacing w:after="0" w:line="240" w:lineRule="auto"/>
        <w:rPr>
          <w:rFonts w:ascii="Verdana" w:hAnsi="Verdana"/>
        </w:rPr>
      </w:pPr>
      <w:hyperlink r:id="rId12" w:history="1">
        <w:r w:rsidRPr="00EB6649">
          <w:rPr>
            <w:rStyle w:val="Hipervnculo"/>
            <w:rFonts w:ascii="Verdana" w:hAnsi="Verdana"/>
          </w:rPr>
          <w:t>luisrodriguezabog@gmail.com</w:t>
        </w:r>
      </w:hyperlink>
      <w:r w:rsidRPr="00EB6649">
        <w:rPr>
          <w:rFonts w:ascii="Verdana" w:hAnsi="Verdana"/>
        </w:rPr>
        <w:t xml:space="preserve"> </w:t>
      </w:r>
    </w:p>
    <w:p w14:paraId="3CEBA3FE" w14:textId="77777777" w:rsidR="00165AC5" w:rsidRPr="00474A65" w:rsidRDefault="00165AC5" w:rsidP="00165AC5">
      <w:pPr>
        <w:spacing w:after="0" w:line="240" w:lineRule="auto"/>
        <w:rPr>
          <w:rFonts w:ascii="Verdana" w:hAnsi="Verdana"/>
        </w:rPr>
      </w:pPr>
      <w:r>
        <w:rPr>
          <w:rFonts w:ascii="Verdana" w:hAnsi="Verdana"/>
        </w:rPr>
        <w:t>Casanare, Yopal</w:t>
      </w:r>
      <w:r w:rsidRPr="00474A65">
        <w:rPr>
          <w:rFonts w:ascii="Verdana" w:hAnsi="Verdana"/>
        </w:rPr>
        <w:t xml:space="preserve"> </w:t>
      </w:r>
    </w:p>
    <w:p w14:paraId="36FF15CD" w14:textId="77777777" w:rsidR="00165AC5" w:rsidRPr="00474A65" w:rsidRDefault="00165AC5" w:rsidP="00165AC5">
      <w:pPr>
        <w:spacing w:after="0" w:line="240" w:lineRule="auto"/>
        <w:rPr>
          <w:rFonts w:ascii="Verdana" w:eastAsia="Calibri" w:hAnsi="Verdana" w:cs="Arial"/>
          <w:b/>
          <w:lang w:eastAsia="es-ES_tradnl"/>
        </w:rPr>
      </w:pPr>
    </w:p>
    <w:p w14:paraId="72F41ABB" w14:textId="77777777" w:rsidR="00165AC5" w:rsidRPr="00474A65" w:rsidRDefault="00165AC5" w:rsidP="00165AC5">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65AC5" w:rsidRPr="00474A65" w14:paraId="2AD045EA" w14:textId="77777777" w:rsidTr="001869B9">
        <w:trPr>
          <w:trHeight w:val="162"/>
        </w:trPr>
        <w:tc>
          <w:tcPr>
            <w:tcW w:w="3119" w:type="dxa"/>
          </w:tcPr>
          <w:p w14:paraId="19B28028" w14:textId="77777777" w:rsidR="00165AC5" w:rsidRPr="00474A65" w:rsidRDefault="00165AC5" w:rsidP="001869B9">
            <w:pPr>
              <w:jc w:val="both"/>
              <w:rPr>
                <w:rFonts w:ascii="Verdana" w:eastAsia="Calibri" w:hAnsi="Verdana" w:cs="Arial"/>
                <w:b/>
                <w:bCs/>
                <w:color w:val="7030A0"/>
                <w:lang w:eastAsia="es-ES_tradnl"/>
              </w:rPr>
            </w:pPr>
          </w:p>
        </w:tc>
        <w:tc>
          <w:tcPr>
            <w:tcW w:w="5670" w:type="dxa"/>
          </w:tcPr>
          <w:p w14:paraId="6FEB3AB2" w14:textId="77777777" w:rsidR="00165AC5" w:rsidRPr="00474A65" w:rsidRDefault="00165AC5" w:rsidP="001869B9">
            <w:pPr>
              <w:rPr>
                <w:rFonts w:ascii="Verdana" w:eastAsia="Calibri" w:hAnsi="Verdana" w:cs="Arial"/>
                <w:b/>
                <w:bCs/>
                <w:lang w:eastAsia="es-ES"/>
              </w:rPr>
            </w:pPr>
            <w:r w:rsidRPr="00474A65">
              <w:rPr>
                <w:rFonts w:ascii="Verdana" w:eastAsia="Calibri" w:hAnsi="Verdana" w:cs="Arial"/>
                <w:b/>
                <w:bCs/>
                <w:lang w:eastAsia="es-ES"/>
              </w:rPr>
              <w:t xml:space="preserve">Concepto C- </w:t>
            </w:r>
            <w:r>
              <w:rPr>
                <w:rFonts w:ascii="Verdana" w:eastAsia="Calibri" w:hAnsi="Verdana" w:cs="Arial"/>
                <w:b/>
                <w:bCs/>
                <w:lang w:eastAsia="es-ES"/>
              </w:rPr>
              <w:t>1281</w:t>
            </w:r>
            <w:r w:rsidRPr="00474A65">
              <w:rPr>
                <w:rFonts w:ascii="Verdana" w:eastAsia="Calibri" w:hAnsi="Verdana" w:cs="Arial"/>
                <w:b/>
                <w:bCs/>
                <w:lang w:eastAsia="es-ES"/>
              </w:rPr>
              <w:t xml:space="preserve"> de 2025</w:t>
            </w:r>
          </w:p>
          <w:p w14:paraId="2E37B966" w14:textId="77777777" w:rsidR="00165AC5" w:rsidRPr="00474A65" w:rsidRDefault="00165AC5" w:rsidP="001869B9">
            <w:pPr>
              <w:jc w:val="both"/>
              <w:rPr>
                <w:rFonts w:ascii="Verdana" w:eastAsia="Calibri" w:hAnsi="Verdana" w:cs="Arial"/>
                <w:b/>
                <w:bCs/>
                <w:color w:val="7030A0"/>
                <w:lang w:eastAsia="es-ES"/>
              </w:rPr>
            </w:pPr>
          </w:p>
        </w:tc>
      </w:tr>
      <w:tr w:rsidR="00165AC5" w:rsidRPr="00474A65" w14:paraId="181F4B19" w14:textId="77777777" w:rsidTr="001869B9">
        <w:trPr>
          <w:trHeight w:val="884"/>
        </w:trPr>
        <w:tc>
          <w:tcPr>
            <w:tcW w:w="3119" w:type="dxa"/>
          </w:tcPr>
          <w:p w14:paraId="1316DCE8" w14:textId="77777777" w:rsidR="00165AC5" w:rsidRPr="00474A65" w:rsidRDefault="00165AC5" w:rsidP="001869B9">
            <w:pPr>
              <w:jc w:val="both"/>
              <w:rPr>
                <w:rFonts w:ascii="Verdana" w:eastAsia="Calibri" w:hAnsi="Verdana" w:cs="Arial"/>
                <w:color w:val="000000"/>
                <w:lang w:eastAsia="es-ES_tradnl"/>
              </w:rPr>
            </w:pPr>
            <w:r w:rsidRPr="00474A65">
              <w:rPr>
                <w:rFonts w:ascii="Verdana" w:eastAsia="Calibri" w:hAnsi="Verdana" w:cs="Arial"/>
                <w:b/>
                <w:color w:val="000000"/>
                <w:lang w:eastAsia="es-ES_tradnl"/>
              </w:rPr>
              <w:t>Temas:</w:t>
            </w:r>
            <w:r w:rsidRPr="00474A65">
              <w:rPr>
                <w:rFonts w:ascii="Verdana" w:eastAsia="Calibri" w:hAnsi="Verdana" w:cs="Arial"/>
                <w:color w:val="000000"/>
                <w:lang w:eastAsia="es-ES_tradnl"/>
              </w:rPr>
              <w:t xml:space="preserve">                   </w:t>
            </w:r>
          </w:p>
        </w:tc>
        <w:tc>
          <w:tcPr>
            <w:tcW w:w="5670" w:type="dxa"/>
          </w:tcPr>
          <w:p w14:paraId="6F255AEA" w14:textId="77777777" w:rsidR="00165AC5" w:rsidRPr="00474A65" w:rsidRDefault="00165AC5" w:rsidP="00B544A9">
            <w:pPr>
              <w:spacing w:line="276" w:lineRule="auto"/>
              <w:jc w:val="both"/>
              <w:rPr>
                <w:rFonts w:ascii="Verdana" w:hAnsi="Verdana" w:cs="Arial"/>
                <w:bCs/>
                <w:lang w:eastAsia="es-ES" w:bidi="es-ES"/>
              </w:rPr>
            </w:pPr>
            <w:r w:rsidRPr="00474A65">
              <w:rPr>
                <w:rFonts w:ascii="Verdana" w:eastAsia="Arial" w:hAnsi="Verdana" w:cs="Arial"/>
              </w:rPr>
              <w:t xml:space="preserve">DECRETO 1600 DE 2024- Capítulo Tercero – Entidades obligadas a su aplicación </w:t>
            </w:r>
            <w:r w:rsidRPr="00474A65">
              <w:rPr>
                <w:rFonts w:ascii="Verdana" w:hAnsi="Verdana" w:cs="Arial"/>
                <w:bCs/>
                <w:lang w:eastAsia="es-ES" w:bidi="es-ES"/>
              </w:rPr>
              <w:t xml:space="preserve">/ DECRETO 1600 DE 2024 – Entidades no obligadas a su aplicación / DECRETO 1600 DE 2024 – Acciones de la gestión contractual – Aplicación </w:t>
            </w:r>
          </w:p>
          <w:p w14:paraId="071DAA6A" w14:textId="77777777" w:rsidR="00165AC5" w:rsidRPr="00474A65" w:rsidRDefault="00165AC5" w:rsidP="001869B9">
            <w:pPr>
              <w:jc w:val="both"/>
              <w:rPr>
                <w:rFonts w:ascii="Verdana" w:eastAsia="Calibri" w:hAnsi="Verdana" w:cs="Arial"/>
                <w:lang w:eastAsia="es-ES"/>
              </w:rPr>
            </w:pPr>
          </w:p>
        </w:tc>
      </w:tr>
      <w:tr w:rsidR="00165AC5" w:rsidRPr="00474A65" w14:paraId="68F4F0A5" w14:textId="77777777" w:rsidTr="001869B9">
        <w:trPr>
          <w:trHeight w:val="326"/>
        </w:trPr>
        <w:tc>
          <w:tcPr>
            <w:tcW w:w="3119" w:type="dxa"/>
          </w:tcPr>
          <w:p w14:paraId="0390C677" w14:textId="77777777" w:rsidR="00165AC5" w:rsidRPr="00474A65" w:rsidRDefault="00165AC5" w:rsidP="001869B9">
            <w:pPr>
              <w:jc w:val="both"/>
              <w:rPr>
                <w:rFonts w:ascii="Verdana" w:eastAsia="Calibri" w:hAnsi="Verdana" w:cs="Arial"/>
                <w:b/>
                <w:lang w:eastAsia="es-ES_tradnl"/>
              </w:rPr>
            </w:pPr>
            <w:r w:rsidRPr="00474A65">
              <w:rPr>
                <w:rFonts w:ascii="Verdana" w:eastAsia="Calibri" w:hAnsi="Verdana" w:cs="Arial"/>
                <w:b/>
                <w:lang w:eastAsia="es-ES_tradnl"/>
              </w:rPr>
              <w:t>Radicación:</w:t>
            </w:r>
            <w:r w:rsidRPr="00474A65">
              <w:rPr>
                <w:rFonts w:ascii="Verdana" w:eastAsia="Calibri" w:hAnsi="Verdana" w:cs="Arial"/>
                <w:lang w:eastAsia="es-ES_tradnl"/>
              </w:rPr>
              <w:t xml:space="preserve">               </w:t>
            </w:r>
          </w:p>
        </w:tc>
        <w:tc>
          <w:tcPr>
            <w:tcW w:w="5670" w:type="dxa"/>
          </w:tcPr>
          <w:p w14:paraId="641A888A" w14:textId="77777777" w:rsidR="00165AC5" w:rsidRPr="00474A65" w:rsidRDefault="00165AC5" w:rsidP="001869B9">
            <w:pPr>
              <w:jc w:val="both"/>
              <w:rPr>
                <w:rFonts w:ascii="Verdana" w:eastAsia="Calibri" w:hAnsi="Verdana" w:cs="Arial"/>
                <w:lang w:eastAsia="es-ES_tradnl"/>
              </w:rPr>
            </w:pPr>
            <w:r w:rsidRPr="00474A65">
              <w:rPr>
                <w:rFonts w:ascii="Verdana" w:eastAsia="Calibri" w:hAnsi="Verdana" w:cs="Arial"/>
                <w:lang w:eastAsia="es-ES_tradnl"/>
              </w:rPr>
              <w:t xml:space="preserve">Respuesta a consulta con radicado </w:t>
            </w:r>
            <w:r w:rsidRPr="00C2285D">
              <w:rPr>
                <w:rFonts w:ascii="Verdana" w:eastAsia="Calibri" w:hAnsi="Verdana" w:cs="Arial"/>
                <w:lang w:eastAsia="es-ES_tradnl"/>
              </w:rPr>
              <w:t>1_2025_09_07_009708</w:t>
            </w:r>
          </w:p>
        </w:tc>
      </w:tr>
    </w:tbl>
    <w:p w14:paraId="17C0D3F8" w14:textId="77777777" w:rsidR="00165AC5" w:rsidRPr="00474A65" w:rsidRDefault="00165AC5" w:rsidP="00165AC5">
      <w:pPr>
        <w:spacing w:after="0" w:line="240" w:lineRule="auto"/>
        <w:jc w:val="both"/>
        <w:rPr>
          <w:rFonts w:ascii="Verdana" w:eastAsia="Calibri" w:hAnsi="Verdana" w:cs="Arial"/>
          <w:lang w:eastAsia="es-ES_tradnl"/>
        </w:rPr>
      </w:pPr>
    </w:p>
    <w:p w14:paraId="5B908564" w14:textId="77777777" w:rsidR="00165AC5" w:rsidRPr="00474A65" w:rsidRDefault="00165AC5" w:rsidP="00165AC5">
      <w:pPr>
        <w:spacing w:after="0" w:line="276" w:lineRule="auto"/>
        <w:jc w:val="both"/>
        <w:rPr>
          <w:rFonts w:ascii="Verdana" w:eastAsia="Calibri" w:hAnsi="Verdana" w:cs="Arial"/>
          <w:lang w:eastAsia="es-ES"/>
        </w:rPr>
      </w:pPr>
      <w:r w:rsidRPr="00474A65">
        <w:rPr>
          <w:rFonts w:ascii="Verdana" w:eastAsia="Calibri" w:hAnsi="Verdana" w:cs="Arial"/>
          <w:lang w:eastAsia="es-ES"/>
        </w:rPr>
        <w:t xml:space="preserve">Estimado señor </w:t>
      </w:r>
      <w:r>
        <w:rPr>
          <w:rFonts w:ascii="Verdana" w:eastAsia="Calibri" w:hAnsi="Verdana" w:cs="Arial"/>
          <w:lang w:eastAsia="es-ES"/>
        </w:rPr>
        <w:t>Rodríguez</w:t>
      </w:r>
      <w:r w:rsidRPr="00474A65">
        <w:rPr>
          <w:rFonts w:ascii="Verdana" w:eastAsia="Calibri" w:hAnsi="Verdana" w:cs="Arial"/>
          <w:lang w:eastAsia="es-ES"/>
        </w:rPr>
        <w:t xml:space="preserve">: </w:t>
      </w:r>
    </w:p>
    <w:p w14:paraId="525A454A" w14:textId="77777777" w:rsidR="00165AC5" w:rsidRPr="00474A65" w:rsidRDefault="00165AC5" w:rsidP="00165AC5">
      <w:pPr>
        <w:tabs>
          <w:tab w:val="left" w:pos="3768"/>
        </w:tabs>
        <w:spacing w:after="0" w:line="276" w:lineRule="auto"/>
        <w:jc w:val="both"/>
        <w:rPr>
          <w:rFonts w:ascii="Verdana" w:eastAsia="Calibri" w:hAnsi="Verdana" w:cs="Arial"/>
          <w:lang w:eastAsia="es-ES"/>
        </w:rPr>
      </w:pPr>
      <w:r w:rsidRPr="00474A65">
        <w:rPr>
          <w:rFonts w:ascii="Verdana" w:eastAsia="Calibri" w:hAnsi="Verdana" w:cs="Arial"/>
          <w:lang w:eastAsia="es-ES"/>
        </w:rPr>
        <w:tab/>
      </w:r>
    </w:p>
    <w:p w14:paraId="6C20FA4D" w14:textId="77777777" w:rsidR="00165AC5" w:rsidRPr="00474A65" w:rsidRDefault="00165AC5" w:rsidP="00165AC5">
      <w:pPr>
        <w:spacing w:after="0" w:line="276" w:lineRule="auto"/>
        <w:jc w:val="both"/>
        <w:rPr>
          <w:rFonts w:ascii="Verdana" w:eastAsia="Calibri" w:hAnsi="Verdana" w:cs="Arial"/>
          <w:lang w:eastAsia="es-ES"/>
        </w:rPr>
      </w:pPr>
      <w:r w:rsidRPr="00474A65">
        <w:rPr>
          <w:rFonts w:ascii="Verdana" w:eastAsia="Calibri" w:hAnsi="Verdana" w:cs="Arial"/>
          <w:color w:val="000000" w:themeColor="text1"/>
          <w:lang w:eastAsia="es-ES"/>
        </w:rPr>
        <w:t>En ejercicio de la competencia otorgada por los artículos 3, numeral 5º, y 11, numeral 8º, del Decreto Ley 4170 de 2011,</w:t>
      </w:r>
      <w:r w:rsidRPr="00474A65">
        <w:rPr>
          <w:rFonts w:ascii="Verdana" w:eastAsia="Arial MT" w:hAnsi="Verdana" w:cs="Arial MT"/>
          <w:lang w:eastAsia="es-ES"/>
        </w:rPr>
        <w:t xml:space="preserve"> </w:t>
      </w:r>
      <w:r w:rsidRPr="00474A65">
        <w:rPr>
          <w:rFonts w:ascii="Verdana" w:hAnsi="Verdana" w:cs="Arial"/>
        </w:rPr>
        <w:t xml:space="preserve">así como lo establecido </w:t>
      </w:r>
      <w:r w:rsidRPr="00B57A1B">
        <w:rPr>
          <w:rFonts w:ascii="Verdana" w:eastAsia="Calibri" w:hAnsi="Verdana" w:cs="Times New Roman"/>
          <w:bCs/>
        </w:rPr>
        <w:t xml:space="preserve">por la Resolución 469 de 2025 </w:t>
      </w:r>
      <w:r w:rsidRPr="00474A65">
        <w:rPr>
          <w:rFonts w:ascii="Verdana" w:hAnsi="Verdana" w:cs="Arial"/>
        </w:rPr>
        <w:t xml:space="preserve">expedida por esta Entidad, </w:t>
      </w:r>
      <w:r w:rsidRPr="00474A65">
        <w:rPr>
          <w:rFonts w:ascii="Verdana" w:eastAsia="Calibri" w:hAnsi="Verdana" w:cs="Arial"/>
          <w:color w:val="000000" w:themeColor="text1"/>
          <w:lang w:eastAsia="es-ES"/>
        </w:rPr>
        <w:t xml:space="preserve">la Agencia Nacional de Contratación </w:t>
      </w:r>
      <w:r w:rsidRPr="00474A65">
        <w:rPr>
          <w:rFonts w:ascii="Verdana" w:eastAsia="Calibri" w:hAnsi="Verdana" w:cs="Arial"/>
          <w:lang w:eastAsia="es-ES"/>
        </w:rPr>
        <w:t xml:space="preserve">Pública – Colombia Compra Eficiente– responde su solicitud de consulta de </w:t>
      </w:r>
      <w:r>
        <w:rPr>
          <w:rFonts w:ascii="Verdana" w:eastAsia="Calibri" w:hAnsi="Verdana" w:cs="Arial"/>
          <w:lang w:eastAsia="es-ES"/>
        </w:rPr>
        <w:t>8</w:t>
      </w:r>
      <w:r w:rsidRPr="00474A65">
        <w:rPr>
          <w:rFonts w:ascii="Verdana" w:eastAsia="Calibri" w:hAnsi="Verdana" w:cs="Arial"/>
          <w:lang w:eastAsia="es-ES"/>
        </w:rPr>
        <w:t xml:space="preserve"> de </w:t>
      </w:r>
      <w:r>
        <w:rPr>
          <w:rFonts w:ascii="Verdana" w:eastAsia="Calibri" w:hAnsi="Verdana" w:cs="Arial"/>
          <w:lang w:eastAsia="es-ES"/>
        </w:rPr>
        <w:t>septiembre</w:t>
      </w:r>
      <w:r w:rsidRPr="00474A65">
        <w:rPr>
          <w:rFonts w:ascii="Verdana" w:eastAsia="Calibri" w:hAnsi="Verdana" w:cs="Arial"/>
          <w:lang w:eastAsia="es-ES"/>
        </w:rPr>
        <w:t xml:space="preserve"> de 2025, en la cual manifiesta lo siguiente: </w:t>
      </w:r>
    </w:p>
    <w:p w14:paraId="482F54AF" w14:textId="77777777" w:rsidR="00165AC5" w:rsidRPr="00474A65" w:rsidRDefault="00165AC5" w:rsidP="00165AC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5AD08907" w14:textId="77777777" w:rsidR="00165AC5" w:rsidRDefault="00165AC5" w:rsidP="00165AC5">
      <w:pPr>
        <w:spacing w:after="0" w:line="240" w:lineRule="auto"/>
        <w:ind w:left="709" w:right="709"/>
        <w:jc w:val="both"/>
        <w:rPr>
          <w:rFonts w:ascii="Verdana" w:eastAsia="Century Gothic" w:hAnsi="Verdana" w:cs="Century Gothic"/>
          <w:sz w:val="20"/>
          <w:szCs w:val="20"/>
        </w:rPr>
      </w:pPr>
      <w:bookmarkStart w:id="3" w:name="_Hlk192699624"/>
      <w:bookmarkStart w:id="4" w:name="_Hlk199394899"/>
      <w:r w:rsidRPr="00474A65">
        <w:rPr>
          <w:rFonts w:ascii="Verdana" w:eastAsia="Century Gothic" w:hAnsi="Verdana" w:cs="Century Gothic"/>
          <w:sz w:val="20"/>
          <w:szCs w:val="20"/>
        </w:rPr>
        <w:t>“</w:t>
      </w:r>
      <w:r w:rsidRPr="00C5434D">
        <w:rPr>
          <w:rFonts w:ascii="Verdana" w:eastAsia="Century Gothic" w:hAnsi="Verdana" w:cs="Century Gothic"/>
          <w:sz w:val="20"/>
          <w:szCs w:val="20"/>
        </w:rPr>
        <w:t xml:space="preserve">En atención al artículo 2.1.4.3.1.2 del Decreto 1600 de 2024, que dispone que las entidades territoriales y sus descentralizadas, en el marco de su autonomía y en cumplimiento del artículo 32 de la Ley 152 de 1994 y del artículo 200 de la Ley 2294 de 2023, deben aplicar en sus planes y políticas las líneas de acción del Capítulo referido, solicito orientación sobre su alcance. </w:t>
      </w:r>
    </w:p>
    <w:p w14:paraId="0D25A803" w14:textId="77777777" w:rsidR="00165AC5" w:rsidRDefault="00165AC5" w:rsidP="00165AC5">
      <w:pPr>
        <w:spacing w:after="0" w:line="240" w:lineRule="auto"/>
        <w:ind w:left="709" w:right="709"/>
        <w:jc w:val="both"/>
        <w:rPr>
          <w:rFonts w:ascii="Verdana" w:eastAsia="Century Gothic" w:hAnsi="Verdana" w:cs="Century Gothic"/>
          <w:sz w:val="20"/>
          <w:szCs w:val="20"/>
        </w:rPr>
      </w:pPr>
    </w:p>
    <w:p w14:paraId="78AB4617" w14:textId="77777777" w:rsidR="00165AC5" w:rsidRDefault="00165AC5" w:rsidP="00165AC5">
      <w:pPr>
        <w:spacing w:after="0" w:line="240" w:lineRule="auto"/>
        <w:ind w:left="709" w:right="709"/>
        <w:jc w:val="both"/>
        <w:rPr>
          <w:rFonts w:ascii="Verdana" w:eastAsia="Century Gothic" w:hAnsi="Verdana" w:cs="Century Gothic"/>
          <w:sz w:val="20"/>
          <w:szCs w:val="20"/>
        </w:rPr>
      </w:pPr>
      <w:r w:rsidRPr="00C5434D">
        <w:rPr>
          <w:rFonts w:ascii="Verdana" w:eastAsia="Century Gothic" w:hAnsi="Verdana" w:cs="Century Gothic"/>
          <w:sz w:val="20"/>
          <w:szCs w:val="20"/>
        </w:rPr>
        <w:t xml:space="preserve">¿Deben los municipios de sexta categoría aplicar de manera inmediata las obligaciones del artículo 2.1.4.3.2.1, aun cuando sus planes de desarrollo 2024- 2027 ya fueron formulados y aprobados, o debe entenderse que la incorporación plena de dichas líneas de acción procede en los próximos planes de desarrollo (2028-2031)? </w:t>
      </w:r>
    </w:p>
    <w:p w14:paraId="5DACD9BD" w14:textId="77777777" w:rsidR="00165AC5" w:rsidRDefault="00165AC5" w:rsidP="00165AC5">
      <w:pPr>
        <w:spacing w:after="0" w:line="240" w:lineRule="auto"/>
        <w:ind w:left="709" w:right="709"/>
        <w:jc w:val="both"/>
        <w:rPr>
          <w:rFonts w:ascii="Verdana" w:eastAsia="Century Gothic" w:hAnsi="Verdana" w:cs="Century Gothic"/>
          <w:sz w:val="20"/>
          <w:szCs w:val="20"/>
        </w:rPr>
      </w:pPr>
    </w:p>
    <w:p w14:paraId="4B2A0B64" w14:textId="77777777" w:rsidR="00165AC5" w:rsidRDefault="00165AC5" w:rsidP="00165AC5">
      <w:pPr>
        <w:spacing w:after="0" w:line="240" w:lineRule="auto"/>
        <w:ind w:left="709" w:right="709"/>
        <w:jc w:val="both"/>
        <w:rPr>
          <w:rFonts w:ascii="Verdana" w:eastAsia="Century Gothic" w:hAnsi="Verdana" w:cs="Century Gothic"/>
          <w:sz w:val="20"/>
          <w:szCs w:val="20"/>
        </w:rPr>
      </w:pPr>
      <w:r w:rsidRPr="00C5434D">
        <w:rPr>
          <w:rFonts w:ascii="Verdana" w:eastAsia="Century Gothic" w:hAnsi="Verdana" w:cs="Century Gothic"/>
          <w:sz w:val="20"/>
          <w:szCs w:val="20"/>
        </w:rPr>
        <w:lastRenderedPageBreak/>
        <w:t>Agradezco su orientación para garantizar correcta aplicación normativa y cumplimiento de las obligaciones de prevención de la corrupción en la contratación pública</w:t>
      </w:r>
      <w:bookmarkEnd w:id="3"/>
      <w:bookmarkEnd w:id="4"/>
      <w:r>
        <w:rPr>
          <w:rFonts w:ascii="Verdana" w:eastAsia="Century Gothic" w:hAnsi="Verdana" w:cs="Century Gothic"/>
          <w:sz w:val="20"/>
          <w:szCs w:val="20"/>
        </w:rPr>
        <w:t>”.</w:t>
      </w:r>
    </w:p>
    <w:p w14:paraId="2703CC1A" w14:textId="77777777" w:rsidR="00165AC5" w:rsidRPr="00C5434D" w:rsidRDefault="00165AC5" w:rsidP="00165AC5">
      <w:pPr>
        <w:spacing w:after="0" w:line="240" w:lineRule="auto"/>
        <w:ind w:left="709" w:right="709"/>
        <w:jc w:val="both"/>
        <w:rPr>
          <w:rFonts w:ascii="Verdana" w:eastAsia="Century Gothic" w:hAnsi="Verdana" w:cs="Century Gothic"/>
          <w:sz w:val="20"/>
          <w:szCs w:val="20"/>
        </w:rPr>
      </w:pPr>
    </w:p>
    <w:p w14:paraId="57B9D3F1" w14:textId="77777777" w:rsidR="00165AC5" w:rsidRPr="00474A65" w:rsidRDefault="00165AC5" w:rsidP="00165AC5">
      <w:pPr>
        <w:spacing w:after="120" w:line="276" w:lineRule="auto"/>
        <w:ind w:firstLine="709"/>
        <w:jc w:val="both"/>
        <w:rPr>
          <w:rFonts w:ascii="Verdana" w:eastAsia="Calibri" w:hAnsi="Verdana" w:cs="Arial"/>
          <w:color w:val="000000"/>
          <w:szCs w:val="24"/>
          <w:lang w:eastAsia="es-ES_tradnl"/>
        </w:rPr>
      </w:pPr>
      <w:r w:rsidRPr="00474A65">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74A65">
        <w:rPr>
          <w:rFonts w:ascii="Verdana" w:eastAsia="Calibri" w:hAnsi="Verdana" w:cs="Arial"/>
          <w:color w:val="000000"/>
          <w:szCs w:val="24"/>
          <w:lang w:eastAsia="es-ES_tradnl"/>
        </w:rPr>
        <w:tab/>
      </w:r>
    </w:p>
    <w:p w14:paraId="0F049DDE" w14:textId="77777777" w:rsidR="00165AC5" w:rsidRPr="00474A65" w:rsidRDefault="00165AC5" w:rsidP="00165AC5">
      <w:pPr>
        <w:spacing w:after="0" w:line="276" w:lineRule="auto"/>
        <w:ind w:firstLine="709"/>
        <w:jc w:val="both"/>
        <w:rPr>
          <w:rFonts w:ascii="Verdana" w:eastAsia="Calibri" w:hAnsi="Verdana" w:cs="Arial"/>
          <w:color w:val="000000"/>
          <w:lang w:eastAsia="es-ES"/>
        </w:rPr>
      </w:pPr>
      <w:r w:rsidRPr="00474A65">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F2914E8" w14:textId="77777777" w:rsidR="00165AC5" w:rsidRPr="00474A65" w:rsidRDefault="00165AC5" w:rsidP="00165AC5">
      <w:pPr>
        <w:spacing w:after="0" w:line="276" w:lineRule="auto"/>
        <w:ind w:firstLine="709"/>
        <w:jc w:val="both"/>
        <w:rPr>
          <w:rFonts w:ascii="Verdana" w:eastAsia="Calibri" w:hAnsi="Verdana" w:cs="Arial"/>
          <w:color w:val="000000"/>
          <w:lang w:eastAsia="es-ES"/>
        </w:rPr>
      </w:pPr>
    </w:p>
    <w:p w14:paraId="2613D828" w14:textId="77777777" w:rsidR="00165AC5" w:rsidRPr="00474A65" w:rsidRDefault="00165AC5" w:rsidP="00165A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74A65">
        <w:rPr>
          <w:rFonts w:ascii="Verdana" w:eastAsia="Century Gothic" w:hAnsi="Verdana" w:cs="Century Gothic"/>
          <w:b/>
          <w:bCs/>
          <w:lang w:val="es-CO"/>
        </w:rPr>
        <w:t>Problema planteado:</w:t>
      </w:r>
    </w:p>
    <w:p w14:paraId="62584222" w14:textId="77777777" w:rsidR="00165AC5" w:rsidRPr="00474A65" w:rsidRDefault="00165AC5" w:rsidP="00165AC5">
      <w:pPr>
        <w:tabs>
          <w:tab w:val="left" w:pos="426"/>
        </w:tabs>
        <w:spacing w:after="0" w:line="276" w:lineRule="auto"/>
        <w:jc w:val="both"/>
        <w:rPr>
          <w:rFonts w:ascii="Verdana" w:eastAsia="Century Gothic" w:hAnsi="Verdana" w:cs="Century Gothic"/>
        </w:rPr>
      </w:pPr>
    </w:p>
    <w:p w14:paraId="6EEDF6C1" w14:textId="77777777" w:rsidR="00165AC5" w:rsidRPr="00474A65" w:rsidRDefault="00165AC5" w:rsidP="00165AC5">
      <w:pPr>
        <w:spacing w:after="0" w:line="276" w:lineRule="auto"/>
        <w:jc w:val="both"/>
        <w:rPr>
          <w:rFonts w:ascii="Verdana" w:hAnsi="Verdana"/>
        </w:rPr>
      </w:pPr>
      <w:r w:rsidRPr="00474A65">
        <w:rPr>
          <w:rFonts w:ascii="Verdana" w:eastAsia="Century Gothic" w:hAnsi="Verdana" w:cs="Century Gothic"/>
        </w:rPr>
        <w:t>De acuerdo con el contenido de su solicitud, esta Agencia resolverá el siguiente problema jurídico: ¿</w:t>
      </w:r>
      <w:r w:rsidRPr="00474A65">
        <w:rPr>
          <w:rFonts w:ascii="Verdana" w:hAnsi="Verdana"/>
        </w:rPr>
        <w:t xml:space="preserve">Las entidades del orden territorial deben aplicar </w:t>
      </w:r>
      <w:r>
        <w:rPr>
          <w:rFonts w:ascii="Verdana" w:hAnsi="Verdana"/>
        </w:rPr>
        <w:t>lo dispuesto en el</w:t>
      </w:r>
      <w:r w:rsidRPr="00474A65">
        <w:rPr>
          <w:rFonts w:ascii="Verdana" w:hAnsi="Verdana"/>
        </w:rPr>
        <w:t xml:space="preserve"> </w:t>
      </w:r>
      <w:r w:rsidRPr="0071494A">
        <w:rPr>
          <w:rFonts w:ascii="Verdana" w:hAnsi="Verdana"/>
        </w:rPr>
        <w:t>artículo 2.1.4.3.2.1</w:t>
      </w:r>
      <w:r>
        <w:rPr>
          <w:rFonts w:ascii="Verdana" w:hAnsi="Verdana"/>
        </w:rPr>
        <w:t xml:space="preserve"> del </w:t>
      </w:r>
      <w:r w:rsidRPr="00474A65">
        <w:rPr>
          <w:rFonts w:ascii="Verdana" w:hAnsi="Verdana"/>
        </w:rPr>
        <w:t>Decreto 1600 de 2024?</w:t>
      </w:r>
    </w:p>
    <w:p w14:paraId="3A20333D" w14:textId="77777777" w:rsidR="00165AC5" w:rsidRPr="00474A65" w:rsidRDefault="00165AC5" w:rsidP="00165AC5">
      <w:pPr>
        <w:spacing w:after="0" w:line="276" w:lineRule="auto"/>
        <w:jc w:val="both"/>
        <w:rPr>
          <w:rFonts w:ascii="Verdana" w:eastAsia="Century Gothic" w:hAnsi="Verdana" w:cs="Century Gothic"/>
          <w:b/>
          <w:bCs/>
        </w:rPr>
      </w:pPr>
    </w:p>
    <w:p w14:paraId="005A7F02" w14:textId="77777777" w:rsidR="00165AC5" w:rsidRPr="00474A65" w:rsidRDefault="00165AC5" w:rsidP="00165A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74A65">
        <w:rPr>
          <w:rFonts w:ascii="Verdana" w:eastAsia="Century Gothic" w:hAnsi="Verdana" w:cs="Century Gothic"/>
          <w:b/>
          <w:bCs/>
          <w:lang w:val="es-CO"/>
        </w:rPr>
        <w:t>Respuesta:</w:t>
      </w:r>
    </w:p>
    <w:p w14:paraId="2AC72D05" w14:textId="77777777" w:rsidR="00165AC5" w:rsidRPr="00474A65" w:rsidRDefault="00165AC5" w:rsidP="00165AC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65AC5" w:rsidRPr="00474A65" w14:paraId="54239367" w14:textId="77777777" w:rsidTr="001869B9">
        <w:tc>
          <w:tcPr>
            <w:tcW w:w="8828" w:type="dxa"/>
          </w:tcPr>
          <w:p w14:paraId="3616E2A0" w14:textId="77777777" w:rsidR="00165AC5" w:rsidRPr="006F371B" w:rsidRDefault="00165AC5" w:rsidP="001869B9">
            <w:pPr>
              <w:spacing w:after="120" w:line="276" w:lineRule="auto"/>
              <w:jc w:val="both"/>
              <w:rPr>
                <w:rFonts w:ascii="Verdana" w:hAnsi="Verdana" w:cs="Arial"/>
                <w:bCs/>
                <w:color w:val="000000" w:themeColor="text1"/>
              </w:rPr>
            </w:pPr>
            <w:r>
              <w:rPr>
                <w:rFonts w:ascii="Verdana" w:hAnsi="Verdana" w:cs="Arial"/>
                <w:bCs/>
                <w:color w:val="000000" w:themeColor="text1"/>
              </w:rPr>
              <w:t xml:space="preserve">De conformidad con el </w:t>
            </w:r>
            <w:r w:rsidRPr="00474A65">
              <w:rPr>
                <w:rFonts w:ascii="Verdana" w:eastAsia="Calibri" w:hAnsi="Verdana" w:cs="Arial"/>
                <w:bCs/>
                <w:iCs/>
                <w:lang w:eastAsia="es-ES_tradnl"/>
              </w:rPr>
              <w:t>2.1.4.3.1.2</w:t>
            </w:r>
            <w:r>
              <w:rPr>
                <w:rFonts w:ascii="Verdana" w:eastAsia="Calibri" w:hAnsi="Verdana" w:cs="Arial"/>
                <w:bCs/>
                <w:iCs/>
                <w:lang w:eastAsia="es-ES_tradnl"/>
              </w:rPr>
              <w:t xml:space="preserve"> del </w:t>
            </w:r>
            <w:r w:rsidRPr="00474A65">
              <w:rPr>
                <w:rFonts w:ascii="Verdana" w:eastAsia="Calibri" w:hAnsi="Verdana" w:cs="Arial"/>
                <w:bCs/>
                <w:iCs/>
                <w:lang w:eastAsia="es-ES_tradnl"/>
              </w:rPr>
              <w:t>Decreto 1600 de 2024</w:t>
            </w:r>
            <w:r>
              <w:rPr>
                <w:rFonts w:ascii="Verdana" w:eastAsia="Calibri" w:hAnsi="Verdana" w:cs="Arial"/>
                <w:bCs/>
                <w:iCs/>
                <w:lang w:eastAsia="es-ES_tradnl"/>
              </w:rPr>
              <w:t xml:space="preserve">, las disposiciones contenidas en el </w:t>
            </w:r>
            <w:r w:rsidRPr="00474A65">
              <w:rPr>
                <w:rFonts w:ascii="Verdana" w:eastAsia="Calibri" w:hAnsi="Verdana" w:cs="Arial"/>
                <w:bCs/>
                <w:iCs/>
                <w:lang w:eastAsia="es-ES_tradnl"/>
              </w:rPr>
              <w:t>capítulo 3 relacionad</w:t>
            </w:r>
            <w:r>
              <w:rPr>
                <w:rFonts w:ascii="Verdana" w:eastAsia="Calibri" w:hAnsi="Verdana" w:cs="Arial"/>
                <w:bCs/>
                <w:iCs/>
                <w:lang w:eastAsia="es-ES_tradnl"/>
              </w:rPr>
              <w:t>as</w:t>
            </w:r>
            <w:r w:rsidRPr="00474A65">
              <w:rPr>
                <w:rFonts w:ascii="Verdana" w:eastAsia="Calibri" w:hAnsi="Verdana" w:cs="Arial"/>
                <w:bCs/>
                <w:iCs/>
                <w:lang w:eastAsia="es-ES_tradnl"/>
              </w:rPr>
              <w:t xml:space="preserve"> con la </w:t>
            </w:r>
            <w:r w:rsidRPr="00474A65">
              <w:rPr>
                <w:rFonts w:ascii="Verdana" w:eastAsia="Calibri" w:hAnsi="Verdana" w:cs="Arial"/>
                <w:iCs/>
                <w:lang w:eastAsia="es-ES_tradnl"/>
              </w:rPr>
              <w:t xml:space="preserve">Estrategia Nacional </w:t>
            </w:r>
            <w:r>
              <w:rPr>
                <w:rFonts w:ascii="Verdana" w:eastAsia="Calibri" w:hAnsi="Verdana" w:cs="Arial"/>
                <w:iCs/>
                <w:lang w:eastAsia="es-ES_tradnl"/>
              </w:rPr>
              <w:t>d</w:t>
            </w:r>
            <w:r w:rsidRPr="00474A65">
              <w:rPr>
                <w:rFonts w:ascii="Verdana" w:eastAsia="Calibri" w:hAnsi="Verdana" w:cs="Arial"/>
                <w:iCs/>
                <w:lang w:eastAsia="es-ES_tradnl"/>
              </w:rPr>
              <w:t xml:space="preserve">e Lucha Contra </w:t>
            </w:r>
            <w:r>
              <w:rPr>
                <w:rFonts w:ascii="Verdana" w:eastAsia="Calibri" w:hAnsi="Verdana" w:cs="Arial"/>
                <w:iCs/>
                <w:lang w:eastAsia="es-ES_tradnl"/>
              </w:rPr>
              <w:t>l</w:t>
            </w:r>
            <w:r w:rsidRPr="00474A65">
              <w:rPr>
                <w:rFonts w:ascii="Verdana" w:eastAsia="Calibri" w:hAnsi="Verdana" w:cs="Arial"/>
                <w:iCs/>
                <w:lang w:eastAsia="es-ES_tradnl"/>
              </w:rPr>
              <w:t>a Corrupción</w:t>
            </w:r>
            <w:r>
              <w:rPr>
                <w:rFonts w:ascii="Verdana" w:eastAsia="Calibri" w:hAnsi="Verdana" w:cs="Arial"/>
                <w:iCs/>
                <w:lang w:eastAsia="es-ES_tradnl"/>
              </w:rPr>
              <w:t xml:space="preserve"> </w:t>
            </w:r>
            <w:r w:rsidRPr="00474A65">
              <w:rPr>
                <w:rFonts w:ascii="Verdana" w:eastAsia="Calibri" w:hAnsi="Verdana" w:cs="Arial"/>
                <w:bCs/>
                <w:iCs/>
                <w:lang w:eastAsia="es-ES_tradnl"/>
              </w:rPr>
              <w:t xml:space="preserve">están dirigidas a las entidades y empresas del Estado del orden nacional y pertenecientes a la Rama Ejecutiva del Poder Público. Así mismo, establece que las empresas industriales y comerciales del Estado, las sociedades de economía mixta y todas las demás instituciones sometidas a regímenes especiales de contratación deben cumplir las obligaciones </w:t>
            </w:r>
            <w:r w:rsidRPr="00474A65">
              <w:rPr>
                <w:rFonts w:ascii="Verdana" w:eastAsia="Calibri" w:hAnsi="Verdana" w:cs="Arial"/>
                <w:bCs/>
                <w:iCs/>
                <w:lang w:eastAsia="es-ES_tradnl"/>
              </w:rPr>
              <w:lastRenderedPageBreak/>
              <w:t>contenidas en dicho capítulo en aquellos aspectos en los que deban aplicar el régimen general de contratación pública. En los temas no regulados por dicho régimen, no se aplica lo dispuesto en el artículo 2.1.4.3.2.1, por lo que las demás disposiciones deberán aplicarse, de acuerdo con su estructura orgánica y la normativa aplicable a su funcionamiento.</w:t>
            </w:r>
            <w:r w:rsidRPr="00474A65">
              <w:rPr>
                <w:rFonts w:ascii="Verdana" w:eastAsia="Calibri" w:hAnsi="Verdana" w:cs="Arial"/>
                <w:bCs/>
                <w:lang w:eastAsia="es-ES_tradnl"/>
              </w:rPr>
              <w:t xml:space="preserve"> </w:t>
            </w:r>
          </w:p>
          <w:p w14:paraId="2700D2C4" w14:textId="77777777" w:rsidR="00165AC5" w:rsidRPr="00474A65" w:rsidRDefault="00165AC5" w:rsidP="001869B9">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iCs/>
                <w:lang w:eastAsia="es-ES_tradnl"/>
              </w:rPr>
              <w:t xml:space="preserve">Con respecto a las entidades territoriales – a las que se refiere en su consulta – y sus entidades descentralizadas el artículo dispone que en el marco de su autonomía y en cumplimiento de lo previsto en el artículo 32 de la Ley 152 de 1994, por la cual se establece la Ley Orgánica de Plan de Desarrollo, aplicarán en sus planes y políticas, las líneas de acción contenidas en el </w:t>
            </w:r>
            <w:r>
              <w:rPr>
                <w:rFonts w:ascii="Verdana" w:eastAsia="Calibri" w:hAnsi="Verdana" w:cs="Arial"/>
                <w:bCs/>
                <w:iCs/>
                <w:lang w:eastAsia="es-ES_tradnl"/>
              </w:rPr>
              <w:t>dicho</w:t>
            </w:r>
            <w:r w:rsidRPr="00474A65">
              <w:rPr>
                <w:rFonts w:ascii="Verdana" w:eastAsia="Calibri" w:hAnsi="Verdana" w:cs="Arial"/>
                <w:bCs/>
                <w:iCs/>
                <w:lang w:eastAsia="es-ES_tradnl"/>
              </w:rPr>
              <w:t xml:space="preserve"> Capítulo, conforme a lo regulado en el artículo 200</w:t>
            </w:r>
            <w:r w:rsidRPr="00474A65">
              <w:rPr>
                <w:rFonts w:ascii="Verdana" w:hAnsi="Verdana"/>
              </w:rPr>
              <w:t xml:space="preserve"> </w:t>
            </w:r>
            <w:r w:rsidRPr="00474A65">
              <w:rPr>
                <w:rFonts w:ascii="Verdana" w:eastAsia="Calibri" w:hAnsi="Verdana" w:cs="Arial"/>
                <w:bCs/>
                <w:iCs/>
                <w:lang w:eastAsia="es-ES_tradnl"/>
              </w:rPr>
              <w:t xml:space="preserve">de la Ley 2294 de 2023. </w:t>
            </w:r>
          </w:p>
          <w:p w14:paraId="65A27D58" w14:textId="77777777" w:rsidR="00165AC5" w:rsidRDefault="00165AC5" w:rsidP="001869B9">
            <w:pPr>
              <w:spacing w:after="120" w:line="276" w:lineRule="auto"/>
              <w:ind w:firstLine="709"/>
              <w:jc w:val="both"/>
              <w:rPr>
                <w:rFonts w:ascii="Verdana" w:eastAsia="Calibri" w:hAnsi="Verdana" w:cs="Arial"/>
                <w:bCs/>
                <w:iCs/>
                <w:lang w:eastAsia="es-ES_tradnl"/>
              </w:rPr>
            </w:pPr>
            <w:r w:rsidRPr="00474A65">
              <w:rPr>
                <w:rFonts w:ascii="Verdana" w:eastAsia="Calibri" w:hAnsi="Verdana" w:cs="Arial"/>
                <w:bCs/>
                <w:iCs/>
                <w:lang w:eastAsia="es-ES_tradnl"/>
              </w:rPr>
              <w:t xml:space="preserve">De lo expuesto se concluye </w:t>
            </w:r>
            <w:r>
              <w:rPr>
                <w:rFonts w:ascii="Verdana" w:eastAsia="Calibri" w:hAnsi="Verdana" w:cs="Arial"/>
                <w:bCs/>
                <w:iCs/>
                <w:lang w:eastAsia="es-ES_tradnl"/>
              </w:rPr>
              <w:t>que,</w:t>
            </w:r>
            <w:r w:rsidRPr="00474A65">
              <w:rPr>
                <w:rFonts w:ascii="Verdana" w:eastAsia="Calibri" w:hAnsi="Verdana" w:cs="Arial"/>
                <w:bCs/>
                <w:iCs/>
                <w:lang w:eastAsia="es-ES_tradnl"/>
              </w:rPr>
              <w:t xml:space="preserve"> las disposiciones contenidas en el Decreto 1600</w:t>
            </w:r>
            <w:r>
              <w:rPr>
                <w:rFonts w:ascii="Verdana" w:eastAsia="Calibri" w:hAnsi="Verdana" w:cs="Arial"/>
                <w:bCs/>
                <w:iCs/>
                <w:lang w:eastAsia="es-ES_tradnl"/>
              </w:rPr>
              <w:t xml:space="preserve"> de 2024</w:t>
            </w:r>
            <w:r w:rsidRPr="00474A65">
              <w:rPr>
                <w:rFonts w:ascii="Verdana" w:eastAsia="Calibri" w:hAnsi="Verdana" w:cs="Arial"/>
                <w:bCs/>
                <w:iCs/>
                <w:lang w:eastAsia="es-ES_tradnl"/>
              </w:rPr>
              <w:t xml:space="preserve">, específicamente en el capítulo 3, son aplicables </w:t>
            </w:r>
            <w:r>
              <w:rPr>
                <w:rFonts w:ascii="Verdana" w:eastAsia="Calibri" w:hAnsi="Verdana" w:cs="Arial"/>
                <w:bCs/>
                <w:iCs/>
                <w:lang w:eastAsia="es-ES_tradnl"/>
              </w:rPr>
              <w:t xml:space="preserve">de forma obligatoria </w:t>
            </w:r>
            <w:r w:rsidRPr="00474A65">
              <w:rPr>
                <w:rFonts w:ascii="Verdana" w:eastAsia="Calibri" w:hAnsi="Verdana" w:cs="Arial"/>
                <w:bCs/>
                <w:iCs/>
                <w:lang w:eastAsia="es-ES_tradnl"/>
              </w:rPr>
              <w:t xml:space="preserve">a las entidades y empresas del Estado del orden nacional y pertenecientes a la Rama Ejecutiva del Poder Público, así como a las empresas industriales y comerciales del Estado, las sociedades de economía mixta </w:t>
            </w:r>
            <w:r>
              <w:rPr>
                <w:rFonts w:ascii="Verdana" w:eastAsia="Calibri" w:hAnsi="Verdana" w:cs="Arial"/>
                <w:bCs/>
                <w:iCs/>
                <w:lang w:eastAsia="es-ES_tradnl"/>
              </w:rPr>
              <w:t xml:space="preserve">y </w:t>
            </w:r>
            <w:r w:rsidRPr="00474A65">
              <w:rPr>
                <w:rFonts w:ascii="Verdana" w:eastAsia="Calibri" w:hAnsi="Verdana" w:cs="Arial"/>
                <w:bCs/>
                <w:iCs/>
                <w:lang w:eastAsia="es-ES_tradnl"/>
              </w:rPr>
              <w:t xml:space="preserve">todas las demás instituciones sometidas a regímenes especiales de contratación de este orden. </w:t>
            </w:r>
            <w:r>
              <w:rPr>
                <w:rFonts w:ascii="Verdana" w:eastAsia="Calibri" w:hAnsi="Verdana" w:cs="Arial"/>
                <w:bCs/>
                <w:iCs/>
                <w:lang w:eastAsia="es-ES_tradnl"/>
              </w:rPr>
              <w:t>T</w:t>
            </w:r>
            <w:r w:rsidRPr="00474A65">
              <w:rPr>
                <w:rFonts w:ascii="Verdana" w:eastAsia="Calibri" w:hAnsi="Verdana" w:cs="Arial"/>
                <w:bCs/>
                <w:iCs/>
                <w:lang w:eastAsia="es-ES_tradnl"/>
              </w:rPr>
              <w:t>ratándose de las entidades territoriales y sus entidades descentralizadas no serán aplicables</w:t>
            </w:r>
            <w:r>
              <w:rPr>
                <w:rFonts w:ascii="Verdana" w:eastAsia="Calibri" w:hAnsi="Verdana" w:cs="Arial"/>
                <w:bCs/>
                <w:iCs/>
                <w:lang w:eastAsia="es-ES_tradnl"/>
              </w:rPr>
              <w:t xml:space="preserve"> dichas disposiciones</w:t>
            </w:r>
            <w:r w:rsidRPr="00474A65">
              <w:rPr>
                <w:rFonts w:ascii="Verdana" w:eastAsia="Calibri" w:hAnsi="Verdana" w:cs="Arial"/>
                <w:bCs/>
                <w:iCs/>
                <w:lang w:eastAsia="es-ES_tradnl"/>
              </w:rPr>
              <w:t xml:space="preserve">. No obstante, </w:t>
            </w:r>
            <w:r>
              <w:rPr>
                <w:rFonts w:ascii="Verdana" w:eastAsia="Calibri" w:hAnsi="Verdana" w:cs="Arial"/>
                <w:bCs/>
                <w:iCs/>
                <w:lang w:eastAsia="es-ES_tradnl"/>
              </w:rPr>
              <w:t xml:space="preserve">se establece que </w:t>
            </w:r>
            <w:r w:rsidRPr="00474A65">
              <w:rPr>
                <w:rFonts w:ascii="Verdana" w:eastAsia="Calibri" w:hAnsi="Verdana" w:cs="Arial"/>
                <w:bCs/>
                <w:iCs/>
                <w:lang w:eastAsia="es-ES_tradnl"/>
              </w:rPr>
              <w:t xml:space="preserve">en el marco de su autonomía y en cumplimiento de lo previsto en el artículo 32 de la Ley 152 de 1994, aplicarán en sus planes y políticas, las líneas de acción contenidas en el </w:t>
            </w:r>
            <w:r>
              <w:rPr>
                <w:rFonts w:ascii="Verdana" w:eastAsia="Calibri" w:hAnsi="Verdana" w:cs="Arial"/>
                <w:bCs/>
                <w:iCs/>
                <w:lang w:eastAsia="es-ES_tradnl"/>
              </w:rPr>
              <w:t xml:space="preserve">citado </w:t>
            </w:r>
            <w:r w:rsidRPr="00474A65">
              <w:rPr>
                <w:rFonts w:ascii="Verdana" w:eastAsia="Calibri" w:hAnsi="Verdana" w:cs="Arial"/>
                <w:bCs/>
                <w:iCs/>
                <w:lang w:eastAsia="es-ES_tradnl"/>
              </w:rPr>
              <w:t>Decreto, conforme a lo regulado en el artículo 200</w:t>
            </w:r>
            <w:r w:rsidRPr="00474A65">
              <w:rPr>
                <w:rFonts w:ascii="Verdana" w:hAnsi="Verdana"/>
              </w:rPr>
              <w:t xml:space="preserve"> </w:t>
            </w:r>
            <w:r w:rsidRPr="00474A65">
              <w:rPr>
                <w:rFonts w:ascii="Verdana" w:eastAsia="Calibri" w:hAnsi="Verdana" w:cs="Arial"/>
                <w:bCs/>
                <w:iCs/>
                <w:lang w:eastAsia="es-ES_tradnl"/>
              </w:rPr>
              <w:t>de la Ley 2294 de 2023.</w:t>
            </w:r>
          </w:p>
          <w:p w14:paraId="25AF9880" w14:textId="77777777" w:rsidR="00165AC5" w:rsidRDefault="00165AC5" w:rsidP="001869B9">
            <w:pPr>
              <w:spacing w:after="120" w:line="276" w:lineRule="auto"/>
              <w:ind w:firstLine="709"/>
              <w:jc w:val="both"/>
              <w:rPr>
                <w:rFonts w:ascii="Verdana" w:eastAsia="Calibri" w:hAnsi="Verdana" w:cs="Arial"/>
                <w:bCs/>
                <w:iCs/>
                <w:lang w:eastAsia="es-ES_tradnl"/>
              </w:rPr>
            </w:pPr>
            <w:r w:rsidRPr="00686062">
              <w:rPr>
                <w:rFonts w:ascii="Verdana" w:eastAsia="Calibri" w:hAnsi="Verdana" w:cs="Arial"/>
                <w:bCs/>
                <w:iCs/>
                <w:lang w:eastAsia="es-ES_tradnl"/>
              </w:rPr>
              <w:t>En este sentido, si bien la norma no impone una obliga</w:t>
            </w:r>
            <w:r>
              <w:rPr>
                <w:rFonts w:ascii="Verdana" w:eastAsia="Calibri" w:hAnsi="Verdana" w:cs="Arial"/>
                <w:bCs/>
                <w:iCs/>
                <w:lang w:eastAsia="es-ES_tradnl"/>
              </w:rPr>
              <w:t xml:space="preserve">ción </w:t>
            </w:r>
            <w:r w:rsidRPr="00686062">
              <w:rPr>
                <w:rFonts w:ascii="Verdana" w:eastAsia="Calibri" w:hAnsi="Verdana" w:cs="Arial"/>
                <w:bCs/>
                <w:iCs/>
                <w:lang w:eastAsia="es-ES_tradnl"/>
              </w:rPr>
              <w:t xml:space="preserve">directa a las entidades territoriales y sus descentralizadas, sí establece un mandato legal que estas deben considerar al momento de estructurar sus planes y políticas. </w:t>
            </w:r>
            <w:r>
              <w:rPr>
                <w:rFonts w:ascii="Verdana" w:eastAsia="Calibri" w:hAnsi="Verdana" w:cs="Arial"/>
                <w:bCs/>
                <w:iCs/>
                <w:lang w:eastAsia="es-ES_tradnl"/>
              </w:rPr>
              <w:t>De esta forma, l</w:t>
            </w:r>
            <w:r w:rsidRPr="00686062">
              <w:rPr>
                <w:rFonts w:ascii="Verdana" w:eastAsia="Calibri" w:hAnsi="Verdana" w:cs="Arial"/>
                <w:bCs/>
                <w:iCs/>
                <w:lang w:eastAsia="es-ES_tradnl"/>
              </w:rPr>
              <w:t xml:space="preserve">a incorporación de dichas líneas de acción deberá realizarse </w:t>
            </w:r>
            <w:r>
              <w:rPr>
                <w:rFonts w:ascii="Verdana" w:eastAsia="Calibri" w:hAnsi="Verdana" w:cs="Arial"/>
                <w:bCs/>
                <w:iCs/>
                <w:lang w:eastAsia="es-ES_tradnl"/>
              </w:rPr>
              <w:t xml:space="preserve">en el marco de </w:t>
            </w:r>
            <w:r w:rsidRPr="00686062">
              <w:rPr>
                <w:rFonts w:ascii="Verdana" w:eastAsia="Calibri" w:hAnsi="Verdana" w:cs="Arial"/>
                <w:bCs/>
                <w:iCs/>
                <w:lang w:eastAsia="es-ES_tradnl"/>
              </w:rPr>
              <w:t>autonomía</w:t>
            </w:r>
            <w:r w:rsidRPr="00474A65">
              <w:rPr>
                <w:rFonts w:ascii="Verdana" w:eastAsia="Calibri" w:hAnsi="Verdana" w:cs="Arial"/>
                <w:bCs/>
                <w:iCs/>
                <w:lang w:eastAsia="es-ES_tradnl"/>
              </w:rPr>
              <w:t xml:space="preserve"> y en cumplimiento de lo previsto en el artículo 32 de la Ley 152 de 1994</w:t>
            </w:r>
            <w:r w:rsidRPr="00686062">
              <w:rPr>
                <w:rFonts w:ascii="Verdana" w:eastAsia="Calibri" w:hAnsi="Verdana" w:cs="Arial"/>
                <w:bCs/>
                <w:iCs/>
                <w:lang w:eastAsia="es-ES_tradnl"/>
              </w:rPr>
              <w:t>, por lo que corresponderá a cada entidad determinar el instrumento más adecuado para integrarlas</w:t>
            </w:r>
            <w:r>
              <w:rPr>
                <w:rFonts w:ascii="Verdana" w:eastAsia="Calibri" w:hAnsi="Verdana" w:cs="Arial"/>
                <w:bCs/>
                <w:iCs/>
                <w:lang w:eastAsia="es-ES_tradnl"/>
              </w:rPr>
              <w:t xml:space="preserve"> en sus </w:t>
            </w:r>
            <w:r w:rsidRPr="00E7391B">
              <w:rPr>
                <w:rFonts w:ascii="Verdana" w:eastAsia="Calibri" w:hAnsi="Verdana" w:cs="Arial"/>
                <w:bCs/>
                <w:i/>
                <w:lang w:eastAsia="es-ES_tradnl"/>
              </w:rPr>
              <w:t>planes</w:t>
            </w:r>
            <w:r>
              <w:rPr>
                <w:rFonts w:ascii="Verdana" w:eastAsia="Calibri" w:hAnsi="Verdana" w:cs="Arial"/>
                <w:bCs/>
                <w:iCs/>
                <w:lang w:eastAsia="es-ES_tradnl"/>
              </w:rPr>
              <w:t xml:space="preserve"> y</w:t>
            </w:r>
            <w:r w:rsidRPr="00E7391B">
              <w:rPr>
                <w:rFonts w:ascii="Verdana" w:eastAsia="Calibri" w:hAnsi="Verdana" w:cs="Arial"/>
                <w:bCs/>
                <w:i/>
                <w:lang w:eastAsia="es-ES_tradnl"/>
              </w:rPr>
              <w:t xml:space="preserve"> en sus políticas</w:t>
            </w:r>
            <w:r>
              <w:rPr>
                <w:rFonts w:ascii="Verdana" w:eastAsia="Calibri" w:hAnsi="Verdana" w:cs="Arial"/>
                <w:bCs/>
                <w:iCs/>
                <w:lang w:eastAsia="es-ES_tradnl"/>
              </w:rPr>
              <w:t>,</w:t>
            </w:r>
            <w:r w:rsidRPr="00686062">
              <w:rPr>
                <w:rFonts w:ascii="Verdana" w:eastAsia="Calibri" w:hAnsi="Verdana" w:cs="Arial"/>
                <w:bCs/>
                <w:iCs/>
                <w:lang w:eastAsia="es-ES_tradnl"/>
              </w:rPr>
              <w:t xml:space="preserve"> según sus competencias y capacidades institucionales</w:t>
            </w:r>
            <w:r>
              <w:rPr>
                <w:rFonts w:ascii="Verdana" w:eastAsia="Calibri" w:hAnsi="Verdana" w:cs="Arial"/>
                <w:bCs/>
                <w:iCs/>
                <w:lang w:eastAsia="es-ES_tradnl"/>
              </w:rPr>
              <w:t xml:space="preserve">. </w:t>
            </w:r>
          </w:p>
          <w:p w14:paraId="5C7A1FD2" w14:textId="77777777" w:rsidR="00165AC5" w:rsidRPr="003B21D5" w:rsidRDefault="00165AC5" w:rsidP="001869B9">
            <w:pPr>
              <w:spacing w:after="120" w:line="276" w:lineRule="auto"/>
              <w:ind w:firstLine="709"/>
              <w:jc w:val="both"/>
              <w:rPr>
                <w:rFonts w:ascii="Verdana" w:eastAsia="Calibri" w:hAnsi="Verdana" w:cs="Arial"/>
                <w:bCs/>
                <w:lang w:eastAsia="es-ES_tradnl"/>
              </w:rPr>
            </w:pPr>
            <w:r w:rsidRPr="00032693">
              <w:rPr>
                <w:rFonts w:ascii="Verdana" w:eastAsia="Calibri" w:hAnsi="Verdana" w:cs="Arial"/>
                <w:bCs/>
                <w:iCs/>
                <w:lang w:eastAsia="es-ES_tradnl"/>
              </w:rPr>
              <w:t xml:space="preserve">En todo caso, </w:t>
            </w:r>
            <w:r>
              <w:rPr>
                <w:rFonts w:ascii="Verdana" w:eastAsia="Calibri" w:hAnsi="Verdana" w:cs="Arial"/>
                <w:bCs/>
                <w:iCs/>
                <w:lang w:eastAsia="es-ES_tradnl"/>
              </w:rPr>
              <w:t xml:space="preserve">aunque la norma no determina un plazo específico </w:t>
            </w:r>
            <w:r w:rsidRPr="00032693">
              <w:rPr>
                <w:rFonts w:ascii="Verdana" w:eastAsia="Calibri" w:hAnsi="Verdana" w:cs="Arial"/>
                <w:bCs/>
                <w:iCs/>
                <w:lang w:eastAsia="es-ES_tradnl"/>
              </w:rPr>
              <w:t>es importante tener en cuenta que las líneas de acción</w:t>
            </w:r>
            <w:r>
              <w:rPr>
                <w:rFonts w:ascii="Verdana" w:eastAsia="Calibri" w:hAnsi="Verdana" w:cs="Arial"/>
                <w:bCs/>
                <w:iCs/>
                <w:lang w:eastAsia="es-ES_tradnl"/>
              </w:rPr>
              <w:t xml:space="preserve"> establecidas en el </w:t>
            </w:r>
            <w:r w:rsidRPr="00474A65">
              <w:rPr>
                <w:rFonts w:ascii="Verdana" w:eastAsia="Calibri" w:hAnsi="Verdana" w:cs="Arial"/>
                <w:bCs/>
                <w:iCs/>
                <w:lang w:eastAsia="es-ES_tradnl"/>
              </w:rPr>
              <w:t>2.1.4.3.2.1</w:t>
            </w:r>
            <w:r w:rsidRPr="00032693">
              <w:rPr>
                <w:rFonts w:ascii="Verdana" w:eastAsia="Calibri" w:hAnsi="Verdana" w:cs="Arial"/>
                <w:bCs/>
                <w:iCs/>
                <w:lang w:eastAsia="es-ES_tradnl"/>
              </w:rPr>
              <w:t xml:space="preserve">, al estar orientadas a la prevención de la corrupción en la contratación pública, requieren acciones </w:t>
            </w:r>
            <w:r>
              <w:rPr>
                <w:rFonts w:ascii="Verdana" w:eastAsia="Calibri" w:hAnsi="Verdana" w:cs="Arial"/>
                <w:bCs/>
                <w:iCs/>
                <w:lang w:eastAsia="es-ES_tradnl"/>
              </w:rPr>
              <w:t>prontas</w:t>
            </w:r>
            <w:r w:rsidRPr="00032693">
              <w:rPr>
                <w:rFonts w:ascii="Verdana" w:eastAsia="Calibri" w:hAnsi="Verdana" w:cs="Arial"/>
                <w:bCs/>
                <w:iCs/>
                <w:lang w:eastAsia="es-ES_tradnl"/>
              </w:rPr>
              <w:t xml:space="preserve">. Por ello, su integración en </w:t>
            </w:r>
            <w:r w:rsidRPr="00032693">
              <w:rPr>
                <w:rFonts w:ascii="Verdana" w:eastAsia="Calibri" w:hAnsi="Verdana" w:cs="Arial"/>
                <w:bCs/>
                <w:iCs/>
                <w:lang w:eastAsia="es-ES_tradnl"/>
              </w:rPr>
              <w:lastRenderedPageBreak/>
              <w:t xml:space="preserve">los planes y políticas institucionales </w:t>
            </w:r>
            <w:r>
              <w:rPr>
                <w:rFonts w:ascii="Verdana" w:eastAsia="Calibri" w:hAnsi="Verdana" w:cs="Arial"/>
                <w:bCs/>
                <w:iCs/>
                <w:lang w:eastAsia="es-ES_tradnl"/>
              </w:rPr>
              <w:t xml:space="preserve">de las entidades territoriales </w:t>
            </w:r>
            <w:r w:rsidRPr="00032693">
              <w:rPr>
                <w:rFonts w:ascii="Verdana" w:eastAsia="Calibri" w:hAnsi="Verdana" w:cs="Arial"/>
                <w:bCs/>
                <w:iCs/>
                <w:lang w:eastAsia="es-ES_tradnl"/>
              </w:rPr>
              <w:t xml:space="preserve">debe adelantarse de manera </w:t>
            </w:r>
            <w:r>
              <w:rPr>
                <w:rFonts w:ascii="Verdana" w:eastAsia="Calibri" w:hAnsi="Verdana" w:cs="Arial"/>
                <w:bCs/>
                <w:iCs/>
                <w:lang w:eastAsia="es-ES_tradnl"/>
              </w:rPr>
              <w:t xml:space="preserve">oportuna para </w:t>
            </w:r>
            <w:r w:rsidRPr="00032693">
              <w:rPr>
                <w:rFonts w:ascii="Verdana" w:eastAsia="Calibri" w:hAnsi="Verdana" w:cs="Arial"/>
                <w:bCs/>
                <w:iCs/>
                <w:lang w:eastAsia="es-ES_tradnl"/>
              </w:rPr>
              <w:t>que se garantice el cumplimiento del propósito establecido en el artículo 200 de la Ley 2294 de 2023</w:t>
            </w:r>
            <w:r>
              <w:rPr>
                <w:rFonts w:ascii="Verdana" w:eastAsia="Calibri" w:hAnsi="Verdana" w:cs="Arial"/>
                <w:bCs/>
                <w:iCs/>
                <w:lang w:eastAsia="es-ES_tradnl"/>
              </w:rPr>
              <w:t>. Por tanto</w:t>
            </w:r>
            <w:r w:rsidRPr="001A6A06">
              <w:rPr>
                <w:rFonts w:ascii="Verdana" w:eastAsia="Calibri" w:hAnsi="Verdana" w:cs="Arial"/>
                <w:bCs/>
                <w:iCs/>
                <w:lang w:eastAsia="es-ES_tradnl"/>
              </w:rPr>
              <w:t>, la entidad adopt</w:t>
            </w:r>
            <w:r>
              <w:rPr>
                <w:rFonts w:ascii="Verdana" w:eastAsia="Calibri" w:hAnsi="Verdana" w:cs="Arial"/>
                <w:bCs/>
                <w:iCs/>
                <w:lang w:eastAsia="es-ES_tradnl"/>
              </w:rPr>
              <w:t xml:space="preserve">ará </w:t>
            </w:r>
            <w:r w:rsidRPr="001A6A06">
              <w:rPr>
                <w:rFonts w:ascii="Verdana" w:eastAsia="Calibri" w:hAnsi="Verdana" w:cs="Arial"/>
                <w:bCs/>
                <w:iCs/>
                <w:lang w:eastAsia="es-ES_tradnl"/>
              </w:rPr>
              <w:t xml:space="preserve">las medidas necesarias para incorporar </w:t>
            </w:r>
            <w:r>
              <w:rPr>
                <w:rFonts w:ascii="Verdana" w:eastAsia="Calibri" w:hAnsi="Verdana" w:cs="Arial"/>
                <w:bCs/>
                <w:iCs/>
                <w:lang w:eastAsia="es-ES_tradnl"/>
              </w:rPr>
              <w:t>estas líneas de acción de forma oportuna</w:t>
            </w:r>
            <w:r w:rsidRPr="001A6A06">
              <w:rPr>
                <w:rFonts w:ascii="Verdana" w:eastAsia="Calibri" w:hAnsi="Verdana" w:cs="Arial"/>
                <w:bCs/>
                <w:iCs/>
                <w:lang w:eastAsia="es-ES_tradnl"/>
              </w:rPr>
              <w:t xml:space="preserve"> en el instrumento que, en ejercicio de su autonomía territorial, haya decidido utilizar.</w:t>
            </w:r>
          </w:p>
        </w:tc>
      </w:tr>
    </w:tbl>
    <w:p w14:paraId="73DAC7A2" w14:textId="77777777" w:rsidR="00165AC5" w:rsidRPr="00474A65" w:rsidRDefault="00165AC5" w:rsidP="00165AC5">
      <w:pPr>
        <w:tabs>
          <w:tab w:val="left" w:pos="142"/>
          <w:tab w:val="left" w:pos="284"/>
        </w:tabs>
        <w:spacing w:after="0" w:line="276" w:lineRule="auto"/>
        <w:jc w:val="both"/>
        <w:rPr>
          <w:rFonts w:ascii="Verdana" w:eastAsia="Century Gothic" w:hAnsi="Verdana" w:cs="Century Gothic"/>
          <w:b/>
          <w:bCs/>
        </w:rPr>
      </w:pPr>
    </w:p>
    <w:p w14:paraId="2B297D4D" w14:textId="77777777" w:rsidR="00165AC5" w:rsidRPr="00474A65" w:rsidRDefault="00165AC5" w:rsidP="00165AC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474A65">
        <w:rPr>
          <w:rFonts w:ascii="Verdana" w:eastAsia="Century Gothic" w:hAnsi="Verdana" w:cs="Century Gothic"/>
          <w:b/>
          <w:bCs/>
          <w:lang w:val="es-CO"/>
        </w:rPr>
        <w:t>Razones de la respuesta:</w:t>
      </w:r>
    </w:p>
    <w:p w14:paraId="71B8B8BA" w14:textId="77777777" w:rsidR="00165AC5" w:rsidRPr="00474A65" w:rsidRDefault="00165AC5" w:rsidP="00165AC5">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693BBE5" w14:textId="77777777" w:rsidR="00165AC5" w:rsidRPr="00474A65" w:rsidRDefault="00165AC5" w:rsidP="00165AC5">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474A65">
        <w:rPr>
          <w:rFonts w:ascii="Verdana" w:eastAsia="Calibri" w:hAnsi="Verdana" w:cs="Arial"/>
          <w:lang w:val="es-CO"/>
        </w:rPr>
        <w:t xml:space="preserve">Lo anterior se sustenta en las siguientes consideraciones: </w:t>
      </w:r>
    </w:p>
    <w:p w14:paraId="7C9C11A3" w14:textId="77777777" w:rsidR="00165AC5" w:rsidRPr="00474A65" w:rsidRDefault="00165AC5" w:rsidP="00165AC5">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0A5D8511" w14:textId="77777777" w:rsidR="00165AC5" w:rsidRPr="00474A65" w:rsidRDefault="00165AC5" w:rsidP="00165AC5">
      <w:pPr>
        <w:spacing w:after="120" w:line="276" w:lineRule="auto"/>
        <w:jc w:val="both"/>
        <w:rPr>
          <w:rFonts w:ascii="Verdana" w:hAnsi="Verdana" w:cs="Arial"/>
          <w:iCs/>
        </w:rPr>
      </w:pPr>
      <w:r w:rsidRPr="00474A65">
        <w:rPr>
          <w:rFonts w:ascii="Verdana" w:hAnsi="Verdana" w:cs="Arial"/>
          <w:iCs/>
        </w:rPr>
        <w:t>El artículo 209 de la Constitución Política establece que la función administrativa está orientada hacia el servicio de los intereses generales y se fundamenta en principios de igualdad, moralidad, eficacia, economía, celeridad, imparcialidad y publicidad. Asimismo, conforme al Código de Procedimiento Administrativo y de lo Contencioso Administrativo, Ley 1437 de 2011, las acciones administrativas deben llevarse a cabo con transparencia.</w:t>
      </w:r>
    </w:p>
    <w:p w14:paraId="40C6918D" w14:textId="77777777" w:rsidR="00165AC5" w:rsidRPr="00474A65" w:rsidRDefault="00165AC5" w:rsidP="00165AC5">
      <w:pPr>
        <w:spacing w:after="120" w:line="276" w:lineRule="auto"/>
        <w:ind w:firstLine="708"/>
        <w:jc w:val="both"/>
        <w:rPr>
          <w:rFonts w:ascii="Verdana" w:eastAsia="Calibri" w:hAnsi="Verdana" w:cs="Arial"/>
          <w:lang w:eastAsia="es-ES_tradnl"/>
        </w:rPr>
      </w:pPr>
      <w:r w:rsidRPr="00474A65">
        <w:rPr>
          <w:rFonts w:ascii="Verdana" w:eastAsia="Calibri" w:hAnsi="Verdana" w:cs="Arial"/>
          <w:lang w:eastAsia="es-ES_tradnl"/>
        </w:rPr>
        <w:t>El artículo 200 de la Ley 2294 de 2023</w:t>
      </w:r>
      <w:r w:rsidRPr="00474A65">
        <w:rPr>
          <w:rStyle w:val="Refdenotaalpie"/>
          <w:rFonts w:ascii="Verdana" w:eastAsia="Calibri" w:hAnsi="Verdana" w:cs="Arial"/>
          <w:lang w:eastAsia="es-ES_tradnl"/>
        </w:rPr>
        <w:footnoteReference w:id="1"/>
      </w:r>
      <w:r w:rsidRPr="00474A65">
        <w:rPr>
          <w:rFonts w:ascii="Verdana" w:eastAsia="Calibri" w:hAnsi="Verdana" w:cs="Arial"/>
          <w:lang w:eastAsia="es-ES_tradnl"/>
        </w:rPr>
        <w:t>, “Por</w:t>
      </w:r>
      <w:r w:rsidRPr="00474A65">
        <w:rPr>
          <w:rFonts w:ascii="Verdana" w:eastAsia="Calibri" w:hAnsi="Verdana" w:cs="Arial"/>
          <w:i/>
          <w:iCs/>
          <w:lang w:eastAsia="es-ES_tradnl"/>
        </w:rPr>
        <w:t xml:space="preserve"> la cual se expidió el Plan Nacional de Desarrollo ‘Colombia Potencia Mundial de la Vida’”</w:t>
      </w:r>
      <w:r w:rsidRPr="00474A65">
        <w:rPr>
          <w:rFonts w:ascii="Verdana" w:eastAsia="Calibri" w:hAnsi="Verdana" w:cs="Arial"/>
          <w:lang w:eastAsia="es-ES_tradnl"/>
        </w:rPr>
        <w:t>, estableció el deber de formular una Estrategia Nacional de Lucha contra la Corrupción</w:t>
      </w:r>
      <w:r w:rsidRPr="00474A65">
        <w:rPr>
          <w:rFonts w:ascii="Verdana" w:eastAsia="Calibri" w:hAnsi="Verdana" w:cs="Arial"/>
          <w:iCs/>
          <w:lang w:eastAsia="es-ES_tradnl"/>
        </w:rPr>
        <w:t xml:space="preserve">, con el </w:t>
      </w:r>
      <w:r w:rsidRPr="00474A65">
        <w:rPr>
          <w:rFonts w:ascii="Verdana" w:eastAsia="Calibri" w:hAnsi="Verdana" w:cs="Arial"/>
          <w:iCs/>
          <w:lang w:eastAsia="es-ES_tradnl"/>
        </w:rPr>
        <w:lastRenderedPageBreak/>
        <w:t>fin de fortalecer las instituciones democráticas y el Estado Social de Derecho, la protección de los derechos humanos, los recursos públicos, así como generar condiciones adecuadas para el desarrollo socioeconómico y el cuidado del medio ambiente</w:t>
      </w:r>
      <w:r w:rsidRPr="00474A65">
        <w:rPr>
          <w:rFonts w:ascii="Verdana" w:eastAsia="Calibri" w:hAnsi="Verdana" w:cs="Arial"/>
          <w:lang w:eastAsia="es-ES_tradnl"/>
        </w:rPr>
        <w:t xml:space="preserve">. </w:t>
      </w:r>
    </w:p>
    <w:p w14:paraId="1CCAA6CA" w14:textId="77777777" w:rsidR="00165AC5" w:rsidRPr="00474A65" w:rsidRDefault="00165AC5" w:rsidP="00165AC5">
      <w:pPr>
        <w:spacing w:after="120" w:line="276" w:lineRule="auto"/>
        <w:ind w:firstLine="708"/>
        <w:jc w:val="both"/>
        <w:rPr>
          <w:rFonts w:ascii="Verdana" w:eastAsia="Calibri" w:hAnsi="Verdana" w:cs="Arial"/>
          <w:lang w:eastAsia="es-ES_tradnl"/>
        </w:rPr>
      </w:pPr>
      <w:r w:rsidRPr="00474A65">
        <w:rPr>
          <w:rFonts w:ascii="Verdana" w:eastAsia="Calibri" w:hAnsi="Verdana" w:cs="Arial"/>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474A65">
        <w:rPr>
          <w:rFonts w:ascii="Verdana" w:eastAsia="Calibri" w:hAnsi="Verdana" w:cs="Arial"/>
          <w:i/>
          <w:iCs/>
          <w:lang w:eastAsia="es-ES_tradnl"/>
        </w:rPr>
        <w:t>la transparencia en la contratación y gestión pública,</w:t>
      </w:r>
      <w:r w:rsidRPr="00474A65">
        <w:rPr>
          <w:rFonts w:ascii="Verdana" w:eastAsia="Calibri" w:hAnsi="Verdana" w:cs="Arial"/>
          <w:lang w:eastAsia="es-ES_tradnl"/>
        </w:rPr>
        <w:t xml:space="preserve"> la innovación pública y la prevención, detección, gestión y sanción de riesgos y hechos de corrupción. </w:t>
      </w:r>
    </w:p>
    <w:p w14:paraId="256D61AF" w14:textId="77777777" w:rsidR="00165AC5" w:rsidRPr="00474A65" w:rsidRDefault="00165AC5" w:rsidP="00165AC5">
      <w:pPr>
        <w:spacing w:after="120" w:line="276" w:lineRule="auto"/>
        <w:ind w:firstLine="708"/>
        <w:jc w:val="both"/>
        <w:rPr>
          <w:rFonts w:ascii="Verdana" w:eastAsia="Calibri" w:hAnsi="Verdana" w:cs="Arial"/>
          <w:bCs/>
          <w:lang w:eastAsia="es-ES_tradnl"/>
        </w:rPr>
      </w:pPr>
      <w:r w:rsidRPr="00474A65">
        <w:rPr>
          <w:rFonts w:ascii="Verdana" w:eastAsia="Calibri" w:hAnsi="Verdana" w:cs="Arial"/>
          <w:bCs/>
          <w:lang w:eastAsia="es-ES_tradnl"/>
        </w:rPr>
        <w:t xml:space="preserve">En la búsqueda de fortalecer una estrategia de lucha contra la corrupción se expidió el Decreto 1600 de 2024, “Por el cual se modifica el Capítulo 1 y 3 del Título 4 de la Parte 1 del Libro 2 del Decreto número 1081 de 2015, Decreto Reglamentario Único del Sector Presidencia de la República, en lo relacionado con las Subcomisiones Técnicas de la Comisión Nacional de Moralización y la Estrategia Nacional de Lucha Contra la Corrupción”. </w:t>
      </w:r>
    </w:p>
    <w:p w14:paraId="7049494B" w14:textId="77777777" w:rsidR="00165AC5" w:rsidRPr="00474A65" w:rsidRDefault="00165AC5" w:rsidP="00165AC5">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lang w:eastAsia="es-ES_tradnl"/>
        </w:rPr>
        <w:t xml:space="preserve">El Capítulo 3°, Sección 1°, Título 4°, Parte 1°, Libro 2° del Decreto 1081 de 2015, que fue modificado por el Decreto 1600 de 2024, tiene como objeto: “[…] </w:t>
      </w:r>
      <w:r w:rsidRPr="00474A65">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468DB077" w14:textId="77777777" w:rsidR="00165AC5" w:rsidRPr="00474A65" w:rsidRDefault="00165AC5" w:rsidP="00165AC5">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iCs/>
          <w:lang w:eastAsia="es-ES_tradnl"/>
        </w:rPr>
        <w:t>Ahora bien, el ámbito o campo de aplicación de este capítulo, al cual se hace referencia en su consulta, está regulado en el artículo 2.1.4.3.1.2.</w:t>
      </w:r>
      <w:r w:rsidRPr="00474A65">
        <w:rPr>
          <w:rFonts w:ascii="Verdana" w:eastAsia="Calibri" w:hAnsi="Verdana" w:cs="Arial"/>
          <w:bCs/>
          <w:iCs/>
          <w:vertAlign w:val="superscript"/>
          <w:lang w:eastAsia="es-ES_tradnl"/>
        </w:rPr>
        <w:footnoteReference w:id="2"/>
      </w:r>
      <w:r w:rsidRPr="00474A65">
        <w:rPr>
          <w:rFonts w:ascii="Verdana" w:eastAsia="Calibri" w:hAnsi="Verdana" w:cs="Arial"/>
          <w:bCs/>
          <w:iCs/>
          <w:lang w:eastAsia="es-ES_tradnl"/>
        </w:rPr>
        <w:t xml:space="preserve"> que </w:t>
      </w:r>
      <w:r w:rsidRPr="00474A65">
        <w:rPr>
          <w:rFonts w:ascii="Verdana" w:eastAsia="Calibri" w:hAnsi="Verdana" w:cs="Arial"/>
          <w:bCs/>
          <w:iCs/>
          <w:lang w:eastAsia="es-ES_tradnl"/>
        </w:rPr>
        <w:lastRenderedPageBreak/>
        <w:t xml:space="preserve">señala que sus reglas están dirigidas a las entidades y empresas del Estado del orden nacional y pertenecientes a la Rama Ejecutiva del Poder Público. Así mismo,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44B7A690" w14:textId="77777777" w:rsidR="00165AC5" w:rsidRPr="00474A65" w:rsidRDefault="00165AC5" w:rsidP="00165AC5">
      <w:pPr>
        <w:spacing w:after="120" w:line="276" w:lineRule="auto"/>
        <w:ind w:firstLine="708"/>
        <w:jc w:val="both"/>
        <w:rPr>
          <w:rFonts w:ascii="Verdana" w:eastAsia="Calibri" w:hAnsi="Verdana" w:cs="Arial"/>
          <w:bCs/>
          <w:lang w:eastAsia="es-ES_tradnl"/>
        </w:rPr>
      </w:pPr>
      <w:r w:rsidRPr="00474A65">
        <w:rPr>
          <w:rFonts w:ascii="Verdana" w:eastAsia="Calibri" w:hAnsi="Verdana" w:cs="Arial"/>
          <w:bCs/>
          <w:iCs/>
          <w:lang w:eastAsia="es-ES_tradnl"/>
        </w:rPr>
        <w:t>En los temas no regulados por dicho régimen, no se aplica lo dispuesto en el artículo 2.1.4.3.2.1, por lo que las demás disposiciones deberán aplicarse, de acuerdo con su estructura orgánica y la normativa aplicable a su funcionamiento.</w:t>
      </w:r>
      <w:r w:rsidRPr="00474A65">
        <w:rPr>
          <w:rFonts w:ascii="Verdana" w:eastAsia="Calibri" w:hAnsi="Verdana" w:cs="Arial"/>
          <w:bCs/>
          <w:lang w:eastAsia="es-ES_tradnl"/>
        </w:rPr>
        <w:t xml:space="preserve"> </w:t>
      </w:r>
    </w:p>
    <w:p w14:paraId="547DBA47" w14:textId="77777777" w:rsidR="00165AC5" w:rsidRPr="00474A65" w:rsidRDefault="00165AC5" w:rsidP="00165AC5">
      <w:pPr>
        <w:spacing w:after="120" w:line="276" w:lineRule="auto"/>
        <w:ind w:firstLine="708"/>
        <w:jc w:val="both"/>
        <w:rPr>
          <w:rFonts w:ascii="Verdana" w:eastAsia="Calibri" w:hAnsi="Verdana" w:cs="Arial"/>
          <w:bCs/>
          <w:iCs/>
          <w:lang w:eastAsia="es-ES_tradnl"/>
        </w:rPr>
      </w:pPr>
      <w:r w:rsidRPr="00474A65">
        <w:rPr>
          <w:rFonts w:ascii="Verdana" w:eastAsia="Calibri" w:hAnsi="Verdana" w:cs="Arial"/>
          <w:bCs/>
          <w:iCs/>
          <w:lang w:eastAsia="es-ES_tradnl"/>
        </w:rPr>
        <w:t>Con respecto a las entidades territoriales y sus entidades descentralizadas el citado artículo dispone que en el marco de su autonomía y en cumplimiento de lo previsto en el artículo 32</w:t>
      </w:r>
      <w:r w:rsidRPr="00474A65">
        <w:rPr>
          <w:rStyle w:val="Refdenotaalpie"/>
          <w:rFonts w:ascii="Verdana" w:eastAsia="Calibri" w:hAnsi="Verdana" w:cs="Arial"/>
          <w:bCs/>
          <w:iCs/>
          <w:lang w:eastAsia="es-ES_tradnl"/>
        </w:rPr>
        <w:footnoteReference w:id="3"/>
      </w:r>
      <w:r w:rsidRPr="00474A65">
        <w:rPr>
          <w:rFonts w:ascii="Verdana" w:eastAsia="Calibri" w:hAnsi="Verdana" w:cs="Arial"/>
          <w:bCs/>
          <w:iCs/>
          <w:lang w:eastAsia="es-ES_tradnl"/>
        </w:rPr>
        <w:t xml:space="preserve"> de la Ley 152 de 1994, por la cual se establece la Ley Orgánica de Plan de Desarrollo, aplicarán en sus planes y políticas, las líneas de acción contenidas en el presente Capítulo, conforme a lo regulado en el artículo 200</w:t>
      </w:r>
      <w:r w:rsidRPr="00474A65">
        <w:rPr>
          <w:rStyle w:val="Refdenotaalpie"/>
          <w:rFonts w:ascii="Verdana" w:eastAsia="Calibri" w:hAnsi="Verdana" w:cs="Arial"/>
          <w:bCs/>
          <w:iCs/>
          <w:lang w:eastAsia="es-ES_tradnl"/>
        </w:rPr>
        <w:footnoteReference w:id="4"/>
      </w:r>
      <w:r w:rsidRPr="00474A65">
        <w:rPr>
          <w:rFonts w:ascii="Verdana" w:eastAsia="Calibri" w:hAnsi="Verdana" w:cs="Arial"/>
          <w:bCs/>
          <w:iCs/>
          <w:lang w:eastAsia="es-ES_tradnl"/>
        </w:rPr>
        <w:t xml:space="preserve"> de la Ley 2294 de 2023. </w:t>
      </w:r>
    </w:p>
    <w:p w14:paraId="76601912" w14:textId="77777777" w:rsidR="00165AC5" w:rsidRPr="00474A65" w:rsidRDefault="00165AC5" w:rsidP="00165AC5">
      <w:pPr>
        <w:spacing w:after="0" w:line="276" w:lineRule="auto"/>
        <w:ind w:firstLine="709"/>
        <w:jc w:val="both"/>
        <w:rPr>
          <w:rFonts w:ascii="Verdana" w:eastAsia="Calibri" w:hAnsi="Verdana" w:cs="Arial"/>
          <w:bCs/>
          <w:iCs/>
          <w:lang w:eastAsia="es-ES_tradnl"/>
        </w:rPr>
      </w:pPr>
      <w:r w:rsidRPr="00474A65">
        <w:rPr>
          <w:rFonts w:ascii="Verdana" w:eastAsia="Calibri" w:hAnsi="Verdana" w:cs="Arial"/>
          <w:bCs/>
          <w:iCs/>
          <w:lang w:eastAsia="es-ES_tradnl"/>
        </w:rPr>
        <w:lastRenderedPageBreak/>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5FAEBB3A" w14:textId="77777777" w:rsidR="00165AC5" w:rsidRPr="00474A65" w:rsidRDefault="00165AC5" w:rsidP="00165AC5">
      <w:pPr>
        <w:spacing w:after="0" w:line="276" w:lineRule="auto"/>
        <w:ind w:firstLine="709"/>
        <w:jc w:val="both"/>
        <w:rPr>
          <w:rFonts w:ascii="Verdana" w:eastAsia="Calibri" w:hAnsi="Verdana" w:cs="Arial"/>
          <w:bCs/>
          <w:iCs/>
          <w:lang w:eastAsia="es-ES_tradnl"/>
        </w:rPr>
      </w:pPr>
    </w:p>
    <w:p w14:paraId="4D518B4B" w14:textId="77777777" w:rsidR="00165AC5" w:rsidRPr="00474A65" w:rsidRDefault="00165AC5" w:rsidP="00165AC5">
      <w:pPr>
        <w:pStyle w:val="Prrafodelista"/>
        <w:numPr>
          <w:ilvl w:val="0"/>
          <w:numId w:val="18"/>
        </w:numPr>
        <w:spacing w:after="120" w:line="276" w:lineRule="auto"/>
        <w:jc w:val="both"/>
        <w:rPr>
          <w:rFonts w:ascii="Verdana" w:eastAsia="Calibri" w:hAnsi="Verdana" w:cs="Arial"/>
          <w:bCs/>
          <w:iCs/>
          <w:lang w:val="es-CO" w:eastAsia="es-ES_tradnl"/>
        </w:rPr>
      </w:pPr>
      <w:r w:rsidRPr="00474A65">
        <w:rPr>
          <w:rFonts w:ascii="Verdana" w:eastAsia="Calibri" w:hAnsi="Verdana" w:cs="Arial"/>
          <w:bCs/>
          <w:iCs/>
          <w:lang w:val="es-CO" w:eastAsia="es-ES_tradnl"/>
        </w:rPr>
        <w:t xml:space="preserve">Verificar la existencia de situaciones de control. En este escenario las personas jurídicas oferentes y/o de los proponentes plurales que se presenten en los procesos de selección adelantados por las entidades mencionadas en el artículo 2.1.4.3.1.2,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4C599350" w14:textId="77777777" w:rsidR="00165AC5" w:rsidRPr="00474A65" w:rsidRDefault="00165AC5" w:rsidP="00165AC5">
      <w:pPr>
        <w:pStyle w:val="Prrafodelista"/>
        <w:spacing w:after="0" w:line="240" w:lineRule="auto"/>
        <w:jc w:val="both"/>
        <w:rPr>
          <w:rFonts w:ascii="Verdana" w:eastAsia="Calibri" w:hAnsi="Verdana" w:cs="Arial"/>
          <w:bCs/>
          <w:iCs/>
          <w:lang w:val="es-CO" w:eastAsia="es-ES_tradnl"/>
        </w:rPr>
      </w:pPr>
    </w:p>
    <w:p w14:paraId="23754073" w14:textId="77777777" w:rsidR="00165AC5" w:rsidRPr="00474A65" w:rsidRDefault="00165AC5" w:rsidP="00165AC5">
      <w:pPr>
        <w:pStyle w:val="Prrafodelista"/>
        <w:spacing w:after="120" w:line="276" w:lineRule="auto"/>
        <w:jc w:val="both"/>
        <w:rPr>
          <w:rFonts w:ascii="Verdana" w:eastAsia="Calibri" w:hAnsi="Verdana" w:cs="Arial"/>
          <w:bCs/>
          <w:iCs/>
          <w:lang w:val="es-CO" w:eastAsia="es-ES_tradnl"/>
        </w:rPr>
      </w:pPr>
      <w:r w:rsidRPr="00474A65">
        <w:rPr>
          <w:rFonts w:ascii="Verdana" w:eastAsia="Calibri" w:hAnsi="Verdana" w:cs="Arial"/>
          <w:bCs/>
          <w:iCs/>
          <w:lang w:val="es-CO" w:eastAsia="es-ES_tradnl"/>
        </w:rPr>
        <w:t>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64365431" w14:textId="77777777" w:rsidR="00165AC5" w:rsidRPr="00474A65" w:rsidRDefault="00165AC5" w:rsidP="00165AC5">
      <w:pPr>
        <w:pStyle w:val="Prrafodelista"/>
        <w:spacing w:after="0" w:line="240" w:lineRule="auto"/>
        <w:jc w:val="both"/>
        <w:rPr>
          <w:rFonts w:ascii="Verdana" w:eastAsia="Calibri" w:hAnsi="Verdana" w:cs="Arial"/>
          <w:bCs/>
          <w:lang w:val="es-CO" w:eastAsia="es-ES_tradnl"/>
        </w:rPr>
      </w:pPr>
    </w:p>
    <w:p w14:paraId="1348C288" w14:textId="77777777" w:rsidR="00165AC5" w:rsidRPr="00474A65" w:rsidRDefault="00165AC5" w:rsidP="00165AC5">
      <w:pPr>
        <w:pStyle w:val="Prrafodelista"/>
        <w:spacing w:after="120" w:line="276" w:lineRule="auto"/>
        <w:jc w:val="both"/>
        <w:rPr>
          <w:rFonts w:ascii="Verdana" w:eastAsia="Calibri" w:hAnsi="Verdana" w:cs="Arial"/>
          <w:bCs/>
          <w:lang w:val="es-CO" w:eastAsia="es-ES_tradnl"/>
        </w:rPr>
      </w:pPr>
      <w:r w:rsidRPr="00474A65">
        <w:rPr>
          <w:rStyle w:val="Textoennegrita"/>
          <w:rFonts w:ascii="Verdana" w:hAnsi="Verdana"/>
          <w:b w:val="0"/>
          <w:bCs w:val="0"/>
          <w:color w:val="000000"/>
          <w:lang w:val="es-CO"/>
        </w:rPr>
        <w:t xml:space="preserve">Si se evidencian circunstancias que pudieran implicar afectaciones a la libertad de concurrencia o competencia, o a la pluralidad real de oferentes dentro del proceso de selección correspondiente, la entidad contratante deberá evaluar la necesidad de poner en conocimiento de los entes de control competentes dichas situaciones y, de ser necesario, solicitar su acompañamiento preventivo. La Presidencia de la República, a través de la Secretaría de Transparencia, se articulará con las entidades competentes con el fin de generar los mecanismos necesarios para mitigar </w:t>
      </w:r>
      <w:r w:rsidRPr="00474A65">
        <w:rPr>
          <w:rStyle w:val="Textoennegrita"/>
          <w:rFonts w:ascii="Verdana" w:hAnsi="Verdana"/>
          <w:b w:val="0"/>
          <w:bCs w:val="0"/>
          <w:color w:val="000000"/>
          <w:lang w:val="es-CO"/>
        </w:rPr>
        <w:lastRenderedPageBreak/>
        <w:t>los riesgos de corrupción que puedan advertirse como consecuencia del análisis dispuesto en este literal</w:t>
      </w:r>
      <w:r w:rsidRPr="00474A65">
        <w:rPr>
          <w:rFonts w:ascii="Verdana" w:eastAsia="Calibri" w:hAnsi="Verdana" w:cs="Arial"/>
          <w:bCs/>
          <w:lang w:val="es-CO" w:eastAsia="es-ES_tradnl"/>
        </w:rPr>
        <w:t>.  </w:t>
      </w:r>
    </w:p>
    <w:p w14:paraId="695B9001" w14:textId="77777777" w:rsidR="00165AC5" w:rsidRPr="00474A65" w:rsidRDefault="00165AC5" w:rsidP="00165AC5">
      <w:pPr>
        <w:pStyle w:val="Prrafodelista"/>
        <w:spacing w:after="0" w:line="276" w:lineRule="auto"/>
        <w:jc w:val="both"/>
        <w:rPr>
          <w:rFonts w:ascii="Verdana" w:eastAsia="Calibri" w:hAnsi="Verdana" w:cs="Arial"/>
          <w:bCs/>
          <w:lang w:val="es-CO" w:eastAsia="es-ES_tradnl"/>
        </w:rPr>
      </w:pPr>
    </w:p>
    <w:p w14:paraId="78B063D5" w14:textId="77777777" w:rsidR="00165AC5" w:rsidRPr="00474A65" w:rsidRDefault="00165AC5" w:rsidP="00165AC5">
      <w:pPr>
        <w:pStyle w:val="Prrafodelista"/>
        <w:numPr>
          <w:ilvl w:val="0"/>
          <w:numId w:val="18"/>
        </w:numPr>
        <w:spacing w:after="120" w:line="276" w:lineRule="auto"/>
        <w:ind w:left="714" w:hanging="357"/>
        <w:jc w:val="both"/>
        <w:rPr>
          <w:rStyle w:val="nfasis"/>
          <w:rFonts w:ascii="Verdana" w:eastAsia="Calibri" w:hAnsi="Verdana" w:cs="Arial"/>
          <w:bCs/>
          <w:lang w:val="es-CO" w:eastAsia="es-ES_tradnl"/>
        </w:rPr>
      </w:pPr>
      <w:r w:rsidRPr="00474A65">
        <w:rPr>
          <w:rStyle w:val="Textoennegrita"/>
          <w:rFonts w:ascii="Verdana" w:hAnsi="Verdana" w:cs="Arial"/>
          <w:b w:val="0"/>
          <w:bCs w:val="0"/>
          <w:color w:val="000000"/>
          <w:lang w:val="es-CO"/>
        </w:rPr>
        <w:t>Aplicar buenas prácticas para la contratación transparente.</w:t>
      </w:r>
      <w:r w:rsidRPr="00474A65">
        <w:rPr>
          <w:rStyle w:val="Textoennegrita"/>
          <w:rFonts w:ascii="Verdana" w:hAnsi="Verdana" w:cs="Arial"/>
          <w:color w:val="000000"/>
          <w:lang w:val="es-CO"/>
        </w:rPr>
        <w:t> </w:t>
      </w:r>
      <w:r w:rsidRPr="00474A65">
        <w:rPr>
          <w:rStyle w:val="nfasis"/>
          <w:rFonts w:ascii="Verdana" w:hAnsi="Verdana" w:cs="Arial"/>
          <w:i w:val="0"/>
          <w:iCs w:val="0"/>
          <w:color w:val="000000"/>
          <w:lang w:val="es-CO"/>
        </w:rPr>
        <w:t>Las entidades deberán garantizar que las guías y manuales definidos por la Agencia Nacional de Contratación Pública - Colombia Compra Eficiente, para la definición de criterios que permitan garantizar la pluralidad de oferentes, se apliquen en la organización. </w:t>
      </w:r>
      <w:r w:rsidRPr="00474A65">
        <w:rPr>
          <w:rFonts w:ascii="Verdana" w:hAnsi="Verdana" w:cs="Arial"/>
          <w:i/>
          <w:iCs/>
          <w:color w:val="000000"/>
          <w:lang w:val="es-CO"/>
        </w:rPr>
        <w:t> </w:t>
      </w:r>
      <w:r w:rsidRPr="00474A65">
        <w:rPr>
          <w:rFonts w:ascii="Verdana" w:hAnsi="Verdana" w:cs="Arial"/>
          <w:color w:val="000000"/>
          <w:lang w:val="es-CO"/>
        </w:rPr>
        <w:t xml:space="preserve">De esta forma deberán dejar constancia que en la estructuración del proceso precontractual se tuvieron en cuenta las </w:t>
      </w:r>
      <w:r w:rsidRPr="00474A65">
        <w:rPr>
          <w:rStyle w:val="nfasis"/>
          <w:rFonts w:ascii="Verdana" w:hAnsi="Verdana" w:cs="Arial"/>
          <w:i w:val="0"/>
          <w:iCs w:val="0"/>
          <w:color w:val="000000"/>
          <w:lang w:val="es-CO"/>
        </w:rPr>
        <w:t>prácticas recomendadas por Colombia Compra Eficiente</w:t>
      </w:r>
    </w:p>
    <w:p w14:paraId="21F2CAAE" w14:textId="77777777" w:rsidR="00165AC5" w:rsidRPr="00474A65" w:rsidRDefault="00165AC5" w:rsidP="00165AC5">
      <w:pPr>
        <w:pStyle w:val="Prrafodelista"/>
        <w:spacing w:after="0" w:line="240" w:lineRule="auto"/>
        <w:ind w:left="714"/>
        <w:jc w:val="both"/>
        <w:rPr>
          <w:rStyle w:val="nfasis"/>
          <w:rFonts w:ascii="Verdana" w:eastAsia="Calibri" w:hAnsi="Verdana" w:cs="Arial"/>
          <w:bCs/>
          <w:lang w:val="es-CO" w:eastAsia="es-ES_tradnl"/>
        </w:rPr>
      </w:pPr>
    </w:p>
    <w:p w14:paraId="7A56490D" w14:textId="77777777" w:rsidR="00165AC5" w:rsidRPr="005359F5" w:rsidRDefault="00165AC5" w:rsidP="00165AC5">
      <w:pPr>
        <w:pStyle w:val="Prrafodelista"/>
        <w:numPr>
          <w:ilvl w:val="0"/>
          <w:numId w:val="18"/>
        </w:numPr>
        <w:spacing w:after="120" w:line="276" w:lineRule="auto"/>
        <w:ind w:left="714" w:hanging="357"/>
        <w:jc w:val="both"/>
        <w:rPr>
          <w:rFonts w:ascii="Verdana" w:eastAsia="Calibri" w:hAnsi="Verdana" w:cs="Arial"/>
          <w:bCs/>
          <w:i/>
          <w:iCs/>
          <w:lang w:val="es-CO" w:eastAsia="es-ES_tradnl"/>
        </w:rPr>
      </w:pPr>
      <w:r w:rsidRPr="00474A65">
        <w:rPr>
          <w:rFonts w:ascii="Verdana" w:eastAsia="Calibri" w:hAnsi="Verdana" w:cs="Arial"/>
          <w:bCs/>
          <w:lang w:val="es-CO" w:eastAsia="es-ES_tradnl"/>
        </w:rPr>
        <w:t xml:space="preserve">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  </w:t>
      </w:r>
    </w:p>
    <w:p w14:paraId="5B3D81BD" w14:textId="77777777" w:rsidR="00165AC5" w:rsidRPr="005359F5" w:rsidRDefault="00165AC5" w:rsidP="00165AC5">
      <w:pPr>
        <w:pStyle w:val="Prrafodelista"/>
        <w:spacing w:after="0" w:line="276" w:lineRule="auto"/>
        <w:ind w:left="714"/>
        <w:jc w:val="both"/>
        <w:rPr>
          <w:rFonts w:ascii="Verdana" w:eastAsia="Calibri" w:hAnsi="Verdana" w:cs="Arial"/>
          <w:bCs/>
          <w:i/>
          <w:iCs/>
          <w:lang w:val="es-CO" w:eastAsia="es-ES_tradnl"/>
        </w:rPr>
      </w:pPr>
    </w:p>
    <w:p w14:paraId="61A71FFA" w14:textId="77777777" w:rsidR="00165AC5" w:rsidRDefault="00165AC5" w:rsidP="00165AC5">
      <w:pPr>
        <w:spacing w:after="120" w:line="276" w:lineRule="auto"/>
        <w:ind w:firstLine="709"/>
        <w:jc w:val="both"/>
        <w:rPr>
          <w:rFonts w:ascii="Verdana" w:eastAsia="Calibri" w:hAnsi="Verdana" w:cs="Arial"/>
          <w:bCs/>
          <w:lang w:eastAsia="es-ES_tradnl"/>
        </w:rPr>
      </w:pPr>
      <w:r>
        <w:rPr>
          <w:rFonts w:ascii="Verdana" w:eastAsia="Calibri" w:hAnsi="Verdana" w:cs="Arial"/>
          <w:bCs/>
          <w:lang w:eastAsia="es-ES_tradnl"/>
        </w:rPr>
        <w:t xml:space="preserve">De conformidad con el parágrafo primero del artículo </w:t>
      </w:r>
      <w:r w:rsidRPr="00474A65">
        <w:rPr>
          <w:rFonts w:ascii="Verdana" w:eastAsia="Calibri" w:hAnsi="Verdana" w:cs="Arial"/>
          <w:bCs/>
          <w:iCs/>
          <w:lang w:eastAsia="es-ES_tradnl"/>
        </w:rPr>
        <w:t>2.1.4.3.2.1</w:t>
      </w:r>
      <w:r>
        <w:rPr>
          <w:rFonts w:ascii="Verdana" w:eastAsia="Calibri" w:hAnsi="Verdana" w:cs="Arial"/>
          <w:bCs/>
          <w:iCs/>
          <w:lang w:eastAsia="es-ES_tradnl"/>
        </w:rPr>
        <w:t xml:space="preserve">, </w:t>
      </w:r>
      <w:r w:rsidRPr="00474A65">
        <w:rPr>
          <w:rFonts w:ascii="Verdana" w:eastAsia="Calibri" w:hAnsi="Verdana" w:cs="Arial"/>
          <w:bCs/>
          <w:lang w:eastAsia="es-ES_tradnl"/>
        </w:rPr>
        <w:t>Lo anterior deberá ser incorporado por parte de las entidades definidas en el artículo 2.1.4.3.1.2 en los manuales de contratación dentro de los seis (6) meses siguientes a la expedición del Decreto 1600 de 2024.</w:t>
      </w:r>
      <w:r>
        <w:rPr>
          <w:rFonts w:ascii="Verdana" w:eastAsia="Calibri" w:hAnsi="Verdana" w:cs="Arial"/>
          <w:bCs/>
          <w:lang w:eastAsia="es-ES_tradnl"/>
        </w:rPr>
        <w:t xml:space="preserve"> Por su parte, el parágrafo segundo</w:t>
      </w:r>
      <w:r w:rsidRPr="00A407B7">
        <w:rPr>
          <w:rFonts w:ascii="Verdana" w:eastAsia="Calibri" w:hAnsi="Verdana" w:cs="Arial"/>
          <w:bCs/>
          <w:i/>
          <w:iCs/>
          <w:lang w:eastAsia="es-ES_tradnl"/>
        </w:rPr>
        <w:t xml:space="preserve"> ibidem</w:t>
      </w:r>
      <w:r>
        <w:rPr>
          <w:rFonts w:ascii="Verdana" w:eastAsia="Calibri" w:hAnsi="Verdana" w:cs="Arial"/>
          <w:bCs/>
          <w:lang w:eastAsia="es-ES_tradnl"/>
        </w:rPr>
        <w:t xml:space="preserve"> indica que l</w:t>
      </w:r>
      <w:r w:rsidRPr="008A367A">
        <w:rPr>
          <w:rFonts w:ascii="Verdana" w:eastAsia="Calibri" w:hAnsi="Verdana" w:cs="Arial"/>
          <w:bCs/>
          <w:lang w:eastAsia="es-ES_tradnl"/>
        </w:rPr>
        <w:t xml:space="preserve">as entidades territoriales y sus descentralizadas, en el marco de su autonomía, incorporarán las directrices contenidas en </w:t>
      </w:r>
      <w:r>
        <w:rPr>
          <w:rFonts w:ascii="Verdana" w:eastAsia="Calibri" w:hAnsi="Verdana" w:cs="Arial"/>
          <w:bCs/>
          <w:lang w:eastAsia="es-ES_tradnl"/>
        </w:rPr>
        <w:t>dicho</w:t>
      </w:r>
      <w:r w:rsidRPr="008A367A">
        <w:rPr>
          <w:rFonts w:ascii="Verdana" w:eastAsia="Calibri" w:hAnsi="Verdana" w:cs="Arial"/>
          <w:bCs/>
          <w:lang w:eastAsia="es-ES_tradnl"/>
        </w:rPr>
        <w:t xml:space="preserve"> artículo, de conformidad con lo señalado en el inciso tercero del artículo 2.1.4.3.1.2</w:t>
      </w:r>
      <w:r>
        <w:rPr>
          <w:rFonts w:ascii="Verdana" w:eastAsia="Calibri" w:hAnsi="Verdana" w:cs="Arial"/>
          <w:bCs/>
          <w:lang w:eastAsia="es-ES_tradnl"/>
        </w:rPr>
        <w:t xml:space="preserve">. </w:t>
      </w:r>
    </w:p>
    <w:p w14:paraId="63829E5F" w14:textId="77777777" w:rsidR="00165AC5" w:rsidRDefault="00165AC5" w:rsidP="00165AC5">
      <w:pPr>
        <w:spacing w:after="120" w:line="276" w:lineRule="auto"/>
        <w:ind w:firstLine="709"/>
        <w:jc w:val="both"/>
        <w:rPr>
          <w:rFonts w:ascii="Verdana" w:eastAsia="Calibri" w:hAnsi="Verdana" w:cs="Arial"/>
          <w:bCs/>
          <w:iCs/>
          <w:lang w:eastAsia="es-ES_tradnl"/>
        </w:rPr>
      </w:pPr>
      <w:r w:rsidRPr="00474A65">
        <w:rPr>
          <w:rFonts w:ascii="Verdana" w:eastAsia="Calibri" w:hAnsi="Verdana" w:cs="Arial"/>
          <w:bCs/>
          <w:iCs/>
          <w:lang w:eastAsia="es-ES_tradnl"/>
        </w:rPr>
        <w:t xml:space="preserve">De lo expuesto se concluye </w:t>
      </w:r>
      <w:r>
        <w:rPr>
          <w:rFonts w:ascii="Verdana" w:eastAsia="Calibri" w:hAnsi="Verdana" w:cs="Arial"/>
          <w:bCs/>
          <w:iCs/>
          <w:lang w:eastAsia="es-ES_tradnl"/>
        </w:rPr>
        <w:t>que,</w:t>
      </w:r>
      <w:r w:rsidRPr="00474A65">
        <w:rPr>
          <w:rFonts w:ascii="Verdana" w:eastAsia="Calibri" w:hAnsi="Verdana" w:cs="Arial"/>
          <w:bCs/>
          <w:iCs/>
          <w:lang w:eastAsia="es-ES_tradnl"/>
        </w:rPr>
        <w:t xml:space="preserve"> las disposiciones contenidas en el Decreto 1600</w:t>
      </w:r>
      <w:r>
        <w:rPr>
          <w:rFonts w:ascii="Verdana" w:eastAsia="Calibri" w:hAnsi="Verdana" w:cs="Arial"/>
          <w:bCs/>
          <w:iCs/>
          <w:lang w:eastAsia="es-ES_tradnl"/>
        </w:rPr>
        <w:t xml:space="preserve"> de 2024</w:t>
      </w:r>
      <w:r w:rsidRPr="00474A65">
        <w:rPr>
          <w:rFonts w:ascii="Verdana" w:eastAsia="Calibri" w:hAnsi="Verdana" w:cs="Arial"/>
          <w:bCs/>
          <w:iCs/>
          <w:lang w:eastAsia="es-ES_tradnl"/>
        </w:rPr>
        <w:t xml:space="preserve">, específicamente en el capítulo 3, son aplicables </w:t>
      </w:r>
      <w:r>
        <w:rPr>
          <w:rFonts w:ascii="Verdana" w:eastAsia="Calibri" w:hAnsi="Verdana" w:cs="Arial"/>
          <w:bCs/>
          <w:iCs/>
          <w:lang w:eastAsia="es-ES_tradnl"/>
        </w:rPr>
        <w:t xml:space="preserve">de forma obligatoria </w:t>
      </w:r>
      <w:r w:rsidRPr="00474A65">
        <w:rPr>
          <w:rFonts w:ascii="Verdana" w:eastAsia="Calibri" w:hAnsi="Verdana" w:cs="Arial"/>
          <w:bCs/>
          <w:iCs/>
          <w:lang w:eastAsia="es-ES_tradnl"/>
        </w:rPr>
        <w:t xml:space="preserve">a las entidades y empresas del Estado del orden nacional y pertenecientes a la Rama Ejecutiva del Poder Público, así como a las empresas industriales y comerciales del Estado, las sociedades de economía mixta </w:t>
      </w:r>
      <w:r>
        <w:rPr>
          <w:rFonts w:ascii="Verdana" w:eastAsia="Calibri" w:hAnsi="Verdana" w:cs="Arial"/>
          <w:bCs/>
          <w:iCs/>
          <w:lang w:eastAsia="es-ES_tradnl"/>
        </w:rPr>
        <w:t xml:space="preserve">y </w:t>
      </w:r>
      <w:r w:rsidRPr="00474A65">
        <w:rPr>
          <w:rFonts w:ascii="Verdana" w:eastAsia="Calibri" w:hAnsi="Verdana" w:cs="Arial"/>
          <w:bCs/>
          <w:iCs/>
          <w:lang w:eastAsia="es-ES_tradnl"/>
        </w:rPr>
        <w:t xml:space="preserve">todas </w:t>
      </w:r>
      <w:r w:rsidRPr="00474A65">
        <w:rPr>
          <w:rFonts w:ascii="Verdana" w:eastAsia="Calibri" w:hAnsi="Verdana" w:cs="Arial"/>
          <w:bCs/>
          <w:iCs/>
          <w:lang w:eastAsia="es-ES_tradnl"/>
        </w:rPr>
        <w:lastRenderedPageBreak/>
        <w:t xml:space="preserve">las demás instituciones sometidas a regímenes especiales de contratación de este orden. </w:t>
      </w:r>
      <w:r>
        <w:rPr>
          <w:rFonts w:ascii="Verdana" w:eastAsia="Calibri" w:hAnsi="Verdana" w:cs="Arial"/>
          <w:bCs/>
          <w:iCs/>
          <w:lang w:eastAsia="es-ES_tradnl"/>
        </w:rPr>
        <w:t>T</w:t>
      </w:r>
      <w:r w:rsidRPr="00474A65">
        <w:rPr>
          <w:rFonts w:ascii="Verdana" w:eastAsia="Calibri" w:hAnsi="Verdana" w:cs="Arial"/>
          <w:bCs/>
          <w:iCs/>
          <w:lang w:eastAsia="es-ES_tradnl"/>
        </w:rPr>
        <w:t>ratándose de las entidades territoriales y sus entidades descentralizadas no serán aplicables</w:t>
      </w:r>
      <w:r>
        <w:rPr>
          <w:rFonts w:ascii="Verdana" w:eastAsia="Calibri" w:hAnsi="Verdana" w:cs="Arial"/>
          <w:bCs/>
          <w:iCs/>
          <w:lang w:eastAsia="es-ES_tradnl"/>
        </w:rPr>
        <w:t xml:space="preserve"> dichas disposiciones</w:t>
      </w:r>
      <w:r w:rsidRPr="00474A65">
        <w:rPr>
          <w:rFonts w:ascii="Verdana" w:eastAsia="Calibri" w:hAnsi="Verdana" w:cs="Arial"/>
          <w:bCs/>
          <w:iCs/>
          <w:lang w:eastAsia="es-ES_tradnl"/>
        </w:rPr>
        <w:t xml:space="preserve">. No obstante, </w:t>
      </w:r>
      <w:r>
        <w:rPr>
          <w:rFonts w:ascii="Verdana" w:eastAsia="Calibri" w:hAnsi="Verdana" w:cs="Arial"/>
          <w:bCs/>
          <w:iCs/>
          <w:lang w:eastAsia="es-ES_tradnl"/>
        </w:rPr>
        <w:t xml:space="preserve">se establece que </w:t>
      </w:r>
      <w:r w:rsidRPr="00474A65">
        <w:rPr>
          <w:rFonts w:ascii="Verdana" w:eastAsia="Calibri" w:hAnsi="Verdana" w:cs="Arial"/>
          <w:bCs/>
          <w:iCs/>
          <w:lang w:eastAsia="es-ES_tradnl"/>
        </w:rPr>
        <w:t xml:space="preserve">en el marco de su autonomía y en cumplimiento de lo previsto en el artículo 32 de la Ley 152 de 1994, aplicarán en sus planes y políticas, las líneas de acción contenidas en el </w:t>
      </w:r>
      <w:r>
        <w:rPr>
          <w:rFonts w:ascii="Verdana" w:eastAsia="Calibri" w:hAnsi="Verdana" w:cs="Arial"/>
          <w:bCs/>
          <w:iCs/>
          <w:lang w:eastAsia="es-ES_tradnl"/>
        </w:rPr>
        <w:t xml:space="preserve">citado </w:t>
      </w:r>
      <w:r w:rsidRPr="00474A65">
        <w:rPr>
          <w:rFonts w:ascii="Verdana" w:eastAsia="Calibri" w:hAnsi="Verdana" w:cs="Arial"/>
          <w:bCs/>
          <w:iCs/>
          <w:lang w:eastAsia="es-ES_tradnl"/>
        </w:rPr>
        <w:t>Decreto, conforme a lo regulado en el artículo 200</w:t>
      </w:r>
      <w:r w:rsidRPr="00474A65">
        <w:rPr>
          <w:rFonts w:ascii="Verdana" w:hAnsi="Verdana"/>
        </w:rPr>
        <w:t xml:space="preserve"> </w:t>
      </w:r>
      <w:r w:rsidRPr="00474A65">
        <w:rPr>
          <w:rFonts w:ascii="Verdana" w:eastAsia="Calibri" w:hAnsi="Verdana" w:cs="Arial"/>
          <w:bCs/>
          <w:iCs/>
          <w:lang w:eastAsia="es-ES_tradnl"/>
        </w:rPr>
        <w:t>de la Ley 2294 de 2023.</w:t>
      </w:r>
    </w:p>
    <w:p w14:paraId="25029993" w14:textId="77777777" w:rsidR="00165AC5" w:rsidRDefault="00165AC5" w:rsidP="00165AC5">
      <w:pPr>
        <w:spacing w:after="120" w:line="276" w:lineRule="auto"/>
        <w:ind w:firstLine="709"/>
        <w:jc w:val="both"/>
        <w:rPr>
          <w:rFonts w:ascii="Verdana" w:eastAsia="Calibri" w:hAnsi="Verdana" w:cs="Arial"/>
          <w:bCs/>
          <w:iCs/>
          <w:lang w:eastAsia="es-ES_tradnl"/>
        </w:rPr>
      </w:pPr>
      <w:r w:rsidRPr="00686062">
        <w:rPr>
          <w:rFonts w:ascii="Verdana" w:eastAsia="Calibri" w:hAnsi="Verdana" w:cs="Arial"/>
          <w:bCs/>
          <w:iCs/>
          <w:lang w:eastAsia="es-ES_tradnl"/>
        </w:rPr>
        <w:t>En este sentido, si bien la norma no impone una obliga</w:t>
      </w:r>
      <w:r>
        <w:rPr>
          <w:rFonts w:ascii="Verdana" w:eastAsia="Calibri" w:hAnsi="Verdana" w:cs="Arial"/>
          <w:bCs/>
          <w:iCs/>
          <w:lang w:eastAsia="es-ES_tradnl"/>
        </w:rPr>
        <w:t xml:space="preserve">ción </w:t>
      </w:r>
      <w:r w:rsidRPr="00686062">
        <w:rPr>
          <w:rFonts w:ascii="Verdana" w:eastAsia="Calibri" w:hAnsi="Verdana" w:cs="Arial"/>
          <w:bCs/>
          <w:iCs/>
          <w:lang w:eastAsia="es-ES_tradnl"/>
        </w:rPr>
        <w:t xml:space="preserve">directa a las entidades territoriales y sus descentralizadas, sí establece un mandato legal que estas deben considerar al momento de estructurar sus planes y políticas. </w:t>
      </w:r>
      <w:r>
        <w:rPr>
          <w:rFonts w:ascii="Verdana" w:eastAsia="Calibri" w:hAnsi="Verdana" w:cs="Arial"/>
          <w:bCs/>
          <w:iCs/>
          <w:lang w:eastAsia="es-ES_tradnl"/>
        </w:rPr>
        <w:t>De esta forma, l</w:t>
      </w:r>
      <w:r w:rsidRPr="00686062">
        <w:rPr>
          <w:rFonts w:ascii="Verdana" w:eastAsia="Calibri" w:hAnsi="Verdana" w:cs="Arial"/>
          <w:bCs/>
          <w:iCs/>
          <w:lang w:eastAsia="es-ES_tradnl"/>
        </w:rPr>
        <w:t xml:space="preserve">a incorporación de dichas líneas de acción deberá realizarse </w:t>
      </w:r>
      <w:r>
        <w:rPr>
          <w:rFonts w:ascii="Verdana" w:eastAsia="Calibri" w:hAnsi="Verdana" w:cs="Arial"/>
          <w:bCs/>
          <w:iCs/>
          <w:lang w:eastAsia="es-ES_tradnl"/>
        </w:rPr>
        <w:t xml:space="preserve">en el marco de </w:t>
      </w:r>
      <w:r w:rsidRPr="00686062">
        <w:rPr>
          <w:rFonts w:ascii="Verdana" w:eastAsia="Calibri" w:hAnsi="Verdana" w:cs="Arial"/>
          <w:bCs/>
          <w:iCs/>
          <w:lang w:eastAsia="es-ES_tradnl"/>
        </w:rPr>
        <w:t>autonomía</w:t>
      </w:r>
      <w:r w:rsidRPr="00474A65">
        <w:rPr>
          <w:rFonts w:ascii="Verdana" w:eastAsia="Calibri" w:hAnsi="Verdana" w:cs="Arial"/>
          <w:bCs/>
          <w:iCs/>
          <w:lang w:eastAsia="es-ES_tradnl"/>
        </w:rPr>
        <w:t xml:space="preserve"> y en cumplimiento de lo previsto en el artículo 32 de la Ley 152 de 1994</w:t>
      </w:r>
      <w:r w:rsidRPr="00686062">
        <w:rPr>
          <w:rFonts w:ascii="Verdana" w:eastAsia="Calibri" w:hAnsi="Verdana" w:cs="Arial"/>
          <w:bCs/>
          <w:iCs/>
          <w:lang w:eastAsia="es-ES_tradnl"/>
        </w:rPr>
        <w:t>, por lo que corresponderá a cada entidad determinar el instrumento más adecuado para integrarlas</w:t>
      </w:r>
      <w:r>
        <w:rPr>
          <w:rFonts w:ascii="Verdana" w:eastAsia="Calibri" w:hAnsi="Verdana" w:cs="Arial"/>
          <w:bCs/>
          <w:iCs/>
          <w:lang w:eastAsia="es-ES_tradnl"/>
        </w:rPr>
        <w:t xml:space="preserve"> en sus </w:t>
      </w:r>
      <w:r w:rsidRPr="00E7391B">
        <w:rPr>
          <w:rFonts w:ascii="Verdana" w:eastAsia="Calibri" w:hAnsi="Verdana" w:cs="Arial"/>
          <w:bCs/>
          <w:i/>
          <w:lang w:eastAsia="es-ES_tradnl"/>
        </w:rPr>
        <w:t>planes</w:t>
      </w:r>
      <w:r>
        <w:rPr>
          <w:rFonts w:ascii="Verdana" w:eastAsia="Calibri" w:hAnsi="Verdana" w:cs="Arial"/>
          <w:bCs/>
          <w:iCs/>
          <w:lang w:eastAsia="es-ES_tradnl"/>
        </w:rPr>
        <w:t xml:space="preserve"> y</w:t>
      </w:r>
      <w:r w:rsidRPr="00E7391B">
        <w:rPr>
          <w:rFonts w:ascii="Verdana" w:eastAsia="Calibri" w:hAnsi="Verdana" w:cs="Arial"/>
          <w:bCs/>
          <w:i/>
          <w:lang w:eastAsia="es-ES_tradnl"/>
        </w:rPr>
        <w:t xml:space="preserve"> en sus políticas</w:t>
      </w:r>
      <w:r>
        <w:rPr>
          <w:rFonts w:ascii="Verdana" w:eastAsia="Calibri" w:hAnsi="Verdana" w:cs="Arial"/>
          <w:bCs/>
          <w:iCs/>
          <w:lang w:eastAsia="es-ES_tradnl"/>
        </w:rPr>
        <w:t>,</w:t>
      </w:r>
      <w:r w:rsidRPr="00686062">
        <w:rPr>
          <w:rFonts w:ascii="Verdana" w:eastAsia="Calibri" w:hAnsi="Verdana" w:cs="Arial"/>
          <w:bCs/>
          <w:iCs/>
          <w:lang w:eastAsia="es-ES_tradnl"/>
        </w:rPr>
        <w:t xml:space="preserve"> según sus competencias y capacidades institucionales</w:t>
      </w:r>
      <w:r>
        <w:rPr>
          <w:rFonts w:ascii="Verdana" w:eastAsia="Calibri" w:hAnsi="Verdana" w:cs="Arial"/>
          <w:bCs/>
          <w:iCs/>
          <w:lang w:eastAsia="es-ES_tradnl"/>
        </w:rPr>
        <w:t xml:space="preserve">. </w:t>
      </w:r>
    </w:p>
    <w:p w14:paraId="6FCA67ED" w14:textId="77777777" w:rsidR="00165AC5" w:rsidRPr="00474A65" w:rsidRDefault="00165AC5" w:rsidP="00165AC5">
      <w:pPr>
        <w:spacing w:after="120" w:line="276" w:lineRule="auto"/>
        <w:ind w:firstLine="709"/>
        <w:jc w:val="both"/>
        <w:rPr>
          <w:rFonts w:ascii="Verdana" w:eastAsia="Calibri" w:hAnsi="Verdana" w:cs="Arial"/>
          <w:bCs/>
          <w:lang w:eastAsia="es-ES_tradnl"/>
        </w:rPr>
      </w:pPr>
      <w:r w:rsidRPr="00032693">
        <w:rPr>
          <w:rFonts w:ascii="Verdana" w:eastAsia="Calibri" w:hAnsi="Verdana" w:cs="Arial"/>
          <w:bCs/>
          <w:iCs/>
          <w:lang w:eastAsia="es-ES_tradnl"/>
        </w:rPr>
        <w:t xml:space="preserve">En todo caso, </w:t>
      </w:r>
      <w:r>
        <w:rPr>
          <w:rFonts w:ascii="Verdana" w:eastAsia="Calibri" w:hAnsi="Verdana" w:cs="Arial"/>
          <w:bCs/>
          <w:iCs/>
          <w:lang w:eastAsia="es-ES_tradnl"/>
        </w:rPr>
        <w:t xml:space="preserve">aunque la norma no determina un plazo específico </w:t>
      </w:r>
      <w:r w:rsidRPr="00032693">
        <w:rPr>
          <w:rFonts w:ascii="Verdana" w:eastAsia="Calibri" w:hAnsi="Verdana" w:cs="Arial"/>
          <w:bCs/>
          <w:iCs/>
          <w:lang w:eastAsia="es-ES_tradnl"/>
        </w:rPr>
        <w:t>es importante tener en cuenta que las líneas de acción</w:t>
      </w:r>
      <w:r>
        <w:rPr>
          <w:rFonts w:ascii="Verdana" w:eastAsia="Calibri" w:hAnsi="Verdana" w:cs="Arial"/>
          <w:bCs/>
          <w:iCs/>
          <w:lang w:eastAsia="es-ES_tradnl"/>
        </w:rPr>
        <w:t xml:space="preserve"> establecidas en el </w:t>
      </w:r>
      <w:r w:rsidRPr="00474A65">
        <w:rPr>
          <w:rFonts w:ascii="Verdana" w:eastAsia="Calibri" w:hAnsi="Verdana" w:cs="Arial"/>
          <w:bCs/>
          <w:iCs/>
          <w:lang w:eastAsia="es-ES_tradnl"/>
        </w:rPr>
        <w:t>2.1.4.3.2.1</w:t>
      </w:r>
      <w:r w:rsidRPr="00032693">
        <w:rPr>
          <w:rFonts w:ascii="Verdana" w:eastAsia="Calibri" w:hAnsi="Verdana" w:cs="Arial"/>
          <w:bCs/>
          <w:iCs/>
          <w:lang w:eastAsia="es-ES_tradnl"/>
        </w:rPr>
        <w:t xml:space="preserve">, al estar orientadas a la prevención de la corrupción en la contratación pública, requieren acciones </w:t>
      </w:r>
      <w:r>
        <w:rPr>
          <w:rFonts w:ascii="Verdana" w:eastAsia="Calibri" w:hAnsi="Verdana" w:cs="Arial"/>
          <w:bCs/>
          <w:iCs/>
          <w:lang w:eastAsia="es-ES_tradnl"/>
        </w:rPr>
        <w:t>prontas</w:t>
      </w:r>
      <w:r w:rsidRPr="00032693">
        <w:rPr>
          <w:rFonts w:ascii="Verdana" w:eastAsia="Calibri" w:hAnsi="Verdana" w:cs="Arial"/>
          <w:bCs/>
          <w:iCs/>
          <w:lang w:eastAsia="es-ES_tradnl"/>
        </w:rPr>
        <w:t xml:space="preserve">. Por ello, su integración en los planes y políticas institucionales </w:t>
      </w:r>
      <w:r>
        <w:rPr>
          <w:rFonts w:ascii="Verdana" w:eastAsia="Calibri" w:hAnsi="Verdana" w:cs="Arial"/>
          <w:bCs/>
          <w:iCs/>
          <w:lang w:eastAsia="es-ES_tradnl"/>
        </w:rPr>
        <w:t xml:space="preserve">de las entidades territoriales </w:t>
      </w:r>
      <w:r w:rsidRPr="00032693">
        <w:rPr>
          <w:rFonts w:ascii="Verdana" w:eastAsia="Calibri" w:hAnsi="Verdana" w:cs="Arial"/>
          <w:bCs/>
          <w:iCs/>
          <w:lang w:eastAsia="es-ES_tradnl"/>
        </w:rPr>
        <w:t xml:space="preserve">debe adelantarse de manera </w:t>
      </w:r>
      <w:r>
        <w:rPr>
          <w:rFonts w:ascii="Verdana" w:eastAsia="Calibri" w:hAnsi="Verdana" w:cs="Arial"/>
          <w:bCs/>
          <w:iCs/>
          <w:lang w:eastAsia="es-ES_tradnl"/>
        </w:rPr>
        <w:t xml:space="preserve">oportuna para </w:t>
      </w:r>
      <w:r w:rsidRPr="00032693">
        <w:rPr>
          <w:rFonts w:ascii="Verdana" w:eastAsia="Calibri" w:hAnsi="Verdana" w:cs="Arial"/>
          <w:bCs/>
          <w:iCs/>
          <w:lang w:eastAsia="es-ES_tradnl"/>
        </w:rPr>
        <w:t>que se garantice el cumplimiento del propósito establecido en el artículo 200 de la Ley 2294 de 2023</w:t>
      </w:r>
      <w:r>
        <w:rPr>
          <w:rFonts w:ascii="Verdana" w:eastAsia="Calibri" w:hAnsi="Verdana" w:cs="Arial"/>
          <w:bCs/>
          <w:iCs/>
          <w:lang w:eastAsia="es-ES_tradnl"/>
        </w:rPr>
        <w:t>. Por tanto</w:t>
      </w:r>
      <w:r w:rsidRPr="001A6A06">
        <w:rPr>
          <w:rFonts w:ascii="Verdana" w:eastAsia="Calibri" w:hAnsi="Verdana" w:cs="Arial"/>
          <w:bCs/>
          <w:iCs/>
          <w:lang w:eastAsia="es-ES_tradnl"/>
        </w:rPr>
        <w:t>, la entidad adopt</w:t>
      </w:r>
      <w:r>
        <w:rPr>
          <w:rFonts w:ascii="Verdana" w:eastAsia="Calibri" w:hAnsi="Verdana" w:cs="Arial"/>
          <w:bCs/>
          <w:iCs/>
          <w:lang w:eastAsia="es-ES_tradnl"/>
        </w:rPr>
        <w:t xml:space="preserve">ará </w:t>
      </w:r>
      <w:r w:rsidRPr="001A6A06">
        <w:rPr>
          <w:rFonts w:ascii="Verdana" w:eastAsia="Calibri" w:hAnsi="Verdana" w:cs="Arial"/>
          <w:bCs/>
          <w:iCs/>
          <w:lang w:eastAsia="es-ES_tradnl"/>
        </w:rPr>
        <w:t xml:space="preserve">las medidas necesarias para incorporar </w:t>
      </w:r>
      <w:r>
        <w:rPr>
          <w:rFonts w:ascii="Verdana" w:eastAsia="Calibri" w:hAnsi="Verdana" w:cs="Arial"/>
          <w:bCs/>
          <w:iCs/>
          <w:lang w:eastAsia="es-ES_tradnl"/>
        </w:rPr>
        <w:t>estas líneas de acción de forma oportuna</w:t>
      </w:r>
      <w:r w:rsidRPr="001A6A06">
        <w:rPr>
          <w:rFonts w:ascii="Verdana" w:eastAsia="Calibri" w:hAnsi="Verdana" w:cs="Arial"/>
          <w:bCs/>
          <w:iCs/>
          <w:lang w:eastAsia="es-ES_tradnl"/>
        </w:rPr>
        <w:t xml:space="preserve"> en el instrumento que, en ejercicio de su autonomía territorial, haya decidido utilizar.</w:t>
      </w:r>
    </w:p>
    <w:p w14:paraId="4301F2E6" w14:textId="77777777" w:rsidR="00165AC5" w:rsidRDefault="00165AC5" w:rsidP="00165AC5">
      <w:pPr>
        <w:spacing w:after="0" w:line="276" w:lineRule="auto"/>
        <w:ind w:firstLine="709"/>
        <w:jc w:val="both"/>
        <w:rPr>
          <w:rFonts w:ascii="Verdana" w:eastAsia="Calibri" w:hAnsi="Verdana" w:cs="Arial"/>
          <w:bCs/>
          <w:color w:val="000000" w:themeColor="text1"/>
        </w:rPr>
      </w:pPr>
      <w:r w:rsidRPr="00474A65">
        <w:rPr>
          <w:rFonts w:ascii="Verdana" w:eastAsia="Times New Roman" w:hAnsi="Verdana" w:cs="Arial"/>
          <w:lang w:eastAsia="es-ES_tradnl"/>
        </w:rPr>
        <w:t xml:space="preserve">Por último, </w:t>
      </w:r>
      <w:r w:rsidRPr="00474A65">
        <w:rPr>
          <w:rFonts w:ascii="Verdana" w:eastAsia="Calibri" w:hAnsi="Verdana" w:cs="Times New Roman"/>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r w:rsidRPr="00CB5D65">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cada entidad </w:t>
      </w:r>
      <w:r w:rsidRPr="00E853DE">
        <w:rPr>
          <w:rFonts w:ascii="Verdana" w:eastAsia="Calibri" w:hAnsi="Verdana" w:cs="Arial"/>
          <w:bCs/>
          <w:color w:val="000000" w:themeColor="text1"/>
        </w:rPr>
        <w:t>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 xml:space="preserve">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853DE">
        <w:rPr>
          <w:rFonts w:ascii="Verdana" w:eastAsia="Calibri" w:hAnsi="Verdana" w:cs="Arial"/>
          <w:bCs/>
          <w:color w:val="000000" w:themeColor="text1"/>
        </w:rPr>
        <w:lastRenderedPageBreak/>
        <w:t>gestión contractual, sin que sea atribución de Colombia Compra Eficiente validar sus actuaciones</w:t>
      </w:r>
    </w:p>
    <w:p w14:paraId="3CD02883" w14:textId="77777777" w:rsidR="00165AC5" w:rsidRPr="00474A65" w:rsidRDefault="00165AC5" w:rsidP="00165AC5">
      <w:pPr>
        <w:spacing w:after="0" w:line="276" w:lineRule="auto"/>
        <w:jc w:val="both"/>
        <w:rPr>
          <w:rFonts w:ascii="Verdana" w:eastAsia="Calibri" w:hAnsi="Verdana" w:cs="Arial"/>
          <w:lang w:eastAsia="es-ES_tradnl"/>
        </w:rPr>
      </w:pPr>
    </w:p>
    <w:p w14:paraId="18AF03F5" w14:textId="77777777" w:rsidR="00165AC5" w:rsidRPr="00474A65" w:rsidRDefault="00165AC5" w:rsidP="00165AC5">
      <w:pPr>
        <w:pStyle w:val="Prrafodelista"/>
        <w:numPr>
          <w:ilvl w:val="0"/>
          <w:numId w:val="16"/>
        </w:numPr>
        <w:tabs>
          <w:tab w:val="left" w:pos="142"/>
          <w:tab w:val="left" w:pos="284"/>
        </w:tabs>
        <w:spacing w:after="0" w:line="276" w:lineRule="auto"/>
        <w:ind w:left="0" w:firstLine="0"/>
        <w:contextualSpacing w:val="0"/>
        <w:jc w:val="both"/>
        <w:rPr>
          <w:rFonts w:ascii="Verdana" w:eastAsia="Calibri" w:hAnsi="Verdana" w:cs="Times New Roman"/>
          <w:b/>
          <w:bCs/>
          <w:lang w:val="es-CO"/>
        </w:rPr>
      </w:pPr>
      <w:r w:rsidRPr="00474A65">
        <w:rPr>
          <w:rFonts w:ascii="Verdana" w:eastAsia="Century Gothic" w:hAnsi="Verdana" w:cs="Century Gothic"/>
          <w:b/>
          <w:lang w:val="es-CO"/>
        </w:rPr>
        <w:t>Referencias normativas, jurisprudenciales y otras fuentes:</w:t>
      </w:r>
    </w:p>
    <w:p w14:paraId="0D3783BB" w14:textId="77777777" w:rsidR="00165AC5" w:rsidRPr="00474A65" w:rsidRDefault="00165AC5" w:rsidP="00165AC5">
      <w:pPr>
        <w:pStyle w:val="Prrafodelista"/>
        <w:tabs>
          <w:tab w:val="left" w:pos="142"/>
          <w:tab w:val="left" w:pos="284"/>
        </w:tabs>
        <w:spacing w:after="0" w:line="276" w:lineRule="auto"/>
        <w:ind w:left="0"/>
        <w:contextualSpacing w:val="0"/>
        <w:jc w:val="both"/>
        <w:rPr>
          <w:rFonts w:ascii="Verdana" w:eastAsia="Calibri" w:hAnsi="Verdana" w:cs="Times New Roman"/>
          <w:b/>
          <w:bCs/>
          <w:lang w:val="es-CO"/>
        </w:rPr>
      </w:pPr>
    </w:p>
    <w:p w14:paraId="25C5597A" w14:textId="77777777" w:rsidR="00165AC5" w:rsidRPr="00474A65" w:rsidRDefault="00165AC5" w:rsidP="00165AC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65AC5" w:rsidRPr="00474A65" w14:paraId="156AFF12" w14:textId="77777777" w:rsidTr="001869B9">
        <w:trPr>
          <w:trHeight w:val="870"/>
          <w:jc w:val="center"/>
        </w:trPr>
        <w:tc>
          <w:tcPr>
            <w:tcW w:w="8647" w:type="dxa"/>
          </w:tcPr>
          <w:p w14:paraId="1F066E2C" w14:textId="77777777" w:rsidR="00165AC5" w:rsidRPr="00474A65" w:rsidRDefault="00165AC5" w:rsidP="00165AC5">
            <w:pPr>
              <w:pStyle w:val="Prrafodelista"/>
              <w:widowControl w:val="0"/>
              <w:numPr>
                <w:ilvl w:val="0"/>
                <w:numId w:val="19"/>
              </w:numPr>
              <w:autoSpaceDE w:val="0"/>
              <w:autoSpaceDN w:val="0"/>
              <w:spacing w:line="360" w:lineRule="auto"/>
              <w:jc w:val="both"/>
              <w:rPr>
                <w:rFonts w:ascii="Verdana" w:hAnsi="Verdana" w:cs="Arial"/>
                <w:lang w:val="es-CO"/>
              </w:rPr>
            </w:pPr>
            <w:r w:rsidRPr="00474A65">
              <w:rPr>
                <w:rFonts w:ascii="Verdana" w:hAnsi="Verdana" w:cs="Arial"/>
                <w:lang w:val="es-CO"/>
              </w:rPr>
              <w:t xml:space="preserve">Decreto 1600 de 2024. Artículos </w:t>
            </w:r>
            <w:r w:rsidRPr="00474A65">
              <w:rPr>
                <w:rFonts w:ascii="Verdana" w:eastAsia="Calibri" w:hAnsi="Verdana" w:cs="Arial"/>
                <w:bCs/>
                <w:iCs/>
                <w:lang w:val="es-CO" w:eastAsia="es-ES_tradnl"/>
              </w:rPr>
              <w:t xml:space="preserve">2.1.4.3.1.1, 2.1.4.3.1.2, 2.1.4.3.2.1, </w:t>
            </w:r>
          </w:p>
          <w:p w14:paraId="54BD4116" w14:textId="77777777" w:rsidR="00165AC5" w:rsidRPr="00474A65" w:rsidRDefault="00165AC5" w:rsidP="00165AC5">
            <w:pPr>
              <w:pStyle w:val="Prrafodelista"/>
              <w:widowControl w:val="0"/>
              <w:numPr>
                <w:ilvl w:val="0"/>
                <w:numId w:val="19"/>
              </w:numPr>
              <w:autoSpaceDE w:val="0"/>
              <w:autoSpaceDN w:val="0"/>
              <w:spacing w:line="360" w:lineRule="auto"/>
              <w:jc w:val="both"/>
              <w:rPr>
                <w:rFonts w:ascii="Verdana" w:hAnsi="Verdana" w:cs="Arial"/>
                <w:lang w:val="es-CO"/>
              </w:rPr>
            </w:pPr>
            <w:r w:rsidRPr="00474A65">
              <w:rPr>
                <w:rFonts w:ascii="Verdana" w:eastAsia="Calibri" w:hAnsi="Verdana" w:cs="Arial"/>
                <w:bCs/>
                <w:iCs/>
                <w:lang w:val="es-CO" w:eastAsia="es-ES_tradnl"/>
              </w:rPr>
              <w:t xml:space="preserve">Ley 152 de 1994. Artículo 52. </w:t>
            </w:r>
          </w:p>
          <w:p w14:paraId="7B76BE2F" w14:textId="77777777" w:rsidR="00165AC5" w:rsidRPr="00CB5D65" w:rsidRDefault="00165AC5" w:rsidP="00165AC5">
            <w:pPr>
              <w:pStyle w:val="Prrafodelista"/>
              <w:widowControl w:val="0"/>
              <w:numPr>
                <w:ilvl w:val="0"/>
                <w:numId w:val="19"/>
              </w:numPr>
              <w:autoSpaceDE w:val="0"/>
              <w:autoSpaceDN w:val="0"/>
              <w:spacing w:line="360" w:lineRule="auto"/>
              <w:jc w:val="both"/>
              <w:rPr>
                <w:rFonts w:ascii="Verdana" w:hAnsi="Verdana" w:cs="Arial"/>
                <w:lang w:val="es-CO"/>
              </w:rPr>
            </w:pPr>
            <w:r w:rsidRPr="00474A65">
              <w:rPr>
                <w:rFonts w:ascii="Verdana" w:eastAsia="Calibri" w:hAnsi="Verdana" w:cs="Arial"/>
                <w:bCs/>
                <w:iCs/>
                <w:lang w:val="es-CO" w:eastAsia="es-ES_tradnl"/>
              </w:rPr>
              <w:t xml:space="preserve">Ley 2294 de 2023. Artículo 200. </w:t>
            </w:r>
          </w:p>
        </w:tc>
      </w:tr>
    </w:tbl>
    <w:p w14:paraId="44C821E4" w14:textId="77777777" w:rsidR="00165AC5" w:rsidRPr="00474A65" w:rsidRDefault="00165AC5" w:rsidP="00165AC5">
      <w:pPr>
        <w:spacing w:after="0" w:line="276" w:lineRule="auto"/>
        <w:ind w:right="709"/>
        <w:jc w:val="both"/>
        <w:rPr>
          <w:rFonts w:ascii="Verdana" w:hAnsi="Verdana" w:cs="Arial"/>
          <w:color w:val="000000" w:themeColor="text1"/>
        </w:rPr>
      </w:pPr>
    </w:p>
    <w:p w14:paraId="4CC90530" w14:textId="77777777" w:rsidR="00165AC5" w:rsidRPr="00474A65" w:rsidRDefault="00165AC5" w:rsidP="00165AC5">
      <w:pPr>
        <w:pStyle w:val="Prrafodelista"/>
        <w:numPr>
          <w:ilvl w:val="0"/>
          <w:numId w:val="16"/>
        </w:numPr>
        <w:tabs>
          <w:tab w:val="left" w:pos="142"/>
          <w:tab w:val="left" w:pos="284"/>
        </w:tabs>
        <w:spacing w:after="0" w:line="276" w:lineRule="auto"/>
        <w:ind w:left="0" w:firstLine="0"/>
        <w:contextualSpacing w:val="0"/>
        <w:jc w:val="both"/>
        <w:rPr>
          <w:rFonts w:ascii="Verdana" w:eastAsia="Calibri" w:hAnsi="Verdana" w:cs="Times New Roman"/>
          <w:b/>
          <w:bCs/>
          <w:lang w:val="es-CO"/>
        </w:rPr>
      </w:pPr>
      <w:r w:rsidRPr="00474A65">
        <w:rPr>
          <w:rFonts w:ascii="Verdana" w:eastAsia="Century Gothic" w:hAnsi="Verdana" w:cs="Century Gothic"/>
          <w:b/>
          <w:lang w:val="es-CO"/>
        </w:rPr>
        <w:t>Doctrina de la Agencia Nacional de Contratación Pública:</w:t>
      </w:r>
    </w:p>
    <w:p w14:paraId="56D8E8B7" w14:textId="77777777" w:rsidR="00165AC5" w:rsidRPr="00474A65" w:rsidRDefault="00165AC5" w:rsidP="00165AC5">
      <w:pPr>
        <w:widowControl w:val="0"/>
        <w:autoSpaceDE w:val="0"/>
        <w:autoSpaceDN w:val="0"/>
        <w:spacing w:after="0" w:line="276" w:lineRule="auto"/>
        <w:jc w:val="both"/>
        <w:rPr>
          <w:rFonts w:ascii="Verdana" w:hAnsi="Verdana" w:cs="Arial"/>
          <w:bCs/>
          <w:shd w:val="clear" w:color="auto" w:fill="FFFFFF"/>
        </w:rPr>
      </w:pPr>
    </w:p>
    <w:p w14:paraId="5A648BFF" w14:textId="77777777" w:rsidR="00165AC5" w:rsidRPr="00474A65" w:rsidRDefault="00165AC5" w:rsidP="00165AC5">
      <w:pPr>
        <w:widowControl w:val="0"/>
        <w:autoSpaceDE w:val="0"/>
        <w:autoSpaceDN w:val="0"/>
        <w:spacing w:after="0" w:line="276" w:lineRule="auto"/>
        <w:jc w:val="both"/>
        <w:rPr>
          <w:rFonts w:ascii="Verdana" w:eastAsia="Calibri" w:hAnsi="Verdana" w:cs="Times New Roman"/>
        </w:rPr>
      </w:pPr>
      <w:r w:rsidRPr="00003886">
        <w:rPr>
          <w:rFonts w:ascii="Verdana" w:hAnsi="Verdana" w:cs="Arial"/>
          <w:shd w:val="clear" w:color="auto" w:fill="FFFFFF"/>
        </w:rPr>
        <w:t xml:space="preserve">Esta Subdirección se ha pronunciado sobre </w:t>
      </w:r>
      <w:r>
        <w:rPr>
          <w:rFonts w:ascii="Verdana" w:hAnsi="Verdana" w:cs="Arial"/>
          <w:shd w:val="clear" w:color="auto" w:fill="FFFFFF"/>
        </w:rPr>
        <w:t>el Decreto 1600 de 2024 en los Conceptos C-292 del 21 de abril de 2025, C-586 del 25 de junio de 2025, C-818 del 15 de julio de 2025, C-867 del 15 de julio de 2025, C-1026 del 30 de julio de 2025, entre otros</w:t>
      </w:r>
      <w:r w:rsidRPr="00474A65">
        <w:rPr>
          <w:rFonts w:ascii="Verdana" w:hAnsi="Verdana" w:cs="Arial"/>
          <w:bCs/>
          <w:shd w:val="clear" w:color="auto" w:fill="FFFFFF"/>
        </w:rPr>
        <w:t xml:space="preserve">. </w:t>
      </w:r>
      <w:r w:rsidRPr="00474A65">
        <w:rPr>
          <w:rFonts w:ascii="Verdana" w:eastAsia="Calibri" w:hAnsi="Verdana" w:cs="Times New Roman"/>
        </w:rPr>
        <w:t>Estos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E5B9578" w14:textId="77777777" w:rsidR="00165AC5" w:rsidRPr="00474A65" w:rsidRDefault="00165AC5" w:rsidP="00165AC5">
      <w:pPr>
        <w:spacing w:after="0" w:line="256" w:lineRule="auto"/>
        <w:jc w:val="both"/>
        <w:rPr>
          <w:rFonts w:ascii="Verdana" w:eastAsia="Calibri" w:hAnsi="Verdana" w:cs="Times New Roman"/>
        </w:rPr>
      </w:pPr>
      <w:hyperlink r:id="rId13" w:history="1">
        <w:r w:rsidRPr="00474A65">
          <w:rPr>
            <w:rStyle w:val="Hipervnculo"/>
            <w:rFonts w:ascii="Verdana" w:hAnsi="Verdana"/>
          </w:rPr>
          <w:t>https://www.colombiacompra.gov.co/normativa-y-relatoria/conoce-la-relatoria</w:t>
        </w:r>
      </w:hyperlink>
      <w:r w:rsidRPr="00474A65">
        <w:rPr>
          <w:rFonts w:ascii="Verdana" w:hAnsi="Verdana"/>
        </w:rPr>
        <w:t xml:space="preserve"> </w:t>
      </w:r>
    </w:p>
    <w:p w14:paraId="7A8202A5" w14:textId="77777777" w:rsidR="00165AC5" w:rsidRPr="00474A65" w:rsidRDefault="00165AC5" w:rsidP="00165AC5">
      <w:pPr>
        <w:spacing w:after="0" w:line="240" w:lineRule="auto"/>
        <w:jc w:val="both"/>
        <w:rPr>
          <w:rFonts w:ascii="Verdana" w:hAnsi="Verdana"/>
        </w:rPr>
      </w:pPr>
    </w:p>
    <w:p w14:paraId="68AC5CEA" w14:textId="77777777" w:rsidR="00165AC5" w:rsidRPr="00474A65" w:rsidRDefault="00165AC5" w:rsidP="00165AC5">
      <w:pPr>
        <w:spacing w:after="0" w:line="256" w:lineRule="auto"/>
        <w:jc w:val="both"/>
        <w:rPr>
          <w:rFonts w:ascii="Verdana" w:eastAsia="Calibri" w:hAnsi="Verdana" w:cs="Times New Roman"/>
          <w:bCs/>
        </w:rPr>
      </w:pPr>
      <w:r w:rsidRPr="00474A6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756948" w14:textId="77777777" w:rsidR="00165AC5" w:rsidRPr="00474A65" w:rsidRDefault="00165AC5" w:rsidP="00165AC5">
      <w:pPr>
        <w:spacing w:after="0" w:line="256" w:lineRule="auto"/>
        <w:jc w:val="both"/>
        <w:rPr>
          <w:rFonts w:ascii="Verdana" w:eastAsia="Calibri" w:hAnsi="Verdana" w:cs="Times New Roman"/>
        </w:rPr>
      </w:pPr>
    </w:p>
    <w:p w14:paraId="2E54B4B1" w14:textId="77777777" w:rsidR="00165AC5" w:rsidRPr="00474A65" w:rsidRDefault="00165AC5" w:rsidP="00165AC5">
      <w:pPr>
        <w:spacing w:after="0" w:line="256" w:lineRule="auto"/>
        <w:jc w:val="both"/>
        <w:rPr>
          <w:rFonts w:ascii="Verdana" w:eastAsia="Calibri" w:hAnsi="Verdana" w:cs="Times New Roman"/>
        </w:rPr>
      </w:pPr>
      <w:r w:rsidRPr="00474A65">
        <w:rPr>
          <w:rFonts w:ascii="Verdana" w:eastAsia="Calibri" w:hAnsi="Verdana" w:cs="Times New Roman"/>
        </w:rPr>
        <w:t>Atentamente,</w:t>
      </w:r>
    </w:p>
    <w:p w14:paraId="02A4B35C" w14:textId="77777777" w:rsidR="00165AC5" w:rsidRPr="00474A65" w:rsidRDefault="00165AC5" w:rsidP="00165AC5">
      <w:pPr>
        <w:spacing w:after="0" w:line="256" w:lineRule="auto"/>
        <w:jc w:val="both"/>
        <w:rPr>
          <w:rFonts w:ascii="Verdana" w:eastAsia="Calibri" w:hAnsi="Verdana" w:cs="Times New Roman"/>
        </w:rPr>
      </w:pPr>
    </w:p>
    <w:bookmarkEnd w:id="1"/>
    <w:bookmarkEnd w:id="2"/>
    <w:p w14:paraId="038187B9" w14:textId="77777777" w:rsidR="00165AC5" w:rsidRPr="00474A65" w:rsidRDefault="00165AC5" w:rsidP="00165AC5">
      <w:pPr>
        <w:spacing w:after="0"/>
        <w:jc w:val="both"/>
        <w:rPr>
          <w:rStyle w:val="Hipervnculo"/>
          <w:rFonts w:ascii="Verdana" w:hAnsi="Verdana"/>
        </w:rPr>
      </w:pPr>
    </w:p>
    <w:p w14:paraId="1B4079A3" w14:textId="77777777" w:rsidR="00165AC5" w:rsidRPr="00474A65" w:rsidRDefault="00165AC5" w:rsidP="00165AC5">
      <w:pPr>
        <w:spacing w:after="0" w:line="240" w:lineRule="auto"/>
        <w:textAlignment w:val="baseline"/>
        <w:rPr>
          <w:rFonts w:ascii="Verdana" w:eastAsia="Times New Roman" w:hAnsi="Verdana" w:cs="Segoe UI"/>
          <w:b/>
          <w:bCs/>
          <w:color w:val="46589C"/>
          <w:lang w:eastAsia="es-CO"/>
        </w:rPr>
      </w:pPr>
    </w:p>
    <w:p w14:paraId="138719E1" w14:textId="2CC31EC0" w:rsidR="00165AC5" w:rsidRPr="00474A65" w:rsidRDefault="00FD3360" w:rsidP="00165AC5">
      <w:pPr>
        <w:spacing w:line="276" w:lineRule="auto"/>
        <w:jc w:val="center"/>
        <w:rPr>
          <w:rFonts w:ascii="Verdana" w:hAnsi="Verdana" w:cs="Arial"/>
          <w:color w:val="000000"/>
          <w:lang w:eastAsia="es-CO"/>
        </w:rPr>
      </w:pPr>
      <w:r w:rsidRPr="002C3AD6">
        <w:rPr>
          <w:rFonts w:ascii="Century Gothic" w:hAnsi="Century Gothic"/>
          <w:noProof/>
        </w:rPr>
        <w:lastRenderedPageBreak/>
        <w:drawing>
          <wp:inline distT="0" distB="0" distL="0" distR="0" wp14:anchorId="547F7494" wp14:editId="38A840E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65AC5" w:rsidRPr="00474A65" w14:paraId="74BA5708" w14:textId="77777777" w:rsidTr="001869B9">
        <w:trPr>
          <w:trHeight w:val="315"/>
        </w:trPr>
        <w:tc>
          <w:tcPr>
            <w:tcW w:w="893" w:type="dxa"/>
            <w:vAlign w:val="center"/>
            <w:hideMark/>
          </w:tcPr>
          <w:p w14:paraId="40F895C2" w14:textId="77777777" w:rsidR="00165AC5" w:rsidRPr="00474A65" w:rsidRDefault="00165AC5" w:rsidP="001869B9">
            <w:pPr>
              <w:contextualSpacing/>
              <w:rPr>
                <w:rFonts w:ascii="Verdana" w:hAnsi="Verdana" w:cs="Arial"/>
                <w:sz w:val="16"/>
                <w:szCs w:val="16"/>
                <w:lang w:eastAsia="es-ES"/>
              </w:rPr>
            </w:pPr>
            <w:r w:rsidRPr="00474A65">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B95FA79" w14:textId="77777777" w:rsidR="00165AC5" w:rsidRPr="00474A65" w:rsidRDefault="00165AC5" w:rsidP="001869B9">
            <w:pPr>
              <w:contextualSpacing/>
              <w:rPr>
                <w:rFonts w:ascii="Verdana" w:hAnsi="Verdana"/>
                <w:sz w:val="16"/>
                <w:szCs w:val="16"/>
              </w:rPr>
            </w:pPr>
            <w:r w:rsidRPr="00474A65">
              <w:rPr>
                <w:rFonts w:ascii="Verdana" w:hAnsi="Verdana"/>
                <w:sz w:val="16"/>
                <w:szCs w:val="16"/>
              </w:rPr>
              <w:t>Tatiana Baquero Iguarán</w:t>
            </w:r>
          </w:p>
          <w:p w14:paraId="63B6BE95" w14:textId="77777777" w:rsidR="00165AC5" w:rsidRPr="00474A65" w:rsidRDefault="00165AC5" w:rsidP="001869B9">
            <w:pPr>
              <w:contextualSpacing/>
              <w:rPr>
                <w:rFonts w:ascii="Verdana" w:eastAsia="Arial" w:hAnsi="Verdana" w:cs="Arial"/>
                <w:sz w:val="16"/>
                <w:szCs w:val="16"/>
              </w:rPr>
            </w:pPr>
            <w:r w:rsidRPr="00474A65">
              <w:rPr>
                <w:rFonts w:ascii="Verdana" w:hAnsi="Verdana"/>
                <w:sz w:val="16"/>
                <w:szCs w:val="16"/>
              </w:rPr>
              <w:t>Contratista de la Subdirección de Gestión Contractual</w:t>
            </w:r>
          </w:p>
        </w:tc>
      </w:tr>
      <w:tr w:rsidR="00165AC5" w:rsidRPr="00474A65" w14:paraId="0CD810A4" w14:textId="77777777" w:rsidTr="001869B9">
        <w:trPr>
          <w:trHeight w:val="330"/>
        </w:trPr>
        <w:tc>
          <w:tcPr>
            <w:tcW w:w="893" w:type="dxa"/>
            <w:vAlign w:val="center"/>
            <w:hideMark/>
          </w:tcPr>
          <w:p w14:paraId="2BA9C63E" w14:textId="77777777" w:rsidR="00165AC5" w:rsidRPr="00474A65" w:rsidRDefault="00165AC5" w:rsidP="001869B9">
            <w:pPr>
              <w:contextualSpacing/>
              <w:rPr>
                <w:rFonts w:ascii="Verdana" w:hAnsi="Verdana" w:cs="Arial"/>
                <w:sz w:val="16"/>
                <w:szCs w:val="16"/>
                <w:lang w:eastAsia="es-ES"/>
              </w:rPr>
            </w:pPr>
            <w:r w:rsidRPr="00474A65">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270793" w14:textId="77777777" w:rsidR="00165AC5" w:rsidRPr="00474A65" w:rsidRDefault="00165AC5" w:rsidP="001869B9">
            <w:pPr>
              <w:textAlignment w:val="baseline"/>
              <w:rPr>
                <w:rFonts w:ascii="Verdana" w:eastAsia="Times New Roman" w:hAnsi="Verdana" w:cs="Arial"/>
                <w:sz w:val="16"/>
                <w:szCs w:val="16"/>
                <w:lang w:eastAsia="es-CO"/>
              </w:rPr>
            </w:pPr>
            <w:r w:rsidRPr="00474A65">
              <w:rPr>
                <w:rFonts w:ascii="Verdana" w:eastAsia="Times New Roman" w:hAnsi="Verdana" w:cs="Arial"/>
                <w:sz w:val="16"/>
                <w:szCs w:val="16"/>
                <w:lang w:eastAsia="es-CO"/>
              </w:rPr>
              <w:t>Alejandro Raúl Sarmiento Cantillo</w:t>
            </w:r>
          </w:p>
          <w:p w14:paraId="135A5E15" w14:textId="77777777" w:rsidR="00165AC5" w:rsidRPr="00474A65" w:rsidRDefault="00165AC5" w:rsidP="001869B9">
            <w:pPr>
              <w:spacing w:before="100" w:beforeAutospacing="1" w:after="100" w:afterAutospacing="1"/>
              <w:contextualSpacing/>
              <w:textAlignment w:val="baseline"/>
              <w:rPr>
                <w:rFonts w:ascii="Verdana" w:eastAsia="Times New Roman" w:hAnsi="Verdana" w:cs="Segoe UI"/>
                <w:sz w:val="16"/>
                <w:szCs w:val="16"/>
                <w:lang w:eastAsia="es-ES_tradnl"/>
              </w:rPr>
            </w:pPr>
            <w:r w:rsidRPr="00474A65">
              <w:rPr>
                <w:rFonts w:ascii="Verdana" w:eastAsia="Times New Roman" w:hAnsi="Verdana" w:cs="Arial"/>
                <w:sz w:val="16"/>
                <w:szCs w:val="16"/>
                <w:lang w:eastAsia="es-CO"/>
              </w:rPr>
              <w:t>Gestor T1-15 de la Subdirección de Gestión Contractual</w:t>
            </w:r>
          </w:p>
        </w:tc>
      </w:tr>
      <w:tr w:rsidR="00165AC5" w:rsidRPr="00474A65" w14:paraId="0C344D17" w14:textId="77777777" w:rsidTr="001869B9">
        <w:trPr>
          <w:trHeight w:val="300"/>
        </w:trPr>
        <w:tc>
          <w:tcPr>
            <w:tcW w:w="893" w:type="dxa"/>
            <w:vAlign w:val="center"/>
          </w:tcPr>
          <w:p w14:paraId="58032238" w14:textId="77777777" w:rsidR="00165AC5" w:rsidRPr="00474A65" w:rsidRDefault="00165AC5" w:rsidP="001869B9">
            <w:pPr>
              <w:contextualSpacing/>
              <w:rPr>
                <w:rFonts w:ascii="Verdana" w:hAnsi="Verdana" w:cs="Arial"/>
                <w:sz w:val="16"/>
                <w:szCs w:val="16"/>
                <w:lang w:eastAsia="es-ES"/>
              </w:rPr>
            </w:pPr>
            <w:r w:rsidRPr="00474A65">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44927E" w14:textId="77777777" w:rsidR="00165AC5" w:rsidRPr="00474A65" w:rsidRDefault="00165AC5" w:rsidP="001869B9">
            <w:pPr>
              <w:contextualSpacing/>
              <w:rPr>
                <w:rFonts w:ascii="Verdana" w:eastAsia="Calibri" w:hAnsi="Verdana" w:cs="Arial"/>
                <w:sz w:val="16"/>
                <w:szCs w:val="16"/>
                <w:lang w:eastAsia="es-ES"/>
              </w:rPr>
            </w:pPr>
            <w:r w:rsidRPr="00474A65">
              <w:rPr>
                <w:rFonts w:ascii="Verdana" w:eastAsia="Calibri" w:hAnsi="Verdana" w:cs="Arial"/>
                <w:sz w:val="16"/>
                <w:szCs w:val="16"/>
                <w:lang w:eastAsia="es-ES"/>
              </w:rPr>
              <w:t xml:space="preserve">Carolina Quintero </w:t>
            </w:r>
            <w:proofErr w:type="spellStart"/>
            <w:r w:rsidRPr="00474A65">
              <w:rPr>
                <w:rFonts w:ascii="Verdana" w:eastAsia="Calibri" w:hAnsi="Verdana" w:cs="Arial"/>
                <w:sz w:val="16"/>
                <w:szCs w:val="16"/>
                <w:lang w:eastAsia="es-ES"/>
              </w:rPr>
              <w:t>Gacharná</w:t>
            </w:r>
            <w:proofErr w:type="spellEnd"/>
          </w:p>
          <w:p w14:paraId="60B49E93" w14:textId="77777777" w:rsidR="00165AC5" w:rsidRPr="00474A65" w:rsidRDefault="00165AC5" w:rsidP="001869B9">
            <w:pPr>
              <w:contextualSpacing/>
              <w:rPr>
                <w:rFonts w:ascii="Verdana" w:eastAsia="Calibri" w:hAnsi="Verdana" w:cs="Arial"/>
                <w:sz w:val="16"/>
                <w:szCs w:val="16"/>
                <w:lang w:eastAsia="es-ES"/>
              </w:rPr>
            </w:pPr>
            <w:r w:rsidRPr="00474A65">
              <w:rPr>
                <w:rFonts w:ascii="Verdana" w:eastAsia="Calibri" w:hAnsi="Verdana" w:cs="Arial"/>
                <w:sz w:val="16"/>
                <w:szCs w:val="16"/>
                <w:lang w:eastAsia="es-ES"/>
              </w:rPr>
              <w:t>Subdirectora de Gestión Contractual ANCP – CCE</w:t>
            </w:r>
          </w:p>
        </w:tc>
      </w:tr>
    </w:tbl>
    <w:p w14:paraId="4D7E1D1B" w14:textId="77777777" w:rsidR="00165AC5" w:rsidRPr="00474A65" w:rsidRDefault="00165AC5" w:rsidP="00165AC5"/>
    <w:p w14:paraId="7A2F8606" w14:textId="77777777" w:rsidR="00165AC5" w:rsidRPr="00474A65" w:rsidRDefault="00165AC5" w:rsidP="00165AC5">
      <w:pPr>
        <w:spacing w:after="0"/>
        <w:jc w:val="both"/>
        <w:rPr>
          <w:rStyle w:val="Hipervnculo"/>
          <w:rFonts w:ascii="Verdana" w:hAnsi="Verdana"/>
        </w:rPr>
      </w:pPr>
    </w:p>
    <w:p w14:paraId="0C357FA1" w14:textId="77777777" w:rsidR="00165AC5" w:rsidRPr="00474A65" w:rsidRDefault="00165AC5" w:rsidP="00165AC5">
      <w:pPr>
        <w:spacing w:after="0"/>
        <w:jc w:val="both"/>
        <w:rPr>
          <w:rStyle w:val="Hipervnculo"/>
          <w:rFonts w:ascii="Verdana" w:hAnsi="Verdana"/>
        </w:rPr>
      </w:pPr>
    </w:p>
    <w:bookmarkEnd w:id="0"/>
    <w:p w14:paraId="7B6E093E" w14:textId="77777777" w:rsidR="00165AC5" w:rsidRPr="0044528D" w:rsidRDefault="00165AC5" w:rsidP="00165AC5">
      <w:pPr>
        <w:spacing w:after="0" w:line="240" w:lineRule="auto"/>
        <w:textAlignment w:val="baseline"/>
        <w:rPr>
          <w:rFonts w:ascii="Verdana" w:eastAsia="Times New Roman" w:hAnsi="Verdana" w:cs="Segoe UI"/>
          <w:b/>
          <w:bCs/>
          <w:color w:val="46589C"/>
          <w:lang w:val="es-ES" w:eastAsia="es-CO"/>
        </w:rPr>
      </w:pPr>
    </w:p>
    <w:p w14:paraId="476593D9" w14:textId="77777777" w:rsidR="00165AC5" w:rsidRPr="003961CF" w:rsidRDefault="00165AC5" w:rsidP="00165AC5"/>
    <w:p w14:paraId="3900974D" w14:textId="77777777" w:rsidR="003D5B0D" w:rsidRPr="00165AC5" w:rsidRDefault="003D5B0D" w:rsidP="00165AC5"/>
    <w:sectPr w:rsidR="003D5B0D" w:rsidRPr="00165AC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93D09" w14:textId="77777777" w:rsidR="00A03DE3" w:rsidRPr="00474A65" w:rsidRDefault="00A03DE3" w:rsidP="004A1847">
      <w:pPr>
        <w:spacing w:after="0" w:line="240" w:lineRule="auto"/>
      </w:pPr>
      <w:r w:rsidRPr="00474A65">
        <w:separator/>
      </w:r>
    </w:p>
  </w:endnote>
  <w:endnote w:type="continuationSeparator" w:id="0">
    <w:p w14:paraId="35AB6BA6" w14:textId="77777777" w:rsidR="00A03DE3" w:rsidRPr="00474A65" w:rsidRDefault="00A03DE3" w:rsidP="004A1847">
      <w:pPr>
        <w:spacing w:after="0" w:line="240" w:lineRule="auto"/>
      </w:pPr>
      <w:r w:rsidRPr="00474A6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Pr="00474A65" w:rsidRDefault="004A1847">
    <w:pPr>
      <w:pStyle w:val="Piedepgina"/>
    </w:pPr>
  </w:p>
  <w:p w14:paraId="594D6D9F" w14:textId="77777777" w:rsidR="00D520D8" w:rsidRPr="00474A65" w:rsidRDefault="00D520D8" w:rsidP="00D520D8">
    <w:pPr>
      <w:pBdr>
        <w:top w:val="single" w:sz="4" w:space="1" w:color="auto"/>
      </w:pBdr>
      <w:spacing w:after="0"/>
      <w:rPr>
        <w:rFonts w:ascii="Verdana" w:hAnsi="Verdana"/>
        <w:b/>
        <w:bCs/>
        <w:sz w:val="20"/>
        <w:szCs w:val="20"/>
      </w:rPr>
    </w:pPr>
    <w:r w:rsidRPr="00474A65">
      <w:rPr>
        <w:rFonts w:ascii="Verdana" w:hAnsi="Verdana"/>
        <w:b/>
        <w:bCs/>
        <w:sz w:val="20"/>
        <w:szCs w:val="20"/>
      </w:rPr>
      <w:t xml:space="preserve">Agencia Nacional de Contratación Pública                                              </w:t>
    </w:r>
    <w:r w:rsidRPr="00474A65">
      <w:rPr>
        <w:rFonts w:ascii="Verdana" w:eastAsiaTheme="majorEastAsia" w:hAnsi="Verdana" w:cstheme="majorBidi"/>
        <w:b/>
        <w:bCs/>
        <w:sz w:val="16"/>
        <w:szCs w:val="16"/>
      </w:rPr>
      <w:t xml:space="preserve">pág. </w:t>
    </w:r>
    <w:r w:rsidRPr="00474A65">
      <w:rPr>
        <w:rFonts w:ascii="Verdana" w:eastAsiaTheme="minorEastAsia" w:hAnsi="Verdana"/>
        <w:b/>
        <w:bCs/>
        <w:sz w:val="16"/>
        <w:szCs w:val="16"/>
      </w:rPr>
      <w:fldChar w:fldCharType="begin"/>
    </w:r>
    <w:r w:rsidRPr="00474A65">
      <w:rPr>
        <w:rFonts w:ascii="Verdana" w:hAnsi="Verdana"/>
        <w:b/>
        <w:bCs/>
        <w:sz w:val="16"/>
        <w:szCs w:val="16"/>
      </w:rPr>
      <w:instrText>PAGE    \* MERGEFORMAT</w:instrText>
    </w:r>
    <w:r w:rsidRPr="00474A65">
      <w:rPr>
        <w:rFonts w:ascii="Verdana" w:eastAsiaTheme="minorEastAsia" w:hAnsi="Verdana"/>
        <w:b/>
        <w:bCs/>
        <w:sz w:val="16"/>
        <w:szCs w:val="16"/>
      </w:rPr>
      <w:fldChar w:fldCharType="separate"/>
    </w:r>
    <w:r w:rsidRPr="00474A65">
      <w:rPr>
        <w:rFonts w:ascii="Verdana" w:eastAsiaTheme="minorEastAsia" w:hAnsi="Verdana"/>
        <w:b/>
        <w:bCs/>
        <w:sz w:val="16"/>
        <w:szCs w:val="16"/>
      </w:rPr>
      <w:t>1</w:t>
    </w:r>
    <w:r w:rsidRPr="00474A65">
      <w:rPr>
        <w:rFonts w:ascii="Verdana" w:eastAsiaTheme="majorEastAsia" w:hAnsi="Verdana" w:cstheme="majorBidi"/>
        <w:b/>
        <w:bCs/>
        <w:sz w:val="16"/>
        <w:szCs w:val="16"/>
      </w:rPr>
      <w:fldChar w:fldCharType="end"/>
    </w:r>
    <w:r w:rsidRPr="00474A65">
      <w:rPr>
        <w:rFonts w:ascii="Verdana" w:hAnsi="Verdana"/>
        <w:b/>
        <w:bCs/>
        <w:sz w:val="20"/>
        <w:szCs w:val="20"/>
      </w:rPr>
      <w:t xml:space="preserve">              Colombia Compra Eficiente                                                            </w:t>
    </w:r>
  </w:p>
  <w:p w14:paraId="0A735DD5" w14:textId="77777777" w:rsidR="00D520D8" w:rsidRPr="00474A65" w:rsidRDefault="00D520D8" w:rsidP="00D520D8">
    <w:pPr>
      <w:spacing w:after="0"/>
      <w:jc w:val="both"/>
      <w:rPr>
        <w:rFonts w:ascii="Verdana" w:hAnsi="Verdana"/>
        <w:sz w:val="18"/>
        <w:szCs w:val="18"/>
      </w:rPr>
    </w:pPr>
    <w:r w:rsidRPr="00474A65">
      <w:rPr>
        <w:rFonts w:ascii="Verdana" w:hAnsi="Verdana"/>
        <w:sz w:val="18"/>
        <w:szCs w:val="18"/>
      </w:rPr>
      <w:t>Dirección: Carrera 7 # 26 – 20 - Bogotá, Colombia</w:t>
    </w:r>
  </w:p>
  <w:p w14:paraId="06E36B88" w14:textId="77777777" w:rsidR="00D520D8" w:rsidRPr="00474A65" w:rsidRDefault="00D520D8" w:rsidP="00D520D8">
    <w:pPr>
      <w:spacing w:after="0"/>
      <w:jc w:val="both"/>
      <w:rPr>
        <w:rFonts w:ascii="Verdana" w:hAnsi="Verdana"/>
        <w:sz w:val="18"/>
        <w:szCs w:val="18"/>
      </w:rPr>
    </w:pPr>
    <w:r w:rsidRPr="00474A65">
      <w:rPr>
        <w:rFonts w:ascii="Verdana" w:hAnsi="Verdana"/>
        <w:sz w:val="18"/>
        <w:szCs w:val="18"/>
      </w:rPr>
      <w:t>Mesa de servicio: (+57) 601 7456788</w:t>
    </w:r>
  </w:p>
  <w:p w14:paraId="744661F5" w14:textId="593AA28F" w:rsidR="006219F8" w:rsidRPr="00474A65" w:rsidRDefault="00D520D8" w:rsidP="0025796E">
    <w:pPr>
      <w:pBdr>
        <w:top w:val="nil"/>
        <w:left w:val="nil"/>
        <w:bottom w:val="nil"/>
        <w:right w:val="nil"/>
        <w:between w:val="nil"/>
      </w:pBdr>
      <w:tabs>
        <w:tab w:val="center" w:pos="4419"/>
        <w:tab w:val="right" w:pos="8838"/>
        <w:tab w:val="center" w:pos="5400"/>
      </w:tabs>
      <w:spacing w:after="0"/>
    </w:pPr>
    <w:r w:rsidRPr="00474A65">
      <w:rPr>
        <w:rFonts w:ascii="Verdana" w:hAnsi="Verdana"/>
        <w:sz w:val="18"/>
        <w:szCs w:val="18"/>
      </w:rPr>
      <w:t xml:space="preserve">Atención al ciudadano: (+57) 601 7956600          </w:t>
    </w:r>
    <w:r w:rsidR="00FA47C0" w:rsidRPr="00474A65">
      <w:rPr>
        <w:rFonts w:ascii="Century Gothic" w:eastAsia="Geo" w:hAnsi="Century Gothic" w:cs="Geo"/>
        <w:b/>
        <w:color w:val="000000"/>
        <w:sz w:val="16"/>
        <w:szCs w:val="16"/>
        <w:lang w:eastAsia="es-CO"/>
      </w:rPr>
      <w:t xml:space="preserve">Código: </w:t>
    </w:r>
    <w:r w:rsidR="00FA47C0" w:rsidRPr="00474A65">
      <w:rPr>
        <w:rFonts w:ascii="Century Gothic" w:eastAsia="Geo" w:hAnsi="Century Gothic" w:cs="Geo"/>
        <w:bCs/>
        <w:color w:val="000000"/>
        <w:sz w:val="16"/>
        <w:szCs w:val="16"/>
        <w:lang w:eastAsia="es-CO"/>
      </w:rPr>
      <w:t>CCE-REC-FM-17</w:t>
    </w:r>
    <w:r w:rsidR="0025796E" w:rsidRPr="00474A65">
      <w:rPr>
        <w:rFonts w:ascii="Century Gothic" w:eastAsia="Geo" w:hAnsi="Century Gothic" w:cs="Geo"/>
        <w:bCs/>
        <w:color w:val="000000"/>
        <w:sz w:val="16"/>
        <w:szCs w:val="16"/>
        <w:lang w:eastAsia="es-CO"/>
      </w:rPr>
      <w:t xml:space="preserve"> </w:t>
    </w:r>
    <w:r w:rsidR="00FA47C0" w:rsidRPr="00474A65">
      <w:rPr>
        <w:rFonts w:ascii="Century Gothic" w:eastAsia="Geo" w:hAnsi="Century Gothic" w:cs="Geo"/>
        <w:b/>
        <w:color w:val="000000"/>
        <w:sz w:val="16"/>
        <w:szCs w:val="16"/>
        <w:lang w:eastAsia="es-CO"/>
      </w:rPr>
      <w:t>Versión</w:t>
    </w:r>
    <w:r w:rsidR="00FA47C0" w:rsidRPr="00474A65">
      <w:rPr>
        <w:rFonts w:ascii="Century Gothic" w:eastAsia="Arial Nova" w:hAnsi="Century Gothic" w:cs="Arial Nova"/>
        <w:b/>
        <w:color w:val="000000"/>
        <w:sz w:val="16"/>
        <w:szCs w:val="16"/>
        <w:lang w:eastAsia="es-CO"/>
      </w:rPr>
      <w:t xml:space="preserve">: </w:t>
    </w:r>
    <w:r w:rsidR="00FA47C0" w:rsidRPr="00474A65">
      <w:rPr>
        <w:rFonts w:ascii="Century Gothic" w:eastAsia="Geo" w:hAnsi="Century Gothic" w:cs="Geo"/>
        <w:sz w:val="16"/>
        <w:szCs w:val="16"/>
        <w:lang w:eastAsia="es-CO"/>
      </w:rPr>
      <w:t xml:space="preserve">02 </w:t>
    </w:r>
    <w:r w:rsidR="0025796E" w:rsidRPr="00474A65">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DA2B3" w14:textId="77777777" w:rsidR="00A03DE3" w:rsidRPr="00474A65" w:rsidRDefault="00A03DE3" w:rsidP="004A1847">
      <w:pPr>
        <w:spacing w:after="0" w:line="240" w:lineRule="auto"/>
      </w:pPr>
      <w:r w:rsidRPr="00474A65">
        <w:separator/>
      </w:r>
    </w:p>
  </w:footnote>
  <w:footnote w:type="continuationSeparator" w:id="0">
    <w:p w14:paraId="1221E7AB" w14:textId="77777777" w:rsidR="00A03DE3" w:rsidRPr="00474A65" w:rsidRDefault="00A03DE3" w:rsidP="004A1847">
      <w:pPr>
        <w:spacing w:after="0" w:line="240" w:lineRule="auto"/>
      </w:pPr>
      <w:r w:rsidRPr="00474A65">
        <w:continuationSeparator/>
      </w:r>
    </w:p>
  </w:footnote>
  <w:footnote w:id="1">
    <w:p w14:paraId="53B2692A"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Style w:val="Refdenotaalpie"/>
          <w:rFonts w:ascii="Verdana" w:hAnsi="Verdana"/>
          <w:sz w:val="14"/>
          <w:szCs w:val="14"/>
        </w:rPr>
        <w:footnoteRef/>
      </w:r>
      <w:r w:rsidRPr="00474A65">
        <w:rPr>
          <w:rFonts w:ascii="Verdana" w:hAnsi="Verdana"/>
          <w:sz w:val="14"/>
          <w:szCs w:val="14"/>
        </w:rPr>
        <w:t xml:space="preserve"> </w:t>
      </w:r>
      <w:r w:rsidRPr="00474A65">
        <w:rPr>
          <w:rStyle w:val="Textoennegrita"/>
          <w:rFonts w:ascii="Verdana" w:hAnsi="Verdana" w:cs="Arial"/>
          <w:b w:val="0"/>
          <w:color w:val="000000"/>
          <w:sz w:val="14"/>
          <w:szCs w:val="14"/>
        </w:rPr>
        <w:t>Artículo 200.</w:t>
      </w:r>
      <w:r w:rsidRPr="00474A65">
        <w:rPr>
          <w:rStyle w:val="Textoennegrita"/>
          <w:rFonts w:ascii="Verdana" w:hAnsi="Verdana" w:cs="Arial"/>
          <w:color w:val="000000"/>
          <w:sz w:val="14"/>
          <w:szCs w:val="14"/>
        </w:rPr>
        <w:t xml:space="preserve"> </w:t>
      </w:r>
      <w:r w:rsidRPr="00474A65">
        <w:rPr>
          <w:rStyle w:val="nfasis"/>
          <w:rFonts w:ascii="Verdana" w:hAnsi="Verdana" w:cs="Arial"/>
          <w:color w:val="000000"/>
          <w:sz w:val="14"/>
          <w:szCs w:val="14"/>
        </w:rPr>
        <w:t>Estrategia nacional de lucha contra la corrupción</w:t>
      </w:r>
      <w:r w:rsidRPr="00474A65">
        <w:rPr>
          <w:rFonts w:ascii="Verdana" w:hAnsi="Verdana" w:cs="Arial"/>
          <w:color w:val="000000"/>
          <w:sz w:val="14"/>
          <w:szCs w:val="14"/>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7E796152"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Fonts w:ascii="Verdana" w:hAnsi="Verdana" w:cs="Arial"/>
          <w:color w:val="000000"/>
          <w:sz w:val="14"/>
          <w:szCs w:val="14"/>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11978AAA"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Fonts w:ascii="Verdana" w:hAnsi="Verdana" w:cs="Arial"/>
          <w:color w:val="000000"/>
          <w:sz w:val="14"/>
          <w:szCs w:val="14"/>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7DAF699B"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Fonts w:ascii="Verdana" w:hAnsi="Verdana" w:cs="Arial"/>
          <w:color w:val="000000"/>
          <w:sz w:val="14"/>
          <w:szCs w:val="14"/>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4D7354F2"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Style w:val="Textoennegrita"/>
          <w:rFonts w:ascii="Verdana" w:hAnsi="Verdana" w:cs="Arial"/>
          <w:b w:val="0"/>
          <w:color w:val="000000"/>
          <w:sz w:val="14"/>
          <w:szCs w:val="14"/>
        </w:rPr>
        <w:t>Parágrafo 1°.</w:t>
      </w:r>
      <w:r w:rsidRPr="00474A65">
        <w:rPr>
          <w:rFonts w:ascii="Verdana" w:hAnsi="Verdana" w:cs="Arial"/>
          <w:color w:val="000000"/>
          <w:sz w:val="14"/>
          <w:szCs w:val="14"/>
        </w:rPr>
        <w:t> En la estrategia se contemplarán los mecanismos para el seguimiento y control de los recursos públicos administrados mediante fondos o patrimonios autónomos. </w:t>
      </w:r>
    </w:p>
    <w:p w14:paraId="5C8EA8A5"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Style w:val="Textoennegrita"/>
          <w:rFonts w:ascii="Verdana" w:hAnsi="Verdana" w:cs="Arial"/>
          <w:b w:val="0"/>
          <w:color w:val="000000"/>
          <w:sz w:val="14"/>
          <w:szCs w:val="14"/>
        </w:rPr>
        <w:t>Parágrafo 2</w:t>
      </w:r>
      <w:r w:rsidRPr="00474A65">
        <w:rPr>
          <w:rStyle w:val="Textoennegrita"/>
          <w:rFonts w:ascii="Verdana" w:hAnsi="Verdana" w:cs="Arial"/>
          <w:color w:val="000000"/>
          <w:sz w:val="14"/>
          <w:szCs w:val="14"/>
        </w:rPr>
        <w:t>°.</w:t>
      </w:r>
      <w:r w:rsidRPr="00474A65">
        <w:rPr>
          <w:rFonts w:ascii="Verdana" w:hAnsi="Verdana" w:cs="Arial"/>
          <w:color w:val="000000"/>
          <w:sz w:val="14"/>
          <w:szCs w:val="14"/>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67E8AEE3" w14:textId="77777777" w:rsidR="00165AC5" w:rsidRPr="00474A65" w:rsidRDefault="00165AC5" w:rsidP="00165AC5">
      <w:pPr>
        <w:pStyle w:val="NormalWeb"/>
        <w:spacing w:before="0" w:beforeAutospacing="0" w:after="0" w:afterAutospacing="0"/>
        <w:ind w:firstLine="708"/>
        <w:jc w:val="both"/>
        <w:rPr>
          <w:rFonts w:ascii="Verdana" w:hAnsi="Verdana" w:cs="Arial"/>
          <w:color w:val="000000"/>
          <w:sz w:val="14"/>
          <w:szCs w:val="14"/>
        </w:rPr>
      </w:pPr>
      <w:r w:rsidRPr="00474A65">
        <w:rPr>
          <w:rStyle w:val="Textoennegrita"/>
          <w:rFonts w:ascii="Verdana" w:hAnsi="Verdana" w:cs="Arial"/>
          <w:b w:val="0"/>
          <w:color w:val="000000"/>
          <w:sz w:val="14"/>
          <w:szCs w:val="14"/>
        </w:rPr>
        <w:t>Parágrafo 3°.</w:t>
      </w:r>
      <w:r w:rsidRPr="00474A65">
        <w:rPr>
          <w:rFonts w:ascii="Verdana" w:hAnsi="Verdana" w:cs="Arial"/>
          <w:color w:val="000000"/>
          <w:sz w:val="14"/>
          <w:szCs w:val="14"/>
        </w:rPr>
        <w:t> Dentro del año siguiente a la entrada en vigor de la presente ley, el Gobierno nacional formulará y adoptará la Estrategia Nacional de Lucha Contra la Corrupción.</w:t>
      </w:r>
    </w:p>
    <w:p w14:paraId="648A1859" w14:textId="77777777" w:rsidR="00165AC5" w:rsidRPr="00474A65" w:rsidRDefault="00165AC5" w:rsidP="00165AC5">
      <w:pPr>
        <w:pStyle w:val="Textonotapie"/>
        <w:rPr>
          <w:sz w:val="14"/>
          <w:szCs w:val="14"/>
          <w:lang w:val="es-CO"/>
        </w:rPr>
      </w:pPr>
    </w:p>
    <w:p w14:paraId="20D4FF07" w14:textId="77777777" w:rsidR="00165AC5" w:rsidRPr="00474A65" w:rsidRDefault="00165AC5" w:rsidP="00165AC5">
      <w:pPr>
        <w:pStyle w:val="Textonotapie"/>
        <w:ind w:firstLine="708"/>
        <w:rPr>
          <w:sz w:val="14"/>
          <w:szCs w:val="14"/>
          <w:lang w:val="es-CO"/>
        </w:rPr>
      </w:pPr>
    </w:p>
  </w:footnote>
  <w:footnote w:id="2">
    <w:p w14:paraId="26486A37" w14:textId="77777777" w:rsidR="00165AC5" w:rsidRPr="00474A65" w:rsidRDefault="00165AC5" w:rsidP="00165AC5">
      <w:pPr>
        <w:spacing w:after="0" w:line="240" w:lineRule="auto"/>
        <w:ind w:firstLine="709"/>
        <w:jc w:val="both"/>
        <w:rPr>
          <w:rFonts w:ascii="Verdana" w:eastAsia="Calibri" w:hAnsi="Verdana" w:cs="Arial"/>
          <w:bCs/>
          <w:sz w:val="14"/>
          <w:szCs w:val="14"/>
          <w:lang w:eastAsia="es-ES_tradnl"/>
        </w:rPr>
      </w:pPr>
      <w:r w:rsidRPr="00474A65">
        <w:rPr>
          <w:rStyle w:val="Refdenotaalpie"/>
          <w:rFonts w:ascii="Verdana" w:hAnsi="Verdana"/>
          <w:sz w:val="14"/>
          <w:szCs w:val="14"/>
        </w:rPr>
        <w:footnoteRef/>
      </w:r>
      <w:r w:rsidRPr="00474A65">
        <w:rPr>
          <w:rFonts w:ascii="Verdana" w:hAnsi="Verdana"/>
          <w:sz w:val="14"/>
          <w:szCs w:val="14"/>
        </w:rPr>
        <w:t xml:space="preserve"> </w:t>
      </w:r>
      <w:r w:rsidRPr="00474A65">
        <w:rPr>
          <w:rFonts w:ascii="Verdana" w:eastAsia="Calibri" w:hAnsi="Verdana" w:cs="Arial"/>
          <w:bCs/>
          <w:iCs/>
          <w:sz w:val="14"/>
          <w:szCs w:val="14"/>
          <w:lang w:eastAsia="es-ES_tradnl"/>
        </w:rPr>
        <w:t>Artículo 2.1.4.3.1.2. Ámbito de aplicación.</w:t>
      </w:r>
      <w:r w:rsidRPr="00474A65">
        <w:rPr>
          <w:rFonts w:ascii="Verdana" w:eastAsia="Calibri" w:hAnsi="Verdana" w:cs="Arial"/>
          <w:b/>
          <w:bCs/>
          <w:iCs/>
          <w:sz w:val="14"/>
          <w:szCs w:val="14"/>
          <w:lang w:eastAsia="es-ES_tradnl"/>
        </w:rPr>
        <w:t> </w:t>
      </w:r>
      <w:r w:rsidRPr="00474A65">
        <w:rPr>
          <w:rFonts w:ascii="Verdana" w:eastAsia="Calibri" w:hAnsi="Verdana" w:cs="Arial"/>
          <w:bCs/>
          <w:iCs/>
          <w:sz w:val="14"/>
          <w:szCs w:val="14"/>
          <w:lang w:eastAsia="es-ES_tradnl"/>
        </w:rPr>
        <w:t>Las disposiciones de este Capítulo rigen en todo el territorio nacional y se aplicarán en todos los organismos, entidades y empresas del Estado del orden nacional y pertenecientes a la Rama Ejecutiva del Poder Público. </w:t>
      </w:r>
      <w:r w:rsidRPr="00474A65">
        <w:rPr>
          <w:rFonts w:ascii="Verdana" w:eastAsia="Calibri" w:hAnsi="Verdana" w:cs="Arial"/>
          <w:bCs/>
          <w:sz w:val="14"/>
          <w:szCs w:val="14"/>
          <w:lang w:eastAsia="es-ES_tradnl"/>
        </w:rPr>
        <w:t> </w:t>
      </w:r>
    </w:p>
    <w:p w14:paraId="431F7C13" w14:textId="77777777" w:rsidR="00165AC5" w:rsidRPr="00474A65" w:rsidRDefault="00165AC5" w:rsidP="00165AC5">
      <w:pPr>
        <w:spacing w:after="0" w:line="240" w:lineRule="auto"/>
        <w:ind w:firstLine="709"/>
        <w:jc w:val="both"/>
        <w:rPr>
          <w:rFonts w:ascii="Verdana" w:eastAsia="Calibri" w:hAnsi="Verdana" w:cs="Arial"/>
          <w:bCs/>
          <w:sz w:val="14"/>
          <w:szCs w:val="14"/>
          <w:lang w:eastAsia="es-ES_tradnl"/>
        </w:rPr>
      </w:pPr>
      <w:r w:rsidRPr="00474A65">
        <w:rPr>
          <w:rFonts w:ascii="Verdana" w:eastAsia="Calibri" w:hAnsi="Verdana" w:cs="Arial"/>
          <w:bCs/>
          <w:iCs/>
          <w:sz w:val="14"/>
          <w:szCs w:val="14"/>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29E7B24E" w14:textId="77777777" w:rsidR="00165AC5" w:rsidRPr="00474A65" w:rsidRDefault="00165AC5" w:rsidP="00165AC5">
      <w:pPr>
        <w:spacing w:after="0" w:line="240" w:lineRule="auto"/>
        <w:ind w:firstLine="709"/>
        <w:jc w:val="both"/>
        <w:rPr>
          <w:rFonts w:ascii="Verdana" w:eastAsia="Calibri" w:hAnsi="Verdana" w:cs="Arial"/>
          <w:bCs/>
          <w:sz w:val="14"/>
          <w:szCs w:val="14"/>
          <w:lang w:eastAsia="es-ES_tradnl"/>
        </w:rPr>
      </w:pPr>
      <w:r w:rsidRPr="00474A65">
        <w:rPr>
          <w:rFonts w:ascii="Verdana" w:eastAsia="Calibri" w:hAnsi="Verdana" w:cs="Arial"/>
          <w:bCs/>
          <w:iCs/>
          <w:sz w:val="14"/>
          <w:szCs w:val="14"/>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p w14:paraId="38B0262A" w14:textId="77777777" w:rsidR="00165AC5" w:rsidRPr="00474A65" w:rsidRDefault="00165AC5" w:rsidP="00165AC5">
      <w:pPr>
        <w:pStyle w:val="Textonotapie"/>
        <w:rPr>
          <w:sz w:val="14"/>
          <w:szCs w:val="14"/>
          <w:lang w:val="es-CO"/>
        </w:rPr>
      </w:pPr>
    </w:p>
  </w:footnote>
  <w:footnote w:id="3">
    <w:p w14:paraId="58B4EC34" w14:textId="77777777" w:rsidR="00165AC5" w:rsidRPr="00474A65" w:rsidRDefault="00165AC5" w:rsidP="00165AC5">
      <w:pPr>
        <w:pStyle w:val="Textonotapie"/>
        <w:ind w:firstLine="709"/>
        <w:jc w:val="both"/>
        <w:rPr>
          <w:rFonts w:ascii="Verdana" w:hAnsi="Verdana"/>
          <w:sz w:val="14"/>
          <w:szCs w:val="14"/>
          <w:lang w:val="es-CO"/>
        </w:rPr>
      </w:pPr>
      <w:r w:rsidRPr="00474A65">
        <w:rPr>
          <w:rStyle w:val="Refdenotaalpie"/>
          <w:rFonts w:ascii="Verdana" w:hAnsi="Verdana"/>
          <w:sz w:val="14"/>
          <w:szCs w:val="14"/>
          <w:lang w:val="es-CO"/>
        </w:rPr>
        <w:footnoteRef/>
      </w:r>
      <w:r w:rsidRPr="00474A65">
        <w:rPr>
          <w:rFonts w:ascii="Verdana" w:hAnsi="Verdana"/>
          <w:sz w:val="14"/>
          <w:szCs w:val="14"/>
          <w:lang w:val="es-CO"/>
        </w:rPr>
        <w:t xml:space="preserve"> Las entidades territoriales tienen autonomía en materia de planeación del desarrollo económico, social y de la gestión ambiental, en el marco de las competencias, recursos y responsabilidades que les ha atribuido la Constitución y la ley.</w:t>
      </w:r>
    </w:p>
    <w:p w14:paraId="2FD663A7" w14:textId="77777777" w:rsidR="00165AC5" w:rsidRPr="00474A65" w:rsidRDefault="00165AC5" w:rsidP="00165AC5">
      <w:pPr>
        <w:pStyle w:val="Textonotapie"/>
        <w:jc w:val="both"/>
        <w:rPr>
          <w:rFonts w:ascii="Verdana" w:hAnsi="Verdana"/>
          <w:sz w:val="14"/>
          <w:szCs w:val="14"/>
          <w:lang w:val="es-CO"/>
        </w:rPr>
      </w:pPr>
      <w:r w:rsidRPr="00474A65">
        <w:rPr>
          <w:rFonts w:ascii="Verdana" w:hAnsi="Verdana"/>
          <w:sz w:val="14"/>
          <w:szCs w:val="14"/>
          <w:lang w:val="es-CO"/>
        </w:rPr>
        <w:t>Los planes de desarrollo de las entidades territoriales, sin perjuicio de su autonomía, deberán tener en cuenta para su elaboración las políticas y estrategias del Plan Nacional de Desarrollo para garantizar la coherencia.</w:t>
      </w:r>
    </w:p>
    <w:p w14:paraId="4EB9D290" w14:textId="77777777" w:rsidR="00165AC5" w:rsidRPr="00474A65" w:rsidRDefault="00165AC5" w:rsidP="00165AC5">
      <w:pPr>
        <w:pStyle w:val="Textonotapie"/>
        <w:rPr>
          <w:lang w:val="es-CO"/>
        </w:rPr>
      </w:pPr>
    </w:p>
  </w:footnote>
  <w:footnote w:id="4">
    <w:p w14:paraId="49CFB06F" w14:textId="77777777" w:rsidR="00165AC5" w:rsidRPr="00474A65" w:rsidRDefault="00165AC5" w:rsidP="00165AC5">
      <w:pPr>
        <w:pStyle w:val="Textonotapie"/>
        <w:ind w:firstLine="709"/>
        <w:jc w:val="both"/>
        <w:rPr>
          <w:rFonts w:ascii="Verdana" w:hAnsi="Verdana"/>
          <w:sz w:val="14"/>
          <w:szCs w:val="14"/>
          <w:lang w:val="es-CO"/>
        </w:rPr>
      </w:pPr>
      <w:r w:rsidRPr="00474A65">
        <w:rPr>
          <w:rStyle w:val="Refdenotaalpie"/>
          <w:rFonts w:ascii="Verdana" w:hAnsi="Verdana"/>
          <w:sz w:val="14"/>
          <w:szCs w:val="14"/>
          <w:lang w:val="es-CO"/>
        </w:rPr>
        <w:footnoteRef/>
      </w:r>
      <w:r w:rsidRPr="00474A65">
        <w:rPr>
          <w:rFonts w:ascii="Verdana" w:hAnsi="Verdana"/>
          <w:sz w:val="14"/>
          <w:szCs w:val="14"/>
          <w:lang w:val="es-CO"/>
        </w:rPr>
        <w:t xml:space="preserve">  Artículo 200.</w:t>
      </w:r>
      <w:r w:rsidRPr="00474A65">
        <w:rPr>
          <w:rFonts w:ascii="Verdana" w:hAnsi="Verdana"/>
          <w:i/>
          <w:iCs/>
          <w:sz w:val="14"/>
          <w:szCs w:val="14"/>
          <w:lang w:val="es-CO"/>
        </w:rPr>
        <w:t> Estrategia nacional de lucha contra la corrupción</w:t>
      </w:r>
      <w:r w:rsidRPr="00474A65">
        <w:rPr>
          <w:rFonts w:ascii="Verdana" w:hAnsi="Verdana"/>
          <w:sz w:val="14"/>
          <w:szCs w:val="14"/>
          <w:lang w:val="es-CO"/>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3FB06F29"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6EA553C1"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578B077A"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0BAAB09C"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Parágrafo 1°. En la estrategia se contemplarán los mecanismos para el seguimiento y control de los recursos públicos administrados mediante fondos o patrimonios autónomos. </w:t>
      </w:r>
    </w:p>
    <w:p w14:paraId="2E46099E"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Parágrafo 2°.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4FEBCE09" w14:textId="77777777" w:rsidR="00165AC5" w:rsidRPr="00474A65" w:rsidRDefault="00165AC5" w:rsidP="00165AC5">
      <w:pPr>
        <w:pStyle w:val="Textonotapie"/>
        <w:ind w:firstLine="709"/>
        <w:jc w:val="both"/>
        <w:rPr>
          <w:rFonts w:ascii="Verdana" w:hAnsi="Verdana"/>
          <w:sz w:val="14"/>
          <w:szCs w:val="14"/>
          <w:lang w:val="es-CO"/>
        </w:rPr>
      </w:pPr>
      <w:r w:rsidRPr="00474A65">
        <w:rPr>
          <w:rFonts w:ascii="Verdana" w:hAnsi="Verdana"/>
          <w:sz w:val="14"/>
          <w:szCs w:val="14"/>
          <w:lang w:val="es-CO"/>
        </w:rPr>
        <w:t>Parágrafo 3°. Dentro del año siguiente a la entrada en vigor de la presente ley, el Gobierno nacional formulará y adoptará la Estrategia Nacional de Lucha Contra la Corrupción. </w:t>
      </w:r>
    </w:p>
    <w:p w14:paraId="244C0EBB" w14:textId="77777777" w:rsidR="00165AC5" w:rsidRPr="00474A65" w:rsidRDefault="00165AC5" w:rsidP="00165AC5">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Pr="00474A65" w:rsidRDefault="009D3058">
    <w:pPr>
      <w:pStyle w:val="Encabezado"/>
    </w:pPr>
    <w:r w:rsidRPr="00474A65">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sidRPr="00474A65">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Pr="00474A65" w:rsidRDefault="00756841">
    <w:pPr>
      <w:pStyle w:val="Encabezado"/>
    </w:pPr>
  </w:p>
  <w:p w14:paraId="3079FC11" w14:textId="77777777" w:rsidR="00DC39FC" w:rsidRPr="00474A65" w:rsidRDefault="00DC39FC" w:rsidP="004A305D">
    <w:pPr>
      <w:spacing w:after="0"/>
      <w:rPr>
        <w:rFonts w:ascii="Verdana" w:hAnsi="Verdana"/>
        <w:b/>
        <w:bCs/>
      </w:rPr>
    </w:pPr>
  </w:p>
  <w:p w14:paraId="7FE1230C" w14:textId="77E53D9F" w:rsidR="004A305D" w:rsidRPr="00474A65" w:rsidRDefault="004A305D" w:rsidP="004A305D">
    <w:pPr>
      <w:spacing w:after="0"/>
      <w:rPr>
        <w:rFonts w:ascii="Verdana" w:hAnsi="Verdana"/>
        <w:b/>
        <w:bCs/>
      </w:rPr>
    </w:pPr>
    <w:r w:rsidRPr="00474A65">
      <w:rPr>
        <w:rFonts w:ascii="Verdana" w:hAnsi="Verdana"/>
        <w:b/>
        <w:bCs/>
      </w:rPr>
      <w:t>FORMATO PQRSD</w:t>
    </w:r>
  </w:p>
  <w:p w14:paraId="5E18350A" w14:textId="705F7B76" w:rsidR="004A305D" w:rsidRPr="00474A65" w:rsidRDefault="004A305D" w:rsidP="00B01B1A">
    <w:pPr>
      <w:spacing w:after="0" w:line="120" w:lineRule="auto"/>
      <w:rPr>
        <w:rFonts w:ascii="Century Gothic" w:eastAsia="Geo" w:hAnsi="Century Gothic" w:cs="Geo"/>
        <w:sz w:val="16"/>
        <w:szCs w:val="16"/>
        <w:lang w:eastAsia="es-CO"/>
      </w:rPr>
    </w:pPr>
  </w:p>
  <w:p w14:paraId="1FD1C243" w14:textId="6D74A3CF" w:rsidR="008A446D" w:rsidRPr="00474A65"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345279"/>
    <w:multiLevelType w:val="hybridMultilevel"/>
    <w:tmpl w:val="1B7008F6"/>
    <w:lvl w:ilvl="0" w:tplc="23DCEFD0">
      <w:start w:val="1"/>
      <w:numFmt w:val="lowerLetter"/>
      <w:lvlText w:val="%1)"/>
      <w:lvlJc w:val="left"/>
      <w:pPr>
        <w:ind w:left="720" w:hanging="360"/>
      </w:pPr>
      <w:rPr>
        <w:rFonts w:hint="default"/>
        <w:i w:val="0"/>
        <w:i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1105030641">
    <w:abstractNumId w:val="5"/>
  </w:num>
  <w:num w:numId="18" w16cid:durableId="1326055898">
    <w:abstractNumId w:val="3"/>
  </w:num>
  <w:num w:numId="19" w16cid:durableId="16446987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3EF"/>
    <w:rsid w:val="00016F78"/>
    <w:rsid w:val="00032693"/>
    <w:rsid w:val="0004272E"/>
    <w:rsid w:val="00046945"/>
    <w:rsid w:val="00061B2A"/>
    <w:rsid w:val="00074784"/>
    <w:rsid w:val="00082362"/>
    <w:rsid w:val="00096669"/>
    <w:rsid w:val="000A683E"/>
    <w:rsid w:val="000B19B9"/>
    <w:rsid w:val="000C691F"/>
    <w:rsid w:val="000D0334"/>
    <w:rsid w:val="000F06F2"/>
    <w:rsid w:val="000F6486"/>
    <w:rsid w:val="00100DEA"/>
    <w:rsid w:val="001010AC"/>
    <w:rsid w:val="0010345B"/>
    <w:rsid w:val="00125105"/>
    <w:rsid w:val="00127233"/>
    <w:rsid w:val="00130718"/>
    <w:rsid w:val="001400CE"/>
    <w:rsid w:val="001511A0"/>
    <w:rsid w:val="00165A6A"/>
    <w:rsid w:val="00165AC5"/>
    <w:rsid w:val="0017757F"/>
    <w:rsid w:val="00193464"/>
    <w:rsid w:val="001A6A06"/>
    <w:rsid w:val="001C3A2A"/>
    <w:rsid w:val="001C6E91"/>
    <w:rsid w:val="001E4177"/>
    <w:rsid w:val="001F7DC6"/>
    <w:rsid w:val="00237DF9"/>
    <w:rsid w:val="002421BB"/>
    <w:rsid w:val="0025796E"/>
    <w:rsid w:val="002707A2"/>
    <w:rsid w:val="0027644A"/>
    <w:rsid w:val="002850BA"/>
    <w:rsid w:val="002951A0"/>
    <w:rsid w:val="002962BC"/>
    <w:rsid w:val="002A093D"/>
    <w:rsid w:val="002A0DD0"/>
    <w:rsid w:val="002A49AC"/>
    <w:rsid w:val="002A6244"/>
    <w:rsid w:val="002A64FD"/>
    <w:rsid w:val="002C7A84"/>
    <w:rsid w:val="002D012D"/>
    <w:rsid w:val="002E4FD9"/>
    <w:rsid w:val="002F09CC"/>
    <w:rsid w:val="002F3B11"/>
    <w:rsid w:val="00322A85"/>
    <w:rsid w:val="00324168"/>
    <w:rsid w:val="00344836"/>
    <w:rsid w:val="003448F4"/>
    <w:rsid w:val="003571AB"/>
    <w:rsid w:val="003607D5"/>
    <w:rsid w:val="00366C93"/>
    <w:rsid w:val="00374F5E"/>
    <w:rsid w:val="00377E3E"/>
    <w:rsid w:val="003843C4"/>
    <w:rsid w:val="00386949"/>
    <w:rsid w:val="003A779E"/>
    <w:rsid w:val="003B21D5"/>
    <w:rsid w:val="003D0423"/>
    <w:rsid w:val="003D0F4D"/>
    <w:rsid w:val="003D56C0"/>
    <w:rsid w:val="003D5B0D"/>
    <w:rsid w:val="003E0499"/>
    <w:rsid w:val="003E11D7"/>
    <w:rsid w:val="003E29DE"/>
    <w:rsid w:val="003F3941"/>
    <w:rsid w:val="004023A7"/>
    <w:rsid w:val="00406575"/>
    <w:rsid w:val="00407251"/>
    <w:rsid w:val="00412082"/>
    <w:rsid w:val="00414C74"/>
    <w:rsid w:val="0042722E"/>
    <w:rsid w:val="0044528D"/>
    <w:rsid w:val="0046582B"/>
    <w:rsid w:val="00466CC1"/>
    <w:rsid w:val="004674B9"/>
    <w:rsid w:val="00474A65"/>
    <w:rsid w:val="00476DFF"/>
    <w:rsid w:val="0048319E"/>
    <w:rsid w:val="004900F7"/>
    <w:rsid w:val="00496543"/>
    <w:rsid w:val="004A1847"/>
    <w:rsid w:val="004A305D"/>
    <w:rsid w:val="004A4E03"/>
    <w:rsid w:val="004B02F8"/>
    <w:rsid w:val="004B2397"/>
    <w:rsid w:val="004B4023"/>
    <w:rsid w:val="004D532E"/>
    <w:rsid w:val="004F21C4"/>
    <w:rsid w:val="004F685F"/>
    <w:rsid w:val="00521801"/>
    <w:rsid w:val="005241A9"/>
    <w:rsid w:val="005359F5"/>
    <w:rsid w:val="00540286"/>
    <w:rsid w:val="00545FB9"/>
    <w:rsid w:val="005566E8"/>
    <w:rsid w:val="0057232A"/>
    <w:rsid w:val="00574867"/>
    <w:rsid w:val="00591460"/>
    <w:rsid w:val="005A20BD"/>
    <w:rsid w:val="005B3816"/>
    <w:rsid w:val="005B76CE"/>
    <w:rsid w:val="005C3777"/>
    <w:rsid w:val="005C5CDC"/>
    <w:rsid w:val="005D15F5"/>
    <w:rsid w:val="005D476C"/>
    <w:rsid w:val="00603478"/>
    <w:rsid w:val="006219F8"/>
    <w:rsid w:val="00621F65"/>
    <w:rsid w:val="0063108C"/>
    <w:rsid w:val="00654885"/>
    <w:rsid w:val="0066546A"/>
    <w:rsid w:val="00665D70"/>
    <w:rsid w:val="00670717"/>
    <w:rsid w:val="006712E4"/>
    <w:rsid w:val="00686062"/>
    <w:rsid w:val="006900D9"/>
    <w:rsid w:val="0069155F"/>
    <w:rsid w:val="006A325E"/>
    <w:rsid w:val="006F371B"/>
    <w:rsid w:val="00706C16"/>
    <w:rsid w:val="0071494A"/>
    <w:rsid w:val="00745B7F"/>
    <w:rsid w:val="00753D52"/>
    <w:rsid w:val="0075433A"/>
    <w:rsid w:val="00756841"/>
    <w:rsid w:val="0076056F"/>
    <w:rsid w:val="007627C8"/>
    <w:rsid w:val="007649AB"/>
    <w:rsid w:val="007662A1"/>
    <w:rsid w:val="00771904"/>
    <w:rsid w:val="00771D0C"/>
    <w:rsid w:val="007833AC"/>
    <w:rsid w:val="007867C2"/>
    <w:rsid w:val="007A221B"/>
    <w:rsid w:val="007A2C7F"/>
    <w:rsid w:val="007A41D5"/>
    <w:rsid w:val="007A6C26"/>
    <w:rsid w:val="007B268C"/>
    <w:rsid w:val="007B7171"/>
    <w:rsid w:val="007C0C0F"/>
    <w:rsid w:val="007C24F1"/>
    <w:rsid w:val="007C3DC2"/>
    <w:rsid w:val="007D4C60"/>
    <w:rsid w:val="007E5497"/>
    <w:rsid w:val="007E59AF"/>
    <w:rsid w:val="007F1FF1"/>
    <w:rsid w:val="00806F5F"/>
    <w:rsid w:val="008160B3"/>
    <w:rsid w:val="00820278"/>
    <w:rsid w:val="00830433"/>
    <w:rsid w:val="008543D2"/>
    <w:rsid w:val="0086792A"/>
    <w:rsid w:val="00867F95"/>
    <w:rsid w:val="008843B6"/>
    <w:rsid w:val="0088696C"/>
    <w:rsid w:val="00891928"/>
    <w:rsid w:val="00893D45"/>
    <w:rsid w:val="008A367A"/>
    <w:rsid w:val="008A446D"/>
    <w:rsid w:val="008C3453"/>
    <w:rsid w:val="008D180B"/>
    <w:rsid w:val="008F0EA7"/>
    <w:rsid w:val="008F68AB"/>
    <w:rsid w:val="00900BAB"/>
    <w:rsid w:val="00923EEF"/>
    <w:rsid w:val="00925FA6"/>
    <w:rsid w:val="0093349D"/>
    <w:rsid w:val="009419F9"/>
    <w:rsid w:val="00952AB6"/>
    <w:rsid w:val="00954753"/>
    <w:rsid w:val="0095685E"/>
    <w:rsid w:val="00961B09"/>
    <w:rsid w:val="00965334"/>
    <w:rsid w:val="0097093E"/>
    <w:rsid w:val="009811E9"/>
    <w:rsid w:val="00981262"/>
    <w:rsid w:val="00986AC5"/>
    <w:rsid w:val="009A0DFA"/>
    <w:rsid w:val="009A2B8B"/>
    <w:rsid w:val="009A7297"/>
    <w:rsid w:val="009A766C"/>
    <w:rsid w:val="009B2D26"/>
    <w:rsid w:val="009C71FA"/>
    <w:rsid w:val="009C72E7"/>
    <w:rsid w:val="009D3058"/>
    <w:rsid w:val="009D37F7"/>
    <w:rsid w:val="009D65A1"/>
    <w:rsid w:val="009F3A13"/>
    <w:rsid w:val="009F7566"/>
    <w:rsid w:val="00A03DE3"/>
    <w:rsid w:val="00A067BD"/>
    <w:rsid w:val="00A122D3"/>
    <w:rsid w:val="00A17F13"/>
    <w:rsid w:val="00A20739"/>
    <w:rsid w:val="00A271F4"/>
    <w:rsid w:val="00A27DA8"/>
    <w:rsid w:val="00A33C78"/>
    <w:rsid w:val="00A33E94"/>
    <w:rsid w:val="00A35616"/>
    <w:rsid w:val="00A407B7"/>
    <w:rsid w:val="00A415F0"/>
    <w:rsid w:val="00A63932"/>
    <w:rsid w:val="00A9554C"/>
    <w:rsid w:val="00AB0ADB"/>
    <w:rsid w:val="00AD201D"/>
    <w:rsid w:val="00AE1D07"/>
    <w:rsid w:val="00B01B1A"/>
    <w:rsid w:val="00B1289B"/>
    <w:rsid w:val="00B149BB"/>
    <w:rsid w:val="00B378B8"/>
    <w:rsid w:val="00B544A9"/>
    <w:rsid w:val="00B66319"/>
    <w:rsid w:val="00B72CD3"/>
    <w:rsid w:val="00B72FFF"/>
    <w:rsid w:val="00B8434A"/>
    <w:rsid w:val="00B86855"/>
    <w:rsid w:val="00B92244"/>
    <w:rsid w:val="00B96BEC"/>
    <w:rsid w:val="00BB69E0"/>
    <w:rsid w:val="00BC3D36"/>
    <w:rsid w:val="00BD696D"/>
    <w:rsid w:val="00BD7F72"/>
    <w:rsid w:val="00BE440D"/>
    <w:rsid w:val="00BF7112"/>
    <w:rsid w:val="00C01D8D"/>
    <w:rsid w:val="00C04FB3"/>
    <w:rsid w:val="00C05AE7"/>
    <w:rsid w:val="00C140D9"/>
    <w:rsid w:val="00C21BF8"/>
    <w:rsid w:val="00C2285D"/>
    <w:rsid w:val="00C330EB"/>
    <w:rsid w:val="00C41061"/>
    <w:rsid w:val="00C5434D"/>
    <w:rsid w:val="00C64977"/>
    <w:rsid w:val="00C70F6C"/>
    <w:rsid w:val="00C7157C"/>
    <w:rsid w:val="00C754BE"/>
    <w:rsid w:val="00C76B1C"/>
    <w:rsid w:val="00C83F09"/>
    <w:rsid w:val="00C85ACC"/>
    <w:rsid w:val="00C87AB9"/>
    <w:rsid w:val="00C87D7A"/>
    <w:rsid w:val="00CA1309"/>
    <w:rsid w:val="00CB5D65"/>
    <w:rsid w:val="00CB6357"/>
    <w:rsid w:val="00CC1B26"/>
    <w:rsid w:val="00CD13B4"/>
    <w:rsid w:val="00CE0A20"/>
    <w:rsid w:val="00CE1ABD"/>
    <w:rsid w:val="00D423A2"/>
    <w:rsid w:val="00D50ACF"/>
    <w:rsid w:val="00D520D8"/>
    <w:rsid w:val="00D63AC2"/>
    <w:rsid w:val="00D7383B"/>
    <w:rsid w:val="00D779D1"/>
    <w:rsid w:val="00D86768"/>
    <w:rsid w:val="00D913EE"/>
    <w:rsid w:val="00DA0CC3"/>
    <w:rsid w:val="00DA231B"/>
    <w:rsid w:val="00DC19F1"/>
    <w:rsid w:val="00DC39FC"/>
    <w:rsid w:val="00DF22DE"/>
    <w:rsid w:val="00DF5254"/>
    <w:rsid w:val="00E03FF4"/>
    <w:rsid w:val="00E103AF"/>
    <w:rsid w:val="00E16408"/>
    <w:rsid w:val="00E20894"/>
    <w:rsid w:val="00E245AB"/>
    <w:rsid w:val="00E2764C"/>
    <w:rsid w:val="00E27F2E"/>
    <w:rsid w:val="00E50AFE"/>
    <w:rsid w:val="00E5431C"/>
    <w:rsid w:val="00E65D6E"/>
    <w:rsid w:val="00E7391B"/>
    <w:rsid w:val="00E75C92"/>
    <w:rsid w:val="00E76F38"/>
    <w:rsid w:val="00E771DC"/>
    <w:rsid w:val="00E8772A"/>
    <w:rsid w:val="00E90F6B"/>
    <w:rsid w:val="00E92C27"/>
    <w:rsid w:val="00E97359"/>
    <w:rsid w:val="00EA0E3D"/>
    <w:rsid w:val="00EA17C0"/>
    <w:rsid w:val="00EA37F2"/>
    <w:rsid w:val="00EB6649"/>
    <w:rsid w:val="00EC38A7"/>
    <w:rsid w:val="00ED34C1"/>
    <w:rsid w:val="00ED7384"/>
    <w:rsid w:val="00EE1AA8"/>
    <w:rsid w:val="00F006ED"/>
    <w:rsid w:val="00F134E6"/>
    <w:rsid w:val="00F1393F"/>
    <w:rsid w:val="00F14CBA"/>
    <w:rsid w:val="00F26CF7"/>
    <w:rsid w:val="00F31EDC"/>
    <w:rsid w:val="00F43F3A"/>
    <w:rsid w:val="00F462B3"/>
    <w:rsid w:val="00F5664F"/>
    <w:rsid w:val="00F666C4"/>
    <w:rsid w:val="00F76AFC"/>
    <w:rsid w:val="00F86141"/>
    <w:rsid w:val="00F8641B"/>
    <w:rsid w:val="00FA1291"/>
    <w:rsid w:val="00FA47C0"/>
    <w:rsid w:val="00FB398C"/>
    <w:rsid w:val="00FB3C9F"/>
    <w:rsid w:val="00FB3D7F"/>
    <w:rsid w:val="00FB5DD1"/>
    <w:rsid w:val="00FC2B5D"/>
    <w:rsid w:val="00FD3360"/>
    <w:rsid w:val="00FF1449"/>
    <w:rsid w:val="00FF14B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22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22DE"/>
    <w:rPr>
      <w:rFonts w:ascii="Geomanist Light" w:hAnsi="Geomanist Light"/>
      <w:lang w:val="es-ES"/>
    </w:rPr>
  </w:style>
  <w:style w:type="character" w:styleId="nfasis">
    <w:name w:val="Emphasis"/>
    <w:basedOn w:val="Fuentedeprrafopredeter"/>
    <w:uiPriority w:val="20"/>
    <w:qFormat/>
    <w:rsid w:val="00DF22DE"/>
    <w:rPr>
      <w:i/>
      <w:iCs/>
    </w:rPr>
  </w:style>
  <w:style w:type="character" w:styleId="Textoennegrita">
    <w:name w:val="Strong"/>
    <w:basedOn w:val="Fuentedeprrafopredeter"/>
    <w:uiPriority w:val="22"/>
    <w:qFormat/>
    <w:rsid w:val="00DF22DE"/>
    <w:rPr>
      <w:b/>
      <w:bCs/>
    </w:rPr>
  </w:style>
  <w:style w:type="character" w:customStyle="1" w:styleId="NormalWebCar">
    <w:name w:val="Normal (Web) Car"/>
    <w:link w:val="NormalWeb"/>
    <w:uiPriority w:val="99"/>
    <w:locked/>
    <w:rsid w:val="00DF22D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rodriguezabog@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D23297-4F65-4966-A90E-0A757D4993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E4C7FBE6-1A85-47BF-8999-A9142E59C8BB}">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13</Pages>
  <Words>3683</Words>
  <Characters>19999</Characters>
  <Application>Microsoft Office Word</Application>
  <DocSecurity>0</DocSecurity>
  <Lines>434</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23596</CharactersWithSpaces>
  <SharedDoc>false</SharedDoc>
  <HLinks>
    <vt:vector size="18" baseType="variant">
      <vt:variant>
        <vt:i4>6029407</vt:i4>
      </vt:variant>
      <vt:variant>
        <vt:i4>6</vt:i4>
      </vt:variant>
      <vt:variant>
        <vt:i4>0</vt:i4>
      </vt:variant>
      <vt:variant>
        <vt:i4>5</vt:i4>
      </vt:variant>
      <vt:variant>
        <vt:lpwstr>http://www.colombiacompra.gov.co/</vt:lpwstr>
      </vt:variant>
      <vt:variant>
        <vt:lpwstr/>
      </vt:variant>
      <vt:variant>
        <vt:i4>6488184</vt:i4>
      </vt:variant>
      <vt:variant>
        <vt:i4>3</vt:i4>
      </vt:variant>
      <vt:variant>
        <vt:i4>0</vt:i4>
      </vt:variant>
      <vt:variant>
        <vt:i4>5</vt:i4>
      </vt:variant>
      <vt:variant>
        <vt:lpwstr>https://www.colombiacompra.gov.co/normativa-y-relatoria/conoce-la-relatoria</vt:lpwstr>
      </vt:variant>
      <vt:variant>
        <vt:lpwstr/>
      </vt:variant>
      <vt:variant>
        <vt:i4>4522096</vt:i4>
      </vt:variant>
      <vt:variant>
        <vt:i4>0</vt:i4>
      </vt:variant>
      <vt:variant>
        <vt:i4>0</vt:i4>
      </vt:variant>
      <vt:variant>
        <vt:i4>5</vt:i4>
      </vt:variant>
      <vt:variant>
        <vt:lpwstr>mailto:davidaloh91@gmail.com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2025-10-16T19:53:00Z</dcterms:created>
  <dcterms:modified xsi:type="dcterms:W3CDTF">2025-10-16T19:53:00Z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