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376D2E" w:rsidR="00376D2E" w:rsidP="00376D2E" w:rsidRDefault="00376D2E" w14:paraId="4E41356B" w14:textId="77777777">
      <w:pPr>
        <w:spacing w:after="0" w:line="240" w:lineRule="auto"/>
        <w:jc w:val="both"/>
        <w:rPr>
          <w:rFonts w:ascii="Verdana" w:hAnsi="Verdana" w:cs="Arial"/>
          <w:b/>
          <w:bCs/>
          <w:color w:val="000000" w:themeColor="text1"/>
        </w:rPr>
      </w:pPr>
      <w:bookmarkStart w:name="_Hlk143780582" w:id="0"/>
      <w:bookmarkStart w:name="_Hlk202875225" w:id="1"/>
      <w:bookmarkStart w:name="_Hlk203032812" w:id="2"/>
      <w:bookmarkStart w:name="_Hlk204367265" w:id="3"/>
      <w:bookmarkStart w:name="_Hlk206116713" w:id="4"/>
      <w:bookmarkStart w:name="_Hlk211529919" w:id="5"/>
      <w:r w:rsidRPr="00376D2E">
        <w:rPr>
          <w:rFonts w:ascii="Verdana" w:hAnsi="Verdana" w:cs="Arial"/>
          <w:b/>
          <w:bCs/>
          <w:color w:val="000000" w:themeColor="text1"/>
        </w:rPr>
        <w:t xml:space="preserve">CONTRATOS CON ESAL- Artículo 355 Constitución Política </w:t>
      </w:r>
    </w:p>
    <w:p w:rsidR="009F0684" w:rsidP="009F0684" w:rsidRDefault="009F0684" w14:paraId="77510D6B" w14:textId="77777777">
      <w:pPr>
        <w:spacing w:after="0" w:line="240" w:lineRule="auto"/>
        <w:jc w:val="both"/>
        <w:rPr>
          <w:rFonts w:ascii="Verdana" w:hAnsi="Verdana" w:cs="Arial"/>
          <w:b/>
          <w:bCs/>
          <w:color w:val="000000" w:themeColor="text1"/>
        </w:rPr>
      </w:pPr>
    </w:p>
    <w:p w:rsidRPr="009F0684" w:rsidR="009F0684" w:rsidP="68D6208B" w:rsidRDefault="009F0684" w14:paraId="51F061C2" w14:textId="7B7CC66A" w14:noSpellErr="1">
      <w:pPr>
        <w:spacing w:after="0" w:line="240" w:lineRule="auto"/>
        <w:jc w:val="both"/>
        <w:rPr>
          <w:rFonts w:ascii="Verdana" w:hAnsi="Verdana" w:eastAsia="Calibri" w:cs="Arial"/>
          <w:sz w:val="20"/>
          <w:szCs w:val="20"/>
          <w:lang w:val="es-ES"/>
        </w:rPr>
      </w:pPr>
      <w:r w:rsidRPr="68D6208B" w:rsidR="009F0684">
        <w:rPr>
          <w:rFonts w:ascii="Verdana" w:hAnsi="Verdana" w:eastAsia="Calibri" w:cs="Arial"/>
          <w:sz w:val="20"/>
          <w:szCs w:val="20"/>
          <w:lang w:val="es-ES"/>
        </w:rPr>
        <w:t xml:space="preserve">El artículo 355 de la Constitución Política prohíbe a las ramas y órganos del poder público decretar auxilios o donaciones en favor de personas naturales o jurídicas. </w:t>
      </w:r>
      <w:r w:rsidRPr="68D6208B" w:rsidR="009F0684">
        <w:rPr>
          <w:rFonts w:ascii="Verdana" w:hAnsi="Verdana" w:eastAsia="Calibri" w:cs="Arial"/>
          <w:sz w:val="20"/>
          <w:szCs w:val="20"/>
          <w:lang w:val="es-ES"/>
        </w:rPr>
        <w:t>Igualmente, establece que las entidades del orden nacional, departamental, distrital y municipal podrán, con sus propios recursos, contratar con Entidades Sin Ánimo de Lucro (ESAL) con el fin de impulsar programas y actividades de interés público acordes con el plan nacional y los planes seccionales de desarrollo.</w:t>
      </w:r>
      <w:r w:rsidRPr="68D6208B" w:rsidR="009F0684">
        <w:rPr>
          <w:rFonts w:ascii="Verdana" w:hAnsi="Verdana" w:eastAsia="Calibri" w:cs="Arial"/>
          <w:sz w:val="20"/>
          <w:szCs w:val="20"/>
          <w:lang w:val="es-ES"/>
        </w:rPr>
        <w:t xml:space="preserve"> </w:t>
      </w:r>
      <w:r w:rsidRPr="68D6208B" w:rsidR="009F0684">
        <w:rPr>
          <w:rFonts w:ascii="Verdana" w:hAnsi="Verdana" w:eastAsia="Calibri" w:cs="Arial"/>
          <w:sz w:val="20"/>
          <w:szCs w:val="20"/>
          <w:lang w:val="es-ES"/>
        </w:rPr>
        <w:t xml:space="preserve">Por otra parte, el artículo 96 de la Ley 489 de 1998 permite a las entidades públicas en general, cualquiera sea su naturaleza y orden administrativo, asociarse con personas jurídicas particulares, mediante la celebración de </w:t>
      </w:r>
      <w:r w:rsidRPr="68D6208B" w:rsidR="009F0684">
        <w:rPr>
          <w:rFonts w:ascii="Verdana" w:hAnsi="Verdana" w:eastAsia="Calibri" w:cs="Arial"/>
          <w:i w:val="1"/>
          <w:iCs w:val="1"/>
          <w:sz w:val="20"/>
          <w:szCs w:val="20"/>
          <w:lang w:val="es-ES"/>
        </w:rPr>
        <w:t>convenios de asociación</w:t>
      </w:r>
      <w:r w:rsidRPr="68D6208B" w:rsidR="009F0684">
        <w:rPr>
          <w:rFonts w:ascii="Verdana" w:hAnsi="Verdana" w:eastAsia="Calibri" w:cs="Arial"/>
          <w:sz w:val="20"/>
          <w:szCs w:val="20"/>
          <w:lang w:val="es-ES"/>
        </w:rPr>
        <w:t xml:space="preserve"> o la creación de personas jurídicas.</w:t>
      </w:r>
      <w:r w:rsidRPr="68D6208B" w:rsidR="009F0684">
        <w:rPr>
          <w:rFonts w:ascii="Verdana" w:hAnsi="Verdana" w:eastAsia="Calibri" w:cs="Arial"/>
          <w:sz w:val="20"/>
          <w:szCs w:val="20"/>
          <w:lang w:val="es-ES"/>
        </w:rPr>
        <w:t xml:space="preserve"> Ambas figuras tienen como fin desarrollar conjuntamente actividades relacionadas con los cometidos y funciones legales asignadas a la entidad.</w:t>
      </w:r>
    </w:p>
    <w:p w:rsidR="009F0684" w:rsidP="009F0684" w:rsidRDefault="009F0684" w14:paraId="0D34D266" w14:textId="77777777">
      <w:pPr>
        <w:spacing w:after="0" w:line="240" w:lineRule="auto"/>
        <w:jc w:val="both"/>
        <w:rPr>
          <w:rFonts w:ascii="Verdana" w:hAnsi="Verdana" w:cs="Arial"/>
          <w:color w:val="000000" w:themeColor="text1"/>
          <w:lang w:val="es-ES_tradnl"/>
        </w:rPr>
      </w:pPr>
    </w:p>
    <w:p w:rsidR="00376D2E" w:rsidP="00376D2E" w:rsidRDefault="00376D2E" w14:paraId="629D37DE" w14:textId="7CD4DD25">
      <w:pPr>
        <w:jc w:val="both"/>
        <w:rPr>
          <w:rFonts w:ascii="Verdana" w:hAnsi="Verdana" w:cs="Arial"/>
          <w:b/>
          <w:bCs/>
          <w:color w:val="000000" w:themeColor="text1"/>
        </w:rPr>
      </w:pPr>
      <w:r w:rsidRPr="00376D2E">
        <w:rPr>
          <w:rFonts w:ascii="Verdana" w:hAnsi="Verdana" w:cs="Arial"/>
          <w:b/>
          <w:bCs/>
          <w:color w:val="000000" w:themeColor="text1"/>
        </w:rPr>
        <w:t>D</w:t>
      </w:r>
      <w:r w:rsidRPr="00376D2E">
        <w:rPr>
          <w:rFonts w:ascii="Verdana" w:hAnsi="Verdana" w:cs="Arial"/>
          <w:b/>
          <w:bCs/>
          <w:color w:val="000000" w:themeColor="text1"/>
        </w:rPr>
        <w:t xml:space="preserve">ECRETO 092 DE 2017 – Contratos de Colaboración – Convenios de </w:t>
      </w:r>
      <w:r w:rsidRPr="00376D2E">
        <w:rPr>
          <w:rFonts w:ascii="Verdana" w:hAnsi="Verdana" w:cs="Arial"/>
          <w:b/>
          <w:bCs/>
          <w:color w:val="000000" w:themeColor="text1"/>
        </w:rPr>
        <w:t xml:space="preserve">Asociación </w:t>
      </w:r>
    </w:p>
    <w:p w:rsidRPr="009F0684" w:rsidR="009F0684" w:rsidP="009F0684" w:rsidRDefault="009F0684" w14:paraId="6726C00E" w14:textId="77777777">
      <w:pPr>
        <w:spacing w:after="0" w:line="240" w:lineRule="auto"/>
        <w:jc w:val="both"/>
        <w:rPr>
          <w:rFonts w:ascii="Verdana" w:hAnsi="Verdana" w:eastAsia="Calibri" w:cs="Arial"/>
          <w:sz w:val="20"/>
          <w:szCs w:val="20"/>
          <w:lang w:val="es-ES"/>
        </w:rPr>
      </w:pPr>
      <w:r w:rsidRPr="009F0684">
        <w:rPr>
          <w:rFonts w:ascii="Verdana" w:hAnsi="Verdana" w:cs="Arial"/>
          <w:color w:val="000000" w:themeColor="text1"/>
          <w:sz w:val="20"/>
          <w:szCs w:val="20"/>
          <w:lang w:val="es-MX"/>
        </w:rPr>
        <w:t>El Gobierno Nacional, en desarrollo del artículo 355 de la Constitución Política, expidió el Decreto 092 de 2017, el cual</w:t>
      </w:r>
      <w:r w:rsidRPr="009F0684">
        <w:rPr>
          <w:rFonts w:ascii="Verdana" w:hAnsi="Verdana" w:eastAsia="Calibri" w:cs="Arial"/>
          <w:color w:val="000000" w:themeColor="text1"/>
          <w:sz w:val="20"/>
          <w:szCs w:val="20"/>
          <w:lang w:val="es-MX"/>
        </w:rPr>
        <w:t xml:space="preserve"> dispone </w:t>
      </w:r>
      <w:r w:rsidRPr="009F0684">
        <w:rPr>
          <w:rFonts w:ascii="Verdana" w:hAnsi="Verdana" w:eastAsia="Calibri" w:cs="Arial"/>
          <w:sz w:val="20"/>
          <w:szCs w:val="20"/>
          <w:lang w:val="es-MX"/>
        </w:rPr>
        <w:t xml:space="preserve">reglas para las contrataciones que realizan las Entidades Estatales con las ESAL. </w:t>
      </w:r>
      <w:r w:rsidRPr="009F0684">
        <w:rPr>
          <w:rFonts w:ascii="Verdana" w:hAnsi="Verdana" w:eastAsia="Calibri" w:cs="Arial"/>
          <w:color w:val="000000" w:themeColor="text1"/>
          <w:sz w:val="20"/>
          <w:szCs w:val="20"/>
          <w:lang w:val="es-ES"/>
        </w:rPr>
        <w:t xml:space="preserve">El Decreto regula dos (2) eventos: i) </w:t>
      </w:r>
      <w:r w:rsidRPr="009F0684">
        <w:rPr>
          <w:rFonts w:ascii="Verdana" w:hAnsi="Verdana" w:eastAsia="Calibri" w:cs="Arial"/>
          <w:sz w:val="20"/>
          <w:szCs w:val="20"/>
          <w:lang w:val="es-ES" w:eastAsia="es-ES_tradnl"/>
        </w:rPr>
        <w:t xml:space="preserve">los </w:t>
      </w:r>
      <w:r w:rsidRPr="009F0684">
        <w:rPr>
          <w:rFonts w:ascii="Verdana" w:hAnsi="Verdana" w:eastAsia="Calibri" w:cs="Arial"/>
          <w:i/>
          <w:iCs/>
          <w:sz w:val="20"/>
          <w:szCs w:val="20"/>
          <w:lang w:val="es-ES" w:eastAsia="es-ES_tradnl"/>
        </w:rPr>
        <w:t>contratos de colaboración</w:t>
      </w:r>
      <w:r w:rsidRPr="009F0684">
        <w:rPr>
          <w:rFonts w:ascii="Verdana" w:hAnsi="Verdana" w:eastAsia="Calibri" w:cs="Arial"/>
          <w:sz w:val="20"/>
          <w:szCs w:val="20"/>
          <w:lang w:val="es-ES"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9F0684">
        <w:rPr>
          <w:rFonts w:ascii="Verdana" w:hAnsi="Verdana" w:eastAsia="Calibri" w:cs="Arial"/>
          <w:color w:val="000000" w:themeColor="text1"/>
          <w:sz w:val="20"/>
          <w:szCs w:val="20"/>
          <w:lang w:val="es-ES"/>
        </w:rPr>
        <w:t xml:space="preserve"> y; </w:t>
      </w:r>
      <w:proofErr w:type="spellStart"/>
      <w:r w:rsidRPr="009F0684">
        <w:rPr>
          <w:rFonts w:ascii="Verdana" w:hAnsi="Verdana" w:eastAsia="Calibri" w:cs="Arial"/>
          <w:color w:val="000000" w:themeColor="text1"/>
          <w:sz w:val="20"/>
          <w:szCs w:val="20"/>
          <w:lang w:val="es-ES"/>
        </w:rPr>
        <w:t>ii</w:t>
      </w:r>
      <w:proofErr w:type="spellEnd"/>
      <w:r w:rsidRPr="009F0684">
        <w:rPr>
          <w:rFonts w:ascii="Verdana" w:hAnsi="Verdana" w:eastAsia="Calibri" w:cs="Arial"/>
          <w:color w:val="000000" w:themeColor="text1"/>
          <w:sz w:val="20"/>
          <w:szCs w:val="20"/>
          <w:lang w:val="es-ES"/>
        </w:rPr>
        <w:t xml:space="preserve">) los </w:t>
      </w:r>
      <w:r w:rsidRPr="009F0684">
        <w:rPr>
          <w:rFonts w:ascii="Verdana" w:hAnsi="Verdana" w:eastAsia="Calibri" w:cs="Arial"/>
          <w:i/>
          <w:iCs/>
          <w:color w:val="000000" w:themeColor="text1"/>
          <w:sz w:val="20"/>
          <w:szCs w:val="20"/>
          <w:lang w:val="es-ES"/>
        </w:rPr>
        <w:t>convenios de asociación</w:t>
      </w:r>
      <w:r w:rsidRPr="009F0684">
        <w:rPr>
          <w:rFonts w:ascii="Verdana" w:hAnsi="Verdana" w:eastAsia="Calibri" w:cs="Arial"/>
          <w:color w:val="000000" w:themeColor="text1"/>
          <w:sz w:val="20"/>
          <w:szCs w:val="20"/>
          <w:lang w:val="es-ES"/>
        </w:rPr>
        <w:t xml:space="preserve">, para el desarrollo conjunto de actividades relacionadas con las funciones de las Entidades Estatales, en desarrollo del artículo 96 de la Ley 489 de 1998. </w:t>
      </w:r>
      <w:r w:rsidRPr="009F0684">
        <w:rPr>
          <w:rFonts w:ascii="Verdana" w:hAnsi="Verdana" w:eastAsia="Calibri" w:cs="Arial"/>
          <w:color w:val="000000"/>
          <w:sz w:val="20"/>
          <w:szCs w:val="20"/>
          <w:lang w:val="es-MX" w:eastAsia="es-ES_tradnl"/>
        </w:rPr>
        <w:t xml:space="preserve">Los primeros están regulados en el artículo 2 del Decreto 092 de 2017, mientras que los segundos en los artículos 5, 6, 7 y 8 </w:t>
      </w:r>
      <w:r w:rsidRPr="009F0684">
        <w:rPr>
          <w:rFonts w:ascii="Verdana" w:hAnsi="Verdana" w:eastAsia="Calibri" w:cs="Arial"/>
          <w:i/>
          <w:iCs/>
          <w:color w:val="000000"/>
          <w:sz w:val="20"/>
          <w:szCs w:val="20"/>
          <w:lang w:val="es-MX" w:eastAsia="es-ES_tradnl"/>
        </w:rPr>
        <w:t>ibidem</w:t>
      </w:r>
      <w:r w:rsidRPr="009F0684">
        <w:rPr>
          <w:rFonts w:ascii="Verdana" w:hAnsi="Verdana" w:eastAsia="Calibri" w:cs="Arial"/>
          <w:color w:val="000000"/>
          <w:sz w:val="20"/>
          <w:szCs w:val="20"/>
          <w:lang w:val="es-MX" w:eastAsia="es-ES_tradnl"/>
        </w:rPr>
        <w:t xml:space="preserve">. </w:t>
      </w:r>
      <w:r w:rsidRPr="009F0684">
        <w:rPr>
          <w:rFonts w:ascii="Verdana" w:hAnsi="Verdana" w:eastAsia="Calibri" w:cs="Arial"/>
          <w:color w:val="000000" w:themeColor="text1"/>
          <w:sz w:val="20"/>
          <w:szCs w:val="20"/>
          <w:lang w:val="es-MX" w:eastAsia="es-ES_tradnl"/>
        </w:rPr>
        <w:t xml:space="preserve">Así las cosas, es posible diferenciar los </w:t>
      </w:r>
      <w:r w:rsidRPr="009F0684">
        <w:rPr>
          <w:rFonts w:ascii="Verdana" w:hAnsi="Verdana" w:eastAsia="Calibri" w:cs="Arial"/>
          <w:i/>
          <w:iCs/>
          <w:color w:val="000000" w:themeColor="text1"/>
          <w:sz w:val="20"/>
          <w:szCs w:val="20"/>
          <w:lang w:val="es-MX" w:eastAsia="es-ES_tradnl"/>
        </w:rPr>
        <w:t>contratos de colaboración</w:t>
      </w:r>
      <w:r w:rsidRPr="009F0684">
        <w:rPr>
          <w:rFonts w:ascii="Verdana" w:hAnsi="Verdana" w:eastAsia="Calibri" w:cs="Arial"/>
          <w:color w:val="000000" w:themeColor="text1"/>
          <w:sz w:val="20"/>
          <w:szCs w:val="20"/>
          <w:lang w:val="es-MX" w:eastAsia="es-ES_tradnl"/>
        </w:rPr>
        <w:t xml:space="preserve">, establecidos en el artículo 2 del Decreto 092 de 2017, de los </w:t>
      </w:r>
      <w:r w:rsidRPr="009F0684">
        <w:rPr>
          <w:rFonts w:ascii="Verdana" w:hAnsi="Verdana" w:eastAsia="Calibri" w:cs="Arial"/>
          <w:i/>
          <w:iCs/>
          <w:color w:val="000000" w:themeColor="text1"/>
          <w:sz w:val="20"/>
          <w:szCs w:val="20"/>
          <w:lang w:val="es-MX" w:eastAsia="es-ES_tradnl"/>
        </w:rPr>
        <w:t>convenios de asociación</w:t>
      </w:r>
      <w:r w:rsidRPr="009F0684">
        <w:rPr>
          <w:rFonts w:ascii="Verdana" w:hAnsi="Verdana" w:eastAsia="Calibri" w:cs="Arial"/>
          <w:color w:val="000000" w:themeColor="text1"/>
          <w:sz w:val="20"/>
          <w:szCs w:val="20"/>
          <w:lang w:val="es-MX" w:eastAsia="es-ES_tradnl"/>
        </w:rPr>
        <w:t>, regulados en el artículo 5.</w:t>
      </w:r>
    </w:p>
    <w:p w:rsidRPr="009F0684" w:rsidR="009F0684" w:rsidP="00376D2E" w:rsidRDefault="009F0684" w14:paraId="1DFB23F6" w14:textId="77777777">
      <w:pPr>
        <w:spacing w:after="0" w:line="240" w:lineRule="auto"/>
        <w:jc w:val="both"/>
        <w:rPr>
          <w:rFonts w:ascii="Verdana" w:hAnsi="Verdana" w:cs="Arial"/>
          <w:b/>
          <w:bCs/>
          <w:color w:val="000000" w:themeColor="text1"/>
          <w:lang w:val="es-ES"/>
        </w:rPr>
      </w:pPr>
    </w:p>
    <w:p w:rsidR="00376D2E" w:rsidP="00376D2E" w:rsidRDefault="00376D2E" w14:paraId="1B713B5F" w14:textId="25982A18">
      <w:pPr>
        <w:jc w:val="both"/>
        <w:rPr>
          <w:rFonts w:ascii="Verdana" w:hAnsi="Verdana" w:cs="Arial"/>
          <w:b/>
          <w:bCs/>
          <w:color w:val="000000" w:themeColor="text1"/>
        </w:rPr>
      </w:pPr>
      <w:r w:rsidRPr="00376D2E">
        <w:rPr>
          <w:rFonts w:ascii="Verdana" w:hAnsi="Verdana" w:cs="Arial"/>
          <w:b/>
          <w:bCs/>
          <w:color w:val="000000" w:themeColor="text1"/>
        </w:rPr>
        <w:t>CONTRATOS</w:t>
      </w:r>
      <w:r w:rsidRPr="00376D2E">
        <w:rPr>
          <w:rFonts w:ascii="Verdana" w:hAnsi="Verdana" w:cs="Arial"/>
          <w:b/>
          <w:bCs/>
          <w:color w:val="000000" w:themeColor="text1"/>
        </w:rPr>
        <w:t xml:space="preserve"> CON ESAL – Alcance – Requisitos </w:t>
      </w:r>
    </w:p>
    <w:p w:rsidR="00BB5232" w:rsidP="00BB5232" w:rsidRDefault="00BB5232" w14:paraId="2E086D70" w14:textId="77777777">
      <w:pPr>
        <w:spacing w:after="0" w:line="240" w:lineRule="auto"/>
        <w:jc w:val="both"/>
        <w:rPr>
          <w:rFonts w:ascii="Verdana" w:hAnsi="Verdana" w:eastAsia="Calibri" w:cs="Arial"/>
          <w:sz w:val="20"/>
          <w:szCs w:val="20"/>
          <w:lang w:val="es-ES"/>
        </w:rPr>
      </w:pPr>
      <w:r w:rsidRPr="00BB5232">
        <w:rPr>
          <w:rFonts w:ascii="Verdana" w:hAnsi="Verdana" w:eastAsia="Calibri" w:cs="Arial"/>
          <w:sz w:val="20"/>
          <w:szCs w:val="20"/>
          <w:lang w:val="es-ES"/>
        </w:rPr>
        <w:t xml:space="preserve">En primer lugar, los </w:t>
      </w:r>
      <w:r w:rsidRPr="00BB5232">
        <w:rPr>
          <w:rFonts w:ascii="Verdana" w:hAnsi="Verdana" w:eastAsia="Calibri" w:cs="Arial"/>
          <w:i/>
          <w:iCs/>
          <w:sz w:val="20"/>
          <w:szCs w:val="20"/>
          <w:lang w:val="es-ES"/>
        </w:rPr>
        <w:t>contratos del artículo 355 de la Constitución Política o contratos de interés público</w:t>
      </w:r>
      <w:r w:rsidRPr="00BB5232">
        <w:rPr>
          <w:rFonts w:ascii="Verdana" w:hAnsi="Verdana" w:eastAsia="Calibri" w:cs="Arial"/>
          <w:sz w:val="20"/>
          <w:szCs w:val="20"/>
          <w:lang w:val="es-ES"/>
        </w:rPr>
        <w:t xml:space="preserve"> tienen como objeto promover acciones de fomento social en beneficio de los sectores más desprotegidos de la población, siempre que estén previstas en los planes de desarrollo. Por este motivo, no dan lugar a una contraprestación directa a favor de la entidad y tampoco a una relación conmutativa entre ésta y la ESAL, toda vez que el beneficio directo lo recibirán los sectores de este tipo de acciones de fomento. </w:t>
      </w:r>
    </w:p>
    <w:p w:rsidR="00BB5232" w:rsidP="00BB5232" w:rsidRDefault="00BB5232" w14:paraId="05A11227" w14:textId="77777777">
      <w:pPr>
        <w:spacing w:after="0" w:line="240" w:lineRule="auto"/>
        <w:jc w:val="both"/>
        <w:rPr>
          <w:rFonts w:ascii="Verdana" w:hAnsi="Verdana" w:eastAsia="Calibri" w:cs="Arial"/>
          <w:sz w:val="20"/>
          <w:szCs w:val="20"/>
          <w:lang w:val="es-ES"/>
        </w:rPr>
      </w:pPr>
    </w:p>
    <w:p w:rsidRPr="00BB5232" w:rsidR="00BB5232" w:rsidP="00BB5232" w:rsidRDefault="00BB5232" w14:paraId="0610808F" w14:textId="77777777">
      <w:pPr>
        <w:spacing w:after="0" w:line="240" w:lineRule="auto"/>
        <w:jc w:val="both"/>
        <w:rPr>
          <w:rFonts w:ascii="Verdana" w:hAnsi="Verdana" w:eastAsia="Calibri" w:cs="Arial"/>
          <w:sz w:val="20"/>
          <w:szCs w:val="20"/>
          <w:lang w:val="es-ES"/>
        </w:rPr>
      </w:pPr>
      <w:r w:rsidRPr="00BB5232">
        <w:rPr>
          <w:rFonts w:ascii="Verdana" w:hAnsi="Verdana" w:eastAsia="Calibri" w:cs="Arial"/>
          <w:sz w:val="20"/>
          <w:szCs w:val="20"/>
          <w:lang w:val="es-ES"/>
        </w:rPr>
        <w:t>De acuerdo con el artículo 3 del Decreto 092 de 2017, para celebrar este tipo de contratos, la entidad debe adelantar un proceso competitivo para seleccionar la ESAL. En particular, debe verificar el cumplimiento de los siguientes requisitos: (i) que el objeto del contrato corresponda a programas y actividades de interés público acordes con el Plan Nacional o Seccional de Desarrollo; y (</w:t>
      </w:r>
      <w:proofErr w:type="spellStart"/>
      <w:r w:rsidRPr="00BB5232">
        <w:rPr>
          <w:rFonts w:ascii="Verdana" w:hAnsi="Verdana" w:eastAsia="Calibri" w:cs="Arial"/>
          <w:sz w:val="20"/>
          <w:szCs w:val="20"/>
          <w:lang w:val="es-ES"/>
        </w:rPr>
        <w:t>ii</w:t>
      </w:r>
      <w:proofErr w:type="spellEnd"/>
      <w:r w:rsidRPr="00BB5232">
        <w:rPr>
          <w:rFonts w:ascii="Verdana" w:hAnsi="Verdana" w:eastAsia="Calibri" w:cs="Arial"/>
          <w:sz w:val="20"/>
          <w:szCs w:val="20"/>
          <w:lang w:val="es-ES"/>
        </w:rPr>
        <w:t xml:space="preserve">)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w:t>
      </w:r>
      <w:r w:rsidRPr="00BB5232">
        <w:rPr>
          <w:rFonts w:ascii="Verdana" w:hAnsi="Verdana" w:eastAsia="Calibri" w:cs="Arial"/>
          <w:sz w:val="20"/>
          <w:szCs w:val="20"/>
          <w:lang w:val="es-ES"/>
        </w:rPr>
        <w:lastRenderedPageBreak/>
        <w:t>del Estatuto General de Contratación de la Administración Pública – en adelante EGCAP. Solo cuando se reúnan estas condiciones es procedente celebrar contratos del artículo 355 de la Constitución Política; de lo contrario, se aplicarán las normas del EGCAP.</w:t>
      </w:r>
    </w:p>
    <w:p w:rsidR="00BB5232" w:rsidP="00BB5232" w:rsidRDefault="00BB5232" w14:paraId="72962B85" w14:textId="77777777">
      <w:pPr>
        <w:spacing w:after="0" w:line="240" w:lineRule="auto"/>
        <w:jc w:val="both"/>
        <w:rPr>
          <w:rFonts w:ascii="Verdana" w:hAnsi="Verdana" w:eastAsia="Calibri" w:cs="Arial"/>
          <w:sz w:val="20"/>
          <w:szCs w:val="20"/>
          <w:lang w:val="es-ES"/>
        </w:rPr>
      </w:pPr>
    </w:p>
    <w:p w:rsidR="00376D2E" w:rsidP="00376D2E" w:rsidRDefault="00376D2E" w14:paraId="1FB7A22D" w14:textId="0F102B54">
      <w:pPr>
        <w:jc w:val="both"/>
        <w:rPr>
          <w:rFonts w:ascii="Verdana" w:hAnsi="Verdana" w:cs="Arial"/>
          <w:b/>
          <w:bCs/>
          <w:color w:val="000000" w:themeColor="text1"/>
        </w:rPr>
      </w:pPr>
      <w:r w:rsidRPr="00376D2E">
        <w:rPr>
          <w:rFonts w:ascii="Verdana" w:hAnsi="Verdana" w:cs="Arial"/>
          <w:b/>
          <w:bCs/>
          <w:color w:val="000000" w:themeColor="text1"/>
        </w:rPr>
        <w:t xml:space="preserve">CONVENIOS DE ASOCIACIÓN – Alcance – Requisitos </w:t>
      </w:r>
    </w:p>
    <w:p w:rsidRPr="009E4369" w:rsidR="009E4369" w:rsidP="009E4369" w:rsidRDefault="009E4369" w14:paraId="40D23F35" w14:textId="7BB5A8ED">
      <w:pPr>
        <w:spacing w:after="0" w:line="240" w:lineRule="auto"/>
        <w:jc w:val="both"/>
        <w:rPr>
          <w:rFonts w:ascii="Verdana" w:hAnsi="Verdana" w:eastAsia="Calibri" w:cs="Arial"/>
          <w:sz w:val="20"/>
          <w:szCs w:val="20"/>
          <w:lang w:val="es-ES"/>
        </w:rPr>
      </w:pPr>
      <w:r w:rsidRPr="009E4369">
        <w:rPr>
          <w:rFonts w:ascii="Verdana" w:hAnsi="Verdana" w:eastAsia="Calibri" w:cs="Arial"/>
          <w:sz w:val="20"/>
          <w:szCs w:val="20"/>
          <w:lang w:val="es-ES"/>
        </w:rPr>
        <w:t xml:space="preserve">[…] </w:t>
      </w:r>
      <w:r w:rsidRPr="009E4369">
        <w:rPr>
          <w:rFonts w:ascii="Verdana" w:hAnsi="Verdana" w:eastAsia="Calibri" w:cs="Arial"/>
          <w:bCs/>
          <w:sz w:val="20"/>
          <w:szCs w:val="20"/>
          <w:lang w:val="es-ES_tradnl"/>
        </w:rPr>
        <w:t xml:space="preserve">el Decreto 092 de 2027 se refiere a los </w:t>
      </w:r>
      <w:r w:rsidRPr="009E4369">
        <w:rPr>
          <w:rFonts w:ascii="Verdana" w:hAnsi="Verdana" w:eastAsia="Calibri" w:cs="Arial"/>
          <w:bCs/>
          <w:i/>
          <w:sz w:val="20"/>
          <w:szCs w:val="20"/>
          <w:lang w:val="es-ES_tradnl"/>
        </w:rPr>
        <w:t>convenios de asociación</w:t>
      </w:r>
      <w:r w:rsidRPr="009E4369">
        <w:rPr>
          <w:rFonts w:ascii="Verdana" w:hAnsi="Verdana" w:eastAsia="Calibri" w:cs="Arial"/>
          <w:bCs/>
          <w:sz w:val="20"/>
          <w:szCs w:val="20"/>
          <w:lang w:val="es-ES_tradnl"/>
        </w:rPr>
        <w:t xml:space="preserve"> como aquellos que “[t]</w:t>
      </w:r>
      <w:proofErr w:type="spellStart"/>
      <w:r w:rsidRPr="009E4369">
        <w:rPr>
          <w:rFonts w:ascii="Verdana" w:hAnsi="Verdana" w:eastAsia="Calibri" w:cs="Arial"/>
          <w:bCs/>
          <w:sz w:val="20"/>
          <w:szCs w:val="20"/>
          <w:lang w:val="es-ES_tradnl"/>
        </w:rPr>
        <w:t>ienen</w:t>
      </w:r>
      <w:proofErr w:type="spellEnd"/>
      <w:r w:rsidRPr="009E4369">
        <w:rPr>
          <w:rFonts w:ascii="Verdana" w:hAnsi="Verdana" w:eastAsia="Calibri" w:cs="Arial"/>
          <w:bCs/>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El convenio de asociación no es conmutativo y, por tanto, la entidad no instruye al contratista para desarrollar los programas o actividades previstas, sino que se asocia con él para el cumplimiento de objetivos comunes. En esta línea, en estos convenios las ESAL deben realizar </w:t>
      </w:r>
      <w:r w:rsidRPr="009E4369">
        <w:rPr>
          <w:rFonts w:ascii="Verdana" w:hAnsi="Verdana" w:eastAsia="Calibri" w:cs="Arial"/>
          <w:bCs/>
          <w:i/>
          <w:iCs/>
          <w:sz w:val="20"/>
          <w:szCs w:val="20"/>
          <w:lang w:val="es-ES_tradnl"/>
        </w:rPr>
        <w:t xml:space="preserve">aportes </w:t>
      </w:r>
      <w:r w:rsidRPr="009E4369">
        <w:rPr>
          <w:rFonts w:ascii="Verdana" w:hAnsi="Verdana" w:eastAsia="Calibri" w:cs="Arial"/>
          <w:bCs/>
          <w:sz w:val="20"/>
          <w:szCs w:val="20"/>
          <w:lang w:val="es-ES_tradnl"/>
        </w:rPr>
        <w:t>dirigidos a lograr la ejecución del convenio. Los aportes pueden ser recursos en dinero, que representen cualquier porcentaje del valor total del convenio, o en especie, siempre que sirvan al desarrollo de los objetos comunes de la asociación.</w:t>
      </w:r>
    </w:p>
    <w:p w:rsidR="009E4369" w:rsidP="009E4369" w:rsidRDefault="009E4369" w14:paraId="4F5FBE06" w14:textId="77777777">
      <w:pPr>
        <w:spacing w:after="0" w:line="240" w:lineRule="auto"/>
        <w:jc w:val="both"/>
        <w:rPr>
          <w:rFonts w:ascii="Verdana" w:hAnsi="Verdana" w:eastAsia="Calibri" w:cs="Arial"/>
          <w:sz w:val="20"/>
          <w:szCs w:val="20"/>
          <w:lang w:val="es-ES_tradnl"/>
        </w:rPr>
      </w:pPr>
    </w:p>
    <w:p w:rsidR="009E4369" w:rsidP="009E4369" w:rsidRDefault="009E4369" w14:paraId="49DAE294" w14:textId="6D3319E2">
      <w:pPr>
        <w:spacing w:after="0" w:line="240" w:lineRule="auto"/>
        <w:jc w:val="both"/>
        <w:rPr>
          <w:rFonts w:ascii="Verdana" w:hAnsi="Verdana" w:eastAsia="Calibri" w:cs="Arial"/>
          <w:bCs/>
          <w:lang w:val="es-ES_tradnl"/>
        </w:rPr>
      </w:pPr>
      <w:r w:rsidRPr="009E4369">
        <w:rPr>
          <w:rFonts w:ascii="Verdana" w:hAnsi="Verdana" w:eastAsia="Calibri" w:cs="Arial"/>
          <w:bCs/>
          <w:sz w:val="20"/>
          <w:szCs w:val="20"/>
          <w:lang w:val="es-ES_tradnl"/>
        </w:rPr>
        <w:t xml:space="preserve">Es importante señalar que, de acuerdo con el artículo 5 del Decreto 092 de 2017, por regla general, las Entidades Estatales deberán adelantar un proceso competitivo para celebrar </w:t>
      </w:r>
      <w:r w:rsidRPr="009E4369">
        <w:rPr>
          <w:rFonts w:ascii="Verdana" w:hAnsi="Verdana" w:eastAsia="Calibri" w:cs="Arial"/>
          <w:bCs/>
          <w:i/>
          <w:iCs/>
          <w:sz w:val="20"/>
          <w:szCs w:val="20"/>
          <w:lang w:val="es-ES_tradnl"/>
        </w:rPr>
        <w:t>convenios de asociación</w:t>
      </w:r>
      <w:r w:rsidRPr="009E4369">
        <w:rPr>
          <w:rFonts w:ascii="Verdana" w:hAnsi="Verdana" w:eastAsia="Calibri" w:cs="Arial"/>
          <w:bCs/>
          <w:sz w:val="20"/>
          <w:szCs w:val="20"/>
          <w:lang w:val="es-ES_tradnl"/>
        </w:rPr>
        <w:t>.</w:t>
      </w:r>
      <w:r w:rsidRPr="009E4369">
        <w:rPr>
          <w:rFonts w:ascii="Verdana" w:hAnsi="Verdana"/>
          <w:sz w:val="20"/>
          <w:szCs w:val="20"/>
        </w:rPr>
        <w:t xml:space="preserve"> </w:t>
      </w:r>
      <w:r w:rsidRPr="009E4369">
        <w:rPr>
          <w:rFonts w:ascii="Verdana" w:hAnsi="Verdana" w:eastAsia="Calibri" w:cs="Arial"/>
          <w:bCs/>
          <w:sz w:val="20"/>
          <w:szCs w:val="20"/>
          <w:lang w:val="es-ES_tradnl"/>
        </w:rPr>
        <w:t xml:space="preserve">Sin embargo, cuando la ESAL comprometa recursos </w:t>
      </w:r>
      <w:r w:rsidRPr="009E4369">
        <w:rPr>
          <w:rFonts w:ascii="Verdana" w:hAnsi="Verdana" w:eastAsia="Calibri" w:cs="Arial"/>
          <w:bCs/>
          <w:i/>
          <w:iCs/>
          <w:sz w:val="20"/>
          <w:szCs w:val="20"/>
          <w:lang w:val="es-ES_tradnl"/>
        </w:rPr>
        <w:t>en dinero</w:t>
      </w:r>
      <w:r w:rsidRPr="009E4369">
        <w:rPr>
          <w:rFonts w:ascii="Verdana" w:hAnsi="Verdana" w:eastAsia="Calibri" w:cs="Arial"/>
          <w:bCs/>
          <w:sz w:val="20"/>
          <w:szCs w:val="20"/>
          <w:lang w:val="es-ES_tradnl"/>
        </w:rPr>
        <w:t xml:space="preserve"> para la ejecución de las actividades en una proporción no inferior al treinta por ciento (30%) del valor total del convenio, la entidad podrá celebrar el convenio directamente. Si, por el contrario, la ESAL no aporta al menos el treinta por ciento (30%), o realiza aportes en especie, la entidad está obligada a realizar un proceso competitivo</w:t>
      </w:r>
      <w:r w:rsidRPr="00A62E6F">
        <w:rPr>
          <w:rFonts w:ascii="Verdana" w:hAnsi="Verdana" w:eastAsia="Calibri" w:cs="Arial"/>
          <w:bCs/>
          <w:lang w:val="es-ES_tradnl"/>
        </w:rPr>
        <w:t>.</w:t>
      </w:r>
    </w:p>
    <w:p w:rsidR="009E4369" w:rsidP="009E4369" w:rsidRDefault="009E4369" w14:paraId="0C642740" w14:textId="77777777">
      <w:pPr>
        <w:spacing w:after="0" w:line="240" w:lineRule="auto"/>
        <w:jc w:val="both"/>
        <w:rPr>
          <w:rFonts w:ascii="Verdana" w:hAnsi="Verdana" w:eastAsia="Calibri" w:cs="Arial"/>
          <w:bCs/>
          <w:lang w:val="es-ES_tradnl"/>
        </w:rPr>
      </w:pPr>
    </w:p>
    <w:p w:rsidR="009E4369" w:rsidP="00376D2E" w:rsidRDefault="009E4369" w14:paraId="171869FB" w14:textId="77777777">
      <w:pPr>
        <w:spacing w:after="0" w:line="240" w:lineRule="auto"/>
        <w:jc w:val="both"/>
        <w:rPr>
          <w:rFonts w:ascii="Verdana" w:hAnsi="Verdana" w:eastAsia="Calibri" w:cs="Arial"/>
          <w:sz w:val="20"/>
          <w:szCs w:val="20"/>
        </w:rPr>
      </w:pPr>
      <w:r w:rsidRPr="009E4369">
        <w:rPr>
          <w:rFonts w:ascii="Verdana" w:hAnsi="Verdana" w:eastAsia="Calibri" w:cs="Arial"/>
          <w:bCs/>
          <w:sz w:val="20"/>
          <w:szCs w:val="20"/>
          <w:lang w:val="es-ES_tradnl"/>
        </w:rPr>
        <w:t xml:space="preserve">[…] </w:t>
      </w:r>
      <w:r w:rsidRPr="009E4369">
        <w:rPr>
          <w:rFonts w:ascii="Verdana" w:hAnsi="Verdana" w:eastAsia="Calibri" w:cs="Arial"/>
          <w:bCs/>
          <w:sz w:val="20"/>
          <w:szCs w:val="20"/>
        </w:rPr>
        <w:t>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 ESAL, aporte al menos el treinta por ciento del valor del convenio para celebrarlo directamente.</w:t>
      </w:r>
    </w:p>
    <w:p w:rsidR="009E4369" w:rsidP="00376D2E" w:rsidRDefault="009E4369" w14:paraId="7738554F" w14:textId="77777777">
      <w:pPr>
        <w:spacing w:after="0" w:line="240" w:lineRule="auto"/>
        <w:jc w:val="both"/>
        <w:rPr>
          <w:rFonts w:ascii="Verdana" w:hAnsi="Verdana" w:eastAsia="Calibri" w:cs="Arial"/>
          <w:sz w:val="20"/>
          <w:szCs w:val="20"/>
        </w:rPr>
      </w:pPr>
    </w:p>
    <w:p w:rsidR="009E4369" w:rsidP="00376D2E" w:rsidRDefault="009E4369" w14:paraId="44144686" w14:textId="77777777">
      <w:pPr>
        <w:spacing w:after="0" w:line="240" w:lineRule="auto"/>
        <w:jc w:val="both"/>
        <w:rPr>
          <w:rFonts w:ascii="Verdana" w:hAnsi="Verdana" w:eastAsia="Calibri" w:cs="Arial"/>
          <w:sz w:val="20"/>
          <w:szCs w:val="20"/>
        </w:rPr>
      </w:pPr>
      <w:r w:rsidRPr="009E4369">
        <w:rPr>
          <w:rFonts w:ascii="Verdana" w:hAnsi="Verdana" w:cs="Arial"/>
          <w:color w:val="000000" w:themeColor="text1"/>
          <w:sz w:val="20"/>
          <w:szCs w:val="20"/>
        </w:rPr>
        <w:t>Además, en atención al inciso 2 del artículo 5 del Decreto 092 de 2017, las Entidades Estatales deben asegurarse de que no haya otras ESAL que ofrezcan comprometer recursos en dinero en una proporción no inferior al treinta por ciento (30%) del valor total del convenio. En caso de que la entidad encuentre que más de una ESAL le ofrece al menos el treinta por ciento (30%) de recursos en dinero como aporte para el convenio de asociación, deberá seleccionar de manera objetiva con cual asociarse.</w:t>
      </w:r>
    </w:p>
    <w:p w:rsidR="009E4369" w:rsidP="00376D2E" w:rsidRDefault="009E4369" w14:paraId="7EA27062" w14:textId="77777777">
      <w:pPr>
        <w:spacing w:after="0" w:line="240" w:lineRule="auto"/>
        <w:jc w:val="both"/>
        <w:rPr>
          <w:rFonts w:ascii="Verdana" w:hAnsi="Verdana" w:eastAsia="Calibri" w:cs="Arial"/>
          <w:sz w:val="20"/>
          <w:szCs w:val="20"/>
        </w:rPr>
      </w:pPr>
    </w:p>
    <w:p w:rsidR="00376D2E" w:rsidP="00376D2E" w:rsidRDefault="00376D2E" w14:paraId="5F87323B" w14:textId="58E259F8">
      <w:pPr>
        <w:spacing w:after="0" w:line="240" w:lineRule="auto"/>
        <w:jc w:val="both"/>
        <w:rPr>
          <w:rFonts w:ascii="Verdana" w:hAnsi="Verdana" w:cs="Arial"/>
          <w:b/>
          <w:bCs/>
          <w:color w:val="000000" w:themeColor="text1"/>
        </w:rPr>
      </w:pPr>
      <w:r w:rsidRPr="00376D2E">
        <w:rPr>
          <w:rFonts w:ascii="Verdana" w:hAnsi="Verdana" w:cs="Arial"/>
          <w:b/>
          <w:bCs/>
          <w:color w:val="000000" w:themeColor="text1"/>
        </w:rPr>
        <w:t xml:space="preserve">CONTRATOS CON ESAL – Decreto 092 de 2017 – No es conmutativo – Características  </w:t>
      </w:r>
    </w:p>
    <w:p w:rsidR="009E4369" w:rsidP="00376D2E" w:rsidRDefault="009E4369" w14:paraId="785D4B60" w14:textId="77777777">
      <w:pPr>
        <w:spacing w:after="0" w:line="240" w:lineRule="auto"/>
        <w:jc w:val="both"/>
        <w:rPr>
          <w:rFonts w:ascii="Verdana" w:hAnsi="Verdana" w:cs="Arial"/>
          <w:b/>
          <w:bCs/>
          <w:color w:val="000000" w:themeColor="text1"/>
        </w:rPr>
      </w:pPr>
    </w:p>
    <w:p w:rsidR="009E4369" w:rsidP="00AC3D2E" w:rsidRDefault="009E4369" w14:paraId="21706E9C" w14:textId="404FA73A">
      <w:pPr>
        <w:spacing w:after="0" w:line="240" w:lineRule="auto"/>
        <w:jc w:val="both"/>
        <w:rPr>
          <w:rFonts w:ascii="Verdana" w:hAnsi="Verdana" w:cs="Arial"/>
          <w:color w:val="000000" w:themeColor="text1"/>
          <w:sz w:val="20"/>
          <w:szCs w:val="20"/>
          <w:lang w:val="es-MX"/>
        </w:rPr>
      </w:pPr>
      <w:r w:rsidRPr="009E4369">
        <w:rPr>
          <w:rFonts w:ascii="Verdana" w:hAnsi="Verdana" w:cs="Arial"/>
          <w:color w:val="000000" w:themeColor="text1"/>
          <w:sz w:val="20"/>
          <w:szCs w:val="20"/>
          <w:lang w:val="es-MX"/>
        </w:rPr>
        <w:t xml:space="preserve">Es necesario aclarar que los negocios jurídicos que regula el Decreto 092 de 2017 “(…) son esencialmente distintos a los contratos para la adquisición y aprovisionamiento de bienes, obras o servicios regulados por el estatuto de contratación y no hacen parte del sistema de compra pública. (…) De acuerdo con lo anterior, si la entidad estatal adquiere </w:t>
      </w:r>
      <w:r w:rsidRPr="009E4369">
        <w:rPr>
          <w:rFonts w:ascii="Verdana" w:hAnsi="Verdana" w:cs="Arial"/>
          <w:color w:val="000000" w:themeColor="text1"/>
          <w:sz w:val="20"/>
          <w:szCs w:val="20"/>
          <w:lang w:val="es-MX"/>
        </w:rPr>
        <w:lastRenderedPageBreak/>
        <w:t xml:space="preserve">o se abastece de un bien, obra o servicio en un contrato conmutativo en el cual el proveedor es una (ESAL), debe aplicar el régimen contenido en las Leyes 80 de 1993 y 1150 de 2007, y no el Decreto 092 de 2017”. </w:t>
      </w:r>
    </w:p>
    <w:p w:rsidR="00AC3D2E" w:rsidP="00AC3D2E" w:rsidRDefault="00AC3D2E" w14:paraId="095FA850" w14:textId="77777777">
      <w:pPr>
        <w:spacing w:after="0" w:line="240" w:lineRule="auto"/>
        <w:jc w:val="both"/>
        <w:rPr>
          <w:rFonts w:ascii="Verdana" w:hAnsi="Verdana" w:cs="Arial"/>
          <w:color w:val="000000" w:themeColor="text1"/>
          <w:sz w:val="20"/>
          <w:szCs w:val="20"/>
          <w:lang w:val="es-MX"/>
        </w:rPr>
      </w:pPr>
    </w:p>
    <w:p w:rsidR="00AC3D2E" w:rsidP="00AC3D2E" w:rsidRDefault="00AC3D2E" w14:paraId="710BAFEA" w14:textId="68688E8E">
      <w:pPr>
        <w:spacing w:after="0" w:line="240" w:lineRule="auto"/>
        <w:jc w:val="both"/>
        <w:rPr>
          <w:rFonts w:ascii="Verdana" w:hAnsi="Verdana" w:eastAsia="Calibri" w:cs="Arial"/>
          <w:color w:val="000000" w:themeColor="text1"/>
          <w:sz w:val="20"/>
          <w:szCs w:val="20"/>
        </w:rPr>
      </w:pPr>
      <w:r w:rsidRPr="00AC3D2E">
        <w:rPr>
          <w:rFonts w:ascii="Verdana" w:hAnsi="Verdana" w:eastAsia="Calibri" w:cs="Arial"/>
          <w:color w:val="000000" w:themeColor="text1"/>
          <w:sz w:val="20"/>
          <w:szCs w:val="20"/>
        </w:rPr>
        <w:t>De acuerdo con lo anterior, no todas las actividades que las Entidades Estatales deben desarrollar para alcanzar sus objetivos misionales deben ejecutarse a través de la celebración de contratos del artículo 355 constitucional o convenios de asociación. Lo que determina la aplicación del Decreto 092 de 2017 no es únicamente el carácter de la ESAL sino el objeto del contrato o convenio que la entidad pretende adelantar.</w:t>
      </w:r>
    </w:p>
    <w:p w:rsidR="00AC3D2E" w:rsidP="00AC3D2E" w:rsidRDefault="00AC3D2E" w14:paraId="17BA10EC" w14:textId="77777777">
      <w:pPr>
        <w:spacing w:after="120" w:line="276" w:lineRule="auto"/>
        <w:jc w:val="both"/>
        <w:rPr>
          <w:rFonts w:ascii="Verdana" w:hAnsi="Verdana" w:eastAsia="Calibri" w:cs="Arial"/>
          <w:color w:val="000000" w:themeColor="text1"/>
          <w:sz w:val="20"/>
          <w:szCs w:val="20"/>
        </w:rPr>
      </w:pPr>
    </w:p>
    <w:p w:rsidR="00AC3D2E" w:rsidP="00AC3D2E" w:rsidRDefault="00AC3D2E" w14:paraId="576C72AD" w14:textId="37AA34D8">
      <w:pPr>
        <w:spacing w:after="120" w:line="276" w:lineRule="auto"/>
        <w:jc w:val="both"/>
        <w:rPr>
          <w:rFonts w:ascii="Verdana" w:hAnsi="Verdana" w:eastAsia="Calibri" w:cs="Arial"/>
          <w:color w:val="000000" w:themeColor="text1"/>
          <w:sz w:val="20"/>
          <w:szCs w:val="20"/>
        </w:rPr>
      </w:pPr>
      <w:r>
        <w:rPr>
          <w:rFonts w:ascii="Verdana" w:hAnsi="Verdana" w:eastAsia="Calibri" w:cs="Arial"/>
          <w:color w:val="000000" w:themeColor="text1"/>
          <w:sz w:val="20"/>
          <w:szCs w:val="20"/>
        </w:rPr>
        <w:t xml:space="preserve">[…] </w:t>
      </w:r>
    </w:p>
    <w:p w:rsidRPr="00AC3D2E" w:rsidR="00AC3D2E" w:rsidP="00AC3D2E" w:rsidRDefault="00AC3D2E" w14:paraId="00E2D797" w14:textId="76783D46">
      <w:pPr>
        <w:spacing w:after="0" w:line="240" w:lineRule="auto"/>
        <w:jc w:val="both"/>
        <w:rPr>
          <w:rFonts w:ascii="Verdana" w:hAnsi="Verdana" w:eastAsia="Calibri" w:cs="Arial"/>
          <w:color w:val="000000" w:themeColor="text1"/>
          <w:sz w:val="20"/>
          <w:szCs w:val="20"/>
        </w:rPr>
      </w:pPr>
      <w:r w:rsidRPr="00AC3D2E">
        <w:rPr>
          <w:rFonts w:ascii="Verdana" w:hAnsi="Verdana" w:eastAsia="Calibri" w:cs="Arial"/>
          <w:color w:val="000000" w:themeColor="text1"/>
          <w:sz w:val="20"/>
          <w:szCs w:val="20"/>
        </w:rPr>
        <w:t>De esta manera, ni los contratos del artículo 355 de la Constitución Política, ni los convenios de asociación del artículo 96 de la Ley 489 de 1998, generan utilidades para la ESAL, pues se trataría de un contrato en el que se debe remunerar al contratista por los servicios prestados, el cual un régimen legal distinto.</w:t>
      </w:r>
    </w:p>
    <w:p w:rsidR="00AC3D2E" w:rsidP="00AC3D2E" w:rsidRDefault="00AC3D2E" w14:paraId="28760661" w14:textId="77777777">
      <w:pPr>
        <w:spacing w:after="0" w:line="240" w:lineRule="auto"/>
        <w:jc w:val="both"/>
        <w:rPr>
          <w:rFonts w:ascii="Verdana" w:hAnsi="Verdana" w:cs="Arial"/>
          <w:color w:val="000000" w:themeColor="text1"/>
          <w:sz w:val="20"/>
          <w:szCs w:val="20"/>
        </w:rPr>
      </w:pPr>
    </w:p>
    <w:p w:rsidRPr="00AC3D2E" w:rsidR="00AC3D2E" w:rsidP="00AC3D2E" w:rsidRDefault="00AC3D2E" w14:paraId="19755B7A" w14:textId="78030F7C">
      <w:pPr>
        <w:spacing w:after="0" w:line="240" w:lineRule="auto"/>
        <w:jc w:val="both"/>
        <w:rPr>
          <w:rFonts w:ascii="Verdana" w:hAnsi="Verdana" w:eastAsia="Calibri" w:cs="Arial"/>
          <w:color w:val="000000" w:themeColor="text1"/>
          <w:sz w:val="20"/>
          <w:szCs w:val="20"/>
        </w:rPr>
      </w:pPr>
      <w:r w:rsidRPr="00AC3D2E">
        <w:rPr>
          <w:rFonts w:ascii="Verdana" w:hAnsi="Verdana" w:cs="Arial"/>
          <w:color w:val="000000" w:themeColor="text1"/>
          <w:sz w:val="20"/>
          <w:szCs w:val="20"/>
        </w:rPr>
        <w:t xml:space="preserve">Es importante tener en cuenta que la contratación con ESAL se rige por el Decreto 092 de 2017, salvo lo que ha sido objeto de suspensión provisional por parte del Consejo de Estado. Por lo tanto, las entidades que desean celebrar </w:t>
      </w:r>
      <w:r w:rsidRPr="00AC3D2E">
        <w:rPr>
          <w:rFonts w:ascii="Verdana" w:hAnsi="Verdana" w:cs="Arial"/>
          <w:i/>
          <w:iCs/>
          <w:color w:val="000000" w:themeColor="text1"/>
          <w:sz w:val="20"/>
          <w:szCs w:val="20"/>
        </w:rPr>
        <w:t>contratos del artículo 355 de la Constitución Política</w:t>
      </w:r>
      <w:r w:rsidRPr="00AC3D2E">
        <w:rPr>
          <w:rFonts w:ascii="Verdana" w:hAnsi="Verdana" w:cs="Arial"/>
          <w:color w:val="000000" w:themeColor="text1"/>
          <w:sz w:val="20"/>
          <w:szCs w:val="20"/>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AC3D2E">
        <w:rPr>
          <w:rFonts w:ascii="Verdana" w:hAnsi="Verdana" w:cs="Arial"/>
          <w:color w:val="000000" w:themeColor="text1"/>
          <w:sz w:val="20"/>
          <w:szCs w:val="20"/>
        </w:rPr>
        <w:t>ii</w:t>
      </w:r>
      <w:proofErr w:type="spellEnd"/>
      <w:r w:rsidRPr="00AC3D2E">
        <w:rPr>
          <w:rFonts w:ascii="Verdana" w:hAnsi="Verdana" w:cs="Arial"/>
          <w:color w:val="000000" w:themeColor="text1"/>
          <w:sz w:val="20"/>
          <w:szCs w:val="20"/>
        </w:rPr>
        <w:t>) tampoco debe condicionarse a que la contratación con las ESAL garantice la optimización de los recursos públicos en términos de eficiencia, eficacia, economía y manejo del riesgo; (</w:t>
      </w:r>
      <w:proofErr w:type="spellStart"/>
      <w:r w:rsidRPr="00AC3D2E">
        <w:rPr>
          <w:rFonts w:ascii="Verdana" w:hAnsi="Verdana" w:cs="Arial"/>
          <w:color w:val="000000" w:themeColor="text1"/>
          <w:sz w:val="20"/>
          <w:szCs w:val="20"/>
        </w:rPr>
        <w:t>iii</w:t>
      </w:r>
      <w:proofErr w:type="spellEnd"/>
      <w:r w:rsidRPr="00AC3D2E">
        <w:rPr>
          <w:rFonts w:ascii="Verdana" w:hAnsi="Verdana" w:cs="Arial"/>
          <w:color w:val="000000" w:themeColor="text1"/>
          <w:sz w:val="20"/>
          <w:szCs w:val="20"/>
        </w:rPr>
        <w:t>) el objeto del contrato debe estar acorde con el plan nacional o seccional de desarrollo; (</w:t>
      </w:r>
      <w:proofErr w:type="spellStart"/>
      <w:r w:rsidRPr="00AC3D2E">
        <w:rPr>
          <w:rFonts w:ascii="Verdana" w:hAnsi="Verdana" w:cs="Arial"/>
          <w:color w:val="000000" w:themeColor="text1"/>
          <w:sz w:val="20"/>
          <w:szCs w:val="20"/>
        </w:rPr>
        <w:t>iv</w:t>
      </w:r>
      <w:proofErr w:type="spellEnd"/>
      <w:r w:rsidRPr="00AC3D2E">
        <w:rPr>
          <w:rFonts w:ascii="Verdana" w:hAnsi="Verdana" w:cs="Arial"/>
          <w:color w:val="000000" w:themeColor="text1"/>
          <w:sz w:val="20"/>
          <w:szCs w:val="20"/>
        </w:rPr>
        <w:t>)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con lo señalado en el numeral (</w:t>
      </w:r>
      <w:proofErr w:type="spellStart"/>
      <w:r w:rsidRPr="00AC3D2E">
        <w:rPr>
          <w:rFonts w:ascii="Verdana" w:hAnsi="Verdana" w:cs="Arial"/>
          <w:color w:val="000000" w:themeColor="text1"/>
          <w:sz w:val="20"/>
          <w:szCs w:val="20"/>
        </w:rPr>
        <w:t>iii</w:t>
      </w:r>
      <w:proofErr w:type="spellEnd"/>
      <w:r w:rsidRPr="00AC3D2E">
        <w:rPr>
          <w:rFonts w:ascii="Verdana" w:hAnsi="Verdana" w:cs="Arial"/>
          <w:color w:val="000000" w:themeColor="text1"/>
          <w:sz w:val="20"/>
          <w:szCs w:val="20"/>
        </w:rPr>
        <w:t>); y (v) el contrato no debe establecer una relación conmutativa que incluya una contraprestación directa a favor de la entidad, ni instrucciones precisas dadas por esta al contratista para cumplir con el objeto del contrato.</w:t>
      </w:r>
    </w:p>
    <w:p w:rsidRPr="00AC3D2E" w:rsidR="00AC3D2E" w:rsidP="00AC3D2E" w:rsidRDefault="00AC3D2E" w14:paraId="73C9C844" w14:textId="464323D3">
      <w:pPr>
        <w:spacing w:after="0" w:line="240" w:lineRule="auto"/>
        <w:jc w:val="both"/>
        <w:rPr>
          <w:rFonts w:ascii="Verdana" w:hAnsi="Verdana" w:cs="Arial"/>
          <w:color w:val="000000" w:themeColor="text1"/>
          <w:sz w:val="20"/>
          <w:szCs w:val="20"/>
        </w:rPr>
      </w:pPr>
    </w:p>
    <w:p w:rsidRPr="00376D2E" w:rsidR="00376D2E" w:rsidP="00376D2E" w:rsidRDefault="00376D2E" w14:paraId="2E0C63D1" w14:textId="0C784C26">
      <w:pPr>
        <w:spacing w:after="0" w:line="240" w:lineRule="auto"/>
        <w:jc w:val="both"/>
        <w:rPr>
          <w:rFonts w:ascii="Verdana" w:hAnsi="Verdana" w:cs="Arial"/>
          <w:b/>
          <w:bCs/>
          <w:color w:val="000000" w:themeColor="text1"/>
        </w:rPr>
      </w:pPr>
      <w:r w:rsidRPr="00376D2E">
        <w:rPr>
          <w:rFonts w:ascii="Verdana" w:hAnsi="Verdana" w:cs="Arial"/>
          <w:b/>
          <w:bCs/>
          <w:color w:val="000000" w:themeColor="text1"/>
        </w:rPr>
        <w:t xml:space="preserve">CONTRATOS Y CONVENIOS CON ESAL – Decreto 092 de 2017 – Estampillas – Alcance </w:t>
      </w:r>
    </w:p>
    <w:p w:rsidR="00376D2E" w:rsidP="00EA6E14" w:rsidRDefault="00376D2E" w14:paraId="37C8D126" w14:textId="77777777">
      <w:pPr>
        <w:spacing w:after="0" w:line="240" w:lineRule="auto"/>
        <w:jc w:val="both"/>
        <w:rPr>
          <w:rFonts w:ascii="Verdana" w:hAnsi="Verdana"/>
        </w:rPr>
      </w:pPr>
    </w:p>
    <w:p w:rsidRPr="00AC3D2E" w:rsidR="00AC3D2E" w:rsidP="00AC3D2E" w:rsidRDefault="00AC3D2E" w14:paraId="04A7CAB2" w14:textId="7EFBDE0A">
      <w:pPr>
        <w:spacing w:after="0" w:line="240" w:lineRule="auto"/>
        <w:jc w:val="both"/>
        <w:rPr>
          <w:rFonts w:ascii="Verdana" w:hAnsi="Verdana" w:eastAsia="Calibri" w:cs="Arial"/>
          <w:sz w:val="20"/>
          <w:szCs w:val="20"/>
        </w:rPr>
      </w:pPr>
      <w:r w:rsidRPr="00AC3D2E">
        <w:rPr>
          <w:rFonts w:ascii="Verdana" w:hAnsi="Verdana" w:eastAsia="Calibri" w:cs="Arial"/>
          <w:sz w:val="20"/>
          <w:szCs w:val="20"/>
        </w:rPr>
        <w:t xml:space="preserve">La incorporación en nuestro ordenamiento jurídico de las denominadas “estampillas” tan sólo puede darse por disposición legal o por disposición expresa de ordenanzas departamentales o acuerdos distritales o municipales, en las que se debe indicar a detalle las condiciones de su emisión o pago o adherencia, y si dicha estampilla, se concibe como una tasa parafiscal, o como impuesto con destinación específica. Sobre el tema, es importante indicar que tanto la naturaleza de cada estampilla, como las condiciones que se deben tener en cuenta para su recaudo, así como su causación y objetivos pueden </w:t>
      </w:r>
      <w:r w:rsidRPr="00AC3D2E">
        <w:rPr>
          <w:rFonts w:ascii="Verdana" w:hAnsi="Verdana" w:eastAsia="Calibri" w:cs="Arial"/>
          <w:sz w:val="20"/>
          <w:szCs w:val="20"/>
        </w:rPr>
        <w:lastRenderedPageBreak/>
        <w:t xml:space="preserve">diferir en función de las decisiones que en su configuración adoptó el Legislador y, de manera complementaria, de aquellas que aprueben los órganos colegiados de las autoridades territoriales en ejercicio de sus competencias en la estructuración de cuerpos normativos que contienen política fiscal. </w:t>
      </w:r>
    </w:p>
    <w:p w:rsidR="00AC3D2E" w:rsidP="00AC3D2E" w:rsidRDefault="00AC3D2E" w14:paraId="5C2C545B" w14:textId="77777777">
      <w:pPr>
        <w:spacing w:after="0" w:line="240" w:lineRule="auto"/>
        <w:jc w:val="both"/>
        <w:rPr>
          <w:rFonts w:ascii="Verdana" w:hAnsi="Verdana" w:eastAsia="Times New Roman" w:cs="Arial"/>
          <w:sz w:val="20"/>
          <w:szCs w:val="20"/>
          <w:lang w:eastAsia="es-ES_tradnl"/>
        </w:rPr>
      </w:pPr>
    </w:p>
    <w:p w:rsidRPr="00AC3D2E" w:rsidR="00AC3D2E" w:rsidP="00AC3D2E" w:rsidRDefault="00AC3D2E" w14:paraId="3417B9AD" w14:textId="2BAD14E8">
      <w:pPr>
        <w:spacing w:after="0" w:line="240" w:lineRule="auto"/>
        <w:jc w:val="both"/>
        <w:rPr>
          <w:rFonts w:ascii="Verdana" w:hAnsi="Verdana" w:eastAsia="Times New Roman" w:cs="Arial"/>
          <w:sz w:val="20"/>
          <w:szCs w:val="20"/>
          <w:lang w:eastAsia="es-ES_tradnl"/>
        </w:rPr>
      </w:pPr>
      <w:r w:rsidRPr="00AC3D2E">
        <w:rPr>
          <w:rFonts w:ascii="Verdana" w:hAnsi="Verdana" w:eastAsia="Times New Roman" w:cs="Arial"/>
          <w:sz w:val="20"/>
          <w:szCs w:val="20"/>
          <w:lang w:eastAsia="es-ES_tradnl"/>
        </w:rPr>
        <w:t xml:space="preserve">De esta manera, </w:t>
      </w:r>
      <w:r w:rsidRPr="00AC3D2E">
        <w:rPr>
          <w:rFonts w:ascii="Verdana" w:hAnsi="Verdana" w:eastAsia="Calibri" w:cs="Arial"/>
          <w:bCs/>
          <w:iCs/>
          <w:sz w:val="20"/>
          <w:szCs w:val="20"/>
        </w:rPr>
        <w:t xml:space="preserve">es posible y lógico que para efectos de la ejecución de los contratos o convenios que las entidades estatales celebren con una ESAL se incurran en costos y gastos administrativos lo que se puede reflejar en los respectivos </w:t>
      </w:r>
      <w:r w:rsidRPr="00AC3D2E">
        <w:rPr>
          <w:rFonts w:ascii="Verdana" w:hAnsi="Verdana" w:eastAsia="Times New Roman" w:cs="Arial"/>
          <w:sz w:val="20"/>
          <w:szCs w:val="20"/>
          <w:lang w:eastAsia="es-ES_tradnl"/>
        </w:rPr>
        <w:t>aportes de naturaleza económica, sin que ello signifique el pago de un precio o una remuneración. Estos costos o gastos de administración pueden incluirse válidamente</w:t>
      </w:r>
      <w:r w:rsidRPr="00AC3D2E">
        <w:rPr>
          <w:rFonts w:ascii="Verdana" w:hAnsi="Verdana" w:eastAsia="Times New Roman" w:cs="Arial"/>
          <w:b/>
          <w:bCs/>
          <w:sz w:val="20"/>
          <w:szCs w:val="20"/>
          <w:lang w:eastAsia="es-ES_tradnl"/>
        </w:rPr>
        <w:t xml:space="preserve"> </w:t>
      </w:r>
      <w:r w:rsidRPr="00AC3D2E">
        <w:rPr>
          <w:rFonts w:ascii="Verdana" w:hAnsi="Verdana" w:eastAsia="Times New Roman" w:cs="Arial"/>
          <w:sz w:val="20"/>
          <w:szCs w:val="20"/>
          <w:lang w:eastAsia="es-ES_tradnl"/>
        </w:rPr>
        <w:t xml:space="preserve">siempre que se justifique técnica y financieramente que son necesarios y razonables para el desarrollo del objeto convenido y que se trate de aspectos operativos, logísticos o de administración </w:t>
      </w:r>
      <w:r w:rsidRPr="00AC3D2E">
        <w:rPr>
          <w:rFonts w:ascii="Verdana" w:hAnsi="Verdana" w:eastAsia="Calibri" w:cs="Arial"/>
          <w:bCs/>
          <w:iCs/>
          <w:sz w:val="20"/>
          <w:szCs w:val="20"/>
        </w:rPr>
        <w:t>que permitan cumplir los compromisos adquiridos en el marco del convenio</w:t>
      </w:r>
      <w:r w:rsidRPr="00AC3D2E">
        <w:rPr>
          <w:rFonts w:ascii="Verdana" w:hAnsi="Verdana" w:eastAsia="Times New Roman" w:cs="Arial"/>
          <w:sz w:val="20"/>
          <w:szCs w:val="20"/>
          <w:lang w:eastAsia="es-ES_tradnl"/>
        </w:rPr>
        <w:t xml:space="preserve"> y que, por tanto, no representan una utilidad o una contraprestación en favor de una de las partes. </w:t>
      </w:r>
    </w:p>
    <w:p w:rsidR="00AC3D2E" w:rsidP="00AC3D2E" w:rsidRDefault="00AC3D2E" w14:paraId="075E8045" w14:textId="77777777">
      <w:pPr>
        <w:spacing w:after="0" w:line="240" w:lineRule="auto"/>
        <w:jc w:val="both"/>
        <w:rPr>
          <w:rFonts w:ascii="Verdana" w:hAnsi="Verdana" w:eastAsia="Times New Roman" w:cs="Arial"/>
          <w:sz w:val="20"/>
          <w:szCs w:val="20"/>
          <w:lang w:eastAsia="es-ES_tradnl"/>
        </w:rPr>
      </w:pPr>
    </w:p>
    <w:p w:rsidRPr="00AC3D2E" w:rsidR="00AC3D2E" w:rsidP="00AC3D2E" w:rsidRDefault="00AC3D2E" w14:paraId="0D3ADF5E" w14:textId="2A07C6B3">
      <w:pPr>
        <w:spacing w:after="0" w:line="240" w:lineRule="auto"/>
        <w:jc w:val="both"/>
        <w:rPr>
          <w:rFonts w:ascii="Verdana" w:hAnsi="Verdana" w:eastAsia="Times New Roman" w:cs="Arial"/>
          <w:sz w:val="20"/>
          <w:szCs w:val="20"/>
          <w:lang w:eastAsia="es-ES_tradnl"/>
        </w:rPr>
      </w:pPr>
      <w:r w:rsidRPr="00AC3D2E">
        <w:rPr>
          <w:rFonts w:ascii="Verdana" w:hAnsi="Verdana" w:eastAsia="Times New Roman" w:cs="Arial"/>
          <w:sz w:val="20"/>
          <w:szCs w:val="20"/>
          <w:lang w:eastAsia="es-ES_tradnl"/>
        </w:rPr>
        <w:t xml:space="preserve">En este sentido, se precisa que la posibilidad de que se incluya compromisos con contenido económico no puede ir en contravía de su naturaleza y finalidad, ni mucho menos desconocer los elementos esenciales de este tipo negocial que se desprenden del artículo 355 de la Constitución Política y del Decreto 092 de 2017. Por ende, la determinación de estos costos o gastos administrativos no pueden ocultar una remuneración verdadera o una utilidad que concurre a su suscripción, así como tampoco pueden emplearse para aspectos distintos del cumplimiento de los compromisos asumidos, pues no se trataría de un convenio o contrato, sino que su connotación transmutaría a un contrato oneroso, sinalagmático y conmutativo. </w:t>
      </w:r>
      <w:r w:rsidRPr="00AC3D2E">
        <w:rPr>
          <w:rFonts w:ascii="Verdana" w:hAnsi="Verdana" w:eastAsia="Times New Roman" w:cs="Arial"/>
          <w:iCs/>
          <w:sz w:val="20"/>
          <w:szCs w:val="20"/>
          <w:lang w:eastAsia="es-ES_tradnl"/>
        </w:rPr>
        <w:t>No obstante, debido a la naturaleza jurídica de cada figura, estos rubros tienen una finalidad y alcance diferente. En el marco de un convenio o contrato de que trata el artículo 355 de la Constitución Política y el Decreto 092 de 2017, se pueden incorporar los costos o gastos administrativos asociados a sus respectivos aportes, siempre que estén orientados a contribuir al cumplimiento de los compromisos comunes y a garantizar la viabilidad operativa. Por el contrario, si se trata de contratos celebrados en el marco de un proceso de selección para el aprovisionamiento de un bien o servicio o de una obra, debido a su naturaleza onerosa y conmutativa, estos rubros hacen parte de la contraprestación pactada a favor del contratista, es decir, forman parte del precio o retribución económica a una de las partes por los bienes o servicios que presta.</w:t>
      </w:r>
    </w:p>
    <w:p w:rsidR="00AC3D2E" w:rsidP="00AC3D2E" w:rsidRDefault="00AC3D2E" w14:paraId="4C1267A5" w14:textId="77777777">
      <w:pPr>
        <w:spacing w:after="0" w:line="240" w:lineRule="auto"/>
        <w:jc w:val="both"/>
        <w:rPr>
          <w:rFonts w:ascii="Verdana" w:hAnsi="Verdana" w:eastAsia="Times New Roman" w:cs="Arial"/>
          <w:iCs/>
          <w:sz w:val="20"/>
          <w:szCs w:val="20"/>
          <w:lang w:eastAsia="es-ES_tradnl"/>
        </w:rPr>
      </w:pPr>
    </w:p>
    <w:p w:rsidRPr="00AC3D2E" w:rsidR="00AC3D2E" w:rsidP="00AC3D2E" w:rsidRDefault="00AC3D2E" w14:paraId="2697D17F" w14:textId="7763D5EA">
      <w:pPr>
        <w:spacing w:after="0" w:line="240" w:lineRule="auto"/>
        <w:jc w:val="both"/>
        <w:rPr>
          <w:rFonts w:ascii="Verdana" w:hAnsi="Verdana" w:eastAsia="Calibri" w:cs="Arial"/>
          <w:sz w:val="20"/>
          <w:szCs w:val="20"/>
        </w:rPr>
      </w:pPr>
      <w:r w:rsidRPr="00AC3D2E">
        <w:rPr>
          <w:rFonts w:ascii="Verdana" w:hAnsi="Verdana" w:eastAsia="Times New Roman" w:cs="Arial"/>
          <w:iCs/>
          <w:sz w:val="20"/>
          <w:szCs w:val="20"/>
          <w:lang w:eastAsia="es-ES_tradnl"/>
        </w:rPr>
        <w:t xml:space="preserve">Ahora bien, en lo que respecta al descuento por concepto de estampillas debe precisarse que su inclusión dependerá de las condiciones establecidas por la Ley para estos tributos. </w:t>
      </w:r>
      <w:r w:rsidRPr="00AC3D2E">
        <w:rPr>
          <w:rFonts w:ascii="Verdana" w:hAnsi="Verdana" w:eastAsia="Calibri" w:cs="Arial"/>
          <w:sz w:val="20"/>
          <w:szCs w:val="20"/>
        </w:rPr>
        <w:t xml:space="preserve">De esta manera, la procedencia y aplicación de determinada estampilla estará sujeta al hecho generador establecido en la Ley, ordenanza o acuerdo, de tal suerte que, si estos incluyen a los contratos definidos en el artículo 355 de la Constitución Política y el Decreto 092 de 2017, deberá tenerse en cuenta para efectos de la suscripción de estos negocios jurídicos. </w:t>
      </w:r>
    </w:p>
    <w:p w:rsidR="00AC3D2E" w:rsidP="00AC3D2E" w:rsidRDefault="00AC3D2E" w14:paraId="3629846E" w14:textId="77777777">
      <w:pPr>
        <w:spacing w:after="0" w:line="240" w:lineRule="auto"/>
        <w:jc w:val="both"/>
        <w:rPr>
          <w:rFonts w:ascii="Verdana" w:hAnsi="Verdana" w:eastAsia="Aptos" w:cs="Arial"/>
          <w:sz w:val="20"/>
          <w:szCs w:val="20"/>
        </w:rPr>
      </w:pPr>
    </w:p>
    <w:p w:rsidRPr="00AC3D2E" w:rsidR="00AC3D2E" w:rsidP="00AC3D2E" w:rsidRDefault="00AC3D2E" w14:paraId="294CBF64" w14:textId="791F05AC">
      <w:pPr>
        <w:spacing w:after="0" w:line="240" w:lineRule="auto"/>
        <w:jc w:val="both"/>
        <w:rPr>
          <w:rFonts w:ascii="Verdana" w:hAnsi="Verdana" w:eastAsia="Aptos" w:cs="Arial"/>
          <w:sz w:val="20"/>
          <w:szCs w:val="20"/>
        </w:rPr>
      </w:pPr>
      <w:r w:rsidRPr="00AC3D2E">
        <w:rPr>
          <w:rFonts w:ascii="Verdana" w:hAnsi="Verdana" w:eastAsia="Aptos" w:cs="Arial"/>
          <w:sz w:val="20"/>
          <w:szCs w:val="20"/>
        </w:rPr>
        <w:t xml:space="preserve">En suma, será cada entidad la obligada a analizar en cada contrato o convenio celebrado con una ESAL, si por su sola celebración se constituye el hecho generador de determinada estampilla, pues de lo contrario no habrá lugar a su aplicación. Para tales efectos, es necesario realizar durante la etapa de planeación el análisis necesario para </w:t>
      </w:r>
      <w:r w:rsidRPr="00AC3D2E">
        <w:rPr>
          <w:rFonts w:ascii="Verdana" w:hAnsi="Verdana" w:eastAsia="Aptos" w:cs="Arial"/>
          <w:sz w:val="20"/>
          <w:szCs w:val="20"/>
        </w:rPr>
        <w:lastRenderedPageBreak/>
        <w:t xml:space="preserve">conocer el sector relativo al objeto del Proceso de Contratación, y con fundamento en dicho estudio deberá tenerse en cuenta los impuestos, tasas o contribuciones que haya lugar. </w:t>
      </w:r>
    </w:p>
    <w:p w:rsidR="00AC3D2E" w:rsidP="00EA6E14" w:rsidRDefault="00AC3D2E" w14:paraId="617DAF99" w14:textId="77777777">
      <w:pPr>
        <w:spacing w:after="0" w:line="240" w:lineRule="auto"/>
        <w:jc w:val="both"/>
        <w:rPr>
          <w:rFonts w:ascii="Verdana" w:hAnsi="Verdana"/>
        </w:rPr>
      </w:pPr>
    </w:p>
    <w:p w:rsidR="00AC3D2E" w:rsidP="00EA6E14" w:rsidRDefault="00AC3D2E" w14:paraId="791F07E6" w14:textId="77777777">
      <w:pPr>
        <w:spacing w:after="0" w:line="240" w:lineRule="auto"/>
        <w:jc w:val="both"/>
        <w:rPr>
          <w:rFonts w:ascii="Verdana" w:hAnsi="Verdana"/>
        </w:rPr>
      </w:pPr>
    </w:p>
    <w:p w:rsidR="00AC3D2E" w:rsidP="00EA6E14" w:rsidRDefault="00AC3D2E" w14:paraId="41771FC7" w14:textId="77777777">
      <w:pPr>
        <w:spacing w:after="0" w:line="240" w:lineRule="auto"/>
        <w:jc w:val="both"/>
        <w:rPr>
          <w:rFonts w:ascii="Verdana" w:hAnsi="Verdana"/>
        </w:rPr>
      </w:pPr>
    </w:p>
    <w:p w:rsidR="00AC3D2E" w:rsidP="00EA6E14" w:rsidRDefault="00AC3D2E" w14:paraId="456880D9" w14:textId="77777777">
      <w:pPr>
        <w:spacing w:after="0" w:line="240" w:lineRule="auto"/>
        <w:jc w:val="both"/>
        <w:rPr>
          <w:rFonts w:ascii="Verdana" w:hAnsi="Verdana"/>
        </w:rPr>
      </w:pPr>
    </w:p>
    <w:p w:rsidR="00AC3D2E" w:rsidP="00EA6E14" w:rsidRDefault="00AC3D2E" w14:paraId="5AA9AF19" w14:textId="77777777">
      <w:pPr>
        <w:spacing w:after="0" w:line="240" w:lineRule="auto"/>
        <w:jc w:val="both"/>
        <w:rPr>
          <w:rFonts w:ascii="Verdana" w:hAnsi="Verdana"/>
        </w:rPr>
      </w:pPr>
    </w:p>
    <w:p w:rsidR="00AC3D2E" w:rsidP="00EA6E14" w:rsidRDefault="00AC3D2E" w14:paraId="6D8DEA65" w14:textId="77777777">
      <w:pPr>
        <w:spacing w:after="0" w:line="240" w:lineRule="auto"/>
        <w:jc w:val="both"/>
        <w:rPr>
          <w:rFonts w:ascii="Verdana" w:hAnsi="Verdana"/>
        </w:rPr>
      </w:pPr>
    </w:p>
    <w:p w:rsidR="00AC3D2E" w:rsidP="00EA6E14" w:rsidRDefault="00AC3D2E" w14:paraId="7FAB2D7E" w14:textId="77777777">
      <w:pPr>
        <w:spacing w:after="0" w:line="240" w:lineRule="auto"/>
        <w:jc w:val="both"/>
        <w:rPr>
          <w:rFonts w:ascii="Verdana" w:hAnsi="Verdana"/>
        </w:rPr>
      </w:pPr>
    </w:p>
    <w:p w:rsidR="00AC3D2E" w:rsidP="00EA6E14" w:rsidRDefault="00AC3D2E" w14:paraId="6095E888" w14:textId="77777777">
      <w:pPr>
        <w:spacing w:after="0" w:line="240" w:lineRule="auto"/>
        <w:jc w:val="both"/>
        <w:rPr>
          <w:rFonts w:ascii="Verdana" w:hAnsi="Verdana"/>
        </w:rPr>
      </w:pPr>
    </w:p>
    <w:p w:rsidR="00AC3D2E" w:rsidP="00EA6E14" w:rsidRDefault="00AC3D2E" w14:paraId="0355467B" w14:textId="77777777">
      <w:pPr>
        <w:spacing w:after="0" w:line="240" w:lineRule="auto"/>
        <w:jc w:val="both"/>
        <w:rPr>
          <w:rFonts w:ascii="Verdana" w:hAnsi="Verdana"/>
        </w:rPr>
      </w:pPr>
    </w:p>
    <w:p w:rsidR="00AC3D2E" w:rsidP="00EA6E14" w:rsidRDefault="00AC3D2E" w14:paraId="5E86A3CB" w14:textId="77777777">
      <w:pPr>
        <w:spacing w:after="0" w:line="240" w:lineRule="auto"/>
        <w:jc w:val="both"/>
        <w:rPr>
          <w:rFonts w:ascii="Verdana" w:hAnsi="Verdana"/>
        </w:rPr>
      </w:pPr>
    </w:p>
    <w:p w:rsidR="00AC3D2E" w:rsidP="00EA6E14" w:rsidRDefault="00AC3D2E" w14:paraId="26229EBF" w14:textId="77777777">
      <w:pPr>
        <w:spacing w:after="0" w:line="240" w:lineRule="auto"/>
        <w:jc w:val="both"/>
        <w:rPr>
          <w:rFonts w:ascii="Verdana" w:hAnsi="Verdana"/>
        </w:rPr>
      </w:pPr>
    </w:p>
    <w:p w:rsidR="00AC3D2E" w:rsidP="00EA6E14" w:rsidRDefault="00AC3D2E" w14:paraId="7EE5B44C" w14:textId="77777777">
      <w:pPr>
        <w:spacing w:after="0" w:line="240" w:lineRule="auto"/>
        <w:jc w:val="both"/>
        <w:rPr>
          <w:rFonts w:ascii="Verdana" w:hAnsi="Verdana"/>
        </w:rPr>
      </w:pPr>
    </w:p>
    <w:p w:rsidR="00AC3D2E" w:rsidP="00EA6E14" w:rsidRDefault="00AC3D2E" w14:paraId="14041ED1" w14:textId="77777777">
      <w:pPr>
        <w:spacing w:after="0" w:line="240" w:lineRule="auto"/>
        <w:jc w:val="both"/>
        <w:rPr>
          <w:rFonts w:ascii="Verdana" w:hAnsi="Verdana"/>
        </w:rPr>
      </w:pPr>
    </w:p>
    <w:p w:rsidR="00AC3D2E" w:rsidP="00EA6E14" w:rsidRDefault="00AC3D2E" w14:paraId="256D8946" w14:textId="77777777">
      <w:pPr>
        <w:spacing w:after="0" w:line="240" w:lineRule="auto"/>
        <w:jc w:val="both"/>
        <w:rPr>
          <w:rFonts w:ascii="Verdana" w:hAnsi="Verdana"/>
        </w:rPr>
      </w:pPr>
    </w:p>
    <w:p w:rsidR="00AC3D2E" w:rsidP="00EA6E14" w:rsidRDefault="00AC3D2E" w14:paraId="5F6DEE16" w14:textId="77777777">
      <w:pPr>
        <w:spacing w:after="0" w:line="240" w:lineRule="auto"/>
        <w:jc w:val="both"/>
        <w:rPr>
          <w:rFonts w:ascii="Verdana" w:hAnsi="Verdana"/>
        </w:rPr>
      </w:pPr>
    </w:p>
    <w:p w:rsidR="00AC3D2E" w:rsidP="00EA6E14" w:rsidRDefault="00AC3D2E" w14:paraId="7DD308F2" w14:textId="77777777">
      <w:pPr>
        <w:spacing w:after="0" w:line="240" w:lineRule="auto"/>
        <w:jc w:val="both"/>
        <w:rPr>
          <w:rFonts w:ascii="Verdana" w:hAnsi="Verdana"/>
        </w:rPr>
      </w:pPr>
    </w:p>
    <w:p w:rsidR="00AC3D2E" w:rsidP="00EA6E14" w:rsidRDefault="00AC3D2E" w14:paraId="584433B3" w14:textId="77777777">
      <w:pPr>
        <w:spacing w:after="0" w:line="240" w:lineRule="auto"/>
        <w:jc w:val="both"/>
        <w:rPr>
          <w:rFonts w:ascii="Verdana" w:hAnsi="Verdana"/>
        </w:rPr>
      </w:pPr>
    </w:p>
    <w:p w:rsidR="00AC3D2E" w:rsidP="00EA6E14" w:rsidRDefault="00AC3D2E" w14:paraId="13D654D8" w14:textId="77777777">
      <w:pPr>
        <w:spacing w:after="0" w:line="240" w:lineRule="auto"/>
        <w:jc w:val="both"/>
        <w:rPr>
          <w:rFonts w:ascii="Verdana" w:hAnsi="Verdana"/>
        </w:rPr>
      </w:pPr>
    </w:p>
    <w:p w:rsidR="00AC3D2E" w:rsidP="00EA6E14" w:rsidRDefault="00AC3D2E" w14:paraId="287BBE67" w14:textId="77777777">
      <w:pPr>
        <w:spacing w:after="0" w:line="240" w:lineRule="auto"/>
        <w:jc w:val="both"/>
        <w:rPr>
          <w:rFonts w:ascii="Verdana" w:hAnsi="Verdana"/>
        </w:rPr>
      </w:pPr>
    </w:p>
    <w:p w:rsidR="00AC3D2E" w:rsidP="00EA6E14" w:rsidRDefault="00AC3D2E" w14:paraId="0D0ECF3F" w14:textId="77777777">
      <w:pPr>
        <w:spacing w:after="0" w:line="240" w:lineRule="auto"/>
        <w:jc w:val="both"/>
        <w:rPr>
          <w:rFonts w:ascii="Verdana" w:hAnsi="Verdana"/>
        </w:rPr>
      </w:pPr>
    </w:p>
    <w:p w:rsidR="00AC3D2E" w:rsidP="00EA6E14" w:rsidRDefault="00AC3D2E" w14:paraId="5EA05D8C" w14:textId="77777777">
      <w:pPr>
        <w:spacing w:after="0" w:line="240" w:lineRule="auto"/>
        <w:jc w:val="both"/>
        <w:rPr>
          <w:rFonts w:ascii="Verdana" w:hAnsi="Verdana"/>
        </w:rPr>
      </w:pPr>
    </w:p>
    <w:p w:rsidR="00AC3D2E" w:rsidP="00EA6E14" w:rsidRDefault="00AC3D2E" w14:paraId="114A78E2" w14:textId="77777777">
      <w:pPr>
        <w:spacing w:after="0" w:line="240" w:lineRule="auto"/>
        <w:jc w:val="both"/>
        <w:rPr>
          <w:rFonts w:ascii="Verdana" w:hAnsi="Verdana"/>
        </w:rPr>
      </w:pPr>
    </w:p>
    <w:p w:rsidR="00AC3D2E" w:rsidP="00EA6E14" w:rsidRDefault="00AC3D2E" w14:paraId="78E098BD" w14:textId="77777777">
      <w:pPr>
        <w:spacing w:after="0" w:line="240" w:lineRule="auto"/>
        <w:jc w:val="both"/>
        <w:rPr>
          <w:rFonts w:ascii="Verdana" w:hAnsi="Verdana"/>
        </w:rPr>
      </w:pPr>
    </w:p>
    <w:p w:rsidR="00AC3D2E" w:rsidP="00EA6E14" w:rsidRDefault="00AC3D2E" w14:paraId="3B175B9A" w14:textId="77777777">
      <w:pPr>
        <w:spacing w:after="0" w:line="240" w:lineRule="auto"/>
        <w:jc w:val="both"/>
        <w:rPr>
          <w:rFonts w:ascii="Verdana" w:hAnsi="Verdana"/>
        </w:rPr>
      </w:pPr>
    </w:p>
    <w:p w:rsidR="00AC3D2E" w:rsidP="00EA6E14" w:rsidRDefault="00AC3D2E" w14:paraId="559AD4CD" w14:textId="77777777">
      <w:pPr>
        <w:spacing w:after="0" w:line="240" w:lineRule="auto"/>
        <w:jc w:val="both"/>
        <w:rPr>
          <w:rFonts w:ascii="Verdana" w:hAnsi="Verdana"/>
        </w:rPr>
      </w:pPr>
    </w:p>
    <w:p w:rsidR="00AC3D2E" w:rsidP="00EA6E14" w:rsidRDefault="00AC3D2E" w14:paraId="252E4FE6" w14:textId="77777777">
      <w:pPr>
        <w:spacing w:after="0" w:line="240" w:lineRule="auto"/>
        <w:jc w:val="both"/>
        <w:rPr>
          <w:rFonts w:ascii="Verdana" w:hAnsi="Verdana"/>
        </w:rPr>
      </w:pPr>
    </w:p>
    <w:p w:rsidR="00AC3D2E" w:rsidP="00EA6E14" w:rsidRDefault="00AC3D2E" w14:paraId="4E728861" w14:textId="77777777">
      <w:pPr>
        <w:spacing w:after="0" w:line="240" w:lineRule="auto"/>
        <w:jc w:val="both"/>
        <w:rPr>
          <w:rFonts w:ascii="Verdana" w:hAnsi="Verdana"/>
        </w:rPr>
      </w:pPr>
    </w:p>
    <w:p w:rsidR="00AC3D2E" w:rsidP="00EA6E14" w:rsidRDefault="00AC3D2E" w14:paraId="23FB0513" w14:textId="77777777">
      <w:pPr>
        <w:spacing w:after="0" w:line="240" w:lineRule="auto"/>
        <w:jc w:val="both"/>
        <w:rPr>
          <w:rFonts w:ascii="Verdana" w:hAnsi="Verdana"/>
        </w:rPr>
      </w:pPr>
    </w:p>
    <w:p w:rsidR="00AC3D2E" w:rsidP="00EA6E14" w:rsidRDefault="00AC3D2E" w14:paraId="11DD2407" w14:textId="77777777">
      <w:pPr>
        <w:spacing w:after="0" w:line="240" w:lineRule="auto"/>
        <w:jc w:val="both"/>
        <w:rPr>
          <w:rFonts w:ascii="Verdana" w:hAnsi="Verdana"/>
        </w:rPr>
      </w:pPr>
    </w:p>
    <w:p w:rsidR="00AC3D2E" w:rsidP="00EA6E14" w:rsidRDefault="00AC3D2E" w14:paraId="1F4E9AAA" w14:textId="77777777">
      <w:pPr>
        <w:spacing w:after="0" w:line="240" w:lineRule="auto"/>
        <w:jc w:val="both"/>
        <w:rPr>
          <w:rFonts w:ascii="Verdana" w:hAnsi="Verdana"/>
        </w:rPr>
      </w:pPr>
    </w:p>
    <w:p w:rsidR="00AC3D2E" w:rsidP="00EA6E14" w:rsidRDefault="00AC3D2E" w14:paraId="26B47F55" w14:textId="77777777">
      <w:pPr>
        <w:spacing w:after="0" w:line="240" w:lineRule="auto"/>
        <w:jc w:val="both"/>
        <w:rPr>
          <w:rFonts w:ascii="Verdana" w:hAnsi="Verdana"/>
        </w:rPr>
      </w:pPr>
    </w:p>
    <w:p w:rsidR="00AC3D2E" w:rsidP="00EA6E14" w:rsidRDefault="00AC3D2E" w14:paraId="20F715C9" w14:textId="77777777">
      <w:pPr>
        <w:spacing w:after="0" w:line="240" w:lineRule="auto"/>
        <w:jc w:val="both"/>
        <w:rPr>
          <w:rFonts w:ascii="Verdana" w:hAnsi="Verdana"/>
        </w:rPr>
      </w:pPr>
    </w:p>
    <w:p w:rsidR="00AC3D2E" w:rsidP="00EA6E14" w:rsidRDefault="00AC3D2E" w14:paraId="4C9F9DB4" w14:textId="77777777">
      <w:pPr>
        <w:spacing w:after="0" w:line="240" w:lineRule="auto"/>
        <w:jc w:val="both"/>
        <w:rPr>
          <w:rFonts w:ascii="Verdana" w:hAnsi="Verdana"/>
        </w:rPr>
      </w:pPr>
    </w:p>
    <w:p w:rsidR="00AC3D2E" w:rsidP="00EA6E14" w:rsidRDefault="00AC3D2E" w14:paraId="077639F3" w14:textId="77777777">
      <w:pPr>
        <w:spacing w:after="0" w:line="240" w:lineRule="auto"/>
        <w:jc w:val="both"/>
        <w:rPr>
          <w:rFonts w:ascii="Verdana" w:hAnsi="Verdana"/>
        </w:rPr>
      </w:pPr>
    </w:p>
    <w:p w:rsidR="00AC3D2E" w:rsidP="00EA6E14" w:rsidRDefault="00AC3D2E" w14:paraId="73AF6B55" w14:textId="77777777">
      <w:pPr>
        <w:spacing w:after="0" w:line="240" w:lineRule="auto"/>
        <w:jc w:val="both"/>
        <w:rPr>
          <w:rFonts w:ascii="Verdana" w:hAnsi="Verdana"/>
        </w:rPr>
      </w:pPr>
    </w:p>
    <w:p w:rsidR="00AC3D2E" w:rsidP="00EA6E14" w:rsidRDefault="00AC3D2E" w14:paraId="6D7D0E0D" w14:textId="77777777">
      <w:pPr>
        <w:spacing w:after="0" w:line="240" w:lineRule="auto"/>
        <w:jc w:val="both"/>
        <w:rPr>
          <w:rFonts w:ascii="Verdana" w:hAnsi="Verdana"/>
        </w:rPr>
      </w:pPr>
    </w:p>
    <w:p w:rsidR="00AC3D2E" w:rsidP="00EA6E14" w:rsidRDefault="00AC3D2E" w14:paraId="61DFB6FC" w14:textId="77777777">
      <w:pPr>
        <w:spacing w:after="0" w:line="240" w:lineRule="auto"/>
        <w:jc w:val="both"/>
        <w:rPr>
          <w:rFonts w:ascii="Verdana" w:hAnsi="Verdana"/>
        </w:rPr>
      </w:pPr>
    </w:p>
    <w:p w:rsidR="00AC3D2E" w:rsidP="00EA6E14" w:rsidRDefault="00AC3D2E" w14:paraId="5134588F" w14:textId="77777777">
      <w:pPr>
        <w:spacing w:after="0" w:line="240" w:lineRule="auto"/>
        <w:jc w:val="both"/>
        <w:rPr>
          <w:rFonts w:ascii="Verdana" w:hAnsi="Verdana"/>
        </w:rPr>
      </w:pPr>
    </w:p>
    <w:p w:rsidR="00AC3D2E" w:rsidP="00EA6E14" w:rsidRDefault="00AC3D2E" w14:paraId="1EAC9DDD" w14:textId="77777777">
      <w:pPr>
        <w:spacing w:after="0" w:line="240" w:lineRule="auto"/>
        <w:jc w:val="both"/>
        <w:rPr>
          <w:rFonts w:ascii="Verdana" w:hAnsi="Verdana"/>
        </w:rPr>
      </w:pPr>
    </w:p>
    <w:p w:rsidR="00AC3D2E" w:rsidP="00EA6E14" w:rsidRDefault="00AC3D2E" w14:paraId="738C96BF" w14:textId="77777777">
      <w:pPr>
        <w:spacing w:after="0" w:line="240" w:lineRule="auto"/>
        <w:jc w:val="both"/>
        <w:rPr>
          <w:rFonts w:ascii="Verdana" w:hAnsi="Verdana"/>
        </w:rPr>
      </w:pPr>
    </w:p>
    <w:p w:rsidRPr="00FF007A" w:rsidR="00EA6E14" w:rsidP="00EA6E14" w:rsidRDefault="00EA6E14" w14:paraId="12E9C38A" w14:textId="5F30F0A3">
      <w:pPr>
        <w:spacing w:after="0" w:line="240" w:lineRule="auto"/>
        <w:jc w:val="both"/>
        <w:rPr>
          <w:rFonts w:ascii="Verdana" w:hAnsi="Verdana"/>
        </w:rPr>
      </w:pPr>
      <w:r w:rsidRPr="00FF007A">
        <w:rPr>
          <w:rFonts w:ascii="Verdana" w:hAnsi="Verdana"/>
        </w:rPr>
        <w:lastRenderedPageBreak/>
        <w:t xml:space="preserve">Bogotá D.C., </w:t>
      </w:r>
      <w:r w:rsidR="00376D2E">
        <w:rPr>
          <w:rFonts w:ascii="Verdana" w:hAnsi="Verdana"/>
        </w:rPr>
        <w:t>15 de octubre de 2025</w:t>
      </w:r>
    </w:p>
    <w:p w:rsidRPr="00FF007A" w:rsidR="00EA6E14" w:rsidP="00EA6E14" w:rsidRDefault="00EA6E14" w14:paraId="2CFF34A4" w14:textId="77777777">
      <w:pPr>
        <w:spacing w:after="0" w:line="240" w:lineRule="auto"/>
        <w:jc w:val="both"/>
        <w:rPr>
          <w:rFonts w:ascii="Verdana" w:hAnsi="Verdana" w:eastAsia="Calibri" w:cs="Arial"/>
          <w:lang w:eastAsia="es-ES"/>
        </w:rPr>
      </w:pPr>
      <w:bookmarkStart w:name="_Hlk197462763" w:id="6"/>
      <w:bookmarkStart w:name="_Hlk197529996" w:id="7"/>
    </w:p>
    <w:p w:rsidR="00376D2E" w:rsidP="00376D2E" w:rsidRDefault="00376D2E" w14:paraId="4CFBC8E7" w14:textId="3AFEE752">
      <w:pPr>
        <w:spacing w:after="0" w:line="240" w:lineRule="auto"/>
        <w:ind w:left="708"/>
        <w:jc w:val="center"/>
        <w:rPr>
          <w:rFonts w:ascii="Verdana" w:hAnsi="Verdana" w:eastAsia="Calibri" w:cs="Arial"/>
          <w:lang w:eastAsia="es-ES"/>
        </w:rPr>
      </w:pPr>
    </w:p>
    <w:p w:rsidR="00376D2E" w:rsidP="00376D2E" w:rsidRDefault="00376D2E" w14:paraId="0C4DF083" w14:textId="093DAF16">
      <w:pPr>
        <w:spacing w:after="0" w:line="240" w:lineRule="auto"/>
        <w:jc w:val="center"/>
        <w:rPr>
          <w:rFonts w:ascii="Verdana" w:hAnsi="Verdana" w:eastAsia="Calibri" w:cs="Arial"/>
          <w:lang w:eastAsia="es-ES"/>
        </w:rPr>
      </w:pPr>
      <w:r>
        <w:rPr>
          <w:rFonts w:ascii="Verdana" w:hAnsi="Verdana" w:eastAsia="Calibri" w:cs="Arial"/>
          <w:lang w:eastAsia="es-ES"/>
        </w:rPr>
        <w:t xml:space="preserve">       </w:t>
      </w:r>
      <w:r w:rsidRPr="007B4101" w:rsidR="007B4101">
        <w:rPr>
          <w:rFonts w:ascii="Verdana" w:hAnsi="Verdana" w:eastAsia="Calibri" w:cs="Arial"/>
          <w:lang w:eastAsia="es-ES"/>
        </w:rPr>
        <w:drawing>
          <wp:inline distT="0" distB="0" distL="0" distR="0" wp14:anchorId="769CC500" wp14:editId="347FE99D">
            <wp:extent cx="2435140" cy="636092"/>
            <wp:effectExtent l="0" t="0" r="3810" b="0"/>
            <wp:docPr id="10519069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906924" name=""/>
                    <pic:cNvPicPr/>
                  </pic:nvPicPr>
                  <pic:blipFill>
                    <a:blip r:embed="rId11"/>
                    <a:stretch>
                      <a:fillRect/>
                    </a:stretch>
                  </pic:blipFill>
                  <pic:spPr>
                    <a:xfrm>
                      <a:off x="0" y="0"/>
                      <a:ext cx="2489115" cy="650191"/>
                    </a:xfrm>
                    <a:prstGeom prst="rect">
                      <a:avLst/>
                    </a:prstGeom>
                  </pic:spPr>
                </pic:pic>
              </a:graphicData>
            </a:graphic>
          </wp:inline>
        </w:drawing>
      </w:r>
      <w:r w:rsidR="007B4101">
        <w:rPr>
          <w:rFonts w:ascii="Verdana" w:hAnsi="Verdana" w:eastAsia="Calibri" w:cs="Arial"/>
          <w:lang w:eastAsia="es-ES"/>
        </w:rPr>
        <w:t xml:space="preserve"> </w:t>
      </w:r>
      <w:r w:rsidRPr="007B4101" w:rsidR="007B4101">
        <w:rPr>
          <w:rFonts w:ascii="Verdana" w:hAnsi="Verdana" w:eastAsia="Calibri" w:cs="Arial"/>
          <w:lang w:eastAsia="es-ES"/>
        </w:rPr>
        <w:drawing>
          <wp:inline distT="0" distB="0" distL="0" distR="0" wp14:anchorId="1E7287E8" wp14:editId="2171489B">
            <wp:extent cx="2484038" cy="651979"/>
            <wp:effectExtent l="0" t="0" r="0" b="0"/>
            <wp:docPr id="123395969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959691" name="Imagen 1" descr="Texto&#10;&#10;El contenido generado por IA puede ser incorrecto."/>
                    <pic:cNvPicPr/>
                  </pic:nvPicPr>
                  <pic:blipFill>
                    <a:blip r:embed="rId12"/>
                    <a:stretch>
                      <a:fillRect/>
                    </a:stretch>
                  </pic:blipFill>
                  <pic:spPr>
                    <a:xfrm>
                      <a:off x="0" y="0"/>
                      <a:ext cx="2505138" cy="657517"/>
                    </a:xfrm>
                    <a:prstGeom prst="rect">
                      <a:avLst/>
                    </a:prstGeom>
                  </pic:spPr>
                </pic:pic>
              </a:graphicData>
            </a:graphic>
          </wp:inline>
        </w:drawing>
      </w:r>
    </w:p>
    <w:p w:rsidR="00376D2E" w:rsidP="00376D2E" w:rsidRDefault="00376D2E" w14:paraId="0879D012" w14:textId="20B52F09">
      <w:pPr>
        <w:spacing w:after="0" w:line="240" w:lineRule="auto"/>
        <w:jc w:val="both"/>
        <w:rPr>
          <w:rFonts w:ascii="Verdana" w:hAnsi="Verdana" w:eastAsia="Calibri" w:cs="Arial"/>
          <w:lang w:eastAsia="es-ES"/>
        </w:rPr>
      </w:pPr>
    </w:p>
    <w:p w:rsidR="007B4101" w:rsidP="007B4101" w:rsidRDefault="007B4101" w14:paraId="12915F02" w14:textId="75AB6CED">
      <w:pPr>
        <w:spacing w:after="0" w:line="240" w:lineRule="auto"/>
        <w:rPr>
          <w:rFonts w:ascii="Verdana" w:hAnsi="Verdana" w:eastAsia="Calibri" w:cs="Arial"/>
          <w:lang w:eastAsia="es-ES"/>
        </w:rPr>
      </w:pPr>
      <w:r>
        <w:rPr>
          <w:rFonts w:ascii="Verdana" w:hAnsi="Verdana" w:eastAsia="Calibri" w:cs="Arial"/>
          <w:lang w:eastAsia="es-ES"/>
        </w:rPr>
        <w:t xml:space="preserve">          </w:t>
      </w:r>
      <w:r w:rsidRPr="007B4101">
        <w:rPr>
          <w:rFonts w:ascii="Verdana" w:hAnsi="Verdana" w:eastAsia="Calibri" w:cs="Arial"/>
          <w:lang w:eastAsia="es-ES"/>
        </w:rPr>
        <w:drawing>
          <wp:inline distT="0" distB="0" distL="0" distR="0" wp14:anchorId="20C05419" wp14:editId="11084C99">
            <wp:extent cx="2400911" cy="636492"/>
            <wp:effectExtent l="0" t="0" r="0" b="0"/>
            <wp:docPr id="78117234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172346" name="Imagen 1" descr="Texto&#10;&#10;El contenido generado por IA puede ser incorrecto."/>
                    <pic:cNvPicPr/>
                  </pic:nvPicPr>
                  <pic:blipFill>
                    <a:blip r:embed="rId13"/>
                    <a:stretch>
                      <a:fillRect/>
                    </a:stretch>
                  </pic:blipFill>
                  <pic:spPr>
                    <a:xfrm>
                      <a:off x="0" y="0"/>
                      <a:ext cx="2510359" cy="665507"/>
                    </a:xfrm>
                    <a:prstGeom prst="rect">
                      <a:avLst/>
                    </a:prstGeom>
                  </pic:spPr>
                </pic:pic>
              </a:graphicData>
            </a:graphic>
          </wp:inline>
        </w:drawing>
      </w:r>
      <w:r>
        <w:rPr>
          <w:rFonts w:ascii="Verdana" w:hAnsi="Verdana" w:eastAsia="Calibri" w:cs="Arial"/>
          <w:lang w:eastAsia="es-ES"/>
        </w:rPr>
        <w:t xml:space="preserve"> </w:t>
      </w:r>
      <w:r w:rsidRPr="007B4101">
        <w:rPr>
          <w:rFonts w:ascii="Verdana" w:hAnsi="Verdana" w:eastAsia="Calibri" w:cs="Arial"/>
          <w:lang w:eastAsia="es-ES"/>
        </w:rPr>
        <w:drawing>
          <wp:inline distT="0" distB="0" distL="0" distR="0" wp14:anchorId="24760304" wp14:editId="3949C37F">
            <wp:extent cx="2580658" cy="644399"/>
            <wp:effectExtent l="0" t="0" r="0" b="3810"/>
            <wp:docPr id="162594800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948006" name="Imagen 1" descr="Texto&#10;&#10;El contenido generado por IA puede ser incorrecto."/>
                    <pic:cNvPicPr/>
                  </pic:nvPicPr>
                  <pic:blipFill>
                    <a:blip r:embed="rId14"/>
                    <a:stretch>
                      <a:fillRect/>
                    </a:stretch>
                  </pic:blipFill>
                  <pic:spPr>
                    <a:xfrm>
                      <a:off x="0" y="0"/>
                      <a:ext cx="2684251" cy="670266"/>
                    </a:xfrm>
                    <a:prstGeom prst="rect">
                      <a:avLst/>
                    </a:prstGeom>
                  </pic:spPr>
                </pic:pic>
              </a:graphicData>
            </a:graphic>
          </wp:inline>
        </w:drawing>
      </w:r>
    </w:p>
    <w:p w:rsidR="007B4101" w:rsidP="00EA6E14" w:rsidRDefault="007B4101" w14:paraId="3028B98D" w14:textId="77777777">
      <w:pPr>
        <w:spacing w:after="0" w:line="240" w:lineRule="auto"/>
        <w:jc w:val="both"/>
        <w:rPr>
          <w:rFonts w:ascii="Verdana" w:hAnsi="Verdana" w:eastAsia="Calibri" w:cs="Arial"/>
          <w:lang w:eastAsia="es-ES"/>
        </w:rPr>
      </w:pPr>
    </w:p>
    <w:p w:rsidRPr="00FF007A" w:rsidR="00EA6E14" w:rsidP="00EA6E14" w:rsidRDefault="00EA6E14" w14:paraId="55933132" w14:textId="661E36C9">
      <w:pPr>
        <w:spacing w:after="0" w:line="240" w:lineRule="auto"/>
        <w:jc w:val="both"/>
        <w:rPr>
          <w:rFonts w:ascii="Verdana" w:hAnsi="Verdana" w:eastAsia="Calibri" w:cs="Arial"/>
          <w:lang w:eastAsia="es-ES"/>
        </w:rPr>
      </w:pPr>
      <w:r w:rsidRPr="00FF007A">
        <w:rPr>
          <w:rFonts w:ascii="Verdana" w:hAnsi="Verdana" w:eastAsia="Calibri" w:cs="Arial"/>
          <w:lang w:eastAsia="es-ES"/>
        </w:rPr>
        <w:t>Señor</w:t>
      </w:r>
    </w:p>
    <w:p w:rsidR="00EA6E14" w:rsidP="00EA6E14" w:rsidRDefault="00EA6E14" w14:paraId="0AD33F28" w14:textId="77777777">
      <w:pPr>
        <w:spacing w:after="0" w:line="240" w:lineRule="auto"/>
        <w:jc w:val="both"/>
        <w:rPr>
          <w:rFonts w:ascii="Verdana" w:hAnsi="Verdana" w:eastAsia="Calibri" w:cs="Arial"/>
          <w:b/>
          <w:lang w:eastAsia="es-ES_tradnl"/>
        </w:rPr>
      </w:pPr>
      <w:r w:rsidRPr="00117BDE">
        <w:rPr>
          <w:rFonts w:ascii="Verdana" w:hAnsi="Verdana" w:eastAsia="Calibri" w:cs="Arial"/>
          <w:b/>
          <w:lang w:eastAsia="es-ES_tradnl"/>
        </w:rPr>
        <w:t>Rafael Leonardo</w:t>
      </w:r>
      <w:r>
        <w:rPr>
          <w:rFonts w:ascii="Verdana" w:hAnsi="Verdana" w:eastAsia="Calibri" w:cs="Arial"/>
          <w:b/>
          <w:lang w:eastAsia="es-ES_tradnl"/>
        </w:rPr>
        <w:t xml:space="preserve"> </w:t>
      </w:r>
      <w:r w:rsidRPr="00117BDE">
        <w:rPr>
          <w:rFonts w:ascii="Verdana" w:hAnsi="Verdana" w:eastAsia="Calibri" w:cs="Arial"/>
          <w:b/>
          <w:lang w:eastAsia="es-ES_tradnl"/>
        </w:rPr>
        <w:t>Peñaloza Ayala</w:t>
      </w:r>
    </w:p>
    <w:p w:rsidRPr="00117BDE" w:rsidR="00EA6E14" w:rsidP="00EA6E14" w:rsidRDefault="00EA6E14" w14:paraId="652A9BE6" w14:textId="77777777">
      <w:pPr>
        <w:spacing w:after="0" w:line="240" w:lineRule="auto"/>
        <w:jc w:val="both"/>
        <w:rPr>
          <w:rFonts w:ascii="Verdana" w:hAnsi="Verdana"/>
          <w:b/>
          <w:bCs/>
        </w:rPr>
      </w:pPr>
      <w:hyperlink w:history="1" r:id="rId15">
        <w:r w:rsidRPr="00117BDE">
          <w:rPr>
            <w:rStyle w:val="Hipervnculo"/>
            <w:rFonts w:ascii="Verdana" w:hAnsi="Verdana"/>
            <w:b/>
            <w:bCs/>
          </w:rPr>
          <w:t>rafaelp.91011@gmail.com</w:t>
        </w:r>
      </w:hyperlink>
    </w:p>
    <w:p w:rsidR="00EA6E14" w:rsidP="00EA6E14" w:rsidRDefault="00EA6E14" w14:paraId="2EABB380" w14:textId="77777777">
      <w:pPr>
        <w:spacing w:after="0" w:line="240" w:lineRule="auto"/>
        <w:jc w:val="both"/>
        <w:rPr>
          <w:rFonts w:ascii="Verdana" w:hAnsi="Verdana"/>
        </w:rPr>
      </w:pPr>
      <w:r>
        <w:rPr>
          <w:rFonts w:ascii="Verdana" w:hAnsi="Verdana"/>
        </w:rPr>
        <w:t xml:space="preserve">Ciudad </w:t>
      </w:r>
    </w:p>
    <w:p w:rsidRPr="00FF007A" w:rsidR="00EA6E14" w:rsidP="00EA6E14" w:rsidRDefault="00EA6E14" w14:paraId="0C121363" w14:textId="77777777">
      <w:pPr>
        <w:spacing w:after="0" w:line="240" w:lineRule="auto"/>
        <w:jc w:val="both"/>
        <w:rPr>
          <w:rFonts w:ascii="Verdana" w:hAnsi="Verdana" w:eastAsia="Calibri" w:cs="Arial"/>
          <w:b/>
          <w:bCs/>
          <w:color w:val="000000"/>
          <w:lang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3119"/>
        <w:gridCol w:w="5670"/>
      </w:tblGrid>
      <w:tr w:rsidRPr="00FF007A" w:rsidR="00EA6E14" w:rsidTr="00BA5555" w14:paraId="638C43A6" w14:textId="77777777">
        <w:trPr>
          <w:trHeight w:val="162"/>
        </w:trPr>
        <w:tc>
          <w:tcPr>
            <w:tcW w:w="3119" w:type="dxa"/>
          </w:tcPr>
          <w:p w:rsidRPr="00FF007A" w:rsidR="00EA6E14" w:rsidP="00BA5555" w:rsidRDefault="00EA6E14" w14:paraId="2C7E874C" w14:textId="77777777">
            <w:pPr>
              <w:jc w:val="both"/>
              <w:rPr>
                <w:rFonts w:ascii="Verdana" w:hAnsi="Verdana" w:eastAsia="Calibri" w:cs="Arial"/>
                <w:b/>
                <w:bCs/>
                <w:color w:val="7030A0"/>
                <w:lang w:eastAsia="es-ES_tradnl"/>
              </w:rPr>
            </w:pPr>
          </w:p>
        </w:tc>
        <w:tc>
          <w:tcPr>
            <w:tcW w:w="5670" w:type="dxa"/>
          </w:tcPr>
          <w:p w:rsidRPr="00FF007A" w:rsidR="00EA6E14" w:rsidP="00BA5555" w:rsidRDefault="00EA6E14" w14:paraId="0D192948" w14:textId="77777777">
            <w:pPr>
              <w:jc w:val="both"/>
              <w:rPr>
                <w:rFonts w:ascii="Verdana" w:hAnsi="Verdana" w:eastAsia="Calibri" w:cs="Arial"/>
                <w:b/>
                <w:bCs/>
                <w:lang w:eastAsia="es-ES"/>
              </w:rPr>
            </w:pPr>
            <w:r w:rsidRPr="00FF007A">
              <w:rPr>
                <w:rFonts w:ascii="Verdana" w:hAnsi="Verdana" w:eastAsia="Calibri" w:cs="Arial"/>
                <w:b/>
                <w:bCs/>
                <w:lang w:eastAsia="es-ES"/>
              </w:rPr>
              <w:t>Concepto C-1</w:t>
            </w:r>
            <w:r>
              <w:rPr>
                <w:rFonts w:ascii="Verdana" w:hAnsi="Verdana" w:eastAsia="Calibri" w:cs="Arial"/>
                <w:b/>
                <w:bCs/>
                <w:lang w:eastAsia="es-ES"/>
              </w:rPr>
              <w:t>284</w:t>
            </w:r>
            <w:r w:rsidRPr="00FF007A">
              <w:rPr>
                <w:rFonts w:ascii="Verdana" w:hAnsi="Verdana" w:eastAsia="Calibri" w:cs="Arial"/>
                <w:b/>
                <w:bCs/>
                <w:lang w:eastAsia="es-ES"/>
              </w:rPr>
              <w:t xml:space="preserve"> de 2025</w:t>
            </w:r>
          </w:p>
          <w:p w:rsidRPr="00FF007A" w:rsidR="00EA6E14" w:rsidP="00BA5555" w:rsidRDefault="00EA6E14" w14:paraId="19516B40" w14:textId="77777777">
            <w:pPr>
              <w:jc w:val="both"/>
              <w:rPr>
                <w:rFonts w:ascii="Verdana" w:hAnsi="Verdana" w:eastAsia="Calibri" w:cs="Arial"/>
                <w:b/>
                <w:bCs/>
                <w:color w:val="7030A0"/>
                <w:lang w:eastAsia="es-ES"/>
              </w:rPr>
            </w:pPr>
          </w:p>
        </w:tc>
      </w:tr>
      <w:tr w:rsidRPr="00FF007A" w:rsidR="00EA6E14" w:rsidTr="00BA5555" w14:paraId="59F5C264" w14:textId="77777777">
        <w:trPr>
          <w:trHeight w:val="884"/>
        </w:trPr>
        <w:tc>
          <w:tcPr>
            <w:tcW w:w="3119" w:type="dxa"/>
          </w:tcPr>
          <w:p w:rsidRPr="00FF007A" w:rsidR="00EA6E14" w:rsidP="00BA5555" w:rsidRDefault="00EA6E14" w14:paraId="170C2980" w14:textId="77777777">
            <w:pPr>
              <w:jc w:val="both"/>
              <w:rPr>
                <w:rFonts w:ascii="Verdana" w:hAnsi="Verdana" w:eastAsia="Calibri" w:cs="Arial"/>
                <w:color w:val="000000"/>
                <w:lang w:eastAsia="es-ES_tradnl"/>
              </w:rPr>
            </w:pPr>
            <w:r w:rsidRPr="00FF007A">
              <w:rPr>
                <w:rFonts w:ascii="Verdana" w:hAnsi="Verdana" w:eastAsia="Calibri" w:cs="Arial"/>
                <w:b/>
                <w:color w:val="000000"/>
                <w:lang w:eastAsia="es-ES_tradnl"/>
              </w:rPr>
              <w:t>Temas:</w:t>
            </w:r>
            <w:r w:rsidRPr="00FF007A">
              <w:rPr>
                <w:rFonts w:ascii="Verdana" w:hAnsi="Verdana" w:eastAsia="Calibri" w:cs="Arial"/>
                <w:color w:val="000000"/>
                <w:lang w:eastAsia="es-ES_tradnl"/>
              </w:rPr>
              <w:t xml:space="preserve">                   </w:t>
            </w:r>
          </w:p>
        </w:tc>
        <w:tc>
          <w:tcPr>
            <w:tcW w:w="5670" w:type="dxa"/>
          </w:tcPr>
          <w:p w:rsidR="00EA6E14" w:rsidP="00BA5555" w:rsidRDefault="00EA6E14" w14:paraId="6DA3E263" w14:textId="77777777">
            <w:pPr>
              <w:spacing w:line="276" w:lineRule="auto"/>
              <w:jc w:val="both"/>
              <w:rPr>
                <w:rFonts w:ascii="Verdana" w:hAnsi="Verdana" w:cs="Arial"/>
                <w:color w:val="000000" w:themeColor="text1"/>
              </w:rPr>
            </w:pPr>
            <w:r>
              <w:rPr>
                <w:rFonts w:ascii="Verdana" w:hAnsi="Verdana" w:cs="Arial"/>
                <w:color w:val="000000" w:themeColor="text1"/>
              </w:rPr>
              <w:t xml:space="preserve">CONTRATOS CON ESAL- Artículo 355 Constitución Política / DECRETO 092 DE 2017 – Contratos de Colaboración – Convenios de Asociación / CONTRATOS CON ESAL – Alcance – Requisitos / CONVENIOS DE ASOCIACIÓN – Alcance – Requisitos / CONTRATOS CON ESAL – Decreto 092 de 2017 – No es conmutativo – Características – CONTRATOS Y CONVENIOS CON ESAL – Decreto 092 de 2017 – Estampillas – Alcance </w:t>
            </w:r>
          </w:p>
          <w:p w:rsidRPr="001C213E" w:rsidR="00EA6E14" w:rsidP="00BA5555" w:rsidRDefault="00EA6E14" w14:paraId="48A0C015" w14:textId="77777777">
            <w:pPr>
              <w:spacing w:line="276" w:lineRule="auto"/>
              <w:jc w:val="both"/>
              <w:rPr>
                <w:rFonts w:ascii="Verdana" w:hAnsi="Verdana" w:cs="Arial"/>
                <w:color w:val="000000" w:themeColor="text1"/>
              </w:rPr>
            </w:pPr>
          </w:p>
        </w:tc>
      </w:tr>
      <w:tr w:rsidRPr="00FF007A" w:rsidR="00EA6E14" w:rsidTr="00BA5555" w14:paraId="0617F0DB" w14:textId="77777777">
        <w:tc>
          <w:tcPr>
            <w:tcW w:w="3119" w:type="dxa"/>
          </w:tcPr>
          <w:p w:rsidRPr="00FF007A" w:rsidR="00EA6E14" w:rsidP="00BA5555" w:rsidRDefault="00EA6E14" w14:paraId="442F4B39" w14:textId="77777777">
            <w:pPr>
              <w:jc w:val="both"/>
              <w:rPr>
                <w:rFonts w:ascii="Verdana" w:hAnsi="Verdana" w:eastAsia="Calibri" w:cs="Arial"/>
                <w:b/>
                <w:lang w:eastAsia="es-ES_tradnl"/>
              </w:rPr>
            </w:pPr>
            <w:r w:rsidRPr="00FF007A">
              <w:rPr>
                <w:rFonts w:ascii="Verdana" w:hAnsi="Verdana" w:eastAsia="Calibri" w:cs="Arial"/>
                <w:b/>
                <w:lang w:eastAsia="es-ES_tradnl"/>
              </w:rPr>
              <w:t>Radicación:</w:t>
            </w:r>
            <w:r w:rsidRPr="00FF007A">
              <w:rPr>
                <w:rFonts w:ascii="Verdana" w:hAnsi="Verdana" w:eastAsia="Calibri" w:cs="Arial"/>
                <w:lang w:eastAsia="es-ES_tradnl"/>
              </w:rPr>
              <w:t xml:space="preserve">               </w:t>
            </w:r>
          </w:p>
        </w:tc>
        <w:tc>
          <w:tcPr>
            <w:tcW w:w="5670" w:type="dxa"/>
          </w:tcPr>
          <w:p w:rsidRPr="00FF007A" w:rsidR="00EA6E14" w:rsidP="00BA5555" w:rsidRDefault="00EA6E14" w14:paraId="65659BD4" w14:textId="77777777">
            <w:pPr>
              <w:jc w:val="both"/>
              <w:rPr>
                <w:rFonts w:ascii="Verdana" w:hAnsi="Verdana" w:eastAsia="Calibri" w:cs="Arial"/>
                <w:lang w:eastAsia="es-ES_tradnl"/>
              </w:rPr>
            </w:pPr>
            <w:r w:rsidRPr="00FF007A">
              <w:rPr>
                <w:rFonts w:ascii="Verdana" w:hAnsi="Verdana" w:eastAsia="Calibri" w:cs="Arial"/>
                <w:lang w:eastAsia="es-ES_tradnl"/>
              </w:rPr>
              <w:t>Respuesta a consulta con radicado</w:t>
            </w:r>
            <w:r>
              <w:rPr>
                <w:rFonts w:ascii="Verdana" w:hAnsi="Verdana" w:eastAsia="Calibri" w:cs="Arial"/>
                <w:lang w:eastAsia="es-ES_tradnl"/>
              </w:rPr>
              <w:t>s</w:t>
            </w:r>
            <w:r w:rsidRPr="00FF007A">
              <w:rPr>
                <w:rFonts w:ascii="Verdana" w:hAnsi="Verdana" w:eastAsia="Calibri" w:cs="Arial"/>
                <w:lang w:eastAsia="es-ES_tradnl"/>
              </w:rPr>
              <w:t xml:space="preserve"> </w:t>
            </w:r>
            <w:r w:rsidRPr="00A42BC0">
              <w:rPr>
                <w:rFonts w:ascii="Verdana" w:hAnsi="Verdana" w:eastAsia="Calibri" w:cs="Arial"/>
                <w:lang w:eastAsia="es-ES_tradnl"/>
              </w:rPr>
              <w:t>1_2025_09_08_009742</w:t>
            </w:r>
            <w:r>
              <w:rPr>
                <w:rFonts w:ascii="Verdana" w:hAnsi="Verdana" w:eastAsia="Calibri" w:cs="Arial"/>
                <w:lang w:eastAsia="es-ES_tradnl"/>
              </w:rPr>
              <w:t xml:space="preserve">, </w:t>
            </w:r>
            <w:r w:rsidRPr="003B10FA">
              <w:rPr>
                <w:rFonts w:ascii="Verdana" w:hAnsi="Verdana" w:eastAsia="Calibri" w:cs="Arial"/>
                <w:lang w:eastAsia="es-ES_tradnl"/>
              </w:rPr>
              <w:t>1_2025_09_09_009773</w:t>
            </w:r>
            <w:r>
              <w:rPr>
                <w:rFonts w:ascii="Verdana" w:hAnsi="Verdana" w:eastAsia="Calibri" w:cs="Arial"/>
                <w:lang w:eastAsia="es-ES_tradnl"/>
              </w:rPr>
              <w:t xml:space="preserve">, </w:t>
            </w:r>
            <w:r w:rsidRPr="003B10FA">
              <w:rPr>
                <w:rFonts w:ascii="Verdana" w:hAnsi="Verdana" w:eastAsia="Calibri" w:cs="Arial"/>
                <w:lang w:eastAsia="es-ES_tradnl"/>
              </w:rPr>
              <w:t>1_2025_09_16_010152</w:t>
            </w:r>
            <w:r>
              <w:rPr>
                <w:rFonts w:ascii="Verdana" w:hAnsi="Verdana" w:eastAsia="Calibri" w:cs="Arial"/>
                <w:lang w:eastAsia="es-ES_tradnl"/>
              </w:rPr>
              <w:t xml:space="preserve">, </w:t>
            </w:r>
            <w:r w:rsidRPr="003B10FA">
              <w:rPr>
                <w:rFonts w:ascii="Verdana" w:hAnsi="Verdana" w:eastAsia="Calibri" w:cs="Arial"/>
                <w:lang w:eastAsia="es-ES_tradnl"/>
              </w:rPr>
              <w:t>1_2025_09_22_010422</w:t>
            </w:r>
            <w:r>
              <w:rPr>
                <w:rFonts w:ascii="Verdana" w:hAnsi="Verdana" w:eastAsia="Calibri" w:cs="Arial"/>
                <w:lang w:eastAsia="es-ES_tradnl"/>
              </w:rPr>
              <w:t xml:space="preserve"> (Acumuladas)</w:t>
            </w:r>
          </w:p>
        </w:tc>
      </w:tr>
    </w:tbl>
    <w:p w:rsidRPr="00FF007A" w:rsidR="00EA6E14" w:rsidP="00EA6E14" w:rsidRDefault="00EA6E14" w14:paraId="5F7FB70E" w14:textId="77777777">
      <w:pPr>
        <w:spacing w:after="0" w:line="276" w:lineRule="auto"/>
        <w:jc w:val="both"/>
        <w:rPr>
          <w:rFonts w:ascii="Verdana" w:hAnsi="Verdana" w:eastAsia="Calibri" w:cs="Arial"/>
          <w:lang w:eastAsia="es-ES_tradnl"/>
        </w:rPr>
      </w:pPr>
    </w:p>
    <w:p w:rsidR="00EA6E14" w:rsidP="00EA6E14" w:rsidRDefault="00EA6E14" w14:paraId="419E8873" w14:textId="77777777">
      <w:pPr>
        <w:spacing w:after="0" w:line="276" w:lineRule="auto"/>
        <w:jc w:val="both"/>
        <w:rPr>
          <w:rFonts w:ascii="Verdana" w:hAnsi="Verdana" w:eastAsia="Calibri" w:cs="Arial"/>
          <w:lang w:eastAsia="es-ES"/>
        </w:rPr>
      </w:pPr>
      <w:r w:rsidRPr="00FF007A">
        <w:rPr>
          <w:rFonts w:ascii="Verdana" w:hAnsi="Verdana" w:eastAsia="Calibri" w:cs="Arial"/>
          <w:lang w:eastAsia="es-ES"/>
        </w:rPr>
        <w:t>Estimad</w:t>
      </w:r>
      <w:r>
        <w:rPr>
          <w:rFonts w:ascii="Verdana" w:hAnsi="Verdana" w:eastAsia="Calibri" w:cs="Arial"/>
          <w:lang w:eastAsia="es-ES"/>
        </w:rPr>
        <w:t>o señor Peñaloza:</w:t>
      </w:r>
    </w:p>
    <w:p w:rsidRPr="00FF007A" w:rsidR="00EA6E14" w:rsidP="00EA6E14" w:rsidRDefault="00EA6E14" w14:paraId="79E580FC" w14:textId="77777777">
      <w:pPr>
        <w:spacing w:after="0" w:line="276" w:lineRule="auto"/>
        <w:jc w:val="both"/>
        <w:rPr>
          <w:rFonts w:ascii="Verdana" w:hAnsi="Verdana" w:eastAsia="Calibri" w:cs="Arial"/>
          <w:lang w:eastAsia="es-ES"/>
        </w:rPr>
      </w:pPr>
      <w:r>
        <w:rPr>
          <w:rFonts w:ascii="Verdana" w:hAnsi="Verdana" w:eastAsia="Calibri" w:cs="Arial"/>
          <w:lang w:eastAsia="es-ES"/>
        </w:rPr>
        <w:t xml:space="preserve"> </w:t>
      </w:r>
    </w:p>
    <w:p w:rsidRPr="00EA6E14" w:rsidR="00EA6E14" w:rsidP="00EA6E14" w:rsidRDefault="00EA6E14" w14:paraId="2A047116" w14:textId="6192A17B">
      <w:pPr>
        <w:tabs>
          <w:tab w:val="left" w:pos="3768"/>
        </w:tabs>
        <w:spacing w:after="120" w:line="276" w:lineRule="auto"/>
        <w:jc w:val="both"/>
        <w:rPr>
          <w:rFonts w:ascii="Verdana" w:hAnsi="Verdana" w:eastAsia="Calibri" w:cs="Arial"/>
          <w:lang w:eastAsia="es-ES"/>
        </w:rPr>
      </w:pPr>
      <w:r w:rsidRPr="00E05649">
        <w:rPr>
          <w:rFonts w:ascii="Verdana" w:hAnsi="Verdana" w:eastAsia="Calibri" w:cs="Arial"/>
          <w:lang w:eastAsia="es-ES"/>
        </w:rPr>
        <w:t>En ejercicio de la competencia otorgada por los artículos 3, numeral 5º, y 11, numeral 8º, del Decreto Ley 4170 de 2011,</w:t>
      </w:r>
      <w:r w:rsidRPr="00E05649">
        <w:rPr>
          <w:rFonts w:ascii="Verdana" w:hAnsi="Verdana" w:eastAsia="Arial MT"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hAnsi="Verdana" w:eastAsia="Calibri" w:cs="Arial"/>
          <w:lang w:eastAsia="es-ES"/>
        </w:rPr>
        <w:t xml:space="preserve">la Agencia Nacional de Contratación Pública – Colombia Compra Eficiente– responde su solicitud de </w:t>
      </w:r>
      <w:r w:rsidRPr="00E05649">
        <w:rPr>
          <w:rFonts w:ascii="Verdana" w:hAnsi="Verdana" w:eastAsia="Calibri" w:cs="Arial"/>
          <w:lang w:eastAsia="es-ES"/>
        </w:rPr>
        <w:lastRenderedPageBreak/>
        <w:t xml:space="preserve">consulta de fecha </w:t>
      </w:r>
      <w:r>
        <w:rPr>
          <w:rFonts w:ascii="Verdana" w:hAnsi="Verdana" w:eastAsia="Calibri" w:cs="Arial"/>
          <w:lang w:eastAsia="es-ES"/>
        </w:rPr>
        <w:t xml:space="preserve">29 de agosto de 2025, trasladada por parte de la Agencia de Defensa Jurídica del Estado el 5 de septiembre de 2025, mediante radicado 202510008791, así como sus peticiones de fecha 8, 16 y 22 de septiembre  </w:t>
      </w:r>
      <w:r w:rsidRPr="00E05649">
        <w:rPr>
          <w:rFonts w:ascii="Verdana" w:hAnsi="Verdana" w:eastAsia="Calibri" w:cs="Arial"/>
          <w:lang w:eastAsia="es-ES"/>
        </w:rPr>
        <w:t xml:space="preserve">en la cual manifiesta lo siguiente: </w:t>
      </w:r>
    </w:p>
    <w:p w:rsidR="00EA6E14" w:rsidP="00EA6E14" w:rsidRDefault="00EA6E14" w14:paraId="077318C3" w14:textId="77777777">
      <w:pPr>
        <w:spacing w:after="0" w:line="240" w:lineRule="auto"/>
        <w:ind w:left="709" w:right="709"/>
        <w:jc w:val="both"/>
        <w:rPr>
          <w:rFonts w:ascii="Verdana" w:hAnsi="Verdana" w:eastAsia="Century Gothic" w:cs="Century Gothic"/>
          <w:sz w:val="20"/>
          <w:szCs w:val="20"/>
        </w:rPr>
      </w:pPr>
      <w:bookmarkStart w:name="_Hlk192699624" w:id="8"/>
      <w:bookmarkStart w:name="_Hlk199394899" w:id="9"/>
      <w:r w:rsidRPr="007C7B24">
        <w:rPr>
          <w:rFonts w:ascii="Verdana" w:hAnsi="Verdana" w:eastAsia="Century Gothic" w:cs="Century Gothic"/>
          <w:sz w:val="20"/>
          <w:szCs w:val="20"/>
        </w:rPr>
        <w:t xml:space="preserve">“(…) </w:t>
      </w:r>
      <w:bookmarkEnd w:id="8"/>
      <w:bookmarkEnd w:id="9"/>
      <w:r w:rsidRPr="00EA7A80">
        <w:rPr>
          <w:rFonts w:ascii="Verdana" w:hAnsi="Verdana" w:eastAsia="Century Gothic" w:cs="Century Gothic"/>
          <w:sz w:val="20"/>
          <w:szCs w:val="20"/>
        </w:rPr>
        <w:t xml:space="preserve">Solicito a esa entidad se sirva emitir un concepto formal respecto a la posibilidad de incluir de manera discriminada en los contratos o convenios suscritos con Entidades Sin Ánimo de Lucro (ESALES) u otras personas jurídicas, los valores correspondientes a las estampillas departamentales obligatorias (como estampilla ProDesarrollo, pro-UIS, adulto mayor, entre otras), tratándolas como gastos de legalización, y no como parte del valor del bien o servicio contratado. </w:t>
      </w:r>
    </w:p>
    <w:p w:rsidR="00EA6E14" w:rsidP="00EA6E14" w:rsidRDefault="00EA6E14" w14:paraId="6589940E" w14:textId="77777777">
      <w:pPr>
        <w:spacing w:after="0" w:line="240" w:lineRule="auto"/>
        <w:ind w:left="709" w:right="709"/>
        <w:jc w:val="both"/>
        <w:rPr>
          <w:rFonts w:ascii="Verdana" w:hAnsi="Verdana" w:eastAsia="Century Gothic" w:cs="Century Gothic"/>
          <w:sz w:val="20"/>
          <w:szCs w:val="20"/>
        </w:rPr>
      </w:pPr>
    </w:p>
    <w:p w:rsidR="00EA6E14" w:rsidP="00EA6E14" w:rsidRDefault="00EA6E14" w14:paraId="6A01C529" w14:textId="77777777">
      <w:pPr>
        <w:spacing w:after="0" w:line="240" w:lineRule="auto"/>
        <w:ind w:left="709" w:right="709"/>
        <w:jc w:val="both"/>
        <w:rPr>
          <w:rFonts w:ascii="Verdana" w:hAnsi="Verdana" w:eastAsia="Century Gothic" w:cs="Century Gothic"/>
          <w:sz w:val="20"/>
          <w:szCs w:val="20"/>
        </w:rPr>
      </w:pPr>
      <w:r w:rsidRPr="00EA7A80">
        <w:rPr>
          <w:rFonts w:ascii="Verdana" w:hAnsi="Verdana" w:eastAsia="Century Gothic" w:cs="Century Gothic"/>
          <w:sz w:val="20"/>
          <w:szCs w:val="20"/>
        </w:rPr>
        <w:t xml:space="preserve">Lo anterior, teniendo en cuenta que: </w:t>
      </w:r>
    </w:p>
    <w:p w:rsidR="00EA6E14" w:rsidP="00EA6E14" w:rsidRDefault="00EA6E14" w14:paraId="60F59B32" w14:textId="77777777">
      <w:pPr>
        <w:spacing w:after="0" w:line="240" w:lineRule="auto"/>
        <w:ind w:left="709" w:right="709"/>
        <w:jc w:val="both"/>
        <w:rPr>
          <w:rFonts w:ascii="Verdana" w:hAnsi="Verdana" w:eastAsia="Century Gothic" w:cs="Century Gothic"/>
          <w:sz w:val="20"/>
          <w:szCs w:val="20"/>
        </w:rPr>
      </w:pPr>
    </w:p>
    <w:p w:rsidR="00EA6E14" w:rsidP="00EA6E14" w:rsidRDefault="00EA6E14" w14:paraId="494FBD2E" w14:textId="77777777">
      <w:pPr>
        <w:spacing w:after="0" w:line="240" w:lineRule="auto"/>
        <w:ind w:left="709" w:right="709"/>
        <w:jc w:val="both"/>
        <w:rPr>
          <w:rFonts w:ascii="Verdana" w:hAnsi="Verdana" w:eastAsia="Century Gothic" w:cs="Century Gothic"/>
          <w:sz w:val="20"/>
          <w:szCs w:val="20"/>
        </w:rPr>
      </w:pPr>
      <w:r w:rsidRPr="00EA7A80">
        <w:rPr>
          <w:rFonts w:ascii="Verdana" w:hAnsi="Verdana" w:eastAsia="Century Gothic" w:cs="Century Gothic"/>
          <w:sz w:val="20"/>
          <w:szCs w:val="20"/>
        </w:rPr>
        <w:t xml:space="preserve">Esta práctica permitiría mayor transparencia en la ejecución del gasto público y en la correcta estructuración de los contratos. Evitaría la sobrefacturación o el incremento artificial del valor de los bienes o servicios ofrecidos, lo cual puede tener implicaciones en el control fiscal, el pago de impuestos y la sostenibilidad de los recursos públicos. Existen diferencias interpretativas entre entidades públicas contratantes y órganos de control sobre la forma correcta de aplicar dichas estampillas en los convenios con ESALES. </w:t>
      </w:r>
    </w:p>
    <w:p w:rsidR="00EA6E14" w:rsidP="00EA6E14" w:rsidRDefault="00EA6E14" w14:paraId="13197CC2" w14:textId="77777777">
      <w:pPr>
        <w:spacing w:after="0" w:line="240" w:lineRule="auto"/>
        <w:ind w:left="709" w:right="709"/>
        <w:jc w:val="both"/>
        <w:rPr>
          <w:rFonts w:ascii="Verdana" w:hAnsi="Verdana" w:eastAsia="Century Gothic" w:cs="Century Gothic"/>
          <w:sz w:val="20"/>
          <w:szCs w:val="20"/>
        </w:rPr>
      </w:pPr>
    </w:p>
    <w:p w:rsidR="00EA6E14" w:rsidP="00EA6E14" w:rsidRDefault="00EA6E14" w14:paraId="53D3D94B" w14:textId="77777777">
      <w:pPr>
        <w:spacing w:after="0" w:line="240" w:lineRule="auto"/>
        <w:ind w:left="709" w:right="709"/>
        <w:jc w:val="both"/>
        <w:rPr>
          <w:rFonts w:ascii="Verdana" w:hAnsi="Verdana" w:eastAsia="Century Gothic" w:cs="Century Gothic"/>
          <w:sz w:val="20"/>
          <w:szCs w:val="20"/>
        </w:rPr>
      </w:pPr>
      <w:r w:rsidRPr="00EA7A80">
        <w:rPr>
          <w:rFonts w:ascii="Verdana" w:hAnsi="Verdana" w:eastAsia="Century Gothic" w:cs="Century Gothic"/>
          <w:sz w:val="20"/>
          <w:szCs w:val="20"/>
        </w:rPr>
        <w:t xml:space="preserve">SOLICITUD ESPECÍFICA </w:t>
      </w:r>
    </w:p>
    <w:p w:rsidR="00EA6E14" w:rsidP="00EA6E14" w:rsidRDefault="00EA6E14" w14:paraId="014402A5" w14:textId="77777777">
      <w:pPr>
        <w:spacing w:after="0" w:line="240" w:lineRule="auto"/>
        <w:ind w:left="709" w:right="709"/>
        <w:jc w:val="both"/>
        <w:rPr>
          <w:rFonts w:ascii="Verdana" w:hAnsi="Verdana" w:eastAsia="Century Gothic" w:cs="Century Gothic"/>
          <w:sz w:val="20"/>
          <w:szCs w:val="20"/>
        </w:rPr>
      </w:pPr>
    </w:p>
    <w:p w:rsidRPr="00EA7A80" w:rsidR="00EA6E14" w:rsidP="00EA6E14" w:rsidRDefault="00EA6E14" w14:paraId="292612BD" w14:textId="77777777">
      <w:pPr>
        <w:pStyle w:val="Prrafodelista"/>
        <w:numPr>
          <w:ilvl w:val="0"/>
          <w:numId w:val="17"/>
        </w:numPr>
        <w:spacing w:after="0" w:line="240" w:lineRule="auto"/>
        <w:ind w:right="709"/>
        <w:jc w:val="both"/>
        <w:rPr>
          <w:rFonts w:ascii="Verdana" w:hAnsi="Verdana" w:eastAsia="Century Gothic" w:cs="Century Gothic"/>
          <w:sz w:val="20"/>
          <w:szCs w:val="20"/>
        </w:rPr>
      </w:pPr>
      <w:r w:rsidRPr="00EA7A80">
        <w:rPr>
          <w:rFonts w:ascii="Verdana" w:hAnsi="Verdana" w:eastAsia="Century Gothic" w:cs="Century Gothic"/>
          <w:sz w:val="20"/>
          <w:szCs w:val="20"/>
        </w:rPr>
        <w:t xml:space="preserve">¿Permite la Fiscalía que en los contratos o convenios con ESALES se discrimen por aparte los valores correspondientes a las estampillas como gasto de legalización? </w:t>
      </w:r>
    </w:p>
    <w:p w:rsidR="00EA6E14" w:rsidP="00EA6E14" w:rsidRDefault="00EA6E14" w14:paraId="34A9A93D" w14:textId="77777777">
      <w:pPr>
        <w:pStyle w:val="Prrafodelista"/>
        <w:numPr>
          <w:ilvl w:val="0"/>
          <w:numId w:val="17"/>
        </w:numPr>
        <w:spacing w:after="0" w:line="240" w:lineRule="auto"/>
        <w:ind w:right="709"/>
        <w:jc w:val="both"/>
        <w:rPr>
          <w:rFonts w:ascii="Verdana" w:hAnsi="Verdana" w:eastAsia="Century Gothic" w:cs="Century Gothic"/>
          <w:sz w:val="20"/>
          <w:szCs w:val="20"/>
        </w:rPr>
      </w:pPr>
      <w:r w:rsidRPr="00EA7A80">
        <w:rPr>
          <w:rFonts w:ascii="Verdana" w:hAnsi="Verdana" w:eastAsia="Century Gothic" w:cs="Century Gothic"/>
          <w:sz w:val="20"/>
          <w:szCs w:val="20"/>
        </w:rPr>
        <w:t xml:space="preserve">En caso negativo, ¿cuál es la justificación técnica o jurídica para no permitir dicha discriminación? </w:t>
      </w:r>
    </w:p>
    <w:p w:rsidR="00EA6E14" w:rsidP="00EA6E14" w:rsidRDefault="00EA6E14" w14:paraId="6BCE6090" w14:textId="77777777">
      <w:pPr>
        <w:pStyle w:val="Prrafodelista"/>
        <w:numPr>
          <w:ilvl w:val="0"/>
          <w:numId w:val="17"/>
        </w:numPr>
        <w:spacing w:after="0" w:line="240" w:lineRule="auto"/>
        <w:ind w:right="709"/>
        <w:jc w:val="both"/>
        <w:rPr>
          <w:rFonts w:ascii="Verdana" w:hAnsi="Verdana" w:eastAsia="Century Gothic" w:cs="Century Gothic"/>
          <w:sz w:val="20"/>
          <w:szCs w:val="20"/>
        </w:rPr>
      </w:pPr>
      <w:r w:rsidRPr="00EA7A80">
        <w:rPr>
          <w:rFonts w:ascii="Verdana" w:hAnsi="Verdana" w:eastAsia="Century Gothic" w:cs="Century Gothic"/>
          <w:sz w:val="20"/>
          <w:szCs w:val="20"/>
        </w:rPr>
        <w:t>¿Existe algún concepto, directriz o lineamiento por parte de esa entidad que regule este asunto? Agradezco de antemano la atención prestada a esta solicitud</w:t>
      </w:r>
      <w:r>
        <w:rPr>
          <w:rFonts w:ascii="Verdana" w:hAnsi="Verdana" w:eastAsia="Century Gothic" w:cs="Century Gothic"/>
          <w:sz w:val="20"/>
          <w:szCs w:val="20"/>
        </w:rPr>
        <w:t xml:space="preserve"> (…)”</w:t>
      </w:r>
      <w:r w:rsidRPr="00EA7A80">
        <w:rPr>
          <w:rFonts w:ascii="Verdana" w:hAnsi="Verdana" w:eastAsia="Century Gothic" w:cs="Century Gothic"/>
          <w:sz w:val="20"/>
          <w:szCs w:val="20"/>
        </w:rPr>
        <w:t xml:space="preserve">. </w:t>
      </w:r>
    </w:p>
    <w:p w:rsidRPr="00302928" w:rsidR="00EA6E14" w:rsidP="00EA6E14" w:rsidRDefault="00EA6E14" w14:paraId="675B5CDF" w14:textId="77777777">
      <w:pPr>
        <w:pStyle w:val="Prrafodelista"/>
        <w:spacing w:after="120" w:line="276" w:lineRule="auto"/>
        <w:ind w:left="1429" w:right="709"/>
        <w:jc w:val="both"/>
        <w:rPr>
          <w:rFonts w:ascii="Verdana" w:hAnsi="Verdana" w:eastAsia="Century Gothic" w:cs="Century Gothic"/>
          <w:sz w:val="20"/>
          <w:szCs w:val="20"/>
        </w:rPr>
      </w:pPr>
    </w:p>
    <w:p w:rsidRPr="00FF007A" w:rsidR="00EA6E14" w:rsidP="00EA6E14" w:rsidRDefault="00EA6E14" w14:paraId="3706D677" w14:textId="77777777">
      <w:pPr>
        <w:spacing w:after="120" w:line="276" w:lineRule="auto"/>
        <w:ind w:firstLine="709"/>
        <w:jc w:val="both"/>
        <w:rPr>
          <w:rFonts w:ascii="Verdana" w:hAnsi="Verdana" w:eastAsia="Calibri" w:cs="Arial"/>
          <w:color w:val="000000"/>
          <w:szCs w:val="24"/>
          <w:lang w:eastAsia="es-ES_tradnl"/>
        </w:rPr>
      </w:pPr>
      <w:r w:rsidRPr="00FF007A">
        <w:rPr>
          <w:rFonts w:ascii="Verdana" w:hAnsi="Verdana" w:eastAsia="Calibri"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FF007A">
        <w:rPr>
          <w:rFonts w:ascii="Verdana" w:hAnsi="Verdana" w:eastAsia="Calibri" w:cs="Arial"/>
          <w:color w:val="000000"/>
          <w:lang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p>
    <w:p w:rsidRPr="00AF06A2" w:rsidR="00EA6E14" w:rsidP="00A72180" w:rsidRDefault="00EA6E14" w14:paraId="1C5E6BF3" w14:textId="77777777">
      <w:pPr>
        <w:spacing w:after="120" w:line="276" w:lineRule="auto"/>
        <w:ind w:firstLine="709"/>
        <w:jc w:val="both"/>
        <w:rPr>
          <w:rFonts w:ascii="Verdana" w:hAnsi="Verdana" w:eastAsia="Calibri" w:cs="Arial"/>
          <w:lang w:eastAsia="es-ES"/>
        </w:rPr>
      </w:pPr>
      <w:r w:rsidRPr="00FF007A">
        <w:rPr>
          <w:rFonts w:ascii="Verdana" w:hAnsi="Verdana" w:eastAsia="Calibri"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Pr>
          <w:rFonts w:ascii="Verdana" w:hAnsi="Verdana" w:eastAsia="Calibri" w:cs="Arial"/>
          <w:color w:val="000000"/>
          <w:lang w:eastAsia="es-ES"/>
        </w:rPr>
        <w:t>con el problema jurídico</w:t>
      </w:r>
      <w:r w:rsidRPr="00AF06A2">
        <w:rPr>
          <w:rFonts w:ascii="Verdana" w:hAnsi="Verdana" w:eastAsia="Calibri" w:cs="Arial"/>
          <w:color w:val="EE0000"/>
          <w:lang w:eastAsia="es-ES"/>
        </w:rPr>
        <w:t xml:space="preserve"> </w:t>
      </w:r>
      <w:r w:rsidRPr="00AF06A2">
        <w:rPr>
          <w:rFonts w:ascii="Verdana" w:hAnsi="Verdana" w:eastAsia="Calibri" w:cs="Arial"/>
          <w:lang w:eastAsia="es-ES"/>
        </w:rPr>
        <w:t xml:space="preserve">de su consulta.  </w:t>
      </w:r>
    </w:p>
    <w:p w:rsidR="00EA6E14" w:rsidP="00EA6E14" w:rsidRDefault="00EA6E14" w14:paraId="6D5FFF26"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lang w:val="es-CO"/>
        </w:rPr>
      </w:pPr>
      <w:r w:rsidRPr="00AF06A2">
        <w:rPr>
          <w:rFonts w:ascii="Verdana" w:hAnsi="Verdana" w:eastAsia="Century Gothic" w:cs="Century Gothic"/>
          <w:b/>
          <w:bCs/>
          <w:lang w:val="es-CO"/>
        </w:rPr>
        <w:t>Problema planteado:</w:t>
      </w:r>
    </w:p>
    <w:p w:rsidRPr="00AF06A2" w:rsidR="00A72180" w:rsidP="00A72180" w:rsidRDefault="00A72180" w14:paraId="4E6DAC5F" w14:textId="77777777">
      <w:pPr>
        <w:pStyle w:val="Prrafodelista"/>
        <w:tabs>
          <w:tab w:val="left" w:pos="142"/>
          <w:tab w:val="left" w:pos="284"/>
        </w:tabs>
        <w:spacing w:after="0" w:line="240" w:lineRule="auto"/>
        <w:ind w:left="0"/>
        <w:contextualSpacing w:val="0"/>
        <w:jc w:val="both"/>
        <w:rPr>
          <w:rFonts w:ascii="Verdana" w:hAnsi="Verdana" w:eastAsia="Century Gothic" w:cs="Century Gothic"/>
          <w:b/>
          <w:bCs/>
          <w:lang w:val="es-CO"/>
        </w:rPr>
      </w:pPr>
    </w:p>
    <w:p w:rsidRPr="005779FD" w:rsidR="00EA6E14" w:rsidP="00A72180" w:rsidRDefault="00EA6E14" w14:paraId="3598BA10" w14:textId="77777777">
      <w:pPr>
        <w:spacing w:after="120" w:line="276" w:lineRule="auto"/>
        <w:jc w:val="both"/>
        <w:rPr>
          <w:rFonts w:ascii="Verdana" w:hAnsi="Verdana" w:eastAsia="Calibri" w:cs="Arial"/>
          <w:color w:val="000000"/>
          <w:lang w:eastAsia="es-ES"/>
        </w:rPr>
      </w:pPr>
      <w:r w:rsidRPr="005779FD">
        <w:rPr>
          <w:rFonts w:ascii="Verdana" w:hAnsi="Verdana" w:eastAsia="Calibri" w:cs="Arial"/>
          <w:color w:val="000000"/>
          <w:lang w:eastAsia="es-ES"/>
        </w:rPr>
        <w:t xml:space="preserve">De acuerdo con el contenido de su solicitud, esta Agencia resolverá </w:t>
      </w:r>
      <w:r>
        <w:rPr>
          <w:rFonts w:ascii="Verdana" w:hAnsi="Verdana" w:eastAsia="Calibri" w:cs="Arial"/>
          <w:color w:val="000000"/>
          <w:lang w:eastAsia="es-ES"/>
        </w:rPr>
        <w:t xml:space="preserve">el </w:t>
      </w:r>
      <w:r w:rsidRPr="005779FD">
        <w:rPr>
          <w:rFonts w:ascii="Verdana" w:hAnsi="Verdana" w:eastAsia="Calibri" w:cs="Arial"/>
          <w:color w:val="000000"/>
          <w:lang w:eastAsia="es-ES"/>
        </w:rPr>
        <w:t xml:space="preserve">siguiente problema </w:t>
      </w:r>
      <w:r>
        <w:rPr>
          <w:rFonts w:ascii="Verdana" w:hAnsi="Verdana" w:eastAsia="Calibri" w:cs="Arial"/>
          <w:color w:val="000000"/>
          <w:lang w:eastAsia="es-ES"/>
        </w:rPr>
        <w:t xml:space="preserve">jurídico: ¿En los </w:t>
      </w:r>
      <w:r w:rsidRPr="000D3A6E">
        <w:rPr>
          <w:rFonts w:ascii="Verdana" w:hAnsi="Verdana" w:eastAsia="Century Gothic" w:cs="Century Gothic"/>
        </w:rPr>
        <w:t xml:space="preserve">contratos definidos en el 355 de la Constitución Política y </w:t>
      </w:r>
      <w:r>
        <w:rPr>
          <w:rFonts w:ascii="Verdana" w:hAnsi="Verdana" w:eastAsia="Century Gothic" w:cs="Century Gothic"/>
        </w:rPr>
        <w:t>en</w:t>
      </w:r>
      <w:r w:rsidRPr="000D3A6E">
        <w:rPr>
          <w:rFonts w:ascii="Verdana" w:hAnsi="Verdana" w:eastAsia="Century Gothic" w:cs="Century Gothic"/>
        </w:rPr>
        <w:t xml:space="preserve"> los convenios de asociación </w:t>
      </w:r>
      <w:r>
        <w:rPr>
          <w:rFonts w:ascii="Verdana" w:hAnsi="Verdana" w:eastAsia="Century Gothic" w:cs="Century Gothic"/>
        </w:rPr>
        <w:t xml:space="preserve">de que trata </w:t>
      </w:r>
      <w:r w:rsidRPr="000D3A6E">
        <w:rPr>
          <w:rFonts w:ascii="Verdana" w:hAnsi="Verdana" w:eastAsia="Century Gothic" w:cs="Century Gothic"/>
        </w:rPr>
        <w:t>el artículo 5 del Decreto 092 de 2017</w:t>
      </w:r>
      <w:r>
        <w:rPr>
          <w:rFonts w:ascii="Verdana" w:hAnsi="Verdana" w:eastAsia="Century Gothic" w:cs="Century Gothic"/>
        </w:rPr>
        <w:t xml:space="preserve"> s</w:t>
      </w:r>
      <w:r w:rsidRPr="00AF06A2">
        <w:rPr>
          <w:rFonts w:ascii="Verdana" w:hAnsi="Verdana" w:eastAsia="Century Gothic" w:cs="Century Gothic"/>
        </w:rPr>
        <w:t>e puede discriminar de manera separada las estampillas como gasto</w:t>
      </w:r>
      <w:r>
        <w:rPr>
          <w:rFonts w:ascii="Verdana" w:hAnsi="Verdana" w:eastAsia="Century Gothic" w:cs="Century Gothic"/>
        </w:rPr>
        <w:t>s</w:t>
      </w:r>
      <w:r w:rsidRPr="00AF06A2">
        <w:rPr>
          <w:rFonts w:ascii="Verdana" w:hAnsi="Verdana" w:eastAsia="Century Gothic" w:cs="Century Gothic"/>
        </w:rPr>
        <w:t xml:space="preserve"> de legalización?</w:t>
      </w:r>
    </w:p>
    <w:p w:rsidR="00EA6E14" w:rsidP="00EA6E14" w:rsidRDefault="00EA6E14" w14:paraId="3F26B99A" w14:textId="77777777">
      <w:pPr>
        <w:spacing w:after="0" w:line="276" w:lineRule="auto"/>
        <w:jc w:val="both"/>
        <w:rPr>
          <w:rFonts w:ascii="Verdana" w:hAnsi="Verdana" w:eastAsia="Century Gothic" w:cs="Century Gothic"/>
          <w:b/>
          <w:bCs/>
        </w:rPr>
      </w:pPr>
      <w:r w:rsidRPr="00FF007A">
        <w:rPr>
          <w:rFonts w:ascii="Verdana" w:hAnsi="Verdana" w:eastAsia="Century Gothic" w:cs="Century Gothic"/>
          <w:b/>
          <w:bCs/>
        </w:rPr>
        <w:t>2. Respuesta:</w:t>
      </w:r>
    </w:p>
    <w:p w:rsidRPr="00FF007A" w:rsidR="00EA6E14" w:rsidP="00EA6E14" w:rsidRDefault="00EA6E14" w14:paraId="7B77DCFD" w14:textId="77777777">
      <w:pPr>
        <w:spacing w:after="0" w:line="276" w:lineRule="auto"/>
        <w:jc w:val="both"/>
        <w:rPr>
          <w:rFonts w:ascii="Verdana" w:hAnsi="Verdana" w:eastAsia="Century Gothic" w:cs="Century Gothic"/>
          <w:b/>
          <w:bCs/>
        </w:rPr>
      </w:pPr>
    </w:p>
    <w:tbl>
      <w:tblPr>
        <w:tblStyle w:val="Tablaconcuadrcula"/>
        <w:tblW w:w="0" w:type="auto"/>
        <w:tblLook w:val="04A0" w:firstRow="1" w:lastRow="0" w:firstColumn="1" w:lastColumn="0" w:noHBand="0" w:noVBand="1"/>
      </w:tblPr>
      <w:tblGrid>
        <w:gridCol w:w="8828"/>
      </w:tblGrid>
      <w:tr w:rsidRPr="00FF007A" w:rsidR="00EA6E14" w:rsidTr="00BA5555" w14:paraId="361CFCE7" w14:textId="77777777">
        <w:tc>
          <w:tcPr>
            <w:tcW w:w="8828" w:type="dxa"/>
          </w:tcPr>
          <w:p w:rsidR="00EA6E14" w:rsidP="00A72180" w:rsidRDefault="00EA6E14" w14:paraId="4BAB0EDA" w14:textId="77777777">
            <w:pPr>
              <w:widowControl w:val="0"/>
              <w:autoSpaceDE w:val="0"/>
              <w:autoSpaceDN w:val="0"/>
              <w:spacing w:after="120" w:line="276" w:lineRule="auto"/>
              <w:jc w:val="both"/>
              <w:rPr>
                <w:rFonts w:ascii="Verdana" w:hAnsi="Verdana" w:eastAsia="Calibri" w:cs="Arial"/>
                <w:color w:val="000000" w:themeColor="text1"/>
                <w:lang w:val="es-ES"/>
              </w:rPr>
            </w:pPr>
            <w:r w:rsidRPr="00877011">
              <w:rPr>
                <w:rFonts w:ascii="Verdana" w:hAnsi="Verdana" w:cs="Arial"/>
                <w:color w:val="000000" w:themeColor="text1"/>
                <w:lang w:val="es-MX"/>
              </w:rPr>
              <w:t>El Gobierno Nacional, en desarrollo del artículo 355 de la Constitución Política, expidió el Decreto 092 de 2017, el cual</w:t>
            </w:r>
            <w:r w:rsidRPr="00877011">
              <w:rPr>
                <w:rFonts w:ascii="Verdana" w:hAnsi="Verdana" w:eastAsia="Calibri" w:cs="Arial"/>
                <w:color w:val="000000" w:themeColor="text1"/>
                <w:lang w:val="es-MX"/>
              </w:rPr>
              <w:t xml:space="preserve"> dispone </w:t>
            </w:r>
            <w:r w:rsidRPr="00877011">
              <w:rPr>
                <w:rFonts w:ascii="Verdana" w:hAnsi="Verdana" w:eastAsia="Calibri" w:cs="Arial"/>
                <w:lang w:val="es-MX"/>
              </w:rPr>
              <w:t xml:space="preserve">reglas para las contrataciones que realizan las Entidades Estatales con las ESAL. </w:t>
            </w:r>
            <w:r w:rsidRPr="00877011">
              <w:rPr>
                <w:rFonts w:ascii="Verdana" w:hAnsi="Verdana" w:eastAsia="Calibri" w:cs="Arial"/>
                <w:color w:val="000000" w:themeColor="text1"/>
                <w:lang w:val="es-ES"/>
              </w:rPr>
              <w:t xml:space="preserve">El Decreto regula dos (2) eventos: i) </w:t>
            </w:r>
            <w:r w:rsidRPr="00877011">
              <w:rPr>
                <w:rFonts w:ascii="Verdana" w:hAnsi="Verdana" w:eastAsia="Calibri" w:cs="Arial"/>
                <w:lang w:val="es-ES" w:eastAsia="es-ES_tradnl"/>
              </w:rPr>
              <w:t xml:space="preserve">los </w:t>
            </w:r>
            <w:r w:rsidRPr="00877011">
              <w:rPr>
                <w:rFonts w:ascii="Verdana" w:hAnsi="Verdana" w:eastAsia="Calibri" w:cs="Arial"/>
                <w:i/>
                <w:iCs/>
                <w:lang w:val="es-ES" w:eastAsia="es-ES_tradnl"/>
              </w:rPr>
              <w:t>contratos de colaboración</w:t>
            </w:r>
            <w:r w:rsidRPr="00877011">
              <w:rPr>
                <w:rFonts w:ascii="Verdana" w:hAnsi="Verdana" w:eastAsia="Calibri" w:cs="Arial"/>
                <w:lang w:val="es-ES"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877011">
              <w:rPr>
                <w:rFonts w:ascii="Verdana" w:hAnsi="Verdana" w:eastAsia="Calibri" w:cs="Arial"/>
                <w:color w:val="000000" w:themeColor="text1"/>
                <w:lang w:val="es-ES"/>
              </w:rPr>
              <w:t xml:space="preserve"> y; </w:t>
            </w:r>
            <w:proofErr w:type="spellStart"/>
            <w:r w:rsidRPr="00877011">
              <w:rPr>
                <w:rFonts w:ascii="Verdana" w:hAnsi="Verdana" w:eastAsia="Calibri" w:cs="Arial"/>
                <w:color w:val="000000" w:themeColor="text1"/>
                <w:lang w:val="es-ES"/>
              </w:rPr>
              <w:t>ii</w:t>
            </w:r>
            <w:proofErr w:type="spellEnd"/>
            <w:r w:rsidRPr="00877011">
              <w:rPr>
                <w:rFonts w:ascii="Verdana" w:hAnsi="Verdana" w:eastAsia="Calibri" w:cs="Arial"/>
                <w:color w:val="000000" w:themeColor="text1"/>
                <w:lang w:val="es-ES"/>
              </w:rPr>
              <w:t xml:space="preserve">) los </w:t>
            </w:r>
            <w:r w:rsidRPr="00877011">
              <w:rPr>
                <w:rFonts w:ascii="Verdana" w:hAnsi="Verdana" w:eastAsia="Calibri" w:cs="Arial"/>
                <w:i/>
                <w:iCs/>
                <w:color w:val="000000" w:themeColor="text1"/>
                <w:lang w:val="es-ES"/>
              </w:rPr>
              <w:t>convenios de asociación</w:t>
            </w:r>
            <w:r w:rsidRPr="00877011">
              <w:rPr>
                <w:rFonts w:ascii="Verdana" w:hAnsi="Verdana" w:eastAsia="Calibri" w:cs="Arial"/>
                <w:color w:val="000000" w:themeColor="text1"/>
                <w:lang w:val="es-ES"/>
              </w:rPr>
              <w:t>, para el desarrollo conjunto de actividades relacionadas con las funciones de las Entidades Estatales, en desarrollo del artículo 96 de la Ley 489 de 1998.</w:t>
            </w:r>
          </w:p>
          <w:p w:rsidR="00EA6E14" w:rsidP="00A72180" w:rsidRDefault="00EA6E14" w14:paraId="7C65AD17" w14:textId="77777777">
            <w:pPr>
              <w:spacing w:after="120" w:line="276" w:lineRule="auto"/>
              <w:ind w:firstLine="709"/>
              <w:jc w:val="both"/>
              <w:rPr>
                <w:rFonts w:ascii="Verdana" w:hAnsi="Verdana" w:eastAsia="Calibri" w:cs="Arial"/>
                <w:lang w:val="es-ES"/>
              </w:rPr>
            </w:pPr>
            <w:r>
              <w:rPr>
                <w:rFonts w:ascii="Verdana" w:hAnsi="Verdana" w:eastAsia="Calibri" w:cs="Arial"/>
                <w:lang w:val="es-ES"/>
              </w:rPr>
              <w:t>En primer lugar, l</w:t>
            </w:r>
            <w:r w:rsidRPr="00377ED6">
              <w:rPr>
                <w:rFonts w:ascii="Verdana" w:hAnsi="Verdana" w:eastAsia="Calibri" w:cs="Arial"/>
                <w:lang w:val="es-ES"/>
              </w:rPr>
              <w:t xml:space="preserve">os </w:t>
            </w:r>
            <w:r w:rsidRPr="00377ED6">
              <w:rPr>
                <w:rFonts w:ascii="Verdana" w:hAnsi="Verdana" w:eastAsia="Calibri" w:cs="Arial"/>
                <w:i/>
                <w:iCs/>
                <w:lang w:val="es-ES"/>
              </w:rPr>
              <w:t>contratos del artículo 355 de la Constitución Política</w:t>
            </w:r>
            <w:r>
              <w:rPr>
                <w:rFonts w:ascii="Verdana" w:hAnsi="Verdana" w:eastAsia="Calibri" w:cs="Arial"/>
                <w:i/>
                <w:iCs/>
                <w:lang w:val="es-ES"/>
              </w:rPr>
              <w:t xml:space="preserve"> o contratos de interés público</w:t>
            </w:r>
            <w:r w:rsidRPr="00377ED6">
              <w:rPr>
                <w:rFonts w:ascii="Verdana" w:hAnsi="Verdana" w:eastAsia="Calibri" w:cs="Arial"/>
                <w:lang w:val="es-ES"/>
              </w:rPr>
              <w:t xml:space="preserve"> tienen como objeto promover acciones de fomento social en beneficio de los sectores más desprotegidos de la población, siempre que estén previstas en los planes de desarrollo</w:t>
            </w:r>
            <w:r>
              <w:rPr>
                <w:rFonts w:ascii="Verdana" w:hAnsi="Verdana" w:eastAsia="Calibri" w:cs="Arial"/>
                <w:lang w:val="es-ES"/>
              </w:rPr>
              <w:t>. Por este</w:t>
            </w:r>
            <w:r w:rsidRPr="00377ED6">
              <w:rPr>
                <w:rFonts w:ascii="Verdana" w:hAnsi="Verdana" w:eastAsia="Calibri" w:cs="Arial"/>
                <w:lang w:val="es-ES"/>
              </w:rPr>
              <w:t xml:space="preserve"> motivo</w:t>
            </w:r>
            <w:r>
              <w:rPr>
                <w:rFonts w:ascii="Verdana" w:hAnsi="Verdana" w:eastAsia="Calibri" w:cs="Arial"/>
                <w:lang w:val="es-ES"/>
              </w:rPr>
              <w:t>,</w:t>
            </w:r>
            <w:r w:rsidRPr="00377ED6">
              <w:rPr>
                <w:rFonts w:ascii="Verdana" w:hAnsi="Verdana" w:eastAsia="Calibri" w:cs="Arial"/>
                <w:lang w:val="es-ES"/>
              </w:rPr>
              <w:t xml:space="preserve"> no dan lugar a una contraprestación directa a favor de la entidad y tampoco a una relación conmutativa entre ésta y la ESAL, toda vez que el beneficio directo lo recibirán los sectores de este tipo de acciones de fomento. </w:t>
            </w:r>
          </w:p>
          <w:p w:rsidR="00EA6E14" w:rsidP="00A72180" w:rsidRDefault="00EA6E14" w14:paraId="63AE3AC6" w14:textId="77777777">
            <w:pPr>
              <w:spacing w:after="120" w:line="276" w:lineRule="auto"/>
              <w:ind w:firstLine="709"/>
              <w:jc w:val="both"/>
              <w:rPr>
                <w:rFonts w:ascii="Verdana" w:hAnsi="Verdana" w:eastAsia="Calibri" w:cs="Arial"/>
                <w:lang w:val="es-ES"/>
              </w:rPr>
            </w:pPr>
            <w:r w:rsidRPr="0045362B">
              <w:rPr>
                <w:rFonts w:ascii="Verdana" w:hAnsi="Verdana" w:eastAsia="Calibri" w:cs="Arial"/>
                <w:lang w:val="es-ES"/>
              </w:rPr>
              <w:t>En segundo lugar, el Decreto 092 de 2027 se refiere a los convenios de asociación como aquellos que “[t]</w:t>
            </w:r>
            <w:proofErr w:type="spellStart"/>
            <w:r w:rsidRPr="0045362B">
              <w:rPr>
                <w:rFonts w:ascii="Verdana" w:hAnsi="Verdana" w:eastAsia="Calibri" w:cs="Arial"/>
                <w:lang w:val="es-ES"/>
              </w:rPr>
              <w:t>ienen</w:t>
            </w:r>
            <w:proofErr w:type="spellEnd"/>
            <w:r w:rsidRPr="0045362B">
              <w:rPr>
                <w:rFonts w:ascii="Verdana" w:hAnsi="Verdana" w:eastAsia="Calibri" w:cs="Arial"/>
                <w:lang w:val="es-ES"/>
              </w:rPr>
              <w:t xml:space="preserve"> como finalidad que la entidad estatal, </w:t>
            </w:r>
            <w:r w:rsidRPr="0045362B">
              <w:rPr>
                <w:rFonts w:ascii="Verdana" w:hAnsi="Verdana" w:eastAsia="Calibri" w:cs="Arial"/>
                <w:lang w:val="es-ES"/>
              </w:rPr>
              <w:lastRenderedPageBreak/>
              <w:t>cualquiera que sea su naturaleza y orden administrativo, se asocien con personas jurídicas particulares para el desarrollo conjunto de actividades relacionadas con los cometidos y funciones asignadas a aquellas conforme a la Constitución y a la Ley”. El convenio de asociación no es conmutativo y, por tanto, la entidad no instruye al contratista para desarrollar los programas o actividades previstas, sino que se asocia con él para el cumplimiento de objetivos comunes. En esta línea, en estos convenios las ESAL deben realizar aportes dirigidos a lograr la ejecución del convenio. Los aportes pueden ser recursos en dinero, que representen cualquier porcentaje del valor total del convenio, o en especie, siempre que sirvan al desarrollo de los objetos comunes de la asociación.</w:t>
            </w:r>
          </w:p>
          <w:p w:rsidR="00EA6E14" w:rsidP="00A72180" w:rsidRDefault="00EA6E14" w14:paraId="2E119BAB" w14:textId="77777777">
            <w:pPr>
              <w:spacing w:after="120" w:line="276" w:lineRule="auto"/>
              <w:ind w:firstLine="709"/>
              <w:jc w:val="both"/>
              <w:rPr>
                <w:rFonts w:ascii="Verdana" w:hAnsi="Verdana" w:cs="Arial"/>
                <w:color w:val="000000" w:themeColor="text1"/>
                <w:lang w:val="es-MX"/>
              </w:rPr>
            </w:pPr>
            <w:r w:rsidRPr="00377ED6">
              <w:rPr>
                <w:rFonts w:ascii="Verdana" w:hAnsi="Verdana" w:cs="Arial"/>
                <w:color w:val="000000" w:themeColor="text1"/>
                <w:lang w:val="es-MX"/>
              </w:rPr>
              <w:t xml:space="preserve">Es </w:t>
            </w:r>
            <w:r>
              <w:rPr>
                <w:rFonts w:ascii="Verdana" w:hAnsi="Verdana" w:cs="Arial"/>
                <w:color w:val="000000" w:themeColor="text1"/>
                <w:lang w:val="es-MX"/>
              </w:rPr>
              <w:t xml:space="preserve">necesario </w:t>
            </w:r>
            <w:r w:rsidRPr="00377ED6">
              <w:rPr>
                <w:rFonts w:ascii="Verdana" w:hAnsi="Verdana" w:cs="Arial"/>
                <w:color w:val="000000" w:themeColor="text1"/>
                <w:lang w:val="es-MX"/>
              </w:rPr>
              <w:t>aclarar que los negocios jurídicos que regula el Decreto 092 de 2017 “</w:t>
            </w:r>
            <w:r>
              <w:rPr>
                <w:rFonts w:ascii="Verdana" w:hAnsi="Verdana" w:cs="Arial"/>
                <w:color w:val="000000" w:themeColor="text1"/>
                <w:lang w:val="es-MX"/>
              </w:rPr>
              <w:t>(…)</w:t>
            </w:r>
            <w:r w:rsidRPr="00377ED6">
              <w:rPr>
                <w:rFonts w:ascii="Verdana" w:hAnsi="Verdana" w:cs="Arial"/>
                <w:color w:val="000000" w:themeColor="text1"/>
                <w:lang w:val="es-MX"/>
              </w:rPr>
              <w:t xml:space="preserve"> son esencialmente distintos a los contratos para la adquisición y 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no hacen parte del sistema de compra pública. </w:t>
            </w:r>
            <w:r>
              <w:rPr>
                <w:rFonts w:ascii="Verdana" w:hAnsi="Verdana" w:cs="Arial"/>
                <w:color w:val="000000" w:themeColor="text1"/>
                <w:lang w:val="es-MX"/>
              </w:rPr>
              <w:t>(…)</w:t>
            </w:r>
            <w:r w:rsidRPr="00377ED6">
              <w:rPr>
                <w:rFonts w:ascii="Verdana" w:hAnsi="Verdana" w:cs="Arial"/>
                <w:color w:val="000000" w:themeColor="text1"/>
                <w:lang w:val="es-MX"/>
              </w:rPr>
              <w:t xml:space="preserve"> De acuerdo con lo anterior, si la entidad estatal adquiere o se abastece de un bien, obra o servicio en un contrato conmutativo en el cual el proveedor es una </w:t>
            </w:r>
            <w:r>
              <w:rPr>
                <w:rFonts w:ascii="Verdana" w:hAnsi="Verdana" w:cs="Arial"/>
                <w:color w:val="000000" w:themeColor="text1"/>
                <w:lang w:val="es-MX"/>
              </w:rPr>
              <w:t>(</w:t>
            </w:r>
            <w:r w:rsidRPr="00377ED6">
              <w:rPr>
                <w:rFonts w:ascii="Verdana" w:hAnsi="Verdana" w:cs="Arial"/>
                <w:color w:val="000000" w:themeColor="text1"/>
                <w:lang w:val="es-MX"/>
              </w:rPr>
              <w:t>ESAL</w:t>
            </w:r>
            <w:r>
              <w:rPr>
                <w:rFonts w:ascii="Verdana" w:hAnsi="Verdana" w:cs="Arial"/>
                <w:color w:val="000000" w:themeColor="text1"/>
                <w:lang w:val="es-MX"/>
              </w:rPr>
              <w:t>)</w:t>
            </w:r>
            <w:r w:rsidRPr="00377ED6">
              <w:rPr>
                <w:rFonts w:ascii="Verdana" w:hAnsi="Verdana" w:cs="Arial"/>
                <w:color w:val="000000" w:themeColor="text1"/>
                <w:lang w:val="es-MX"/>
              </w:rPr>
              <w:t>, debe aplicar el régimen contenido en las Leyes 80 de 1993 y 1150 de 2007, y no el Decreto 092 de 2017</w:t>
            </w:r>
            <w:r>
              <w:rPr>
                <w:rFonts w:ascii="Verdana" w:hAnsi="Verdana" w:cs="Arial"/>
                <w:color w:val="000000" w:themeColor="text1"/>
                <w:lang w:val="es-MX"/>
              </w:rPr>
              <w:t>.</w:t>
            </w:r>
          </w:p>
          <w:p w:rsidR="00EA6E14" w:rsidP="00A72180" w:rsidRDefault="00EA6E14" w14:paraId="748DAB83" w14:textId="77777777">
            <w:pPr>
              <w:spacing w:after="120" w:line="276" w:lineRule="auto"/>
              <w:ind w:firstLine="709"/>
              <w:jc w:val="both"/>
              <w:rPr>
                <w:rFonts w:ascii="Verdana" w:hAnsi="Verdana" w:eastAsia="Calibri" w:cs="Arial"/>
                <w:lang w:val="es-ES"/>
              </w:rPr>
            </w:pPr>
            <w:bookmarkStart w:name="_Hlk211260884" w:id="10"/>
            <w:r w:rsidRPr="00FF67F9">
              <w:rPr>
                <w:rFonts w:ascii="Verdana" w:hAnsi="Verdana" w:eastAsia="Calibri" w:cs="Arial"/>
                <w:lang w:val="es-ES"/>
              </w:rPr>
              <w:t xml:space="preserve">Precisado lo anterior y en atención a que se tratan de acuerdos de voluntades en la que no se sustenta sobre la base de la conmutatividad, los dineros </w:t>
            </w:r>
            <w:r>
              <w:rPr>
                <w:rFonts w:ascii="Verdana" w:hAnsi="Verdana" w:eastAsia="Calibri" w:cs="Arial"/>
                <w:lang w:val="es-ES"/>
              </w:rPr>
              <w:t>constituyen</w:t>
            </w:r>
            <w:r w:rsidRPr="00FF67F9">
              <w:rPr>
                <w:rFonts w:ascii="Verdana" w:hAnsi="Verdana" w:eastAsia="Calibri" w:cs="Arial"/>
                <w:lang w:val="es-ES"/>
              </w:rPr>
              <w:t xml:space="preserve"> aportes para lograr el cometido común.</w:t>
            </w:r>
            <w:r>
              <w:rPr>
                <w:rFonts w:ascii="Verdana" w:hAnsi="Verdana" w:eastAsia="Calibri" w:cs="Arial"/>
                <w:lang w:val="es-ES"/>
              </w:rPr>
              <w:t xml:space="preserve"> </w:t>
            </w:r>
          </w:p>
          <w:p w:rsidR="00EA6E14" w:rsidP="00A72180" w:rsidRDefault="00EA6E14" w14:paraId="79F9A9DC" w14:textId="77777777">
            <w:pPr>
              <w:spacing w:after="120" w:line="276" w:lineRule="auto"/>
              <w:ind w:firstLine="709"/>
              <w:jc w:val="both"/>
              <w:rPr>
                <w:rFonts w:ascii="Verdana" w:hAnsi="Verdana" w:eastAsia="Calibri" w:cs="Arial"/>
              </w:rPr>
            </w:pPr>
            <w:r w:rsidRPr="00254B21">
              <w:rPr>
                <w:rFonts w:ascii="Verdana" w:hAnsi="Verdana" w:eastAsia="Calibri" w:cs="Arial"/>
              </w:rPr>
              <w:t xml:space="preserve">La incorporación en nuestro ordenamiento jurídico de las denominadas “estampillas” tan sólo puede darse por disposición legal o por disposición expresa de ordenanzas departamentales o acuerdos distritales o municipales, en las que se debe indicar a detalle las condiciones de su emisión o pago o adherencia, y si dicha estampilla, se concibe como una tasa parafiscal, o como impuesto con destinación específica. Sobre el tema, es importante indicar que tanto la naturaleza de cada estampilla, como las condiciones que se deben tener en cuenta para su recaudo, así como su causación y objetivos pueden diferir en función de las decisiones que en su configuración adoptó el Legislador y, de manera complementaria, de aquellas que aprueben los órganos colegiados de las autoridades territoriales en ejercicio de sus competencias en la estructuración de </w:t>
            </w:r>
            <w:r w:rsidRPr="00DC1C86">
              <w:rPr>
                <w:rFonts w:ascii="Verdana" w:hAnsi="Verdana" w:eastAsia="Calibri" w:cs="Arial"/>
              </w:rPr>
              <w:t xml:space="preserve">cuerpos normativos que contienen política fiscal. </w:t>
            </w:r>
          </w:p>
          <w:p w:rsidRPr="002C675F" w:rsidR="00EA6E14" w:rsidP="00A72180" w:rsidRDefault="00EA6E14" w14:paraId="79F66510" w14:textId="77777777">
            <w:pPr>
              <w:spacing w:after="120" w:line="276" w:lineRule="auto"/>
              <w:ind w:firstLine="709"/>
              <w:jc w:val="both"/>
              <w:rPr>
                <w:rFonts w:ascii="Verdana" w:hAnsi="Verdana" w:eastAsia="Times New Roman" w:cs="Arial"/>
                <w:lang w:eastAsia="es-ES_tradnl"/>
              </w:rPr>
            </w:pPr>
            <w:r w:rsidRPr="00DC1C86">
              <w:rPr>
                <w:rFonts w:ascii="Verdana" w:hAnsi="Verdana" w:eastAsia="Times New Roman" w:cs="Arial"/>
                <w:lang w:eastAsia="es-ES_tradnl"/>
              </w:rPr>
              <w:lastRenderedPageBreak/>
              <w:t xml:space="preserve">De esta manera, </w:t>
            </w:r>
            <w:r w:rsidRPr="00DC1C86">
              <w:rPr>
                <w:rFonts w:ascii="Verdana" w:hAnsi="Verdana" w:eastAsia="Calibri" w:cs="Arial"/>
                <w:bCs/>
                <w:iCs/>
              </w:rPr>
              <w:t>es posible y lógico que para efectos de la ejecución de los contratos</w:t>
            </w:r>
            <w:r>
              <w:rPr>
                <w:rFonts w:ascii="Verdana" w:hAnsi="Verdana" w:eastAsia="Calibri" w:cs="Arial"/>
                <w:bCs/>
                <w:iCs/>
              </w:rPr>
              <w:t xml:space="preserve"> del artículo 355 de la Constitución Política </w:t>
            </w:r>
            <w:r w:rsidRPr="00DC1C86">
              <w:rPr>
                <w:rFonts w:ascii="Verdana" w:hAnsi="Verdana" w:eastAsia="Calibri" w:cs="Arial"/>
                <w:bCs/>
                <w:iCs/>
              </w:rPr>
              <w:t xml:space="preserve">o convenios </w:t>
            </w:r>
            <w:r>
              <w:rPr>
                <w:rFonts w:ascii="Verdana" w:hAnsi="Verdana" w:eastAsia="Calibri" w:cs="Arial"/>
                <w:bCs/>
                <w:iCs/>
              </w:rPr>
              <w:t>de asociación que se celebren</w:t>
            </w:r>
            <w:r w:rsidRPr="00DC1C86">
              <w:rPr>
                <w:rFonts w:ascii="Verdana" w:hAnsi="Verdana" w:eastAsia="Calibri" w:cs="Arial"/>
                <w:bCs/>
                <w:iCs/>
              </w:rPr>
              <w:t xml:space="preserve"> con una ESAL se incurran en costos y gastos administrativos lo que se puede reflejar en los respectivos </w:t>
            </w:r>
            <w:r w:rsidRPr="00DC1C86">
              <w:rPr>
                <w:rFonts w:ascii="Verdana" w:hAnsi="Verdana" w:eastAsia="Times New Roman" w:cs="Arial"/>
                <w:lang w:eastAsia="es-ES_tradnl"/>
              </w:rPr>
              <w:t>aportes de naturaleza económica, sin que ello signifique el pago de un precio o una remuneración. Estos costos o gastos de administración pueden incluirse válidamente</w:t>
            </w:r>
            <w:r w:rsidRPr="00DC1C86">
              <w:rPr>
                <w:rFonts w:ascii="Verdana" w:hAnsi="Verdana" w:eastAsia="Times New Roman" w:cs="Arial"/>
                <w:b/>
                <w:bCs/>
                <w:lang w:eastAsia="es-ES_tradnl"/>
              </w:rPr>
              <w:t xml:space="preserve"> </w:t>
            </w:r>
            <w:r w:rsidRPr="00DC1C86">
              <w:rPr>
                <w:rFonts w:ascii="Verdana" w:hAnsi="Verdana" w:eastAsia="Times New Roman" w:cs="Arial"/>
                <w:lang w:eastAsia="es-ES_tradnl"/>
              </w:rPr>
              <w:t xml:space="preserve">siempre que se justifique técnica y financieramente que son necesarios y razonables para el desarrollo del objeto convenido y que se trate de aspectos operativos, logísticos o de administración </w:t>
            </w:r>
            <w:r w:rsidRPr="00DC1C86">
              <w:rPr>
                <w:rFonts w:ascii="Verdana" w:hAnsi="Verdana" w:eastAsia="Calibri" w:cs="Arial"/>
                <w:bCs/>
                <w:iCs/>
              </w:rPr>
              <w:t>que permitan cumplir los compromisos adquiridos en el marco del convenio</w:t>
            </w:r>
            <w:r w:rsidRPr="00DC1C86">
              <w:rPr>
                <w:rFonts w:ascii="Verdana" w:hAnsi="Verdana" w:eastAsia="Times New Roman" w:cs="Arial"/>
                <w:lang w:eastAsia="es-ES_tradnl"/>
              </w:rPr>
              <w:t xml:space="preserve"> y que, por tanto, no representan una utilidad o una contraprestación en favor de una de las partes.</w:t>
            </w:r>
            <w:r w:rsidRPr="002C675F">
              <w:rPr>
                <w:rFonts w:ascii="Verdana" w:hAnsi="Verdana" w:eastAsia="Times New Roman" w:cs="Arial"/>
                <w:lang w:eastAsia="es-ES_tradnl"/>
              </w:rPr>
              <w:t xml:space="preserve"> </w:t>
            </w:r>
          </w:p>
          <w:p w:rsidRPr="00645696" w:rsidR="00EA6E14" w:rsidP="00A72180" w:rsidRDefault="00EA6E14" w14:paraId="7C9018A9" w14:textId="77777777">
            <w:pPr>
              <w:spacing w:after="120" w:line="276" w:lineRule="auto"/>
              <w:ind w:firstLine="709"/>
              <w:jc w:val="both"/>
              <w:rPr>
                <w:rFonts w:ascii="Verdana" w:hAnsi="Verdana" w:eastAsia="Times New Roman" w:cs="Arial"/>
                <w:lang w:eastAsia="es-ES_tradnl"/>
              </w:rPr>
            </w:pPr>
            <w:r w:rsidRPr="002C675F">
              <w:rPr>
                <w:rFonts w:ascii="Verdana" w:hAnsi="Verdana" w:eastAsia="Times New Roman" w:cs="Arial"/>
                <w:lang w:eastAsia="es-ES_tradnl"/>
              </w:rPr>
              <w:t xml:space="preserve">En este sentido, se precisa que la posibilidad de que </w:t>
            </w:r>
            <w:r>
              <w:rPr>
                <w:rFonts w:ascii="Verdana" w:hAnsi="Verdana" w:eastAsia="Times New Roman" w:cs="Arial"/>
                <w:lang w:eastAsia="es-ES_tradnl"/>
              </w:rPr>
              <w:t>se</w:t>
            </w:r>
            <w:r w:rsidRPr="002C675F">
              <w:rPr>
                <w:rFonts w:ascii="Verdana" w:hAnsi="Verdana" w:eastAsia="Times New Roman" w:cs="Arial"/>
                <w:lang w:eastAsia="es-ES_tradnl"/>
              </w:rPr>
              <w:t xml:space="preserve"> incluya compromisos con contenido económico no puede ir en contravía de su naturaleza y finalidad, ni mucho menos desconocer los elementos esenciales de este tipo negocial que se desprenden </w:t>
            </w:r>
            <w:r>
              <w:rPr>
                <w:rFonts w:ascii="Verdana" w:hAnsi="Verdana" w:eastAsia="Times New Roman" w:cs="Arial"/>
                <w:lang w:eastAsia="es-ES_tradnl"/>
              </w:rPr>
              <w:t>del artículo 355 de la Constitución Política y del Decreto 092 de 2017.</w:t>
            </w:r>
            <w:r w:rsidRPr="002C675F">
              <w:rPr>
                <w:rFonts w:ascii="Verdana" w:hAnsi="Verdana" w:eastAsia="Times New Roman" w:cs="Arial"/>
                <w:lang w:eastAsia="es-ES_tradnl"/>
              </w:rPr>
              <w:t xml:space="preserve"> Por ende, la determinación de estos costos o gastos administrativos no pueden ocultar una remuneración verdadera o una utilidad que concurre a su suscripción, así como tampoco pueden emplearse para aspectos distintos del cumplimiento de los compromisos asumidos, pues no se trataría de un convenio </w:t>
            </w:r>
            <w:r>
              <w:rPr>
                <w:rFonts w:ascii="Verdana" w:hAnsi="Verdana" w:eastAsia="Times New Roman" w:cs="Arial"/>
                <w:lang w:eastAsia="es-ES_tradnl"/>
              </w:rPr>
              <w:t xml:space="preserve">o contrato, </w:t>
            </w:r>
            <w:r w:rsidRPr="002C675F">
              <w:rPr>
                <w:rFonts w:ascii="Verdana" w:hAnsi="Verdana" w:eastAsia="Times New Roman" w:cs="Arial"/>
                <w:lang w:eastAsia="es-ES_tradnl"/>
              </w:rPr>
              <w:t xml:space="preserve">sino que su connotación transmutaría a un contrato </w:t>
            </w:r>
            <w:r>
              <w:rPr>
                <w:rFonts w:ascii="Verdana" w:hAnsi="Verdana" w:eastAsia="Times New Roman" w:cs="Arial"/>
                <w:lang w:eastAsia="es-ES_tradnl"/>
              </w:rPr>
              <w:t>oneroso, sinalagmático y conmutativo</w:t>
            </w:r>
            <w:r w:rsidRPr="002C675F">
              <w:rPr>
                <w:rFonts w:ascii="Verdana" w:hAnsi="Verdana" w:eastAsia="Times New Roman" w:cs="Arial"/>
                <w:lang w:eastAsia="es-ES_tradnl"/>
              </w:rPr>
              <w:t xml:space="preserve">. </w:t>
            </w:r>
            <w:r w:rsidRPr="002C675F">
              <w:rPr>
                <w:rFonts w:ascii="Verdana" w:hAnsi="Verdana" w:eastAsia="Times New Roman" w:cs="Arial"/>
                <w:iCs/>
                <w:lang w:eastAsia="es-ES_tradnl"/>
              </w:rPr>
              <w:t xml:space="preserve">No obstante, debido a la naturaleza jurídica de cada figura, estos rubros tienen una finalidad y alcance diferente. En el marco de un </w:t>
            </w:r>
            <w:r>
              <w:rPr>
                <w:rFonts w:ascii="Verdana" w:hAnsi="Verdana" w:eastAsia="Times New Roman" w:cs="Arial"/>
                <w:iCs/>
                <w:lang w:eastAsia="es-ES_tradnl"/>
              </w:rPr>
              <w:t>convenio o contrato de que trata el artículo 355 de la Constitución Política y el Decreto 092 de 2017</w:t>
            </w:r>
            <w:r w:rsidRPr="002C675F">
              <w:rPr>
                <w:rFonts w:ascii="Verdana" w:hAnsi="Verdana" w:eastAsia="Times New Roman" w:cs="Arial"/>
                <w:iCs/>
                <w:lang w:eastAsia="es-ES_tradnl"/>
              </w:rPr>
              <w:t xml:space="preserve">, </w:t>
            </w:r>
            <w:r>
              <w:rPr>
                <w:rFonts w:ascii="Verdana" w:hAnsi="Verdana" w:eastAsia="Times New Roman" w:cs="Arial"/>
                <w:iCs/>
                <w:lang w:eastAsia="es-ES_tradnl"/>
              </w:rPr>
              <w:t>se pueden</w:t>
            </w:r>
            <w:r w:rsidRPr="002C675F">
              <w:rPr>
                <w:rFonts w:ascii="Verdana" w:hAnsi="Verdana" w:eastAsia="Times New Roman" w:cs="Arial"/>
                <w:iCs/>
                <w:lang w:eastAsia="es-ES_tradnl"/>
              </w:rPr>
              <w:t xml:space="preserve"> incorporar los costos o gastos administrativos asociados a sus respectivos aportes, siempre que estén orientados a contribuir al cumplimiento de los compromisos comunes y a garantizar la viabilidad operativa. </w:t>
            </w:r>
            <w:r>
              <w:rPr>
                <w:rFonts w:ascii="Verdana" w:hAnsi="Verdana" w:eastAsia="Times New Roman" w:cs="Arial"/>
                <w:iCs/>
                <w:lang w:eastAsia="es-ES_tradnl"/>
              </w:rPr>
              <w:t>Por el contrario, si se trata de contratos celebrados en el marco de un proceso de selección para el aprovisionamiento de un bien, servicio o de una obra</w:t>
            </w:r>
            <w:r w:rsidRPr="002C675F">
              <w:rPr>
                <w:rFonts w:ascii="Verdana" w:hAnsi="Verdana" w:eastAsia="Times New Roman" w:cs="Arial"/>
                <w:iCs/>
                <w:lang w:eastAsia="es-ES_tradnl"/>
              </w:rPr>
              <w:t xml:space="preserve">, debido a su naturaleza onerosa y conmutativa, estos rubros hacen parte de la contraprestación pactada a favor </w:t>
            </w:r>
            <w:r>
              <w:rPr>
                <w:rFonts w:ascii="Verdana" w:hAnsi="Verdana" w:eastAsia="Times New Roman" w:cs="Arial"/>
                <w:iCs/>
                <w:lang w:eastAsia="es-ES_tradnl"/>
              </w:rPr>
              <w:t>del contratista</w:t>
            </w:r>
            <w:r w:rsidRPr="002C675F">
              <w:rPr>
                <w:rFonts w:ascii="Verdana" w:hAnsi="Verdana" w:eastAsia="Times New Roman" w:cs="Arial"/>
                <w:iCs/>
                <w:lang w:eastAsia="es-ES_tradnl"/>
              </w:rPr>
              <w:t>, es decir, forman parte del precio o retribución económica a una de las partes por los bienes o servicios que presta.</w:t>
            </w:r>
          </w:p>
          <w:p w:rsidRPr="002C675F" w:rsidR="00EA6E14" w:rsidP="00A72180" w:rsidRDefault="00EA6E14" w14:paraId="3F0F035B" w14:textId="77777777">
            <w:pPr>
              <w:spacing w:after="120" w:line="276" w:lineRule="auto"/>
              <w:ind w:firstLine="709"/>
              <w:jc w:val="both"/>
              <w:rPr>
                <w:rFonts w:ascii="Verdana" w:hAnsi="Verdana" w:eastAsia="Calibri" w:cs="Arial"/>
              </w:rPr>
            </w:pPr>
            <w:r w:rsidRPr="00496742">
              <w:rPr>
                <w:rFonts w:ascii="Verdana" w:hAnsi="Verdana" w:eastAsia="Times New Roman" w:cs="Arial"/>
                <w:iCs/>
                <w:lang w:eastAsia="es-ES_tradnl"/>
              </w:rPr>
              <w:t xml:space="preserve">Ahora bien, en lo que respecta al descuento por concepto de estampillas debe precisarse que su inclusión dependerá de las condiciones establecidas por la Ley para estos </w:t>
            </w:r>
            <w:r w:rsidRPr="00B530AF">
              <w:rPr>
                <w:rFonts w:ascii="Verdana" w:hAnsi="Verdana" w:eastAsia="Times New Roman" w:cs="Arial"/>
                <w:iCs/>
                <w:lang w:eastAsia="es-ES_tradnl"/>
              </w:rPr>
              <w:t xml:space="preserve">tributos. </w:t>
            </w:r>
            <w:r w:rsidRPr="00496742">
              <w:rPr>
                <w:rFonts w:ascii="Verdana" w:hAnsi="Verdana" w:eastAsia="Calibri" w:cs="Arial"/>
              </w:rPr>
              <w:t xml:space="preserve">De esta manera, la procedencia y aplicación de determinada estampilla estará sujeta al hecho generador establecido en la </w:t>
            </w:r>
            <w:r w:rsidRPr="00496742">
              <w:rPr>
                <w:rFonts w:ascii="Verdana" w:hAnsi="Verdana" w:eastAsia="Calibri" w:cs="Arial"/>
              </w:rPr>
              <w:lastRenderedPageBreak/>
              <w:t>Ley, ordenanza o acuerdo, de tal suerte que</w:t>
            </w:r>
            <w:r>
              <w:rPr>
                <w:rFonts w:ascii="Verdana" w:hAnsi="Verdana" w:eastAsia="Calibri" w:cs="Arial"/>
              </w:rPr>
              <w:t>,</w:t>
            </w:r>
            <w:r w:rsidRPr="00496742">
              <w:rPr>
                <w:rFonts w:ascii="Verdana" w:hAnsi="Verdana" w:eastAsia="Calibri" w:cs="Arial"/>
              </w:rPr>
              <w:t xml:space="preserve"> si estos incluyen a los contratos definidos en el artículo 355 de la Constitución Política y el Decreto 092 de 2017, deberá tenerse en cuenta para efectos de la suscripción de estos negocios jurídicos.</w:t>
            </w:r>
            <w:r w:rsidRPr="002C675F">
              <w:rPr>
                <w:rFonts w:ascii="Verdana" w:hAnsi="Verdana" w:eastAsia="Calibri" w:cs="Arial"/>
              </w:rPr>
              <w:t xml:space="preserve"> </w:t>
            </w:r>
          </w:p>
          <w:p w:rsidRPr="00E862F3" w:rsidR="00EA6E14" w:rsidP="00A72180" w:rsidRDefault="00EA6E14" w14:paraId="3E008C8E" w14:textId="77777777">
            <w:pPr>
              <w:spacing w:after="120" w:line="276" w:lineRule="auto"/>
              <w:ind w:firstLine="709"/>
              <w:jc w:val="both"/>
              <w:rPr>
                <w:rFonts w:ascii="Verdana" w:hAnsi="Verdana" w:eastAsia="Aptos" w:cs="Arial"/>
              </w:rPr>
            </w:pPr>
            <w:r w:rsidRPr="002C675F">
              <w:rPr>
                <w:rFonts w:ascii="Verdana" w:hAnsi="Verdana" w:eastAsia="Aptos" w:cs="Arial"/>
              </w:rPr>
              <w:t xml:space="preserve">En suma, será cada entidad la obligada a analizar en cada contrato o convenio </w:t>
            </w:r>
            <w:r>
              <w:rPr>
                <w:rFonts w:ascii="Verdana" w:hAnsi="Verdana" w:eastAsia="Aptos" w:cs="Arial"/>
              </w:rPr>
              <w:t>celebrado con una ESAL</w:t>
            </w:r>
            <w:r w:rsidRPr="002C675F">
              <w:rPr>
                <w:rFonts w:ascii="Verdana" w:hAnsi="Verdana" w:eastAsia="Aptos" w:cs="Arial"/>
              </w:rPr>
              <w:t>, si por su sola celebración se constituye el hecho generador de determinada estampilla, pues de lo contrario no habrá lugar a su aplicación. Para tales efectos, es necesario realizar durante la etapa de planeación el análisis necesario para conocer el sector relativo al objeto del Proceso de Contratación, y con fundamento en dicho estudio deberá tenerse en cuenta los impuestos, tasas o contribuciones que haya lugar.</w:t>
            </w:r>
            <w:bookmarkEnd w:id="10"/>
          </w:p>
        </w:tc>
      </w:tr>
    </w:tbl>
    <w:p w:rsidRPr="00FF007A" w:rsidR="00EA6E14" w:rsidP="00EA6E14" w:rsidRDefault="00EA6E14" w14:paraId="111EF12E" w14:textId="77777777">
      <w:pPr>
        <w:tabs>
          <w:tab w:val="left" w:pos="142"/>
          <w:tab w:val="left" w:pos="284"/>
        </w:tabs>
        <w:spacing w:after="0" w:line="276" w:lineRule="auto"/>
        <w:jc w:val="both"/>
        <w:rPr>
          <w:rFonts w:ascii="Verdana" w:hAnsi="Verdana" w:eastAsia="Century Gothic" w:cs="Century Gothic"/>
          <w:b/>
          <w:bCs/>
        </w:rPr>
      </w:pPr>
    </w:p>
    <w:p w:rsidRPr="00FF007A" w:rsidR="00EA6E14" w:rsidP="00EA6E14" w:rsidRDefault="00EA6E14" w14:paraId="6B171B38" w14:textId="77777777">
      <w:pPr>
        <w:tabs>
          <w:tab w:val="left" w:pos="142"/>
          <w:tab w:val="left" w:pos="284"/>
        </w:tabs>
        <w:spacing w:after="0" w:line="276" w:lineRule="auto"/>
        <w:jc w:val="both"/>
        <w:rPr>
          <w:rFonts w:ascii="Verdana" w:hAnsi="Verdana" w:eastAsia="Century Gothic" w:cs="Century Gothic"/>
          <w:b/>
          <w:bCs/>
        </w:rPr>
      </w:pPr>
      <w:r w:rsidRPr="00FF007A">
        <w:rPr>
          <w:rFonts w:ascii="Verdana" w:hAnsi="Verdana" w:eastAsia="Century Gothic" w:cs="Century Gothic"/>
          <w:b/>
          <w:bCs/>
        </w:rPr>
        <w:t>3. Razones de la respuesta:</w:t>
      </w:r>
    </w:p>
    <w:p w:rsidRPr="00FF007A" w:rsidR="00EA6E14" w:rsidP="00EA6E14" w:rsidRDefault="00EA6E14" w14:paraId="707C254F" w14:textId="77777777">
      <w:pPr>
        <w:pStyle w:val="Prrafodelista"/>
        <w:tabs>
          <w:tab w:val="left" w:pos="142"/>
          <w:tab w:val="left" w:pos="284"/>
        </w:tabs>
        <w:spacing w:after="0" w:line="240" w:lineRule="auto"/>
        <w:ind w:left="0"/>
        <w:contextualSpacing w:val="0"/>
        <w:jc w:val="both"/>
        <w:rPr>
          <w:rFonts w:ascii="Verdana" w:hAnsi="Verdana" w:eastAsia="Calibri" w:cs="Arial"/>
          <w:lang w:val="es-CO"/>
        </w:rPr>
      </w:pPr>
    </w:p>
    <w:p w:rsidR="00EA6E14" w:rsidP="00EA6E14" w:rsidRDefault="00EA6E14" w14:paraId="65B02C2D" w14:textId="77777777">
      <w:pPr>
        <w:pStyle w:val="Prrafodelista"/>
        <w:tabs>
          <w:tab w:val="left" w:pos="142"/>
          <w:tab w:val="left" w:pos="284"/>
        </w:tabs>
        <w:spacing w:after="0" w:line="276" w:lineRule="auto"/>
        <w:ind w:left="0"/>
        <w:contextualSpacing w:val="0"/>
        <w:jc w:val="both"/>
        <w:rPr>
          <w:rFonts w:ascii="Verdana" w:hAnsi="Verdana" w:eastAsia="Calibri" w:cs="Arial"/>
          <w:lang w:val="es-CO"/>
        </w:rPr>
      </w:pPr>
      <w:r w:rsidRPr="00FF007A">
        <w:rPr>
          <w:rFonts w:ascii="Verdana" w:hAnsi="Verdana" w:eastAsia="Calibri" w:cs="Arial"/>
          <w:lang w:val="es-CO"/>
        </w:rPr>
        <w:t xml:space="preserve">Lo anterior se sustenta en las siguientes consideraciones: </w:t>
      </w:r>
    </w:p>
    <w:p w:rsidR="00EA6E14" w:rsidP="00EA6E14" w:rsidRDefault="00EA6E14" w14:paraId="329BAA84" w14:textId="77777777">
      <w:pPr>
        <w:pStyle w:val="Prrafodelista"/>
        <w:tabs>
          <w:tab w:val="left" w:pos="142"/>
          <w:tab w:val="left" w:pos="284"/>
        </w:tabs>
        <w:spacing w:after="0" w:line="276" w:lineRule="auto"/>
        <w:ind w:left="0"/>
        <w:contextualSpacing w:val="0"/>
        <w:jc w:val="both"/>
        <w:rPr>
          <w:rFonts w:ascii="Verdana" w:hAnsi="Verdana" w:eastAsia="Calibri" w:cs="Arial"/>
          <w:lang w:val="es-CO"/>
        </w:rPr>
      </w:pPr>
    </w:p>
    <w:p w:rsidR="00EA6E14" w:rsidP="00EA6E14" w:rsidRDefault="00EA6E14" w14:paraId="18E96093" w14:textId="77777777">
      <w:pPr>
        <w:spacing w:after="120" w:line="276" w:lineRule="auto"/>
        <w:jc w:val="both"/>
        <w:rPr>
          <w:rFonts w:ascii="Verdana" w:hAnsi="Verdana" w:eastAsia="Calibri" w:cs="Arial"/>
          <w:bCs/>
          <w:lang w:val="es-ES_tradnl"/>
        </w:rPr>
      </w:pPr>
      <w:r w:rsidRPr="00377ED6">
        <w:rPr>
          <w:rFonts w:ascii="Verdana" w:hAnsi="Verdana" w:eastAsia="Calibri" w:cs="Arial"/>
          <w:bCs/>
          <w:lang w:val="es-ES_tradn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w:t>
      </w:r>
      <w:r>
        <w:rPr>
          <w:rFonts w:ascii="Verdana" w:hAnsi="Verdana" w:eastAsia="Calibri" w:cs="Arial"/>
          <w:bCs/>
          <w:lang w:val="es-ES_tradnl"/>
        </w:rPr>
        <w:t xml:space="preserve">ntidades </w:t>
      </w:r>
      <w:r w:rsidRPr="00377ED6">
        <w:rPr>
          <w:rFonts w:ascii="Verdana" w:hAnsi="Verdana" w:eastAsia="Calibri" w:cs="Arial"/>
          <w:bCs/>
          <w:lang w:val="es-ES_tradnl"/>
        </w:rPr>
        <w:t>S</w:t>
      </w:r>
      <w:r>
        <w:rPr>
          <w:rFonts w:ascii="Verdana" w:hAnsi="Verdana" w:eastAsia="Calibri" w:cs="Arial"/>
          <w:bCs/>
          <w:lang w:val="es-ES_tradnl"/>
        </w:rPr>
        <w:t xml:space="preserve">in </w:t>
      </w:r>
      <w:r w:rsidRPr="00377ED6">
        <w:rPr>
          <w:rFonts w:ascii="Verdana" w:hAnsi="Verdana" w:eastAsia="Calibri" w:cs="Arial"/>
          <w:bCs/>
          <w:lang w:val="es-ES_tradnl"/>
        </w:rPr>
        <w:t>Á</w:t>
      </w:r>
      <w:r>
        <w:rPr>
          <w:rFonts w:ascii="Verdana" w:hAnsi="Verdana" w:eastAsia="Calibri" w:cs="Arial"/>
          <w:bCs/>
          <w:lang w:val="es-ES_tradnl"/>
        </w:rPr>
        <w:t xml:space="preserve">nimo de </w:t>
      </w:r>
      <w:r w:rsidRPr="00377ED6">
        <w:rPr>
          <w:rFonts w:ascii="Verdana" w:hAnsi="Verdana" w:eastAsia="Calibri" w:cs="Arial"/>
          <w:bCs/>
          <w:lang w:val="es-ES_tradnl"/>
        </w:rPr>
        <w:t>L</w:t>
      </w:r>
      <w:r>
        <w:rPr>
          <w:rFonts w:ascii="Verdana" w:hAnsi="Verdana" w:eastAsia="Calibri" w:cs="Arial"/>
          <w:bCs/>
          <w:lang w:val="es-ES_tradnl"/>
        </w:rPr>
        <w:t>ucro (ESAL)</w:t>
      </w:r>
      <w:r w:rsidRPr="00377ED6">
        <w:rPr>
          <w:rFonts w:ascii="Verdana" w:hAnsi="Verdana" w:eastAsia="Calibri" w:cs="Arial"/>
          <w:bCs/>
          <w:lang w:val="es-ES_tradnl"/>
        </w:rPr>
        <w:t xml:space="preserve"> con el fin de impulsar programas y actividades de interés público acordes con el plan nacional y los planes seccionales de desarrollo</w:t>
      </w:r>
      <w:r w:rsidRPr="00377ED6">
        <w:rPr>
          <w:rFonts w:ascii="Verdana" w:hAnsi="Verdana" w:cs="Arial"/>
          <w:vertAlign w:val="superscript"/>
        </w:rPr>
        <w:footnoteReference w:id="1"/>
      </w:r>
      <w:r w:rsidRPr="00377ED6">
        <w:rPr>
          <w:rFonts w:ascii="Verdana" w:hAnsi="Verdana" w:eastAsia="Calibri" w:cs="Arial"/>
          <w:bCs/>
          <w:lang w:val="es-ES_tradnl"/>
        </w:rPr>
        <w:t xml:space="preserve">. Por otra parte, el artículo 96 de la Ley 489 de 1998 permite a las entidades públicas en general, cualquiera sea su naturaleza y orden administrativo, asociarse con personas jurídicas particulares, mediante la celebración de </w:t>
      </w:r>
      <w:r w:rsidRPr="00C82937">
        <w:rPr>
          <w:rFonts w:ascii="Verdana" w:hAnsi="Verdana" w:eastAsia="Calibri" w:cs="Arial"/>
          <w:bCs/>
          <w:i/>
          <w:iCs/>
          <w:lang w:val="es-ES_tradnl"/>
        </w:rPr>
        <w:t>convenios de asociación</w:t>
      </w:r>
      <w:r w:rsidRPr="00377ED6">
        <w:rPr>
          <w:rFonts w:ascii="Verdana" w:hAnsi="Verdana" w:eastAsia="Calibri" w:cs="Arial"/>
          <w:bCs/>
          <w:lang w:val="es-ES_tradnl"/>
        </w:rPr>
        <w:t xml:space="preserve"> o la creación de personas jurídicas. Ambas figuras tienen como fin desarrollar conjuntamente actividades relacionadas con los cometidos y funciones legales asignadas a la entidad</w:t>
      </w:r>
      <w:r w:rsidRPr="00377ED6">
        <w:rPr>
          <w:rFonts w:ascii="Verdana" w:hAnsi="Verdana" w:eastAsia="Calibri" w:cs="Arial"/>
          <w:bCs/>
          <w:vertAlign w:val="superscript"/>
          <w:lang w:val="es-ES_tradnl"/>
        </w:rPr>
        <w:footnoteReference w:id="2"/>
      </w:r>
      <w:r w:rsidRPr="00377ED6">
        <w:rPr>
          <w:rFonts w:ascii="Verdana" w:hAnsi="Verdana" w:eastAsia="Calibri" w:cs="Arial"/>
          <w:bCs/>
          <w:lang w:val="es-ES_tradnl"/>
        </w:rPr>
        <w:t>.</w:t>
      </w:r>
    </w:p>
    <w:p w:rsidRPr="00B92877" w:rsidR="00EA6E14" w:rsidP="00EA6E14" w:rsidRDefault="00EA6E14" w14:paraId="4C2A99FB" w14:textId="77777777">
      <w:pPr>
        <w:spacing w:after="120" w:line="276" w:lineRule="auto"/>
        <w:ind w:firstLine="709"/>
        <w:jc w:val="both"/>
        <w:rPr>
          <w:rFonts w:ascii="Verdana" w:hAnsi="Verdana" w:eastAsia="Calibri" w:cs="Arial"/>
          <w:lang w:val="es-ES"/>
        </w:rPr>
      </w:pPr>
      <w:r w:rsidRPr="00877011">
        <w:rPr>
          <w:rFonts w:ascii="Verdana" w:hAnsi="Verdana" w:cs="Arial"/>
          <w:color w:val="000000" w:themeColor="text1"/>
          <w:lang w:val="es-MX"/>
        </w:rPr>
        <w:lastRenderedPageBreak/>
        <w:t>El Gobierno Nacional, en desarrollo del artículo 355 de la Constitución Política, expidió el Decreto 092 de 2017, el cual</w:t>
      </w:r>
      <w:r w:rsidRPr="00877011">
        <w:rPr>
          <w:rFonts w:ascii="Verdana" w:hAnsi="Verdana" w:eastAsia="Calibri" w:cs="Arial"/>
          <w:color w:val="000000" w:themeColor="text1"/>
          <w:lang w:val="es-MX"/>
        </w:rPr>
        <w:t xml:space="preserve"> dispone </w:t>
      </w:r>
      <w:r w:rsidRPr="00877011">
        <w:rPr>
          <w:rFonts w:ascii="Verdana" w:hAnsi="Verdana" w:eastAsia="Calibri" w:cs="Arial"/>
          <w:lang w:val="es-MX"/>
        </w:rPr>
        <w:t xml:space="preserve">reglas para las contrataciones que realizan las Entidades Estatales con las ESAL. </w:t>
      </w:r>
      <w:r w:rsidRPr="00877011">
        <w:rPr>
          <w:rFonts w:ascii="Verdana" w:hAnsi="Verdana" w:eastAsia="Calibri" w:cs="Arial"/>
          <w:color w:val="000000" w:themeColor="text1"/>
          <w:lang w:val="es-ES"/>
        </w:rPr>
        <w:t xml:space="preserve">El Decreto regula dos (2) eventos: i) </w:t>
      </w:r>
      <w:r w:rsidRPr="00877011">
        <w:rPr>
          <w:rFonts w:ascii="Verdana" w:hAnsi="Verdana" w:eastAsia="Calibri" w:cs="Arial"/>
          <w:lang w:val="es-ES" w:eastAsia="es-ES_tradnl"/>
        </w:rPr>
        <w:t xml:space="preserve">los </w:t>
      </w:r>
      <w:r w:rsidRPr="00877011">
        <w:rPr>
          <w:rFonts w:ascii="Verdana" w:hAnsi="Verdana" w:eastAsia="Calibri" w:cs="Arial"/>
          <w:i/>
          <w:iCs/>
          <w:lang w:val="es-ES" w:eastAsia="es-ES_tradnl"/>
        </w:rPr>
        <w:t>contratos de colaboración</w:t>
      </w:r>
      <w:r w:rsidRPr="00877011">
        <w:rPr>
          <w:rFonts w:ascii="Verdana" w:hAnsi="Verdana" w:eastAsia="Calibri" w:cs="Arial"/>
          <w:lang w:val="es-ES"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877011">
        <w:rPr>
          <w:rFonts w:ascii="Verdana" w:hAnsi="Verdana" w:eastAsia="Calibri" w:cs="Arial"/>
          <w:color w:val="000000" w:themeColor="text1"/>
          <w:lang w:val="es-ES"/>
        </w:rPr>
        <w:t xml:space="preserve"> y; </w:t>
      </w:r>
      <w:proofErr w:type="spellStart"/>
      <w:r w:rsidRPr="00877011">
        <w:rPr>
          <w:rFonts w:ascii="Verdana" w:hAnsi="Verdana" w:eastAsia="Calibri" w:cs="Arial"/>
          <w:color w:val="000000" w:themeColor="text1"/>
          <w:lang w:val="es-ES"/>
        </w:rPr>
        <w:t>ii</w:t>
      </w:r>
      <w:proofErr w:type="spellEnd"/>
      <w:r w:rsidRPr="00877011">
        <w:rPr>
          <w:rFonts w:ascii="Verdana" w:hAnsi="Verdana" w:eastAsia="Calibri" w:cs="Arial"/>
          <w:color w:val="000000" w:themeColor="text1"/>
          <w:lang w:val="es-ES"/>
        </w:rPr>
        <w:t xml:space="preserve">) los </w:t>
      </w:r>
      <w:r w:rsidRPr="00877011">
        <w:rPr>
          <w:rFonts w:ascii="Verdana" w:hAnsi="Verdana" w:eastAsia="Calibri" w:cs="Arial"/>
          <w:i/>
          <w:iCs/>
          <w:color w:val="000000" w:themeColor="text1"/>
          <w:lang w:val="es-ES"/>
        </w:rPr>
        <w:t>convenios de asociación</w:t>
      </w:r>
      <w:r w:rsidRPr="00877011">
        <w:rPr>
          <w:rFonts w:ascii="Verdana" w:hAnsi="Verdana" w:eastAsia="Calibri" w:cs="Arial"/>
          <w:color w:val="000000" w:themeColor="text1"/>
          <w:lang w:val="es-ES"/>
        </w:rPr>
        <w:t xml:space="preserve">, para el desarrollo conjunto de actividades relacionadas con las funciones de las Entidades Estatales, en desarrollo del artículo 96 de la Ley 489 de 1998. </w:t>
      </w:r>
      <w:r w:rsidRPr="00877011">
        <w:rPr>
          <w:rFonts w:ascii="Verdana" w:hAnsi="Verdana" w:eastAsia="Calibri" w:cs="Arial"/>
          <w:color w:val="000000"/>
          <w:lang w:val="es-MX" w:eastAsia="es-ES_tradnl"/>
        </w:rPr>
        <w:t xml:space="preserve">Los primeros están regulados en el artículo 2 del Decreto 092 de 2017, mientras que los segundos en los artículos 5, 6, 7 y 8 </w:t>
      </w:r>
      <w:r w:rsidRPr="00877011">
        <w:rPr>
          <w:rFonts w:ascii="Verdana" w:hAnsi="Verdana" w:eastAsia="Calibri" w:cs="Arial"/>
          <w:i/>
          <w:iCs/>
          <w:color w:val="000000"/>
          <w:lang w:val="es-MX" w:eastAsia="es-ES_tradnl"/>
        </w:rPr>
        <w:t>ibidem</w:t>
      </w:r>
      <w:r w:rsidRPr="00877011">
        <w:rPr>
          <w:rFonts w:ascii="Verdana" w:hAnsi="Verdana" w:eastAsia="Calibri" w:cs="Arial"/>
          <w:color w:val="000000"/>
          <w:lang w:val="es-MX" w:eastAsia="es-ES_tradnl"/>
        </w:rPr>
        <w:t xml:space="preserve">. </w:t>
      </w:r>
      <w:r w:rsidRPr="00877011">
        <w:rPr>
          <w:rFonts w:ascii="Verdana" w:hAnsi="Verdana" w:eastAsia="Calibri" w:cs="Arial"/>
          <w:color w:val="000000" w:themeColor="text1"/>
          <w:lang w:val="es-MX" w:eastAsia="es-ES_tradnl"/>
        </w:rPr>
        <w:t xml:space="preserve">Así las cosas, es posible diferenciar los </w:t>
      </w:r>
      <w:r w:rsidRPr="00877011">
        <w:rPr>
          <w:rFonts w:ascii="Verdana" w:hAnsi="Verdana" w:eastAsia="Calibri" w:cs="Arial"/>
          <w:i/>
          <w:iCs/>
          <w:color w:val="000000" w:themeColor="text1"/>
          <w:lang w:val="es-MX" w:eastAsia="es-ES_tradnl"/>
        </w:rPr>
        <w:t>contratos de colaboración</w:t>
      </w:r>
      <w:r w:rsidRPr="00877011">
        <w:rPr>
          <w:rFonts w:ascii="Verdana" w:hAnsi="Verdana" w:eastAsia="Calibri" w:cs="Arial"/>
          <w:color w:val="000000" w:themeColor="text1"/>
          <w:lang w:val="es-MX" w:eastAsia="es-ES_tradnl"/>
        </w:rPr>
        <w:t xml:space="preserve">, establecidos en el artículo 2 del Decreto 092 de 2017, de los </w:t>
      </w:r>
      <w:r w:rsidRPr="00877011">
        <w:rPr>
          <w:rFonts w:ascii="Verdana" w:hAnsi="Verdana" w:eastAsia="Calibri" w:cs="Arial"/>
          <w:i/>
          <w:iCs/>
          <w:color w:val="000000" w:themeColor="text1"/>
          <w:lang w:val="es-MX" w:eastAsia="es-ES_tradnl"/>
        </w:rPr>
        <w:t>convenios de asociación</w:t>
      </w:r>
      <w:r w:rsidRPr="00877011">
        <w:rPr>
          <w:rFonts w:ascii="Verdana" w:hAnsi="Verdana" w:eastAsia="Calibri" w:cs="Arial"/>
          <w:color w:val="000000" w:themeColor="text1"/>
          <w:lang w:val="es-MX" w:eastAsia="es-ES_tradnl"/>
        </w:rPr>
        <w:t>, regulados en el artículo 5.</w:t>
      </w:r>
    </w:p>
    <w:p w:rsidR="00EA6E14" w:rsidP="00A72180" w:rsidRDefault="00EA6E14" w14:paraId="1961FCF7" w14:textId="77777777">
      <w:pPr>
        <w:spacing w:after="120" w:line="276" w:lineRule="auto"/>
        <w:ind w:firstLine="709"/>
        <w:jc w:val="both"/>
        <w:rPr>
          <w:rFonts w:ascii="Verdana" w:hAnsi="Verdana" w:eastAsia="Calibri" w:cs="Arial"/>
          <w:lang w:val="es-ES"/>
        </w:rPr>
      </w:pPr>
      <w:bookmarkStart w:name="_Hlk95756032" w:id="12"/>
      <w:r>
        <w:rPr>
          <w:rFonts w:ascii="Verdana" w:hAnsi="Verdana" w:eastAsia="Calibri" w:cs="Arial"/>
          <w:lang w:val="es-ES"/>
        </w:rPr>
        <w:t>En primer lugar, l</w:t>
      </w:r>
      <w:r w:rsidRPr="00377ED6">
        <w:rPr>
          <w:rFonts w:ascii="Verdana" w:hAnsi="Verdana" w:eastAsia="Calibri" w:cs="Arial"/>
          <w:lang w:val="es-ES"/>
        </w:rPr>
        <w:t xml:space="preserve">os </w:t>
      </w:r>
      <w:r w:rsidRPr="00377ED6">
        <w:rPr>
          <w:rFonts w:ascii="Verdana" w:hAnsi="Verdana" w:eastAsia="Calibri" w:cs="Arial"/>
          <w:i/>
          <w:iCs/>
          <w:lang w:val="es-ES"/>
        </w:rPr>
        <w:t>contratos del artículo 355 de la Constitución Política</w:t>
      </w:r>
      <w:r>
        <w:rPr>
          <w:rFonts w:ascii="Verdana" w:hAnsi="Verdana" w:eastAsia="Calibri" w:cs="Arial"/>
          <w:i/>
          <w:iCs/>
          <w:lang w:val="es-ES"/>
        </w:rPr>
        <w:t xml:space="preserve"> o contratos de interés público</w:t>
      </w:r>
      <w:r w:rsidRPr="00377ED6">
        <w:rPr>
          <w:rFonts w:ascii="Verdana" w:hAnsi="Verdana" w:eastAsia="Calibri" w:cs="Arial"/>
          <w:lang w:val="es-ES"/>
        </w:rPr>
        <w:t xml:space="preserve"> tienen como objeto promover acciones de fomento social en beneficio de los sectores más desprotegidos de la población, siempre que estén previstas en los planes de desarrollo</w:t>
      </w:r>
      <w:r>
        <w:rPr>
          <w:rFonts w:ascii="Verdana" w:hAnsi="Verdana" w:eastAsia="Calibri" w:cs="Arial"/>
          <w:lang w:val="es-ES"/>
        </w:rPr>
        <w:t>. Por este</w:t>
      </w:r>
      <w:r w:rsidRPr="00377ED6">
        <w:rPr>
          <w:rFonts w:ascii="Verdana" w:hAnsi="Verdana" w:eastAsia="Calibri" w:cs="Arial"/>
          <w:lang w:val="es-ES"/>
        </w:rPr>
        <w:t xml:space="preserve"> motivo</w:t>
      </w:r>
      <w:r>
        <w:rPr>
          <w:rFonts w:ascii="Verdana" w:hAnsi="Verdana" w:eastAsia="Calibri" w:cs="Arial"/>
          <w:lang w:val="es-ES"/>
        </w:rPr>
        <w:t>,</w:t>
      </w:r>
      <w:r w:rsidRPr="00377ED6">
        <w:rPr>
          <w:rFonts w:ascii="Verdana" w:hAnsi="Verdana" w:eastAsia="Calibri" w:cs="Arial"/>
          <w:lang w:val="es-ES"/>
        </w:rPr>
        <w:t xml:space="preserve"> no dan lugar a una contraprestación directa a favor de la entidad y tampoco a una relación conmutativa entre ésta y la ESAL, toda vez que el beneficio directo lo recibirán los sectores de este tipo de acciones de fomento. </w:t>
      </w:r>
    </w:p>
    <w:p w:rsidR="00EA6E14" w:rsidP="00A72180" w:rsidRDefault="00EA6E14" w14:paraId="5F324DD8" w14:textId="77777777">
      <w:pPr>
        <w:spacing w:after="120" w:line="276" w:lineRule="auto"/>
        <w:ind w:firstLine="709"/>
        <w:jc w:val="both"/>
        <w:rPr>
          <w:rFonts w:ascii="Verdana" w:hAnsi="Verdana" w:eastAsia="Calibri" w:cs="Arial"/>
          <w:lang w:val="es-ES"/>
        </w:rPr>
      </w:pPr>
      <w:r>
        <w:rPr>
          <w:rFonts w:ascii="Verdana" w:hAnsi="Verdana" w:eastAsia="Calibri" w:cs="Arial"/>
          <w:lang w:val="es-ES"/>
        </w:rPr>
        <w:t xml:space="preserve">De acuerdo con el </w:t>
      </w:r>
      <w:r w:rsidRPr="00377ED6">
        <w:rPr>
          <w:rFonts w:ascii="Verdana" w:hAnsi="Verdana" w:eastAsia="Calibri" w:cs="Arial"/>
          <w:lang w:val="es-ES"/>
        </w:rPr>
        <w:t>artículo</w:t>
      </w:r>
      <w:r>
        <w:rPr>
          <w:rFonts w:ascii="Verdana" w:hAnsi="Verdana" w:eastAsia="Calibri" w:cs="Arial"/>
          <w:lang w:val="es-ES"/>
        </w:rPr>
        <w:t xml:space="preserve"> 3 </w:t>
      </w:r>
      <w:r w:rsidRPr="00377ED6">
        <w:rPr>
          <w:rFonts w:ascii="Verdana" w:hAnsi="Verdana" w:eastAsia="Calibri" w:cs="Arial"/>
          <w:lang w:val="es-ES"/>
        </w:rPr>
        <w:t xml:space="preserve">del Decreto 092 de 2017, </w:t>
      </w:r>
      <w:r>
        <w:rPr>
          <w:rFonts w:ascii="Verdana" w:hAnsi="Verdana" w:eastAsia="Calibri" w:cs="Arial"/>
          <w:lang w:val="es-ES"/>
        </w:rPr>
        <w:t xml:space="preserve">para celebrar este tipo de contratos, </w:t>
      </w:r>
      <w:r w:rsidRPr="00377ED6">
        <w:rPr>
          <w:rFonts w:ascii="Verdana" w:hAnsi="Verdana" w:eastAsia="Calibri" w:cs="Arial"/>
          <w:lang w:val="es-ES"/>
        </w:rPr>
        <w:t>la entidad debe adelantar un proceso competitivo para seleccionar la</w:t>
      </w:r>
      <w:r>
        <w:rPr>
          <w:rFonts w:ascii="Verdana" w:hAnsi="Verdana" w:eastAsia="Calibri" w:cs="Arial"/>
          <w:lang w:val="es-ES"/>
        </w:rPr>
        <w:t xml:space="preserve"> ESAL</w:t>
      </w:r>
      <w:r w:rsidRPr="00377ED6">
        <w:rPr>
          <w:rFonts w:ascii="Verdana" w:hAnsi="Verdana" w:eastAsia="Calibri" w:cs="Arial"/>
          <w:lang w:val="es-ES"/>
        </w:rPr>
        <w:t xml:space="preserve">. En particular, debe verificar el cumplimiento de los siguientes requisitos: </w:t>
      </w:r>
      <w:r>
        <w:rPr>
          <w:rFonts w:ascii="Verdana" w:hAnsi="Verdana" w:eastAsia="Calibri" w:cs="Arial"/>
          <w:lang w:val="es-ES"/>
        </w:rPr>
        <w:t>(</w:t>
      </w:r>
      <w:r w:rsidRPr="00377ED6">
        <w:rPr>
          <w:rFonts w:ascii="Verdana" w:hAnsi="Verdana" w:eastAsia="Calibri" w:cs="Arial"/>
          <w:lang w:val="es-ES"/>
        </w:rPr>
        <w:t>i) que el objeto del contrato corresponda a programas y actividades de interés público acordes con el Plan Nacional o Seccional de Desarrollo; y</w:t>
      </w:r>
      <w:r>
        <w:rPr>
          <w:rFonts w:ascii="Verdana" w:hAnsi="Verdana" w:eastAsia="Calibri" w:cs="Arial"/>
          <w:lang w:val="es-ES"/>
        </w:rPr>
        <w:t xml:space="preserve"> (</w:t>
      </w:r>
      <w:proofErr w:type="spellStart"/>
      <w:r w:rsidRPr="00377ED6">
        <w:rPr>
          <w:rFonts w:ascii="Verdana" w:hAnsi="Verdana" w:eastAsia="Calibri" w:cs="Arial"/>
          <w:lang w:val="es-ES"/>
        </w:rPr>
        <w:t>ii</w:t>
      </w:r>
      <w:proofErr w:type="spellEnd"/>
      <w:r w:rsidRPr="00377ED6">
        <w:rPr>
          <w:rFonts w:ascii="Verdana" w:hAnsi="Verdana" w:eastAsia="Calibri" w:cs="Arial"/>
          <w:lang w:val="es-ES"/>
        </w:rPr>
        <w:t>)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w:t>
      </w:r>
      <w:r>
        <w:rPr>
          <w:rFonts w:ascii="Verdana" w:hAnsi="Verdana" w:eastAsia="Calibri" w:cs="Arial"/>
          <w:lang w:val="es-ES"/>
        </w:rPr>
        <w:t xml:space="preserve"> de la Administración Pública – en adelante EGCAP</w:t>
      </w:r>
      <w:r w:rsidRPr="00377ED6">
        <w:rPr>
          <w:rFonts w:ascii="Verdana" w:hAnsi="Verdana" w:eastAsia="Calibri" w:cs="Arial"/>
          <w:lang w:val="es-ES"/>
        </w:rPr>
        <w:t xml:space="preserve">. Solo cuando se reúnan estas condiciones es procedente celebrar contratos del artículo 355 de la Constitución Política; de lo contrario, se aplicarán las normas del </w:t>
      </w:r>
      <w:r>
        <w:rPr>
          <w:rFonts w:ascii="Verdana" w:hAnsi="Verdana" w:eastAsia="Calibri" w:cs="Arial"/>
          <w:lang w:val="es-ES"/>
        </w:rPr>
        <w:t>EGCAP</w:t>
      </w:r>
      <w:r w:rsidRPr="00377ED6">
        <w:rPr>
          <w:rFonts w:ascii="Verdana" w:hAnsi="Verdana" w:eastAsia="Calibri" w:cs="Arial"/>
          <w:lang w:val="es-ES"/>
        </w:rPr>
        <w:t>.</w:t>
      </w:r>
    </w:p>
    <w:p w:rsidRPr="00551180" w:rsidR="00EA6E14" w:rsidP="00A72180" w:rsidRDefault="00EA6E14" w14:paraId="27E14790" w14:textId="77777777">
      <w:pPr>
        <w:spacing w:after="120" w:line="276" w:lineRule="auto"/>
        <w:ind w:firstLine="709"/>
        <w:jc w:val="both"/>
        <w:rPr>
          <w:rFonts w:ascii="Verdana" w:hAnsi="Verdana" w:eastAsia="Calibri" w:cs="Arial"/>
          <w:lang w:val="es-ES"/>
        </w:rPr>
      </w:pPr>
      <w:r w:rsidRPr="5F8BC1B5">
        <w:rPr>
          <w:rFonts w:ascii="Verdana" w:hAnsi="Verdana" w:eastAsia="Calibri" w:cs="Arial"/>
          <w:lang w:val="es-ES"/>
        </w:rPr>
        <w:t xml:space="preserve">Ahora bien, por disposición del artículo 4 del Decreto </w:t>
      </w:r>
      <w:r>
        <w:rPr>
          <w:rFonts w:ascii="Verdana" w:hAnsi="Verdana" w:eastAsia="Calibri" w:cs="Arial"/>
          <w:lang w:val="es-ES"/>
        </w:rPr>
        <w:t>0</w:t>
      </w:r>
      <w:r w:rsidRPr="5F8BC1B5">
        <w:rPr>
          <w:rFonts w:ascii="Verdana" w:hAnsi="Verdana" w:eastAsia="Calibri" w:cs="Arial"/>
          <w:lang w:val="es-ES"/>
        </w:rPr>
        <w:t xml:space="preserve">92 de 2017, las Entidades Estatales deberán adelantar procesos competitivos cuando en el marco de </w:t>
      </w:r>
      <w:r>
        <w:rPr>
          <w:rFonts w:ascii="Verdana" w:hAnsi="Verdana" w:eastAsia="Calibri" w:cs="Arial"/>
          <w:lang w:val="es-ES"/>
        </w:rPr>
        <w:t xml:space="preserve">la etapa de </w:t>
      </w:r>
      <w:r w:rsidRPr="5F8BC1B5">
        <w:rPr>
          <w:rFonts w:ascii="Verdana" w:hAnsi="Verdana" w:eastAsia="Calibri" w:cs="Arial"/>
          <w:lang w:val="es-ES"/>
        </w:rPr>
        <w:t xml:space="preserve">planeación </w:t>
      </w:r>
      <w:r>
        <w:rPr>
          <w:rFonts w:ascii="Verdana" w:hAnsi="Verdana" w:eastAsia="Calibri" w:cs="Arial"/>
          <w:lang w:val="es-ES"/>
        </w:rPr>
        <w:t xml:space="preserve">evidencien </w:t>
      </w:r>
      <w:r w:rsidRPr="5F8BC1B5">
        <w:rPr>
          <w:rFonts w:ascii="Verdana" w:hAnsi="Verdana" w:eastAsia="Calibri" w:cs="Arial"/>
          <w:lang w:val="es-ES"/>
        </w:rPr>
        <w:t xml:space="preserve">que el programa o actividad </w:t>
      </w:r>
      <w:r>
        <w:rPr>
          <w:rFonts w:ascii="Verdana" w:hAnsi="Verdana" w:eastAsia="Calibri" w:cs="Arial"/>
          <w:lang w:val="es-ES"/>
        </w:rPr>
        <w:t xml:space="preserve">a </w:t>
      </w:r>
      <w:r w:rsidRPr="5F8BC1B5">
        <w:rPr>
          <w:rFonts w:ascii="Verdana" w:hAnsi="Verdana" w:eastAsia="Calibri" w:cs="Arial"/>
          <w:lang w:val="es-ES"/>
        </w:rPr>
        <w:lastRenderedPageBreak/>
        <w:t xml:space="preserve">desarrollar es ofrecido por más de una ESAL. </w:t>
      </w:r>
      <w:r>
        <w:rPr>
          <w:rFonts w:ascii="Verdana" w:hAnsi="Verdana" w:eastAsia="Calibri" w:cs="Arial"/>
          <w:lang w:val="es-ES"/>
        </w:rPr>
        <w:t xml:space="preserve">En estos casos, </w:t>
      </w:r>
      <w:r w:rsidRPr="5F8BC1B5">
        <w:rPr>
          <w:rFonts w:ascii="Verdana" w:hAnsi="Verdana" w:eastAsia="Calibri" w:cs="Arial"/>
          <w:lang w:val="es-ES"/>
        </w:rPr>
        <w:t>la Entidad Estatal deberá garantizar las siguientes fases</w:t>
      </w:r>
      <w:r>
        <w:rPr>
          <w:rFonts w:ascii="Verdana" w:hAnsi="Verdana" w:eastAsia="Calibri" w:cs="Arial"/>
          <w:lang w:val="es-ES"/>
        </w:rPr>
        <w:t xml:space="preserve"> en el procedimiento</w:t>
      </w:r>
      <w:r w:rsidRPr="5F8BC1B5">
        <w:rPr>
          <w:rFonts w:ascii="Verdana" w:hAnsi="Verdana" w:eastAsia="Calibri" w:cs="Arial"/>
          <w:lang w:val="es-ES"/>
        </w:rPr>
        <w:t>:</w:t>
      </w:r>
      <w:r>
        <w:rPr>
          <w:rFonts w:ascii="Verdana" w:hAnsi="Verdana" w:eastAsia="Calibri" w:cs="Arial"/>
          <w:lang w:val="es-ES"/>
        </w:rPr>
        <w:t xml:space="preserve"> “</w:t>
      </w:r>
      <w:r w:rsidRPr="5F8BC1B5">
        <w:rPr>
          <w:rFonts w:ascii="Verdana" w:hAnsi="Verdana" w:eastAsia="Calibri" w:cs="Arial"/>
          <w:lang w:val="es-ES"/>
        </w:rPr>
        <w:t>(i) definición y publicación de los indicadores de idoneidad, experiencia, eficacia, eficiencia, economía y de manejo del Riesgo y los criterios de ponderación para comparar las ofertas; (</w:t>
      </w:r>
      <w:proofErr w:type="spellStart"/>
      <w:r w:rsidRPr="5F8BC1B5">
        <w:rPr>
          <w:rFonts w:ascii="Verdana" w:hAnsi="Verdana" w:eastAsia="Calibri" w:cs="Arial"/>
          <w:lang w:val="es-ES"/>
        </w:rPr>
        <w:t>ii</w:t>
      </w:r>
      <w:proofErr w:type="spellEnd"/>
      <w:r w:rsidRPr="5F8BC1B5">
        <w:rPr>
          <w:rFonts w:ascii="Verdana" w:hAnsi="Verdana" w:eastAsia="Calibri" w:cs="Arial"/>
          <w:lang w:val="es-ES"/>
        </w:rPr>
        <w:t>) definición de un plazo razonable para que las entidades privadas sin ánimo de lucro de reconocida idoneidad presenten a la Entidad Estatal sus ofertas y los documentos que acrediten su idoneidad, y (</w:t>
      </w:r>
      <w:proofErr w:type="spellStart"/>
      <w:r w:rsidRPr="5F8BC1B5">
        <w:rPr>
          <w:rFonts w:ascii="Verdana" w:hAnsi="Verdana" w:eastAsia="Calibri" w:cs="Arial"/>
          <w:lang w:val="es-ES"/>
        </w:rPr>
        <w:t>iii</w:t>
      </w:r>
      <w:proofErr w:type="spellEnd"/>
      <w:r w:rsidRPr="5F8BC1B5">
        <w:rPr>
          <w:rFonts w:ascii="Verdana" w:hAnsi="Verdana" w:eastAsia="Calibri" w:cs="Arial"/>
          <w:lang w:val="es-ES"/>
        </w:rPr>
        <w:t>) evaluación de las ofertas por parte de la Entidad Estatal teniendo en cuenta los criterios definidos para el efecto</w:t>
      </w:r>
      <w:r>
        <w:rPr>
          <w:rFonts w:ascii="Verdana" w:hAnsi="Verdana" w:eastAsia="Calibri" w:cs="Arial"/>
          <w:lang w:val="es-ES"/>
        </w:rPr>
        <w:t>”</w:t>
      </w:r>
      <w:r w:rsidRPr="5F8BC1B5">
        <w:rPr>
          <w:rFonts w:ascii="Verdana" w:hAnsi="Verdana" w:eastAsia="Calibri" w:cs="Arial"/>
          <w:lang w:val="es-ES"/>
        </w:rPr>
        <w:t xml:space="preserve">. </w:t>
      </w:r>
    </w:p>
    <w:p w:rsidRPr="00551180" w:rsidR="00EA6E14" w:rsidP="00A72180" w:rsidRDefault="00EA6E14" w14:paraId="08832EF7" w14:textId="77777777">
      <w:pPr>
        <w:spacing w:after="120" w:line="276" w:lineRule="auto"/>
        <w:ind w:firstLine="709"/>
        <w:jc w:val="both"/>
        <w:rPr>
          <w:rFonts w:ascii="Verdana" w:hAnsi="Verdana" w:eastAsia="Calibri" w:cs="Arial"/>
          <w:lang w:val="es-ES"/>
        </w:rPr>
      </w:pPr>
      <w:r w:rsidRPr="5F8BC1B5">
        <w:rPr>
          <w:rFonts w:ascii="Verdana" w:hAnsi="Verdana" w:eastAsia="Calibri" w:cs="Arial"/>
          <w:lang w:val="es-ES"/>
        </w:rPr>
        <w:t>En la primera fase o de</w:t>
      </w:r>
      <w:r w:rsidRPr="5F8BC1B5">
        <w:rPr>
          <w:rFonts w:ascii="Verdana" w:hAnsi="Verdana" w:eastAsia="Calibri" w:cs="Arial"/>
          <w:i/>
          <w:iCs/>
          <w:lang w:val="es-ES"/>
        </w:rPr>
        <w:t xml:space="preserve"> convocatoria, </w:t>
      </w:r>
      <w:r w:rsidRPr="5F8BC1B5">
        <w:rPr>
          <w:rFonts w:ascii="Verdana" w:hAnsi="Verdana" w:eastAsia="Calibri" w:cs="Arial"/>
          <w:lang w:val="es-ES"/>
        </w:rPr>
        <w:t xml:space="preserve">la norma establece que las entidades deberán definir los indicadores de idoneidad, experiencia, eficacia, eficiencia, manejo de riesgo y los criterios de ponderación de las ofertas, no obstante </w:t>
      </w:r>
      <w:r>
        <w:rPr>
          <w:rFonts w:ascii="Verdana" w:hAnsi="Verdana" w:eastAsia="Calibri" w:cs="Arial"/>
          <w:lang w:val="es-ES"/>
        </w:rPr>
        <w:t>“</w:t>
      </w:r>
      <w:r w:rsidRPr="5F8BC1B5">
        <w:rPr>
          <w:rFonts w:ascii="Verdana" w:hAnsi="Verdana" w:eastAsia="Calibri" w:cs="Arial"/>
          <w:lang w:val="es-ES"/>
        </w:rPr>
        <w:t xml:space="preserve">tales indicadores deben haberse </w:t>
      </w:r>
      <w:r w:rsidRPr="5F8BC1B5">
        <w:rPr>
          <w:rFonts w:ascii="Verdana" w:hAnsi="Verdana" w:eastAsia="Calibri" w:cs="Arial"/>
          <w:i/>
          <w:iCs/>
          <w:lang w:val="es-ES"/>
        </w:rPr>
        <w:t xml:space="preserve">definido </w:t>
      </w:r>
      <w:r w:rsidRPr="5F8BC1B5">
        <w:rPr>
          <w:rFonts w:ascii="Verdana" w:hAnsi="Verdana" w:eastAsia="Calibri" w:cs="Arial"/>
          <w:lang w:val="es-ES"/>
        </w:rPr>
        <w:t>o identificado en la etapa de planeación, mientras que lo que se hace esta etapa es publicarlos, llamando la atención a participar en la competencia a las ESAL interesadas y que los cumplan</w:t>
      </w:r>
      <w:r>
        <w:rPr>
          <w:rFonts w:ascii="Verdana" w:hAnsi="Verdana" w:eastAsia="Calibri" w:cs="Arial"/>
          <w:lang w:val="es-ES"/>
        </w:rPr>
        <w:t>”</w:t>
      </w:r>
      <w:r w:rsidRPr="5F8BC1B5">
        <w:rPr>
          <w:rFonts w:ascii="Verdana" w:hAnsi="Verdana" w:eastAsia="Calibri" w:cs="Arial"/>
          <w:vertAlign w:val="superscript"/>
          <w:lang w:val="es-ES"/>
        </w:rPr>
        <w:footnoteReference w:id="3"/>
      </w:r>
      <w:r w:rsidRPr="5F8BC1B5">
        <w:rPr>
          <w:rFonts w:ascii="Verdana" w:hAnsi="Verdana" w:eastAsia="Calibri" w:cs="Arial"/>
          <w:lang w:val="es-ES"/>
        </w:rPr>
        <w:t xml:space="preserve">. En la segunda fase o </w:t>
      </w:r>
      <w:r w:rsidRPr="5F8BC1B5">
        <w:rPr>
          <w:rFonts w:ascii="Verdana" w:hAnsi="Verdana" w:eastAsia="Calibri" w:cs="Arial"/>
          <w:i/>
          <w:iCs/>
          <w:lang w:val="es-ES"/>
        </w:rPr>
        <w:t xml:space="preserve">Plazo para la presentación de ofertas, </w:t>
      </w:r>
      <w:r w:rsidRPr="5F8BC1B5">
        <w:rPr>
          <w:rFonts w:ascii="Verdana" w:hAnsi="Verdana" w:eastAsia="Calibri" w:cs="Arial"/>
          <w:lang w:val="es-ES"/>
        </w:rPr>
        <w:t>la norma se limita a establecer que la entidad deberá definir un plazo razonable para que las ESAL presenten sus ofertas</w:t>
      </w:r>
      <w:r>
        <w:rPr>
          <w:rFonts w:ascii="Verdana" w:hAnsi="Verdana" w:eastAsia="Calibri" w:cs="Arial"/>
          <w:lang w:val="es-ES"/>
        </w:rPr>
        <w:t xml:space="preserve">, junto con la </w:t>
      </w:r>
      <w:r w:rsidRPr="5F8BC1B5">
        <w:rPr>
          <w:rFonts w:ascii="Verdana" w:hAnsi="Verdana" w:eastAsia="Calibri" w:cs="Arial"/>
          <w:lang w:val="es-ES"/>
        </w:rPr>
        <w:t>demás documentación requerida en el marco del procedimiento. La convocatoria</w:t>
      </w:r>
      <w:r>
        <w:rPr>
          <w:rFonts w:ascii="Verdana" w:hAnsi="Verdana" w:eastAsia="Calibri" w:cs="Arial"/>
          <w:lang w:val="es-ES"/>
        </w:rPr>
        <w:t xml:space="preserve"> deberá definir este plazo</w:t>
      </w:r>
      <w:r w:rsidRPr="5F8BC1B5">
        <w:rPr>
          <w:rFonts w:ascii="Verdana" w:hAnsi="Verdana" w:eastAsia="Calibri" w:cs="Arial"/>
          <w:lang w:val="es-ES"/>
        </w:rPr>
        <w:t xml:space="preserve">. La tercera fase o de </w:t>
      </w:r>
      <w:r w:rsidRPr="5F8BC1B5">
        <w:rPr>
          <w:rFonts w:ascii="Verdana" w:hAnsi="Verdana" w:eastAsia="Calibri" w:cs="Arial"/>
          <w:i/>
          <w:iCs/>
          <w:lang w:val="es-ES"/>
        </w:rPr>
        <w:t>evaluación de ofertas</w:t>
      </w:r>
      <w:r w:rsidRPr="5F8BC1B5">
        <w:rPr>
          <w:rFonts w:ascii="Verdana" w:hAnsi="Verdana" w:eastAsia="Calibri" w:cs="Arial"/>
          <w:lang w:val="es-ES"/>
        </w:rPr>
        <w:t xml:space="preserve"> </w:t>
      </w:r>
      <w:r>
        <w:rPr>
          <w:rFonts w:ascii="Verdana" w:hAnsi="Verdana" w:eastAsia="Calibri" w:cs="Arial"/>
          <w:lang w:val="es-ES"/>
        </w:rPr>
        <w:t xml:space="preserve">se realizará </w:t>
      </w:r>
      <w:r w:rsidRPr="5F8BC1B5">
        <w:rPr>
          <w:rFonts w:ascii="Verdana" w:hAnsi="Verdana" w:eastAsia="Calibri" w:cs="Arial"/>
          <w:lang w:val="es-ES"/>
        </w:rPr>
        <w:t xml:space="preserve">una vez vencido el plazo para la presentación de ofertas, de acuerdo </w:t>
      </w:r>
      <w:r>
        <w:rPr>
          <w:rFonts w:ascii="Verdana" w:hAnsi="Verdana" w:eastAsia="Calibri" w:cs="Arial"/>
          <w:lang w:val="es-ES"/>
        </w:rPr>
        <w:t>con</w:t>
      </w:r>
      <w:r w:rsidRPr="5F8BC1B5">
        <w:rPr>
          <w:rFonts w:ascii="Verdana" w:hAnsi="Verdana" w:eastAsia="Calibri" w:cs="Arial"/>
          <w:lang w:val="es-ES"/>
        </w:rPr>
        <w:t xml:space="preserve"> los métodos de ponderación y </w:t>
      </w:r>
      <w:r>
        <w:rPr>
          <w:rFonts w:ascii="Verdana" w:hAnsi="Verdana" w:eastAsia="Calibri" w:cs="Arial"/>
          <w:lang w:val="es-ES"/>
        </w:rPr>
        <w:t xml:space="preserve">el </w:t>
      </w:r>
      <w:r w:rsidRPr="5F8BC1B5">
        <w:rPr>
          <w:rFonts w:ascii="Verdana" w:hAnsi="Verdana" w:eastAsia="Calibri" w:cs="Arial"/>
          <w:lang w:val="es-ES"/>
        </w:rPr>
        <w:t>plazo definido en la convocatoria.</w:t>
      </w:r>
    </w:p>
    <w:bookmarkEnd w:id="12"/>
    <w:p w:rsidR="00EA6E14" w:rsidP="00A72180" w:rsidRDefault="00EA6E14" w14:paraId="2BAD706E" w14:textId="77777777">
      <w:pPr>
        <w:spacing w:after="120" w:line="276" w:lineRule="auto"/>
        <w:ind w:firstLine="709"/>
        <w:jc w:val="both"/>
        <w:rPr>
          <w:rFonts w:ascii="Verdana" w:hAnsi="Verdana" w:eastAsia="Calibri" w:cs="Arial"/>
          <w:bCs/>
          <w:lang w:val="es-ES_tradnl"/>
        </w:rPr>
      </w:pPr>
      <w:r>
        <w:rPr>
          <w:rFonts w:ascii="Verdana" w:hAnsi="Verdana" w:eastAsia="Calibri" w:cs="Arial"/>
          <w:bCs/>
          <w:lang w:val="es-ES_tradnl"/>
        </w:rPr>
        <w:t>En segundo lugar</w:t>
      </w:r>
      <w:r w:rsidRPr="00377ED6">
        <w:rPr>
          <w:rFonts w:ascii="Verdana" w:hAnsi="Verdana" w:eastAsia="Calibri" w:cs="Arial"/>
          <w:bCs/>
          <w:lang w:val="es-ES_tradnl"/>
        </w:rPr>
        <w:t xml:space="preserve">, </w:t>
      </w:r>
      <w:r>
        <w:rPr>
          <w:rFonts w:ascii="Verdana" w:hAnsi="Verdana" w:eastAsia="Calibri" w:cs="Arial"/>
          <w:bCs/>
          <w:lang w:val="es-ES_tradnl"/>
        </w:rPr>
        <w:t xml:space="preserve">el Decreto 092 de 2027 se refiere a </w:t>
      </w:r>
      <w:r w:rsidRPr="00377ED6">
        <w:rPr>
          <w:rFonts w:ascii="Verdana" w:hAnsi="Verdana" w:eastAsia="Calibri" w:cs="Arial"/>
          <w:bCs/>
          <w:lang w:val="es-ES_tradnl"/>
        </w:rPr>
        <w:t xml:space="preserve">los </w:t>
      </w:r>
      <w:r w:rsidRPr="00377ED6">
        <w:rPr>
          <w:rFonts w:ascii="Verdana" w:hAnsi="Verdana" w:eastAsia="Calibri" w:cs="Arial"/>
          <w:bCs/>
          <w:i/>
          <w:lang w:val="es-ES_tradnl"/>
        </w:rPr>
        <w:t>convenios de asociación</w:t>
      </w:r>
      <w:r w:rsidRPr="00377ED6">
        <w:rPr>
          <w:rFonts w:ascii="Verdana" w:hAnsi="Verdana" w:eastAsia="Calibri" w:cs="Arial"/>
          <w:bCs/>
          <w:lang w:val="es-ES_tradnl"/>
        </w:rPr>
        <w:t xml:space="preserve"> </w:t>
      </w:r>
      <w:r>
        <w:rPr>
          <w:rFonts w:ascii="Verdana" w:hAnsi="Verdana" w:eastAsia="Calibri" w:cs="Arial"/>
          <w:bCs/>
          <w:lang w:val="es-ES_tradnl"/>
        </w:rPr>
        <w:t xml:space="preserve">como aquellos que </w:t>
      </w:r>
      <w:r w:rsidRPr="00377ED6">
        <w:rPr>
          <w:rFonts w:ascii="Verdana" w:hAnsi="Verdana" w:eastAsia="Calibri" w:cs="Arial"/>
          <w:bCs/>
          <w:lang w:val="es-ES_tradnl"/>
        </w:rPr>
        <w:t>“[t]</w:t>
      </w:r>
      <w:proofErr w:type="spellStart"/>
      <w:r w:rsidRPr="00377ED6">
        <w:rPr>
          <w:rFonts w:ascii="Verdana" w:hAnsi="Verdana" w:eastAsia="Calibri" w:cs="Arial"/>
          <w:bCs/>
          <w:lang w:val="es-ES_tradnl"/>
        </w:rPr>
        <w:t>ienen</w:t>
      </w:r>
      <w:proofErr w:type="spellEnd"/>
      <w:r w:rsidRPr="00377ED6">
        <w:rPr>
          <w:rFonts w:ascii="Verdana" w:hAnsi="Verdana" w:eastAsia="Calibri"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4"/>
      </w:r>
      <w:r w:rsidRPr="00377ED6">
        <w:rPr>
          <w:rFonts w:ascii="Verdana" w:hAnsi="Verdana" w:eastAsia="Calibri" w:cs="Arial"/>
          <w:bCs/>
          <w:lang w:val="es-ES_tradnl"/>
        </w:rPr>
        <w:t>. El convenio de asociación no es conmutativo</w:t>
      </w:r>
      <w:r>
        <w:rPr>
          <w:rFonts w:ascii="Verdana" w:hAnsi="Verdana" w:eastAsia="Calibri" w:cs="Arial"/>
          <w:bCs/>
          <w:lang w:val="es-ES_tradnl"/>
        </w:rPr>
        <w:t xml:space="preserve"> </w:t>
      </w:r>
      <w:r w:rsidRPr="00377ED6">
        <w:rPr>
          <w:rFonts w:ascii="Verdana" w:hAnsi="Verdana" w:eastAsia="Calibri" w:cs="Arial"/>
          <w:bCs/>
          <w:lang w:val="es-ES_tradnl"/>
        </w:rPr>
        <w:t>y</w:t>
      </w:r>
      <w:r>
        <w:rPr>
          <w:rFonts w:ascii="Verdana" w:hAnsi="Verdana" w:eastAsia="Calibri" w:cs="Arial"/>
          <w:bCs/>
          <w:lang w:val="es-ES_tradnl"/>
        </w:rPr>
        <w:t>,</w:t>
      </w:r>
      <w:r w:rsidRPr="00377ED6">
        <w:rPr>
          <w:rFonts w:ascii="Verdana" w:hAnsi="Verdana" w:eastAsia="Calibri" w:cs="Arial"/>
          <w:bCs/>
          <w:lang w:val="es-ES_tradnl"/>
        </w:rPr>
        <w:t xml:space="preserve"> por tanto, la entidad no instruye al contratista para desarrollar los programas o actividades previstas, sino que se asocia con él para el cumplimiento de objetivos comunes</w:t>
      </w:r>
      <w:r w:rsidRPr="00377ED6">
        <w:rPr>
          <w:rFonts w:ascii="Verdana" w:hAnsi="Verdana" w:cs="Arial"/>
          <w:vertAlign w:val="superscript"/>
        </w:rPr>
        <w:footnoteReference w:id="5"/>
      </w:r>
      <w:r w:rsidRPr="00377ED6">
        <w:rPr>
          <w:rFonts w:ascii="Verdana" w:hAnsi="Verdana" w:eastAsia="Calibri" w:cs="Arial"/>
          <w:bCs/>
          <w:lang w:val="es-ES_tradnl"/>
        </w:rPr>
        <w:t>.</w:t>
      </w:r>
      <w:r>
        <w:rPr>
          <w:rFonts w:ascii="Verdana" w:hAnsi="Verdana" w:eastAsia="Calibri" w:cs="Arial"/>
          <w:bCs/>
          <w:lang w:val="es-ES_tradnl"/>
        </w:rPr>
        <w:t xml:space="preserve"> En esta línea, e</w:t>
      </w:r>
      <w:r w:rsidRPr="00377ED6">
        <w:rPr>
          <w:rFonts w:ascii="Verdana" w:hAnsi="Verdana" w:eastAsia="Calibri" w:cs="Arial"/>
          <w:bCs/>
          <w:lang w:val="es-ES_tradnl"/>
        </w:rPr>
        <w:t xml:space="preserve">n estos convenios </w:t>
      </w:r>
      <w:r w:rsidRPr="00110BB7">
        <w:rPr>
          <w:rFonts w:ascii="Verdana" w:hAnsi="Verdana" w:eastAsia="Calibri" w:cs="Arial"/>
          <w:bCs/>
          <w:lang w:val="es-ES_tradnl"/>
        </w:rPr>
        <w:t xml:space="preserve">las ESAL deben realizar </w:t>
      </w:r>
      <w:r w:rsidRPr="002E7728">
        <w:rPr>
          <w:rFonts w:ascii="Verdana" w:hAnsi="Verdana" w:eastAsia="Calibri" w:cs="Arial"/>
          <w:bCs/>
          <w:i/>
          <w:iCs/>
          <w:lang w:val="es-ES_tradnl"/>
        </w:rPr>
        <w:t xml:space="preserve">aportes </w:t>
      </w:r>
      <w:r w:rsidRPr="00110BB7">
        <w:rPr>
          <w:rFonts w:ascii="Verdana" w:hAnsi="Verdana" w:eastAsia="Calibri" w:cs="Arial"/>
          <w:bCs/>
          <w:lang w:val="es-ES_tradnl"/>
        </w:rPr>
        <w:lastRenderedPageBreak/>
        <w:t>dirigidos a lograr la ejecución del convenio. Los aportes pueden ser recursos en dinero</w:t>
      </w:r>
      <w:r>
        <w:rPr>
          <w:rFonts w:ascii="Verdana" w:hAnsi="Verdana" w:eastAsia="Calibri" w:cs="Arial"/>
          <w:bCs/>
          <w:lang w:val="es-ES_tradnl"/>
        </w:rPr>
        <w:t>,</w:t>
      </w:r>
      <w:r w:rsidRPr="00110BB7">
        <w:rPr>
          <w:rFonts w:ascii="Verdana" w:hAnsi="Verdana" w:eastAsia="Calibri" w:cs="Arial"/>
          <w:bCs/>
          <w:lang w:val="es-ES_tradnl"/>
        </w:rPr>
        <w:t xml:space="preserve"> que representen cualquier porcentaje del valor total del convenio, o en especie</w:t>
      </w:r>
      <w:r>
        <w:rPr>
          <w:rFonts w:ascii="Verdana" w:hAnsi="Verdana" w:eastAsia="Calibri" w:cs="Arial"/>
          <w:bCs/>
          <w:lang w:val="es-ES_tradnl"/>
        </w:rPr>
        <w:t xml:space="preserve">, </w:t>
      </w:r>
      <w:r w:rsidRPr="00110BB7">
        <w:rPr>
          <w:rFonts w:ascii="Verdana" w:hAnsi="Verdana" w:eastAsia="Calibri" w:cs="Arial"/>
          <w:bCs/>
          <w:lang w:val="es-ES_tradnl"/>
        </w:rPr>
        <w:t>siempre que sirvan al desarrollo de los objetos comunes de la asociación.</w:t>
      </w:r>
    </w:p>
    <w:p w:rsidR="00EA6E14" w:rsidP="00A72180" w:rsidRDefault="00EA6E14" w14:paraId="37BEF65E" w14:textId="77777777">
      <w:pPr>
        <w:spacing w:after="120" w:line="276" w:lineRule="auto"/>
        <w:ind w:firstLine="709"/>
        <w:jc w:val="both"/>
        <w:rPr>
          <w:rFonts w:ascii="Verdana" w:hAnsi="Verdana" w:eastAsia="Calibri" w:cs="Arial"/>
          <w:bCs/>
          <w:lang w:val="es-ES_tradnl"/>
        </w:rPr>
      </w:pPr>
      <w:r>
        <w:rPr>
          <w:rFonts w:ascii="Verdana" w:hAnsi="Verdana" w:eastAsia="Calibri" w:cs="Arial"/>
          <w:bCs/>
          <w:lang w:val="es-ES_tradnl"/>
        </w:rPr>
        <w:t>Es importante señalar que, de acuerdo con el artículo 5 del Decreto 092 de 2017, p</w:t>
      </w:r>
      <w:r w:rsidRPr="002E4E59">
        <w:rPr>
          <w:rFonts w:ascii="Verdana" w:hAnsi="Verdana" w:eastAsia="Calibri" w:cs="Arial"/>
          <w:bCs/>
          <w:lang w:val="es-ES_tradnl"/>
        </w:rPr>
        <w:t xml:space="preserve">or regla general, las Entidades Estatales deberán adelantar un proceso competitivo para celebrar </w:t>
      </w:r>
      <w:r w:rsidRPr="00956CAB">
        <w:rPr>
          <w:rFonts w:ascii="Verdana" w:hAnsi="Verdana" w:eastAsia="Calibri" w:cs="Arial"/>
          <w:bCs/>
          <w:i/>
          <w:iCs/>
          <w:lang w:val="es-ES_tradnl"/>
        </w:rPr>
        <w:t>convenios de asociación</w:t>
      </w:r>
      <w:r w:rsidRPr="002E4E59">
        <w:rPr>
          <w:rFonts w:ascii="Verdana" w:hAnsi="Verdana" w:eastAsia="Calibri" w:cs="Arial"/>
          <w:bCs/>
          <w:lang w:val="es-ES_tradnl"/>
        </w:rPr>
        <w:t>.</w:t>
      </w:r>
      <w:r w:rsidRPr="002E4E59">
        <w:rPr>
          <w:rFonts w:ascii="Verdana" w:hAnsi="Verdana"/>
        </w:rPr>
        <w:t xml:space="preserve"> </w:t>
      </w:r>
      <w:r w:rsidRPr="002E4E59">
        <w:rPr>
          <w:rFonts w:ascii="Verdana" w:hAnsi="Verdana" w:eastAsia="Calibri" w:cs="Arial"/>
          <w:bCs/>
          <w:lang w:val="es-ES_tradnl"/>
        </w:rPr>
        <w:t xml:space="preserve">Sin embargo, cuando la ESAL comprometa recursos </w:t>
      </w:r>
      <w:r w:rsidRPr="002E4E59">
        <w:rPr>
          <w:rFonts w:ascii="Verdana" w:hAnsi="Verdana" w:eastAsia="Calibri" w:cs="Arial"/>
          <w:bCs/>
          <w:i/>
          <w:iCs/>
          <w:lang w:val="es-ES_tradnl"/>
        </w:rPr>
        <w:t>en dinero</w:t>
      </w:r>
      <w:r w:rsidRPr="002E4E59">
        <w:rPr>
          <w:rFonts w:ascii="Verdana" w:hAnsi="Verdana" w:eastAsia="Calibri" w:cs="Arial"/>
          <w:bCs/>
          <w:lang w:val="es-ES_tradnl"/>
        </w:rPr>
        <w:t xml:space="preserve"> para la ejecución de las actividades en una proporción no inferior al </w:t>
      </w:r>
      <w:r>
        <w:rPr>
          <w:rFonts w:ascii="Verdana" w:hAnsi="Verdana" w:eastAsia="Calibri" w:cs="Arial"/>
          <w:bCs/>
          <w:lang w:val="es-ES_tradnl"/>
        </w:rPr>
        <w:t>treinta por ciento (</w:t>
      </w:r>
      <w:r w:rsidRPr="002E4E59">
        <w:rPr>
          <w:rFonts w:ascii="Verdana" w:hAnsi="Verdana" w:eastAsia="Calibri" w:cs="Arial"/>
          <w:bCs/>
          <w:lang w:val="es-ES_tradnl"/>
        </w:rPr>
        <w:t>30%</w:t>
      </w:r>
      <w:r>
        <w:rPr>
          <w:rFonts w:ascii="Verdana" w:hAnsi="Verdana" w:eastAsia="Calibri" w:cs="Arial"/>
          <w:bCs/>
          <w:lang w:val="es-ES_tradnl"/>
        </w:rPr>
        <w:t>)</w:t>
      </w:r>
      <w:r w:rsidRPr="002E4E59">
        <w:rPr>
          <w:rFonts w:ascii="Verdana" w:hAnsi="Verdana" w:eastAsia="Calibri" w:cs="Arial"/>
          <w:bCs/>
          <w:lang w:val="es-ES_tradnl"/>
        </w:rPr>
        <w:t xml:space="preserve"> del valor total del convenio, la entidad podrá celebrar el convenio directamente. </w:t>
      </w:r>
      <w:r w:rsidRPr="00A62E6F">
        <w:rPr>
          <w:rFonts w:ascii="Verdana" w:hAnsi="Verdana" w:eastAsia="Calibri" w:cs="Arial"/>
          <w:bCs/>
          <w:lang w:val="es-ES_tradnl"/>
        </w:rPr>
        <w:t xml:space="preserve">Si, por el contrario, la ESAL no aporta al menos el </w:t>
      </w:r>
      <w:r>
        <w:rPr>
          <w:rFonts w:ascii="Verdana" w:hAnsi="Verdana" w:eastAsia="Calibri" w:cs="Arial"/>
          <w:bCs/>
          <w:lang w:val="es-ES_tradnl"/>
        </w:rPr>
        <w:t>treinta por ciento (</w:t>
      </w:r>
      <w:r w:rsidRPr="00A62E6F">
        <w:rPr>
          <w:rFonts w:ascii="Verdana" w:hAnsi="Verdana" w:eastAsia="Calibri" w:cs="Arial"/>
          <w:bCs/>
          <w:lang w:val="es-ES_tradnl"/>
        </w:rPr>
        <w:t>30%</w:t>
      </w:r>
      <w:r>
        <w:rPr>
          <w:rFonts w:ascii="Verdana" w:hAnsi="Verdana" w:eastAsia="Calibri" w:cs="Arial"/>
          <w:bCs/>
          <w:lang w:val="es-ES_tradnl"/>
        </w:rPr>
        <w:t>),</w:t>
      </w:r>
      <w:r w:rsidRPr="00A62E6F">
        <w:rPr>
          <w:rFonts w:ascii="Verdana" w:hAnsi="Verdana" w:eastAsia="Calibri" w:cs="Arial"/>
          <w:bCs/>
          <w:lang w:val="es-ES_tradnl"/>
        </w:rPr>
        <w:t xml:space="preserve"> o realiza aportes en especie, la entidad está obligada a realizar un proceso competitivo. </w:t>
      </w:r>
    </w:p>
    <w:p w:rsidR="00EA6E14" w:rsidP="00A72180" w:rsidRDefault="00EA6E14" w14:paraId="33FE35C9" w14:textId="77777777">
      <w:pPr>
        <w:spacing w:after="120" w:line="276" w:lineRule="auto"/>
        <w:ind w:firstLine="709"/>
        <w:jc w:val="both"/>
        <w:rPr>
          <w:rFonts w:ascii="Verdana" w:hAnsi="Verdana" w:eastAsia="Calibri" w:cs="Arial"/>
          <w:bCs/>
        </w:rPr>
      </w:pPr>
      <w:r w:rsidRPr="00377ED6">
        <w:rPr>
          <w:rFonts w:ascii="Verdana" w:hAnsi="Verdana" w:eastAsia="Calibri" w:cs="Arial"/>
          <w:bCs/>
          <w:lang w:val="es-ES_tradnl"/>
        </w:rPr>
        <w:t>La normativa vigente no impide que varias entidades suscriban conjuntamente el convenio de asociación y tampoco que dos o más ESAL pued</w:t>
      </w:r>
      <w:r>
        <w:rPr>
          <w:rFonts w:ascii="Verdana" w:hAnsi="Verdana" w:eastAsia="Calibri" w:cs="Arial"/>
          <w:bCs/>
          <w:lang w:val="es-ES_tradnl"/>
        </w:rPr>
        <w:t>a</w:t>
      </w:r>
      <w:r w:rsidRPr="00377ED6">
        <w:rPr>
          <w:rFonts w:ascii="Verdana" w:hAnsi="Verdana" w:eastAsia="Calibri" w:cs="Arial"/>
          <w:bCs/>
          <w:lang w:val="es-ES_tradnl"/>
        </w:rPr>
        <w:t>n hacerlo a través de las figuras asociativas autorizadas por la ley</w:t>
      </w:r>
      <w:r>
        <w:rPr>
          <w:rFonts w:ascii="Verdana" w:hAnsi="Verdana" w:eastAsia="Calibri" w:cs="Arial"/>
          <w:bCs/>
          <w:lang w:val="es-ES_tradnl"/>
        </w:rPr>
        <w:t xml:space="preserve"> como</w:t>
      </w:r>
      <w:r w:rsidRPr="00377ED6">
        <w:rPr>
          <w:rFonts w:ascii="Verdana" w:hAnsi="Verdana" w:eastAsia="Calibri" w:cs="Arial"/>
          <w:bCs/>
          <w:lang w:val="es-ES_tradnl"/>
        </w:rPr>
        <w:t xml:space="preserve">, por ejemplo, </w:t>
      </w:r>
      <w:r>
        <w:rPr>
          <w:rFonts w:ascii="Verdana" w:hAnsi="Verdana" w:eastAsia="Calibri" w:cs="Arial"/>
          <w:bCs/>
          <w:lang w:val="es-ES_tradnl"/>
        </w:rPr>
        <w:t xml:space="preserve">la </w:t>
      </w:r>
      <w:r w:rsidRPr="00377ED6">
        <w:rPr>
          <w:rFonts w:ascii="Verdana" w:hAnsi="Verdana" w:eastAsia="Calibri" w:cs="Arial"/>
          <w:bCs/>
          <w:lang w:val="es-ES_tradnl"/>
        </w:rPr>
        <w:t xml:space="preserve">unión temporal o </w:t>
      </w:r>
      <w:r>
        <w:rPr>
          <w:rFonts w:ascii="Verdana" w:hAnsi="Verdana" w:eastAsia="Calibri" w:cs="Arial"/>
          <w:bCs/>
          <w:lang w:val="es-ES_tradnl"/>
        </w:rPr>
        <w:t xml:space="preserve">el </w:t>
      </w:r>
      <w:r w:rsidRPr="00377ED6">
        <w:rPr>
          <w:rFonts w:ascii="Verdana" w:hAnsi="Verdana" w:eastAsia="Calibri" w:cs="Arial"/>
          <w:bCs/>
          <w:lang w:val="es-ES_tradnl"/>
        </w:rPr>
        <w:t>consorcio</w:t>
      </w:r>
      <w:r w:rsidRPr="00377ED6">
        <w:rPr>
          <w:rFonts w:ascii="Verdana" w:hAnsi="Verdana" w:eastAsia="Calibri" w:cs="Arial"/>
          <w:bCs/>
        </w:rPr>
        <w:t xml:space="preserve">.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 ESAL, aporte al menos el treinta por ciento del valor del convenio para celebrarlo directamente. </w:t>
      </w:r>
    </w:p>
    <w:p w:rsidR="00EA6E14" w:rsidP="00A72180" w:rsidRDefault="00EA6E14" w14:paraId="3A623E5B" w14:textId="77777777">
      <w:pPr>
        <w:spacing w:after="120" w:line="276" w:lineRule="auto"/>
        <w:ind w:firstLine="709"/>
        <w:jc w:val="both"/>
        <w:rPr>
          <w:rFonts w:ascii="Verdana" w:hAnsi="Verdana" w:eastAsia="Calibri" w:cs="Arial"/>
          <w:bCs/>
        </w:rPr>
      </w:pPr>
      <w:r w:rsidRPr="00377ED6">
        <w:rPr>
          <w:rFonts w:ascii="Verdana" w:hAnsi="Verdana" w:eastAsia="Calibri" w:cs="Arial"/>
          <w:bCs/>
        </w:rPr>
        <w:t xml:space="preserve">Además, en atención al inciso 2 del artículo 5 del Decreto 092 de 2017, </w:t>
      </w:r>
      <w:r>
        <w:rPr>
          <w:rFonts w:ascii="Verdana" w:hAnsi="Verdana" w:eastAsia="Calibri" w:cs="Arial"/>
          <w:bCs/>
        </w:rPr>
        <w:t xml:space="preserve">las Entidades Estatales </w:t>
      </w:r>
      <w:r w:rsidRPr="00377ED6">
        <w:rPr>
          <w:rFonts w:ascii="Verdana" w:hAnsi="Verdana" w:eastAsia="Calibri" w:cs="Arial"/>
          <w:bCs/>
        </w:rPr>
        <w:t>deben asegurarse de que no haya otras ESAL</w:t>
      </w:r>
      <w:r>
        <w:rPr>
          <w:rFonts w:ascii="Verdana" w:hAnsi="Verdana" w:eastAsia="Calibri" w:cs="Arial"/>
          <w:bCs/>
        </w:rPr>
        <w:t xml:space="preserve"> </w:t>
      </w:r>
      <w:r w:rsidRPr="00377ED6">
        <w:rPr>
          <w:rFonts w:ascii="Verdana" w:hAnsi="Verdana" w:eastAsia="Calibri" w:cs="Arial"/>
          <w:bCs/>
        </w:rPr>
        <w:t xml:space="preserve">que ofrezcan </w:t>
      </w:r>
      <w:r>
        <w:rPr>
          <w:rFonts w:ascii="Verdana" w:hAnsi="Verdana" w:eastAsia="Calibri" w:cs="Arial"/>
          <w:bCs/>
        </w:rPr>
        <w:t xml:space="preserve">comprometer </w:t>
      </w:r>
      <w:r w:rsidRPr="00377ED6">
        <w:rPr>
          <w:rFonts w:ascii="Verdana" w:hAnsi="Verdana" w:eastAsia="Calibri" w:cs="Arial"/>
          <w:bCs/>
        </w:rPr>
        <w:t xml:space="preserve">recursos en dinero en una proporción no inferior al </w:t>
      </w:r>
      <w:r>
        <w:rPr>
          <w:rFonts w:ascii="Verdana" w:hAnsi="Verdana" w:eastAsia="Calibri" w:cs="Arial"/>
          <w:bCs/>
        </w:rPr>
        <w:t>treinta por ciento (</w:t>
      </w:r>
      <w:r w:rsidRPr="00377ED6">
        <w:rPr>
          <w:rFonts w:ascii="Verdana" w:hAnsi="Verdana" w:eastAsia="Calibri" w:cs="Arial"/>
          <w:bCs/>
        </w:rPr>
        <w:t>30%</w:t>
      </w:r>
      <w:r>
        <w:rPr>
          <w:rFonts w:ascii="Verdana" w:hAnsi="Verdana" w:eastAsia="Calibri" w:cs="Arial"/>
          <w:bCs/>
        </w:rPr>
        <w:t>)</w:t>
      </w:r>
      <w:r w:rsidRPr="00377ED6">
        <w:rPr>
          <w:rFonts w:ascii="Verdana" w:hAnsi="Verdana" w:eastAsia="Calibri" w:cs="Arial"/>
          <w:bCs/>
        </w:rPr>
        <w:t xml:space="preserve"> del valor total del convenio. En caso de que la entidad encuentre que más de una ESAL le ofrece al menos el </w:t>
      </w:r>
      <w:r>
        <w:rPr>
          <w:rFonts w:ascii="Verdana" w:hAnsi="Verdana" w:eastAsia="Calibri" w:cs="Arial"/>
          <w:bCs/>
        </w:rPr>
        <w:t>treinta por ciento (</w:t>
      </w:r>
      <w:r w:rsidRPr="00377ED6">
        <w:rPr>
          <w:rFonts w:ascii="Verdana" w:hAnsi="Verdana" w:eastAsia="Calibri" w:cs="Arial"/>
          <w:bCs/>
        </w:rPr>
        <w:t>30%</w:t>
      </w:r>
      <w:r>
        <w:rPr>
          <w:rFonts w:ascii="Verdana" w:hAnsi="Verdana" w:eastAsia="Calibri" w:cs="Arial"/>
          <w:bCs/>
        </w:rPr>
        <w:t>)</w:t>
      </w:r>
      <w:r w:rsidRPr="00377ED6">
        <w:rPr>
          <w:rFonts w:ascii="Verdana" w:hAnsi="Verdana" w:eastAsia="Calibri" w:cs="Arial"/>
          <w:bCs/>
        </w:rPr>
        <w:t xml:space="preserve"> de recursos en dinero </w:t>
      </w:r>
      <w:r>
        <w:rPr>
          <w:rFonts w:ascii="Verdana" w:hAnsi="Verdana" w:eastAsia="Calibri" w:cs="Arial"/>
          <w:bCs/>
        </w:rPr>
        <w:t xml:space="preserve">como aporte </w:t>
      </w:r>
      <w:r w:rsidRPr="00377ED6">
        <w:rPr>
          <w:rFonts w:ascii="Verdana" w:hAnsi="Verdana" w:eastAsia="Calibri" w:cs="Arial"/>
          <w:bCs/>
        </w:rPr>
        <w:t>para el convenio de asociación, debe</w:t>
      </w:r>
      <w:r>
        <w:rPr>
          <w:rFonts w:ascii="Verdana" w:hAnsi="Verdana" w:eastAsia="Calibri" w:cs="Arial"/>
          <w:bCs/>
        </w:rPr>
        <w:t>rá</w:t>
      </w:r>
      <w:r w:rsidRPr="00377ED6">
        <w:rPr>
          <w:rFonts w:ascii="Verdana" w:hAnsi="Verdana" w:eastAsia="Calibri" w:cs="Arial"/>
          <w:bCs/>
        </w:rPr>
        <w:t xml:space="preserve"> seleccionar </w:t>
      </w:r>
      <w:r>
        <w:rPr>
          <w:rFonts w:ascii="Verdana" w:hAnsi="Verdana" w:eastAsia="Calibri" w:cs="Arial"/>
          <w:bCs/>
        </w:rPr>
        <w:t xml:space="preserve">de manera objetiva </w:t>
      </w:r>
      <w:r w:rsidRPr="00377ED6">
        <w:rPr>
          <w:rFonts w:ascii="Verdana" w:hAnsi="Verdana" w:eastAsia="Calibri" w:cs="Arial"/>
          <w:bCs/>
        </w:rPr>
        <w:t>con cual asociarse.</w:t>
      </w:r>
      <w:bookmarkStart w:name="_Hlk173070229" w:id="13"/>
    </w:p>
    <w:p w:rsidRPr="00AF287A" w:rsidR="00EA6E14" w:rsidP="00A72180" w:rsidRDefault="00EA6E14" w14:paraId="65FEF6D5" w14:textId="77777777">
      <w:pPr>
        <w:spacing w:after="120" w:line="276" w:lineRule="auto"/>
        <w:ind w:firstLine="709"/>
        <w:jc w:val="both"/>
        <w:rPr>
          <w:rFonts w:ascii="Verdana" w:hAnsi="Verdana" w:cs="Arial"/>
          <w:color w:val="000000" w:themeColor="text1"/>
        </w:rPr>
      </w:pPr>
      <w:r w:rsidRPr="00504647">
        <w:rPr>
          <w:rFonts w:ascii="Verdana" w:hAnsi="Verdana" w:eastAsia="Calibri" w:cs="Arial"/>
          <w:color w:val="000000"/>
          <w:lang w:eastAsia="es-ES_tradnl"/>
        </w:rPr>
        <w:t xml:space="preserve">En este punto es </w:t>
      </w:r>
      <w:r>
        <w:rPr>
          <w:rFonts w:ascii="Verdana" w:hAnsi="Verdana" w:eastAsia="Calibri" w:cs="Arial"/>
          <w:color w:val="000000"/>
          <w:lang w:eastAsia="es-ES_tradnl"/>
        </w:rPr>
        <w:t xml:space="preserve">importante </w:t>
      </w:r>
      <w:r w:rsidRPr="00504647">
        <w:rPr>
          <w:rFonts w:ascii="Verdana" w:hAnsi="Verdana" w:eastAsia="Calibri" w:cs="Arial"/>
          <w:color w:val="000000"/>
          <w:lang w:eastAsia="es-ES_tradnl"/>
        </w:rPr>
        <w:t xml:space="preserve">advertir que, el artículo 5 de del Decreto 092 de 2017 no prohíbe la celebración de convenios en que la ESAL aporte menos del treinta por ciento (30%) o cuando aporten recursos en especie. En efecto, </w:t>
      </w:r>
      <w:r w:rsidRPr="00504647">
        <w:rPr>
          <w:rFonts w:ascii="Verdana" w:hAnsi="Verdana" w:eastAsia="Calibri" w:cs="Arial"/>
          <w:color w:val="000000"/>
          <w:lang w:eastAsia="es-ES_tradnl"/>
        </w:rPr>
        <w:lastRenderedPageBreak/>
        <w:t>solo indica que en esos casos la Entidad Estatal debe acudir al proceso competitivo para seleccionar a la ESAL con la cual celebrará el respectivo convenio</w:t>
      </w:r>
      <w:bookmarkEnd w:id="13"/>
      <w:r>
        <w:rPr>
          <w:rFonts w:ascii="Verdana" w:hAnsi="Verdana" w:eastAsia="Calibri" w:cs="Arial"/>
          <w:color w:val="000000"/>
          <w:lang w:eastAsia="es-ES_tradnl"/>
        </w:rPr>
        <w:t xml:space="preserve">. </w:t>
      </w:r>
      <w:r w:rsidRPr="00377ED6">
        <w:rPr>
          <w:rFonts w:ascii="Verdana" w:hAnsi="Verdana" w:cs="Arial"/>
          <w:color w:val="000000" w:themeColor="text1"/>
        </w:rPr>
        <w:t xml:space="preserve">La </w:t>
      </w:r>
      <w:r>
        <w:rPr>
          <w:rFonts w:ascii="Verdana" w:hAnsi="Verdana" w:cs="Arial"/>
          <w:color w:val="000000" w:themeColor="text1"/>
        </w:rPr>
        <w:t xml:space="preserve">obligación de </w:t>
      </w:r>
      <w:r w:rsidRPr="00377ED6">
        <w:rPr>
          <w:rFonts w:ascii="Verdana" w:hAnsi="Verdana" w:cs="Arial"/>
          <w:color w:val="000000" w:themeColor="text1"/>
        </w:rPr>
        <w:t>“seleccionar de forma objetiva”</w:t>
      </w:r>
      <w:r>
        <w:rPr>
          <w:rFonts w:ascii="Verdana" w:hAnsi="Verdana" w:cs="Arial"/>
          <w:color w:val="000000" w:themeColor="text1"/>
        </w:rPr>
        <w:t xml:space="preserve"> </w:t>
      </w:r>
      <w:r w:rsidRPr="00AF287A">
        <w:rPr>
          <w:rFonts w:ascii="Verdana" w:hAnsi="Verdana" w:cs="Arial"/>
          <w:color w:val="000000" w:themeColor="text1"/>
        </w:rPr>
        <w:t xml:space="preserve">a la ESAL cuando existen varias dispuestas a aportar al menos el </w:t>
      </w:r>
      <w:r>
        <w:rPr>
          <w:rFonts w:ascii="Verdana" w:hAnsi="Verdana" w:cs="Arial"/>
          <w:color w:val="000000" w:themeColor="text1"/>
        </w:rPr>
        <w:t>treinta por ciento (</w:t>
      </w:r>
      <w:r w:rsidRPr="00AF287A">
        <w:rPr>
          <w:rFonts w:ascii="Verdana" w:hAnsi="Verdana" w:cs="Arial"/>
          <w:color w:val="000000" w:themeColor="text1"/>
        </w:rPr>
        <w:t>30%</w:t>
      </w:r>
      <w:r>
        <w:rPr>
          <w:rFonts w:ascii="Verdana" w:hAnsi="Verdana" w:cs="Arial"/>
          <w:color w:val="000000" w:themeColor="text1"/>
        </w:rPr>
        <w:t>)</w:t>
      </w:r>
      <w:r w:rsidRPr="00377ED6">
        <w:rPr>
          <w:rFonts w:ascii="Verdana" w:hAnsi="Verdana" w:cs="Arial"/>
          <w:color w:val="000000" w:themeColor="text1"/>
        </w:rPr>
        <w:t>, no puede ser entendida como una remisión total a las Leyes 80 de 1993 y 1150 de 2007</w:t>
      </w:r>
      <w:r>
        <w:rPr>
          <w:rFonts w:ascii="Verdana" w:hAnsi="Verdana" w:cs="Arial"/>
          <w:color w:val="000000" w:themeColor="text1"/>
        </w:rPr>
        <w:t xml:space="preserve">. En efecto, </w:t>
      </w:r>
      <w:r w:rsidRPr="00AF287A">
        <w:rPr>
          <w:rFonts w:ascii="Verdana" w:hAnsi="Verdana" w:cs="Arial"/>
          <w:color w:val="000000" w:themeColor="text1"/>
        </w:rPr>
        <w:t xml:space="preserve">no implica que la entidad deba realizar un proceso de acuerdo con las modalidades de selección competitivas del </w:t>
      </w:r>
      <w:r>
        <w:rPr>
          <w:rFonts w:ascii="Verdana" w:hAnsi="Verdana" w:cs="Arial"/>
          <w:color w:val="000000" w:themeColor="text1"/>
        </w:rPr>
        <w:t>EGCAP</w:t>
      </w:r>
      <w:r w:rsidRPr="00377ED6">
        <w:rPr>
          <w:rFonts w:ascii="Verdana" w:hAnsi="Verdana" w:cs="Arial"/>
          <w:color w:val="000000" w:themeColor="text1"/>
        </w:rPr>
        <w:t xml:space="preserve">. A lo que se refiere la norma es a que la Entidad Estatal debe diseñar herramientas que permitan una comparación objetiva de las </w:t>
      </w:r>
      <w:r>
        <w:rPr>
          <w:rFonts w:ascii="Verdana" w:hAnsi="Verdana" w:cs="Arial"/>
          <w:color w:val="000000" w:themeColor="text1"/>
        </w:rPr>
        <w:t xml:space="preserve">ESAL </w:t>
      </w:r>
      <w:r w:rsidRPr="00377ED6">
        <w:rPr>
          <w:rFonts w:ascii="Verdana" w:hAnsi="Verdana" w:cs="Arial"/>
          <w:color w:val="000000" w:themeColor="text1"/>
        </w:rPr>
        <w:t>para seleccionar a aquella que tenga las mejores condiciones para alcanzar el resultado esperado con el proyecto de cooperación. Por ello, la</w:t>
      </w:r>
      <w:r>
        <w:rPr>
          <w:rFonts w:ascii="Verdana" w:hAnsi="Verdana" w:cs="Arial"/>
          <w:color w:val="000000" w:themeColor="text1"/>
        </w:rPr>
        <w:t>s</w:t>
      </w:r>
      <w:r w:rsidRPr="00377ED6">
        <w:rPr>
          <w:rFonts w:ascii="Verdana" w:hAnsi="Verdana" w:cs="Arial"/>
          <w:color w:val="000000" w:themeColor="text1"/>
        </w:rPr>
        <w:t xml:space="preserve"> entidad</w:t>
      </w:r>
      <w:r>
        <w:rPr>
          <w:rFonts w:ascii="Verdana" w:hAnsi="Verdana" w:cs="Arial"/>
          <w:color w:val="000000" w:themeColor="text1"/>
        </w:rPr>
        <w:t>es</w:t>
      </w:r>
      <w:r w:rsidRPr="00377ED6">
        <w:rPr>
          <w:rFonts w:ascii="Verdana" w:hAnsi="Verdana" w:cs="Arial"/>
          <w:color w:val="000000" w:themeColor="text1"/>
        </w:rPr>
        <w:t xml:space="preserve"> </w:t>
      </w:r>
      <w:r>
        <w:rPr>
          <w:rFonts w:ascii="Verdana" w:hAnsi="Verdana" w:cs="Arial"/>
          <w:color w:val="000000" w:themeColor="text1"/>
        </w:rPr>
        <w:t xml:space="preserve">son autónomas para decidir </w:t>
      </w:r>
      <w:r w:rsidRPr="00377ED6">
        <w:rPr>
          <w:rFonts w:ascii="Verdana" w:hAnsi="Verdana" w:cs="Arial"/>
          <w:color w:val="000000" w:themeColor="text1"/>
        </w:rPr>
        <w:t>acudir a los procesos de selección de contratistas que establece el Estatuto o</w:t>
      </w:r>
      <w:r>
        <w:rPr>
          <w:rFonts w:ascii="Verdana" w:hAnsi="Verdana" w:cs="Arial"/>
          <w:color w:val="000000" w:themeColor="text1"/>
        </w:rPr>
        <w:t xml:space="preserve"> para aplicar, por ejemplo, e</w:t>
      </w:r>
      <w:r w:rsidRPr="00377ED6">
        <w:rPr>
          <w:rFonts w:ascii="Verdana" w:hAnsi="Verdana" w:cs="Arial"/>
          <w:color w:val="000000" w:themeColor="text1"/>
        </w:rPr>
        <w:t xml:space="preserve">l trámite </w:t>
      </w:r>
      <w:r>
        <w:rPr>
          <w:rFonts w:ascii="Verdana" w:hAnsi="Verdana" w:cs="Arial"/>
          <w:color w:val="000000" w:themeColor="text1"/>
        </w:rPr>
        <w:t xml:space="preserve">al que se refiere </w:t>
      </w:r>
      <w:r w:rsidRPr="00377ED6">
        <w:rPr>
          <w:rFonts w:ascii="Verdana" w:hAnsi="Verdana" w:cs="Arial"/>
          <w:color w:val="000000" w:themeColor="text1"/>
        </w:rPr>
        <w:t>el inciso 2 del artículo 2 del Decreto 092 de 2017.</w:t>
      </w:r>
    </w:p>
    <w:p w:rsidRPr="00377ED6" w:rsidR="00EA6E14" w:rsidP="00EA6E14" w:rsidRDefault="00EA6E14" w14:paraId="0150380D" w14:textId="77777777">
      <w:pPr>
        <w:spacing w:after="120" w:line="276" w:lineRule="auto"/>
        <w:ind w:firstLine="709"/>
        <w:jc w:val="both"/>
        <w:rPr>
          <w:rFonts w:ascii="Verdana" w:hAnsi="Verdana" w:cs="Arial"/>
          <w:color w:val="000000" w:themeColor="text1"/>
          <w:lang w:val="es-MX"/>
        </w:rPr>
      </w:pPr>
      <w:r w:rsidRPr="00377ED6">
        <w:rPr>
          <w:rFonts w:ascii="Verdana" w:hAnsi="Verdana" w:cs="Arial"/>
          <w:color w:val="000000" w:themeColor="text1"/>
          <w:lang w:val="es-MX"/>
        </w:rPr>
        <w:t xml:space="preserve">Es </w:t>
      </w:r>
      <w:r>
        <w:rPr>
          <w:rFonts w:ascii="Verdana" w:hAnsi="Verdana" w:cs="Arial"/>
          <w:color w:val="000000" w:themeColor="text1"/>
          <w:lang w:val="es-MX"/>
        </w:rPr>
        <w:t xml:space="preserve">necesario </w:t>
      </w:r>
      <w:r w:rsidRPr="00377ED6">
        <w:rPr>
          <w:rFonts w:ascii="Verdana" w:hAnsi="Verdana" w:cs="Arial"/>
          <w:color w:val="000000" w:themeColor="text1"/>
          <w:lang w:val="es-MX"/>
        </w:rPr>
        <w:t>aclarar que los negocios jurídicos que regula el Decreto 092 de 2017 “</w:t>
      </w:r>
      <w:r>
        <w:rPr>
          <w:rFonts w:ascii="Verdana" w:hAnsi="Verdana" w:cs="Arial"/>
          <w:color w:val="000000" w:themeColor="text1"/>
          <w:lang w:val="es-MX"/>
        </w:rPr>
        <w:t>(…)</w:t>
      </w:r>
      <w:r w:rsidRPr="00377ED6">
        <w:rPr>
          <w:rFonts w:ascii="Verdana" w:hAnsi="Verdana" w:cs="Arial"/>
          <w:color w:val="000000" w:themeColor="text1"/>
          <w:lang w:val="es-MX"/>
        </w:rPr>
        <w:t xml:space="preserve"> son esencialmente distintos a los contratos para la adquisición y 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no hacen parte del sistema de compra pública. </w:t>
      </w:r>
      <w:r>
        <w:rPr>
          <w:rFonts w:ascii="Verdana" w:hAnsi="Verdana" w:cs="Arial"/>
          <w:color w:val="000000" w:themeColor="text1"/>
          <w:lang w:val="es-MX"/>
        </w:rPr>
        <w:t>(…)</w:t>
      </w:r>
      <w:r w:rsidRPr="00377ED6">
        <w:rPr>
          <w:rFonts w:ascii="Verdana" w:hAnsi="Verdana" w:cs="Arial"/>
          <w:color w:val="000000" w:themeColor="text1"/>
          <w:lang w:val="es-MX"/>
        </w:rPr>
        <w:t xml:space="preserve"> De acuerdo con lo anterior, si la entidad estatal adquiere o se abastece de un bien, obra o servicio en un contrato conmutativo en el cual el proveedor es una </w:t>
      </w:r>
      <w:r>
        <w:rPr>
          <w:rFonts w:ascii="Verdana" w:hAnsi="Verdana" w:cs="Arial"/>
          <w:color w:val="000000" w:themeColor="text1"/>
          <w:lang w:val="es-MX"/>
        </w:rPr>
        <w:t>(</w:t>
      </w:r>
      <w:r w:rsidRPr="00377ED6">
        <w:rPr>
          <w:rFonts w:ascii="Verdana" w:hAnsi="Verdana" w:cs="Arial"/>
          <w:color w:val="000000" w:themeColor="text1"/>
          <w:lang w:val="es-MX"/>
        </w:rPr>
        <w:t>ESAL</w:t>
      </w:r>
      <w:r>
        <w:rPr>
          <w:rFonts w:ascii="Verdana" w:hAnsi="Verdana" w:cs="Arial"/>
          <w:color w:val="000000" w:themeColor="text1"/>
          <w:lang w:val="es-MX"/>
        </w:rPr>
        <w:t>)</w:t>
      </w:r>
      <w:r w:rsidRPr="00377ED6">
        <w:rPr>
          <w:rFonts w:ascii="Verdana" w:hAnsi="Verdana" w:cs="Arial"/>
          <w:color w:val="000000" w:themeColor="text1"/>
          <w:lang w:val="es-MX"/>
        </w:rPr>
        <w:t>,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6"/>
      </w:r>
      <w:r w:rsidRPr="00377ED6">
        <w:rPr>
          <w:rFonts w:ascii="Verdana" w:hAnsi="Verdana" w:cs="Arial"/>
          <w:color w:val="000000" w:themeColor="text1"/>
          <w:lang w:val="es-MX"/>
        </w:rPr>
        <w:t>. Así lo consideró la Sala de Consulta y Servicio Civil del Consejo de Estado:</w:t>
      </w:r>
    </w:p>
    <w:p w:rsidRPr="008216A9" w:rsidR="00EA6E14" w:rsidP="00EA6E14" w:rsidRDefault="00EA6E14" w14:paraId="7D83090F" w14:textId="77777777">
      <w:pPr>
        <w:spacing w:before="120" w:after="120" w:line="240" w:lineRule="auto"/>
        <w:ind w:left="709" w:right="616"/>
        <w:jc w:val="both"/>
        <w:rPr>
          <w:rFonts w:ascii="Verdana" w:hAnsi="Verdana" w:eastAsia="Calibri" w:cs="Arial"/>
          <w:color w:val="000000" w:themeColor="text1"/>
          <w:sz w:val="20"/>
          <w:szCs w:val="20"/>
        </w:rPr>
      </w:pPr>
      <w:r w:rsidRPr="008216A9">
        <w:rPr>
          <w:rFonts w:ascii="Verdana" w:hAnsi="Verdana" w:eastAsia="Calibri" w:cs="Arial"/>
          <w:color w:val="000000" w:themeColor="text1"/>
          <w:sz w:val="20"/>
          <w:szCs w:val="20"/>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w:t>
      </w:r>
      <w:proofErr w:type="gramStart"/>
      <w:r w:rsidRPr="008216A9">
        <w:rPr>
          <w:rFonts w:ascii="Verdana" w:hAnsi="Verdana" w:eastAsia="Calibri" w:cs="Arial"/>
          <w:color w:val="000000" w:themeColor="text1"/>
          <w:sz w:val="20"/>
          <w:szCs w:val="20"/>
        </w:rPr>
        <w:t>y</w:t>
      </w:r>
      <w:proofErr w:type="gramEnd"/>
      <w:r w:rsidRPr="008216A9">
        <w:rPr>
          <w:rFonts w:ascii="Verdana" w:hAnsi="Verdana" w:eastAsia="Calibri" w:cs="Arial"/>
          <w:color w:val="000000" w:themeColor="text1"/>
          <w:sz w:val="20"/>
          <w:szCs w:val="20"/>
        </w:rPr>
        <w:t xml:space="preserve"> por lo tanto, se tipifican dentro de cualquiera de las modalidades de contratación de la ley 80 de 1.993, debiendo sujetarse a los procedimientos allí previstos, en especial los de escogencia del contratista.</w:t>
      </w:r>
    </w:p>
    <w:p w:rsidRPr="008216A9" w:rsidR="00EA6E14" w:rsidP="00EA6E14" w:rsidRDefault="00EA6E14" w14:paraId="26FF8973" w14:textId="77777777">
      <w:pPr>
        <w:spacing w:after="0" w:line="240" w:lineRule="auto"/>
        <w:ind w:left="708" w:right="616"/>
        <w:jc w:val="both"/>
        <w:rPr>
          <w:rFonts w:ascii="Verdana" w:hAnsi="Verdana" w:eastAsia="Calibri" w:cs="Arial"/>
          <w:color w:val="000000" w:themeColor="text1"/>
          <w:sz w:val="20"/>
          <w:szCs w:val="20"/>
        </w:rPr>
      </w:pPr>
      <w:r w:rsidRPr="008216A9">
        <w:rPr>
          <w:rFonts w:ascii="Verdana" w:hAnsi="Verdana" w:eastAsia="Calibri" w:cs="Arial"/>
          <w:color w:val="000000" w:themeColor="text1"/>
          <w:sz w:val="20"/>
          <w:szCs w:val="20"/>
        </w:rPr>
        <w:t xml:space="preserve">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w:t>
      </w:r>
      <w:r w:rsidRPr="008216A9">
        <w:rPr>
          <w:rFonts w:ascii="Verdana" w:hAnsi="Verdana" w:eastAsia="Calibri" w:cs="Arial"/>
          <w:color w:val="000000" w:themeColor="text1"/>
          <w:sz w:val="20"/>
          <w:szCs w:val="20"/>
        </w:rPr>
        <w:lastRenderedPageBreak/>
        <w:t xml:space="preserve">disposiciones contractuales vigentes, como </w:t>
      </w:r>
      <w:proofErr w:type="gramStart"/>
      <w:r w:rsidRPr="008216A9">
        <w:rPr>
          <w:rFonts w:ascii="Verdana" w:hAnsi="Verdana" w:eastAsia="Calibri" w:cs="Arial"/>
          <w:color w:val="000000" w:themeColor="text1"/>
          <w:sz w:val="20"/>
          <w:szCs w:val="20"/>
        </w:rPr>
        <w:t>sería</w:t>
      </w:r>
      <w:proofErr w:type="gramEnd"/>
      <w:r w:rsidRPr="008216A9">
        <w:rPr>
          <w:rFonts w:ascii="Verdana" w:hAnsi="Verdana" w:eastAsia="Calibri" w:cs="Arial"/>
          <w:color w:val="000000" w:themeColor="text1"/>
          <w:sz w:val="20"/>
          <w:szCs w:val="20"/>
        </w:rPr>
        <w:t xml:space="preserve"> por ejemplo, contratos de prestación de servicios o de obra pública”</w:t>
      </w:r>
      <w:r w:rsidRPr="008216A9">
        <w:rPr>
          <w:rFonts w:ascii="Verdana" w:hAnsi="Verdana" w:cs="Arial"/>
          <w:color w:val="000000" w:themeColor="text1"/>
          <w:sz w:val="20"/>
          <w:szCs w:val="20"/>
          <w:vertAlign w:val="superscript"/>
        </w:rPr>
        <w:footnoteReference w:id="7"/>
      </w:r>
      <w:r w:rsidRPr="008216A9">
        <w:rPr>
          <w:rFonts w:ascii="Verdana" w:hAnsi="Verdana" w:eastAsia="Calibri" w:cs="Arial"/>
          <w:color w:val="000000" w:themeColor="text1"/>
          <w:sz w:val="20"/>
          <w:szCs w:val="20"/>
        </w:rPr>
        <w:t>.</w:t>
      </w:r>
    </w:p>
    <w:p w:rsidRPr="00377ED6" w:rsidR="00EA6E14" w:rsidP="00EA6E14" w:rsidRDefault="00EA6E14" w14:paraId="3448CFAE" w14:textId="77777777">
      <w:pPr>
        <w:spacing w:after="0" w:line="276" w:lineRule="auto"/>
        <w:ind w:firstLine="708"/>
        <w:jc w:val="both"/>
        <w:rPr>
          <w:rFonts w:ascii="Verdana" w:hAnsi="Verdana" w:eastAsia="Calibri" w:cs="Arial"/>
          <w:color w:val="000000" w:themeColor="text1"/>
        </w:rPr>
      </w:pPr>
      <w:bookmarkStart w:name="_Hlk95756200" w:id="14"/>
    </w:p>
    <w:p w:rsidRPr="00377ED6" w:rsidR="00EA6E14" w:rsidP="00EA6E14" w:rsidRDefault="00EA6E14" w14:paraId="685403F3" w14:textId="77777777">
      <w:pPr>
        <w:spacing w:after="120" w:line="276" w:lineRule="auto"/>
        <w:ind w:firstLine="709"/>
        <w:jc w:val="both"/>
        <w:rPr>
          <w:rFonts w:ascii="Verdana" w:hAnsi="Verdana" w:eastAsia="Calibri" w:cs="Arial"/>
          <w:color w:val="000000" w:themeColor="text1"/>
        </w:rPr>
      </w:pPr>
      <w:r w:rsidRPr="00377ED6">
        <w:rPr>
          <w:rFonts w:ascii="Verdana" w:hAnsi="Verdana" w:eastAsia="Calibri" w:cs="Arial"/>
          <w:color w:val="000000" w:themeColor="text1"/>
        </w:rPr>
        <w:t xml:space="preserve">De acuerdo con lo anterior, no todas las actividades que las </w:t>
      </w:r>
      <w:r>
        <w:rPr>
          <w:rFonts w:ascii="Verdana" w:hAnsi="Verdana" w:eastAsia="Calibri" w:cs="Arial"/>
          <w:color w:val="000000" w:themeColor="text1"/>
        </w:rPr>
        <w:t>E</w:t>
      </w:r>
      <w:r w:rsidRPr="00377ED6">
        <w:rPr>
          <w:rFonts w:ascii="Verdana" w:hAnsi="Verdana" w:eastAsia="Calibri" w:cs="Arial"/>
          <w:color w:val="000000" w:themeColor="text1"/>
        </w:rPr>
        <w:t xml:space="preserve">ntidades </w:t>
      </w:r>
      <w:r>
        <w:rPr>
          <w:rFonts w:ascii="Verdana" w:hAnsi="Verdana" w:eastAsia="Calibri" w:cs="Arial"/>
          <w:color w:val="000000" w:themeColor="text1"/>
        </w:rPr>
        <w:t>E</w:t>
      </w:r>
      <w:r w:rsidRPr="00377ED6">
        <w:rPr>
          <w:rFonts w:ascii="Verdana" w:hAnsi="Verdana" w:eastAsia="Calibri" w:cs="Arial"/>
          <w:color w:val="000000" w:themeColor="text1"/>
        </w:rPr>
        <w:t>statales deben desarrollar para alcanzar sus objetivos misionales deben ejecutarse a través de la celebración de contratos del artículo 355</w:t>
      </w:r>
      <w:r>
        <w:rPr>
          <w:rFonts w:ascii="Verdana" w:hAnsi="Verdana" w:eastAsia="Calibri" w:cs="Arial"/>
          <w:color w:val="000000" w:themeColor="text1"/>
        </w:rPr>
        <w:t xml:space="preserve"> constitucional</w:t>
      </w:r>
      <w:r w:rsidRPr="00377ED6">
        <w:rPr>
          <w:rFonts w:ascii="Verdana" w:hAnsi="Verdana" w:eastAsia="Calibri" w:cs="Arial"/>
          <w:color w:val="000000" w:themeColor="text1"/>
        </w:rPr>
        <w:t xml:space="preserve"> o convenios de asociación. </w:t>
      </w:r>
      <w:r>
        <w:rPr>
          <w:rFonts w:ascii="Verdana" w:hAnsi="Verdana" w:eastAsia="Calibri" w:cs="Arial"/>
          <w:color w:val="000000" w:themeColor="text1"/>
        </w:rPr>
        <w:t>L</w:t>
      </w:r>
      <w:r w:rsidRPr="00377ED6">
        <w:rPr>
          <w:rFonts w:ascii="Verdana" w:hAnsi="Verdana" w:eastAsia="Calibri" w:cs="Arial"/>
          <w:color w:val="000000" w:themeColor="text1"/>
        </w:rPr>
        <w:t xml:space="preserve">o que determina la aplicación del Decreto 092 de 2017 no es únicamente el carácter de la ESAL sino el objeto del contrato o convenio que la entidad pretende adelantar. Por tanto, el hecho de que se trate de una </w:t>
      </w:r>
      <w:r>
        <w:rPr>
          <w:rFonts w:ascii="Verdana" w:hAnsi="Verdana" w:eastAsia="Calibri" w:cs="Arial"/>
          <w:color w:val="000000" w:themeColor="text1"/>
        </w:rPr>
        <w:t xml:space="preserve">ESAL </w:t>
      </w:r>
      <w:r w:rsidRPr="00377ED6">
        <w:rPr>
          <w:rFonts w:ascii="Verdana" w:hAnsi="Verdana" w:eastAsia="Calibri" w:cs="Arial"/>
          <w:color w:val="000000" w:themeColor="text1"/>
        </w:rPr>
        <w:t xml:space="preserve">no implica que </w:t>
      </w:r>
      <w:r>
        <w:rPr>
          <w:rFonts w:ascii="Verdana" w:hAnsi="Verdana" w:eastAsia="Calibri" w:cs="Arial"/>
          <w:color w:val="000000" w:themeColor="text1"/>
        </w:rPr>
        <w:t xml:space="preserve">la Entidad deba </w:t>
      </w:r>
      <w:r w:rsidRPr="00377ED6">
        <w:rPr>
          <w:rFonts w:ascii="Verdana" w:hAnsi="Verdana" w:eastAsia="Calibri" w:cs="Arial"/>
          <w:color w:val="000000" w:themeColor="text1"/>
        </w:rPr>
        <w:t xml:space="preserve">necesariamente </w:t>
      </w:r>
      <w:r>
        <w:rPr>
          <w:rFonts w:ascii="Verdana" w:hAnsi="Verdana" w:eastAsia="Calibri" w:cs="Arial"/>
          <w:color w:val="000000" w:themeColor="text1"/>
        </w:rPr>
        <w:t xml:space="preserve">celebrar </w:t>
      </w:r>
      <w:r w:rsidRPr="00377ED6">
        <w:rPr>
          <w:rFonts w:ascii="Verdana" w:hAnsi="Verdana" w:eastAsia="Calibri" w:cs="Arial"/>
          <w:color w:val="000000" w:themeColor="text1"/>
        </w:rPr>
        <w:t xml:space="preserve">un contrato </w:t>
      </w:r>
      <w:r>
        <w:rPr>
          <w:rFonts w:ascii="Verdana" w:hAnsi="Verdana" w:eastAsia="Calibri" w:cs="Arial"/>
          <w:color w:val="000000" w:themeColor="text1"/>
        </w:rPr>
        <w:t xml:space="preserve">del artículo 355 </w:t>
      </w:r>
      <w:r w:rsidRPr="00377ED6">
        <w:rPr>
          <w:rFonts w:ascii="Verdana" w:hAnsi="Verdana" w:eastAsia="Calibri" w:cs="Arial"/>
          <w:color w:val="000000" w:themeColor="text1"/>
        </w:rPr>
        <w:t xml:space="preserve">o un convenio de asociación. </w:t>
      </w:r>
      <w:bookmarkEnd w:id="14"/>
      <w:r w:rsidRPr="00377ED6">
        <w:rPr>
          <w:rFonts w:ascii="Verdana" w:hAnsi="Verdana" w:eastAsia="Calibri" w:cs="Arial"/>
          <w:color w:val="000000" w:themeColor="text1"/>
        </w:rPr>
        <w:t>Así lo reconoció la Corte Constitucional en la sentencia C-287 del 18 de abril de 2012, en la que sostuvo lo siguiente:</w:t>
      </w:r>
    </w:p>
    <w:p w:rsidRPr="00FF6765" w:rsidR="00EA6E14" w:rsidP="00EA6E14" w:rsidRDefault="00EA6E14" w14:paraId="7A2874E3" w14:textId="77777777">
      <w:pPr>
        <w:spacing w:line="240" w:lineRule="auto"/>
        <w:ind w:left="709" w:right="616"/>
        <w:jc w:val="both"/>
        <w:rPr>
          <w:rFonts w:ascii="Verdana" w:hAnsi="Verdana" w:eastAsia="Calibri" w:cs="Arial"/>
          <w:color w:val="000000" w:themeColor="text1"/>
          <w:sz w:val="20"/>
          <w:szCs w:val="20"/>
        </w:rPr>
      </w:pPr>
      <w:r w:rsidRPr="00FF6765">
        <w:rPr>
          <w:rFonts w:ascii="Verdana" w:hAnsi="Verdana" w:eastAsia="Calibri"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rsidRPr="00FF6765" w:rsidR="00EA6E14" w:rsidP="00EA6E14" w:rsidRDefault="00EA6E14" w14:paraId="7D193314" w14:textId="77777777">
      <w:pPr>
        <w:spacing w:after="0" w:line="240" w:lineRule="auto"/>
        <w:ind w:left="709" w:right="616"/>
        <w:jc w:val="both"/>
        <w:rPr>
          <w:rFonts w:ascii="Verdana" w:hAnsi="Verdana" w:eastAsia="Calibri" w:cs="Arial"/>
          <w:color w:val="000000" w:themeColor="text1"/>
          <w:sz w:val="20"/>
          <w:szCs w:val="20"/>
        </w:rPr>
      </w:pPr>
      <w:r w:rsidRPr="00FF6765">
        <w:rPr>
          <w:rFonts w:ascii="Verdana" w:hAnsi="Verdana" w:eastAsia="Calibri" w:cs="Arial"/>
          <w:i/>
          <w:iCs/>
          <w:color w:val="000000" w:themeColor="text1"/>
          <w:sz w:val="20"/>
          <w:szCs w:val="20"/>
        </w:rPr>
        <w:t xml:space="preserve">Sin embargo, el hecho que no persigan una finalidad </w:t>
      </w:r>
      <w:proofErr w:type="gramStart"/>
      <w:r w:rsidRPr="00FF6765">
        <w:rPr>
          <w:rFonts w:ascii="Verdana" w:hAnsi="Verdana" w:eastAsia="Calibri" w:cs="Arial"/>
          <w:i/>
          <w:iCs/>
          <w:color w:val="000000" w:themeColor="text1"/>
          <w:sz w:val="20"/>
          <w:szCs w:val="20"/>
        </w:rPr>
        <w:t>lucrativa,</w:t>
      </w:r>
      <w:proofErr w:type="gramEnd"/>
      <w:r w:rsidRPr="00FF6765">
        <w:rPr>
          <w:rFonts w:ascii="Verdana" w:hAnsi="Verdana" w:eastAsia="Calibri" w:cs="Arial"/>
          <w:i/>
          <w:iCs/>
          <w:color w:val="000000" w:themeColor="text1"/>
          <w:sz w:val="20"/>
          <w:szCs w:val="20"/>
        </w:rPr>
        <w:t xml:space="preserve"> no significa que no desarrollen actividades que generen utilidades, lo que pasa es </w:t>
      </w:r>
      <w:proofErr w:type="gramStart"/>
      <w:r w:rsidRPr="00FF6765">
        <w:rPr>
          <w:rFonts w:ascii="Verdana" w:hAnsi="Verdana" w:eastAsia="Calibri" w:cs="Arial"/>
          <w:i/>
          <w:iCs/>
          <w:color w:val="000000" w:themeColor="text1"/>
          <w:sz w:val="20"/>
          <w:szCs w:val="20"/>
        </w:rPr>
        <w:t>que</w:t>
      </w:r>
      <w:proofErr w:type="gramEnd"/>
      <w:r w:rsidRPr="00FF6765">
        <w:rPr>
          <w:rFonts w:ascii="Verdana" w:hAnsi="Verdana" w:eastAsia="Calibri" w:cs="Arial"/>
          <w:i/>
          <w:iCs/>
          <w:color w:val="000000" w:themeColor="text1"/>
          <w:sz w:val="20"/>
          <w:szCs w:val="20"/>
        </w:rPr>
        <w:t xml:space="preserve"> a diferencia de las sociedades, el lucro o ganancia obtenida no se reparte entre sus </w:t>
      </w:r>
      <w:proofErr w:type="gramStart"/>
      <w:r w:rsidRPr="00FF6765">
        <w:rPr>
          <w:rFonts w:ascii="Verdana" w:hAnsi="Verdana" w:eastAsia="Calibri" w:cs="Arial"/>
          <w:i/>
          <w:iCs/>
          <w:color w:val="000000" w:themeColor="text1"/>
          <w:sz w:val="20"/>
          <w:szCs w:val="20"/>
        </w:rPr>
        <w:t>miembros</w:t>
      </w:r>
      <w:proofErr w:type="gramEnd"/>
      <w:r w:rsidRPr="00FF6765">
        <w:rPr>
          <w:rFonts w:ascii="Verdana" w:hAnsi="Verdana" w:eastAsia="Calibri" w:cs="Arial"/>
          <w:i/>
          <w:iCs/>
          <w:color w:val="000000" w:themeColor="text1"/>
          <w:sz w:val="20"/>
          <w:szCs w:val="20"/>
        </w:rPr>
        <w:t xml:space="preserve"> sino que se integra al patrimonio de la asociación para la obtención del fin deseado</w:t>
      </w:r>
      <w:r w:rsidRPr="00FF6765">
        <w:rPr>
          <w:rFonts w:ascii="Verdana" w:hAnsi="Verdana" w:eastAsia="Calibri" w:cs="Arial"/>
          <w:color w:val="000000" w:themeColor="text1"/>
          <w:sz w:val="20"/>
          <w:szCs w:val="20"/>
        </w:rPr>
        <w:t xml:space="preserve">.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FF6765">
        <w:rPr>
          <w:rFonts w:ascii="Verdana" w:hAnsi="Verdana" w:eastAsia="Calibri" w:cs="Arial"/>
          <w:color w:val="000000" w:themeColor="text1"/>
          <w:sz w:val="20"/>
          <w:szCs w:val="20"/>
        </w:rPr>
        <w:t>del mismo</w:t>
      </w:r>
      <w:proofErr w:type="gramEnd"/>
      <w:r w:rsidRPr="00FF6765">
        <w:rPr>
          <w:rFonts w:ascii="Verdana" w:hAnsi="Verdana" w:eastAsia="Calibri" w:cs="Arial"/>
          <w:color w:val="000000" w:themeColor="text1"/>
          <w:sz w:val="20"/>
          <w:szCs w:val="20"/>
        </w:rPr>
        <w:t xml:space="preserve"> en el momento de su disolución o liquidación”. (Cursivas propias)</w:t>
      </w:r>
    </w:p>
    <w:p w:rsidR="00EA6E14" w:rsidP="00EA6E14" w:rsidRDefault="00EA6E14" w14:paraId="4AC987F7" w14:textId="77777777">
      <w:pPr>
        <w:spacing w:after="0" w:line="240" w:lineRule="auto"/>
        <w:ind w:firstLine="709"/>
        <w:jc w:val="both"/>
        <w:rPr>
          <w:rFonts w:ascii="Verdana" w:hAnsi="Verdana" w:eastAsia="Calibri" w:cs="Arial"/>
          <w:color w:val="000000" w:themeColor="text1"/>
        </w:rPr>
      </w:pPr>
    </w:p>
    <w:p w:rsidRPr="00377ED6" w:rsidR="00EA6E14" w:rsidP="00A72180" w:rsidRDefault="00EA6E14" w14:paraId="3071F8C1" w14:textId="77777777">
      <w:pPr>
        <w:spacing w:after="120" w:line="276" w:lineRule="auto"/>
        <w:ind w:firstLine="709"/>
        <w:jc w:val="both"/>
        <w:rPr>
          <w:rFonts w:ascii="Verdana" w:hAnsi="Verdana" w:eastAsia="Calibri" w:cs="Arial"/>
          <w:color w:val="000000" w:themeColor="text1"/>
        </w:rPr>
      </w:pPr>
      <w:r w:rsidRPr="00377ED6">
        <w:rPr>
          <w:rFonts w:ascii="Verdana" w:hAnsi="Verdana" w:eastAsia="Calibri"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w:t>
      </w:r>
      <w:r>
        <w:rPr>
          <w:rFonts w:ascii="Verdana" w:hAnsi="Verdana" w:eastAsia="Calibri" w:cs="Arial"/>
          <w:color w:val="000000" w:themeColor="text1"/>
        </w:rPr>
        <w:t>,</w:t>
      </w:r>
      <w:r w:rsidRPr="00377ED6">
        <w:rPr>
          <w:rFonts w:ascii="Verdana" w:hAnsi="Verdana" w:eastAsia="Calibri" w:cs="Arial"/>
          <w:color w:val="000000" w:themeColor="text1"/>
        </w:rPr>
        <w:t xml:space="preserve">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w:t>
      </w:r>
      <w:r>
        <w:rPr>
          <w:rFonts w:ascii="Verdana" w:hAnsi="Verdana" w:eastAsia="Calibri" w:cs="Arial"/>
          <w:color w:val="000000" w:themeColor="text1"/>
        </w:rPr>
        <w:t>,</w:t>
      </w:r>
      <w:r w:rsidRPr="00377ED6">
        <w:rPr>
          <w:rFonts w:ascii="Verdana" w:hAnsi="Verdana" w:eastAsia="Calibri" w:cs="Arial"/>
          <w:color w:val="000000" w:themeColor="text1"/>
        </w:rPr>
        <w:t xml:space="preserve"> ni los convenios de asociación del artículo 96 de la Ley 489 de 1998</w:t>
      </w:r>
      <w:r>
        <w:rPr>
          <w:rFonts w:ascii="Verdana" w:hAnsi="Verdana" w:eastAsia="Calibri" w:cs="Arial"/>
          <w:color w:val="000000" w:themeColor="text1"/>
        </w:rPr>
        <w:t>,</w:t>
      </w:r>
      <w:r w:rsidRPr="00377ED6">
        <w:rPr>
          <w:rFonts w:ascii="Verdana" w:hAnsi="Verdana" w:eastAsia="Calibri" w:cs="Arial"/>
          <w:color w:val="000000" w:themeColor="text1"/>
        </w:rPr>
        <w:t xml:space="preserve"> </w:t>
      </w:r>
      <w:r w:rsidRPr="00377ED6">
        <w:rPr>
          <w:rFonts w:ascii="Verdana" w:hAnsi="Verdana" w:eastAsia="Calibri" w:cs="Arial"/>
          <w:color w:val="000000" w:themeColor="text1"/>
        </w:rPr>
        <w:lastRenderedPageBreak/>
        <w:t>generan utilidades para la ESAL, pues se trataría de un contrato en el que se debe remunerar al contratista por los servicios prestados, el cual</w:t>
      </w:r>
      <w:r>
        <w:rPr>
          <w:rFonts w:ascii="Verdana" w:hAnsi="Verdana" w:eastAsia="Calibri" w:cs="Arial"/>
          <w:color w:val="000000" w:themeColor="text1"/>
        </w:rPr>
        <w:t xml:space="preserve"> </w:t>
      </w:r>
      <w:r w:rsidRPr="00377ED6">
        <w:rPr>
          <w:rFonts w:ascii="Verdana" w:hAnsi="Verdana" w:eastAsia="Calibri" w:cs="Arial"/>
          <w:color w:val="000000" w:themeColor="text1"/>
        </w:rPr>
        <w:t>un régimen legal distinto.</w:t>
      </w:r>
    </w:p>
    <w:p w:rsidRPr="00377ED6" w:rsidR="00EA6E14" w:rsidP="00A72180" w:rsidRDefault="00EA6E14" w14:paraId="1F60DEC7" w14:textId="77777777">
      <w:pPr>
        <w:spacing w:after="120" w:line="276" w:lineRule="auto"/>
        <w:ind w:firstLine="709"/>
        <w:jc w:val="both"/>
        <w:rPr>
          <w:rFonts w:ascii="Verdana" w:hAnsi="Verdana" w:eastAsia="Calibri" w:cs="Arial"/>
          <w:color w:val="000000" w:themeColor="text1"/>
        </w:rPr>
      </w:pPr>
      <w:r w:rsidRPr="00377ED6">
        <w:rPr>
          <w:rFonts w:ascii="Verdana" w:hAnsi="Verdana" w:cs="Arial"/>
          <w:color w:val="000000" w:themeColor="text1"/>
        </w:rPr>
        <w:t xml:space="preserve">Es importante tener en cuenta que la contratación con </w:t>
      </w:r>
      <w:r>
        <w:rPr>
          <w:rFonts w:ascii="Verdana" w:hAnsi="Verdana" w:cs="Arial"/>
          <w:color w:val="000000" w:themeColor="text1"/>
        </w:rPr>
        <w:t xml:space="preserve">ESAL </w:t>
      </w:r>
      <w:r w:rsidRPr="00377ED6">
        <w:rPr>
          <w:rFonts w:ascii="Verdana" w:hAnsi="Verdana" w:cs="Arial"/>
          <w:color w:val="000000" w:themeColor="text1"/>
        </w:rPr>
        <w:t xml:space="preserve">se rige por el Decreto 092 de 2017, salvo lo que ha sido objeto de suspensión provisional por parte del Consejo de Estado. Por lo tanto, las entidades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w:t>
      </w:r>
      <w:r>
        <w:rPr>
          <w:rFonts w:ascii="Verdana" w:hAnsi="Verdana" w:cs="Arial"/>
          <w:color w:val="000000" w:themeColor="text1"/>
        </w:rPr>
        <w:t>(</w:t>
      </w:r>
      <w:r w:rsidRPr="00377ED6">
        <w:rPr>
          <w:rFonts w:ascii="Verdana" w:hAnsi="Verdana" w:cs="Arial"/>
          <w:color w:val="000000" w:themeColor="text1"/>
        </w:rPr>
        <w:t xml:space="preserve">i) no debe condicionarse el proceso de contratación a la inexistencia de oferta en el mercado de bienes y servicios; </w:t>
      </w:r>
      <w:r>
        <w:rPr>
          <w:rFonts w:ascii="Verdana" w:hAnsi="Verdana" w:cs="Arial"/>
          <w:color w:val="000000" w:themeColor="text1"/>
        </w:rPr>
        <w:t>(</w:t>
      </w:r>
      <w:proofErr w:type="spellStart"/>
      <w:r w:rsidRPr="00377ED6">
        <w:rPr>
          <w:rFonts w:ascii="Verdana" w:hAnsi="Verdana" w:cs="Arial"/>
          <w:color w:val="000000" w:themeColor="text1"/>
        </w:rPr>
        <w:t>ii</w:t>
      </w:r>
      <w:proofErr w:type="spellEnd"/>
      <w:r w:rsidRPr="00377ED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r>
        <w:rPr>
          <w:rFonts w:ascii="Verdana" w:hAnsi="Verdana" w:cs="Arial"/>
          <w:color w:val="000000" w:themeColor="text1"/>
        </w:rPr>
        <w:t>(</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xml:space="preserve">) el objeto del contrato debe estar acorde con el plan nacional o seccional de desarrollo; </w:t>
      </w:r>
      <w:r>
        <w:rPr>
          <w:rFonts w:ascii="Verdana" w:hAnsi="Verdana" w:cs="Arial"/>
          <w:color w:val="000000" w:themeColor="text1"/>
        </w:rPr>
        <w:t>(</w:t>
      </w:r>
      <w:proofErr w:type="spellStart"/>
      <w:r w:rsidRPr="00377ED6">
        <w:rPr>
          <w:rFonts w:ascii="Verdana" w:hAnsi="Verdana" w:cs="Arial"/>
          <w:color w:val="000000" w:themeColor="text1"/>
        </w:rPr>
        <w:t>iv</w:t>
      </w:r>
      <w:proofErr w:type="spellEnd"/>
      <w:r w:rsidRPr="00377ED6">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w:t>
      </w:r>
      <w:r>
        <w:rPr>
          <w:rFonts w:ascii="Verdana" w:hAnsi="Verdana" w:cs="Arial"/>
          <w:color w:val="000000" w:themeColor="text1"/>
        </w:rPr>
        <w:t xml:space="preserve"> con lo señalado en el numeral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xml:space="preserve">); y </w:t>
      </w:r>
      <w:r>
        <w:rPr>
          <w:rFonts w:ascii="Verdana" w:hAnsi="Verdana" w:cs="Arial"/>
          <w:color w:val="000000" w:themeColor="text1"/>
        </w:rPr>
        <w:t>(</w:t>
      </w:r>
      <w:r w:rsidRPr="00377ED6">
        <w:rPr>
          <w:rFonts w:ascii="Verdana" w:hAnsi="Verdana" w:cs="Arial"/>
          <w:color w:val="000000" w:themeColor="text1"/>
        </w:rPr>
        <w:t xml:space="preserve">v) el contrato no debe establecer una relación conmutativa </w:t>
      </w:r>
      <w:r>
        <w:rPr>
          <w:rFonts w:ascii="Verdana" w:hAnsi="Verdana" w:cs="Arial"/>
          <w:color w:val="000000" w:themeColor="text1"/>
        </w:rPr>
        <w:t xml:space="preserve">que incluya una </w:t>
      </w:r>
      <w:r w:rsidRPr="00377ED6">
        <w:rPr>
          <w:rFonts w:ascii="Verdana" w:hAnsi="Verdana" w:cs="Arial"/>
          <w:color w:val="000000" w:themeColor="text1"/>
        </w:rPr>
        <w:t>contraprestación directa a favor de la entidad, ni instrucciones precisas dadas por esta al contratista para cumplir con el objeto del contrato.</w:t>
      </w:r>
    </w:p>
    <w:p w:rsidRPr="00377ED6" w:rsidR="00EA6E14" w:rsidP="00A72180" w:rsidRDefault="00EA6E14" w14:paraId="624F49E3" w14:textId="77777777">
      <w:pPr>
        <w:spacing w:after="120" w:line="276" w:lineRule="auto"/>
        <w:ind w:firstLine="709"/>
        <w:jc w:val="both"/>
        <w:rPr>
          <w:rFonts w:ascii="Verdana" w:hAnsi="Verdana" w:eastAsia="Calibri" w:cs="Arial"/>
          <w:color w:val="000000" w:themeColor="text1"/>
        </w:rPr>
      </w:pPr>
      <w:r w:rsidRPr="00377ED6">
        <w:rPr>
          <w:rFonts w:ascii="Verdana" w:hAnsi="Verdana" w:eastAsia="Calibri" w:cs="Arial"/>
          <w:color w:val="000000" w:themeColor="text1"/>
        </w:rPr>
        <w:t xml:space="preserve">Ahora, si </w:t>
      </w:r>
      <w:r>
        <w:rPr>
          <w:rFonts w:ascii="Verdana" w:hAnsi="Verdana" w:eastAsia="Calibri" w:cs="Arial"/>
          <w:color w:val="000000" w:themeColor="text1"/>
        </w:rPr>
        <w:t>las entidades</w:t>
      </w:r>
      <w:r w:rsidRPr="00377ED6">
        <w:rPr>
          <w:rFonts w:ascii="Verdana" w:hAnsi="Verdana" w:eastAsia="Calibri" w:cs="Arial"/>
          <w:color w:val="000000" w:themeColor="text1"/>
        </w:rPr>
        <w:t xml:space="preserve"> pretende</w:t>
      </w:r>
      <w:r>
        <w:rPr>
          <w:rFonts w:ascii="Verdana" w:hAnsi="Verdana" w:eastAsia="Calibri" w:cs="Arial"/>
          <w:color w:val="000000" w:themeColor="text1"/>
        </w:rPr>
        <w:t>n</w:t>
      </w:r>
      <w:r w:rsidRPr="00377ED6">
        <w:rPr>
          <w:rFonts w:ascii="Verdana" w:hAnsi="Verdana" w:eastAsia="Calibri" w:cs="Arial"/>
          <w:color w:val="000000" w:themeColor="text1"/>
        </w:rPr>
        <w:t xml:space="preserve"> realizar un </w:t>
      </w:r>
      <w:r w:rsidRPr="00377ED6">
        <w:rPr>
          <w:rFonts w:ascii="Verdana" w:hAnsi="Verdana" w:eastAsia="Calibri" w:cs="Arial"/>
          <w:i/>
          <w:iCs/>
          <w:color w:val="000000" w:themeColor="text1"/>
        </w:rPr>
        <w:t>convenio de asociación</w:t>
      </w:r>
      <w:r w:rsidRPr="00377ED6">
        <w:rPr>
          <w:rFonts w:ascii="Verdana" w:hAnsi="Verdana" w:eastAsia="Calibri" w:cs="Arial"/>
          <w:color w:val="000000" w:themeColor="text1"/>
        </w:rPr>
        <w:t xml:space="preserve"> con ESAL de reconocida idoneidad para el cumplimiento de las funciones que la ley les asigna, deberá</w:t>
      </w:r>
      <w:r>
        <w:rPr>
          <w:rFonts w:ascii="Verdana" w:hAnsi="Verdana" w:eastAsia="Calibri" w:cs="Arial"/>
          <w:color w:val="000000" w:themeColor="text1"/>
        </w:rPr>
        <w:t>n</w:t>
      </w:r>
      <w:r w:rsidRPr="00377ED6">
        <w:rPr>
          <w:rFonts w:ascii="Verdana" w:hAnsi="Verdana" w:eastAsia="Calibri" w:cs="Arial"/>
          <w:color w:val="000000" w:themeColor="text1"/>
        </w:rPr>
        <w:t xml:space="preserve"> aplicar lo dispuesto en el artículo 5 del Decreto 092 de 2017. De esta manera, </w:t>
      </w:r>
      <w:r>
        <w:rPr>
          <w:rFonts w:ascii="Verdana" w:hAnsi="Verdana" w:eastAsia="Calibri" w:cs="Arial"/>
          <w:color w:val="000000" w:themeColor="text1"/>
        </w:rPr>
        <w:t>los procesos contractuales deberán ser, por regla general, competitivos</w:t>
      </w:r>
      <w:r w:rsidRPr="00377ED6">
        <w:rPr>
          <w:rFonts w:ascii="Verdana" w:hAnsi="Verdana" w:eastAsia="Calibri" w:cs="Arial"/>
          <w:color w:val="000000" w:themeColor="text1"/>
        </w:rPr>
        <w:t xml:space="preserve">, salvo en aquellos casos en que </w:t>
      </w:r>
      <w:r>
        <w:rPr>
          <w:rFonts w:ascii="Verdana" w:hAnsi="Verdana" w:eastAsia="Calibri" w:cs="Arial"/>
          <w:color w:val="000000" w:themeColor="text1"/>
        </w:rPr>
        <w:t xml:space="preserve">la ESAL </w:t>
      </w:r>
      <w:r w:rsidRPr="00377ED6">
        <w:rPr>
          <w:rFonts w:ascii="Verdana" w:hAnsi="Verdana" w:eastAsia="Calibri" w:cs="Arial"/>
          <w:color w:val="000000" w:themeColor="text1"/>
        </w:rPr>
        <w:t xml:space="preserve">comprometa recursos </w:t>
      </w:r>
      <w:r w:rsidRPr="00BA087D">
        <w:rPr>
          <w:rFonts w:ascii="Verdana" w:hAnsi="Verdana" w:eastAsia="Calibri" w:cs="Arial"/>
          <w:i/>
          <w:iCs/>
          <w:color w:val="000000" w:themeColor="text1"/>
        </w:rPr>
        <w:t>en dinero</w:t>
      </w:r>
      <w:r w:rsidRPr="00377ED6">
        <w:rPr>
          <w:rFonts w:ascii="Verdana" w:hAnsi="Verdana" w:eastAsia="Calibri" w:cs="Arial"/>
          <w:color w:val="000000" w:themeColor="text1"/>
        </w:rPr>
        <w:t xml:space="preserve"> por un valor igual o superior al </w:t>
      </w:r>
      <w:r>
        <w:rPr>
          <w:rFonts w:ascii="Verdana" w:hAnsi="Verdana" w:eastAsia="Calibri" w:cs="Arial"/>
          <w:color w:val="000000" w:themeColor="text1"/>
        </w:rPr>
        <w:t>treinta por ciento (</w:t>
      </w:r>
      <w:r w:rsidRPr="00377ED6">
        <w:rPr>
          <w:rFonts w:ascii="Verdana" w:hAnsi="Verdana" w:eastAsia="Calibri" w:cs="Arial"/>
          <w:color w:val="000000" w:themeColor="text1"/>
        </w:rPr>
        <w:t>30%</w:t>
      </w:r>
      <w:r>
        <w:rPr>
          <w:rFonts w:ascii="Verdana" w:hAnsi="Verdana" w:eastAsia="Calibri" w:cs="Arial"/>
          <w:color w:val="000000" w:themeColor="text1"/>
        </w:rPr>
        <w:t>)</w:t>
      </w:r>
      <w:r w:rsidRPr="00377ED6">
        <w:rPr>
          <w:rFonts w:ascii="Verdana" w:hAnsi="Verdana" w:eastAsia="Calibri" w:cs="Arial"/>
          <w:color w:val="000000" w:themeColor="text1"/>
        </w:rPr>
        <w:t xml:space="preserve"> del valor total del convenio</w:t>
      </w:r>
      <w:r w:rsidRPr="00377ED6">
        <w:rPr>
          <w:rFonts w:ascii="Verdana" w:hAnsi="Verdana" w:cs="Arial"/>
          <w:color w:val="000000" w:themeColor="text1"/>
          <w:vertAlign w:val="superscript"/>
        </w:rPr>
        <w:footnoteReference w:id="8"/>
      </w:r>
      <w:r w:rsidRPr="00377ED6">
        <w:rPr>
          <w:rFonts w:ascii="Verdana" w:hAnsi="Verdana" w:eastAsia="Calibri" w:cs="Arial"/>
          <w:color w:val="000000" w:themeColor="text1"/>
        </w:rPr>
        <w:t xml:space="preserve">, y siempre que la entidad estatal verifique previamente que no existe ninguna otra </w:t>
      </w:r>
      <w:r>
        <w:rPr>
          <w:rFonts w:ascii="Verdana" w:hAnsi="Verdana" w:eastAsia="Calibri" w:cs="Arial"/>
          <w:color w:val="000000" w:themeColor="text1"/>
        </w:rPr>
        <w:t xml:space="preserve">ESAL </w:t>
      </w:r>
      <w:r w:rsidRPr="00377ED6">
        <w:rPr>
          <w:rFonts w:ascii="Verdana" w:hAnsi="Verdana" w:eastAsia="Calibri" w:cs="Arial"/>
          <w:color w:val="000000" w:themeColor="text1"/>
        </w:rPr>
        <w:t xml:space="preserve">que ofrezca aportes </w:t>
      </w:r>
      <w:r>
        <w:rPr>
          <w:rFonts w:ascii="Verdana" w:hAnsi="Verdana" w:eastAsia="Calibri" w:cs="Arial"/>
          <w:color w:val="000000" w:themeColor="text1"/>
        </w:rPr>
        <w:t xml:space="preserve">en dinero </w:t>
      </w:r>
      <w:r w:rsidRPr="00377ED6">
        <w:rPr>
          <w:rFonts w:ascii="Verdana" w:hAnsi="Verdana" w:eastAsia="Calibri" w:cs="Arial"/>
          <w:color w:val="000000" w:themeColor="text1"/>
        </w:rPr>
        <w:t xml:space="preserve">iguales o superiores al </w:t>
      </w:r>
      <w:r>
        <w:rPr>
          <w:rFonts w:ascii="Verdana" w:hAnsi="Verdana" w:eastAsia="Calibri" w:cs="Arial"/>
          <w:color w:val="000000" w:themeColor="text1"/>
        </w:rPr>
        <w:t xml:space="preserve">porcentaje referido. </w:t>
      </w:r>
    </w:p>
    <w:p w:rsidRPr="00377ED6" w:rsidR="00EA6E14" w:rsidP="00A72180" w:rsidRDefault="00EA6E14" w14:paraId="16D28241" w14:textId="77777777">
      <w:pPr>
        <w:spacing w:after="120" w:line="276" w:lineRule="auto"/>
        <w:ind w:firstLine="709"/>
        <w:jc w:val="both"/>
        <w:rPr>
          <w:rFonts w:ascii="Verdana" w:hAnsi="Verdana" w:eastAsia="Calibri" w:cs="Arial"/>
          <w:lang w:val="es-ES"/>
        </w:rPr>
      </w:pPr>
      <w:r w:rsidRPr="65230869">
        <w:rPr>
          <w:rFonts w:ascii="Verdana" w:hAnsi="Verdana" w:eastAsia="Calibri" w:cs="Arial"/>
          <w:lang w:val="es-ES"/>
        </w:rPr>
        <w:lastRenderedPageBreak/>
        <w:t xml:space="preserve">Por otra parte, las normas aplicables a la gestión de las entidades sometidas y exceptuadas del EGCAP se caracterizan por la exhaustiva regulación de la actividad contractual. Los contratos sometidos al Estatuto General, aunque se rigen por el derecho público, permiten la aplicación del derecho civil y comercial en los casos previstos en los artículos 13, 32 y 40 de la Ley 80 de 1993. Así mismo, pese a la aplicación de las normas comunes sobre obligaciones y contratos en las entidades del régimen exceptuado, deben respetar los principios de la función administrativa, de la gestión fiscal y el régimen de inhabilidades e incompatibilidades –Ley 1150 de 2007, art. 13–, los cuales se concretan en los respectivos manuales de contratación. Sin embargo, frente a la regulación sumaria de los </w:t>
      </w:r>
      <w:r w:rsidRPr="65230869">
        <w:rPr>
          <w:rFonts w:ascii="Verdana" w:hAnsi="Verdana" w:eastAsia="Calibri" w:cs="Arial"/>
          <w:i/>
          <w:lang w:val="es-ES"/>
        </w:rPr>
        <w:t>contratos del art. 355 de la Constitución</w:t>
      </w:r>
      <w:r w:rsidRPr="65230869">
        <w:rPr>
          <w:rFonts w:ascii="Verdana" w:hAnsi="Verdana" w:eastAsia="Calibri" w:cs="Arial"/>
          <w:lang w:val="es-ES"/>
        </w:rPr>
        <w:t xml:space="preserve"> y los </w:t>
      </w:r>
      <w:r w:rsidRPr="65230869">
        <w:rPr>
          <w:rFonts w:ascii="Verdana" w:hAnsi="Verdana" w:eastAsia="Calibri" w:cs="Arial"/>
          <w:i/>
          <w:lang w:val="es-ES"/>
        </w:rPr>
        <w:t>convenios de asociación</w:t>
      </w:r>
      <w:r w:rsidRPr="65230869">
        <w:rPr>
          <w:rFonts w:ascii="Verdana" w:hAnsi="Verdana" w:eastAsia="Calibri" w:cs="Arial"/>
          <w:lang w:val="es-ES"/>
        </w:rPr>
        <w:t xml:space="preserve">, los artículos 6, 7 y 8 del </w:t>
      </w:r>
      <w:bookmarkStart w:name="_Hlk38214426" w:id="15"/>
      <w:r w:rsidRPr="65230869">
        <w:rPr>
          <w:rFonts w:ascii="Verdana" w:hAnsi="Verdana" w:eastAsia="Calibri" w:cs="Arial"/>
          <w:lang w:val="es-ES"/>
        </w:rPr>
        <w:t>Decreto 092 de 2017</w:t>
      </w:r>
      <w:bookmarkEnd w:id="15"/>
      <w:r w:rsidRPr="65230869">
        <w:rPr>
          <w:rFonts w:ascii="Verdana" w:hAnsi="Verdana" w:eastAsia="Calibri" w:cs="Arial"/>
          <w:lang w:val="es-ES"/>
        </w:rPr>
        <w:t xml:space="preserve"> disponen lo siguiente:</w:t>
      </w:r>
    </w:p>
    <w:p w:rsidRPr="00FF6765" w:rsidR="00EA6E14" w:rsidP="00EA6E14" w:rsidRDefault="00EA6E14" w14:paraId="24DBA399" w14:textId="77777777">
      <w:pPr>
        <w:spacing w:before="240" w:after="120"/>
        <w:ind w:left="709" w:right="616"/>
        <w:jc w:val="both"/>
        <w:rPr>
          <w:rFonts w:ascii="Verdana" w:hAnsi="Verdana" w:eastAsia="Calibri" w:cs="Arial"/>
          <w:sz w:val="20"/>
          <w:szCs w:val="20"/>
          <w:lang w:val="es-ES_tradnl"/>
        </w:rPr>
      </w:pPr>
      <w:r w:rsidRPr="00FF6765">
        <w:rPr>
          <w:rFonts w:ascii="Verdana" w:hAnsi="Verdana" w:eastAsia="Calibri" w:cs="Arial"/>
          <w:sz w:val="20"/>
          <w:szCs w:val="20"/>
          <w:lang w:val="es-ES_tradnl"/>
        </w:rPr>
        <w:t>“Artículo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rsidRPr="00FF6765" w:rsidR="00EA6E14" w:rsidP="00EA6E14" w:rsidRDefault="00EA6E14" w14:paraId="191FEFF6" w14:textId="77777777">
      <w:pPr>
        <w:spacing w:after="120"/>
        <w:ind w:left="709" w:right="616"/>
        <w:jc w:val="both"/>
        <w:rPr>
          <w:rFonts w:ascii="Verdana" w:hAnsi="Verdana" w:eastAsia="Calibri" w:cs="Arial"/>
          <w:sz w:val="20"/>
          <w:szCs w:val="20"/>
          <w:lang w:val="es-ES_tradnl"/>
        </w:rPr>
      </w:pPr>
      <w:r w:rsidRPr="00FF6765">
        <w:rPr>
          <w:rFonts w:ascii="Verdana" w:hAnsi="Verdana" w:eastAsia="Calibri" w:cs="Arial"/>
          <w:sz w:val="20"/>
          <w:szCs w:val="20"/>
          <w:lang w:val="es-ES_tradnl"/>
        </w:rPr>
        <w:t xml:space="preserve">Artículo 7°. Aplicación de los principios de la contratación estatal. La contratación a la que hace referencia el presente decreto está sujeta a los principios de la contratación estatal y a las normas presupuestales aplicables </w:t>
      </w:r>
      <w:r>
        <w:rPr>
          <w:rFonts w:ascii="Verdana" w:hAnsi="Verdana" w:eastAsia="Calibri" w:cs="Arial"/>
          <w:sz w:val="20"/>
          <w:szCs w:val="20"/>
          <w:lang w:val="es-ES_tradnl"/>
        </w:rPr>
        <w:t>(…)</w:t>
      </w:r>
    </w:p>
    <w:p w:rsidRPr="00FF6765" w:rsidR="00EA6E14" w:rsidP="00EA6E14" w:rsidRDefault="00EA6E14" w14:paraId="79457FDD" w14:textId="77777777">
      <w:pPr>
        <w:spacing w:after="0"/>
        <w:ind w:left="709" w:right="616"/>
        <w:jc w:val="both"/>
        <w:rPr>
          <w:rFonts w:ascii="Verdana" w:hAnsi="Verdana" w:eastAsia="Calibri" w:cs="Arial"/>
          <w:sz w:val="20"/>
          <w:szCs w:val="20"/>
          <w:lang w:val="es-ES_tradnl"/>
        </w:rPr>
      </w:pPr>
      <w:r w:rsidRPr="00FF6765">
        <w:rPr>
          <w:rFonts w:ascii="Verdana" w:hAnsi="Verdana" w:eastAsia="Calibri" w:cs="Arial"/>
          <w:sz w:val="20"/>
          <w:szCs w:val="20"/>
          <w:lang w:val="es-ES_tradnl"/>
        </w:rPr>
        <w:t xml:space="preserve">Artículo 8°. Aplicación de normas generales del sistema de contratación pública. La contratación a la que hace referencia el presente decreto está sujeta </w:t>
      </w:r>
      <w:bookmarkStart w:name="_Hlk38206940" w:id="16"/>
      <w:r w:rsidRPr="00FF6765">
        <w:rPr>
          <w:rFonts w:ascii="Verdana" w:hAnsi="Verdana" w:eastAsia="Calibri" w:cs="Arial"/>
          <w:sz w:val="20"/>
          <w:szCs w:val="20"/>
          <w:lang w:val="es-ES_tradnl"/>
        </w:rPr>
        <w:t xml:space="preserve">a las </w:t>
      </w:r>
      <w:bookmarkStart w:name="_Hlk38633960" w:id="17"/>
      <w:r w:rsidRPr="00FF6765">
        <w:rPr>
          <w:rFonts w:ascii="Verdana" w:hAnsi="Verdana" w:eastAsia="Calibri" w:cs="Arial"/>
          <w:sz w:val="20"/>
          <w:szCs w:val="20"/>
          <w:lang w:val="es-ES_tradnl"/>
        </w:rPr>
        <w:t xml:space="preserve">normas generales </w:t>
      </w:r>
      <w:bookmarkStart w:name="_Hlk38275055" w:id="18"/>
      <w:r w:rsidRPr="00FF6765">
        <w:rPr>
          <w:rFonts w:ascii="Verdana" w:hAnsi="Verdana" w:eastAsia="Calibri" w:cs="Arial"/>
          <w:sz w:val="20"/>
          <w:szCs w:val="20"/>
          <w:lang w:val="es-ES_tradnl"/>
        </w:rPr>
        <w:t>aplicables a la contratación pública</w:t>
      </w:r>
      <w:bookmarkEnd w:id="16"/>
      <w:bookmarkEnd w:id="17"/>
      <w:r w:rsidRPr="00FF6765">
        <w:rPr>
          <w:rFonts w:ascii="Verdana" w:hAnsi="Verdana" w:eastAsia="Calibri" w:cs="Arial"/>
          <w:sz w:val="20"/>
          <w:szCs w:val="20"/>
          <w:lang w:val="es-ES_tradnl"/>
        </w:rPr>
        <w:t xml:space="preserve"> </w:t>
      </w:r>
      <w:bookmarkEnd w:id="18"/>
      <w:r w:rsidRPr="00FF6765">
        <w:rPr>
          <w:rFonts w:ascii="Verdana" w:hAnsi="Verdana" w:eastAsia="Calibri" w:cs="Arial"/>
          <w:sz w:val="20"/>
          <w:szCs w:val="20"/>
          <w:lang w:val="es-ES_tradnl"/>
        </w:rPr>
        <w:t xml:space="preserve">excepto en lo reglamentado en el presente decreto”. </w:t>
      </w:r>
    </w:p>
    <w:p w:rsidRPr="00377ED6" w:rsidR="00EA6E14" w:rsidP="00EA6E14" w:rsidRDefault="00EA6E14" w14:paraId="7A4736C5" w14:textId="77777777">
      <w:pPr>
        <w:spacing w:after="0"/>
        <w:ind w:left="709" w:right="709"/>
        <w:jc w:val="both"/>
        <w:rPr>
          <w:rFonts w:ascii="Verdana" w:hAnsi="Verdana" w:eastAsia="Calibri" w:cs="Arial"/>
          <w:lang w:val="es-ES_tradnl"/>
        </w:rPr>
      </w:pPr>
    </w:p>
    <w:p w:rsidRPr="00377ED6" w:rsidR="00EA6E14" w:rsidP="004D7D50" w:rsidRDefault="00EA6E14" w14:paraId="190D1C94" w14:textId="77777777">
      <w:pPr>
        <w:spacing w:after="120" w:line="276" w:lineRule="auto"/>
        <w:jc w:val="both"/>
        <w:rPr>
          <w:rFonts w:ascii="Verdana" w:hAnsi="Verdana" w:eastAsia="Calibri" w:cs="Arial"/>
          <w:lang w:val="es-ES"/>
        </w:rPr>
      </w:pPr>
      <w:r w:rsidRPr="00377ED6">
        <w:rPr>
          <w:rFonts w:ascii="Verdana" w:hAnsi="Verdana" w:eastAsia="Calibri" w:cs="Arial"/>
          <w:lang w:val="es-ES_tradnl"/>
        </w:rPr>
        <w:tab/>
      </w:r>
      <w:r w:rsidRPr="00377ED6">
        <w:rPr>
          <w:rFonts w:ascii="Verdana" w:hAnsi="Verdana" w:eastAsia="Calibri" w:cs="Arial"/>
          <w:lang w:val="es-ES"/>
        </w:rPr>
        <w:t>Estas normas integran las lagunas o vacíos normativos del</w:t>
      </w:r>
      <w:r>
        <w:rPr>
          <w:rFonts w:ascii="Verdana" w:hAnsi="Verdana" w:eastAsia="Calibri" w:cs="Arial"/>
          <w:lang w:val="es-ES"/>
        </w:rPr>
        <w:t xml:space="preserve"> Decreto 092 de 2017</w:t>
      </w:r>
      <w:r w:rsidRPr="00377ED6">
        <w:rPr>
          <w:rFonts w:ascii="Verdana" w:hAnsi="Verdana" w:eastAsia="Calibri" w:cs="Arial"/>
          <w:lang w:val="es-ES"/>
        </w:rPr>
        <w:t>, y aplican a todo lo que no esté expresamente regulado en él. Por ello</w:t>
      </w:r>
      <w:r>
        <w:rPr>
          <w:rFonts w:ascii="Verdana" w:hAnsi="Verdana" w:eastAsia="Calibri" w:cs="Arial"/>
          <w:lang w:val="es-ES"/>
        </w:rPr>
        <w:t>,</w:t>
      </w:r>
      <w:r w:rsidRPr="00377ED6">
        <w:rPr>
          <w:rFonts w:ascii="Verdana" w:hAnsi="Verdana" w:eastAsia="Calibri" w:cs="Arial"/>
          <w:lang w:val="es-ES"/>
        </w:rPr>
        <w:t xml:space="preserve"> no es posible </w:t>
      </w:r>
      <w:r>
        <w:rPr>
          <w:rFonts w:ascii="Verdana" w:hAnsi="Verdana" w:eastAsia="Calibri" w:cs="Arial"/>
          <w:lang w:val="es-ES"/>
        </w:rPr>
        <w:t xml:space="preserve">que las Entidades apliquen </w:t>
      </w:r>
      <w:r w:rsidRPr="00377ED6">
        <w:rPr>
          <w:rFonts w:ascii="Verdana" w:hAnsi="Verdana" w:eastAsia="Calibri" w:cs="Arial"/>
          <w:lang w:val="es-ES"/>
        </w:rPr>
        <w:t xml:space="preserve">las disposiciones anteriormente citadas en temas como la competencia para celebrar los </w:t>
      </w:r>
      <w:r w:rsidRPr="00377ED6">
        <w:rPr>
          <w:rFonts w:ascii="Verdana" w:hAnsi="Verdana" w:eastAsia="Calibri" w:cs="Arial"/>
          <w:i/>
          <w:lang w:val="es-ES"/>
        </w:rPr>
        <w:t xml:space="preserve">contratos del artículo 355 de la Constitución </w:t>
      </w:r>
      <w:r w:rsidRPr="00377ED6">
        <w:rPr>
          <w:rFonts w:ascii="Verdana" w:hAnsi="Verdana" w:eastAsia="Calibri" w:cs="Arial"/>
          <w:lang w:val="es-ES"/>
        </w:rPr>
        <w:t xml:space="preserve">y la </w:t>
      </w:r>
      <w:proofErr w:type="spellStart"/>
      <w:r w:rsidRPr="00377ED6">
        <w:rPr>
          <w:rFonts w:ascii="Verdana" w:hAnsi="Verdana" w:eastAsia="Calibri" w:cs="Arial"/>
          <w:lang w:val="es-ES"/>
        </w:rPr>
        <w:t>indelegabilidad</w:t>
      </w:r>
      <w:proofErr w:type="spellEnd"/>
      <w:r w:rsidRPr="00377ED6">
        <w:rPr>
          <w:rFonts w:ascii="Verdana" w:hAnsi="Verdana" w:eastAsia="Calibri" w:cs="Arial"/>
          <w:lang w:val="es-ES"/>
        </w:rPr>
        <w:t xml:space="preserve"> de la autorización –art</w:t>
      </w:r>
      <w:r>
        <w:rPr>
          <w:rFonts w:ascii="Verdana" w:hAnsi="Verdana" w:eastAsia="Calibri" w:cs="Arial"/>
          <w:lang w:val="es-ES"/>
        </w:rPr>
        <w:t>ículo</w:t>
      </w:r>
      <w:r w:rsidRPr="00377ED6">
        <w:rPr>
          <w:rFonts w:ascii="Verdana" w:hAnsi="Verdana" w:eastAsia="Calibri" w:cs="Arial"/>
          <w:lang w:val="es-ES"/>
        </w:rPr>
        <w:t xml:space="preserve"> 2–, la idoneidad de las ESAL –art</w:t>
      </w:r>
      <w:r>
        <w:rPr>
          <w:rFonts w:ascii="Verdana" w:hAnsi="Verdana" w:eastAsia="Calibri" w:cs="Arial"/>
          <w:lang w:val="es-ES"/>
        </w:rPr>
        <w:t>ículo</w:t>
      </w:r>
      <w:r w:rsidRPr="00377ED6">
        <w:rPr>
          <w:rFonts w:ascii="Verdana" w:hAnsi="Verdana" w:eastAsia="Calibri" w:cs="Arial"/>
          <w:lang w:val="es-ES"/>
        </w:rPr>
        <w:t xml:space="preserve"> 3–, su registro en el SECOP –art</w:t>
      </w:r>
      <w:r>
        <w:rPr>
          <w:rFonts w:ascii="Verdana" w:hAnsi="Verdana" w:eastAsia="Calibri" w:cs="Arial"/>
          <w:lang w:val="es-ES"/>
        </w:rPr>
        <w:t xml:space="preserve">ículo </w:t>
      </w:r>
      <w:r w:rsidRPr="00377ED6">
        <w:rPr>
          <w:rFonts w:ascii="Verdana" w:hAnsi="Verdana" w:eastAsia="Calibri" w:cs="Arial"/>
          <w:lang w:val="es-ES"/>
        </w:rPr>
        <w:t>9– y la inaplicación del registro único de proponentes –art</w:t>
      </w:r>
      <w:r>
        <w:rPr>
          <w:rFonts w:ascii="Verdana" w:hAnsi="Verdana" w:eastAsia="Calibri" w:cs="Arial"/>
          <w:lang w:val="es-ES"/>
        </w:rPr>
        <w:t>ículo</w:t>
      </w:r>
      <w:r w:rsidRPr="00377ED6">
        <w:rPr>
          <w:rFonts w:ascii="Verdana" w:hAnsi="Verdana" w:eastAsia="Calibri" w:cs="Arial"/>
          <w:lang w:val="es-ES"/>
        </w:rPr>
        <w:t xml:space="preserve"> 10–. </w:t>
      </w:r>
    </w:p>
    <w:p w:rsidRPr="00377ED6" w:rsidR="00EA6E14" w:rsidP="004D7D50" w:rsidRDefault="00EA6E14" w14:paraId="270E1ABB" w14:textId="77777777">
      <w:pPr>
        <w:spacing w:after="120" w:line="276" w:lineRule="auto"/>
        <w:ind w:firstLine="709"/>
        <w:jc w:val="both"/>
        <w:rPr>
          <w:rFonts w:ascii="Verdana" w:hAnsi="Verdana" w:eastAsia="Calibri" w:cs="Arial"/>
          <w:lang w:val="es-ES_tradnl"/>
        </w:rPr>
      </w:pPr>
      <w:r w:rsidRPr="00377ED6">
        <w:rPr>
          <w:rFonts w:ascii="Verdana" w:hAnsi="Verdana" w:eastAsia="Calibri" w:cs="Arial"/>
          <w:lang w:val="es-ES_tradnl"/>
        </w:rPr>
        <w:t>En contraste, en los vacíos es necesario resolver si las tres</w:t>
      </w:r>
      <w:r>
        <w:rPr>
          <w:rFonts w:ascii="Verdana" w:hAnsi="Verdana" w:eastAsia="Calibri" w:cs="Arial"/>
          <w:lang w:val="es-ES_tradnl"/>
        </w:rPr>
        <w:t xml:space="preserve"> </w:t>
      </w:r>
      <w:r w:rsidRPr="00377ED6">
        <w:rPr>
          <w:rFonts w:ascii="Verdana" w:hAnsi="Verdana" w:eastAsia="Calibri" w:cs="Arial"/>
          <w:lang w:val="es-ES_tradnl"/>
        </w:rPr>
        <w:t xml:space="preserve">normas expresan la misma idea o, por el contrario, son autónomas en su interpretación. </w:t>
      </w:r>
      <w:r w:rsidRPr="00377ED6">
        <w:rPr>
          <w:rFonts w:ascii="Verdana" w:hAnsi="Verdana" w:eastAsia="Calibri" w:cs="Arial"/>
          <w:lang w:val="es-ES_tradnl"/>
        </w:rPr>
        <w:lastRenderedPageBreak/>
        <w:t xml:space="preserve">Para resolver este interrogante, </w:t>
      </w:r>
      <w:bookmarkStart w:name="_Hlk38282598" w:id="19"/>
      <w:r w:rsidRPr="00377ED6">
        <w:rPr>
          <w:rFonts w:ascii="Verdana" w:hAnsi="Verdana" w:eastAsia="Calibri" w:cs="Arial"/>
          <w:lang w:val="es-ES_tradnl"/>
        </w:rPr>
        <w:t xml:space="preserve">en principio, podría considerarse que dichas disposiciones son independientes, pues si los supuestos están regulados en normas separadas, cada una produciría consecuencias distintas. Esta posición no se comparte, ya que están relacionadas entre sí. En efecto, el artículo 6 del Decreto 092 de 2017 se refiere a las inhabilidades e incompatibilidades previstas en el ordenamiento jurídico, incluyendo las previstas en el artículo 8 de la Ley 80 de 1993; además, los artículos 23, 24, 25, 26 y otros del Estatuto General regulan los principios de la contratación estatal, relacionándose parcialmente con el artículo 7 </w:t>
      </w:r>
      <w:r w:rsidRPr="00377ED6">
        <w:rPr>
          <w:rFonts w:ascii="Verdana" w:hAnsi="Verdana" w:eastAsia="Calibri" w:cs="Arial"/>
          <w:i/>
          <w:iCs/>
          <w:lang w:val="es-ES_tradnl"/>
        </w:rPr>
        <w:t>ibidem</w:t>
      </w:r>
      <w:bookmarkEnd w:id="19"/>
      <w:r w:rsidRPr="00377ED6">
        <w:rPr>
          <w:rFonts w:ascii="Verdana" w:hAnsi="Verdana" w:eastAsia="Calibri" w:cs="Arial"/>
          <w:lang w:val="es-ES_tradnl"/>
        </w:rPr>
        <w:t xml:space="preserve"> al disponer lo siguiente: </w:t>
      </w:r>
    </w:p>
    <w:p w:rsidRPr="00FF6765" w:rsidR="00EA6E14" w:rsidP="00EA6E14" w:rsidRDefault="00EA6E14" w14:paraId="63243DEA" w14:textId="77777777">
      <w:pPr>
        <w:spacing w:after="0"/>
        <w:ind w:left="709" w:right="616"/>
        <w:jc w:val="both"/>
        <w:rPr>
          <w:rFonts w:ascii="Verdana" w:hAnsi="Verdana" w:eastAsia="Calibri" w:cs="Arial"/>
          <w:sz w:val="20"/>
          <w:szCs w:val="20"/>
          <w:lang w:val="es-ES_tradnl"/>
        </w:rPr>
      </w:pPr>
      <w:r w:rsidRPr="00FF6765">
        <w:rPr>
          <w:rFonts w:ascii="Verdana" w:hAnsi="Verdana" w:eastAsia="Calibri" w:cs="Arial"/>
          <w:sz w:val="20"/>
          <w:szCs w:val="20"/>
          <w:lang w:val="es-ES_tradnl"/>
        </w:rPr>
        <w:t>“Artículo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p w:rsidRPr="00377ED6" w:rsidR="00EA6E14" w:rsidP="00EA6E14" w:rsidRDefault="00EA6E14" w14:paraId="00682CE1" w14:textId="77777777">
      <w:pPr>
        <w:spacing w:after="0" w:line="276" w:lineRule="auto"/>
        <w:ind w:left="709" w:right="709"/>
        <w:jc w:val="both"/>
        <w:rPr>
          <w:rFonts w:ascii="Verdana" w:hAnsi="Verdana" w:eastAsia="Calibri" w:cs="Arial"/>
          <w:lang w:val="es-ES_tradnl"/>
        </w:rPr>
      </w:pPr>
    </w:p>
    <w:p w:rsidRPr="00377ED6" w:rsidR="00EA6E14" w:rsidP="004D7D50" w:rsidRDefault="00EA6E14" w14:paraId="378E524F" w14:textId="77777777">
      <w:pPr>
        <w:spacing w:after="120" w:line="276" w:lineRule="auto"/>
        <w:ind w:firstLine="709"/>
        <w:jc w:val="both"/>
        <w:rPr>
          <w:rFonts w:ascii="Verdana" w:hAnsi="Verdana" w:eastAsia="Calibri" w:cs="Arial"/>
          <w:lang w:val="es-ES"/>
        </w:rPr>
      </w:pPr>
      <w:bookmarkStart w:name="_Hlk38282653" w:id="20"/>
      <w:r w:rsidRPr="00377ED6">
        <w:rPr>
          <w:rFonts w:ascii="Verdana" w:hAnsi="Verdana" w:eastAsia="Calibri" w:cs="Arial"/>
          <w:lang w:val="es-ES"/>
        </w:rPr>
        <w:t>A su vez, tanto el “régimen de inhabilidades e incompatibilidades” como los “principios” hacen parte de las normas generales aplicables a la contratación pública. Naturalmente, podría preguntarse si el artículo 8 del Decreto 092 de 2017 se relaciona con estos dos (2) aspectos por ser comunes a los procesos de selección</w:t>
      </w:r>
      <w:r>
        <w:rPr>
          <w:rFonts w:ascii="Verdana" w:hAnsi="Verdana" w:eastAsia="Calibri" w:cs="Arial"/>
          <w:lang w:val="es-ES"/>
        </w:rPr>
        <w:t>,</w:t>
      </w:r>
      <w:r w:rsidRPr="00377ED6">
        <w:rPr>
          <w:rFonts w:ascii="Verdana" w:hAnsi="Verdana" w:eastAsia="Calibri" w:cs="Arial"/>
          <w:lang w:val="es-ES"/>
        </w:rPr>
        <w:t xml:space="preserve"> o si se extiende a la totalidad del Estatuto General. De concluirse lo primero, el ámbito de los artículos 6, 7 y 8 del </w:t>
      </w:r>
      <w:r>
        <w:rPr>
          <w:rFonts w:ascii="Verdana" w:hAnsi="Verdana" w:eastAsia="Calibri" w:cs="Arial"/>
          <w:lang w:val="es-ES"/>
        </w:rPr>
        <w:t xml:space="preserve">Decreto092 de 2017 </w:t>
      </w:r>
      <w:r w:rsidRPr="00377ED6">
        <w:rPr>
          <w:rFonts w:ascii="Verdana" w:hAnsi="Verdana" w:eastAsia="Calibri" w:cs="Arial"/>
          <w:lang w:val="es-ES"/>
        </w:rPr>
        <w:t>es similar, refiriéndose –entre otros aspectos– a las “inhabilidades e incompatibilidades” y a los “principios”, pues están contenidos en la Ley 80 de 1993 y son aplicables en todos los regímenes de contratación que se analizaron al inicio de este aparte –</w:t>
      </w:r>
      <w:r w:rsidRPr="00377ED6">
        <w:rPr>
          <w:rFonts w:ascii="Verdana" w:hAnsi="Verdana" w:eastAsia="Calibri" w:cs="Arial"/>
          <w:i/>
          <w:lang w:val="es-ES"/>
        </w:rPr>
        <w:t>remisión parcial</w:t>
      </w:r>
      <w:r w:rsidRPr="00377ED6">
        <w:rPr>
          <w:rFonts w:ascii="Verdana" w:hAnsi="Verdana" w:eastAsia="Calibri" w:cs="Arial"/>
          <w:lang w:val="es-ES"/>
        </w:rPr>
        <w:t xml:space="preserve">–. Por el contrario, de concluirse lo segundo, la remisión del artículo 8 del Decreto 092 de 2017 es más amplia que la de los artículos 6 y 7 </w:t>
      </w:r>
      <w:proofErr w:type="spellStart"/>
      <w:r w:rsidRPr="00377ED6">
        <w:rPr>
          <w:rFonts w:ascii="Verdana" w:hAnsi="Verdana" w:eastAsia="Calibri" w:cs="Arial"/>
          <w:i/>
          <w:lang w:val="es-ES"/>
        </w:rPr>
        <w:t>ibídem</w:t>
      </w:r>
      <w:proofErr w:type="spellEnd"/>
      <w:r w:rsidRPr="00377ED6">
        <w:rPr>
          <w:rFonts w:ascii="Verdana" w:hAnsi="Verdana" w:eastAsia="Calibri" w:cs="Arial"/>
          <w:lang w:val="es-ES"/>
        </w:rPr>
        <w:t>. En otras palabras, no se restringiría a las “inhabilidades e incompatibilidades”, a los “principios” y a las demás normas generales de la Ley 80</w:t>
      </w:r>
      <w:r>
        <w:rPr>
          <w:rFonts w:ascii="Verdana" w:hAnsi="Verdana" w:eastAsia="Calibri" w:cs="Arial"/>
          <w:lang w:val="es-ES"/>
        </w:rPr>
        <w:t xml:space="preserve"> de 1993</w:t>
      </w:r>
      <w:r w:rsidRPr="00377ED6">
        <w:rPr>
          <w:rFonts w:ascii="Verdana" w:hAnsi="Verdana" w:eastAsia="Calibri" w:cs="Arial"/>
          <w:lang w:val="es-ES"/>
        </w:rPr>
        <w:t>, sino a todo lo previsto en el Estatuto General. Desde esta perspectiva, las “[…] normas generales aplicables a la contratación pública […]” comprenderían los artículos 6 y 7 del</w:t>
      </w:r>
      <w:r>
        <w:rPr>
          <w:rFonts w:ascii="Verdana" w:hAnsi="Verdana" w:eastAsia="Calibri" w:cs="Arial"/>
          <w:lang w:val="es-ES"/>
        </w:rPr>
        <w:t xml:space="preserve"> Decreto 092 de 2027</w:t>
      </w:r>
      <w:r w:rsidRPr="00377ED6">
        <w:rPr>
          <w:rFonts w:ascii="Verdana" w:hAnsi="Verdana" w:eastAsia="Calibri" w:cs="Arial"/>
          <w:lang w:val="es-ES"/>
        </w:rPr>
        <w:t>, ampliándose a las demás normas de la Ley 80 de 1993 –</w:t>
      </w:r>
      <w:r w:rsidRPr="00377ED6">
        <w:rPr>
          <w:rFonts w:ascii="Verdana" w:hAnsi="Verdana" w:eastAsia="Calibri" w:cs="Arial"/>
          <w:i/>
          <w:lang w:val="es-ES"/>
        </w:rPr>
        <w:t>remisión total</w:t>
      </w:r>
      <w:r w:rsidRPr="00377ED6">
        <w:rPr>
          <w:rFonts w:ascii="Verdana" w:hAnsi="Verdana" w:eastAsia="Calibri" w:cs="Arial"/>
          <w:lang w:val="es-ES"/>
        </w:rPr>
        <w:t xml:space="preserve">–. </w:t>
      </w:r>
    </w:p>
    <w:p w:rsidRPr="00377ED6" w:rsidR="00EA6E14" w:rsidP="004D7D50" w:rsidRDefault="00EA6E14" w14:paraId="69F87EBC" w14:textId="77777777">
      <w:pPr>
        <w:spacing w:after="120" w:line="276" w:lineRule="auto"/>
        <w:ind w:firstLine="709"/>
        <w:jc w:val="both"/>
        <w:rPr>
          <w:rFonts w:ascii="Verdana" w:hAnsi="Verdana" w:eastAsia="Calibri" w:cs="Arial"/>
          <w:lang w:val="es-ES"/>
        </w:rPr>
      </w:pPr>
      <w:r w:rsidRPr="00377ED6">
        <w:rPr>
          <w:rFonts w:ascii="Verdana" w:hAnsi="Verdana" w:eastAsia="Calibri" w:cs="Arial"/>
          <w:lang w:val="es-ES"/>
        </w:rPr>
        <w:t xml:space="preserve">La postura sobre el tema es relevante, pues quien opte por la </w:t>
      </w:r>
      <w:r w:rsidRPr="00377ED6">
        <w:rPr>
          <w:rFonts w:ascii="Verdana" w:hAnsi="Verdana" w:eastAsia="Calibri" w:cs="Arial"/>
          <w:i/>
          <w:lang w:val="es-ES"/>
        </w:rPr>
        <w:t xml:space="preserve">remisión parcial </w:t>
      </w:r>
      <w:r w:rsidRPr="00377ED6">
        <w:rPr>
          <w:rFonts w:ascii="Verdana" w:hAnsi="Verdana" w:eastAsia="Calibri" w:cs="Arial"/>
          <w:lang w:val="es-ES"/>
        </w:rPr>
        <w:t>o bien debe entender que el artículo 8 del Decreto 092 se refiere únicamente a las “inhabilidades e incompatibilidades” y a los “principios” –</w:t>
      </w:r>
      <w:r w:rsidRPr="00377ED6">
        <w:rPr>
          <w:rFonts w:ascii="Verdana" w:hAnsi="Verdana" w:eastAsia="Calibri" w:cs="Arial"/>
          <w:i/>
          <w:lang w:val="es-ES"/>
        </w:rPr>
        <w:lastRenderedPageBreak/>
        <w:t>remisión parcial stricto sensu</w:t>
      </w:r>
      <w:r w:rsidRPr="00377ED6">
        <w:rPr>
          <w:rFonts w:ascii="Verdana" w:hAnsi="Verdana" w:eastAsia="Calibri" w:cs="Arial"/>
          <w:lang w:val="es-ES"/>
        </w:rPr>
        <w:t>– o debe explicar qué normas son transversales a la actividad contractual del Estado, justificando la razón por las que se excluyen aquellas privativas de determinados procesos de selección, tipologías contractuales, etc. –</w:t>
      </w:r>
      <w:r w:rsidRPr="00377ED6">
        <w:rPr>
          <w:rFonts w:ascii="Verdana" w:hAnsi="Verdana" w:eastAsia="Calibri" w:cs="Arial"/>
          <w:i/>
          <w:lang w:val="es-ES"/>
        </w:rPr>
        <w:t xml:space="preserve">remisión parcial </w:t>
      </w:r>
      <w:proofErr w:type="spellStart"/>
      <w:r w:rsidRPr="00377ED6">
        <w:rPr>
          <w:rFonts w:ascii="Verdana" w:hAnsi="Verdana" w:eastAsia="Calibri" w:cs="Arial"/>
          <w:i/>
          <w:lang w:val="es-ES"/>
        </w:rPr>
        <w:t>latu</w:t>
      </w:r>
      <w:proofErr w:type="spellEnd"/>
      <w:r w:rsidRPr="00377ED6">
        <w:rPr>
          <w:rFonts w:ascii="Verdana" w:hAnsi="Verdana" w:eastAsia="Calibri" w:cs="Arial"/>
          <w:i/>
          <w:lang w:val="es-ES"/>
        </w:rPr>
        <w:t xml:space="preserve"> sensu</w:t>
      </w:r>
      <w:r w:rsidRPr="00377ED6">
        <w:rPr>
          <w:rFonts w:ascii="Verdana" w:hAnsi="Verdana" w:eastAsia="Calibri" w:cs="Arial"/>
          <w:lang w:val="es-ES"/>
        </w:rPr>
        <w:t xml:space="preserve">–. </w:t>
      </w:r>
    </w:p>
    <w:p w:rsidRPr="00377ED6" w:rsidR="00EA6E14" w:rsidP="004D7D50" w:rsidRDefault="00EA6E14" w14:paraId="7D22D8F2" w14:textId="77777777">
      <w:pPr>
        <w:spacing w:after="120" w:line="276" w:lineRule="auto"/>
        <w:ind w:firstLine="709"/>
        <w:jc w:val="both"/>
        <w:rPr>
          <w:rFonts w:ascii="Verdana" w:hAnsi="Verdana" w:eastAsia="Calibri" w:cs="Arial"/>
          <w:lang w:val="es-ES_tradnl"/>
        </w:rPr>
      </w:pPr>
      <w:r w:rsidRPr="00377ED6">
        <w:rPr>
          <w:rFonts w:ascii="Verdana" w:hAnsi="Verdana" w:eastAsia="Calibri" w:cs="Arial"/>
          <w:lang w:val="es-ES_tradnl"/>
        </w:rPr>
        <w:t xml:space="preserve">Para quienes adopten la primera postura, el ámbito de los artículos 6, 7 y 8 del Decreto 092 de 2017 sería exactamente el mismo, pues el último –referido a las normas generales– contiene a los otros dos –es decir, tanto las “inhabilidades e incompatibilidades” como a los “principios”–. En contraste, la segunda idea implica que –además de estos– las normas generales se refieren disposiciones comunes de los contratos estatales. Ambas interpretaciones se apoyarían en el artículo 8 del </w:t>
      </w:r>
      <w:r>
        <w:rPr>
          <w:rFonts w:ascii="Verdana" w:hAnsi="Verdana" w:eastAsia="Calibri" w:cs="Arial"/>
          <w:lang w:val="es-ES_tradnl"/>
        </w:rPr>
        <w:t xml:space="preserve">Decreto 092 de 2017 </w:t>
      </w:r>
      <w:r w:rsidRPr="00377ED6">
        <w:rPr>
          <w:rFonts w:ascii="Verdana" w:hAnsi="Verdana" w:eastAsia="Calibri" w:cs="Arial"/>
          <w:lang w:val="es-ES_tradnl"/>
        </w:rPr>
        <w:t>que regula la contratación del artículo 355 constitucional y del artículo 96 de la Ley 489 de 1998, ya que cuando prescribe que se regirán por las “[…] normas generales aplicables a la contratación pública […]”, significaría que no es posible una remisión integra al Estatuto General, ya que habría que descartar normas especiales de determinados contratos o procesos de selección y verificar la ausencia de regulación en el Decreto 092 de 2017 para aplicar aquellas transversales a la gestión contractual.</w:t>
      </w:r>
    </w:p>
    <w:p w:rsidRPr="00377ED6" w:rsidR="00EA6E14" w:rsidP="004D7D50" w:rsidRDefault="00EA6E14" w14:paraId="3CE9B646" w14:textId="77777777">
      <w:pPr>
        <w:spacing w:after="120" w:line="276" w:lineRule="auto"/>
        <w:ind w:firstLine="709"/>
        <w:jc w:val="both"/>
        <w:rPr>
          <w:rFonts w:ascii="Verdana" w:hAnsi="Verdana" w:eastAsia="Calibri" w:cs="Arial"/>
          <w:lang w:val="es-ES_tradnl"/>
        </w:rPr>
      </w:pPr>
      <w:r w:rsidRPr="00377ED6">
        <w:rPr>
          <w:rFonts w:ascii="Verdana" w:hAnsi="Verdana" w:eastAsia="Calibri" w:cs="Arial"/>
          <w:lang w:val="es-ES_tradnl"/>
        </w:rPr>
        <w:t>Por lo pronto, se descarta razonablemente de que los artículos 6, 7 y 8 del Decreto 092 de 2017 tengan e</w:t>
      </w:r>
      <w:r>
        <w:rPr>
          <w:rFonts w:ascii="Verdana" w:hAnsi="Verdana" w:eastAsia="Calibri" w:cs="Arial"/>
          <w:lang w:val="es-ES_tradnl"/>
        </w:rPr>
        <w:t>l</w:t>
      </w:r>
      <w:r w:rsidRPr="00377ED6">
        <w:rPr>
          <w:rFonts w:ascii="Verdana" w:hAnsi="Verdana" w:eastAsia="Calibri" w:cs="Arial"/>
          <w:lang w:val="es-ES_tradnl"/>
        </w:rPr>
        <w:t xml:space="preserve"> mismo ámbito de aplicación –</w:t>
      </w:r>
      <w:r w:rsidRPr="00377ED6">
        <w:rPr>
          <w:rFonts w:ascii="Verdana" w:hAnsi="Verdana" w:eastAsia="Calibri" w:cs="Arial"/>
          <w:i/>
          <w:iCs/>
          <w:lang w:val="es-ES_tradnl"/>
        </w:rPr>
        <w:t>remisión parcial stricto sensu</w:t>
      </w:r>
      <w:r w:rsidRPr="00377ED6">
        <w:rPr>
          <w:rFonts w:ascii="Verdana" w:hAnsi="Verdana" w:eastAsia="Calibri" w:cs="Arial"/>
          <w:lang w:val="es-ES_tradnl"/>
        </w:rPr>
        <w:t>–, ya que esta última disposición no produciría ningún efecto útil, es decir, habría bastado la remisión a las “inhabilidades e incompatibilidades” y a los “principios” sin necesidad de remisiones adicionales a otras normas de contratación. Lo anterior se fundamenta en la directriz hermenéutica según la cual</w:t>
      </w:r>
      <w:r w:rsidRPr="00377ED6">
        <w:rPr>
          <w:rFonts w:ascii="Verdana" w:hAnsi="Verdana"/>
        </w:rPr>
        <w:t xml:space="preserve"> </w:t>
      </w:r>
      <w:r w:rsidRPr="00377ED6">
        <w:rPr>
          <w:rFonts w:ascii="Verdana" w:hAnsi="Verdana" w:eastAsia="Calibri" w:cs="Arial"/>
          <w:lang w:val="es-ES_tradnl"/>
        </w:rPr>
        <w:t xml:space="preserve">el sentido en el que una disposición produce efectos se prefiere sobre aquel en que no produzca efecto.       </w:t>
      </w:r>
    </w:p>
    <w:p w:rsidRPr="00377ED6" w:rsidR="00EA6E14" w:rsidP="004D7D50" w:rsidRDefault="00EA6E14" w14:paraId="6D0266BB" w14:textId="77777777">
      <w:pPr>
        <w:spacing w:after="120" w:line="276" w:lineRule="auto"/>
        <w:ind w:firstLine="708"/>
        <w:jc w:val="both"/>
        <w:rPr>
          <w:rFonts w:ascii="Verdana" w:hAnsi="Verdana" w:eastAsia="Calibri" w:cs="Arial"/>
          <w:lang w:val="es-ES"/>
        </w:rPr>
      </w:pPr>
      <w:r w:rsidRPr="00377ED6">
        <w:rPr>
          <w:rFonts w:ascii="Verdana" w:hAnsi="Verdana" w:eastAsia="Calibri" w:cs="Arial"/>
          <w:lang w:val="es-ES"/>
        </w:rPr>
        <w:t xml:space="preserve">Ahora bien, cuando el artículo 8 del </w:t>
      </w:r>
      <w:r>
        <w:rPr>
          <w:rFonts w:ascii="Verdana" w:hAnsi="Verdana" w:eastAsia="Calibri" w:cs="Arial"/>
          <w:lang w:val="es-ES"/>
        </w:rPr>
        <w:t>D</w:t>
      </w:r>
      <w:r w:rsidRPr="00377ED6">
        <w:rPr>
          <w:rFonts w:ascii="Verdana" w:hAnsi="Verdana" w:eastAsia="Calibri" w:cs="Arial"/>
          <w:lang w:val="es-ES"/>
        </w:rPr>
        <w:t>ecreto menciona a las “</w:t>
      </w:r>
      <w:r>
        <w:rPr>
          <w:rFonts w:ascii="Verdana" w:hAnsi="Verdana" w:eastAsia="Calibri" w:cs="Arial"/>
          <w:lang w:val="es-ES"/>
        </w:rPr>
        <w:t>(…)</w:t>
      </w:r>
      <w:r w:rsidRPr="00377ED6">
        <w:rPr>
          <w:rFonts w:ascii="Verdana" w:hAnsi="Verdana" w:eastAsia="Calibri" w:cs="Arial"/>
          <w:lang w:val="es-ES"/>
        </w:rPr>
        <w:t xml:space="preserve"> normas generales aplicables a la contratación pública […]”, bien podrían referirse a las disposiciones comunes del Estatuto General –</w:t>
      </w:r>
      <w:r w:rsidRPr="00377ED6">
        <w:rPr>
          <w:rFonts w:ascii="Verdana" w:hAnsi="Verdana" w:eastAsia="Calibri" w:cs="Arial"/>
          <w:i/>
          <w:lang w:val="es-ES"/>
        </w:rPr>
        <w:t xml:space="preserve">remisión parcial </w:t>
      </w:r>
      <w:proofErr w:type="spellStart"/>
      <w:r w:rsidRPr="00377ED6">
        <w:rPr>
          <w:rFonts w:ascii="Verdana" w:hAnsi="Verdana" w:eastAsia="Calibri" w:cs="Arial"/>
          <w:i/>
          <w:lang w:val="es-ES"/>
        </w:rPr>
        <w:t>latu</w:t>
      </w:r>
      <w:proofErr w:type="spellEnd"/>
      <w:r w:rsidRPr="00377ED6">
        <w:rPr>
          <w:rFonts w:ascii="Verdana" w:hAnsi="Verdana" w:eastAsia="Calibri" w:cs="Arial"/>
          <w:i/>
          <w:lang w:val="es-ES"/>
        </w:rPr>
        <w:t xml:space="preserve"> sensu</w:t>
      </w:r>
      <w:r w:rsidRPr="00377ED6">
        <w:rPr>
          <w:rFonts w:ascii="Verdana" w:hAnsi="Verdana" w:eastAsia="Calibri" w:cs="Arial"/>
          <w:lang w:val="es-ES"/>
        </w:rPr>
        <w:t>– o a la totalidad de la Ley 80 de 1993 –</w:t>
      </w:r>
      <w:r w:rsidRPr="00377ED6">
        <w:rPr>
          <w:rFonts w:ascii="Verdana" w:hAnsi="Verdana" w:eastAsia="Calibri" w:cs="Arial"/>
          <w:i/>
          <w:lang w:val="es-ES"/>
        </w:rPr>
        <w:t>remisión integral</w:t>
      </w:r>
      <w:r w:rsidRPr="00377ED6">
        <w:rPr>
          <w:rFonts w:ascii="Verdana" w:hAnsi="Verdana" w:eastAsia="Calibri" w:cs="Arial"/>
          <w:lang w:val="es-ES"/>
        </w:rPr>
        <w:t>–. En esta medida, determinar el alcance de la remisión del artículo 8 del Decreto 092</w:t>
      </w:r>
      <w:r>
        <w:rPr>
          <w:rFonts w:ascii="Verdana" w:hAnsi="Verdana" w:eastAsia="Calibri" w:cs="Arial"/>
          <w:lang w:val="es-ES"/>
        </w:rPr>
        <w:t xml:space="preserve"> de 2017</w:t>
      </w:r>
      <w:r w:rsidRPr="00377ED6">
        <w:rPr>
          <w:rFonts w:ascii="Verdana" w:hAnsi="Verdana" w:eastAsia="Calibri" w:cs="Arial"/>
          <w:lang w:val="es-ES"/>
        </w:rPr>
        <w:t xml:space="preserve"> requiere considerar que no hay lugar a distinguir entre normas de carácter general o especial dentro del Estatuto de Contratación de la Administración Pública, ya que</w:t>
      </w:r>
      <w:r>
        <w:rPr>
          <w:rFonts w:ascii="Verdana" w:hAnsi="Verdana" w:eastAsia="Calibri" w:cs="Arial"/>
          <w:lang w:val="es-ES"/>
        </w:rPr>
        <w:t>,</w:t>
      </w:r>
      <w:r w:rsidRPr="00377ED6">
        <w:rPr>
          <w:rFonts w:ascii="Verdana" w:hAnsi="Verdana" w:eastAsia="Calibri" w:cs="Arial"/>
          <w:lang w:val="es-ES"/>
        </w:rPr>
        <w:t xml:space="preserve"> </w:t>
      </w:r>
      <w:r>
        <w:rPr>
          <w:rFonts w:ascii="Verdana" w:hAnsi="Verdana" w:eastAsia="Calibri" w:cs="Arial"/>
          <w:lang w:val="es-ES"/>
        </w:rPr>
        <w:t>según</w:t>
      </w:r>
      <w:r w:rsidRPr="00377ED6">
        <w:rPr>
          <w:rFonts w:ascii="Verdana" w:hAnsi="Verdana" w:eastAsia="Calibri" w:cs="Arial"/>
          <w:lang w:val="es-ES"/>
        </w:rPr>
        <w:t xml:space="preserve"> la competencia dispuesta en el inciso final del artículo 150 de la Constitución Política</w:t>
      </w:r>
      <w:r>
        <w:rPr>
          <w:rFonts w:ascii="Verdana" w:hAnsi="Verdana" w:eastAsia="Calibri" w:cs="Arial"/>
          <w:lang w:val="es-ES"/>
        </w:rPr>
        <w:t xml:space="preserve">, </w:t>
      </w:r>
      <w:r w:rsidRPr="00377ED6">
        <w:rPr>
          <w:rFonts w:ascii="Verdana" w:hAnsi="Verdana" w:eastAsia="Calibri" w:cs="Arial"/>
          <w:lang w:val="es-ES"/>
        </w:rPr>
        <w:t xml:space="preserve">todas estas disposiciones regulan con el mismo grado de generalidad la actividad contractual del Estado.     </w:t>
      </w:r>
    </w:p>
    <w:p w:rsidRPr="00377ED6" w:rsidR="00EA6E14" w:rsidP="004D7D50" w:rsidRDefault="00EA6E14" w14:paraId="102C02D5" w14:textId="77777777">
      <w:pPr>
        <w:spacing w:after="120" w:line="276" w:lineRule="auto"/>
        <w:ind w:firstLine="709"/>
        <w:jc w:val="both"/>
        <w:rPr>
          <w:rFonts w:ascii="Verdana" w:hAnsi="Verdana" w:eastAsia="Calibri" w:cs="Arial"/>
          <w:lang w:val="es-ES"/>
        </w:rPr>
      </w:pPr>
      <w:r w:rsidRPr="00377ED6">
        <w:rPr>
          <w:rFonts w:ascii="Verdana" w:hAnsi="Verdana" w:eastAsia="Calibri" w:cs="Arial"/>
          <w:lang w:val="es-ES"/>
        </w:rPr>
        <w:lastRenderedPageBreak/>
        <w:t xml:space="preserve">Por ello, considerando que la Ley 80 de 1993 tiene el mismo grado de generalidad, esta Subdirección concluye que el artículo 8 del Decreto 092 de 2017 </w:t>
      </w:r>
      <w:r w:rsidRPr="00377ED6">
        <w:rPr>
          <w:rFonts w:ascii="Verdana" w:hAnsi="Verdana" w:eastAsia="Calibri" w:cs="Arial"/>
          <w:i/>
          <w:lang w:val="es-ES"/>
        </w:rPr>
        <w:t>remite integralmente</w:t>
      </w:r>
      <w:r w:rsidRPr="00377ED6">
        <w:rPr>
          <w:rFonts w:ascii="Verdana" w:hAnsi="Verdana" w:eastAsia="Calibri" w:cs="Arial"/>
          <w:lang w:val="es-ES"/>
        </w:rPr>
        <w:t xml:space="preserve"> al Estatuto de Contratación</w:t>
      </w:r>
      <w:r>
        <w:rPr>
          <w:rFonts w:ascii="Verdana" w:hAnsi="Verdana" w:eastAsia="Calibri" w:cs="Arial"/>
          <w:lang w:val="es-ES"/>
        </w:rPr>
        <w:t xml:space="preserve"> de la Administración Pública</w:t>
      </w:r>
      <w:r w:rsidRPr="00377ED6">
        <w:rPr>
          <w:rFonts w:ascii="Verdana" w:hAnsi="Verdana" w:eastAsia="Calibri" w:cs="Arial"/>
          <w:lang w:val="es-ES"/>
        </w:rPr>
        <w:t xml:space="preserve">. Esta remisión alcanza tanto el régimen de inhabilidades e incompatibilidades como los principios aplicables a la contratación estatal. Por tanto, los artículos 6, 7 y 8 del </w:t>
      </w:r>
      <w:r>
        <w:rPr>
          <w:rFonts w:ascii="Verdana" w:hAnsi="Verdana" w:eastAsia="Calibri" w:cs="Arial"/>
          <w:lang w:val="es-ES"/>
        </w:rPr>
        <w:t xml:space="preserve">Decreto 092 de 2017 </w:t>
      </w:r>
      <w:r w:rsidRPr="00377ED6">
        <w:rPr>
          <w:rFonts w:ascii="Verdana" w:hAnsi="Verdana" w:eastAsia="Calibri" w:cs="Arial"/>
          <w:lang w:val="es-ES"/>
        </w:rPr>
        <w:t xml:space="preserve">deben interpretarse en bloque, es decir, aplicando la Ley 80 de 1993 a todo supuesto que no esté expresamente regulado en el Decreto 092 de 2017.  </w:t>
      </w:r>
    </w:p>
    <w:bookmarkEnd w:id="20"/>
    <w:p w:rsidR="00EA6E14" w:rsidP="004D7D50" w:rsidRDefault="00EA6E14" w14:paraId="03755244" w14:textId="77777777">
      <w:pPr>
        <w:spacing w:after="120" w:line="276" w:lineRule="auto"/>
        <w:ind w:firstLine="709"/>
        <w:jc w:val="both"/>
        <w:rPr>
          <w:rFonts w:ascii="Verdana" w:hAnsi="Verdana" w:eastAsia="Calibri" w:cs="Arial"/>
          <w:lang w:val="es-ES"/>
        </w:rPr>
      </w:pPr>
      <w:r w:rsidRPr="00377ED6">
        <w:rPr>
          <w:rFonts w:ascii="Verdana" w:hAnsi="Verdana" w:eastAsia="Calibri" w:cs="Arial"/>
          <w:lang w:val="es-ES"/>
        </w:rPr>
        <w:t xml:space="preserve">En esta medida, los </w:t>
      </w:r>
      <w:bookmarkStart w:name="_Hlk38213744" w:id="21"/>
      <w:r w:rsidRPr="00377ED6">
        <w:rPr>
          <w:rFonts w:ascii="Verdana" w:hAnsi="Verdana" w:eastAsia="Calibri" w:cs="Arial"/>
          <w:i/>
          <w:lang w:val="es-ES"/>
        </w:rPr>
        <w:t xml:space="preserve">contratos del artículo 355 de la Constitución </w:t>
      </w:r>
      <w:r w:rsidRPr="00377ED6">
        <w:rPr>
          <w:rFonts w:ascii="Verdana" w:hAnsi="Verdana" w:eastAsia="Calibri" w:cs="Arial"/>
          <w:lang w:val="es-ES"/>
        </w:rPr>
        <w:t xml:space="preserve">y los </w:t>
      </w:r>
      <w:r w:rsidRPr="00377ED6">
        <w:rPr>
          <w:rFonts w:ascii="Verdana" w:hAnsi="Verdana" w:eastAsia="Calibri" w:cs="Arial"/>
          <w:i/>
          <w:lang w:val="es-ES"/>
        </w:rPr>
        <w:t>convenios de asociación</w:t>
      </w:r>
      <w:bookmarkEnd w:id="21"/>
      <w:r w:rsidRPr="00377ED6">
        <w:rPr>
          <w:rFonts w:ascii="Verdana" w:hAnsi="Verdana" w:eastAsia="Calibri" w:cs="Arial"/>
          <w:lang w:val="es-ES"/>
        </w:rPr>
        <w:t xml:space="preserve"> se rigen por el </w:t>
      </w:r>
      <w:r>
        <w:rPr>
          <w:rFonts w:ascii="Verdana" w:hAnsi="Verdana" w:eastAsia="Calibri" w:cs="Arial"/>
          <w:lang w:val="es-ES"/>
        </w:rPr>
        <w:t>D</w:t>
      </w:r>
      <w:r w:rsidRPr="00377ED6">
        <w:rPr>
          <w:rFonts w:ascii="Verdana" w:hAnsi="Verdana" w:eastAsia="Calibri" w:cs="Arial"/>
          <w:lang w:val="es-ES"/>
        </w:rPr>
        <w:t>ecreto</w:t>
      </w:r>
      <w:r>
        <w:rPr>
          <w:rFonts w:ascii="Verdana" w:hAnsi="Verdana" w:eastAsia="Calibri" w:cs="Arial"/>
          <w:lang w:val="es-ES"/>
        </w:rPr>
        <w:t xml:space="preserve"> 092 de 2017</w:t>
      </w:r>
      <w:r w:rsidRPr="00377ED6">
        <w:rPr>
          <w:rFonts w:ascii="Verdana" w:hAnsi="Verdana" w:eastAsia="Calibri" w:cs="Arial"/>
          <w:lang w:val="es-ES"/>
        </w:rPr>
        <w:t xml:space="preserve"> y las normas del Estatuto General</w:t>
      </w:r>
      <w:r>
        <w:rPr>
          <w:rFonts w:ascii="Verdana" w:hAnsi="Verdana" w:eastAsia="Calibri" w:cs="Arial"/>
          <w:lang w:val="es-ES"/>
        </w:rPr>
        <w:t xml:space="preserve"> de Contratación de la Administración Pública</w:t>
      </w:r>
      <w:r w:rsidRPr="00377ED6">
        <w:rPr>
          <w:rFonts w:ascii="Verdana" w:hAnsi="Verdana" w:eastAsia="Calibri" w:cs="Arial"/>
          <w:lang w:val="es-ES"/>
        </w:rPr>
        <w:t xml:space="preserve"> que sean compatibles con él como</w:t>
      </w:r>
      <w:r>
        <w:rPr>
          <w:rFonts w:ascii="Verdana" w:hAnsi="Verdana" w:eastAsia="Calibri" w:cs="Arial"/>
          <w:lang w:val="es-ES"/>
        </w:rPr>
        <w:t>,</w:t>
      </w:r>
      <w:r w:rsidRPr="00377ED6">
        <w:rPr>
          <w:rFonts w:ascii="Verdana" w:hAnsi="Verdana" w:eastAsia="Calibri" w:cs="Arial"/>
          <w:lang w:val="es-ES"/>
        </w:rPr>
        <w:t xml:space="preserve"> por ejemplo, los fines de la contratación –art</w:t>
      </w:r>
      <w:r>
        <w:rPr>
          <w:rFonts w:ascii="Verdana" w:hAnsi="Verdana" w:eastAsia="Calibri" w:cs="Arial"/>
          <w:lang w:val="es-ES"/>
        </w:rPr>
        <w:t>ículo</w:t>
      </w:r>
      <w:r w:rsidRPr="00377ED6">
        <w:rPr>
          <w:rFonts w:ascii="Verdana" w:hAnsi="Verdana" w:eastAsia="Calibri" w:cs="Arial"/>
          <w:lang w:val="es-ES"/>
        </w:rPr>
        <w:t xml:space="preserve"> 3–, los derechos y deberes del contratante y del contratista –art</w:t>
      </w:r>
      <w:r>
        <w:rPr>
          <w:rFonts w:ascii="Verdana" w:hAnsi="Verdana" w:eastAsia="Calibri" w:cs="Arial"/>
          <w:lang w:val="es-ES"/>
        </w:rPr>
        <w:t>ículos</w:t>
      </w:r>
      <w:r w:rsidRPr="00377ED6">
        <w:rPr>
          <w:rFonts w:ascii="Verdana" w:hAnsi="Verdana" w:eastAsia="Calibri" w:cs="Arial"/>
          <w:lang w:val="es-ES"/>
        </w:rPr>
        <w:t xml:space="preserve"> 4 y 5–, los consorcios o uniones temporales –art</w:t>
      </w:r>
      <w:r>
        <w:rPr>
          <w:rFonts w:ascii="Verdana" w:hAnsi="Verdana" w:eastAsia="Calibri" w:cs="Arial"/>
          <w:lang w:val="es-ES"/>
        </w:rPr>
        <w:t>ículo</w:t>
      </w:r>
      <w:r w:rsidRPr="00377ED6">
        <w:rPr>
          <w:rFonts w:ascii="Verdana" w:hAnsi="Verdana" w:eastAsia="Calibri" w:cs="Arial"/>
          <w:lang w:val="es-ES"/>
        </w:rPr>
        <w:t xml:space="preserve"> 7–, el régimen de inhabilidades e incompatibilidades –ar</w:t>
      </w:r>
      <w:r>
        <w:rPr>
          <w:rFonts w:ascii="Verdana" w:hAnsi="Verdana" w:eastAsia="Calibri" w:cs="Arial"/>
          <w:lang w:val="es-ES"/>
        </w:rPr>
        <w:t xml:space="preserve">tículo </w:t>
      </w:r>
      <w:r w:rsidRPr="00377ED6">
        <w:rPr>
          <w:rFonts w:ascii="Verdana" w:hAnsi="Verdana" w:eastAsia="Calibri" w:cs="Arial"/>
          <w:lang w:val="es-ES"/>
        </w:rPr>
        <w:t>8–, los principios de la contratación estatal –art</w:t>
      </w:r>
      <w:r>
        <w:rPr>
          <w:rFonts w:ascii="Verdana" w:hAnsi="Verdana" w:eastAsia="Calibri" w:cs="Arial"/>
          <w:lang w:val="es-ES"/>
        </w:rPr>
        <w:t xml:space="preserve">ículo </w:t>
      </w:r>
      <w:r w:rsidRPr="00377ED6">
        <w:rPr>
          <w:rFonts w:ascii="Verdana" w:hAnsi="Verdana" w:eastAsia="Calibri" w:cs="Arial"/>
          <w:lang w:val="es-ES"/>
        </w:rPr>
        <w:t>23 y ss.–, las tipologías contractuales –art</w:t>
      </w:r>
      <w:r>
        <w:rPr>
          <w:rFonts w:ascii="Verdana" w:hAnsi="Verdana" w:eastAsia="Calibri" w:cs="Arial"/>
          <w:lang w:val="es-ES"/>
        </w:rPr>
        <w:t>ículo</w:t>
      </w:r>
      <w:r w:rsidRPr="00377ED6">
        <w:rPr>
          <w:rFonts w:ascii="Verdana" w:hAnsi="Verdana" w:eastAsia="Calibri" w:cs="Arial"/>
          <w:lang w:val="es-ES"/>
        </w:rPr>
        <w:t xml:space="preserve"> 32–, el contenido del contrato y la prohibición de adicionarlo en más del cincuenta por ciento –art</w:t>
      </w:r>
      <w:r>
        <w:rPr>
          <w:rFonts w:ascii="Verdana" w:hAnsi="Verdana" w:eastAsia="Calibri" w:cs="Arial"/>
          <w:lang w:val="es-ES"/>
        </w:rPr>
        <w:t>ículo</w:t>
      </w:r>
      <w:r w:rsidRPr="00377ED6">
        <w:rPr>
          <w:rFonts w:ascii="Verdana" w:hAnsi="Verdana" w:eastAsia="Calibri" w:cs="Arial"/>
          <w:lang w:val="es-ES"/>
        </w:rPr>
        <w:t xml:space="preserve"> 40–, el régimen de perfeccionamiento –art</w:t>
      </w:r>
      <w:r>
        <w:rPr>
          <w:rFonts w:ascii="Verdana" w:hAnsi="Verdana" w:eastAsia="Calibri" w:cs="Arial"/>
          <w:lang w:val="es-ES"/>
        </w:rPr>
        <w:t>ículo</w:t>
      </w:r>
      <w:r w:rsidRPr="00377ED6">
        <w:rPr>
          <w:rFonts w:ascii="Verdana" w:hAnsi="Verdana" w:eastAsia="Calibri" w:cs="Arial"/>
          <w:lang w:val="es-ES"/>
        </w:rPr>
        <w:t xml:space="preserve"> 41–, las causales de nulidad –art</w:t>
      </w:r>
      <w:r>
        <w:rPr>
          <w:rFonts w:ascii="Verdana" w:hAnsi="Verdana" w:eastAsia="Calibri" w:cs="Arial"/>
          <w:lang w:val="es-ES"/>
        </w:rPr>
        <w:t>ículos</w:t>
      </w:r>
      <w:r w:rsidRPr="00377ED6">
        <w:rPr>
          <w:rFonts w:ascii="Verdana" w:hAnsi="Verdana" w:eastAsia="Calibri" w:cs="Arial"/>
          <w:lang w:val="es-ES"/>
        </w:rPr>
        <w:t xml:space="preserve"> 44 y ss.–, el régimen de responsabilidad contractual –art</w:t>
      </w:r>
      <w:r>
        <w:rPr>
          <w:rFonts w:ascii="Verdana" w:hAnsi="Verdana" w:eastAsia="Calibri" w:cs="Arial"/>
          <w:lang w:val="es-ES"/>
        </w:rPr>
        <w:t>ículos</w:t>
      </w:r>
      <w:r w:rsidRPr="00377ED6">
        <w:rPr>
          <w:rFonts w:ascii="Verdana" w:hAnsi="Verdana" w:eastAsia="Calibri" w:cs="Arial"/>
          <w:lang w:val="es-ES"/>
        </w:rPr>
        <w:t xml:space="preserve"> 50 y ss.– y de liquidación de los contratos –art</w:t>
      </w:r>
      <w:r>
        <w:rPr>
          <w:rFonts w:ascii="Verdana" w:hAnsi="Verdana" w:eastAsia="Calibri" w:cs="Arial"/>
          <w:lang w:val="es-ES"/>
        </w:rPr>
        <w:t>ículo</w:t>
      </w:r>
      <w:r w:rsidRPr="00377ED6">
        <w:rPr>
          <w:rFonts w:ascii="Verdana" w:hAnsi="Verdana" w:eastAsia="Calibri" w:cs="Arial"/>
          <w:lang w:val="es-ES"/>
        </w:rPr>
        <w:t xml:space="preserve"> 60–. </w:t>
      </w:r>
    </w:p>
    <w:p w:rsidR="00EA6E14" w:rsidP="00EA6E14" w:rsidRDefault="00EA6E14" w14:paraId="46E1A69C" w14:textId="77777777">
      <w:pPr>
        <w:spacing w:after="120" w:line="276" w:lineRule="auto"/>
        <w:ind w:firstLine="709"/>
        <w:jc w:val="both"/>
        <w:rPr>
          <w:rFonts w:ascii="Verdana" w:hAnsi="Verdana" w:eastAsia="Calibri" w:cs="Arial"/>
          <w:lang w:val="es-ES"/>
        </w:rPr>
      </w:pPr>
      <w:r w:rsidRPr="00FF67F9">
        <w:rPr>
          <w:rFonts w:ascii="Verdana" w:hAnsi="Verdana" w:eastAsia="Calibri" w:cs="Arial"/>
          <w:lang w:val="es-ES"/>
        </w:rPr>
        <w:t>Precisado lo anterior y en atención a que se tratan de acuerdos de voluntades en la que no se sustenta sobre la base de la conmutatividad, los dineros son aportes para lograr el cometido común.</w:t>
      </w:r>
      <w:r>
        <w:rPr>
          <w:rFonts w:ascii="Verdana" w:hAnsi="Verdana" w:eastAsia="Calibri" w:cs="Arial"/>
          <w:lang w:val="es-ES"/>
        </w:rPr>
        <w:t xml:space="preserve"> </w:t>
      </w:r>
    </w:p>
    <w:p w:rsidRPr="00DC1C86" w:rsidR="00EA6E14" w:rsidP="004D7D50" w:rsidRDefault="00EA6E14" w14:paraId="59C19972" w14:textId="77777777">
      <w:pPr>
        <w:spacing w:after="120" w:line="276" w:lineRule="auto"/>
        <w:ind w:firstLine="709"/>
        <w:jc w:val="both"/>
        <w:rPr>
          <w:rFonts w:ascii="Verdana" w:hAnsi="Verdana" w:eastAsia="Calibri" w:cs="Arial"/>
        </w:rPr>
      </w:pPr>
      <w:r w:rsidRPr="00254B21">
        <w:rPr>
          <w:rFonts w:ascii="Verdana" w:hAnsi="Verdana" w:eastAsia="Calibri" w:cs="Arial"/>
        </w:rPr>
        <w:t>La incorporación en nuestro ordenamiento jurídico de las denominadas “estampillas” tan sólo puede darse por disposición legal o por disposición expresa de ordenanzas departamentales o acuerdos distritales o municipales, en las que se debe indicar a detalle las condiciones de su emisión o pago o adherencia, y si dicha estampilla, se concibe como una tasa parafiscal</w:t>
      </w:r>
      <w:r w:rsidRPr="00254B21">
        <w:rPr>
          <w:rFonts w:ascii="Verdana" w:hAnsi="Verdana" w:eastAsia="Calibri" w:cs="Arial"/>
          <w:vertAlign w:val="superscript"/>
        </w:rPr>
        <w:footnoteReference w:id="9"/>
      </w:r>
      <w:r w:rsidRPr="00254B21">
        <w:rPr>
          <w:rFonts w:ascii="Verdana" w:hAnsi="Verdana" w:eastAsia="Calibri" w:cs="Arial"/>
        </w:rPr>
        <w:t xml:space="preserve">, o como impuesto con </w:t>
      </w:r>
      <w:r w:rsidRPr="00254B21">
        <w:rPr>
          <w:rFonts w:ascii="Verdana" w:hAnsi="Verdana" w:eastAsia="Calibri" w:cs="Arial"/>
        </w:rPr>
        <w:lastRenderedPageBreak/>
        <w:t>destinación específica</w:t>
      </w:r>
      <w:r w:rsidRPr="00254B21">
        <w:rPr>
          <w:rFonts w:ascii="Verdana" w:hAnsi="Verdana" w:eastAsia="Calibri" w:cs="Arial"/>
          <w:vertAlign w:val="superscript"/>
        </w:rPr>
        <w:footnoteReference w:id="10"/>
      </w:r>
      <w:r w:rsidRPr="00254B21">
        <w:rPr>
          <w:rFonts w:ascii="Verdana" w:hAnsi="Verdana" w:eastAsia="Calibri" w:cs="Arial"/>
        </w:rPr>
        <w:t xml:space="preserve">. Sobre el tema, es importante indicar que tanto la naturaleza de cada estampilla, como las condiciones que se deben tener en cuenta para su recaudo, así como su causación y objetivos pueden diferir en función de las decisiones que en su configuración adoptó el Legislador y, de manera complementaria, de aquellas que aprueben los órganos colegiados de las autoridades territoriales en ejercicio de sus competencias en la estructuración de </w:t>
      </w:r>
      <w:r w:rsidRPr="00DC1C86">
        <w:rPr>
          <w:rFonts w:ascii="Verdana" w:hAnsi="Verdana" w:eastAsia="Calibri" w:cs="Arial"/>
        </w:rPr>
        <w:t xml:space="preserve">cuerpos normativos que contienen política fiscal. </w:t>
      </w:r>
    </w:p>
    <w:p w:rsidRPr="002C675F" w:rsidR="00EA6E14" w:rsidP="00EA6E14" w:rsidRDefault="00EA6E14" w14:paraId="73287E08" w14:textId="77777777">
      <w:pPr>
        <w:spacing w:after="120" w:line="276" w:lineRule="auto"/>
        <w:ind w:firstLine="709"/>
        <w:jc w:val="both"/>
        <w:rPr>
          <w:rFonts w:ascii="Verdana" w:hAnsi="Verdana" w:eastAsia="Times New Roman" w:cs="Arial"/>
          <w:lang w:eastAsia="es-ES_tradnl"/>
        </w:rPr>
      </w:pPr>
      <w:r w:rsidRPr="00DC1C86">
        <w:rPr>
          <w:rFonts w:ascii="Verdana" w:hAnsi="Verdana" w:eastAsia="Times New Roman" w:cs="Arial"/>
          <w:lang w:eastAsia="es-ES_tradnl"/>
        </w:rPr>
        <w:t xml:space="preserve">De esta manera, </w:t>
      </w:r>
      <w:r w:rsidRPr="00DC1C86">
        <w:rPr>
          <w:rFonts w:ascii="Verdana" w:hAnsi="Verdana" w:eastAsia="Calibri" w:cs="Arial"/>
          <w:bCs/>
          <w:iCs/>
        </w:rPr>
        <w:t xml:space="preserve">es posible y lógico que para efectos de la ejecución </w:t>
      </w:r>
      <w:proofErr w:type="spellStart"/>
      <w:r w:rsidRPr="00DC1C86">
        <w:rPr>
          <w:rFonts w:ascii="Verdana" w:hAnsi="Verdana" w:eastAsia="Calibri" w:cs="Arial"/>
          <w:bCs/>
          <w:iCs/>
        </w:rPr>
        <w:t>del</w:t>
      </w:r>
      <w:proofErr w:type="spellEnd"/>
      <w:r w:rsidRPr="00DC1C86">
        <w:rPr>
          <w:rFonts w:ascii="Verdana" w:hAnsi="Verdana" w:eastAsia="Calibri" w:cs="Arial"/>
          <w:bCs/>
          <w:iCs/>
        </w:rPr>
        <w:t xml:space="preserve"> los contratos o convenios que las entidades estatales celebren con una ESAL se incurran en costos y gastos administrativos lo que se puede reflejar en los respectivos </w:t>
      </w:r>
      <w:r w:rsidRPr="00DC1C86">
        <w:rPr>
          <w:rFonts w:ascii="Verdana" w:hAnsi="Verdana" w:eastAsia="Times New Roman" w:cs="Arial"/>
          <w:lang w:eastAsia="es-ES_tradnl"/>
        </w:rPr>
        <w:t>aportes de naturaleza económica, sin que ello signifique el pago de un precio o una remuneración. Estos costos o gastos de administración pueden incluirse válidamente</w:t>
      </w:r>
      <w:r w:rsidRPr="00DC1C86">
        <w:rPr>
          <w:rFonts w:ascii="Verdana" w:hAnsi="Verdana" w:eastAsia="Times New Roman" w:cs="Arial"/>
          <w:b/>
          <w:bCs/>
          <w:lang w:eastAsia="es-ES_tradnl"/>
        </w:rPr>
        <w:t xml:space="preserve"> </w:t>
      </w:r>
      <w:r w:rsidRPr="00DC1C86">
        <w:rPr>
          <w:rFonts w:ascii="Verdana" w:hAnsi="Verdana" w:eastAsia="Times New Roman" w:cs="Arial"/>
          <w:lang w:eastAsia="es-ES_tradnl"/>
        </w:rPr>
        <w:t xml:space="preserve">siempre que se justifique técnica y financieramente que son necesarios y razonables para el desarrollo del objeto convenido y que se trate de aspectos operativos, logísticos o de administración </w:t>
      </w:r>
      <w:r w:rsidRPr="00DC1C86">
        <w:rPr>
          <w:rFonts w:ascii="Verdana" w:hAnsi="Verdana" w:eastAsia="Calibri" w:cs="Arial"/>
          <w:bCs/>
          <w:iCs/>
        </w:rPr>
        <w:t>que permitan cumplir los compromisos adquiridos en el marco del convenio</w:t>
      </w:r>
      <w:r w:rsidRPr="00DC1C86">
        <w:rPr>
          <w:rFonts w:ascii="Verdana" w:hAnsi="Verdana" w:eastAsia="Times New Roman" w:cs="Arial"/>
          <w:lang w:eastAsia="es-ES_tradnl"/>
        </w:rPr>
        <w:t xml:space="preserve"> y que, por tanto, no representan una utilidad o una contraprestación en favor de una de las partes.</w:t>
      </w:r>
      <w:r w:rsidRPr="002C675F">
        <w:rPr>
          <w:rFonts w:ascii="Verdana" w:hAnsi="Verdana" w:eastAsia="Times New Roman" w:cs="Arial"/>
          <w:lang w:eastAsia="es-ES_tradnl"/>
        </w:rPr>
        <w:t xml:space="preserve"> </w:t>
      </w:r>
    </w:p>
    <w:p w:rsidRPr="00645696" w:rsidR="00EA6E14" w:rsidP="004D7D50" w:rsidRDefault="00EA6E14" w14:paraId="7377EE04" w14:textId="40609F47">
      <w:pPr>
        <w:spacing w:after="120" w:line="276" w:lineRule="auto"/>
        <w:ind w:firstLine="709"/>
        <w:jc w:val="both"/>
        <w:rPr>
          <w:rFonts w:ascii="Verdana" w:hAnsi="Verdana" w:eastAsia="Times New Roman" w:cs="Arial"/>
          <w:lang w:eastAsia="es-ES_tradnl"/>
        </w:rPr>
      </w:pPr>
      <w:r w:rsidRPr="002C675F">
        <w:rPr>
          <w:rFonts w:ascii="Verdana" w:hAnsi="Verdana" w:eastAsia="Times New Roman" w:cs="Arial"/>
          <w:lang w:eastAsia="es-ES_tradnl"/>
        </w:rPr>
        <w:t xml:space="preserve">En este sentido, se precisa que la posibilidad de que </w:t>
      </w:r>
      <w:r>
        <w:rPr>
          <w:rFonts w:ascii="Verdana" w:hAnsi="Verdana" w:eastAsia="Times New Roman" w:cs="Arial"/>
          <w:lang w:eastAsia="es-ES_tradnl"/>
        </w:rPr>
        <w:t>se</w:t>
      </w:r>
      <w:r w:rsidRPr="002C675F">
        <w:rPr>
          <w:rFonts w:ascii="Verdana" w:hAnsi="Verdana" w:eastAsia="Times New Roman" w:cs="Arial"/>
          <w:lang w:eastAsia="es-ES_tradnl"/>
        </w:rPr>
        <w:t xml:space="preserve"> incluya compromisos con contenido económico no puede ir en contravía de su naturaleza y finalidad, ni mucho menos desconocer los elementos esenciales de este tipo negocial que se desprenden </w:t>
      </w:r>
      <w:r>
        <w:rPr>
          <w:rFonts w:ascii="Verdana" w:hAnsi="Verdana" w:eastAsia="Times New Roman" w:cs="Arial"/>
          <w:lang w:eastAsia="es-ES_tradnl"/>
        </w:rPr>
        <w:t>del artículo 355 de la Constitución Política y del Decreto 092 de 2017.</w:t>
      </w:r>
      <w:r w:rsidRPr="002C675F">
        <w:rPr>
          <w:rFonts w:ascii="Verdana" w:hAnsi="Verdana" w:eastAsia="Times New Roman" w:cs="Arial"/>
          <w:lang w:eastAsia="es-ES_tradnl"/>
        </w:rPr>
        <w:t xml:space="preserve"> Por ende, la determinación de estos costos o gastos administrativos no pueden ocultar una remuneración verdadera o una utilidad que concurre a su suscripción, así como tampoco pueden emplearse para aspectos distintos del cumplimiento de los compromisos asumidos, pues no se trataría de un convenio </w:t>
      </w:r>
      <w:r>
        <w:rPr>
          <w:rFonts w:ascii="Verdana" w:hAnsi="Verdana" w:eastAsia="Times New Roman" w:cs="Arial"/>
          <w:lang w:eastAsia="es-ES_tradnl"/>
        </w:rPr>
        <w:t xml:space="preserve">o contrato, </w:t>
      </w:r>
      <w:r w:rsidRPr="002C675F">
        <w:rPr>
          <w:rFonts w:ascii="Verdana" w:hAnsi="Verdana" w:eastAsia="Times New Roman" w:cs="Arial"/>
          <w:lang w:eastAsia="es-ES_tradnl"/>
        </w:rPr>
        <w:t xml:space="preserve">sino que su connotación transmutaría a un contrato </w:t>
      </w:r>
      <w:r>
        <w:rPr>
          <w:rFonts w:ascii="Verdana" w:hAnsi="Verdana" w:eastAsia="Times New Roman" w:cs="Arial"/>
          <w:lang w:eastAsia="es-ES_tradnl"/>
        </w:rPr>
        <w:t>oneroso, sinalagmático y conmutativo</w:t>
      </w:r>
      <w:r w:rsidRPr="002C675F">
        <w:rPr>
          <w:rFonts w:ascii="Verdana" w:hAnsi="Verdana" w:eastAsia="Times New Roman" w:cs="Arial"/>
          <w:lang w:eastAsia="es-ES_tradnl"/>
        </w:rPr>
        <w:t xml:space="preserve">. </w:t>
      </w:r>
      <w:r w:rsidRPr="002C675F">
        <w:rPr>
          <w:rFonts w:ascii="Verdana" w:hAnsi="Verdana" w:eastAsia="Times New Roman" w:cs="Arial"/>
          <w:iCs/>
          <w:lang w:eastAsia="es-ES_tradnl"/>
        </w:rPr>
        <w:t xml:space="preserve">No obstante, debido a la naturaleza jurídica de cada figura, estos rubros tienen una finalidad y alcance </w:t>
      </w:r>
      <w:r w:rsidRPr="002C675F">
        <w:rPr>
          <w:rFonts w:ascii="Verdana" w:hAnsi="Verdana" w:eastAsia="Times New Roman" w:cs="Arial"/>
          <w:iCs/>
          <w:lang w:eastAsia="es-ES_tradnl"/>
        </w:rPr>
        <w:lastRenderedPageBreak/>
        <w:t xml:space="preserve">diferente. En el marco de un </w:t>
      </w:r>
      <w:r>
        <w:rPr>
          <w:rFonts w:ascii="Verdana" w:hAnsi="Verdana" w:eastAsia="Times New Roman" w:cs="Arial"/>
          <w:iCs/>
          <w:lang w:eastAsia="es-ES_tradnl"/>
        </w:rPr>
        <w:t>convenio o contrato de que trata el artículo 355 de la Constitución Política y el Decreto 092 de 2017</w:t>
      </w:r>
      <w:r w:rsidRPr="002C675F">
        <w:rPr>
          <w:rFonts w:ascii="Verdana" w:hAnsi="Verdana" w:eastAsia="Times New Roman" w:cs="Arial"/>
          <w:iCs/>
          <w:lang w:eastAsia="es-ES_tradnl"/>
        </w:rPr>
        <w:t xml:space="preserve">, </w:t>
      </w:r>
      <w:r>
        <w:rPr>
          <w:rFonts w:ascii="Verdana" w:hAnsi="Verdana" w:eastAsia="Times New Roman" w:cs="Arial"/>
          <w:iCs/>
          <w:lang w:eastAsia="es-ES_tradnl"/>
        </w:rPr>
        <w:t>se pueden</w:t>
      </w:r>
      <w:r w:rsidRPr="002C675F">
        <w:rPr>
          <w:rFonts w:ascii="Verdana" w:hAnsi="Verdana" w:eastAsia="Times New Roman" w:cs="Arial"/>
          <w:iCs/>
          <w:lang w:eastAsia="es-ES_tradnl"/>
        </w:rPr>
        <w:t xml:space="preserve"> incorporar los costos o gastos administrativos asociados a sus respectivos aportes, siempre que estén orientados a contribuir al cumplimiento de los compromisos comunes y a garantizar la viabilidad operativa. </w:t>
      </w:r>
      <w:r>
        <w:rPr>
          <w:rFonts w:ascii="Verdana" w:hAnsi="Verdana" w:eastAsia="Times New Roman" w:cs="Arial"/>
          <w:iCs/>
          <w:lang w:eastAsia="es-ES_tradnl"/>
        </w:rPr>
        <w:t>Por el contrario</w:t>
      </w:r>
      <w:r w:rsidR="004D7D50">
        <w:rPr>
          <w:rFonts w:ascii="Verdana" w:hAnsi="Verdana" w:eastAsia="Times New Roman" w:cs="Arial"/>
          <w:iCs/>
          <w:lang w:eastAsia="es-ES_tradnl"/>
        </w:rPr>
        <w:t>,</w:t>
      </w:r>
      <w:r>
        <w:rPr>
          <w:rFonts w:ascii="Verdana" w:hAnsi="Verdana" w:eastAsia="Times New Roman" w:cs="Arial"/>
          <w:iCs/>
          <w:lang w:eastAsia="es-ES_tradnl"/>
        </w:rPr>
        <w:t xml:space="preserve"> si se trata de contratos celebrados en el marco de un proceso de selección para el aprovisionamiento de un bien o servicio o de una obra</w:t>
      </w:r>
      <w:r w:rsidRPr="002C675F">
        <w:rPr>
          <w:rFonts w:ascii="Verdana" w:hAnsi="Verdana" w:eastAsia="Times New Roman" w:cs="Arial"/>
          <w:iCs/>
          <w:lang w:eastAsia="es-ES_tradnl"/>
        </w:rPr>
        <w:t xml:space="preserve">, debido a su naturaleza onerosa y conmutativa, estos rubros hacen parte de la contraprestación pactada a favor </w:t>
      </w:r>
      <w:r>
        <w:rPr>
          <w:rFonts w:ascii="Verdana" w:hAnsi="Verdana" w:eastAsia="Times New Roman" w:cs="Arial"/>
          <w:iCs/>
          <w:lang w:eastAsia="es-ES_tradnl"/>
        </w:rPr>
        <w:t>del contratista</w:t>
      </w:r>
      <w:r w:rsidRPr="002C675F">
        <w:rPr>
          <w:rFonts w:ascii="Verdana" w:hAnsi="Verdana" w:eastAsia="Times New Roman" w:cs="Arial"/>
          <w:iCs/>
          <w:lang w:eastAsia="es-ES_tradnl"/>
        </w:rPr>
        <w:t>, es decir, forman parte del precio o retribución económica a una de las partes por los bienes o servicios que presta.</w:t>
      </w:r>
    </w:p>
    <w:p w:rsidRPr="002C675F" w:rsidR="00EA6E14" w:rsidP="00EA6E14" w:rsidRDefault="00EA6E14" w14:paraId="5AF30C0F" w14:textId="77777777">
      <w:pPr>
        <w:spacing w:after="120" w:line="276" w:lineRule="auto"/>
        <w:ind w:firstLine="709"/>
        <w:jc w:val="both"/>
        <w:rPr>
          <w:rFonts w:ascii="Verdana" w:hAnsi="Verdana" w:eastAsia="Calibri" w:cs="Arial"/>
        </w:rPr>
      </w:pPr>
      <w:r w:rsidRPr="00496742">
        <w:rPr>
          <w:rFonts w:ascii="Verdana" w:hAnsi="Verdana" w:eastAsia="Times New Roman" w:cs="Arial"/>
          <w:iCs/>
          <w:lang w:eastAsia="es-ES_tradnl"/>
        </w:rPr>
        <w:t xml:space="preserve">Ahora bien, en lo que respecta al descuento por concepto de estampillas debe precisarse que su inclusión dependerá de las condiciones establecidas por la Ley para estos </w:t>
      </w:r>
      <w:r w:rsidRPr="00B530AF">
        <w:rPr>
          <w:rFonts w:ascii="Verdana" w:hAnsi="Verdana" w:eastAsia="Times New Roman" w:cs="Arial"/>
          <w:iCs/>
          <w:lang w:eastAsia="es-ES_tradnl"/>
        </w:rPr>
        <w:t xml:space="preserve">tributos. </w:t>
      </w:r>
      <w:r w:rsidRPr="00496742">
        <w:rPr>
          <w:rFonts w:ascii="Verdana" w:hAnsi="Verdana" w:eastAsia="Calibri" w:cs="Arial"/>
        </w:rPr>
        <w:t>De esta manera, la procedencia y aplicación de determinada estampilla estará sujeta al hecho generador establecido en la Ley, ordenanza o acuerdo, de tal suerte que</w:t>
      </w:r>
      <w:r>
        <w:rPr>
          <w:rFonts w:ascii="Verdana" w:hAnsi="Verdana" w:eastAsia="Calibri" w:cs="Arial"/>
        </w:rPr>
        <w:t>,</w:t>
      </w:r>
      <w:r w:rsidRPr="00496742">
        <w:rPr>
          <w:rFonts w:ascii="Verdana" w:hAnsi="Verdana" w:eastAsia="Calibri" w:cs="Arial"/>
        </w:rPr>
        <w:t xml:space="preserve"> si estos incluyen a los contratos definidos en el artículo 355 de la Constitución Política y el Decreto 092 de 2017, deberá tenerse en cuenta para efectos de la suscripción de estos negocios jurídicos.</w:t>
      </w:r>
      <w:r w:rsidRPr="002C675F">
        <w:rPr>
          <w:rFonts w:ascii="Verdana" w:hAnsi="Verdana" w:eastAsia="Calibri" w:cs="Arial"/>
        </w:rPr>
        <w:t xml:space="preserve"> </w:t>
      </w:r>
    </w:p>
    <w:p w:rsidRPr="00A12E76" w:rsidR="00EA6E14" w:rsidP="00EA6E14" w:rsidRDefault="00EA6E14" w14:paraId="392277FD" w14:textId="77777777">
      <w:pPr>
        <w:spacing w:after="120" w:line="276" w:lineRule="auto"/>
        <w:ind w:firstLine="709"/>
        <w:jc w:val="both"/>
        <w:rPr>
          <w:rFonts w:ascii="Verdana" w:hAnsi="Verdana" w:eastAsia="Aptos" w:cs="Arial"/>
        </w:rPr>
      </w:pPr>
      <w:r w:rsidRPr="002C675F">
        <w:rPr>
          <w:rFonts w:ascii="Verdana" w:hAnsi="Verdana" w:eastAsia="Aptos" w:cs="Arial"/>
        </w:rPr>
        <w:t xml:space="preserve">En suma, será cada entidad la obligada a analizar en cada contrato o convenio </w:t>
      </w:r>
      <w:r>
        <w:rPr>
          <w:rFonts w:ascii="Verdana" w:hAnsi="Verdana" w:eastAsia="Aptos" w:cs="Arial"/>
        </w:rPr>
        <w:t>celebrado con una ESAL</w:t>
      </w:r>
      <w:r w:rsidRPr="002C675F">
        <w:rPr>
          <w:rFonts w:ascii="Verdana" w:hAnsi="Verdana" w:eastAsia="Aptos" w:cs="Arial"/>
        </w:rPr>
        <w:t xml:space="preserve">, si por su sola celebración se constituye el hecho generador de determinada estampilla, pues de lo contrario no habrá lugar a su aplicación. Para tales efectos, es necesario realizar durante la etapa de planeación el análisis necesario para conocer el sector relativo al objeto del Proceso de Contratación, y con fundamento en dicho estudio deberá tenerse en cuenta los impuestos, tasas o contribuciones que haya lugar. </w:t>
      </w:r>
    </w:p>
    <w:p w:rsidR="00EA6E14" w:rsidP="00EA6E14" w:rsidRDefault="00EA6E14" w14:paraId="7A61E4E5" w14:textId="77777777">
      <w:pPr>
        <w:tabs>
          <w:tab w:val="left" w:pos="142"/>
          <w:tab w:val="left" w:pos="284"/>
        </w:tabs>
        <w:spacing w:after="0" w:line="240" w:lineRule="auto"/>
        <w:rPr>
          <w:rFonts w:ascii="Verdana" w:hAnsi="Verdana" w:eastAsia="Century Gothic" w:cs="Century Gothic"/>
          <w:b/>
          <w:bCs/>
        </w:rPr>
      </w:pPr>
      <w:bookmarkStart w:name="_Hlk204854194" w:id="22"/>
      <w:r w:rsidRPr="00FF007A">
        <w:rPr>
          <w:rFonts w:ascii="Verdana" w:hAnsi="Verdana" w:eastAsia="Century Gothic" w:cs="Century Gothic"/>
          <w:b/>
          <w:bCs/>
        </w:rPr>
        <w:t>4. Referencias normativas:</w:t>
      </w:r>
      <w:bookmarkEnd w:id="22"/>
    </w:p>
    <w:p w:rsidRPr="00861D2F" w:rsidR="00EA6E14" w:rsidP="00EA6E14" w:rsidRDefault="00EA6E14" w14:paraId="18972A0B" w14:textId="77777777">
      <w:pPr>
        <w:tabs>
          <w:tab w:val="left" w:pos="142"/>
          <w:tab w:val="left" w:pos="284"/>
        </w:tabs>
        <w:spacing w:after="0" w:line="240" w:lineRule="auto"/>
        <w:rPr>
          <w:rFonts w:ascii="Verdana" w:hAnsi="Verdana" w:eastAsia="Century Gothic" w:cs="Century Gothic"/>
          <w:b/>
          <w:bCs/>
        </w:rPr>
      </w:pPr>
    </w:p>
    <w:tbl>
      <w:tblPr>
        <w:tblStyle w:val="Tablaconcuadrcula"/>
        <w:tblW w:w="8647"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FF007A" w:rsidR="00EA6E14" w:rsidTr="00BA5555" w14:paraId="5D1B4A78" w14:textId="77777777">
        <w:trPr>
          <w:trHeight w:val="1288"/>
          <w:jc w:val="center"/>
        </w:trPr>
        <w:tc>
          <w:tcPr>
            <w:tcW w:w="8647" w:type="dxa"/>
          </w:tcPr>
          <w:p w:rsidR="00EA6E14" w:rsidP="00EA6E14" w:rsidRDefault="00EA6E14" w14:paraId="7A349D6B" w14:textId="77777777">
            <w:pPr>
              <w:pStyle w:val="Prrafodelista"/>
              <w:numPr>
                <w:ilvl w:val="0"/>
                <w:numId w:val="18"/>
              </w:numPr>
              <w:spacing w:line="276" w:lineRule="auto"/>
              <w:jc w:val="both"/>
              <w:rPr>
                <w:rFonts w:ascii="Verdana" w:hAnsi="Verdana" w:eastAsia="Arial MT" w:cs="Arial"/>
                <w:lang w:eastAsia="es-ES" w:bidi="es-ES"/>
              </w:rPr>
            </w:pPr>
            <w:r>
              <w:rPr>
                <w:rFonts w:ascii="Verdana" w:hAnsi="Verdana" w:eastAsia="Arial MT" w:cs="Arial"/>
                <w:lang w:eastAsia="es-ES" w:bidi="es-ES"/>
              </w:rPr>
              <w:t xml:space="preserve">Constitución Política. Artículo 355. </w:t>
            </w:r>
          </w:p>
          <w:p w:rsidR="00EA6E14" w:rsidP="00EA6E14" w:rsidRDefault="00EA6E14" w14:paraId="4F87FF44" w14:textId="77777777">
            <w:pPr>
              <w:pStyle w:val="Prrafodelista"/>
              <w:numPr>
                <w:ilvl w:val="0"/>
                <w:numId w:val="18"/>
              </w:numPr>
              <w:spacing w:line="276" w:lineRule="auto"/>
              <w:jc w:val="both"/>
              <w:rPr>
                <w:rFonts w:ascii="Verdana" w:hAnsi="Verdana" w:eastAsia="Arial MT" w:cs="Arial"/>
                <w:lang w:eastAsia="es-ES" w:bidi="es-ES"/>
              </w:rPr>
            </w:pPr>
            <w:r>
              <w:rPr>
                <w:rFonts w:ascii="Verdana" w:hAnsi="Verdana" w:eastAsia="Arial MT" w:cs="Arial"/>
                <w:lang w:eastAsia="es-ES" w:bidi="es-ES"/>
              </w:rPr>
              <w:t xml:space="preserve">Ley 80 de 1993. Artículo 13, </w:t>
            </w:r>
            <w:r w:rsidRPr="00377ED6">
              <w:rPr>
                <w:rFonts w:ascii="Verdana" w:hAnsi="Verdana" w:eastAsia="Calibri" w:cs="Arial"/>
                <w:lang w:val="es-ES_tradnl"/>
              </w:rPr>
              <w:t>23, 24, 25, 26</w:t>
            </w:r>
            <w:r>
              <w:rPr>
                <w:rFonts w:ascii="Verdana" w:hAnsi="Verdana" w:eastAsia="Calibri" w:cs="Arial"/>
                <w:lang w:val="es-ES_tradnl"/>
              </w:rPr>
              <w:t xml:space="preserve">, </w:t>
            </w:r>
            <w:r>
              <w:rPr>
                <w:rFonts w:ascii="Verdana" w:hAnsi="Verdana" w:eastAsia="Arial MT" w:cs="Arial"/>
                <w:lang w:eastAsia="es-ES" w:bidi="es-ES"/>
              </w:rPr>
              <w:t>32, 40.</w:t>
            </w:r>
          </w:p>
          <w:p w:rsidR="00EA6E14" w:rsidP="00EA6E14" w:rsidRDefault="00EA6E14" w14:paraId="2F58B509" w14:textId="77777777">
            <w:pPr>
              <w:pStyle w:val="Prrafodelista"/>
              <w:numPr>
                <w:ilvl w:val="0"/>
                <w:numId w:val="18"/>
              </w:numPr>
              <w:spacing w:line="276" w:lineRule="auto"/>
              <w:jc w:val="both"/>
              <w:rPr>
                <w:rFonts w:ascii="Verdana" w:hAnsi="Verdana" w:eastAsia="Arial MT" w:cs="Arial"/>
                <w:lang w:eastAsia="es-ES" w:bidi="es-ES"/>
              </w:rPr>
            </w:pPr>
            <w:r>
              <w:rPr>
                <w:rFonts w:ascii="Verdana" w:hAnsi="Verdana" w:eastAsia="Arial MT" w:cs="Arial"/>
                <w:lang w:eastAsia="es-ES" w:bidi="es-ES"/>
              </w:rPr>
              <w:t xml:space="preserve">Decreto 092 de 2017. </w:t>
            </w:r>
          </w:p>
          <w:p w:rsidR="00EA6E14" w:rsidP="00EA6E14" w:rsidRDefault="00EA6E14" w14:paraId="7925F23B" w14:textId="77777777">
            <w:pPr>
              <w:pStyle w:val="Prrafodelista"/>
              <w:numPr>
                <w:ilvl w:val="0"/>
                <w:numId w:val="18"/>
              </w:numPr>
              <w:spacing w:line="276" w:lineRule="auto"/>
              <w:jc w:val="both"/>
              <w:rPr>
                <w:rFonts w:ascii="Verdana" w:hAnsi="Verdana" w:eastAsia="Arial MT" w:cs="Arial"/>
                <w:lang w:eastAsia="es-ES" w:bidi="es-ES"/>
              </w:rPr>
            </w:pPr>
            <w:r>
              <w:rPr>
                <w:rFonts w:ascii="Verdana" w:hAnsi="Verdana" w:eastAsia="Arial MT" w:cs="Arial"/>
                <w:lang w:eastAsia="es-ES" w:bidi="es-ES"/>
              </w:rPr>
              <w:t>Ley 489 de 1998. Artículo 96.</w:t>
            </w:r>
          </w:p>
          <w:p w:rsidR="00EA6E14" w:rsidP="00EA6E14" w:rsidRDefault="00EA6E14" w14:paraId="3FCACB14" w14:textId="77777777">
            <w:pPr>
              <w:pStyle w:val="Prrafodelista"/>
              <w:numPr>
                <w:ilvl w:val="0"/>
                <w:numId w:val="18"/>
              </w:numPr>
              <w:spacing w:line="276" w:lineRule="auto"/>
              <w:jc w:val="both"/>
              <w:rPr>
                <w:rFonts w:ascii="Verdana" w:hAnsi="Verdana" w:eastAsia="Arial MT" w:cs="Arial"/>
                <w:lang w:eastAsia="es-ES" w:bidi="es-ES"/>
              </w:rPr>
            </w:pPr>
            <w:r w:rsidRPr="00F24A62">
              <w:rPr>
                <w:rFonts w:ascii="Verdana" w:hAnsi="Verdana" w:eastAsia="Arial MT" w:cs="Arial"/>
                <w:lang w:eastAsia="es-ES" w:bidi="es-ES"/>
              </w:rPr>
              <w:t>Consejo de Estado. Sala de Consulta y Servicio Civil. Concepto del 24 de febrero de 2005. Radicado: No. 1626, C.P: Gloria Duque Hernández</w:t>
            </w:r>
            <w:r>
              <w:rPr>
                <w:rFonts w:ascii="Verdana" w:hAnsi="Verdana" w:eastAsia="Arial MT" w:cs="Arial"/>
                <w:lang w:eastAsia="es-ES" w:bidi="es-ES"/>
              </w:rPr>
              <w:t>.</w:t>
            </w:r>
          </w:p>
          <w:p w:rsidR="00EA6E14" w:rsidP="00EA6E14" w:rsidRDefault="00EA6E14" w14:paraId="61DD8BAA" w14:textId="77777777">
            <w:pPr>
              <w:pStyle w:val="Prrafodelista"/>
              <w:numPr>
                <w:ilvl w:val="0"/>
                <w:numId w:val="18"/>
              </w:numPr>
              <w:spacing w:line="276" w:lineRule="auto"/>
              <w:jc w:val="both"/>
              <w:rPr>
                <w:rFonts w:ascii="Verdana" w:hAnsi="Verdana" w:eastAsia="Arial MT" w:cs="Arial"/>
                <w:lang w:eastAsia="es-ES" w:bidi="es-ES"/>
              </w:rPr>
            </w:pPr>
            <w:r w:rsidRPr="00F24A62">
              <w:rPr>
                <w:rFonts w:ascii="Verdana" w:hAnsi="Verdana" w:eastAsia="Arial MT" w:cs="Arial"/>
                <w:lang w:eastAsia="es-ES" w:bidi="es-ES"/>
              </w:rPr>
              <w:t>Corte Constitucional. Sentencia C-768 de 23 de septiembre de 2010. M.P: Juan Carlos Henao Pérez</w:t>
            </w:r>
            <w:r>
              <w:rPr>
                <w:rFonts w:ascii="Verdana" w:hAnsi="Verdana" w:eastAsia="Arial MT" w:cs="Arial"/>
                <w:lang w:eastAsia="es-ES" w:bidi="es-ES"/>
              </w:rPr>
              <w:t>.</w:t>
            </w:r>
          </w:p>
          <w:p w:rsidRPr="00F24A62" w:rsidR="00EA6E14" w:rsidP="00EA6E14" w:rsidRDefault="00EA6E14" w14:paraId="0B43EAF4" w14:textId="77777777">
            <w:pPr>
              <w:pStyle w:val="Prrafodelista"/>
              <w:numPr>
                <w:ilvl w:val="0"/>
                <w:numId w:val="18"/>
              </w:numPr>
              <w:spacing w:line="276" w:lineRule="auto"/>
              <w:jc w:val="both"/>
              <w:rPr>
                <w:rFonts w:ascii="Verdana" w:hAnsi="Verdana" w:eastAsia="Arial MT" w:cs="Arial"/>
                <w:lang w:eastAsia="es-ES" w:bidi="es-ES"/>
              </w:rPr>
            </w:pPr>
            <w:r w:rsidRPr="00F24A62">
              <w:rPr>
                <w:rFonts w:ascii="Verdana" w:hAnsi="Verdana" w:eastAsia="Arial MT" w:cs="Arial"/>
                <w:lang w:eastAsia="es-ES" w:bidi="es-ES"/>
              </w:rPr>
              <w:lastRenderedPageBreak/>
              <w:t>Corte Constitucional. Sentencia C-221 de 22 de mayo de 2019. M.P: Carlos Bernal Pulido</w:t>
            </w:r>
            <w:r>
              <w:rPr>
                <w:rFonts w:ascii="Verdana" w:hAnsi="Verdana" w:eastAsia="Arial MT" w:cs="Arial"/>
                <w:lang w:eastAsia="es-ES" w:bidi="es-ES"/>
              </w:rPr>
              <w:t>.</w:t>
            </w:r>
          </w:p>
          <w:p w:rsidRPr="00F24A62" w:rsidR="00EA6E14" w:rsidP="00EA6E14" w:rsidRDefault="00EA6E14" w14:paraId="47993F39" w14:textId="77777777">
            <w:pPr>
              <w:pStyle w:val="Prrafodelista"/>
              <w:numPr>
                <w:ilvl w:val="0"/>
                <w:numId w:val="18"/>
              </w:numPr>
              <w:spacing w:line="276" w:lineRule="auto"/>
              <w:jc w:val="both"/>
              <w:rPr>
                <w:rFonts w:ascii="Verdana" w:hAnsi="Verdana" w:eastAsia="Arial MT" w:cs="Arial"/>
                <w:lang w:eastAsia="es-ES" w:bidi="es-ES"/>
              </w:rPr>
            </w:pPr>
            <w:r w:rsidRPr="00F24A62">
              <w:rPr>
                <w:rFonts w:ascii="Verdana" w:hAnsi="Verdana" w:eastAsia="Arial MT" w:cs="Arial"/>
                <w:lang w:eastAsia="es-ES" w:bidi="es-ES"/>
              </w:rPr>
              <w:t>CHÁVEZ MARÍN, Augusto Ramón, Los Convenios de la Administración. Entre la gestión pública y la actividad contractual. 4ta Ed. Bogotá, Temis. 2020.</w:t>
            </w:r>
          </w:p>
        </w:tc>
      </w:tr>
    </w:tbl>
    <w:p w:rsidRPr="00FF007A" w:rsidR="00EA6E14" w:rsidP="00EA6E14" w:rsidRDefault="00EA6E14" w14:paraId="7B04B27C" w14:textId="77777777">
      <w:pPr>
        <w:widowControl w:val="0"/>
        <w:autoSpaceDE w:val="0"/>
        <w:autoSpaceDN w:val="0"/>
        <w:spacing w:after="0" w:line="276" w:lineRule="auto"/>
        <w:jc w:val="both"/>
        <w:rPr>
          <w:rFonts w:ascii="Verdana" w:hAnsi="Verdana" w:cs="Arial"/>
        </w:rPr>
      </w:pPr>
    </w:p>
    <w:p w:rsidRPr="00FF007A" w:rsidR="00EA6E14" w:rsidP="00EA6E14" w:rsidRDefault="00EA6E14" w14:paraId="7E403787" w14:textId="77777777">
      <w:pPr>
        <w:tabs>
          <w:tab w:val="left" w:pos="142"/>
          <w:tab w:val="left" w:pos="284"/>
        </w:tabs>
        <w:spacing w:after="0" w:line="276" w:lineRule="auto"/>
        <w:jc w:val="both"/>
        <w:rPr>
          <w:rFonts w:ascii="Verdana" w:hAnsi="Verdana" w:eastAsia="Century Gothic" w:cs="Century Gothic"/>
          <w:b/>
          <w:bCs/>
        </w:rPr>
      </w:pPr>
      <w:r w:rsidRPr="00FF007A">
        <w:rPr>
          <w:rFonts w:ascii="Verdana" w:hAnsi="Verdana" w:eastAsia="Century Gothic" w:cs="Century Gothic"/>
          <w:b/>
          <w:bCs/>
        </w:rPr>
        <w:t>5. Doctrina de la Agencia Nacional de Contratación Pública:</w:t>
      </w:r>
    </w:p>
    <w:p w:rsidR="00EA6E14" w:rsidP="00EA6E14" w:rsidRDefault="00EA6E14" w14:paraId="009F393F" w14:textId="77777777">
      <w:pPr>
        <w:widowControl w:val="0"/>
        <w:autoSpaceDE w:val="0"/>
        <w:autoSpaceDN w:val="0"/>
        <w:spacing w:after="0" w:line="276" w:lineRule="auto"/>
        <w:jc w:val="both"/>
        <w:rPr>
          <w:rFonts w:ascii="Verdana" w:hAnsi="Verdana" w:cs="Arial"/>
          <w:shd w:val="clear" w:color="auto" w:fill="FFFFFF"/>
          <w:lang w:val="es-ES"/>
        </w:rPr>
      </w:pPr>
    </w:p>
    <w:p w:rsidRPr="00AF06A2" w:rsidR="00EA6E14" w:rsidP="00EA6E14" w:rsidRDefault="00EA6E14" w14:paraId="7763DB75" w14:textId="77777777">
      <w:pPr>
        <w:widowControl w:val="0"/>
        <w:autoSpaceDE w:val="0"/>
        <w:autoSpaceDN w:val="0"/>
        <w:spacing w:after="0" w:line="276" w:lineRule="auto"/>
        <w:jc w:val="both"/>
        <w:rPr>
          <w:rFonts w:ascii="Verdana" w:hAnsi="Verdana" w:eastAsia="Times New Roman" w:cs="Arial"/>
          <w:shd w:val="clear" w:color="auto" w:fill="FFFFFF"/>
          <w:lang w:val="es-ES"/>
        </w:rPr>
      </w:pPr>
      <w:r>
        <w:rPr>
          <w:rFonts w:ascii="Verdana" w:hAnsi="Verdana" w:cs="Arial"/>
          <w:shd w:val="clear" w:color="auto" w:fill="FFFFFF"/>
          <w:lang w:val="es-ES"/>
        </w:rPr>
        <w:t>S</w:t>
      </w:r>
      <w:r w:rsidRPr="00377ED6">
        <w:rPr>
          <w:rFonts w:ascii="Verdana" w:hAnsi="Verdana" w:cs="Arial"/>
          <w:shd w:val="clear" w:color="auto" w:fill="FFFFFF"/>
          <w:lang w:val="es-ES"/>
        </w:rPr>
        <w:t>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w:t>
      </w:r>
      <w:r>
        <w:rPr>
          <w:rFonts w:ascii="Verdana" w:hAnsi="Verdana" w:cs="Arial"/>
          <w:shd w:val="clear" w:color="auto" w:fill="FFFFFF"/>
          <w:lang w:val="es-ES"/>
        </w:rPr>
        <w:t>,</w:t>
      </w:r>
      <w:r w:rsidRPr="00377ED6">
        <w:rPr>
          <w:rFonts w:ascii="Verdana" w:hAnsi="Verdana" w:cs="Arial"/>
          <w:shd w:val="clear" w:color="auto" w:fill="FFFFFF"/>
          <w:lang w:val="es-ES"/>
        </w:rPr>
        <w:t xml:space="preserve">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w:t>
      </w:r>
      <w:r>
        <w:rPr>
          <w:rFonts w:ascii="Verdana" w:hAnsi="Verdana" w:cs="Arial"/>
          <w:shd w:val="clear" w:color="auto" w:fill="FFFFFF"/>
          <w:lang w:val="es-ES"/>
        </w:rPr>
        <w:t>,</w:t>
      </w:r>
      <w:r w:rsidRPr="00377ED6">
        <w:rPr>
          <w:rFonts w:ascii="Verdana" w:hAnsi="Verdana" w:cs="Arial"/>
          <w:shd w:val="clear" w:color="auto" w:fill="FFFFFF"/>
          <w:lang w:val="es-ES"/>
        </w:rPr>
        <w:t xml:space="preserve"> C-281 del 29 de octubre de 2024</w:t>
      </w:r>
      <w:r>
        <w:rPr>
          <w:rFonts w:ascii="Verdana" w:hAnsi="Verdana" w:cs="Arial"/>
          <w:shd w:val="clear" w:color="auto" w:fill="FFFFFF"/>
          <w:lang w:val="es-ES"/>
        </w:rPr>
        <w:t xml:space="preserve">, C-1019 del 31 de diciembre de 2024, </w:t>
      </w:r>
      <w:r w:rsidRPr="007D5E16">
        <w:rPr>
          <w:rFonts w:ascii="Verdana" w:hAnsi="Verdana" w:eastAsia="Calibri" w:cs="Arial"/>
          <w:lang w:eastAsia="es-ES"/>
        </w:rPr>
        <w:t>C–269 del 7 de abril de 2025,</w:t>
      </w:r>
      <w:r>
        <w:rPr>
          <w:rFonts w:ascii="Verdana" w:hAnsi="Verdana" w:eastAsia="Calibri" w:cs="Arial"/>
          <w:b/>
          <w:bCs/>
          <w:lang w:eastAsia="es-ES"/>
        </w:rPr>
        <w:t xml:space="preserve"> </w:t>
      </w:r>
      <w:r>
        <w:rPr>
          <w:rFonts w:ascii="Verdana" w:hAnsi="Verdana" w:cs="Arial"/>
          <w:shd w:val="clear" w:color="auto" w:fill="FFFFFF"/>
          <w:lang w:val="es-ES"/>
        </w:rPr>
        <w:t xml:space="preserve">C-373 del  6 de mayo de 2025, C-407 del 8 de mayo de 2025, C-576 del 26 de mayo </w:t>
      </w:r>
      <w:r w:rsidRPr="009F635A">
        <w:rPr>
          <w:rFonts w:ascii="Verdana" w:hAnsi="Verdana" w:cs="Arial"/>
          <w:shd w:val="clear" w:color="auto" w:fill="FFFFFF"/>
          <w:lang w:val="es-ES"/>
        </w:rPr>
        <w:t>de 2025,</w:t>
      </w:r>
      <w:r>
        <w:rPr>
          <w:rFonts w:ascii="Verdana" w:hAnsi="Verdana" w:cs="Arial"/>
          <w:shd w:val="clear" w:color="auto" w:fill="FFFFFF"/>
          <w:lang w:val="es-ES"/>
        </w:rPr>
        <w:t xml:space="preserve"> C-1273 del 25 de septiembre de 2025,</w:t>
      </w:r>
      <w:r w:rsidRPr="009F635A">
        <w:rPr>
          <w:rFonts w:ascii="Verdana" w:hAnsi="Verdana" w:cs="Arial"/>
          <w:shd w:val="clear" w:color="auto" w:fill="FFFFFF"/>
          <w:lang w:val="es-ES"/>
        </w:rPr>
        <w:t xml:space="preserve"> entre otros</w:t>
      </w:r>
      <w:r w:rsidRPr="009F635A">
        <w:rPr>
          <w:rFonts w:ascii="Verdana" w:hAnsi="Verdana" w:eastAsia="Times New Roman" w:cs="Arial"/>
          <w:shd w:val="clear" w:color="auto" w:fill="FFFFFF"/>
          <w:lang w:val="es-ES"/>
        </w:rPr>
        <w:t>.</w:t>
      </w:r>
      <w:r>
        <w:rPr>
          <w:rFonts w:ascii="Verdana" w:hAnsi="Verdana" w:eastAsia="Times New Roman" w:cs="Arial"/>
          <w:shd w:val="clear" w:color="auto" w:fill="FFFFFF"/>
          <w:lang w:val="es-ES"/>
        </w:rPr>
        <w:t xml:space="preserve"> </w:t>
      </w:r>
      <w:r w:rsidRPr="009F635A">
        <w:rPr>
          <w:rFonts w:ascii="Verdana" w:hAnsi="Verdana" w:cs="Arial"/>
        </w:rPr>
        <w:t xml:space="preserve">Estos y otros </w:t>
      </w:r>
      <w:r w:rsidRPr="009F635A">
        <w:rPr>
          <w:rFonts w:ascii="Verdana" w:hAnsi="Verdana"/>
        </w:rPr>
        <w:t>conceptos se encuentran disponibles para consulta en el Sistema</w:t>
      </w:r>
      <w:r w:rsidRPr="00FF007A">
        <w:rPr>
          <w:rFonts w:ascii="Verdana" w:hAnsi="Verdana"/>
        </w:rPr>
        <w:t xml:space="preserve"> de relatoría de la Agencia, al cual se puede acceder a través del siguiente enlace:</w:t>
      </w:r>
      <w:r w:rsidRPr="00FF007A">
        <w:rPr>
          <w:rFonts w:ascii="Verdana" w:hAnsi="Verdana" w:cs="Arial"/>
          <w:shd w:val="clear" w:color="auto" w:fill="FFFFFF"/>
        </w:rPr>
        <w:t xml:space="preserve"> </w:t>
      </w:r>
    </w:p>
    <w:p w:rsidRPr="00A454F0" w:rsidR="00EA6E14" w:rsidP="00EA6E14" w:rsidRDefault="00EA6E14" w14:paraId="4CE712D6" w14:textId="77777777">
      <w:pPr>
        <w:widowControl w:val="0"/>
        <w:autoSpaceDE w:val="0"/>
        <w:autoSpaceDN w:val="0"/>
        <w:spacing w:after="0" w:line="276" w:lineRule="auto"/>
        <w:jc w:val="both"/>
        <w:rPr>
          <w:rFonts w:ascii="Verdana" w:hAnsi="Verdana" w:cs="Arial"/>
          <w:shd w:val="clear" w:color="auto" w:fill="FFFFFF"/>
        </w:rPr>
      </w:pPr>
      <w:hyperlink w:history="1" r:id="rId16">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rsidR="00EA6E14" w:rsidP="00EA6E14" w:rsidRDefault="00EA6E14" w14:paraId="57CA805F" w14:textId="77777777">
      <w:pPr>
        <w:spacing w:after="0" w:line="240" w:lineRule="auto"/>
        <w:jc w:val="both"/>
        <w:rPr>
          <w:rFonts w:ascii="Verdana" w:hAnsi="Verdana"/>
        </w:rPr>
      </w:pPr>
    </w:p>
    <w:p w:rsidRPr="00FF007A" w:rsidR="00EA6E14" w:rsidP="00EA6E14" w:rsidRDefault="00EA6E14" w14:paraId="0EAB942E" w14:textId="77777777">
      <w:pPr>
        <w:spacing w:after="120" w:line="276" w:lineRule="auto"/>
        <w:jc w:val="both"/>
        <w:rPr>
          <w:rFonts w:ascii="Verdana" w:hAnsi="Verdana" w:eastAsia="Calibri" w:cs="Times New Roman"/>
        </w:rPr>
      </w:pPr>
      <w:r w:rsidRPr="00FF007A">
        <w:rPr>
          <w:rFonts w:ascii="Verdana" w:hAnsi="Verdana"/>
        </w:rPr>
        <w:t xml:space="preserve">Aprovechamos la oportunidad para manifestar la entera disposición de la Agencia Nacional de Contratación Pública –Colombia Compra Eficiente– para </w:t>
      </w:r>
      <w:r w:rsidRPr="00FF007A">
        <w:rPr>
          <w:rFonts w:ascii="Verdana" w:hAnsi="Verdana"/>
        </w:rPr>
        <w:lastRenderedPageBreak/>
        <w:t xml:space="preserve">atender las peticiones o solicitudes, así como para brindar el apoyo que se requiera en el marco de nuestras funciones a través de nuestros diferentes canales de atención: </w:t>
      </w:r>
    </w:p>
    <w:p w:rsidRPr="00FF007A" w:rsidR="00EA6E14" w:rsidP="00EA6E14" w:rsidRDefault="00EA6E14" w14:paraId="6760701E" w14:textId="77777777">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rsidRPr="00FF007A" w:rsidR="00EA6E14" w:rsidP="00EA6E14" w:rsidRDefault="00EA6E14" w14:paraId="79BA0CB5" w14:textId="77777777">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rsidRPr="00FF007A" w:rsidR="00EA6E14" w:rsidP="00EA6E14" w:rsidRDefault="00EA6E14" w14:paraId="7186657A" w14:textId="77777777">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rsidRPr="00FF007A" w:rsidR="00EA6E14" w:rsidP="00EA6E14" w:rsidRDefault="00EA6E14" w14:paraId="4BEFDE8C" w14:textId="77777777">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w:history="1" r:id="rId17">
        <w:r w:rsidRPr="00FF007A">
          <w:rPr>
            <w:rStyle w:val="Hipervnculo"/>
            <w:rFonts w:ascii="Verdana" w:hAnsi="Verdana"/>
            <w:lang w:val="es-CO"/>
          </w:rPr>
          <w:t>www.colombiacompra.gov.co</w:t>
        </w:r>
      </w:hyperlink>
    </w:p>
    <w:p w:rsidRPr="00FF007A" w:rsidR="00EA6E14" w:rsidP="00EA6E14" w:rsidRDefault="00EA6E14" w14:paraId="4C3989FC" w14:textId="77777777">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rsidRPr="00FF007A" w:rsidR="00EA6E14" w:rsidP="00EA6E14" w:rsidRDefault="00EA6E14" w14:paraId="566F5C51" w14:textId="77777777">
      <w:pPr>
        <w:spacing w:after="0" w:line="276" w:lineRule="auto"/>
        <w:jc w:val="both"/>
        <w:rPr>
          <w:rFonts w:ascii="Verdana" w:hAnsi="Verdana"/>
        </w:rPr>
      </w:pPr>
    </w:p>
    <w:p w:rsidRPr="00FF007A" w:rsidR="00EA6E14" w:rsidP="00EA6E14" w:rsidRDefault="00EA6E14" w14:paraId="09356C1E" w14:textId="77777777">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rsidRPr="00FF007A" w:rsidR="00EA6E14" w:rsidP="00EA6E14" w:rsidRDefault="00EA6E14" w14:paraId="61816275" w14:textId="77777777">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rsidRPr="00FF007A" w:rsidR="00EA6E14" w:rsidP="00EA6E14" w:rsidRDefault="00EA6E14" w14:paraId="3BAB1F1C" w14:textId="77777777">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rsidRPr="00FF007A" w:rsidR="00EA6E14" w:rsidP="00EA6E14" w:rsidRDefault="00EA6E14" w14:paraId="2ED551A2" w14:textId="77777777">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rsidRPr="00FF007A" w:rsidR="00EA6E14" w:rsidP="00EA6E14" w:rsidRDefault="00EA6E14" w14:paraId="48A9933C" w14:textId="77777777">
      <w:pPr>
        <w:spacing w:after="0" w:line="276" w:lineRule="auto"/>
        <w:jc w:val="both"/>
        <w:rPr>
          <w:rFonts w:ascii="Verdana" w:hAnsi="Verdana" w:eastAsia="Calibri" w:cs="Times New Roman"/>
        </w:rPr>
      </w:pPr>
    </w:p>
    <w:p w:rsidRPr="00FF007A" w:rsidR="00EA6E14" w:rsidP="00EA6E14" w:rsidRDefault="00EA6E14" w14:paraId="2C824767" w14:textId="77777777">
      <w:pPr>
        <w:spacing w:after="0" w:line="276" w:lineRule="auto"/>
        <w:jc w:val="both"/>
        <w:rPr>
          <w:rFonts w:ascii="Verdana" w:hAnsi="Verdana" w:eastAsia="Calibri" w:cs="Times New Roman"/>
        </w:rPr>
      </w:pPr>
      <w:r w:rsidRPr="00FF007A">
        <w:rPr>
          <w:rFonts w:ascii="Verdana" w:hAnsi="Verdana" w:eastAsia="Calibri" w:cs="Times New Roman"/>
        </w:rPr>
        <w:t>Atentamente,</w:t>
      </w:r>
    </w:p>
    <w:p w:rsidRPr="00FF007A" w:rsidR="00EA6E14" w:rsidP="00EA6E14" w:rsidRDefault="00376D2E" w14:paraId="1CFA15C2" w14:textId="19E381AF">
      <w:pPr>
        <w:spacing w:after="0" w:line="256" w:lineRule="auto"/>
        <w:jc w:val="center"/>
        <w:rPr>
          <w:rFonts w:ascii="Verdana" w:hAnsi="Verdana" w:eastAsia="Calibri" w:cs="Times New Roman"/>
        </w:rPr>
      </w:pPr>
      <w:r>
        <w:rPr>
          <w:noProof/>
        </w:rPr>
        <w:drawing>
          <wp:inline distT="0" distB="0" distL="0" distR="0" wp14:anchorId="47F2E1F4" wp14:editId="4BD31D24">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8"/>
                    <a:stretch>
                      <a:fillRect/>
                    </a:stretch>
                  </pic:blipFill>
                  <pic:spPr>
                    <a:xfrm>
                      <a:off x="0" y="0"/>
                      <a:ext cx="3962400" cy="1866900"/>
                    </a:xfrm>
                    <a:prstGeom prst="rect">
                      <a:avLst/>
                    </a:prstGeom>
                  </pic:spPr>
                </pic:pic>
              </a:graphicData>
            </a:graphic>
          </wp:inline>
        </w:drawing>
      </w:r>
    </w:p>
    <w:tbl>
      <w:tblPr>
        <w:tblStyle w:val="Tablaconcuadrcula"/>
        <w:tblW w:w="595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061"/>
      </w:tblGrid>
      <w:tr w:rsidRPr="00FF007A" w:rsidR="00EA6E14" w:rsidTr="00BA5555" w14:paraId="447639F6" w14:textId="77777777">
        <w:trPr>
          <w:trHeight w:val="315"/>
        </w:trPr>
        <w:tc>
          <w:tcPr>
            <w:tcW w:w="893" w:type="dxa"/>
            <w:vAlign w:val="center"/>
            <w:hideMark/>
          </w:tcPr>
          <w:p w:rsidRPr="00FF007A" w:rsidR="00EA6E14" w:rsidP="00BA5555" w:rsidRDefault="00EA6E14" w14:paraId="41217710" w14:textId="77777777">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color="7F7F7F" w:themeColor="text1" w:themeTint="80" w:sz="4" w:space="0"/>
              <w:right w:val="nil"/>
            </w:tcBorders>
            <w:vAlign w:val="center"/>
            <w:hideMark/>
          </w:tcPr>
          <w:p w:rsidRPr="00FF007A" w:rsidR="00EA6E14" w:rsidP="00BA5555" w:rsidRDefault="00EA6E14" w14:paraId="3BE17482" w14:textId="77777777">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rsidRPr="00FF007A" w:rsidR="00EA6E14" w:rsidP="00BA5555" w:rsidRDefault="00EA6E14" w14:paraId="533F74F2" w14:textId="77777777">
            <w:pPr>
              <w:contextualSpacing/>
              <w:rPr>
                <w:rFonts w:ascii="Verdana" w:hAnsi="Verdana" w:eastAsia="Arial"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Pr="00FF007A" w:rsidR="00EA6E14" w:rsidTr="00BA5555" w14:paraId="189D25E4" w14:textId="77777777">
        <w:trPr>
          <w:trHeight w:val="330"/>
        </w:trPr>
        <w:tc>
          <w:tcPr>
            <w:tcW w:w="893" w:type="dxa"/>
            <w:vAlign w:val="center"/>
            <w:hideMark/>
          </w:tcPr>
          <w:p w:rsidRPr="00FF007A" w:rsidR="00EA6E14" w:rsidP="00BA5555" w:rsidRDefault="00EA6E14" w14:paraId="069A683D" w14:textId="77777777">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color="7F7F7F" w:themeColor="text1" w:themeTint="80" w:sz="4" w:space="0"/>
              <w:left w:val="nil"/>
              <w:bottom w:val="dotted" w:color="7F7F7F" w:themeColor="text1" w:themeTint="80" w:sz="4" w:space="0"/>
              <w:right w:val="nil"/>
            </w:tcBorders>
            <w:vAlign w:val="center"/>
            <w:hideMark/>
          </w:tcPr>
          <w:p w:rsidRPr="00FF007A" w:rsidR="00EA6E14" w:rsidP="00BA5555" w:rsidRDefault="00EA6E14" w14:paraId="6C9DA5C7" w14:textId="77777777">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rsidRPr="00FF007A" w:rsidR="00EA6E14" w:rsidP="00BA5555" w:rsidRDefault="00EA6E14" w14:paraId="76EDB747" w14:textId="77777777">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Pr="00FF007A" w:rsidR="00EA6E14" w:rsidTr="00BA5555" w14:paraId="1C8CEC09" w14:textId="77777777">
        <w:trPr>
          <w:trHeight w:val="300"/>
        </w:trPr>
        <w:tc>
          <w:tcPr>
            <w:tcW w:w="893" w:type="dxa"/>
            <w:vAlign w:val="center"/>
          </w:tcPr>
          <w:p w:rsidRPr="00FF007A" w:rsidR="00EA6E14" w:rsidP="00BA5555" w:rsidRDefault="00EA6E14" w14:paraId="5FC3627C" w14:textId="77777777">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color="7F7F7F" w:themeColor="text1" w:themeTint="80" w:sz="4" w:space="0"/>
              <w:left w:val="nil"/>
              <w:bottom w:val="dotted" w:color="7F7F7F" w:themeColor="text1" w:themeTint="80" w:sz="4" w:space="0"/>
              <w:right w:val="nil"/>
            </w:tcBorders>
            <w:vAlign w:val="center"/>
          </w:tcPr>
          <w:p w:rsidRPr="00FF007A" w:rsidR="00EA6E14" w:rsidP="00BA5555" w:rsidRDefault="00EA6E14" w14:paraId="65A613E6" w14:textId="77777777">
            <w:pPr>
              <w:contextualSpacing/>
              <w:rPr>
                <w:rFonts w:ascii="Verdana" w:hAnsi="Verdana" w:eastAsia="Calibri" w:cs="Arial"/>
                <w:sz w:val="16"/>
                <w:szCs w:val="16"/>
                <w:lang w:eastAsia="es-ES"/>
              </w:rPr>
            </w:pPr>
            <w:r w:rsidRPr="00FF007A">
              <w:rPr>
                <w:rFonts w:ascii="Verdana" w:hAnsi="Verdana" w:eastAsia="Calibri" w:cs="Arial"/>
                <w:sz w:val="16"/>
                <w:szCs w:val="16"/>
                <w:lang w:eastAsia="es-ES"/>
              </w:rPr>
              <w:t xml:space="preserve">Carolina Quintero </w:t>
            </w:r>
            <w:proofErr w:type="spellStart"/>
            <w:r w:rsidRPr="00FF007A">
              <w:rPr>
                <w:rFonts w:ascii="Verdana" w:hAnsi="Verdana" w:eastAsia="Calibri" w:cs="Arial"/>
                <w:sz w:val="16"/>
                <w:szCs w:val="16"/>
                <w:lang w:eastAsia="es-ES"/>
              </w:rPr>
              <w:t>Gacharná</w:t>
            </w:r>
            <w:proofErr w:type="spellEnd"/>
          </w:p>
          <w:p w:rsidRPr="00FF007A" w:rsidR="00EA6E14" w:rsidP="00BA5555" w:rsidRDefault="00EA6E14" w14:paraId="2F564B21" w14:textId="77777777">
            <w:pPr>
              <w:contextualSpacing/>
              <w:rPr>
                <w:rFonts w:ascii="Verdana" w:hAnsi="Verdana" w:eastAsia="Calibri" w:cs="Arial"/>
                <w:sz w:val="16"/>
                <w:szCs w:val="16"/>
                <w:lang w:eastAsia="es-ES"/>
              </w:rPr>
            </w:pPr>
            <w:r w:rsidRPr="00FF007A">
              <w:rPr>
                <w:rFonts w:ascii="Verdana" w:hAnsi="Verdana" w:eastAsia="Calibri" w:cs="Arial"/>
                <w:sz w:val="16"/>
                <w:szCs w:val="16"/>
                <w:lang w:eastAsia="es-ES"/>
              </w:rPr>
              <w:t>Subdirectora de Gestión Contractual ANCP – CCE</w:t>
            </w:r>
          </w:p>
        </w:tc>
      </w:tr>
      <w:bookmarkEnd w:id="0"/>
      <w:bookmarkEnd w:id="1"/>
      <w:bookmarkEnd w:id="2"/>
      <w:bookmarkEnd w:id="3"/>
      <w:bookmarkEnd w:id="4"/>
      <w:bookmarkEnd w:id="6"/>
      <w:bookmarkEnd w:id="7"/>
    </w:tbl>
    <w:p w:rsidRPr="00DA731C" w:rsidR="00EA6E14" w:rsidP="00EA6E14" w:rsidRDefault="00EA6E14" w14:paraId="6547CDD7" w14:textId="77777777"/>
    <w:bookmarkEnd w:id="5"/>
    <w:p w:rsidRPr="00C7004E" w:rsidR="00127233" w:rsidP="00C7004E" w:rsidRDefault="00127233" w14:paraId="0F293BF4" w14:textId="51CC7DA4"/>
    <w:sectPr w:rsidRPr="00C7004E" w:rsidR="00127233" w:rsidSect="007C0C0F">
      <w:headerReference w:type="default" r:id="rId19"/>
      <w:footerReference w:type="default" r:id="rId20"/>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A1CCF" w:rsidP="004A1847" w:rsidRDefault="008A1CCF" w14:paraId="64240DCE" w14:textId="77777777">
      <w:pPr>
        <w:spacing w:after="0" w:line="240" w:lineRule="auto"/>
      </w:pPr>
      <w:r>
        <w:separator/>
      </w:r>
    </w:p>
  </w:endnote>
  <w:endnote w:type="continuationSeparator" w:id="0">
    <w:p w:rsidR="008A1CCF" w:rsidP="004A1847" w:rsidRDefault="008A1CCF" w14:paraId="6B36A96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A1CCF" w:rsidP="004A1847" w:rsidRDefault="008A1CCF" w14:paraId="5BEF87DE" w14:textId="77777777">
      <w:pPr>
        <w:spacing w:after="0" w:line="240" w:lineRule="auto"/>
      </w:pPr>
      <w:r>
        <w:separator/>
      </w:r>
    </w:p>
  </w:footnote>
  <w:footnote w:type="continuationSeparator" w:id="0">
    <w:p w:rsidR="008A1CCF" w:rsidP="004A1847" w:rsidRDefault="008A1CCF" w14:paraId="138BE104" w14:textId="77777777">
      <w:pPr>
        <w:spacing w:after="0" w:line="240" w:lineRule="auto"/>
      </w:pPr>
      <w:r>
        <w:continuationSeparator/>
      </w:r>
    </w:p>
  </w:footnote>
  <w:footnote w:id="1">
    <w:p w:rsidR="00EA6E14" w:rsidP="00EA6E14" w:rsidRDefault="00EA6E14" w14:paraId="2F1BAD1F" w14:textId="77777777">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Sobre esta norma, consultar los conceptos del 8 de octubre de 2019, con radicado No. 2201913000007532, y del 20 de diciembre de 2019, con radicado No. 4201913000008240.</w:t>
      </w:r>
    </w:p>
    <w:p w:rsidRPr="00881DAB" w:rsidR="00EA6E14" w:rsidP="00EA6E14" w:rsidRDefault="00EA6E14" w14:paraId="53CD40B9" w14:textId="77777777">
      <w:pPr>
        <w:pStyle w:val="Textonotapie"/>
        <w:ind w:firstLine="708"/>
        <w:jc w:val="both"/>
        <w:rPr>
          <w:rFonts w:ascii="Verdana" w:hAnsi="Verdana" w:cs="Arial"/>
          <w:sz w:val="16"/>
          <w:szCs w:val="16"/>
        </w:rPr>
      </w:pPr>
    </w:p>
  </w:footnote>
  <w:footnote w:id="2">
    <w:p w:rsidRPr="00881DAB" w:rsidR="00EA6E14" w:rsidP="00EA6E14" w:rsidRDefault="00EA6E14" w14:paraId="0438D779" w14:textId="77777777">
      <w:pPr>
        <w:pStyle w:val="Textonotapie"/>
        <w:ind w:firstLine="708"/>
        <w:jc w:val="both"/>
        <w:rPr>
          <w:rFonts w:ascii="Verdana" w:hAnsi="Verdana" w:cs="Arial"/>
          <w:sz w:val="16"/>
          <w:szCs w:val="16"/>
        </w:rPr>
      </w:pPr>
      <w:r w:rsidRPr="00881DAB">
        <w:rPr>
          <w:rStyle w:val="Refdenotaalpie"/>
          <w:rFonts w:ascii="Verdana" w:hAnsi="Verdana"/>
          <w:sz w:val="16"/>
          <w:szCs w:val="16"/>
        </w:rPr>
        <w:footnoteRef/>
      </w:r>
      <w:r w:rsidRPr="00881DAB">
        <w:rPr>
          <w:rFonts w:ascii="Verdana" w:hAnsi="Verdana"/>
          <w:sz w:val="16"/>
          <w:szCs w:val="16"/>
        </w:rPr>
        <w:t xml:space="preserve"> </w:t>
      </w:r>
      <w:r w:rsidRPr="00881DAB">
        <w:rPr>
          <w:rFonts w:ascii="Verdana" w:hAnsi="Verdana" w:cs="Arial"/>
          <w:sz w:val="16"/>
          <w:szCs w:val="16"/>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rsidRPr="00881DAB" w:rsidR="00EA6E14" w:rsidP="00EA6E14" w:rsidRDefault="00EA6E14" w14:paraId="13AEDD67" w14:textId="77777777">
      <w:pPr>
        <w:pStyle w:val="Textonotapie"/>
        <w:ind w:firstLine="708"/>
        <w:jc w:val="both"/>
        <w:rPr>
          <w:rFonts w:ascii="Verdana" w:hAnsi="Verdana" w:cs="Arial"/>
          <w:sz w:val="16"/>
          <w:szCs w:val="16"/>
        </w:rPr>
      </w:pPr>
      <w:r w:rsidRPr="00881DAB">
        <w:rPr>
          <w:rFonts w:ascii="Verdana" w:hAnsi="Verdana" w:cs="Arial"/>
          <w:sz w:val="16"/>
          <w:szCs w:val="16"/>
        </w:rPr>
        <w:t xml:space="preserve">Los convenios de asociación a que se refiere el presente artículo </w:t>
      </w:r>
      <w:bookmarkStart w:name="_Hlk36023315" w:id="11"/>
      <w:r w:rsidRPr="00881DAB">
        <w:rPr>
          <w:rFonts w:ascii="Verdana" w:hAnsi="Verdana" w:cs="Arial"/>
          <w:sz w:val="16"/>
          <w:szCs w:val="16"/>
        </w:rPr>
        <w:t>se celebrarán de conformidad con lo dispuesto en el artículo 355 de la Constitución Política</w:t>
      </w:r>
      <w:bookmarkEnd w:id="11"/>
      <w:r w:rsidRPr="00881DAB">
        <w:rPr>
          <w:rFonts w:ascii="Verdana" w:hAnsi="Verdana" w:cs="Arial"/>
          <w:sz w:val="16"/>
          <w:szCs w:val="16"/>
        </w:rPr>
        <w:t>, en ellos se determinará con precisión su objeto, término, obligaciones de las partes, aportes, coordinación y todos aquellos aspectos que se consideren pertinentes”.</w:t>
      </w:r>
    </w:p>
  </w:footnote>
  <w:footnote w:id="3">
    <w:p w:rsidR="00EA6E14" w:rsidP="00EA6E14" w:rsidRDefault="00EA6E14" w14:paraId="367084D9" w14:textId="77777777">
      <w:pPr>
        <w:pStyle w:val="Textonotapie"/>
        <w:ind w:firstLine="708"/>
        <w:jc w:val="both"/>
        <w:rPr>
          <w:rFonts w:ascii="Verdana" w:hAnsi="Verdana" w:cs="Arial"/>
          <w:sz w:val="16"/>
          <w:szCs w:val="16"/>
        </w:rPr>
      </w:pPr>
      <w:r w:rsidRPr="005C742E">
        <w:rPr>
          <w:rStyle w:val="Refdenotaalpie"/>
          <w:rFonts w:ascii="Arial" w:hAnsi="Arial" w:cs="Arial"/>
          <w:sz w:val="19"/>
          <w:szCs w:val="19"/>
        </w:rPr>
        <w:footnoteRef/>
      </w:r>
      <w:r w:rsidRPr="005C742E">
        <w:rPr>
          <w:rFonts w:ascii="Arial" w:hAnsi="Arial" w:cs="Arial"/>
          <w:sz w:val="19"/>
          <w:szCs w:val="19"/>
        </w:rPr>
        <w:t xml:space="preserve"> </w:t>
      </w:r>
      <w:r w:rsidRPr="00D47655">
        <w:rPr>
          <w:rFonts w:ascii="Verdana" w:hAnsi="Verdana" w:cs="Arial"/>
          <w:sz w:val="16"/>
          <w:szCs w:val="16"/>
        </w:rPr>
        <w:t xml:space="preserve">CHÁVEZ MARÍN, Augusto Ramón, Los Convenios de la Administración. Entre la gestión pública y la actividad contractual. 4ta Ed. Bogotá, Temis. 2020, pp. 426-427. </w:t>
      </w:r>
    </w:p>
    <w:p w:rsidRPr="00D47655" w:rsidR="00EA6E14" w:rsidP="00EA6E14" w:rsidRDefault="00EA6E14" w14:paraId="15A536CD" w14:textId="77777777">
      <w:pPr>
        <w:pStyle w:val="Textonotapie"/>
        <w:ind w:firstLine="708"/>
        <w:jc w:val="both"/>
        <w:rPr>
          <w:rFonts w:ascii="Verdana" w:hAnsi="Verdana" w:cs="Arial"/>
          <w:sz w:val="16"/>
          <w:szCs w:val="16"/>
        </w:rPr>
      </w:pPr>
    </w:p>
  </w:footnote>
  <w:footnote w:id="4">
    <w:p w:rsidR="00EA6E14" w:rsidP="00EA6E14" w:rsidRDefault="00EA6E14" w14:paraId="7E341243" w14:textId="77777777">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Concepto del 3 de septiembre de 2019, con radicado No. 2201913000006512.</w:t>
      </w:r>
    </w:p>
    <w:p w:rsidRPr="00881DAB" w:rsidR="00EA6E14" w:rsidP="00EA6E14" w:rsidRDefault="00EA6E14" w14:paraId="2EAD9298" w14:textId="77777777">
      <w:pPr>
        <w:pStyle w:val="Textonotapie"/>
        <w:ind w:firstLine="708"/>
        <w:jc w:val="both"/>
        <w:rPr>
          <w:rFonts w:ascii="Verdana" w:hAnsi="Verdana" w:cs="Arial"/>
          <w:sz w:val="16"/>
          <w:szCs w:val="16"/>
        </w:rPr>
      </w:pPr>
    </w:p>
  </w:footnote>
  <w:footnote w:id="5">
    <w:p w:rsidRPr="00881DAB" w:rsidR="00EA6E14" w:rsidP="00EA6E14" w:rsidRDefault="00EA6E14" w14:paraId="53DDAD9B" w14:textId="77777777">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6">
    <w:p w:rsidR="00EA6E14" w:rsidP="00EA6E14" w:rsidRDefault="00EA6E14" w14:paraId="7A59EBB9" w14:textId="77777777">
      <w:pPr>
        <w:pStyle w:val="Textonotapie"/>
        <w:ind w:firstLine="708"/>
        <w:jc w:val="both"/>
        <w:rPr>
          <w:rFonts w:ascii="Verdana" w:hAnsi="Verdana" w:cs="Arial"/>
          <w:color w:val="000000" w:themeColor="text1"/>
          <w:sz w:val="16"/>
          <w:szCs w:val="16"/>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Cfr. Concepto del 21 de agosto de 2019, dictado dentro del radicado No. 2201913000006047.</w:t>
      </w:r>
    </w:p>
    <w:p w:rsidRPr="00881DAB" w:rsidR="00EA6E14" w:rsidP="00EA6E14" w:rsidRDefault="00EA6E14" w14:paraId="66B4FEEF" w14:textId="77777777">
      <w:pPr>
        <w:pStyle w:val="Textonotapie"/>
        <w:ind w:firstLine="708"/>
        <w:jc w:val="both"/>
        <w:rPr>
          <w:rFonts w:ascii="Verdana" w:hAnsi="Verdana" w:cs="Arial"/>
          <w:color w:val="000000" w:themeColor="text1"/>
          <w:sz w:val="16"/>
          <w:szCs w:val="16"/>
        </w:rPr>
      </w:pPr>
    </w:p>
  </w:footnote>
  <w:footnote w:id="7">
    <w:p w:rsidRPr="00881DAB" w:rsidR="00EA6E14" w:rsidP="00EA6E14" w:rsidRDefault="00EA6E14" w14:paraId="48A4F1DD" w14:textId="77777777">
      <w:pPr>
        <w:pStyle w:val="Textonotapie"/>
        <w:ind w:firstLine="708"/>
        <w:jc w:val="both"/>
        <w:rPr>
          <w:rFonts w:ascii="Verdana" w:hAnsi="Verdana" w:cs="Arial"/>
          <w:color w:val="000000" w:themeColor="text1"/>
          <w:sz w:val="16"/>
          <w:szCs w:val="16"/>
          <w:lang w:val="es-ES"/>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w:t>
      </w:r>
      <w:r>
        <w:rPr>
          <w:rFonts w:ascii="Verdana" w:hAnsi="Verdana" w:cs="Arial"/>
          <w:color w:val="000000" w:themeColor="text1"/>
          <w:sz w:val="16"/>
          <w:szCs w:val="16"/>
        </w:rPr>
        <w:t xml:space="preserve">Consejo de Estado. Sala de Consulta y Servicio Civil. </w:t>
      </w:r>
      <w:r w:rsidRPr="00881DAB">
        <w:rPr>
          <w:rFonts w:ascii="Verdana" w:hAnsi="Verdana" w:cs="Arial"/>
          <w:color w:val="000000" w:themeColor="text1"/>
          <w:sz w:val="16"/>
          <w:szCs w:val="16"/>
        </w:rPr>
        <w:t>Concepto del 24 de febrero de 2005</w:t>
      </w:r>
      <w:r>
        <w:rPr>
          <w:rFonts w:ascii="Verdana" w:hAnsi="Verdana" w:cs="Arial"/>
          <w:color w:val="000000" w:themeColor="text1"/>
          <w:sz w:val="16"/>
          <w:szCs w:val="16"/>
        </w:rPr>
        <w:t xml:space="preserve">. Radicado: </w:t>
      </w:r>
      <w:r w:rsidRPr="00881DAB">
        <w:rPr>
          <w:rFonts w:ascii="Verdana" w:hAnsi="Verdana" w:cs="Arial"/>
          <w:color w:val="000000" w:themeColor="text1"/>
          <w:sz w:val="16"/>
          <w:szCs w:val="16"/>
        </w:rPr>
        <w:t>No. 1626, C.P</w:t>
      </w:r>
      <w:r>
        <w:rPr>
          <w:rFonts w:ascii="Verdana" w:hAnsi="Verdana" w:cs="Arial"/>
          <w:color w:val="000000" w:themeColor="text1"/>
          <w:sz w:val="16"/>
          <w:szCs w:val="16"/>
        </w:rPr>
        <w:t>:</w:t>
      </w:r>
      <w:r w:rsidRPr="00881DAB">
        <w:rPr>
          <w:rFonts w:ascii="Verdana" w:hAnsi="Verdana" w:cs="Arial"/>
          <w:color w:val="000000" w:themeColor="text1"/>
          <w:sz w:val="16"/>
          <w:szCs w:val="16"/>
        </w:rPr>
        <w:t xml:space="preserve"> Gloria Duque Hernández</w:t>
      </w:r>
      <w:r>
        <w:rPr>
          <w:rFonts w:ascii="Verdana" w:hAnsi="Verdana" w:cs="Arial"/>
          <w:color w:val="000000" w:themeColor="text1"/>
          <w:sz w:val="16"/>
          <w:szCs w:val="16"/>
        </w:rPr>
        <w:t>.</w:t>
      </w:r>
    </w:p>
  </w:footnote>
  <w:footnote w:id="8">
    <w:p w:rsidRPr="00881DAB" w:rsidR="00EA6E14" w:rsidP="00EA6E14" w:rsidRDefault="00EA6E14" w14:paraId="7ADF795B" w14:textId="77777777">
      <w:pPr>
        <w:pStyle w:val="Textonotapie"/>
        <w:ind w:firstLine="708"/>
        <w:jc w:val="both"/>
        <w:rPr>
          <w:rFonts w:ascii="Verdana" w:hAnsi="Verdana" w:cs="Arial"/>
          <w:color w:val="000000" w:themeColor="text1"/>
          <w:sz w:val="16"/>
          <w:szCs w:val="16"/>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Decreto </w:t>
      </w:r>
      <w:r>
        <w:rPr>
          <w:rFonts w:ascii="Verdana" w:hAnsi="Verdana" w:cs="Arial"/>
          <w:color w:val="000000" w:themeColor="text1"/>
          <w:sz w:val="16"/>
          <w:szCs w:val="16"/>
        </w:rPr>
        <w:t>092 de 2017</w:t>
      </w:r>
      <w:r w:rsidRPr="00881DAB">
        <w:rPr>
          <w:rFonts w:ascii="Verdana" w:hAnsi="Verdana" w:cs="Arial"/>
          <w:color w:val="000000" w:themeColor="text1"/>
          <w:sz w:val="16"/>
          <w:szCs w:val="16"/>
        </w:rPr>
        <w:t>, artículo 5: “</w:t>
      </w:r>
      <w:r>
        <w:rPr>
          <w:rFonts w:ascii="Verdana" w:hAnsi="Verdana" w:cs="Arial"/>
          <w:color w:val="000000" w:themeColor="text1"/>
          <w:sz w:val="16"/>
          <w:szCs w:val="16"/>
        </w:rPr>
        <w:t xml:space="preserve">(…) </w:t>
      </w:r>
      <w:r w:rsidRPr="00881DAB">
        <w:rPr>
          <w:rFonts w:ascii="Verdana" w:hAnsi="Verdana" w:cs="Arial"/>
          <w:color w:val="000000" w:themeColor="text1"/>
          <w:sz w:val="16"/>
          <w:szCs w:val="16"/>
        </w:rPr>
        <w:t>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9">
    <w:p w:rsidRPr="00254B21" w:rsidR="00EA6E14" w:rsidP="00EA6E14" w:rsidRDefault="00EA6E14" w14:paraId="6A3FA299" w14:textId="77777777">
      <w:pPr>
        <w:pStyle w:val="Textonotapie"/>
        <w:ind w:right="-141" w:firstLine="720"/>
        <w:jc w:val="both"/>
        <w:rPr>
          <w:rFonts w:ascii="Verdana" w:hAnsi="Verdana" w:cs="Arial"/>
          <w:sz w:val="16"/>
          <w:szCs w:val="16"/>
          <w:lang w:val="es-ES_tradnl"/>
        </w:rPr>
      </w:pPr>
      <w:r w:rsidRPr="00254B21">
        <w:rPr>
          <w:rStyle w:val="Refdenotaalpie"/>
          <w:rFonts w:ascii="Verdana" w:hAnsi="Verdana" w:cs="Arial"/>
          <w:sz w:val="16"/>
          <w:szCs w:val="16"/>
        </w:rPr>
        <w:footnoteRef/>
      </w:r>
      <w:r w:rsidRPr="00254B21">
        <w:rPr>
          <w:rFonts w:ascii="Verdana" w:hAnsi="Verdana" w:cs="Arial"/>
          <w:sz w:val="16"/>
          <w:szCs w:val="16"/>
          <w:lang w:val="es-CO"/>
        </w:rPr>
        <w:t xml:space="preserve"> C</w:t>
      </w:r>
      <w:r>
        <w:rPr>
          <w:rFonts w:ascii="Verdana" w:hAnsi="Verdana" w:cs="Arial"/>
          <w:sz w:val="16"/>
          <w:szCs w:val="16"/>
          <w:lang w:val="es-CO"/>
        </w:rPr>
        <w:t xml:space="preserve">orte Constitucional. </w:t>
      </w:r>
      <w:r w:rsidRPr="00254B21">
        <w:rPr>
          <w:rFonts w:ascii="Verdana" w:hAnsi="Verdana" w:cs="Arial"/>
          <w:sz w:val="16"/>
          <w:szCs w:val="16"/>
          <w:lang w:val="es-ES_tradnl"/>
        </w:rPr>
        <w:t xml:space="preserve">Sentencia C-768 de 23 de septiembre de 2010. </w:t>
      </w:r>
      <w:r w:rsidRPr="00254B21">
        <w:rPr>
          <w:rFonts w:ascii="Verdana" w:hAnsi="Verdana" w:cs="Arial"/>
          <w:sz w:val="16"/>
          <w:szCs w:val="16"/>
          <w:lang w:val="es-CO"/>
        </w:rPr>
        <w:t>M.P: Juan Carlos Henao Pérez</w:t>
      </w:r>
      <w:r w:rsidRPr="00254B21">
        <w:rPr>
          <w:rFonts w:ascii="Verdana" w:hAnsi="Verdana" w:cs="Arial"/>
          <w:sz w:val="16"/>
          <w:szCs w:val="16"/>
          <w:lang w:val="es-ES_tradnl"/>
        </w:rPr>
        <w:t xml:space="preserve"> indicó: “</w:t>
      </w:r>
      <w:r w:rsidRPr="00254B21">
        <w:rPr>
          <w:rFonts w:ascii="Verdana" w:hAnsi="Verdana" w:cs="Arial"/>
          <w:i/>
          <w:sz w:val="16"/>
          <w:szCs w:val="16"/>
          <w:lang w:val="es-ES_tradnl"/>
        </w:rPr>
        <w:t>Para explicar esta afirmación conviene señalar que las estampillas han sido definidas por la jurisprudencia del Consejo de Estado</w:t>
      </w:r>
      <w:r w:rsidRPr="00254B21">
        <w:rPr>
          <w:rFonts w:ascii="Verdana" w:hAnsi="Verdana" w:cs="Arial"/>
          <w:sz w:val="16"/>
          <w:szCs w:val="16"/>
          <w:lang w:val="es-ES_tradnl"/>
        </w:rPr>
        <w:t xml:space="preserve"> (…) </w:t>
      </w:r>
      <w:r w:rsidRPr="00254B21">
        <w:rPr>
          <w:rFonts w:ascii="Verdana" w:hAnsi="Verdana" w:cs="Arial"/>
          <w:i/>
          <w:sz w:val="16"/>
          <w:szCs w:val="16"/>
          <w:lang w:val="es-ES_tradnl"/>
        </w:rPr>
        <w:t>como tributos dentro de la especie de “tasas parafiscales”, en la medida en que participan de la naturaleza de las contribuciones parafiscales, pues constituyen un gravamen cuyo pago obligatorio deben realizar los usuarios de algunas operaciones o actividades que se realizan frente a organismos de carácter público; son de carácter excepcional en cuanto al sujeto pasivo del tributo; los recursos se revierten en beneficio de un sector específico; y están destinados a sufragar gastos en que incurran las entidades que desarrollan o prestan un servicio público, como función propia del Estado.</w:t>
      </w:r>
      <w:r w:rsidRPr="00254B21">
        <w:rPr>
          <w:rFonts w:ascii="Verdana" w:hAnsi="Verdana" w:cs="Arial"/>
          <w:sz w:val="16"/>
          <w:szCs w:val="16"/>
          <w:lang w:val="es-ES_tradnl"/>
        </w:rPr>
        <w:t xml:space="preserve"> //</w:t>
      </w:r>
      <w:r w:rsidRPr="00254B21">
        <w:rPr>
          <w:rFonts w:ascii="Verdana" w:hAnsi="Verdana" w:cs="Arial"/>
          <w:i/>
          <w:sz w:val="16"/>
          <w:szCs w:val="16"/>
          <w:lang w:val="es-ES_tradnl"/>
        </w:rPr>
        <w:t xml:space="preserve"> La “tasa” si bien puede corresponder a la prestación directa de un servicio </w:t>
      </w:r>
      <w:r w:rsidRPr="00254B21">
        <w:rPr>
          <w:rFonts w:ascii="Verdana" w:hAnsi="Verdana" w:cs="Arial"/>
          <w:sz w:val="16"/>
          <w:szCs w:val="16"/>
          <w:lang w:val="es-CO"/>
        </w:rPr>
        <w:t>público</w:t>
      </w:r>
      <w:r w:rsidRPr="00254B21">
        <w:rPr>
          <w:rFonts w:ascii="Verdana" w:hAnsi="Verdana" w:cs="Arial"/>
          <w:i/>
          <w:sz w:val="16"/>
          <w:szCs w:val="16"/>
          <w:lang w:val="es-ES_tradnl"/>
        </w:rPr>
        <w:t>, del cual es usuario el contribuyente que se beneficia efectivamente, también puede corresponder al beneficio potencial por la utilización de servicios de aprovechamiento común, como la educación, la salud, el deporte, la cultura, es decir, que el gravamen se revierte en beneficio social. Las primeras se definen como tasas administrativas en cuanto equivalen a la remuneración pagada por los servicios administrativos y, las segundas, como tasas parafiscales que son las percibidas en beneficio de organismos públicos o privados, pero no por la prestación de un servicio propiamente dicho, sino por contener un carácter social</w:t>
      </w:r>
      <w:r w:rsidRPr="00254B21">
        <w:rPr>
          <w:rFonts w:ascii="Verdana" w:hAnsi="Verdana" w:cs="Arial"/>
          <w:sz w:val="16"/>
          <w:szCs w:val="16"/>
          <w:lang w:val="es-ES_tradnl"/>
        </w:rPr>
        <w:t>”.</w:t>
      </w:r>
    </w:p>
    <w:p w:rsidRPr="00254B21" w:rsidR="00EA6E14" w:rsidP="00EA6E14" w:rsidRDefault="00EA6E14" w14:paraId="264DC23E" w14:textId="77777777">
      <w:pPr>
        <w:pStyle w:val="Textonotapie"/>
        <w:ind w:firstLine="720"/>
        <w:jc w:val="both"/>
        <w:rPr>
          <w:rFonts w:ascii="Verdana" w:hAnsi="Verdana" w:cs="Arial"/>
          <w:sz w:val="16"/>
          <w:szCs w:val="16"/>
          <w:lang w:val="es-CO"/>
        </w:rPr>
      </w:pPr>
    </w:p>
  </w:footnote>
  <w:footnote w:id="10">
    <w:p w:rsidRPr="00254B21" w:rsidR="00EA6E14" w:rsidP="00EA6E14" w:rsidRDefault="00EA6E14" w14:paraId="10218544" w14:textId="77777777">
      <w:pPr>
        <w:pStyle w:val="Textonotapie"/>
        <w:ind w:firstLine="720"/>
        <w:jc w:val="both"/>
        <w:rPr>
          <w:rFonts w:ascii="Verdana" w:hAnsi="Verdana" w:cs="Arial"/>
          <w:sz w:val="16"/>
          <w:szCs w:val="16"/>
          <w:lang w:val="es-CO"/>
        </w:rPr>
      </w:pPr>
      <w:r w:rsidRPr="00254B21">
        <w:rPr>
          <w:rStyle w:val="Refdenotaalpie"/>
          <w:rFonts w:ascii="Verdana" w:hAnsi="Verdana" w:cs="Arial"/>
          <w:sz w:val="16"/>
          <w:szCs w:val="16"/>
        </w:rPr>
        <w:footnoteRef/>
      </w:r>
      <w:r w:rsidRPr="00254B21">
        <w:rPr>
          <w:rFonts w:ascii="Verdana" w:hAnsi="Verdana" w:cs="Arial"/>
          <w:sz w:val="16"/>
          <w:szCs w:val="16"/>
          <w:lang w:val="es-CO"/>
        </w:rPr>
        <w:t xml:space="preserve"> Corte Constitucional. </w:t>
      </w:r>
      <w:r w:rsidRPr="00254B21">
        <w:rPr>
          <w:rFonts w:ascii="Verdana" w:hAnsi="Verdana" w:cs="Arial"/>
          <w:sz w:val="16"/>
          <w:szCs w:val="16"/>
          <w:lang w:val="es-ES_tradnl"/>
        </w:rPr>
        <w:t>Sentencia C-221 de 22 de mayo de 2019. M.P: Carlos Bernal Pulido. En la sentencia se indicó que la estampilla ‘</w:t>
      </w:r>
      <w:r w:rsidRPr="00254B21">
        <w:rPr>
          <w:rFonts w:ascii="Verdana" w:hAnsi="Verdana" w:cs="Arial"/>
          <w:i/>
          <w:sz w:val="16"/>
          <w:szCs w:val="16"/>
          <w:lang w:val="es-ES_tradnl"/>
        </w:rPr>
        <w:t>Pro-Universidad Nacional de Colombia y demás universidades estatales de Colombia</w:t>
      </w:r>
      <w:r w:rsidRPr="00254B21">
        <w:rPr>
          <w:rFonts w:ascii="Verdana" w:hAnsi="Verdana" w:cs="Arial"/>
          <w:sz w:val="16"/>
          <w:szCs w:val="16"/>
          <w:lang w:val="es-ES_tradnl"/>
        </w:rPr>
        <w:t xml:space="preserve">’ indicó que se trataba de un impuesto </w:t>
      </w:r>
      <w:r w:rsidRPr="00254B21">
        <w:rPr>
          <w:rFonts w:ascii="Verdana" w:hAnsi="Verdana" w:cs="Arial"/>
          <w:sz w:val="16"/>
          <w:szCs w:val="16"/>
          <w:lang w:val="es-CO"/>
        </w:rPr>
        <w:t>con destinación específica “</w:t>
      </w:r>
      <w:r w:rsidRPr="00254B21">
        <w:rPr>
          <w:rFonts w:ascii="Verdana" w:hAnsi="Verdana" w:cs="Arial"/>
          <w:i/>
          <w:sz w:val="16"/>
          <w:szCs w:val="16"/>
          <w:lang w:val="es-CO"/>
        </w:rPr>
        <w:t>pues se trata de una</w:t>
      </w:r>
      <w:r w:rsidRPr="00254B21">
        <w:rPr>
          <w:rFonts w:ascii="Verdana" w:hAnsi="Verdana" w:cs="Arial"/>
          <w:sz w:val="16"/>
          <w:szCs w:val="16"/>
          <w:lang w:val="es-CO"/>
        </w:rPr>
        <w:t xml:space="preserve"> “</w:t>
      </w:r>
      <w:r w:rsidRPr="00254B21">
        <w:rPr>
          <w:rFonts w:ascii="Verdana" w:hAnsi="Verdana" w:cs="Arial"/>
          <w:i/>
          <w:sz w:val="16"/>
          <w:szCs w:val="16"/>
          <w:bdr w:val="none" w:color="auto" w:sz="0" w:space="0" w:frame="1"/>
          <w:lang w:val="es-CO"/>
        </w:rPr>
        <w:t>imposición obligatoria y definitiva que no guarda relación directa e inmediata con la prestación de un bien o un servicio por parte del Estado al ciudadano”</w:t>
      </w:r>
      <w:r>
        <w:rPr>
          <w:rFonts w:ascii="Verdana" w:hAnsi="Verdana" w:cs="Arial"/>
          <w:sz w:val="16"/>
          <w:szCs w:val="16"/>
          <w:lang w:val="es-CO"/>
        </w:rPr>
        <w:t>.</w:t>
      </w:r>
    </w:p>
    <w:p w:rsidRPr="00EA05D2" w:rsidR="00EA6E14" w:rsidP="00EA6E14" w:rsidRDefault="00EA6E14" w14:paraId="710232C7" w14:textId="77777777">
      <w:pPr>
        <w:pStyle w:val="Textonotapie"/>
        <w:ind w:firstLine="720"/>
        <w:jc w:val="both"/>
        <w:rPr>
          <w:rFonts w:ascii="Century Gothic" w:hAnsi="Century Gothic"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RDefault="009D3058" w14:paraId="435F4D03" w14:textId="0903BF04">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DC39FC" w:rsidP="004A305D" w:rsidRDefault="00DC39FC" w14:paraId="3079FC11" w14:textId="77777777">
    <w:pPr>
      <w:spacing w:after="0"/>
      <w:rPr>
        <w:rFonts w:ascii="Verdana" w:hAnsi="Verdana"/>
        <w:b/>
        <w:bCs/>
      </w:rPr>
    </w:pPr>
  </w:p>
  <w:p w:rsidRPr="00DC39FC" w:rsidR="004A305D" w:rsidP="004A305D" w:rsidRDefault="004A305D" w14:paraId="7FE1230C" w14:textId="77E53D9F">
    <w:pPr>
      <w:spacing w:after="0"/>
      <w:rPr>
        <w:rFonts w:ascii="Verdana" w:hAnsi="Verdana"/>
        <w:b/>
        <w:bCs/>
      </w:rPr>
    </w:pPr>
    <w:r w:rsidRPr="00DC39FC">
      <w:rPr>
        <w:rFonts w:ascii="Verdana" w:hAnsi="Verdana"/>
        <w:b/>
        <w:bCs/>
      </w:rPr>
      <w:t>FORMATO PQRSD</w:t>
    </w: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8A446D" w:rsidP="00061B2A" w:rsidRDefault="008A446D" w14:paraId="1FD1C243" w14:textId="6D74A3CF">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117" style="width:11.55pt;height:11.5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0D2909C8"/>
    <w:multiLevelType w:val="hybridMultilevel"/>
    <w:tmpl w:val="E2F20D84"/>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5C0DE3"/>
    <w:multiLevelType w:val="hybridMultilevel"/>
    <w:tmpl w:val="3A426EF4"/>
    <w:lvl w:ilvl="0" w:tplc="240A0001">
      <w:start w:val="1"/>
      <w:numFmt w:val="bullet"/>
      <w:lvlText w:val=""/>
      <w:lvlJc w:val="left"/>
      <w:pPr>
        <w:ind w:left="1429" w:hanging="360"/>
      </w:pPr>
      <w:rPr>
        <w:rFonts w:hint="default" w:ascii="Symbol" w:hAnsi="Symbol"/>
      </w:rPr>
    </w:lvl>
    <w:lvl w:ilvl="1" w:tplc="240A0003" w:tentative="1">
      <w:start w:val="1"/>
      <w:numFmt w:val="bullet"/>
      <w:lvlText w:val="o"/>
      <w:lvlJc w:val="left"/>
      <w:pPr>
        <w:ind w:left="2149" w:hanging="360"/>
      </w:pPr>
      <w:rPr>
        <w:rFonts w:hint="default" w:ascii="Courier New" w:hAnsi="Courier New" w:cs="Courier New"/>
      </w:rPr>
    </w:lvl>
    <w:lvl w:ilvl="2" w:tplc="240A0005" w:tentative="1">
      <w:start w:val="1"/>
      <w:numFmt w:val="bullet"/>
      <w:lvlText w:val=""/>
      <w:lvlJc w:val="left"/>
      <w:pPr>
        <w:ind w:left="2869" w:hanging="360"/>
      </w:pPr>
      <w:rPr>
        <w:rFonts w:hint="default" w:ascii="Wingdings" w:hAnsi="Wingdings"/>
      </w:rPr>
    </w:lvl>
    <w:lvl w:ilvl="3" w:tplc="240A0001" w:tentative="1">
      <w:start w:val="1"/>
      <w:numFmt w:val="bullet"/>
      <w:lvlText w:val=""/>
      <w:lvlJc w:val="left"/>
      <w:pPr>
        <w:ind w:left="3589" w:hanging="360"/>
      </w:pPr>
      <w:rPr>
        <w:rFonts w:hint="default" w:ascii="Symbol" w:hAnsi="Symbol"/>
      </w:rPr>
    </w:lvl>
    <w:lvl w:ilvl="4" w:tplc="240A0003" w:tentative="1">
      <w:start w:val="1"/>
      <w:numFmt w:val="bullet"/>
      <w:lvlText w:val="o"/>
      <w:lvlJc w:val="left"/>
      <w:pPr>
        <w:ind w:left="4309" w:hanging="360"/>
      </w:pPr>
      <w:rPr>
        <w:rFonts w:hint="default" w:ascii="Courier New" w:hAnsi="Courier New" w:cs="Courier New"/>
      </w:rPr>
    </w:lvl>
    <w:lvl w:ilvl="5" w:tplc="240A0005" w:tentative="1">
      <w:start w:val="1"/>
      <w:numFmt w:val="bullet"/>
      <w:lvlText w:val=""/>
      <w:lvlJc w:val="left"/>
      <w:pPr>
        <w:ind w:left="5029" w:hanging="360"/>
      </w:pPr>
      <w:rPr>
        <w:rFonts w:hint="default" w:ascii="Wingdings" w:hAnsi="Wingdings"/>
      </w:rPr>
    </w:lvl>
    <w:lvl w:ilvl="6" w:tplc="240A0001" w:tentative="1">
      <w:start w:val="1"/>
      <w:numFmt w:val="bullet"/>
      <w:lvlText w:val=""/>
      <w:lvlJc w:val="left"/>
      <w:pPr>
        <w:ind w:left="5749" w:hanging="360"/>
      </w:pPr>
      <w:rPr>
        <w:rFonts w:hint="default" w:ascii="Symbol" w:hAnsi="Symbol"/>
      </w:rPr>
    </w:lvl>
    <w:lvl w:ilvl="7" w:tplc="240A0003" w:tentative="1">
      <w:start w:val="1"/>
      <w:numFmt w:val="bullet"/>
      <w:lvlText w:val="o"/>
      <w:lvlJc w:val="left"/>
      <w:pPr>
        <w:ind w:left="6469" w:hanging="360"/>
      </w:pPr>
      <w:rPr>
        <w:rFonts w:hint="default" w:ascii="Courier New" w:hAnsi="Courier New" w:cs="Courier New"/>
      </w:rPr>
    </w:lvl>
    <w:lvl w:ilvl="8" w:tplc="240A0005" w:tentative="1">
      <w:start w:val="1"/>
      <w:numFmt w:val="bullet"/>
      <w:lvlText w:val=""/>
      <w:lvlJc w:val="left"/>
      <w:pPr>
        <w:ind w:left="7189" w:hanging="360"/>
      </w:pPr>
      <w:rPr>
        <w:rFonts w:hint="default" w:ascii="Wingdings" w:hAnsi="Wingdings"/>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1495028155">
    <w:abstractNumId w:val="5"/>
  </w:num>
  <w:num w:numId="18" w16cid:durableId="21058801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33F3D"/>
    <w:rsid w:val="003448F4"/>
    <w:rsid w:val="00374F5E"/>
    <w:rsid w:val="00376D2E"/>
    <w:rsid w:val="00377E3E"/>
    <w:rsid w:val="003A779E"/>
    <w:rsid w:val="003D0F4D"/>
    <w:rsid w:val="003D5B0D"/>
    <w:rsid w:val="003E0499"/>
    <w:rsid w:val="003F3941"/>
    <w:rsid w:val="00406575"/>
    <w:rsid w:val="00414C74"/>
    <w:rsid w:val="0042722E"/>
    <w:rsid w:val="0044528D"/>
    <w:rsid w:val="004A1847"/>
    <w:rsid w:val="004A305D"/>
    <w:rsid w:val="004D7D50"/>
    <w:rsid w:val="004F21C4"/>
    <w:rsid w:val="004F685F"/>
    <w:rsid w:val="005566E8"/>
    <w:rsid w:val="0057049A"/>
    <w:rsid w:val="00574867"/>
    <w:rsid w:val="00591460"/>
    <w:rsid w:val="005C3777"/>
    <w:rsid w:val="005C5CDC"/>
    <w:rsid w:val="005D476C"/>
    <w:rsid w:val="006219F8"/>
    <w:rsid w:val="006302F7"/>
    <w:rsid w:val="00665D70"/>
    <w:rsid w:val="006900D9"/>
    <w:rsid w:val="006A760C"/>
    <w:rsid w:val="00706C16"/>
    <w:rsid w:val="00756841"/>
    <w:rsid w:val="007649AB"/>
    <w:rsid w:val="00771D0C"/>
    <w:rsid w:val="007833AC"/>
    <w:rsid w:val="007B268C"/>
    <w:rsid w:val="007B4101"/>
    <w:rsid w:val="007B7171"/>
    <w:rsid w:val="007C0C0F"/>
    <w:rsid w:val="007C3DC2"/>
    <w:rsid w:val="007E5497"/>
    <w:rsid w:val="007F3CF5"/>
    <w:rsid w:val="00806F5F"/>
    <w:rsid w:val="00820278"/>
    <w:rsid w:val="00867F95"/>
    <w:rsid w:val="008843B6"/>
    <w:rsid w:val="00891928"/>
    <w:rsid w:val="00897A3A"/>
    <w:rsid w:val="008A1CCF"/>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E4369"/>
    <w:rsid w:val="009F0684"/>
    <w:rsid w:val="009F3A13"/>
    <w:rsid w:val="00A122D3"/>
    <w:rsid w:val="00A17F13"/>
    <w:rsid w:val="00A20739"/>
    <w:rsid w:val="00A33C78"/>
    <w:rsid w:val="00A72180"/>
    <w:rsid w:val="00AB0ADB"/>
    <w:rsid w:val="00AC3D2E"/>
    <w:rsid w:val="00B00C0E"/>
    <w:rsid w:val="00B01B1A"/>
    <w:rsid w:val="00B44A47"/>
    <w:rsid w:val="00B72CD3"/>
    <w:rsid w:val="00B72FFF"/>
    <w:rsid w:val="00BB5232"/>
    <w:rsid w:val="00BC3D36"/>
    <w:rsid w:val="00BD7F72"/>
    <w:rsid w:val="00C04FB3"/>
    <w:rsid w:val="00C330EB"/>
    <w:rsid w:val="00C7004E"/>
    <w:rsid w:val="00C754BE"/>
    <w:rsid w:val="00C76B1C"/>
    <w:rsid w:val="00CB0406"/>
    <w:rsid w:val="00CB6357"/>
    <w:rsid w:val="00CC1B26"/>
    <w:rsid w:val="00CC2260"/>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A6E14"/>
    <w:rsid w:val="00EC38A7"/>
    <w:rsid w:val="00EE1AA8"/>
    <w:rsid w:val="00F20AEE"/>
    <w:rsid w:val="00F31EDC"/>
    <w:rsid w:val="00F462B3"/>
    <w:rsid w:val="00F5664F"/>
    <w:rsid w:val="00F666C4"/>
    <w:rsid w:val="00F76AFC"/>
    <w:rsid w:val="00FA47C0"/>
    <w:rsid w:val="00FB5DD1"/>
    <w:rsid w:val="00FC2B5D"/>
    <w:rsid w:val="00FF1449"/>
    <w:rsid w:val="68D6208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EA6E14"/>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A6E1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4.png" Id="rId13" /><Relationship Type="http://schemas.openxmlformats.org/officeDocument/2006/relationships/image" Target="media/image6.png"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image" Target="media/image3.png" Id="rId12" /><Relationship Type="http://schemas.openxmlformats.org/officeDocument/2006/relationships/hyperlink" Target="http://www.colombiacompra.gov.co" TargetMode="External" Id="rId17" /><Relationship Type="http://schemas.openxmlformats.org/officeDocument/2006/relationships/customXml" Target="../customXml/item2.xml" Id="rId2" /><Relationship Type="http://schemas.openxmlformats.org/officeDocument/2006/relationships/hyperlink" Target="https://relatoria.colombiacompra.gov.co/busqueda/conceptos" TargetMode="External" Id="rId16"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numbering" Target="numbering.xml" Id="rId5" /><Relationship Type="http://schemas.openxmlformats.org/officeDocument/2006/relationships/hyperlink" Target="mailto:rafaelp.91011@gmail.com" TargetMode="External" Id="rId15" /><Relationship Type="http://schemas.openxmlformats.org/officeDocument/2006/relationships/endnotes" Target="endnotes.xml" Id="rId10" /><Relationship Type="http://schemas.openxmlformats.org/officeDocument/2006/relationships/header" Target="head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5.png" Id="rId14" /><Relationship Type="http://schemas.openxmlformats.org/officeDocument/2006/relationships/theme" Target="theme/theme1.xml" Id="rId22" /></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02EAC9-D346-4829-B6BF-DF2FF80E02EF}"/>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4.xml><?xml version="1.0" encoding="utf-8"?>
<ds:datastoreItem xmlns:ds="http://schemas.openxmlformats.org/officeDocument/2006/customXml" ds:itemID="{E47480C4-D9DD-487F-A276-B95310EFEE21}">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Esperanza Contreras Pedreros</lastModifiedBy>
  <revision>5</revision>
  <lastPrinted>2023-01-10T21:18:00.0000000Z</lastPrinted>
  <dcterms:created xsi:type="dcterms:W3CDTF">2025-10-16T00:29:00.0000000Z</dcterms:created>
  <dcterms:modified xsi:type="dcterms:W3CDTF">2025-10-17T01:07:20.1205863Z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