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67CA9" w14:textId="77777777" w:rsidR="00777B91" w:rsidRPr="000428F8" w:rsidRDefault="00777B91" w:rsidP="000F5E4D">
      <w:pPr>
        <w:spacing w:after="0" w:line="240" w:lineRule="auto"/>
        <w:jc w:val="both"/>
        <w:rPr>
          <w:rFonts w:ascii="Verdana" w:hAnsi="Verdana"/>
          <w:b/>
          <w:lang w:val="es-ES"/>
        </w:rPr>
      </w:pPr>
      <w:bookmarkStart w:id="0" w:name="_Hlk143780582"/>
      <w:r w:rsidRPr="000428F8">
        <w:rPr>
          <w:rFonts w:ascii="Verdana" w:hAnsi="Verdana"/>
          <w:b/>
          <w:lang w:val="es-ES"/>
        </w:rPr>
        <w:t xml:space="preserve">CONTRATO ESTATAL – Régimen jurídico </w:t>
      </w:r>
    </w:p>
    <w:p w14:paraId="303936B0" w14:textId="77777777" w:rsidR="00777B91" w:rsidRPr="000F5E4D" w:rsidRDefault="00777B91" w:rsidP="000F5E4D">
      <w:pPr>
        <w:spacing w:after="0" w:line="240" w:lineRule="auto"/>
        <w:jc w:val="both"/>
        <w:rPr>
          <w:rFonts w:ascii="Verdana" w:hAnsi="Verdana"/>
          <w:b/>
          <w:sz w:val="20"/>
          <w:lang w:val="es-ES"/>
        </w:rPr>
      </w:pPr>
    </w:p>
    <w:p w14:paraId="1DF3C8DE" w14:textId="77777777" w:rsidR="00777B91" w:rsidRPr="000F5E4D" w:rsidRDefault="00777B91" w:rsidP="000F5E4D">
      <w:pPr>
        <w:spacing w:after="0" w:line="240" w:lineRule="auto"/>
        <w:jc w:val="both"/>
        <w:rPr>
          <w:rFonts w:ascii="Verdana" w:hAnsi="Verdana"/>
          <w:sz w:val="20"/>
        </w:rPr>
      </w:pPr>
      <w:r w:rsidRPr="000F5E4D">
        <w:rPr>
          <w:rFonts w:ascii="Verdana" w:hAnsi="Verdana"/>
          <w:sz w:val="20"/>
          <w:lang w:val="es-ES"/>
        </w:rPr>
        <w:t xml:space="preserve">Respecto al régimen jurídico de las </w:t>
      </w:r>
      <w:r w:rsidRPr="000F5E4D">
        <w:rPr>
          <w:rFonts w:ascii="Verdana" w:hAnsi="Verdana"/>
          <w:i/>
          <w:iCs/>
          <w:sz w:val="20"/>
          <w:lang w:val="es-ES"/>
        </w:rPr>
        <w:t>entidades sometidas</w:t>
      </w:r>
      <w:r w:rsidRPr="000F5E4D">
        <w:rPr>
          <w:rFonts w:ascii="Verdana" w:hAnsi="Verdana"/>
          <w:sz w:val="20"/>
          <w:lang w:val="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0F5E4D">
        <w:rPr>
          <w:rFonts w:ascii="Verdana" w:hAnsi="Verdana"/>
          <w:sz w:val="20"/>
        </w:rPr>
        <w:t>el inciso primero del artículo 13 dispone que “Los contratos que celebren las entidades a que se refiere el artículo 2o. del presente estatuto se regirán por las disposiciones comerciales y civiles pertinentes, salvo en las materias particularmente reguladas en esta ley”.</w:t>
      </w:r>
    </w:p>
    <w:p w14:paraId="2C6DB8B4" w14:textId="77777777" w:rsidR="00777B91" w:rsidRPr="000428F8" w:rsidRDefault="00777B91" w:rsidP="000F5E4D">
      <w:pPr>
        <w:spacing w:after="0" w:line="240" w:lineRule="auto"/>
        <w:jc w:val="both"/>
        <w:rPr>
          <w:rFonts w:ascii="Verdana" w:hAnsi="Verdana"/>
          <w:b/>
          <w:lang w:val="es-ES"/>
        </w:rPr>
      </w:pPr>
    </w:p>
    <w:p w14:paraId="085392E2" w14:textId="77777777" w:rsidR="00777B91" w:rsidRPr="000428F8" w:rsidRDefault="00777B91" w:rsidP="000F5E4D">
      <w:pPr>
        <w:spacing w:after="0" w:line="240" w:lineRule="auto"/>
        <w:jc w:val="both"/>
        <w:rPr>
          <w:rFonts w:ascii="Verdana" w:hAnsi="Verdana"/>
          <w:b/>
          <w:lang w:val="es-ES"/>
        </w:rPr>
      </w:pPr>
      <w:r w:rsidRPr="000428F8">
        <w:rPr>
          <w:rFonts w:ascii="Verdana" w:hAnsi="Verdana"/>
          <w:b/>
          <w:lang w:val="es-ES"/>
        </w:rPr>
        <w:t xml:space="preserve">RÉGIMEN EXCEPCIONAL – Justificación – Criterios de clasificación </w:t>
      </w:r>
    </w:p>
    <w:p w14:paraId="09369224" w14:textId="77777777" w:rsidR="00777B91" w:rsidRPr="000428F8" w:rsidRDefault="00777B91" w:rsidP="000F5E4D">
      <w:pPr>
        <w:spacing w:after="0" w:line="240" w:lineRule="auto"/>
        <w:jc w:val="both"/>
        <w:rPr>
          <w:rFonts w:ascii="Verdana" w:hAnsi="Verdana"/>
          <w:b/>
          <w:lang w:val="es-ES"/>
        </w:rPr>
      </w:pPr>
    </w:p>
    <w:p w14:paraId="0D911EBC" w14:textId="005875ED" w:rsidR="00777B91" w:rsidRPr="000F5E4D" w:rsidRDefault="00777B91" w:rsidP="000F5E4D">
      <w:pPr>
        <w:spacing w:after="0" w:line="240" w:lineRule="auto"/>
        <w:jc w:val="both"/>
        <w:rPr>
          <w:rFonts w:ascii="Verdana" w:hAnsi="Verdana"/>
          <w:sz w:val="20"/>
          <w:lang w:val="es-ES_tradnl"/>
        </w:rPr>
      </w:pPr>
      <w:r w:rsidRPr="000F5E4D">
        <w:rPr>
          <w:rFonts w:ascii="Verdana" w:hAnsi="Verdana"/>
          <w:sz w:val="20"/>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0F5E4D">
        <w:rPr>
          <w:rFonts w:ascii="Verdana" w:hAnsi="Verdana"/>
          <w:sz w:val="20"/>
        </w:rPr>
        <w:t>ii</w:t>
      </w:r>
      <w:proofErr w:type="spellEnd"/>
      <w:r w:rsidRPr="000F5E4D">
        <w:rPr>
          <w:rFonts w:ascii="Verdana" w:hAnsi="Verdana"/>
          <w:sz w:val="20"/>
        </w:rPr>
        <w:t xml:space="preserve">) flexibilizar el ejercicio de la función administrativa –como en los contratos del Banco de la República o los de ciencia y tecnología– o </w:t>
      </w:r>
      <w:proofErr w:type="spellStart"/>
      <w:r w:rsidRPr="000F5E4D">
        <w:rPr>
          <w:rFonts w:ascii="Verdana" w:hAnsi="Verdana"/>
          <w:sz w:val="20"/>
        </w:rPr>
        <w:t>iii</w:t>
      </w:r>
      <w:proofErr w:type="spellEnd"/>
      <w:r w:rsidRPr="000F5E4D">
        <w:rPr>
          <w:rFonts w:ascii="Verdana" w:hAnsi="Verdana"/>
          <w:sz w:val="20"/>
        </w:rPr>
        <w:t xml:space="preserve">) establecer un régimen especial sin excluir por completo la aplicación de la Ley 80 de 1993 –como ocurre en la operaciones del crédito público–.  Para estos efectos, la doctrina ha identificado 171 entidades y contratos que manejan un régimen excepcional, los cuales se clasifican de acuerdo i) al sector económico, </w:t>
      </w:r>
      <w:proofErr w:type="spellStart"/>
      <w:r w:rsidRPr="000F5E4D">
        <w:rPr>
          <w:rFonts w:ascii="Verdana" w:hAnsi="Verdana"/>
          <w:sz w:val="20"/>
        </w:rPr>
        <w:t>ii</w:t>
      </w:r>
      <w:proofErr w:type="spellEnd"/>
      <w:r w:rsidRPr="000F5E4D">
        <w:rPr>
          <w:rFonts w:ascii="Verdana" w:hAnsi="Verdana"/>
          <w:sz w:val="20"/>
        </w:rPr>
        <w:t xml:space="preserve">) la asignación de un esquema legal especial, </w:t>
      </w:r>
      <w:proofErr w:type="spellStart"/>
      <w:r w:rsidRPr="000F5E4D">
        <w:rPr>
          <w:rFonts w:ascii="Verdana" w:hAnsi="Verdana"/>
          <w:sz w:val="20"/>
        </w:rPr>
        <w:t>iii</w:t>
      </w:r>
      <w:proofErr w:type="spellEnd"/>
      <w:r w:rsidRPr="000F5E4D">
        <w:rPr>
          <w:rFonts w:ascii="Verdana" w:hAnsi="Verdana"/>
          <w:sz w:val="20"/>
        </w:rPr>
        <w:t xml:space="preserve">) el objeto del contrato celebrado y </w:t>
      </w:r>
      <w:proofErr w:type="spellStart"/>
      <w:r w:rsidRPr="000F5E4D">
        <w:rPr>
          <w:rFonts w:ascii="Verdana" w:hAnsi="Verdana"/>
          <w:sz w:val="20"/>
        </w:rPr>
        <w:t>iv</w:t>
      </w:r>
      <w:proofErr w:type="spellEnd"/>
      <w:r w:rsidRPr="000F5E4D">
        <w:rPr>
          <w:rFonts w:ascii="Verdana" w:hAnsi="Verdana"/>
          <w:sz w:val="20"/>
        </w:rPr>
        <w:t>) la existencia de fondos que administran recursos públicos</w:t>
      </w:r>
      <w:r w:rsidRPr="000F5E4D">
        <w:rPr>
          <w:rFonts w:ascii="Verdana" w:hAnsi="Verdana"/>
          <w:sz w:val="20"/>
          <w:lang w:val="es-ES_tradnl"/>
        </w:rPr>
        <w:t>.</w:t>
      </w:r>
    </w:p>
    <w:p w14:paraId="7A780CBA" w14:textId="3C9D0A46" w:rsidR="00777B91" w:rsidRDefault="00777B91" w:rsidP="000F5E4D">
      <w:pPr>
        <w:spacing w:after="0" w:line="240" w:lineRule="auto"/>
        <w:jc w:val="both"/>
        <w:rPr>
          <w:rFonts w:ascii="Verdana" w:hAnsi="Verdana"/>
          <w:lang w:val="es-ES_tradnl"/>
        </w:rPr>
      </w:pPr>
    </w:p>
    <w:p w14:paraId="2D2C0B01" w14:textId="77777777" w:rsidR="00777B91" w:rsidRPr="00777B91" w:rsidRDefault="00777B91" w:rsidP="00777B91">
      <w:pPr>
        <w:spacing w:after="0" w:line="240" w:lineRule="auto"/>
        <w:jc w:val="both"/>
        <w:rPr>
          <w:rFonts w:ascii="Verdana" w:hAnsi="Verdana"/>
          <w:b/>
          <w:lang w:val="es-ES_tradnl"/>
        </w:rPr>
      </w:pPr>
      <w:r w:rsidRPr="00777B91">
        <w:rPr>
          <w:rFonts w:ascii="Verdana" w:hAnsi="Verdana"/>
          <w:b/>
          <w:lang w:val="es-ES_tradnl"/>
        </w:rPr>
        <w:t xml:space="preserve">EMPRESAS SOCIALES DEL ESTADO– Naturaleza – régimen especial </w:t>
      </w:r>
    </w:p>
    <w:p w14:paraId="2D383D56" w14:textId="77777777" w:rsidR="00777B91" w:rsidRDefault="00777B91" w:rsidP="00777B91">
      <w:pPr>
        <w:spacing w:after="0" w:line="240" w:lineRule="auto"/>
        <w:jc w:val="both"/>
        <w:rPr>
          <w:rFonts w:ascii="Verdana" w:hAnsi="Verdana"/>
          <w:lang w:val="es-ES_tradnl"/>
        </w:rPr>
      </w:pPr>
    </w:p>
    <w:p w14:paraId="6C5FDF9C" w14:textId="70A5E7EB" w:rsidR="00777B91" w:rsidRDefault="00777B91" w:rsidP="00777B91">
      <w:pPr>
        <w:spacing w:after="0" w:line="240" w:lineRule="auto"/>
        <w:jc w:val="both"/>
        <w:rPr>
          <w:rFonts w:ascii="Verdana" w:hAnsi="Verdana"/>
          <w:sz w:val="20"/>
          <w:lang w:val="es-ES"/>
        </w:rPr>
      </w:pPr>
      <w:r w:rsidRPr="00777B91">
        <w:rPr>
          <w:rFonts w:ascii="Verdana" w:hAnsi="Verdana"/>
          <w:sz w:val="20"/>
          <w:lang w:val="es-ES"/>
        </w:rPr>
        <w:t xml:space="preserve">De la cita precedente puede concluirse entonces que, las Empresas Sociales del Estado </w:t>
      </w:r>
      <w:r w:rsidRPr="00777B91">
        <w:rPr>
          <w:rFonts w:ascii="Verdana" w:hAnsi="Verdana"/>
          <w:sz w:val="20"/>
          <w:lang w:val="es-MX"/>
        </w:rPr>
        <w:t>–ESE–</w:t>
      </w:r>
      <w:r w:rsidRPr="00777B91">
        <w:rPr>
          <w:rFonts w:ascii="Verdana" w:hAnsi="Verdana"/>
          <w:sz w:val="20"/>
          <w:lang w:val="es-ES"/>
        </w:rPr>
        <w:t xml:space="preserve">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27BF03EE" w14:textId="77777777" w:rsidR="00777B91" w:rsidRPr="00777B91" w:rsidRDefault="00777B91" w:rsidP="00777B91">
      <w:pPr>
        <w:spacing w:after="0" w:line="240" w:lineRule="auto"/>
        <w:jc w:val="both"/>
        <w:rPr>
          <w:rFonts w:ascii="Verdana" w:hAnsi="Verdana"/>
          <w:sz w:val="20"/>
          <w:lang w:val="es-ES"/>
        </w:rPr>
      </w:pPr>
    </w:p>
    <w:p w14:paraId="35124587" w14:textId="77777777" w:rsidR="00777B91" w:rsidRPr="00777B91" w:rsidRDefault="00777B91" w:rsidP="00777B91">
      <w:pPr>
        <w:spacing w:after="0" w:line="240" w:lineRule="auto"/>
        <w:jc w:val="both"/>
        <w:rPr>
          <w:rFonts w:ascii="Verdana" w:hAnsi="Verdana"/>
          <w:sz w:val="20"/>
        </w:rPr>
      </w:pPr>
      <w:r w:rsidRPr="00777B91">
        <w:rPr>
          <w:rFonts w:ascii="Verdana" w:hAnsi="Verdana"/>
          <w:sz w:val="20"/>
        </w:rPr>
        <w:t xml:space="preserve">Por su parte, en lo que a materia contractual se refiere, de conformidad con el numeral 6 del artículo 195 de la Ley 100 de 1993, el régimen de contratación de las </w:t>
      </w:r>
      <w:r w:rsidRPr="00777B91">
        <w:rPr>
          <w:rFonts w:ascii="Verdana" w:hAnsi="Verdana"/>
          <w:sz w:val="20"/>
          <w:lang w:val="es-MX"/>
        </w:rPr>
        <w:t>–ESE–</w:t>
      </w:r>
      <w:r w:rsidRPr="00777B91">
        <w:rPr>
          <w:rFonts w:ascii="Verdana" w:hAnsi="Verdana"/>
          <w:sz w:val="20"/>
        </w:rPr>
        <w:t xml:space="preserve"> es el de derecho privado, es decir, se rige por las disposiciones contenidas en el Código de Comercio y en el Código Civil, aplicables en lo que resulten pertinentes, salvo en las materias particularmente reguladas por el derecho público. La norma referida prescribe que: “En materia contractual se regirá por el derecho privado, </w:t>
      </w:r>
      <w:r w:rsidRPr="00777B91">
        <w:rPr>
          <w:rFonts w:ascii="Verdana" w:hAnsi="Verdana"/>
          <w:i/>
          <w:sz w:val="20"/>
        </w:rPr>
        <w:t>pero podrá discrecionalmente utilizar las cláusulas exorbitantes previstas en el estatuto general de contratación de la administración pública”</w:t>
      </w:r>
      <w:r w:rsidRPr="00777B91">
        <w:rPr>
          <w:rFonts w:ascii="Verdana" w:hAnsi="Verdana"/>
          <w:sz w:val="20"/>
        </w:rPr>
        <w:t xml:space="preserve"> (énfasis fuera de texto). </w:t>
      </w:r>
    </w:p>
    <w:p w14:paraId="2402A7BD" w14:textId="77777777" w:rsidR="00777B91" w:rsidRPr="00777B91" w:rsidRDefault="00777B91" w:rsidP="00777B91">
      <w:pPr>
        <w:spacing w:after="0" w:line="240" w:lineRule="auto"/>
        <w:jc w:val="both"/>
        <w:rPr>
          <w:rFonts w:ascii="Verdana" w:hAnsi="Verdana"/>
        </w:rPr>
      </w:pPr>
    </w:p>
    <w:p w14:paraId="764E06F9" w14:textId="77777777" w:rsidR="00777B91" w:rsidRPr="00777B91" w:rsidRDefault="00777B91" w:rsidP="00777B91">
      <w:pPr>
        <w:spacing w:after="0" w:line="240" w:lineRule="auto"/>
        <w:jc w:val="both"/>
        <w:rPr>
          <w:rFonts w:ascii="Verdana" w:hAnsi="Verdana"/>
          <w:b/>
          <w:lang w:val="es-ES_tradnl"/>
        </w:rPr>
      </w:pPr>
      <w:r w:rsidRPr="00777B91">
        <w:rPr>
          <w:rFonts w:ascii="Verdana" w:hAnsi="Verdana"/>
          <w:b/>
          <w:lang w:val="es-ES_tradnl"/>
        </w:rPr>
        <w:t xml:space="preserve">CLÁUSULAS EXCEPCIONALES – Remisión Especial – Empresas Sociales del Estado </w:t>
      </w:r>
    </w:p>
    <w:p w14:paraId="51058E08" w14:textId="31422544" w:rsidR="00777B91" w:rsidRDefault="00777B91" w:rsidP="00777B91">
      <w:pPr>
        <w:spacing w:after="0" w:line="240" w:lineRule="auto"/>
        <w:jc w:val="both"/>
        <w:rPr>
          <w:rFonts w:ascii="Verdana" w:hAnsi="Verdana"/>
          <w:lang w:val="es-ES_tradnl"/>
        </w:rPr>
      </w:pPr>
    </w:p>
    <w:p w14:paraId="42C32506" w14:textId="77777777" w:rsidR="00777B91" w:rsidRPr="000F5E4D" w:rsidRDefault="00777B91" w:rsidP="000F5E4D">
      <w:pPr>
        <w:spacing w:after="0" w:line="240" w:lineRule="auto"/>
        <w:jc w:val="both"/>
        <w:rPr>
          <w:rFonts w:ascii="Verdana" w:hAnsi="Verdana"/>
          <w:iCs/>
          <w:sz w:val="20"/>
        </w:rPr>
      </w:pPr>
      <w:r w:rsidRPr="000F5E4D">
        <w:rPr>
          <w:rFonts w:ascii="Verdana" w:hAnsi="Verdana"/>
          <w:sz w:val="20"/>
          <w:lang w:val="es-ES"/>
        </w:rPr>
        <w:lastRenderedPageBreak/>
        <w:t xml:space="preserve">El hecho de que dichos entes tengan un régimen de contratación especial implica que en los contratos que celebren no resulta viable incorporar las cláusulas exorbitantes o excepcionales, </w:t>
      </w:r>
      <w:r w:rsidRPr="000F5E4D">
        <w:rPr>
          <w:rFonts w:ascii="Verdana" w:hAnsi="Verdana"/>
          <w:iCs/>
          <w:sz w:val="20"/>
        </w:rPr>
        <w:t xml:space="preserve">con base en las cuales la entidades sometidas al EGCAP ejercen la dirección general del contrato y realizan las actividades propias de vigilancia y control, entre las que se encuentran: i) las cláusulas excepcionales del artículo 14 de la Ley 80 de 1993, donde se encuentran la terminación unilateral, la interpretación unilateral, la modificación unilateral, la caducidad y la reversión, las cuales se desarrollan en los artículos 15 a 19 </w:t>
      </w:r>
      <w:r w:rsidRPr="000F5E4D">
        <w:rPr>
          <w:rFonts w:ascii="Verdana" w:hAnsi="Verdana"/>
          <w:i/>
          <w:sz w:val="20"/>
        </w:rPr>
        <w:t>ibidem</w:t>
      </w:r>
      <w:r w:rsidRPr="000F5E4D">
        <w:rPr>
          <w:rFonts w:ascii="Verdana" w:hAnsi="Verdana"/>
          <w:iCs/>
          <w:sz w:val="20"/>
        </w:rPr>
        <w:t xml:space="preserve">; </w:t>
      </w:r>
      <w:proofErr w:type="spellStart"/>
      <w:r w:rsidRPr="000F5E4D">
        <w:rPr>
          <w:rFonts w:ascii="Verdana" w:hAnsi="Verdana"/>
          <w:iCs/>
          <w:sz w:val="20"/>
        </w:rPr>
        <w:t>ii</w:t>
      </w:r>
      <w:proofErr w:type="spellEnd"/>
      <w:r w:rsidRPr="000F5E4D">
        <w:rPr>
          <w:rFonts w:ascii="Verdana" w:hAnsi="Verdana"/>
          <w:iCs/>
          <w:sz w:val="20"/>
        </w:rPr>
        <w:t xml:space="preserve">) en otras disposiciones también se encuentran establecidas otras potestades exorbitantes, como la liquidación unilateral y la declaratoria unilateral del siniestro; y </w:t>
      </w:r>
      <w:proofErr w:type="spellStart"/>
      <w:r w:rsidRPr="000F5E4D">
        <w:rPr>
          <w:rFonts w:ascii="Verdana" w:hAnsi="Verdana"/>
          <w:iCs/>
          <w:sz w:val="20"/>
        </w:rPr>
        <w:t>iii</w:t>
      </w:r>
      <w:proofErr w:type="spellEnd"/>
      <w:r w:rsidRPr="000F5E4D">
        <w:rPr>
          <w:rFonts w:ascii="Verdana" w:hAnsi="Verdana"/>
          <w:iCs/>
          <w:sz w:val="20"/>
        </w:rPr>
        <w:t xml:space="preserve">) en otras disposiciones también se encuentran establecidas otras las cláusulas excepcionales de </w:t>
      </w:r>
      <w:r w:rsidRPr="000F5E4D">
        <w:rPr>
          <w:rFonts w:ascii="Verdana" w:hAnsi="Verdana"/>
          <w:i/>
          <w:sz w:val="20"/>
        </w:rPr>
        <w:t>imposición unilateral</w:t>
      </w:r>
      <w:r w:rsidRPr="000F5E4D">
        <w:rPr>
          <w:rFonts w:ascii="Verdana" w:hAnsi="Verdana"/>
          <w:iCs/>
          <w:sz w:val="20"/>
        </w:rPr>
        <w:t xml:space="preserve"> de las cláusulas penales y de multas, cuya exorbitancia se refiere a su imposición unilateral, a pesar que se ha discutido sobre su naturaleza o no exorbitante. </w:t>
      </w:r>
    </w:p>
    <w:p w14:paraId="42E96DDE" w14:textId="77777777" w:rsidR="000F5E4D" w:rsidRPr="000F5E4D" w:rsidRDefault="000F5E4D" w:rsidP="000F5E4D">
      <w:pPr>
        <w:spacing w:after="0" w:line="240" w:lineRule="auto"/>
        <w:jc w:val="both"/>
        <w:rPr>
          <w:rFonts w:ascii="Verdana" w:hAnsi="Verdana"/>
          <w:sz w:val="20"/>
          <w:lang w:val="es-ES_tradnl"/>
        </w:rPr>
      </w:pPr>
    </w:p>
    <w:p w14:paraId="53702D6C" w14:textId="578C7821" w:rsidR="00777B91" w:rsidRPr="000F5E4D" w:rsidRDefault="00777B91" w:rsidP="000F5E4D">
      <w:pPr>
        <w:spacing w:after="0" w:line="240" w:lineRule="auto"/>
        <w:jc w:val="both"/>
        <w:rPr>
          <w:rFonts w:ascii="Verdana" w:hAnsi="Verdana"/>
          <w:sz w:val="20"/>
        </w:rPr>
      </w:pPr>
      <w:r w:rsidRPr="000F5E4D">
        <w:rPr>
          <w:rFonts w:ascii="Verdana" w:hAnsi="Verdana"/>
          <w:sz w:val="20"/>
          <w:lang w:val="es-ES_tradnl"/>
        </w:rPr>
        <w:t xml:space="preserve">Ahora bien, hay entidades de régimen especial que tienen la competencia para hacer uso de cláusulas excepcionales, son las empresas prestadoras de servicios públicos domiciliarios y las empresas sociales del Estado, entre otras. En torno a las empresas sociales del Estado </w:t>
      </w:r>
      <w:r w:rsidRPr="000F5E4D">
        <w:rPr>
          <w:rFonts w:ascii="Verdana" w:hAnsi="Verdana"/>
          <w:sz w:val="20"/>
        </w:rPr>
        <w:t xml:space="preserve">la regla aplicable es el derecho privado, salvo lo relacionado con cláusulas exorbitantes, materia en relación con la cual están habilitadas para aplicar las disposiciones del EGCAP, como lo prevé el citado artículo 195, numeral 6 de la Ley 100 de 1993. </w:t>
      </w:r>
    </w:p>
    <w:p w14:paraId="3F9CF512" w14:textId="77777777" w:rsidR="00777B91" w:rsidRPr="000F5E4D" w:rsidRDefault="00777B91" w:rsidP="000F5E4D">
      <w:pPr>
        <w:spacing w:after="0" w:line="240" w:lineRule="auto"/>
        <w:jc w:val="both"/>
        <w:rPr>
          <w:rFonts w:ascii="Verdana" w:hAnsi="Verdana"/>
          <w:sz w:val="20"/>
        </w:rPr>
      </w:pPr>
    </w:p>
    <w:p w14:paraId="519C6177" w14:textId="0B90B910" w:rsidR="00777B91" w:rsidRDefault="00777B91" w:rsidP="000F5E4D">
      <w:pPr>
        <w:spacing w:after="0" w:line="240" w:lineRule="auto"/>
        <w:jc w:val="both"/>
        <w:rPr>
          <w:rFonts w:ascii="Verdana" w:hAnsi="Verdana"/>
          <w:sz w:val="20"/>
        </w:rPr>
      </w:pPr>
      <w:r w:rsidRPr="000F5E4D">
        <w:rPr>
          <w:rFonts w:ascii="Verdana" w:hAnsi="Verdana"/>
          <w:sz w:val="20"/>
        </w:rPr>
        <w:t>En esta medida,</w:t>
      </w:r>
      <w:r w:rsidRPr="000F5E4D">
        <w:rPr>
          <w:rFonts w:ascii="Verdana" w:hAnsi="Verdana"/>
          <w:bCs/>
          <w:sz w:val="20"/>
          <w:lang w:val="es-ES"/>
        </w:rPr>
        <w:t xml:space="preserve"> </w:t>
      </w:r>
      <w:r w:rsidRPr="000F5E4D">
        <w:rPr>
          <w:rFonts w:ascii="Verdana" w:hAnsi="Verdana"/>
          <w:bCs/>
          <w:sz w:val="20"/>
        </w:rPr>
        <w:t xml:space="preserve">las ESE deben aplicar las disposiciones del EGCAP, por especial regulación de la Ley 100, que autoriza a estas empresas a incorporar las cláusulas excepcionales, siempre que decidan aplicarlas. Para entender este ejercicio, se acude a </w:t>
      </w:r>
      <w:r w:rsidRPr="000F5E4D">
        <w:rPr>
          <w:rFonts w:ascii="Verdana" w:hAnsi="Verdana"/>
          <w:sz w:val="20"/>
          <w:lang w:val="es-ES"/>
        </w:rPr>
        <w:t xml:space="preserve">la Resolución No. 5185 de 2013, modificada por la Resolución 1440 del 14 de agosto de 2024, mediante la cual se fijan los lineamientos para que tales entidades adopten los manuales de contratación que regirán su actividad contractual. Este acto administrativo, dictado en ejercicio de las facultades conferidas por el artículo 76 de la Ley 1438 de 2011, contiene varios criterios que deberán tenerse cuenta en el momento de adoptar los manuales de contratación. En tal sentido, puede destacarse que, en la fase de planeación, las ESE deben contemplar: “[…] </w:t>
      </w:r>
      <w:r w:rsidRPr="000F5E4D">
        <w:rPr>
          <w:rFonts w:ascii="Verdana" w:hAnsi="Verdana"/>
          <w:sz w:val="20"/>
        </w:rPr>
        <w:t xml:space="preserve">La aplicación o no de las cláusulas excepcionales previstas en el Estatuto General de la Administración Pública” –artículo 9.17 de </w:t>
      </w:r>
      <w:r w:rsidRPr="000F5E4D">
        <w:rPr>
          <w:rFonts w:ascii="Verdana" w:hAnsi="Verdana"/>
          <w:sz w:val="20"/>
          <w:lang w:val="es-ES"/>
        </w:rPr>
        <w:t>la Resolución No. 5185 de 2013, modificada por la Resolución 1440 del 14 de agosto de 2024</w:t>
      </w:r>
      <w:r w:rsidRPr="000F5E4D">
        <w:rPr>
          <w:rFonts w:ascii="Verdana" w:hAnsi="Verdana"/>
          <w:sz w:val="20"/>
        </w:rPr>
        <w:t>–; así como en la fase de ejecución se establece: “[…] La obligación de hacer efectivas las cláusulas excepcionales, en caso de haberlas pactado en los contratos, cuando haya lugar a ello, dentro del plazo del contrato” –artículo 12.4. de la Resolución No 5185 de 2013-.</w:t>
      </w:r>
    </w:p>
    <w:p w14:paraId="4A186029" w14:textId="77777777" w:rsidR="000F5E4D" w:rsidRPr="00777B91" w:rsidRDefault="000F5E4D" w:rsidP="000F5E4D">
      <w:pPr>
        <w:spacing w:after="0" w:line="240" w:lineRule="auto"/>
        <w:jc w:val="both"/>
        <w:rPr>
          <w:rFonts w:ascii="Verdana" w:hAnsi="Verdana"/>
          <w:lang w:val="es-ES_tradnl"/>
        </w:rPr>
      </w:pPr>
    </w:p>
    <w:p w14:paraId="0EA0CF88" w14:textId="77777777" w:rsidR="00777B91" w:rsidRPr="000F5E4D" w:rsidRDefault="00777B91" w:rsidP="00777B91">
      <w:pPr>
        <w:spacing w:after="0" w:line="240" w:lineRule="auto"/>
        <w:jc w:val="both"/>
        <w:rPr>
          <w:rFonts w:ascii="Verdana" w:hAnsi="Verdana"/>
          <w:b/>
          <w:lang w:val="es-ES_tradnl"/>
        </w:rPr>
      </w:pPr>
      <w:r w:rsidRPr="000F5E4D">
        <w:rPr>
          <w:rFonts w:ascii="Verdana" w:hAnsi="Verdana"/>
          <w:b/>
          <w:lang w:val="es-ES_tradnl"/>
        </w:rPr>
        <w:t xml:space="preserve">LIQUIDACIÓN – Definición – Objetivo </w:t>
      </w:r>
    </w:p>
    <w:p w14:paraId="1C0E9391" w14:textId="7E1EC07D" w:rsidR="00777B91" w:rsidRPr="000F5E4D" w:rsidRDefault="00777B91" w:rsidP="000F5E4D">
      <w:pPr>
        <w:spacing w:after="0" w:line="240" w:lineRule="auto"/>
        <w:jc w:val="both"/>
        <w:rPr>
          <w:rFonts w:ascii="Verdana" w:hAnsi="Verdana"/>
          <w:sz w:val="20"/>
          <w:lang w:val="es-ES_tradnl"/>
        </w:rPr>
      </w:pPr>
    </w:p>
    <w:p w14:paraId="37D8227E" w14:textId="64B1FCFC" w:rsidR="000F5E4D" w:rsidRPr="000F5E4D" w:rsidRDefault="000F5E4D" w:rsidP="000F5E4D">
      <w:pPr>
        <w:spacing w:after="0" w:line="240" w:lineRule="auto"/>
        <w:jc w:val="both"/>
        <w:rPr>
          <w:rFonts w:ascii="Verdana" w:hAnsi="Verdana"/>
          <w:sz w:val="20"/>
          <w:lang w:val="es-MX"/>
        </w:rPr>
      </w:pPr>
      <w:r w:rsidRPr="000F5E4D">
        <w:rPr>
          <w:rFonts w:ascii="Verdana" w:hAnsi="Verdana"/>
          <w:sz w:val="20"/>
          <w:lang w:val="es-ES"/>
        </w:rPr>
        <w:t xml:space="preserve">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finalizadas. </w:t>
      </w:r>
    </w:p>
    <w:p w14:paraId="79B01070" w14:textId="77777777" w:rsidR="000F5E4D" w:rsidRPr="000F5E4D" w:rsidRDefault="000F5E4D" w:rsidP="000F5E4D">
      <w:pPr>
        <w:spacing w:after="0" w:line="240" w:lineRule="auto"/>
        <w:jc w:val="both"/>
        <w:rPr>
          <w:rFonts w:ascii="Verdana" w:hAnsi="Verdana"/>
          <w:sz w:val="20"/>
          <w:lang w:val="es-ES_tradnl"/>
        </w:rPr>
      </w:pPr>
    </w:p>
    <w:p w14:paraId="7273A2A1" w14:textId="4EC29263" w:rsidR="000F5E4D" w:rsidRPr="000F5E4D" w:rsidRDefault="000F5E4D" w:rsidP="000F5E4D">
      <w:pPr>
        <w:spacing w:after="0" w:line="240" w:lineRule="auto"/>
        <w:jc w:val="both"/>
        <w:rPr>
          <w:rFonts w:ascii="Verdana" w:hAnsi="Verdana"/>
          <w:sz w:val="20"/>
          <w:lang w:val="es-ES_tradnl"/>
        </w:rPr>
      </w:pPr>
      <w:r w:rsidRPr="000F5E4D">
        <w:rPr>
          <w:rFonts w:ascii="Verdana" w:hAnsi="Verdana"/>
          <w:sz w:val="20"/>
          <w:lang w:val="es-ES_tradnl"/>
        </w:rPr>
        <w:t xml:space="preserve">Según la jurisprudencia, la liquidación es el ajuste de cuentas donde las partes hacen un balance económico, técnico y jurídico del cumplimiento de las obligaciones que tienen a </w:t>
      </w:r>
      <w:r w:rsidRPr="000F5E4D">
        <w:rPr>
          <w:rFonts w:ascii="Verdana" w:hAnsi="Verdana"/>
          <w:sz w:val="20"/>
          <w:lang w:val="es-ES_tradnl"/>
        </w:rPr>
        <w:lastRenderedPageBreak/>
        <w:t xml:space="preserve">su cargo. Así lo manifestó el Consejo de Estado en la Sentencia del 20 de octubre de 2014, en la que consideró, por un lado, que </w:t>
      </w:r>
      <w:r w:rsidRPr="000F5E4D">
        <w:rPr>
          <w:rFonts w:ascii="Verdana" w:hAnsi="Verdana"/>
          <w:i/>
          <w:iCs/>
          <w:sz w:val="20"/>
          <w:lang w:val="es-ES_tradnl"/>
        </w:rPr>
        <w:t>liquidar</w:t>
      </w:r>
      <w:r w:rsidRPr="000F5E4D">
        <w:rPr>
          <w:rFonts w:ascii="Verdana" w:hAnsi="Verdana"/>
          <w:sz w:val="20"/>
          <w:lang w:val="es-ES_tradnl"/>
        </w:rPr>
        <w:t xml:space="preserve"> supone un ajuste en relación con las cuentas y el estado de cumplimiento del contrato estatal y, por el otro, que la </w:t>
      </w:r>
      <w:r w:rsidRPr="000F5E4D">
        <w:rPr>
          <w:rFonts w:ascii="Verdana" w:hAnsi="Verdana"/>
          <w:i/>
          <w:iCs/>
          <w:sz w:val="20"/>
          <w:lang w:val="es-ES_tradnl"/>
        </w:rPr>
        <w:t>liquidación</w:t>
      </w:r>
      <w:r w:rsidRPr="000F5E4D">
        <w:rPr>
          <w:rFonts w:ascii="Verdana" w:hAnsi="Verdana"/>
          <w:sz w:val="20"/>
          <w:lang w:val="es-ES_tradnl"/>
        </w:rPr>
        <w:t xml:space="preserve"> debe incluir el análisis de las condiciones de calidad y oportunidad en la entrega de los bienes, obras o servicios, así como el balance económico y el comportamiento financiero del negocio. </w:t>
      </w:r>
    </w:p>
    <w:p w14:paraId="7CCB8041" w14:textId="77777777" w:rsidR="000F5E4D" w:rsidRPr="000F5E4D" w:rsidRDefault="000F5E4D" w:rsidP="00777B91">
      <w:pPr>
        <w:spacing w:after="0" w:line="240" w:lineRule="auto"/>
        <w:jc w:val="both"/>
        <w:rPr>
          <w:rFonts w:ascii="Verdana" w:hAnsi="Verdana"/>
          <w:b/>
          <w:lang w:val="es-ES_tradnl"/>
        </w:rPr>
      </w:pPr>
    </w:p>
    <w:p w14:paraId="070BCDF7" w14:textId="1676A36F" w:rsidR="00777B91" w:rsidRPr="000F5E4D" w:rsidRDefault="00777B91" w:rsidP="00777B91">
      <w:pPr>
        <w:spacing w:after="0" w:line="240" w:lineRule="auto"/>
        <w:jc w:val="both"/>
        <w:rPr>
          <w:rFonts w:ascii="Verdana" w:hAnsi="Verdana"/>
          <w:b/>
          <w:lang w:val="es-ES_tradnl"/>
        </w:rPr>
      </w:pPr>
      <w:r w:rsidRPr="000F5E4D">
        <w:rPr>
          <w:rFonts w:ascii="Verdana" w:hAnsi="Verdana"/>
          <w:b/>
          <w:lang w:val="es-ES_tradnl"/>
        </w:rPr>
        <w:t>LIQUIDACIÓN BILATERAL – Concepto – Fundamento normativo</w:t>
      </w:r>
    </w:p>
    <w:p w14:paraId="12BCC0F5" w14:textId="27355920" w:rsidR="00777B91" w:rsidRPr="000F5E4D" w:rsidRDefault="00777B91" w:rsidP="000F5E4D">
      <w:pPr>
        <w:spacing w:after="0" w:line="240" w:lineRule="auto"/>
        <w:jc w:val="both"/>
        <w:rPr>
          <w:rFonts w:ascii="Verdana" w:hAnsi="Verdana"/>
          <w:sz w:val="20"/>
          <w:lang w:val="es-ES_tradnl"/>
        </w:rPr>
      </w:pPr>
    </w:p>
    <w:p w14:paraId="5AA2FCFC" w14:textId="77777777" w:rsidR="000F5E4D" w:rsidRPr="000F5E4D" w:rsidRDefault="000F5E4D" w:rsidP="000F5E4D">
      <w:pPr>
        <w:spacing w:after="0" w:line="240" w:lineRule="auto"/>
        <w:jc w:val="both"/>
        <w:rPr>
          <w:rFonts w:ascii="Verdana" w:hAnsi="Verdana"/>
          <w:sz w:val="20"/>
          <w:lang w:val="es-ES"/>
        </w:rPr>
      </w:pPr>
      <w:r w:rsidRPr="000F5E4D">
        <w:rPr>
          <w:rFonts w:ascii="Verdana" w:hAnsi="Verdana"/>
          <w:sz w:val="20"/>
          <w:lang w:val="es-ES"/>
        </w:rPr>
        <w:t xml:space="preserve">La liquidación </w:t>
      </w:r>
      <w:r w:rsidRPr="000F5E4D">
        <w:rPr>
          <w:rFonts w:ascii="Verdana" w:hAnsi="Verdana"/>
          <w:sz w:val="20"/>
          <w:lang w:val="es-ES_tradnl"/>
        </w:rPr>
        <w:t xml:space="preserve">bilateral deberá realizarse dentro del plazo previsto </w:t>
      </w:r>
      <w:r w:rsidRPr="000F5E4D">
        <w:rPr>
          <w:rFonts w:ascii="Verdana" w:hAnsi="Verdana"/>
          <w:sz w:val="20"/>
          <w:lang w:val="es-ES"/>
        </w:rPr>
        <w:t xml:space="preserve">que “acuerden las partes”, los cuales en ejercicio de la autonomía de la voluntad que les asiste, prevean, de común acuerdo, un término para la liquidación, el cual, en principio, debe estar recogido en el contrato, al ser este el acto jurídico bilateral en el que se consigna originalmente la voluntad de las partes. Por lo tanto, las partes, en desarrollo de la autonomía de la voluntad que les asiste, están habilitadas para pactar el término, o en su defecto, acudir al plazo que se estableció en el Manual de Contratación de la Entidad. </w:t>
      </w:r>
    </w:p>
    <w:p w14:paraId="00107335" w14:textId="77777777" w:rsidR="000F5E4D" w:rsidRPr="000F5E4D" w:rsidRDefault="000F5E4D" w:rsidP="000F5E4D">
      <w:pPr>
        <w:spacing w:after="0" w:line="240" w:lineRule="auto"/>
        <w:jc w:val="both"/>
        <w:rPr>
          <w:rFonts w:ascii="Verdana" w:hAnsi="Verdana"/>
          <w:sz w:val="20"/>
          <w:lang w:val="es-ES"/>
        </w:rPr>
      </w:pPr>
    </w:p>
    <w:p w14:paraId="44A8DA18" w14:textId="77841347" w:rsidR="000F5E4D" w:rsidRPr="000F5E4D" w:rsidRDefault="000F5E4D" w:rsidP="000F5E4D">
      <w:pPr>
        <w:spacing w:after="0" w:line="240" w:lineRule="auto"/>
        <w:jc w:val="both"/>
        <w:rPr>
          <w:rFonts w:ascii="Verdana" w:hAnsi="Verdana"/>
          <w:sz w:val="20"/>
          <w:lang w:val="es-ES_tradnl"/>
        </w:rPr>
      </w:pPr>
      <w:r w:rsidRPr="000F5E4D">
        <w:rPr>
          <w:rFonts w:ascii="Verdana" w:hAnsi="Verdana"/>
          <w:sz w:val="20"/>
        </w:rPr>
        <w:t xml:space="preserve">Aunque las </w:t>
      </w:r>
      <w:r w:rsidRPr="000F5E4D">
        <w:rPr>
          <w:rFonts w:ascii="Verdana" w:hAnsi="Verdana"/>
          <w:i/>
          <w:iCs/>
          <w:sz w:val="20"/>
        </w:rPr>
        <w:t>entidades de régimen exceptuado</w:t>
      </w:r>
      <w:r w:rsidRPr="000F5E4D">
        <w:rPr>
          <w:rFonts w:ascii="Verdana" w:hAnsi="Verdana"/>
          <w:sz w:val="20"/>
        </w:rPr>
        <w:t xml:space="preserve"> no están obligadas a aplicar el artículo 60 de la Ley 80 de 1993 ni </w:t>
      </w:r>
      <w:r w:rsidRPr="000F5E4D">
        <w:rPr>
          <w:rFonts w:ascii="Verdana" w:hAnsi="Verdana"/>
          <w:sz w:val="20"/>
          <w:lang w:val="es-ES_tradnl"/>
        </w:rPr>
        <w:t>el artículo 11 de la Ley 1150 de 2007, el término de caducidad del medio de control de controversias contractuales tiene carácter transversal y, por tanto, aplica a todas las entidades al margen de que estén o no sometidas al Estatuto General de Contratación de la Administración Pública. Como explica la doctrina, la liquidación bilateral puede pactarse en los contratos de régimen especial, sin perjuicio de lo regulado en el respectivo manual de contratación.</w:t>
      </w:r>
    </w:p>
    <w:p w14:paraId="20E494AA" w14:textId="77777777" w:rsidR="000F5E4D" w:rsidRDefault="000F5E4D" w:rsidP="000F5E4D">
      <w:pPr>
        <w:spacing w:after="0" w:line="240" w:lineRule="auto"/>
        <w:jc w:val="both"/>
        <w:rPr>
          <w:rFonts w:ascii="Verdana" w:hAnsi="Verdana"/>
          <w:lang w:val="es-ES_tradnl"/>
        </w:rPr>
      </w:pPr>
    </w:p>
    <w:p w14:paraId="2B61F11C" w14:textId="39A12AB9" w:rsidR="00777B91" w:rsidRPr="000F5E4D" w:rsidRDefault="00777B91" w:rsidP="00777B91">
      <w:pPr>
        <w:spacing w:after="0" w:line="240" w:lineRule="auto"/>
        <w:jc w:val="both"/>
        <w:rPr>
          <w:rFonts w:ascii="Verdana" w:hAnsi="Verdana"/>
          <w:b/>
          <w:lang w:val="es-ES_tradnl"/>
        </w:rPr>
      </w:pPr>
      <w:r w:rsidRPr="000F5E4D">
        <w:rPr>
          <w:rFonts w:ascii="Verdana" w:hAnsi="Verdana"/>
          <w:b/>
          <w:lang w:val="es-ES_tradnl"/>
        </w:rPr>
        <w:t>LIQUIDACIÓN UNILATERAL – Procedencia – Empresas Sociales del Estado – Reglas – EGCAP</w:t>
      </w:r>
    </w:p>
    <w:p w14:paraId="1DCFA7F0" w14:textId="37496FCF" w:rsidR="00777B91" w:rsidRDefault="00777B91" w:rsidP="007A2556">
      <w:pPr>
        <w:spacing w:after="0" w:line="240" w:lineRule="auto"/>
        <w:jc w:val="both"/>
        <w:rPr>
          <w:rFonts w:ascii="Verdana" w:hAnsi="Verdana"/>
          <w:lang w:val="es-ES_tradnl"/>
        </w:rPr>
      </w:pPr>
    </w:p>
    <w:p w14:paraId="17531917" w14:textId="6D1C431C" w:rsidR="000F5E4D" w:rsidRDefault="000F5E4D" w:rsidP="007A2556">
      <w:pPr>
        <w:spacing w:after="0" w:line="240" w:lineRule="auto"/>
        <w:jc w:val="both"/>
        <w:rPr>
          <w:rFonts w:ascii="Verdana" w:hAnsi="Verdana"/>
          <w:sz w:val="20"/>
          <w:lang w:val="es-ES"/>
        </w:rPr>
      </w:pPr>
      <w:r w:rsidRPr="000F5E4D">
        <w:rPr>
          <w:rFonts w:ascii="Verdana" w:hAnsi="Verdana"/>
          <w:sz w:val="20"/>
          <w:lang w:val="es-ES"/>
        </w:rPr>
        <w:t>Si no es posible efectuar la liquidación de manera bilateral, el ordenamiento jurídico prevé una facultad, de carácter subsidiario, donde la empresa social del Estado tiene la posibilitad de liquidarlo unilateralmente, si la pacto con fundamento en el artículo 195 numeral 6 de la Ley 100 de 1993, lo cual implica que se someta a las reglas de esta, contenidas en el artículo 11 de la Ley 1150 de 2007, que dispone en su inciso segundo:</w:t>
      </w:r>
      <w:r w:rsidRPr="000F5E4D">
        <w:rPr>
          <w:rFonts w:ascii="Verdana" w:hAnsi="Verdana"/>
          <w:sz w:val="20"/>
        </w:rPr>
        <w:t xml:space="preserve"> “En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w:t>
      </w:r>
      <w:hyperlink r:id="rId11" w:anchor="136" w:history="1">
        <w:r w:rsidRPr="000F5E4D">
          <w:rPr>
            <w:rStyle w:val="Hipervnculo"/>
            <w:rFonts w:ascii="Verdana" w:hAnsi="Verdana"/>
            <w:color w:val="auto"/>
            <w:sz w:val="20"/>
          </w:rPr>
          <w:t>136</w:t>
        </w:r>
      </w:hyperlink>
      <w:r w:rsidRPr="000F5E4D">
        <w:rPr>
          <w:rFonts w:ascii="Verdana" w:hAnsi="Verdana"/>
          <w:sz w:val="20"/>
        </w:rPr>
        <w:t> del C. C. A”</w:t>
      </w:r>
      <w:r w:rsidRPr="000F5E4D">
        <w:rPr>
          <w:rFonts w:ascii="Verdana" w:hAnsi="Verdana"/>
          <w:sz w:val="20"/>
          <w:lang w:val="es-ES"/>
        </w:rPr>
        <w:t>. Es decir, la empresa social del Estado se sujeta a las reglas y condiciones sobre la liquidación unilateral dispuesta en el Estatuto General de Contratación de la Administración Pública, que implica que liquidará unilateralmente dentro de los dos meses siguientes al término que se estipuló para liquidación bilateral, conforme a lo prescrito al artículo 164 numeral 2, literal j, inciso tercero, numeral v de la Ley 1437 de 2011.</w:t>
      </w:r>
    </w:p>
    <w:p w14:paraId="70476B66" w14:textId="77777777" w:rsidR="000F5E4D" w:rsidRPr="000F5E4D" w:rsidRDefault="000F5E4D" w:rsidP="000F5E4D">
      <w:pPr>
        <w:spacing w:after="0" w:line="240" w:lineRule="auto"/>
        <w:jc w:val="both"/>
        <w:rPr>
          <w:rFonts w:ascii="Verdana" w:hAnsi="Verdana"/>
          <w:sz w:val="20"/>
          <w:lang w:val="es-ES_tradnl"/>
        </w:rPr>
      </w:pPr>
    </w:p>
    <w:p w14:paraId="08AD5B6E" w14:textId="26F11459" w:rsidR="00777B91" w:rsidRPr="000F5E4D" w:rsidRDefault="00777B91" w:rsidP="00777B91">
      <w:pPr>
        <w:spacing w:after="0" w:line="240" w:lineRule="auto"/>
        <w:jc w:val="both"/>
        <w:rPr>
          <w:rFonts w:ascii="Verdana" w:hAnsi="Verdana"/>
          <w:b/>
          <w:lang w:val="es-ES_tradnl"/>
        </w:rPr>
      </w:pPr>
      <w:r w:rsidRPr="000F5E4D">
        <w:rPr>
          <w:rFonts w:ascii="Verdana" w:hAnsi="Verdana"/>
          <w:b/>
          <w:lang w:val="es-ES_tradnl"/>
        </w:rPr>
        <w:t>LIQUIDACIÓN - Procedencia – Oportunidad.</w:t>
      </w:r>
    </w:p>
    <w:p w14:paraId="33DCD903" w14:textId="77777777" w:rsidR="000F5E4D" w:rsidRDefault="000F5E4D" w:rsidP="00E15938">
      <w:pPr>
        <w:spacing w:after="0"/>
        <w:rPr>
          <w:rFonts w:ascii="Verdana" w:hAnsi="Verdana"/>
        </w:rPr>
      </w:pPr>
    </w:p>
    <w:p w14:paraId="6CC03FA9" w14:textId="5C3794B3" w:rsidR="000F5E4D" w:rsidRDefault="000F5E4D" w:rsidP="000F5E4D">
      <w:pPr>
        <w:spacing w:after="0" w:line="240" w:lineRule="auto"/>
        <w:jc w:val="both"/>
        <w:rPr>
          <w:rFonts w:ascii="Verdana" w:hAnsi="Verdana"/>
          <w:sz w:val="20"/>
        </w:rPr>
      </w:pPr>
      <w:r w:rsidRPr="000F5E4D">
        <w:rPr>
          <w:rFonts w:ascii="Verdana" w:hAnsi="Verdana"/>
          <w:sz w:val="20"/>
        </w:rPr>
        <w:lastRenderedPageBreak/>
        <w:t>En conclusión, la liquidación de un contrato público debe llevarse a cabo de manera bilateral siempre que sea posible, respetando los derechos del contratista al debido proceso. Si no se llega a un acuerdo bilateral, la empresa social del Estado tiene la facultad de proceder a una liquidación unilateral, si se estipuló, aunque esta solo puede realizarse si el contratista no ha solicitado la liquidación judicial del contrato dentro de los dos años posteriores al vencimiento de los plazos acordados. Si transcurrido este plazo el contratista no ha solicitado la liquidación judicial, la entidad puede liquidar unilateralmente, y si no lo hace, la acción pasa a la jurisdicción para que sea resuelta judicialmente por solicitud del interesado. Esto subraya el principio de que la liquidación del contrato debe ser realizada en un marco de acuerdo o de intervención judicial, priorizando la transparencia y el respeto de los derechos de las partes involucradas.</w:t>
      </w:r>
    </w:p>
    <w:p w14:paraId="5B507390" w14:textId="24F8EBB6" w:rsidR="000F5E4D" w:rsidRDefault="000F5E4D" w:rsidP="000F5E4D">
      <w:pPr>
        <w:spacing w:after="0" w:line="240" w:lineRule="auto"/>
        <w:jc w:val="both"/>
        <w:rPr>
          <w:rFonts w:ascii="Verdana" w:hAnsi="Verdana"/>
          <w:sz w:val="20"/>
        </w:rPr>
      </w:pPr>
    </w:p>
    <w:p w14:paraId="7C77791C" w14:textId="09701AAC" w:rsidR="000F5E4D" w:rsidRDefault="000F5E4D" w:rsidP="000F5E4D">
      <w:pPr>
        <w:spacing w:after="0" w:line="240" w:lineRule="auto"/>
        <w:jc w:val="both"/>
        <w:rPr>
          <w:rFonts w:ascii="Verdana" w:hAnsi="Verdana"/>
          <w:sz w:val="20"/>
        </w:rPr>
      </w:pPr>
    </w:p>
    <w:p w14:paraId="2CBBF3E7" w14:textId="142CA03E" w:rsidR="000F5E4D" w:rsidRDefault="000F5E4D" w:rsidP="000F5E4D">
      <w:pPr>
        <w:spacing w:after="0" w:line="240" w:lineRule="auto"/>
        <w:jc w:val="both"/>
        <w:rPr>
          <w:rFonts w:ascii="Verdana" w:hAnsi="Verdana"/>
          <w:sz w:val="20"/>
        </w:rPr>
      </w:pPr>
    </w:p>
    <w:p w14:paraId="0F0C28B8" w14:textId="68398802" w:rsidR="000F5E4D" w:rsidRDefault="000F5E4D" w:rsidP="000F5E4D">
      <w:pPr>
        <w:spacing w:after="0" w:line="240" w:lineRule="auto"/>
        <w:jc w:val="both"/>
        <w:rPr>
          <w:rFonts w:ascii="Verdana" w:hAnsi="Verdana"/>
          <w:sz w:val="20"/>
        </w:rPr>
      </w:pPr>
    </w:p>
    <w:p w14:paraId="02239E9B" w14:textId="1B240759" w:rsidR="000F5E4D" w:rsidRDefault="000F5E4D" w:rsidP="000F5E4D">
      <w:pPr>
        <w:spacing w:after="0" w:line="240" w:lineRule="auto"/>
        <w:jc w:val="both"/>
        <w:rPr>
          <w:rFonts w:ascii="Verdana" w:hAnsi="Verdana"/>
          <w:sz w:val="20"/>
        </w:rPr>
      </w:pPr>
    </w:p>
    <w:p w14:paraId="503AA8AA" w14:textId="6B04CE6D" w:rsidR="000F5E4D" w:rsidRDefault="000F5E4D" w:rsidP="000F5E4D">
      <w:pPr>
        <w:spacing w:after="0" w:line="240" w:lineRule="auto"/>
        <w:jc w:val="both"/>
        <w:rPr>
          <w:rFonts w:ascii="Verdana" w:hAnsi="Verdana"/>
          <w:sz w:val="20"/>
        </w:rPr>
      </w:pPr>
    </w:p>
    <w:p w14:paraId="327020A3" w14:textId="1A926E36" w:rsidR="000F5E4D" w:rsidRDefault="000F5E4D" w:rsidP="000F5E4D">
      <w:pPr>
        <w:spacing w:after="0" w:line="240" w:lineRule="auto"/>
        <w:jc w:val="both"/>
        <w:rPr>
          <w:rFonts w:ascii="Verdana" w:hAnsi="Verdana"/>
          <w:sz w:val="20"/>
        </w:rPr>
      </w:pPr>
    </w:p>
    <w:p w14:paraId="7E9AC0B7" w14:textId="7ADE0DFD" w:rsidR="000F5E4D" w:rsidRDefault="000F5E4D" w:rsidP="000F5E4D">
      <w:pPr>
        <w:spacing w:after="0" w:line="240" w:lineRule="auto"/>
        <w:jc w:val="both"/>
        <w:rPr>
          <w:rFonts w:ascii="Verdana" w:hAnsi="Verdana"/>
          <w:sz w:val="20"/>
        </w:rPr>
      </w:pPr>
    </w:p>
    <w:p w14:paraId="33CB9F4B" w14:textId="2BB9B3A5" w:rsidR="000F5E4D" w:rsidRDefault="000F5E4D" w:rsidP="000F5E4D">
      <w:pPr>
        <w:spacing w:after="0" w:line="240" w:lineRule="auto"/>
        <w:jc w:val="both"/>
        <w:rPr>
          <w:rFonts w:ascii="Verdana" w:hAnsi="Verdana"/>
          <w:sz w:val="20"/>
        </w:rPr>
      </w:pPr>
    </w:p>
    <w:p w14:paraId="0E2D802F" w14:textId="48B3F833" w:rsidR="000F5E4D" w:rsidRDefault="000F5E4D" w:rsidP="000F5E4D">
      <w:pPr>
        <w:spacing w:after="0" w:line="240" w:lineRule="auto"/>
        <w:jc w:val="both"/>
        <w:rPr>
          <w:rFonts w:ascii="Verdana" w:hAnsi="Verdana"/>
          <w:sz w:val="20"/>
        </w:rPr>
      </w:pPr>
    </w:p>
    <w:p w14:paraId="3B45929F" w14:textId="2F4DC67E" w:rsidR="000F5E4D" w:rsidRDefault="000F5E4D" w:rsidP="000F5E4D">
      <w:pPr>
        <w:spacing w:after="0" w:line="240" w:lineRule="auto"/>
        <w:jc w:val="both"/>
        <w:rPr>
          <w:rFonts w:ascii="Verdana" w:hAnsi="Verdana"/>
          <w:sz w:val="20"/>
        </w:rPr>
      </w:pPr>
    </w:p>
    <w:p w14:paraId="55C4898B" w14:textId="0C42C111" w:rsidR="000F5E4D" w:rsidRDefault="000F5E4D" w:rsidP="000F5E4D">
      <w:pPr>
        <w:spacing w:after="0" w:line="240" w:lineRule="auto"/>
        <w:jc w:val="both"/>
        <w:rPr>
          <w:rFonts w:ascii="Verdana" w:hAnsi="Verdana"/>
          <w:sz w:val="20"/>
        </w:rPr>
      </w:pPr>
    </w:p>
    <w:p w14:paraId="77F55C33" w14:textId="1712439F" w:rsidR="000F5E4D" w:rsidRDefault="000F5E4D" w:rsidP="000F5E4D">
      <w:pPr>
        <w:spacing w:after="0" w:line="240" w:lineRule="auto"/>
        <w:jc w:val="both"/>
        <w:rPr>
          <w:rFonts w:ascii="Verdana" w:hAnsi="Verdana"/>
          <w:sz w:val="20"/>
        </w:rPr>
      </w:pPr>
    </w:p>
    <w:p w14:paraId="32B8F05F" w14:textId="33251BC8" w:rsidR="000F5E4D" w:rsidRDefault="000F5E4D" w:rsidP="000F5E4D">
      <w:pPr>
        <w:spacing w:after="0" w:line="240" w:lineRule="auto"/>
        <w:jc w:val="both"/>
        <w:rPr>
          <w:rFonts w:ascii="Verdana" w:hAnsi="Verdana"/>
          <w:sz w:val="20"/>
        </w:rPr>
      </w:pPr>
    </w:p>
    <w:p w14:paraId="31A7A086" w14:textId="03BB96C5" w:rsidR="000F5E4D" w:rsidRDefault="000F5E4D" w:rsidP="000F5E4D">
      <w:pPr>
        <w:spacing w:after="0" w:line="240" w:lineRule="auto"/>
        <w:jc w:val="both"/>
        <w:rPr>
          <w:rFonts w:ascii="Verdana" w:hAnsi="Verdana"/>
          <w:sz w:val="20"/>
        </w:rPr>
      </w:pPr>
    </w:p>
    <w:p w14:paraId="4E93BF0F" w14:textId="732B6CF9" w:rsidR="000F5E4D" w:rsidRDefault="000F5E4D" w:rsidP="000F5E4D">
      <w:pPr>
        <w:spacing w:after="0" w:line="240" w:lineRule="auto"/>
        <w:jc w:val="both"/>
        <w:rPr>
          <w:rFonts w:ascii="Verdana" w:hAnsi="Verdana"/>
          <w:sz w:val="20"/>
        </w:rPr>
      </w:pPr>
    </w:p>
    <w:p w14:paraId="640092A7" w14:textId="1E1CF6BD" w:rsidR="000F5E4D" w:rsidRDefault="000F5E4D" w:rsidP="000F5E4D">
      <w:pPr>
        <w:spacing w:after="0" w:line="240" w:lineRule="auto"/>
        <w:jc w:val="both"/>
        <w:rPr>
          <w:rFonts w:ascii="Verdana" w:hAnsi="Verdana"/>
          <w:sz w:val="20"/>
        </w:rPr>
      </w:pPr>
    </w:p>
    <w:p w14:paraId="58327B23" w14:textId="69CC4BBB" w:rsidR="000F5E4D" w:rsidRDefault="000F5E4D" w:rsidP="000F5E4D">
      <w:pPr>
        <w:spacing w:after="0" w:line="240" w:lineRule="auto"/>
        <w:jc w:val="both"/>
        <w:rPr>
          <w:rFonts w:ascii="Verdana" w:hAnsi="Verdana"/>
          <w:sz w:val="20"/>
        </w:rPr>
      </w:pPr>
    </w:p>
    <w:p w14:paraId="5D8235B3" w14:textId="3DB557E7" w:rsidR="000F5E4D" w:rsidRDefault="000F5E4D" w:rsidP="000F5E4D">
      <w:pPr>
        <w:spacing w:after="0" w:line="240" w:lineRule="auto"/>
        <w:jc w:val="both"/>
        <w:rPr>
          <w:rFonts w:ascii="Verdana" w:hAnsi="Verdana"/>
          <w:sz w:val="20"/>
        </w:rPr>
      </w:pPr>
    </w:p>
    <w:p w14:paraId="70FA00FF" w14:textId="1EC275D5" w:rsidR="000F5E4D" w:rsidRDefault="000F5E4D" w:rsidP="000F5E4D">
      <w:pPr>
        <w:spacing w:after="0" w:line="240" w:lineRule="auto"/>
        <w:jc w:val="both"/>
        <w:rPr>
          <w:rFonts w:ascii="Verdana" w:hAnsi="Verdana"/>
          <w:sz w:val="20"/>
        </w:rPr>
      </w:pPr>
    </w:p>
    <w:p w14:paraId="252F3045" w14:textId="329EFCDD" w:rsidR="000F5E4D" w:rsidRDefault="000F5E4D" w:rsidP="000F5E4D">
      <w:pPr>
        <w:spacing w:after="0" w:line="240" w:lineRule="auto"/>
        <w:jc w:val="both"/>
        <w:rPr>
          <w:rFonts w:ascii="Verdana" w:hAnsi="Verdana"/>
          <w:sz w:val="20"/>
        </w:rPr>
      </w:pPr>
    </w:p>
    <w:p w14:paraId="18576E06" w14:textId="07EAA315" w:rsidR="000F5E4D" w:rsidRDefault="000F5E4D" w:rsidP="000F5E4D">
      <w:pPr>
        <w:spacing w:after="0" w:line="240" w:lineRule="auto"/>
        <w:jc w:val="both"/>
        <w:rPr>
          <w:rFonts w:ascii="Verdana" w:hAnsi="Verdana"/>
          <w:sz w:val="20"/>
        </w:rPr>
      </w:pPr>
    </w:p>
    <w:p w14:paraId="4F7EFFC5" w14:textId="49FE730F" w:rsidR="000F5E4D" w:rsidRDefault="000F5E4D" w:rsidP="000F5E4D">
      <w:pPr>
        <w:spacing w:after="0" w:line="240" w:lineRule="auto"/>
        <w:jc w:val="both"/>
        <w:rPr>
          <w:rFonts w:ascii="Verdana" w:hAnsi="Verdana"/>
          <w:sz w:val="20"/>
        </w:rPr>
      </w:pPr>
    </w:p>
    <w:p w14:paraId="4190D56D" w14:textId="3509DD35" w:rsidR="000F5E4D" w:rsidRDefault="000F5E4D" w:rsidP="000F5E4D">
      <w:pPr>
        <w:spacing w:after="0" w:line="240" w:lineRule="auto"/>
        <w:jc w:val="both"/>
        <w:rPr>
          <w:rFonts w:ascii="Verdana" w:hAnsi="Verdana"/>
          <w:sz w:val="20"/>
        </w:rPr>
      </w:pPr>
    </w:p>
    <w:p w14:paraId="567806E8" w14:textId="4F95597B" w:rsidR="000F5E4D" w:rsidRDefault="000F5E4D" w:rsidP="000F5E4D">
      <w:pPr>
        <w:spacing w:after="0" w:line="240" w:lineRule="auto"/>
        <w:jc w:val="both"/>
        <w:rPr>
          <w:rFonts w:ascii="Verdana" w:hAnsi="Verdana"/>
          <w:sz w:val="20"/>
        </w:rPr>
      </w:pPr>
    </w:p>
    <w:p w14:paraId="2F9690C9" w14:textId="11D51562" w:rsidR="000F5E4D" w:rsidRDefault="000F5E4D" w:rsidP="000F5E4D">
      <w:pPr>
        <w:spacing w:after="0" w:line="240" w:lineRule="auto"/>
        <w:jc w:val="both"/>
        <w:rPr>
          <w:rFonts w:ascii="Verdana" w:hAnsi="Verdana"/>
          <w:sz w:val="20"/>
        </w:rPr>
      </w:pPr>
    </w:p>
    <w:p w14:paraId="36A21E01" w14:textId="37D6CF94" w:rsidR="000F5E4D" w:rsidRDefault="000F5E4D" w:rsidP="000F5E4D">
      <w:pPr>
        <w:spacing w:after="0" w:line="240" w:lineRule="auto"/>
        <w:jc w:val="both"/>
        <w:rPr>
          <w:rFonts w:ascii="Verdana" w:hAnsi="Verdana"/>
          <w:sz w:val="20"/>
        </w:rPr>
      </w:pPr>
    </w:p>
    <w:p w14:paraId="46E62207" w14:textId="0052D101" w:rsidR="000F5E4D" w:rsidRDefault="000F5E4D" w:rsidP="000F5E4D">
      <w:pPr>
        <w:spacing w:after="0" w:line="240" w:lineRule="auto"/>
        <w:jc w:val="both"/>
        <w:rPr>
          <w:rFonts w:ascii="Verdana" w:hAnsi="Verdana"/>
          <w:sz w:val="20"/>
        </w:rPr>
      </w:pPr>
    </w:p>
    <w:p w14:paraId="0428D0A9" w14:textId="07C86AA9" w:rsidR="000F5E4D" w:rsidRDefault="000F5E4D" w:rsidP="000F5E4D">
      <w:pPr>
        <w:spacing w:after="0" w:line="240" w:lineRule="auto"/>
        <w:jc w:val="both"/>
        <w:rPr>
          <w:rFonts w:ascii="Verdana" w:hAnsi="Verdana"/>
          <w:sz w:val="20"/>
        </w:rPr>
      </w:pPr>
    </w:p>
    <w:p w14:paraId="2EB09C94" w14:textId="72979E68" w:rsidR="000F5E4D" w:rsidRDefault="000F5E4D" w:rsidP="000F5E4D">
      <w:pPr>
        <w:spacing w:after="0" w:line="240" w:lineRule="auto"/>
        <w:jc w:val="both"/>
        <w:rPr>
          <w:rFonts w:ascii="Verdana" w:hAnsi="Verdana"/>
          <w:sz w:val="20"/>
        </w:rPr>
      </w:pPr>
    </w:p>
    <w:p w14:paraId="3DA4FE75" w14:textId="46926DF1" w:rsidR="000F5E4D" w:rsidRDefault="000F5E4D" w:rsidP="000F5E4D">
      <w:pPr>
        <w:spacing w:after="0" w:line="240" w:lineRule="auto"/>
        <w:jc w:val="both"/>
        <w:rPr>
          <w:rFonts w:ascii="Verdana" w:hAnsi="Verdana"/>
          <w:sz w:val="20"/>
        </w:rPr>
      </w:pPr>
    </w:p>
    <w:p w14:paraId="7A90818D" w14:textId="1AD5AC86" w:rsidR="000F5E4D" w:rsidRDefault="000F5E4D" w:rsidP="000F5E4D">
      <w:pPr>
        <w:spacing w:after="0" w:line="240" w:lineRule="auto"/>
        <w:jc w:val="both"/>
        <w:rPr>
          <w:rFonts w:ascii="Verdana" w:hAnsi="Verdana"/>
          <w:sz w:val="20"/>
        </w:rPr>
      </w:pPr>
    </w:p>
    <w:p w14:paraId="1248547E" w14:textId="46C6FBCE" w:rsidR="000F5E4D" w:rsidRDefault="000F5E4D" w:rsidP="000F5E4D">
      <w:pPr>
        <w:spacing w:after="0" w:line="240" w:lineRule="auto"/>
        <w:jc w:val="both"/>
        <w:rPr>
          <w:rFonts w:ascii="Verdana" w:hAnsi="Verdana"/>
          <w:sz w:val="20"/>
        </w:rPr>
      </w:pPr>
    </w:p>
    <w:p w14:paraId="5AB6F131" w14:textId="18387C66" w:rsidR="000F5E4D" w:rsidRDefault="000F5E4D" w:rsidP="000F5E4D">
      <w:pPr>
        <w:spacing w:after="0" w:line="240" w:lineRule="auto"/>
        <w:jc w:val="both"/>
        <w:rPr>
          <w:rFonts w:ascii="Verdana" w:hAnsi="Verdana"/>
          <w:sz w:val="20"/>
        </w:rPr>
      </w:pPr>
    </w:p>
    <w:p w14:paraId="4A091977" w14:textId="30902311" w:rsidR="000F5E4D" w:rsidRDefault="000F5E4D" w:rsidP="000F5E4D">
      <w:pPr>
        <w:spacing w:after="0" w:line="240" w:lineRule="auto"/>
        <w:jc w:val="both"/>
        <w:rPr>
          <w:rFonts w:ascii="Verdana" w:hAnsi="Verdana"/>
          <w:sz w:val="20"/>
        </w:rPr>
      </w:pPr>
    </w:p>
    <w:p w14:paraId="249E0FE8" w14:textId="5378186E" w:rsidR="000F5E4D" w:rsidRDefault="000F5E4D" w:rsidP="000F5E4D">
      <w:pPr>
        <w:spacing w:after="0" w:line="240" w:lineRule="auto"/>
        <w:jc w:val="both"/>
        <w:rPr>
          <w:rFonts w:ascii="Verdana" w:hAnsi="Verdana"/>
          <w:sz w:val="20"/>
        </w:rPr>
      </w:pPr>
    </w:p>
    <w:p w14:paraId="286D1E49" w14:textId="5BA45B23" w:rsidR="000F5E4D" w:rsidRPr="000F5E4D" w:rsidRDefault="000F5E4D" w:rsidP="000F5E4D">
      <w:pPr>
        <w:spacing w:after="0" w:line="240" w:lineRule="auto"/>
        <w:jc w:val="both"/>
        <w:rPr>
          <w:rFonts w:ascii="Verdana" w:hAnsi="Verdana"/>
          <w:sz w:val="20"/>
        </w:rPr>
      </w:pPr>
    </w:p>
    <w:p w14:paraId="63598012" w14:textId="3919F51B" w:rsidR="00E15938" w:rsidRPr="0044528D" w:rsidRDefault="00E15938" w:rsidP="00E15938">
      <w:pPr>
        <w:spacing w:after="0"/>
        <w:rPr>
          <w:rFonts w:ascii="Verdana" w:hAnsi="Verdana"/>
        </w:rPr>
      </w:pPr>
      <w:r w:rsidRPr="0044528D">
        <w:rPr>
          <w:rFonts w:ascii="Verdana" w:hAnsi="Verdana"/>
        </w:rPr>
        <w:lastRenderedPageBreak/>
        <w:t>Bogotá D.C.,</w:t>
      </w:r>
      <w:r w:rsidR="00777B91">
        <w:rPr>
          <w:rFonts w:ascii="Verdana" w:hAnsi="Verdana"/>
        </w:rPr>
        <w:t xml:space="preserve"> 14 de octubre de 2025</w:t>
      </w:r>
      <w:r w:rsidRPr="0044528D">
        <w:rPr>
          <w:rFonts w:ascii="Verdana" w:hAnsi="Verdana"/>
        </w:rPr>
        <w:tab/>
      </w:r>
    </w:p>
    <w:p w14:paraId="7B930CAD" w14:textId="5A96288F" w:rsidR="00E15938" w:rsidRDefault="00777B91" w:rsidP="00E15938">
      <w:pPr>
        <w:spacing w:after="0" w:line="240" w:lineRule="auto"/>
        <w:rPr>
          <w:rFonts w:ascii="Verdana" w:hAnsi="Verdana"/>
        </w:rPr>
      </w:pPr>
      <w:r w:rsidRPr="00777B91">
        <w:rPr>
          <w:rFonts w:ascii="Verdana" w:eastAsia="Calibri" w:hAnsi="Verdana" w:cs="Times New Roman"/>
          <w:noProof/>
          <w:lang w:val="en-US"/>
        </w:rPr>
        <w:drawing>
          <wp:anchor distT="0" distB="0" distL="114300" distR="114300" simplePos="0" relativeHeight="251658240" behindDoc="0" locked="0" layoutInCell="1" allowOverlap="1" wp14:anchorId="467B50F9" wp14:editId="74020F4D">
            <wp:simplePos x="0" y="0"/>
            <wp:positionH relativeFrom="margin">
              <wp:posOffset>2861945</wp:posOffset>
            </wp:positionH>
            <wp:positionV relativeFrom="paragraph">
              <wp:posOffset>71120</wp:posOffset>
            </wp:positionV>
            <wp:extent cx="2742565" cy="756285"/>
            <wp:effectExtent l="0" t="0" r="635" b="571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42565" cy="7562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35A3664" w14:textId="77777777" w:rsidR="00E15938" w:rsidRPr="00B64355" w:rsidRDefault="00E15938" w:rsidP="00E15938">
      <w:pPr>
        <w:spacing w:after="0" w:line="240" w:lineRule="auto"/>
        <w:rPr>
          <w:rFonts w:ascii="Verdana" w:hAnsi="Verdana"/>
        </w:rPr>
      </w:pPr>
    </w:p>
    <w:p w14:paraId="46E589BF" w14:textId="2BEA67A0" w:rsidR="00E15938" w:rsidRPr="00B64355" w:rsidRDefault="00E15938" w:rsidP="00777B91">
      <w:pPr>
        <w:spacing w:after="0" w:line="240" w:lineRule="auto"/>
        <w:rPr>
          <w:rFonts w:ascii="Verdana" w:eastAsia="Calibri" w:hAnsi="Verdana" w:cs="Times New Roman"/>
          <w:lang w:val="es-MX"/>
        </w:rPr>
      </w:pPr>
      <w:r>
        <w:rPr>
          <w:rFonts w:ascii="Verdana" w:eastAsia="Calibri" w:hAnsi="Verdana" w:cs="Times New Roman"/>
          <w:lang w:val="es-MX"/>
        </w:rPr>
        <w:t>Señora</w:t>
      </w:r>
    </w:p>
    <w:p w14:paraId="6EE2420B" w14:textId="77777777" w:rsidR="00E15938" w:rsidRPr="00554E0B" w:rsidRDefault="00E15938" w:rsidP="00777B91">
      <w:pPr>
        <w:spacing w:after="0" w:line="240" w:lineRule="auto"/>
        <w:rPr>
          <w:rFonts w:ascii="Verdana" w:eastAsia="Calibri" w:hAnsi="Verdana" w:cs="Times New Roman"/>
          <w:b/>
        </w:rPr>
      </w:pPr>
      <w:r w:rsidRPr="00554E0B">
        <w:rPr>
          <w:rFonts w:ascii="Verdana" w:eastAsia="Calibri" w:hAnsi="Verdana" w:cs="Times New Roman"/>
          <w:b/>
        </w:rPr>
        <w:t>Natalia Solarte Eraso</w:t>
      </w:r>
    </w:p>
    <w:p w14:paraId="790CA225" w14:textId="77777777" w:rsidR="00E15938" w:rsidRPr="00554E0B" w:rsidRDefault="00E15938" w:rsidP="00777B91">
      <w:pPr>
        <w:spacing w:after="0" w:line="240" w:lineRule="auto"/>
        <w:rPr>
          <w:rFonts w:ascii="Verdana" w:eastAsia="Calibri" w:hAnsi="Verdana" w:cs="Times New Roman"/>
        </w:rPr>
      </w:pPr>
      <w:hyperlink r:id="rId13" w:history="1">
        <w:r w:rsidRPr="00F4381D">
          <w:rPr>
            <w:rStyle w:val="Hipervnculo"/>
            <w:rFonts w:ascii="Verdana" w:eastAsia="Calibri" w:hAnsi="Verdana" w:cs="Times New Roman"/>
          </w:rPr>
          <w:t>nataliasolarte22@hotmail.com</w:t>
        </w:r>
      </w:hyperlink>
      <w:r>
        <w:rPr>
          <w:rFonts w:ascii="Verdana" w:eastAsia="Calibri" w:hAnsi="Verdana" w:cs="Times New Roman"/>
        </w:rPr>
        <w:t xml:space="preserve"> </w:t>
      </w:r>
      <w:r w:rsidRPr="00554E0B">
        <w:rPr>
          <w:rFonts w:ascii="Verdana" w:eastAsia="Calibri" w:hAnsi="Verdana" w:cs="Times New Roman"/>
        </w:rPr>
        <w:t xml:space="preserve"> </w:t>
      </w:r>
    </w:p>
    <w:p w14:paraId="74B552E9" w14:textId="77777777" w:rsidR="00E15938" w:rsidRDefault="00E15938" w:rsidP="00777B91">
      <w:pPr>
        <w:spacing w:after="0" w:line="240" w:lineRule="auto"/>
        <w:rPr>
          <w:rFonts w:ascii="Verdana" w:eastAsia="Calibri" w:hAnsi="Verdana" w:cs="Times New Roman"/>
        </w:rPr>
      </w:pPr>
      <w:proofErr w:type="spellStart"/>
      <w:r w:rsidRPr="00347804">
        <w:rPr>
          <w:rFonts w:ascii="Verdana" w:eastAsia="Calibri" w:hAnsi="Verdana" w:cs="Times New Roman"/>
        </w:rPr>
        <w:t>Villagarzón</w:t>
      </w:r>
      <w:proofErr w:type="spellEnd"/>
      <w:r w:rsidRPr="00347804">
        <w:rPr>
          <w:rFonts w:ascii="Verdana" w:eastAsia="Calibri" w:hAnsi="Verdana" w:cs="Times New Roman"/>
        </w:rPr>
        <w:t>, Putumayo</w:t>
      </w:r>
    </w:p>
    <w:p w14:paraId="6B3A9D04" w14:textId="77777777" w:rsidR="00E15938" w:rsidRDefault="00E15938" w:rsidP="00E15938">
      <w:pPr>
        <w:spacing w:after="0" w:line="240" w:lineRule="auto"/>
        <w:rPr>
          <w:rFonts w:ascii="Verdana" w:eastAsia="Calibri" w:hAnsi="Verdana" w:cs="Times New Roman"/>
        </w:rPr>
      </w:pPr>
    </w:p>
    <w:p w14:paraId="42A6A3B4" w14:textId="77777777" w:rsidR="00E15938" w:rsidRPr="00A12CB6" w:rsidRDefault="00E15938" w:rsidP="00E15938">
      <w:pPr>
        <w:spacing w:after="0" w:line="240" w:lineRule="auto"/>
        <w:rPr>
          <w:rFonts w:ascii="Verdana" w:eastAsia="Calibri" w:hAnsi="Verdana" w:cs="Times New Roman"/>
        </w:rPr>
      </w:pPr>
    </w:p>
    <w:p w14:paraId="0DE316F9" w14:textId="77777777" w:rsidR="00E15938" w:rsidRPr="00A12CB6" w:rsidRDefault="00E15938" w:rsidP="00E15938">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C–1285 de 2025</w:t>
      </w:r>
    </w:p>
    <w:p w14:paraId="5BF4F51E" w14:textId="77777777" w:rsidR="00E15938" w:rsidRPr="00A12CB6" w:rsidRDefault="00E15938" w:rsidP="00E15938">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E15938" w:rsidRPr="00A12CB6" w14:paraId="77122FB8" w14:textId="77777777" w:rsidTr="00B95DFB">
        <w:trPr>
          <w:trHeight w:val="645"/>
        </w:trPr>
        <w:tc>
          <w:tcPr>
            <w:tcW w:w="2685" w:type="dxa"/>
            <w:hideMark/>
          </w:tcPr>
          <w:p w14:paraId="5F6C759C" w14:textId="77777777" w:rsidR="00E15938" w:rsidRPr="00A12CB6" w:rsidRDefault="00E15938" w:rsidP="00B95DFB">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5EE8C939" w14:textId="77777777" w:rsidR="00E15938" w:rsidRPr="00AA1328" w:rsidRDefault="00E15938" w:rsidP="00B95DFB">
            <w:pPr>
              <w:spacing w:line="276" w:lineRule="auto"/>
              <w:jc w:val="both"/>
              <w:rPr>
                <w:rFonts w:ascii="Verdana" w:hAnsi="Verdana" w:cs="Arial"/>
                <w:lang w:val="es-ES" w:eastAsia="es-ES"/>
              </w:rPr>
            </w:pPr>
            <w:r w:rsidRPr="00554E0B">
              <w:rPr>
                <w:rFonts w:ascii="Verdana" w:hAnsi="Verdana" w:cs="Arial"/>
                <w:lang w:val="es-ES" w:eastAsia="es-ES"/>
              </w:rPr>
              <w:t xml:space="preserve">CONTRATO ESTATAL – Régimen jurídico / RÉGIMEN EXCEPCIONAL – Justificación – Criterios de clasificación / EMPRESAS SOCIALES DEL ESTADO– </w:t>
            </w:r>
            <w:r>
              <w:rPr>
                <w:rFonts w:ascii="Verdana" w:hAnsi="Verdana" w:cs="Arial"/>
                <w:lang w:val="es-ES" w:eastAsia="es-ES"/>
              </w:rPr>
              <w:t xml:space="preserve">Naturaleza – régimen especial </w:t>
            </w:r>
            <w:r w:rsidRPr="00554E0B">
              <w:rPr>
                <w:rFonts w:ascii="Verdana" w:hAnsi="Verdana" w:cs="Arial"/>
                <w:lang w:val="es-ES_tradnl" w:eastAsia="es-ES"/>
              </w:rPr>
              <w:t xml:space="preserve">/ CLÁUSULAS EXCEPCIONALES – Remisión Especial – Empresas Sociales del Estado </w:t>
            </w:r>
            <w:r>
              <w:rPr>
                <w:rFonts w:ascii="Verdana" w:hAnsi="Verdana" w:cs="Arial"/>
                <w:lang w:val="es-ES_tradnl" w:eastAsia="es-ES"/>
              </w:rPr>
              <w:t xml:space="preserve">/ </w:t>
            </w:r>
            <w:r w:rsidRPr="000E7B67">
              <w:rPr>
                <w:rFonts w:ascii="Verdana" w:hAnsi="Verdana" w:cs="Arial"/>
                <w:lang w:val="es-ES" w:eastAsia="es-ES"/>
              </w:rPr>
              <w:t xml:space="preserve">LIQUIDACIÓN – Definición – Objetivo </w:t>
            </w:r>
            <w:r>
              <w:rPr>
                <w:rFonts w:ascii="Verdana" w:hAnsi="Verdana" w:cs="Arial"/>
                <w:lang w:val="es-ES" w:eastAsia="es-ES"/>
              </w:rPr>
              <w:t xml:space="preserve">/ LIQUIDACIÓN BILATERAL – Concepto – Fundamento normativo/ LIQUIDACIÓN UNILATERAL – Procedencia – Empresas Sociales del Estado – Reglas - EGCAP / </w:t>
            </w:r>
            <w:r w:rsidRPr="00554E0B">
              <w:rPr>
                <w:rFonts w:ascii="Verdana" w:hAnsi="Verdana" w:cs="Arial"/>
                <w:lang w:val="es-ES" w:eastAsia="es-ES"/>
              </w:rPr>
              <w:t>LIQUIDACIÓN - Procedencia – Oportunidad</w:t>
            </w:r>
            <w:r>
              <w:rPr>
                <w:rFonts w:ascii="Verdana" w:hAnsi="Verdana" w:cs="Arial"/>
                <w:lang w:val="es-ES" w:eastAsia="es-ES"/>
              </w:rPr>
              <w:t xml:space="preserve">. </w:t>
            </w:r>
          </w:p>
        </w:tc>
        <w:tc>
          <w:tcPr>
            <w:tcW w:w="6237" w:type="dxa"/>
          </w:tcPr>
          <w:p w14:paraId="237C6A99" w14:textId="77777777" w:rsidR="00E15938" w:rsidRPr="00757EE9" w:rsidRDefault="00E15938" w:rsidP="00B95DFB">
            <w:pPr>
              <w:spacing w:line="256" w:lineRule="auto"/>
              <w:rPr>
                <w:rFonts w:ascii="Verdana" w:hAnsi="Verdana"/>
                <w:lang w:val="es-ES"/>
              </w:rPr>
            </w:pPr>
          </w:p>
        </w:tc>
      </w:tr>
      <w:tr w:rsidR="00E15938" w:rsidRPr="00A12CB6" w14:paraId="63AF2822" w14:textId="77777777" w:rsidTr="00B95DFB">
        <w:tc>
          <w:tcPr>
            <w:tcW w:w="2685" w:type="dxa"/>
          </w:tcPr>
          <w:p w14:paraId="0FBD9245" w14:textId="77777777" w:rsidR="00E15938" w:rsidRDefault="00E15938" w:rsidP="00B95DFB">
            <w:pPr>
              <w:spacing w:line="256" w:lineRule="auto"/>
              <w:rPr>
                <w:rFonts w:ascii="Verdana" w:hAnsi="Verdana"/>
                <w:lang w:val="es-ES_tradnl"/>
              </w:rPr>
            </w:pPr>
          </w:p>
          <w:p w14:paraId="76A10E3F" w14:textId="77777777" w:rsidR="00E15938" w:rsidRPr="00A12CB6" w:rsidRDefault="00E15938" w:rsidP="00B95DFB">
            <w:pPr>
              <w:spacing w:line="256" w:lineRule="auto"/>
              <w:rPr>
                <w:rFonts w:ascii="Verdana" w:hAnsi="Verdana"/>
                <w:lang w:val="es-ES_tradnl"/>
              </w:rPr>
            </w:pPr>
          </w:p>
          <w:p w14:paraId="1BAC7509" w14:textId="77777777" w:rsidR="00E15938" w:rsidRPr="00A12CB6" w:rsidRDefault="00E15938" w:rsidP="00B95DFB">
            <w:pPr>
              <w:spacing w:line="256" w:lineRule="auto"/>
              <w:rPr>
                <w:rFonts w:ascii="Verdana" w:hAnsi="Verdana"/>
                <w:b/>
                <w:bCs/>
                <w:lang w:val="es-ES_tradnl"/>
              </w:rPr>
            </w:pPr>
            <w:r w:rsidRPr="00A12CB6">
              <w:rPr>
                <w:rFonts w:ascii="Verdana" w:hAnsi="Verdana"/>
                <w:b/>
                <w:bCs/>
                <w:lang w:val="es-ES_tradnl"/>
              </w:rPr>
              <w:t xml:space="preserve">Radicación:               </w:t>
            </w:r>
          </w:p>
        </w:tc>
        <w:tc>
          <w:tcPr>
            <w:tcW w:w="6241" w:type="dxa"/>
          </w:tcPr>
          <w:p w14:paraId="42128E58" w14:textId="77777777" w:rsidR="00E15938" w:rsidRDefault="00E15938" w:rsidP="00B95DFB">
            <w:pPr>
              <w:spacing w:line="257" w:lineRule="auto"/>
              <w:rPr>
                <w:rFonts w:ascii="Verdana" w:hAnsi="Verdana"/>
                <w:lang w:val="es-ES_tradnl"/>
              </w:rPr>
            </w:pPr>
          </w:p>
          <w:p w14:paraId="5CEBA906" w14:textId="77777777" w:rsidR="00E15938" w:rsidRPr="00A12CB6" w:rsidRDefault="00E15938" w:rsidP="00B95DFB">
            <w:pPr>
              <w:spacing w:line="257" w:lineRule="auto"/>
              <w:rPr>
                <w:rFonts w:ascii="Verdana" w:hAnsi="Verdana"/>
                <w:lang w:val="es-ES_tradnl"/>
              </w:rPr>
            </w:pPr>
          </w:p>
          <w:p w14:paraId="57C029F6" w14:textId="77777777" w:rsidR="00E15938" w:rsidRPr="00630891" w:rsidRDefault="00E15938" w:rsidP="00B95DFB">
            <w:pPr>
              <w:spacing w:line="257" w:lineRule="auto"/>
              <w:jc w:val="both"/>
              <w:rPr>
                <w:rFonts w:ascii="Verdana" w:hAnsi="Verdana"/>
              </w:rPr>
            </w:pPr>
            <w:r w:rsidRPr="00A12CB6">
              <w:rPr>
                <w:rFonts w:ascii="Verdana" w:hAnsi="Verdana"/>
                <w:lang w:val="es-ES_tradnl"/>
              </w:rPr>
              <w:t xml:space="preserve">Respuesta a consulta con radicado No. </w:t>
            </w:r>
            <w:r w:rsidRPr="00554E0B">
              <w:rPr>
                <w:rFonts w:ascii="Verdana" w:hAnsi="Verdana"/>
              </w:rPr>
              <w:t>1_2025_09_08_009758</w:t>
            </w:r>
            <w:r>
              <w:rPr>
                <w:rFonts w:ascii="Verdana" w:hAnsi="Verdana"/>
              </w:rPr>
              <w:t xml:space="preserve"> </w:t>
            </w:r>
          </w:p>
          <w:p w14:paraId="0216B9F5" w14:textId="77777777" w:rsidR="00E15938" w:rsidRPr="00630891" w:rsidRDefault="00E15938" w:rsidP="00B95DFB">
            <w:pPr>
              <w:spacing w:line="257" w:lineRule="auto"/>
              <w:jc w:val="both"/>
              <w:rPr>
                <w:rFonts w:ascii="Verdana" w:hAnsi="Verdana"/>
              </w:rPr>
            </w:pPr>
          </w:p>
          <w:p w14:paraId="3CE89B95" w14:textId="77777777" w:rsidR="00E15938" w:rsidRPr="00A12CB6" w:rsidRDefault="00E15938" w:rsidP="00B95DFB">
            <w:pPr>
              <w:spacing w:line="257" w:lineRule="auto"/>
              <w:jc w:val="both"/>
              <w:rPr>
                <w:rFonts w:ascii="Verdana" w:hAnsi="Verdana"/>
              </w:rPr>
            </w:pPr>
          </w:p>
        </w:tc>
        <w:tc>
          <w:tcPr>
            <w:tcW w:w="6237" w:type="dxa"/>
          </w:tcPr>
          <w:p w14:paraId="42A58A15" w14:textId="77777777" w:rsidR="00E15938" w:rsidRPr="00A12CB6" w:rsidRDefault="00E15938" w:rsidP="00B95DFB">
            <w:pPr>
              <w:spacing w:line="256" w:lineRule="auto"/>
              <w:rPr>
                <w:rFonts w:ascii="Verdana" w:hAnsi="Verdana"/>
                <w:lang w:val="es-ES_tradnl"/>
              </w:rPr>
            </w:pPr>
          </w:p>
        </w:tc>
      </w:tr>
    </w:tbl>
    <w:p w14:paraId="51A39EC1" w14:textId="77777777" w:rsidR="00E15938" w:rsidRPr="00A12CB6" w:rsidRDefault="00E15938" w:rsidP="00E15938">
      <w:pPr>
        <w:spacing w:after="0" w:line="256" w:lineRule="auto"/>
        <w:rPr>
          <w:rFonts w:ascii="Verdana" w:eastAsia="Calibri" w:hAnsi="Verdana" w:cs="Times New Roman"/>
          <w:lang w:val="es-ES"/>
        </w:rPr>
      </w:pPr>
      <w:r>
        <w:rPr>
          <w:rFonts w:ascii="Verdana" w:eastAsia="Calibri" w:hAnsi="Verdana" w:cs="Times New Roman"/>
          <w:lang w:val="es-ES"/>
        </w:rPr>
        <w:t>Estimada Señora Solarte</w:t>
      </w:r>
      <w:r w:rsidRPr="003469FD">
        <w:rPr>
          <w:rFonts w:ascii="Verdana" w:eastAsia="Calibri" w:hAnsi="Verdana" w:cs="Times New Roman"/>
          <w:lang w:val="es-ES"/>
        </w:rPr>
        <w:t>:</w:t>
      </w:r>
      <w:r w:rsidRPr="00A12CB6">
        <w:rPr>
          <w:rFonts w:ascii="Verdana" w:eastAsia="Calibri" w:hAnsi="Verdana" w:cs="Times New Roman"/>
          <w:lang w:val="es-ES"/>
        </w:rPr>
        <w:t xml:space="preserve"> </w:t>
      </w:r>
    </w:p>
    <w:p w14:paraId="0D0E3C5D" w14:textId="77777777" w:rsidR="00E15938" w:rsidRPr="00A12CB6" w:rsidRDefault="00E15938" w:rsidP="00E15938">
      <w:pPr>
        <w:spacing w:after="0" w:line="256" w:lineRule="auto"/>
        <w:rPr>
          <w:rFonts w:ascii="Verdana" w:eastAsia="Calibri" w:hAnsi="Verdana" w:cs="Times New Roman"/>
          <w:lang w:val="es-ES"/>
        </w:rPr>
      </w:pPr>
    </w:p>
    <w:p w14:paraId="762E84FD" w14:textId="77777777" w:rsidR="00E15938" w:rsidRPr="000774CF" w:rsidRDefault="00E15938" w:rsidP="00E15938">
      <w:pPr>
        <w:spacing w:after="0" w:line="276" w:lineRule="auto"/>
        <w:jc w:val="both"/>
        <w:rPr>
          <w:rFonts w:ascii="Verdana" w:eastAsia="Calibri" w:hAnsi="Verdana" w:cs="Times New Roman"/>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 xml:space="preserve">te responde la solicitud del 8 de septiembre de 2025. </w:t>
      </w:r>
      <w:r>
        <w:rPr>
          <w:rFonts w:ascii="Verdana" w:eastAsia="Calibri" w:hAnsi="Verdana" w:cs="Times New Roman"/>
          <w:lang w:val="es-ES"/>
        </w:rPr>
        <w:t xml:space="preserve">En dicha solicitud, usted plantea una situación hipotética, sobre la liquidación de un Contrato de Consultoría de una Empresa Social del Estado con un particular, que ya finalizó, pero que no se liquidó </w:t>
      </w:r>
      <w:proofErr w:type="gramStart"/>
      <w:r>
        <w:rPr>
          <w:rFonts w:ascii="Verdana" w:eastAsia="Calibri" w:hAnsi="Verdana" w:cs="Times New Roman"/>
          <w:lang w:val="es-ES"/>
        </w:rPr>
        <w:t>bilateralmente o unilateralmente</w:t>
      </w:r>
      <w:proofErr w:type="gramEnd"/>
      <w:r>
        <w:rPr>
          <w:rFonts w:ascii="Verdana" w:eastAsia="Calibri" w:hAnsi="Verdana" w:cs="Times New Roman"/>
          <w:lang w:val="es-ES"/>
        </w:rPr>
        <w:t xml:space="preserve"> dentro del término estipulado. De ello, se derivan los siguientes interrogantes: </w:t>
      </w:r>
    </w:p>
    <w:p w14:paraId="71B0C981" w14:textId="77777777" w:rsidR="00E15938" w:rsidRPr="000774CF" w:rsidRDefault="00E15938" w:rsidP="00E15938">
      <w:pPr>
        <w:spacing w:after="0" w:line="276" w:lineRule="auto"/>
        <w:jc w:val="both"/>
        <w:rPr>
          <w:rFonts w:ascii="Verdana" w:eastAsia="Calibri" w:hAnsi="Verdana" w:cs="Times New Roman"/>
        </w:rPr>
      </w:pPr>
      <w:r w:rsidRPr="00D748F9">
        <w:rPr>
          <w:rFonts w:ascii="Verdana" w:eastAsia="Calibri" w:hAnsi="Verdana" w:cs="Times New Roman"/>
        </w:rPr>
        <w:t xml:space="preserve"> </w:t>
      </w:r>
    </w:p>
    <w:p w14:paraId="262F53C6" w14:textId="77777777" w:rsidR="00E15938" w:rsidRPr="00062DE8" w:rsidRDefault="00E15938" w:rsidP="00E15938">
      <w:pPr>
        <w:spacing w:after="0" w:line="240" w:lineRule="auto"/>
        <w:ind w:left="709"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lastRenderedPageBreak/>
        <w:t>“</w:t>
      </w:r>
      <w:r w:rsidRPr="00062DE8">
        <w:rPr>
          <w:rFonts w:ascii="Verdana" w:eastAsia="Calibri" w:hAnsi="Verdana" w:cs="Times New Roman"/>
          <w:bCs/>
          <w:sz w:val="20"/>
          <w:szCs w:val="20"/>
          <w:lang w:bidi="es-ES"/>
        </w:rPr>
        <w:t xml:space="preserve">¿La E.S.E. Hospital José María Hernández aún conserva la facultad y competencia para proceder con la liquidación unilateral del contrato, pese a que ya se superó el término contractual previsto para este fin? </w:t>
      </w:r>
    </w:p>
    <w:p w14:paraId="00AD9ACA" w14:textId="77777777" w:rsidR="00E15938" w:rsidRPr="00062DE8" w:rsidRDefault="00E15938" w:rsidP="00E15938">
      <w:pPr>
        <w:spacing w:after="0" w:line="240" w:lineRule="auto"/>
        <w:ind w:left="709" w:right="709"/>
        <w:jc w:val="both"/>
        <w:rPr>
          <w:rFonts w:ascii="Verdana" w:eastAsia="Calibri" w:hAnsi="Verdana" w:cs="Times New Roman"/>
          <w:bCs/>
          <w:sz w:val="20"/>
          <w:szCs w:val="20"/>
          <w:lang w:bidi="es-ES"/>
        </w:rPr>
      </w:pPr>
    </w:p>
    <w:p w14:paraId="1F17F247" w14:textId="77777777" w:rsidR="00E15938" w:rsidRPr="00062DE8" w:rsidRDefault="00E15938" w:rsidP="00E15938">
      <w:pPr>
        <w:spacing w:after="0" w:line="240" w:lineRule="auto"/>
        <w:ind w:left="709" w:right="709"/>
        <w:jc w:val="both"/>
        <w:rPr>
          <w:rFonts w:ascii="Verdana" w:eastAsia="Calibri" w:hAnsi="Verdana" w:cs="Times New Roman"/>
          <w:bCs/>
          <w:lang w:bidi="es-ES"/>
        </w:rPr>
      </w:pPr>
      <w:r w:rsidRPr="00062DE8">
        <w:rPr>
          <w:rFonts w:ascii="Segoe UI Symbol" w:eastAsia="Calibri" w:hAnsi="Segoe UI Symbol" w:cs="Segoe UI Symbol"/>
          <w:bCs/>
          <w:sz w:val="20"/>
          <w:szCs w:val="20"/>
          <w:lang w:bidi="es-ES"/>
        </w:rPr>
        <w:t>✓</w:t>
      </w:r>
      <w:r w:rsidRPr="00062DE8">
        <w:rPr>
          <w:rFonts w:ascii="Verdana" w:eastAsia="Calibri" w:hAnsi="Verdana" w:cs="Times New Roman"/>
          <w:bCs/>
          <w:sz w:val="20"/>
          <w:szCs w:val="20"/>
          <w:lang w:bidi="es-ES"/>
        </w:rPr>
        <w:t xml:space="preserve"> En caso de que no sea viable la liquidación unilateral por vencimiento de término, ¿qué mecanismo legal procede para definir el cierre del contrato y proteger los intereses de la Entidad?</w:t>
      </w:r>
      <w:r>
        <w:rPr>
          <w:rFonts w:ascii="Verdana" w:eastAsia="Calibri" w:hAnsi="Verdana" w:cs="Times New Roman"/>
          <w:bCs/>
          <w:sz w:val="20"/>
          <w:szCs w:val="20"/>
          <w:lang w:bidi="es-ES"/>
        </w:rPr>
        <w:t>”</w:t>
      </w:r>
      <w:r w:rsidRPr="00062DE8">
        <w:rPr>
          <w:rFonts w:ascii="Verdana" w:eastAsia="Calibri" w:hAnsi="Verdana" w:cs="Times New Roman"/>
          <w:bCs/>
          <w:lang w:bidi="es-ES"/>
        </w:rPr>
        <w:t xml:space="preserve"> </w:t>
      </w:r>
    </w:p>
    <w:p w14:paraId="74B65ECA" w14:textId="77777777" w:rsidR="00E15938" w:rsidRDefault="00E15938" w:rsidP="00E15938">
      <w:pPr>
        <w:spacing w:after="0" w:line="276" w:lineRule="auto"/>
        <w:jc w:val="both"/>
        <w:rPr>
          <w:rFonts w:ascii="Verdana" w:eastAsia="Calibri" w:hAnsi="Verdana" w:cs="Times New Roman"/>
          <w:bCs/>
          <w:lang w:val="es-ES" w:bidi="es-ES"/>
        </w:rPr>
      </w:pPr>
    </w:p>
    <w:p w14:paraId="135F5E4A" w14:textId="77777777" w:rsidR="00E15938" w:rsidRPr="00A12CB6" w:rsidRDefault="00E15938" w:rsidP="00E15938">
      <w:pPr>
        <w:spacing w:after="120" w:line="276" w:lineRule="auto"/>
        <w:ind w:firstLine="709"/>
        <w:jc w:val="both"/>
        <w:rPr>
          <w:rFonts w:ascii="Verdana" w:eastAsia="Calibri" w:hAnsi="Verdana" w:cs="Times New Roman"/>
          <w:lang w:val="es-ES"/>
        </w:rPr>
      </w:pPr>
      <w:r w:rsidRPr="00A12CB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CB0F228" w14:textId="77777777" w:rsidR="00E15938" w:rsidRPr="00A12CB6" w:rsidRDefault="00E15938" w:rsidP="00E15938">
      <w:pPr>
        <w:spacing w:after="0" w:line="276" w:lineRule="auto"/>
        <w:ind w:firstLine="708"/>
        <w:jc w:val="both"/>
        <w:rPr>
          <w:rFonts w:ascii="Verdana" w:eastAsia="Calibri" w:hAnsi="Verdana" w:cs="Times New Roman"/>
          <w:lang w:val="es-ES"/>
        </w:rPr>
      </w:pPr>
      <w:r w:rsidRPr="00A12CB6">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w:t>
      </w:r>
      <w:r>
        <w:rPr>
          <w:rFonts w:ascii="Verdana" w:eastAsia="Calibri" w:hAnsi="Verdana" w:cs="Times New Roman"/>
          <w:lang w:val="es-ES"/>
        </w:rPr>
        <w:t xml:space="preserve">s generales relacionadas con el problema jurídico de su consulta. </w:t>
      </w:r>
    </w:p>
    <w:p w14:paraId="3B46C7FE" w14:textId="77777777" w:rsidR="00E15938" w:rsidRPr="00A12CB6" w:rsidRDefault="00E15938" w:rsidP="00E15938">
      <w:pPr>
        <w:spacing w:after="0" w:line="256" w:lineRule="auto"/>
        <w:rPr>
          <w:rFonts w:ascii="Verdana" w:eastAsia="Calibri" w:hAnsi="Verdana" w:cs="Times New Roman"/>
          <w:lang w:val="es-ES"/>
        </w:rPr>
      </w:pPr>
    </w:p>
    <w:p w14:paraId="25731E7C" w14:textId="77777777" w:rsidR="00E15938" w:rsidRPr="00A12CB6" w:rsidRDefault="00E15938" w:rsidP="00E15938">
      <w:pPr>
        <w:numPr>
          <w:ilvl w:val="0"/>
          <w:numId w:val="19"/>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Problema planteado:</w:t>
      </w:r>
    </w:p>
    <w:p w14:paraId="4C655243" w14:textId="77777777" w:rsidR="00E15938" w:rsidRPr="00A12CB6" w:rsidRDefault="00E15938" w:rsidP="00E15938">
      <w:pPr>
        <w:spacing w:after="0" w:line="256" w:lineRule="auto"/>
        <w:rPr>
          <w:rFonts w:ascii="Verdana" w:eastAsia="Calibri" w:hAnsi="Verdana" w:cs="Times New Roman"/>
        </w:rPr>
      </w:pPr>
    </w:p>
    <w:p w14:paraId="6611BEA9" w14:textId="77777777" w:rsidR="00E15938" w:rsidRPr="00806CD3" w:rsidRDefault="00E15938" w:rsidP="00E15938">
      <w:pPr>
        <w:spacing w:after="0" w:line="276" w:lineRule="auto"/>
        <w:jc w:val="both"/>
        <w:rPr>
          <w:rFonts w:ascii="Verdana" w:eastAsia="Calibri" w:hAnsi="Verdana" w:cs="Times New Roman"/>
          <w:iCs/>
        </w:rPr>
      </w:pPr>
      <w:r w:rsidRPr="134495F9">
        <w:rPr>
          <w:rFonts w:ascii="Verdana" w:eastAsia="Calibri" w:hAnsi="Verdana" w:cs="Times New Roman"/>
        </w:rPr>
        <w:t>De acuerdo con el contenido</w:t>
      </w:r>
      <w:r>
        <w:rPr>
          <w:rFonts w:ascii="Verdana" w:eastAsia="Calibri" w:hAnsi="Verdana" w:cs="Times New Roman"/>
        </w:rPr>
        <w:t xml:space="preserve"> de sus solicitudes</w:t>
      </w:r>
      <w:r w:rsidRPr="134495F9">
        <w:rPr>
          <w:rFonts w:ascii="Verdana" w:eastAsia="Calibri" w:hAnsi="Verdana" w:cs="Times New Roman"/>
        </w:rPr>
        <w:t>, est</w:t>
      </w:r>
      <w:r>
        <w:rPr>
          <w:rFonts w:ascii="Verdana" w:eastAsia="Calibri" w:hAnsi="Verdana" w:cs="Times New Roman"/>
        </w:rPr>
        <w:t>a Agencia procede a resolver el siguiente problema jurídico</w:t>
      </w:r>
      <w:r w:rsidRPr="134495F9">
        <w:rPr>
          <w:rFonts w:ascii="Verdana" w:eastAsia="Calibri" w:hAnsi="Verdana" w:cs="Times New Roman"/>
        </w:rPr>
        <w:t>:</w:t>
      </w:r>
      <w:r w:rsidRPr="000774CF">
        <w:t xml:space="preserve"> </w:t>
      </w:r>
      <w:r>
        <w:rPr>
          <w:rFonts w:ascii="Verdana" w:eastAsia="Calibri" w:hAnsi="Verdana" w:cs="Times New Roman"/>
        </w:rPr>
        <w:t>¿Es procedente que una Empresa Social del Estado pueda liquidar de manera unilateral el contrato</w:t>
      </w:r>
      <w:r w:rsidRPr="000774CF">
        <w:rPr>
          <w:rFonts w:ascii="Verdana" w:eastAsia="Calibri" w:hAnsi="Verdana" w:cs="Times New Roman"/>
        </w:rPr>
        <w:t xml:space="preserve">, pese al vencimiento del término previsto para ello, y en caso de no ser viable, qué mecanismo jurídico </w:t>
      </w:r>
      <w:r>
        <w:rPr>
          <w:rFonts w:ascii="Verdana" w:eastAsia="Calibri" w:hAnsi="Verdana" w:cs="Times New Roman"/>
        </w:rPr>
        <w:t xml:space="preserve">debe realizarse </w:t>
      </w:r>
      <w:r w:rsidRPr="000774CF">
        <w:rPr>
          <w:rFonts w:ascii="Verdana" w:eastAsia="Calibri" w:hAnsi="Verdana" w:cs="Times New Roman"/>
        </w:rPr>
        <w:t>para cerrar el contrato y salvaguardar los intereses de la entidad?</w:t>
      </w:r>
      <w:r>
        <w:rPr>
          <w:rFonts w:ascii="Verdana" w:eastAsia="Calibri" w:hAnsi="Verdana" w:cs="Times New Roman"/>
          <w:i/>
          <w:iCs/>
        </w:rPr>
        <w:t xml:space="preserve"> </w:t>
      </w:r>
    </w:p>
    <w:p w14:paraId="51CC4FEE" w14:textId="77777777" w:rsidR="00E15938" w:rsidRPr="002A1D6D" w:rsidRDefault="00E15938" w:rsidP="00E15938">
      <w:pPr>
        <w:spacing w:after="0" w:line="276" w:lineRule="auto"/>
        <w:jc w:val="both"/>
        <w:rPr>
          <w:rFonts w:ascii="Verdana" w:eastAsia="Calibri" w:hAnsi="Verdana" w:cs="Times New Roman"/>
          <w:i/>
          <w:iCs/>
        </w:rPr>
      </w:pPr>
    </w:p>
    <w:p w14:paraId="262344F0" w14:textId="77777777" w:rsidR="00E15938" w:rsidRDefault="00E15938" w:rsidP="00E15938">
      <w:pPr>
        <w:numPr>
          <w:ilvl w:val="0"/>
          <w:numId w:val="19"/>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32187F1C" w14:textId="77777777" w:rsidR="00E15938" w:rsidRPr="00A12CB6" w:rsidRDefault="00E15938" w:rsidP="00E15938">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E15938" w:rsidRPr="001205D1" w14:paraId="3827C9E0" w14:textId="77777777" w:rsidTr="00B95DFB">
        <w:trPr>
          <w:trHeight w:val="345"/>
          <w:jc w:val="center"/>
        </w:trPr>
        <w:tc>
          <w:tcPr>
            <w:tcW w:w="8784" w:type="dxa"/>
            <w:tcBorders>
              <w:bottom w:val="single" w:sz="4" w:space="0" w:color="auto"/>
            </w:tcBorders>
          </w:tcPr>
          <w:p w14:paraId="70D1196E" w14:textId="77777777" w:rsidR="00E15938" w:rsidRPr="00923AA4" w:rsidRDefault="00E15938" w:rsidP="00B95DFB">
            <w:pPr>
              <w:spacing w:after="120" w:line="276" w:lineRule="auto"/>
              <w:jc w:val="both"/>
              <w:rPr>
                <w:rFonts w:ascii="Verdana" w:eastAsia="Times New Roman" w:hAnsi="Verdana" w:cs="Arial"/>
                <w:color w:val="000000"/>
                <w:sz w:val="21"/>
                <w:szCs w:val="21"/>
                <w:lang w:eastAsia="es-ES_tradnl"/>
              </w:rPr>
            </w:pPr>
            <w:r>
              <w:rPr>
                <w:rFonts w:ascii="Verdana" w:eastAsia="Times New Roman" w:hAnsi="Verdana" w:cs="Arial"/>
                <w:color w:val="000000"/>
                <w:lang w:val="es-ES_tradnl"/>
              </w:rPr>
              <w:lastRenderedPageBreak/>
              <w:t xml:space="preserve">De acuerdo con el problema jurídico, objeto de consulta, las empresas sociales del Estado como entidades de régimen especial pueden estipular la liquidación bilateral, donde </w:t>
            </w:r>
            <w:r w:rsidRPr="00303985">
              <w:rPr>
                <w:rFonts w:ascii="Verdana" w:eastAsia="Times New Roman" w:hAnsi="Verdana" w:cs="Arial"/>
                <w:color w:val="000000"/>
                <w:lang w:val="es-ES_tradnl"/>
              </w:rPr>
              <w:t>el contratista puede solicitar que se adelante</w:t>
            </w:r>
            <w:r>
              <w:rPr>
                <w:rFonts w:ascii="Verdana" w:eastAsia="Times New Roman" w:hAnsi="Verdana" w:cs="Arial"/>
                <w:color w:val="000000"/>
                <w:lang w:val="es-ES_tradnl"/>
              </w:rPr>
              <w:t xml:space="preserve"> su trámite</w:t>
            </w:r>
            <w:r w:rsidRPr="00303985">
              <w:rPr>
                <w:rFonts w:ascii="Verdana" w:eastAsia="Times New Roman" w:hAnsi="Verdana" w:cs="Arial"/>
                <w:color w:val="000000"/>
                <w:lang w:val="es-ES_tradnl"/>
              </w:rPr>
              <w:t>. Sin embargo,</w:t>
            </w:r>
            <w:r>
              <w:rPr>
                <w:rFonts w:ascii="Verdana" w:eastAsia="Times New Roman" w:hAnsi="Verdana" w:cs="Arial"/>
                <w:color w:val="000000"/>
                <w:lang w:val="es-ES_tradnl"/>
              </w:rPr>
              <w:t xml:space="preserve"> s</w:t>
            </w:r>
            <w:r w:rsidRPr="00303985">
              <w:rPr>
                <w:rFonts w:ascii="Verdana" w:eastAsia="Times New Roman" w:hAnsi="Verdana" w:cs="Arial"/>
                <w:color w:val="000000"/>
                <w:bdr w:val="none" w:sz="0" w:space="0" w:color="auto" w:frame="1"/>
                <w:shd w:val="clear" w:color="auto" w:fill="FFFFFF"/>
                <w:lang w:val="es-ES" w:eastAsia="es-ES_tradnl"/>
              </w:rPr>
              <w:t xml:space="preserve">i no es posible efectuar la liquidación de manera bilateral, el ordenamiento jurídico prevé una facultad, de carácter subsidiario, </w:t>
            </w:r>
            <w:r>
              <w:rPr>
                <w:rFonts w:ascii="Verdana" w:eastAsia="Times New Roman" w:hAnsi="Verdana" w:cs="Arial"/>
                <w:color w:val="000000"/>
                <w:bdr w:val="none" w:sz="0" w:space="0" w:color="auto" w:frame="1"/>
                <w:shd w:val="clear" w:color="auto" w:fill="FFFFFF"/>
                <w:lang w:val="es-ES" w:eastAsia="es-ES_tradnl"/>
              </w:rPr>
              <w:t xml:space="preserve">donde </w:t>
            </w:r>
            <w:r w:rsidRPr="00303985">
              <w:rPr>
                <w:rFonts w:ascii="Verdana" w:eastAsia="Times New Roman" w:hAnsi="Verdana" w:cs="Arial"/>
                <w:color w:val="000000"/>
                <w:bdr w:val="none" w:sz="0" w:space="0" w:color="auto" w:frame="1"/>
                <w:shd w:val="clear" w:color="auto" w:fill="FFFFFF"/>
                <w:lang w:val="es-ES" w:eastAsia="es-ES_tradnl"/>
              </w:rPr>
              <w:t xml:space="preserve">la </w:t>
            </w:r>
            <w:r>
              <w:rPr>
                <w:rFonts w:ascii="Verdana" w:eastAsia="Times New Roman" w:hAnsi="Verdana" w:cs="Arial"/>
                <w:color w:val="000000"/>
                <w:bdr w:val="none" w:sz="0" w:space="0" w:color="auto" w:frame="1"/>
                <w:shd w:val="clear" w:color="auto" w:fill="FFFFFF"/>
                <w:lang w:val="es-ES" w:eastAsia="es-ES_tradnl"/>
              </w:rPr>
              <w:t xml:space="preserve">empresa social del Estado tiene la posibilitad de liquidarlo </w:t>
            </w:r>
            <w:r w:rsidRPr="00303985">
              <w:rPr>
                <w:rFonts w:ascii="Verdana" w:eastAsia="Times New Roman" w:hAnsi="Verdana" w:cs="Arial"/>
                <w:color w:val="000000"/>
                <w:bdr w:val="none" w:sz="0" w:space="0" w:color="auto" w:frame="1"/>
                <w:shd w:val="clear" w:color="auto" w:fill="FFFFFF"/>
                <w:lang w:val="es-ES" w:eastAsia="es-ES_tradnl"/>
              </w:rPr>
              <w:t>unilateralmente</w:t>
            </w:r>
            <w:r>
              <w:rPr>
                <w:rFonts w:ascii="Verdana" w:eastAsia="Times New Roman" w:hAnsi="Verdana" w:cs="Arial"/>
                <w:color w:val="000000"/>
                <w:bdr w:val="none" w:sz="0" w:space="0" w:color="auto" w:frame="1"/>
                <w:shd w:val="clear" w:color="auto" w:fill="FFFFFF"/>
                <w:lang w:val="es-ES" w:eastAsia="es-ES_tradnl"/>
              </w:rPr>
              <w:t>, si la pacto con fundamento en el artículo 195 numeral 6 de la Ley 100 de 1993, lo cual implica que se someta a las reglas de esta, contenidas en el artículo 11 de la Ley 1150 de 2007, que dispone en su inciso segundo:</w:t>
            </w:r>
            <w:r w:rsidRPr="0052171C">
              <w:rPr>
                <w:rFonts w:ascii="Arial" w:hAnsi="Arial" w:cs="Arial"/>
                <w:color w:val="4B4949"/>
                <w:sz w:val="18"/>
                <w:szCs w:val="18"/>
              </w:rPr>
              <w:t xml:space="preserve"> </w:t>
            </w:r>
            <w:r>
              <w:rPr>
                <w:rFonts w:ascii="Arial" w:hAnsi="Arial" w:cs="Arial"/>
                <w:color w:val="4B4949"/>
                <w:sz w:val="18"/>
                <w:szCs w:val="18"/>
              </w:rPr>
              <w:t>“</w:t>
            </w:r>
            <w:r w:rsidRPr="0052171C">
              <w:rPr>
                <w:rFonts w:ascii="Verdana" w:eastAsia="Times New Roman" w:hAnsi="Verdana" w:cs="Arial"/>
                <w:color w:val="000000"/>
                <w:bdr w:val="none" w:sz="0" w:space="0" w:color="auto" w:frame="1"/>
                <w:shd w:val="clear" w:color="auto" w:fill="FFFFFF"/>
                <w:lang w:eastAsia="es-ES_tradnl"/>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w:t>
            </w:r>
            <w:hyperlink r:id="rId14" w:anchor="136" w:history="1">
              <w:r w:rsidRPr="004811A7">
                <w:rPr>
                  <w:rStyle w:val="Hipervnculo"/>
                  <w:rFonts w:ascii="Verdana" w:eastAsia="Times New Roman" w:hAnsi="Verdana" w:cs="Arial"/>
                  <w:color w:val="auto"/>
                  <w:u w:val="none"/>
                  <w:bdr w:val="none" w:sz="0" w:space="0" w:color="auto" w:frame="1"/>
                  <w:shd w:val="clear" w:color="auto" w:fill="FFFFFF"/>
                  <w:lang w:eastAsia="es-ES_tradnl"/>
                </w:rPr>
                <w:t>136</w:t>
              </w:r>
            </w:hyperlink>
            <w:r w:rsidRPr="004811A7">
              <w:rPr>
                <w:rFonts w:ascii="Verdana" w:eastAsia="Times New Roman" w:hAnsi="Verdana" w:cs="Arial"/>
                <w:bdr w:val="none" w:sz="0" w:space="0" w:color="auto" w:frame="1"/>
                <w:shd w:val="clear" w:color="auto" w:fill="FFFFFF"/>
                <w:lang w:eastAsia="es-ES_tradnl"/>
              </w:rPr>
              <w:t> </w:t>
            </w:r>
            <w:r>
              <w:rPr>
                <w:rFonts w:ascii="Verdana" w:eastAsia="Times New Roman" w:hAnsi="Verdana" w:cs="Arial"/>
                <w:color w:val="000000"/>
                <w:bdr w:val="none" w:sz="0" w:space="0" w:color="auto" w:frame="1"/>
                <w:shd w:val="clear" w:color="auto" w:fill="FFFFFF"/>
                <w:lang w:eastAsia="es-ES_tradnl"/>
              </w:rPr>
              <w:t>del C. C. A”</w:t>
            </w:r>
            <w:r>
              <w:rPr>
                <w:rFonts w:ascii="Verdana" w:eastAsia="Times New Roman" w:hAnsi="Verdana" w:cs="Arial"/>
                <w:color w:val="000000"/>
                <w:bdr w:val="none" w:sz="0" w:space="0" w:color="auto" w:frame="1"/>
                <w:shd w:val="clear" w:color="auto" w:fill="FFFFFF"/>
                <w:lang w:val="es-ES" w:eastAsia="es-ES_tradnl"/>
              </w:rPr>
              <w:t xml:space="preserve">. Es decir, la empresa social del Estado se sujeta a las reglas y condiciones sobre la liquidación unilateral dispuesta en el Estatuto General de Contratación de la Administración Pública, que implica que liquidará unilateralmente dentro de los dos meses siguientes al término que se estipuló para liquidación bilateral, conforme a lo prescrito al artículo 164 numeral 2, literal j, inciso tercero, numeral v de la Ley 1437 de 2011. </w:t>
            </w:r>
          </w:p>
          <w:p w14:paraId="20C97D03" w14:textId="77777777" w:rsidR="00E15938" w:rsidRDefault="00E15938" w:rsidP="00B95DFB">
            <w:pPr>
              <w:spacing w:after="120" w:line="276" w:lineRule="auto"/>
              <w:ind w:firstLine="703"/>
              <w:jc w:val="both"/>
              <w:rPr>
                <w:rFonts w:ascii="Verdana" w:eastAsia="Times New Roman" w:hAnsi="Verdana" w:cs="Arial"/>
                <w:color w:val="000000"/>
                <w:bdr w:val="none" w:sz="0" w:space="0" w:color="auto" w:frame="1"/>
                <w:shd w:val="clear" w:color="auto" w:fill="FFFFFF"/>
                <w:lang w:val="es-ES" w:eastAsia="es-ES_tradnl"/>
              </w:rPr>
            </w:pPr>
            <w:r>
              <w:rPr>
                <w:rFonts w:ascii="Verdana" w:eastAsia="Times New Roman" w:hAnsi="Verdana" w:cs="Arial"/>
                <w:color w:val="000000"/>
                <w:bdr w:val="none" w:sz="0" w:space="0" w:color="auto" w:frame="1"/>
                <w:shd w:val="clear" w:color="auto" w:fill="FFFFFF"/>
                <w:lang w:val="es-ES" w:eastAsia="es-ES_tradnl"/>
              </w:rPr>
              <w:t xml:space="preserve">En este sentido, la liquidación unilateral </w:t>
            </w:r>
            <w:r>
              <w:rPr>
                <w:rFonts w:ascii="Verdana" w:eastAsia="Times New Roman" w:hAnsi="Verdana" w:cs="Arial"/>
                <w:color w:val="000000"/>
                <w:bdr w:val="none" w:sz="0" w:space="0" w:color="auto" w:frame="1"/>
                <w:shd w:val="clear" w:color="auto" w:fill="FFFFFF"/>
                <w:lang w:val="es-ES_tradnl" w:eastAsia="es-ES_tradnl"/>
              </w:rPr>
              <w:t>es una habilitación legal que</w:t>
            </w:r>
            <w:r w:rsidRPr="00A53F57">
              <w:rPr>
                <w:rFonts w:ascii="Verdana" w:eastAsia="Times New Roman" w:hAnsi="Verdana" w:cs="Arial"/>
                <w:color w:val="000000"/>
                <w:bdr w:val="none" w:sz="0" w:space="0" w:color="auto" w:frame="1"/>
                <w:shd w:val="clear" w:color="auto" w:fill="FFFFFF"/>
                <w:lang w:val="es-ES_tradnl" w:eastAsia="es-ES_tradnl"/>
              </w:rPr>
              <w:t xml:space="preserve"> requiere una estipulación contractual para ejerc</w:t>
            </w:r>
            <w:r>
              <w:rPr>
                <w:rFonts w:ascii="Verdana" w:eastAsia="Times New Roman" w:hAnsi="Verdana" w:cs="Arial"/>
                <w:color w:val="000000"/>
                <w:bdr w:val="none" w:sz="0" w:space="0" w:color="auto" w:frame="1"/>
                <w:shd w:val="clear" w:color="auto" w:fill="FFFFFF"/>
                <w:lang w:val="es-ES_tradnl" w:eastAsia="es-ES_tradnl"/>
              </w:rPr>
              <w:t xml:space="preserve">erla en los contratos de las empresas sociales del Estado. </w:t>
            </w:r>
            <w:r>
              <w:rPr>
                <w:rFonts w:ascii="Verdana" w:eastAsia="Times New Roman" w:hAnsi="Verdana" w:cs="Arial"/>
                <w:color w:val="000000"/>
                <w:bdr w:val="none" w:sz="0" w:space="0" w:color="auto" w:frame="1"/>
                <w:shd w:val="clear" w:color="auto" w:fill="FFFFFF"/>
                <w:lang w:val="es-ES" w:eastAsia="es-ES_tradnl"/>
              </w:rPr>
              <w:t xml:space="preserve">De esta manera, liquidación unilateral es subsidiaria del intento de la liquidación bilateral, como manifestación de la garantía del debido proceso, puesto que la primera solo procede si el contratista particular no se presenta, previo requerimiento de la entidad, o si las partes no tienen un acuerdo sobre el contenido. En efecto, la empresa social del Estado expedirá un acto administrativo previamente motivado, que contenga la liquidación del contrato. </w:t>
            </w:r>
          </w:p>
          <w:p w14:paraId="6CCD8CDE" w14:textId="77777777" w:rsidR="00E15938" w:rsidRPr="00826D97" w:rsidRDefault="00E15938" w:rsidP="00B95DFB">
            <w:pPr>
              <w:spacing w:after="120" w:line="276" w:lineRule="auto"/>
              <w:ind w:firstLine="703"/>
              <w:jc w:val="both"/>
              <w:rPr>
                <w:rFonts w:ascii="Verdana" w:eastAsia="Times New Roman" w:hAnsi="Verdana" w:cs="Arial"/>
                <w:color w:val="000000"/>
                <w:bdr w:val="none" w:sz="0" w:space="0" w:color="auto" w:frame="1"/>
                <w:shd w:val="clear" w:color="auto" w:fill="FFFFFF"/>
                <w:lang w:val="es-ES" w:eastAsia="es-ES_tradnl"/>
              </w:rPr>
            </w:pPr>
            <w:r>
              <w:rPr>
                <w:rFonts w:ascii="Verdana" w:eastAsia="Times New Roman" w:hAnsi="Verdana" w:cs="Arial"/>
                <w:color w:val="000000"/>
                <w:bdr w:val="none" w:sz="0" w:space="0" w:color="auto" w:frame="1"/>
                <w:shd w:val="clear" w:color="auto" w:fill="FFFFFF"/>
                <w:lang w:val="es-ES" w:eastAsia="es-ES_tradnl"/>
              </w:rPr>
              <w:t>Posteriormente</w:t>
            </w:r>
            <w:r w:rsidRPr="00303985">
              <w:rPr>
                <w:rFonts w:ascii="Verdana" w:eastAsia="Times New Roman" w:hAnsi="Verdana" w:cs="Arial"/>
                <w:color w:val="000000"/>
                <w:bdr w:val="none" w:sz="0" w:space="0" w:color="auto" w:frame="1"/>
                <w:shd w:val="clear" w:color="auto" w:fill="FFFFFF"/>
                <w:lang w:val="es-ES" w:eastAsia="es-ES_tradnl"/>
              </w:rPr>
              <w:t xml:space="preserve">, transcurridos estos meses, la liquidación podrá </w:t>
            </w:r>
            <w:r>
              <w:rPr>
                <w:rFonts w:ascii="Verdana" w:eastAsia="Times New Roman" w:hAnsi="Verdana" w:cs="Arial"/>
                <w:color w:val="000000"/>
                <w:bdr w:val="none" w:sz="0" w:space="0" w:color="auto" w:frame="1"/>
                <w:shd w:val="clear" w:color="auto" w:fill="FFFFFF"/>
                <w:lang w:val="es-ES" w:eastAsia="es-ES_tradnl"/>
              </w:rPr>
              <w:t xml:space="preserve">realizarse </w:t>
            </w:r>
            <w:r w:rsidRPr="00303985">
              <w:rPr>
                <w:rFonts w:ascii="Verdana" w:eastAsia="Times New Roman" w:hAnsi="Verdana" w:cs="Arial"/>
                <w:color w:val="000000"/>
                <w:bdr w:val="none" w:sz="0" w:space="0" w:color="auto" w:frame="1"/>
                <w:shd w:val="clear" w:color="auto" w:fill="FFFFFF"/>
                <w:lang w:val="es-ES" w:eastAsia="es-ES_tradnl"/>
              </w:rPr>
              <w:t>en cualquier tiempo dentro de los dos años siguientes al vencimiento del término referido, de mutuo acuerdo o unilateralmente, salvo que el contratista haya presentado la demanda con la cual pretenda la liqui</w:t>
            </w:r>
            <w:r>
              <w:rPr>
                <w:rFonts w:ascii="Verdana" w:eastAsia="Times New Roman" w:hAnsi="Verdana" w:cs="Arial"/>
                <w:color w:val="000000"/>
                <w:bdr w:val="none" w:sz="0" w:space="0" w:color="auto" w:frame="1"/>
                <w:shd w:val="clear" w:color="auto" w:fill="FFFFFF"/>
                <w:lang w:val="es-ES" w:eastAsia="es-ES_tradnl"/>
              </w:rPr>
              <w:t>dación judicial del contrato. Es decir</w:t>
            </w:r>
            <w:r w:rsidRPr="00303985">
              <w:rPr>
                <w:rFonts w:ascii="Verdana" w:eastAsia="Times New Roman" w:hAnsi="Verdana" w:cs="Arial"/>
                <w:color w:val="000000"/>
                <w:bdr w:val="none" w:sz="0" w:space="0" w:color="auto" w:frame="1"/>
                <w:shd w:val="clear" w:color="auto" w:fill="FFFFFF"/>
                <w:lang w:val="es-ES" w:eastAsia="es-ES_tradnl"/>
              </w:rPr>
              <w:t xml:space="preserve">, </w:t>
            </w:r>
            <w:r>
              <w:rPr>
                <w:rFonts w:ascii="Verdana" w:eastAsia="Times New Roman" w:hAnsi="Verdana" w:cs="Arial"/>
                <w:color w:val="000000"/>
                <w:bdr w:val="none" w:sz="0" w:space="0" w:color="auto" w:frame="1"/>
                <w:shd w:val="clear" w:color="auto" w:fill="FFFFFF"/>
                <w:lang w:val="es-ES" w:eastAsia="es-ES_tradnl"/>
              </w:rPr>
              <w:t xml:space="preserve">no se pierde competencia por parte de la entidad </w:t>
            </w:r>
            <w:r w:rsidRPr="00303985">
              <w:rPr>
                <w:rFonts w:ascii="Verdana" w:eastAsia="Times New Roman" w:hAnsi="Verdana" w:cs="Arial"/>
                <w:color w:val="000000"/>
                <w:bdr w:val="none" w:sz="0" w:space="0" w:color="auto" w:frame="1"/>
                <w:shd w:val="clear" w:color="auto" w:fill="FFFFFF"/>
                <w:lang w:val="es-ES" w:eastAsia="es-ES_tradnl"/>
              </w:rPr>
              <w:t xml:space="preserve">durante </w:t>
            </w:r>
            <w:r>
              <w:rPr>
                <w:rFonts w:ascii="Verdana" w:eastAsia="Times New Roman" w:hAnsi="Verdana" w:cs="Arial"/>
                <w:color w:val="000000"/>
                <w:bdr w:val="none" w:sz="0" w:space="0" w:color="auto" w:frame="1"/>
                <w:shd w:val="clear" w:color="auto" w:fill="FFFFFF"/>
                <w:lang w:val="es-ES" w:eastAsia="es-ES_tradnl"/>
              </w:rPr>
              <w:t xml:space="preserve">los </w:t>
            </w:r>
            <w:r w:rsidRPr="00303985">
              <w:rPr>
                <w:rFonts w:ascii="Verdana" w:eastAsia="Times New Roman" w:hAnsi="Verdana" w:cs="Arial"/>
                <w:color w:val="000000"/>
                <w:bdr w:val="none" w:sz="0" w:space="0" w:color="auto" w:frame="1"/>
                <w:shd w:val="clear" w:color="auto" w:fill="FFFFFF"/>
                <w:lang w:val="es-ES" w:eastAsia="es-ES_tradnl"/>
              </w:rPr>
              <w:t>dos años</w:t>
            </w:r>
            <w:r>
              <w:rPr>
                <w:rFonts w:ascii="Verdana" w:eastAsia="Times New Roman" w:hAnsi="Verdana" w:cs="Arial"/>
                <w:color w:val="000000"/>
                <w:bdr w:val="none" w:sz="0" w:space="0" w:color="auto" w:frame="1"/>
                <w:shd w:val="clear" w:color="auto" w:fill="FFFFFF"/>
                <w:lang w:val="es-ES" w:eastAsia="es-ES_tradnl"/>
              </w:rPr>
              <w:t xml:space="preserve"> de la liquidación judicial, para </w:t>
            </w:r>
            <w:r w:rsidRPr="00303985">
              <w:rPr>
                <w:rFonts w:ascii="Verdana" w:eastAsia="Times New Roman" w:hAnsi="Verdana" w:cs="Arial"/>
                <w:color w:val="000000"/>
                <w:bdr w:val="none" w:sz="0" w:space="0" w:color="auto" w:frame="1"/>
                <w:shd w:val="clear" w:color="auto" w:fill="FFFFFF"/>
                <w:lang w:val="es-ES" w:eastAsia="es-ES_tradnl"/>
              </w:rPr>
              <w:t xml:space="preserve">hacerse de mutuo acuerdo, </w:t>
            </w:r>
            <w:r>
              <w:rPr>
                <w:rFonts w:ascii="Verdana" w:eastAsia="Times New Roman" w:hAnsi="Verdana" w:cs="Arial"/>
                <w:color w:val="000000"/>
                <w:bdr w:val="none" w:sz="0" w:space="0" w:color="auto" w:frame="1"/>
                <w:shd w:val="clear" w:color="auto" w:fill="FFFFFF"/>
                <w:lang w:val="es-ES" w:eastAsia="es-ES_tradnl"/>
              </w:rPr>
              <w:t>o ejercerla de forma unilateral por la entidad</w:t>
            </w:r>
            <w:r w:rsidRPr="00303985">
              <w:rPr>
                <w:rFonts w:ascii="Verdana" w:eastAsia="Times New Roman" w:hAnsi="Verdana" w:cs="Arial"/>
                <w:color w:val="000000"/>
                <w:bdr w:val="none" w:sz="0" w:space="0" w:color="auto" w:frame="1"/>
                <w:shd w:val="clear" w:color="auto" w:fill="FFFFFF"/>
                <w:lang w:val="es-ES" w:eastAsia="es-ES_tradnl"/>
              </w:rPr>
              <w:t>.</w:t>
            </w:r>
          </w:p>
          <w:p w14:paraId="24A20401" w14:textId="77777777" w:rsidR="00E15938" w:rsidRPr="00F308B8" w:rsidRDefault="00E15938" w:rsidP="00B95DFB">
            <w:pPr>
              <w:tabs>
                <w:tab w:val="left" w:pos="709"/>
              </w:tabs>
              <w:spacing w:after="120" w:line="276" w:lineRule="auto"/>
              <w:jc w:val="both"/>
              <w:rPr>
                <w:rFonts w:ascii="Verdana" w:eastAsia="Times New Roman" w:hAnsi="Verdana" w:cs="Times New Roman"/>
              </w:rPr>
            </w:pPr>
            <w:r w:rsidRPr="00303985">
              <w:rPr>
                <w:rFonts w:ascii="Verdana" w:eastAsia="Times New Roman" w:hAnsi="Verdana" w:cs="Arial"/>
                <w:color w:val="000000"/>
                <w:bdr w:val="none" w:sz="0" w:space="0" w:color="auto" w:frame="1"/>
                <w:shd w:val="clear" w:color="auto" w:fill="FFFFFF"/>
                <w:lang w:eastAsia="es-ES_tradnl"/>
              </w:rPr>
              <w:lastRenderedPageBreak/>
              <w:tab/>
              <w:t xml:space="preserve">En conclusión, la liquidación de un contrato público debe llevarse a cabo de manera bilateral siempre que sea posible, respetando los derechos del contratista al debido proceso. Si no se llega a un acuerdo bilateral, la </w:t>
            </w:r>
            <w:r>
              <w:rPr>
                <w:rFonts w:ascii="Verdana" w:eastAsia="Times New Roman" w:hAnsi="Verdana" w:cs="Arial"/>
                <w:color w:val="000000"/>
                <w:bdr w:val="none" w:sz="0" w:space="0" w:color="auto" w:frame="1"/>
                <w:shd w:val="clear" w:color="auto" w:fill="FFFFFF"/>
                <w:lang w:eastAsia="es-ES_tradnl"/>
              </w:rPr>
              <w:t xml:space="preserve">empresa social del Estado </w:t>
            </w:r>
            <w:r w:rsidRPr="00303985">
              <w:rPr>
                <w:rFonts w:ascii="Verdana" w:eastAsia="Times New Roman" w:hAnsi="Verdana" w:cs="Arial"/>
                <w:color w:val="000000"/>
                <w:bdr w:val="none" w:sz="0" w:space="0" w:color="auto" w:frame="1"/>
                <w:shd w:val="clear" w:color="auto" w:fill="FFFFFF"/>
                <w:lang w:eastAsia="es-ES_tradnl"/>
              </w:rPr>
              <w:t>tiene la facultad de proceder a una liquidación unilateral,</w:t>
            </w:r>
            <w:r>
              <w:rPr>
                <w:rFonts w:ascii="Verdana" w:eastAsia="Times New Roman" w:hAnsi="Verdana" w:cs="Arial"/>
                <w:color w:val="000000"/>
                <w:bdr w:val="none" w:sz="0" w:space="0" w:color="auto" w:frame="1"/>
                <w:shd w:val="clear" w:color="auto" w:fill="FFFFFF"/>
                <w:lang w:eastAsia="es-ES_tradnl"/>
              </w:rPr>
              <w:t xml:space="preserve"> si se estipuló,</w:t>
            </w:r>
            <w:r w:rsidRPr="00303985">
              <w:rPr>
                <w:rFonts w:ascii="Verdana" w:eastAsia="Times New Roman" w:hAnsi="Verdana" w:cs="Arial"/>
                <w:color w:val="000000"/>
                <w:bdr w:val="none" w:sz="0" w:space="0" w:color="auto" w:frame="1"/>
                <w:shd w:val="clear" w:color="auto" w:fill="FFFFFF"/>
                <w:lang w:eastAsia="es-ES_tradnl"/>
              </w:rPr>
              <w:t xml:space="preserve"> aunque esta solo puede realizarse si el contratista no ha solicitado la liquidación judicial del contrato dentro de los dos años posteriores al vencimiento de los plazos acordados. Si transcurrido este plazo el contratista no ha solicitado la liquidación judicial, la entidad puede liquidar unilateralmente, y si no lo hace, la acción pasa a la jurisdicción para que sea resuelta judicialmente por solicitud del interesado. Esto subraya el principio de que la l</w:t>
            </w:r>
            <w:r>
              <w:rPr>
                <w:rFonts w:ascii="Verdana" w:eastAsia="Times New Roman" w:hAnsi="Verdana" w:cs="Arial"/>
                <w:color w:val="000000"/>
                <w:bdr w:val="none" w:sz="0" w:space="0" w:color="auto" w:frame="1"/>
                <w:shd w:val="clear" w:color="auto" w:fill="FFFFFF"/>
                <w:lang w:eastAsia="es-ES_tradnl"/>
              </w:rPr>
              <w:t>iquidación del contrato debe realizarse</w:t>
            </w:r>
            <w:r w:rsidRPr="00303985">
              <w:rPr>
                <w:rFonts w:ascii="Verdana" w:eastAsia="Times New Roman" w:hAnsi="Verdana" w:cs="Arial"/>
                <w:color w:val="000000"/>
                <w:bdr w:val="none" w:sz="0" w:space="0" w:color="auto" w:frame="1"/>
                <w:shd w:val="clear" w:color="auto" w:fill="FFFFFF"/>
                <w:lang w:eastAsia="es-ES_tradnl"/>
              </w:rPr>
              <w:t xml:space="preserve"> en un marco de acuerdo o de intervención judicial, priorizando la transparencia y el respeto de los derechos de las partes involucradas.</w:t>
            </w:r>
          </w:p>
          <w:p w14:paraId="76806ECE" w14:textId="77777777" w:rsidR="00E15938" w:rsidRPr="000D4347" w:rsidRDefault="00E15938" w:rsidP="00B95DFB">
            <w:pPr>
              <w:spacing w:after="120" w:line="276" w:lineRule="auto"/>
              <w:ind w:firstLine="708"/>
              <w:jc w:val="both"/>
              <w:rPr>
                <w:rFonts w:ascii="Verdana" w:eastAsia="Times New Roman" w:hAnsi="Verdana" w:cs="Arial"/>
                <w:color w:val="000000"/>
                <w:lang w:val="es-ES" w:eastAsia="es-ES"/>
              </w:rPr>
            </w:pPr>
            <w:r>
              <w:rPr>
                <w:rFonts w:ascii="Verdana" w:eastAsia="Times New Roman" w:hAnsi="Verdana" w:cs="Arial"/>
                <w:color w:val="000000"/>
                <w:lang w:eastAsia="es-ES"/>
              </w:rPr>
              <w:t>En todo caso</w:t>
            </w:r>
            <w:r w:rsidRPr="006B14B5">
              <w:rPr>
                <w:rFonts w:ascii="Verdana" w:eastAsia="Times New Roman" w:hAnsi="Verdana" w:cs="Arial"/>
                <w:color w:val="000000"/>
                <w:lang w:val="es-ES" w:eastAsia="es-ES"/>
              </w:rPr>
              <w:t xml:space="preserve">, la entidad contratante definirá en cada </w:t>
            </w:r>
            <w:r>
              <w:rPr>
                <w:rFonts w:ascii="Verdana" w:eastAsia="Times New Roman" w:hAnsi="Verdana" w:cs="Arial"/>
                <w:color w:val="000000"/>
                <w:lang w:val="es-ES" w:eastAsia="es-ES"/>
              </w:rPr>
              <w:t xml:space="preserve">supuesto </w:t>
            </w:r>
            <w:r w:rsidRPr="006B14B5">
              <w:rPr>
                <w:rFonts w:ascii="Verdana" w:eastAsia="Times New Roman" w:hAnsi="Verdana" w:cs="Arial"/>
                <w:color w:val="000000"/>
                <w:lang w:val="es-ES" w:eastAsia="es-ES"/>
              </w:rPr>
              <w:t xml:space="preserve">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w:t>
            </w:r>
            <w:r>
              <w:rPr>
                <w:rFonts w:ascii="Verdana" w:eastAsia="Times New Roman" w:hAnsi="Verdana" w:cs="Arial"/>
                <w:color w:val="000000"/>
                <w:lang w:val="es-ES" w:eastAsia="es-ES"/>
              </w:rPr>
              <w:t>establecerá</w:t>
            </w:r>
            <w:r w:rsidRPr="006B14B5">
              <w:rPr>
                <w:rFonts w:ascii="Verdana" w:eastAsia="Times New Roman" w:hAnsi="Verdana" w:cs="Arial"/>
                <w:color w:val="000000"/>
                <w:lang w:val="es-ES" w:eastAsia="es-ES"/>
              </w:rPr>
              <w:t xml:space="preserve"> la forma de adelantar su gestión contractual, sin que sea atribución de la Agencia Nacional de Contratación Pública - Colombia Compra Eficiente</w:t>
            </w:r>
            <w:r>
              <w:rPr>
                <w:rFonts w:ascii="Verdana" w:eastAsia="Times New Roman" w:hAnsi="Verdana" w:cs="Arial"/>
                <w:color w:val="000000"/>
                <w:lang w:val="es-ES" w:eastAsia="es-ES"/>
              </w:rPr>
              <w:t xml:space="preserve"> validarla</w:t>
            </w:r>
            <w:r w:rsidRPr="006B14B5">
              <w:rPr>
                <w:rFonts w:ascii="Verdana" w:eastAsia="Times New Roman" w:hAnsi="Verdana" w:cs="Arial"/>
                <w:color w:val="000000"/>
                <w:lang w:val="es-ES" w:eastAsia="es-ES"/>
              </w:rPr>
              <w:t xml:space="preserve">. </w:t>
            </w:r>
            <w:r w:rsidRPr="00E51636">
              <w:rPr>
                <w:rFonts w:ascii="Verdana" w:eastAsia="Times New Roman" w:hAnsi="Verdana" w:cs="Arial"/>
                <w:color w:val="000000"/>
                <w:lang w:val="es-ES" w:eastAsia="es-ES"/>
              </w:rPr>
              <w:t xml:space="preserve"> </w:t>
            </w:r>
          </w:p>
        </w:tc>
      </w:tr>
    </w:tbl>
    <w:p w14:paraId="697865B9" w14:textId="77777777" w:rsidR="00E15938" w:rsidRPr="00A12CB6" w:rsidRDefault="00E15938" w:rsidP="00E15938">
      <w:pPr>
        <w:spacing w:after="0" w:line="276" w:lineRule="auto"/>
        <w:jc w:val="both"/>
        <w:rPr>
          <w:rFonts w:ascii="Verdana" w:eastAsia="Calibri" w:hAnsi="Verdana" w:cs="Arial"/>
          <w:bCs/>
          <w:color w:val="000000" w:themeColor="text1"/>
        </w:rPr>
      </w:pPr>
    </w:p>
    <w:p w14:paraId="4AE351C2" w14:textId="77777777" w:rsidR="00E15938" w:rsidRPr="0093558D" w:rsidRDefault="00E15938" w:rsidP="00E15938">
      <w:pPr>
        <w:numPr>
          <w:ilvl w:val="0"/>
          <w:numId w:val="19"/>
        </w:numPr>
        <w:tabs>
          <w:tab w:val="left" w:pos="2268"/>
        </w:tabs>
        <w:spacing w:after="0" w:line="256" w:lineRule="auto"/>
        <w:rPr>
          <w:rFonts w:ascii="Verdana" w:eastAsia="Calibri" w:hAnsi="Verdana" w:cs="Times New Roman"/>
          <w:b/>
          <w:bCs/>
          <w:lang w:val="es-ES"/>
        </w:rPr>
      </w:pPr>
      <w:r w:rsidRPr="134495F9">
        <w:rPr>
          <w:rFonts w:ascii="Verdana" w:eastAsia="Calibri" w:hAnsi="Verdana" w:cs="Times New Roman"/>
          <w:b/>
          <w:bCs/>
          <w:lang w:val="es-ES"/>
        </w:rPr>
        <w:t>Razones de la respuesta:</w:t>
      </w:r>
    </w:p>
    <w:p w14:paraId="0DC45A5E" w14:textId="77777777" w:rsidR="00E15938" w:rsidRPr="00A12CB6" w:rsidRDefault="00E15938" w:rsidP="00E15938">
      <w:pPr>
        <w:spacing w:after="0" w:line="256" w:lineRule="auto"/>
        <w:rPr>
          <w:rFonts w:ascii="Verdana" w:eastAsia="Calibri" w:hAnsi="Verdana" w:cs="Times New Roman"/>
          <w:b/>
          <w:bCs/>
          <w:lang w:val="es-ES"/>
        </w:rPr>
      </w:pPr>
    </w:p>
    <w:p w14:paraId="40CB884A" w14:textId="77777777" w:rsidR="00E15938" w:rsidRPr="00A12CB6" w:rsidRDefault="00E15938" w:rsidP="00E15938">
      <w:pPr>
        <w:spacing w:after="0" w:line="276" w:lineRule="auto"/>
        <w:jc w:val="both"/>
        <w:rPr>
          <w:rFonts w:ascii="Verdana" w:eastAsia="Calibri" w:hAnsi="Verdana" w:cs="Arial"/>
          <w:lang w:val="es-ES"/>
        </w:rPr>
      </w:pPr>
      <w:r w:rsidRPr="00A12CB6">
        <w:rPr>
          <w:rFonts w:ascii="Verdana" w:eastAsia="Calibri" w:hAnsi="Verdana" w:cs="Arial"/>
          <w:lang w:val="es-ES"/>
        </w:rPr>
        <w:t xml:space="preserve">Lo anterior se sustenta en las siguientes consideraciones: </w:t>
      </w:r>
    </w:p>
    <w:p w14:paraId="5B3844F0" w14:textId="77777777" w:rsidR="00E15938" w:rsidRPr="00415608" w:rsidRDefault="00E15938" w:rsidP="00E15938">
      <w:pPr>
        <w:spacing w:after="0" w:line="276" w:lineRule="auto"/>
        <w:jc w:val="both"/>
        <w:rPr>
          <w:rFonts w:ascii="Verdana" w:eastAsia="Calibri" w:hAnsi="Verdana" w:cs="Arial"/>
          <w:lang w:val="es-ES"/>
        </w:rPr>
      </w:pPr>
      <w:bookmarkStart w:id="1" w:name="_Hlk78820161"/>
    </w:p>
    <w:p w14:paraId="18B9A506" w14:textId="77777777" w:rsidR="00E15938" w:rsidRPr="00501E29" w:rsidRDefault="00E15938" w:rsidP="00E15938">
      <w:pPr>
        <w:spacing w:after="120" w:line="276" w:lineRule="auto"/>
        <w:jc w:val="both"/>
        <w:rPr>
          <w:rFonts w:ascii="Verdana" w:hAnsi="Verdana" w:cs="Arial"/>
        </w:rPr>
      </w:pPr>
      <w:r w:rsidRPr="00501E29">
        <w:rPr>
          <w:rFonts w:ascii="Verdana" w:eastAsia="Calibri" w:hAnsi="Verdana" w:cs="Arial"/>
          <w:bCs/>
          <w:lang w:val="es-ES_tradnl"/>
        </w:rPr>
        <w:t xml:space="preserve">i. </w:t>
      </w:r>
      <w:r w:rsidRPr="00501E29">
        <w:rPr>
          <w:rFonts w:ascii="Verdana" w:eastAsia="Calibri" w:hAnsi="Verdana" w:cs="Arial"/>
          <w:lang w:val="es-ES"/>
        </w:rPr>
        <w:t>Respecto al régimen jurídico</w:t>
      </w:r>
      <w:r>
        <w:rPr>
          <w:rFonts w:ascii="Verdana" w:eastAsia="Calibri" w:hAnsi="Verdana" w:cs="Arial"/>
          <w:lang w:val="es-ES"/>
        </w:rPr>
        <w:t xml:space="preserve"> de las </w:t>
      </w:r>
      <w:r w:rsidRPr="0089671A">
        <w:rPr>
          <w:rFonts w:ascii="Verdana" w:eastAsia="Calibri" w:hAnsi="Verdana" w:cs="Arial"/>
          <w:lang w:val="es-ES"/>
        </w:rPr>
        <w:t>Entidades Estatales</w:t>
      </w:r>
      <w:r w:rsidRPr="00501E29">
        <w:rPr>
          <w:rFonts w:ascii="Verdana" w:eastAsia="Calibri" w:hAnsi="Verdana" w:cs="Arial"/>
          <w:lang w:val="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501E29">
        <w:rPr>
          <w:rFonts w:ascii="Verdana"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24FC97FF" w14:textId="77777777" w:rsidR="00E15938" w:rsidRPr="00501E29" w:rsidRDefault="00E15938" w:rsidP="00E15938">
      <w:pPr>
        <w:spacing w:after="120" w:line="276" w:lineRule="auto"/>
        <w:ind w:firstLine="709"/>
        <w:jc w:val="both"/>
        <w:rPr>
          <w:rFonts w:ascii="Verdana" w:hAnsi="Verdana" w:cs="Arial"/>
        </w:rPr>
      </w:pPr>
      <w:r w:rsidRPr="00501E29">
        <w:rPr>
          <w:rFonts w:ascii="Verdana" w:hAnsi="Verdana" w:cs="Arial"/>
        </w:rPr>
        <w:lastRenderedPageBreak/>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w:t>
      </w:r>
      <w:r>
        <w:rPr>
          <w:rFonts w:ascii="Verdana" w:hAnsi="Verdana" w:cs="Arial"/>
        </w:rPr>
        <w:t>tonomía de la voluntad” –art. 32</w:t>
      </w:r>
      <w:r w:rsidRPr="00501E29">
        <w:rPr>
          <w:rFonts w:ascii="Verdana" w:hAnsi="Verdana" w:cs="Arial"/>
        </w:rPr>
        <w:t>, inciso primero–. Asimismo, dispone que “Las estipulaciones de los contratos serán las que</w:t>
      </w:r>
      <w:r>
        <w:rPr>
          <w:rFonts w:ascii="Verdana" w:hAnsi="Verdana" w:cs="Arial"/>
        </w:rPr>
        <w:t>,</w:t>
      </w:r>
      <w:r w:rsidRPr="00501E29">
        <w:rPr>
          <w:rFonts w:ascii="Verdana" w:hAnsi="Verdana" w:cs="Arial"/>
        </w:rPr>
        <w:t xml:space="preserve"> de acuerdo con las normas civiles, comerciales y las previstas en esta ley, correspondan a su esencia y naturaleza” –art. 40, inciso primero–.</w:t>
      </w:r>
    </w:p>
    <w:p w14:paraId="095FC9B0" w14:textId="77777777" w:rsidR="00E15938" w:rsidRPr="00501E29" w:rsidRDefault="00E15938" w:rsidP="00E15938">
      <w:pPr>
        <w:spacing w:after="0" w:line="276" w:lineRule="auto"/>
        <w:ind w:firstLine="708"/>
        <w:jc w:val="both"/>
        <w:rPr>
          <w:rFonts w:ascii="Verdana" w:hAnsi="Verdana" w:cs="Arial"/>
        </w:rPr>
      </w:pPr>
      <w:r w:rsidRPr="00501E29">
        <w:rPr>
          <w:rFonts w:ascii="Verdana" w:hAnsi="Verdana" w:cs="Arial"/>
        </w:rPr>
        <w:t>De esta manera, los contratos de las entidades s</w:t>
      </w:r>
      <w:r>
        <w:rPr>
          <w:rFonts w:ascii="Verdana" w:hAnsi="Verdana" w:cs="Arial"/>
        </w:rPr>
        <w:t>ujetas</w:t>
      </w:r>
      <w:r w:rsidRPr="00501E29">
        <w:rPr>
          <w:rFonts w:ascii="Verdana" w:hAnsi="Verdana" w:cs="Arial"/>
        </w:rPr>
        <w:t xml:space="preserve"> al Estatuto General de Contratación se rigen generalmente por el derecho privado y excepcionalmente por el derecho público, pues las normas civiles y comerciales son el derecho común de los contratos estatales</w:t>
      </w:r>
      <w:r w:rsidRPr="00501E29">
        <w:rPr>
          <w:rStyle w:val="Refdenotaalpie"/>
          <w:rFonts w:ascii="Verdana" w:hAnsi="Verdana" w:cs="Arial"/>
        </w:rPr>
        <w:footnoteReference w:id="2"/>
      </w:r>
      <w:r w:rsidRPr="00501E29">
        <w:rPr>
          <w:rFonts w:ascii="Verdana" w:hAnsi="Verdana" w:cs="Arial"/>
        </w:rPr>
        <w:t>. Para la doctrina, la mixtura del régimen contractual:</w:t>
      </w:r>
    </w:p>
    <w:p w14:paraId="3AC91352" w14:textId="77777777" w:rsidR="00E15938" w:rsidRPr="00501E29" w:rsidRDefault="00E15938" w:rsidP="00E15938">
      <w:pPr>
        <w:spacing w:after="0" w:line="276" w:lineRule="auto"/>
        <w:ind w:firstLine="709"/>
        <w:jc w:val="both"/>
        <w:rPr>
          <w:rFonts w:ascii="Verdana" w:hAnsi="Verdana" w:cs="Arial"/>
        </w:rPr>
      </w:pPr>
    </w:p>
    <w:p w14:paraId="4EF6F4F9" w14:textId="77777777" w:rsidR="00E15938" w:rsidRDefault="00E15938" w:rsidP="00E15938">
      <w:pPr>
        <w:spacing w:after="0" w:line="240" w:lineRule="auto"/>
        <w:ind w:left="709" w:right="709"/>
        <w:jc w:val="both"/>
        <w:rPr>
          <w:rFonts w:ascii="Verdana" w:hAnsi="Verdana" w:cs="Arial"/>
          <w:sz w:val="21"/>
          <w:szCs w:val="21"/>
        </w:rPr>
      </w:pPr>
      <w:r w:rsidRPr="00501E29">
        <w:rPr>
          <w:rFonts w:ascii="Verdana" w:hAnsi="Verdana" w:cs="Arial"/>
          <w:sz w:val="21"/>
          <w:szCs w:val="21"/>
        </w:rPr>
        <w:t xml:space="preserve">“[…] no hace otra cosa que aprovechar ciertos principios rectores de la contratación general </w:t>
      </w:r>
      <w:proofErr w:type="gramStart"/>
      <w:r w:rsidRPr="00501E29">
        <w:rPr>
          <w:rFonts w:ascii="Verdana" w:hAnsi="Verdana" w:cs="Arial"/>
          <w:sz w:val="21"/>
          <w:szCs w:val="21"/>
        </w:rPr>
        <w:t>que</w:t>
      </w:r>
      <w:proofErr w:type="gramEnd"/>
      <w:r w:rsidRPr="00501E29">
        <w:rPr>
          <w:rFonts w:ascii="Verdana" w:hAnsi="Verdana" w:cs="Arial"/>
          <w:sz w:val="21"/>
          <w:szCs w:val="21"/>
        </w:rPr>
        <w:t xml:space="preserv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7320D988" w14:textId="77777777" w:rsidR="00E15938" w:rsidRDefault="00E15938" w:rsidP="00E15938">
      <w:pPr>
        <w:spacing w:after="0" w:line="240" w:lineRule="auto"/>
        <w:ind w:left="709" w:right="709"/>
        <w:jc w:val="both"/>
        <w:rPr>
          <w:rFonts w:ascii="Verdana" w:hAnsi="Verdana" w:cs="Arial"/>
          <w:sz w:val="21"/>
          <w:szCs w:val="21"/>
        </w:rPr>
      </w:pPr>
    </w:p>
    <w:p w14:paraId="4E4637E2" w14:textId="77777777" w:rsidR="00E15938" w:rsidRPr="000876F0" w:rsidRDefault="00E15938" w:rsidP="00E15938">
      <w:pPr>
        <w:spacing w:after="0" w:line="240" w:lineRule="auto"/>
        <w:ind w:left="709" w:right="709"/>
        <w:jc w:val="both"/>
        <w:rPr>
          <w:rFonts w:ascii="Verdana" w:hAnsi="Verdana" w:cs="Arial"/>
          <w:sz w:val="21"/>
          <w:szCs w:val="21"/>
        </w:rPr>
      </w:pPr>
      <w:r w:rsidRPr="00501E29">
        <w:rPr>
          <w:rFonts w:ascii="Verdana" w:hAnsi="Verdana" w:cs="Arial"/>
          <w:sz w:val="21"/>
          <w:szCs w:val="21"/>
        </w:rPr>
        <w:t>En otras palabras, extremos como los indicados no son ni de derecho público ni de derecho privado, sino, simplemente, de derecho propio, aplicables a toda relación contractual, con prescindencia de la naturaleza de los sujetos involucrados en la misma”</w:t>
      </w:r>
      <w:r w:rsidRPr="00501E29">
        <w:rPr>
          <w:rStyle w:val="Refdenotaalpie"/>
          <w:rFonts w:ascii="Verdana" w:hAnsi="Verdana" w:cs="Arial"/>
          <w:sz w:val="21"/>
          <w:szCs w:val="21"/>
        </w:rPr>
        <w:footnoteReference w:id="3"/>
      </w:r>
      <w:r w:rsidRPr="00501E29">
        <w:rPr>
          <w:rFonts w:ascii="Verdana" w:hAnsi="Verdana" w:cs="Arial"/>
          <w:sz w:val="21"/>
          <w:szCs w:val="21"/>
        </w:rPr>
        <w:t xml:space="preserve">. </w:t>
      </w:r>
    </w:p>
    <w:p w14:paraId="76DAAE24" w14:textId="77777777" w:rsidR="00E15938" w:rsidRPr="00501E29" w:rsidRDefault="00E15938" w:rsidP="00E15938">
      <w:pPr>
        <w:spacing w:after="0" w:line="276" w:lineRule="auto"/>
        <w:ind w:left="709" w:right="709"/>
        <w:jc w:val="both"/>
        <w:rPr>
          <w:rFonts w:ascii="Verdana" w:hAnsi="Verdana" w:cs="Arial"/>
        </w:rPr>
      </w:pPr>
      <w:r w:rsidRPr="00501E29">
        <w:rPr>
          <w:rFonts w:ascii="Verdana" w:hAnsi="Verdana" w:cs="Arial"/>
        </w:rPr>
        <w:t xml:space="preserve"> </w:t>
      </w:r>
    </w:p>
    <w:p w14:paraId="3E57A180" w14:textId="77777777" w:rsidR="00E15938" w:rsidRDefault="00E15938" w:rsidP="00E15938">
      <w:pPr>
        <w:spacing w:after="120" w:line="276" w:lineRule="auto"/>
        <w:jc w:val="both"/>
        <w:rPr>
          <w:rFonts w:ascii="Verdana" w:hAnsi="Verdana" w:cs="Arial"/>
        </w:rPr>
      </w:pPr>
      <w:r w:rsidRPr="00501E29">
        <w:rPr>
          <w:rFonts w:ascii="Verdana" w:hAnsi="Verdana" w:cs="Arial"/>
        </w:rPr>
        <w:tab/>
        <w:t xml:space="preserve">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w:t>
      </w:r>
      <w:r w:rsidRPr="00501E29">
        <w:rPr>
          <w:rFonts w:ascii="Verdana" w:hAnsi="Verdana" w:cs="Arial"/>
        </w:rPr>
        <w:lastRenderedPageBreak/>
        <w:t>contractuales–. Por ello, con excepción de las materias expresamente reguladas en el Estatuto de Contratación, es posible la aplicación de las normas de derecho privado.</w:t>
      </w:r>
    </w:p>
    <w:p w14:paraId="42DB803E" w14:textId="77777777" w:rsidR="00E15938" w:rsidRPr="00D4240A" w:rsidRDefault="00E15938" w:rsidP="00E15938">
      <w:pPr>
        <w:spacing w:after="120" w:line="276" w:lineRule="auto"/>
        <w:ind w:firstLine="709"/>
        <w:jc w:val="both"/>
        <w:rPr>
          <w:rFonts w:ascii="Verdana" w:hAnsi="Verdana" w:cs="Arial"/>
        </w:rPr>
      </w:pPr>
      <w:r w:rsidRPr="00D4240A">
        <w:rPr>
          <w:rFonts w:ascii="Verdana" w:hAnsi="Verdana" w:cs="Arial"/>
        </w:rPr>
        <w:t xml:space="preserve">No obstante, aunque tenga una influencia limitada, las </w:t>
      </w:r>
      <w:r w:rsidRPr="00D4240A">
        <w:rPr>
          <w:rFonts w:ascii="Verdana" w:hAnsi="Verdana" w:cs="Arial"/>
          <w:i/>
          <w:iCs/>
        </w:rPr>
        <w:t>entidades del régimen exceptuado</w:t>
      </w:r>
      <w:r w:rsidRPr="00D4240A">
        <w:rPr>
          <w:rFonts w:ascii="Verdana" w:hAnsi="Verdana" w:cs="Aria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79D3B511" w14:textId="77777777" w:rsidR="00E15938" w:rsidRDefault="00E15938" w:rsidP="00E15938">
      <w:pPr>
        <w:spacing w:after="0" w:line="276" w:lineRule="auto"/>
        <w:ind w:firstLine="708"/>
        <w:jc w:val="both"/>
        <w:rPr>
          <w:rFonts w:ascii="Verdana" w:hAnsi="Verdana" w:cs="Arial"/>
        </w:rPr>
      </w:pPr>
      <w:r w:rsidRPr="00D4240A">
        <w:rPr>
          <w:rFonts w:ascii="Verdana" w:hAnsi="Verdana" w:cs="Arial"/>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D4240A">
        <w:rPr>
          <w:rFonts w:ascii="Verdana" w:hAnsi="Verdana" w:cs="Arial"/>
        </w:rPr>
        <w:t>ii</w:t>
      </w:r>
      <w:proofErr w:type="spellEnd"/>
      <w:r w:rsidRPr="00D4240A">
        <w:rPr>
          <w:rFonts w:ascii="Verdana" w:hAnsi="Verdana" w:cs="Arial"/>
        </w:rPr>
        <w:t xml:space="preserve">) flexibilizar el ejercicio de la función administrativa –como en los contratos del Banco de la República o los de ciencia y tecnología– o </w:t>
      </w:r>
      <w:proofErr w:type="spellStart"/>
      <w:r w:rsidRPr="00D4240A">
        <w:rPr>
          <w:rFonts w:ascii="Verdana" w:hAnsi="Verdana" w:cs="Arial"/>
        </w:rPr>
        <w:t>iii</w:t>
      </w:r>
      <w:proofErr w:type="spellEnd"/>
      <w:r w:rsidRPr="00D4240A">
        <w:rPr>
          <w:rFonts w:ascii="Verdana" w:hAnsi="Verdana" w:cs="Arial"/>
        </w:rPr>
        <w:t>) establecer un régimen especial sin excluir por completo la aplicación de la Ley 80 de 1993 –como ocurre en la operaciones del crédito público–</w:t>
      </w:r>
      <w:r w:rsidRPr="00D4240A">
        <w:rPr>
          <w:rStyle w:val="Refdenotaalpie"/>
          <w:rFonts w:ascii="Verdana" w:hAnsi="Verdana" w:cs="Arial"/>
        </w:rPr>
        <w:footnoteReference w:id="4"/>
      </w:r>
      <w:r w:rsidRPr="00D4240A">
        <w:rPr>
          <w:rFonts w:ascii="Verdana" w:hAnsi="Verdana" w:cs="Arial"/>
        </w:rPr>
        <w:t xml:space="preserve">.  Para estos efectos, la doctrina ha identificado 171 entidades y contratos que manejan un régimen excepcional, los cuales se clasifican de acuerdo i) al sector económico, </w:t>
      </w:r>
      <w:proofErr w:type="spellStart"/>
      <w:r w:rsidRPr="00D4240A">
        <w:rPr>
          <w:rFonts w:ascii="Verdana" w:hAnsi="Verdana" w:cs="Arial"/>
        </w:rPr>
        <w:t>ii</w:t>
      </w:r>
      <w:proofErr w:type="spellEnd"/>
      <w:r w:rsidRPr="00D4240A">
        <w:rPr>
          <w:rFonts w:ascii="Verdana" w:hAnsi="Verdana" w:cs="Arial"/>
        </w:rPr>
        <w:t xml:space="preserve">) la asignación de un esquema legal especial, </w:t>
      </w:r>
      <w:proofErr w:type="spellStart"/>
      <w:r w:rsidRPr="00D4240A">
        <w:rPr>
          <w:rFonts w:ascii="Verdana" w:hAnsi="Verdana" w:cs="Arial"/>
        </w:rPr>
        <w:t>iii</w:t>
      </w:r>
      <w:proofErr w:type="spellEnd"/>
      <w:r w:rsidRPr="00D4240A">
        <w:rPr>
          <w:rFonts w:ascii="Verdana" w:hAnsi="Verdana" w:cs="Arial"/>
        </w:rPr>
        <w:t xml:space="preserve">) el objeto del contrato celebrado y </w:t>
      </w:r>
      <w:proofErr w:type="spellStart"/>
      <w:r w:rsidRPr="00D4240A">
        <w:rPr>
          <w:rFonts w:ascii="Verdana" w:hAnsi="Verdana" w:cs="Arial"/>
        </w:rPr>
        <w:t>iv</w:t>
      </w:r>
      <w:proofErr w:type="spellEnd"/>
      <w:r w:rsidRPr="00D4240A">
        <w:rPr>
          <w:rFonts w:ascii="Verdana" w:hAnsi="Verdana" w:cs="Arial"/>
        </w:rPr>
        <w:t>) la existencia de fondos que administran recursos públicos</w:t>
      </w:r>
      <w:r w:rsidRPr="00D4240A">
        <w:rPr>
          <w:rStyle w:val="Refdenotaalpie"/>
          <w:rFonts w:ascii="Verdana" w:hAnsi="Verdana" w:cs="Arial"/>
        </w:rPr>
        <w:footnoteReference w:id="5"/>
      </w:r>
      <w:r w:rsidRPr="00D4240A">
        <w:rPr>
          <w:rFonts w:ascii="Verdana" w:hAnsi="Verdana" w:cs="Arial"/>
        </w:rPr>
        <w:t>.</w:t>
      </w:r>
    </w:p>
    <w:p w14:paraId="49D6589E" w14:textId="77777777" w:rsidR="00E15938" w:rsidRDefault="00E15938" w:rsidP="00E15938">
      <w:pPr>
        <w:spacing w:after="0" w:line="276" w:lineRule="auto"/>
        <w:jc w:val="both"/>
        <w:rPr>
          <w:rFonts w:ascii="Verdana" w:hAnsi="Verdana" w:cs="Arial"/>
          <w:bCs/>
          <w:lang w:val="es-MX"/>
        </w:rPr>
      </w:pPr>
    </w:p>
    <w:p w14:paraId="3F128096" w14:textId="77777777" w:rsidR="00E15938" w:rsidRPr="003A1844" w:rsidRDefault="00E15938" w:rsidP="00E15938">
      <w:pPr>
        <w:spacing w:after="0" w:line="276" w:lineRule="auto"/>
        <w:jc w:val="both"/>
        <w:rPr>
          <w:rFonts w:ascii="Verdana" w:hAnsi="Verdana" w:cs="Arial"/>
          <w:lang w:val="es-MX"/>
        </w:rPr>
      </w:pPr>
      <w:proofErr w:type="spellStart"/>
      <w:r w:rsidRPr="0094448B">
        <w:rPr>
          <w:rFonts w:ascii="Verdana" w:eastAsia="Arial MT" w:hAnsi="Verdana" w:cs="Arial MT"/>
          <w:lang w:val="es-ES"/>
        </w:rPr>
        <w:t>ii</w:t>
      </w:r>
      <w:proofErr w:type="spellEnd"/>
      <w:r w:rsidRPr="0094448B">
        <w:rPr>
          <w:rFonts w:ascii="Verdana" w:eastAsia="Arial MT" w:hAnsi="Verdana" w:cs="Arial MT"/>
          <w:lang w:val="es-ES"/>
        </w:rPr>
        <w:t xml:space="preserve">. </w:t>
      </w:r>
      <w:r w:rsidRPr="003A1844">
        <w:rPr>
          <w:rFonts w:ascii="Verdana" w:hAnsi="Verdana" w:cs="Arial"/>
          <w:lang w:val="es-MX"/>
        </w:rPr>
        <w:t>Una de las Entidades Estatales con régimen especial son las Empresas Sociales del Estado – ESE, sobre las que redunda el objeto de su concepto. Estas empresas han sido entendidas como Entidades Públicas que, conforme al artículo 194 de la Ley 100 de 1993, constituyen una categoría especial, descentralizada por servicios, con personería jurídica, patrimonio propio y autonomía administrativa</w:t>
      </w:r>
      <w:r w:rsidRPr="003A1844">
        <w:rPr>
          <w:rFonts w:ascii="Verdana" w:hAnsi="Verdana" w:cs="Arial"/>
          <w:vertAlign w:val="superscript"/>
          <w:lang w:val="es-MX"/>
        </w:rPr>
        <w:footnoteReference w:id="6"/>
      </w:r>
      <w:r w:rsidRPr="003A1844">
        <w:rPr>
          <w:rFonts w:ascii="Verdana" w:hAnsi="Verdana" w:cs="Arial"/>
          <w:lang w:val="es-MX"/>
        </w:rPr>
        <w:t xml:space="preserve">. A través de ellas la Nación o las entidades territoriales prestan </w:t>
      </w:r>
      <w:r w:rsidRPr="003A1844">
        <w:rPr>
          <w:rFonts w:ascii="Verdana" w:hAnsi="Verdana" w:cs="Arial"/>
          <w:lang w:val="es-MX"/>
        </w:rPr>
        <w:lastRenderedPageBreak/>
        <w:t xml:space="preserve">el servicio de salud de manera directa, es decir, las Empresas Sociales del Estado son, esencialmente, los hospitales públicos. El Consejo de Estado, en relación con la naturaleza jurídica de estas entidades, precisó: </w:t>
      </w:r>
    </w:p>
    <w:p w14:paraId="43DBD681" w14:textId="77777777" w:rsidR="00E15938" w:rsidRPr="003A1844" w:rsidRDefault="00E15938" w:rsidP="00E15938">
      <w:pPr>
        <w:spacing w:after="0" w:line="276" w:lineRule="auto"/>
        <w:ind w:firstLine="709"/>
        <w:jc w:val="both"/>
        <w:rPr>
          <w:rFonts w:ascii="Verdana" w:hAnsi="Verdana" w:cs="Arial"/>
          <w:lang w:val="es-MX"/>
        </w:rPr>
      </w:pPr>
    </w:p>
    <w:p w14:paraId="63C0EECC" w14:textId="77777777" w:rsidR="00E15938" w:rsidRPr="003A1844" w:rsidRDefault="00E15938" w:rsidP="00E15938">
      <w:pPr>
        <w:spacing w:after="0" w:line="240" w:lineRule="auto"/>
        <w:ind w:left="709" w:right="709"/>
        <w:jc w:val="both"/>
        <w:rPr>
          <w:rFonts w:ascii="Verdana" w:eastAsia="Calibri" w:hAnsi="Verdana" w:cs="Arial"/>
          <w:sz w:val="20"/>
          <w:szCs w:val="20"/>
        </w:rPr>
      </w:pPr>
      <w:r w:rsidRPr="003A1844">
        <w:rPr>
          <w:rFonts w:ascii="Verdana" w:eastAsia="Calibri" w:hAnsi="Verdana" w:cs="Arial"/>
          <w:sz w:val="20"/>
          <w:szCs w:val="20"/>
        </w:rPr>
        <w:t>“[…] Se tiene que las empresas sociales del Estado, es decir, los hospitales públicos a que se refiere la ley 100 de 1993, son entidades descentralizadas por servicios, de naturaleza jurídica especial, es decir, son entidades estatales que pertenecen a la estructura de la rama ejecutiva del poder público, porque así lo disponen los arts. 38 y 68 de la ley 489 de 1998 […]”</w:t>
      </w:r>
      <w:r w:rsidRPr="003A1844">
        <w:rPr>
          <w:rFonts w:ascii="Verdana" w:eastAsia="Calibri" w:hAnsi="Verdana" w:cs="Arial"/>
          <w:sz w:val="20"/>
          <w:szCs w:val="20"/>
          <w:vertAlign w:val="superscript"/>
        </w:rPr>
        <w:footnoteReference w:id="7"/>
      </w:r>
      <w:r w:rsidRPr="003A1844">
        <w:rPr>
          <w:rFonts w:ascii="Verdana" w:eastAsia="Calibri" w:hAnsi="Verdana" w:cs="Arial"/>
          <w:sz w:val="20"/>
          <w:szCs w:val="20"/>
        </w:rPr>
        <w:t xml:space="preserve">. </w:t>
      </w:r>
    </w:p>
    <w:p w14:paraId="7B960370" w14:textId="77777777" w:rsidR="00E15938" w:rsidRPr="003A1844" w:rsidRDefault="00E15938" w:rsidP="00E15938">
      <w:pPr>
        <w:spacing w:after="0" w:line="276" w:lineRule="auto"/>
        <w:ind w:left="709" w:right="709"/>
        <w:jc w:val="both"/>
        <w:rPr>
          <w:rFonts w:ascii="Verdana" w:eastAsia="Calibri" w:hAnsi="Verdana" w:cs="Arial"/>
        </w:rPr>
      </w:pPr>
    </w:p>
    <w:p w14:paraId="450EDF24" w14:textId="77777777" w:rsidR="00E15938" w:rsidRPr="003A1844" w:rsidRDefault="00E15938" w:rsidP="00E15938">
      <w:pPr>
        <w:widowControl w:val="0"/>
        <w:autoSpaceDE w:val="0"/>
        <w:autoSpaceDN w:val="0"/>
        <w:spacing w:after="120" w:line="276" w:lineRule="auto"/>
        <w:ind w:right="102" w:firstLine="709"/>
        <w:jc w:val="both"/>
        <w:rPr>
          <w:rFonts w:ascii="Verdana" w:eastAsia="Arial" w:hAnsi="Verdana" w:cs="Arial"/>
          <w:lang w:val="es-ES"/>
        </w:rPr>
      </w:pPr>
      <w:r>
        <w:rPr>
          <w:rFonts w:ascii="Verdana" w:eastAsia="Arial" w:hAnsi="Verdana" w:cs="Arial"/>
          <w:lang w:val="es-ES"/>
        </w:rPr>
        <w:t>De la cita precedente</w:t>
      </w:r>
      <w:r w:rsidRPr="003A1844">
        <w:rPr>
          <w:rFonts w:ascii="Verdana" w:eastAsia="Arial" w:hAnsi="Verdana" w:cs="Arial"/>
          <w:lang w:val="es-ES"/>
        </w:rPr>
        <w:t xml:space="preserve"> puede concluir</w:t>
      </w:r>
      <w:r>
        <w:rPr>
          <w:rFonts w:ascii="Verdana" w:eastAsia="Arial" w:hAnsi="Verdana" w:cs="Arial"/>
          <w:lang w:val="es-ES"/>
        </w:rPr>
        <w:t>se</w:t>
      </w:r>
      <w:r w:rsidRPr="003A1844">
        <w:rPr>
          <w:rFonts w:ascii="Verdana" w:eastAsia="Arial" w:hAnsi="Verdana" w:cs="Arial"/>
          <w:lang w:val="es-ES"/>
        </w:rPr>
        <w:t xml:space="preserve"> entonces que, las Empresas Sociales del Estado </w:t>
      </w:r>
      <w:r w:rsidRPr="003A1844">
        <w:rPr>
          <w:rFonts w:ascii="Verdana" w:eastAsia="Arial" w:hAnsi="Verdana" w:cs="Arial"/>
          <w:lang w:val="es-MX"/>
        </w:rPr>
        <w:t>–ESE–</w:t>
      </w:r>
      <w:r w:rsidRPr="003A1844">
        <w:rPr>
          <w:rFonts w:ascii="Verdana" w:eastAsia="Arial" w:hAnsi="Verdana" w:cs="Arial"/>
          <w:lang w:val="es-ES"/>
        </w:rPr>
        <w:t xml:space="preserve">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669340DE" w14:textId="77777777" w:rsidR="00E15938" w:rsidRPr="003A1844" w:rsidRDefault="00E15938" w:rsidP="00E15938">
      <w:pPr>
        <w:spacing w:after="120" w:line="276" w:lineRule="auto"/>
        <w:ind w:firstLine="709"/>
        <w:jc w:val="both"/>
        <w:rPr>
          <w:rFonts w:ascii="Verdana" w:hAnsi="Verdana" w:cs="Arial"/>
        </w:rPr>
      </w:pPr>
      <w:r w:rsidRPr="003A1844">
        <w:rPr>
          <w:rFonts w:ascii="Verdana" w:hAnsi="Verdana" w:cs="Arial"/>
        </w:rPr>
        <w:t xml:space="preserve">Por su parte, en lo que a materia contractual se refiere, de conformidad con el numeral 6 del artículo 195 de la Ley 100 de 1993, el régimen de contratación de las </w:t>
      </w:r>
      <w:r w:rsidRPr="003A1844">
        <w:rPr>
          <w:rFonts w:ascii="Verdana" w:hAnsi="Verdana" w:cs="Arial"/>
          <w:lang w:val="es-MX"/>
        </w:rPr>
        <w:t>–ESE–</w:t>
      </w:r>
      <w:r w:rsidRPr="003A1844">
        <w:rPr>
          <w:rFonts w:ascii="Verdana" w:hAnsi="Verdana"/>
        </w:rPr>
        <w:t xml:space="preserve"> </w:t>
      </w:r>
      <w:r w:rsidRPr="003A1844">
        <w:rPr>
          <w:rFonts w:ascii="Verdana" w:hAnsi="Verdana" w:cs="Arial"/>
        </w:rPr>
        <w:t xml:space="preserve">es el de derecho privado, es decir, se rige por las disposiciones contenidas en el Código de Comercio y en el Código Civil, aplicables en lo que resulten pertinentes, salvo en las materias particularmente reguladas </w:t>
      </w:r>
      <w:r w:rsidRPr="003A1844">
        <w:rPr>
          <w:rFonts w:ascii="Verdana" w:eastAsia="Calibri" w:hAnsi="Verdana" w:cs="Arial"/>
        </w:rPr>
        <w:t xml:space="preserve">por el derecho público. </w:t>
      </w:r>
      <w:r w:rsidRPr="003A1844">
        <w:rPr>
          <w:rFonts w:ascii="Verdana" w:hAnsi="Verdana" w:cs="Arial"/>
        </w:rPr>
        <w:t xml:space="preserve">La norma referida prescribe que: “En materia contractual se regirá por el derecho privado, </w:t>
      </w:r>
      <w:r w:rsidRPr="00E2011B">
        <w:rPr>
          <w:rFonts w:ascii="Verdana" w:hAnsi="Verdana" w:cs="Arial"/>
          <w:i/>
        </w:rPr>
        <w:t>pero podrá discrecionalmente utilizar las cláusulas exorbitantes previstas en el estatuto general de contratación de la administración pública”</w:t>
      </w:r>
      <w:r>
        <w:rPr>
          <w:rFonts w:ascii="Verdana" w:hAnsi="Verdana" w:cs="Arial"/>
        </w:rPr>
        <w:t xml:space="preserve"> (énfasis fuera de texto). </w:t>
      </w:r>
    </w:p>
    <w:p w14:paraId="3A2C67DB" w14:textId="77777777" w:rsidR="00E15938" w:rsidRPr="003A1844" w:rsidRDefault="00E15938" w:rsidP="00E15938">
      <w:pPr>
        <w:widowControl w:val="0"/>
        <w:autoSpaceDE w:val="0"/>
        <w:autoSpaceDN w:val="0"/>
        <w:spacing w:after="0" w:line="276" w:lineRule="auto"/>
        <w:ind w:right="102" w:firstLine="709"/>
        <w:jc w:val="both"/>
        <w:rPr>
          <w:rFonts w:ascii="Verdana" w:eastAsia="Arial" w:hAnsi="Verdana" w:cs="Arial"/>
          <w:lang w:val="es-ES"/>
        </w:rPr>
      </w:pPr>
      <w:r w:rsidRPr="003A1844">
        <w:rPr>
          <w:rFonts w:ascii="Verdana" w:eastAsia="Arial" w:hAnsi="Verdana" w:cs="Arial"/>
          <w:lang w:val="es-ES"/>
        </w:rPr>
        <w:t xml:space="preserve">En consecuencia, </w:t>
      </w:r>
      <w:r w:rsidRPr="003A1844">
        <w:rPr>
          <w:rFonts w:ascii="Verdana" w:eastAsia="Calibri" w:hAnsi="Verdana" w:cs="Arial"/>
          <w:color w:val="000000" w:themeColor="text1"/>
          <w:lang w:val="es-MX"/>
        </w:rPr>
        <w:t xml:space="preserve">las </w:t>
      </w:r>
      <w:r w:rsidRPr="003A1844">
        <w:rPr>
          <w:rFonts w:ascii="Verdana" w:eastAsia="Arial" w:hAnsi="Verdana" w:cs="Arial"/>
          <w:lang w:val="es-MX"/>
        </w:rPr>
        <w:t>–ESE–</w:t>
      </w:r>
      <w:r w:rsidRPr="003A1844">
        <w:rPr>
          <w:rFonts w:ascii="Verdana" w:eastAsia="Arial" w:hAnsi="Verdana" w:cs="Arial"/>
          <w:lang w:val="es-ES"/>
        </w:rPr>
        <w:t xml:space="preserve"> </w:t>
      </w:r>
      <w:r w:rsidRPr="003A1844">
        <w:rPr>
          <w:rFonts w:ascii="Verdana" w:eastAsia="Calibri" w:hAnsi="Verdana" w:cs="Arial"/>
          <w:color w:val="000000" w:themeColor="text1"/>
          <w:lang w:val="es-MX"/>
        </w:rPr>
        <w:t xml:space="preserve">no están sometidas al EGCAP ni a las normas que lo reglamentan o complementan, ya que, por disposición expresa de la norma transcrita, sus </w:t>
      </w:r>
      <w:r w:rsidRPr="003A1844">
        <w:rPr>
          <w:rFonts w:ascii="Verdana" w:eastAsia="Arial" w:hAnsi="Verdana" w:cs="Arial"/>
          <w:lang w:val="es-ES"/>
        </w:rPr>
        <w:t>contratos se rigen por el derecho privado. Sin embargo, esta circunstancia no implica la inobservancia de los principios de la función administrativa y la gestión fiscal, teniendo en cuenta que su objet</w:t>
      </w:r>
      <w:r>
        <w:rPr>
          <w:rFonts w:ascii="Verdana" w:eastAsia="Arial" w:hAnsi="Verdana" w:cs="Arial"/>
          <w:lang w:val="es-ES"/>
        </w:rPr>
        <w:t>o, conforme a la Sentencia C-665</w:t>
      </w:r>
      <w:r w:rsidRPr="003A1844">
        <w:rPr>
          <w:rFonts w:ascii="Verdana" w:eastAsia="Arial" w:hAnsi="Verdana" w:cs="Arial"/>
          <w:lang w:val="es-ES"/>
        </w:rPr>
        <w:t xml:space="preserve"> de 2000 de la Corte Constitucional, corresponde a la </w:t>
      </w:r>
      <w:r w:rsidRPr="003A1844">
        <w:rPr>
          <w:rFonts w:ascii="Verdana" w:eastAsia="Arial" w:hAnsi="Verdana" w:cs="Arial"/>
          <w:lang w:val="es-ES"/>
        </w:rPr>
        <w:lastRenderedPageBreak/>
        <w:t>prestación del servicio de salud a cargo del Estado o como parte del servicio de seguridad social</w:t>
      </w:r>
      <w:r w:rsidRPr="003A1844">
        <w:rPr>
          <w:rFonts w:ascii="Verdana" w:eastAsia="Arial" w:hAnsi="Verdana" w:cs="Arial"/>
          <w:vertAlign w:val="superscript"/>
          <w:lang w:val="es-ES"/>
        </w:rPr>
        <w:footnoteReference w:id="8"/>
      </w:r>
      <w:r w:rsidRPr="003A1844">
        <w:rPr>
          <w:rFonts w:ascii="Verdana" w:eastAsia="Arial" w:hAnsi="Verdana" w:cs="Arial"/>
          <w:lang w:val="es-ES"/>
        </w:rPr>
        <w:t>. En esta misma línea, el artículo 83 de la Ley 489 de 1998, dispuso lo</w:t>
      </w:r>
      <w:r w:rsidRPr="003A1844">
        <w:rPr>
          <w:rFonts w:ascii="Verdana" w:eastAsia="Arial" w:hAnsi="Verdana" w:cs="Arial"/>
          <w:spacing w:val="-12"/>
          <w:lang w:val="es-ES"/>
        </w:rPr>
        <w:t xml:space="preserve"> </w:t>
      </w:r>
      <w:r w:rsidRPr="003A1844">
        <w:rPr>
          <w:rFonts w:ascii="Verdana" w:eastAsia="Arial" w:hAnsi="Verdana" w:cs="Arial"/>
          <w:lang w:val="es-ES"/>
        </w:rPr>
        <w:t>siguiente:</w:t>
      </w:r>
    </w:p>
    <w:p w14:paraId="549902EA" w14:textId="77777777" w:rsidR="00E15938" w:rsidRPr="003A1844" w:rsidRDefault="00E15938" w:rsidP="00E15938">
      <w:pPr>
        <w:widowControl w:val="0"/>
        <w:autoSpaceDE w:val="0"/>
        <w:autoSpaceDN w:val="0"/>
        <w:spacing w:after="0" w:line="276" w:lineRule="auto"/>
        <w:ind w:right="102" w:firstLine="709"/>
        <w:jc w:val="both"/>
        <w:rPr>
          <w:rFonts w:ascii="Verdana" w:eastAsia="Arial" w:hAnsi="Verdana" w:cs="Arial"/>
          <w:lang w:val="es-ES"/>
        </w:rPr>
      </w:pPr>
    </w:p>
    <w:p w14:paraId="0D11BA5B" w14:textId="77777777" w:rsidR="00E15938" w:rsidRPr="003A1844" w:rsidRDefault="00E15938" w:rsidP="00E15938">
      <w:pPr>
        <w:widowControl w:val="0"/>
        <w:autoSpaceDE w:val="0"/>
        <w:autoSpaceDN w:val="0"/>
        <w:spacing w:after="0" w:line="240" w:lineRule="auto"/>
        <w:ind w:left="709" w:right="709"/>
        <w:jc w:val="both"/>
        <w:rPr>
          <w:rFonts w:ascii="Verdana" w:eastAsia="Arial" w:hAnsi="Verdana" w:cs="Arial"/>
          <w:sz w:val="20"/>
          <w:szCs w:val="20"/>
          <w:lang w:val="es-ES"/>
        </w:rPr>
      </w:pPr>
      <w:r w:rsidRPr="003A1844">
        <w:rPr>
          <w:rFonts w:ascii="Verdana" w:eastAsia="Arial" w:hAnsi="Verdana" w:cs="Arial"/>
          <w:sz w:val="20"/>
          <w:szCs w:val="20"/>
          <w:lang w:val="es-ES"/>
        </w:rPr>
        <w:t>“Artículo 83. Empresas sociales del Estado. Las empresas sociales del Estado, creadas por la Nación o por las entidades territoriales para la prestación en forma directa de servicios de salud, se sujetan al régimen previsto en la Ley 100 de 1993, la Ley 344 de 1996 y en la presente Ley en los aspectos no regulados por dichas leyes y a las normas que las complementen, sustituyan o</w:t>
      </w:r>
      <w:r w:rsidRPr="003A1844">
        <w:rPr>
          <w:rFonts w:ascii="Verdana" w:eastAsia="Arial" w:hAnsi="Verdana" w:cs="Arial"/>
          <w:spacing w:val="-1"/>
          <w:sz w:val="20"/>
          <w:szCs w:val="20"/>
          <w:lang w:val="es-ES"/>
        </w:rPr>
        <w:t xml:space="preserve"> </w:t>
      </w:r>
      <w:r w:rsidRPr="003A1844">
        <w:rPr>
          <w:rFonts w:ascii="Verdana" w:eastAsia="Arial" w:hAnsi="Verdana" w:cs="Arial"/>
          <w:sz w:val="20"/>
          <w:szCs w:val="20"/>
          <w:lang w:val="es-ES"/>
        </w:rPr>
        <w:t>adicionen.”</w:t>
      </w:r>
    </w:p>
    <w:p w14:paraId="7C26E562" w14:textId="77777777" w:rsidR="00E15938" w:rsidRPr="003A1844" w:rsidRDefault="00E15938" w:rsidP="00E15938">
      <w:pPr>
        <w:widowControl w:val="0"/>
        <w:autoSpaceDE w:val="0"/>
        <w:autoSpaceDN w:val="0"/>
        <w:spacing w:after="0" w:line="276" w:lineRule="auto"/>
        <w:jc w:val="both"/>
        <w:rPr>
          <w:rFonts w:ascii="Verdana" w:eastAsia="Arial" w:hAnsi="Verdana" w:cs="Arial"/>
          <w:lang w:val="es-ES"/>
        </w:rPr>
      </w:pPr>
    </w:p>
    <w:p w14:paraId="7B3AE6DF" w14:textId="77777777" w:rsidR="00E15938" w:rsidRPr="003A1844" w:rsidRDefault="00E15938" w:rsidP="00E15938">
      <w:pPr>
        <w:tabs>
          <w:tab w:val="left" w:pos="709"/>
        </w:tabs>
        <w:spacing w:after="120" w:line="276" w:lineRule="auto"/>
        <w:jc w:val="both"/>
        <w:rPr>
          <w:rFonts w:ascii="Verdana" w:eastAsia="Calibri" w:hAnsi="Verdana" w:cs="Arial"/>
          <w:color w:val="000000" w:themeColor="text1"/>
        </w:rPr>
      </w:pPr>
      <w:r w:rsidRPr="003A1844">
        <w:rPr>
          <w:rFonts w:ascii="Verdana" w:eastAsia="Calibri" w:hAnsi="Verdana" w:cs="Arial"/>
          <w:color w:val="000000" w:themeColor="text1"/>
          <w:lang w:val="es-ES"/>
        </w:rPr>
        <w:tab/>
        <w:t xml:space="preserve">Esta también ha sido la interpretación del Ministerio de Salud y Protección Social, que en el Concepto No. </w:t>
      </w:r>
      <w:r w:rsidRPr="003A1844">
        <w:rPr>
          <w:rFonts w:ascii="Verdana" w:eastAsia="Calibri" w:hAnsi="Verdana" w:cs="Arial"/>
          <w:color w:val="000000" w:themeColor="text1"/>
        </w:rPr>
        <w:t>201942301304712</w:t>
      </w:r>
      <w:r w:rsidRPr="003A1844">
        <w:rPr>
          <w:rFonts w:ascii="Verdana" w:eastAsia="Calibri" w:hAnsi="Verdana" w:cs="Arial"/>
          <w:color w:val="000000" w:themeColor="text1"/>
          <w:lang w:val="es-ES"/>
        </w:rPr>
        <w:t xml:space="preserve"> de 2019, reiterando lo expuesto por la Sala de Consulta y Servicio Civil del Consejo de Estado</w:t>
      </w:r>
      <w:r w:rsidRPr="003A1844">
        <w:rPr>
          <w:rFonts w:ascii="Verdana" w:eastAsia="Calibri" w:hAnsi="Verdana" w:cs="Arial"/>
          <w:color w:val="000000" w:themeColor="text1"/>
          <w:vertAlign w:val="superscript"/>
          <w:lang w:val="es-ES"/>
        </w:rPr>
        <w:footnoteReference w:id="9"/>
      </w:r>
      <w:r w:rsidRPr="003A1844">
        <w:rPr>
          <w:rFonts w:ascii="Verdana" w:eastAsia="Calibri" w:hAnsi="Verdana" w:cs="Arial"/>
          <w:color w:val="000000" w:themeColor="text1"/>
          <w:lang w:val="es-ES"/>
        </w:rPr>
        <w:t xml:space="preserve">, expresó que “[…] </w:t>
      </w:r>
      <w:r w:rsidRPr="003A1844">
        <w:rPr>
          <w:rFonts w:ascii="Verdana" w:eastAsia="Calibri" w:hAnsi="Verdana" w:cs="Arial"/>
          <w:color w:val="000000" w:themeColor="text1"/>
        </w:rPr>
        <w:t>el régimen de contratación de las Empresas Sociales del Estado, está sometido al derecho privado por disposición legal y la facultad discrecional de pactar las cláusulas excepcionales dota a las mentadas entidades de herramientas especiales para garantizar ciertos fines”</w:t>
      </w:r>
      <w:r w:rsidRPr="003A1844">
        <w:rPr>
          <w:rFonts w:ascii="Verdana" w:eastAsia="Calibri" w:hAnsi="Verdana" w:cs="Arial"/>
          <w:color w:val="000000" w:themeColor="text1"/>
          <w:vertAlign w:val="superscript"/>
          <w:lang w:val="es-ES"/>
        </w:rPr>
        <w:footnoteReference w:id="10"/>
      </w:r>
      <w:r w:rsidRPr="003A1844">
        <w:rPr>
          <w:rFonts w:ascii="Verdana" w:eastAsia="Calibri" w:hAnsi="Verdana" w:cs="Arial"/>
          <w:color w:val="000000" w:themeColor="text1"/>
          <w:lang w:val="es-ES"/>
        </w:rPr>
        <w:t xml:space="preserve">. </w:t>
      </w:r>
    </w:p>
    <w:p w14:paraId="1DB7E609" w14:textId="77777777" w:rsidR="00E15938" w:rsidRPr="003A1844" w:rsidRDefault="00E15938" w:rsidP="00E15938">
      <w:pPr>
        <w:spacing w:after="120" w:line="276" w:lineRule="auto"/>
        <w:ind w:firstLine="709"/>
        <w:jc w:val="both"/>
        <w:rPr>
          <w:rFonts w:ascii="Verdana" w:hAnsi="Verdana" w:cs="Arial"/>
          <w:lang w:val="es-ES"/>
        </w:rPr>
      </w:pPr>
      <w:r w:rsidRPr="003A1844">
        <w:rPr>
          <w:rFonts w:ascii="Verdana" w:hAnsi="Verdana"/>
        </w:rPr>
        <w:t xml:space="preserve">En consecuencia, por mandato del legislador, el régimen jurídico de los contratos de las </w:t>
      </w:r>
      <w:r w:rsidRPr="003A1844">
        <w:rPr>
          <w:rFonts w:ascii="Verdana" w:hAnsi="Verdana" w:cs="Arial"/>
          <w:lang w:val="es-MX"/>
        </w:rPr>
        <w:t>–ESE–</w:t>
      </w:r>
      <w:r w:rsidRPr="003A1844">
        <w:rPr>
          <w:rFonts w:ascii="Verdana" w:hAnsi="Verdana"/>
        </w:rPr>
        <w:t xml:space="preserve"> constituye una de las excepciones legales existentes para la aplicación del EGCAP. Esta excepción permite que dichas empresas se sustraigan de las normas que regulan la actividad contractual de las Entidades Estatales a que hace referencia el artículo 2° de la Ley 80 de 1993. Sin perjuicio de lo anterior, la exclusión de las </w:t>
      </w:r>
      <w:r w:rsidRPr="003A1844">
        <w:rPr>
          <w:rFonts w:ascii="Verdana" w:hAnsi="Verdana" w:cs="Arial"/>
          <w:lang w:val="es-MX"/>
        </w:rPr>
        <w:t>–ESE–</w:t>
      </w:r>
      <w:r w:rsidRPr="003A1844">
        <w:rPr>
          <w:rFonts w:ascii="Verdana" w:hAnsi="Verdana"/>
        </w:rPr>
        <w:t xml:space="preserve">, frente al régimen jurídico contractual general de las Entidades Estatales, no ha sido absoluta, toda vez que intervienen en la prestación de servicios de salud, como actores dentro de un servicio público bajo responsabilidad del Estado, en los términos del artículo 49 de la Constitución Política. Además, de tiempo atrás en el ordenamiento jurídico colombiano se reconoció que las entidades exceptuadas del EGCAP debían </w:t>
      </w:r>
      <w:r w:rsidRPr="003A1844">
        <w:rPr>
          <w:rFonts w:ascii="Verdana" w:hAnsi="Verdana"/>
        </w:rPr>
        <w:lastRenderedPageBreak/>
        <w:t>respetar los principios de la función administrativa, tesis que luego fue acogida por el legislador con la expedición de la Ley 1150 de 2007.</w:t>
      </w:r>
    </w:p>
    <w:p w14:paraId="3300A5D6" w14:textId="77777777" w:rsidR="00E15938" w:rsidRPr="003A1844" w:rsidRDefault="00E15938" w:rsidP="00E15938">
      <w:pPr>
        <w:spacing w:after="120" w:line="276" w:lineRule="auto"/>
        <w:ind w:firstLine="709"/>
        <w:jc w:val="both"/>
        <w:rPr>
          <w:rFonts w:ascii="Verdana" w:hAnsi="Verdana" w:cs="Arial"/>
          <w:sz w:val="20"/>
          <w:szCs w:val="20"/>
          <w:lang w:val="es-MX"/>
        </w:rPr>
      </w:pPr>
      <w:r w:rsidRPr="003A1844">
        <w:rPr>
          <w:rFonts w:ascii="Verdana" w:hAnsi="Verdana" w:cs="Arial"/>
          <w:lang w:val="es-MX"/>
        </w:rPr>
        <w:t>Como se señaló anteriormente, el régimen de derecho privado que, por regla general, caracteriza a los regímenes especiales no implica la ausencia de elementos de derecho público que tienen como fin último garantizar que los regímenes especiales de contratación también se ordenen hacia la consecución de los fines del Estado. Estos elementos de derecho público encuentran su manifestación tanto en forma de reglas como de principios. En relación con este segundo tipo, esto es, principios de derecho público aplicables a regímenes especiales de contratación, la norma por excelencia es el artículo 13 de la Ley 1150 de 2007</w:t>
      </w:r>
      <w:r w:rsidRPr="003A1844">
        <w:rPr>
          <w:rFonts w:ascii="Verdana" w:hAnsi="Verdana" w:cs="Arial"/>
          <w:sz w:val="20"/>
          <w:szCs w:val="20"/>
          <w:lang w:val="es-MX"/>
        </w:rPr>
        <w:t xml:space="preserve">. </w:t>
      </w:r>
    </w:p>
    <w:p w14:paraId="3AE6CFEB" w14:textId="77777777" w:rsidR="00E15938" w:rsidRDefault="00E15938" w:rsidP="00E15938">
      <w:pPr>
        <w:spacing w:after="0" w:line="276" w:lineRule="auto"/>
        <w:ind w:firstLine="709"/>
        <w:jc w:val="both"/>
        <w:rPr>
          <w:rFonts w:ascii="Verdana" w:hAnsi="Verdana" w:cs="Arial"/>
          <w:lang w:val="es-MX"/>
        </w:rPr>
      </w:pPr>
      <w:r w:rsidRPr="003A1844">
        <w:rPr>
          <w:rFonts w:ascii="Verdana" w:hAnsi="Verdana" w:cs="Arial"/>
          <w:lang w:val="es-MX"/>
        </w:rPr>
        <w:t>Al referirse al régimen contractual de las –ESE–, la Sección Tercera del Consejo de Estado manifestó que “la entidad estatal debe observar en su actuación, precontractual y contractual, los principios que la Constitución Política le impone, en desarrollo de lo cual le asiste la obligación de obrar con igualdad, moralidad, eficacia, economía, celeridad, imparcialidad y publicidad, en todas las etapas de la realización del contrato estatal”. De esta forma, aunque los contratos suscritos por las –ESE–</w:t>
      </w:r>
      <w:r w:rsidRPr="003A1844">
        <w:rPr>
          <w:rFonts w:ascii="Verdana" w:hAnsi="Verdana"/>
        </w:rPr>
        <w:t xml:space="preserve"> </w:t>
      </w:r>
      <w:r w:rsidRPr="003A1844">
        <w:rPr>
          <w:rFonts w:ascii="Verdana" w:hAnsi="Verdana" w:cs="Arial"/>
          <w:lang w:val="es-MX"/>
        </w:rPr>
        <w:t>están excluidos del EGCAP, lo cierto es que no se rigen exclusivamente por el derecho civil y comercial, pues, conforme al artículo 13 de la Ley 1150 de 2007, a estos les aplican tanto los principios de la función administrativa y de la gestión fiscal, así como el régimen de inhabilidades e incompatibilidades, temáticas tratadas y reguladas en el referido estatuto</w:t>
      </w:r>
      <w:r>
        <w:rPr>
          <w:rFonts w:ascii="Verdana" w:hAnsi="Verdana" w:cs="Arial"/>
          <w:lang w:val="es-MX"/>
        </w:rPr>
        <w:t>, así como el deber de publicar en la plataforma transaccional SECOP II</w:t>
      </w:r>
      <w:r w:rsidRPr="003A1844">
        <w:rPr>
          <w:rFonts w:ascii="Verdana" w:hAnsi="Verdana" w:cs="Arial"/>
          <w:lang w:val="es-MX"/>
        </w:rPr>
        <w:t>.</w:t>
      </w:r>
      <w:r>
        <w:rPr>
          <w:rFonts w:ascii="Verdana" w:hAnsi="Verdana" w:cs="Arial"/>
          <w:lang w:val="es-MX"/>
        </w:rPr>
        <w:t xml:space="preserve"> Al respecto, el artículo 13 de la Ley 1150 de 2007 modificado por el artículo 53 de la Ley 2195 de 2022:</w:t>
      </w:r>
    </w:p>
    <w:p w14:paraId="43C347A8" w14:textId="77777777" w:rsidR="00E15938" w:rsidRDefault="00E15938" w:rsidP="00E15938">
      <w:pPr>
        <w:spacing w:after="0" w:line="276" w:lineRule="auto"/>
        <w:ind w:left="709" w:right="709"/>
        <w:jc w:val="both"/>
        <w:rPr>
          <w:rFonts w:ascii="Verdana" w:hAnsi="Verdana" w:cs="Arial"/>
          <w:lang w:val="es-MX"/>
        </w:rPr>
      </w:pPr>
    </w:p>
    <w:p w14:paraId="35A0D757" w14:textId="77777777" w:rsidR="00E15938" w:rsidRPr="004811A7" w:rsidRDefault="00E15938" w:rsidP="00E15938">
      <w:pPr>
        <w:spacing w:after="0" w:line="240" w:lineRule="auto"/>
        <w:ind w:left="709" w:right="709"/>
        <w:jc w:val="both"/>
        <w:rPr>
          <w:rFonts w:ascii="Verdana" w:hAnsi="Verdana" w:cs="Arial"/>
          <w:bCs/>
          <w:sz w:val="20"/>
          <w:szCs w:val="20"/>
        </w:rPr>
      </w:pPr>
      <w:r w:rsidRPr="004811A7">
        <w:rPr>
          <w:rFonts w:ascii="Verdana" w:hAnsi="Verdana" w:cs="Arial"/>
          <w:bCs/>
          <w:sz w:val="20"/>
          <w:szCs w:val="20"/>
        </w:rPr>
        <w:t>“Artículo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7672003D" w14:textId="77777777" w:rsidR="00E15938" w:rsidRPr="004811A7" w:rsidRDefault="00E15938" w:rsidP="00E15938">
      <w:pPr>
        <w:spacing w:after="0" w:line="240" w:lineRule="auto"/>
        <w:ind w:left="709" w:right="709" w:firstLine="709"/>
        <w:jc w:val="both"/>
        <w:rPr>
          <w:rFonts w:ascii="Verdana" w:hAnsi="Verdana" w:cs="Arial"/>
          <w:bCs/>
          <w:sz w:val="20"/>
          <w:szCs w:val="20"/>
        </w:rPr>
      </w:pPr>
    </w:p>
    <w:p w14:paraId="0E8029FC" w14:textId="77777777" w:rsidR="00E15938" w:rsidRPr="004811A7" w:rsidRDefault="00E15938" w:rsidP="00E15938">
      <w:pPr>
        <w:spacing w:after="0" w:line="240" w:lineRule="auto"/>
        <w:ind w:left="709" w:right="709"/>
        <w:jc w:val="both"/>
        <w:rPr>
          <w:rFonts w:ascii="Verdana" w:hAnsi="Verdana" w:cs="Arial"/>
          <w:bCs/>
          <w:iCs/>
          <w:sz w:val="20"/>
          <w:szCs w:val="20"/>
        </w:rPr>
      </w:pPr>
      <w:r w:rsidRPr="004811A7">
        <w:rPr>
          <w:rFonts w:ascii="Verdana" w:hAnsi="Verdana" w:cs="Arial"/>
          <w:bCs/>
          <w:iCs/>
          <w:sz w:val="20"/>
          <w:szCs w:val="20"/>
        </w:rPr>
        <w:t xml:space="preserve">En desarrollo de los anteriores principios, deberán publicar los documentos relacionados con su actividad contractual en el Sistema Electrónico para </w:t>
      </w:r>
      <w:r w:rsidRPr="004811A7">
        <w:rPr>
          <w:rFonts w:ascii="Verdana" w:hAnsi="Verdana" w:cs="Arial"/>
          <w:bCs/>
          <w:iCs/>
          <w:sz w:val="20"/>
          <w:szCs w:val="20"/>
        </w:rPr>
        <w:lastRenderedPageBreak/>
        <w:t xml:space="preserve">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w:t>
      </w:r>
      <w:proofErr w:type="spellStart"/>
      <w:r w:rsidRPr="004811A7">
        <w:rPr>
          <w:rFonts w:ascii="Verdana" w:hAnsi="Verdana" w:cs="Arial"/>
          <w:bCs/>
          <w:iCs/>
          <w:sz w:val="20"/>
          <w:szCs w:val="20"/>
        </w:rPr>
        <w:t>postcontractual</w:t>
      </w:r>
      <w:proofErr w:type="spellEnd"/>
      <w:r w:rsidRPr="004811A7">
        <w:rPr>
          <w:rFonts w:ascii="Verdana" w:hAnsi="Verdana" w:cs="Arial"/>
          <w:bCs/>
          <w:iCs/>
          <w:sz w:val="20"/>
          <w:szCs w:val="20"/>
        </w:rPr>
        <w:t>.</w:t>
      </w:r>
    </w:p>
    <w:p w14:paraId="65D76BE8" w14:textId="77777777" w:rsidR="00E15938" w:rsidRPr="004811A7" w:rsidRDefault="00E15938" w:rsidP="00E15938">
      <w:pPr>
        <w:spacing w:after="0" w:line="240" w:lineRule="auto"/>
        <w:ind w:left="709" w:right="709"/>
        <w:jc w:val="both"/>
        <w:rPr>
          <w:rFonts w:ascii="Verdana" w:hAnsi="Verdana" w:cs="Arial"/>
          <w:bCs/>
          <w:iCs/>
          <w:sz w:val="20"/>
          <w:szCs w:val="20"/>
        </w:rPr>
      </w:pPr>
    </w:p>
    <w:p w14:paraId="14538870" w14:textId="77777777" w:rsidR="00E15938" w:rsidRPr="004811A7" w:rsidRDefault="00E15938" w:rsidP="00E15938">
      <w:pPr>
        <w:spacing w:after="0" w:line="240" w:lineRule="auto"/>
        <w:ind w:left="709" w:right="709"/>
        <w:jc w:val="both"/>
        <w:rPr>
          <w:rFonts w:ascii="Verdana" w:hAnsi="Verdana" w:cs="Arial"/>
          <w:bCs/>
          <w:iCs/>
          <w:sz w:val="20"/>
          <w:szCs w:val="20"/>
        </w:rPr>
      </w:pPr>
      <w:r w:rsidRPr="004811A7">
        <w:rPr>
          <w:rFonts w:ascii="Verdana" w:hAnsi="Verdana" w:cs="Arial"/>
          <w:bCs/>
          <w:sz w:val="20"/>
          <w:szCs w:val="20"/>
        </w:rPr>
        <w:t xml:space="preserve">A partir de la </w:t>
      </w:r>
      <w:proofErr w:type="gramStart"/>
      <w:r w:rsidRPr="004811A7">
        <w:rPr>
          <w:rFonts w:ascii="Verdana" w:hAnsi="Verdana" w:cs="Arial"/>
          <w:bCs/>
          <w:sz w:val="20"/>
          <w:szCs w:val="20"/>
        </w:rPr>
        <w:t>entrada en vigencia</w:t>
      </w:r>
      <w:proofErr w:type="gramEnd"/>
      <w:r w:rsidRPr="004811A7">
        <w:rPr>
          <w:rFonts w:ascii="Verdana" w:hAnsi="Verdana" w:cs="Arial"/>
          <w:bCs/>
          <w:sz w:val="20"/>
          <w:szCs w:val="20"/>
        </w:rPr>
        <w:t xml:space="preserve"> de la presente Ley, se establecerá un periodo de transición de seis (6) meses, para que las entidades den cumplimiento efectivo a lo aquí establecido”. </w:t>
      </w:r>
    </w:p>
    <w:p w14:paraId="63A5EC67" w14:textId="77777777" w:rsidR="00E15938" w:rsidRPr="00BA51C0" w:rsidRDefault="00E15938" w:rsidP="00E15938">
      <w:pPr>
        <w:spacing w:after="0" w:line="276" w:lineRule="auto"/>
        <w:ind w:firstLine="709"/>
        <w:jc w:val="both"/>
        <w:rPr>
          <w:rFonts w:ascii="Verdana" w:hAnsi="Verdana" w:cs="Arial"/>
          <w:bCs/>
          <w:lang w:val="es-ES_tradnl"/>
        </w:rPr>
      </w:pPr>
    </w:p>
    <w:p w14:paraId="6F6B22B4" w14:textId="77777777" w:rsidR="00E15938" w:rsidRPr="008A6A36" w:rsidRDefault="00E15938" w:rsidP="00E15938">
      <w:pPr>
        <w:spacing w:after="120" w:line="276" w:lineRule="auto"/>
        <w:ind w:firstLine="709"/>
        <w:jc w:val="both"/>
        <w:rPr>
          <w:rFonts w:ascii="Verdana" w:hAnsi="Verdana" w:cs="Arial"/>
          <w:bCs/>
          <w:iCs/>
        </w:rPr>
      </w:pPr>
      <w:r w:rsidRPr="00BA51C0">
        <w:rPr>
          <w:rFonts w:ascii="Verdana" w:hAnsi="Verdana" w:cs="Arial"/>
          <w:bCs/>
          <w:lang w:val="es-ES"/>
        </w:rPr>
        <w:t xml:space="preserve">De la disposición transcrita, se deriva la interpretación de que a pesar que el régimen que aplican sea el derecho privado, tiene limitaciones dentro del derecho público como son los principios de la función administrativa y de la gestión fiscal y reglas del régimen de inhabilidades e incompatibilidades, así como el deber </w:t>
      </w:r>
      <w:r w:rsidRPr="00BA51C0">
        <w:rPr>
          <w:rFonts w:ascii="Verdana" w:hAnsi="Verdana" w:cs="Arial"/>
          <w:bCs/>
          <w:i/>
          <w:iCs/>
        </w:rPr>
        <w:t xml:space="preserve">de </w:t>
      </w:r>
      <w:r w:rsidRPr="00BA51C0">
        <w:rPr>
          <w:rFonts w:ascii="Verdana" w:hAnsi="Verdana" w:cs="Arial"/>
          <w:bCs/>
          <w:iCs/>
        </w:rPr>
        <w:t xml:space="preserve">publicar los documentos relacionados con su actividad contractual en el Sistema Electrónico para la Contratación Pública –SECOP II– o la plataforma transaccional que haga sus veces, sin perjuicio de las demás reglas que les aplique a la sociedad de economía exceptuada del EGCAP. </w:t>
      </w:r>
    </w:p>
    <w:p w14:paraId="7C1F33D2" w14:textId="77777777" w:rsidR="00E15938" w:rsidRPr="003A1844" w:rsidRDefault="00E15938" w:rsidP="00E15938">
      <w:pPr>
        <w:spacing w:before="120" w:after="0" w:line="276" w:lineRule="auto"/>
        <w:ind w:firstLine="709"/>
        <w:jc w:val="both"/>
        <w:rPr>
          <w:rFonts w:ascii="Verdana" w:eastAsia="Calibri" w:hAnsi="Verdana" w:cs="Arial"/>
          <w:color w:val="000000" w:themeColor="text1"/>
          <w:lang w:val="es-ES_tradnl"/>
        </w:rPr>
      </w:pPr>
      <w:r w:rsidRPr="003A1844">
        <w:rPr>
          <w:rFonts w:ascii="Verdana" w:eastAsia="Calibri" w:hAnsi="Verdana" w:cs="Arial"/>
          <w:color w:val="000000" w:themeColor="text1"/>
          <w:lang w:val="es-ES_tradnl"/>
        </w:rPr>
        <w:t>Lo anterior es reafirmado por el Consejo de Estado en el caso particular de los manuales de contratación, que contiene algunas reglas que deben seguir las entidades con régimen especial en su actividad contractual:</w:t>
      </w:r>
    </w:p>
    <w:p w14:paraId="5413F6CC" w14:textId="77777777" w:rsidR="00E15938" w:rsidRPr="003A1844" w:rsidRDefault="00E15938" w:rsidP="00E15938">
      <w:pPr>
        <w:spacing w:after="0" w:line="240" w:lineRule="auto"/>
        <w:jc w:val="both"/>
        <w:rPr>
          <w:rFonts w:ascii="Verdana" w:eastAsia="Calibri" w:hAnsi="Verdana" w:cs="Arial"/>
          <w:color w:val="000000" w:themeColor="text1"/>
          <w:lang w:val="es-ES_tradnl"/>
        </w:rPr>
      </w:pPr>
    </w:p>
    <w:p w14:paraId="1CEFE586" w14:textId="77777777" w:rsidR="00E15938" w:rsidRPr="004811A7" w:rsidRDefault="00E15938" w:rsidP="00E15938">
      <w:pPr>
        <w:spacing w:after="0" w:line="240" w:lineRule="auto"/>
        <w:ind w:left="709" w:right="709"/>
        <w:jc w:val="both"/>
        <w:rPr>
          <w:rFonts w:ascii="Verdana" w:eastAsia="Calibri" w:hAnsi="Verdana" w:cs="Arial"/>
          <w:color w:val="000000" w:themeColor="text1"/>
          <w:sz w:val="20"/>
          <w:szCs w:val="20"/>
          <w:lang w:val="es-ES_tradnl"/>
        </w:rPr>
      </w:pPr>
      <w:r w:rsidRPr="004811A7">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3A45115C" w14:textId="77777777" w:rsidR="00E15938" w:rsidRPr="004811A7" w:rsidRDefault="00E15938" w:rsidP="00E15938">
      <w:pPr>
        <w:spacing w:after="0" w:line="240" w:lineRule="auto"/>
        <w:ind w:left="709" w:right="709"/>
        <w:jc w:val="both"/>
        <w:rPr>
          <w:rFonts w:ascii="Verdana" w:eastAsia="Calibri" w:hAnsi="Verdana" w:cs="Arial"/>
          <w:color w:val="000000" w:themeColor="text1"/>
          <w:sz w:val="20"/>
          <w:szCs w:val="20"/>
          <w:lang w:val="es-ES_tradnl"/>
        </w:rPr>
      </w:pPr>
    </w:p>
    <w:p w14:paraId="06B7BB6F" w14:textId="77777777" w:rsidR="00E15938" w:rsidRPr="004811A7" w:rsidRDefault="00E15938" w:rsidP="00E15938">
      <w:pPr>
        <w:spacing w:after="0" w:line="240" w:lineRule="auto"/>
        <w:ind w:left="709" w:right="709"/>
        <w:jc w:val="both"/>
        <w:rPr>
          <w:rFonts w:ascii="Verdana" w:eastAsia="Calibri" w:hAnsi="Verdana" w:cs="Arial"/>
          <w:color w:val="000000" w:themeColor="text1"/>
          <w:sz w:val="20"/>
          <w:szCs w:val="20"/>
          <w:lang w:val="es-ES"/>
        </w:rPr>
      </w:pPr>
      <w:r w:rsidRPr="004811A7">
        <w:rPr>
          <w:rFonts w:ascii="Verdana" w:eastAsia="Calibri" w:hAnsi="Verdana" w:cs="Arial"/>
          <w:color w:val="000000" w:themeColor="text1"/>
          <w:sz w:val="20"/>
          <w:szCs w:val="20"/>
          <w:lang w:val="es-ES"/>
        </w:rPr>
        <w:t>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w:t>
      </w:r>
      <w:r w:rsidRPr="004811A7">
        <w:rPr>
          <w:rFonts w:ascii="Verdana" w:eastAsia="Calibri" w:hAnsi="Verdana" w:cs="Arial"/>
          <w:color w:val="000000" w:themeColor="text1"/>
          <w:sz w:val="20"/>
          <w:szCs w:val="20"/>
          <w:vertAlign w:val="superscript"/>
          <w:lang w:val="es-ES_tradnl"/>
        </w:rPr>
        <w:footnoteReference w:id="11"/>
      </w:r>
      <w:r w:rsidRPr="004811A7">
        <w:rPr>
          <w:rFonts w:ascii="Verdana" w:eastAsia="Calibri" w:hAnsi="Verdana" w:cs="Arial"/>
          <w:color w:val="000000" w:themeColor="text1"/>
          <w:sz w:val="20"/>
          <w:szCs w:val="20"/>
          <w:lang w:val="es-ES"/>
        </w:rPr>
        <w:t>.</w:t>
      </w:r>
    </w:p>
    <w:p w14:paraId="519E4FF7" w14:textId="77777777" w:rsidR="00E15938" w:rsidRPr="003A1844" w:rsidRDefault="00E15938" w:rsidP="00E15938">
      <w:pPr>
        <w:spacing w:after="0" w:line="276" w:lineRule="auto"/>
        <w:ind w:firstLine="709"/>
        <w:jc w:val="both"/>
        <w:rPr>
          <w:rFonts w:ascii="Verdana" w:hAnsi="Verdana" w:cs="Arial"/>
          <w:lang w:val="es-ES_tradnl"/>
        </w:rPr>
      </w:pPr>
    </w:p>
    <w:p w14:paraId="416E8AE0" w14:textId="77777777" w:rsidR="00E15938" w:rsidRPr="003A1844" w:rsidRDefault="00E15938" w:rsidP="00E15938">
      <w:pPr>
        <w:spacing w:after="120" w:line="276" w:lineRule="auto"/>
        <w:ind w:firstLine="709"/>
        <w:jc w:val="both"/>
        <w:rPr>
          <w:rFonts w:ascii="Verdana" w:eastAsia="Arial" w:hAnsi="Verdana" w:cs="Arial"/>
        </w:rPr>
      </w:pPr>
      <w:r w:rsidRPr="003A1844">
        <w:rPr>
          <w:rFonts w:ascii="Verdana" w:eastAsia="Arial" w:hAnsi="Verdana" w:cs="Arial"/>
        </w:rPr>
        <w:t xml:space="preserve">Ahora bien, puede decirse que una de las reglas para las </w:t>
      </w:r>
      <w:r w:rsidRPr="003A1844">
        <w:rPr>
          <w:rFonts w:ascii="Verdana" w:hAnsi="Verdana" w:cs="Arial"/>
          <w:lang w:val="es-MX"/>
        </w:rPr>
        <w:t>–ESE–</w:t>
      </w:r>
      <w:r w:rsidRPr="003A1844">
        <w:rPr>
          <w:rFonts w:ascii="Verdana" w:eastAsia="Arial" w:hAnsi="Verdana" w:cs="Arial"/>
        </w:rPr>
        <w:t xml:space="preserve">, derivada de las normas de derecho público estudiadas, consiste en el deber de expedir un manual de contratación. En este documento deben concretarse los principios de la función administrativa y de la gestión fiscal, así como determinarse la manera </w:t>
      </w:r>
      <w:r w:rsidRPr="003A1844">
        <w:rPr>
          <w:rFonts w:ascii="Verdana" w:eastAsia="Arial" w:hAnsi="Verdana" w:cs="Arial"/>
        </w:rPr>
        <w:lastRenderedPageBreak/>
        <w:t>concreta como dichos principios orientarán el derecho privado en el ejercicio de la actividad contractual. De esta manera, los potenciales oferentes podrán identificar las reglas que aplica la entidad en sus procesos contractuales.</w:t>
      </w:r>
    </w:p>
    <w:p w14:paraId="48D28C8A" w14:textId="77777777" w:rsidR="00E15938" w:rsidRPr="003A1844" w:rsidRDefault="00E15938" w:rsidP="00E15938">
      <w:pPr>
        <w:spacing w:after="120" w:line="276" w:lineRule="auto"/>
        <w:ind w:firstLine="708"/>
        <w:jc w:val="both"/>
        <w:rPr>
          <w:rFonts w:ascii="Verdana" w:eastAsia="Calibri" w:hAnsi="Verdana" w:cs="Arial"/>
          <w:lang w:val="es-ES"/>
        </w:rPr>
      </w:pPr>
      <w:r w:rsidRPr="49E6EE6D">
        <w:rPr>
          <w:rFonts w:ascii="Verdana" w:eastAsia="Calibri" w:hAnsi="Verdana" w:cs="Arial"/>
          <w:lang w:val="es-ES"/>
        </w:rPr>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w:t>
      </w:r>
      <w:r w:rsidRPr="49E6EE6D">
        <w:rPr>
          <w:rFonts w:ascii="Verdana" w:eastAsia="Calibri" w:hAnsi="Verdana" w:cs="Arial"/>
          <w:vertAlign w:val="superscript"/>
          <w:lang w:val="es-ES"/>
        </w:rPr>
        <w:footnoteReference w:id="12"/>
      </w:r>
      <w:r w:rsidRPr="49E6EE6D">
        <w:rPr>
          <w:rFonts w:ascii="Verdana" w:eastAsia="Calibri" w:hAnsi="Verdana" w:cs="Arial"/>
          <w:lang w:val="es-ES"/>
        </w:rPr>
        <w:t>. Ahora bien, dicha libertad es similar a la reconocida a los particulares por el derecho privado, pero no es idéntica a aquella, en la medida en que encuentra importantes limitantes.</w:t>
      </w:r>
    </w:p>
    <w:p w14:paraId="506669D1" w14:textId="77777777" w:rsidR="00E15938" w:rsidRPr="003A1844" w:rsidRDefault="00E15938" w:rsidP="00E15938">
      <w:pPr>
        <w:spacing w:after="120" w:line="276" w:lineRule="auto"/>
        <w:ind w:firstLine="709"/>
        <w:jc w:val="both"/>
        <w:rPr>
          <w:rFonts w:ascii="Verdana" w:eastAsia="Calibri" w:hAnsi="Verdana" w:cs="Arial"/>
          <w:lang w:val="es-ES"/>
        </w:rPr>
      </w:pPr>
      <w:r w:rsidRPr="003A1844">
        <w:rPr>
          <w:rFonts w:ascii="Verdana" w:eastAsia="Calibri" w:hAnsi="Verdana" w:cs="Arial"/>
          <w:lang w:val="es-ES"/>
        </w:rPr>
        <w:t>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deben reflejar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los manuales diseñados por la entidad se deben indicar cuáles son sus procedimientos de selección y una descripción de cada uno de ellos, al igual que las etapas que los componen, los cuales deben estar alineados con la garantía de los principios de la función administrativa</w:t>
      </w:r>
      <w:r w:rsidRPr="003A1844">
        <w:rPr>
          <w:rFonts w:ascii="Verdana" w:eastAsia="Calibri" w:hAnsi="Verdana" w:cs="Arial"/>
          <w:vertAlign w:val="superscript"/>
          <w:lang w:val="es-ES"/>
        </w:rPr>
        <w:footnoteReference w:id="13"/>
      </w:r>
      <w:r w:rsidRPr="003A1844">
        <w:rPr>
          <w:rFonts w:ascii="Verdana" w:eastAsia="Calibri" w:hAnsi="Verdana" w:cs="Arial"/>
          <w:lang w:val="es-ES"/>
        </w:rPr>
        <w:t xml:space="preserve">. </w:t>
      </w:r>
    </w:p>
    <w:p w14:paraId="03F64F0C" w14:textId="77777777" w:rsidR="00E15938" w:rsidRPr="003A1844" w:rsidRDefault="00E15938" w:rsidP="00E15938">
      <w:pPr>
        <w:widowControl w:val="0"/>
        <w:autoSpaceDE w:val="0"/>
        <w:autoSpaceDN w:val="0"/>
        <w:spacing w:after="120" w:line="276" w:lineRule="auto"/>
        <w:ind w:firstLine="608"/>
        <w:jc w:val="both"/>
        <w:rPr>
          <w:rFonts w:ascii="Verdana" w:eastAsia="Arial" w:hAnsi="Verdana" w:cs="Arial"/>
          <w:lang w:val="es-ES"/>
        </w:rPr>
      </w:pPr>
      <w:r w:rsidRPr="003A1844">
        <w:rPr>
          <w:rFonts w:ascii="Verdana" w:eastAsia="Arial" w:hAnsi="Verdana" w:cs="Arial"/>
          <w:lang w:val="es-ES"/>
        </w:rPr>
        <w:t>De esta forma, las</w:t>
      </w:r>
      <w:r w:rsidRPr="003A1844">
        <w:rPr>
          <w:rFonts w:ascii="Verdana" w:eastAsia="Arial" w:hAnsi="Verdana" w:cs="Arial"/>
          <w:spacing w:val="-7"/>
          <w:lang w:val="es-ES"/>
        </w:rPr>
        <w:t xml:space="preserve"> </w:t>
      </w:r>
      <w:r w:rsidRPr="003A1844">
        <w:rPr>
          <w:rFonts w:ascii="Verdana" w:eastAsia="Arial" w:hAnsi="Verdana" w:cs="Arial"/>
          <w:lang w:val="es-ES"/>
        </w:rPr>
        <w:t>reglas</w:t>
      </w:r>
      <w:r w:rsidRPr="003A1844">
        <w:rPr>
          <w:rFonts w:ascii="Verdana" w:eastAsia="Arial" w:hAnsi="Verdana" w:cs="Arial"/>
          <w:spacing w:val="-6"/>
          <w:lang w:val="es-ES"/>
        </w:rPr>
        <w:t xml:space="preserve"> </w:t>
      </w:r>
      <w:r w:rsidRPr="003A1844">
        <w:rPr>
          <w:rFonts w:ascii="Verdana" w:eastAsia="Arial" w:hAnsi="Verdana" w:cs="Arial"/>
          <w:lang w:val="es-ES"/>
        </w:rPr>
        <w:t>establecidas</w:t>
      </w:r>
      <w:r w:rsidRPr="003A1844">
        <w:rPr>
          <w:rFonts w:ascii="Verdana" w:eastAsia="Arial" w:hAnsi="Verdana" w:cs="Arial"/>
          <w:spacing w:val="-5"/>
          <w:lang w:val="es-ES"/>
        </w:rPr>
        <w:t xml:space="preserve"> </w:t>
      </w:r>
      <w:r w:rsidRPr="003A1844">
        <w:rPr>
          <w:rFonts w:ascii="Verdana" w:eastAsia="Arial" w:hAnsi="Verdana" w:cs="Arial"/>
          <w:lang w:val="es-ES"/>
        </w:rPr>
        <w:t>en</w:t>
      </w:r>
      <w:r w:rsidRPr="003A1844">
        <w:rPr>
          <w:rFonts w:ascii="Verdana" w:eastAsia="Arial" w:hAnsi="Verdana" w:cs="Arial"/>
          <w:spacing w:val="-7"/>
          <w:lang w:val="es-ES"/>
        </w:rPr>
        <w:t xml:space="preserve"> </w:t>
      </w:r>
      <w:r w:rsidRPr="003A1844">
        <w:rPr>
          <w:rFonts w:ascii="Verdana" w:eastAsia="Arial" w:hAnsi="Verdana" w:cs="Arial"/>
          <w:lang w:val="es-ES"/>
        </w:rPr>
        <w:t>los</w:t>
      </w:r>
      <w:r w:rsidRPr="003A1844">
        <w:rPr>
          <w:rFonts w:ascii="Verdana" w:eastAsia="Arial" w:hAnsi="Verdana" w:cs="Arial"/>
          <w:spacing w:val="-6"/>
          <w:lang w:val="es-ES"/>
        </w:rPr>
        <w:t xml:space="preserve"> </w:t>
      </w:r>
      <w:r w:rsidRPr="003A1844">
        <w:rPr>
          <w:rFonts w:ascii="Verdana" w:eastAsia="Arial" w:hAnsi="Verdana" w:cs="Arial"/>
          <w:lang w:val="es-ES"/>
        </w:rPr>
        <w:t>manuales</w:t>
      </w:r>
      <w:r w:rsidRPr="003A1844">
        <w:rPr>
          <w:rFonts w:ascii="Verdana" w:eastAsia="Arial" w:hAnsi="Verdana" w:cs="Arial"/>
          <w:spacing w:val="-6"/>
          <w:lang w:val="es-ES"/>
        </w:rPr>
        <w:t xml:space="preserve"> </w:t>
      </w:r>
      <w:r w:rsidRPr="003A1844">
        <w:rPr>
          <w:rFonts w:ascii="Verdana" w:eastAsia="Arial" w:hAnsi="Verdana" w:cs="Arial"/>
          <w:lang w:val="es-ES"/>
        </w:rPr>
        <w:t>o</w:t>
      </w:r>
      <w:r w:rsidRPr="003A1844">
        <w:rPr>
          <w:rFonts w:ascii="Verdana" w:eastAsia="Arial" w:hAnsi="Verdana" w:cs="Arial"/>
          <w:spacing w:val="-6"/>
          <w:lang w:val="es-ES"/>
        </w:rPr>
        <w:t xml:space="preserve"> </w:t>
      </w:r>
      <w:r w:rsidRPr="003A1844">
        <w:rPr>
          <w:rFonts w:ascii="Verdana" w:eastAsia="Arial" w:hAnsi="Verdana" w:cs="Arial"/>
          <w:lang w:val="es-ES"/>
        </w:rPr>
        <w:t>reglamentos</w:t>
      </w:r>
      <w:r w:rsidRPr="003A1844">
        <w:rPr>
          <w:rFonts w:ascii="Verdana" w:eastAsia="Arial" w:hAnsi="Verdana" w:cs="Arial"/>
          <w:spacing w:val="-7"/>
          <w:lang w:val="es-ES"/>
        </w:rPr>
        <w:t xml:space="preserve"> </w:t>
      </w:r>
      <w:r w:rsidRPr="003A1844">
        <w:rPr>
          <w:rFonts w:ascii="Verdana" w:eastAsia="Arial" w:hAnsi="Verdana" w:cs="Arial"/>
          <w:lang w:val="es-ES"/>
        </w:rPr>
        <w:t>internos</w:t>
      </w:r>
      <w:r w:rsidRPr="003A1844">
        <w:rPr>
          <w:rFonts w:ascii="Verdana" w:eastAsia="Arial" w:hAnsi="Verdana" w:cs="Arial"/>
          <w:spacing w:val="-5"/>
          <w:lang w:val="es-ES"/>
        </w:rPr>
        <w:t xml:space="preserve"> </w:t>
      </w:r>
      <w:r w:rsidRPr="003A1844">
        <w:rPr>
          <w:rFonts w:ascii="Verdana" w:eastAsia="Arial" w:hAnsi="Verdana" w:cs="Arial"/>
          <w:lang w:val="es-ES"/>
        </w:rPr>
        <w:t>de</w:t>
      </w:r>
      <w:r w:rsidRPr="003A1844">
        <w:rPr>
          <w:rFonts w:ascii="Verdana" w:eastAsia="Arial" w:hAnsi="Verdana" w:cs="Arial"/>
          <w:spacing w:val="-6"/>
          <w:lang w:val="es-ES"/>
        </w:rPr>
        <w:t xml:space="preserve"> </w:t>
      </w:r>
      <w:r w:rsidRPr="003A1844">
        <w:rPr>
          <w:rFonts w:ascii="Verdana" w:eastAsia="Arial" w:hAnsi="Verdana" w:cs="Arial"/>
          <w:lang w:val="es-ES"/>
        </w:rPr>
        <w:t>contratación son muy importantes, toda vez que las entidades se obligan a cumplir su contenido.</w:t>
      </w:r>
      <w:r w:rsidRPr="003A1844">
        <w:rPr>
          <w:rFonts w:ascii="Verdana" w:eastAsia="Arial" w:hAnsi="Verdana" w:cs="Arial"/>
          <w:spacing w:val="1"/>
          <w:lang w:val="es-ES"/>
        </w:rPr>
        <w:t xml:space="preserve"> </w:t>
      </w:r>
      <w:r w:rsidRPr="003A1844">
        <w:rPr>
          <w:rFonts w:ascii="Verdana" w:eastAsia="Arial" w:hAnsi="Verdana" w:cs="Arial"/>
          <w:lang w:val="es-ES"/>
        </w:rPr>
        <w:t>Además, tratándose de un acto administrativo, concretamente de un reglamento, le</w:t>
      </w:r>
      <w:r w:rsidRPr="003A1844">
        <w:rPr>
          <w:rFonts w:ascii="Verdana" w:eastAsia="Arial" w:hAnsi="Verdana" w:cs="Arial"/>
          <w:spacing w:val="1"/>
          <w:lang w:val="es-ES"/>
        </w:rPr>
        <w:t xml:space="preserve"> </w:t>
      </w:r>
      <w:r w:rsidRPr="003A1844">
        <w:rPr>
          <w:rFonts w:ascii="Verdana" w:eastAsia="Arial" w:hAnsi="Verdana" w:cs="Arial"/>
          <w:lang w:val="es-ES"/>
        </w:rPr>
        <w:t>aplican</w:t>
      </w:r>
      <w:r w:rsidRPr="003A1844">
        <w:rPr>
          <w:rFonts w:ascii="Verdana" w:eastAsia="Arial" w:hAnsi="Verdana" w:cs="Arial"/>
          <w:spacing w:val="-10"/>
          <w:lang w:val="es-ES"/>
        </w:rPr>
        <w:t xml:space="preserve"> </w:t>
      </w:r>
      <w:r w:rsidRPr="003A1844">
        <w:rPr>
          <w:rFonts w:ascii="Verdana" w:eastAsia="Arial" w:hAnsi="Verdana" w:cs="Arial"/>
          <w:lang w:val="es-ES"/>
        </w:rPr>
        <w:t>los</w:t>
      </w:r>
      <w:r w:rsidRPr="003A1844">
        <w:rPr>
          <w:rFonts w:ascii="Verdana" w:eastAsia="Arial" w:hAnsi="Verdana" w:cs="Arial"/>
          <w:spacing w:val="-10"/>
          <w:lang w:val="es-ES"/>
        </w:rPr>
        <w:t xml:space="preserve"> </w:t>
      </w:r>
      <w:r w:rsidRPr="003A1844">
        <w:rPr>
          <w:rFonts w:ascii="Verdana" w:eastAsia="Arial" w:hAnsi="Verdana" w:cs="Arial"/>
          <w:lang w:val="es-ES"/>
        </w:rPr>
        <w:t>atributos</w:t>
      </w:r>
      <w:r w:rsidRPr="003A1844">
        <w:rPr>
          <w:rFonts w:ascii="Verdana" w:eastAsia="Arial" w:hAnsi="Verdana" w:cs="Arial"/>
          <w:spacing w:val="-10"/>
          <w:lang w:val="es-ES"/>
        </w:rPr>
        <w:t xml:space="preserve"> </w:t>
      </w:r>
      <w:r w:rsidRPr="003A1844">
        <w:rPr>
          <w:rFonts w:ascii="Verdana" w:eastAsia="Arial" w:hAnsi="Verdana" w:cs="Arial"/>
          <w:lang w:val="es-ES"/>
        </w:rPr>
        <w:t>propios</w:t>
      </w:r>
      <w:r w:rsidRPr="003A1844">
        <w:rPr>
          <w:rFonts w:ascii="Verdana" w:eastAsia="Arial" w:hAnsi="Verdana" w:cs="Arial"/>
          <w:spacing w:val="-10"/>
          <w:lang w:val="es-ES"/>
        </w:rPr>
        <w:t xml:space="preserve"> </w:t>
      </w:r>
      <w:r w:rsidRPr="003A1844">
        <w:rPr>
          <w:rFonts w:ascii="Verdana" w:eastAsia="Arial" w:hAnsi="Verdana" w:cs="Arial"/>
          <w:lang w:val="es-ES"/>
        </w:rPr>
        <w:t>de</w:t>
      </w:r>
      <w:r w:rsidRPr="003A1844">
        <w:rPr>
          <w:rFonts w:ascii="Verdana" w:eastAsia="Arial" w:hAnsi="Verdana" w:cs="Arial"/>
          <w:spacing w:val="-9"/>
          <w:lang w:val="es-ES"/>
        </w:rPr>
        <w:t xml:space="preserve"> </w:t>
      </w:r>
      <w:r w:rsidRPr="003A1844">
        <w:rPr>
          <w:rFonts w:ascii="Verdana" w:eastAsia="Arial" w:hAnsi="Verdana" w:cs="Arial"/>
          <w:lang w:val="es-ES"/>
        </w:rPr>
        <w:t>estos</w:t>
      </w:r>
      <w:r w:rsidRPr="003A1844">
        <w:rPr>
          <w:rFonts w:ascii="Verdana" w:eastAsia="Arial" w:hAnsi="Verdana" w:cs="Arial"/>
          <w:spacing w:val="-10"/>
          <w:lang w:val="es-ES"/>
        </w:rPr>
        <w:t xml:space="preserve"> </w:t>
      </w:r>
      <w:r w:rsidRPr="003A1844">
        <w:rPr>
          <w:rFonts w:ascii="Verdana" w:eastAsia="Arial" w:hAnsi="Verdana" w:cs="Arial"/>
          <w:lang w:val="es-ES"/>
        </w:rPr>
        <w:t>tipos</w:t>
      </w:r>
      <w:r w:rsidRPr="003A1844">
        <w:rPr>
          <w:rFonts w:ascii="Verdana" w:eastAsia="Arial" w:hAnsi="Verdana" w:cs="Arial"/>
          <w:spacing w:val="-10"/>
          <w:lang w:val="es-ES"/>
        </w:rPr>
        <w:t xml:space="preserve"> </w:t>
      </w:r>
      <w:r w:rsidRPr="003A1844">
        <w:rPr>
          <w:rFonts w:ascii="Verdana" w:eastAsia="Arial" w:hAnsi="Verdana" w:cs="Arial"/>
          <w:lang w:val="es-ES"/>
        </w:rPr>
        <w:t>de</w:t>
      </w:r>
      <w:r w:rsidRPr="003A1844">
        <w:rPr>
          <w:rFonts w:ascii="Verdana" w:eastAsia="Arial" w:hAnsi="Verdana" w:cs="Arial"/>
          <w:spacing w:val="-10"/>
          <w:lang w:val="es-ES"/>
        </w:rPr>
        <w:t xml:space="preserve"> </w:t>
      </w:r>
      <w:r w:rsidRPr="003A1844">
        <w:rPr>
          <w:rFonts w:ascii="Verdana" w:eastAsia="Arial" w:hAnsi="Verdana" w:cs="Arial"/>
          <w:lang w:val="es-ES"/>
        </w:rPr>
        <w:t>actos,</w:t>
      </w:r>
      <w:r w:rsidRPr="003A1844">
        <w:rPr>
          <w:rFonts w:ascii="Verdana" w:eastAsia="Arial" w:hAnsi="Verdana" w:cs="Arial"/>
          <w:spacing w:val="-9"/>
          <w:lang w:val="es-ES"/>
        </w:rPr>
        <w:t xml:space="preserve"> </w:t>
      </w:r>
      <w:r w:rsidRPr="003A1844">
        <w:rPr>
          <w:rFonts w:ascii="Verdana" w:eastAsia="Arial" w:hAnsi="Verdana" w:cs="Arial"/>
          <w:lang w:val="es-ES"/>
        </w:rPr>
        <w:t>entre</w:t>
      </w:r>
      <w:r w:rsidRPr="003A1844">
        <w:rPr>
          <w:rFonts w:ascii="Verdana" w:eastAsia="Arial" w:hAnsi="Verdana" w:cs="Arial"/>
          <w:spacing w:val="-10"/>
          <w:lang w:val="es-ES"/>
        </w:rPr>
        <w:t xml:space="preserve"> </w:t>
      </w:r>
      <w:r w:rsidRPr="003A1844">
        <w:rPr>
          <w:rFonts w:ascii="Verdana" w:eastAsia="Arial" w:hAnsi="Verdana" w:cs="Arial"/>
          <w:lang w:val="es-ES"/>
        </w:rPr>
        <w:t>otras</w:t>
      </w:r>
      <w:r w:rsidRPr="003A1844">
        <w:rPr>
          <w:rFonts w:ascii="Verdana" w:eastAsia="Arial" w:hAnsi="Verdana" w:cs="Arial"/>
          <w:spacing w:val="-10"/>
          <w:lang w:val="es-ES"/>
        </w:rPr>
        <w:t xml:space="preserve"> </w:t>
      </w:r>
      <w:r w:rsidRPr="003A1844">
        <w:rPr>
          <w:rFonts w:ascii="Verdana" w:eastAsia="Arial" w:hAnsi="Verdana" w:cs="Arial"/>
          <w:lang w:val="es-ES"/>
        </w:rPr>
        <w:t>cosas,</w:t>
      </w:r>
      <w:r w:rsidRPr="003A1844">
        <w:rPr>
          <w:rFonts w:ascii="Verdana" w:eastAsia="Arial" w:hAnsi="Verdana" w:cs="Arial"/>
          <w:spacing w:val="-10"/>
          <w:lang w:val="es-ES"/>
        </w:rPr>
        <w:t xml:space="preserve"> </w:t>
      </w:r>
      <w:r w:rsidRPr="003A1844">
        <w:rPr>
          <w:rFonts w:ascii="Verdana" w:eastAsia="Arial" w:hAnsi="Verdana" w:cs="Arial"/>
          <w:lang w:val="es-ES"/>
        </w:rPr>
        <w:t>la</w:t>
      </w:r>
      <w:r w:rsidRPr="003A1844">
        <w:rPr>
          <w:rFonts w:ascii="Verdana" w:eastAsia="Arial" w:hAnsi="Verdana" w:cs="Arial"/>
          <w:spacing w:val="-9"/>
          <w:lang w:val="es-ES"/>
        </w:rPr>
        <w:t xml:space="preserve"> </w:t>
      </w:r>
      <w:r w:rsidRPr="003A1844">
        <w:rPr>
          <w:rFonts w:ascii="Verdana" w:eastAsia="Arial" w:hAnsi="Verdana" w:cs="Arial"/>
          <w:lang w:val="es-ES"/>
        </w:rPr>
        <w:t>presunción</w:t>
      </w:r>
      <w:r w:rsidRPr="003A1844">
        <w:rPr>
          <w:rFonts w:ascii="Verdana" w:eastAsia="Arial" w:hAnsi="Verdana" w:cs="Arial"/>
          <w:spacing w:val="-10"/>
          <w:lang w:val="es-ES"/>
        </w:rPr>
        <w:t xml:space="preserve"> </w:t>
      </w:r>
      <w:r w:rsidRPr="003A1844">
        <w:rPr>
          <w:rFonts w:ascii="Verdana" w:eastAsia="Arial" w:hAnsi="Verdana" w:cs="Arial"/>
          <w:lang w:val="es-ES"/>
        </w:rPr>
        <w:t xml:space="preserve">de legalidad y la regla de </w:t>
      </w:r>
      <w:r w:rsidRPr="003A1844">
        <w:rPr>
          <w:rFonts w:ascii="Verdana" w:eastAsia="Arial" w:hAnsi="Verdana" w:cs="Arial"/>
          <w:i/>
          <w:lang w:val="es-ES"/>
        </w:rPr>
        <w:t>inderogabilidad singular del reglamento</w:t>
      </w:r>
      <w:r w:rsidRPr="003A1844">
        <w:rPr>
          <w:rFonts w:ascii="Verdana" w:eastAsia="Arial" w:hAnsi="Verdana" w:cs="Arial"/>
          <w:i/>
          <w:vertAlign w:val="superscript"/>
          <w:lang w:val="es-ES"/>
        </w:rPr>
        <w:footnoteReference w:id="14"/>
      </w:r>
      <w:r w:rsidRPr="003A1844">
        <w:rPr>
          <w:rFonts w:ascii="Verdana" w:eastAsia="Arial" w:hAnsi="Verdana" w:cs="Arial"/>
          <w:lang w:val="es-ES"/>
        </w:rPr>
        <w:t>. En tal sentido, su</w:t>
      </w:r>
      <w:r w:rsidRPr="003A1844">
        <w:rPr>
          <w:rFonts w:ascii="Verdana" w:eastAsia="Arial" w:hAnsi="Verdana" w:cs="Arial"/>
          <w:spacing w:val="1"/>
          <w:lang w:val="es-ES"/>
        </w:rPr>
        <w:t xml:space="preserve"> </w:t>
      </w:r>
      <w:r w:rsidRPr="003A1844">
        <w:rPr>
          <w:rFonts w:ascii="Verdana" w:eastAsia="Arial" w:hAnsi="Verdana" w:cs="Arial"/>
          <w:lang w:val="es-ES"/>
        </w:rPr>
        <w:t xml:space="preserve">contenido vincula a </w:t>
      </w:r>
      <w:r w:rsidRPr="003A1844">
        <w:rPr>
          <w:rFonts w:ascii="Verdana" w:eastAsia="Arial" w:hAnsi="Verdana" w:cs="Arial"/>
          <w:lang w:val="es-ES"/>
        </w:rPr>
        <w:lastRenderedPageBreak/>
        <w:t>la propia entidad que lo expidió y no puede desconocerlo a su</w:t>
      </w:r>
      <w:r w:rsidRPr="003A1844">
        <w:rPr>
          <w:rFonts w:ascii="Verdana" w:eastAsia="Arial" w:hAnsi="Verdana" w:cs="Arial"/>
          <w:spacing w:val="1"/>
          <w:lang w:val="es-ES"/>
        </w:rPr>
        <w:t xml:space="preserve"> </w:t>
      </w:r>
      <w:r w:rsidRPr="003A1844">
        <w:rPr>
          <w:rFonts w:ascii="Verdana" w:eastAsia="Arial" w:hAnsi="Verdana" w:cs="Arial"/>
          <w:spacing w:val="-1"/>
          <w:lang w:val="es-ES"/>
        </w:rPr>
        <w:t>capricho</w:t>
      </w:r>
      <w:r w:rsidRPr="003A1844">
        <w:rPr>
          <w:rFonts w:ascii="Verdana" w:eastAsia="Arial" w:hAnsi="Verdana" w:cs="Arial"/>
          <w:spacing w:val="-15"/>
          <w:lang w:val="es-ES"/>
        </w:rPr>
        <w:t xml:space="preserve"> </w:t>
      </w:r>
      <w:r w:rsidRPr="003A1844">
        <w:rPr>
          <w:rFonts w:ascii="Verdana" w:eastAsia="Arial" w:hAnsi="Verdana" w:cs="Arial"/>
          <w:spacing w:val="-1"/>
          <w:lang w:val="es-ES"/>
        </w:rPr>
        <w:t>en</w:t>
      </w:r>
      <w:r w:rsidRPr="003A1844">
        <w:rPr>
          <w:rFonts w:ascii="Verdana" w:eastAsia="Arial" w:hAnsi="Verdana" w:cs="Arial"/>
          <w:spacing w:val="-14"/>
          <w:lang w:val="es-ES"/>
        </w:rPr>
        <w:t xml:space="preserve"> </w:t>
      </w:r>
      <w:r w:rsidRPr="003A1844">
        <w:rPr>
          <w:rFonts w:ascii="Verdana" w:eastAsia="Arial" w:hAnsi="Verdana" w:cs="Arial"/>
          <w:spacing w:val="-1"/>
          <w:lang w:val="es-ES"/>
        </w:rPr>
        <w:t>casos</w:t>
      </w:r>
      <w:r w:rsidRPr="003A1844">
        <w:rPr>
          <w:rFonts w:ascii="Verdana" w:eastAsia="Arial" w:hAnsi="Verdana" w:cs="Arial"/>
          <w:spacing w:val="-14"/>
          <w:lang w:val="es-ES"/>
        </w:rPr>
        <w:t xml:space="preserve"> </w:t>
      </w:r>
      <w:r w:rsidRPr="003A1844">
        <w:rPr>
          <w:rFonts w:ascii="Verdana" w:eastAsia="Arial" w:hAnsi="Verdana" w:cs="Arial"/>
          <w:spacing w:val="-1"/>
          <w:lang w:val="es-ES"/>
        </w:rPr>
        <w:t>específicos;</w:t>
      </w:r>
      <w:r w:rsidRPr="003A1844">
        <w:rPr>
          <w:rFonts w:ascii="Verdana" w:eastAsia="Arial" w:hAnsi="Verdana" w:cs="Arial"/>
          <w:spacing w:val="-15"/>
          <w:lang w:val="es-ES"/>
        </w:rPr>
        <w:t xml:space="preserve"> </w:t>
      </w:r>
      <w:r w:rsidRPr="003A1844">
        <w:rPr>
          <w:rFonts w:ascii="Verdana" w:eastAsia="Arial" w:hAnsi="Verdana" w:cs="Arial"/>
          <w:spacing w:val="-1"/>
          <w:lang w:val="es-ES"/>
        </w:rPr>
        <w:t>sin</w:t>
      </w:r>
      <w:r w:rsidRPr="003A1844">
        <w:rPr>
          <w:rFonts w:ascii="Verdana" w:eastAsia="Arial" w:hAnsi="Verdana" w:cs="Arial"/>
          <w:spacing w:val="-14"/>
          <w:lang w:val="es-ES"/>
        </w:rPr>
        <w:t xml:space="preserve"> </w:t>
      </w:r>
      <w:r w:rsidRPr="003A1844">
        <w:rPr>
          <w:rFonts w:ascii="Verdana" w:eastAsia="Arial" w:hAnsi="Verdana" w:cs="Arial"/>
          <w:spacing w:val="-1"/>
          <w:lang w:val="es-ES"/>
        </w:rPr>
        <w:t>perjuicio</w:t>
      </w:r>
      <w:r w:rsidRPr="003A1844">
        <w:rPr>
          <w:rFonts w:ascii="Verdana" w:eastAsia="Arial" w:hAnsi="Verdana" w:cs="Arial"/>
          <w:spacing w:val="-14"/>
          <w:lang w:val="es-ES"/>
        </w:rPr>
        <w:t xml:space="preserve"> </w:t>
      </w:r>
      <w:r w:rsidRPr="003A1844">
        <w:rPr>
          <w:rFonts w:ascii="Verdana" w:eastAsia="Arial" w:hAnsi="Verdana" w:cs="Arial"/>
          <w:spacing w:val="-1"/>
          <w:lang w:val="es-ES"/>
        </w:rPr>
        <w:t>de</w:t>
      </w:r>
      <w:r w:rsidRPr="003A1844">
        <w:rPr>
          <w:rFonts w:ascii="Verdana" w:eastAsia="Arial" w:hAnsi="Verdana" w:cs="Arial"/>
          <w:spacing w:val="-15"/>
          <w:lang w:val="es-ES"/>
        </w:rPr>
        <w:t xml:space="preserve"> </w:t>
      </w:r>
      <w:r w:rsidRPr="003A1844">
        <w:rPr>
          <w:rFonts w:ascii="Verdana" w:eastAsia="Arial" w:hAnsi="Verdana" w:cs="Arial"/>
          <w:spacing w:val="-1"/>
          <w:lang w:val="es-ES"/>
        </w:rPr>
        <w:t>la</w:t>
      </w:r>
      <w:r w:rsidRPr="003A1844">
        <w:rPr>
          <w:rFonts w:ascii="Verdana" w:eastAsia="Arial" w:hAnsi="Verdana" w:cs="Arial"/>
          <w:spacing w:val="-14"/>
          <w:lang w:val="es-ES"/>
        </w:rPr>
        <w:t xml:space="preserve"> </w:t>
      </w:r>
      <w:r w:rsidRPr="003A1844">
        <w:rPr>
          <w:rFonts w:ascii="Verdana" w:eastAsia="Arial" w:hAnsi="Verdana" w:cs="Arial"/>
          <w:spacing w:val="-1"/>
          <w:lang w:val="es-ES"/>
        </w:rPr>
        <w:t>posibilidad</w:t>
      </w:r>
      <w:r w:rsidRPr="003A1844">
        <w:rPr>
          <w:rFonts w:ascii="Verdana" w:eastAsia="Arial" w:hAnsi="Verdana" w:cs="Arial"/>
          <w:spacing w:val="-14"/>
          <w:lang w:val="es-ES"/>
        </w:rPr>
        <w:t xml:space="preserve"> </w:t>
      </w:r>
      <w:r w:rsidRPr="003A1844">
        <w:rPr>
          <w:rFonts w:ascii="Verdana" w:eastAsia="Arial" w:hAnsi="Verdana" w:cs="Arial"/>
          <w:lang w:val="es-ES"/>
        </w:rPr>
        <w:t>de</w:t>
      </w:r>
      <w:r w:rsidRPr="003A1844">
        <w:rPr>
          <w:rFonts w:ascii="Verdana" w:eastAsia="Arial" w:hAnsi="Verdana" w:cs="Arial"/>
          <w:spacing w:val="-14"/>
          <w:lang w:val="es-ES"/>
        </w:rPr>
        <w:t xml:space="preserve"> </w:t>
      </w:r>
      <w:r w:rsidRPr="003A1844">
        <w:rPr>
          <w:rFonts w:ascii="Verdana" w:eastAsia="Arial" w:hAnsi="Verdana" w:cs="Arial"/>
          <w:lang w:val="es-ES"/>
        </w:rPr>
        <w:t>expedir</w:t>
      </w:r>
      <w:r w:rsidRPr="003A1844">
        <w:rPr>
          <w:rFonts w:ascii="Verdana" w:eastAsia="Arial" w:hAnsi="Verdana" w:cs="Arial"/>
          <w:spacing w:val="-15"/>
          <w:lang w:val="es-ES"/>
        </w:rPr>
        <w:t xml:space="preserve"> </w:t>
      </w:r>
      <w:r w:rsidRPr="003A1844">
        <w:rPr>
          <w:rFonts w:ascii="Verdana" w:eastAsia="Arial" w:hAnsi="Verdana" w:cs="Arial"/>
          <w:lang w:val="es-ES"/>
        </w:rPr>
        <w:t>un</w:t>
      </w:r>
      <w:r w:rsidRPr="003A1844">
        <w:rPr>
          <w:rFonts w:ascii="Verdana" w:eastAsia="Arial" w:hAnsi="Verdana" w:cs="Arial"/>
          <w:spacing w:val="-14"/>
          <w:lang w:val="es-ES"/>
        </w:rPr>
        <w:t xml:space="preserve"> </w:t>
      </w:r>
      <w:r w:rsidRPr="003A1844">
        <w:rPr>
          <w:rFonts w:ascii="Verdana" w:eastAsia="Arial" w:hAnsi="Verdana" w:cs="Arial"/>
          <w:lang w:val="es-ES"/>
        </w:rPr>
        <w:t>nuevo</w:t>
      </w:r>
      <w:r w:rsidRPr="003A1844">
        <w:rPr>
          <w:rFonts w:ascii="Verdana" w:eastAsia="Arial" w:hAnsi="Verdana" w:cs="Arial"/>
          <w:spacing w:val="-14"/>
          <w:lang w:val="es-ES"/>
        </w:rPr>
        <w:t xml:space="preserve"> </w:t>
      </w:r>
      <w:r w:rsidRPr="003A1844">
        <w:rPr>
          <w:rFonts w:ascii="Verdana" w:eastAsia="Arial" w:hAnsi="Verdana" w:cs="Arial"/>
          <w:lang w:val="es-ES"/>
        </w:rPr>
        <w:t>manual o</w:t>
      </w:r>
      <w:r w:rsidRPr="003A1844">
        <w:rPr>
          <w:rFonts w:ascii="Verdana" w:eastAsia="Arial" w:hAnsi="Verdana" w:cs="Arial"/>
          <w:spacing w:val="-2"/>
          <w:lang w:val="es-ES"/>
        </w:rPr>
        <w:t xml:space="preserve"> </w:t>
      </w:r>
      <w:r w:rsidRPr="003A1844">
        <w:rPr>
          <w:rFonts w:ascii="Verdana" w:eastAsia="Arial" w:hAnsi="Verdana" w:cs="Arial"/>
          <w:lang w:val="es-ES"/>
        </w:rPr>
        <w:t>de</w:t>
      </w:r>
      <w:r w:rsidRPr="003A1844">
        <w:rPr>
          <w:rFonts w:ascii="Verdana" w:eastAsia="Arial" w:hAnsi="Verdana" w:cs="Arial"/>
          <w:spacing w:val="-1"/>
          <w:lang w:val="es-ES"/>
        </w:rPr>
        <w:t xml:space="preserve"> </w:t>
      </w:r>
      <w:r w:rsidRPr="003A1844">
        <w:rPr>
          <w:rFonts w:ascii="Verdana" w:eastAsia="Arial" w:hAnsi="Verdana" w:cs="Arial"/>
          <w:lang w:val="es-ES"/>
        </w:rPr>
        <w:t>modificar</w:t>
      </w:r>
      <w:r w:rsidRPr="003A1844">
        <w:rPr>
          <w:rFonts w:ascii="Verdana" w:eastAsia="Arial" w:hAnsi="Verdana" w:cs="Arial"/>
          <w:spacing w:val="-1"/>
          <w:lang w:val="es-ES"/>
        </w:rPr>
        <w:t xml:space="preserve"> </w:t>
      </w:r>
      <w:r w:rsidRPr="003A1844">
        <w:rPr>
          <w:rFonts w:ascii="Verdana" w:eastAsia="Arial" w:hAnsi="Verdana" w:cs="Arial"/>
          <w:lang w:val="es-ES"/>
        </w:rPr>
        <w:t>el</w:t>
      </w:r>
      <w:r w:rsidRPr="003A1844">
        <w:rPr>
          <w:rFonts w:ascii="Verdana" w:eastAsia="Arial" w:hAnsi="Verdana" w:cs="Arial"/>
          <w:spacing w:val="-1"/>
          <w:lang w:val="es-ES"/>
        </w:rPr>
        <w:t xml:space="preserve"> </w:t>
      </w:r>
      <w:r w:rsidRPr="003A1844">
        <w:rPr>
          <w:rFonts w:ascii="Verdana" w:eastAsia="Arial" w:hAnsi="Verdana" w:cs="Arial"/>
          <w:lang w:val="es-ES"/>
        </w:rPr>
        <w:t>existente.</w:t>
      </w:r>
    </w:p>
    <w:p w14:paraId="1B4323DA" w14:textId="77777777" w:rsidR="00E15938" w:rsidRPr="003A1844" w:rsidRDefault="00E15938" w:rsidP="00E15938">
      <w:pPr>
        <w:spacing w:after="120" w:line="276" w:lineRule="auto"/>
        <w:ind w:firstLine="709"/>
        <w:jc w:val="both"/>
        <w:rPr>
          <w:rFonts w:ascii="Verdana" w:eastAsia="Calibri" w:hAnsi="Verdana" w:cs="Arial"/>
          <w:color w:val="000000" w:themeColor="text1"/>
          <w:lang w:val="es-ES"/>
        </w:rPr>
      </w:pPr>
      <w:r w:rsidRPr="58A5B114">
        <w:rPr>
          <w:rFonts w:ascii="Verdana" w:eastAsia="Calibri" w:hAnsi="Verdana" w:cs="Arial"/>
          <w:color w:val="000000" w:themeColor="text1"/>
          <w:lang w:val="es-ES"/>
        </w:rPr>
        <w:t>Además, los procedimientos de selección que creen las entidades de régimen especial en sus manuales de contratación deben estar acordes, en cuanto a sus etapas, publicidad, duración, requisitos y demás aspectos con los acuerdos comerciales suscritos por Colombia, en caso de que la entidad se encuentre dentro del ámbito de cobertura de algún acuerdo comercial.</w:t>
      </w:r>
    </w:p>
    <w:p w14:paraId="79C32747" w14:textId="77777777" w:rsidR="00E15938" w:rsidRPr="003A1844" w:rsidRDefault="00E15938" w:rsidP="00E15938">
      <w:pPr>
        <w:spacing w:after="120" w:line="276" w:lineRule="auto"/>
        <w:ind w:firstLine="709"/>
        <w:jc w:val="both"/>
        <w:rPr>
          <w:rFonts w:ascii="Verdana" w:eastAsia="Calibri" w:hAnsi="Verdana" w:cs="Arial"/>
          <w:color w:val="000000" w:themeColor="text1"/>
          <w:lang w:val="es-ES"/>
        </w:rPr>
      </w:pPr>
      <w:r w:rsidRPr="003A1844">
        <w:rPr>
          <w:rFonts w:ascii="Verdana" w:eastAsia="Calibri" w:hAnsi="Verdana" w:cs="Arial"/>
          <w:color w:val="000000" w:themeColor="text1"/>
          <w:lang w:val="es-ES"/>
        </w:rPr>
        <w:t>De otro lado, existen ciertos contenidos determinados por el ordenamiento jurídico que no pueden ser modificados por los manuales internos, por tratarse de asuntos con reserva de ley. En este sentido, estos reglamentos internos de las entidades con régimen especial no pueden crear causales de in</w:t>
      </w:r>
      <w:r>
        <w:rPr>
          <w:rFonts w:ascii="Verdana" w:eastAsia="Calibri" w:hAnsi="Verdana" w:cs="Arial"/>
          <w:color w:val="000000" w:themeColor="text1"/>
          <w:lang w:val="es-ES"/>
        </w:rPr>
        <w:t xml:space="preserve">habilidad o incompatibilidad, </w:t>
      </w:r>
      <w:r w:rsidRPr="003A1844">
        <w:rPr>
          <w:rFonts w:ascii="Verdana" w:eastAsia="Calibri" w:hAnsi="Verdana" w:cs="Arial"/>
          <w:color w:val="000000" w:themeColor="text1"/>
          <w:lang w:val="es-ES"/>
        </w:rPr>
        <w:t>prescribir requisitos de perfeccionamiento, tipologías contractuales, limitar la capacidad contractual establecida en la ley. En efecto, estos contenidos no pueden ser regulados o modificados por los manuales de contratación, ya que se trata de aspectos con reserva de ley o con congelación en el rango de nivel legal, por lo que un acto administrativo no podría alterarlos</w:t>
      </w:r>
      <w:r w:rsidRPr="003A1844">
        <w:rPr>
          <w:rFonts w:ascii="Verdana" w:eastAsia="Calibri" w:hAnsi="Verdana" w:cs="Arial"/>
          <w:color w:val="000000" w:themeColor="text1"/>
          <w:vertAlign w:val="superscript"/>
          <w:lang w:val="es-ES_tradnl"/>
        </w:rPr>
        <w:footnoteReference w:id="15"/>
      </w:r>
      <w:r w:rsidRPr="003A1844">
        <w:rPr>
          <w:rFonts w:ascii="Verdana" w:eastAsia="Calibri" w:hAnsi="Verdana" w:cs="Arial"/>
          <w:color w:val="000000" w:themeColor="text1"/>
          <w:lang w:val="es-ES"/>
        </w:rPr>
        <w:t>.</w:t>
      </w:r>
    </w:p>
    <w:p w14:paraId="4EC6BAC4" w14:textId="77777777" w:rsidR="00E15938" w:rsidRDefault="00E15938" w:rsidP="00E15938">
      <w:pPr>
        <w:spacing w:after="0" w:line="276" w:lineRule="auto"/>
        <w:ind w:firstLine="709"/>
        <w:jc w:val="both"/>
        <w:rPr>
          <w:rFonts w:ascii="Verdana" w:eastAsia="Calibri" w:hAnsi="Verdana" w:cs="Arial"/>
          <w:color w:val="000000" w:themeColor="text1"/>
          <w:lang w:val="es-ES"/>
        </w:rPr>
      </w:pPr>
      <w:r w:rsidRPr="003A1844">
        <w:rPr>
          <w:rFonts w:ascii="Verdana" w:eastAsia="Calibri" w:hAnsi="Verdana" w:cs="Arial"/>
          <w:color w:val="000000" w:themeColor="text1"/>
          <w:lang w:val="es-ES"/>
        </w:rPr>
        <w:t>Sin perjuicio de lo anterior, existen múltiples contenidos que pueden ser objeto de regulación en el manual de contratación, por hacer parte del ámbito de configuración en desarrollo de su autonomía contractual, siempre que no contravengan la Constitución ni la ley. Por ejemplo, la definición de algunos requisitos de ejecución del contrato, con excepción de los que la ley imponga, la definición de si cierta actuación de la actividad contractual la debe realizar cierta dependencia de la entidad, establecer límites en cuanto a posibilidad de realizar adiciones, detallar los trámites internos que se surten al interior de la entidad y demás aspectos que hagan parte de su ámbito de configuració</w:t>
      </w:r>
      <w:r>
        <w:rPr>
          <w:rFonts w:ascii="Verdana" w:eastAsia="Calibri" w:hAnsi="Verdana" w:cs="Arial"/>
          <w:color w:val="000000" w:themeColor="text1"/>
          <w:lang w:val="es-ES"/>
        </w:rPr>
        <w:t>n.</w:t>
      </w:r>
    </w:p>
    <w:p w14:paraId="38F7C14D" w14:textId="77777777" w:rsidR="00E15938" w:rsidRDefault="00E15938" w:rsidP="00E15938">
      <w:pPr>
        <w:spacing w:after="0" w:line="276" w:lineRule="auto"/>
        <w:ind w:firstLine="709"/>
        <w:jc w:val="both"/>
        <w:rPr>
          <w:rFonts w:ascii="Verdana" w:eastAsia="Calibri" w:hAnsi="Verdana" w:cs="Arial"/>
          <w:color w:val="000000" w:themeColor="text1"/>
          <w:lang w:val="es-ES"/>
        </w:rPr>
      </w:pPr>
    </w:p>
    <w:p w14:paraId="13BF877C" w14:textId="77777777" w:rsidR="00E15938" w:rsidRPr="00CC7195" w:rsidRDefault="00E15938" w:rsidP="00E15938">
      <w:pPr>
        <w:spacing w:before="120" w:after="120" w:line="276" w:lineRule="auto"/>
        <w:jc w:val="both"/>
        <w:rPr>
          <w:rFonts w:ascii="Verdana" w:eastAsia="Calibri" w:hAnsi="Verdana" w:cs="Arial"/>
          <w:color w:val="000000" w:themeColor="text1"/>
          <w:lang w:val="es-ES"/>
        </w:rPr>
      </w:pPr>
      <w:proofErr w:type="spellStart"/>
      <w:r>
        <w:rPr>
          <w:rFonts w:ascii="Verdana" w:eastAsia="Calibri" w:hAnsi="Verdana" w:cs="Arial"/>
          <w:color w:val="000000" w:themeColor="text1"/>
          <w:lang w:val="es-ES"/>
        </w:rPr>
        <w:lastRenderedPageBreak/>
        <w:t>iii</w:t>
      </w:r>
      <w:proofErr w:type="spellEnd"/>
      <w:r>
        <w:rPr>
          <w:rFonts w:ascii="Verdana" w:eastAsia="Calibri" w:hAnsi="Verdana" w:cs="Arial"/>
          <w:color w:val="000000" w:themeColor="text1"/>
          <w:lang w:val="es-ES"/>
        </w:rPr>
        <w:t xml:space="preserve">. En torno a la aplicabilidad de las cláusulas excepcionales, </w:t>
      </w:r>
      <w:r w:rsidRPr="3957B322">
        <w:rPr>
          <w:rFonts w:ascii="Verdana" w:eastAsia="Calibri" w:hAnsi="Verdana" w:cs="Arial"/>
          <w:color w:val="000000" w:themeColor="text1"/>
          <w:lang w:val="es-ES"/>
        </w:rPr>
        <w:t>debe tener</w:t>
      </w:r>
      <w:r>
        <w:rPr>
          <w:rFonts w:ascii="Verdana" w:eastAsia="Calibri" w:hAnsi="Verdana" w:cs="Arial"/>
          <w:color w:val="000000" w:themeColor="text1"/>
          <w:lang w:val="es-ES"/>
        </w:rPr>
        <w:t>se</w:t>
      </w:r>
      <w:r w:rsidRPr="3957B322">
        <w:rPr>
          <w:rFonts w:ascii="Verdana" w:eastAsia="Calibri" w:hAnsi="Verdana" w:cs="Arial"/>
          <w:color w:val="000000" w:themeColor="text1"/>
          <w:lang w:val="es-ES"/>
        </w:rPr>
        <w:t xml:space="preserve"> en cuenta que </w:t>
      </w:r>
      <w:r>
        <w:rPr>
          <w:rFonts w:ascii="Verdana" w:eastAsia="Calibri" w:hAnsi="Verdana" w:cs="Arial"/>
          <w:color w:val="000000" w:themeColor="text1"/>
          <w:lang w:val="es-ES"/>
        </w:rPr>
        <w:t>dichas cláusulas no están</w:t>
      </w:r>
      <w:r w:rsidRPr="3957B322">
        <w:rPr>
          <w:rFonts w:ascii="Verdana" w:eastAsia="Calibri" w:hAnsi="Verdana" w:cs="Arial"/>
          <w:color w:val="000000" w:themeColor="text1"/>
          <w:lang w:val="es-ES"/>
        </w:rPr>
        <w:t xml:space="preserve">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establece. De modo que si una Entidad sujeta al régimen especial requiere sancionar o dar por terminado el contrato debe acudir al juez competente.</w:t>
      </w:r>
    </w:p>
    <w:p w14:paraId="35BD51BA" w14:textId="77777777" w:rsidR="00E15938" w:rsidRPr="00FD4874" w:rsidRDefault="00E15938" w:rsidP="00E15938">
      <w:pPr>
        <w:spacing w:before="120" w:line="276" w:lineRule="auto"/>
        <w:ind w:right="49" w:firstLine="709"/>
        <w:jc w:val="both"/>
        <w:rPr>
          <w:rFonts w:ascii="Verdana" w:hAnsi="Verdana" w:cs="Arial"/>
          <w:iCs/>
          <w:color w:val="000000" w:themeColor="text1"/>
        </w:rPr>
      </w:pPr>
      <w:r w:rsidRPr="00FD4874">
        <w:rPr>
          <w:rFonts w:ascii="Verdana" w:eastAsia="Calibri" w:hAnsi="Verdana" w:cs="Arial"/>
          <w:color w:val="000000" w:themeColor="text1"/>
          <w:lang w:val="es-ES"/>
        </w:rPr>
        <w:t xml:space="preserve">El hecho de que dichos entes tengan un régimen de contratación especial implica que en los contratos que celebren no resulta </w:t>
      </w:r>
      <w:r>
        <w:rPr>
          <w:rFonts w:ascii="Verdana" w:eastAsia="Calibri" w:hAnsi="Verdana" w:cs="Arial"/>
          <w:color w:val="000000" w:themeColor="text1"/>
          <w:lang w:val="es-ES"/>
        </w:rPr>
        <w:t>viable incorporar las cláusulas</w:t>
      </w:r>
      <w:r w:rsidRPr="00FD4874">
        <w:rPr>
          <w:rFonts w:ascii="Verdana" w:eastAsia="Calibri" w:hAnsi="Verdana" w:cs="Arial"/>
          <w:color w:val="000000" w:themeColor="text1"/>
          <w:lang w:val="es-ES"/>
        </w:rPr>
        <w:t xml:space="preserve"> exorbitantes o excepcionales, </w:t>
      </w:r>
      <w:r w:rsidRPr="003E2347">
        <w:rPr>
          <w:rFonts w:ascii="Verdana" w:hAnsi="Verdana" w:cs="Arial"/>
          <w:iCs/>
          <w:color w:val="000000" w:themeColor="text1"/>
        </w:rPr>
        <w:t xml:space="preserve">con base en las cuales la entidades sometidas al EGCAP ejercen la dirección general del contrato y realizan las actividades propias de vigilancia y control, entre las que se encuentran: i) las cláusulas excepcionales del artículo 14 de la Ley 80 de 1993, donde se encuentran la terminación unilateral, la interpretación unilateral, la modificación unilateral, la caducidad y la reversión, las cuales se desarrollan en los artículos 15 a 19 </w:t>
      </w:r>
      <w:r w:rsidRPr="003E2347">
        <w:rPr>
          <w:rFonts w:ascii="Verdana" w:hAnsi="Verdana" w:cs="Arial"/>
          <w:i/>
          <w:color w:val="000000" w:themeColor="text1"/>
        </w:rPr>
        <w:t>ibidem</w:t>
      </w:r>
      <w:r w:rsidRPr="003E2347">
        <w:rPr>
          <w:rFonts w:ascii="Verdana" w:hAnsi="Verdana" w:cs="Arial"/>
          <w:iCs/>
          <w:color w:val="000000" w:themeColor="text1"/>
        </w:rPr>
        <w:t xml:space="preserve">; </w:t>
      </w:r>
      <w:proofErr w:type="spellStart"/>
      <w:r w:rsidRPr="00EF4B98">
        <w:rPr>
          <w:rFonts w:ascii="Verdana" w:hAnsi="Verdana" w:cs="Arial"/>
          <w:iCs/>
          <w:color w:val="000000" w:themeColor="text1"/>
        </w:rPr>
        <w:t>ii</w:t>
      </w:r>
      <w:proofErr w:type="spellEnd"/>
      <w:r w:rsidRPr="00EF4B98">
        <w:rPr>
          <w:rFonts w:ascii="Verdana" w:hAnsi="Verdana" w:cs="Arial"/>
          <w:iCs/>
          <w:color w:val="000000" w:themeColor="text1"/>
        </w:rPr>
        <w:t xml:space="preserve">) en otras disposiciones también se encuentran establecidas otras potestades exorbitantes, como la liquidación unilateral y la declaratoria unilateral del siniestro; </w:t>
      </w:r>
      <w:r>
        <w:rPr>
          <w:rFonts w:ascii="Verdana" w:hAnsi="Verdana" w:cs="Arial"/>
          <w:iCs/>
          <w:color w:val="000000" w:themeColor="text1"/>
        </w:rPr>
        <w:t xml:space="preserve">y </w:t>
      </w:r>
      <w:proofErr w:type="spellStart"/>
      <w:r>
        <w:rPr>
          <w:rFonts w:ascii="Verdana" w:hAnsi="Verdana" w:cs="Arial"/>
          <w:iCs/>
          <w:color w:val="000000" w:themeColor="text1"/>
        </w:rPr>
        <w:t>i</w:t>
      </w:r>
      <w:r w:rsidRPr="003E2347">
        <w:rPr>
          <w:rFonts w:ascii="Verdana" w:hAnsi="Verdana" w:cs="Arial"/>
          <w:iCs/>
          <w:color w:val="000000" w:themeColor="text1"/>
        </w:rPr>
        <w:t>ii</w:t>
      </w:r>
      <w:proofErr w:type="spellEnd"/>
      <w:r w:rsidRPr="003E2347">
        <w:rPr>
          <w:rFonts w:ascii="Verdana" w:hAnsi="Verdana" w:cs="Arial"/>
          <w:iCs/>
          <w:color w:val="000000" w:themeColor="text1"/>
        </w:rPr>
        <w:t xml:space="preserve">) en otras disposiciones también se encuentran establecidas otras </w:t>
      </w:r>
      <w:r>
        <w:rPr>
          <w:rFonts w:ascii="Verdana" w:hAnsi="Verdana" w:cs="Arial"/>
          <w:iCs/>
          <w:color w:val="000000" w:themeColor="text1"/>
        </w:rPr>
        <w:t xml:space="preserve">las </w:t>
      </w:r>
      <w:r w:rsidRPr="003E2347">
        <w:rPr>
          <w:rFonts w:ascii="Verdana" w:hAnsi="Verdana" w:cs="Arial"/>
          <w:iCs/>
          <w:color w:val="000000" w:themeColor="text1"/>
        </w:rPr>
        <w:t xml:space="preserve">cláusulas excepcionales de </w:t>
      </w:r>
      <w:r w:rsidRPr="003E2347">
        <w:rPr>
          <w:rFonts w:ascii="Verdana" w:hAnsi="Verdana" w:cs="Arial"/>
          <w:i/>
          <w:color w:val="000000" w:themeColor="text1"/>
        </w:rPr>
        <w:t>imposición unilateral</w:t>
      </w:r>
      <w:r w:rsidRPr="003E2347">
        <w:rPr>
          <w:rFonts w:ascii="Verdana" w:hAnsi="Verdana" w:cs="Arial"/>
          <w:iCs/>
          <w:color w:val="000000" w:themeColor="text1"/>
        </w:rPr>
        <w:t xml:space="preserve"> de las cláusulas penales y de multas, cuya exorbitancia se refiere a su imposición unilateral</w:t>
      </w:r>
      <w:r>
        <w:rPr>
          <w:rFonts w:ascii="Verdana" w:hAnsi="Verdana" w:cs="Arial"/>
          <w:iCs/>
          <w:color w:val="000000" w:themeColor="text1"/>
        </w:rPr>
        <w:t>, a pesar que se ha discutido sobre su naturaleza o no exorbitante</w:t>
      </w:r>
      <w:r w:rsidRPr="00FD4874">
        <w:rPr>
          <w:rFonts w:ascii="Verdana" w:hAnsi="Verdana" w:cs="Arial"/>
          <w:iCs/>
          <w:color w:val="000000" w:themeColor="text1"/>
        </w:rPr>
        <w:t xml:space="preserve">. </w:t>
      </w:r>
    </w:p>
    <w:p w14:paraId="3AF51075" w14:textId="77777777" w:rsidR="00E15938" w:rsidRDefault="00E15938" w:rsidP="00E15938">
      <w:pPr>
        <w:spacing w:line="276" w:lineRule="auto"/>
        <w:ind w:firstLine="708"/>
        <w:jc w:val="both"/>
        <w:rPr>
          <w:rFonts w:ascii="Verdana" w:eastAsia="Calibri" w:hAnsi="Verdana" w:cs="Arial"/>
          <w:color w:val="000000" w:themeColor="text1"/>
        </w:rPr>
      </w:pPr>
      <w:r w:rsidRPr="00D42EEE">
        <w:rPr>
          <w:rFonts w:ascii="Verdana" w:eastAsia="Calibri" w:hAnsi="Verdana" w:cs="Arial"/>
          <w:color w:val="000000" w:themeColor="text1"/>
          <w:lang w:val="es-ES_tradnl"/>
        </w:rPr>
        <w:t xml:space="preserve">Ahora bien, hay entidades de régimen especial que tienen la competencia para hacer uso </w:t>
      </w:r>
      <w:r>
        <w:rPr>
          <w:rFonts w:ascii="Verdana" w:eastAsia="Calibri" w:hAnsi="Verdana" w:cs="Arial"/>
          <w:color w:val="000000" w:themeColor="text1"/>
          <w:lang w:val="es-ES_tradnl"/>
        </w:rPr>
        <w:t>de cláusulas excepcionales, son</w:t>
      </w:r>
      <w:r w:rsidRPr="00D42EEE">
        <w:rPr>
          <w:rFonts w:ascii="Verdana" w:eastAsia="Calibri" w:hAnsi="Verdana" w:cs="Arial"/>
          <w:color w:val="000000" w:themeColor="text1"/>
          <w:lang w:val="es-ES_tradnl"/>
        </w:rPr>
        <w:t xml:space="preserve"> las empresas prestadoras de </w:t>
      </w:r>
      <w:r w:rsidRPr="00D42EEE">
        <w:rPr>
          <w:rFonts w:ascii="Verdana" w:eastAsia="Calibri" w:hAnsi="Verdana" w:cs="Arial"/>
          <w:color w:val="000000" w:themeColor="text1"/>
          <w:lang w:val="es-ES_tradnl"/>
        </w:rPr>
        <w:lastRenderedPageBreak/>
        <w:t>servicios públicos domiciliarios</w:t>
      </w:r>
      <w:r w:rsidRPr="00D42EEE">
        <w:rPr>
          <w:rStyle w:val="Refdenotaalpie"/>
          <w:rFonts w:ascii="Verdana" w:eastAsia="Calibri" w:hAnsi="Verdana" w:cs="Arial"/>
          <w:color w:val="000000" w:themeColor="text1"/>
          <w:lang w:val="es-ES_tradnl"/>
        </w:rPr>
        <w:footnoteReference w:id="16"/>
      </w:r>
      <w:r w:rsidRPr="00D42EEE">
        <w:rPr>
          <w:rFonts w:ascii="Verdana" w:eastAsia="Calibri" w:hAnsi="Verdana" w:cs="Arial"/>
          <w:color w:val="000000" w:themeColor="text1"/>
          <w:lang w:val="es-ES_tradnl"/>
        </w:rPr>
        <w:t xml:space="preserve"> y las empresas sociales del Estado</w:t>
      </w:r>
      <w:r w:rsidRPr="00D42EEE">
        <w:rPr>
          <w:rStyle w:val="Refdenotaalpie"/>
          <w:rFonts w:ascii="Verdana" w:eastAsia="Calibri" w:hAnsi="Verdana" w:cs="Arial"/>
          <w:color w:val="000000" w:themeColor="text1"/>
          <w:lang w:val="es-ES_tradnl"/>
        </w:rPr>
        <w:footnoteReference w:id="17"/>
      </w:r>
      <w:r>
        <w:rPr>
          <w:rFonts w:ascii="Verdana" w:eastAsia="Calibri" w:hAnsi="Verdana" w:cs="Arial"/>
          <w:color w:val="000000" w:themeColor="text1"/>
          <w:lang w:val="es-ES_tradnl"/>
        </w:rPr>
        <w:t xml:space="preserve">, entre otras. En torno a las empresas sociales del Estado </w:t>
      </w:r>
      <w:r>
        <w:rPr>
          <w:rFonts w:ascii="Verdana" w:eastAsia="Calibri" w:hAnsi="Verdana" w:cs="Arial"/>
          <w:color w:val="000000" w:themeColor="text1"/>
        </w:rPr>
        <w:t xml:space="preserve">la regla aplicable </w:t>
      </w:r>
      <w:r w:rsidRPr="009428FB">
        <w:rPr>
          <w:rFonts w:ascii="Verdana" w:eastAsia="Calibri" w:hAnsi="Verdana" w:cs="Arial"/>
          <w:color w:val="000000" w:themeColor="text1"/>
        </w:rPr>
        <w:t>es el derecho privado, salvo lo relacionado con cláusulas exorbitantes, materia en relación con la cual están habilitadas para aplicar las disposiciones del EGCAP, como lo prevé el citado artículo 195, numeral 6 de la Ley 100 de 1993.</w:t>
      </w:r>
      <w:r>
        <w:rPr>
          <w:rFonts w:ascii="Verdana" w:eastAsia="Calibri" w:hAnsi="Verdana" w:cs="Arial"/>
          <w:color w:val="000000" w:themeColor="text1"/>
        </w:rPr>
        <w:t xml:space="preserve"> Al respecto, la Sala de Consulta y Servicio Civil del Consejo de Estado expresa:  </w:t>
      </w:r>
    </w:p>
    <w:p w14:paraId="668521B5" w14:textId="77777777" w:rsidR="00E15938" w:rsidRPr="00FB4C06" w:rsidRDefault="00E15938" w:rsidP="00E15938">
      <w:pPr>
        <w:spacing w:after="0" w:line="240" w:lineRule="auto"/>
        <w:ind w:left="709" w:right="709"/>
        <w:jc w:val="both"/>
        <w:rPr>
          <w:rFonts w:ascii="Verdana" w:eastAsia="Calibri" w:hAnsi="Verdana" w:cs="Arial"/>
          <w:i/>
          <w:iCs/>
          <w:color w:val="000000" w:themeColor="text1"/>
          <w:sz w:val="21"/>
          <w:szCs w:val="21"/>
        </w:rPr>
      </w:pPr>
      <w:r>
        <w:rPr>
          <w:rFonts w:ascii="Verdana" w:eastAsia="Calibri" w:hAnsi="Verdana" w:cs="Arial"/>
          <w:i/>
          <w:iCs/>
          <w:color w:val="000000" w:themeColor="text1"/>
          <w:sz w:val="21"/>
          <w:szCs w:val="21"/>
        </w:rPr>
        <w:t>“</w:t>
      </w:r>
      <w:r w:rsidRPr="00FB4C06">
        <w:rPr>
          <w:rFonts w:ascii="Verdana" w:eastAsia="Calibri" w:hAnsi="Verdana" w:cs="Arial"/>
          <w:i/>
          <w:iCs/>
          <w:color w:val="000000" w:themeColor="text1"/>
          <w:sz w:val="21"/>
          <w:szCs w:val="21"/>
        </w:rPr>
        <w:t xml:space="preserve">En principio, por ser las empresas sociales del estado entidades estatales y constituir la ley 80 un estatuto denominado "general de contratación de la administración pública", pudiera concluirse que su aplicación es universal para toda clase de entes públicos; sin embargo, tal apreciación no se compadece con la potestad del legislador para establecer excepciones a tal régimen, como lo hizo en el caso de estas empresas. </w:t>
      </w:r>
    </w:p>
    <w:p w14:paraId="1C6B085A" w14:textId="77777777" w:rsidR="00E15938" w:rsidRPr="00FB4C06" w:rsidRDefault="00E15938" w:rsidP="00E15938">
      <w:pPr>
        <w:spacing w:after="0" w:line="240" w:lineRule="auto"/>
        <w:ind w:left="709" w:right="709"/>
        <w:jc w:val="both"/>
        <w:rPr>
          <w:rFonts w:ascii="Verdana" w:eastAsia="Calibri" w:hAnsi="Verdana" w:cs="Arial"/>
          <w:i/>
          <w:iCs/>
          <w:color w:val="000000" w:themeColor="text1"/>
          <w:sz w:val="21"/>
          <w:szCs w:val="21"/>
        </w:rPr>
      </w:pPr>
      <w:r w:rsidRPr="00FB4C06">
        <w:rPr>
          <w:rFonts w:ascii="Verdana" w:eastAsia="Calibri" w:hAnsi="Verdana" w:cs="Arial"/>
          <w:i/>
          <w:iCs/>
          <w:color w:val="000000" w:themeColor="text1"/>
          <w:sz w:val="21"/>
          <w:szCs w:val="21"/>
        </w:rPr>
        <w:t xml:space="preserve">El carácter excepcional de la </w:t>
      </w:r>
      <w:proofErr w:type="gramStart"/>
      <w:r w:rsidRPr="00FB4C06">
        <w:rPr>
          <w:rFonts w:ascii="Verdana" w:eastAsia="Calibri" w:hAnsi="Verdana" w:cs="Arial"/>
          <w:i/>
          <w:iCs/>
          <w:color w:val="000000" w:themeColor="text1"/>
          <w:sz w:val="21"/>
          <w:szCs w:val="21"/>
        </w:rPr>
        <w:t>regulación,</w:t>
      </w:r>
      <w:proofErr w:type="gramEnd"/>
      <w:r w:rsidRPr="00FB4C06">
        <w:rPr>
          <w:rFonts w:ascii="Verdana" w:eastAsia="Calibri" w:hAnsi="Verdana" w:cs="Arial"/>
          <w:i/>
          <w:iCs/>
          <w:color w:val="000000" w:themeColor="text1"/>
          <w:sz w:val="21"/>
          <w:szCs w:val="21"/>
        </w:rPr>
        <w:t xml:space="preserve"> se refleja inequívocamente en la locución "discrecionalmente", ya que mientras los demás contratos estatales deben, de manera general, contener tales cláusulas, en los sometidos al régimen de las empresas sociales sólo se pactarán cuando así estas lo dispongan. Además, si con dicha expresión al Estado se le otorga la facultad para pactar o imponer las referidas cláusulas, sin distinguir su razón, es porque a él se reserva el privilegio de incluirlas cuando lo estime conveniente, esto es, cuando las reglas de derecho privado no le otorguen la garantía para la prestación del servicio público correspondiente. </w:t>
      </w:r>
    </w:p>
    <w:p w14:paraId="512C383D" w14:textId="77777777" w:rsidR="00E15938" w:rsidRDefault="00E15938" w:rsidP="00E15938">
      <w:pPr>
        <w:spacing w:after="0" w:line="240" w:lineRule="auto"/>
        <w:ind w:left="709" w:right="709"/>
        <w:jc w:val="both"/>
        <w:rPr>
          <w:rFonts w:ascii="Verdana" w:eastAsia="Calibri" w:hAnsi="Verdana" w:cs="Arial"/>
          <w:i/>
          <w:iCs/>
          <w:color w:val="000000" w:themeColor="text1"/>
          <w:sz w:val="21"/>
          <w:szCs w:val="21"/>
        </w:rPr>
      </w:pPr>
      <w:r w:rsidRPr="00FB4C06">
        <w:rPr>
          <w:rFonts w:ascii="Verdana" w:eastAsia="Calibri" w:hAnsi="Verdana" w:cs="Arial"/>
          <w:i/>
          <w:iCs/>
          <w:color w:val="000000" w:themeColor="text1"/>
          <w:sz w:val="21"/>
          <w:szCs w:val="21"/>
        </w:rPr>
        <w:t xml:space="preserve">Por lo demás, dicha discrecionalidad encuentra su fundamento en la multiplicidad de objetos contractuales que pueden incidir o no en la prestación del servicio público, circunstancia que la administración </w:t>
      </w:r>
      <w:r w:rsidRPr="00FB4C06">
        <w:rPr>
          <w:rFonts w:ascii="Verdana" w:eastAsia="Calibri" w:hAnsi="Verdana" w:cs="Arial"/>
          <w:i/>
          <w:iCs/>
          <w:color w:val="000000" w:themeColor="text1"/>
          <w:sz w:val="21"/>
          <w:szCs w:val="21"/>
        </w:rPr>
        <w:lastRenderedPageBreak/>
        <w:t>deberá tener presente al momento de determinar si incluye o no las cláusulas excepcionales</w:t>
      </w:r>
      <w:r>
        <w:rPr>
          <w:rFonts w:ascii="Verdana" w:eastAsia="Calibri" w:hAnsi="Verdana" w:cs="Arial"/>
          <w:i/>
          <w:iCs/>
          <w:color w:val="000000" w:themeColor="text1"/>
          <w:sz w:val="21"/>
          <w:szCs w:val="21"/>
        </w:rPr>
        <w:t>”</w:t>
      </w:r>
      <w:r>
        <w:rPr>
          <w:rStyle w:val="Refdenotaalpie"/>
          <w:rFonts w:ascii="Verdana" w:eastAsia="Calibri" w:hAnsi="Verdana" w:cs="Arial"/>
          <w:i/>
          <w:iCs/>
          <w:color w:val="000000" w:themeColor="text1"/>
          <w:sz w:val="21"/>
          <w:szCs w:val="21"/>
        </w:rPr>
        <w:footnoteReference w:id="18"/>
      </w:r>
      <w:r w:rsidRPr="00FB4C06">
        <w:rPr>
          <w:rFonts w:ascii="Verdana" w:eastAsia="Calibri" w:hAnsi="Verdana" w:cs="Arial"/>
          <w:i/>
          <w:iCs/>
          <w:color w:val="000000" w:themeColor="text1"/>
          <w:sz w:val="21"/>
          <w:szCs w:val="21"/>
        </w:rPr>
        <w:t xml:space="preserve">. </w:t>
      </w:r>
    </w:p>
    <w:p w14:paraId="28766A4E" w14:textId="77777777" w:rsidR="00E15938" w:rsidRPr="00FB4C06" w:rsidRDefault="00E15938" w:rsidP="00E15938">
      <w:pPr>
        <w:spacing w:after="0" w:line="276" w:lineRule="auto"/>
        <w:ind w:left="709" w:right="709"/>
        <w:jc w:val="both"/>
        <w:rPr>
          <w:rFonts w:ascii="Verdana" w:eastAsia="Calibri" w:hAnsi="Verdana" w:cs="Arial"/>
          <w:color w:val="000000" w:themeColor="text1"/>
          <w:sz w:val="21"/>
          <w:szCs w:val="21"/>
        </w:rPr>
      </w:pPr>
    </w:p>
    <w:p w14:paraId="61D90C9F" w14:textId="77777777" w:rsidR="00E15938" w:rsidRPr="0083282B" w:rsidRDefault="00E15938" w:rsidP="00E15938">
      <w:pPr>
        <w:widowControl w:val="0"/>
        <w:autoSpaceDE w:val="0"/>
        <w:autoSpaceDN w:val="0"/>
        <w:spacing w:after="120" w:line="276" w:lineRule="auto"/>
        <w:ind w:firstLine="708"/>
        <w:jc w:val="both"/>
        <w:rPr>
          <w:rFonts w:ascii="Verdana" w:eastAsia="Arial" w:hAnsi="Verdana" w:cs="Arial"/>
        </w:rPr>
      </w:pPr>
      <w:r>
        <w:rPr>
          <w:rFonts w:ascii="Verdana" w:eastAsia="Calibri" w:hAnsi="Verdana" w:cs="Arial"/>
          <w:color w:val="000000" w:themeColor="text1"/>
        </w:rPr>
        <w:t>En esta medida,</w:t>
      </w:r>
      <w:r>
        <w:rPr>
          <w:rFonts w:ascii="Verdana" w:hAnsi="Verdana" w:cs="Arial"/>
          <w:bCs/>
          <w:color w:val="000000" w:themeColor="text1"/>
          <w:lang w:val="es-ES"/>
        </w:rPr>
        <w:t xml:space="preserve"> </w:t>
      </w:r>
      <w:r w:rsidRPr="007B07B6">
        <w:rPr>
          <w:rFonts w:ascii="Verdana" w:hAnsi="Verdana" w:cs="Arial"/>
          <w:bCs/>
          <w:color w:val="000000" w:themeColor="text1"/>
        </w:rPr>
        <w:t xml:space="preserve">las </w:t>
      </w:r>
      <w:r>
        <w:rPr>
          <w:rFonts w:ascii="Verdana" w:hAnsi="Verdana" w:cs="Arial"/>
          <w:bCs/>
          <w:color w:val="000000" w:themeColor="text1"/>
        </w:rPr>
        <w:t>ESE debe</w:t>
      </w:r>
      <w:r w:rsidRPr="007B07B6">
        <w:rPr>
          <w:rFonts w:ascii="Verdana" w:hAnsi="Verdana" w:cs="Arial"/>
          <w:bCs/>
          <w:color w:val="000000" w:themeColor="text1"/>
        </w:rPr>
        <w:t xml:space="preserve">n aplicar las disposiciones del EGCAP, </w:t>
      </w:r>
      <w:r>
        <w:rPr>
          <w:rFonts w:ascii="Verdana" w:hAnsi="Verdana" w:cs="Arial"/>
          <w:bCs/>
          <w:color w:val="000000" w:themeColor="text1"/>
        </w:rPr>
        <w:t>por especial regulación</w:t>
      </w:r>
      <w:r w:rsidRPr="007B07B6">
        <w:rPr>
          <w:rFonts w:ascii="Verdana" w:hAnsi="Verdana" w:cs="Arial"/>
          <w:bCs/>
          <w:color w:val="000000" w:themeColor="text1"/>
        </w:rPr>
        <w:t xml:space="preserve"> de la Ley 100, que autoriza a estas empresas a incorporar las cláusulas excepcionales,</w:t>
      </w:r>
      <w:r>
        <w:rPr>
          <w:rFonts w:ascii="Verdana" w:hAnsi="Verdana" w:cs="Arial"/>
          <w:bCs/>
          <w:color w:val="000000" w:themeColor="text1"/>
        </w:rPr>
        <w:t xml:space="preserve"> siempre que decidan aplicarlas. Para entender este ejercicio, se acude a </w:t>
      </w:r>
      <w:r w:rsidRPr="00A47864">
        <w:rPr>
          <w:rFonts w:ascii="Verdana" w:eastAsia="Arial" w:hAnsi="Verdana" w:cs="Arial"/>
          <w:lang w:val="es-ES"/>
        </w:rPr>
        <w:t>la Resolución No. 5185 de 2013, modificada por la Resolución 1440 del 14 de agosto de 2024</w:t>
      </w:r>
      <w:r w:rsidRPr="00A47864">
        <w:rPr>
          <w:rFonts w:ascii="Verdana" w:eastAsia="Arial" w:hAnsi="Verdana" w:cs="Arial"/>
          <w:vertAlign w:val="superscript"/>
          <w:lang w:val="es-ES"/>
        </w:rPr>
        <w:footnoteReference w:id="19"/>
      </w:r>
      <w:r w:rsidRPr="00A47864">
        <w:rPr>
          <w:rFonts w:ascii="Verdana" w:eastAsia="Arial" w:hAnsi="Verdana" w:cs="Arial"/>
          <w:lang w:val="es-ES"/>
        </w:rPr>
        <w:t>, mediante la cual se fijan los lineamientos</w:t>
      </w:r>
      <w:r w:rsidRPr="00A47864">
        <w:rPr>
          <w:rFonts w:ascii="Verdana" w:eastAsia="Arial" w:hAnsi="Verdana" w:cs="Arial"/>
          <w:spacing w:val="1"/>
          <w:lang w:val="es-ES"/>
        </w:rPr>
        <w:t xml:space="preserve"> </w:t>
      </w:r>
      <w:r w:rsidRPr="00A47864">
        <w:rPr>
          <w:rFonts w:ascii="Verdana" w:eastAsia="Arial" w:hAnsi="Verdana" w:cs="Arial"/>
          <w:lang w:val="es-ES"/>
        </w:rPr>
        <w:t>para</w:t>
      </w:r>
      <w:r w:rsidRPr="00A47864">
        <w:rPr>
          <w:rFonts w:ascii="Verdana" w:eastAsia="Arial" w:hAnsi="Verdana" w:cs="Arial"/>
          <w:spacing w:val="-10"/>
          <w:lang w:val="es-ES"/>
        </w:rPr>
        <w:t xml:space="preserve"> </w:t>
      </w:r>
      <w:r w:rsidRPr="00A47864">
        <w:rPr>
          <w:rFonts w:ascii="Verdana" w:eastAsia="Arial" w:hAnsi="Verdana" w:cs="Arial"/>
          <w:lang w:val="es-ES"/>
        </w:rPr>
        <w:t>que</w:t>
      </w:r>
      <w:r w:rsidRPr="00A47864">
        <w:rPr>
          <w:rFonts w:ascii="Verdana" w:eastAsia="Arial" w:hAnsi="Verdana" w:cs="Arial"/>
          <w:spacing w:val="-10"/>
          <w:lang w:val="es-ES"/>
        </w:rPr>
        <w:t xml:space="preserve"> </w:t>
      </w:r>
      <w:r w:rsidRPr="00A47864">
        <w:rPr>
          <w:rFonts w:ascii="Verdana" w:eastAsia="Arial" w:hAnsi="Verdana" w:cs="Arial"/>
          <w:lang w:val="es-ES"/>
        </w:rPr>
        <w:t>tales</w:t>
      </w:r>
      <w:r w:rsidRPr="00A47864">
        <w:rPr>
          <w:rFonts w:ascii="Verdana" w:eastAsia="Arial" w:hAnsi="Verdana" w:cs="Arial"/>
          <w:spacing w:val="-10"/>
          <w:lang w:val="es-ES"/>
        </w:rPr>
        <w:t xml:space="preserve"> </w:t>
      </w:r>
      <w:r w:rsidRPr="00A47864">
        <w:rPr>
          <w:rFonts w:ascii="Verdana" w:eastAsia="Arial" w:hAnsi="Verdana" w:cs="Arial"/>
          <w:lang w:val="es-ES"/>
        </w:rPr>
        <w:t>entidades</w:t>
      </w:r>
      <w:r w:rsidRPr="00A47864">
        <w:rPr>
          <w:rFonts w:ascii="Verdana" w:eastAsia="Arial" w:hAnsi="Verdana" w:cs="Arial"/>
          <w:spacing w:val="-10"/>
          <w:lang w:val="es-ES"/>
        </w:rPr>
        <w:t xml:space="preserve"> </w:t>
      </w:r>
      <w:r w:rsidRPr="00A47864">
        <w:rPr>
          <w:rFonts w:ascii="Verdana" w:eastAsia="Arial" w:hAnsi="Verdana" w:cs="Arial"/>
          <w:lang w:val="es-ES"/>
        </w:rPr>
        <w:t>adopten</w:t>
      </w:r>
      <w:r w:rsidRPr="00A47864">
        <w:rPr>
          <w:rFonts w:ascii="Verdana" w:eastAsia="Arial" w:hAnsi="Verdana" w:cs="Arial"/>
          <w:spacing w:val="-10"/>
          <w:lang w:val="es-ES"/>
        </w:rPr>
        <w:t xml:space="preserve"> </w:t>
      </w:r>
      <w:r w:rsidRPr="00A47864">
        <w:rPr>
          <w:rFonts w:ascii="Verdana" w:eastAsia="Arial" w:hAnsi="Verdana" w:cs="Arial"/>
          <w:lang w:val="es-ES"/>
        </w:rPr>
        <w:t>los</w:t>
      </w:r>
      <w:r w:rsidRPr="00A47864">
        <w:rPr>
          <w:rFonts w:ascii="Verdana" w:eastAsia="Arial" w:hAnsi="Verdana" w:cs="Arial"/>
          <w:spacing w:val="-10"/>
          <w:lang w:val="es-ES"/>
        </w:rPr>
        <w:t xml:space="preserve"> </w:t>
      </w:r>
      <w:r w:rsidRPr="00A47864">
        <w:rPr>
          <w:rFonts w:ascii="Verdana" w:eastAsia="Arial" w:hAnsi="Verdana" w:cs="Arial"/>
          <w:lang w:val="es-ES"/>
        </w:rPr>
        <w:t>manuales</w:t>
      </w:r>
      <w:r w:rsidRPr="00A47864">
        <w:rPr>
          <w:rFonts w:ascii="Verdana" w:eastAsia="Arial" w:hAnsi="Verdana" w:cs="Arial"/>
          <w:spacing w:val="-10"/>
          <w:lang w:val="es-ES"/>
        </w:rPr>
        <w:t xml:space="preserve"> </w:t>
      </w:r>
      <w:r w:rsidRPr="00A47864">
        <w:rPr>
          <w:rFonts w:ascii="Verdana" w:eastAsia="Arial" w:hAnsi="Verdana" w:cs="Arial"/>
          <w:lang w:val="es-ES"/>
        </w:rPr>
        <w:t>de</w:t>
      </w:r>
      <w:r w:rsidRPr="00A47864">
        <w:rPr>
          <w:rFonts w:ascii="Verdana" w:eastAsia="Arial" w:hAnsi="Verdana" w:cs="Arial"/>
          <w:spacing w:val="-10"/>
          <w:lang w:val="es-ES"/>
        </w:rPr>
        <w:t xml:space="preserve"> </w:t>
      </w:r>
      <w:r w:rsidRPr="00A47864">
        <w:rPr>
          <w:rFonts w:ascii="Verdana" w:eastAsia="Arial" w:hAnsi="Verdana" w:cs="Arial"/>
          <w:lang w:val="es-ES"/>
        </w:rPr>
        <w:t>contratación</w:t>
      </w:r>
      <w:r w:rsidRPr="00A47864">
        <w:rPr>
          <w:rFonts w:ascii="Verdana" w:eastAsia="Arial" w:hAnsi="Verdana" w:cs="Arial"/>
          <w:spacing w:val="-10"/>
          <w:lang w:val="es-ES"/>
        </w:rPr>
        <w:t xml:space="preserve"> </w:t>
      </w:r>
      <w:r w:rsidRPr="00A47864">
        <w:rPr>
          <w:rFonts w:ascii="Verdana" w:eastAsia="Arial" w:hAnsi="Verdana" w:cs="Arial"/>
          <w:lang w:val="es-ES"/>
        </w:rPr>
        <w:t>que</w:t>
      </w:r>
      <w:r w:rsidRPr="00A47864">
        <w:rPr>
          <w:rFonts w:ascii="Verdana" w:eastAsia="Arial" w:hAnsi="Verdana" w:cs="Arial"/>
          <w:spacing w:val="-9"/>
          <w:lang w:val="es-ES"/>
        </w:rPr>
        <w:t xml:space="preserve"> </w:t>
      </w:r>
      <w:r w:rsidRPr="00A47864">
        <w:rPr>
          <w:rFonts w:ascii="Verdana" w:eastAsia="Arial" w:hAnsi="Verdana" w:cs="Arial"/>
          <w:lang w:val="es-ES"/>
        </w:rPr>
        <w:t>regirán</w:t>
      </w:r>
      <w:r w:rsidRPr="00A47864">
        <w:rPr>
          <w:rFonts w:ascii="Verdana" w:eastAsia="Arial" w:hAnsi="Verdana" w:cs="Arial"/>
          <w:spacing w:val="-10"/>
          <w:lang w:val="es-ES"/>
        </w:rPr>
        <w:t xml:space="preserve"> </w:t>
      </w:r>
      <w:r w:rsidRPr="00A47864">
        <w:rPr>
          <w:rFonts w:ascii="Verdana" w:eastAsia="Arial" w:hAnsi="Verdana" w:cs="Arial"/>
          <w:lang w:val="es-ES"/>
        </w:rPr>
        <w:t>su</w:t>
      </w:r>
      <w:r w:rsidRPr="00A47864">
        <w:rPr>
          <w:rFonts w:ascii="Verdana" w:eastAsia="Arial" w:hAnsi="Verdana" w:cs="Arial"/>
          <w:spacing w:val="-10"/>
          <w:lang w:val="es-ES"/>
        </w:rPr>
        <w:t xml:space="preserve"> </w:t>
      </w:r>
      <w:r w:rsidRPr="00A47864">
        <w:rPr>
          <w:rFonts w:ascii="Verdana" w:eastAsia="Arial" w:hAnsi="Verdana" w:cs="Arial"/>
          <w:lang w:val="es-ES"/>
        </w:rPr>
        <w:t>actividad</w:t>
      </w:r>
      <w:r w:rsidRPr="00A47864">
        <w:rPr>
          <w:rFonts w:ascii="Verdana" w:eastAsia="Arial" w:hAnsi="Verdana" w:cs="Arial"/>
          <w:spacing w:val="-59"/>
          <w:lang w:val="es-ES"/>
        </w:rPr>
        <w:t xml:space="preserve"> </w:t>
      </w:r>
      <w:r w:rsidRPr="00A47864">
        <w:rPr>
          <w:rFonts w:ascii="Verdana" w:eastAsia="Arial" w:hAnsi="Verdana" w:cs="Arial"/>
          <w:lang w:val="es-ES"/>
        </w:rPr>
        <w:t>contractual. Este acto administrativo, dictado en ejercicio de las facultades conferidas</w:t>
      </w:r>
      <w:r w:rsidRPr="00A47864">
        <w:rPr>
          <w:rFonts w:ascii="Verdana" w:eastAsia="Arial" w:hAnsi="Verdana" w:cs="Arial"/>
          <w:spacing w:val="1"/>
          <w:lang w:val="es-ES"/>
        </w:rPr>
        <w:t xml:space="preserve"> </w:t>
      </w:r>
      <w:r w:rsidRPr="00A47864">
        <w:rPr>
          <w:rFonts w:ascii="Verdana" w:eastAsia="Arial" w:hAnsi="Verdana" w:cs="Arial"/>
          <w:lang w:val="es-ES"/>
        </w:rPr>
        <w:t>por el artículo 76 de la Ley 1438 de 2011</w:t>
      </w:r>
      <w:r w:rsidRPr="00A47864">
        <w:rPr>
          <w:rFonts w:ascii="Verdana" w:eastAsia="Arial" w:hAnsi="Verdana" w:cs="Arial"/>
          <w:vertAlign w:val="superscript"/>
          <w:lang w:val="es-ES"/>
        </w:rPr>
        <w:footnoteReference w:id="20"/>
      </w:r>
      <w:r w:rsidRPr="00A47864">
        <w:rPr>
          <w:rFonts w:ascii="Verdana" w:eastAsia="Arial" w:hAnsi="Verdana" w:cs="Arial"/>
          <w:lang w:val="es-ES"/>
        </w:rPr>
        <w:t xml:space="preserve">, contiene varios criterios que </w:t>
      </w:r>
      <w:r>
        <w:rPr>
          <w:rFonts w:ascii="Verdana" w:eastAsia="Arial" w:hAnsi="Verdana" w:cs="Arial"/>
          <w:lang w:val="es-ES"/>
        </w:rPr>
        <w:t xml:space="preserve">deberán tenerse </w:t>
      </w:r>
      <w:r w:rsidRPr="00A47864">
        <w:rPr>
          <w:rFonts w:ascii="Verdana" w:eastAsia="Arial" w:hAnsi="Verdana" w:cs="Arial"/>
          <w:lang w:val="es-ES"/>
        </w:rPr>
        <w:t>cuenta</w:t>
      </w:r>
      <w:r>
        <w:rPr>
          <w:rFonts w:ascii="Verdana" w:eastAsia="Arial" w:hAnsi="Verdana" w:cs="Arial"/>
          <w:lang w:val="es-ES"/>
        </w:rPr>
        <w:t xml:space="preserve"> en el momento de adoptar</w:t>
      </w:r>
      <w:r w:rsidRPr="00A47864">
        <w:rPr>
          <w:rFonts w:ascii="Verdana" w:eastAsia="Arial" w:hAnsi="Verdana" w:cs="Arial"/>
          <w:spacing w:val="-1"/>
          <w:lang w:val="es-ES"/>
        </w:rPr>
        <w:t xml:space="preserve"> </w:t>
      </w:r>
      <w:r w:rsidRPr="00A47864">
        <w:rPr>
          <w:rFonts w:ascii="Verdana" w:eastAsia="Arial" w:hAnsi="Verdana" w:cs="Arial"/>
          <w:lang w:val="es-ES"/>
        </w:rPr>
        <w:t>los</w:t>
      </w:r>
      <w:r w:rsidRPr="00A47864">
        <w:rPr>
          <w:rFonts w:ascii="Verdana" w:eastAsia="Arial" w:hAnsi="Verdana" w:cs="Arial"/>
          <w:spacing w:val="-1"/>
          <w:lang w:val="es-ES"/>
        </w:rPr>
        <w:t xml:space="preserve"> </w:t>
      </w:r>
      <w:r w:rsidRPr="00A47864">
        <w:rPr>
          <w:rFonts w:ascii="Verdana" w:eastAsia="Arial" w:hAnsi="Verdana" w:cs="Arial"/>
          <w:lang w:val="es-ES"/>
        </w:rPr>
        <w:t>manuales</w:t>
      </w:r>
      <w:r w:rsidRPr="00A47864">
        <w:rPr>
          <w:rFonts w:ascii="Verdana" w:eastAsia="Arial" w:hAnsi="Verdana" w:cs="Arial"/>
          <w:spacing w:val="-1"/>
          <w:lang w:val="es-ES"/>
        </w:rPr>
        <w:t xml:space="preserve"> </w:t>
      </w:r>
      <w:r w:rsidRPr="00A47864">
        <w:rPr>
          <w:rFonts w:ascii="Verdana" w:eastAsia="Arial" w:hAnsi="Verdana" w:cs="Arial"/>
          <w:lang w:val="es-ES"/>
        </w:rPr>
        <w:t>de</w:t>
      </w:r>
      <w:r w:rsidRPr="00A47864">
        <w:rPr>
          <w:rFonts w:ascii="Verdana" w:eastAsia="Arial" w:hAnsi="Verdana" w:cs="Arial"/>
          <w:spacing w:val="-2"/>
          <w:lang w:val="es-ES"/>
        </w:rPr>
        <w:t xml:space="preserve"> </w:t>
      </w:r>
      <w:r w:rsidRPr="00A47864">
        <w:rPr>
          <w:rFonts w:ascii="Verdana" w:eastAsia="Arial" w:hAnsi="Verdana" w:cs="Arial"/>
          <w:lang w:val="es-ES"/>
        </w:rPr>
        <w:t>contratación.</w:t>
      </w:r>
      <w:r>
        <w:rPr>
          <w:rFonts w:ascii="Verdana" w:eastAsia="Arial" w:hAnsi="Verdana" w:cs="Arial"/>
          <w:lang w:val="es-ES"/>
        </w:rPr>
        <w:t xml:space="preserve"> En tal sentido, puede destacarse que, en la fase de planeación, las ESE deben contemplar: “[…] </w:t>
      </w:r>
      <w:r w:rsidRPr="004710AF">
        <w:rPr>
          <w:rFonts w:ascii="Verdana" w:eastAsia="Arial" w:hAnsi="Verdana" w:cs="Arial"/>
        </w:rPr>
        <w:t>La aplicación o no de las cláusulas excepcionales previstas en el Estatuto General de la Administración Pública</w:t>
      </w:r>
      <w:r>
        <w:rPr>
          <w:rFonts w:ascii="Verdana" w:eastAsia="Arial" w:hAnsi="Verdana" w:cs="Arial"/>
        </w:rPr>
        <w:t xml:space="preserve">” –artículo 9.17 de </w:t>
      </w:r>
      <w:r w:rsidRPr="00A23641">
        <w:rPr>
          <w:rFonts w:ascii="Verdana" w:eastAsia="Arial" w:hAnsi="Verdana" w:cs="Arial"/>
          <w:lang w:val="es-ES"/>
        </w:rPr>
        <w:t>la Resolución No. 5185 de 2013, modificada por la Resolución 1440 del 14 de agosto de 2024</w:t>
      </w:r>
      <w:r>
        <w:rPr>
          <w:rFonts w:ascii="Verdana" w:eastAsia="Arial" w:hAnsi="Verdana" w:cs="Arial"/>
        </w:rPr>
        <w:t xml:space="preserve">–; así como en la fase de ejecución se establece: “[…] </w:t>
      </w:r>
      <w:r w:rsidRPr="00492DC2">
        <w:rPr>
          <w:rFonts w:ascii="Verdana" w:eastAsia="Arial" w:hAnsi="Verdana" w:cs="Arial"/>
        </w:rPr>
        <w:t>La obligación de hacer efectivas las cláusulas excepcionales, en caso de haberlas pactado en los contratos, cuando haya lugar a ello, dentro del plazo del con</w:t>
      </w:r>
      <w:r>
        <w:rPr>
          <w:rFonts w:ascii="Verdana" w:eastAsia="Arial" w:hAnsi="Verdana" w:cs="Arial"/>
        </w:rPr>
        <w:t xml:space="preserve">trato” –artículo 12.4. de la Resolución No 5185 de 2013-. Ante este escenario, las ESE deben tener en cuenta en la estipulación de cláusulas excepcionales, así como en la aplicación de los contratos que suscribe.  </w:t>
      </w:r>
    </w:p>
    <w:p w14:paraId="5EC62B3E" w14:textId="77777777" w:rsidR="00E15938" w:rsidRDefault="00E15938" w:rsidP="00E15938">
      <w:pPr>
        <w:spacing w:line="276" w:lineRule="auto"/>
        <w:ind w:firstLine="708"/>
        <w:jc w:val="both"/>
        <w:rPr>
          <w:rFonts w:ascii="Verdana" w:eastAsia="Calibri" w:hAnsi="Verdana" w:cs="Arial"/>
          <w:color w:val="000000" w:themeColor="text1"/>
          <w:lang w:val="es-ES"/>
        </w:rPr>
      </w:pPr>
      <w:r w:rsidRPr="009428FB">
        <w:rPr>
          <w:rFonts w:ascii="Verdana" w:eastAsia="Calibri" w:hAnsi="Verdana" w:cs="Arial"/>
          <w:color w:val="000000" w:themeColor="text1"/>
          <w:lang w:val="es-ES"/>
        </w:rPr>
        <w:t xml:space="preserve">Esta también ha sido la interpretación del Ministerio de la Protección Social, que en Concepto No. </w:t>
      </w:r>
      <w:r w:rsidRPr="009428FB">
        <w:rPr>
          <w:rFonts w:ascii="Verdana" w:eastAsia="Calibri" w:hAnsi="Verdana" w:cs="Arial"/>
          <w:color w:val="000000" w:themeColor="text1"/>
        </w:rPr>
        <w:t>201942301304712</w:t>
      </w:r>
      <w:r w:rsidRPr="009428FB">
        <w:rPr>
          <w:rFonts w:ascii="Verdana" w:eastAsia="Calibri" w:hAnsi="Verdana" w:cs="Arial"/>
          <w:color w:val="000000" w:themeColor="text1"/>
          <w:lang w:val="es-ES"/>
        </w:rPr>
        <w:t xml:space="preserve"> de 2019, en reiteración de lo </w:t>
      </w:r>
      <w:r w:rsidRPr="009428FB">
        <w:rPr>
          <w:rFonts w:ascii="Verdana" w:eastAsia="Calibri" w:hAnsi="Verdana" w:cs="Arial"/>
          <w:color w:val="000000" w:themeColor="text1"/>
          <w:lang w:val="es-ES"/>
        </w:rPr>
        <w:lastRenderedPageBreak/>
        <w:t>expuesto por la Sala de Consulta y Servicio Civil del Consejo de Estado</w:t>
      </w:r>
      <w:r w:rsidRPr="009428FB">
        <w:rPr>
          <w:rFonts w:ascii="Verdana" w:eastAsia="Calibri" w:hAnsi="Verdana" w:cs="Arial"/>
          <w:color w:val="000000" w:themeColor="text1"/>
          <w:vertAlign w:val="superscript"/>
          <w:lang w:val="es-ES"/>
        </w:rPr>
        <w:footnoteReference w:id="21"/>
      </w:r>
      <w:r w:rsidRPr="009428FB">
        <w:rPr>
          <w:rFonts w:ascii="Verdana" w:eastAsia="Calibri" w:hAnsi="Verdana" w:cs="Arial"/>
          <w:color w:val="000000" w:themeColor="text1"/>
          <w:lang w:val="es-ES"/>
        </w:rPr>
        <w:t xml:space="preserve">, expresó que “[…] </w:t>
      </w:r>
      <w:r w:rsidRPr="009428FB">
        <w:rPr>
          <w:rFonts w:ascii="Verdana" w:eastAsia="Calibri" w:hAnsi="Verdana" w:cs="Arial"/>
          <w:color w:val="000000" w:themeColor="text1"/>
        </w:rPr>
        <w:t>el régimen de contratación de las Empresas Sociales del Estado, está sometido al derecho privado por disposición legal y la facultad discrecional de pactar las cláusulas excepcionales dota a las mentadas entidades de herramientas especiales para garantizar ciertos fines”</w:t>
      </w:r>
      <w:r w:rsidRPr="009428FB">
        <w:rPr>
          <w:rFonts w:ascii="Verdana" w:eastAsia="Calibri" w:hAnsi="Verdana" w:cs="Arial"/>
          <w:color w:val="000000" w:themeColor="text1"/>
          <w:vertAlign w:val="superscript"/>
          <w:lang w:val="es-ES"/>
        </w:rPr>
        <w:footnoteReference w:id="22"/>
      </w:r>
      <w:r w:rsidRPr="009428FB">
        <w:rPr>
          <w:rFonts w:ascii="Verdana" w:eastAsia="Calibri" w:hAnsi="Verdana" w:cs="Arial"/>
          <w:color w:val="000000" w:themeColor="text1"/>
          <w:lang w:val="es-ES"/>
        </w:rPr>
        <w:t>.</w:t>
      </w:r>
    </w:p>
    <w:p w14:paraId="7375D08C" w14:textId="77777777" w:rsidR="00E15938" w:rsidRPr="009428FB" w:rsidRDefault="00E15938" w:rsidP="00E15938">
      <w:pPr>
        <w:spacing w:after="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Teniendo en cuenta lo expuesto, es necesario analizar la pertinencia de la liquidación unilateral como cláusula excepcional del contrato en las empresas sociales del Estado, cuando se pacta, con fundamento en el artículo 195, numeral 6° de la Ley 100 de 1993. </w:t>
      </w:r>
    </w:p>
    <w:p w14:paraId="09CE81B3" w14:textId="77777777" w:rsidR="00E15938" w:rsidRPr="0004651C" w:rsidRDefault="00E15938" w:rsidP="00E15938">
      <w:pPr>
        <w:spacing w:after="0" w:line="276" w:lineRule="auto"/>
        <w:jc w:val="both"/>
        <w:rPr>
          <w:rFonts w:ascii="Verdana" w:eastAsia="Times New Roman" w:hAnsi="Verdana" w:cs="Arial"/>
          <w:color w:val="000000"/>
          <w:lang w:val="es-ES"/>
        </w:rPr>
      </w:pPr>
    </w:p>
    <w:p w14:paraId="525266CD" w14:textId="77777777" w:rsidR="00E15938" w:rsidRPr="00303985" w:rsidRDefault="00E15938" w:rsidP="00E15938">
      <w:pPr>
        <w:spacing w:after="0" w:line="276" w:lineRule="auto"/>
        <w:jc w:val="both"/>
        <w:rPr>
          <w:rFonts w:ascii="Verdana" w:eastAsia="Times New Roman" w:hAnsi="Verdana" w:cs="Arial"/>
          <w:color w:val="000000"/>
          <w:lang w:val="es-ES"/>
        </w:rPr>
      </w:pPr>
      <w:proofErr w:type="spellStart"/>
      <w:r>
        <w:rPr>
          <w:rFonts w:ascii="Verdana" w:eastAsia="Times New Roman" w:hAnsi="Verdana" w:cs="Arial"/>
          <w:color w:val="000000"/>
          <w:lang w:val="es-ES"/>
        </w:rPr>
        <w:t>iv</w:t>
      </w:r>
      <w:proofErr w:type="spellEnd"/>
      <w:r>
        <w:rPr>
          <w:rFonts w:ascii="Verdana" w:eastAsia="Times New Roman" w:hAnsi="Verdana" w:cs="Arial"/>
          <w:color w:val="000000"/>
          <w:lang w:val="es-ES"/>
        </w:rPr>
        <w:t xml:space="preserve">. </w:t>
      </w:r>
      <w:r w:rsidRPr="00303985">
        <w:rPr>
          <w:rFonts w:ascii="Verdana" w:eastAsia="Times New Roman" w:hAnsi="Verdana" w:cs="Arial"/>
          <w:color w:val="000000"/>
          <w:lang w:val="es-ES"/>
        </w:rPr>
        <w:t>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finalizadas</w:t>
      </w:r>
      <w:r w:rsidRPr="00303985">
        <w:rPr>
          <w:rFonts w:ascii="Verdana" w:eastAsia="Times New Roman" w:hAnsi="Verdana" w:cs="Arial"/>
          <w:color w:val="000000"/>
          <w:vertAlign w:val="superscript"/>
          <w:lang w:val="es-ES"/>
        </w:rPr>
        <w:footnoteReference w:id="23"/>
      </w:r>
      <w:r w:rsidRPr="00303985">
        <w:rPr>
          <w:rFonts w:ascii="Verdana" w:eastAsia="Times New Roman" w:hAnsi="Verdana" w:cs="Arial"/>
          <w:color w:val="000000"/>
          <w:lang w:val="es-ES"/>
        </w:rPr>
        <w:t>. En armonía con lo anterior, la doctrina ha definido la liquidación de la siguiente manera:</w:t>
      </w:r>
    </w:p>
    <w:p w14:paraId="3E3E97D8" w14:textId="77777777" w:rsidR="00E15938" w:rsidRPr="00303985" w:rsidRDefault="00E15938" w:rsidP="00E15938">
      <w:pPr>
        <w:spacing w:after="0" w:line="276" w:lineRule="auto"/>
        <w:jc w:val="both"/>
        <w:rPr>
          <w:rFonts w:ascii="Verdana" w:eastAsia="Times New Roman" w:hAnsi="Verdana" w:cs="Arial"/>
          <w:color w:val="000000"/>
          <w:lang w:val="es-ES_tradnl"/>
        </w:rPr>
      </w:pPr>
    </w:p>
    <w:p w14:paraId="02541D5A" w14:textId="77777777" w:rsidR="00E15938" w:rsidRPr="004811A7" w:rsidRDefault="00E15938" w:rsidP="00E15938">
      <w:pPr>
        <w:spacing w:after="0" w:line="240" w:lineRule="auto"/>
        <w:ind w:left="709" w:right="758"/>
        <w:jc w:val="both"/>
        <w:rPr>
          <w:rFonts w:ascii="Verdana" w:eastAsia="Times New Roman" w:hAnsi="Verdana" w:cs="Arial"/>
          <w:sz w:val="20"/>
          <w:szCs w:val="20"/>
          <w:lang w:val="es-MX"/>
        </w:rPr>
      </w:pPr>
      <w:r w:rsidRPr="004811A7">
        <w:rPr>
          <w:rFonts w:ascii="Verdana" w:eastAsia="Times New Roman" w:hAnsi="Verdana" w:cs="Arial"/>
          <w:i/>
          <w:iCs/>
          <w:color w:val="000000"/>
          <w:sz w:val="20"/>
          <w:szCs w:val="20"/>
          <w:lang w:val="es-ES_tradnl"/>
        </w:rPr>
        <w:t>“</w:t>
      </w:r>
      <w:r w:rsidRPr="004811A7">
        <w:rPr>
          <w:rFonts w:ascii="Verdana" w:eastAsia="Times New Roman" w:hAnsi="Verdana" w:cs="Arial"/>
          <w:sz w:val="20"/>
          <w:szCs w:val="20"/>
          <w:lang w:val="es-MX"/>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w:t>
      </w:r>
      <w:r w:rsidRPr="004811A7">
        <w:rPr>
          <w:rFonts w:ascii="Verdana" w:eastAsia="Times New Roman" w:hAnsi="Verdana" w:cs="Arial"/>
          <w:sz w:val="20"/>
          <w:szCs w:val="20"/>
          <w:lang w:val="es-MX"/>
        </w:rPr>
        <w:lastRenderedPageBreak/>
        <w:t xml:space="preserve">un doble contenido, que debe estar presente en toda liquidación. En efecto, el corte de cuentas realizado en ella tiene un doble alcance: (i) hacer un balance definitivo del negocio, en sus aspectos técnicos, financieros y jurídicos (aspecto objetivo o material) y </w:t>
      </w:r>
      <w:proofErr w:type="spellStart"/>
      <w:r w:rsidRPr="004811A7">
        <w:rPr>
          <w:rFonts w:ascii="Verdana" w:eastAsia="Times New Roman" w:hAnsi="Verdana" w:cs="Arial"/>
          <w:sz w:val="20"/>
          <w:szCs w:val="20"/>
          <w:lang w:val="es-MX"/>
        </w:rPr>
        <w:t>ii</w:t>
      </w:r>
      <w:proofErr w:type="spellEnd"/>
      <w:r w:rsidRPr="004811A7">
        <w:rPr>
          <w:rFonts w:ascii="Verdana" w:eastAsia="Times New Roman" w:hAnsi="Verdana" w:cs="Arial"/>
          <w:sz w:val="20"/>
          <w:szCs w:val="20"/>
          <w:lang w:val="es-MX"/>
        </w:rPr>
        <w:t>) definir la situación jurídica de las partes, estableciendo si pueden constituirse o no a paz y salvo; lo que exige, en la práctica, que los negociantes dialoguen e intenten ponerse de acuerdo (aspecto subjetivo)”</w:t>
      </w:r>
      <w:r w:rsidRPr="004811A7">
        <w:rPr>
          <w:rFonts w:ascii="Verdana" w:eastAsia="Times New Roman" w:hAnsi="Verdana" w:cs="Arial"/>
          <w:sz w:val="20"/>
          <w:szCs w:val="20"/>
          <w:vertAlign w:val="superscript"/>
          <w:lang w:val="es-MX"/>
        </w:rPr>
        <w:footnoteReference w:id="24"/>
      </w:r>
      <w:r w:rsidRPr="004811A7">
        <w:rPr>
          <w:rFonts w:ascii="Verdana" w:eastAsia="Times New Roman" w:hAnsi="Verdana" w:cs="Arial"/>
          <w:sz w:val="20"/>
          <w:szCs w:val="20"/>
          <w:lang w:val="es-MX"/>
        </w:rPr>
        <w:t>.</w:t>
      </w:r>
    </w:p>
    <w:p w14:paraId="6FF6BE0A" w14:textId="77777777" w:rsidR="00E15938" w:rsidRPr="00303985" w:rsidRDefault="00E15938" w:rsidP="00E15938">
      <w:pPr>
        <w:spacing w:after="0" w:line="276" w:lineRule="auto"/>
        <w:jc w:val="both"/>
        <w:rPr>
          <w:rFonts w:ascii="Verdana" w:eastAsia="Times New Roman" w:hAnsi="Verdana" w:cs="Arial"/>
          <w:color w:val="000000"/>
          <w:lang w:val="es-ES_tradnl"/>
        </w:rPr>
      </w:pPr>
    </w:p>
    <w:p w14:paraId="67E57640" w14:textId="77777777" w:rsidR="00E15938" w:rsidRDefault="00E15938" w:rsidP="00E15938">
      <w:pPr>
        <w:spacing w:after="120" w:line="276" w:lineRule="auto"/>
        <w:ind w:firstLine="709"/>
        <w:jc w:val="both"/>
        <w:rPr>
          <w:rFonts w:ascii="Verdana" w:eastAsia="Times New Roman" w:hAnsi="Verdana" w:cs="Arial"/>
          <w:color w:val="000000"/>
          <w:szCs w:val="24"/>
          <w:lang w:val="es-ES_tradnl" w:eastAsia="es-ES_tradnl"/>
        </w:rPr>
      </w:pPr>
      <w:r w:rsidRPr="00303985">
        <w:rPr>
          <w:rFonts w:ascii="Verdana" w:eastAsia="Times New Roman" w:hAnsi="Verdana" w:cs="Arial"/>
          <w:color w:val="000000"/>
          <w:szCs w:val="24"/>
          <w:lang w:val="es-ES_tradnl" w:eastAsia="es-ES_tradnl"/>
        </w:rPr>
        <w:t xml:space="preserve">Según la jurisprudencia,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303985">
        <w:rPr>
          <w:rFonts w:ascii="Verdana" w:eastAsia="Times New Roman" w:hAnsi="Verdana" w:cs="Arial"/>
          <w:i/>
          <w:iCs/>
          <w:color w:val="000000"/>
          <w:szCs w:val="24"/>
          <w:lang w:val="es-ES_tradnl" w:eastAsia="es-ES_tradnl"/>
        </w:rPr>
        <w:t>liquidar</w:t>
      </w:r>
      <w:r w:rsidRPr="00303985">
        <w:rPr>
          <w:rFonts w:ascii="Verdana" w:eastAsia="Times New Roman" w:hAnsi="Verdana" w:cs="Arial"/>
          <w:color w:val="000000"/>
          <w:szCs w:val="24"/>
          <w:lang w:val="es-ES_tradnl" w:eastAsia="es-ES_tradnl"/>
        </w:rPr>
        <w:t xml:space="preserve"> supone un ajuste en relación con las cuentas y el estado de cumplimiento del contrato estatal y, por el otro, que la </w:t>
      </w:r>
      <w:r w:rsidRPr="00303985">
        <w:rPr>
          <w:rFonts w:ascii="Verdana" w:eastAsia="Times New Roman" w:hAnsi="Verdana" w:cs="Arial"/>
          <w:i/>
          <w:iCs/>
          <w:color w:val="000000"/>
          <w:szCs w:val="24"/>
          <w:lang w:val="es-ES_tradnl" w:eastAsia="es-ES_tradnl"/>
        </w:rPr>
        <w:t>liquidación</w:t>
      </w:r>
      <w:r w:rsidRPr="00303985">
        <w:rPr>
          <w:rFonts w:ascii="Verdana" w:eastAsia="Times New Roman" w:hAnsi="Verdana" w:cs="Arial"/>
          <w:color w:val="000000"/>
          <w:szCs w:val="24"/>
          <w:lang w:val="es-ES_tradnl" w:eastAsia="es-ES_tradnl"/>
        </w:rPr>
        <w:t xml:space="preserve"> debe incluir el análisis de las condiciones de calidad y oportunidad en la entrega de los bienes, obras o servicios, así como el balance económico y el comportamiento financiero del negocio</w:t>
      </w:r>
      <w:r w:rsidRPr="00303985">
        <w:rPr>
          <w:rFonts w:ascii="Verdana" w:eastAsia="Times New Roman" w:hAnsi="Verdana" w:cs="Arial"/>
          <w:color w:val="000000"/>
          <w:szCs w:val="24"/>
          <w:vertAlign w:val="superscript"/>
          <w:lang w:val="es-ES_tradnl" w:eastAsia="es-ES_tradnl"/>
        </w:rPr>
        <w:footnoteReference w:id="25"/>
      </w:r>
      <w:r w:rsidRPr="00303985">
        <w:rPr>
          <w:rFonts w:ascii="Verdana" w:eastAsia="Times New Roman" w:hAnsi="Verdana" w:cs="Arial"/>
          <w:color w:val="000000"/>
          <w:szCs w:val="24"/>
          <w:lang w:val="es-ES_tradnl" w:eastAsia="es-ES_tradnl"/>
        </w:rPr>
        <w:t xml:space="preserve">. </w:t>
      </w:r>
    </w:p>
    <w:p w14:paraId="68F66651" w14:textId="77777777" w:rsidR="00E15938" w:rsidRPr="004811A7" w:rsidRDefault="00E15938" w:rsidP="00E15938">
      <w:pPr>
        <w:spacing w:after="120" w:line="276" w:lineRule="auto"/>
        <w:ind w:firstLine="708"/>
        <w:jc w:val="both"/>
        <w:rPr>
          <w:rFonts w:ascii="Verdana" w:eastAsia="Times New Roman" w:hAnsi="Verdana" w:cs="Arial"/>
          <w:color w:val="000000"/>
          <w:sz w:val="21"/>
          <w:szCs w:val="21"/>
          <w:lang w:val="es-ES_tradnl" w:eastAsia="es-ES_tradnl"/>
        </w:rPr>
      </w:pPr>
      <w:r>
        <w:rPr>
          <w:rFonts w:ascii="Verdana" w:eastAsia="Times New Roman" w:hAnsi="Verdana" w:cs="Arial"/>
          <w:color w:val="000000"/>
          <w:sz w:val="21"/>
          <w:szCs w:val="21"/>
          <w:lang w:val="es-ES_tradnl" w:eastAsia="es-ES_tradnl"/>
        </w:rPr>
        <w:t xml:space="preserve">Ahora bien, la liquidación del contrato es una institución regulada en el Estatuto General de Contratación de la Administración Pública, pero no significa que no pueda estipularse por parte de las entidades de régimen especial, pues el principio de la autonomía de la voluntad posibilita que se pacte la liquidación de los contratos. En este aspecto, la Resolución 5185 de 2013 expresa que las empresas sociales del Estado </w:t>
      </w:r>
      <w:r w:rsidRPr="00050989">
        <w:rPr>
          <w:rFonts w:ascii="Verdana" w:eastAsia="Times New Roman" w:hAnsi="Verdana" w:cs="Arial"/>
          <w:color w:val="000000"/>
          <w:sz w:val="21"/>
          <w:szCs w:val="21"/>
          <w:lang w:eastAsia="es-ES_tradnl"/>
        </w:rPr>
        <w:t>determinará</w:t>
      </w:r>
      <w:r>
        <w:rPr>
          <w:rFonts w:ascii="Verdana" w:eastAsia="Times New Roman" w:hAnsi="Verdana" w:cs="Arial"/>
          <w:color w:val="000000"/>
          <w:sz w:val="21"/>
          <w:szCs w:val="21"/>
          <w:lang w:eastAsia="es-ES_tradnl"/>
        </w:rPr>
        <w:t>n</w:t>
      </w:r>
      <w:r w:rsidRPr="00050989">
        <w:rPr>
          <w:rFonts w:ascii="Verdana" w:eastAsia="Times New Roman" w:hAnsi="Verdana" w:cs="Arial"/>
          <w:color w:val="000000"/>
          <w:sz w:val="21"/>
          <w:szCs w:val="21"/>
          <w:lang w:eastAsia="es-ES_tradnl"/>
        </w:rPr>
        <w:t xml:space="preserve"> las condiciones relacionadas con </w:t>
      </w:r>
      <w:r>
        <w:rPr>
          <w:rFonts w:ascii="Verdana" w:eastAsia="Times New Roman" w:hAnsi="Verdana" w:cs="Arial"/>
          <w:color w:val="000000"/>
          <w:sz w:val="21"/>
          <w:szCs w:val="21"/>
          <w:lang w:eastAsia="es-ES_tradnl"/>
        </w:rPr>
        <w:t xml:space="preserve">la liquidación de los contratos. En torno a la liquidación unilateral se precisa que esta debe estipularse para su aplicación, teniendo como fundamento </w:t>
      </w:r>
      <w:r>
        <w:rPr>
          <w:rFonts w:ascii="Verdana" w:eastAsia="Times New Roman" w:hAnsi="Verdana" w:cs="Arial"/>
          <w:color w:val="000000"/>
          <w:sz w:val="21"/>
          <w:szCs w:val="21"/>
          <w:lang w:val="es-ES_tradnl" w:eastAsia="es-ES_tradnl"/>
        </w:rPr>
        <w:t xml:space="preserve">el artículo 195, numeral 6° de la Ley 100 de 1993: </w:t>
      </w:r>
      <w:r w:rsidRPr="00274B54">
        <w:rPr>
          <w:rFonts w:ascii="Verdana" w:eastAsia="Times New Roman" w:hAnsi="Verdana" w:cs="Arial"/>
          <w:color w:val="000000"/>
          <w:sz w:val="21"/>
          <w:szCs w:val="21"/>
          <w:lang w:val="es-ES" w:eastAsia="es-ES_tradnl"/>
        </w:rPr>
        <w:t>“En materia contractual se regirá por el derecho privado, pero podrá discrecionalmente utilizar las cláusulas exorbitantes previstas en el estatuto general de contratación de la administración pública”.</w:t>
      </w:r>
    </w:p>
    <w:p w14:paraId="4FC00EF0" w14:textId="77777777" w:rsidR="00E15938" w:rsidRDefault="00E15938" w:rsidP="00E15938">
      <w:pPr>
        <w:spacing w:after="120" w:line="276" w:lineRule="auto"/>
        <w:ind w:firstLine="708"/>
        <w:jc w:val="both"/>
        <w:rPr>
          <w:rFonts w:ascii="Verdana" w:eastAsia="Times New Roman" w:hAnsi="Verdana" w:cs="Arial"/>
          <w:lang w:val="es-ES"/>
        </w:rPr>
      </w:pPr>
      <w:r>
        <w:rPr>
          <w:rFonts w:ascii="Verdana" w:eastAsia="Times New Roman" w:hAnsi="Verdana" w:cs="Arial"/>
          <w:color w:val="000000"/>
          <w:sz w:val="21"/>
          <w:szCs w:val="21"/>
          <w:lang w:val="es-ES" w:eastAsia="es-ES_tradnl"/>
        </w:rPr>
        <w:t xml:space="preserve">La liquidación </w:t>
      </w:r>
      <w:r>
        <w:rPr>
          <w:rFonts w:ascii="Verdana" w:eastAsia="Times New Roman" w:hAnsi="Verdana" w:cs="Arial"/>
          <w:szCs w:val="24"/>
          <w:lang w:val="es-ES_tradnl" w:eastAsia="es-ES_tradnl"/>
        </w:rPr>
        <w:t xml:space="preserve">bilateral </w:t>
      </w:r>
      <w:r w:rsidRPr="00303985">
        <w:rPr>
          <w:rFonts w:ascii="Verdana" w:eastAsia="Times New Roman" w:hAnsi="Verdana" w:cs="Arial"/>
          <w:szCs w:val="24"/>
          <w:lang w:val="es-ES_tradnl" w:eastAsia="es-ES_tradnl"/>
        </w:rPr>
        <w:t>deberá realizar</w:t>
      </w:r>
      <w:r>
        <w:rPr>
          <w:rFonts w:ascii="Verdana" w:eastAsia="Times New Roman" w:hAnsi="Verdana" w:cs="Arial"/>
          <w:szCs w:val="24"/>
          <w:lang w:val="es-ES_tradnl" w:eastAsia="es-ES_tradnl"/>
        </w:rPr>
        <w:t>se</w:t>
      </w:r>
      <w:r w:rsidRPr="00303985">
        <w:rPr>
          <w:rFonts w:ascii="Verdana" w:eastAsia="Times New Roman" w:hAnsi="Verdana" w:cs="Arial"/>
          <w:szCs w:val="24"/>
          <w:lang w:val="es-ES_tradnl" w:eastAsia="es-ES_tradnl"/>
        </w:rPr>
        <w:t xml:space="preserve"> dentro del plazo previsto </w:t>
      </w:r>
      <w:r w:rsidRPr="00303985">
        <w:rPr>
          <w:rFonts w:ascii="Verdana" w:eastAsia="Times New Roman" w:hAnsi="Verdana" w:cs="Arial"/>
          <w:lang w:val="es-ES" w:eastAsia="es-ES"/>
        </w:rPr>
        <w:t>q</w:t>
      </w:r>
      <w:r>
        <w:rPr>
          <w:rFonts w:ascii="Verdana" w:eastAsia="Times New Roman" w:hAnsi="Verdana" w:cs="Arial"/>
          <w:lang w:val="es-ES" w:eastAsia="es-ES"/>
        </w:rPr>
        <w:t>ue “acuerden las partes”</w:t>
      </w:r>
      <w:r w:rsidRPr="00303985">
        <w:rPr>
          <w:rFonts w:ascii="Verdana" w:eastAsia="Times New Roman" w:hAnsi="Verdana" w:cs="Arial"/>
          <w:lang w:val="es-ES" w:eastAsia="es-ES"/>
        </w:rPr>
        <w:t>,</w:t>
      </w:r>
      <w:r>
        <w:rPr>
          <w:rFonts w:ascii="Verdana" w:eastAsia="Times New Roman" w:hAnsi="Verdana" w:cs="Arial"/>
          <w:lang w:val="es-ES" w:eastAsia="es-ES"/>
        </w:rPr>
        <w:t xml:space="preserve"> los cuales</w:t>
      </w:r>
      <w:r w:rsidRPr="00303985">
        <w:rPr>
          <w:rFonts w:ascii="Verdana" w:eastAsia="Times New Roman" w:hAnsi="Verdana" w:cs="Arial"/>
          <w:lang w:val="es-ES" w:eastAsia="es-ES"/>
        </w:rPr>
        <w:t xml:space="preserve"> en ejercicio de la autonomía de la voluntad que les asiste, pre</w:t>
      </w:r>
      <w:r>
        <w:rPr>
          <w:rFonts w:ascii="Verdana" w:eastAsia="Times New Roman" w:hAnsi="Verdana" w:cs="Arial"/>
          <w:lang w:val="es-ES" w:eastAsia="es-ES"/>
        </w:rPr>
        <w:t>vean, de común acuerdo, un término para la liquidación</w:t>
      </w:r>
      <w:r w:rsidRPr="00303985">
        <w:rPr>
          <w:rFonts w:ascii="Verdana" w:eastAsia="Times New Roman" w:hAnsi="Verdana" w:cs="Arial"/>
          <w:lang w:val="es-ES" w:eastAsia="es-ES"/>
        </w:rPr>
        <w:t xml:space="preserve">, el cual, en principio, debe estar recogido en el contrato, al ser este el acto jurídico </w:t>
      </w:r>
      <w:r w:rsidRPr="00303985">
        <w:rPr>
          <w:rFonts w:ascii="Verdana" w:eastAsia="Times New Roman" w:hAnsi="Verdana" w:cs="Arial"/>
          <w:lang w:val="es-ES" w:eastAsia="es-ES"/>
        </w:rPr>
        <w:lastRenderedPageBreak/>
        <w:t xml:space="preserve">bilateral en el que se consigna originalmente la voluntad de las partes. </w:t>
      </w:r>
      <w:r w:rsidRPr="00303985">
        <w:rPr>
          <w:rFonts w:ascii="Verdana" w:eastAsia="Times New Roman" w:hAnsi="Verdana" w:cs="Arial"/>
          <w:lang w:val="es-ES"/>
        </w:rPr>
        <w:t xml:space="preserve">Por lo tanto, las partes, en desarrollo de la autonomía de la voluntad que les asiste, </w:t>
      </w:r>
      <w:r>
        <w:rPr>
          <w:rFonts w:ascii="Verdana" w:eastAsia="Times New Roman" w:hAnsi="Verdana" w:cs="Arial"/>
          <w:lang w:val="es-ES"/>
        </w:rPr>
        <w:t>están habilitadas para pactar el término</w:t>
      </w:r>
      <w:r w:rsidRPr="00303985">
        <w:rPr>
          <w:rFonts w:ascii="Verdana" w:eastAsia="Times New Roman" w:hAnsi="Verdana" w:cs="Arial"/>
          <w:lang w:val="es-ES"/>
        </w:rPr>
        <w:t>,</w:t>
      </w:r>
      <w:r>
        <w:rPr>
          <w:rFonts w:ascii="Verdana" w:eastAsia="Times New Roman" w:hAnsi="Verdana" w:cs="Arial"/>
          <w:lang w:val="es-ES"/>
        </w:rPr>
        <w:t xml:space="preserve"> o en su defecto, acudir al plazo que se estableció en el Manual de Contratación de la Entidad. </w:t>
      </w:r>
    </w:p>
    <w:p w14:paraId="1609DB0A" w14:textId="77777777" w:rsidR="00E15938" w:rsidRDefault="00E15938" w:rsidP="00E15938">
      <w:pPr>
        <w:tabs>
          <w:tab w:val="left" w:pos="709"/>
        </w:tabs>
        <w:spacing w:after="0" w:line="276" w:lineRule="auto"/>
        <w:jc w:val="both"/>
        <w:rPr>
          <w:rFonts w:ascii="Verdana" w:eastAsia="Calibri" w:hAnsi="Verdana" w:cs="Arial"/>
          <w:color w:val="000000"/>
          <w:lang w:val="es-ES_tradnl"/>
        </w:rPr>
      </w:pPr>
      <w:r>
        <w:rPr>
          <w:rFonts w:ascii="Verdana" w:eastAsia="Times New Roman" w:hAnsi="Verdana" w:cs="Arial"/>
          <w:color w:val="000000"/>
          <w:bdr w:val="none" w:sz="0" w:space="0" w:color="auto" w:frame="1"/>
          <w:shd w:val="clear" w:color="auto" w:fill="FFFFFF"/>
          <w:lang w:eastAsia="es-ES_tradnl"/>
        </w:rPr>
        <w:tab/>
        <w:t xml:space="preserve">Aunque las </w:t>
      </w:r>
      <w:r w:rsidRPr="00570C1A">
        <w:rPr>
          <w:rFonts w:ascii="Verdana" w:eastAsia="Times New Roman" w:hAnsi="Verdana" w:cs="Arial"/>
          <w:i/>
          <w:iCs/>
          <w:color w:val="000000"/>
          <w:bdr w:val="none" w:sz="0" w:space="0" w:color="auto" w:frame="1"/>
          <w:shd w:val="clear" w:color="auto" w:fill="FFFFFF"/>
          <w:lang w:eastAsia="es-ES_tradnl"/>
        </w:rPr>
        <w:t>entidades de régimen exceptuado</w:t>
      </w:r>
      <w:r>
        <w:rPr>
          <w:rFonts w:ascii="Verdana" w:eastAsia="Times New Roman" w:hAnsi="Verdana" w:cs="Arial"/>
          <w:color w:val="000000"/>
          <w:bdr w:val="none" w:sz="0" w:space="0" w:color="auto" w:frame="1"/>
          <w:shd w:val="clear" w:color="auto" w:fill="FFFFFF"/>
          <w:lang w:eastAsia="es-ES_tradnl"/>
        </w:rPr>
        <w:t xml:space="preserve"> no están obligadas a aplicar </w:t>
      </w:r>
      <w:r w:rsidRPr="00570C1A">
        <w:rPr>
          <w:rFonts w:ascii="Verdana" w:eastAsia="Times New Roman" w:hAnsi="Verdana" w:cs="Arial"/>
          <w:color w:val="000000"/>
          <w:bdr w:val="none" w:sz="0" w:space="0" w:color="auto" w:frame="1"/>
          <w:shd w:val="clear" w:color="auto" w:fill="FFFFFF"/>
          <w:lang w:eastAsia="es-ES_tradnl"/>
        </w:rPr>
        <w:t>el artículo 60 de la Ley 80 de 1993</w:t>
      </w:r>
      <w:r>
        <w:rPr>
          <w:rFonts w:ascii="Verdana" w:eastAsia="Times New Roman" w:hAnsi="Verdana" w:cs="Arial"/>
          <w:color w:val="000000"/>
          <w:bdr w:val="none" w:sz="0" w:space="0" w:color="auto" w:frame="1"/>
          <w:shd w:val="clear" w:color="auto" w:fill="FFFFFF"/>
          <w:lang w:eastAsia="es-ES_tradnl"/>
        </w:rPr>
        <w:t xml:space="preserve"> ni </w:t>
      </w:r>
      <w:r w:rsidRPr="00FB5FC4">
        <w:rPr>
          <w:rFonts w:ascii="Verdana" w:eastAsia="Calibri" w:hAnsi="Verdana" w:cs="Arial"/>
          <w:color w:val="000000"/>
          <w:lang w:val="es-ES_tradnl"/>
        </w:rPr>
        <w:t>el artículo 11 de la Ley 1150 de 2007</w:t>
      </w:r>
      <w:r>
        <w:rPr>
          <w:rFonts w:ascii="Verdana" w:eastAsia="Calibri" w:hAnsi="Verdana" w:cs="Arial"/>
          <w:color w:val="000000"/>
          <w:lang w:val="es-ES_tradnl"/>
        </w:rPr>
        <w:t>, el término de caducidad del medio de control de controversias contractuales tiene carácter transversal y, por tanto, aplica a todas las entidades al margen de que estén o no sometidas al Estatuto General de Contratación de la Administración Pública. Como explica la doctrina, la liquidación bilateral puede pactarse en los contratos de régimen especial, sin perjuicio de lo regulado en el respectivo manual de contratación; razón por la cual:</w:t>
      </w:r>
    </w:p>
    <w:p w14:paraId="1324DDE9" w14:textId="77777777" w:rsidR="00E15938" w:rsidRDefault="00E15938" w:rsidP="00E15938">
      <w:pPr>
        <w:tabs>
          <w:tab w:val="left" w:pos="709"/>
        </w:tabs>
        <w:spacing w:after="0" w:line="276" w:lineRule="auto"/>
        <w:jc w:val="both"/>
        <w:rPr>
          <w:rFonts w:ascii="Verdana" w:eastAsia="Calibri" w:hAnsi="Verdana" w:cs="Arial"/>
          <w:color w:val="000000"/>
          <w:lang w:val="es-ES_tradnl"/>
        </w:rPr>
      </w:pPr>
    </w:p>
    <w:p w14:paraId="0861EDDE" w14:textId="77777777" w:rsidR="00E15938" w:rsidRPr="004811A7" w:rsidRDefault="00E15938" w:rsidP="00E15938">
      <w:pPr>
        <w:tabs>
          <w:tab w:val="left" w:pos="709"/>
        </w:tabs>
        <w:spacing w:after="0" w:line="240" w:lineRule="auto"/>
        <w:ind w:left="709" w:right="709"/>
        <w:jc w:val="both"/>
        <w:rPr>
          <w:rFonts w:ascii="Verdana" w:eastAsia="Calibri" w:hAnsi="Verdana" w:cs="Arial"/>
          <w:color w:val="000000"/>
          <w:sz w:val="20"/>
          <w:szCs w:val="20"/>
          <w:lang w:val="es-ES_tradnl"/>
        </w:rPr>
      </w:pPr>
      <w:r w:rsidRPr="004811A7">
        <w:rPr>
          <w:rFonts w:ascii="Verdana" w:eastAsia="Calibri" w:hAnsi="Verdana" w:cs="Arial"/>
          <w:color w:val="000000"/>
          <w:sz w:val="20"/>
          <w:szCs w:val="20"/>
          <w:lang w:val="es-ES_tradnl"/>
        </w:rPr>
        <w:t>“[…] resulta válido que estas pacten en sus contratos la carga de liquidarlos, independientemente de si utilizan o no un procedimiento distinto al establecido en los artículos</w:t>
      </w:r>
      <w:r w:rsidRPr="004811A7">
        <w:rPr>
          <w:rFonts w:ascii="Verdana" w:eastAsia="Times New Roman" w:hAnsi="Verdana" w:cs="Arial"/>
          <w:color w:val="000000"/>
          <w:sz w:val="20"/>
          <w:szCs w:val="20"/>
          <w:bdr w:val="none" w:sz="0" w:space="0" w:color="auto" w:frame="1"/>
          <w:shd w:val="clear" w:color="auto" w:fill="FFFFFF"/>
          <w:lang w:eastAsia="es-ES_tradnl"/>
        </w:rPr>
        <w:t xml:space="preserve"> 60 de la Ley 80 de 1993 y </w:t>
      </w:r>
      <w:r w:rsidRPr="004811A7">
        <w:rPr>
          <w:rFonts w:ascii="Verdana" w:eastAsia="Calibri" w:hAnsi="Verdana" w:cs="Arial"/>
          <w:color w:val="000000"/>
          <w:sz w:val="20"/>
          <w:szCs w:val="20"/>
          <w:lang w:val="es-ES_tradnl"/>
        </w:rPr>
        <w:t xml:space="preserve">11 de la Ley 1150 de 2007, siempre y cuando cuenten con la anuencia del contratista; es decir, con la expresión de su consentimiento al firmar el contrato, pues </w:t>
      </w:r>
      <w:r w:rsidRPr="004811A7">
        <w:rPr>
          <w:rFonts w:ascii="Verdana" w:eastAsia="Calibri" w:hAnsi="Verdana" w:cs="Arial"/>
          <w:i/>
          <w:iCs/>
          <w:color w:val="000000"/>
          <w:sz w:val="20"/>
          <w:szCs w:val="20"/>
          <w:lang w:val="es-ES_tradnl"/>
        </w:rPr>
        <w:t>la liquidación</w:t>
      </w:r>
      <w:r w:rsidRPr="004811A7">
        <w:rPr>
          <w:rFonts w:ascii="Verdana" w:eastAsia="Calibri" w:hAnsi="Verdana" w:cs="Arial"/>
          <w:color w:val="000000"/>
          <w:sz w:val="20"/>
          <w:szCs w:val="20"/>
          <w:lang w:val="es-ES_tradnl"/>
        </w:rPr>
        <w:t xml:space="preserve"> […] </w:t>
      </w:r>
      <w:r w:rsidRPr="004811A7">
        <w:rPr>
          <w:rFonts w:ascii="Verdana" w:eastAsia="Calibri" w:hAnsi="Verdana" w:cs="Arial"/>
          <w:i/>
          <w:iCs/>
          <w:color w:val="000000"/>
          <w:sz w:val="20"/>
          <w:szCs w:val="20"/>
          <w:lang w:val="es-ES_tradnl"/>
        </w:rPr>
        <w:t>no es una figura privativa de la contratación estatal sometida al Estatuto General de Contratación de la Administración Pública, sino que puede incorporarse, como cláusula accidental, a los contratos de las entidades con un régimen de contratación especial, pudiendo, a su vez, el reglamento interno de las entidades exceptuadas, regular de otra manera el procedimiento para liquidación, e incluso, los plazos para hacerlo bilateralmente, siempre que no excedan los términos consagrados en el artículo 164 de la Ley 1437 de 2011</w:t>
      </w:r>
      <w:r w:rsidRPr="004811A7">
        <w:rPr>
          <w:rFonts w:ascii="Verdana" w:eastAsia="Calibri" w:hAnsi="Verdana" w:cs="Arial"/>
          <w:color w:val="000000"/>
          <w:sz w:val="20"/>
          <w:szCs w:val="20"/>
          <w:lang w:val="es-ES_tradnl"/>
        </w:rPr>
        <w:t>”</w:t>
      </w:r>
      <w:r w:rsidRPr="004811A7">
        <w:rPr>
          <w:rStyle w:val="Refdenotaalpie"/>
          <w:rFonts w:ascii="Verdana" w:eastAsia="Calibri" w:hAnsi="Verdana" w:cs="Arial"/>
          <w:color w:val="000000"/>
          <w:sz w:val="20"/>
          <w:szCs w:val="20"/>
          <w:lang w:val="es-ES_tradnl"/>
        </w:rPr>
        <w:footnoteReference w:id="26"/>
      </w:r>
      <w:r w:rsidRPr="004811A7">
        <w:rPr>
          <w:rFonts w:ascii="Verdana" w:eastAsia="Calibri" w:hAnsi="Verdana" w:cs="Arial"/>
          <w:color w:val="000000"/>
          <w:sz w:val="20"/>
          <w:szCs w:val="20"/>
          <w:lang w:val="es-ES_tradnl"/>
        </w:rPr>
        <w:t xml:space="preserve"> (Énfasis fuera de texto). </w:t>
      </w:r>
    </w:p>
    <w:p w14:paraId="2FEF164C" w14:textId="77777777" w:rsidR="00E15938" w:rsidRDefault="00E15938" w:rsidP="00E15938">
      <w:pPr>
        <w:tabs>
          <w:tab w:val="left" w:pos="709"/>
        </w:tabs>
        <w:spacing w:after="0" w:line="276" w:lineRule="auto"/>
        <w:jc w:val="both"/>
        <w:rPr>
          <w:rFonts w:ascii="Verdana" w:eastAsia="Calibri" w:hAnsi="Verdana" w:cs="Arial"/>
          <w:color w:val="000000"/>
          <w:lang w:val="es-ES_tradnl"/>
        </w:rPr>
      </w:pPr>
      <w:r>
        <w:rPr>
          <w:rFonts w:ascii="Verdana" w:eastAsia="Calibri" w:hAnsi="Verdana" w:cs="Arial"/>
          <w:color w:val="000000"/>
          <w:lang w:val="es-ES_tradnl"/>
        </w:rPr>
        <w:t xml:space="preserve">  </w:t>
      </w:r>
    </w:p>
    <w:p w14:paraId="02372161" w14:textId="77777777" w:rsidR="00E15938" w:rsidRPr="00303985" w:rsidRDefault="00E15938" w:rsidP="00E15938">
      <w:pPr>
        <w:spacing w:after="120" w:line="276" w:lineRule="auto"/>
        <w:ind w:firstLine="709"/>
        <w:jc w:val="both"/>
        <w:rPr>
          <w:rFonts w:ascii="Verdana" w:eastAsia="Times New Roman" w:hAnsi="Verdana" w:cs="Arial"/>
          <w:color w:val="000000"/>
          <w:lang w:val="es-ES_tradnl"/>
        </w:rPr>
      </w:pPr>
      <w:r>
        <w:rPr>
          <w:rFonts w:ascii="Verdana" w:eastAsia="Times New Roman" w:hAnsi="Verdana" w:cs="Arial"/>
          <w:color w:val="000000"/>
          <w:lang w:val="es-ES_tradnl"/>
        </w:rPr>
        <w:t xml:space="preserve">Así pues, las empresas sociales del Estado como entidades de régimen especial pueden estipular la liquidación bilateral, donde </w:t>
      </w:r>
      <w:r w:rsidRPr="00303985">
        <w:rPr>
          <w:rFonts w:ascii="Verdana" w:eastAsia="Times New Roman" w:hAnsi="Verdana" w:cs="Arial"/>
          <w:color w:val="000000"/>
          <w:lang w:val="es-ES_tradnl"/>
        </w:rPr>
        <w:t>el contratista puede solicitar que se adelante</w:t>
      </w:r>
      <w:r>
        <w:rPr>
          <w:rFonts w:ascii="Verdana" w:eastAsia="Times New Roman" w:hAnsi="Verdana" w:cs="Arial"/>
          <w:color w:val="000000"/>
          <w:lang w:val="es-ES_tradnl"/>
        </w:rPr>
        <w:t xml:space="preserve"> su trámite</w:t>
      </w:r>
      <w:r w:rsidRPr="00303985">
        <w:rPr>
          <w:rFonts w:ascii="Verdana" w:eastAsia="Times New Roman" w:hAnsi="Verdana" w:cs="Arial"/>
          <w:color w:val="000000"/>
          <w:lang w:val="es-ES_tradnl"/>
        </w:rPr>
        <w:t>. Sin embargo, es responsabilidad de la entidad estatal convocarlo para adelantar la liquidación de común acuerdo o notificarlo para que se presente a realizarla</w:t>
      </w:r>
      <w:r w:rsidRPr="00303985">
        <w:rPr>
          <w:rFonts w:ascii="Verdana" w:eastAsia="Times New Roman" w:hAnsi="Verdana" w:cs="Arial"/>
          <w:color w:val="000000"/>
          <w:vertAlign w:val="superscript"/>
          <w:lang w:val="es-ES_tradnl"/>
        </w:rPr>
        <w:footnoteReference w:id="27"/>
      </w:r>
      <w:r w:rsidRPr="00303985">
        <w:rPr>
          <w:rFonts w:ascii="Verdana" w:eastAsia="Times New Roman" w:hAnsi="Verdana" w:cs="Arial"/>
          <w:color w:val="000000"/>
          <w:lang w:val="es-ES_tradnl"/>
        </w:rPr>
        <w:t xml:space="preserve">, de manera que el contrato pueda liquidarse bilateralmente, bien sea en el plazo previsto </w:t>
      </w:r>
      <w:r>
        <w:rPr>
          <w:rFonts w:ascii="Verdana" w:eastAsia="Times New Roman" w:hAnsi="Verdana" w:cs="Arial"/>
          <w:color w:val="000000"/>
          <w:lang w:val="es-ES_tradnl"/>
        </w:rPr>
        <w:t xml:space="preserve">acordado </w:t>
      </w:r>
      <w:r w:rsidRPr="00303985">
        <w:rPr>
          <w:rFonts w:ascii="Verdana" w:eastAsia="Times New Roman" w:hAnsi="Verdana" w:cs="Arial"/>
          <w:color w:val="000000"/>
          <w:lang w:val="es-ES_tradnl"/>
        </w:rPr>
        <w:t>por las partes, o</w:t>
      </w:r>
      <w:r>
        <w:rPr>
          <w:rFonts w:ascii="Verdana" w:eastAsia="Times New Roman" w:hAnsi="Verdana" w:cs="Arial"/>
          <w:color w:val="000000"/>
          <w:lang w:val="es-ES_tradnl"/>
        </w:rPr>
        <w:t xml:space="preserve"> el supletivo en el manual de contrato o el de cuatro meses dispuesto en la L</w:t>
      </w:r>
      <w:r w:rsidRPr="00303985">
        <w:rPr>
          <w:rFonts w:ascii="Verdana" w:eastAsia="Times New Roman" w:hAnsi="Verdana" w:cs="Arial"/>
          <w:color w:val="000000"/>
          <w:lang w:val="es-ES_tradnl"/>
        </w:rPr>
        <w:t>ey</w:t>
      </w:r>
      <w:r>
        <w:rPr>
          <w:rFonts w:ascii="Verdana" w:eastAsia="Times New Roman" w:hAnsi="Verdana" w:cs="Arial"/>
          <w:color w:val="000000"/>
          <w:lang w:val="es-ES_tradnl"/>
        </w:rPr>
        <w:t xml:space="preserve"> 1437 de 2011</w:t>
      </w:r>
      <w:r w:rsidRPr="00303985">
        <w:rPr>
          <w:rFonts w:ascii="Verdana" w:eastAsia="Times New Roman" w:hAnsi="Verdana" w:cs="Arial"/>
          <w:color w:val="000000"/>
          <w:lang w:val="es-ES_tradnl"/>
        </w:rPr>
        <w:t xml:space="preserve">, según corresponda. Esta liquidación bilateral puede ser total o </w:t>
      </w:r>
      <w:r w:rsidRPr="00303985">
        <w:rPr>
          <w:rFonts w:ascii="Verdana" w:eastAsia="Times New Roman" w:hAnsi="Verdana" w:cs="Arial"/>
          <w:color w:val="000000"/>
          <w:lang w:val="es-ES_tradnl"/>
        </w:rPr>
        <w:lastRenderedPageBreak/>
        <w:t>parcial</w:t>
      </w:r>
      <w:r w:rsidRPr="00303985">
        <w:rPr>
          <w:rFonts w:ascii="Verdana" w:eastAsia="Times New Roman" w:hAnsi="Verdana" w:cs="Arial"/>
          <w:iCs/>
          <w:color w:val="000000"/>
          <w:vertAlign w:val="superscript"/>
          <w:lang w:val="es-ES_tradnl"/>
        </w:rPr>
        <w:footnoteReference w:id="28"/>
      </w:r>
      <w:r w:rsidRPr="00303985">
        <w:rPr>
          <w:rFonts w:ascii="Verdana" w:eastAsia="Times New Roman" w:hAnsi="Verdana" w:cs="Arial"/>
          <w:color w:val="000000"/>
          <w:lang w:val="es-ES_tradnl"/>
        </w:rPr>
        <w:t xml:space="preserve">, y </w:t>
      </w:r>
      <w:r w:rsidRPr="00303985">
        <w:rPr>
          <w:rFonts w:ascii="Verdana" w:eastAsia="Times New Roman" w:hAnsi="Verdana" w:cs="Arial"/>
          <w:iCs/>
          <w:color w:val="000000"/>
          <w:lang w:val="es-ES_tradnl"/>
        </w:rPr>
        <w:t>el documento que la contiene presta mérito ejecutivo, siempre que se satisfagan los elementos para considerarlo como tal</w:t>
      </w:r>
      <w:r w:rsidRPr="00303985">
        <w:rPr>
          <w:rFonts w:ascii="Verdana" w:eastAsia="Times New Roman" w:hAnsi="Verdana" w:cs="Arial"/>
          <w:color w:val="000000"/>
          <w:lang w:val="es-ES_tradnl"/>
        </w:rPr>
        <w:t>.</w:t>
      </w:r>
    </w:p>
    <w:p w14:paraId="18082975" w14:textId="77777777" w:rsidR="00E15938" w:rsidRPr="007569E3" w:rsidRDefault="00E15938" w:rsidP="00E15938">
      <w:pPr>
        <w:spacing w:after="0" w:line="276" w:lineRule="auto"/>
        <w:ind w:firstLine="705"/>
        <w:jc w:val="both"/>
        <w:rPr>
          <w:rFonts w:ascii="Verdana" w:eastAsia="Times New Roman" w:hAnsi="Verdana" w:cs="Arial"/>
          <w:color w:val="000000"/>
          <w:bdr w:val="none" w:sz="0" w:space="0" w:color="auto" w:frame="1"/>
          <w:shd w:val="clear" w:color="auto" w:fill="FFFFFF"/>
          <w:lang w:val="es-ES" w:eastAsia="es-ES_tradnl"/>
        </w:rPr>
      </w:pPr>
      <w:r w:rsidRPr="00303985">
        <w:rPr>
          <w:rFonts w:ascii="Verdana" w:eastAsia="Times New Roman" w:hAnsi="Verdana" w:cs="Arial"/>
          <w:color w:val="000000"/>
          <w:bdr w:val="none" w:sz="0" w:space="0" w:color="auto" w:frame="1"/>
          <w:shd w:val="clear" w:color="auto" w:fill="FFFFFF"/>
          <w:lang w:val="es-ES" w:eastAsia="es-ES_tradnl"/>
        </w:rPr>
        <w:t xml:space="preserve">Si no es posible efectuar la liquidación de manera bilateral, el ordenamiento jurídico prevé una facultad, de carácter subsidiario, </w:t>
      </w:r>
      <w:r>
        <w:rPr>
          <w:rFonts w:ascii="Verdana" w:eastAsia="Times New Roman" w:hAnsi="Verdana" w:cs="Arial"/>
          <w:color w:val="000000"/>
          <w:bdr w:val="none" w:sz="0" w:space="0" w:color="auto" w:frame="1"/>
          <w:shd w:val="clear" w:color="auto" w:fill="FFFFFF"/>
          <w:lang w:val="es-ES" w:eastAsia="es-ES_tradnl"/>
        </w:rPr>
        <w:t xml:space="preserve">donde </w:t>
      </w:r>
      <w:r w:rsidRPr="00303985">
        <w:rPr>
          <w:rFonts w:ascii="Verdana" w:eastAsia="Times New Roman" w:hAnsi="Verdana" w:cs="Arial"/>
          <w:color w:val="000000"/>
          <w:bdr w:val="none" w:sz="0" w:space="0" w:color="auto" w:frame="1"/>
          <w:shd w:val="clear" w:color="auto" w:fill="FFFFFF"/>
          <w:lang w:val="es-ES" w:eastAsia="es-ES_tradnl"/>
        </w:rPr>
        <w:t xml:space="preserve">la </w:t>
      </w:r>
      <w:r>
        <w:rPr>
          <w:rFonts w:ascii="Verdana" w:eastAsia="Times New Roman" w:hAnsi="Verdana" w:cs="Arial"/>
          <w:color w:val="000000"/>
          <w:bdr w:val="none" w:sz="0" w:space="0" w:color="auto" w:frame="1"/>
          <w:shd w:val="clear" w:color="auto" w:fill="FFFFFF"/>
          <w:lang w:val="es-ES" w:eastAsia="es-ES_tradnl"/>
        </w:rPr>
        <w:t xml:space="preserve">empresa social del Estado tiene la posibilitad de liquidarlo </w:t>
      </w:r>
      <w:r w:rsidRPr="00303985">
        <w:rPr>
          <w:rFonts w:ascii="Verdana" w:eastAsia="Times New Roman" w:hAnsi="Verdana" w:cs="Arial"/>
          <w:color w:val="000000"/>
          <w:bdr w:val="none" w:sz="0" w:space="0" w:color="auto" w:frame="1"/>
          <w:shd w:val="clear" w:color="auto" w:fill="FFFFFF"/>
          <w:lang w:val="es-ES" w:eastAsia="es-ES_tradnl"/>
        </w:rPr>
        <w:t>unilateralmente</w:t>
      </w:r>
      <w:r>
        <w:rPr>
          <w:rFonts w:ascii="Verdana" w:eastAsia="Times New Roman" w:hAnsi="Verdana" w:cs="Arial"/>
          <w:color w:val="000000"/>
          <w:bdr w:val="none" w:sz="0" w:space="0" w:color="auto" w:frame="1"/>
          <w:shd w:val="clear" w:color="auto" w:fill="FFFFFF"/>
          <w:lang w:val="es-ES" w:eastAsia="es-ES_tradnl"/>
        </w:rPr>
        <w:t>, si la pacto con fundamento en el artículo 195 numeral 6 de la Ley 100 de 1993, lo cual implica que se someta a las reglas de esta, contenidas en el artículo 11 de la Ley 1150 de 2007, que dispone en su inciso segundo:</w:t>
      </w:r>
      <w:r w:rsidRPr="0052171C">
        <w:rPr>
          <w:rFonts w:ascii="Arial" w:hAnsi="Arial" w:cs="Arial"/>
          <w:color w:val="4B4949"/>
          <w:sz w:val="18"/>
          <w:szCs w:val="18"/>
        </w:rPr>
        <w:t xml:space="preserve"> </w:t>
      </w:r>
      <w:r>
        <w:rPr>
          <w:rFonts w:ascii="Arial" w:hAnsi="Arial" w:cs="Arial"/>
          <w:color w:val="4B4949"/>
          <w:sz w:val="18"/>
          <w:szCs w:val="18"/>
        </w:rPr>
        <w:t>“</w:t>
      </w:r>
      <w:r w:rsidRPr="0052171C">
        <w:rPr>
          <w:rFonts w:ascii="Verdana" w:eastAsia="Times New Roman" w:hAnsi="Verdana" w:cs="Arial"/>
          <w:color w:val="000000"/>
          <w:bdr w:val="none" w:sz="0" w:space="0" w:color="auto" w:frame="1"/>
          <w:shd w:val="clear" w:color="auto" w:fill="FFFFFF"/>
          <w:lang w:eastAsia="es-ES_tradnl"/>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w:t>
      </w:r>
      <w:hyperlink r:id="rId15" w:anchor="136" w:history="1">
        <w:r w:rsidRPr="004811A7">
          <w:rPr>
            <w:rStyle w:val="Hipervnculo"/>
            <w:rFonts w:ascii="Verdana" w:eastAsia="Times New Roman" w:hAnsi="Verdana" w:cs="Arial"/>
            <w:color w:val="auto"/>
            <w:u w:val="none"/>
            <w:bdr w:val="none" w:sz="0" w:space="0" w:color="auto" w:frame="1"/>
            <w:shd w:val="clear" w:color="auto" w:fill="FFFFFF"/>
            <w:lang w:eastAsia="es-ES_tradnl"/>
          </w:rPr>
          <w:t>136</w:t>
        </w:r>
      </w:hyperlink>
      <w:r w:rsidRPr="004811A7">
        <w:rPr>
          <w:rFonts w:ascii="Verdana" w:eastAsia="Times New Roman" w:hAnsi="Verdana" w:cs="Arial"/>
          <w:bdr w:val="none" w:sz="0" w:space="0" w:color="auto" w:frame="1"/>
          <w:shd w:val="clear" w:color="auto" w:fill="FFFFFF"/>
          <w:lang w:eastAsia="es-ES_tradnl"/>
        </w:rPr>
        <w:t> </w:t>
      </w:r>
      <w:r>
        <w:rPr>
          <w:rFonts w:ascii="Verdana" w:eastAsia="Times New Roman" w:hAnsi="Verdana" w:cs="Arial"/>
          <w:color w:val="000000"/>
          <w:bdr w:val="none" w:sz="0" w:space="0" w:color="auto" w:frame="1"/>
          <w:shd w:val="clear" w:color="auto" w:fill="FFFFFF"/>
          <w:lang w:eastAsia="es-ES_tradnl"/>
        </w:rPr>
        <w:t>del C. C. A”</w:t>
      </w:r>
      <w:r>
        <w:rPr>
          <w:rStyle w:val="Refdenotaalpie"/>
          <w:rFonts w:ascii="Verdana" w:eastAsia="Times New Roman" w:hAnsi="Verdana" w:cs="Arial"/>
          <w:color w:val="000000"/>
          <w:bdr w:val="none" w:sz="0" w:space="0" w:color="auto" w:frame="1"/>
          <w:shd w:val="clear" w:color="auto" w:fill="FFFFFF"/>
          <w:lang w:eastAsia="es-ES_tradnl"/>
        </w:rPr>
        <w:footnoteReference w:id="29"/>
      </w:r>
      <w:r>
        <w:rPr>
          <w:rFonts w:ascii="Verdana" w:eastAsia="Times New Roman" w:hAnsi="Verdana" w:cs="Arial"/>
          <w:color w:val="000000"/>
          <w:bdr w:val="none" w:sz="0" w:space="0" w:color="auto" w:frame="1"/>
          <w:shd w:val="clear" w:color="auto" w:fill="FFFFFF"/>
          <w:lang w:val="es-ES" w:eastAsia="es-ES_tradnl"/>
        </w:rPr>
        <w:t xml:space="preserve">. Es decir, la empresa social del Estado se sujeta a las reglas y condiciones sobre la liquidación unilateral dispuesta en el Estatuto General de Contratación de la Administración Pública, que implica que liquidará unilateralmente dentro de los dos meses siguientes al término que se estipuló para liquidación bilateral, conforme a lo prescrito al artículo 164 numeral 2, literal j, inciso tercero, numeral v de la Ley 1437 de 2011. </w:t>
      </w:r>
      <w:r w:rsidRPr="00303985">
        <w:rPr>
          <w:rFonts w:ascii="Verdana" w:eastAsia="Times New Roman" w:hAnsi="Verdana" w:cs="Arial"/>
          <w:color w:val="000000"/>
          <w:bdr w:val="none" w:sz="0" w:space="0" w:color="auto" w:frame="1"/>
          <w:shd w:val="clear" w:color="auto" w:fill="FFFFFF"/>
          <w:lang w:val="es-ES" w:eastAsia="es-ES_tradnl"/>
        </w:rPr>
        <w:t xml:space="preserve">En relación con </w:t>
      </w:r>
      <w:r>
        <w:rPr>
          <w:rFonts w:ascii="Verdana" w:eastAsia="Times New Roman" w:hAnsi="Verdana" w:cs="Arial"/>
          <w:color w:val="000000"/>
          <w:bdr w:val="none" w:sz="0" w:space="0" w:color="auto" w:frame="1"/>
          <w:shd w:val="clear" w:color="auto" w:fill="FFFFFF"/>
          <w:lang w:val="es-ES" w:eastAsia="es-ES_tradnl"/>
        </w:rPr>
        <w:t>la liquidación unilateral</w:t>
      </w:r>
      <w:r w:rsidRPr="00303985">
        <w:rPr>
          <w:rFonts w:ascii="Verdana" w:eastAsia="Times New Roman" w:hAnsi="Verdana" w:cs="Arial"/>
          <w:color w:val="000000"/>
          <w:bdr w:val="none" w:sz="0" w:space="0" w:color="auto" w:frame="1"/>
          <w:shd w:val="clear" w:color="auto" w:fill="FFFFFF"/>
          <w:lang w:val="es-ES" w:eastAsia="es-ES_tradnl"/>
        </w:rPr>
        <w:t xml:space="preserve">, la </w:t>
      </w:r>
      <w:r w:rsidRPr="00303985">
        <w:rPr>
          <w:rFonts w:ascii="Verdana" w:eastAsia="Times New Roman" w:hAnsi="Verdana" w:cs="Arial"/>
          <w:color w:val="000000"/>
          <w:bdr w:val="none" w:sz="0" w:space="0" w:color="auto" w:frame="1"/>
          <w:shd w:val="clear" w:color="auto" w:fill="FFFFFF"/>
          <w:lang w:val="es-MX" w:eastAsia="es-ES_tradnl"/>
        </w:rPr>
        <w:t xml:space="preserve">Sala de Consulta y Servicio Civil del </w:t>
      </w:r>
      <w:r w:rsidRPr="00303985">
        <w:rPr>
          <w:rFonts w:ascii="Verdana" w:eastAsia="Times New Roman" w:hAnsi="Verdana" w:cs="Arial"/>
          <w:color w:val="000000"/>
          <w:bdr w:val="none" w:sz="0" w:space="0" w:color="auto" w:frame="1"/>
          <w:shd w:val="clear" w:color="auto" w:fill="FFFFFF"/>
          <w:lang w:val="es-ES" w:eastAsia="es-ES_tradnl"/>
        </w:rPr>
        <w:t>Consejo de Estado</w:t>
      </w:r>
      <w:r w:rsidRPr="00303985">
        <w:rPr>
          <w:rFonts w:ascii="Verdana" w:eastAsia="Times New Roman" w:hAnsi="Verdana" w:cs="Arial"/>
          <w:color w:val="000000"/>
          <w:bdr w:val="none" w:sz="0" w:space="0" w:color="auto" w:frame="1"/>
          <w:shd w:val="clear" w:color="auto" w:fill="FFFFFF"/>
          <w:lang w:val="es-MX" w:eastAsia="es-ES_tradnl"/>
        </w:rPr>
        <w:t xml:space="preserve">, en </w:t>
      </w:r>
      <w:r>
        <w:rPr>
          <w:rFonts w:ascii="Verdana" w:eastAsia="Times New Roman" w:hAnsi="Verdana" w:cs="Arial"/>
          <w:color w:val="000000"/>
          <w:bdr w:val="none" w:sz="0" w:space="0" w:color="auto" w:frame="1"/>
          <w:shd w:val="clear" w:color="auto" w:fill="FFFFFF"/>
          <w:lang w:val="es-MX" w:eastAsia="es-ES_tradnl"/>
        </w:rPr>
        <w:t>C</w:t>
      </w:r>
      <w:r w:rsidRPr="00303985">
        <w:rPr>
          <w:rFonts w:ascii="Verdana" w:eastAsia="Times New Roman" w:hAnsi="Verdana" w:cs="Arial"/>
          <w:color w:val="000000"/>
          <w:bdr w:val="none" w:sz="0" w:space="0" w:color="auto" w:frame="1"/>
          <w:shd w:val="clear" w:color="auto" w:fill="FFFFFF"/>
          <w:lang w:val="es-MX" w:eastAsia="es-ES_tradnl"/>
        </w:rPr>
        <w:t>oncepto del 28 de junio de 2016, manifestó que:  </w:t>
      </w:r>
    </w:p>
    <w:p w14:paraId="0C2B2F39" w14:textId="77777777" w:rsidR="00E15938" w:rsidRPr="00303985" w:rsidRDefault="00E15938" w:rsidP="00E15938">
      <w:pPr>
        <w:spacing w:after="0" w:line="276" w:lineRule="auto"/>
        <w:ind w:left="705" w:right="750"/>
        <w:jc w:val="both"/>
        <w:rPr>
          <w:rFonts w:ascii="Verdana" w:eastAsia="Times New Roman" w:hAnsi="Verdana" w:cs="Arial"/>
          <w:color w:val="000000"/>
          <w:lang w:eastAsia="es-ES_tradnl"/>
        </w:rPr>
      </w:pPr>
    </w:p>
    <w:p w14:paraId="6FBF4D49" w14:textId="77777777" w:rsidR="00E15938" w:rsidRPr="00303985" w:rsidRDefault="00E15938" w:rsidP="00E15938">
      <w:pPr>
        <w:spacing w:after="0" w:line="240" w:lineRule="auto"/>
        <w:ind w:left="705" w:right="750"/>
        <w:jc w:val="both"/>
        <w:rPr>
          <w:rFonts w:ascii="Verdana" w:eastAsia="Times New Roman" w:hAnsi="Verdana" w:cs="Arial"/>
          <w:color w:val="000000"/>
          <w:sz w:val="21"/>
          <w:szCs w:val="21"/>
          <w:lang w:eastAsia="es-ES_tradnl"/>
        </w:rPr>
      </w:pPr>
      <w:r w:rsidRPr="00303985">
        <w:rPr>
          <w:rFonts w:ascii="Verdana" w:eastAsia="Times New Roman" w:hAnsi="Verdana" w:cs="Arial"/>
          <w:i/>
          <w:iCs/>
          <w:sz w:val="21"/>
          <w:szCs w:val="21"/>
          <w:lang w:val="es-ES_tradnl" w:eastAsia="es-ES_tradnl"/>
        </w:rPr>
        <w:t>“</w:t>
      </w:r>
      <w:r w:rsidRPr="00303985">
        <w:rPr>
          <w:rFonts w:ascii="Verdana" w:eastAsia="Times New Roman" w:hAnsi="Verdana" w:cs="Arial"/>
          <w:color w:val="000000"/>
          <w:sz w:val="21"/>
          <w:szCs w:val="21"/>
          <w:lang w:val="es-ES" w:eastAsia="es-ES_tradnl"/>
        </w:rPr>
        <w:t>[</w:t>
      </w:r>
      <w:r w:rsidRPr="00303985">
        <w:rPr>
          <w:rFonts w:ascii="Verdana" w:eastAsia="Times New Roman" w:hAnsi="Verdana" w:cs="Arial"/>
          <w:color w:val="000000"/>
          <w:sz w:val="21"/>
          <w:szCs w:val="21"/>
          <w:bdr w:val="none" w:sz="0" w:space="0" w:color="auto" w:frame="1"/>
          <w:shd w:val="clear" w:color="auto" w:fill="FFFFFF"/>
          <w:lang w:eastAsia="es-ES_tradnl"/>
        </w:rPr>
        <w:t>…]</w:t>
      </w:r>
      <w:r w:rsidRPr="00303985">
        <w:rPr>
          <w:rFonts w:ascii="Verdana" w:eastAsia="Times New Roman" w:hAnsi="Verdana" w:cs="Arial"/>
          <w:color w:val="000000"/>
          <w:sz w:val="21"/>
          <w:szCs w:val="21"/>
          <w:bdr w:val="none" w:sz="0" w:space="0" w:color="auto" w:frame="1"/>
          <w:shd w:val="clear" w:color="auto" w:fill="FFFFFF"/>
          <w:lang w:val="es-ES" w:eastAsia="es-ES_tradnl"/>
        </w:rPr>
        <w:t>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00303985">
        <w:rPr>
          <w:rFonts w:ascii="Verdana" w:eastAsia="Times New Roman" w:hAnsi="Verdana" w:cs="Arial"/>
          <w:color w:val="000000"/>
          <w:sz w:val="21"/>
          <w:szCs w:val="21"/>
          <w:bdr w:val="none" w:sz="0" w:space="0" w:color="auto" w:frame="1"/>
          <w:shd w:val="clear" w:color="auto" w:fill="FFFFFF"/>
          <w:vertAlign w:val="superscript"/>
          <w:lang w:val="es-MX" w:eastAsia="es-ES_tradnl"/>
        </w:rPr>
        <w:footnoteReference w:id="30"/>
      </w:r>
      <w:r w:rsidRPr="00303985">
        <w:rPr>
          <w:rFonts w:ascii="Verdana" w:eastAsia="Times New Roman" w:hAnsi="Verdana" w:cs="Arial"/>
          <w:color w:val="000000"/>
          <w:sz w:val="21"/>
          <w:szCs w:val="21"/>
          <w:bdr w:val="none" w:sz="0" w:space="0" w:color="auto" w:frame="1"/>
          <w:shd w:val="clear" w:color="auto" w:fill="FFFFFF"/>
          <w:lang w:val="es-ES" w:eastAsia="es-ES_tradnl"/>
        </w:rPr>
        <w:t>. </w:t>
      </w:r>
      <w:r w:rsidRPr="00303985">
        <w:rPr>
          <w:rFonts w:ascii="Verdana" w:eastAsia="Times New Roman" w:hAnsi="Verdana" w:cs="Arial"/>
          <w:color w:val="000000"/>
          <w:sz w:val="21"/>
          <w:szCs w:val="21"/>
          <w:bdr w:val="none" w:sz="0" w:space="0" w:color="auto" w:frame="1"/>
          <w:shd w:val="clear" w:color="auto" w:fill="FFFFFF"/>
          <w:lang w:eastAsia="es-ES_tradnl"/>
        </w:rPr>
        <w:t>  </w:t>
      </w:r>
    </w:p>
    <w:p w14:paraId="1904D079" w14:textId="77777777" w:rsidR="00E15938" w:rsidRPr="00303985" w:rsidRDefault="00E15938" w:rsidP="00E15938">
      <w:pPr>
        <w:spacing w:after="120" w:line="276" w:lineRule="auto"/>
        <w:ind w:left="705" w:right="750"/>
        <w:jc w:val="both"/>
        <w:rPr>
          <w:rFonts w:ascii="Verdana" w:eastAsia="Times New Roman" w:hAnsi="Verdana" w:cs="Arial"/>
          <w:color w:val="000000"/>
          <w:lang w:eastAsia="es-ES_tradnl"/>
        </w:rPr>
      </w:pPr>
    </w:p>
    <w:p w14:paraId="68BE7B9C" w14:textId="77777777" w:rsidR="00E15938" w:rsidRDefault="00E15938" w:rsidP="00E15938">
      <w:pPr>
        <w:spacing w:after="120" w:line="276" w:lineRule="auto"/>
        <w:ind w:firstLine="703"/>
        <w:jc w:val="both"/>
        <w:rPr>
          <w:rFonts w:ascii="Verdana" w:eastAsia="Times New Roman" w:hAnsi="Verdana" w:cs="Arial"/>
          <w:color w:val="000000"/>
          <w:bdr w:val="none" w:sz="0" w:space="0" w:color="auto" w:frame="1"/>
          <w:shd w:val="clear" w:color="auto" w:fill="FFFFFF"/>
          <w:lang w:val="es-ES" w:eastAsia="es-ES_tradnl"/>
        </w:rPr>
      </w:pPr>
      <w:bookmarkStart w:id="2" w:name="_Hlk141851266"/>
      <w:r>
        <w:rPr>
          <w:rFonts w:ascii="Verdana" w:eastAsia="Times New Roman" w:hAnsi="Verdana" w:cs="Arial"/>
          <w:color w:val="000000"/>
          <w:bdr w:val="none" w:sz="0" w:space="0" w:color="auto" w:frame="1"/>
          <w:shd w:val="clear" w:color="auto" w:fill="FFFFFF"/>
          <w:lang w:val="es-ES" w:eastAsia="es-ES_tradnl"/>
        </w:rPr>
        <w:lastRenderedPageBreak/>
        <w:t xml:space="preserve">En este sentido, la liquidación unilateral </w:t>
      </w:r>
      <w:r>
        <w:rPr>
          <w:rFonts w:ascii="Verdana" w:eastAsia="Times New Roman" w:hAnsi="Verdana" w:cs="Arial"/>
          <w:color w:val="000000"/>
          <w:bdr w:val="none" w:sz="0" w:space="0" w:color="auto" w:frame="1"/>
          <w:shd w:val="clear" w:color="auto" w:fill="FFFFFF"/>
          <w:lang w:val="es-ES_tradnl" w:eastAsia="es-ES_tradnl"/>
        </w:rPr>
        <w:t>es una habilitación legal que</w:t>
      </w:r>
      <w:r w:rsidRPr="00A53F57">
        <w:rPr>
          <w:rFonts w:ascii="Verdana" w:eastAsia="Times New Roman" w:hAnsi="Verdana" w:cs="Arial"/>
          <w:color w:val="000000"/>
          <w:bdr w:val="none" w:sz="0" w:space="0" w:color="auto" w:frame="1"/>
          <w:shd w:val="clear" w:color="auto" w:fill="FFFFFF"/>
          <w:lang w:val="es-ES_tradnl" w:eastAsia="es-ES_tradnl"/>
        </w:rPr>
        <w:t xml:space="preserve"> requiere una estipulación contractual para ejerc</w:t>
      </w:r>
      <w:r>
        <w:rPr>
          <w:rFonts w:ascii="Verdana" w:eastAsia="Times New Roman" w:hAnsi="Verdana" w:cs="Arial"/>
          <w:color w:val="000000"/>
          <w:bdr w:val="none" w:sz="0" w:space="0" w:color="auto" w:frame="1"/>
          <w:shd w:val="clear" w:color="auto" w:fill="FFFFFF"/>
          <w:lang w:val="es-ES_tradnl" w:eastAsia="es-ES_tradnl"/>
        </w:rPr>
        <w:t xml:space="preserve">erla en los contratos de las empresas sociales del Estado. </w:t>
      </w:r>
      <w:r>
        <w:rPr>
          <w:rFonts w:ascii="Verdana" w:eastAsia="Times New Roman" w:hAnsi="Verdana" w:cs="Arial"/>
          <w:color w:val="000000"/>
          <w:bdr w:val="none" w:sz="0" w:space="0" w:color="auto" w:frame="1"/>
          <w:shd w:val="clear" w:color="auto" w:fill="FFFFFF"/>
          <w:lang w:val="es-ES" w:eastAsia="es-ES_tradnl"/>
        </w:rPr>
        <w:t>De esta manera, liquidación unilateral es subsidiaria del intento de la liquidación bilateral, como manifestación de la garantía del debido proceso, puesto que la primera solo procede si el contratista particular no se presenta, previo requerimiento de la entidad, o si las partes no tienen un acuerdo sobre el contenido</w:t>
      </w:r>
      <w:r>
        <w:rPr>
          <w:rStyle w:val="Refdenotaalpie"/>
          <w:rFonts w:ascii="Verdana" w:eastAsia="Times New Roman" w:hAnsi="Verdana" w:cs="Arial"/>
          <w:color w:val="000000"/>
          <w:bdr w:val="none" w:sz="0" w:space="0" w:color="auto" w:frame="1"/>
          <w:shd w:val="clear" w:color="auto" w:fill="FFFFFF"/>
          <w:lang w:val="es-ES" w:eastAsia="es-ES_tradnl"/>
        </w:rPr>
        <w:footnoteReference w:id="31"/>
      </w:r>
      <w:r>
        <w:rPr>
          <w:rFonts w:ascii="Verdana" w:eastAsia="Times New Roman" w:hAnsi="Verdana" w:cs="Arial"/>
          <w:color w:val="000000"/>
          <w:bdr w:val="none" w:sz="0" w:space="0" w:color="auto" w:frame="1"/>
          <w:shd w:val="clear" w:color="auto" w:fill="FFFFFF"/>
          <w:lang w:val="es-ES" w:eastAsia="es-ES_tradnl"/>
        </w:rPr>
        <w:t xml:space="preserve">. En efecto, la empresa social del Estado expedirá un acto administrativo previamente motivado, que contenga la liquidación del contrato. </w:t>
      </w:r>
    </w:p>
    <w:p w14:paraId="6E98FEB7" w14:textId="77777777" w:rsidR="00E15938" w:rsidRPr="00826D97" w:rsidRDefault="00E15938" w:rsidP="00E15938">
      <w:pPr>
        <w:spacing w:after="120" w:line="276" w:lineRule="auto"/>
        <w:ind w:firstLine="703"/>
        <w:jc w:val="both"/>
        <w:rPr>
          <w:rFonts w:ascii="Verdana" w:eastAsia="Times New Roman" w:hAnsi="Verdana" w:cs="Arial"/>
          <w:color w:val="000000"/>
          <w:bdr w:val="none" w:sz="0" w:space="0" w:color="auto" w:frame="1"/>
          <w:shd w:val="clear" w:color="auto" w:fill="FFFFFF"/>
          <w:lang w:val="es-ES" w:eastAsia="es-ES_tradnl"/>
        </w:rPr>
      </w:pPr>
      <w:r>
        <w:rPr>
          <w:rFonts w:ascii="Verdana" w:eastAsia="Times New Roman" w:hAnsi="Verdana" w:cs="Arial"/>
          <w:color w:val="000000"/>
          <w:bdr w:val="none" w:sz="0" w:space="0" w:color="auto" w:frame="1"/>
          <w:shd w:val="clear" w:color="auto" w:fill="FFFFFF"/>
          <w:lang w:val="es-ES" w:eastAsia="es-ES_tradnl"/>
        </w:rPr>
        <w:t>Posteriormente</w:t>
      </w:r>
      <w:r w:rsidRPr="00303985">
        <w:rPr>
          <w:rFonts w:ascii="Verdana" w:eastAsia="Times New Roman" w:hAnsi="Verdana" w:cs="Arial"/>
          <w:color w:val="000000"/>
          <w:bdr w:val="none" w:sz="0" w:space="0" w:color="auto" w:frame="1"/>
          <w:shd w:val="clear" w:color="auto" w:fill="FFFFFF"/>
          <w:lang w:val="es-ES" w:eastAsia="es-ES_tradnl"/>
        </w:rPr>
        <w:t xml:space="preserve">, transcurridos estos meses, la liquidación podrá </w:t>
      </w:r>
      <w:r>
        <w:rPr>
          <w:rFonts w:ascii="Verdana" w:eastAsia="Times New Roman" w:hAnsi="Verdana" w:cs="Arial"/>
          <w:color w:val="000000"/>
          <w:bdr w:val="none" w:sz="0" w:space="0" w:color="auto" w:frame="1"/>
          <w:shd w:val="clear" w:color="auto" w:fill="FFFFFF"/>
          <w:lang w:val="es-ES" w:eastAsia="es-ES_tradnl"/>
        </w:rPr>
        <w:t xml:space="preserve">realizarse </w:t>
      </w:r>
      <w:r w:rsidRPr="00303985">
        <w:rPr>
          <w:rFonts w:ascii="Verdana" w:eastAsia="Times New Roman" w:hAnsi="Verdana" w:cs="Arial"/>
          <w:color w:val="000000"/>
          <w:bdr w:val="none" w:sz="0" w:space="0" w:color="auto" w:frame="1"/>
          <w:shd w:val="clear" w:color="auto" w:fill="FFFFFF"/>
          <w:lang w:val="es-ES" w:eastAsia="es-ES_tradnl"/>
        </w:rPr>
        <w:t>en cualquier tiempo dentro de los dos años siguientes al vencimiento del término referido, de mutuo acuerdo o unilateralmente, salvo que el contratista haya presentado la demanda con la cual pretenda la liqui</w:t>
      </w:r>
      <w:r>
        <w:rPr>
          <w:rFonts w:ascii="Verdana" w:eastAsia="Times New Roman" w:hAnsi="Verdana" w:cs="Arial"/>
          <w:color w:val="000000"/>
          <w:bdr w:val="none" w:sz="0" w:space="0" w:color="auto" w:frame="1"/>
          <w:shd w:val="clear" w:color="auto" w:fill="FFFFFF"/>
          <w:lang w:val="es-ES" w:eastAsia="es-ES_tradnl"/>
        </w:rPr>
        <w:t>dación judicial del contrato. Es decir</w:t>
      </w:r>
      <w:r w:rsidRPr="00303985">
        <w:rPr>
          <w:rFonts w:ascii="Verdana" w:eastAsia="Times New Roman" w:hAnsi="Verdana" w:cs="Arial"/>
          <w:color w:val="000000"/>
          <w:bdr w:val="none" w:sz="0" w:space="0" w:color="auto" w:frame="1"/>
          <w:shd w:val="clear" w:color="auto" w:fill="FFFFFF"/>
          <w:lang w:val="es-ES" w:eastAsia="es-ES_tradnl"/>
        </w:rPr>
        <w:t xml:space="preserve">, </w:t>
      </w:r>
      <w:r>
        <w:rPr>
          <w:rFonts w:ascii="Verdana" w:eastAsia="Times New Roman" w:hAnsi="Verdana" w:cs="Arial"/>
          <w:color w:val="000000"/>
          <w:bdr w:val="none" w:sz="0" w:space="0" w:color="auto" w:frame="1"/>
          <w:shd w:val="clear" w:color="auto" w:fill="FFFFFF"/>
          <w:lang w:val="es-ES" w:eastAsia="es-ES_tradnl"/>
        </w:rPr>
        <w:t xml:space="preserve">no se pierde competencia por parte de la entidad </w:t>
      </w:r>
      <w:r w:rsidRPr="00303985">
        <w:rPr>
          <w:rFonts w:ascii="Verdana" w:eastAsia="Times New Roman" w:hAnsi="Verdana" w:cs="Arial"/>
          <w:color w:val="000000"/>
          <w:bdr w:val="none" w:sz="0" w:space="0" w:color="auto" w:frame="1"/>
          <w:shd w:val="clear" w:color="auto" w:fill="FFFFFF"/>
          <w:lang w:val="es-ES" w:eastAsia="es-ES_tradnl"/>
        </w:rPr>
        <w:t xml:space="preserve">durante </w:t>
      </w:r>
      <w:r>
        <w:rPr>
          <w:rFonts w:ascii="Verdana" w:eastAsia="Times New Roman" w:hAnsi="Verdana" w:cs="Arial"/>
          <w:color w:val="000000"/>
          <w:bdr w:val="none" w:sz="0" w:space="0" w:color="auto" w:frame="1"/>
          <w:shd w:val="clear" w:color="auto" w:fill="FFFFFF"/>
          <w:lang w:val="es-ES" w:eastAsia="es-ES_tradnl"/>
        </w:rPr>
        <w:t xml:space="preserve">los </w:t>
      </w:r>
      <w:r w:rsidRPr="00303985">
        <w:rPr>
          <w:rFonts w:ascii="Verdana" w:eastAsia="Times New Roman" w:hAnsi="Verdana" w:cs="Arial"/>
          <w:color w:val="000000"/>
          <w:bdr w:val="none" w:sz="0" w:space="0" w:color="auto" w:frame="1"/>
          <w:shd w:val="clear" w:color="auto" w:fill="FFFFFF"/>
          <w:lang w:val="es-ES" w:eastAsia="es-ES_tradnl"/>
        </w:rPr>
        <w:t>dos años</w:t>
      </w:r>
      <w:r>
        <w:rPr>
          <w:rFonts w:ascii="Verdana" w:eastAsia="Times New Roman" w:hAnsi="Verdana" w:cs="Arial"/>
          <w:color w:val="000000"/>
          <w:bdr w:val="none" w:sz="0" w:space="0" w:color="auto" w:frame="1"/>
          <w:shd w:val="clear" w:color="auto" w:fill="FFFFFF"/>
          <w:lang w:val="es-ES" w:eastAsia="es-ES_tradnl"/>
        </w:rPr>
        <w:t xml:space="preserve"> de la liquidación judicial, para </w:t>
      </w:r>
      <w:r w:rsidRPr="00303985">
        <w:rPr>
          <w:rFonts w:ascii="Verdana" w:eastAsia="Times New Roman" w:hAnsi="Verdana" w:cs="Arial"/>
          <w:color w:val="000000"/>
          <w:bdr w:val="none" w:sz="0" w:space="0" w:color="auto" w:frame="1"/>
          <w:shd w:val="clear" w:color="auto" w:fill="FFFFFF"/>
          <w:lang w:val="es-ES" w:eastAsia="es-ES_tradnl"/>
        </w:rPr>
        <w:t xml:space="preserve">hacerse de mutuo acuerdo, </w:t>
      </w:r>
      <w:r>
        <w:rPr>
          <w:rFonts w:ascii="Verdana" w:eastAsia="Times New Roman" w:hAnsi="Verdana" w:cs="Arial"/>
          <w:color w:val="000000"/>
          <w:bdr w:val="none" w:sz="0" w:space="0" w:color="auto" w:frame="1"/>
          <w:shd w:val="clear" w:color="auto" w:fill="FFFFFF"/>
          <w:lang w:val="es-ES" w:eastAsia="es-ES_tradnl"/>
        </w:rPr>
        <w:t>o ejercerla de forma unilateral por la entidad</w:t>
      </w:r>
      <w:r w:rsidRPr="00303985">
        <w:rPr>
          <w:rFonts w:ascii="Verdana" w:eastAsia="Times New Roman" w:hAnsi="Verdana" w:cs="Arial"/>
          <w:color w:val="000000"/>
          <w:bdr w:val="none" w:sz="0" w:space="0" w:color="auto" w:frame="1"/>
          <w:shd w:val="clear" w:color="auto" w:fill="FFFFFF"/>
          <w:lang w:val="es-ES" w:eastAsia="es-ES_tradnl"/>
        </w:rPr>
        <w:t>.</w:t>
      </w:r>
      <w:bookmarkEnd w:id="2"/>
    </w:p>
    <w:p w14:paraId="7E7093A9" w14:textId="77777777" w:rsidR="00E15938" w:rsidRDefault="00E15938" w:rsidP="00E15938">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303985">
        <w:rPr>
          <w:rFonts w:ascii="Verdana" w:eastAsia="Times New Roman" w:hAnsi="Verdana" w:cs="Arial"/>
          <w:color w:val="000000"/>
          <w:bdr w:val="none" w:sz="0" w:space="0" w:color="auto" w:frame="1"/>
          <w:shd w:val="clear" w:color="auto" w:fill="FFFFFF"/>
          <w:lang w:eastAsia="es-ES_tradnl"/>
        </w:rPr>
        <w:tab/>
        <w:t xml:space="preserve">A su turno, la liquidación judicial hace parte de una de las pretensiones que admite el medio de control de controversias contractuales. Al respecto, el artículo 141 de la Ley 1437 de 2011 dispone que “[…] el interesado podrá </w:t>
      </w:r>
      <w:bookmarkStart w:id="3" w:name="_Hlk172560769"/>
      <w:r w:rsidRPr="00303985">
        <w:rPr>
          <w:rFonts w:ascii="Verdana" w:eastAsia="Times New Roman" w:hAnsi="Verdana" w:cs="Arial"/>
          <w:color w:val="000000"/>
          <w:bdr w:val="none" w:sz="0" w:space="0" w:color="auto" w:frame="1"/>
          <w:shd w:val="clear" w:color="auto" w:fill="FFFFFF"/>
          <w:lang w:eastAsia="es-ES_tradnl"/>
        </w:rPr>
        <w:t>solicitar la liquidación judicial</w:t>
      </w:r>
      <w:bookmarkEnd w:id="3"/>
      <w:r w:rsidRPr="00303985">
        <w:rPr>
          <w:rFonts w:ascii="Verdana" w:eastAsia="Times New Roman" w:hAnsi="Verdana" w:cs="Arial"/>
          <w:color w:val="000000"/>
          <w:bdr w:val="none" w:sz="0" w:space="0" w:color="auto" w:frame="1"/>
          <w:shd w:val="clear" w:color="auto" w:fill="FFFFFF"/>
          <w:lang w:eastAsia="es-ES_tradnl"/>
        </w:rPr>
        <w:t xml:space="preserve"> del contrato cuando esta no se haya logrado de mutuo acuerdo y la entidad estatal no lo haya liquidado unilateralmente dentro de los dos (2) meses siguientes al vencimiento del plazo convenido para liquidar de mutuo acuerdo o, en su defecto, del término establecido por la ley”. Bajo esta perspectiva, para la entidad cesa la facultad de liquidar bilateral o unilateralmente, ya que el tema pasa de la administración a la jurisdicción.</w:t>
      </w:r>
      <w:r>
        <w:rPr>
          <w:rFonts w:ascii="Verdana" w:eastAsia="Times New Roman" w:hAnsi="Verdana" w:cs="Arial"/>
          <w:color w:val="000000"/>
          <w:bdr w:val="none" w:sz="0" w:space="0" w:color="auto" w:frame="1"/>
          <w:shd w:val="clear" w:color="auto" w:fill="FFFFFF"/>
          <w:lang w:eastAsia="es-ES_tradnl"/>
        </w:rPr>
        <w:t xml:space="preserve"> Al respecto, se destaca el artículo 164, numeral 2, literal j, inciso 3° de la Ley 1437 de 2011, que regula entre otros aspectos, el término oportuno para presentar la demanda judicial en los eventos de liquidación contractual:</w:t>
      </w:r>
    </w:p>
    <w:p w14:paraId="3FDDAADD" w14:textId="77777777" w:rsidR="00E15938" w:rsidRDefault="00E15938" w:rsidP="00E15938">
      <w:pPr>
        <w:tabs>
          <w:tab w:val="left" w:pos="709"/>
        </w:tabs>
        <w:spacing w:after="120" w:line="240" w:lineRule="auto"/>
        <w:jc w:val="both"/>
        <w:rPr>
          <w:rFonts w:ascii="Verdana" w:eastAsia="Times New Roman" w:hAnsi="Verdana" w:cs="Arial"/>
          <w:color w:val="000000"/>
          <w:bdr w:val="none" w:sz="0" w:space="0" w:color="auto" w:frame="1"/>
          <w:shd w:val="clear" w:color="auto" w:fill="FFFFFF"/>
          <w:lang w:eastAsia="es-ES_tradnl"/>
        </w:rPr>
      </w:pPr>
    </w:p>
    <w:p w14:paraId="35F0AC7D" w14:textId="77777777" w:rsidR="00E15938" w:rsidRPr="00DA50C8" w:rsidRDefault="00E15938" w:rsidP="00E15938">
      <w:pPr>
        <w:spacing w:after="0" w:line="240" w:lineRule="auto"/>
        <w:ind w:left="709" w:right="709"/>
        <w:jc w:val="both"/>
        <w:rPr>
          <w:rFonts w:ascii="Verdana" w:eastAsia="Times New Roman" w:hAnsi="Verdana" w:cs="Arial"/>
          <w:color w:val="000000"/>
          <w:sz w:val="21"/>
          <w:szCs w:val="21"/>
        </w:rPr>
      </w:pPr>
      <w:r w:rsidRPr="00DA50C8">
        <w:rPr>
          <w:rFonts w:ascii="Verdana" w:eastAsia="Times New Roman" w:hAnsi="Verdana" w:cs="Arial"/>
          <w:color w:val="000000"/>
          <w:sz w:val="21"/>
          <w:szCs w:val="21"/>
        </w:rPr>
        <w:t>En los siguientes contratos, el término de dos (2) años se contará así: </w:t>
      </w:r>
    </w:p>
    <w:p w14:paraId="6D1606D5" w14:textId="77777777" w:rsidR="00E15938" w:rsidRPr="00DA50C8" w:rsidRDefault="00E15938" w:rsidP="00E15938">
      <w:pPr>
        <w:spacing w:after="0" w:line="240" w:lineRule="auto"/>
        <w:ind w:left="709" w:right="709"/>
        <w:jc w:val="both"/>
        <w:rPr>
          <w:rFonts w:ascii="Verdana" w:eastAsia="Times New Roman" w:hAnsi="Verdana" w:cs="Arial"/>
          <w:color w:val="000000"/>
          <w:sz w:val="21"/>
          <w:szCs w:val="21"/>
        </w:rPr>
      </w:pPr>
      <w:r w:rsidRPr="00DA50C8">
        <w:rPr>
          <w:rFonts w:ascii="Verdana" w:eastAsia="Times New Roman" w:hAnsi="Verdana" w:cs="Arial"/>
          <w:color w:val="000000"/>
          <w:sz w:val="21"/>
          <w:szCs w:val="21"/>
        </w:rPr>
        <w:t>  </w:t>
      </w:r>
    </w:p>
    <w:p w14:paraId="011107E7" w14:textId="77777777" w:rsidR="00E15938" w:rsidRPr="00DA50C8" w:rsidRDefault="00E15938" w:rsidP="00E15938">
      <w:pPr>
        <w:spacing w:after="0" w:line="240" w:lineRule="auto"/>
        <w:ind w:left="709" w:right="709"/>
        <w:jc w:val="both"/>
        <w:rPr>
          <w:rFonts w:ascii="Verdana" w:eastAsia="Times New Roman" w:hAnsi="Verdana" w:cs="Arial"/>
          <w:color w:val="000000"/>
          <w:sz w:val="21"/>
          <w:szCs w:val="21"/>
        </w:rPr>
      </w:pPr>
      <w:r w:rsidRPr="00DA50C8">
        <w:rPr>
          <w:rFonts w:ascii="Verdana" w:eastAsia="Times New Roman" w:hAnsi="Verdana" w:cs="Arial"/>
          <w:color w:val="000000"/>
          <w:sz w:val="21"/>
          <w:szCs w:val="21"/>
        </w:rPr>
        <w:t>i) En los de ejecución instantánea desde el día siguiente a cuando se cumplió o debió cumplirse el objeto del contrato; </w:t>
      </w:r>
    </w:p>
    <w:p w14:paraId="0568D967" w14:textId="77777777" w:rsidR="00E15938" w:rsidRPr="00DA50C8" w:rsidRDefault="00E15938" w:rsidP="00E15938">
      <w:pPr>
        <w:spacing w:after="0" w:line="240" w:lineRule="auto"/>
        <w:ind w:left="709" w:right="709"/>
        <w:jc w:val="both"/>
        <w:rPr>
          <w:rFonts w:ascii="Verdana" w:eastAsia="Times New Roman" w:hAnsi="Verdana" w:cs="Arial"/>
          <w:color w:val="000000"/>
          <w:sz w:val="21"/>
          <w:szCs w:val="21"/>
        </w:rPr>
      </w:pPr>
      <w:r w:rsidRPr="00DA50C8">
        <w:rPr>
          <w:rFonts w:ascii="Verdana" w:eastAsia="Times New Roman" w:hAnsi="Verdana" w:cs="Arial"/>
          <w:color w:val="000000"/>
          <w:sz w:val="21"/>
          <w:szCs w:val="21"/>
        </w:rPr>
        <w:t>  </w:t>
      </w:r>
    </w:p>
    <w:p w14:paraId="2268E58A" w14:textId="77777777" w:rsidR="00E15938" w:rsidRPr="00DA50C8" w:rsidRDefault="00E15938" w:rsidP="00E15938">
      <w:pPr>
        <w:spacing w:after="0" w:line="240" w:lineRule="auto"/>
        <w:ind w:left="709" w:right="709"/>
        <w:jc w:val="both"/>
        <w:rPr>
          <w:rFonts w:ascii="Verdana" w:eastAsia="Times New Roman" w:hAnsi="Verdana" w:cs="Arial"/>
          <w:color w:val="000000"/>
          <w:sz w:val="21"/>
          <w:szCs w:val="21"/>
        </w:rPr>
      </w:pPr>
      <w:proofErr w:type="spellStart"/>
      <w:r w:rsidRPr="00DA50C8">
        <w:rPr>
          <w:rFonts w:ascii="Verdana" w:eastAsia="Times New Roman" w:hAnsi="Verdana" w:cs="Arial"/>
          <w:color w:val="000000"/>
          <w:sz w:val="21"/>
          <w:szCs w:val="21"/>
        </w:rPr>
        <w:t>ii</w:t>
      </w:r>
      <w:proofErr w:type="spellEnd"/>
      <w:r w:rsidRPr="00DA50C8">
        <w:rPr>
          <w:rFonts w:ascii="Verdana" w:eastAsia="Times New Roman" w:hAnsi="Verdana" w:cs="Arial"/>
          <w:color w:val="000000"/>
          <w:sz w:val="21"/>
          <w:szCs w:val="21"/>
        </w:rPr>
        <w:t>) En los que no requieran de liquidación, desde el día siguiente al de la terminación del contrato por cualquier causa; </w:t>
      </w:r>
    </w:p>
    <w:p w14:paraId="2D3AA90C" w14:textId="77777777" w:rsidR="00E15938" w:rsidRPr="00DA50C8" w:rsidRDefault="00E15938" w:rsidP="00E15938">
      <w:pPr>
        <w:spacing w:after="0" w:line="240" w:lineRule="auto"/>
        <w:ind w:left="709" w:right="709"/>
        <w:jc w:val="both"/>
        <w:rPr>
          <w:rFonts w:ascii="Verdana" w:eastAsia="Times New Roman" w:hAnsi="Verdana" w:cs="Arial"/>
          <w:color w:val="000000"/>
          <w:sz w:val="21"/>
          <w:szCs w:val="21"/>
        </w:rPr>
      </w:pPr>
      <w:r w:rsidRPr="00DA50C8">
        <w:rPr>
          <w:rFonts w:ascii="Verdana" w:eastAsia="Times New Roman" w:hAnsi="Verdana" w:cs="Arial"/>
          <w:color w:val="000000"/>
          <w:sz w:val="21"/>
          <w:szCs w:val="21"/>
        </w:rPr>
        <w:t>  </w:t>
      </w:r>
    </w:p>
    <w:p w14:paraId="3E73F79B" w14:textId="77777777" w:rsidR="00E15938" w:rsidRPr="00DA50C8" w:rsidRDefault="00E15938" w:rsidP="00E15938">
      <w:pPr>
        <w:spacing w:after="0" w:line="240" w:lineRule="auto"/>
        <w:ind w:left="709" w:right="709"/>
        <w:jc w:val="both"/>
        <w:rPr>
          <w:rFonts w:ascii="Verdana" w:eastAsia="Times New Roman" w:hAnsi="Verdana" w:cs="Arial"/>
          <w:color w:val="000000"/>
          <w:sz w:val="21"/>
          <w:szCs w:val="21"/>
        </w:rPr>
      </w:pPr>
      <w:proofErr w:type="spellStart"/>
      <w:r w:rsidRPr="00DA50C8">
        <w:rPr>
          <w:rFonts w:ascii="Verdana" w:eastAsia="Times New Roman" w:hAnsi="Verdana" w:cs="Arial"/>
          <w:color w:val="000000"/>
          <w:sz w:val="21"/>
          <w:szCs w:val="21"/>
        </w:rPr>
        <w:lastRenderedPageBreak/>
        <w:t>iii</w:t>
      </w:r>
      <w:proofErr w:type="spellEnd"/>
      <w:r w:rsidRPr="00DA50C8">
        <w:rPr>
          <w:rFonts w:ascii="Verdana" w:eastAsia="Times New Roman" w:hAnsi="Verdana" w:cs="Arial"/>
          <w:color w:val="000000"/>
          <w:sz w:val="21"/>
          <w:szCs w:val="21"/>
        </w:rPr>
        <w:t>) En los que requieran de liquidación y esta sea efectuada de común acuerdo por las partes, desde el día siguiente al de la firma del acta; </w:t>
      </w:r>
    </w:p>
    <w:p w14:paraId="01EEC706" w14:textId="77777777" w:rsidR="00E15938" w:rsidRPr="00DA50C8" w:rsidRDefault="00E15938" w:rsidP="00E15938">
      <w:pPr>
        <w:spacing w:after="0" w:line="240" w:lineRule="auto"/>
        <w:ind w:left="709" w:right="709"/>
        <w:jc w:val="both"/>
        <w:rPr>
          <w:rFonts w:ascii="Verdana" w:eastAsia="Times New Roman" w:hAnsi="Verdana" w:cs="Arial"/>
          <w:color w:val="000000"/>
          <w:sz w:val="21"/>
          <w:szCs w:val="21"/>
        </w:rPr>
      </w:pPr>
      <w:r w:rsidRPr="00DA50C8">
        <w:rPr>
          <w:rFonts w:ascii="Verdana" w:eastAsia="Times New Roman" w:hAnsi="Verdana" w:cs="Arial"/>
          <w:color w:val="000000"/>
          <w:sz w:val="21"/>
          <w:szCs w:val="21"/>
        </w:rPr>
        <w:t>  </w:t>
      </w:r>
    </w:p>
    <w:p w14:paraId="4055D48C" w14:textId="77777777" w:rsidR="00E15938" w:rsidRPr="00DA50C8" w:rsidRDefault="00E15938" w:rsidP="00E15938">
      <w:pPr>
        <w:spacing w:after="0" w:line="240" w:lineRule="auto"/>
        <w:ind w:left="709" w:right="709"/>
        <w:jc w:val="both"/>
        <w:rPr>
          <w:rFonts w:ascii="Verdana" w:eastAsia="Times New Roman" w:hAnsi="Verdana" w:cs="Arial"/>
          <w:color w:val="000000"/>
          <w:sz w:val="21"/>
          <w:szCs w:val="21"/>
        </w:rPr>
      </w:pPr>
      <w:proofErr w:type="spellStart"/>
      <w:r w:rsidRPr="00DA50C8">
        <w:rPr>
          <w:rFonts w:ascii="Verdana" w:eastAsia="Times New Roman" w:hAnsi="Verdana" w:cs="Arial"/>
          <w:color w:val="000000"/>
          <w:sz w:val="21"/>
          <w:szCs w:val="21"/>
        </w:rPr>
        <w:t>iv</w:t>
      </w:r>
      <w:proofErr w:type="spellEnd"/>
      <w:r w:rsidRPr="00DA50C8">
        <w:rPr>
          <w:rFonts w:ascii="Verdana" w:eastAsia="Times New Roman" w:hAnsi="Verdana" w:cs="Arial"/>
          <w:color w:val="000000"/>
          <w:sz w:val="21"/>
          <w:szCs w:val="21"/>
        </w:rPr>
        <w:t>) En los que requieran de liquidación y esta sea efectuada unilateralmente por la administración, desde el día siguiente al de la ejecutoria del acto administrativo que la apruebe; </w:t>
      </w:r>
    </w:p>
    <w:p w14:paraId="37C7CE83" w14:textId="77777777" w:rsidR="00E15938" w:rsidRPr="00DA50C8" w:rsidRDefault="00E15938" w:rsidP="00E15938">
      <w:pPr>
        <w:spacing w:after="0" w:line="240" w:lineRule="auto"/>
        <w:ind w:left="709" w:right="709"/>
        <w:jc w:val="both"/>
        <w:rPr>
          <w:rFonts w:ascii="Verdana" w:eastAsia="Times New Roman" w:hAnsi="Verdana" w:cs="Arial"/>
          <w:color w:val="000000"/>
          <w:sz w:val="21"/>
          <w:szCs w:val="21"/>
        </w:rPr>
      </w:pPr>
      <w:r w:rsidRPr="00DA50C8">
        <w:rPr>
          <w:rFonts w:ascii="Verdana" w:eastAsia="Times New Roman" w:hAnsi="Verdana" w:cs="Arial"/>
          <w:color w:val="000000"/>
          <w:sz w:val="21"/>
          <w:szCs w:val="21"/>
        </w:rPr>
        <w:t>  </w:t>
      </w:r>
    </w:p>
    <w:p w14:paraId="074A454B" w14:textId="77777777" w:rsidR="00E15938" w:rsidRPr="00DA50C8" w:rsidRDefault="00E15938" w:rsidP="00E15938">
      <w:pPr>
        <w:spacing w:after="0" w:line="240" w:lineRule="auto"/>
        <w:ind w:left="709" w:right="709"/>
        <w:jc w:val="both"/>
        <w:rPr>
          <w:rFonts w:ascii="Verdana" w:eastAsia="Times New Roman" w:hAnsi="Verdana" w:cs="Arial"/>
          <w:color w:val="000000"/>
          <w:sz w:val="21"/>
          <w:szCs w:val="21"/>
        </w:rPr>
      </w:pPr>
      <w:r w:rsidRPr="00DA50C8">
        <w:rPr>
          <w:rFonts w:ascii="Verdana" w:eastAsia="Times New Roman" w:hAnsi="Verdana" w:cs="Arial"/>
          <w:color w:val="000000"/>
          <w:sz w:val="21"/>
          <w:szCs w:val="21"/>
        </w:rPr>
        <w:t>v) En los que requieran de liquidación y esta no se logre por mutuo acuerdo o no se practique por la administración unilateralmente, una vez cumplido el término de dos (2) meses contados a partir del vencimiento del plazo convenido para hacerlo bilateralmente o, en su defecto, del término de los cuatro (4) meses siguientes a la terminación del contrato o la expedición del acto que lo ordene o del acuerdo que la disponga; </w:t>
      </w:r>
    </w:p>
    <w:p w14:paraId="47510F95" w14:textId="77777777" w:rsidR="00E15938" w:rsidRPr="00303985" w:rsidRDefault="00E15938" w:rsidP="00E15938">
      <w:pPr>
        <w:tabs>
          <w:tab w:val="left" w:pos="709"/>
        </w:tabs>
        <w:spacing w:after="120" w:line="240" w:lineRule="auto"/>
        <w:jc w:val="both"/>
        <w:rPr>
          <w:rFonts w:ascii="Verdana" w:eastAsia="Times New Roman" w:hAnsi="Verdana" w:cs="Arial"/>
          <w:color w:val="000000"/>
          <w:bdr w:val="none" w:sz="0" w:space="0" w:color="auto" w:frame="1"/>
          <w:shd w:val="clear" w:color="auto" w:fill="FFFFFF"/>
          <w:lang w:eastAsia="es-ES_tradnl"/>
        </w:rPr>
      </w:pPr>
      <w:r w:rsidRPr="005F77CA">
        <w:rPr>
          <w:rFonts w:ascii="Verdana" w:eastAsia="Times New Roman" w:hAnsi="Verdana" w:cs="Arial"/>
          <w:color w:val="000000"/>
          <w:bdr w:val="none" w:sz="0" w:space="0" w:color="auto" w:frame="1"/>
          <w:shd w:val="clear" w:color="auto" w:fill="FFFFFF"/>
          <w:lang w:eastAsia="es-ES_tradnl"/>
        </w:rPr>
        <w:t> </w:t>
      </w:r>
    </w:p>
    <w:p w14:paraId="0BCFAFF5" w14:textId="77777777" w:rsidR="00E15938" w:rsidRPr="00F308B8" w:rsidRDefault="00E15938" w:rsidP="00E15938">
      <w:pPr>
        <w:tabs>
          <w:tab w:val="left" w:pos="709"/>
        </w:tabs>
        <w:spacing w:after="120" w:line="276" w:lineRule="auto"/>
        <w:jc w:val="both"/>
        <w:rPr>
          <w:rFonts w:ascii="Verdana" w:eastAsia="Times New Roman" w:hAnsi="Verdana" w:cs="Times New Roman"/>
        </w:rPr>
      </w:pPr>
      <w:r w:rsidRPr="00303985">
        <w:rPr>
          <w:rFonts w:ascii="Verdana" w:eastAsia="Times New Roman" w:hAnsi="Verdana" w:cs="Arial"/>
          <w:color w:val="000000"/>
          <w:bdr w:val="none" w:sz="0" w:space="0" w:color="auto" w:frame="1"/>
          <w:shd w:val="clear" w:color="auto" w:fill="FFFFFF"/>
          <w:lang w:eastAsia="es-ES_tradnl"/>
        </w:rPr>
        <w:tab/>
        <w:t xml:space="preserve">En conclusión, la liquidación de un contrato público debe llevarse a cabo de manera bilateral siempre que sea posible, respetando los derechos del contratista al debido proceso. Si no se llega a un acuerdo bilateral, la </w:t>
      </w:r>
      <w:r>
        <w:rPr>
          <w:rFonts w:ascii="Verdana" w:eastAsia="Times New Roman" w:hAnsi="Verdana" w:cs="Arial"/>
          <w:color w:val="000000"/>
          <w:bdr w:val="none" w:sz="0" w:space="0" w:color="auto" w:frame="1"/>
          <w:shd w:val="clear" w:color="auto" w:fill="FFFFFF"/>
          <w:lang w:eastAsia="es-ES_tradnl"/>
        </w:rPr>
        <w:t xml:space="preserve">empresa social del Estado </w:t>
      </w:r>
      <w:r w:rsidRPr="00303985">
        <w:rPr>
          <w:rFonts w:ascii="Verdana" w:eastAsia="Times New Roman" w:hAnsi="Verdana" w:cs="Arial"/>
          <w:color w:val="000000"/>
          <w:bdr w:val="none" w:sz="0" w:space="0" w:color="auto" w:frame="1"/>
          <w:shd w:val="clear" w:color="auto" w:fill="FFFFFF"/>
          <w:lang w:eastAsia="es-ES_tradnl"/>
        </w:rPr>
        <w:t>tiene la facultad de proceder a una liquidación unilateral,</w:t>
      </w:r>
      <w:r>
        <w:rPr>
          <w:rFonts w:ascii="Verdana" w:eastAsia="Times New Roman" w:hAnsi="Verdana" w:cs="Arial"/>
          <w:color w:val="000000"/>
          <w:bdr w:val="none" w:sz="0" w:space="0" w:color="auto" w:frame="1"/>
          <w:shd w:val="clear" w:color="auto" w:fill="FFFFFF"/>
          <w:lang w:eastAsia="es-ES_tradnl"/>
        </w:rPr>
        <w:t xml:space="preserve"> si se estipuló,</w:t>
      </w:r>
      <w:r w:rsidRPr="00303985">
        <w:rPr>
          <w:rFonts w:ascii="Verdana" w:eastAsia="Times New Roman" w:hAnsi="Verdana" w:cs="Arial"/>
          <w:color w:val="000000"/>
          <w:bdr w:val="none" w:sz="0" w:space="0" w:color="auto" w:frame="1"/>
          <w:shd w:val="clear" w:color="auto" w:fill="FFFFFF"/>
          <w:lang w:eastAsia="es-ES_tradnl"/>
        </w:rPr>
        <w:t xml:space="preserve"> aunque esta solo puede realizarse si el contratista no ha solicitado la liquidación judicial del contrato dentro de los dos años posteriores al vencimiento de los plazos acordados. Si transcurrido este plazo el contratista no ha solicitado la liquidación judicial, la entidad puede liquidar unilateralmente, y si no lo hace, la acción pasa a la jurisdicción para que sea resuelta judicialmente por solicitud del interesado. Esto subraya el principio de que la liquidación del contrato debe ser realizada en un marco de acuerdo o de intervención judicial, priorizando la transparencia y el respeto de los derechos de las partes involucradas.</w:t>
      </w:r>
    </w:p>
    <w:p w14:paraId="399E01E7" w14:textId="77777777" w:rsidR="00E15938" w:rsidRDefault="00E15938" w:rsidP="00E15938">
      <w:pPr>
        <w:spacing w:after="0" w:line="276" w:lineRule="auto"/>
        <w:jc w:val="both"/>
        <w:rPr>
          <w:rFonts w:ascii="Verdana" w:eastAsia="Times New Roman" w:hAnsi="Verdana" w:cs="Arial"/>
          <w:color w:val="000000"/>
          <w:lang w:val="es-ES" w:eastAsia="es-ES"/>
        </w:rPr>
      </w:pPr>
    </w:p>
    <w:p w14:paraId="7DBBC1B9" w14:textId="77777777" w:rsidR="00E15938" w:rsidRPr="00B17041" w:rsidRDefault="00E15938" w:rsidP="00E15938">
      <w:pPr>
        <w:spacing w:after="120" w:line="276" w:lineRule="auto"/>
        <w:jc w:val="both"/>
        <w:rPr>
          <w:rFonts w:ascii="Verdana" w:eastAsia="Times New Roman" w:hAnsi="Verdana" w:cs="Arial"/>
          <w:iCs/>
          <w:color w:val="000000"/>
          <w:szCs w:val="24"/>
          <w:lang w:eastAsia="es-ES_tradnl"/>
        </w:rPr>
      </w:pPr>
      <w:r>
        <w:rPr>
          <w:rFonts w:ascii="Verdana" w:hAnsi="Verdana" w:cs="Arial"/>
          <w:lang w:val="es-ES_tradnl" w:eastAsia="es-ES"/>
        </w:rPr>
        <w:t>v</w:t>
      </w:r>
      <w:r w:rsidRPr="00B17041">
        <w:rPr>
          <w:rFonts w:ascii="Verdana" w:hAnsi="Verdana" w:cs="Arial"/>
          <w:lang w:val="es-ES_tradnl" w:eastAsia="es-ES"/>
        </w:rPr>
        <w:t>. Al margen de la explicación precedente debe advertirse que el análisis requerido para resolver problemas específicos en torno al clausulado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703C900" w14:textId="77777777" w:rsidR="00E15938" w:rsidRPr="00B17041" w:rsidRDefault="00E15938" w:rsidP="00E15938">
      <w:pPr>
        <w:spacing w:after="0" w:line="276" w:lineRule="auto"/>
        <w:ind w:firstLine="709"/>
        <w:jc w:val="both"/>
        <w:rPr>
          <w:rFonts w:ascii="Verdana" w:hAnsi="Verdana" w:cs="Arial"/>
          <w:lang w:val="es-ES" w:eastAsia="es-ES"/>
        </w:rPr>
      </w:pPr>
      <w:r w:rsidRPr="00B17041">
        <w:rPr>
          <w:rFonts w:ascii="Verdana" w:hAnsi="Verdana" w:cs="Arial"/>
          <w:lang w:val="es-ES" w:eastAsia="es-ES"/>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742C2F7" w14:textId="77777777" w:rsidR="00E15938" w:rsidRPr="00B17041" w:rsidRDefault="00E15938" w:rsidP="00E15938">
      <w:pPr>
        <w:spacing w:after="0" w:line="276" w:lineRule="auto"/>
        <w:jc w:val="both"/>
        <w:rPr>
          <w:rFonts w:ascii="Verdana" w:eastAsia="Calibri" w:hAnsi="Verdana" w:cs="Arial"/>
          <w:lang w:val="es-ES" w:eastAsia="es-MX"/>
        </w:rPr>
      </w:pPr>
    </w:p>
    <w:p w14:paraId="373E5FE3" w14:textId="77777777" w:rsidR="00E15938" w:rsidRPr="008853C1" w:rsidRDefault="00E15938" w:rsidP="00E15938">
      <w:pPr>
        <w:pStyle w:val="Prrafodelista"/>
        <w:numPr>
          <w:ilvl w:val="0"/>
          <w:numId w:val="19"/>
        </w:numPr>
        <w:tabs>
          <w:tab w:val="left" w:pos="142"/>
          <w:tab w:val="left" w:pos="284"/>
        </w:tabs>
        <w:spacing w:after="0" w:line="276" w:lineRule="auto"/>
        <w:jc w:val="both"/>
        <w:rPr>
          <w:rFonts w:ascii="Verdana" w:eastAsia="Century Gothic" w:hAnsi="Verdana" w:cs="Century Gothic"/>
          <w:b/>
          <w:bCs/>
        </w:rPr>
      </w:pPr>
      <w:r w:rsidRPr="008853C1">
        <w:rPr>
          <w:rFonts w:ascii="Verdana" w:eastAsia="Century Gothic" w:hAnsi="Verdana" w:cs="Century Gothic"/>
          <w:b/>
          <w:bCs/>
        </w:rPr>
        <w:t>Referencias normativas</w:t>
      </w:r>
      <w:r>
        <w:rPr>
          <w:rFonts w:ascii="Verdana" w:eastAsia="Century Gothic" w:hAnsi="Verdana" w:cs="Century Gothic"/>
          <w:b/>
          <w:bCs/>
        </w:rPr>
        <w:t>, jurisprudenciales y otras fuentes</w:t>
      </w:r>
      <w:r w:rsidRPr="008853C1">
        <w:rPr>
          <w:rFonts w:ascii="Verdana" w:eastAsia="Century Gothic" w:hAnsi="Verdana" w:cs="Century Gothic"/>
          <w:b/>
          <w:bCs/>
        </w:rPr>
        <w:t xml:space="preserve"> </w:t>
      </w:r>
    </w:p>
    <w:p w14:paraId="6EF15F5A" w14:textId="77777777" w:rsidR="00E15938" w:rsidRPr="00E2397D" w:rsidRDefault="00E15938" w:rsidP="00E1593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15938" w:rsidRPr="00E2397D" w14:paraId="5575A021" w14:textId="77777777" w:rsidTr="00B95DFB">
        <w:trPr>
          <w:trHeight w:val="856"/>
          <w:jc w:val="center"/>
        </w:trPr>
        <w:tc>
          <w:tcPr>
            <w:tcW w:w="8647" w:type="dxa"/>
          </w:tcPr>
          <w:p w14:paraId="3CE4025F" w14:textId="77777777" w:rsidR="00E15938" w:rsidRDefault="00E15938" w:rsidP="00E15938">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Ley 80 de 1993, artículos 60. 61. </w:t>
            </w:r>
          </w:p>
          <w:p w14:paraId="123BC7F6" w14:textId="77777777" w:rsidR="00E15938" w:rsidRPr="00CE04FF" w:rsidRDefault="00E15938" w:rsidP="00E15938">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100 de 1993, artículos 194 y 195. </w:t>
            </w:r>
          </w:p>
          <w:p w14:paraId="1A72ECDB" w14:textId="77777777" w:rsidR="00E15938" w:rsidRDefault="00E15938" w:rsidP="00E15938">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Ley 1150 de 2007, artículos 2 y 11. </w:t>
            </w:r>
          </w:p>
          <w:p w14:paraId="45F541C9" w14:textId="77777777" w:rsidR="00E15938" w:rsidRDefault="00E15938" w:rsidP="00E15938">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1437 de 2011, artículo 2, 141, 164. </w:t>
            </w:r>
          </w:p>
          <w:p w14:paraId="6CE986A5" w14:textId="77777777" w:rsidR="00E15938" w:rsidRDefault="00E15938" w:rsidP="00E15938">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1438 de 2011, artículo 76. </w:t>
            </w:r>
          </w:p>
          <w:p w14:paraId="55DF64D9" w14:textId="77777777" w:rsidR="00E15938" w:rsidRDefault="00E15938" w:rsidP="00E15938">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Decreto Ley 019 de 2012, artículo 217.</w:t>
            </w:r>
          </w:p>
          <w:p w14:paraId="762CAAE0" w14:textId="77777777" w:rsidR="00E15938" w:rsidRPr="001A7062" w:rsidRDefault="00E15938" w:rsidP="00E15938">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1A7062">
              <w:rPr>
                <w:rFonts w:ascii="Verdana" w:eastAsia="Arial MT" w:hAnsi="Verdana" w:cs="Arial"/>
                <w:lang w:val="es-ES" w:eastAsia="es-ES" w:bidi="es-ES"/>
              </w:rPr>
              <w:t>Resolución No. 5185 de 2013 del Ministerio de Salud.</w:t>
            </w:r>
          </w:p>
          <w:p w14:paraId="2AA44F9C" w14:textId="77777777" w:rsidR="00E15938" w:rsidRPr="001A7062" w:rsidRDefault="00E15938" w:rsidP="00E15938">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1A7062">
              <w:rPr>
                <w:rFonts w:ascii="Verdana" w:eastAsia="Arial MT" w:hAnsi="Verdana" w:cs="Arial"/>
                <w:lang w:val="es-ES" w:eastAsia="es-ES" w:bidi="es-ES"/>
              </w:rPr>
              <w:t xml:space="preserve">Resolución 1440 de 2024 del Ministerio de Salud. </w:t>
            </w:r>
          </w:p>
          <w:p w14:paraId="7C8ECD70" w14:textId="77777777" w:rsidR="00E15938" w:rsidRPr="00162E0A" w:rsidRDefault="00E15938" w:rsidP="00E15938">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162E0A">
              <w:rPr>
                <w:rFonts w:ascii="Verdana" w:eastAsia="Arial MT" w:hAnsi="Verdana" w:cs="Arial"/>
                <w:lang w:val="es-ES" w:eastAsia="es-ES" w:bidi="es-ES"/>
              </w:rPr>
              <w:t xml:space="preserve">Consejo de Estado. Sala de Consulta y Servicio Civil. Concepto del 27 de agosto de 1998, radicación No. 1.127, C.P. Javier Henao </w:t>
            </w:r>
            <w:proofErr w:type="spellStart"/>
            <w:r w:rsidRPr="00162E0A">
              <w:rPr>
                <w:rFonts w:ascii="Verdana" w:eastAsia="Arial MT" w:hAnsi="Verdana" w:cs="Arial"/>
                <w:lang w:val="es-ES" w:eastAsia="es-ES" w:bidi="es-ES"/>
              </w:rPr>
              <w:t>Hidrón</w:t>
            </w:r>
            <w:proofErr w:type="spellEnd"/>
            <w:r w:rsidRPr="00162E0A">
              <w:rPr>
                <w:rFonts w:ascii="Verdana" w:eastAsia="Arial MT" w:hAnsi="Verdana" w:cs="Arial"/>
                <w:lang w:val="es-ES" w:eastAsia="es-ES" w:bidi="es-ES"/>
              </w:rPr>
              <w:t>.</w:t>
            </w:r>
          </w:p>
          <w:p w14:paraId="0D6C439E" w14:textId="77777777" w:rsidR="00E15938" w:rsidRPr="00162E0A" w:rsidRDefault="00E15938" w:rsidP="00E15938">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162E0A">
              <w:rPr>
                <w:rFonts w:ascii="Verdana" w:eastAsia="Arial MT" w:hAnsi="Verdana" w:cs="Arial"/>
                <w:lang w:val="es-ES" w:eastAsia="es-ES" w:bidi="es-ES"/>
              </w:rPr>
              <w:t xml:space="preserve">Consejo de Estado. Sala de Consulta y Servicio Civil. Concepto del 6 de abril de 2000. Radicación No. 1.263, C.P. Flavio Augusto </w:t>
            </w:r>
            <w:proofErr w:type="spellStart"/>
            <w:r w:rsidRPr="00162E0A">
              <w:rPr>
                <w:rFonts w:ascii="Verdana" w:eastAsia="Arial MT" w:hAnsi="Verdana" w:cs="Arial"/>
                <w:lang w:val="es-ES" w:eastAsia="es-ES" w:bidi="es-ES"/>
              </w:rPr>
              <w:t>Rodriguez</w:t>
            </w:r>
            <w:proofErr w:type="spellEnd"/>
            <w:r w:rsidRPr="00162E0A">
              <w:rPr>
                <w:rFonts w:ascii="Verdana" w:eastAsia="Arial MT" w:hAnsi="Verdana" w:cs="Arial"/>
                <w:lang w:val="es-ES" w:eastAsia="es-ES" w:bidi="es-ES"/>
              </w:rPr>
              <w:t xml:space="preserve"> Arce.</w:t>
            </w:r>
          </w:p>
          <w:p w14:paraId="0D6AB6AE" w14:textId="77777777" w:rsidR="00E15938" w:rsidRPr="00162E0A" w:rsidRDefault="00E15938" w:rsidP="00E15938">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162E0A">
              <w:rPr>
                <w:rFonts w:ascii="Verdana" w:eastAsia="Arial MT" w:hAnsi="Verdana" w:cs="Arial"/>
                <w:lang w:val="es-ES" w:eastAsia="es-ES" w:bidi="es-ES"/>
              </w:rPr>
              <w:t xml:space="preserve">Consejo de Estado. Sección Tercera. Sentencia 18 de febrero de 2010. CP, Enrique Gil Botero. </w:t>
            </w:r>
            <w:proofErr w:type="spellStart"/>
            <w:r w:rsidRPr="00162E0A">
              <w:rPr>
                <w:rFonts w:ascii="Verdana" w:eastAsia="Arial MT" w:hAnsi="Verdana" w:cs="Arial"/>
                <w:lang w:val="es-ES" w:eastAsia="es-ES" w:bidi="es-ES"/>
              </w:rPr>
              <w:t>Exp</w:t>
            </w:r>
            <w:proofErr w:type="spellEnd"/>
            <w:r w:rsidRPr="00162E0A">
              <w:rPr>
                <w:rFonts w:ascii="Verdana" w:eastAsia="Arial MT" w:hAnsi="Verdana" w:cs="Arial"/>
                <w:lang w:val="es-ES" w:eastAsia="es-ES" w:bidi="es-ES"/>
              </w:rPr>
              <w:t xml:space="preserve">. 37004. </w:t>
            </w:r>
          </w:p>
          <w:p w14:paraId="51EEE01E" w14:textId="77777777" w:rsidR="00E15938" w:rsidRPr="00162E0A" w:rsidRDefault="00E15938" w:rsidP="00E15938">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162E0A">
              <w:rPr>
                <w:rFonts w:ascii="Verdana" w:eastAsia="Arial MT" w:hAnsi="Verdana" w:cs="Arial"/>
                <w:lang w:val="es-ES" w:eastAsia="es-ES" w:bidi="es-ES"/>
              </w:rPr>
              <w:t xml:space="preserve">Consejo de Estado. Sección Tercera. Subsección C. Sentencia del 20 de octubre de 2014, C.P: Enrique Gil Botero.  </w:t>
            </w:r>
            <w:proofErr w:type="spellStart"/>
            <w:r w:rsidRPr="00162E0A">
              <w:rPr>
                <w:rFonts w:ascii="Verdana" w:eastAsia="Arial MT" w:hAnsi="Verdana" w:cs="Arial"/>
                <w:lang w:val="es-ES" w:eastAsia="es-ES" w:bidi="es-ES"/>
              </w:rPr>
              <w:t>Exp</w:t>
            </w:r>
            <w:proofErr w:type="spellEnd"/>
            <w:r w:rsidRPr="00162E0A">
              <w:rPr>
                <w:rFonts w:ascii="Verdana" w:eastAsia="Arial MT" w:hAnsi="Verdana" w:cs="Arial"/>
                <w:lang w:val="es-ES" w:eastAsia="es-ES" w:bidi="es-ES"/>
              </w:rPr>
              <w:t xml:space="preserve">. 27.777. </w:t>
            </w:r>
          </w:p>
          <w:p w14:paraId="5418AD7F" w14:textId="77777777" w:rsidR="00E15938" w:rsidRPr="00162E0A" w:rsidRDefault="00E15938" w:rsidP="00E15938">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162E0A">
              <w:rPr>
                <w:rFonts w:ascii="Verdana" w:eastAsia="Arial MT" w:hAnsi="Verdana" w:cs="Arial"/>
                <w:lang w:val="es-ES" w:eastAsia="es-ES" w:bidi="es-ES"/>
              </w:rPr>
              <w:t xml:space="preserve">Consejo de Estado. Sala de Consulta y Servicio Civil. Concepto de 28 de </w:t>
            </w:r>
            <w:proofErr w:type="gramStart"/>
            <w:r w:rsidRPr="00162E0A">
              <w:rPr>
                <w:rFonts w:ascii="Verdana" w:eastAsia="Arial MT" w:hAnsi="Verdana" w:cs="Arial"/>
                <w:lang w:val="es-ES" w:eastAsia="es-ES" w:bidi="es-ES"/>
              </w:rPr>
              <w:t>Junio</w:t>
            </w:r>
            <w:proofErr w:type="gramEnd"/>
            <w:r w:rsidRPr="00162E0A">
              <w:rPr>
                <w:rFonts w:ascii="Verdana" w:eastAsia="Arial MT" w:hAnsi="Verdana" w:cs="Arial"/>
                <w:lang w:val="es-ES" w:eastAsia="es-ES" w:bidi="es-ES"/>
              </w:rPr>
              <w:t xml:space="preserve"> de 2016. C.P. Álvaro </w:t>
            </w:r>
            <w:proofErr w:type="spellStart"/>
            <w:r w:rsidRPr="00162E0A">
              <w:rPr>
                <w:rFonts w:ascii="Verdana" w:eastAsia="Arial MT" w:hAnsi="Verdana" w:cs="Arial"/>
                <w:lang w:val="es-ES" w:eastAsia="es-ES" w:bidi="es-ES"/>
              </w:rPr>
              <w:t>Namén</w:t>
            </w:r>
            <w:proofErr w:type="spellEnd"/>
            <w:r w:rsidRPr="00162E0A">
              <w:rPr>
                <w:rFonts w:ascii="Verdana" w:eastAsia="Arial MT" w:hAnsi="Verdana" w:cs="Arial"/>
                <w:lang w:val="es-ES" w:eastAsia="es-ES" w:bidi="es-ES"/>
              </w:rPr>
              <w:t xml:space="preserve"> Vargas. Rad. No 2253. </w:t>
            </w:r>
          </w:p>
          <w:p w14:paraId="51C4CFBB" w14:textId="77777777" w:rsidR="00E15938" w:rsidRPr="00162E0A" w:rsidRDefault="00E15938" w:rsidP="00E15938">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162E0A">
              <w:rPr>
                <w:rFonts w:ascii="Verdana" w:eastAsia="Arial MT" w:hAnsi="Verdana" w:cs="Arial"/>
                <w:lang w:val="es-ES" w:eastAsia="es-ES" w:bidi="es-ES"/>
              </w:rPr>
              <w:t xml:space="preserve">Consejo de Estado. Sección Tercera. Subsección A. Sentencia del 24 </w:t>
            </w:r>
            <w:r w:rsidRPr="00162E0A">
              <w:rPr>
                <w:rFonts w:ascii="Verdana" w:eastAsia="Arial MT" w:hAnsi="Verdana" w:cs="Arial"/>
                <w:lang w:val="es-ES" w:eastAsia="es-ES" w:bidi="es-ES"/>
              </w:rPr>
              <w:lastRenderedPageBreak/>
              <w:t xml:space="preserve">de octubre de 2016. C.P. Marta Nubia Velásquez Rico. </w:t>
            </w:r>
            <w:proofErr w:type="spellStart"/>
            <w:r w:rsidRPr="00162E0A">
              <w:rPr>
                <w:rFonts w:ascii="Verdana" w:eastAsia="Arial MT" w:hAnsi="Verdana" w:cs="Arial"/>
                <w:lang w:val="es-ES" w:eastAsia="es-ES" w:bidi="es-ES"/>
              </w:rPr>
              <w:t>Exp</w:t>
            </w:r>
            <w:proofErr w:type="spellEnd"/>
            <w:r w:rsidRPr="00162E0A">
              <w:rPr>
                <w:rFonts w:ascii="Verdana" w:eastAsia="Arial MT" w:hAnsi="Verdana" w:cs="Arial"/>
                <w:lang w:val="es-ES" w:eastAsia="es-ES" w:bidi="es-ES"/>
              </w:rPr>
              <w:t>. 45.607.</w:t>
            </w:r>
          </w:p>
          <w:p w14:paraId="066216AC" w14:textId="77777777" w:rsidR="00E15938" w:rsidRPr="00162E0A" w:rsidRDefault="00E15938" w:rsidP="00E15938">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162E0A">
              <w:rPr>
                <w:rFonts w:ascii="Verdana" w:eastAsia="Arial MT" w:hAnsi="Verdana" w:cs="Arial"/>
                <w:lang w:val="es-ES" w:eastAsia="es-ES" w:bidi="es-ES"/>
              </w:rPr>
              <w:t>Corte Constitucional. Sentencia C-665 de 2000. M.P. José Gregorio Hernández Galindo</w:t>
            </w:r>
            <w:r>
              <w:rPr>
                <w:rFonts w:ascii="Verdana" w:eastAsia="Arial MT" w:hAnsi="Verdana" w:cs="Arial"/>
                <w:lang w:val="es-ES" w:eastAsia="es-ES" w:bidi="es-ES"/>
              </w:rPr>
              <w:t>.</w:t>
            </w:r>
          </w:p>
          <w:p w14:paraId="7C0C80E0" w14:textId="77777777" w:rsidR="00E15938" w:rsidRPr="00162E0A" w:rsidRDefault="00E15938" w:rsidP="00E15938">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162E0A">
              <w:rPr>
                <w:rFonts w:ascii="Verdana" w:eastAsia="Arial MT" w:hAnsi="Verdana" w:cs="Arial"/>
                <w:lang w:val="es-ES" w:eastAsia="es-ES" w:bidi="es-ES"/>
              </w:rPr>
              <w:t xml:space="preserve">COLOMBIA COMPRA EFICIENTE. Guía para la Liquidación de los Procesos de Contratación. página 5, disponible en: </w:t>
            </w:r>
            <w:hyperlink r:id="rId16" w:history="1">
              <w:r w:rsidRPr="00891CC7">
                <w:rPr>
                  <w:rStyle w:val="Hipervnculo"/>
                  <w:rFonts w:ascii="Verdana" w:eastAsia="Arial MT" w:hAnsi="Verdana" w:cs="Arial"/>
                  <w:lang w:val="es-ES" w:eastAsia="es-ES" w:bidi="es-ES"/>
                </w:rPr>
                <w:t>https://www.colombiacompra.gov.co/sites/cce_public/files/cce_documents/cce_guia_liquidacion_procesos.pdf</w:t>
              </w:r>
            </w:hyperlink>
            <w:r>
              <w:rPr>
                <w:rFonts w:ascii="Verdana" w:eastAsia="Arial MT" w:hAnsi="Verdana" w:cs="Arial"/>
                <w:lang w:val="es-ES" w:eastAsia="es-ES" w:bidi="es-ES"/>
              </w:rPr>
              <w:t xml:space="preserve"> </w:t>
            </w:r>
          </w:p>
          <w:p w14:paraId="06B8FAA7" w14:textId="77777777" w:rsidR="00E15938" w:rsidRPr="00162E0A" w:rsidRDefault="00E15938" w:rsidP="00E15938">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162E0A">
              <w:rPr>
                <w:rFonts w:ascii="Verdana" w:eastAsia="Arial MT" w:hAnsi="Verdana" w:cs="Arial"/>
                <w:lang w:val="es-ES" w:eastAsia="es-ES" w:bidi="es-ES"/>
              </w:rPr>
              <w:t>Ministerio de Salud y la Protección Social. Concepto del 16 de agosto de 2019. Expediente No. 201942301304712.</w:t>
            </w:r>
          </w:p>
          <w:p w14:paraId="01749417" w14:textId="77777777" w:rsidR="00E15938" w:rsidRPr="00162E0A" w:rsidRDefault="00E15938" w:rsidP="00E15938">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162E0A">
              <w:rPr>
                <w:rFonts w:ascii="Verdana" w:eastAsia="Arial MT" w:hAnsi="Verdana" w:cs="Arial"/>
                <w:lang w:val="es-ES" w:eastAsia="es-ES" w:bidi="es-ES"/>
              </w:rPr>
              <w:t xml:space="preserve">BARRETO MORENO, Antonio Alejandro. El derecho de la compra pública: estudio jurídico de un mercado imperfecto. Bogotá: Legis, 2019. </w:t>
            </w:r>
          </w:p>
          <w:p w14:paraId="7061EB67" w14:textId="77777777" w:rsidR="00E15938" w:rsidRPr="00162E0A" w:rsidRDefault="00E15938" w:rsidP="00E15938">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162E0A">
              <w:rPr>
                <w:rFonts w:ascii="Verdana" w:eastAsia="Arial MT" w:hAnsi="Verdana" w:cs="Arial"/>
                <w:lang w:val="es-ES" w:eastAsia="es-ES" w:bidi="es-ES"/>
              </w:rPr>
              <w:t xml:space="preserve">BENAVIDES, José Luis. El contrato estatal: entre el derecho público y el derecho privado. Segunda edición. Bogotá: Universidad Externado de </w:t>
            </w:r>
            <w:r>
              <w:rPr>
                <w:rFonts w:ascii="Verdana" w:eastAsia="Arial MT" w:hAnsi="Verdana" w:cs="Arial"/>
                <w:lang w:val="es-ES" w:eastAsia="es-ES" w:bidi="es-ES"/>
              </w:rPr>
              <w:t>Colombia, 2009.</w:t>
            </w:r>
          </w:p>
          <w:p w14:paraId="7790BF55" w14:textId="77777777" w:rsidR="00E15938" w:rsidRPr="00162E0A" w:rsidRDefault="00E15938" w:rsidP="00E15938">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162E0A">
              <w:rPr>
                <w:rFonts w:ascii="Verdana" w:eastAsia="Arial MT" w:hAnsi="Verdana" w:cs="Arial"/>
                <w:lang w:val="es-ES" w:eastAsia="es-ES" w:bidi="es-ES"/>
              </w:rPr>
              <w:t>BETANCUR JARAMILLO, Carlos. Derecho procesal administrativo. Octava edición. Medellí</w:t>
            </w:r>
            <w:r>
              <w:rPr>
                <w:rFonts w:ascii="Verdana" w:eastAsia="Arial MT" w:hAnsi="Verdana" w:cs="Arial"/>
                <w:lang w:val="es-ES" w:eastAsia="es-ES" w:bidi="es-ES"/>
              </w:rPr>
              <w:t xml:space="preserve">n: Señal Editora, 2013. </w:t>
            </w:r>
          </w:p>
          <w:p w14:paraId="0709216F" w14:textId="77777777" w:rsidR="00E15938" w:rsidRPr="00162E0A" w:rsidRDefault="00E15938" w:rsidP="00E15938">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162E0A">
              <w:rPr>
                <w:rFonts w:ascii="Verdana" w:eastAsia="Arial MT" w:hAnsi="Verdana" w:cs="Arial"/>
                <w:lang w:val="es-ES" w:eastAsia="es-ES" w:bidi="es-ES"/>
              </w:rPr>
              <w:t>DÍAZ DÍEZ, Cristian Andrés. La liquidación. Serie: Las Cláusulas del Contrato Estatal. Medellín: Librería Jurídica Sánchez y Centro de Estudios de Derecho Administrativo –CEDA–, 2013.</w:t>
            </w:r>
          </w:p>
          <w:p w14:paraId="0454550D" w14:textId="77777777" w:rsidR="00E15938" w:rsidRPr="00162E0A" w:rsidRDefault="00E15938" w:rsidP="00E15938">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162E0A">
              <w:rPr>
                <w:rFonts w:ascii="Verdana" w:eastAsia="Arial MT" w:hAnsi="Verdana" w:cs="Arial"/>
                <w:lang w:val="es-ES" w:eastAsia="es-ES" w:bidi="es-ES"/>
              </w:rPr>
              <w:t>EXPOSITO, Juan Carlos. Forma y contenido del contrato estatal. Bogotá: Universidad Externado de Colombia.</w:t>
            </w:r>
          </w:p>
          <w:p w14:paraId="324F9044" w14:textId="77777777" w:rsidR="00E15938" w:rsidRPr="00162E0A" w:rsidRDefault="00E15938" w:rsidP="00E15938">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162E0A">
              <w:rPr>
                <w:rFonts w:ascii="Verdana" w:eastAsia="Arial MT" w:hAnsi="Verdana" w:cs="Arial"/>
                <w:lang w:val="es-ES" w:eastAsia="es-ES" w:bidi="es-ES"/>
              </w:rPr>
              <w:t xml:space="preserve">HINESTROSA FORERO, Fernando. Tratado de las Obligaciones II. De las fuentes de las obligaciones: el negocio jurídico. Vol. I. Bogotá: Universidad Externado de Colombia, 2015. </w:t>
            </w:r>
          </w:p>
          <w:p w14:paraId="315E518D" w14:textId="77777777" w:rsidR="00E15938" w:rsidRDefault="00E15938" w:rsidP="00E15938">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162E0A">
              <w:rPr>
                <w:rFonts w:ascii="Verdana" w:eastAsia="Arial MT" w:hAnsi="Verdana" w:cs="Arial"/>
                <w:lang w:val="es-ES" w:eastAsia="es-ES" w:bidi="es-ES"/>
              </w:rPr>
              <w:t>JOJOA BOLAÑOS, Alexander. Los regímenes exceptuados en los contratos estatales. Bogotá: Grupo</w:t>
            </w:r>
            <w:r>
              <w:rPr>
                <w:rFonts w:ascii="Verdana" w:eastAsia="Arial MT" w:hAnsi="Verdana" w:cs="Arial"/>
                <w:lang w:val="es-ES" w:eastAsia="es-ES" w:bidi="es-ES"/>
              </w:rPr>
              <w:t xml:space="preserve"> Editorial Ibáñez, 2012. </w:t>
            </w:r>
          </w:p>
          <w:p w14:paraId="0A6B67B1" w14:textId="77777777" w:rsidR="00E15938" w:rsidRPr="000048E3" w:rsidRDefault="00E15938" w:rsidP="00E15938">
            <w:pPr>
              <w:pStyle w:val="Prrafodelista"/>
              <w:numPr>
                <w:ilvl w:val="0"/>
                <w:numId w:val="20"/>
              </w:numPr>
              <w:spacing w:before="120" w:after="120"/>
              <w:contextualSpacing w:val="0"/>
              <w:jc w:val="both"/>
              <w:rPr>
                <w:rFonts w:ascii="Verdana" w:eastAsia="Arial MT" w:hAnsi="Verdana" w:cs="Arial"/>
                <w:lang w:eastAsia="es-ES" w:bidi="es-ES"/>
              </w:rPr>
            </w:pPr>
            <w:r w:rsidRPr="000048E3">
              <w:rPr>
                <w:rFonts w:ascii="Verdana" w:eastAsia="Arial MT" w:hAnsi="Verdana" w:cs="Arial"/>
                <w:lang w:eastAsia="es-ES" w:bidi="es-ES"/>
              </w:rPr>
              <w:t xml:space="preserve">MARÍN CORTÉS, Fabián G. El reglamento como fuente del derecho administrativo. En: Las fuentes del derecho administrativo. Texto inédito. 2010. </w:t>
            </w:r>
          </w:p>
        </w:tc>
      </w:tr>
    </w:tbl>
    <w:p w14:paraId="1C8CFFFC" w14:textId="77777777" w:rsidR="00E15938" w:rsidRPr="00E2397D" w:rsidRDefault="00E15938" w:rsidP="00E15938">
      <w:pPr>
        <w:widowControl w:val="0"/>
        <w:autoSpaceDE w:val="0"/>
        <w:autoSpaceDN w:val="0"/>
        <w:spacing w:after="0" w:line="276" w:lineRule="auto"/>
        <w:jc w:val="both"/>
        <w:rPr>
          <w:rFonts w:ascii="Verdana" w:hAnsi="Verdana" w:cs="Arial"/>
        </w:rPr>
      </w:pPr>
    </w:p>
    <w:p w14:paraId="684532E6" w14:textId="77777777" w:rsidR="00E15938" w:rsidRPr="00C11604" w:rsidRDefault="00E15938" w:rsidP="00E15938">
      <w:pPr>
        <w:pStyle w:val="Prrafodelista"/>
        <w:numPr>
          <w:ilvl w:val="0"/>
          <w:numId w:val="19"/>
        </w:numPr>
        <w:tabs>
          <w:tab w:val="left" w:pos="142"/>
          <w:tab w:val="left" w:pos="284"/>
        </w:tabs>
        <w:spacing w:after="0" w:line="276" w:lineRule="auto"/>
        <w:jc w:val="both"/>
        <w:rPr>
          <w:rFonts w:ascii="Verdana" w:eastAsia="Century Gothic" w:hAnsi="Verdana" w:cs="Century Gothic"/>
          <w:b/>
          <w:bCs/>
        </w:rPr>
      </w:pPr>
      <w:r w:rsidRPr="00C11604">
        <w:rPr>
          <w:rFonts w:ascii="Verdana" w:eastAsia="Century Gothic" w:hAnsi="Verdana" w:cs="Century Gothic"/>
          <w:b/>
          <w:bCs/>
        </w:rPr>
        <w:t>Doctrina de la Agencia Nacional de Contratación Pública:</w:t>
      </w:r>
    </w:p>
    <w:p w14:paraId="41BE7EEA" w14:textId="77777777" w:rsidR="00E15938" w:rsidRPr="00E2397D" w:rsidRDefault="00E15938" w:rsidP="00E15938">
      <w:pPr>
        <w:widowControl w:val="0"/>
        <w:autoSpaceDE w:val="0"/>
        <w:autoSpaceDN w:val="0"/>
        <w:spacing w:after="0" w:line="276" w:lineRule="auto"/>
        <w:jc w:val="both"/>
        <w:rPr>
          <w:rFonts w:ascii="Verdana" w:hAnsi="Verdana" w:cs="Arial"/>
        </w:rPr>
      </w:pPr>
    </w:p>
    <w:p w14:paraId="4417BD49" w14:textId="77777777" w:rsidR="00E15938" w:rsidRPr="000048E3" w:rsidRDefault="00E15938" w:rsidP="00E15938">
      <w:pPr>
        <w:widowControl w:val="0"/>
        <w:autoSpaceDE w:val="0"/>
        <w:autoSpaceDN w:val="0"/>
        <w:spacing w:after="0" w:line="276" w:lineRule="auto"/>
        <w:jc w:val="both"/>
        <w:rPr>
          <w:rFonts w:ascii="Verdana" w:hAnsi="Verdana" w:cs="Arial"/>
          <w:bCs/>
          <w:shd w:val="clear" w:color="auto" w:fill="FFFFFF"/>
          <w:lang w:val="es-ES"/>
        </w:rPr>
      </w:pPr>
      <w:r w:rsidRPr="0062005D">
        <w:rPr>
          <w:rFonts w:ascii="Verdana" w:hAnsi="Verdana" w:cs="Arial"/>
          <w:shd w:val="clear" w:color="auto" w:fill="FFFFFF"/>
        </w:rPr>
        <w:t xml:space="preserve">Esta Subdirección se ha pronunciado sobre la liquidación en los conceptos </w:t>
      </w:r>
      <w:r w:rsidRPr="0062005D">
        <w:rPr>
          <w:rFonts w:ascii="Verdana" w:hAnsi="Verdana" w:cs="Arial"/>
          <w:shd w:val="clear" w:color="auto" w:fill="FFFFFF"/>
        </w:rPr>
        <w:lastRenderedPageBreak/>
        <w:t>4201912000004908 del 27 de septiembre de 2019, CU-028 de 25 de febrero de 2020, C-221 de 21 de abril de 2020, C-078 del 17 de marzo de 2021, C-220 del 18 de mayo de 2021, C-444 del 23 de julio de 2021, C-747 del 8 de noviembre de 2022, C-739 de del 29 de noviembre de 2022, C- 176 de 3 de mayo de 2023, C-158 del 6 de junio de 2023, C-326 del 15 de agosto de 2024, C-568 del 18 de octubre de 2024 y C-774 del 20 de noviembre de 2024</w:t>
      </w:r>
      <w:r>
        <w:rPr>
          <w:rFonts w:ascii="Verdana" w:hAnsi="Verdana" w:cs="Arial"/>
          <w:shd w:val="clear" w:color="auto" w:fill="FFFFFF"/>
        </w:rPr>
        <w:t>, C-510 del 4 de junio de 2025, C-605 del 27 de junio de 2025, C-889 del 15 de agosto de 2025, C-913 del 19 de agosto de 2025, entre otros</w:t>
      </w:r>
      <w:r>
        <w:rPr>
          <w:rFonts w:ascii="Verdana" w:eastAsia="Aptos" w:hAnsi="Verdana" w:cs="Arial"/>
          <w:shd w:val="clear" w:color="auto" w:fill="FFFFFF"/>
          <w:lang w:val="es-ES"/>
        </w:rPr>
        <w:t xml:space="preserve">. En torno a la liquidación de entidades de régimen especial de contratación en el Concepto C-968 del 12 de diciembre de 2024. </w:t>
      </w:r>
      <w:r w:rsidRPr="000048E3">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DC57109" w14:textId="77777777" w:rsidR="00E15938" w:rsidRPr="000048E3" w:rsidRDefault="00E15938" w:rsidP="00E15938">
      <w:pPr>
        <w:spacing w:after="0" w:line="256" w:lineRule="auto"/>
        <w:jc w:val="both"/>
        <w:rPr>
          <w:rFonts w:ascii="Verdana" w:eastAsia="Calibri" w:hAnsi="Verdana" w:cs="Times New Roman"/>
        </w:rPr>
      </w:pPr>
      <w:hyperlink r:id="rId17" w:history="1">
        <w:r w:rsidRPr="000048E3">
          <w:rPr>
            <w:rFonts w:ascii="Verdana" w:eastAsia="Calibri" w:hAnsi="Verdana" w:cs="Times New Roman"/>
            <w:color w:val="0000FF"/>
            <w:u w:val="single"/>
            <w:lang w:val="es-ES"/>
          </w:rPr>
          <w:t>https://relatoria.colombiacompra.gov.co/busqueda/conceptos</w:t>
        </w:r>
      </w:hyperlink>
      <w:r w:rsidRPr="000048E3">
        <w:rPr>
          <w:rFonts w:ascii="Verdana" w:eastAsia="Calibri" w:hAnsi="Verdana" w:cs="Times New Roman"/>
        </w:rPr>
        <w:t xml:space="preserve">. </w:t>
      </w:r>
    </w:p>
    <w:p w14:paraId="7A8E4619" w14:textId="77777777" w:rsidR="00E15938" w:rsidRDefault="00E15938" w:rsidP="00E15938">
      <w:pPr>
        <w:spacing w:after="0"/>
        <w:jc w:val="both"/>
        <w:rPr>
          <w:rFonts w:ascii="Verdana" w:hAnsi="Verdana"/>
        </w:rPr>
      </w:pPr>
    </w:p>
    <w:p w14:paraId="3F24397F" w14:textId="77777777" w:rsidR="00E15938" w:rsidRPr="00EC0E3F" w:rsidRDefault="00E15938" w:rsidP="00E15938">
      <w:pPr>
        <w:spacing w:after="0" w:line="256" w:lineRule="auto"/>
        <w:jc w:val="both"/>
        <w:rPr>
          <w:rFonts w:ascii="Verdana" w:eastAsia="Calibri" w:hAnsi="Verdana" w:cs="Times New Roman"/>
        </w:rPr>
      </w:pPr>
      <w:r w:rsidRPr="00EC0E3F">
        <w:rPr>
          <w:rFonts w:ascii="Verdana" w:eastAsia="Calibri" w:hAnsi="Verdana" w:cs="Times New Roman"/>
        </w:rPr>
        <w:t xml:space="preserve">Te informamos que ya se encuentra disponible la </w:t>
      </w:r>
      <w:r w:rsidRPr="00EC0E3F">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C0E3F">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C0E3F">
        <w:rPr>
          <w:rFonts w:ascii="Verdana" w:eastAsia="Calibri" w:hAnsi="Verdana" w:cs="Times New Roman"/>
        </w:rPr>
        <w:t>Wayúu</w:t>
      </w:r>
      <w:proofErr w:type="spellEnd"/>
      <w:r w:rsidRPr="00EC0E3F">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6BBEA642" w14:textId="77777777" w:rsidR="00E15938" w:rsidRPr="0044528D" w:rsidRDefault="00E15938" w:rsidP="00E15938">
      <w:pPr>
        <w:spacing w:after="0" w:line="240" w:lineRule="auto"/>
        <w:jc w:val="both"/>
        <w:rPr>
          <w:rFonts w:ascii="Verdana" w:hAnsi="Verdana"/>
        </w:rPr>
      </w:pPr>
    </w:p>
    <w:p w14:paraId="0BFD2C1D" w14:textId="77777777" w:rsidR="00E15938" w:rsidRPr="00185EE9" w:rsidRDefault="00E15938" w:rsidP="00E15938">
      <w:pPr>
        <w:spacing w:after="0" w:line="256" w:lineRule="auto"/>
        <w:jc w:val="both"/>
        <w:rPr>
          <w:rFonts w:ascii="Verdana" w:eastAsia="Calibri" w:hAnsi="Verdana" w:cs="Times New Roman"/>
          <w:bCs/>
          <w:lang w:val="es-ES_tradnl"/>
        </w:rPr>
      </w:pPr>
      <w:r w:rsidRPr="00185EE9">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A920B03" w14:textId="77777777" w:rsidR="00E15938" w:rsidRPr="00185EE9" w:rsidRDefault="00E15938" w:rsidP="00E15938">
      <w:pPr>
        <w:spacing w:after="0" w:line="256" w:lineRule="auto"/>
        <w:jc w:val="both"/>
        <w:rPr>
          <w:rFonts w:ascii="Verdana" w:eastAsia="Calibri" w:hAnsi="Verdana" w:cs="Times New Roman"/>
        </w:rPr>
      </w:pPr>
    </w:p>
    <w:p w14:paraId="1FBD2797" w14:textId="77777777" w:rsidR="00E15938" w:rsidRDefault="00E15938" w:rsidP="00E15938">
      <w:pPr>
        <w:spacing w:after="0" w:line="256" w:lineRule="auto"/>
        <w:jc w:val="both"/>
        <w:rPr>
          <w:rFonts w:ascii="Verdana" w:eastAsia="Calibri" w:hAnsi="Verdana" w:cs="Times New Roman"/>
        </w:rPr>
      </w:pPr>
      <w:r w:rsidRPr="00185EE9">
        <w:rPr>
          <w:rFonts w:ascii="Verdana" w:eastAsia="Calibri" w:hAnsi="Verdana" w:cs="Times New Roman"/>
        </w:rPr>
        <w:t>Atentamente,</w:t>
      </w:r>
    </w:p>
    <w:p w14:paraId="36A499DB" w14:textId="77777777" w:rsidR="00E15938" w:rsidRDefault="00E15938" w:rsidP="00E15938">
      <w:pPr>
        <w:spacing w:after="0" w:line="256" w:lineRule="auto"/>
        <w:rPr>
          <w:noProof/>
          <w:lang w:val="en-US"/>
        </w:rPr>
      </w:pPr>
    </w:p>
    <w:p w14:paraId="63AF43C4" w14:textId="70B3A5CB" w:rsidR="00E15938" w:rsidRPr="00757EE9" w:rsidRDefault="000F5E4D" w:rsidP="00E15938">
      <w:pPr>
        <w:spacing w:after="0" w:line="256" w:lineRule="auto"/>
        <w:jc w:val="center"/>
        <w:rPr>
          <w:rFonts w:ascii="Century Gothic" w:hAnsi="Century Gothic"/>
          <w:noProof/>
          <w:lang w:val="en-US"/>
        </w:rPr>
      </w:pPr>
      <w:r w:rsidRPr="002C3AD6">
        <w:rPr>
          <w:rFonts w:ascii="Century Gothic" w:hAnsi="Century Gothic"/>
          <w:noProof/>
          <w:lang w:val="en-US"/>
        </w:rPr>
        <w:lastRenderedPageBreak/>
        <w:drawing>
          <wp:inline distT="0" distB="0" distL="0" distR="0" wp14:anchorId="36EC524F" wp14:editId="231E7A64">
            <wp:extent cx="3670300" cy="1423554"/>
            <wp:effectExtent l="0" t="0" r="6350" b="571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891299" cy="1509270"/>
                    </a:xfrm>
                    <a:prstGeom prst="rect">
                      <a:avLst/>
                    </a:prstGeom>
                  </pic:spPr>
                </pic:pic>
              </a:graphicData>
            </a:graphic>
          </wp:inline>
        </w:drawing>
      </w:r>
    </w:p>
    <w:p w14:paraId="55C7B4E8" w14:textId="77777777" w:rsidR="00E15938" w:rsidRPr="00757EE9" w:rsidRDefault="00E15938" w:rsidP="00E15938">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E15938" w:rsidRPr="00757EE9" w14:paraId="3F333E39" w14:textId="77777777" w:rsidTr="00B95DFB">
        <w:trPr>
          <w:trHeight w:val="409"/>
        </w:trPr>
        <w:tc>
          <w:tcPr>
            <w:tcW w:w="817" w:type="dxa"/>
            <w:tcBorders>
              <w:top w:val="nil"/>
              <w:left w:val="nil"/>
              <w:bottom w:val="nil"/>
              <w:right w:val="nil"/>
            </w:tcBorders>
            <w:vAlign w:val="center"/>
            <w:hideMark/>
          </w:tcPr>
          <w:p w14:paraId="6974080A" w14:textId="77777777" w:rsidR="00E15938" w:rsidRPr="00757EE9" w:rsidRDefault="00E15938" w:rsidP="00B95DFB">
            <w:pPr>
              <w:spacing w:after="0" w:line="256" w:lineRule="auto"/>
              <w:rPr>
                <w:rFonts w:ascii="Verdana" w:eastAsia="Calibri" w:hAnsi="Verdana" w:cs="Times New Roman"/>
                <w:sz w:val="16"/>
                <w:szCs w:val="16"/>
              </w:rPr>
            </w:pPr>
            <w:r w:rsidRPr="00757EE9">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236546B8" w14:textId="77777777" w:rsidR="00E15938" w:rsidRPr="00757EE9" w:rsidRDefault="00E15938" w:rsidP="00B95DFB">
            <w:pPr>
              <w:spacing w:after="0" w:line="256" w:lineRule="auto"/>
              <w:rPr>
                <w:rFonts w:ascii="Verdana" w:eastAsia="Calibri" w:hAnsi="Verdana" w:cs="Times New Roman"/>
                <w:sz w:val="16"/>
                <w:szCs w:val="16"/>
              </w:rPr>
            </w:pPr>
            <w:r w:rsidRPr="00757EE9">
              <w:rPr>
                <w:rFonts w:ascii="Verdana" w:eastAsia="Calibri" w:hAnsi="Verdana" w:cs="Times New Roman"/>
                <w:sz w:val="16"/>
                <w:szCs w:val="16"/>
              </w:rPr>
              <w:t>José Luis Sánchez Cardona</w:t>
            </w:r>
          </w:p>
          <w:p w14:paraId="7F56C793" w14:textId="77777777" w:rsidR="00E15938" w:rsidRPr="00757EE9" w:rsidRDefault="00E15938" w:rsidP="00B95DFB">
            <w:pPr>
              <w:spacing w:after="0" w:line="256" w:lineRule="auto"/>
              <w:rPr>
                <w:rFonts w:ascii="Verdana" w:eastAsia="Calibri" w:hAnsi="Verdana" w:cs="Times New Roman"/>
                <w:sz w:val="16"/>
                <w:szCs w:val="16"/>
              </w:rPr>
            </w:pPr>
            <w:r w:rsidRPr="00757EE9">
              <w:rPr>
                <w:rFonts w:ascii="Verdana" w:eastAsia="Calibri" w:hAnsi="Verdana" w:cs="Times New Roman"/>
                <w:sz w:val="16"/>
                <w:szCs w:val="16"/>
              </w:rPr>
              <w:t>Contratista de la Subdirección de Gestión Contractual</w:t>
            </w:r>
          </w:p>
        </w:tc>
      </w:tr>
      <w:tr w:rsidR="00E15938" w:rsidRPr="00757EE9" w14:paraId="00BE9815" w14:textId="77777777" w:rsidTr="00B95DFB">
        <w:trPr>
          <w:trHeight w:val="409"/>
        </w:trPr>
        <w:tc>
          <w:tcPr>
            <w:tcW w:w="817" w:type="dxa"/>
            <w:tcBorders>
              <w:top w:val="nil"/>
              <w:left w:val="nil"/>
              <w:bottom w:val="nil"/>
              <w:right w:val="nil"/>
            </w:tcBorders>
            <w:vAlign w:val="center"/>
            <w:hideMark/>
          </w:tcPr>
          <w:p w14:paraId="2BE6F93C" w14:textId="77777777" w:rsidR="00E15938" w:rsidRPr="00757EE9" w:rsidRDefault="00E15938" w:rsidP="00B95DFB">
            <w:pPr>
              <w:spacing w:after="0" w:line="256" w:lineRule="auto"/>
              <w:rPr>
                <w:rFonts w:ascii="Verdana" w:eastAsia="Calibri" w:hAnsi="Verdana" w:cs="Times New Roman"/>
                <w:sz w:val="16"/>
                <w:szCs w:val="16"/>
              </w:rPr>
            </w:pPr>
            <w:r w:rsidRPr="00757EE9">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6F4352F" w14:textId="77777777" w:rsidR="00E15938" w:rsidRPr="00757EE9" w:rsidRDefault="00E15938" w:rsidP="00B95DFB">
            <w:pPr>
              <w:spacing w:after="0" w:line="256" w:lineRule="auto"/>
              <w:rPr>
                <w:rFonts w:ascii="Verdana" w:eastAsia="Calibri" w:hAnsi="Verdana" w:cs="Times New Roman"/>
                <w:sz w:val="16"/>
                <w:szCs w:val="16"/>
              </w:rPr>
            </w:pPr>
            <w:r w:rsidRPr="00757EE9">
              <w:rPr>
                <w:rFonts w:ascii="Verdana" w:eastAsia="Calibri" w:hAnsi="Verdana" w:cs="Times New Roman"/>
                <w:sz w:val="16"/>
                <w:szCs w:val="16"/>
              </w:rPr>
              <w:t>Alejandro Sarmiento Cantillo</w:t>
            </w:r>
          </w:p>
          <w:p w14:paraId="71A9235D" w14:textId="77777777" w:rsidR="00E15938" w:rsidRPr="00757EE9" w:rsidRDefault="00E15938" w:rsidP="00B95DFB">
            <w:pPr>
              <w:spacing w:after="0" w:line="256" w:lineRule="auto"/>
              <w:rPr>
                <w:rFonts w:ascii="Verdana" w:eastAsia="Calibri" w:hAnsi="Verdana" w:cs="Times New Roman"/>
                <w:sz w:val="16"/>
                <w:szCs w:val="16"/>
              </w:rPr>
            </w:pPr>
            <w:r w:rsidRPr="00757EE9">
              <w:rPr>
                <w:rFonts w:ascii="Verdana" w:eastAsia="Calibri" w:hAnsi="Verdana" w:cs="Times New Roman"/>
                <w:sz w:val="16"/>
                <w:szCs w:val="16"/>
              </w:rPr>
              <w:t>Gestor T1-15 de la Subdirección de Gestión Contractual </w:t>
            </w:r>
          </w:p>
        </w:tc>
      </w:tr>
      <w:tr w:rsidR="00E15938" w:rsidRPr="00757EE9" w14:paraId="61FC4014" w14:textId="77777777" w:rsidTr="00B95DFB">
        <w:trPr>
          <w:trHeight w:val="389"/>
        </w:trPr>
        <w:tc>
          <w:tcPr>
            <w:tcW w:w="817" w:type="dxa"/>
            <w:tcBorders>
              <w:top w:val="nil"/>
              <w:left w:val="nil"/>
              <w:bottom w:val="nil"/>
              <w:right w:val="nil"/>
            </w:tcBorders>
            <w:vAlign w:val="center"/>
            <w:hideMark/>
          </w:tcPr>
          <w:p w14:paraId="2ADD0352" w14:textId="77777777" w:rsidR="00E15938" w:rsidRPr="00757EE9" w:rsidRDefault="00E15938" w:rsidP="00B95DFB">
            <w:pPr>
              <w:spacing w:after="0" w:line="256" w:lineRule="auto"/>
              <w:rPr>
                <w:rFonts w:ascii="Verdana" w:eastAsia="Calibri" w:hAnsi="Verdana" w:cs="Times New Roman"/>
                <w:sz w:val="16"/>
                <w:szCs w:val="16"/>
              </w:rPr>
            </w:pPr>
            <w:r w:rsidRPr="00757EE9">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BD52246" w14:textId="77777777" w:rsidR="00E15938" w:rsidRPr="00757EE9" w:rsidRDefault="00E15938" w:rsidP="00B95DFB">
            <w:pPr>
              <w:spacing w:after="0" w:line="256" w:lineRule="auto"/>
              <w:rPr>
                <w:rFonts w:ascii="Verdana" w:eastAsia="Calibri" w:hAnsi="Verdana" w:cs="Times New Roman"/>
                <w:sz w:val="16"/>
                <w:szCs w:val="16"/>
              </w:rPr>
            </w:pPr>
            <w:r w:rsidRPr="00757EE9">
              <w:rPr>
                <w:rFonts w:ascii="Verdana" w:eastAsia="Calibri" w:hAnsi="Verdana" w:cs="Times New Roman"/>
                <w:sz w:val="16"/>
                <w:szCs w:val="16"/>
              </w:rPr>
              <w:t xml:space="preserve">Carolina Quintero </w:t>
            </w:r>
            <w:proofErr w:type="spellStart"/>
            <w:r w:rsidRPr="00757EE9">
              <w:rPr>
                <w:rFonts w:ascii="Verdana" w:eastAsia="Calibri" w:hAnsi="Verdana" w:cs="Times New Roman"/>
                <w:sz w:val="16"/>
                <w:szCs w:val="16"/>
              </w:rPr>
              <w:t>Gacharná</w:t>
            </w:r>
            <w:proofErr w:type="spellEnd"/>
          </w:p>
          <w:p w14:paraId="3A90D9B1" w14:textId="77777777" w:rsidR="00E15938" w:rsidRPr="00757EE9" w:rsidRDefault="00E15938" w:rsidP="00B95DFB">
            <w:pPr>
              <w:spacing w:after="0" w:line="256" w:lineRule="auto"/>
              <w:rPr>
                <w:rFonts w:ascii="Verdana" w:eastAsia="Calibri" w:hAnsi="Verdana" w:cs="Times New Roman"/>
                <w:sz w:val="16"/>
                <w:szCs w:val="16"/>
              </w:rPr>
            </w:pPr>
            <w:r w:rsidRPr="00757EE9">
              <w:rPr>
                <w:rFonts w:ascii="Verdana" w:eastAsia="Calibri" w:hAnsi="Verdana" w:cs="Times New Roman"/>
                <w:sz w:val="16"/>
                <w:szCs w:val="16"/>
              </w:rPr>
              <w:t>Subdirectora de Gestión Contractual ANCP – CCE</w:t>
            </w:r>
          </w:p>
        </w:tc>
      </w:tr>
      <w:bookmarkEnd w:id="1"/>
    </w:tbl>
    <w:p w14:paraId="253324DF" w14:textId="77777777" w:rsidR="00E15938" w:rsidRDefault="00E15938" w:rsidP="00E15938">
      <w:pPr>
        <w:spacing w:after="120" w:line="276" w:lineRule="auto"/>
        <w:jc w:val="both"/>
        <w:rPr>
          <w:rFonts w:ascii="Verdana" w:hAnsi="Verdana"/>
        </w:rPr>
      </w:pPr>
    </w:p>
    <w:bookmarkEnd w:id="0"/>
    <w:p w14:paraId="361A3E2D" w14:textId="77777777" w:rsidR="00E15938" w:rsidRPr="0044528D" w:rsidRDefault="00E15938" w:rsidP="00E15938">
      <w:pPr>
        <w:spacing w:after="0"/>
        <w:rPr>
          <w:rFonts w:ascii="Verdana" w:hAnsi="Verdana"/>
        </w:rPr>
      </w:pPr>
    </w:p>
    <w:p w14:paraId="15239717" w14:textId="5F7B0DFA" w:rsidR="00A57BE7" w:rsidRPr="00E15938" w:rsidRDefault="00A57BE7" w:rsidP="00E15938"/>
    <w:sectPr w:rsidR="00A57BE7" w:rsidRPr="00E15938"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6E06DC" w14:textId="77777777" w:rsidR="00CB2B16" w:rsidRDefault="00CB2B16" w:rsidP="004A1847">
      <w:pPr>
        <w:spacing w:after="0" w:line="240" w:lineRule="auto"/>
      </w:pPr>
      <w:r>
        <w:separator/>
      </w:r>
    </w:p>
  </w:endnote>
  <w:endnote w:type="continuationSeparator" w:id="0">
    <w:p w14:paraId="4B5A6E58" w14:textId="77777777" w:rsidR="00CB2B16" w:rsidRDefault="00CB2B16" w:rsidP="004A1847">
      <w:pPr>
        <w:spacing w:after="0" w:line="240" w:lineRule="auto"/>
      </w:pPr>
      <w:r>
        <w:continuationSeparator/>
      </w:r>
    </w:p>
  </w:endnote>
  <w:endnote w:type="continuationNotice" w:id="1">
    <w:p w14:paraId="50C01346" w14:textId="77777777" w:rsidR="00CB2B16" w:rsidRDefault="00CB2B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291E5A" w:rsidRDefault="00291E5A">
    <w:pPr>
      <w:pStyle w:val="Piedepgina"/>
    </w:pPr>
  </w:p>
  <w:p w14:paraId="594D6D9F" w14:textId="2535608E" w:rsidR="00291E5A" w:rsidRPr="00174B77" w:rsidRDefault="00291E5A"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7A2556" w:rsidRPr="007A2556">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291E5A" w:rsidRDefault="00291E5A"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291E5A" w:rsidRPr="00E41027" w:rsidRDefault="00291E5A"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291E5A" w:rsidRDefault="00291E5A"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85E88E" w14:textId="77777777" w:rsidR="00CB2B16" w:rsidRDefault="00CB2B16" w:rsidP="004A1847">
      <w:pPr>
        <w:spacing w:after="0" w:line="240" w:lineRule="auto"/>
      </w:pPr>
      <w:r>
        <w:separator/>
      </w:r>
    </w:p>
  </w:footnote>
  <w:footnote w:type="continuationSeparator" w:id="0">
    <w:p w14:paraId="4D83FB66" w14:textId="77777777" w:rsidR="00CB2B16" w:rsidRDefault="00CB2B16" w:rsidP="004A1847">
      <w:pPr>
        <w:spacing w:after="0" w:line="240" w:lineRule="auto"/>
      </w:pPr>
      <w:r>
        <w:continuationSeparator/>
      </w:r>
    </w:p>
  </w:footnote>
  <w:footnote w:type="continuationNotice" w:id="1">
    <w:p w14:paraId="3695CB02" w14:textId="77777777" w:rsidR="00CB2B16" w:rsidRDefault="00CB2B16">
      <w:pPr>
        <w:spacing w:after="0" w:line="240" w:lineRule="auto"/>
      </w:pPr>
    </w:p>
  </w:footnote>
  <w:footnote w:id="2">
    <w:p w14:paraId="57A9BFAC" w14:textId="77777777" w:rsidR="00E15938" w:rsidRPr="00A30929" w:rsidRDefault="00E15938" w:rsidP="00E15938">
      <w:pPr>
        <w:pStyle w:val="Textonotapie"/>
        <w:ind w:firstLine="708"/>
        <w:jc w:val="both"/>
        <w:rPr>
          <w:rFonts w:ascii="Verdana" w:hAnsi="Verdana" w:cs="Arial"/>
          <w:sz w:val="16"/>
          <w:szCs w:val="16"/>
          <w:lang w:val="es-ES"/>
        </w:rPr>
      </w:pPr>
      <w:r w:rsidRPr="00A30929">
        <w:rPr>
          <w:rStyle w:val="Refdenotaalpie"/>
          <w:rFonts w:ascii="Verdana" w:hAnsi="Verdana" w:cs="Arial"/>
          <w:sz w:val="16"/>
          <w:szCs w:val="16"/>
          <w:vertAlign w:val="baseline"/>
        </w:rPr>
        <w:footnoteRef/>
      </w:r>
      <w:r w:rsidRPr="00A30929">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3">
    <w:p w14:paraId="262B0F50" w14:textId="77777777" w:rsidR="00E15938" w:rsidRPr="00A30929" w:rsidRDefault="00E15938" w:rsidP="00E15938">
      <w:pPr>
        <w:pStyle w:val="Textonotapie"/>
        <w:ind w:firstLine="708"/>
        <w:jc w:val="both"/>
        <w:rPr>
          <w:rFonts w:ascii="Verdana" w:hAnsi="Verdana" w:cs="Arial"/>
          <w:sz w:val="16"/>
          <w:szCs w:val="16"/>
          <w:lang w:val="es-ES"/>
        </w:rPr>
      </w:pPr>
      <w:r w:rsidRPr="00A30929">
        <w:rPr>
          <w:rStyle w:val="Refdenotaalpie"/>
          <w:rFonts w:ascii="Verdana" w:hAnsi="Verdana" w:cs="Arial"/>
          <w:sz w:val="16"/>
          <w:szCs w:val="16"/>
          <w:vertAlign w:val="baseline"/>
        </w:rPr>
        <w:footnoteRef/>
      </w:r>
      <w:r w:rsidRPr="00A30929">
        <w:rPr>
          <w:rFonts w:ascii="Verdana" w:hAnsi="Verdana" w:cs="Arial"/>
          <w:sz w:val="16"/>
          <w:szCs w:val="16"/>
        </w:rPr>
        <w:t xml:space="preserve"> BETANCUR JARAMILLO, Carlos. Derecho procesal administrativo. Octava edición. Medellín: Señal Editora, 2013. p. 627. </w:t>
      </w:r>
    </w:p>
  </w:footnote>
  <w:footnote w:id="4">
    <w:p w14:paraId="5CF74421" w14:textId="77777777" w:rsidR="00E15938" w:rsidRPr="00A30929" w:rsidRDefault="00E15938" w:rsidP="00E15938">
      <w:pPr>
        <w:pStyle w:val="Textonotapie"/>
        <w:ind w:firstLine="708"/>
        <w:jc w:val="both"/>
        <w:rPr>
          <w:rFonts w:ascii="Verdana" w:hAnsi="Verdana" w:cs="Arial"/>
          <w:sz w:val="16"/>
          <w:szCs w:val="16"/>
        </w:rPr>
      </w:pPr>
      <w:r w:rsidRPr="00A30929">
        <w:rPr>
          <w:rStyle w:val="Refdenotaalpie"/>
          <w:rFonts w:ascii="Verdana" w:hAnsi="Verdana" w:cs="Arial"/>
          <w:sz w:val="16"/>
          <w:szCs w:val="16"/>
          <w:vertAlign w:val="baseline"/>
        </w:rPr>
        <w:footnoteRef/>
      </w:r>
      <w:r w:rsidRPr="00A30929">
        <w:rPr>
          <w:rFonts w:ascii="Verdana" w:hAnsi="Verdana" w:cs="Arial"/>
          <w:sz w:val="16"/>
          <w:szCs w:val="16"/>
        </w:rPr>
        <w:t xml:space="preserve"> JOJOA BOLAÑOS, Alexander. Los regímenes exceptuados en los contratos estatales. Bogotá: Grupo Editorial Ibáñez, 2012. p. 89.</w:t>
      </w:r>
    </w:p>
  </w:footnote>
  <w:footnote w:id="5">
    <w:p w14:paraId="14FD9E8D" w14:textId="77777777" w:rsidR="00E15938" w:rsidRPr="00A30929" w:rsidRDefault="00E15938" w:rsidP="00E15938">
      <w:pPr>
        <w:pStyle w:val="Textonotapie"/>
        <w:ind w:firstLine="708"/>
        <w:jc w:val="both"/>
        <w:rPr>
          <w:rFonts w:ascii="Verdana" w:hAnsi="Verdana" w:cs="Arial"/>
          <w:sz w:val="16"/>
          <w:szCs w:val="16"/>
        </w:rPr>
      </w:pPr>
      <w:r w:rsidRPr="00A30929">
        <w:rPr>
          <w:rStyle w:val="Refdenotaalpie"/>
          <w:rFonts w:ascii="Verdana" w:hAnsi="Verdana" w:cs="Arial"/>
          <w:sz w:val="16"/>
          <w:szCs w:val="16"/>
          <w:vertAlign w:val="baseline"/>
        </w:rPr>
        <w:footnoteRef/>
      </w:r>
      <w:r w:rsidRPr="00A30929">
        <w:rPr>
          <w:rFonts w:ascii="Verdana" w:hAnsi="Verdana" w:cs="Arial"/>
          <w:sz w:val="16"/>
          <w:szCs w:val="16"/>
        </w:rPr>
        <w:t xml:space="preserve"> BARRETO MORENO, Antonio Alejandro. El derecho de la compra pública: estudio jurídico de un mercado imperfecto. Bogotá: Legis, 2019. pp. 281 y ss.</w:t>
      </w:r>
    </w:p>
  </w:footnote>
  <w:footnote w:id="6">
    <w:p w14:paraId="60B844AA" w14:textId="77777777" w:rsidR="00E15938" w:rsidRPr="00FD7E2D" w:rsidRDefault="00E15938" w:rsidP="00E15938">
      <w:pPr>
        <w:pStyle w:val="Textonotapie"/>
        <w:ind w:firstLine="709"/>
        <w:jc w:val="both"/>
        <w:rPr>
          <w:rFonts w:ascii="Verdana" w:hAnsi="Verdana" w:cs="Arial"/>
          <w:sz w:val="16"/>
          <w:szCs w:val="22"/>
          <w:lang w:val="es-ES"/>
        </w:rPr>
      </w:pPr>
      <w:r w:rsidRPr="003A1844">
        <w:rPr>
          <w:rStyle w:val="Refdenotaalpie"/>
          <w:rFonts w:ascii="Verdana" w:hAnsi="Verdana" w:cs="Arial"/>
          <w:sz w:val="16"/>
          <w:szCs w:val="22"/>
        </w:rPr>
        <w:footnoteRef/>
      </w:r>
      <w:r w:rsidRPr="003A1844">
        <w:rPr>
          <w:rFonts w:ascii="Verdana" w:hAnsi="Verdana" w:cs="Arial"/>
          <w:sz w:val="16"/>
          <w:szCs w:val="22"/>
        </w:rPr>
        <w:t xml:space="preserve"> </w:t>
      </w:r>
      <w:r w:rsidRPr="003A1844">
        <w:rPr>
          <w:rFonts w:ascii="Verdana" w:hAnsi="Verdana" w:cs="Arial"/>
          <w:sz w:val="16"/>
          <w:szCs w:val="22"/>
          <w:lang w:val="es-ES"/>
        </w:rPr>
        <w:t>“</w:t>
      </w:r>
      <w:r w:rsidRPr="003A1844">
        <w:rPr>
          <w:rFonts w:ascii="Verdana" w:hAnsi="Verdana" w:cs="Arial"/>
          <w:sz w:val="16"/>
          <w:szCs w:val="22"/>
        </w:rPr>
        <w:t>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3A1844">
        <w:rPr>
          <w:rFonts w:ascii="Verdana" w:hAnsi="Verdana" w:cs="Arial"/>
          <w:sz w:val="16"/>
          <w:szCs w:val="22"/>
          <w:lang w:val="es-ES"/>
        </w:rPr>
        <w:t>”.</w:t>
      </w:r>
    </w:p>
  </w:footnote>
  <w:footnote w:id="7">
    <w:p w14:paraId="182F0580" w14:textId="77777777" w:rsidR="00E15938" w:rsidRPr="003A1844" w:rsidRDefault="00E15938" w:rsidP="00E15938">
      <w:pPr>
        <w:pStyle w:val="Textonotapie"/>
        <w:ind w:firstLine="709"/>
        <w:jc w:val="both"/>
        <w:rPr>
          <w:rFonts w:ascii="Verdana" w:hAnsi="Verdana" w:cs="Arial"/>
          <w:sz w:val="16"/>
          <w:szCs w:val="22"/>
        </w:rPr>
      </w:pPr>
      <w:r w:rsidRPr="003A1844">
        <w:rPr>
          <w:rStyle w:val="Refdenotaalpie"/>
          <w:rFonts w:ascii="Verdana" w:hAnsi="Verdana" w:cs="Arial"/>
          <w:sz w:val="16"/>
          <w:szCs w:val="22"/>
        </w:rPr>
        <w:footnoteRef/>
      </w:r>
      <w:r w:rsidRPr="003A1844">
        <w:rPr>
          <w:rFonts w:ascii="Verdana" w:hAnsi="Verdana" w:cs="Arial"/>
          <w:sz w:val="16"/>
          <w:szCs w:val="22"/>
        </w:rPr>
        <w:t xml:space="preserve"> Consejo de Estado. Sección Tercera. Sentencia 18 de febrero de 2010. </w:t>
      </w:r>
      <w:r>
        <w:rPr>
          <w:rFonts w:ascii="Verdana" w:hAnsi="Verdana" w:cs="Arial"/>
          <w:sz w:val="16"/>
          <w:szCs w:val="22"/>
        </w:rPr>
        <w:t>CP,</w:t>
      </w:r>
      <w:r w:rsidRPr="003A1844">
        <w:rPr>
          <w:rFonts w:ascii="Verdana" w:hAnsi="Verdana" w:cs="Arial"/>
          <w:sz w:val="16"/>
          <w:szCs w:val="22"/>
        </w:rPr>
        <w:t xml:space="preserve"> Enrique Gil Botero. </w:t>
      </w:r>
      <w:r>
        <w:rPr>
          <w:rFonts w:ascii="Verdana" w:hAnsi="Verdana" w:cs="Arial"/>
          <w:sz w:val="16"/>
          <w:szCs w:val="22"/>
        </w:rPr>
        <w:t xml:space="preserve">Exp. 37004. </w:t>
      </w:r>
    </w:p>
    <w:p w14:paraId="5EF2CDE0" w14:textId="77777777" w:rsidR="00E15938" w:rsidRPr="003A1844" w:rsidRDefault="00E15938" w:rsidP="00E15938">
      <w:pPr>
        <w:pStyle w:val="Textonotapie"/>
        <w:ind w:firstLine="709"/>
        <w:jc w:val="both"/>
        <w:rPr>
          <w:rFonts w:ascii="Verdana" w:hAnsi="Verdana" w:cs="Arial"/>
          <w:sz w:val="16"/>
          <w:szCs w:val="22"/>
        </w:rPr>
      </w:pPr>
    </w:p>
  </w:footnote>
  <w:footnote w:id="8">
    <w:p w14:paraId="23D0E411" w14:textId="77777777" w:rsidR="00E15938" w:rsidRPr="00891A89" w:rsidRDefault="00E15938" w:rsidP="00E15938">
      <w:pPr>
        <w:pStyle w:val="Textonotapie"/>
        <w:ind w:firstLine="709"/>
        <w:jc w:val="both"/>
        <w:rPr>
          <w:rFonts w:ascii="Verdana" w:hAnsi="Verdana" w:cs="Arial"/>
          <w:color w:val="000000"/>
          <w:sz w:val="16"/>
          <w:szCs w:val="22"/>
        </w:rPr>
      </w:pPr>
      <w:r w:rsidRPr="003A1844">
        <w:rPr>
          <w:rStyle w:val="Refdenotaalpie"/>
          <w:rFonts w:ascii="Verdana" w:hAnsi="Verdana" w:cs="Arial"/>
          <w:sz w:val="16"/>
          <w:szCs w:val="22"/>
        </w:rPr>
        <w:footnoteRef/>
      </w:r>
      <w:r>
        <w:rPr>
          <w:rFonts w:ascii="Verdana" w:hAnsi="Verdana" w:cs="Arial"/>
          <w:sz w:val="16"/>
          <w:szCs w:val="22"/>
        </w:rPr>
        <w:t xml:space="preserve"> En sentencia C-66</w:t>
      </w:r>
      <w:r w:rsidRPr="003A1844">
        <w:rPr>
          <w:rFonts w:ascii="Verdana" w:hAnsi="Verdana" w:cs="Arial"/>
          <w:sz w:val="16"/>
          <w:szCs w:val="22"/>
        </w:rPr>
        <w:t xml:space="preserve">5 de 2000, la Corte Constitucional se pronunció, así: </w:t>
      </w:r>
      <w:r w:rsidRPr="003A1844">
        <w:rPr>
          <w:rFonts w:ascii="Verdana" w:hAnsi="Verdana" w:cs="Arial"/>
          <w:sz w:val="16"/>
          <w:szCs w:val="22"/>
          <w:lang w:val="es-ES_tradnl"/>
        </w:rPr>
        <w:t>“</w:t>
      </w:r>
      <w:r w:rsidRPr="003A1844">
        <w:rPr>
          <w:rFonts w:ascii="Verdana" w:hAnsi="Verdana" w:cs="Arial"/>
          <w:color w:val="000000"/>
          <w:sz w:val="16"/>
          <w:szCs w:val="22"/>
        </w:rPr>
        <w:t>En los términos del artículo 49 de la Constitución Política, la atención de la salud y el saneamiento ambiental son servicios públicos a cargo del Estado; al cual corresponde organizarlos, dirigirlos y reglamentarlos conforme a los principios de eficiencia, universalidad y solidaridad. Igualmente es deber del Estado establecer las políticas para la prestación de servicios de salud por entidades privadas y ejercer su vigilancia y control. Debe también el Estado señalar las competencias de la Nación, las entidades territoriales y los particulares y determinar los aportes a su cargo en los términos y condiciones señalados en la ley</w:t>
      </w:r>
      <w:r w:rsidRPr="003A1844">
        <w:rPr>
          <w:rFonts w:ascii="Verdana" w:hAnsi="Verdana" w:cs="Arial"/>
          <w:sz w:val="16"/>
          <w:szCs w:val="22"/>
          <w:lang w:val="es-ES_tradnl"/>
        </w:rPr>
        <w:t>”</w:t>
      </w:r>
      <w:r>
        <w:rPr>
          <w:rFonts w:ascii="Verdana" w:hAnsi="Verdana" w:cs="Arial"/>
          <w:color w:val="000000"/>
          <w:sz w:val="16"/>
          <w:szCs w:val="22"/>
        </w:rPr>
        <w:t xml:space="preserve"> (Corte Constitucional. Sentencia C-665 de 2000. M.P. José Gregorio Hernández Galindo)</w:t>
      </w:r>
    </w:p>
  </w:footnote>
  <w:footnote w:id="9">
    <w:p w14:paraId="1FCA23EA" w14:textId="77777777" w:rsidR="00E15938" w:rsidRPr="00FD7E2D" w:rsidRDefault="00E15938" w:rsidP="00E15938">
      <w:pPr>
        <w:pStyle w:val="Textonotapie"/>
        <w:ind w:firstLine="708"/>
        <w:jc w:val="both"/>
        <w:rPr>
          <w:rFonts w:ascii="Verdana" w:hAnsi="Verdana" w:cs="Arial"/>
          <w:color w:val="000000" w:themeColor="text1"/>
          <w:sz w:val="16"/>
          <w:szCs w:val="22"/>
          <w:lang w:val="es-CO"/>
        </w:rPr>
      </w:pPr>
      <w:r w:rsidRPr="003A1844">
        <w:rPr>
          <w:rStyle w:val="Refdenotaalpie"/>
          <w:rFonts w:ascii="Verdana" w:hAnsi="Verdana" w:cs="Arial"/>
          <w:color w:val="000000" w:themeColor="text1"/>
          <w:sz w:val="16"/>
          <w:szCs w:val="22"/>
        </w:rPr>
        <w:footnoteRef/>
      </w:r>
      <w:r w:rsidRPr="003A1844">
        <w:rPr>
          <w:rFonts w:ascii="Verdana" w:hAnsi="Verdana" w:cs="Arial"/>
          <w:color w:val="000000" w:themeColor="text1"/>
          <w:sz w:val="16"/>
          <w:szCs w:val="22"/>
        </w:rPr>
        <w:t xml:space="preserve"> Consejo de Estado. Sala de Consulta y Servicio Civil. Concepto del 27 de agosto </w:t>
      </w:r>
      <w:r>
        <w:rPr>
          <w:rFonts w:ascii="Verdana" w:hAnsi="Verdana" w:cs="Arial"/>
          <w:color w:val="000000" w:themeColor="text1"/>
          <w:sz w:val="16"/>
          <w:szCs w:val="22"/>
        </w:rPr>
        <w:t>de 1998, Rad. 1.127, C</w:t>
      </w:r>
      <w:r w:rsidRPr="003A1844">
        <w:rPr>
          <w:rFonts w:ascii="Verdana" w:hAnsi="Verdana" w:cs="Arial"/>
          <w:color w:val="000000" w:themeColor="text1"/>
          <w:sz w:val="16"/>
          <w:szCs w:val="22"/>
        </w:rPr>
        <w:t>.P. Javier Henao Hidrón</w:t>
      </w:r>
      <w:r>
        <w:rPr>
          <w:rFonts w:ascii="Verdana" w:hAnsi="Verdana" w:cs="Arial"/>
          <w:color w:val="000000" w:themeColor="text1"/>
          <w:sz w:val="16"/>
          <w:szCs w:val="22"/>
        </w:rPr>
        <w:t xml:space="preserve">. </w:t>
      </w:r>
      <w:r w:rsidRPr="00082456">
        <w:rPr>
          <w:rFonts w:ascii="Verdana" w:hAnsi="Verdana" w:cs="Arial"/>
          <w:color w:val="000000" w:themeColor="text1"/>
          <w:sz w:val="16"/>
          <w:szCs w:val="22"/>
          <w:lang w:val="es-CO"/>
        </w:rPr>
        <w:t>Rad. 1.127</w:t>
      </w:r>
      <w:r w:rsidRPr="003A1844">
        <w:rPr>
          <w:rFonts w:ascii="Verdana" w:hAnsi="Verdana" w:cs="Arial"/>
          <w:color w:val="000000" w:themeColor="text1"/>
          <w:sz w:val="16"/>
          <w:szCs w:val="22"/>
        </w:rPr>
        <w:t xml:space="preserve">; y </w:t>
      </w:r>
      <w:r w:rsidRPr="003A1844">
        <w:rPr>
          <w:rFonts w:ascii="Verdana" w:hAnsi="Verdana" w:cs="Arial"/>
          <w:color w:val="000000" w:themeColor="text1"/>
          <w:sz w:val="16"/>
          <w:szCs w:val="22"/>
          <w:lang w:val="es-CO"/>
        </w:rPr>
        <w:t xml:space="preserve">concepto del 6 de abril </w:t>
      </w:r>
      <w:r>
        <w:rPr>
          <w:rFonts w:ascii="Verdana" w:hAnsi="Verdana" w:cs="Arial"/>
          <w:color w:val="000000" w:themeColor="text1"/>
          <w:sz w:val="16"/>
          <w:szCs w:val="22"/>
          <w:lang w:val="es-CO"/>
        </w:rPr>
        <w:t>de 2000, C</w:t>
      </w:r>
      <w:r w:rsidRPr="003A1844">
        <w:rPr>
          <w:rFonts w:ascii="Verdana" w:hAnsi="Verdana" w:cs="Arial"/>
          <w:color w:val="000000" w:themeColor="text1"/>
          <w:sz w:val="16"/>
          <w:szCs w:val="22"/>
          <w:lang w:val="es-CO"/>
        </w:rPr>
        <w:t>.P. Flavio Augusto Rodriguez Arce</w:t>
      </w:r>
      <w:r>
        <w:rPr>
          <w:rFonts w:ascii="Verdana" w:hAnsi="Verdana" w:cs="Arial"/>
          <w:color w:val="000000" w:themeColor="text1"/>
          <w:sz w:val="16"/>
          <w:szCs w:val="22"/>
          <w:lang w:val="es-CO"/>
        </w:rPr>
        <w:t>.</w:t>
      </w:r>
      <w:r w:rsidRPr="00C41B23">
        <w:rPr>
          <w:rFonts w:ascii="Verdana" w:hAnsi="Verdana" w:cs="Arial"/>
          <w:color w:val="000000" w:themeColor="text1"/>
          <w:sz w:val="16"/>
          <w:szCs w:val="22"/>
          <w:lang w:val="es-CO"/>
        </w:rPr>
        <w:t xml:space="preserve"> Rad. 1.263</w:t>
      </w:r>
      <w:r>
        <w:rPr>
          <w:rFonts w:ascii="Verdana" w:hAnsi="Verdana" w:cs="Arial"/>
          <w:color w:val="000000" w:themeColor="text1"/>
          <w:sz w:val="16"/>
          <w:szCs w:val="22"/>
          <w:lang w:val="es-CO"/>
        </w:rPr>
        <w:t>.</w:t>
      </w:r>
    </w:p>
  </w:footnote>
  <w:footnote w:id="10">
    <w:p w14:paraId="28D08347" w14:textId="77777777" w:rsidR="00E15938" w:rsidRPr="003A1844" w:rsidRDefault="00E15938" w:rsidP="00E15938">
      <w:pPr>
        <w:pStyle w:val="Textonotapie"/>
        <w:ind w:firstLine="709"/>
        <w:jc w:val="both"/>
        <w:rPr>
          <w:rFonts w:ascii="Verdana" w:hAnsi="Verdana" w:cs="Arial"/>
          <w:color w:val="000000" w:themeColor="text1"/>
          <w:sz w:val="16"/>
          <w:szCs w:val="22"/>
        </w:rPr>
      </w:pPr>
      <w:r w:rsidRPr="003A1844">
        <w:rPr>
          <w:rStyle w:val="Refdenotaalpie"/>
          <w:rFonts w:ascii="Verdana" w:hAnsi="Verdana" w:cs="Arial"/>
          <w:color w:val="000000" w:themeColor="text1"/>
          <w:sz w:val="16"/>
          <w:szCs w:val="22"/>
        </w:rPr>
        <w:footnoteRef/>
      </w:r>
      <w:r w:rsidRPr="003A1844">
        <w:rPr>
          <w:rFonts w:ascii="Verdana" w:hAnsi="Verdana" w:cs="Arial"/>
          <w:color w:val="000000" w:themeColor="text1"/>
          <w:sz w:val="16"/>
          <w:szCs w:val="22"/>
        </w:rPr>
        <w:t xml:space="preserve"> Ministerio de Salud y la Protección Social. Concepto del 16 de agosto de 2019. Expediente No. 201942301304712. </w:t>
      </w:r>
    </w:p>
  </w:footnote>
  <w:footnote w:id="11">
    <w:p w14:paraId="62490844" w14:textId="77777777" w:rsidR="00E15938" w:rsidRPr="00FD7E2D" w:rsidRDefault="00E15938" w:rsidP="00E15938">
      <w:pPr>
        <w:pStyle w:val="Textonotapie"/>
        <w:ind w:firstLine="709"/>
        <w:jc w:val="both"/>
        <w:rPr>
          <w:rFonts w:ascii="Verdana" w:hAnsi="Verdana" w:cs="Arial"/>
          <w:color w:val="000000" w:themeColor="text1"/>
          <w:sz w:val="16"/>
          <w:szCs w:val="22"/>
        </w:rPr>
      </w:pPr>
      <w:r w:rsidRPr="003A1844">
        <w:rPr>
          <w:rStyle w:val="Refdenotaalpie"/>
          <w:rFonts w:ascii="Verdana" w:hAnsi="Verdana" w:cs="Arial"/>
          <w:color w:val="000000" w:themeColor="text1"/>
          <w:sz w:val="16"/>
          <w:szCs w:val="22"/>
        </w:rPr>
        <w:footnoteRef/>
      </w:r>
      <w:r w:rsidRPr="003A1844">
        <w:rPr>
          <w:rFonts w:ascii="Verdana" w:hAnsi="Verdana" w:cs="Arial"/>
          <w:color w:val="000000" w:themeColor="text1"/>
          <w:sz w:val="16"/>
          <w:szCs w:val="22"/>
        </w:rPr>
        <w:t xml:space="preserve"> </w:t>
      </w:r>
      <w:r>
        <w:rPr>
          <w:rFonts w:ascii="Verdana" w:hAnsi="Verdana" w:cs="Arial"/>
          <w:color w:val="000000" w:themeColor="text1"/>
          <w:sz w:val="16"/>
          <w:szCs w:val="22"/>
        </w:rPr>
        <w:t>Consejo d</w:t>
      </w:r>
      <w:r w:rsidRPr="003A1844">
        <w:rPr>
          <w:rFonts w:ascii="Verdana" w:hAnsi="Verdana" w:cs="Arial"/>
          <w:color w:val="000000" w:themeColor="text1"/>
          <w:sz w:val="16"/>
          <w:szCs w:val="22"/>
        </w:rPr>
        <w:t>e Estado. Sección Tercera. Subsección A. Sentencia del 24 de octubre de 2016. C.P. Marta Nubia Velásquez Rico.</w:t>
      </w:r>
      <w:r>
        <w:rPr>
          <w:rFonts w:ascii="Verdana" w:hAnsi="Verdana" w:cs="Arial"/>
          <w:color w:val="000000" w:themeColor="text1"/>
          <w:sz w:val="16"/>
          <w:szCs w:val="22"/>
        </w:rPr>
        <w:t xml:space="preserve"> </w:t>
      </w:r>
      <w:r w:rsidRPr="00891A89">
        <w:rPr>
          <w:rFonts w:ascii="Verdana" w:hAnsi="Verdana" w:cs="Arial"/>
          <w:color w:val="000000" w:themeColor="text1"/>
          <w:sz w:val="16"/>
          <w:szCs w:val="22"/>
          <w:lang w:val="es-CO"/>
        </w:rPr>
        <w:t>Exp. 45.607.</w:t>
      </w:r>
    </w:p>
  </w:footnote>
  <w:footnote w:id="12">
    <w:p w14:paraId="26CF11DD" w14:textId="77777777" w:rsidR="00E15938" w:rsidRPr="003A1844" w:rsidRDefault="00E15938" w:rsidP="00E15938">
      <w:pPr>
        <w:pStyle w:val="Textonotapie"/>
        <w:ind w:firstLine="708"/>
        <w:jc w:val="both"/>
        <w:rPr>
          <w:rFonts w:ascii="Verdana" w:hAnsi="Verdana" w:cs="Arial"/>
          <w:color w:val="000000" w:themeColor="text1"/>
          <w:sz w:val="16"/>
          <w:szCs w:val="22"/>
        </w:rPr>
      </w:pPr>
      <w:r w:rsidRPr="003A1844">
        <w:rPr>
          <w:rStyle w:val="Refdenotaalpie"/>
          <w:rFonts w:ascii="Verdana" w:hAnsi="Verdana" w:cs="Arial"/>
          <w:color w:val="000000" w:themeColor="text1"/>
          <w:sz w:val="16"/>
          <w:szCs w:val="22"/>
        </w:rPr>
        <w:footnoteRef/>
      </w:r>
      <w:r w:rsidRPr="003A1844">
        <w:rPr>
          <w:rFonts w:ascii="Verdana" w:hAnsi="Verdana" w:cs="Arial"/>
          <w:color w:val="000000" w:themeColor="text1"/>
          <w:sz w:val="16"/>
          <w:szCs w:val="22"/>
        </w:rPr>
        <w:t xml:space="preserve"> HINESTROSA FORERO, Fernando. Tratado de las Obligaciones II. De las fuentes de las obligacion</w:t>
      </w:r>
      <w:r>
        <w:rPr>
          <w:rFonts w:ascii="Verdana" w:hAnsi="Verdana" w:cs="Arial"/>
          <w:color w:val="000000" w:themeColor="text1"/>
          <w:sz w:val="16"/>
          <w:szCs w:val="22"/>
        </w:rPr>
        <w:t>es: el negocio jurídico. Vol.</w:t>
      </w:r>
      <w:r w:rsidRPr="003A1844">
        <w:rPr>
          <w:rFonts w:ascii="Verdana" w:hAnsi="Verdana" w:cs="Arial"/>
          <w:color w:val="000000" w:themeColor="text1"/>
          <w:sz w:val="16"/>
          <w:szCs w:val="22"/>
        </w:rPr>
        <w:t xml:space="preserve"> I. Bogotá: Universidad Externado de Colombia, 2015. p. 116.  </w:t>
      </w:r>
    </w:p>
  </w:footnote>
  <w:footnote w:id="13">
    <w:p w14:paraId="70ED1A1B" w14:textId="77777777" w:rsidR="00E15938" w:rsidRPr="003A1844" w:rsidRDefault="00E15938" w:rsidP="00E15938">
      <w:pPr>
        <w:pStyle w:val="Textonotapie"/>
        <w:ind w:firstLine="708"/>
        <w:jc w:val="both"/>
        <w:rPr>
          <w:rFonts w:ascii="Verdana" w:hAnsi="Verdana" w:cs="Arial"/>
          <w:sz w:val="16"/>
          <w:szCs w:val="22"/>
        </w:rPr>
      </w:pPr>
      <w:r w:rsidRPr="003A1844">
        <w:rPr>
          <w:rStyle w:val="Refdenotaalpie"/>
          <w:rFonts w:ascii="Verdana" w:hAnsi="Verdana" w:cs="Arial"/>
          <w:sz w:val="16"/>
          <w:szCs w:val="22"/>
        </w:rPr>
        <w:footnoteRef/>
      </w:r>
      <w:r w:rsidRPr="003A1844">
        <w:rPr>
          <w:rFonts w:ascii="Verdana" w:hAnsi="Verdana" w:cs="Arial"/>
          <w:sz w:val="16"/>
          <w:szCs w:val="22"/>
        </w:rPr>
        <w:t xml:space="preserve"> Cfr. Colombia Compra Eficiente. Subdirección de Gestión Contractual. Concep</w:t>
      </w:r>
      <w:r>
        <w:rPr>
          <w:rFonts w:ascii="Verdana" w:hAnsi="Verdana" w:cs="Arial"/>
          <w:sz w:val="16"/>
          <w:szCs w:val="22"/>
        </w:rPr>
        <w:t>to C-362 del 3 de julio de 2020.</w:t>
      </w:r>
      <w:r w:rsidRPr="003A1844">
        <w:rPr>
          <w:rFonts w:ascii="Verdana" w:hAnsi="Verdana" w:cs="Arial"/>
          <w:sz w:val="16"/>
          <w:szCs w:val="22"/>
        </w:rPr>
        <w:t xml:space="preserve"> Pág. 9.</w:t>
      </w:r>
    </w:p>
  </w:footnote>
  <w:footnote w:id="14">
    <w:p w14:paraId="530F814F" w14:textId="77777777" w:rsidR="00E15938" w:rsidRPr="003A1844" w:rsidRDefault="00E15938" w:rsidP="00E15938">
      <w:pPr>
        <w:spacing w:after="0" w:line="240" w:lineRule="auto"/>
        <w:ind w:firstLine="708"/>
        <w:jc w:val="both"/>
        <w:rPr>
          <w:rFonts w:ascii="Verdana" w:hAnsi="Verdana" w:cs="Arial"/>
          <w:sz w:val="16"/>
        </w:rPr>
      </w:pPr>
      <w:r w:rsidRPr="003A1844">
        <w:rPr>
          <w:rStyle w:val="Refdenotaalpie"/>
          <w:rFonts w:ascii="Verdana" w:hAnsi="Verdana" w:cs="Arial"/>
          <w:sz w:val="16"/>
        </w:rPr>
        <w:footnoteRef/>
      </w:r>
      <w:r w:rsidRPr="003A1844">
        <w:rPr>
          <w:rFonts w:ascii="Verdana" w:hAnsi="Verdana" w:cs="Arial"/>
          <w:sz w:val="16"/>
        </w:rPr>
        <w:t xml:space="preserve"> “La</w:t>
      </w:r>
      <w:r w:rsidRPr="003A1844">
        <w:rPr>
          <w:rFonts w:ascii="Verdana" w:hAnsi="Verdana" w:cs="Arial"/>
          <w:spacing w:val="-12"/>
          <w:sz w:val="16"/>
        </w:rPr>
        <w:t xml:space="preserve"> </w:t>
      </w:r>
      <w:r w:rsidRPr="003A1844">
        <w:rPr>
          <w:rFonts w:ascii="Verdana" w:hAnsi="Verdana" w:cs="Arial"/>
          <w:sz w:val="16"/>
        </w:rPr>
        <w:t>fuerza</w:t>
      </w:r>
      <w:r w:rsidRPr="003A1844">
        <w:rPr>
          <w:rFonts w:ascii="Verdana" w:hAnsi="Verdana" w:cs="Arial"/>
          <w:spacing w:val="-12"/>
          <w:sz w:val="16"/>
        </w:rPr>
        <w:t xml:space="preserve"> </w:t>
      </w:r>
      <w:r w:rsidRPr="003A1844">
        <w:rPr>
          <w:rFonts w:ascii="Verdana" w:hAnsi="Verdana" w:cs="Arial"/>
          <w:sz w:val="16"/>
        </w:rPr>
        <w:t>vinculante</w:t>
      </w:r>
      <w:r w:rsidRPr="003A1844">
        <w:rPr>
          <w:rFonts w:ascii="Verdana" w:hAnsi="Verdana" w:cs="Arial"/>
          <w:spacing w:val="-12"/>
          <w:sz w:val="16"/>
        </w:rPr>
        <w:t xml:space="preserve"> </w:t>
      </w:r>
      <w:r w:rsidRPr="003A1844">
        <w:rPr>
          <w:rFonts w:ascii="Verdana" w:hAnsi="Verdana" w:cs="Arial"/>
          <w:sz w:val="16"/>
        </w:rPr>
        <w:t>de</w:t>
      </w:r>
      <w:r w:rsidRPr="003A1844">
        <w:rPr>
          <w:rFonts w:ascii="Verdana" w:hAnsi="Verdana" w:cs="Arial"/>
          <w:spacing w:val="-11"/>
          <w:sz w:val="16"/>
        </w:rPr>
        <w:t xml:space="preserve"> </w:t>
      </w:r>
      <w:r w:rsidRPr="003A1844">
        <w:rPr>
          <w:rFonts w:ascii="Verdana" w:hAnsi="Verdana" w:cs="Arial"/>
          <w:sz w:val="16"/>
        </w:rPr>
        <w:t>los</w:t>
      </w:r>
      <w:r w:rsidRPr="003A1844">
        <w:rPr>
          <w:rFonts w:ascii="Verdana" w:hAnsi="Verdana" w:cs="Arial"/>
          <w:spacing w:val="-12"/>
          <w:sz w:val="16"/>
        </w:rPr>
        <w:t xml:space="preserve"> </w:t>
      </w:r>
      <w:r w:rsidRPr="003A1844">
        <w:rPr>
          <w:rFonts w:ascii="Verdana" w:hAnsi="Verdana" w:cs="Arial"/>
          <w:sz w:val="16"/>
        </w:rPr>
        <w:t>reglamentos</w:t>
      </w:r>
      <w:r w:rsidRPr="003A1844">
        <w:rPr>
          <w:rFonts w:ascii="Verdana" w:hAnsi="Verdana" w:cs="Arial"/>
          <w:spacing w:val="-12"/>
          <w:sz w:val="16"/>
        </w:rPr>
        <w:t xml:space="preserve"> </w:t>
      </w:r>
      <w:r w:rsidRPr="003A1844">
        <w:rPr>
          <w:rFonts w:ascii="Verdana" w:hAnsi="Verdana" w:cs="Arial"/>
          <w:sz w:val="16"/>
        </w:rPr>
        <w:t>–tanto</w:t>
      </w:r>
      <w:r w:rsidRPr="003A1844">
        <w:rPr>
          <w:rFonts w:ascii="Verdana" w:hAnsi="Verdana" w:cs="Arial"/>
          <w:spacing w:val="-12"/>
          <w:sz w:val="16"/>
        </w:rPr>
        <w:t xml:space="preserve"> </w:t>
      </w:r>
      <w:r w:rsidRPr="003A1844">
        <w:rPr>
          <w:rFonts w:ascii="Verdana" w:hAnsi="Verdana" w:cs="Arial"/>
          <w:sz w:val="16"/>
        </w:rPr>
        <w:t>para</w:t>
      </w:r>
      <w:r w:rsidRPr="003A1844">
        <w:rPr>
          <w:rFonts w:ascii="Verdana" w:hAnsi="Verdana" w:cs="Arial"/>
          <w:spacing w:val="-12"/>
          <w:sz w:val="16"/>
        </w:rPr>
        <w:t xml:space="preserve"> </w:t>
      </w:r>
      <w:r w:rsidRPr="003A1844">
        <w:rPr>
          <w:rFonts w:ascii="Verdana" w:hAnsi="Verdana" w:cs="Arial"/>
          <w:sz w:val="16"/>
        </w:rPr>
        <w:t>los</w:t>
      </w:r>
      <w:r w:rsidRPr="003A1844">
        <w:rPr>
          <w:rFonts w:ascii="Verdana" w:hAnsi="Verdana" w:cs="Arial"/>
          <w:spacing w:val="-11"/>
          <w:sz w:val="16"/>
        </w:rPr>
        <w:t xml:space="preserve"> </w:t>
      </w:r>
      <w:r w:rsidRPr="003A1844">
        <w:rPr>
          <w:rFonts w:ascii="Verdana" w:hAnsi="Verdana" w:cs="Arial"/>
          <w:sz w:val="16"/>
        </w:rPr>
        <w:t>administrados</w:t>
      </w:r>
      <w:r w:rsidRPr="003A1844">
        <w:rPr>
          <w:rFonts w:ascii="Verdana" w:hAnsi="Verdana" w:cs="Arial"/>
          <w:spacing w:val="-12"/>
          <w:sz w:val="16"/>
        </w:rPr>
        <w:t xml:space="preserve"> </w:t>
      </w:r>
      <w:r w:rsidRPr="003A1844">
        <w:rPr>
          <w:rFonts w:ascii="Verdana" w:hAnsi="Verdana" w:cs="Arial"/>
          <w:sz w:val="16"/>
        </w:rPr>
        <w:t>como</w:t>
      </w:r>
      <w:r w:rsidRPr="003A1844">
        <w:rPr>
          <w:rFonts w:ascii="Verdana" w:hAnsi="Verdana" w:cs="Arial"/>
          <w:spacing w:val="-12"/>
          <w:sz w:val="16"/>
        </w:rPr>
        <w:t xml:space="preserve"> </w:t>
      </w:r>
      <w:r w:rsidRPr="003A1844">
        <w:rPr>
          <w:rFonts w:ascii="Verdana" w:hAnsi="Verdana" w:cs="Arial"/>
          <w:sz w:val="16"/>
        </w:rPr>
        <w:t>para</w:t>
      </w:r>
      <w:r w:rsidRPr="003A1844">
        <w:rPr>
          <w:rFonts w:ascii="Verdana" w:hAnsi="Verdana" w:cs="Arial"/>
          <w:spacing w:val="-12"/>
          <w:sz w:val="16"/>
        </w:rPr>
        <w:t xml:space="preserve"> </w:t>
      </w:r>
      <w:r w:rsidRPr="003A1844">
        <w:rPr>
          <w:rFonts w:ascii="Verdana" w:hAnsi="Verdana" w:cs="Arial"/>
          <w:sz w:val="16"/>
        </w:rPr>
        <w:t>la</w:t>
      </w:r>
      <w:r w:rsidRPr="003A1844">
        <w:rPr>
          <w:rFonts w:ascii="Verdana" w:hAnsi="Verdana" w:cs="Arial"/>
          <w:spacing w:val="-12"/>
          <w:sz w:val="16"/>
        </w:rPr>
        <w:t xml:space="preserve"> </w:t>
      </w:r>
      <w:r w:rsidRPr="003A1844">
        <w:rPr>
          <w:rFonts w:ascii="Verdana" w:hAnsi="Verdana" w:cs="Arial"/>
          <w:sz w:val="16"/>
        </w:rPr>
        <w:t>propia</w:t>
      </w:r>
      <w:r w:rsidRPr="003A1844">
        <w:rPr>
          <w:rFonts w:ascii="Verdana" w:hAnsi="Verdana" w:cs="Arial"/>
          <w:spacing w:val="-50"/>
          <w:sz w:val="16"/>
        </w:rPr>
        <w:t xml:space="preserve"> </w:t>
      </w:r>
      <w:r w:rsidRPr="003A1844">
        <w:rPr>
          <w:rFonts w:ascii="Verdana" w:hAnsi="Verdana" w:cs="Arial"/>
          <w:sz w:val="16"/>
        </w:rPr>
        <w:t>administración– surge del hecho de ser una norma jurídica, y de compartir la naturaleza del acto</w:t>
      </w:r>
      <w:r w:rsidRPr="003A1844">
        <w:rPr>
          <w:rFonts w:ascii="Verdana" w:hAnsi="Verdana" w:cs="Arial"/>
          <w:spacing w:val="1"/>
          <w:sz w:val="16"/>
        </w:rPr>
        <w:t xml:space="preserve"> </w:t>
      </w:r>
      <w:r w:rsidRPr="003A1844">
        <w:rPr>
          <w:rFonts w:ascii="Verdana" w:hAnsi="Verdana" w:cs="Arial"/>
          <w:sz w:val="16"/>
        </w:rPr>
        <w:t>administrativo,</w:t>
      </w:r>
      <w:r w:rsidRPr="003A1844">
        <w:rPr>
          <w:rFonts w:ascii="Verdana" w:hAnsi="Verdana" w:cs="Arial"/>
          <w:spacing w:val="-4"/>
          <w:sz w:val="16"/>
        </w:rPr>
        <w:t xml:space="preserve"> </w:t>
      </w:r>
      <w:r w:rsidRPr="003A1844">
        <w:rPr>
          <w:rFonts w:ascii="Verdana" w:hAnsi="Verdana" w:cs="Arial"/>
          <w:sz w:val="16"/>
        </w:rPr>
        <w:t>luego,</w:t>
      </w:r>
      <w:r w:rsidRPr="003A1844">
        <w:rPr>
          <w:rFonts w:ascii="Verdana" w:hAnsi="Verdana" w:cs="Arial"/>
          <w:spacing w:val="-4"/>
          <w:sz w:val="16"/>
        </w:rPr>
        <w:t xml:space="preserve"> </w:t>
      </w:r>
      <w:r w:rsidRPr="003A1844">
        <w:rPr>
          <w:rFonts w:ascii="Verdana" w:hAnsi="Verdana" w:cs="Arial"/>
          <w:sz w:val="16"/>
        </w:rPr>
        <w:t>de</w:t>
      </w:r>
      <w:r w:rsidRPr="003A1844">
        <w:rPr>
          <w:rFonts w:ascii="Verdana" w:hAnsi="Verdana" w:cs="Arial"/>
          <w:spacing w:val="-4"/>
          <w:sz w:val="16"/>
        </w:rPr>
        <w:t xml:space="preserve"> </w:t>
      </w:r>
      <w:r w:rsidRPr="003A1844">
        <w:rPr>
          <w:rFonts w:ascii="Verdana" w:hAnsi="Verdana" w:cs="Arial"/>
          <w:sz w:val="16"/>
        </w:rPr>
        <w:t>allí</w:t>
      </w:r>
      <w:r w:rsidRPr="003A1844">
        <w:rPr>
          <w:rFonts w:ascii="Verdana" w:hAnsi="Verdana" w:cs="Arial"/>
          <w:spacing w:val="-4"/>
          <w:sz w:val="16"/>
        </w:rPr>
        <w:t xml:space="preserve"> </w:t>
      </w:r>
      <w:r w:rsidRPr="003A1844">
        <w:rPr>
          <w:rFonts w:ascii="Verdana" w:hAnsi="Verdana" w:cs="Arial"/>
          <w:sz w:val="16"/>
        </w:rPr>
        <w:t>también</w:t>
      </w:r>
      <w:r w:rsidRPr="003A1844">
        <w:rPr>
          <w:rFonts w:ascii="Verdana" w:hAnsi="Verdana" w:cs="Arial"/>
          <w:spacing w:val="-4"/>
          <w:sz w:val="16"/>
        </w:rPr>
        <w:t xml:space="preserve"> </w:t>
      </w:r>
      <w:r w:rsidRPr="003A1844">
        <w:rPr>
          <w:rFonts w:ascii="Verdana" w:hAnsi="Verdana" w:cs="Arial"/>
          <w:sz w:val="16"/>
        </w:rPr>
        <w:t>se</w:t>
      </w:r>
      <w:r w:rsidRPr="003A1844">
        <w:rPr>
          <w:rFonts w:ascii="Verdana" w:hAnsi="Verdana" w:cs="Arial"/>
          <w:spacing w:val="-4"/>
          <w:sz w:val="16"/>
        </w:rPr>
        <w:t xml:space="preserve"> </w:t>
      </w:r>
      <w:r w:rsidRPr="003A1844">
        <w:rPr>
          <w:rFonts w:ascii="Verdana" w:hAnsi="Verdana" w:cs="Arial"/>
          <w:sz w:val="16"/>
        </w:rPr>
        <w:t>desprende</w:t>
      </w:r>
      <w:r w:rsidRPr="003A1844">
        <w:rPr>
          <w:rFonts w:ascii="Verdana" w:hAnsi="Verdana" w:cs="Arial"/>
          <w:spacing w:val="-4"/>
          <w:sz w:val="16"/>
        </w:rPr>
        <w:t xml:space="preserve"> </w:t>
      </w:r>
      <w:r w:rsidRPr="003A1844">
        <w:rPr>
          <w:rFonts w:ascii="Verdana" w:hAnsi="Verdana" w:cs="Arial"/>
          <w:sz w:val="16"/>
        </w:rPr>
        <w:t>que</w:t>
      </w:r>
      <w:r w:rsidRPr="003A1844">
        <w:rPr>
          <w:rFonts w:ascii="Verdana" w:hAnsi="Verdana" w:cs="Arial"/>
          <w:spacing w:val="-3"/>
          <w:sz w:val="16"/>
        </w:rPr>
        <w:t xml:space="preserve"> </w:t>
      </w:r>
      <w:r w:rsidRPr="003A1844">
        <w:rPr>
          <w:rFonts w:ascii="Verdana" w:hAnsi="Verdana" w:cs="Arial"/>
          <w:sz w:val="16"/>
        </w:rPr>
        <w:t>se</w:t>
      </w:r>
      <w:r w:rsidRPr="003A1844">
        <w:rPr>
          <w:rFonts w:ascii="Verdana" w:hAnsi="Verdana" w:cs="Arial"/>
          <w:spacing w:val="-4"/>
          <w:sz w:val="16"/>
        </w:rPr>
        <w:t xml:space="preserve"> </w:t>
      </w:r>
      <w:r w:rsidRPr="003A1844">
        <w:rPr>
          <w:rFonts w:ascii="Verdana" w:hAnsi="Verdana" w:cs="Arial"/>
          <w:sz w:val="16"/>
        </w:rPr>
        <w:t>presuman</w:t>
      </w:r>
      <w:r w:rsidRPr="003A1844">
        <w:rPr>
          <w:rFonts w:ascii="Verdana" w:hAnsi="Verdana" w:cs="Arial"/>
          <w:spacing w:val="-4"/>
          <w:sz w:val="16"/>
        </w:rPr>
        <w:t xml:space="preserve"> </w:t>
      </w:r>
      <w:r w:rsidRPr="003A1844">
        <w:rPr>
          <w:rFonts w:ascii="Verdana" w:hAnsi="Verdana" w:cs="Arial"/>
          <w:sz w:val="16"/>
        </w:rPr>
        <w:t>legales</w:t>
      </w:r>
      <w:r w:rsidRPr="003A1844">
        <w:rPr>
          <w:rFonts w:ascii="Verdana" w:hAnsi="Verdana" w:cs="Arial"/>
          <w:spacing w:val="-4"/>
          <w:sz w:val="16"/>
        </w:rPr>
        <w:t xml:space="preserve"> </w:t>
      </w:r>
      <w:r w:rsidRPr="003A1844">
        <w:rPr>
          <w:rFonts w:ascii="Verdana" w:hAnsi="Verdana" w:cs="Arial"/>
          <w:sz w:val="16"/>
        </w:rPr>
        <w:t>y</w:t>
      </w:r>
      <w:r w:rsidRPr="003A1844">
        <w:rPr>
          <w:rFonts w:ascii="Verdana" w:hAnsi="Verdana" w:cs="Arial"/>
          <w:spacing w:val="-4"/>
          <w:sz w:val="16"/>
        </w:rPr>
        <w:t xml:space="preserve"> </w:t>
      </w:r>
      <w:r w:rsidRPr="003A1844">
        <w:rPr>
          <w:rFonts w:ascii="Verdana" w:hAnsi="Verdana" w:cs="Arial"/>
          <w:sz w:val="16"/>
        </w:rPr>
        <w:t>sean</w:t>
      </w:r>
      <w:r w:rsidRPr="003A1844">
        <w:rPr>
          <w:rFonts w:ascii="Verdana" w:hAnsi="Verdana" w:cs="Arial"/>
          <w:spacing w:val="-4"/>
          <w:sz w:val="16"/>
        </w:rPr>
        <w:t xml:space="preserve"> </w:t>
      </w:r>
      <w:r w:rsidRPr="003A1844">
        <w:rPr>
          <w:rFonts w:ascii="Verdana" w:hAnsi="Verdana" w:cs="Arial"/>
          <w:sz w:val="16"/>
        </w:rPr>
        <w:t>ejecutorios.</w:t>
      </w:r>
    </w:p>
    <w:p w14:paraId="14E08526" w14:textId="77777777" w:rsidR="00E15938" w:rsidRPr="003A1844" w:rsidRDefault="00E15938" w:rsidP="00E15938">
      <w:pPr>
        <w:spacing w:after="0" w:line="240" w:lineRule="auto"/>
        <w:ind w:firstLine="708"/>
        <w:jc w:val="both"/>
        <w:rPr>
          <w:rFonts w:ascii="Verdana" w:hAnsi="Verdana" w:cs="Arial"/>
          <w:sz w:val="16"/>
        </w:rPr>
      </w:pPr>
      <w:r w:rsidRPr="003A1844">
        <w:rPr>
          <w:rFonts w:ascii="Verdana" w:hAnsi="Verdana" w:cs="Arial"/>
          <w:sz w:val="16"/>
        </w:rPr>
        <w:t>Por esta misma razón, la doctrina española –con especial fuerza– ha señalado que su</w:t>
      </w:r>
      <w:r w:rsidRPr="003A1844">
        <w:rPr>
          <w:rFonts w:ascii="Verdana" w:hAnsi="Verdana" w:cs="Arial"/>
          <w:spacing w:val="1"/>
          <w:sz w:val="16"/>
        </w:rPr>
        <w:t xml:space="preserve"> </w:t>
      </w:r>
      <w:r w:rsidRPr="003A1844">
        <w:rPr>
          <w:rFonts w:ascii="Verdana" w:hAnsi="Verdana" w:cs="Arial"/>
          <w:sz w:val="16"/>
        </w:rPr>
        <w:t>observancia</w:t>
      </w:r>
      <w:r w:rsidRPr="003A1844">
        <w:rPr>
          <w:rFonts w:ascii="Verdana" w:hAnsi="Verdana" w:cs="Arial"/>
          <w:spacing w:val="-5"/>
          <w:sz w:val="16"/>
        </w:rPr>
        <w:t xml:space="preserve"> </w:t>
      </w:r>
      <w:r w:rsidRPr="003A1844">
        <w:rPr>
          <w:rFonts w:ascii="Verdana" w:hAnsi="Verdana" w:cs="Arial"/>
          <w:sz w:val="16"/>
        </w:rPr>
        <w:t>no</w:t>
      </w:r>
      <w:r w:rsidRPr="003A1844">
        <w:rPr>
          <w:rFonts w:ascii="Verdana" w:hAnsi="Verdana" w:cs="Arial"/>
          <w:spacing w:val="-4"/>
          <w:sz w:val="16"/>
        </w:rPr>
        <w:t xml:space="preserve"> </w:t>
      </w:r>
      <w:r w:rsidRPr="003A1844">
        <w:rPr>
          <w:rFonts w:ascii="Verdana" w:hAnsi="Verdana" w:cs="Arial"/>
          <w:sz w:val="16"/>
        </w:rPr>
        <w:t>queda</w:t>
      </w:r>
      <w:r w:rsidRPr="003A1844">
        <w:rPr>
          <w:rFonts w:ascii="Verdana" w:hAnsi="Verdana" w:cs="Arial"/>
          <w:spacing w:val="-5"/>
          <w:sz w:val="16"/>
        </w:rPr>
        <w:t xml:space="preserve"> </w:t>
      </w:r>
      <w:r w:rsidRPr="003A1844">
        <w:rPr>
          <w:rFonts w:ascii="Verdana" w:hAnsi="Verdana" w:cs="Arial"/>
          <w:sz w:val="16"/>
        </w:rPr>
        <w:t>al</w:t>
      </w:r>
      <w:r w:rsidRPr="003A1844">
        <w:rPr>
          <w:rFonts w:ascii="Verdana" w:hAnsi="Verdana" w:cs="Arial"/>
          <w:spacing w:val="-4"/>
          <w:sz w:val="16"/>
        </w:rPr>
        <w:t xml:space="preserve"> </w:t>
      </w:r>
      <w:r w:rsidRPr="003A1844">
        <w:rPr>
          <w:rFonts w:ascii="Verdana" w:hAnsi="Verdana" w:cs="Arial"/>
          <w:sz w:val="16"/>
        </w:rPr>
        <w:t>capricho</w:t>
      </w:r>
      <w:r w:rsidRPr="003A1844">
        <w:rPr>
          <w:rFonts w:ascii="Verdana" w:hAnsi="Verdana" w:cs="Arial"/>
          <w:spacing w:val="-5"/>
          <w:sz w:val="16"/>
        </w:rPr>
        <w:t xml:space="preserve"> </w:t>
      </w:r>
      <w:r w:rsidRPr="003A1844">
        <w:rPr>
          <w:rFonts w:ascii="Verdana" w:hAnsi="Verdana" w:cs="Arial"/>
          <w:sz w:val="16"/>
        </w:rPr>
        <w:t>del</w:t>
      </w:r>
      <w:r w:rsidRPr="003A1844">
        <w:rPr>
          <w:rFonts w:ascii="Verdana" w:hAnsi="Verdana" w:cs="Arial"/>
          <w:spacing w:val="-4"/>
          <w:sz w:val="16"/>
        </w:rPr>
        <w:t xml:space="preserve"> </w:t>
      </w:r>
      <w:r w:rsidRPr="003A1844">
        <w:rPr>
          <w:rFonts w:ascii="Verdana" w:hAnsi="Verdana" w:cs="Arial"/>
          <w:sz w:val="16"/>
        </w:rPr>
        <w:t>órgano</w:t>
      </w:r>
      <w:r w:rsidRPr="003A1844">
        <w:rPr>
          <w:rFonts w:ascii="Verdana" w:hAnsi="Verdana" w:cs="Arial"/>
          <w:spacing w:val="-5"/>
          <w:sz w:val="16"/>
        </w:rPr>
        <w:t xml:space="preserve"> </w:t>
      </w:r>
      <w:r w:rsidRPr="003A1844">
        <w:rPr>
          <w:rFonts w:ascii="Verdana" w:hAnsi="Verdana" w:cs="Arial"/>
          <w:sz w:val="16"/>
        </w:rPr>
        <w:t>que</w:t>
      </w:r>
      <w:r w:rsidRPr="003A1844">
        <w:rPr>
          <w:rFonts w:ascii="Verdana" w:hAnsi="Verdana" w:cs="Arial"/>
          <w:spacing w:val="-4"/>
          <w:sz w:val="16"/>
        </w:rPr>
        <w:t xml:space="preserve"> </w:t>
      </w:r>
      <w:r w:rsidRPr="003A1844">
        <w:rPr>
          <w:rFonts w:ascii="Verdana" w:hAnsi="Verdana" w:cs="Arial"/>
          <w:sz w:val="16"/>
        </w:rPr>
        <w:t>la</w:t>
      </w:r>
      <w:r w:rsidRPr="003A1844">
        <w:rPr>
          <w:rFonts w:ascii="Verdana" w:hAnsi="Verdana" w:cs="Arial"/>
          <w:spacing w:val="-5"/>
          <w:sz w:val="16"/>
        </w:rPr>
        <w:t xml:space="preserve"> </w:t>
      </w:r>
      <w:r w:rsidRPr="003A1844">
        <w:rPr>
          <w:rFonts w:ascii="Verdana" w:hAnsi="Verdana" w:cs="Arial"/>
          <w:sz w:val="16"/>
        </w:rPr>
        <w:t>expidió,</w:t>
      </w:r>
      <w:r w:rsidRPr="003A1844">
        <w:rPr>
          <w:rFonts w:ascii="Verdana" w:hAnsi="Verdana" w:cs="Arial"/>
          <w:spacing w:val="-4"/>
          <w:sz w:val="16"/>
        </w:rPr>
        <w:t xml:space="preserve"> </w:t>
      </w:r>
      <w:r w:rsidRPr="003A1844">
        <w:rPr>
          <w:rFonts w:ascii="Verdana" w:hAnsi="Verdana" w:cs="Arial"/>
          <w:sz w:val="16"/>
        </w:rPr>
        <w:t>pues</w:t>
      </w:r>
      <w:r w:rsidRPr="003A1844">
        <w:rPr>
          <w:rFonts w:ascii="Verdana" w:hAnsi="Verdana" w:cs="Arial"/>
          <w:spacing w:val="-5"/>
          <w:sz w:val="16"/>
        </w:rPr>
        <w:t xml:space="preserve"> </w:t>
      </w:r>
      <w:r w:rsidRPr="003A1844">
        <w:rPr>
          <w:rFonts w:ascii="Verdana" w:hAnsi="Verdana" w:cs="Arial"/>
          <w:sz w:val="16"/>
        </w:rPr>
        <w:t>si</w:t>
      </w:r>
      <w:r w:rsidRPr="003A1844">
        <w:rPr>
          <w:rFonts w:ascii="Verdana" w:hAnsi="Verdana" w:cs="Arial"/>
          <w:spacing w:val="-4"/>
          <w:sz w:val="16"/>
        </w:rPr>
        <w:t xml:space="preserve"> </w:t>
      </w:r>
      <w:r w:rsidRPr="003A1844">
        <w:rPr>
          <w:rFonts w:ascii="Verdana" w:hAnsi="Verdana" w:cs="Arial"/>
          <w:sz w:val="16"/>
        </w:rPr>
        <w:t>quisiera</w:t>
      </w:r>
      <w:r w:rsidRPr="003A1844">
        <w:rPr>
          <w:rFonts w:ascii="Verdana" w:hAnsi="Verdana" w:cs="Arial"/>
          <w:spacing w:val="-5"/>
          <w:sz w:val="16"/>
        </w:rPr>
        <w:t xml:space="preserve"> </w:t>
      </w:r>
      <w:r w:rsidRPr="003A1844">
        <w:rPr>
          <w:rFonts w:ascii="Verdana" w:hAnsi="Verdana" w:cs="Arial"/>
          <w:sz w:val="16"/>
        </w:rPr>
        <w:t>él</w:t>
      </w:r>
      <w:r w:rsidRPr="003A1844">
        <w:rPr>
          <w:rFonts w:ascii="Verdana" w:hAnsi="Verdana" w:cs="Arial"/>
          <w:spacing w:val="-4"/>
          <w:sz w:val="16"/>
        </w:rPr>
        <w:t xml:space="preserve"> </w:t>
      </w:r>
      <w:r w:rsidRPr="003A1844">
        <w:rPr>
          <w:rFonts w:ascii="Verdana" w:hAnsi="Verdana" w:cs="Arial"/>
          <w:sz w:val="16"/>
        </w:rPr>
        <w:t>lo</w:t>
      </w:r>
      <w:r w:rsidRPr="003A1844">
        <w:rPr>
          <w:rFonts w:ascii="Verdana" w:hAnsi="Verdana" w:cs="Arial"/>
          <w:spacing w:val="-4"/>
          <w:sz w:val="16"/>
        </w:rPr>
        <w:t xml:space="preserve"> </w:t>
      </w:r>
      <w:r w:rsidRPr="003A1844">
        <w:rPr>
          <w:rFonts w:ascii="Verdana" w:hAnsi="Verdana" w:cs="Arial"/>
          <w:sz w:val="16"/>
        </w:rPr>
        <w:t>puede</w:t>
      </w:r>
      <w:r w:rsidRPr="003A1844">
        <w:rPr>
          <w:rFonts w:ascii="Verdana" w:hAnsi="Verdana" w:cs="Arial"/>
          <w:spacing w:val="-5"/>
          <w:sz w:val="16"/>
        </w:rPr>
        <w:t xml:space="preserve"> </w:t>
      </w:r>
      <w:r w:rsidRPr="003A1844">
        <w:rPr>
          <w:rFonts w:ascii="Verdana" w:hAnsi="Verdana" w:cs="Arial"/>
          <w:sz w:val="16"/>
        </w:rPr>
        <w:t>desconocer.</w:t>
      </w:r>
      <w:r w:rsidRPr="003A1844">
        <w:rPr>
          <w:rFonts w:ascii="Verdana" w:hAnsi="Verdana" w:cs="Arial"/>
          <w:spacing w:val="1"/>
          <w:sz w:val="16"/>
        </w:rPr>
        <w:t xml:space="preserve"> </w:t>
      </w:r>
      <w:r w:rsidRPr="003A1844">
        <w:rPr>
          <w:rFonts w:ascii="Verdana" w:hAnsi="Verdana" w:cs="Arial"/>
          <w:sz w:val="16"/>
        </w:rPr>
        <w:t>De algún modo, como acontece con todo acto administrativo, el acto cobra vida propia, y autonomía</w:t>
      </w:r>
      <w:r w:rsidRPr="003A1844">
        <w:rPr>
          <w:rFonts w:ascii="Verdana" w:hAnsi="Verdana" w:cs="Arial"/>
          <w:spacing w:val="1"/>
          <w:sz w:val="16"/>
        </w:rPr>
        <w:t xml:space="preserve"> </w:t>
      </w:r>
      <w:r w:rsidRPr="003A1844">
        <w:rPr>
          <w:rFonts w:ascii="Verdana" w:hAnsi="Verdana" w:cs="Arial"/>
          <w:sz w:val="16"/>
        </w:rPr>
        <w:t>en</w:t>
      </w:r>
      <w:r w:rsidRPr="003A1844">
        <w:rPr>
          <w:rFonts w:ascii="Verdana" w:hAnsi="Verdana" w:cs="Arial"/>
          <w:spacing w:val="-7"/>
          <w:sz w:val="16"/>
        </w:rPr>
        <w:t xml:space="preserve"> </w:t>
      </w:r>
      <w:r w:rsidRPr="003A1844">
        <w:rPr>
          <w:rFonts w:ascii="Verdana" w:hAnsi="Verdana" w:cs="Arial"/>
          <w:sz w:val="16"/>
        </w:rPr>
        <w:t>relación</w:t>
      </w:r>
      <w:r w:rsidRPr="003A1844">
        <w:rPr>
          <w:rFonts w:ascii="Verdana" w:hAnsi="Verdana" w:cs="Arial"/>
          <w:spacing w:val="-7"/>
          <w:sz w:val="16"/>
        </w:rPr>
        <w:t xml:space="preserve"> </w:t>
      </w:r>
      <w:r w:rsidRPr="003A1844">
        <w:rPr>
          <w:rFonts w:ascii="Verdana" w:hAnsi="Verdana" w:cs="Arial"/>
          <w:sz w:val="16"/>
        </w:rPr>
        <w:t>con</w:t>
      </w:r>
      <w:r w:rsidRPr="003A1844">
        <w:rPr>
          <w:rFonts w:ascii="Verdana" w:hAnsi="Verdana" w:cs="Arial"/>
          <w:spacing w:val="-6"/>
          <w:sz w:val="16"/>
        </w:rPr>
        <w:t xml:space="preserve"> </w:t>
      </w:r>
      <w:r w:rsidRPr="003A1844">
        <w:rPr>
          <w:rFonts w:ascii="Verdana" w:hAnsi="Verdana" w:cs="Arial"/>
          <w:sz w:val="16"/>
        </w:rPr>
        <w:t>su</w:t>
      </w:r>
      <w:r w:rsidRPr="003A1844">
        <w:rPr>
          <w:rFonts w:ascii="Verdana" w:hAnsi="Verdana" w:cs="Arial"/>
          <w:spacing w:val="-7"/>
          <w:sz w:val="16"/>
        </w:rPr>
        <w:t xml:space="preserve"> </w:t>
      </w:r>
      <w:r w:rsidRPr="003A1844">
        <w:rPr>
          <w:rFonts w:ascii="Verdana" w:hAnsi="Verdana" w:cs="Arial"/>
          <w:sz w:val="16"/>
        </w:rPr>
        <w:t>propio</w:t>
      </w:r>
      <w:r w:rsidRPr="003A1844">
        <w:rPr>
          <w:rFonts w:ascii="Verdana" w:hAnsi="Verdana" w:cs="Arial"/>
          <w:spacing w:val="-7"/>
          <w:sz w:val="16"/>
        </w:rPr>
        <w:t xml:space="preserve"> </w:t>
      </w:r>
      <w:r w:rsidRPr="003A1844">
        <w:rPr>
          <w:rFonts w:ascii="Verdana" w:hAnsi="Verdana" w:cs="Arial"/>
          <w:sz w:val="16"/>
        </w:rPr>
        <w:t>creador.</w:t>
      </w:r>
      <w:r w:rsidRPr="003A1844">
        <w:rPr>
          <w:rFonts w:ascii="Verdana" w:hAnsi="Verdana" w:cs="Arial"/>
          <w:spacing w:val="-6"/>
          <w:sz w:val="16"/>
        </w:rPr>
        <w:t xml:space="preserve"> </w:t>
      </w:r>
      <w:r w:rsidRPr="003A1844">
        <w:rPr>
          <w:rFonts w:ascii="Verdana" w:hAnsi="Verdana" w:cs="Arial"/>
          <w:sz w:val="16"/>
        </w:rPr>
        <w:t>A</w:t>
      </w:r>
      <w:r w:rsidRPr="003A1844">
        <w:rPr>
          <w:rFonts w:ascii="Verdana" w:hAnsi="Verdana" w:cs="Arial"/>
          <w:spacing w:val="-7"/>
          <w:sz w:val="16"/>
        </w:rPr>
        <w:t xml:space="preserve"> </w:t>
      </w:r>
      <w:r w:rsidRPr="003A1844">
        <w:rPr>
          <w:rFonts w:ascii="Verdana" w:hAnsi="Verdana" w:cs="Arial"/>
          <w:sz w:val="16"/>
        </w:rPr>
        <w:t>este</w:t>
      </w:r>
      <w:r w:rsidRPr="003A1844">
        <w:rPr>
          <w:rFonts w:ascii="Verdana" w:hAnsi="Verdana" w:cs="Arial"/>
          <w:spacing w:val="-6"/>
          <w:sz w:val="16"/>
        </w:rPr>
        <w:t xml:space="preserve"> </w:t>
      </w:r>
      <w:r w:rsidRPr="003A1844">
        <w:rPr>
          <w:rFonts w:ascii="Verdana" w:hAnsi="Verdana" w:cs="Arial"/>
          <w:sz w:val="16"/>
        </w:rPr>
        <w:t>último</w:t>
      </w:r>
      <w:r w:rsidRPr="003A1844">
        <w:rPr>
          <w:rFonts w:ascii="Verdana" w:hAnsi="Verdana" w:cs="Arial"/>
          <w:spacing w:val="-7"/>
          <w:sz w:val="16"/>
        </w:rPr>
        <w:t xml:space="preserve"> </w:t>
      </w:r>
      <w:r w:rsidRPr="003A1844">
        <w:rPr>
          <w:rFonts w:ascii="Verdana" w:hAnsi="Verdana" w:cs="Arial"/>
          <w:sz w:val="16"/>
        </w:rPr>
        <w:t>evento</w:t>
      </w:r>
      <w:r w:rsidRPr="003A1844">
        <w:rPr>
          <w:rFonts w:ascii="Verdana" w:hAnsi="Verdana" w:cs="Arial"/>
          <w:spacing w:val="-7"/>
          <w:sz w:val="16"/>
        </w:rPr>
        <w:t xml:space="preserve"> </w:t>
      </w:r>
      <w:r w:rsidRPr="003A1844">
        <w:rPr>
          <w:rFonts w:ascii="Verdana" w:hAnsi="Verdana" w:cs="Arial"/>
          <w:sz w:val="16"/>
        </w:rPr>
        <w:t>se</w:t>
      </w:r>
      <w:r w:rsidRPr="003A1844">
        <w:rPr>
          <w:rFonts w:ascii="Verdana" w:hAnsi="Verdana" w:cs="Arial"/>
          <w:spacing w:val="-6"/>
          <w:sz w:val="16"/>
        </w:rPr>
        <w:t xml:space="preserve"> </w:t>
      </w:r>
      <w:r w:rsidRPr="003A1844">
        <w:rPr>
          <w:rFonts w:ascii="Verdana" w:hAnsi="Verdana" w:cs="Arial"/>
          <w:sz w:val="16"/>
        </w:rPr>
        <w:t>le</w:t>
      </w:r>
      <w:r w:rsidRPr="003A1844">
        <w:rPr>
          <w:rFonts w:ascii="Verdana" w:hAnsi="Verdana" w:cs="Arial"/>
          <w:spacing w:val="-7"/>
          <w:sz w:val="16"/>
        </w:rPr>
        <w:t xml:space="preserve"> </w:t>
      </w:r>
      <w:r w:rsidRPr="003A1844">
        <w:rPr>
          <w:rFonts w:ascii="Verdana" w:hAnsi="Verdana" w:cs="Arial"/>
          <w:sz w:val="16"/>
        </w:rPr>
        <w:t>denomina</w:t>
      </w:r>
      <w:r w:rsidRPr="003A1844">
        <w:rPr>
          <w:rFonts w:ascii="Verdana" w:hAnsi="Verdana" w:cs="Arial"/>
          <w:spacing w:val="-6"/>
          <w:sz w:val="16"/>
        </w:rPr>
        <w:t xml:space="preserve"> </w:t>
      </w:r>
      <w:r w:rsidRPr="003A1844">
        <w:rPr>
          <w:rFonts w:ascii="Verdana" w:hAnsi="Verdana" w:cs="Arial"/>
          <w:sz w:val="16"/>
        </w:rPr>
        <w:t>la</w:t>
      </w:r>
      <w:r w:rsidRPr="003A1844">
        <w:rPr>
          <w:rFonts w:ascii="Verdana" w:hAnsi="Verdana" w:cs="Arial"/>
          <w:spacing w:val="-6"/>
          <w:sz w:val="16"/>
        </w:rPr>
        <w:t xml:space="preserve"> </w:t>
      </w:r>
      <w:r w:rsidRPr="003A1844">
        <w:rPr>
          <w:rFonts w:ascii="Verdana" w:hAnsi="Verdana" w:cs="Arial"/>
          <w:sz w:val="16"/>
        </w:rPr>
        <w:t>inderogabilidad</w:t>
      </w:r>
      <w:r w:rsidRPr="003A1844">
        <w:rPr>
          <w:rFonts w:ascii="Verdana" w:hAnsi="Verdana" w:cs="Arial"/>
          <w:spacing w:val="-6"/>
          <w:sz w:val="16"/>
        </w:rPr>
        <w:t xml:space="preserve"> </w:t>
      </w:r>
      <w:r w:rsidRPr="003A1844">
        <w:rPr>
          <w:rFonts w:ascii="Verdana" w:hAnsi="Verdana" w:cs="Arial"/>
          <w:sz w:val="16"/>
        </w:rPr>
        <w:t>singular</w:t>
      </w:r>
      <w:r w:rsidRPr="003A1844">
        <w:rPr>
          <w:rFonts w:ascii="Verdana" w:hAnsi="Verdana" w:cs="Arial"/>
          <w:spacing w:val="-6"/>
          <w:sz w:val="16"/>
        </w:rPr>
        <w:t xml:space="preserve"> </w:t>
      </w:r>
      <w:r w:rsidRPr="003A1844">
        <w:rPr>
          <w:rFonts w:ascii="Verdana" w:hAnsi="Verdana" w:cs="Arial"/>
          <w:sz w:val="16"/>
        </w:rPr>
        <w:t>del</w:t>
      </w:r>
      <w:r w:rsidRPr="003A1844">
        <w:rPr>
          <w:rFonts w:ascii="Verdana" w:hAnsi="Verdana" w:cs="Arial"/>
          <w:spacing w:val="1"/>
          <w:sz w:val="16"/>
        </w:rPr>
        <w:t xml:space="preserve"> </w:t>
      </w:r>
      <w:r w:rsidRPr="003A1844">
        <w:rPr>
          <w:rFonts w:ascii="Verdana" w:hAnsi="Verdana" w:cs="Arial"/>
          <w:sz w:val="16"/>
        </w:rPr>
        <w:t>reglamento,</w:t>
      </w:r>
      <w:r w:rsidRPr="003A1844">
        <w:rPr>
          <w:rFonts w:ascii="Verdana" w:hAnsi="Verdana" w:cs="Arial"/>
          <w:spacing w:val="-3"/>
          <w:sz w:val="16"/>
        </w:rPr>
        <w:t xml:space="preserve"> </w:t>
      </w:r>
      <w:r w:rsidRPr="003A1844">
        <w:rPr>
          <w:rFonts w:ascii="Verdana" w:hAnsi="Verdana" w:cs="Arial"/>
          <w:sz w:val="16"/>
        </w:rPr>
        <w:t>que</w:t>
      </w:r>
      <w:r w:rsidRPr="003A1844">
        <w:rPr>
          <w:rFonts w:ascii="Verdana" w:hAnsi="Verdana" w:cs="Arial"/>
          <w:spacing w:val="-2"/>
          <w:sz w:val="16"/>
        </w:rPr>
        <w:t xml:space="preserve"> </w:t>
      </w:r>
      <w:r w:rsidRPr="003A1844">
        <w:rPr>
          <w:rFonts w:ascii="Verdana" w:hAnsi="Verdana" w:cs="Arial"/>
          <w:sz w:val="16"/>
        </w:rPr>
        <w:t>no</w:t>
      </w:r>
      <w:r w:rsidRPr="003A1844">
        <w:rPr>
          <w:rFonts w:ascii="Verdana" w:hAnsi="Verdana" w:cs="Arial"/>
          <w:spacing w:val="-2"/>
          <w:sz w:val="16"/>
        </w:rPr>
        <w:t xml:space="preserve"> </w:t>
      </w:r>
      <w:r w:rsidRPr="003A1844">
        <w:rPr>
          <w:rFonts w:ascii="Verdana" w:hAnsi="Verdana" w:cs="Arial"/>
          <w:sz w:val="16"/>
        </w:rPr>
        <w:t>es</w:t>
      </w:r>
      <w:r w:rsidRPr="003A1844">
        <w:rPr>
          <w:rFonts w:ascii="Verdana" w:hAnsi="Verdana" w:cs="Arial"/>
          <w:spacing w:val="-2"/>
          <w:sz w:val="16"/>
        </w:rPr>
        <w:t xml:space="preserve"> </w:t>
      </w:r>
      <w:r w:rsidRPr="003A1844">
        <w:rPr>
          <w:rFonts w:ascii="Verdana" w:hAnsi="Verdana" w:cs="Arial"/>
          <w:sz w:val="16"/>
        </w:rPr>
        <w:t>otra</w:t>
      </w:r>
      <w:r w:rsidRPr="003A1844">
        <w:rPr>
          <w:rFonts w:ascii="Verdana" w:hAnsi="Verdana" w:cs="Arial"/>
          <w:spacing w:val="-2"/>
          <w:sz w:val="16"/>
        </w:rPr>
        <w:t xml:space="preserve"> </w:t>
      </w:r>
      <w:r w:rsidRPr="003A1844">
        <w:rPr>
          <w:rFonts w:ascii="Verdana" w:hAnsi="Verdana" w:cs="Arial"/>
          <w:sz w:val="16"/>
        </w:rPr>
        <w:t>cosa</w:t>
      </w:r>
      <w:r w:rsidRPr="003A1844">
        <w:rPr>
          <w:rFonts w:ascii="Verdana" w:hAnsi="Verdana" w:cs="Arial"/>
          <w:spacing w:val="-2"/>
          <w:sz w:val="16"/>
        </w:rPr>
        <w:t xml:space="preserve"> </w:t>
      </w:r>
      <w:r w:rsidRPr="003A1844">
        <w:rPr>
          <w:rFonts w:ascii="Verdana" w:hAnsi="Verdana" w:cs="Arial"/>
          <w:sz w:val="16"/>
        </w:rPr>
        <w:t>que</w:t>
      </w:r>
      <w:r w:rsidRPr="003A1844">
        <w:rPr>
          <w:rFonts w:ascii="Verdana" w:hAnsi="Verdana" w:cs="Arial"/>
          <w:spacing w:val="-2"/>
          <w:sz w:val="16"/>
        </w:rPr>
        <w:t xml:space="preserve"> </w:t>
      </w:r>
      <w:r w:rsidRPr="003A1844">
        <w:rPr>
          <w:rFonts w:ascii="Verdana" w:hAnsi="Verdana" w:cs="Arial"/>
          <w:sz w:val="16"/>
        </w:rPr>
        <w:t>la</w:t>
      </w:r>
      <w:r w:rsidRPr="003A1844">
        <w:rPr>
          <w:rFonts w:ascii="Verdana" w:hAnsi="Verdana" w:cs="Arial"/>
          <w:spacing w:val="-2"/>
          <w:sz w:val="16"/>
        </w:rPr>
        <w:t xml:space="preserve"> </w:t>
      </w:r>
      <w:r w:rsidRPr="003A1844">
        <w:rPr>
          <w:rFonts w:ascii="Verdana" w:hAnsi="Verdana" w:cs="Arial"/>
          <w:sz w:val="16"/>
        </w:rPr>
        <w:t>prohibición</w:t>
      </w:r>
      <w:r w:rsidRPr="003A1844">
        <w:rPr>
          <w:rFonts w:ascii="Verdana" w:hAnsi="Verdana" w:cs="Arial"/>
          <w:spacing w:val="-2"/>
          <w:sz w:val="16"/>
        </w:rPr>
        <w:t xml:space="preserve"> </w:t>
      </w:r>
      <w:r w:rsidRPr="003A1844">
        <w:rPr>
          <w:rFonts w:ascii="Verdana" w:hAnsi="Verdana" w:cs="Arial"/>
          <w:sz w:val="16"/>
        </w:rPr>
        <w:t>de</w:t>
      </w:r>
      <w:r w:rsidRPr="003A1844">
        <w:rPr>
          <w:rFonts w:ascii="Verdana" w:hAnsi="Verdana" w:cs="Arial"/>
          <w:spacing w:val="-2"/>
          <w:sz w:val="16"/>
        </w:rPr>
        <w:t xml:space="preserve"> </w:t>
      </w:r>
      <w:r w:rsidRPr="003A1844">
        <w:rPr>
          <w:rFonts w:ascii="Verdana" w:hAnsi="Verdana" w:cs="Arial"/>
          <w:sz w:val="16"/>
        </w:rPr>
        <w:t>insertarlo</w:t>
      </w:r>
      <w:r w:rsidRPr="003A1844">
        <w:rPr>
          <w:rFonts w:ascii="Verdana" w:hAnsi="Verdana" w:cs="Arial"/>
          <w:spacing w:val="-2"/>
          <w:sz w:val="16"/>
        </w:rPr>
        <w:t xml:space="preserve"> </w:t>
      </w:r>
      <w:r w:rsidRPr="003A1844">
        <w:rPr>
          <w:rFonts w:ascii="Verdana" w:hAnsi="Verdana" w:cs="Arial"/>
          <w:sz w:val="16"/>
        </w:rPr>
        <w:t>en</w:t>
      </w:r>
      <w:r w:rsidRPr="003A1844">
        <w:rPr>
          <w:rFonts w:ascii="Verdana" w:hAnsi="Verdana" w:cs="Arial"/>
          <w:spacing w:val="-3"/>
          <w:sz w:val="16"/>
        </w:rPr>
        <w:t xml:space="preserve"> </w:t>
      </w:r>
      <w:r w:rsidRPr="003A1844">
        <w:rPr>
          <w:rFonts w:ascii="Verdana" w:hAnsi="Verdana" w:cs="Arial"/>
          <w:sz w:val="16"/>
        </w:rPr>
        <w:t>un</w:t>
      </w:r>
      <w:r w:rsidRPr="003A1844">
        <w:rPr>
          <w:rFonts w:ascii="Verdana" w:hAnsi="Verdana" w:cs="Arial"/>
          <w:spacing w:val="-2"/>
          <w:sz w:val="16"/>
        </w:rPr>
        <w:t xml:space="preserve"> </w:t>
      </w:r>
      <w:r w:rsidRPr="003A1844">
        <w:rPr>
          <w:rFonts w:ascii="Verdana" w:hAnsi="Verdana" w:cs="Arial"/>
          <w:sz w:val="16"/>
        </w:rPr>
        <w:t>caso</w:t>
      </w:r>
      <w:r w:rsidRPr="003A1844">
        <w:rPr>
          <w:rFonts w:ascii="Verdana" w:hAnsi="Verdana" w:cs="Arial"/>
          <w:spacing w:val="-2"/>
          <w:sz w:val="16"/>
        </w:rPr>
        <w:t xml:space="preserve"> </w:t>
      </w:r>
      <w:r w:rsidRPr="003A1844">
        <w:rPr>
          <w:rFonts w:ascii="Verdana" w:hAnsi="Verdana" w:cs="Arial"/>
          <w:sz w:val="16"/>
        </w:rPr>
        <w:t>particular.</w:t>
      </w:r>
    </w:p>
    <w:p w14:paraId="0460C74B" w14:textId="77777777" w:rsidR="00E15938" w:rsidRPr="00FD7E2D" w:rsidRDefault="00E15938" w:rsidP="00E15938">
      <w:pPr>
        <w:spacing w:after="0" w:line="240" w:lineRule="auto"/>
        <w:ind w:firstLine="708"/>
        <w:jc w:val="both"/>
        <w:rPr>
          <w:rFonts w:ascii="Verdana" w:hAnsi="Verdana" w:cs="Arial"/>
          <w:sz w:val="16"/>
        </w:rPr>
      </w:pPr>
      <w:r w:rsidRPr="003A1844">
        <w:rPr>
          <w:rFonts w:ascii="Verdana" w:hAnsi="Verdana" w:cs="Arial"/>
          <w:sz w:val="16"/>
        </w:rPr>
        <w:t>Esta tesis –de absoluta razonabilidad–, protege tanto al ciudadano como al ordenamiento</w:t>
      </w:r>
      <w:r w:rsidRPr="003A1844">
        <w:rPr>
          <w:rFonts w:ascii="Verdana" w:hAnsi="Verdana" w:cs="Arial"/>
          <w:spacing w:val="1"/>
          <w:sz w:val="16"/>
        </w:rPr>
        <w:t xml:space="preserve"> </w:t>
      </w:r>
      <w:r w:rsidRPr="003A1844">
        <w:rPr>
          <w:rFonts w:ascii="Verdana" w:hAnsi="Verdana" w:cs="Arial"/>
          <w:sz w:val="16"/>
        </w:rPr>
        <w:t>jurídico en general, de la arbitrariedad de la administración, pues si se admitiera que pese a estar en</w:t>
      </w:r>
      <w:r w:rsidRPr="003A1844">
        <w:rPr>
          <w:rFonts w:ascii="Verdana" w:hAnsi="Verdana" w:cs="Arial"/>
          <w:spacing w:val="-50"/>
          <w:sz w:val="16"/>
        </w:rPr>
        <w:t xml:space="preserve"> </w:t>
      </w:r>
      <w:r w:rsidRPr="003A1844">
        <w:rPr>
          <w:rFonts w:ascii="Verdana" w:hAnsi="Verdana" w:cs="Arial"/>
          <w:sz w:val="16"/>
        </w:rPr>
        <w:t>vigencia</w:t>
      </w:r>
      <w:r w:rsidRPr="003A1844">
        <w:rPr>
          <w:rFonts w:ascii="Verdana" w:hAnsi="Verdana" w:cs="Arial"/>
          <w:spacing w:val="-10"/>
          <w:sz w:val="16"/>
        </w:rPr>
        <w:t xml:space="preserve"> </w:t>
      </w:r>
      <w:r w:rsidRPr="003A1844">
        <w:rPr>
          <w:rFonts w:ascii="Verdana" w:hAnsi="Verdana" w:cs="Arial"/>
          <w:sz w:val="16"/>
        </w:rPr>
        <w:t>un</w:t>
      </w:r>
      <w:r w:rsidRPr="003A1844">
        <w:rPr>
          <w:rFonts w:ascii="Verdana" w:hAnsi="Verdana" w:cs="Arial"/>
          <w:spacing w:val="-9"/>
          <w:sz w:val="16"/>
        </w:rPr>
        <w:t xml:space="preserve"> </w:t>
      </w:r>
      <w:r w:rsidRPr="003A1844">
        <w:rPr>
          <w:rFonts w:ascii="Verdana" w:hAnsi="Verdana" w:cs="Arial"/>
          <w:sz w:val="16"/>
        </w:rPr>
        <w:t>reglamento</w:t>
      </w:r>
      <w:r w:rsidRPr="003A1844">
        <w:rPr>
          <w:rFonts w:ascii="Verdana" w:hAnsi="Verdana" w:cs="Arial"/>
          <w:spacing w:val="-10"/>
          <w:sz w:val="16"/>
        </w:rPr>
        <w:t xml:space="preserve"> </w:t>
      </w:r>
      <w:r w:rsidRPr="003A1844">
        <w:rPr>
          <w:rFonts w:ascii="Verdana" w:hAnsi="Verdana" w:cs="Arial"/>
          <w:sz w:val="16"/>
        </w:rPr>
        <w:t>la</w:t>
      </w:r>
      <w:r w:rsidRPr="003A1844">
        <w:rPr>
          <w:rFonts w:ascii="Verdana" w:hAnsi="Verdana" w:cs="Arial"/>
          <w:spacing w:val="-9"/>
          <w:sz w:val="16"/>
        </w:rPr>
        <w:t xml:space="preserve"> </w:t>
      </w:r>
      <w:r w:rsidRPr="003A1844">
        <w:rPr>
          <w:rFonts w:ascii="Verdana" w:hAnsi="Verdana" w:cs="Arial"/>
          <w:sz w:val="16"/>
        </w:rPr>
        <w:t>propia</w:t>
      </w:r>
      <w:r w:rsidRPr="003A1844">
        <w:rPr>
          <w:rFonts w:ascii="Verdana" w:hAnsi="Verdana" w:cs="Arial"/>
          <w:spacing w:val="-10"/>
          <w:sz w:val="16"/>
        </w:rPr>
        <w:t xml:space="preserve"> </w:t>
      </w:r>
      <w:r w:rsidRPr="003A1844">
        <w:rPr>
          <w:rFonts w:ascii="Verdana" w:hAnsi="Verdana" w:cs="Arial"/>
          <w:sz w:val="16"/>
        </w:rPr>
        <w:t>administración</w:t>
      </w:r>
      <w:r w:rsidRPr="003A1844">
        <w:rPr>
          <w:rFonts w:ascii="Verdana" w:hAnsi="Verdana" w:cs="Arial"/>
          <w:spacing w:val="-9"/>
          <w:sz w:val="16"/>
        </w:rPr>
        <w:t xml:space="preserve"> </w:t>
      </w:r>
      <w:r w:rsidRPr="003A1844">
        <w:rPr>
          <w:rFonts w:ascii="Verdana" w:hAnsi="Verdana" w:cs="Arial"/>
          <w:sz w:val="16"/>
        </w:rPr>
        <w:t>que</w:t>
      </w:r>
      <w:r w:rsidRPr="003A1844">
        <w:rPr>
          <w:rFonts w:ascii="Verdana" w:hAnsi="Verdana" w:cs="Arial"/>
          <w:spacing w:val="-10"/>
          <w:sz w:val="16"/>
        </w:rPr>
        <w:t xml:space="preserve"> </w:t>
      </w:r>
      <w:r w:rsidRPr="003A1844">
        <w:rPr>
          <w:rFonts w:ascii="Verdana" w:hAnsi="Verdana" w:cs="Arial"/>
          <w:sz w:val="16"/>
        </w:rPr>
        <w:t>lo</w:t>
      </w:r>
      <w:r w:rsidRPr="003A1844">
        <w:rPr>
          <w:rFonts w:ascii="Verdana" w:hAnsi="Verdana" w:cs="Arial"/>
          <w:spacing w:val="-9"/>
          <w:sz w:val="16"/>
        </w:rPr>
        <w:t xml:space="preserve"> </w:t>
      </w:r>
      <w:r w:rsidRPr="003A1844">
        <w:rPr>
          <w:rFonts w:ascii="Verdana" w:hAnsi="Verdana" w:cs="Arial"/>
          <w:sz w:val="16"/>
        </w:rPr>
        <w:t>dictó</w:t>
      </w:r>
      <w:r w:rsidRPr="003A1844">
        <w:rPr>
          <w:rFonts w:ascii="Verdana" w:hAnsi="Verdana" w:cs="Arial"/>
          <w:spacing w:val="-10"/>
          <w:sz w:val="16"/>
        </w:rPr>
        <w:t xml:space="preserve"> </w:t>
      </w:r>
      <w:r w:rsidRPr="003A1844">
        <w:rPr>
          <w:rFonts w:ascii="Verdana" w:hAnsi="Verdana" w:cs="Arial"/>
          <w:sz w:val="16"/>
        </w:rPr>
        <w:t>lo</w:t>
      </w:r>
      <w:r w:rsidRPr="003A1844">
        <w:rPr>
          <w:rFonts w:ascii="Verdana" w:hAnsi="Verdana" w:cs="Arial"/>
          <w:spacing w:val="-9"/>
          <w:sz w:val="16"/>
        </w:rPr>
        <w:t xml:space="preserve"> </w:t>
      </w:r>
      <w:r w:rsidRPr="003A1844">
        <w:rPr>
          <w:rFonts w:ascii="Verdana" w:hAnsi="Verdana" w:cs="Arial"/>
          <w:sz w:val="16"/>
        </w:rPr>
        <w:t>pudiera</w:t>
      </w:r>
      <w:r w:rsidRPr="003A1844">
        <w:rPr>
          <w:rFonts w:ascii="Verdana" w:hAnsi="Verdana" w:cs="Arial"/>
          <w:spacing w:val="-10"/>
          <w:sz w:val="16"/>
        </w:rPr>
        <w:t xml:space="preserve"> </w:t>
      </w:r>
      <w:r w:rsidRPr="003A1844">
        <w:rPr>
          <w:rFonts w:ascii="Verdana" w:hAnsi="Verdana" w:cs="Arial"/>
          <w:sz w:val="16"/>
        </w:rPr>
        <w:t>inaplicar,</w:t>
      </w:r>
      <w:r w:rsidRPr="003A1844">
        <w:rPr>
          <w:rFonts w:ascii="Verdana" w:hAnsi="Verdana" w:cs="Arial"/>
          <w:spacing w:val="-9"/>
          <w:sz w:val="16"/>
        </w:rPr>
        <w:t xml:space="preserve"> </w:t>
      </w:r>
      <w:r w:rsidRPr="003A1844">
        <w:rPr>
          <w:rFonts w:ascii="Verdana" w:hAnsi="Verdana" w:cs="Arial"/>
          <w:sz w:val="16"/>
        </w:rPr>
        <w:t>aduciendo</w:t>
      </w:r>
      <w:r w:rsidRPr="003A1844">
        <w:rPr>
          <w:rFonts w:ascii="Verdana" w:hAnsi="Verdana" w:cs="Arial"/>
          <w:spacing w:val="-10"/>
          <w:sz w:val="16"/>
        </w:rPr>
        <w:t xml:space="preserve"> </w:t>
      </w:r>
      <w:r w:rsidRPr="003A1844">
        <w:rPr>
          <w:rFonts w:ascii="Verdana" w:hAnsi="Verdana" w:cs="Arial"/>
          <w:sz w:val="16"/>
        </w:rPr>
        <w:t>que</w:t>
      </w:r>
      <w:r w:rsidRPr="003A1844">
        <w:rPr>
          <w:rFonts w:ascii="Verdana" w:hAnsi="Verdana" w:cs="Arial"/>
          <w:spacing w:val="-9"/>
          <w:sz w:val="16"/>
        </w:rPr>
        <w:t xml:space="preserve"> </w:t>
      </w:r>
      <w:r w:rsidRPr="003A1844">
        <w:rPr>
          <w:rFonts w:ascii="Verdana" w:hAnsi="Verdana" w:cs="Arial"/>
          <w:sz w:val="16"/>
        </w:rPr>
        <w:t>si</w:t>
      </w:r>
      <w:r w:rsidRPr="003A1844">
        <w:rPr>
          <w:rFonts w:ascii="Verdana" w:hAnsi="Verdana" w:cs="Arial"/>
          <w:spacing w:val="-10"/>
          <w:sz w:val="16"/>
        </w:rPr>
        <w:t xml:space="preserve"> </w:t>
      </w:r>
      <w:r w:rsidRPr="003A1844">
        <w:rPr>
          <w:rFonts w:ascii="Verdana" w:hAnsi="Verdana" w:cs="Arial"/>
          <w:sz w:val="16"/>
        </w:rPr>
        <w:t>ella</w:t>
      </w:r>
      <w:r w:rsidRPr="003A1844">
        <w:rPr>
          <w:rFonts w:ascii="Verdana" w:hAnsi="Verdana" w:cs="Arial"/>
          <w:spacing w:val="1"/>
          <w:sz w:val="16"/>
        </w:rPr>
        <w:t xml:space="preserve"> </w:t>
      </w:r>
      <w:r w:rsidRPr="003A1844">
        <w:rPr>
          <w:rFonts w:ascii="Verdana" w:hAnsi="Verdana" w:cs="Arial"/>
          <w:sz w:val="16"/>
        </w:rPr>
        <w:t>lo</w:t>
      </w:r>
      <w:r w:rsidRPr="003A1844">
        <w:rPr>
          <w:rFonts w:ascii="Verdana" w:hAnsi="Verdana" w:cs="Arial"/>
          <w:spacing w:val="-13"/>
          <w:sz w:val="16"/>
        </w:rPr>
        <w:t xml:space="preserve"> </w:t>
      </w:r>
      <w:r w:rsidRPr="003A1844">
        <w:rPr>
          <w:rFonts w:ascii="Verdana" w:hAnsi="Verdana" w:cs="Arial"/>
          <w:sz w:val="16"/>
        </w:rPr>
        <w:t>produjo</w:t>
      </w:r>
      <w:r w:rsidRPr="003A1844">
        <w:rPr>
          <w:rFonts w:ascii="Verdana" w:hAnsi="Verdana" w:cs="Arial"/>
          <w:spacing w:val="-12"/>
          <w:sz w:val="16"/>
        </w:rPr>
        <w:t xml:space="preserve"> </w:t>
      </w:r>
      <w:r w:rsidRPr="003A1844">
        <w:rPr>
          <w:rFonts w:ascii="Verdana" w:hAnsi="Verdana" w:cs="Arial"/>
          <w:sz w:val="16"/>
        </w:rPr>
        <w:t>entonces</w:t>
      </w:r>
      <w:r w:rsidRPr="003A1844">
        <w:rPr>
          <w:rFonts w:ascii="Verdana" w:hAnsi="Verdana" w:cs="Arial"/>
          <w:spacing w:val="-12"/>
          <w:sz w:val="16"/>
        </w:rPr>
        <w:t xml:space="preserve"> </w:t>
      </w:r>
      <w:r w:rsidRPr="003A1844">
        <w:rPr>
          <w:rFonts w:ascii="Verdana" w:hAnsi="Verdana" w:cs="Arial"/>
          <w:sz w:val="16"/>
        </w:rPr>
        <w:t>cuenta</w:t>
      </w:r>
      <w:r w:rsidRPr="003A1844">
        <w:rPr>
          <w:rFonts w:ascii="Verdana" w:hAnsi="Verdana" w:cs="Arial"/>
          <w:spacing w:val="-12"/>
          <w:sz w:val="16"/>
        </w:rPr>
        <w:t xml:space="preserve"> </w:t>
      </w:r>
      <w:r w:rsidRPr="003A1844">
        <w:rPr>
          <w:rFonts w:ascii="Verdana" w:hAnsi="Verdana" w:cs="Arial"/>
          <w:sz w:val="16"/>
        </w:rPr>
        <w:t>con</w:t>
      </w:r>
      <w:r w:rsidRPr="003A1844">
        <w:rPr>
          <w:rFonts w:ascii="Verdana" w:hAnsi="Verdana" w:cs="Arial"/>
          <w:spacing w:val="-12"/>
          <w:sz w:val="16"/>
        </w:rPr>
        <w:t xml:space="preserve"> </w:t>
      </w:r>
      <w:r w:rsidRPr="003A1844">
        <w:rPr>
          <w:rFonts w:ascii="Verdana" w:hAnsi="Verdana" w:cs="Arial"/>
          <w:sz w:val="16"/>
        </w:rPr>
        <w:t>la</w:t>
      </w:r>
      <w:r w:rsidRPr="003A1844">
        <w:rPr>
          <w:rFonts w:ascii="Verdana" w:hAnsi="Verdana" w:cs="Arial"/>
          <w:spacing w:val="-12"/>
          <w:sz w:val="16"/>
        </w:rPr>
        <w:t xml:space="preserve"> </w:t>
      </w:r>
      <w:r w:rsidRPr="003A1844">
        <w:rPr>
          <w:rFonts w:ascii="Verdana" w:hAnsi="Verdana" w:cs="Arial"/>
          <w:sz w:val="16"/>
        </w:rPr>
        <w:t>autoridad</w:t>
      </w:r>
      <w:r w:rsidRPr="003A1844">
        <w:rPr>
          <w:rFonts w:ascii="Verdana" w:hAnsi="Verdana" w:cs="Arial"/>
          <w:spacing w:val="-12"/>
          <w:sz w:val="16"/>
        </w:rPr>
        <w:t xml:space="preserve"> </w:t>
      </w:r>
      <w:r w:rsidRPr="003A1844">
        <w:rPr>
          <w:rFonts w:ascii="Verdana" w:hAnsi="Verdana" w:cs="Arial"/>
          <w:sz w:val="16"/>
        </w:rPr>
        <w:t>para</w:t>
      </w:r>
      <w:r w:rsidRPr="003A1844">
        <w:rPr>
          <w:rFonts w:ascii="Verdana" w:hAnsi="Verdana" w:cs="Arial"/>
          <w:spacing w:val="-12"/>
          <w:sz w:val="16"/>
        </w:rPr>
        <w:t xml:space="preserve"> </w:t>
      </w:r>
      <w:r w:rsidRPr="003A1844">
        <w:rPr>
          <w:rFonts w:ascii="Verdana" w:hAnsi="Verdana" w:cs="Arial"/>
          <w:sz w:val="16"/>
        </w:rPr>
        <w:t>desconocerlo,</w:t>
      </w:r>
      <w:r w:rsidRPr="003A1844">
        <w:rPr>
          <w:rFonts w:ascii="Verdana" w:hAnsi="Verdana" w:cs="Arial"/>
          <w:spacing w:val="-12"/>
          <w:sz w:val="16"/>
        </w:rPr>
        <w:t xml:space="preserve"> </w:t>
      </w:r>
      <w:r w:rsidRPr="003A1844">
        <w:rPr>
          <w:rFonts w:ascii="Verdana" w:hAnsi="Verdana" w:cs="Arial"/>
          <w:sz w:val="16"/>
        </w:rPr>
        <w:t>los</w:t>
      </w:r>
      <w:r w:rsidRPr="003A1844">
        <w:rPr>
          <w:rFonts w:ascii="Verdana" w:hAnsi="Verdana" w:cs="Arial"/>
          <w:spacing w:val="-12"/>
          <w:sz w:val="16"/>
        </w:rPr>
        <w:t xml:space="preserve"> </w:t>
      </w:r>
      <w:r w:rsidRPr="003A1844">
        <w:rPr>
          <w:rFonts w:ascii="Verdana" w:hAnsi="Verdana" w:cs="Arial"/>
          <w:sz w:val="16"/>
        </w:rPr>
        <w:t>abusos</w:t>
      </w:r>
      <w:r w:rsidRPr="003A1844">
        <w:rPr>
          <w:rFonts w:ascii="Verdana" w:hAnsi="Verdana" w:cs="Arial"/>
          <w:spacing w:val="-12"/>
          <w:sz w:val="16"/>
        </w:rPr>
        <w:t xml:space="preserve"> </w:t>
      </w:r>
      <w:r w:rsidRPr="003A1844">
        <w:rPr>
          <w:rFonts w:ascii="Verdana" w:hAnsi="Verdana" w:cs="Arial"/>
          <w:sz w:val="16"/>
        </w:rPr>
        <w:t>y</w:t>
      </w:r>
      <w:r w:rsidRPr="003A1844">
        <w:rPr>
          <w:rFonts w:ascii="Verdana" w:hAnsi="Verdana" w:cs="Arial"/>
          <w:spacing w:val="-12"/>
          <w:sz w:val="16"/>
        </w:rPr>
        <w:t xml:space="preserve"> </w:t>
      </w:r>
      <w:r w:rsidRPr="003A1844">
        <w:rPr>
          <w:rFonts w:ascii="Verdana" w:hAnsi="Verdana" w:cs="Arial"/>
          <w:sz w:val="16"/>
        </w:rPr>
        <w:t>la</w:t>
      </w:r>
      <w:r w:rsidRPr="003A1844">
        <w:rPr>
          <w:rFonts w:ascii="Verdana" w:hAnsi="Verdana" w:cs="Arial"/>
          <w:spacing w:val="-12"/>
          <w:sz w:val="16"/>
        </w:rPr>
        <w:t xml:space="preserve"> </w:t>
      </w:r>
      <w:r w:rsidRPr="003A1844">
        <w:rPr>
          <w:rFonts w:ascii="Verdana" w:hAnsi="Verdana" w:cs="Arial"/>
          <w:sz w:val="16"/>
        </w:rPr>
        <w:t>violación</w:t>
      </w:r>
      <w:r w:rsidRPr="003A1844">
        <w:rPr>
          <w:rFonts w:ascii="Verdana" w:hAnsi="Verdana" w:cs="Arial"/>
          <w:spacing w:val="-12"/>
          <w:sz w:val="16"/>
        </w:rPr>
        <w:t xml:space="preserve"> </w:t>
      </w:r>
      <w:r w:rsidRPr="003A1844">
        <w:rPr>
          <w:rFonts w:ascii="Verdana" w:hAnsi="Verdana" w:cs="Arial"/>
          <w:sz w:val="16"/>
        </w:rPr>
        <w:t>a</w:t>
      </w:r>
      <w:r w:rsidRPr="003A1844">
        <w:rPr>
          <w:rFonts w:ascii="Verdana" w:hAnsi="Verdana" w:cs="Arial"/>
          <w:spacing w:val="-12"/>
          <w:sz w:val="16"/>
        </w:rPr>
        <w:t xml:space="preserve"> </w:t>
      </w:r>
      <w:r w:rsidRPr="003A1844">
        <w:rPr>
          <w:rFonts w:ascii="Verdana" w:hAnsi="Verdana" w:cs="Arial"/>
          <w:sz w:val="16"/>
        </w:rPr>
        <w:t>sus</w:t>
      </w:r>
      <w:r w:rsidRPr="003A1844">
        <w:rPr>
          <w:rFonts w:ascii="Verdana" w:hAnsi="Verdana" w:cs="Arial"/>
          <w:spacing w:val="-12"/>
          <w:sz w:val="16"/>
        </w:rPr>
        <w:t xml:space="preserve"> </w:t>
      </w:r>
      <w:r w:rsidRPr="003A1844">
        <w:rPr>
          <w:rFonts w:ascii="Verdana" w:hAnsi="Verdana" w:cs="Arial"/>
          <w:sz w:val="16"/>
        </w:rPr>
        <w:t>propias</w:t>
      </w:r>
      <w:r w:rsidRPr="003A1844">
        <w:rPr>
          <w:rFonts w:ascii="Verdana" w:hAnsi="Verdana" w:cs="Arial"/>
          <w:spacing w:val="1"/>
          <w:sz w:val="16"/>
        </w:rPr>
        <w:t xml:space="preserve"> </w:t>
      </w:r>
      <w:r w:rsidRPr="003A1844">
        <w:rPr>
          <w:rFonts w:ascii="Verdana" w:hAnsi="Verdana" w:cs="Arial"/>
          <w:sz w:val="16"/>
        </w:rPr>
        <w:t>reglas propiciaría el atropello y la corrupción”. (MARÍN CORTÉS, Fabián G. El reglamento como</w:t>
      </w:r>
      <w:r w:rsidRPr="003A1844">
        <w:rPr>
          <w:rFonts w:ascii="Verdana" w:hAnsi="Verdana" w:cs="Arial"/>
          <w:spacing w:val="1"/>
          <w:sz w:val="16"/>
        </w:rPr>
        <w:t xml:space="preserve"> </w:t>
      </w:r>
      <w:r w:rsidRPr="003A1844">
        <w:rPr>
          <w:rFonts w:ascii="Verdana" w:hAnsi="Verdana" w:cs="Arial"/>
          <w:sz w:val="16"/>
        </w:rPr>
        <w:t>fuente</w:t>
      </w:r>
      <w:r w:rsidRPr="003A1844">
        <w:rPr>
          <w:rFonts w:ascii="Verdana" w:hAnsi="Verdana" w:cs="Arial"/>
          <w:spacing w:val="-12"/>
          <w:sz w:val="16"/>
        </w:rPr>
        <w:t xml:space="preserve"> </w:t>
      </w:r>
      <w:r w:rsidRPr="003A1844">
        <w:rPr>
          <w:rFonts w:ascii="Verdana" w:hAnsi="Verdana" w:cs="Arial"/>
          <w:sz w:val="16"/>
        </w:rPr>
        <w:t>del</w:t>
      </w:r>
      <w:r w:rsidRPr="003A1844">
        <w:rPr>
          <w:rFonts w:ascii="Verdana" w:hAnsi="Verdana" w:cs="Arial"/>
          <w:spacing w:val="-12"/>
          <w:sz w:val="16"/>
        </w:rPr>
        <w:t xml:space="preserve"> </w:t>
      </w:r>
      <w:r w:rsidRPr="003A1844">
        <w:rPr>
          <w:rFonts w:ascii="Verdana" w:hAnsi="Verdana" w:cs="Arial"/>
          <w:sz w:val="16"/>
        </w:rPr>
        <w:t>derecho</w:t>
      </w:r>
      <w:r w:rsidRPr="003A1844">
        <w:rPr>
          <w:rFonts w:ascii="Verdana" w:hAnsi="Verdana" w:cs="Arial"/>
          <w:spacing w:val="-12"/>
          <w:sz w:val="16"/>
        </w:rPr>
        <w:t xml:space="preserve"> </w:t>
      </w:r>
      <w:r w:rsidRPr="003A1844">
        <w:rPr>
          <w:rFonts w:ascii="Verdana" w:hAnsi="Verdana" w:cs="Arial"/>
          <w:sz w:val="16"/>
        </w:rPr>
        <w:t>administrativo.</w:t>
      </w:r>
      <w:r w:rsidRPr="003A1844">
        <w:rPr>
          <w:rFonts w:ascii="Verdana" w:hAnsi="Verdana" w:cs="Arial"/>
          <w:spacing w:val="-11"/>
          <w:sz w:val="16"/>
        </w:rPr>
        <w:t xml:space="preserve"> </w:t>
      </w:r>
      <w:r w:rsidRPr="003A1844">
        <w:rPr>
          <w:rFonts w:ascii="Verdana" w:hAnsi="Verdana" w:cs="Arial"/>
          <w:sz w:val="16"/>
        </w:rPr>
        <w:t>En:</w:t>
      </w:r>
      <w:r w:rsidRPr="003A1844">
        <w:rPr>
          <w:rFonts w:ascii="Verdana" w:hAnsi="Verdana" w:cs="Arial"/>
          <w:spacing w:val="-12"/>
          <w:sz w:val="16"/>
        </w:rPr>
        <w:t xml:space="preserve"> </w:t>
      </w:r>
      <w:r w:rsidRPr="003A1844">
        <w:rPr>
          <w:rFonts w:ascii="Verdana" w:hAnsi="Verdana" w:cs="Arial"/>
          <w:sz w:val="16"/>
        </w:rPr>
        <w:t>Las</w:t>
      </w:r>
      <w:r w:rsidRPr="003A1844">
        <w:rPr>
          <w:rFonts w:ascii="Verdana" w:hAnsi="Verdana" w:cs="Arial"/>
          <w:spacing w:val="-12"/>
          <w:sz w:val="16"/>
        </w:rPr>
        <w:t xml:space="preserve"> </w:t>
      </w:r>
      <w:r w:rsidRPr="003A1844">
        <w:rPr>
          <w:rFonts w:ascii="Verdana" w:hAnsi="Verdana" w:cs="Arial"/>
          <w:sz w:val="16"/>
        </w:rPr>
        <w:t>fuentes</w:t>
      </w:r>
      <w:r w:rsidRPr="003A1844">
        <w:rPr>
          <w:rFonts w:ascii="Verdana" w:hAnsi="Verdana" w:cs="Arial"/>
          <w:spacing w:val="-11"/>
          <w:sz w:val="16"/>
        </w:rPr>
        <w:t xml:space="preserve"> </w:t>
      </w:r>
      <w:r w:rsidRPr="003A1844">
        <w:rPr>
          <w:rFonts w:ascii="Verdana" w:hAnsi="Verdana" w:cs="Arial"/>
          <w:sz w:val="16"/>
        </w:rPr>
        <w:t>del</w:t>
      </w:r>
      <w:r w:rsidRPr="003A1844">
        <w:rPr>
          <w:rFonts w:ascii="Verdana" w:hAnsi="Verdana" w:cs="Arial"/>
          <w:spacing w:val="-12"/>
          <w:sz w:val="16"/>
        </w:rPr>
        <w:t xml:space="preserve"> </w:t>
      </w:r>
      <w:r w:rsidRPr="003A1844">
        <w:rPr>
          <w:rFonts w:ascii="Verdana" w:hAnsi="Verdana" w:cs="Arial"/>
          <w:sz w:val="16"/>
        </w:rPr>
        <w:t>derecho</w:t>
      </w:r>
      <w:r w:rsidRPr="003A1844">
        <w:rPr>
          <w:rFonts w:ascii="Verdana" w:hAnsi="Verdana" w:cs="Arial"/>
          <w:spacing w:val="-12"/>
          <w:sz w:val="16"/>
        </w:rPr>
        <w:t xml:space="preserve"> </w:t>
      </w:r>
      <w:r w:rsidRPr="003A1844">
        <w:rPr>
          <w:rFonts w:ascii="Verdana" w:hAnsi="Verdana" w:cs="Arial"/>
          <w:sz w:val="16"/>
        </w:rPr>
        <w:t>administrativo.</w:t>
      </w:r>
      <w:r w:rsidRPr="003A1844">
        <w:rPr>
          <w:rFonts w:ascii="Verdana" w:hAnsi="Verdana" w:cs="Arial"/>
          <w:spacing w:val="-12"/>
          <w:sz w:val="16"/>
        </w:rPr>
        <w:t xml:space="preserve"> </w:t>
      </w:r>
      <w:r w:rsidRPr="003A1844">
        <w:rPr>
          <w:rFonts w:ascii="Verdana" w:hAnsi="Verdana" w:cs="Arial"/>
          <w:sz w:val="16"/>
        </w:rPr>
        <w:t>Texto</w:t>
      </w:r>
      <w:r w:rsidRPr="003A1844">
        <w:rPr>
          <w:rFonts w:ascii="Verdana" w:hAnsi="Verdana" w:cs="Arial"/>
          <w:spacing w:val="-11"/>
          <w:sz w:val="16"/>
        </w:rPr>
        <w:t xml:space="preserve"> </w:t>
      </w:r>
      <w:r w:rsidRPr="003A1844">
        <w:rPr>
          <w:rFonts w:ascii="Verdana" w:hAnsi="Verdana" w:cs="Arial"/>
          <w:sz w:val="16"/>
        </w:rPr>
        <w:t>inédito.</w:t>
      </w:r>
      <w:r w:rsidRPr="003A1844">
        <w:rPr>
          <w:rFonts w:ascii="Verdana" w:hAnsi="Verdana" w:cs="Arial"/>
          <w:spacing w:val="-12"/>
          <w:sz w:val="16"/>
        </w:rPr>
        <w:t xml:space="preserve"> </w:t>
      </w:r>
      <w:r w:rsidRPr="003A1844">
        <w:rPr>
          <w:rFonts w:ascii="Verdana" w:hAnsi="Verdana" w:cs="Arial"/>
          <w:sz w:val="16"/>
        </w:rPr>
        <w:t>2010.</w:t>
      </w:r>
      <w:r w:rsidRPr="003A1844">
        <w:rPr>
          <w:rFonts w:ascii="Verdana" w:hAnsi="Verdana" w:cs="Arial"/>
          <w:spacing w:val="-12"/>
          <w:sz w:val="16"/>
        </w:rPr>
        <w:t xml:space="preserve"> </w:t>
      </w:r>
      <w:r w:rsidRPr="003A1844">
        <w:rPr>
          <w:rFonts w:ascii="Verdana" w:hAnsi="Verdana" w:cs="Arial"/>
          <w:sz w:val="16"/>
        </w:rPr>
        <w:t>pp.</w:t>
      </w:r>
      <w:r w:rsidRPr="003A1844">
        <w:rPr>
          <w:rFonts w:ascii="Verdana" w:hAnsi="Verdana" w:cs="Arial"/>
          <w:spacing w:val="1"/>
          <w:sz w:val="16"/>
        </w:rPr>
        <w:t xml:space="preserve"> </w:t>
      </w:r>
      <w:r w:rsidRPr="003A1844">
        <w:rPr>
          <w:rFonts w:ascii="Verdana" w:hAnsi="Verdana" w:cs="Arial"/>
          <w:sz w:val="16"/>
        </w:rPr>
        <w:t>200-201).</w:t>
      </w:r>
    </w:p>
  </w:footnote>
  <w:footnote w:id="15">
    <w:p w14:paraId="0FCA3C79" w14:textId="77777777" w:rsidR="00E15938" w:rsidRPr="008655F5" w:rsidRDefault="00E15938" w:rsidP="00E15938">
      <w:pPr>
        <w:pStyle w:val="Textonotapie"/>
        <w:ind w:firstLine="708"/>
        <w:jc w:val="both"/>
        <w:rPr>
          <w:rFonts w:ascii="Verdana" w:hAnsi="Verdana" w:cs="Arial"/>
          <w:sz w:val="16"/>
          <w:szCs w:val="16"/>
        </w:rPr>
      </w:pPr>
      <w:r w:rsidRPr="008655F5">
        <w:rPr>
          <w:rStyle w:val="Refdenotaalpie"/>
          <w:rFonts w:ascii="Verdana" w:hAnsi="Verdana" w:cs="Arial"/>
          <w:sz w:val="16"/>
          <w:szCs w:val="16"/>
        </w:rPr>
        <w:footnoteRef/>
      </w:r>
      <w:r w:rsidRPr="008655F5">
        <w:rPr>
          <w:rFonts w:ascii="Verdana" w:hAnsi="Verdana" w:cs="Arial"/>
          <w:sz w:val="16"/>
          <w:szCs w:val="16"/>
        </w:rPr>
        <w:t xml:space="preserve"> Ibíd. </w:t>
      </w:r>
    </w:p>
    <w:p w14:paraId="5C7EB896" w14:textId="77777777" w:rsidR="00E15938" w:rsidRPr="00C95CD8" w:rsidRDefault="00E15938" w:rsidP="00E15938">
      <w:pPr>
        <w:pStyle w:val="Textonotapie"/>
        <w:ind w:firstLine="708"/>
        <w:jc w:val="both"/>
        <w:rPr>
          <w:rFonts w:ascii="Verdana" w:hAnsi="Verdana" w:cs="Arial"/>
          <w:sz w:val="12"/>
          <w:szCs w:val="12"/>
        </w:rPr>
      </w:pPr>
    </w:p>
  </w:footnote>
  <w:footnote w:id="16">
    <w:p w14:paraId="047C290A" w14:textId="77777777" w:rsidR="00E15938" w:rsidRPr="00A30929" w:rsidRDefault="00E15938" w:rsidP="00E15938">
      <w:pPr>
        <w:pStyle w:val="Textonotapie"/>
        <w:ind w:firstLine="709"/>
        <w:jc w:val="both"/>
        <w:rPr>
          <w:rFonts w:ascii="Verdana" w:hAnsi="Verdana" w:cs="Arial"/>
          <w:color w:val="000000" w:themeColor="text1"/>
          <w:sz w:val="16"/>
          <w:szCs w:val="16"/>
          <w:lang w:val="es-ES"/>
        </w:rPr>
      </w:pPr>
      <w:r w:rsidRPr="00A30929">
        <w:rPr>
          <w:rStyle w:val="Refdenotaalpie"/>
          <w:rFonts w:ascii="Verdana" w:hAnsi="Verdana" w:cs="Arial"/>
          <w:color w:val="000000" w:themeColor="text1"/>
          <w:sz w:val="16"/>
          <w:szCs w:val="16"/>
          <w:vertAlign w:val="baseline"/>
        </w:rPr>
        <w:footnoteRef/>
      </w:r>
      <w:r w:rsidRPr="00A30929">
        <w:rPr>
          <w:rFonts w:ascii="Verdana" w:hAnsi="Verdana" w:cs="Arial"/>
          <w:color w:val="000000" w:themeColor="text1"/>
          <w:sz w:val="16"/>
          <w:szCs w:val="16"/>
        </w:rPr>
        <w:t xml:space="preserve"> </w:t>
      </w:r>
      <w:r w:rsidRPr="00A30929">
        <w:rPr>
          <w:rFonts w:ascii="Verdana" w:hAnsi="Verdana" w:cs="Arial"/>
          <w:color w:val="000000" w:themeColor="text1"/>
          <w:sz w:val="16"/>
          <w:szCs w:val="16"/>
          <w:lang w:val="es-ES"/>
        </w:rPr>
        <w:t>El artículo 31 de la Ley 142 de 1994, modificado por el artículo 3 de la Ley 689 de 2001, indica: “Los contratos que celebren las entidades estatales que prestan los servicios públicos a los que se refiere esta ley no estarán sujetos a las disposiciones del Estatuto General de Contratación de la Administración Pública, salvo en lo que la presente ley disponga otra cosa.</w:t>
      </w:r>
    </w:p>
    <w:p w14:paraId="2A3F103E" w14:textId="77777777" w:rsidR="00E15938" w:rsidRPr="00A30929" w:rsidRDefault="00E15938" w:rsidP="00E15938">
      <w:pPr>
        <w:pStyle w:val="Textonotapie"/>
        <w:ind w:firstLine="709"/>
        <w:jc w:val="both"/>
        <w:rPr>
          <w:rFonts w:ascii="Verdana" w:hAnsi="Verdana" w:cs="Arial"/>
          <w:color w:val="000000" w:themeColor="text1"/>
          <w:sz w:val="16"/>
          <w:szCs w:val="16"/>
          <w:lang w:val="es-ES"/>
        </w:rPr>
      </w:pPr>
      <w:r w:rsidRPr="00A30929">
        <w:rPr>
          <w:rFonts w:ascii="Verdana" w:hAnsi="Verdana" w:cs="Arial"/>
          <w:color w:val="000000" w:themeColor="text1"/>
          <w:sz w:val="16"/>
          <w:szCs w:val="16"/>
          <w:lang w:val="es-ES"/>
        </w:rPr>
        <w:t>Las Comisiones de Regulación podrán hacer obligatoria la inclusión, en ciertos tipos de contratos de cualquier empresa de servicios públicos, de cláusulas exorbitantes y podrán facultar, previa consulta expresa por parte de las empresas de servicios públicos domiciliarios, que se incluyan en los demás. Cuando la inclusión sea forzosa, todo lo relativo a tales cláusulas se regirá, en cuanto sea pertinente, por lo dispuesto en la Ley 80 de 1993, y los actos y contratos en los que se utilicen esas cláusulas y/o se ejerciten esas facultades estarán sujetos al control de la jurisdicción contencioso administrativa. Las Comisiones de Regulación contarán con quince (15) días para responder las solicitudes elevadas por las empresas de servicios públicos domiciliarios sobre la inclusión de las cláusulas excepcionales en los respectivos contratos, transcurrido este término operará el silencio administrativo positivo.</w:t>
      </w:r>
    </w:p>
    <w:p w14:paraId="505EE96C" w14:textId="77777777" w:rsidR="00E15938" w:rsidRPr="00A30929" w:rsidRDefault="00E15938" w:rsidP="00E15938">
      <w:pPr>
        <w:pStyle w:val="Textonotapie"/>
        <w:ind w:firstLine="709"/>
        <w:jc w:val="both"/>
        <w:rPr>
          <w:rFonts w:ascii="Verdana" w:hAnsi="Verdana" w:cs="Arial"/>
          <w:color w:val="000000" w:themeColor="text1"/>
          <w:sz w:val="16"/>
          <w:szCs w:val="16"/>
          <w:lang w:val="es-ES"/>
        </w:rPr>
      </w:pPr>
      <w:r w:rsidRPr="00A30929">
        <w:rPr>
          <w:rFonts w:ascii="Verdana" w:hAnsi="Verdana" w:cs="Arial"/>
          <w:color w:val="000000" w:themeColor="text1"/>
          <w:sz w:val="16"/>
          <w:szCs w:val="16"/>
          <w:lang w:val="es-ES"/>
        </w:rPr>
        <w:t>Parágrafo. Los contratos que celebren los entes territoriales con las empresas de servicios públicos con el objeto de que estas últimas asuman la prestación de uno o de varios servicios públicos domiciliarios, o para que sustituyan en la prestación a otra que entre en causal de disolución o liquidación, se regirán para todos sus efectos por el Estatuto General de Contratación de la Administración Pública, en todo caso la selección siempre deberá realizarse previa licitación pública, de conformidad con la Ley 80 de 1993”.</w:t>
      </w:r>
    </w:p>
  </w:footnote>
  <w:footnote w:id="17">
    <w:p w14:paraId="642DB856" w14:textId="77777777" w:rsidR="00E15938" w:rsidRPr="00A30929" w:rsidRDefault="00E15938" w:rsidP="00E15938">
      <w:pPr>
        <w:pStyle w:val="Textonotapie"/>
        <w:ind w:firstLine="709"/>
        <w:jc w:val="both"/>
        <w:rPr>
          <w:rFonts w:ascii="Verdana" w:hAnsi="Verdana" w:cs="Arial"/>
          <w:color w:val="000000" w:themeColor="text1"/>
          <w:sz w:val="16"/>
          <w:szCs w:val="16"/>
          <w:lang w:val="es-ES"/>
        </w:rPr>
      </w:pPr>
      <w:r w:rsidRPr="00A30929">
        <w:rPr>
          <w:rStyle w:val="Refdenotaalpie"/>
          <w:rFonts w:ascii="Verdana" w:hAnsi="Verdana" w:cs="Arial"/>
          <w:color w:val="000000" w:themeColor="text1"/>
          <w:sz w:val="16"/>
          <w:szCs w:val="16"/>
          <w:vertAlign w:val="baseline"/>
        </w:rPr>
        <w:footnoteRef/>
      </w:r>
      <w:r w:rsidRPr="00A30929">
        <w:rPr>
          <w:rFonts w:ascii="Verdana" w:hAnsi="Verdana" w:cs="Arial"/>
          <w:color w:val="000000" w:themeColor="text1"/>
          <w:sz w:val="16"/>
          <w:szCs w:val="16"/>
        </w:rPr>
        <w:t xml:space="preserve"> </w:t>
      </w:r>
      <w:r w:rsidRPr="00A30929">
        <w:rPr>
          <w:rFonts w:ascii="Verdana" w:hAnsi="Verdana" w:cs="Arial"/>
          <w:color w:val="000000" w:themeColor="text1"/>
          <w:sz w:val="16"/>
          <w:szCs w:val="16"/>
          <w:lang w:val="es-ES"/>
        </w:rPr>
        <w:t>El artículo 195, numeral 6 de la Ley 100 de 1993 establece que las empresas sociales del Estado: “En materia contractual se regirá por el derecho privado, pero podrá discrecionalmente utilizar las cláusulas exorbitantes previstas en el estatuto general de contratación de la administración pública”.</w:t>
      </w:r>
    </w:p>
  </w:footnote>
  <w:footnote w:id="18">
    <w:p w14:paraId="4905AEDB" w14:textId="77777777" w:rsidR="00E15938" w:rsidRPr="00082456" w:rsidRDefault="00E15938" w:rsidP="00E15938">
      <w:pPr>
        <w:pStyle w:val="Textonotapie"/>
        <w:ind w:firstLine="708"/>
        <w:rPr>
          <w:rFonts w:ascii="Verdana" w:hAnsi="Verdana"/>
          <w:sz w:val="16"/>
          <w:szCs w:val="16"/>
        </w:rPr>
      </w:pPr>
      <w:r w:rsidRPr="00082456">
        <w:rPr>
          <w:rStyle w:val="Refdenotaalpie"/>
          <w:rFonts w:ascii="Verdana" w:hAnsi="Verdana"/>
          <w:sz w:val="16"/>
          <w:szCs w:val="16"/>
        </w:rPr>
        <w:footnoteRef/>
      </w:r>
      <w:r w:rsidRPr="00082456">
        <w:rPr>
          <w:rFonts w:ascii="Verdana" w:hAnsi="Verdana"/>
          <w:sz w:val="16"/>
          <w:szCs w:val="16"/>
        </w:rPr>
        <w:t xml:space="preserve">  Consejo de Estado. Sala de Consulta y Servicio Civil. Concepto del 6 de abril de 2000. C.P. Flavio Augusto Rodríguez Arce. Rad. 1263. </w:t>
      </w:r>
    </w:p>
  </w:footnote>
  <w:footnote w:id="19">
    <w:p w14:paraId="7A11EBCF" w14:textId="77777777" w:rsidR="00E15938" w:rsidRPr="00126FD7" w:rsidRDefault="00E15938" w:rsidP="00E15938">
      <w:pPr>
        <w:pStyle w:val="Textonotapie"/>
        <w:ind w:firstLine="708"/>
        <w:jc w:val="both"/>
        <w:rPr>
          <w:rFonts w:ascii="Verdana" w:eastAsia="Arial" w:hAnsi="Verdana" w:cs="Arial"/>
          <w:sz w:val="16"/>
          <w:szCs w:val="16"/>
          <w:lang w:val="es-ES"/>
        </w:rPr>
      </w:pPr>
      <w:r w:rsidRPr="00082456">
        <w:rPr>
          <w:rStyle w:val="Refdenotaalpie"/>
          <w:rFonts w:ascii="Verdana" w:hAnsi="Verdana"/>
          <w:sz w:val="16"/>
          <w:szCs w:val="16"/>
        </w:rPr>
        <w:footnoteRef/>
      </w:r>
      <w:r w:rsidRPr="00082456">
        <w:rPr>
          <w:rFonts w:ascii="Verdana" w:hAnsi="Verdana"/>
          <w:sz w:val="16"/>
          <w:szCs w:val="16"/>
        </w:rPr>
        <w:t xml:space="preserve"> </w:t>
      </w:r>
      <w:r w:rsidRPr="00082456">
        <w:rPr>
          <w:rFonts w:ascii="Verdana" w:eastAsia="Arial" w:hAnsi="Verdana" w:cs="Arial"/>
          <w:sz w:val="16"/>
          <w:szCs w:val="16"/>
          <w:lang w:val="es-ES"/>
        </w:rPr>
        <w:t xml:space="preserve">La Resolución 1440 del 14 de agosto de 2024 se encuentra disponible en: </w:t>
      </w:r>
      <w:hyperlink r:id="rId1" w:history="1">
        <w:r w:rsidRPr="00082456">
          <w:rPr>
            <w:rStyle w:val="Hipervnculo"/>
            <w:rFonts w:ascii="Verdana" w:eastAsia="Arial" w:hAnsi="Verdana" w:cs="Arial"/>
            <w:sz w:val="16"/>
            <w:szCs w:val="16"/>
            <w:lang w:val="es-ES"/>
          </w:rPr>
          <w:t>https://www.minsalud.gov.co/Normatividad_Nuevo/Resoluci%C3%B3n%20No%201440%20de%202024.pdf</w:t>
        </w:r>
      </w:hyperlink>
      <w:r>
        <w:rPr>
          <w:rFonts w:ascii="Verdana" w:eastAsia="Arial" w:hAnsi="Verdana" w:cs="Arial"/>
          <w:sz w:val="16"/>
          <w:szCs w:val="16"/>
          <w:lang w:val="es-ES"/>
        </w:rPr>
        <w:t xml:space="preserve"> </w:t>
      </w:r>
    </w:p>
  </w:footnote>
  <w:footnote w:id="20">
    <w:p w14:paraId="1C9065C1" w14:textId="77777777" w:rsidR="00E15938" w:rsidRPr="00082456" w:rsidRDefault="00E15938" w:rsidP="00E15938">
      <w:pPr>
        <w:spacing w:after="0" w:line="240" w:lineRule="auto"/>
        <w:ind w:firstLine="708"/>
        <w:jc w:val="both"/>
        <w:rPr>
          <w:rFonts w:ascii="Verdana" w:hAnsi="Verdana" w:cs="Arial"/>
          <w:sz w:val="16"/>
          <w:szCs w:val="16"/>
        </w:rPr>
      </w:pPr>
      <w:r w:rsidRPr="00082456">
        <w:rPr>
          <w:rStyle w:val="Refdenotaalpie"/>
          <w:rFonts w:ascii="Verdana" w:hAnsi="Verdana" w:cs="Arial"/>
          <w:sz w:val="16"/>
          <w:szCs w:val="16"/>
        </w:rPr>
        <w:footnoteRef/>
      </w:r>
      <w:r w:rsidRPr="00082456">
        <w:rPr>
          <w:rFonts w:ascii="Verdana" w:hAnsi="Verdana" w:cs="Arial"/>
          <w:sz w:val="16"/>
          <w:szCs w:val="16"/>
        </w:rPr>
        <w:t xml:space="preserve"> Ley 1438 de 2011: “Artículo 76. Eficiencia y transparencia en contratación, adquisiciones</w:t>
      </w:r>
      <w:r w:rsidRPr="00082456">
        <w:rPr>
          <w:rFonts w:ascii="Verdana" w:hAnsi="Verdana" w:cs="Arial"/>
          <w:spacing w:val="1"/>
          <w:sz w:val="16"/>
          <w:szCs w:val="16"/>
        </w:rPr>
        <w:t xml:space="preserve"> </w:t>
      </w:r>
      <w:r w:rsidRPr="00082456">
        <w:rPr>
          <w:rFonts w:ascii="Verdana" w:hAnsi="Verdana" w:cs="Arial"/>
          <w:sz w:val="16"/>
          <w:szCs w:val="16"/>
        </w:rPr>
        <w:t>y compras de las Empresas Sociales del Estado. Con el propósito de promover la eficiencia y</w:t>
      </w:r>
      <w:r w:rsidRPr="00082456">
        <w:rPr>
          <w:rFonts w:ascii="Verdana" w:hAnsi="Verdana" w:cs="Arial"/>
          <w:spacing w:val="1"/>
          <w:sz w:val="16"/>
          <w:szCs w:val="16"/>
        </w:rPr>
        <w:t xml:space="preserve"> </w:t>
      </w:r>
      <w:r w:rsidRPr="00082456">
        <w:rPr>
          <w:rFonts w:ascii="Verdana" w:hAnsi="Verdana" w:cs="Arial"/>
          <w:sz w:val="16"/>
          <w:szCs w:val="16"/>
        </w:rPr>
        <w:t>transparencia</w:t>
      </w:r>
      <w:r w:rsidRPr="00082456">
        <w:rPr>
          <w:rFonts w:ascii="Verdana" w:hAnsi="Verdana" w:cs="Arial"/>
          <w:spacing w:val="1"/>
          <w:sz w:val="16"/>
          <w:szCs w:val="16"/>
        </w:rPr>
        <w:t xml:space="preserve"> </w:t>
      </w:r>
      <w:r w:rsidRPr="00082456">
        <w:rPr>
          <w:rFonts w:ascii="Verdana" w:hAnsi="Verdana" w:cs="Arial"/>
          <w:sz w:val="16"/>
          <w:szCs w:val="16"/>
        </w:rPr>
        <w:t>en la contratación las Empresas Sociales del Estado podrán asociarse entre sí,</w:t>
      </w:r>
      <w:r w:rsidRPr="00082456">
        <w:rPr>
          <w:rFonts w:ascii="Verdana" w:hAnsi="Verdana" w:cs="Arial"/>
          <w:spacing w:val="1"/>
          <w:sz w:val="16"/>
          <w:szCs w:val="16"/>
        </w:rPr>
        <w:t xml:space="preserve"> </w:t>
      </w:r>
      <w:r w:rsidRPr="00082456">
        <w:rPr>
          <w:rFonts w:ascii="Verdana" w:hAnsi="Verdana" w:cs="Arial"/>
          <w:sz w:val="16"/>
          <w:szCs w:val="16"/>
        </w:rPr>
        <w:t>constituir cooperativas o utilizar sistemas de compras electrónicas o cualquier otro mecanismo que</w:t>
      </w:r>
      <w:r w:rsidRPr="00082456">
        <w:rPr>
          <w:rFonts w:ascii="Verdana" w:hAnsi="Verdana" w:cs="Arial"/>
          <w:spacing w:val="1"/>
          <w:sz w:val="16"/>
          <w:szCs w:val="16"/>
        </w:rPr>
        <w:t xml:space="preserve"> </w:t>
      </w:r>
      <w:r w:rsidRPr="00082456">
        <w:rPr>
          <w:rFonts w:ascii="Verdana" w:hAnsi="Verdana" w:cs="Arial"/>
          <w:sz w:val="16"/>
          <w:szCs w:val="16"/>
        </w:rPr>
        <w:t>beneficie a las entidades con economías de escala, calidad, oportunidad y eficiencia, respetando los</w:t>
      </w:r>
      <w:r w:rsidRPr="00082456">
        <w:rPr>
          <w:rFonts w:ascii="Verdana" w:hAnsi="Verdana" w:cs="Arial"/>
          <w:spacing w:val="-50"/>
          <w:sz w:val="16"/>
          <w:szCs w:val="16"/>
        </w:rPr>
        <w:t xml:space="preserve"> </w:t>
      </w:r>
      <w:r w:rsidRPr="00082456">
        <w:rPr>
          <w:rFonts w:ascii="Verdana" w:hAnsi="Verdana" w:cs="Arial"/>
          <w:sz w:val="16"/>
          <w:szCs w:val="16"/>
        </w:rPr>
        <w:t>principios de la actuación administrativa y la contratación pública. Para lo anterior la Junta Directiva</w:t>
      </w:r>
      <w:r w:rsidRPr="00082456">
        <w:rPr>
          <w:rFonts w:ascii="Verdana" w:hAnsi="Verdana" w:cs="Arial"/>
          <w:spacing w:val="1"/>
          <w:sz w:val="16"/>
          <w:szCs w:val="16"/>
        </w:rPr>
        <w:t xml:space="preserve"> </w:t>
      </w:r>
      <w:r w:rsidRPr="00082456">
        <w:rPr>
          <w:rFonts w:ascii="Verdana" w:hAnsi="Verdana" w:cs="Arial"/>
          <w:sz w:val="16"/>
          <w:szCs w:val="16"/>
        </w:rPr>
        <w:t>deberá adoptar un estatuto de contratación de acuerdo con los lineamientos que defina el Ministerio</w:t>
      </w:r>
      <w:r w:rsidRPr="00082456">
        <w:rPr>
          <w:rFonts w:ascii="Verdana" w:hAnsi="Verdana" w:cs="Arial"/>
          <w:spacing w:val="1"/>
          <w:sz w:val="16"/>
          <w:szCs w:val="16"/>
        </w:rPr>
        <w:t xml:space="preserve"> </w:t>
      </w:r>
      <w:r w:rsidRPr="00082456">
        <w:rPr>
          <w:rFonts w:ascii="Verdana" w:hAnsi="Verdana" w:cs="Arial"/>
          <w:sz w:val="16"/>
          <w:szCs w:val="16"/>
        </w:rPr>
        <w:t>de</w:t>
      </w:r>
      <w:r w:rsidRPr="00082456">
        <w:rPr>
          <w:rFonts w:ascii="Verdana" w:hAnsi="Verdana" w:cs="Arial"/>
          <w:spacing w:val="-2"/>
          <w:sz w:val="16"/>
          <w:szCs w:val="16"/>
        </w:rPr>
        <w:t xml:space="preserve"> </w:t>
      </w:r>
      <w:r w:rsidRPr="00082456">
        <w:rPr>
          <w:rFonts w:ascii="Verdana" w:hAnsi="Verdana" w:cs="Arial"/>
          <w:sz w:val="16"/>
          <w:szCs w:val="16"/>
        </w:rPr>
        <w:t>la</w:t>
      </w:r>
      <w:r w:rsidRPr="00082456">
        <w:rPr>
          <w:rFonts w:ascii="Verdana" w:hAnsi="Verdana" w:cs="Arial"/>
          <w:spacing w:val="-1"/>
          <w:sz w:val="16"/>
          <w:szCs w:val="16"/>
        </w:rPr>
        <w:t xml:space="preserve"> </w:t>
      </w:r>
      <w:r w:rsidRPr="00082456">
        <w:rPr>
          <w:rFonts w:ascii="Verdana" w:hAnsi="Verdana" w:cs="Arial"/>
          <w:sz w:val="16"/>
          <w:szCs w:val="16"/>
        </w:rPr>
        <w:t>Protección</w:t>
      </w:r>
      <w:r w:rsidRPr="00082456">
        <w:rPr>
          <w:rFonts w:ascii="Verdana" w:hAnsi="Verdana" w:cs="Arial"/>
          <w:spacing w:val="-1"/>
          <w:sz w:val="16"/>
          <w:szCs w:val="16"/>
        </w:rPr>
        <w:t xml:space="preserve"> </w:t>
      </w:r>
      <w:r w:rsidRPr="00082456">
        <w:rPr>
          <w:rFonts w:ascii="Verdana" w:hAnsi="Verdana" w:cs="Arial"/>
          <w:sz w:val="16"/>
          <w:szCs w:val="16"/>
        </w:rPr>
        <w:t>Social.</w:t>
      </w:r>
    </w:p>
    <w:p w14:paraId="6A9C52D6" w14:textId="77777777" w:rsidR="00E15938" w:rsidRPr="00082456" w:rsidRDefault="00E15938" w:rsidP="00E15938">
      <w:pPr>
        <w:spacing w:after="0" w:line="240" w:lineRule="auto"/>
        <w:ind w:firstLine="708"/>
        <w:jc w:val="both"/>
        <w:rPr>
          <w:rFonts w:ascii="Verdana" w:hAnsi="Verdana" w:cs="Arial"/>
          <w:sz w:val="16"/>
          <w:szCs w:val="16"/>
        </w:rPr>
      </w:pPr>
      <w:r w:rsidRPr="00082456">
        <w:rPr>
          <w:rFonts w:ascii="Verdana" w:hAnsi="Verdana" w:cs="Arial"/>
          <w:sz w:val="16"/>
          <w:szCs w:val="16"/>
        </w:rPr>
        <w:t>Igualmente,</w:t>
      </w:r>
      <w:r w:rsidRPr="00082456">
        <w:rPr>
          <w:rFonts w:ascii="Verdana" w:hAnsi="Verdana" w:cs="Arial"/>
          <w:spacing w:val="1"/>
          <w:sz w:val="16"/>
          <w:szCs w:val="16"/>
        </w:rPr>
        <w:t xml:space="preserve"> </w:t>
      </w:r>
      <w:r w:rsidRPr="00082456">
        <w:rPr>
          <w:rFonts w:ascii="Verdana" w:hAnsi="Verdana" w:cs="Arial"/>
          <w:sz w:val="16"/>
          <w:szCs w:val="16"/>
        </w:rPr>
        <w:t>las</w:t>
      </w:r>
      <w:r w:rsidRPr="00082456">
        <w:rPr>
          <w:rFonts w:ascii="Verdana" w:hAnsi="Verdana" w:cs="Arial"/>
          <w:spacing w:val="1"/>
          <w:sz w:val="16"/>
          <w:szCs w:val="16"/>
        </w:rPr>
        <w:t xml:space="preserve"> </w:t>
      </w:r>
      <w:r w:rsidRPr="00082456">
        <w:rPr>
          <w:rFonts w:ascii="Verdana" w:hAnsi="Verdana" w:cs="Arial"/>
          <w:sz w:val="16"/>
          <w:szCs w:val="16"/>
        </w:rPr>
        <w:t>Empresas</w:t>
      </w:r>
      <w:r w:rsidRPr="00082456">
        <w:rPr>
          <w:rFonts w:ascii="Verdana" w:hAnsi="Verdana" w:cs="Arial"/>
          <w:spacing w:val="1"/>
          <w:sz w:val="16"/>
          <w:szCs w:val="16"/>
        </w:rPr>
        <w:t xml:space="preserve"> </w:t>
      </w:r>
      <w:r w:rsidRPr="00082456">
        <w:rPr>
          <w:rFonts w:ascii="Verdana" w:hAnsi="Verdana" w:cs="Arial"/>
          <w:sz w:val="16"/>
          <w:szCs w:val="16"/>
        </w:rPr>
        <w:t>Sociales</w:t>
      </w:r>
      <w:r w:rsidRPr="00082456">
        <w:rPr>
          <w:rFonts w:ascii="Verdana" w:hAnsi="Verdana" w:cs="Arial"/>
          <w:spacing w:val="1"/>
          <w:sz w:val="16"/>
          <w:szCs w:val="16"/>
        </w:rPr>
        <w:t xml:space="preserve"> </w:t>
      </w:r>
      <w:r w:rsidRPr="00082456">
        <w:rPr>
          <w:rFonts w:ascii="Verdana" w:hAnsi="Verdana" w:cs="Arial"/>
          <w:sz w:val="16"/>
          <w:szCs w:val="16"/>
        </w:rPr>
        <w:t>del</w:t>
      </w:r>
      <w:r w:rsidRPr="00082456">
        <w:rPr>
          <w:rFonts w:ascii="Verdana" w:hAnsi="Verdana" w:cs="Arial"/>
          <w:spacing w:val="1"/>
          <w:sz w:val="16"/>
          <w:szCs w:val="16"/>
        </w:rPr>
        <w:t xml:space="preserve"> </w:t>
      </w:r>
      <w:r w:rsidRPr="00082456">
        <w:rPr>
          <w:rFonts w:ascii="Verdana" w:hAnsi="Verdana" w:cs="Arial"/>
          <w:sz w:val="16"/>
          <w:szCs w:val="16"/>
        </w:rPr>
        <w:t>Estado</w:t>
      </w:r>
      <w:r w:rsidRPr="00082456">
        <w:rPr>
          <w:rFonts w:ascii="Verdana" w:hAnsi="Verdana" w:cs="Arial"/>
          <w:spacing w:val="1"/>
          <w:sz w:val="16"/>
          <w:szCs w:val="16"/>
        </w:rPr>
        <w:t xml:space="preserve"> </w:t>
      </w:r>
      <w:r w:rsidRPr="00082456">
        <w:rPr>
          <w:rFonts w:ascii="Verdana" w:hAnsi="Verdana" w:cs="Arial"/>
          <w:sz w:val="16"/>
          <w:szCs w:val="16"/>
        </w:rPr>
        <w:t>podrán</w:t>
      </w:r>
      <w:r w:rsidRPr="00082456">
        <w:rPr>
          <w:rFonts w:ascii="Verdana" w:hAnsi="Verdana" w:cs="Arial"/>
          <w:spacing w:val="1"/>
          <w:sz w:val="16"/>
          <w:szCs w:val="16"/>
        </w:rPr>
        <w:t xml:space="preserve"> </w:t>
      </w:r>
      <w:r w:rsidRPr="00082456">
        <w:rPr>
          <w:rFonts w:ascii="Verdana" w:hAnsi="Verdana" w:cs="Arial"/>
          <w:sz w:val="16"/>
          <w:szCs w:val="16"/>
        </w:rPr>
        <w:t>contratar</w:t>
      </w:r>
      <w:r w:rsidRPr="00082456">
        <w:rPr>
          <w:rFonts w:ascii="Verdana" w:hAnsi="Verdana" w:cs="Arial"/>
          <w:spacing w:val="1"/>
          <w:sz w:val="16"/>
          <w:szCs w:val="16"/>
        </w:rPr>
        <w:t xml:space="preserve"> </w:t>
      </w:r>
      <w:r w:rsidRPr="00082456">
        <w:rPr>
          <w:rFonts w:ascii="Verdana" w:hAnsi="Verdana" w:cs="Arial"/>
          <w:sz w:val="16"/>
          <w:szCs w:val="16"/>
        </w:rPr>
        <w:t>de</w:t>
      </w:r>
      <w:r w:rsidRPr="00082456">
        <w:rPr>
          <w:rFonts w:ascii="Verdana" w:hAnsi="Verdana" w:cs="Arial"/>
          <w:spacing w:val="1"/>
          <w:sz w:val="16"/>
          <w:szCs w:val="16"/>
        </w:rPr>
        <w:t xml:space="preserve"> </w:t>
      </w:r>
      <w:r w:rsidRPr="00082456">
        <w:rPr>
          <w:rFonts w:ascii="Verdana" w:hAnsi="Verdana" w:cs="Arial"/>
          <w:sz w:val="16"/>
          <w:szCs w:val="16"/>
        </w:rPr>
        <w:t>manera</w:t>
      </w:r>
      <w:r w:rsidRPr="00082456">
        <w:rPr>
          <w:rFonts w:ascii="Verdana" w:hAnsi="Verdana" w:cs="Arial"/>
          <w:spacing w:val="1"/>
          <w:sz w:val="16"/>
          <w:szCs w:val="16"/>
        </w:rPr>
        <w:t xml:space="preserve"> </w:t>
      </w:r>
      <w:r w:rsidRPr="00082456">
        <w:rPr>
          <w:rFonts w:ascii="Verdana" w:hAnsi="Verdana" w:cs="Arial"/>
          <w:sz w:val="16"/>
          <w:szCs w:val="16"/>
        </w:rPr>
        <w:t>conjunta</w:t>
      </w:r>
      <w:r w:rsidRPr="00082456">
        <w:rPr>
          <w:rFonts w:ascii="Verdana" w:hAnsi="Verdana" w:cs="Arial"/>
          <w:spacing w:val="1"/>
          <w:sz w:val="16"/>
          <w:szCs w:val="16"/>
        </w:rPr>
        <w:t xml:space="preserve"> </w:t>
      </w:r>
      <w:r w:rsidRPr="00082456">
        <w:rPr>
          <w:rFonts w:ascii="Verdana" w:hAnsi="Verdana" w:cs="Arial"/>
          <w:sz w:val="16"/>
          <w:szCs w:val="16"/>
        </w:rPr>
        <w:t>sistemas</w:t>
      </w:r>
      <w:r w:rsidRPr="00082456">
        <w:rPr>
          <w:rFonts w:ascii="Verdana" w:hAnsi="Verdana" w:cs="Arial"/>
          <w:spacing w:val="-10"/>
          <w:sz w:val="16"/>
          <w:szCs w:val="16"/>
        </w:rPr>
        <w:t xml:space="preserve"> </w:t>
      </w:r>
      <w:r w:rsidRPr="00082456">
        <w:rPr>
          <w:rFonts w:ascii="Verdana" w:hAnsi="Verdana" w:cs="Arial"/>
          <w:sz w:val="16"/>
          <w:szCs w:val="16"/>
        </w:rPr>
        <w:t>de</w:t>
      </w:r>
      <w:r w:rsidRPr="00082456">
        <w:rPr>
          <w:rFonts w:ascii="Verdana" w:hAnsi="Verdana" w:cs="Arial"/>
          <w:spacing w:val="-10"/>
          <w:sz w:val="16"/>
          <w:szCs w:val="16"/>
        </w:rPr>
        <w:t xml:space="preserve"> </w:t>
      </w:r>
      <w:r w:rsidRPr="00082456">
        <w:rPr>
          <w:rFonts w:ascii="Verdana" w:hAnsi="Verdana" w:cs="Arial"/>
          <w:sz w:val="16"/>
          <w:szCs w:val="16"/>
        </w:rPr>
        <w:t>información,</w:t>
      </w:r>
      <w:r w:rsidRPr="00082456">
        <w:rPr>
          <w:rFonts w:ascii="Verdana" w:hAnsi="Verdana" w:cs="Arial"/>
          <w:spacing w:val="-10"/>
          <w:sz w:val="16"/>
          <w:szCs w:val="16"/>
        </w:rPr>
        <w:t xml:space="preserve"> </w:t>
      </w:r>
      <w:r w:rsidRPr="00082456">
        <w:rPr>
          <w:rFonts w:ascii="Verdana" w:hAnsi="Verdana" w:cs="Arial"/>
          <w:sz w:val="16"/>
          <w:szCs w:val="16"/>
        </w:rPr>
        <w:t>sistema</w:t>
      </w:r>
      <w:r w:rsidRPr="00082456">
        <w:rPr>
          <w:rFonts w:ascii="Verdana" w:hAnsi="Verdana" w:cs="Arial"/>
          <w:spacing w:val="-9"/>
          <w:sz w:val="16"/>
          <w:szCs w:val="16"/>
        </w:rPr>
        <w:t xml:space="preserve"> </w:t>
      </w:r>
      <w:r w:rsidRPr="00082456">
        <w:rPr>
          <w:rFonts w:ascii="Verdana" w:hAnsi="Verdana" w:cs="Arial"/>
          <w:sz w:val="16"/>
          <w:szCs w:val="16"/>
        </w:rPr>
        <w:t>de</w:t>
      </w:r>
      <w:r w:rsidRPr="00082456">
        <w:rPr>
          <w:rFonts w:ascii="Verdana" w:hAnsi="Verdana" w:cs="Arial"/>
          <w:spacing w:val="-10"/>
          <w:sz w:val="16"/>
          <w:szCs w:val="16"/>
        </w:rPr>
        <w:t xml:space="preserve"> </w:t>
      </w:r>
      <w:r w:rsidRPr="00082456">
        <w:rPr>
          <w:rFonts w:ascii="Verdana" w:hAnsi="Verdana" w:cs="Arial"/>
          <w:sz w:val="16"/>
          <w:szCs w:val="16"/>
        </w:rPr>
        <w:t>control</w:t>
      </w:r>
      <w:r w:rsidRPr="00082456">
        <w:rPr>
          <w:rFonts w:ascii="Verdana" w:hAnsi="Verdana" w:cs="Arial"/>
          <w:spacing w:val="-10"/>
          <w:sz w:val="16"/>
          <w:szCs w:val="16"/>
        </w:rPr>
        <w:t xml:space="preserve"> </w:t>
      </w:r>
      <w:r w:rsidRPr="00082456">
        <w:rPr>
          <w:rFonts w:ascii="Verdana" w:hAnsi="Verdana" w:cs="Arial"/>
          <w:sz w:val="16"/>
          <w:szCs w:val="16"/>
        </w:rPr>
        <w:t>interno,</w:t>
      </w:r>
      <w:r w:rsidRPr="00082456">
        <w:rPr>
          <w:rFonts w:ascii="Verdana" w:hAnsi="Verdana" w:cs="Arial"/>
          <w:spacing w:val="-9"/>
          <w:sz w:val="16"/>
          <w:szCs w:val="16"/>
        </w:rPr>
        <w:t xml:space="preserve"> </w:t>
      </w:r>
      <w:r w:rsidRPr="00082456">
        <w:rPr>
          <w:rFonts w:ascii="Verdana" w:hAnsi="Verdana" w:cs="Arial"/>
          <w:sz w:val="16"/>
          <w:szCs w:val="16"/>
        </w:rPr>
        <w:t>de</w:t>
      </w:r>
      <w:r w:rsidRPr="00082456">
        <w:rPr>
          <w:rFonts w:ascii="Verdana" w:hAnsi="Verdana" w:cs="Arial"/>
          <w:spacing w:val="-10"/>
          <w:sz w:val="16"/>
          <w:szCs w:val="16"/>
        </w:rPr>
        <w:t xml:space="preserve"> </w:t>
      </w:r>
      <w:r w:rsidRPr="00082456">
        <w:rPr>
          <w:rFonts w:ascii="Verdana" w:hAnsi="Verdana" w:cs="Arial"/>
          <w:sz w:val="16"/>
          <w:szCs w:val="16"/>
        </w:rPr>
        <w:t>interventorías,</w:t>
      </w:r>
      <w:r w:rsidRPr="00082456">
        <w:rPr>
          <w:rFonts w:ascii="Verdana" w:hAnsi="Verdana" w:cs="Arial"/>
          <w:spacing w:val="-10"/>
          <w:sz w:val="16"/>
          <w:szCs w:val="16"/>
        </w:rPr>
        <w:t xml:space="preserve"> </w:t>
      </w:r>
      <w:r w:rsidRPr="00082456">
        <w:rPr>
          <w:rFonts w:ascii="Verdana" w:hAnsi="Verdana" w:cs="Arial"/>
          <w:sz w:val="16"/>
          <w:szCs w:val="16"/>
        </w:rPr>
        <w:t>gestión</w:t>
      </w:r>
      <w:r w:rsidRPr="00082456">
        <w:rPr>
          <w:rFonts w:ascii="Verdana" w:hAnsi="Verdana" w:cs="Arial"/>
          <w:spacing w:val="-10"/>
          <w:sz w:val="16"/>
          <w:szCs w:val="16"/>
        </w:rPr>
        <w:t xml:space="preserve"> </w:t>
      </w:r>
      <w:r w:rsidRPr="00082456">
        <w:rPr>
          <w:rFonts w:ascii="Verdana" w:hAnsi="Verdana" w:cs="Arial"/>
          <w:sz w:val="16"/>
          <w:szCs w:val="16"/>
        </w:rPr>
        <w:t>de</w:t>
      </w:r>
      <w:r w:rsidRPr="00082456">
        <w:rPr>
          <w:rFonts w:ascii="Verdana" w:hAnsi="Verdana" w:cs="Arial"/>
          <w:spacing w:val="-9"/>
          <w:sz w:val="16"/>
          <w:szCs w:val="16"/>
        </w:rPr>
        <w:t xml:space="preserve"> </w:t>
      </w:r>
      <w:r w:rsidRPr="00082456">
        <w:rPr>
          <w:rFonts w:ascii="Verdana" w:hAnsi="Verdana" w:cs="Arial"/>
          <w:sz w:val="16"/>
          <w:szCs w:val="16"/>
        </w:rPr>
        <w:t>calidad</w:t>
      </w:r>
      <w:r w:rsidRPr="00082456">
        <w:rPr>
          <w:rFonts w:ascii="Verdana" w:hAnsi="Verdana" w:cs="Arial"/>
          <w:spacing w:val="-10"/>
          <w:sz w:val="16"/>
          <w:szCs w:val="16"/>
        </w:rPr>
        <w:t xml:space="preserve"> </w:t>
      </w:r>
      <w:r w:rsidRPr="00082456">
        <w:rPr>
          <w:rFonts w:ascii="Verdana" w:hAnsi="Verdana" w:cs="Arial"/>
          <w:sz w:val="16"/>
          <w:szCs w:val="16"/>
        </w:rPr>
        <w:t>y</w:t>
      </w:r>
      <w:r w:rsidRPr="00082456">
        <w:rPr>
          <w:rFonts w:ascii="Verdana" w:hAnsi="Verdana" w:cs="Arial"/>
          <w:spacing w:val="-10"/>
          <w:sz w:val="16"/>
          <w:szCs w:val="16"/>
        </w:rPr>
        <w:t xml:space="preserve"> </w:t>
      </w:r>
      <w:r w:rsidRPr="00082456">
        <w:rPr>
          <w:rFonts w:ascii="Verdana" w:hAnsi="Verdana" w:cs="Arial"/>
          <w:sz w:val="16"/>
          <w:szCs w:val="16"/>
        </w:rPr>
        <w:t>auditorías,</w:t>
      </w:r>
      <w:r w:rsidRPr="00082456">
        <w:rPr>
          <w:rFonts w:ascii="Verdana" w:hAnsi="Verdana" w:cs="Arial"/>
          <w:spacing w:val="1"/>
          <w:sz w:val="16"/>
          <w:szCs w:val="16"/>
        </w:rPr>
        <w:t xml:space="preserve"> </w:t>
      </w:r>
      <w:r w:rsidRPr="00082456">
        <w:rPr>
          <w:rFonts w:ascii="Verdana" w:hAnsi="Verdana" w:cs="Arial"/>
          <w:sz w:val="16"/>
          <w:szCs w:val="16"/>
        </w:rPr>
        <w:t>de</w:t>
      </w:r>
      <w:r w:rsidRPr="00082456">
        <w:rPr>
          <w:rFonts w:ascii="Verdana" w:hAnsi="Verdana" w:cs="Arial"/>
          <w:spacing w:val="1"/>
          <w:sz w:val="16"/>
          <w:szCs w:val="16"/>
        </w:rPr>
        <w:t xml:space="preserve"> </w:t>
      </w:r>
      <w:r w:rsidRPr="00082456">
        <w:rPr>
          <w:rFonts w:ascii="Verdana" w:hAnsi="Verdana" w:cs="Arial"/>
          <w:sz w:val="16"/>
          <w:szCs w:val="16"/>
        </w:rPr>
        <w:t>recurso</w:t>
      </w:r>
      <w:r w:rsidRPr="00082456">
        <w:rPr>
          <w:rFonts w:ascii="Verdana" w:hAnsi="Verdana" w:cs="Arial"/>
          <w:spacing w:val="1"/>
          <w:sz w:val="16"/>
          <w:szCs w:val="16"/>
        </w:rPr>
        <w:t xml:space="preserve"> </w:t>
      </w:r>
      <w:r w:rsidRPr="00082456">
        <w:rPr>
          <w:rFonts w:ascii="Verdana" w:hAnsi="Verdana" w:cs="Arial"/>
          <w:sz w:val="16"/>
          <w:szCs w:val="16"/>
        </w:rPr>
        <w:t>humano</w:t>
      </w:r>
      <w:r w:rsidRPr="00082456">
        <w:rPr>
          <w:rFonts w:ascii="Verdana" w:hAnsi="Verdana" w:cs="Arial"/>
          <w:spacing w:val="1"/>
          <w:sz w:val="16"/>
          <w:szCs w:val="16"/>
        </w:rPr>
        <w:t xml:space="preserve"> </w:t>
      </w:r>
      <w:r w:rsidRPr="00082456">
        <w:rPr>
          <w:rFonts w:ascii="Verdana" w:hAnsi="Verdana" w:cs="Arial"/>
          <w:sz w:val="16"/>
          <w:szCs w:val="16"/>
        </w:rPr>
        <w:t>y</w:t>
      </w:r>
      <w:r w:rsidRPr="00082456">
        <w:rPr>
          <w:rFonts w:ascii="Verdana" w:hAnsi="Verdana" w:cs="Arial"/>
          <w:spacing w:val="1"/>
          <w:sz w:val="16"/>
          <w:szCs w:val="16"/>
        </w:rPr>
        <w:t xml:space="preserve"> </w:t>
      </w:r>
      <w:r w:rsidRPr="00082456">
        <w:rPr>
          <w:rFonts w:ascii="Verdana" w:hAnsi="Verdana" w:cs="Arial"/>
          <w:sz w:val="16"/>
          <w:szCs w:val="16"/>
        </w:rPr>
        <w:t>demás</w:t>
      </w:r>
      <w:r w:rsidRPr="00082456">
        <w:rPr>
          <w:rFonts w:ascii="Verdana" w:hAnsi="Verdana" w:cs="Arial"/>
          <w:spacing w:val="1"/>
          <w:sz w:val="16"/>
          <w:szCs w:val="16"/>
        </w:rPr>
        <w:t xml:space="preserve"> </w:t>
      </w:r>
      <w:r w:rsidRPr="00082456">
        <w:rPr>
          <w:rFonts w:ascii="Verdana" w:hAnsi="Verdana" w:cs="Arial"/>
          <w:sz w:val="16"/>
          <w:szCs w:val="16"/>
        </w:rPr>
        <w:t>funciones</w:t>
      </w:r>
      <w:r w:rsidRPr="00082456">
        <w:rPr>
          <w:rFonts w:ascii="Verdana" w:hAnsi="Verdana" w:cs="Arial"/>
          <w:spacing w:val="1"/>
          <w:sz w:val="16"/>
          <w:szCs w:val="16"/>
        </w:rPr>
        <w:t xml:space="preserve"> </w:t>
      </w:r>
      <w:r w:rsidRPr="00082456">
        <w:rPr>
          <w:rFonts w:ascii="Verdana" w:hAnsi="Verdana" w:cs="Arial"/>
          <w:sz w:val="16"/>
          <w:szCs w:val="16"/>
        </w:rPr>
        <w:t>administrativas,</w:t>
      </w:r>
      <w:r w:rsidRPr="00082456">
        <w:rPr>
          <w:rFonts w:ascii="Verdana" w:hAnsi="Verdana" w:cs="Arial"/>
          <w:spacing w:val="1"/>
          <w:sz w:val="16"/>
          <w:szCs w:val="16"/>
        </w:rPr>
        <w:t xml:space="preserve"> </w:t>
      </w:r>
      <w:r w:rsidRPr="00082456">
        <w:rPr>
          <w:rFonts w:ascii="Verdana" w:hAnsi="Verdana" w:cs="Arial"/>
          <w:sz w:val="16"/>
          <w:szCs w:val="16"/>
        </w:rPr>
        <w:t>para</w:t>
      </w:r>
      <w:r w:rsidRPr="00082456">
        <w:rPr>
          <w:rFonts w:ascii="Verdana" w:hAnsi="Verdana" w:cs="Arial"/>
          <w:spacing w:val="1"/>
          <w:sz w:val="16"/>
          <w:szCs w:val="16"/>
        </w:rPr>
        <w:t xml:space="preserve"> </w:t>
      </w:r>
      <w:r w:rsidRPr="00082456">
        <w:rPr>
          <w:rFonts w:ascii="Verdana" w:hAnsi="Verdana" w:cs="Arial"/>
          <w:sz w:val="16"/>
          <w:szCs w:val="16"/>
        </w:rPr>
        <w:t>el</w:t>
      </w:r>
      <w:r w:rsidRPr="00082456">
        <w:rPr>
          <w:rFonts w:ascii="Verdana" w:hAnsi="Verdana" w:cs="Arial"/>
          <w:spacing w:val="1"/>
          <w:sz w:val="16"/>
          <w:szCs w:val="16"/>
        </w:rPr>
        <w:t xml:space="preserve"> </w:t>
      </w:r>
      <w:r w:rsidRPr="00082456">
        <w:rPr>
          <w:rFonts w:ascii="Verdana" w:hAnsi="Verdana" w:cs="Arial"/>
          <w:sz w:val="16"/>
          <w:szCs w:val="16"/>
        </w:rPr>
        <w:t>desarrollo</w:t>
      </w:r>
      <w:r w:rsidRPr="00082456">
        <w:rPr>
          <w:rFonts w:ascii="Verdana" w:hAnsi="Verdana" w:cs="Arial"/>
          <w:spacing w:val="1"/>
          <w:sz w:val="16"/>
          <w:szCs w:val="16"/>
        </w:rPr>
        <w:t xml:space="preserve"> </w:t>
      </w:r>
      <w:r w:rsidRPr="00082456">
        <w:rPr>
          <w:rFonts w:ascii="Verdana" w:hAnsi="Verdana" w:cs="Arial"/>
          <w:sz w:val="16"/>
          <w:szCs w:val="16"/>
        </w:rPr>
        <w:t>de</w:t>
      </w:r>
      <w:r w:rsidRPr="00082456">
        <w:rPr>
          <w:rFonts w:ascii="Verdana" w:hAnsi="Verdana" w:cs="Arial"/>
          <w:spacing w:val="1"/>
          <w:sz w:val="16"/>
          <w:szCs w:val="16"/>
        </w:rPr>
        <w:t xml:space="preserve"> </w:t>
      </w:r>
      <w:r w:rsidRPr="00082456">
        <w:rPr>
          <w:rFonts w:ascii="Verdana" w:hAnsi="Verdana" w:cs="Arial"/>
          <w:sz w:val="16"/>
          <w:szCs w:val="16"/>
        </w:rPr>
        <w:t>actividades</w:t>
      </w:r>
      <w:r w:rsidRPr="00082456">
        <w:rPr>
          <w:rFonts w:ascii="Verdana" w:hAnsi="Verdana" w:cs="Arial"/>
          <w:spacing w:val="1"/>
          <w:sz w:val="16"/>
          <w:szCs w:val="16"/>
        </w:rPr>
        <w:t xml:space="preserve"> </w:t>
      </w:r>
      <w:r w:rsidRPr="00082456">
        <w:rPr>
          <w:rFonts w:ascii="Verdana" w:hAnsi="Verdana" w:cs="Arial"/>
          <w:sz w:val="16"/>
          <w:szCs w:val="16"/>
        </w:rPr>
        <w:t>especializadas, de tipo operativo y de apoyo que puedan cubrir las necesidades de la empresa, de</w:t>
      </w:r>
      <w:r w:rsidRPr="00082456">
        <w:rPr>
          <w:rFonts w:ascii="Verdana" w:hAnsi="Verdana" w:cs="Arial"/>
          <w:spacing w:val="1"/>
          <w:sz w:val="16"/>
          <w:szCs w:val="16"/>
        </w:rPr>
        <w:t xml:space="preserve"> </w:t>
      </w:r>
      <w:r w:rsidRPr="00082456">
        <w:rPr>
          <w:rFonts w:ascii="Verdana" w:hAnsi="Verdana" w:cs="Arial"/>
          <w:sz w:val="16"/>
          <w:szCs w:val="16"/>
        </w:rPr>
        <w:t>forma</w:t>
      </w:r>
      <w:r w:rsidRPr="00082456">
        <w:rPr>
          <w:rFonts w:ascii="Verdana" w:hAnsi="Verdana" w:cs="Arial"/>
          <w:spacing w:val="-2"/>
          <w:sz w:val="16"/>
          <w:szCs w:val="16"/>
        </w:rPr>
        <w:t xml:space="preserve"> </w:t>
      </w:r>
      <w:r w:rsidRPr="00082456">
        <w:rPr>
          <w:rFonts w:ascii="Verdana" w:hAnsi="Verdana" w:cs="Arial"/>
          <w:sz w:val="16"/>
          <w:szCs w:val="16"/>
        </w:rPr>
        <w:t>tal</w:t>
      </w:r>
      <w:r w:rsidRPr="00082456">
        <w:rPr>
          <w:rFonts w:ascii="Verdana" w:hAnsi="Verdana" w:cs="Arial"/>
          <w:spacing w:val="-2"/>
          <w:sz w:val="16"/>
          <w:szCs w:val="16"/>
        </w:rPr>
        <w:t xml:space="preserve"> </w:t>
      </w:r>
      <w:r w:rsidRPr="00082456">
        <w:rPr>
          <w:rFonts w:ascii="Verdana" w:hAnsi="Verdana" w:cs="Arial"/>
          <w:sz w:val="16"/>
          <w:szCs w:val="16"/>
        </w:rPr>
        <w:t>que</w:t>
      </w:r>
      <w:r w:rsidRPr="00082456">
        <w:rPr>
          <w:rFonts w:ascii="Verdana" w:hAnsi="Verdana" w:cs="Arial"/>
          <w:spacing w:val="-2"/>
          <w:sz w:val="16"/>
          <w:szCs w:val="16"/>
        </w:rPr>
        <w:t xml:space="preserve"> </w:t>
      </w:r>
      <w:r w:rsidRPr="00082456">
        <w:rPr>
          <w:rFonts w:ascii="Verdana" w:hAnsi="Verdana" w:cs="Arial"/>
          <w:sz w:val="16"/>
          <w:szCs w:val="16"/>
        </w:rPr>
        <w:t>la</w:t>
      </w:r>
      <w:r w:rsidRPr="00082456">
        <w:rPr>
          <w:rFonts w:ascii="Verdana" w:hAnsi="Verdana" w:cs="Arial"/>
          <w:spacing w:val="-1"/>
          <w:sz w:val="16"/>
          <w:szCs w:val="16"/>
        </w:rPr>
        <w:t xml:space="preserve"> </w:t>
      </w:r>
      <w:r w:rsidRPr="00082456">
        <w:rPr>
          <w:rFonts w:ascii="Verdana" w:hAnsi="Verdana" w:cs="Arial"/>
          <w:sz w:val="16"/>
          <w:szCs w:val="16"/>
        </w:rPr>
        <w:t>gestión</w:t>
      </w:r>
      <w:r w:rsidRPr="00082456">
        <w:rPr>
          <w:rFonts w:ascii="Verdana" w:hAnsi="Verdana" w:cs="Arial"/>
          <w:spacing w:val="-2"/>
          <w:sz w:val="16"/>
          <w:szCs w:val="16"/>
        </w:rPr>
        <w:t xml:space="preserve"> </w:t>
      </w:r>
      <w:r w:rsidRPr="00082456">
        <w:rPr>
          <w:rFonts w:ascii="Verdana" w:hAnsi="Verdana" w:cs="Arial"/>
          <w:sz w:val="16"/>
          <w:szCs w:val="16"/>
        </w:rPr>
        <w:t>resulte</w:t>
      </w:r>
      <w:r w:rsidRPr="00082456">
        <w:rPr>
          <w:rFonts w:ascii="Verdana" w:hAnsi="Verdana" w:cs="Arial"/>
          <w:spacing w:val="-2"/>
          <w:sz w:val="16"/>
          <w:szCs w:val="16"/>
        </w:rPr>
        <w:t xml:space="preserve"> </w:t>
      </w:r>
      <w:r w:rsidRPr="00082456">
        <w:rPr>
          <w:rFonts w:ascii="Verdana" w:hAnsi="Verdana" w:cs="Arial"/>
          <w:sz w:val="16"/>
          <w:szCs w:val="16"/>
        </w:rPr>
        <w:t>más</w:t>
      </w:r>
      <w:r w:rsidRPr="00082456">
        <w:rPr>
          <w:rFonts w:ascii="Verdana" w:hAnsi="Verdana" w:cs="Arial"/>
          <w:spacing w:val="-1"/>
          <w:sz w:val="16"/>
          <w:szCs w:val="16"/>
        </w:rPr>
        <w:t xml:space="preserve"> </w:t>
      </w:r>
      <w:r w:rsidRPr="00082456">
        <w:rPr>
          <w:rFonts w:ascii="Verdana" w:hAnsi="Verdana" w:cs="Arial"/>
          <w:sz w:val="16"/>
          <w:szCs w:val="16"/>
        </w:rPr>
        <w:t>eficiente,</w:t>
      </w:r>
      <w:r w:rsidRPr="00082456">
        <w:rPr>
          <w:rFonts w:ascii="Verdana" w:hAnsi="Verdana" w:cs="Arial"/>
          <w:spacing w:val="-2"/>
          <w:sz w:val="16"/>
          <w:szCs w:val="16"/>
        </w:rPr>
        <w:t xml:space="preserve"> </w:t>
      </w:r>
      <w:r w:rsidRPr="00082456">
        <w:rPr>
          <w:rFonts w:ascii="Verdana" w:hAnsi="Verdana" w:cs="Arial"/>
          <w:sz w:val="16"/>
          <w:szCs w:val="16"/>
        </w:rPr>
        <w:t>con</w:t>
      </w:r>
      <w:r w:rsidRPr="00082456">
        <w:rPr>
          <w:rFonts w:ascii="Verdana" w:hAnsi="Verdana" w:cs="Arial"/>
          <w:spacing w:val="-2"/>
          <w:sz w:val="16"/>
          <w:szCs w:val="16"/>
        </w:rPr>
        <w:t xml:space="preserve"> </w:t>
      </w:r>
      <w:r w:rsidRPr="00082456">
        <w:rPr>
          <w:rFonts w:ascii="Verdana" w:hAnsi="Verdana" w:cs="Arial"/>
          <w:sz w:val="16"/>
          <w:szCs w:val="16"/>
        </w:rPr>
        <w:t>calidad</w:t>
      </w:r>
      <w:r w:rsidRPr="00082456">
        <w:rPr>
          <w:rFonts w:ascii="Verdana" w:hAnsi="Verdana" w:cs="Arial"/>
          <w:spacing w:val="-1"/>
          <w:sz w:val="16"/>
          <w:szCs w:val="16"/>
        </w:rPr>
        <w:t xml:space="preserve"> </w:t>
      </w:r>
      <w:r w:rsidRPr="00082456">
        <w:rPr>
          <w:rFonts w:ascii="Verdana" w:hAnsi="Verdana" w:cs="Arial"/>
          <w:sz w:val="16"/>
          <w:szCs w:val="16"/>
        </w:rPr>
        <w:t>e</w:t>
      </w:r>
      <w:r w:rsidRPr="00082456">
        <w:rPr>
          <w:rFonts w:ascii="Verdana" w:hAnsi="Verdana" w:cs="Arial"/>
          <w:spacing w:val="-2"/>
          <w:sz w:val="16"/>
          <w:szCs w:val="16"/>
        </w:rPr>
        <w:t xml:space="preserve"> </w:t>
      </w:r>
      <w:r w:rsidRPr="00082456">
        <w:rPr>
          <w:rFonts w:ascii="Verdana" w:hAnsi="Verdana" w:cs="Arial"/>
          <w:sz w:val="16"/>
          <w:szCs w:val="16"/>
        </w:rPr>
        <w:t>implique</w:t>
      </w:r>
      <w:r w:rsidRPr="00082456">
        <w:rPr>
          <w:rFonts w:ascii="Verdana" w:hAnsi="Verdana" w:cs="Arial"/>
          <w:spacing w:val="-2"/>
          <w:sz w:val="16"/>
          <w:szCs w:val="16"/>
        </w:rPr>
        <w:t xml:space="preserve"> </w:t>
      </w:r>
      <w:r w:rsidRPr="00082456">
        <w:rPr>
          <w:rFonts w:ascii="Verdana" w:hAnsi="Verdana" w:cs="Arial"/>
          <w:sz w:val="16"/>
          <w:szCs w:val="16"/>
        </w:rPr>
        <w:t>menor</w:t>
      </w:r>
      <w:r w:rsidRPr="00082456">
        <w:rPr>
          <w:rFonts w:ascii="Verdana" w:hAnsi="Verdana" w:cs="Arial"/>
          <w:spacing w:val="-2"/>
          <w:sz w:val="16"/>
          <w:szCs w:val="16"/>
        </w:rPr>
        <w:t xml:space="preserve"> </w:t>
      </w:r>
      <w:r w:rsidRPr="00082456">
        <w:rPr>
          <w:rFonts w:ascii="Verdana" w:hAnsi="Verdana" w:cs="Arial"/>
          <w:sz w:val="16"/>
          <w:szCs w:val="16"/>
        </w:rPr>
        <w:t>costo.</w:t>
      </w:r>
    </w:p>
    <w:p w14:paraId="0A22BEA7" w14:textId="77777777" w:rsidR="00E15938" w:rsidRPr="00082456" w:rsidRDefault="00E15938" w:rsidP="00E15938">
      <w:pPr>
        <w:spacing w:after="0" w:line="240" w:lineRule="auto"/>
        <w:ind w:firstLine="708"/>
        <w:jc w:val="both"/>
        <w:rPr>
          <w:rFonts w:ascii="Verdana" w:hAnsi="Verdana" w:cs="Arial"/>
          <w:sz w:val="16"/>
          <w:szCs w:val="16"/>
        </w:rPr>
      </w:pPr>
      <w:r w:rsidRPr="00082456">
        <w:rPr>
          <w:rFonts w:ascii="Verdana" w:hAnsi="Verdana" w:cs="Arial"/>
          <w:sz w:val="16"/>
          <w:szCs w:val="16"/>
        </w:rPr>
        <w:t>Estas</w:t>
      </w:r>
      <w:r w:rsidRPr="00082456">
        <w:rPr>
          <w:rFonts w:ascii="Verdana" w:hAnsi="Verdana" w:cs="Arial"/>
          <w:spacing w:val="1"/>
          <w:sz w:val="16"/>
          <w:szCs w:val="16"/>
        </w:rPr>
        <w:t xml:space="preserve"> </w:t>
      </w:r>
      <w:r w:rsidRPr="00082456">
        <w:rPr>
          <w:rFonts w:ascii="Verdana" w:hAnsi="Verdana" w:cs="Arial"/>
          <w:sz w:val="16"/>
          <w:szCs w:val="16"/>
        </w:rPr>
        <w:t>instituciones</w:t>
      </w:r>
      <w:r w:rsidRPr="00082456">
        <w:rPr>
          <w:rFonts w:ascii="Verdana" w:hAnsi="Verdana" w:cs="Arial"/>
          <w:spacing w:val="1"/>
          <w:sz w:val="16"/>
          <w:szCs w:val="16"/>
        </w:rPr>
        <w:t xml:space="preserve"> </w:t>
      </w:r>
      <w:r w:rsidRPr="00082456">
        <w:rPr>
          <w:rFonts w:ascii="Verdana" w:hAnsi="Verdana" w:cs="Arial"/>
          <w:sz w:val="16"/>
          <w:szCs w:val="16"/>
        </w:rPr>
        <w:t>podrán</w:t>
      </w:r>
      <w:r w:rsidRPr="00082456">
        <w:rPr>
          <w:rFonts w:ascii="Verdana" w:hAnsi="Verdana" w:cs="Arial"/>
          <w:spacing w:val="1"/>
          <w:sz w:val="16"/>
          <w:szCs w:val="16"/>
        </w:rPr>
        <w:t xml:space="preserve"> </w:t>
      </w:r>
      <w:r w:rsidRPr="00082456">
        <w:rPr>
          <w:rFonts w:ascii="Verdana" w:hAnsi="Verdana" w:cs="Arial"/>
          <w:sz w:val="16"/>
          <w:szCs w:val="16"/>
        </w:rPr>
        <w:t>utilizar</w:t>
      </w:r>
      <w:r w:rsidRPr="00082456">
        <w:rPr>
          <w:rFonts w:ascii="Verdana" w:hAnsi="Verdana" w:cs="Arial"/>
          <w:spacing w:val="1"/>
          <w:sz w:val="16"/>
          <w:szCs w:val="16"/>
        </w:rPr>
        <w:t xml:space="preserve"> </w:t>
      </w:r>
      <w:r w:rsidRPr="00082456">
        <w:rPr>
          <w:rFonts w:ascii="Verdana" w:hAnsi="Verdana" w:cs="Arial"/>
          <w:sz w:val="16"/>
          <w:szCs w:val="16"/>
        </w:rPr>
        <w:t>mecanismos</w:t>
      </w:r>
      <w:r w:rsidRPr="00082456">
        <w:rPr>
          <w:rFonts w:ascii="Verdana" w:hAnsi="Verdana" w:cs="Arial"/>
          <w:spacing w:val="1"/>
          <w:sz w:val="16"/>
          <w:szCs w:val="16"/>
        </w:rPr>
        <w:t xml:space="preserve"> </w:t>
      </w:r>
      <w:r w:rsidRPr="00082456">
        <w:rPr>
          <w:rFonts w:ascii="Verdana" w:hAnsi="Verdana" w:cs="Arial"/>
          <w:sz w:val="16"/>
          <w:szCs w:val="16"/>
        </w:rPr>
        <w:t>de</w:t>
      </w:r>
      <w:r w:rsidRPr="00082456">
        <w:rPr>
          <w:rFonts w:ascii="Verdana" w:hAnsi="Verdana" w:cs="Arial"/>
          <w:spacing w:val="1"/>
          <w:sz w:val="16"/>
          <w:szCs w:val="16"/>
        </w:rPr>
        <w:t xml:space="preserve"> </w:t>
      </w:r>
      <w:r w:rsidRPr="00082456">
        <w:rPr>
          <w:rFonts w:ascii="Verdana" w:hAnsi="Verdana" w:cs="Arial"/>
          <w:sz w:val="16"/>
          <w:szCs w:val="16"/>
        </w:rPr>
        <w:t>subasta</w:t>
      </w:r>
      <w:r w:rsidRPr="00082456">
        <w:rPr>
          <w:rFonts w:ascii="Verdana" w:hAnsi="Verdana" w:cs="Arial"/>
          <w:spacing w:val="1"/>
          <w:sz w:val="16"/>
          <w:szCs w:val="16"/>
        </w:rPr>
        <w:t xml:space="preserve"> </w:t>
      </w:r>
      <w:r w:rsidRPr="00082456">
        <w:rPr>
          <w:rFonts w:ascii="Verdana" w:hAnsi="Verdana" w:cs="Arial"/>
          <w:sz w:val="16"/>
          <w:szCs w:val="16"/>
        </w:rPr>
        <w:t>inversa</w:t>
      </w:r>
      <w:r w:rsidRPr="00082456">
        <w:rPr>
          <w:rFonts w:ascii="Verdana" w:hAnsi="Verdana" w:cs="Arial"/>
          <w:spacing w:val="1"/>
          <w:sz w:val="16"/>
          <w:szCs w:val="16"/>
        </w:rPr>
        <w:t xml:space="preserve"> </w:t>
      </w:r>
      <w:r w:rsidRPr="00082456">
        <w:rPr>
          <w:rFonts w:ascii="Verdana" w:hAnsi="Verdana" w:cs="Arial"/>
          <w:sz w:val="16"/>
          <w:szCs w:val="16"/>
        </w:rPr>
        <w:t>para</w:t>
      </w:r>
      <w:r w:rsidRPr="00082456">
        <w:rPr>
          <w:rFonts w:ascii="Verdana" w:hAnsi="Verdana" w:cs="Arial"/>
          <w:spacing w:val="1"/>
          <w:sz w:val="16"/>
          <w:szCs w:val="16"/>
        </w:rPr>
        <w:t xml:space="preserve"> </w:t>
      </w:r>
      <w:r w:rsidRPr="00082456">
        <w:rPr>
          <w:rFonts w:ascii="Verdana" w:hAnsi="Verdana" w:cs="Arial"/>
          <w:sz w:val="16"/>
          <w:szCs w:val="16"/>
        </w:rPr>
        <w:t>lograr</w:t>
      </w:r>
      <w:r w:rsidRPr="00082456">
        <w:rPr>
          <w:rFonts w:ascii="Verdana" w:hAnsi="Verdana" w:cs="Arial"/>
          <w:spacing w:val="1"/>
          <w:sz w:val="16"/>
          <w:szCs w:val="16"/>
        </w:rPr>
        <w:t xml:space="preserve"> </w:t>
      </w:r>
      <w:r w:rsidRPr="00082456">
        <w:rPr>
          <w:rFonts w:ascii="Verdana" w:hAnsi="Verdana" w:cs="Arial"/>
          <w:sz w:val="16"/>
          <w:szCs w:val="16"/>
        </w:rPr>
        <w:t>mayor</w:t>
      </w:r>
      <w:r w:rsidRPr="00082456">
        <w:rPr>
          <w:rFonts w:ascii="Verdana" w:hAnsi="Verdana" w:cs="Arial"/>
          <w:spacing w:val="-50"/>
          <w:sz w:val="16"/>
          <w:szCs w:val="16"/>
        </w:rPr>
        <w:t xml:space="preserve"> </w:t>
      </w:r>
      <w:r w:rsidRPr="00082456">
        <w:rPr>
          <w:rFonts w:ascii="Verdana" w:hAnsi="Verdana" w:cs="Arial"/>
          <w:sz w:val="16"/>
          <w:szCs w:val="16"/>
        </w:rPr>
        <w:t>eficiencia</w:t>
      </w:r>
      <w:r w:rsidRPr="00082456">
        <w:rPr>
          <w:rFonts w:ascii="Verdana" w:hAnsi="Verdana" w:cs="Arial"/>
          <w:spacing w:val="-2"/>
          <w:sz w:val="16"/>
          <w:szCs w:val="16"/>
        </w:rPr>
        <w:t xml:space="preserve"> </w:t>
      </w:r>
      <w:r w:rsidRPr="00082456">
        <w:rPr>
          <w:rFonts w:ascii="Verdana" w:hAnsi="Verdana" w:cs="Arial"/>
          <w:sz w:val="16"/>
          <w:szCs w:val="16"/>
        </w:rPr>
        <w:t>en</w:t>
      </w:r>
      <w:r w:rsidRPr="00082456">
        <w:rPr>
          <w:rFonts w:ascii="Verdana" w:hAnsi="Verdana" w:cs="Arial"/>
          <w:spacing w:val="-1"/>
          <w:sz w:val="16"/>
          <w:szCs w:val="16"/>
        </w:rPr>
        <w:t xml:space="preserve"> </w:t>
      </w:r>
      <w:r w:rsidRPr="00082456">
        <w:rPr>
          <w:rFonts w:ascii="Verdana" w:hAnsi="Verdana" w:cs="Arial"/>
          <w:sz w:val="16"/>
          <w:szCs w:val="16"/>
        </w:rPr>
        <w:t>sus</w:t>
      </w:r>
      <w:r w:rsidRPr="00082456">
        <w:rPr>
          <w:rFonts w:ascii="Verdana" w:hAnsi="Verdana" w:cs="Arial"/>
          <w:spacing w:val="-1"/>
          <w:sz w:val="16"/>
          <w:szCs w:val="16"/>
        </w:rPr>
        <w:t xml:space="preserve"> </w:t>
      </w:r>
      <w:r>
        <w:rPr>
          <w:rFonts w:ascii="Verdana" w:hAnsi="Verdana" w:cs="Arial"/>
          <w:sz w:val="16"/>
          <w:szCs w:val="16"/>
        </w:rPr>
        <w:t>adquisiciones”</w:t>
      </w:r>
    </w:p>
  </w:footnote>
  <w:footnote w:id="21">
    <w:p w14:paraId="71F8B726" w14:textId="77777777" w:rsidR="00E15938" w:rsidRPr="00126FD7" w:rsidRDefault="00E15938" w:rsidP="00E15938">
      <w:pPr>
        <w:pStyle w:val="Textonotapie"/>
        <w:ind w:firstLine="708"/>
        <w:jc w:val="both"/>
        <w:rPr>
          <w:rFonts w:ascii="Verdana" w:hAnsi="Verdana" w:cs="Arial"/>
          <w:color w:val="000000" w:themeColor="text1"/>
          <w:sz w:val="16"/>
          <w:szCs w:val="16"/>
          <w:lang w:val="es-CO"/>
        </w:rPr>
      </w:pPr>
      <w:r w:rsidRPr="00082456">
        <w:rPr>
          <w:rStyle w:val="Refdenotaalpie"/>
          <w:rFonts w:ascii="Verdana" w:hAnsi="Verdana" w:cs="Arial"/>
          <w:color w:val="000000" w:themeColor="text1"/>
          <w:sz w:val="16"/>
          <w:szCs w:val="16"/>
        </w:rPr>
        <w:footnoteRef/>
      </w:r>
      <w:r w:rsidRPr="00082456">
        <w:rPr>
          <w:rFonts w:ascii="Verdana" w:hAnsi="Verdana" w:cs="Arial"/>
          <w:color w:val="000000" w:themeColor="text1"/>
          <w:sz w:val="16"/>
          <w:szCs w:val="16"/>
        </w:rPr>
        <w:t xml:space="preserve"> Consejo de Estado. Sala de Consulta y Servicio Civil. Concepto del 27 de agosto de 1998, radicación No. 1.127, C.P. Javier Henao Hidrón; y C</w:t>
      </w:r>
      <w:r w:rsidRPr="00082456">
        <w:rPr>
          <w:rFonts w:ascii="Verdana" w:hAnsi="Verdana" w:cs="Arial"/>
          <w:color w:val="000000" w:themeColor="text1"/>
          <w:sz w:val="16"/>
          <w:szCs w:val="16"/>
          <w:lang w:val="es-CO"/>
        </w:rPr>
        <w:t>oncepto del 6 de abril de 2000. Radicación No. 1.263, C.P</w:t>
      </w:r>
      <w:r>
        <w:rPr>
          <w:rFonts w:ascii="Verdana" w:hAnsi="Verdana" w:cs="Arial"/>
          <w:color w:val="000000" w:themeColor="text1"/>
          <w:sz w:val="16"/>
          <w:szCs w:val="16"/>
          <w:lang w:val="es-CO"/>
        </w:rPr>
        <w:t>. Flavio Augusto Rodriguez Arce.</w:t>
      </w:r>
    </w:p>
  </w:footnote>
  <w:footnote w:id="22">
    <w:p w14:paraId="6D972CA1" w14:textId="77777777" w:rsidR="00E15938" w:rsidRPr="00082456" w:rsidRDefault="00E15938" w:rsidP="00E15938">
      <w:pPr>
        <w:pStyle w:val="Textonotapie"/>
        <w:ind w:firstLine="709"/>
        <w:jc w:val="both"/>
        <w:rPr>
          <w:rFonts w:ascii="Verdana" w:hAnsi="Verdana" w:cs="Arial"/>
          <w:color w:val="000000" w:themeColor="text1"/>
          <w:sz w:val="16"/>
          <w:szCs w:val="16"/>
        </w:rPr>
      </w:pPr>
      <w:r w:rsidRPr="00082456">
        <w:rPr>
          <w:rStyle w:val="Refdenotaalpie"/>
          <w:rFonts w:ascii="Verdana" w:hAnsi="Verdana" w:cs="Arial"/>
          <w:color w:val="000000" w:themeColor="text1"/>
          <w:sz w:val="16"/>
          <w:szCs w:val="16"/>
        </w:rPr>
        <w:footnoteRef/>
      </w:r>
      <w:r w:rsidRPr="00082456">
        <w:rPr>
          <w:rFonts w:ascii="Verdana" w:hAnsi="Verdana" w:cs="Arial"/>
          <w:color w:val="000000" w:themeColor="text1"/>
          <w:sz w:val="16"/>
          <w:szCs w:val="16"/>
        </w:rPr>
        <w:t xml:space="preserve"> Ministerio de Salud y la Protección Social. Concepto del 16 de agosto de 2019. E</w:t>
      </w:r>
      <w:r>
        <w:rPr>
          <w:rFonts w:ascii="Verdana" w:hAnsi="Verdana" w:cs="Arial"/>
          <w:color w:val="000000" w:themeColor="text1"/>
          <w:sz w:val="16"/>
          <w:szCs w:val="16"/>
        </w:rPr>
        <w:t>xpediente No. 201942301304712.</w:t>
      </w:r>
    </w:p>
  </w:footnote>
  <w:footnote w:id="23">
    <w:p w14:paraId="5B981832" w14:textId="77777777" w:rsidR="00E15938" w:rsidRPr="00E13584" w:rsidRDefault="00E15938" w:rsidP="00E15938">
      <w:pPr>
        <w:pStyle w:val="Textonotapie"/>
        <w:ind w:firstLine="708"/>
        <w:jc w:val="both"/>
        <w:rPr>
          <w:rFonts w:ascii="Verdana" w:hAnsi="Verdana"/>
          <w:sz w:val="16"/>
          <w:szCs w:val="16"/>
        </w:rPr>
      </w:pPr>
      <w:r w:rsidRPr="00E13584">
        <w:rPr>
          <w:rFonts w:ascii="Verdana" w:hAnsi="Verdana" w:cs="Arial"/>
          <w:color w:val="000000"/>
          <w:sz w:val="16"/>
          <w:szCs w:val="16"/>
          <w:vertAlign w:val="superscript"/>
        </w:rPr>
        <w:footnoteRef/>
      </w:r>
      <w:r w:rsidRPr="00E13584">
        <w:rPr>
          <w:rFonts w:ascii="Verdana" w:hAnsi="Verdana" w:cs="Arial"/>
          <w:color w:val="000000"/>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E13584">
        <w:rPr>
          <w:rFonts w:ascii="Verdana" w:hAnsi="Verdana" w:cs="Arial"/>
          <w:color w:val="000000"/>
          <w:sz w:val="16"/>
          <w:szCs w:val="16"/>
          <w:shd w:val="clear" w:color="auto" w:fill="FFFFFF"/>
        </w:rPr>
        <w:t>” (</w:t>
      </w:r>
      <w:r w:rsidRPr="00E13584">
        <w:rPr>
          <w:rFonts w:ascii="Verdana" w:hAnsi="Verdana" w:cs="Arial"/>
          <w:color w:val="000000"/>
          <w:sz w:val="16"/>
          <w:szCs w:val="16"/>
        </w:rPr>
        <w:t>EXPOSITO, Juan Carlos. Forma y contenido del contrato estatal. Bogotá: Universidad Externado de Colombia, p. 89 y 90).</w:t>
      </w:r>
    </w:p>
  </w:footnote>
  <w:footnote w:id="24">
    <w:p w14:paraId="74E50BCE" w14:textId="77777777" w:rsidR="00E15938" w:rsidRPr="00E13584" w:rsidRDefault="00E15938" w:rsidP="00E15938">
      <w:pPr>
        <w:pStyle w:val="Textonotapie"/>
        <w:ind w:firstLine="708"/>
        <w:jc w:val="both"/>
        <w:rPr>
          <w:rFonts w:ascii="Verdana" w:hAnsi="Verdana" w:cs="Arial"/>
          <w:color w:val="000000"/>
          <w:sz w:val="16"/>
          <w:szCs w:val="16"/>
        </w:rPr>
      </w:pPr>
      <w:r w:rsidRPr="00E13584">
        <w:rPr>
          <w:rFonts w:ascii="Verdana" w:hAnsi="Verdana" w:cs="Arial"/>
          <w:color w:val="000000"/>
          <w:sz w:val="16"/>
          <w:szCs w:val="16"/>
          <w:vertAlign w:val="superscript"/>
        </w:rPr>
        <w:footnoteRef/>
      </w:r>
      <w:r w:rsidRPr="00E13584">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footnote>
  <w:footnote w:id="25">
    <w:p w14:paraId="1202CF48" w14:textId="77777777" w:rsidR="00E15938" w:rsidRPr="000048E3" w:rsidRDefault="00E15938" w:rsidP="00E15938">
      <w:pPr>
        <w:spacing w:after="0" w:line="240" w:lineRule="auto"/>
        <w:ind w:firstLine="708"/>
        <w:jc w:val="both"/>
        <w:rPr>
          <w:rFonts w:ascii="Verdana" w:hAnsi="Verdana" w:cs="Arial"/>
          <w:color w:val="000000"/>
          <w:sz w:val="16"/>
          <w:szCs w:val="16"/>
        </w:rPr>
      </w:pPr>
      <w:r w:rsidRPr="00E13584">
        <w:rPr>
          <w:rFonts w:ascii="Verdana" w:hAnsi="Verdana" w:cs="Arial"/>
          <w:color w:val="000000"/>
          <w:sz w:val="16"/>
          <w:szCs w:val="16"/>
          <w:vertAlign w:val="superscript"/>
        </w:rPr>
        <w:footnoteRef/>
      </w:r>
      <w:r w:rsidRPr="00E13584">
        <w:rPr>
          <w:rFonts w:ascii="Verdana" w:hAnsi="Verdana" w:cs="Arial"/>
          <w:color w:val="000000"/>
          <w:sz w:val="16"/>
          <w:szCs w:val="16"/>
        </w:rPr>
        <w:t xml:space="preserve"> Consejo </w:t>
      </w:r>
      <w:r>
        <w:rPr>
          <w:rFonts w:ascii="Verdana" w:hAnsi="Verdana" w:cs="Arial"/>
          <w:color w:val="000000"/>
          <w:sz w:val="16"/>
          <w:szCs w:val="16"/>
        </w:rPr>
        <w:t>d</w:t>
      </w:r>
      <w:r w:rsidRPr="00E13584">
        <w:rPr>
          <w:rFonts w:ascii="Verdana" w:hAnsi="Verdana" w:cs="Arial"/>
          <w:color w:val="000000"/>
          <w:sz w:val="16"/>
          <w:szCs w:val="16"/>
        </w:rPr>
        <w:t>e Estado. Sección Tercera. Subsección C. Sentencia del 20 de octubre de 2014, C.P: Enrique Gil Botero.</w:t>
      </w:r>
      <w:r w:rsidRPr="00E13584">
        <w:rPr>
          <w:sz w:val="16"/>
          <w:szCs w:val="16"/>
        </w:rPr>
        <w:t xml:space="preserve"> </w:t>
      </w:r>
      <w:r>
        <w:rPr>
          <w:rFonts w:ascii="Verdana" w:hAnsi="Verdana" w:cs="Arial"/>
          <w:color w:val="000000"/>
          <w:sz w:val="16"/>
          <w:szCs w:val="16"/>
        </w:rPr>
        <w:t xml:space="preserve"> Exp. 27.777</w:t>
      </w:r>
      <w:r w:rsidRPr="00E13584">
        <w:rPr>
          <w:rFonts w:ascii="Verdana" w:hAnsi="Verdana" w:cs="Arial"/>
          <w:color w:val="000000"/>
          <w:sz w:val="16"/>
          <w:szCs w:val="16"/>
        </w:rPr>
        <w:t>.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26">
    <w:p w14:paraId="10D6B0EF" w14:textId="77777777" w:rsidR="00E15938" w:rsidRPr="0027107E" w:rsidRDefault="00E15938" w:rsidP="00E15938">
      <w:pPr>
        <w:pStyle w:val="Textonotapie"/>
        <w:ind w:firstLine="708"/>
        <w:jc w:val="both"/>
        <w:rPr>
          <w:rFonts w:ascii="Verdana" w:hAnsi="Verdana"/>
          <w:sz w:val="16"/>
          <w:szCs w:val="16"/>
          <w:lang w:val="es-CO"/>
        </w:rPr>
      </w:pPr>
      <w:r w:rsidRPr="0027107E">
        <w:rPr>
          <w:rStyle w:val="Refdenotaalpie"/>
          <w:rFonts w:ascii="Verdana" w:hAnsi="Verdana"/>
          <w:sz w:val="16"/>
          <w:szCs w:val="16"/>
        </w:rPr>
        <w:footnoteRef/>
      </w:r>
      <w:r w:rsidRPr="0027107E">
        <w:rPr>
          <w:rFonts w:ascii="Verdana" w:hAnsi="Verdana"/>
          <w:sz w:val="16"/>
          <w:szCs w:val="16"/>
        </w:rPr>
        <w:t xml:space="preserve"> DÍAZ DÍEZ, Cristian Andrés. La liquidación. Serie: Las Cláusulas del Contrato Estatal. Medellín: Librería Jurídica Sánchez y Centro de Estudios de Derecho Administrativo –CEDA–, 2013. pp. 107-108.</w:t>
      </w:r>
    </w:p>
  </w:footnote>
  <w:footnote w:id="27">
    <w:p w14:paraId="174E8802" w14:textId="77777777" w:rsidR="00E15938" w:rsidRPr="000048E3" w:rsidRDefault="00E15938" w:rsidP="00E15938">
      <w:pPr>
        <w:pStyle w:val="Textonotapie"/>
        <w:ind w:firstLine="708"/>
        <w:jc w:val="both"/>
        <w:rPr>
          <w:rFonts w:ascii="Verdana" w:hAnsi="Verdana" w:cs="Arial"/>
          <w:sz w:val="16"/>
          <w:szCs w:val="16"/>
        </w:rPr>
      </w:pPr>
      <w:r w:rsidRPr="00E13584">
        <w:rPr>
          <w:rFonts w:ascii="Verdana" w:hAnsi="Verdana" w:cs="Arial"/>
          <w:color w:val="000000"/>
          <w:sz w:val="16"/>
          <w:szCs w:val="16"/>
          <w:vertAlign w:val="superscript"/>
        </w:rPr>
        <w:footnoteRef/>
      </w:r>
      <w:r w:rsidRPr="00E13584">
        <w:rPr>
          <w:rFonts w:ascii="Verdana" w:hAnsi="Verdana" w:cs="Arial"/>
          <w:color w:val="000000"/>
          <w:sz w:val="16"/>
          <w:szCs w:val="16"/>
        </w:rPr>
        <w:t xml:space="preserve"> COLOMBIA COMPRA EFICIENTE. Guía para la Liquidación de los Procesos de Contratación. página 5, disponible en: </w:t>
      </w:r>
      <w:hyperlink r:id="rId2" w:history="1">
        <w:r w:rsidRPr="00E13584">
          <w:rPr>
            <w:rStyle w:val="Hipervnculo"/>
            <w:rFonts w:ascii="Verdana" w:hAnsi="Verdana" w:cs="Arial"/>
            <w:sz w:val="16"/>
            <w:szCs w:val="16"/>
          </w:rPr>
          <w:t>https://www.colombiacompra.gov.co/sites/cce_public/files/cce_documents/cce_guia_liquidacion_procesos.pdf</w:t>
        </w:r>
      </w:hyperlink>
      <w:r w:rsidRPr="00E13584">
        <w:rPr>
          <w:rFonts w:ascii="Verdana" w:hAnsi="Verdana" w:cs="Arial"/>
          <w:sz w:val="16"/>
          <w:szCs w:val="16"/>
        </w:rPr>
        <w:t xml:space="preserve"> </w:t>
      </w:r>
    </w:p>
  </w:footnote>
  <w:footnote w:id="28">
    <w:p w14:paraId="3AC47DA2" w14:textId="77777777" w:rsidR="00E15938" w:rsidRPr="00E13584" w:rsidRDefault="00E15938" w:rsidP="00E15938">
      <w:pPr>
        <w:pStyle w:val="Textonotapie"/>
        <w:ind w:firstLine="708"/>
        <w:jc w:val="both"/>
        <w:rPr>
          <w:rFonts w:ascii="Verdana" w:hAnsi="Verdana"/>
          <w:sz w:val="16"/>
          <w:szCs w:val="16"/>
        </w:rPr>
      </w:pPr>
      <w:r w:rsidRPr="00E13584">
        <w:rPr>
          <w:rFonts w:ascii="Verdana" w:hAnsi="Verdana" w:cs="Arial"/>
          <w:color w:val="000000"/>
          <w:sz w:val="16"/>
          <w:szCs w:val="16"/>
          <w:vertAlign w:val="superscript"/>
        </w:rPr>
        <w:footnoteRef/>
      </w:r>
      <w:r w:rsidRPr="00E13584">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29">
    <w:p w14:paraId="1F147F94" w14:textId="77777777" w:rsidR="00E15938" w:rsidRPr="004811A7" w:rsidRDefault="00E15938" w:rsidP="00E15938">
      <w:pPr>
        <w:pStyle w:val="Textonotapie"/>
        <w:ind w:firstLine="708"/>
        <w:rPr>
          <w:lang w:val="es-ES"/>
        </w:rPr>
      </w:pPr>
      <w:r>
        <w:rPr>
          <w:rStyle w:val="Refdenotaalpie"/>
        </w:rPr>
        <w:footnoteRef/>
      </w:r>
      <w:r>
        <w:t xml:space="preserve"> En la actualidad, el artículo 164 de la Ley 1437 de 2011 –Código de Procedimiento Administrativo y de lo Contencioso Administrativo-. </w:t>
      </w:r>
    </w:p>
  </w:footnote>
  <w:footnote w:id="30">
    <w:p w14:paraId="706F0E6E" w14:textId="77777777" w:rsidR="00E15938" w:rsidRPr="00E13584" w:rsidRDefault="00E15938" w:rsidP="00E15938">
      <w:pPr>
        <w:pStyle w:val="Textonotapie"/>
        <w:ind w:firstLine="708"/>
        <w:jc w:val="both"/>
        <w:rPr>
          <w:rFonts w:ascii="Verdana" w:hAnsi="Verdana" w:cs="Arial"/>
          <w:color w:val="000000"/>
          <w:sz w:val="16"/>
          <w:szCs w:val="16"/>
        </w:rPr>
      </w:pPr>
      <w:r w:rsidRPr="00E13584">
        <w:rPr>
          <w:rFonts w:ascii="Verdana" w:hAnsi="Verdana" w:cs="Arial"/>
          <w:color w:val="000000"/>
          <w:sz w:val="16"/>
          <w:szCs w:val="16"/>
          <w:vertAlign w:val="superscript"/>
        </w:rPr>
        <w:footnoteRef/>
      </w:r>
      <w:r w:rsidRPr="00E13584">
        <w:rPr>
          <w:rFonts w:ascii="Verdana" w:hAnsi="Verdana" w:cs="Arial"/>
          <w:color w:val="000000"/>
          <w:sz w:val="16"/>
          <w:szCs w:val="16"/>
        </w:rPr>
        <w:t xml:space="preserve"> </w:t>
      </w:r>
      <w:r>
        <w:rPr>
          <w:rFonts w:ascii="Verdana" w:hAnsi="Verdana" w:cs="Arial"/>
          <w:color w:val="000000"/>
          <w:sz w:val="16"/>
          <w:szCs w:val="16"/>
        </w:rPr>
        <w:t>Consejo d</w:t>
      </w:r>
      <w:r w:rsidRPr="00E13584">
        <w:rPr>
          <w:rFonts w:ascii="Verdana" w:hAnsi="Verdana" w:cs="Arial"/>
          <w:color w:val="000000"/>
          <w:sz w:val="16"/>
          <w:szCs w:val="16"/>
        </w:rPr>
        <w:t xml:space="preserve">e Estado. Sala de Consulta y Servicio Civil. Concepto de 28 de Junio de 2016. C.P. Álvaro Namén Vargas. Rad. No 2253. </w:t>
      </w:r>
    </w:p>
  </w:footnote>
  <w:footnote w:id="31">
    <w:p w14:paraId="6F897E9B" w14:textId="77777777" w:rsidR="00E15938" w:rsidRPr="00E13584" w:rsidRDefault="00E15938" w:rsidP="00E15938">
      <w:pPr>
        <w:pStyle w:val="Textonotapie"/>
        <w:ind w:firstLine="708"/>
        <w:jc w:val="both"/>
        <w:rPr>
          <w:rFonts w:ascii="Verdana" w:hAnsi="Verdana"/>
          <w:sz w:val="16"/>
          <w:szCs w:val="16"/>
          <w:lang w:val="es-ES"/>
        </w:rPr>
      </w:pPr>
      <w:r w:rsidRPr="00E13584">
        <w:rPr>
          <w:rStyle w:val="Refdenotaalpie"/>
          <w:rFonts w:ascii="Verdana" w:hAnsi="Verdana"/>
          <w:sz w:val="16"/>
          <w:szCs w:val="16"/>
        </w:rPr>
        <w:footnoteRef/>
      </w:r>
      <w:r w:rsidRPr="00E13584">
        <w:rPr>
          <w:rFonts w:ascii="Verdana" w:hAnsi="Verdana"/>
          <w:sz w:val="16"/>
          <w:szCs w:val="16"/>
        </w:rPr>
        <w:t xml:space="preserve"> </w:t>
      </w:r>
      <w:r w:rsidRPr="00E13584">
        <w:rPr>
          <w:rFonts w:ascii="Verdana" w:hAnsi="Verdana" w:cs="Arial"/>
          <w:color w:val="000000"/>
          <w:sz w:val="16"/>
          <w:szCs w:val="16"/>
        </w:rPr>
        <w:t xml:space="preserve">DÍAZ DÍEZ, Cristian Andrés. La liquidación. Op. cit. p. 207.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291E5A" w:rsidRDefault="00291E5A">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291E5A" w:rsidRDefault="00291E5A">
    <w:pPr>
      <w:pStyle w:val="Encabezado"/>
    </w:pPr>
  </w:p>
  <w:p w14:paraId="3079FC11" w14:textId="77777777" w:rsidR="00291E5A" w:rsidRDefault="00291E5A" w:rsidP="004A305D">
    <w:pPr>
      <w:spacing w:after="0"/>
      <w:rPr>
        <w:rFonts w:ascii="Verdana" w:hAnsi="Verdana"/>
        <w:b/>
        <w:bCs/>
      </w:rPr>
    </w:pPr>
  </w:p>
  <w:p w14:paraId="5E18350A" w14:textId="705F7B76" w:rsidR="00291E5A" w:rsidRPr="004A305D" w:rsidRDefault="00291E5A" w:rsidP="00B01B1A">
    <w:pPr>
      <w:spacing w:after="0" w:line="120" w:lineRule="auto"/>
      <w:rPr>
        <w:rFonts w:ascii="Century Gothic" w:eastAsia="Geo" w:hAnsi="Century Gothic" w:cs="Geo"/>
        <w:sz w:val="16"/>
        <w:szCs w:val="16"/>
        <w:lang w:eastAsia="es-CO"/>
      </w:rPr>
    </w:pPr>
  </w:p>
  <w:p w14:paraId="1FD1C243" w14:textId="6D74A3CF" w:rsidR="00291E5A" w:rsidRDefault="00291E5A"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5pt;height:11.5pt" o:bullet="t">
        <v:imagedata r:id="rId1" o:title="mso1B13"/>
      </v:shape>
    </w:pict>
  </w:numPicBullet>
  <w:abstractNum w:abstractNumId="0" w15:restartNumberingAfterBreak="0">
    <w:nsid w:val="C106FD55"/>
    <w:multiLevelType w:val="hybridMultilevel"/>
    <w:tmpl w:val="8994ABC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EB70DFB"/>
    <w:multiLevelType w:val="hybridMultilevel"/>
    <w:tmpl w:val="0EAD77C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3"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7" w15:restartNumberingAfterBreak="0">
    <w:nsid w:val="151B5B4E"/>
    <w:multiLevelType w:val="hybridMultilevel"/>
    <w:tmpl w:val="C3923F82"/>
    <w:lvl w:ilvl="0" w:tplc="ECBA392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8" w15:restartNumberingAfterBreak="0">
    <w:nsid w:val="1CAC2B7C"/>
    <w:multiLevelType w:val="hybridMultilevel"/>
    <w:tmpl w:val="6E08C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036501"/>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80B64EC"/>
    <w:multiLevelType w:val="hybridMultilevel"/>
    <w:tmpl w:val="DC66CC38"/>
    <w:lvl w:ilvl="0" w:tplc="63D44D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CDBF6B6"/>
    <w:multiLevelType w:val="hybridMultilevel"/>
    <w:tmpl w:val="E00CB3D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A4771A8"/>
    <w:multiLevelType w:val="hybridMultilevel"/>
    <w:tmpl w:val="0E1245A2"/>
    <w:lvl w:ilvl="0" w:tplc="89122320">
      <w:start w:val="1"/>
      <w:numFmt w:val="lowerRoman"/>
      <w:lvlText w:val="%1."/>
      <w:lvlJc w:val="left"/>
      <w:pPr>
        <w:ind w:left="1080" w:hanging="72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D655E8"/>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470783B2"/>
    <w:multiLevelType w:val="hybridMultilevel"/>
    <w:tmpl w:val="949ED62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495A4E35"/>
    <w:multiLevelType w:val="hybridMultilevel"/>
    <w:tmpl w:val="2F461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E463C4"/>
    <w:multiLevelType w:val="hybridMultilevel"/>
    <w:tmpl w:val="2F4A9DAC"/>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6" w15:restartNumberingAfterBreak="0">
    <w:nsid w:val="59642751"/>
    <w:multiLevelType w:val="multilevel"/>
    <w:tmpl w:val="2C12214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5AB17DA7"/>
    <w:multiLevelType w:val="hybridMultilevel"/>
    <w:tmpl w:val="920C6EDC"/>
    <w:lvl w:ilvl="0" w:tplc="A6C42E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9" w15:restartNumberingAfterBreak="0">
    <w:nsid w:val="5F5829CA"/>
    <w:multiLevelType w:val="hybridMultilevel"/>
    <w:tmpl w:val="1EA9E0D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3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1020398475">
    <w:abstractNumId w:val="16"/>
  </w:num>
  <w:num w:numId="2" w16cid:durableId="662195577">
    <w:abstractNumId w:val="5"/>
  </w:num>
  <w:num w:numId="3" w16cid:durableId="1711996947">
    <w:abstractNumId w:val="14"/>
  </w:num>
  <w:num w:numId="4" w16cid:durableId="15507541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58701094">
    <w:abstractNumId w:val="5"/>
  </w:num>
  <w:num w:numId="6" w16cid:durableId="168254080">
    <w:abstractNumId w:val="33"/>
  </w:num>
  <w:num w:numId="7" w16cid:durableId="873463844">
    <w:abstractNumId w:val="15"/>
  </w:num>
  <w:num w:numId="8" w16cid:durableId="1893610842">
    <w:abstractNumId w:val="32"/>
  </w:num>
  <w:num w:numId="9" w16cid:durableId="720518914">
    <w:abstractNumId w:val="17"/>
  </w:num>
  <w:num w:numId="10" w16cid:durableId="1669166681">
    <w:abstractNumId w:val="31"/>
  </w:num>
  <w:num w:numId="11" w16cid:durableId="1474251163">
    <w:abstractNumId w:val="18"/>
  </w:num>
  <w:num w:numId="12" w16cid:durableId="1840267814">
    <w:abstractNumId w:val="3"/>
  </w:num>
  <w:num w:numId="13" w16cid:durableId="17661057">
    <w:abstractNumId w:val="10"/>
  </w:num>
  <w:num w:numId="14" w16cid:durableId="1160195621">
    <w:abstractNumId w:val="34"/>
  </w:num>
  <w:num w:numId="15" w16cid:durableId="735132317">
    <w:abstractNumId w:val="30"/>
  </w:num>
  <w:num w:numId="16" w16cid:durableId="1657607422">
    <w:abstractNumId w:val="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326284285">
    <w:abstractNumId w:val="6"/>
  </w:num>
  <w:num w:numId="18" w16cid:durableId="271281254">
    <w:abstractNumId w:val="28"/>
  </w:num>
  <w:num w:numId="19" w16cid:durableId="91753517">
    <w:abstractNumId w:val="13"/>
  </w:num>
  <w:num w:numId="20" w16cid:durableId="870994746">
    <w:abstractNumId w:val="19"/>
  </w:num>
  <w:num w:numId="21" w16cid:durableId="1392999215">
    <w:abstractNumId w:val="36"/>
  </w:num>
  <w:num w:numId="22" w16cid:durableId="1366713026">
    <w:abstractNumId w:val="22"/>
  </w:num>
  <w:num w:numId="23" w16cid:durableId="77481759">
    <w:abstractNumId w:val="9"/>
  </w:num>
  <w:num w:numId="24" w16cid:durableId="1131702534">
    <w:abstractNumId w:val="20"/>
  </w:num>
  <w:num w:numId="25" w16cid:durableId="795949723">
    <w:abstractNumId w:val="4"/>
  </w:num>
  <w:num w:numId="26" w16cid:durableId="699476829">
    <w:abstractNumId w:val="7"/>
  </w:num>
  <w:num w:numId="27" w16cid:durableId="154228315">
    <w:abstractNumId w:val="24"/>
  </w:num>
  <w:num w:numId="28" w16cid:durableId="1492867292">
    <w:abstractNumId w:val="8"/>
  </w:num>
  <w:num w:numId="29" w16cid:durableId="660550663">
    <w:abstractNumId w:val="12"/>
  </w:num>
  <w:num w:numId="30" w16cid:durableId="1769695119">
    <w:abstractNumId w:val="2"/>
  </w:num>
  <w:num w:numId="31" w16cid:durableId="1753426123">
    <w:abstractNumId w:val="21"/>
  </w:num>
  <w:num w:numId="32" w16cid:durableId="978076001">
    <w:abstractNumId w:val="25"/>
  </w:num>
  <w:num w:numId="33" w16cid:durableId="215046742">
    <w:abstractNumId w:val="27"/>
  </w:num>
  <w:num w:numId="34" w16cid:durableId="744842187">
    <w:abstractNumId w:val="11"/>
  </w:num>
  <w:num w:numId="35" w16cid:durableId="1239944738">
    <w:abstractNumId w:val="26"/>
  </w:num>
  <w:num w:numId="36" w16cid:durableId="1793088526">
    <w:abstractNumId w:val="0"/>
  </w:num>
  <w:num w:numId="37" w16cid:durableId="716583152">
    <w:abstractNumId w:val="23"/>
  </w:num>
  <w:num w:numId="38" w16cid:durableId="820579408">
    <w:abstractNumId w:val="1"/>
  </w:num>
  <w:num w:numId="39" w16cid:durableId="653532116">
    <w:abstractNumId w:val="29"/>
  </w:num>
  <w:num w:numId="40" w16cid:durableId="526676908">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48E3"/>
    <w:rsid w:val="000062F3"/>
    <w:rsid w:val="0000797D"/>
    <w:rsid w:val="00007D41"/>
    <w:rsid w:val="0001328B"/>
    <w:rsid w:val="000224F2"/>
    <w:rsid w:val="00023C3E"/>
    <w:rsid w:val="0002653B"/>
    <w:rsid w:val="00034682"/>
    <w:rsid w:val="00035E21"/>
    <w:rsid w:val="00041699"/>
    <w:rsid w:val="00042856"/>
    <w:rsid w:val="0004434A"/>
    <w:rsid w:val="0004651C"/>
    <w:rsid w:val="0005281E"/>
    <w:rsid w:val="00055421"/>
    <w:rsid w:val="000560C1"/>
    <w:rsid w:val="0005682C"/>
    <w:rsid w:val="00056D71"/>
    <w:rsid w:val="00061B2A"/>
    <w:rsid w:val="00062BAF"/>
    <w:rsid w:val="00062DE8"/>
    <w:rsid w:val="000630B9"/>
    <w:rsid w:val="000643B2"/>
    <w:rsid w:val="00065E80"/>
    <w:rsid w:val="00066BB4"/>
    <w:rsid w:val="0007022C"/>
    <w:rsid w:val="00071437"/>
    <w:rsid w:val="00071DE6"/>
    <w:rsid w:val="000754B0"/>
    <w:rsid w:val="00077439"/>
    <w:rsid w:val="000774B8"/>
    <w:rsid w:val="000774CF"/>
    <w:rsid w:val="000815D5"/>
    <w:rsid w:val="00082362"/>
    <w:rsid w:val="0008328D"/>
    <w:rsid w:val="00084D78"/>
    <w:rsid w:val="0009387A"/>
    <w:rsid w:val="0009387B"/>
    <w:rsid w:val="000963C6"/>
    <w:rsid w:val="000974AC"/>
    <w:rsid w:val="0009762F"/>
    <w:rsid w:val="000A31B9"/>
    <w:rsid w:val="000A3330"/>
    <w:rsid w:val="000A36D8"/>
    <w:rsid w:val="000A3D63"/>
    <w:rsid w:val="000A683A"/>
    <w:rsid w:val="000A683E"/>
    <w:rsid w:val="000B19B9"/>
    <w:rsid w:val="000B2908"/>
    <w:rsid w:val="000B3001"/>
    <w:rsid w:val="000B6F36"/>
    <w:rsid w:val="000B7176"/>
    <w:rsid w:val="000C09A7"/>
    <w:rsid w:val="000C2889"/>
    <w:rsid w:val="000C3673"/>
    <w:rsid w:val="000C538B"/>
    <w:rsid w:val="000D0152"/>
    <w:rsid w:val="000D0334"/>
    <w:rsid w:val="000D0B4D"/>
    <w:rsid w:val="000D10DC"/>
    <w:rsid w:val="000D3477"/>
    <w:rsid w:val="000D3B29"/>
    <w:rsid w:val="000D4347"/>
    <w:rsid w:val="000D5184"/>
    <w:rsid w:val="000E06F4"/>
    <w:rsid w:val="000E1AC7"/>
    <w:rsid w:val="000E471A"/>
    <w:rsid w:val="000E4CE4"/>
    <w:rsid w:val="000E7B67"/>
    <w:rsid w:val="000F0C44"/>
    <w:rsid w:val="000F5E4D"/>
    <w:rsid w:val="000F6486"/>
    <w:rsid w:val="000F669F"/>
    <w:rsid w:val="001063B3"/>
    <w:rsid w:val="00107ACA"/>
    <w:rsid w:val="001114A9"/>
    <w:rsid w:val="00111979"/>
    <w:rsid w:val="00116537"/>
    <w:rsid w:val="00120766"/>
    <w:rsid w:val="00121359"/>
    <w:rsid w:val="00122FA6"/>
    <w:rsid w:val="001240BD"/>
    <w:rsid w:val="00125105"/>
    <w:rsid w:val="001268F7"/>
    <w:rsid w:val="00126B2B"/>
    <w:rsid w:val="00127233"/>
    <w:rsid w:val="001372FC"/>
    <w:rsid w:val="00142F84"/>
    <w:rsid w:val="00143E81"/>
    <w:rsid w:val="00143FD9"/>
    <w:rsid w:val="00145047"/>
    <w:rsid w:val="00146C57"/>
    <w:rsid w:val="00150ADA"/>
    <w:rsid w:val="001569A8"/>
    <w:rsid w:val="00162E0A"/>
    <w:rsid w:val="0016332F"/>
    <w:rsid w:val="0016642E"/>
    <w:rsid w:val="001717E9"/>
    <w:rsid w:val="00171F41"/>
    <w:rsid w:val="0017238A"/>
    <w:rsid w:val="001800BA"/>
    <w:rsid w:val="00180A30"/>
    <w:rsid w:val="00185772"/>
    <w:rsid w:val="00185EE9"/>
    <w:rsid w:val="00187F79"/>
    <w:rsid w:val="0019204C"/>
    <w:rsid w:val="00196F32"/>
    <w:rsid w:val="00197274"/>
    <w:rsid w:val="001A0B04"/>
    <w:rsid w:val="001A237A"/>
    <w:rsid w:val="001A26CF"/>
    <w:rsid w:val="001A2919"/>
    <w:rsid w:val="001A7062"/>
    <w:rsid w:val="001B04F1"/>
    <w:rsid w:val="001B22E2"/>
    <w:rsid w:val="001B2CFE"/>
    <w:rsid w:val="001B4F98"/>
    <w:rsid w:val="001C13BD"/>
    <w:rsid w:val="001C222E"/>
    <w:rsid w:val="001C22F9"/>
    <w:rsid w:val="001C4F29"/>
    <w:rsid w:val="001D1C29"/>
    <w:rsid w:val="001D2CCC"/>
    <w:rsid w:val="001E3C06"/>
    <w:rsid w:val="001E4177"/>
    <w:rsid w:val="001F0A0F"/>
    <w:rsid w:val="001F114C"/>
    <w:rsid w:val="001F218E"/>
    <w:rsid w:val="001F4EFD"/>
    <w:rsid w:val="001F5606"/>
    <w:rsid w:val="001F5E13"/>
    <w:rsid w:val="001F684E"/>
    <w:rsid w:val="001F6D11"/>
    <w:rsid w:val="001F7DC6"/>
    <w:rsid w:val="00202886"/>
    <w:rsid w:val="00205784"/>
    <w:rsid w:val="00206823"/>
    <w:rsid w:val="00210946"/>
    <w:rsid w:val="00213510"/>
    <w:rsid w:val="0021372A"/>
    <w:rsid w:val="00215CEF"/>
    <w:rsid w:val="00217A08"/>
    <w:rsid w:val="00220B77"/>
    <w:rsid w:val="00221D27"/>
    <w:rsid w:val="00222906"/>
    <w:rsid w:val="002249C4"/>
    <w:rsid w:val="00224E13"/>
    <w:rsid w:val="00226742"/>
    <w:rsid w:val="002352F2"/>
    <w:rsid w:val="00237233"/>
    <w:rsid w:val="002421BB"/>
    <w:rsid w:val="00245707"/>
    <w:rsid w:val="00246A81"/>
    <w:rsid w:val="00251A5F"/>
    <w:rsid w:val="00252B30"/>
    <w:rsid w:val="002571BD"/>
    <w:rsid w:val="0025796E"/>
    <w:rsid w:val="002603E5"/>
    <w:rsid w:val="002638B2"/>
    <w:rsid w:val="002660F2"/>
    <w:rsid w:val="002664BB"/>
    <w:rsid w:val="002707A2"/>
    <w:rsid w:val="00274B54"/>
    <w:rsid w:val="00277150"/>
    <w:rsid w:val="00281DD5"/>
    <w:rsid w:val="002826F0"/>
    <w:rsid w:val="002835A6"/>
    <w:rsid w:val="002844ED"/>
    <w:rsid w:val="00286FAD"/>
    <w:rsid w:val="00291E5A"/>
    <w:rsid w:val="002923AA"/>
    <w:rsid w:val="002951A0"/>
    <w:rsid w:val="002962BC"/>
    <w:rsid w:val="002A093D"/>
    <w:rsid w:val="002A0DD0"/>
    <w:rsid w:val="002A1D2F"/>
    <w:rsid w:val="002A1D6D"/>
    <w:rsid w:val="002A49AC"/>
    <w:rsid w:val="002A64FD"/>
    <w:rsid w:val="002A6BBF"/>
    <w:rsid w:val="002B1E57"/>
    <w:rsid w:val="002B1F7F"/>
    <w:rsid w:val="002B290B"/>
    <w:rsid w:val="002B33B8"/>
    <w:rsid w:val="002B61F2"/>
    <w:rsid w:val="002B7AD9"/>
    <w:rsid w:val="002C110E"/>
    <w:rsid w:val="002C379A"/>
    <w:rsid w:val="002C765E"/>
    <w:rsid w:val="002C7A84"/>
    <w:rsid w:val="002D0F4A"/>
    <w:rsid w:val="002D13A1"/>
    <w:rsid w:val="002D3F0D"/>
    <w:rsid w:val="002E1D98"/>
    <w:rsid w:val="002E2C3F"/>
    <w:rsid w:val="002E4FD9"/>
    <w:rsid w:val="002E6F15"/>
    <w:rsid w:val="002F13FD"/>
    <w:rsid w:val="002F53FB"/>
    <w:rsid w:val="00303544"/>
    <w:rsid w:val="00303985"/>
    <w:rsid w:val="003039C1"/>
    <w:rsid w:val="00310DBE"/>
    <w:rsid w:val="00310E5C"/>
    <w:rsid w:val="003119D8"/>
    <w:rsid w:val="0031430F"/>
    <w:rsid w:val="00320BBD"/>
    <w:rsid w:val="003226F7"/>
    <w:rsid w:val="00322A85"/>
    <w:rsid w:val="00324168"/>
    <w:rsid w:val="00325755"/>
    <w:rsid w:val="0033032A"/>
    <w:rsid w:val="00330C97"/>
    <w:rsid w:val="00334C6A"/>
    <w:rsid w:val="00336C05"/>
    <w:rsid w:val="003409C8"/>
    <w:rsid w:val="00342675"/>
    <w:rsid w:val="00343512"/>
    <w:rsid w:val="003448F4"/>
    <w:rsid w:val="00345330"/>
    <w:rsid w:val="00345880"/>
    <w:rsid w:val="00347804"/>
    <w:rsid w:val="00347E58"/>
    <w:rsid w:val="00350480"/>
    <w:rsid w:val="003522B9"/>
    <w:rsid w:val="003528DF"/>
    <w:rsid w:val="00352C12"/>
    <w:rsid w:val="00354BCA"/>
    <w:rsid w:val="00354FEA"/>
    <w:rsid w:val="00361BA8"/>
    <w:rsid w:val="00362DEE"/>
    <w:rsid w:val="0036594E"/>
    <w:rsid w:val="003665EE"/>
    <w:rsid w:val="0037010E"/>
    <w:rsid w:val="003734F4"/>
    <w:rsid w:val="00374F5E"/>
    <w:rsid w:val="0037527B"/>
    <w:rsid w:val="00377E3E"/>
    <w:rsid w:val="003815B3"/>
    <w:rsid w:val="003815E8"/>
    <w:rsid w:val="00382181"/>
    <w:rsid w:val="00386CD9"/>
    <w:rsid w:val="00386D13"/>
    <w:rsid w:val="00391392"/>
    <w:rsid w:val="00392A49"/>
    <w:rsid w:val="00393812"/>
    <w:rsid w:val="0039606A"/>
    <w:rsid w:val="003A26D1"/>
    <w:rsid w:val="003A3B30"/>
    <w:rsid w:val="003A40E2"/>
    <w:rsid w:val="003A477B"/>
    <w:rsid w:val="003A779E"/>
    <w:rsid w:val="003B005A"/>
    <w:rsid w:val="003B0636"/>
    <w:rsid w:val="003B6385"/>
    <w:rsid w:val="003B78C4"/>
    <w:rsid w:val="003B7D19"/>
    <w:rsid w:val="003C0D64"/>
    <w:rsid w:val="003C0EC6"/>
    <w:rsid w:val="003C3FA5"/>
    <w:rsid w:val="003D0F4D"/>
    <w:rsid w:val="003D1B5E"/>
    <w:rsid w:val="003D5B0D"/>
    <w:rsid w:val="003E0499"/>
    <w:rsid w:val="003E40F2"/>
    <w:rsid w:val="003E7EAA"/>
    <w:rsid w:val="003F08A7"/>
    <w:rsid w:val="003F1B32"/>
    <w:rsid w:val="003F3941"/>
    <w:rsid w:val="00400676"/>
    <w:rsid w:val="004008A9"/>
    <w:rsid w:val="0040480E"/>
    <w:rsid w:val="00406575"/>
    <w:rsid w:val="004069AB"/>
    <w:rsid w:val="00410906"/>
    <w:rsid w:val="0041655A"/>
    <w:rsid w:val="00426FD7"/>
    <w:rsid w:val="0042722E"/>
    <w:rsid w:val="00427DA0"/>
    <w:rsid w:val="00436F71"/>
    <w:rsid w:val="00440391"/>
    <w:rsid w:val="004405A4"/>
    <w:rsid w:val="004426AD"/>
    <w:rsid w:val="00442C7F"/>
    <w:rsid w:val="0044528D"/>
    <w:rsid w:val="0044798F"/>
    <w:rsid w:val="00450920"/>
    <w:rsid w:val="004530EA"/>
    <w:rsid w:val="00454D48"/>
    <w:rsid w:val="004550FC"/>
    <w:rsid w:val="004554F9"/>
    <w:rsid w:val="0046004D"/>
    <w:rsid w:val="00461A6A"/>
    <w:rsid w:val="004633DE"/>
    <w:rsid w:val="00465E71"/>
    <w:rsid w:val="00466040"/>
    <w:rsid w:val="00471654"/>
    <w:rsid w:val="004734BD"/>
    <w:rsid w:val="00475854"/>
    <w:rsid w:val="00480BAF"/>
    <w:rsid w:val="00482608"/>
    <w:rsid w:val="00483749"/>
    <w:rsid w:val="0048405F"/>
    <w:rsid w:val="00484809"/>
    <w:rsid w:val="00484BB1"/>
    <w:rsid w:val="00485F59"/>
    <w:rsid w:val="004A0980"/>
    <w:rsid w:val="004A0B8B"/>
    <w:rsid w:val="004A1847"/>
    <w:rsid w:val="004A305D"/>
    <w:rsid w:val="004A3312"/>
    <w:rsid w:val="004A66E3"/>
    <w:rsid w:val="004B01B2"/>
    <w:rsid w:val="004B5C11"/>
    <w:rsid w:val="004B740F"/>
    <w:rsid w:val="004C28C6"/>
    <w:rsid w:val="004C4B37"/>
    <w:rsid w:val="004D026D"/>
    <w:rsid w:val="004D0BED"/>
    <w:rsid w:val="004D23A7"/>
    <w:rsid w:val="004D31A8"/>
    <w:rsid w:val="004E221E"/>
    <w:rsid w:val="004E2892"/>
    <w:rsid w:val="004E343A"/>
    <w:rsid w:val="004E4C0B"/>
    <w:rsid w:val="004E505B"/>
    <w:rsid w:val="004E7CE7"/>
    <w:rsid w:val="004F21C4"/>
    <w:rsid w:val="004F3012"/>
    <w:rsid w:val="004F3B9E"/>
    <w:rsid w:val="004F5559"/>
    <w:rsid w:val="004F685F"/>
    <w:rsid w:val="004F7EC9"/>
    <w:rsid w:val="00503719"/>
    <w:rsid w:val="00504CBE"/>
    <w:rsid w:val="005053D6"/>
    <w:rsid w:val="00505795"/>
    <w:rsid w:val="00514598"/>
    <w:rsid w:val="005163B5"/>
    <w:rsid w:val="0052543A"/>
    <w:rsid w:val="00525FDB"/>
    <w:rsid w:val="0052785C"/>
    <w:rsid w:val="00533E1B"/>
    <w:rsid w:val="00540C2D"/>
    <w:rsid w:val="0054111E"/>
    <w:rsid w:val="0054335F"/>
    <w:rsid w:val="00552502"/>
    <w:rsid w:val="00554BD4"/>
    <w:rsid w:val="00554E0B"/>
    <w:rsid w:val="005556B3"/>
    <w:rsid w:val="005566E8"/>
    <w:rsid w:val="00560CB5"/>
    <w:rsid w:val="00564F8B"/>
    <w:rsid w:val="00570339"/>
    <w:rsid w:val="00574122"/>
    <w:rsid w:val="00574867"/>
    <w:rsid w:val="00577D09"/>
    <w:rsid w:val="0058087F"/>
    <w:rsid w:val="0058337B"/>
    <w:rsid w:val="00591460"/>
    <w:rsid w:val="00592628"/>
    <w:rsid w:val="00597C75"/>
    <w:rsid w:val="005A0868"/>
    <w:rsid w:val="005A0CFB"/>
    <w:rsid w:val="005A282F"/>
    <w:rsid w:val="005A2AC9"/>
    <w:rsid w:val="005A6C21"/>
    <w:rsid w:val="005B2CCE"/>
    <w:rsid w:val="005B4055"/>
    <w:rsid w:val="005B58C1"/>
    <w:rsid w:val="005B6033"/>
    <w:rsid w:val="005C3777"/>
    <w:rsid w:val="005C5CDC"/>
    <w:rsid w:val="005D17C8"/>
    <w:rsid w:val="005D2B2B"/>
    <w:rsid w:val="005D476C"/>
    <w:rsid w:val="005D51C3"/>
    <w:rsid w:val="005D5F91"/>
    <w:rsid w:val="005D7B25"/>
    <w:rsid w:val="005E4601"/>
    <w:rsid w:val="005E6B74"/>
    <w:rsid w:val="005F3CE0"/>
    <w:rsid w:val="005F77CA"/>
    <w:rsid w:val="005F7C43"/>
    <w:rsid w:val="00601DFC"/>
    <w:rsid w:val="00605A00"/>
    <w:rsid w:val="00610812"/>
    <w:rsid w:val="00612CE7"/>
    <w:rsid w:val="00615F46"/>
    <w:rsid w:val="0062005D"/>
    <w:rsid w:val="006219F8"/>
    <w:rsid w:val="0063165E"/>
    <w:rsid w:val="00632C08"/>
    <w:rsid w:val="006334DA"/>
    <w:rsid w:val="00644F63"/>
    <w:rsid w:val="00650FF7"/>
    <w:rsid w:val="00652B9F"/>
    <w:rsid w:val="00656421"/>
    <w:rsid w:val="00660F6A"/>
    <w:rsid w:val="00663B19"/>
    <w:rsid w:val="00665032"/>
    <w:rsid w:val="00665D70"/>
    <w:rsid w:val="00671DAC"/>
    <w:rsid w:val="006747C7"/>
    <w:rsid w:val="00676D12"/>
    <w:rsid w:val="006827AC"/>
    <w:rsid w:val="00685235"/>
    <w:rsid w:val="006859A3"/>
    <w:rsid w:val="006900D9"/>
    <w:rsid w:val="006920AE"/>
    <w:rsid w:val="00697B17"/>
    <w:rsid w:val="006A0008"/>
    <w:rsid w:val="006A10DF"/>
    <w:rsid w:val="006A2BDE"/>
    <w:rsid w:val="006A3147"/>
    <w:rsid w:val="006B14B5"/>
    <w:rsid w:val="006B25DE"/>
    <w:rsid w:val="006B4CA3"/>
    <w:rsid w:val="006C0240"/>
    <w:rsid w:val="006C238E"/>
    <w:rsid w:val="006C5595"/>
    <w:rsid w:val="006D12F8"/>
    <w:rsid w:val="006D2F4E"/>
    <w:rsid w:val="006D4E33"/>
    <w:rsid w:val="006E1658"/>
    <w:rsid w:val="006E41C6"/>
    <w:rsid w:val="006F0D40"/>
    <w:rsid w:val="006F13EA"/>
    <w:rsid w:val="006F2501"/>
    <w:rsid w:val="006F49C9"/>
    <w:rsid w:val="00700975"/>
    <w:rsid w:val="00704D9B"/>
    <w:rsid w:val="00705E5F"/>
    <w:rsid w:val="00706C16"/>
    <w:rsid w:val="00711C85"/>
    <w:rsid w:val="0071458F"/>
    <w:rsid w:val="00714A71"/>
    <w:rsid w:val="0071627C"/>
    <w:rsid w:val="00723A7F"/>
    <w:rsid w:val="00723F2B"/>
    <w:rsid w:val="007312C3"/>
    <w:rsid w:val="007374E9"/>
    <w:rsid w:val="00737C53"/>
    <w:rsid w:val="00737DFA"/>
    <w:rsid w:val="007534CA"/>
    <w:rsid w:val="00756841"/>
    <w:rsid w:val="007569E3"/>
    <w:rsid w:val="00757EE9"/>
    <w:rsid w:val="0076066F"/>
    <w:rsid w:val="00762AA9"/>
    <w:rsid w:val="007649AB"/>
    <w:rsid w:val="007670E3"/>
    <w:rsid w:val="00771D0C"/>
    <w:rsid w:val="00771FD2"/>
    <w:rsid w:val="00777B91"/>
    <w:rsid w:val="0078274D"/>
    <w:rsid w:val="00782DE6"/>
    <w:rsid w:val="007833AC"/>
    <w:rsid w:val="00784D58"/>
    <w:rsid w:val="00786FBF"/>
    <w:rsid w:val="00790AB7"/>
    <w:rsid w:val="007913EA"/>
    <w:rsid w:val="00791769"/>
    <w:rsid w:val="0079234D"/>
    <w:rsid w:val="00796340"/>
    <w:rsid w:val="007A23EA"/>
    <w:rsid w:val="007A2556"/>
    <w:rsid w:val="007A5189"/>
    <w:rsid w:val="007A7C52"/>
    <w:rsid w:val="007B0D88"/>
    <w:rsid w:val="007B268C"/>
    <w:rsid w:val="007B7171"/>
    <w:rsid w:val="007B7D02"/>
    <w:rsid w:val="007C0C0F"/>
    <w:rsid w:val="007C2E67"/>
    <w:rsid w:val="007C3DC2"/>
    <w:rsid w:val="007C4E2B"/>
    <w:rsid w:val="007D0457"/>
    <w:rsid w:val="007D124A"/>
    <w:rsid w:val="007D43C9"/>
    <w:rsid w:val="007E1247"/>
    <w:rsid w:val="007E5497"/>
    <w:rsid w:val="007F28CA"/>
    <w:rsid w:val="007F52A4"/>
    <w:rsid w:val="007F60FB"/>
    <w:rsid w:val="007F7B94"/>
    <w:rsid w:val="00800789"/>
    <w:rsid w:val="00804981"/>
    <w:rsid w:val="00806CD3"/>
    <w:rsid w:val="00806F5F"/>
    <w:rsid w:val="00811270"/>
    <w:rsid w:val="00811E4F"/>
    <w:rsid w:val="008163D7"/>
    <w:rsid w:val="00820278"/>
    <w:rsid w:val="00826415"/>
    <w:rsid w:val="00826D97"/>
    <w:rsid w:val="00834554"/>
    <w:rsid w:val="00834B31"/>
    <w:rsid w:val="00840ADC"/>
    <w:rsid w:val="00841A23"/>
    <w:rsid w:val="00843902"/>
    <w:rsid w:val="00843928"/>
    <w:rsid w:val="00843BF7"/>
    <w:rsid w:val="008449B3"/>
    <w:rsid w:val="0084615E"/>
    <w:rsid w:val="00846276"/>
    <w:rsid w:val="00850E23"/>
    <w:rsid w:val="00851137"/>
    <w:rsid w:val="00853978"/>
    <w:rsid w:val="0085432F"/>
    <w:rsid w:val="00856C43"/>
    <w:rsid w:val="00864209"/>
    <w:rsid w:val="00865414"/>
    <w:rsid w:val="00873217"/>
    <w:rsid w:val="00873235"/>
    <w:rsid w:val="0087325B"/>
    <w:rsid w:val="00877EBA"/>
    <w:rsid w:val="0088002A"/>
    <w:rsid w:val="00881ABA"/>
    <w:rsid w:val="008841E9"/>
    <w:rsid w:val="008843B6"/>
    <w:rsid w:val="008853C1"/>
    <w:rsid w:val="00886C89"/>
    <w:rsid w:val="00887569"/>
    <w:rsid w:val="00891928"/>
    <w:rsid w:val="00894B8B"/>
    <w:rsid w:val="008961BA"/>
    <w:rsid w:val="008A00A4"/>
    <w:rsid w:val="008A446D"/>
    <w:rsid w:val="008A6432"/>
    <w:rsid w:val="008A7A64"/>
    <w:rsid w:val="008A7F08"/>
    <w:rsid w:val="008B2F0E"/>
    <w:rsid w:val="008B5A2E"/>
    <w:rsid w:val="008D180B"/>
    <w:rsid w:val="008D1BDB"/>
    <w:rsid w:val="008D5ACA"/>
    <w:rsid w:val="008D6CDA"/>
    <w:rsid w:val="008D7227"/>
    <w:rsid w:val="008E1F92"/>
    <w:rsid w:val="008E7333"/>
    <w:rsid w:val="008E7B09"/>
    <w:rsid w:val="008E7D4C"/>
    <w:rsid w:val="008F0EA7"/>
    <w:rsid w:val="008F1CA9"/>
    <w:rsid w:val="008F5BEE"/>
    <w:rsid w:val="008F7BB9"/>
    <w:rsid w:val="00904692"/>
    <w:rsid w:val="00910097"/>
    <w:rsid w:val="00911C7C"/>
    <w:rsid w:val="0091561E"/>
    <w:rsid w:val="009163DC"/>
    <w:rsid w:val="00920849"/>
    <w:rsid w:val="00922F57"/>
    <w:rsid w:val="00923EEF"/>
    <w:rsid w:val="009325CC"/>
    <w:rsid w:val="0093558D"/>
    <w:rsid w:val="009411F5"/>
    <w:rsid w:val="009419F9"/>
    <w:rsid w:val="0094476F"/>
    <w:rsid w:val="00945B9F"/>
    <w:rsid w:val="00950BE2"/>
    <w:rsid w:val="0095126A"/>
    <w:rsid w:val="00953AA4"/>
    <w:rsid w:val="00955305"/>
    <w:rsid w:val="00956010"/>
    <w:rsid w:val="0095685E"/>
    <w:rsid w:val="00957293"/>
    <w:rsid w:val="009572D9"/>
    <w:rsid w:val="009600D2"/>
    <w:rsid w:val="00961409"/>
    <w:rsid w:val="00961B09"/>
    <w:rsid w:val="00962300"/>
    <w:rsid w:val="00965334"/>
    <w:rsid w:val="0097093E"/>
    <w:rsid w:val="009725F1"/>
    <w:rsid w:val="00974F77"/>
    <w:rsid w:val="00976025"/>
    <w:rsid w:val="00976F04"/>
    <w:rsid w:val="009800BE"/>
    <w:rsid w:val="00982E41"/>
    <w:rsid w:val="00983B79"/>
    <w:rsid w:val="00983EEA"/>
    <w:rsid w:val="00984649"/>
    <w:rsid w:val="009858BE"/>
    <w:rsid w:val="00993A7C"/>
    <w:rsid w:val="009A0DFA"/>
    <w:rsid w:val="009A3C2C"/>
    <w:rsid w:val="009A4A40"/>
    <w:rsid w:val="009B2D26"/>
    <w:rsid w:val="009B3595"/>
    <w:rsid w:val="009B5228"/>
    <w:rsid w:val="009B6C8C"/>
    <w:rsid w:val="009B780F"/>
    <w:rsid w:val="009C2DD0"/>
    <w:rsid w:val="009C3AC7"/>
    <w:rsid w:val="009C5D8C"/>
    <w:rsid w:val="009C71FA"/>
    <w:rsid w:val="009C72E7"/>
    <w:rsid w:val="009D0555"/>
    <w:rsid w:val="009D1086"/>
    <w:rsid w:val="009D3058"/>
    <w:rsid w:val="009D3A11"/>
    <w:rsid w:val="009D44C4"/>
    <w:rsid w:val="009D6427"/>
    <w:rsid w:val="009D67FD"/>
    <w:rsid w:val="009E2BCC"/>
    <w:rsid w:val="009E4636"/>
    <w:rsid w:val="009E5A30"/>
    <w:rsid w:val="009E7C05"/>
    <w:rsid w:val="009F2E0D"/>
    <w:rsid w:val="009F3831"/>
    <w:rsid w:val="009F3832"/>
    <w:rsid w:val="009F3A13"/>
    <w:rsid w:val="009F4AB2"/>
    <w:rsid w:val="009F73F7"/>
    <w:rsid w:val="00A02465"/>
    <w:rsid w:val="00A03415"/>
    <w:rsid w:val="00A04A81"/>
    <w:rsid w:val="00A122D3"/>
    <w:rsid w:val="00A1409A"/>
    <w:rsid w:val="00A14D3D"/>
    <w:rsid w:val="00A17F13"/>
    <w:rsid w:val="00A20739"/>
    <w:rsid w:val="00A211D0"/>
    <w:rsid w:val="00A23361"/>
    <w:rsid w:val="00A24433"/>
    <w:rsid w:val="00A2443A"/>
    <w:rsid w:val="00A25580"/>
    <w:rsid w:val="00A332DD"/>
    <w:rsid w:val="00A339A9"/>
    <w:rsid w:val="00A33C78"/>
    <w:rsid w:val="00A34B38"/>
    <w:rsid w:val="00A34D87"/>
    <w:rsid w:val="00A35538"/>
    <w:rsid w:val="00A3685A"/>
    <w:rsid w:val="00A3783B"/>
    <w:rsid w:val="00A37BC4"/>
    <w:rsid w:val="00A42050"/>
    <w:rsid w:val="00A43292"/>
    <w:rsid w:val="00A445C0"/>
    <w:rsid w:val="00A44D1C"/>
    <w:rsid w:val="00A52D82"/>
    <w:rsid w:val="00A53F57"/>
    <w:rsid w:val="00A56959"/>
    <w:rsid w:val="00A56FCA"/>
    <w:rsid w:val="00A57BE7"/>
    <w:rsid w:val="00A6004A"/>
    <w:rsid w:val="00A613C2"/>
    <w:rsid w:val="00A64336"/>
    <w:rsid w:val="00A7332E"/>
    <w:rsid w:val="00A745FA"/>
    <w:rsid w:val="00A74DE6"/>
    <w:rsid w:val="00A75866"/>
    <w:rsid w:val="00A75875"/>
    <w:rsid w:val="00A8086A"/>
    <w:rsid w:val="00A80F32"/>
    <w:rsid w:val="00A828F1"/>
    <w:rsid w:val="00A830AD"/>
    <w:rsid w:val="00A87F7D"/>
    <w:rsid w:val="00A9244C"/>
    <w:rsid w:val="00A94D14"/>
    <w:rsid w:val="00A95106"/>
    <w:rsid w:val="00A956B2"/>
    <w:rsid w:val="00A95A1A"/>
    <w:rsid w:val="00AA1328"/>
    <w:rsid w:val="00AA23BB"/>
    <w:rsid w:val="00AB0ADB"/>
    <w:rsid w:val="00AB3FD1"/>
    <w:rsid w:val="00AC0DF9"/>
    <w:rsid w:val="00AC0EAB"/>
    <w:rsid w:val="00AC4701"/>
    <w:rsid w:val="00AC49A2"/>
    <w:rsid w:val="00AD73E2"/>
    <w:rsid w:val="00AE2631"/>
    <w:rsid w:val="00AE3D6C"/>
    <w:rsid w:val="00AF1BEC"/>
    <w:rsid w:val="00AF2C90"/>
    <w:rsid w:val="00AF54CA"/>
    <w:rsid w:val="00B009B8"/>
    <w:rsid w:val="00B01B1A"/>
    <w:rsid w:val="00B0268A"/>
    <w:rsid w:val="00B0410F"/>
    <w:rsid w:val="00B07DDD"/>
    <w:rsid w:val="00B137B3"/>
    <w:rsid w:val="00B14E03"/>
    <w:rsid w:val="00B16798"/>
    <w:rsid w:val="00B17041"/>
    <w:rsid w:val="00B26B98"/>
    <w:rsid w:val="00B35201"/>
    <w:rsid w:val="00B35ADC"/>
    <w:rsid w:val="00B37C24"/>
    <w:rsid w:val="00B40FBC"/>
    <w:rsid w:val="00B427E2"/>
    <w:rsid w:val="00B46F27"/>
    <w:rsid w:val="00B47FD7"/>
    <w:rsid w:val="00B51F75"/>
    <w:rsid w:val="00B52169"/>
    <w:rsid w:val="00B53E27"/>
    <w:rsid w:val="00B558AF"/>
    <w:rsid w:val="00B615BA"/>
    <w:rsid w:val="00B62D8B"/>
    <w:rsid w:val="00B64355"/>
    <w:rsid w:val="00B72CD3"/>
    <w:rsid w:val="00B72FFF"/>
    <w:rsid w:val="00B76CEB"/>
    <w:rsid w:val="00B80CC6"/>
    <w:rsid w:val="00B8257D"/>
    <w:rsid w:val="00B82B8B"/>
    <w:rsid w:val="00B82F9F"/>
    <w:rsid w:val="00B86FE2"/>
    <w:rsid w:val="00B91186"/>
    <w:rsid w:val="00B93423"/>
    <w:rsid w:val="00B93E58"/>
    <w:rsid w:val="00B948E8"/>
    <w:rsid w:val="00BA0A22"/>
    <w:rsid w:val="00BA1D33"/>
    <w:rsid w:val="00BA2EF4"/>
    <w:rsid w:val="00BA6BE0"/>
    <w:rsid w:val="00BB22DA"/>
    <w:rsid w:val="00BB2C9D"/>
    <w:rsid w:val="00BC0036"/>
    <w:rsid w:val="00BC05A6"/>
    <w:rsid w:val="00BC24FA"/>
    <w:rsid w:val="00BC27B5"/>
    <w:rsid w:val="00BC3D36"/>
    <w:rsid w:val="00BC4B34"/>
    <w:rsid w:val="00BC7498"/>
    <w:rsid w:val="00BD3434"/>
    <w:rsid w:val="00BD424C"/>
    <w:rsid w:val="00BD4BCA"/>
    <w:rsid w:val="00BD7CC5"/>
    <w:rsid w:val="00BD7F72"/>
    <w:rsid w:val="00BE03BC"/>
    <w:rsid w:val="00BE0A18"/>
    <w:rsid w:val="00BF0D99"/>
    <w:rsid w:val="00BF1049"/>
    <w:rsid w:val="00BF1201"/>
    <w:rsid w:val="00BF1D4A"/>
    <w:rsid w:val="00BF230F"/>
    <w:rsid w:val="00BF26BA"/>
    <w:rsid w:val="00C002E3"/>
    <w:rsid w:val="00C012CC"/>
    <w:rsid w:val="00C04FB3"/>
    <w:rsid w:val="00C050BC"/>
    <w:rsid w:val="00C06C4F"/>
    <w:rsid w:val="00C11604"/>
    <w:rsid w:val="00C147D0"/>
    <w:rsid w:val="00C159C1"/>
    <w:rsid w:val="00C16346"/>
    <w:rsid w:val="00C17497"/>
    <w:rsid w:val="00C21B15"/>
    <w:rsid w:val="00C21B8C"/>
    <w:rsid w:val="00C32523"/>
    <w:rsid w:val="00C3281B"/>
    <w:rsid w:val="00C330EB"/>
    <w:rsid w:val="00C34712"/>
    <w:rsid w:val="00C371C9"/>
    <w:rsid w:val="00C40E9F"/>
    <w:rsid w:val="00C41481"/>
    <w:rsid w:val="00C42469"/>
    <w:rsid w:val="00C46D91"/>
    <w:rsid w:val="00C47A07"/>
    <w:rsid w:val="00C47B74"/>
    <w:rsid w:val="00C50855"/>
    <w:rsid w:val="00C57281"/>
    <w:rsid w:val="00C577E7"/>
    <w:rsid w:val="00C57E63"/>
    <w:rsid w:val="00C63F69"/>
    <w:rsid w:val="00C65D65"/>
    <w:rsid w:val="00C66D80"/>
    <w:rsid w:val="00C67703"/>
    <w:rsid w:val="00C7173F"/>
    <w:rsid w:val="00C730B6"/>
    <w:rsid w:val="00C7352F"/>
    <w:rsid w:val="00C7482D"/>
    <w:rsid w:val="00C754BE"/>
    <w:rsid w:val="00C76466"/>
    <w:rsid w:val="00C76B1C"/>
    <w:rsid w:val="00C775E0"/>
    <w:rsid w:val="00C82239"/>
    <w:rsid w:val="00C829ED"/>
    <w:rsid w:val="00C90209"/>
    <w:rsid w:val="00C915DD"/>
    <w:rsid w:val="00C91B94"/>
    <w:rsid w:val="00C92665"/>
    <w:rsid w:val="00C95BAE"/>
    <w:rsid w:val="00CA4272"/>
    <w:rsid w:val="00CA6A9D"/>
    <w:rsid w:val="00CA7F6B"/>
    <w:rsid w:val="00CB2B16"/>
    <w:rsid w:val="00CB2F3F"/>
    <w:rsid w:val="00CB6357"/>
    <w:rsid w:val="00CB704C"/>
    <w:rsid w:val="00CC0FA3"/>
    <w:rsid w:val="00CC1428"/>
    <w:rsid w:val="00CC1B26"/>
    <w:rsid w:val="00CC49F7"/>
    <w:rsid w:val="00CC54DB"/>
    <w:rsid w:val="00CC7787"/>
    <w:rsid w:val="00CD087D"/>
    <w:rsid w:val="00CD1E7E"/>
    <w:rsid w:val="00CD41CB"/>
    <w:rsid w:val="00CD5EE0"/>
    <w:rsid w:val="00CE02A2"/>
    <w:rsid w:val="00CE04FF"/>
    <w:rsid w:val="00CE3273"/>
    <w:rsid w:val="00CE509A"/>
    <w:rsid w:val="00CE5414"/>
    <w:rsid w:val="00CF241F"/>
    <w:rsid w:val="00CF7826"/>
    <w:rsid w:val="00D0157A"/>
    <w:rsid w:val="00D036D8"/>
    <w:rsid w:val="00D038ED"/>
    <w:rsid w:val="00D06D26"/>
    <w:rsid w:val="00D10B75"/>
    <w:rsid w:val="00D13351"/>
    <w:rsid w:val="00D15E25"/>
    <w:rsid w:val="00D17A40"/>
    <w:rsid w:val="00D20368"/>
    <w:rsid w:val="00D22361"/>
    <w:rsid w:val="00D22598"/>
    <w:rsid w:val="00D26924"/>
    <w:rsid w:val="00D35468"/>
    <w:rsid w:val="00D413F6"/>
    <w:rsid w:val="00D4231B"/>
    <w:rsid w:val="00D423A2"/>
    <w:rsid w:val="00D45E4A"/>
    <w:rsid w:val="00D520D8"/>
    <w:rsid w:val="00D52961"/>
    <w:rsid w:val="00D52E96"/>
    <w:rsid w:val="00D55048"/>
    <w:rsid w:val="00D56C6D"/>
    <w:rsid w:val="00D57FA4"/>
    <w:rsid w:val="00D62DE7"/>
    <w:rsid w:val="00D63AC2"/>
    <w:rsid w:val="00D665B4"/>
    <w:rsid w:val="00D673D0"/>
    <w:rsid w:val="00D7080D"/>
    <w:rsid w:val="00D7156A"/>
    <w:rsid w:val="00D7383B"/>
    <w:rsid w:val="00D748F9"/>
    <w:rsid w:val="00D7609E"/>
    <w:rsid w:val="00D81A63"/>
    <w:rsid w:val="00D81D25"/>
    <w:rsid w:val="00D85C60"/>
    <w:rsid w:val="00D86C54"/>
    <w:rsid w:val="00D86E8B"/>
    <w:rsid w:val="00D91F8B"/>
    <w:rsid w:val="00D9383B"/>
    <w:rsid w:val="00D93B61"/>
    <w:rsid w:val="00D94C40"/>
    <w:rsid w:val="00D954A1"/>
    <w:rsid w:val="00DA231B"/>
    <w:rsid w:val="00DA23A0"/>
    <w:rsid w:val="00DA50C8"/>
    <w:rsid w:val="00DA596A"/>
    <w:rsid w:val="00DA7F66"/>
    <w:rsid w:val="00DB186F"/>
    <w:rsid w:val="00DB6C5A"/>
    <w:rsid w:val="00DB77B8"/>
    <w:rsid w:val="00DC0BDA"/>
    <w:rsid w:val="00DC39FC"/>
    <w:rsid w:val="00DC4385"/>
    <w:rsid w:val="00DC484F"/>
    <w:rsid w:val="00DC4C27"/>
    <w:rsid w:val="00DC51BC"/>
    <w:rsid w:val="00DC6805"/>
    <w:rsid w:val="00DC78A7"/>
    <w:rsid w:val="00DC793F"/>
    <w:rsid w:val="00DE3067"/>
    <w:rsid w:val="00DE3BDD"/>
    <w:rsid w:val="00DE4629"/>
    <w:rsid w:val="00DE58C9"/>
    <w:rsid w:val="00DE6EAA"/>
    <w:rsid w:val="00DF11FD"/>
    <w:rsid w:val="00DF5254"/>
    <w:rsid w:val="00E052F2"/>
    <w:rsid w:val="00E12426"/>
    <w:rsid w:val="00E13584"/>
    <w:rsid w:val="00E14EB2"/>
    <w:rsid w:val="00E15938"/>
    <w:rsid w:val="00E16408"/>
    <w:rsid w:val="00E20894"/>
    <w:rsid w:val="00E2397D"/>
    <w:rsid w:val="00E23B70"/>
    <w:rsid w:val="00E245AB"/>
    <w:rsid w:val="00E26239"/>
    <w:rsid w:val="00E2701B"/>
    <w:rsid w:val="00E2764C"/>
    <w:rsid w:val="00E27F2E"/>
    <w:rsid w:val="00E308A4"/>
    <w:rsid w:val="00E35539"/>
    <w:rsid w:val="00E413EA"/>
    <w:rsid w:val="00E47F28"/>
    <w:rsid w:val="00E50AFE"/>
    <w:rsid w:val="00E51636"/>
    <w:rsid w:val="00E52E49"/>
    <w:rsid w:val="00E577AC"/>
    <w:rsid w:val="00E578B6"/>
    <w:rsid w:val="00E61547"/>
    <w:rsid w:val="00E61702"/>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2C27"/>
    <w:rsid w:val="00E92E10"/>
    <w:rsid w:val="00EA0E3D"/>
    <w:rsid w:val="00EA14C6"/>
    <w:rsid w:val="00EA1CD8"/>
    <w:rsid w:val="00EA29F8"/>
    <w:rsid w:val="00EA393B"/>
    <w:rsid w:val="00EA39A5"/>
    <w:rsid w:val="00EA65CD"/>
    <w:rsid w:val="00EB2C4B"/>
    <w:rsid w:val="00EB3BB3"/>
    <w:rsid w:val="00EB7E00"/>
    <w:rsid w:val="00EC1A2C"/>
    <w:rsid w:val="00EC1FE1"/>
    <w:rsid w:val="00EC38A7"/>
    <w:rsid w:val="00ED042A"/>
    <w:rsid w:val="00ED0D4A"/>
    <w:rsid w:val="00ED4E37"/>
    <w:rsid w:val="00EE1AA8"/>
    <w:rsid w:val="00EE2F0C"/>
    <w:rsid w:val="00EE6DCD"/>
    <w:rsid w:val="00EF26C3"/>
    <w:rsid w:val="00EF419E"/>
    <w:rsid w:val="00EF4469"/>
    <w:rsid w:val="00EF489F"/>
    <w:rsid w:val="00F00796"/>
    <w:rsid w:val="00F11213"/>
    <w:rsid w:val="00F11600"/>
    <w:rsid w:val="00F11BAA"/>
    <w:rsid w:val="00F177C1"/>
    <w:rsid w:val="00F17EB6"/>
    <w:rsid w:val="00F238F2"/>
    <w:rsid w:val="00F24580"/>
    <w:rsid w:val="00F248A2"/>
    <w:rsid w:val="00F260AA"/>
    <w:rsid w:val="00F27B26"/>
    <w:rsid w:val="00F308B8"/>
    <w:rsid w:val="00F30B1C"/>
    <w:rsid w:val="00F31EDC"/>
    <w:rsid w:val="00F34D02"/>
    <w:rsid w:val="00F34E84"/>
    <w:rsid w:val="00F36DF8"/>
    <w:rsid w:val="00F36EE8"/>
    <w:rsid w:val="00F40BAD"/>
    <w:rsid w:val="00F462B3"/>
    <w:rsid w:val="00F50DC9"/>
    <w:rsid w:val="00F5184B"/>
    <w:rsid w:val="00F5491E"/>
    <w:rsid w:val="00F55081"/>
    <w:rsid w:val="00F55168"/>
    <w:rsid w:val="00F5664F"/>
    <w:rsid w:val="00F61ABB"/>
    <w:rsid w:val="00F626C4"/>
    <w:rsid w:val="00F63482"/>
    <w:rsid w:val="00F64D9E"/>
    <w:rsid w:val="00F664EC"/>
    <w:rsid w:val="00F666C4"/>
    <w:rsid w:val="00F7684C"/>
    <w:rsid w:val="00F76AFC"/>
    <w:rsid w:val="00F80CBE"/>
    <w:rsid w:val="00F85198"/>
    <w:rsid w:val="00F85237"/>
    <w:rsid w:val="00F939CB"/>
    <w:rsid w:val="00F9479C"/>
    <w:rsid w:val="00F965EE"/>
    <w:rsid w:val="00F97949"/>
    <w:rsid w:val="00FA1110"/>
    <w:rsid w:val="00FA1361"/>
    <w:rsid w:val="00FA34EC"/>
    <w:rsid w:val="00FA358D"/>
    <w:rsid w:val="00FA47C0"/>
    <w:rsid w:val="00FA623D"/>
    <w:rsid w:val="00FB4425"/>
    <w:rsid w:val="00FB5615"/>
    <w:rsid w:val="00FB5DD1"/>
    <w:rsid w:val="00FB5F87"/>
    <w:rsid w:val="00FC07B5"/>
    <w:rsid w:val="00FC2B5D"/>
    <w:rsid w:val="00FC6192"/>
    <w:rsid w:val="00FD00BB"/>
    <w:rsid w:val="00FD00E9"/>
    <w:rsid w:val="00FD03E3"/>
    <w:rsid w:val="00FD108E"/>
    <w:rsid w:val="00FD653F"/>
    <w:rsid w:val="00FE122A"/>
    <w:rsid w:val="00FE1913"/>
    <w:rsid w:val="00FE20E6"/>
    <w:rsid w:val="00FE3927"/>
    <w:rsid w:val="00FF1187"/>
    <w:rsid w:val="00FF1449"/>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593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99"/>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AC0DF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AC0DF9"/>
    <w:rPr>
      <w:rFonts w:eastAsiaTheme="minorEastAsia"/>
      <w:color w:val="5A5A5A" w:themeColor="text1" w:themeTint="A5"/>
      <w:spacing w:val="15"/>
    </w:rPr>
  </w:style>
  <w:style w:type="character" w:customStyle="1" w:styleId="baj">
    <w:name w:val="b_aj"/>
    <w:basedOn w:val="Fuentedeprrafopredeter"/>
    <w:rsid w:val="00E2397D"/>
  </w:style>
  <w:style w:type="paragraph" w:customStyle="1" w:styleId="Textoindependiente1">
    <w:name w:val="Texto independiente1"/>
    <w:basedOn w:val="Normal"/>
    <w:next w:val="Textoindependiente"/>
    <w:uiPriority w:val="99"/>
    <w:unhideWhenUsed/>
    <w:rsid w:val="006B14B5"/>
    <w:pPr>
      <w:spacing w:after="120"/>
    </w:pPr>
    <w:rPr>
      <w:kern w:val="2"/>
      <w:sz w:val="24"/>
      <w:szCs w:val="24"/>
      <w14:ligatures w14:val="standardContextual"/>
    </w:rPr>
  </w:style>
  <w:style w:type="paragraph" w:customStyle="1" w:styleId="Textoindependiente2">
    <w:name w:val="Texto independiente2"/>
    <w:basedOn w:val="Normal"/>
    <w:next w:val="Textoindependiente"/>
    <w:uiPriority w:val="99"/>
    <w:semiHidden/>
    <w:unhideWhenUsed/>
    <w:rsid w:val="006B14B5"/>
    <w:pPr>
      <w:spacing w:after="120"/>
    </w:pPr>
  </w:style>
  <w:style w:type="character" w:customStyle="1" w:styleId="apple-converted-space">
    <w:name w:val="apple-converted-space"/>
    <w:basedOn w:val="Fuentedeprrafopredeter"/>
    <w:rsid w:val="006F49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039351">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60877566">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53143633">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08267412">
      <w:bodyDiv w:val="1"/>
      <w:marLeft w:val="0"/>
      <w:marRight w:val="0"/>
      <w:marTop w:val="0"/>
      <w:marBottom w:val="0"/>
      <w:divBdr>
        <w:top w:val="none" w:sz="0" w:space="0" w:color="auto"/>
        <w:left w:val="none" w:sz="0" w:space="0" w:color="auto"/>
        <w:bottom w:val="none" w:sz="0" w:space="0" w:color="auto"/>
        <w:right w:val="none" w:sz="0" w:space="0" w:color="auto"/>
      </w:divBdr>
    </w:div>
    <w:div w:id="910313656">
      <w:bodyDiv w:val="1"/>
      <w:marLeft w:val="0"/>
      <w:marRight w:val="0"/>
      <w:marTop w:val="0"/>
      <w:marBottom w:val="0"/>
      <w:divBdr>
        <w:top w:val="none" w:sz="0" w:space="0" w:color="auto"/>
        <w:left w:val="none" w:sz="0" w:space="0" w:color="auto"/>
        <w:bottom w:val="none" w:sz="0" w:space="0" w:color="auto"/>
        <w:right w:val="none" w:sz="0" w:space="0" w:color="auto"/>
      </w:divBdr>
    </w:div>
    <w:div w:id="930629713">
      <w:bodyDiv w:val="1"/>
      <w:marLeft w:val="0"/>
      <w:marRight w:val="0"/>
      <w:marTop w:val="0"/>
      <w:marBottom w:val="0"/>
      <w:divBdr>
        <w:top w:val="none" w:sz="0" w:space="0" w:color="auto"/>
        <w:left w:val="none" w:sz="0" w:space="0" w:color="auto"/>
        <w:bottom w:val="none" w:sz="0" w:space="0" w:color="auto"/>
        <w:right w:val="none" w:sz="0" w:space="0" w:color="auto"/>
      </w:divBdr>
      <w:divsChild>
        <w:div w:id="1038821504">
          <w:marLeft w:val="0"/>
          <w:marRight w:val="0"/>
          <w:marTop w:val="0"/>
          <w:marBottom w:val="0"/>
          <w:divBdr>
            <w:top w:val="none" w:sz="0" w:space="0" w:color="auto"/>
            <w:left w:val="none" w:sz="0" w:space="0" w:color="auto"/>
            <w:bottom w:val="none" w:sz="0" w:space="0" w:color="auto"/>
            <w:right w:val="none" w:sz="0" w:space="0" w:color="auto"/>
          </w:divBdr>
        </w:div>
      </w:divsChild>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02976885">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1632463">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86272649">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ataliasolarte22@hotmail.com"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hyperlink" Target="https://relatoria.colombiacompra.gov.co/busqueda/conceptos" TargetMode="External"/><Relationship Id="rId2" Type="http://schemas.openxmlformats.org/officeDocument/2006/relationships/customXml" Target="../customXml/item2.xml"/><Relationship Id="rId16" Type="http://schemas.openxmlformats.org/officeDocument/2006/relationships/hyperlink" Target="https://www.colombiacompra.gov.co/sites/cce_public/files/cce_documents/cce_guia_liquidacion_procesos.pdf"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ecretariasenado.gov.co/senado/basedoc/codigo_contencioso_administrativo_pr003.html" TargetMode="External"/><Relationship Id="rId5" Type="http://schemas.openxmlformats.org/officeDocument/2006/relationships/numbering" Target="numbering.xml"/><Relationship Id="rId15" Type="http://schemas.openxmlformats.org/officeDocument/2006/relationships/hyperlink" Target="http://www.secretariasenado.gov.co/senado/basedoc/codigo_contencioso_administrativo_pr003.html"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ecretariasenado.gov.co/senado/basedoc/codigo_contencioso_administrativo_pr003.html"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sites/cce_public/files/cce_documents/cce_guia_liquidacion_procesos.pdf" TargetMode="External"/><Relationship Id="rId1" Type="http://schemas.openxmlformats.org/officeDocument/2006/relationships/hyperlink" Target="https://www.minsalud.gov.co/Normatividad_Nuevo/Resoluci%C3%B3n%20No%201440%20de%202024.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C54C5519-929A-4117-B1D7-B7223C9385DF}">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29</Pages>
  <Words>9749</Words>
  <Characters>53621</Characters>
  <Application>Microsoft Office Word</Application>
  <DocSecurity>0</DocSecurity>
  <Lines>446</Lines>
  <Paragraphs>126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2025-02-25T15:45:00Z</cp:lastPrinted>
  <dcterms:created xsi:type="dcterms:W3CDTF">2025-10-15T17:26:00Z</dcterms:created>
  <dcterms:modified xsi:type="dcterms:W3CDTF">2025-10-15T17:26:00Z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