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B9281" w14:textId="77777777" w:rsidR="00BD0FDF" w:rsidRPr="00BD0FDF" w:rsidRDefault="00BD0FDF" w:rsidP="00BD0FDF">
      <w:pPr>
        <w:spacing w:after="0" w:line="240" w:lineRule="auto"/>
        <w:rPr>
          <w:rFonts w:ascii="Verdana" w:hAnsi="Verdana" w:cs="Arial"/>
          <w:b/>
          <w:bCs/>
          <w:lang w:val="es-ES" w:eastAsia="es-ES"/>
        </w:rPr>
      </w:pPr>
      <w:bookmarkStart w:id="0" w:name="_Hlk143780582"/>
      <w:r w:rsidRPr="00BD0FDF">
        <w:rPr>
          <w:rFonts w:ascii="Verdana" w:hAnsi="Verdana" w:cs="Arial"/>
          <w:b/>
          <w:bCs/>
          <w:lang w:val="es-ES" w:eastAsia="es-ES"/>
        </w:rPr>
        <w:t xml:space="preserve">CONTRATO ESTATAL – Concepto </w:t>
      </w:r>
    </w:p>
    <w:p w14:paraId="15D8467A" w14:textId="3EC83F17" w:rsidR="00BD0FDF" w:rsidRDefault="00BD0FDF" w:rsidP="00BD0FDF">
      <w:pPr>
        <w:spacing w:after="0" w:line="240" w:lineRule="auto"/>
        <w:rPr>
          <w:rFonts w:ascii="Verdana" w:hAnsi="Verdana" w:cs="Arial"/>
          <w:b/>
          <w:bCs/>
          <w:lang w:val="es-ES" w:eastAsia="es-ES"/>
        </w:rPr>
      </w:pPr>
    </w:p>
    <w:p w14:paraId="65BB35B6" w14:textId="3CCC612A" w:rsidR="00BD0FDF" w:rsidRDefault="00BD0FDF" w:rsidP="00BD0FDF">
      <w:pPr>
        <w:spacing w:after="0" w:line="240" w:lineRule="auto"/>
        <w:jc w:val="both"/>
        <w:rPr>
          <w:rFonts w:ascii="Verdana" w:hAnsi="Verdana" w:cs="Arial"/>
          <w:bCs/>
          <w:sz w:val="20"/>
          <w:lang w:eastAsia="es-ES"/>
        </w:rPr>
      </w:pPr>
      <w:r w:rsidRPr="00BD0FDF">
        <w:rPr>
          <w:rFonts w:ascii="Verdana" w:hAnsi="Verdana" w:cs="Arial"/>
          <w:bCs/>
          <w:sz w:val="20"/>
          <w:lang w:val="es-ES" w:eastAsia="es-ES"/>
        </w:rPr>
        <w:t xml:space="preserve">El Estatuto General de Contratación de la Administración Pública –EGCAP-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BD0FDF">
        <w:rPr>
          <w:rFonts w:ascii="Verdana" w:hAnsi="Verdana" w:cs="Arial"/>
          <w:bCs/>
          <w:sz w:val="20"/>
          <w:lang w:eastAsia="es-ES"/>
        </w:rPr>
        <w:t xml:space="preserve">el inciso primero del artículo 13 dispone: “Los contratos que celebren las entidades a que se refiere el artículo 2o. del presente estatuto se regirán por las disposiciones comerciales y civiles pertinentes, salvo en las materias particularmente reguladas en esta ley”. </w:t>
      </w:r>
    </w:p>
    <w:p w14:paraId="07B858BC" w14:textId="77777777" w:rsidR="00BD0FDF" w:rsidRPr="00BD0FDF" w:rsidRDefault="00BD0FDF" w:rsidP="00BD0FDF">
      <w:pPr>
        <w:spacing w:after="0" w:line="240" w:lineRule="auto"/>
        <w:jc w:val="both"/>
        <w:rPr>
          <w:rFonts w:ascii="Verdana" w:hAnsi="Verdana" w:cs="Arial"/>
          <w:bCs/>
          <w:sz w:val="20"/>
          <w:lang w:eastAsia="es-ES"/>
        </w:rPr>
      </w:pPr>
    </w:p>
    <w:p w14:paraId="5A0874F6" w14:textId="77777777" w:rsidR="00BD0FDF" w:rsidRPr="00BD0FDF" w:rsidRDefault="00BD0FDF" w:rsidP="00BD0FDF">
      <w:pPr>
        <w:spacing w:after="0" w:line="240" w:lineRule="auto"/>
        <w:jc w:val="both"/>
        <w:rPr>
          <w:rFonts w:ascii="Verdana" w:hAnsi="Verdana" w:cs="Arial"/>
          <w:bCs/>
          <w:sz w:val="20"/>
          <w:lang w:eastAsia="es-ES"/>
        </w:rPr>
      </w:pPr>
      <w:r w:rsidRPr="00BD0FDF">
        <w:rPr>
          <w:rFonts w:ascii="Verdana" w:hAnsi="Verdana" w:cs="Arial"/>
          <w:bCs/>
          <w:sz w:val="20"/>
          <w:lang w:eastAsia="es-ES"/>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2329351E" w14:textId="77777777" w:rsidR="00BD0FDF" w:rsidRPr="00BD0FDF" w:rsidRDefault="00BD0FDF" w:rsidP="00BD0FDF">
      <w:pPr>
        <w:spacing w:after="0" w:line="240" w:lineRule="auto"/>
        <w:rPr>
          <w:rFonts w:ascii="Verdana" w:hAnsi="Verdana" w:cs="Arial"/>
          <w:b/>
          <w:bCs/>
          <w:lang w:eastAsia="es-ES"/>
        </w:rPr>
      </w:pPr>
    </w:p>
    <w:p w14:paraId="03366B5D" w14:textId="4B736034" w:rsidR="00BD0FDF" w:rsidRPr="00BD0FDF" w:rsidRDefault="00BD0FDF" w:rsidP="00BD0FDF">
      <w:pPr>
        <w:spacing w:after="0" w:line="240" w:lineRule="auto"/>
        <w:rPr>
          <w:rFonts w:ascii="Verdana" w:hAnsi="Verdana" w:cs="Arial"/>
          <w:b/>
          <w:bCs/>
          <w:lang w:val="es-ES" w:eastAsia="es-ES"/>
        </w:rPr>
      </w:pPr>
      <w:r w:rsidRPr="00BD0FDF">
        <w:rPr>
          <w:rFonts w:ascii="Verdana" w:hAnsi="Verdana" w:cs="Arial"/>
          <w:b/>
          <w:bCs/>
          <w:lang w:val="es-ES" w:eastAsia="es-ES"/>
        </w:rPr>
        <w:t>CONTRATO DE OBRA –</w:t>
      </w:r>
      <w:r w:rsidR="00630318">
        <w:rPr>
          <w:rFonts w:ascii="Verdana" w:hAnsi="Verdana" w:cs="Arial"/>
          <w:b/>
          <w:bCs/>
          <w:lang w:val="es-ES" w:eastAsia="es-ES"/>
        </w:rPr>
        <w:t xml:space="preserve"> </w:t>
      </w:r>
      <w:r w:rsidRPr="00BD0FDF">
        <w:rPr>
          <w:rFonts w:ascii="Verdana" w:hAnsi="Verdana" w:cs="Arial"/>
          <w:b/>
          <w:bCs/>
          <w:lang w:val="es-ES" w:eastAsia="es-ES"/>
        </w:rPr>
        <w:t xml:space="preserve">Características </w:t>
      </w:r>
    </w:p>
    <w:p w14:paraId="7F5B1C70" w14:textId="33012659" w:rsidR="00BD0FDF" w:rsidRDefault="00BD0FDF" w:rsidP="00BD0FDF">
      <w:pPr>
        <w:spacing w:after="0" w:line="240" w:lineRule="auto"/>
        <w:rPr>
          <w:rFonts w:ascii="Verdana" w:hAnsi="Verdana" w:cs="Arial"/>
          <w:b/>
          <w:bCs/>
          <w:lang w:val="es-ES" w:eastAsia="es-ES"/>
        </w:rPr>
      </w:pPr>
    </w:p>
    <w:p w14:paraId="4E2900DE" w14:textId="368FDC19" w:rsidR="00BD0FDF" w:rsidRPr="00DD74E0" w:rsidRDefault="00BD0FDF" w:rsidP="00BD0FDF">
      <w:pPr>
        <w:spacing w:after="0" w:line="240" w:lineRule="auto"/>
        <w:jc w:val="both"/>
        <w:rPr>
          <w:rFonts w:ascii="Verdana" w:hAnsi="Verdana" w:cs="Arial"/>
          <w:bCs/>
          <w:sz w:val="20"/>
          <w:szCs w:val="20"/>
          <w:lang w:val="es-ES_tradnl" w:eastAsia="es-ES"/>
        </w:rPr>
      </w:pPr>
      <w:r w:rsidRPr="00DD74E0">
        <w:rPr>
          <w:rFonts w:ascii="Verdana" w:hAnsi="Verdana" w:cs="Arial"/>
          <w:bCs/>
          <w:sz w:val="20"/>
          <w:szCs w:val="20"/>
          <w:lang w:val="es-MX" w:eastAsia="es-ES"/>
        </w:rPr>
        <w:t>La</w:t>
      </w:r>
      <w:r w:rsidRPr="00DD74E0">
        <w:rPr>
          <w:rFonts w:ascii="Verdana" w:hAnsi="Verdana" w:cs="Arial"/>
          <w:bCs/>
          <w:sz w:val="20"/>
          <w:szCs w:val="20"/>
          <w:lang w:val="es-ES_tradnl" w:eastAsia="es-ES"/>
        </w:rPr>
        <w:t xml:space="preserve"> obra pública es una de las tipologías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47FB702A" w14:textId="77777777" w:rsidR="00BD0FDF" w:rsidRPr="00BD0FDF" w:rsidRDefault="00BD0FDF" w:rsidP="00BD0FDF">
      <w:pPr>
        <w:spacing w:after="0" w:line="240" w:lineRule="auto"/>
        <w:jc w:val="both"/>
        <w:rPr>
          <w:rFonts w:ascii="Verdana" w:hAnsi="Verdana" w:cs="Arial"/>
          <w:bCs/>
          <w:lang w:val="es-ES" w:eastAsia="es-ES"/>
        </w:rPr>
      </w:pPr>
    </w:p>
    <w:p w14:paraId="62795516" w14:textId="77777777" w:rsidR="00BD0FDF" w:rsidRPr="00BD0FDF" w:rsidRDefault="00BD0FDF" w:rsidP="00BD0FDF">
      <w:pPr>
        <w:spacing w:after="0" w:line="240" w:lineRule="auto"/>
        <w:rPr>
          <w:rFonts w:ascii="Verdana" w:hAnsi="Verdana" w:cs="Arial"/>
          <w:b/>
          <w:bCs/>
          <w:lang w:val="es-ES" w:eastAsia="es-ES"/>
        </w:rPr>
      </w:pPr>
      <w:r w:rsidRPr="00BD0FDF">
        <w:rPr>
          <w:rFonts w:ascii="Verdana" w:hAnsi="Verdana" w:cs="Arial"/>
          <w:b/>
          <w:bCs/>
          <w:lang w:val="es-ES" w:eastAsia="es-ES"/>
        </w:rPr>
        <w:t xml:space="preserve">CONTRATO DE OBRA – Sentido amplio – sentido restringido </w:t>
      </w:r>
    </w:p>
    <w:p w14:paraId="7FE9D26E" w14:textId="16CA0EC9" w:rsidR="00BD0FDF" w:rsidRDefault="00BD0FDF" w:rsidP="00BD0FDF">
      <w:pPr>
        <w:spacing w:after="0" w:line="240" w:lineRule="auto"/>
        <w:rPr>
          <w:rFonts w:ascii="Verdana" w:hAnsi="Verdana" w:cs="Arial"/>
          <w:b/>
          <w:bCs/>
          <w:lang w:val="es-ES" w:eastAsia="es-ES"/>
        </w:rPr>
      </w:pPr>
    </w:p>
    <w:p w14:paraId="60A5F096" w14:textId="3AF01027" w:rsidR="00BD0FDF" w:rsidRPr="00BD0FDF" w:rsidRDefault="00BD0FDF" w:rsidP="00BD0FDF">
      <w:pPr>
        <w:spacing w:after="0" w:line="240" w:lineRule="auto"/>
        <w:jc w:val="both"/>
        <w:rPr>
          <w:rFonts w:ascii="Verdana" w:hAnsi="Verdana" w:cs="Arial"/>
          <w:bCs/>
          <w:sz w:val="20"/>
          <w:lang w:val="es-ES_tradnl" w:eastAsia="es-ES"/>
        </w:rPr>
      </w:pPr>
      <w:r w:rsidRPr="00BD0FDF">
        <w:rPr>
          <w:rFonts w:ascii="Verdana" w:hAnsi="Verdana" w:cs="Arial"/>
          <w:bCs/>
          <w:sz w:val="20"/>
          <w:lang w:val="es-ES_tradnl" w:eastAsia="es-ES"/>
        </w:rPr>
        <w:t xml:space="preserve">En </w:t>
      </w:r>
      <w:r w:rsidRPr="00BD0FDF">
        <w:rPr>
          <w:rFonts w:ascii="Verdana" w:hAnsi="Verdana" w:cs="Arial"/>
          <w:bCs/>
          <w:i/>
          <w:iCs/>
          <w:sz w:val="20"/>
          <w:lang w:val="es-ES_tradnl" w:eastAsia="es-ES"/>
        </w:rPr>
        <w:t>sentido amplio</w:t>
      </w:r>
      <w:r w:rsidRPr="00BD0FDF">
        <w:rPr>
          <w:rFonts w:ascii="Verdana" w:hAnsi="Verdana" w:cs="Arial"/>
          <w:bCs/>
          <w:sz w:val="20"/>
          <w:lang w:val="es-ES_tradnl" w:eastAsia="es-ES"/>
        </w:rPr>
        <w:t xml:space="preserve">, dado que la “obra” es un bien que crea la actividad humana, el hecho de que sea “pública” significa que es todo trabajo material en cuya creación o realización interviene el Estado. No obstante, el numeral 1 del artículo 32 de la Ley 80 de 1993 opta por un </w:t>
      </w:r>
      <w:r w:rsidRPr="00BD0FDF">
        <w:rPr>
          <w:rFonts w:ascii="Verdana" w:hAnsi="Verdana" w:cs="Arial"/>
          <w:bCs/>
          <w:i/>
          <w:iCs/>
          <w:sz w:val="20"/>
          <w:lang w:val="es-ES_tradnl" w:eastAsia="es-ES"/>
        </w:rPr>
        <w:t>sentido restringido</w:t>
      </w:r>
      <w:r w:rsidRPr="00BD0FDF">
        <w:rPr>
          <w:rFonts w:ascii="Verdana" w:hAnsi="Verdana" w:cs="Arial"/>
          <w:bCs/>
          <w:sz w:val="20"/>
          <w:lang w:val="es-ES_tradnl" w:eastAsia="es-ES"/>
        </w:rPr>
        <w:t xml:space="preserve">,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w:t>
      </w:r>
    </w:p>
    <w:p w14:paraId="7A97312D" w14:textId="795E3F24" w:rsidR="00362B7B" w:rsidRDefault="00362B7B" w:rsidP="00591DEA">
      <w:pPr>
        <w:spacing w:after="0"/>
        <w:rPr>
          <w:rFonts w:ascii="Verdana" w:hAnsi="Verdana"/>
        </w:rPr>
      </w:pPr>
    </w:p>
    <w:p w14:paraId="0B7245C7" w14:textId="77777777" w:rsidR="005B258F" w:rsidRPr="005B258F" w:rsidRDefault="005B258F" w:rsidP="00591DEA">
      <w:pPr>
        <w:spacing w:after="0"/>
        <w:rPr>
          <w:rFonts w:ascii="Verdana" w:hAnsi="Verdana" w:cs="Arial"/>
          <w:b/>
          <w:lang w:val="es-ES" w:eastAsia="es-ES"/>
        </w:rPr>
      </w:pPr>
      <w:r w:rsidRPr="005B258F">
        <w:rPr>
          <w:rFonts w:ascii="Verdana" w:hAnsi="Verdana" w:cs="Arial"/>
          <w:b/>
          <w:lang w:val="es-ES_tradnl" w:eastAsia="es-ES"/>
        </w:rPr>
        <w:t>CONTRATOS ESTATALES – Actas parciales – Alcance</w:t>
      </w:r>
      <w:r w:rsidRPr="005B258F">
        <w:rPr>
          <w:rFonts w:ascii="Verdana" w:hAnsi="Verdana" w:cs="Arial"/>
          <w:b/>
          <w:lang w:val="es-ES" w:eastAsia="es-ES"/>
        </w:rPr>
        <w:t xml:space="preserve"> </w:t>
      </w:r>
    </w:p>
    <w:p w14:paraId="1EEF8AA3" w14:textId="77777777" w:rsidR="005B258F" w:rsidRDefault="005B258F" w:rsidP="00591DEA">
      <w:pPr>
        <w:spacing w:after="0"/>
        <w:rPr>
          <w:rFonts w:ascii="Verdana" w:hAnsi="Verdana" w:cs="Arial"/>
          <w:b/>
          <w:lang w:val="es-ES" w:eastAsia="es-ES"/>
        </w:rPr>
      </w:pPr>
    </w:p>
    <w:p w14:paraId="2ED6A3B7" w14:textId="5AE240B5" w:rsidR="005B258F" w:rsidRPr="00DD74E0" w:rsidRDefault="00DD74E0" w:rsidP="00DD74E0">
      <w:pPr>
        <w:spacing w:after="0" w:line="240" w:lineRule="auto"/>
        <w:jc w:val="both"/>
        <w:rPr>
          <w:rFonts w:ascii="Verdana" w:hAnsi="Verdana" w:cs="Arial"/>
          <w:b/>
          <w:sz w:val="20"/>
          <w:szCs w:val="20"/>
          <w:lang w:val="es-ES" w:eastAsia="es-ES"/>
        </w:rPr>
      </w:pPr>
      <w:r w:rsidRPr="00DD74E0">
        <w:rPr>
          <w:rStyle w:val="normaltextrun"/>
          <w:rFonts w:ascii="Verdana" w:hAnsi="Verdana" w:cs="Arial"/>
          <w:color w:val="000000"/>
          <w:sz w:val="20"/>
          <w:szCs w:val="20"/>
          <w:shd w:val="clear" w:color="auto" w:fill="FFFFFF"/>
        </w:rPr>
        <w:t xml:space="preserve">Durante la ejecución se pueden generar ciertos documentos en el que las partes consagran </w:t>
      </w:r>
      <w:r w:rsidRPr="00DD74E0">
        <w:rPr>
          <w:rFonts w:ascii="Verdana" w:eastAsia="Arial" w:hAnsi="Verdana" w:cs="Arial"/>
          <w:sz w:val="20"/>
          <w:szCs w:val="20"/>
          <w:lang w:val="es-ES" w:eastAsia="es-ES" w:bidi="es-ES"/>
        </w:rPr>
        <w:t>diversas circunstancias que registran el progreso o desarrollo del contrato estatal, como son las actas parciales de obra. Estas actas</w:t>
      </w:r>
      <w:r w:rsidRPr="00DD74E0">
        <w:rPr>
          <w:rStyle w:val="normaltextrun"/>
          <w:rFonts w:ascii="Verdana" w:hAnsi="Verdana" w:cs="Arial"/>
          <w:color w:val="000000"/>
          <w:sz w:val="20"/>
          <w:szCs w:val="20"/>
          <w:shd w:val="clear" w:color="auto" w:fill="FFFFFF"/>
        </w:rPr>
        <w:t xml:space="preserve"> se suscriben periódicamente en consideración a la naturaleza de tracto sucesivo de los contratos en el marco de cuya ejecución se genera y que además de constatar la ejecución parcial de las obligaciones del contrato, facilita el pago parcial de los mismos.</w:t>
      </w:r>
      <w:r w:rsidRPr="00DD74E0">
        <w:rPr>
          <w:rFonts w:ascii="Verdana" w:eastAsia="Calibri" w:hAnsi="Verdana" w:cs="Arial"/>
          <w:sz w:val="20"/>
          <w:szCs w:val="20"/>
        </w:rPr>
        <w:t xml:space="preserve"> De esta manera, las actas parciales </w:t>
      </w:r>
      <w:r w:rsidRPr="00DD74E0">
        <w:rPr>
          <w:rFonts w:ascii="Verdana" w:eastAsia="Calibri" w:hAnsi="Verdana" w:cs="Arial"/>
          <w:sz w:val="20"/>
          <w:szCs w:val="20"/>
        </w:rPr>
        <w:lastRenderedPageBreak/>
        <w:t>no tienen una regulación específica en el EGCAP y, por ende, su contenido y forma se determinan en atención exclusiva a lo consignado en el contrato. Esto implica que la administración y el contratista tienen la facultad de definir en el contrato las condiciones, periodicidad, mecanismos de aprobación y pago, entre otros aspectos propios de las actas parciales de obra</w:t>
      </w:r>
    </w:p>
    <w:p w14:paraId="1461C614" w14:textId="77777777" w:rsidR="005B258F" w:rsidRPr="005B258F" w:rsidRDefault="005B258F" w:rsidP="00591DEA">
      <w:pPr>
        <w:spacing w:after="0"/>
        <w:rPr>
          <w:rFonts w:ascii="Verdana" w:hAnsi="Verdana" w:cs="Arial"/>
          <w:b/>
          <w:lang w:val="es-ES" w:eastAsia="es-ES"/>
        </w:rPr>
      </w:pPr>
    </w:p>
    <w:p w14:paraId="2FA93361" w14:textId="66A64995" w:rsidR="00362B7B" w:rsidRPr="005B258F" w:rsidRDefault="005B258F" w:rsidP="00591DEA">
      <w:pPr>
        <w:spacing w:after="0"/>
        <w:rPr>
          <w:rFonts w:ascii="Verdana" w:hAnsi="Verdana"/>
          <w:b/>
        </w:rPr>
      </w:pPr>
      <w:r w:rsidRPr="005B258F">
        <w:rPr>
          <w:rFonts w:ascii="Verdana" w:hAnsi="Verdana" w:cs="Arial"/>
          <w:b/>
          <w:lang w:val="es-ES" w:eastAsia="es-ES"/>
        </w:rPr>
        <w:t>FUENTE DE FINANCIACIÓN</w:t>
      </w:r>
    </w:p>
    <w:p w14:paraId="31E9FE82" w14:textId="0C9E2824" w:rsidR="00362B7B" w:rsidRDefault="00362B7B" w:rsidP="00591DEA">
      <w:pPr>
        <w:spacing w:after="0"/>
        <w:rPr>
          <w:rFonts w:ascii="Verdana" w:hAnsi="Verdana"/>
        </w:rPr>
      </w:pPr>
    </w:p>
    <w:p w14:paraId="5FB07E17" w14:textId="77777777" w:rsidR="00DD74E0" w:rsidRDefault="00DD74E0" w:rsidP="00DD74E0">
      <w:pPr>
        <w:spacing w:after="0" w:line="240" w:lineRule="auto"/>
        <w:jc w:val="both"/>
        <w:rPr>
          <w:rFonts w:ascii="Verdana" w:eastAsia="Times New Roman" w:hAnsi="Verdana" w:cs="Arial"/>
          <w:color w:val="1A1A1A" w:themeColor="background1" w:themeShade="1A"/>
          <w:sz w:val="20"/>
          <w:szCs w:val="20"/>
          <w:lang w:val="es-ES" w:eastAsia="es-ES_tradnl"/>
        </w:rPr>
      </w:pPr>
      <w:r w:rsidRPr="00DD74E0">
        <w:rPr>
          <w:rFonts w:ascii="Verdana" w:eastAsia="Calibri" w:hAnsi="Verdana" w:cs="Arial"/>
          <w:sz w:val="20"/>
          <w:szCs w:val="20"/>
        </w:rPr>
        <w:t xml:space="preserve">Sobre este aspecto, vale la pena anotar que los contratos de obra pública pueden estar respaldados presupuestalmente por múltiples fuentes de financiación, lo cual refleja la concurrencia de recursos del sector público, tales como el Presupuesto General de la Nación (PGN), el Sistema General de Regalías (SGR), el Sistema General de Participaciones (SGP), recursos propios de la entidad contratante, entre otros. </w:t>
      </w:r>
      <w:r w:rsidRPr="00DD74E0">
        <w:rPr>
          <w:rFonts w:ascii="Verdana" w:eastAsia="Times New Roman" w:hAnsi="Verdana" w:cs="Arial"/>
          <w:color w:val="1A1A1A" w:themeColor="background1" w:themeShade="1A"/>
          <w:sz w:val="20"/>
          <w:szCs w:val="20"/>
          <w:lang w:val="es-ES" w:eastAsia="es-ES_tradnl"/>
        </w:rPr>
        <w:t xml:space="preserve">Para la debida asignación, distribución y correcta ejecución de los recursos públicos, las Entidades deben cumplir los procedimientos señalados en las normas, observando la regulación presupuestal donde se establecen diferentes requisitos que comportan deberes ineludibles que tienen como finalidad el control del gasto. </w:t>
      </w:r>
    </w:p>
    <w:p w14:paraId="0C55BC85" w14:textId="77777777" w:rsidR="00DD74E0" w:rsidRPr="00DD74E0" w:rsidRDefault="00DD74E0" w:rsidP="00DD74E0">
      <w:pPr>
        <w:spacing w:after="0" w:line="240" w:lineRule="auto"/>
        <w:jc w:val="both"/>
        <w:rPr>
          <w:rFonts w:ascii="Verdana" w:eastAsia="Calibri" w:hAnsi="Verdana" w:cs="Arial"/>
          <w:sz w:val="20"/>
          <w:szCs w:val="20"/>
        </w:rPr>
      </w:pPr>
    </w:p>
    <w:p w14:paraId="10E222AF" w14:textId="77777777" w:rsidR="00DD74E0" w:rsidRPr="00DD74E0" w:rsidRDefault="00DD74E0" w:rsidP="00DD74E0">
      <w:pPr>
        <w:spacing w:after="0" w:line="240" w:lineRule="auto"/>
        <w:jc w:val="both"/>
        <w:rPr>
          <w:rFonts w:ascii="Verdana" w:eastAsia="Calibri" w:hAnsi="Verdana" w:cs="Arial"/>
          <w:sz w:val="20"/>
          <w:szCs w:val="20"/>
        </w:rPr>
      </w:pPr>
      <w:r w:rsidRPr="00DD74E0">
        <w:rPr>
          <w:rFonts w:ascii="Verdana" w:eastAsia="Calibri" w:hAnsi="Verdana" w:cs="Arial"/>
          <w:sz w:val="20"/>
          <w:szCs w:val="20"/>
        </w:rPr>
        <w:t xml:space="preserve">De esta forma, cuando concurren diversas fuentes de financiación en un contrato de obra, es recomendable que las partes definan expresamente en este cómo se aplicarán dichas fuentes al momento de ejecutar los pagos parciales, con el fin de garantizar la trazabilidad del gasto público, la adecuada imputación presupuestal y la observancia de los procedimientos administrativos y financieros propios de cada fuente. Esto incluye aspectos como los requisitos documentales, los tiempos de aprobación, la disponibilidad de los recursos y los trámites ante los órganos respectivos, si es del caso, etc. </w:t>
      </w:r>
    </w:p>
    <w:p w14:paraId="2A76B4A3" w14:textId="0990F7A2" w:rsidR="00362B7B" w:rsidRDefault="00362B7B" w:rsidP="00591DEA">
      <w:pPr>
        <w:spacing w:after="0"/>
        <w:rPr>
          <w:rFonts w:ascii="Verdana" w:hAnsi="Verdana"/>
        </w:rPr>
      </w:pPr>
    </w:p>
    <w:p w14:paraId="1978BDF2" w14:textId="1FFC0A86" w:rsidR="00362B7B" w:rsidRDefault="00362B7B" w:rsidP="00591DEA">
      <w:pPr>
        <w:spacing w:after="0"/>
        <w:rPr>
          <w:rFonts w:ascii="Verdana" w:hAnsi="Verdana"/>
        </w:rPr>
      </w:pPr>
    </w:p>
    <w:p w14:paraId="232C686F" w14:textId="6C41FAA2" w:rsidR="00362B7B" w:rsidRDefault="00362B7B" w:rsidP="00591DEA">
      <w:pPr>
        <w:spacing w:after="0"/>
        <w:rPr>
          <w:rFonts w:ascii="Verdana" w:hAnsi="Verdana"/>
        </w:rPr>
      </w:pPr>
    </w:p>
    <w:p w14:paraId="72C5CA46" w14:textId="77777777" w:rsidR="009834A8" w:rsidRDefault="009834A8" w:rsidP="009834A8">
      <w:pPr>
        <w:spacing w:after="0"/>
        <w:rPr>
          <w:rFonts w:ascii="Verdana" w:hAnsi="Verdana"/>
        </w:rPr>
      </w:pPr>
    </w:p>
    <w:p w14:paraId="30395066" w14:textId="77777777" w:rsidR="00DD74E0" w:rsidRDefault="00DD74E0" w:rsidP="009834A8">
      <w:pPr>
        <w:spacing w:after="0"/>
        <w:rPr>
          <w:rFonts w:ascii="Verdana" w:hAnsi="Verdana"/>
        </w:rPr>
      </w:pPr>
    </w:p>
    <w:p w14:paraId="7BE86ADD" w14:textId="77777777" w:rsidR="00DD74E0" w:rsidRDefault="00DD74E0" w:rsidP="009834A8">
      <w:pPr>
        <w:spacing w:after="0"/>
        <w:rPr>
          <w:rFonts w:ascii="Verdana" w:hAnsi="Verdana"/>
        </w:rPr>
      </w:pPr>
    </w:p>
    <w:p w14:paraId="488D731B" w14:textId="77777777" w:rsidR="00DD74E0" w:rsidRDefault="00DD74E0" w:rsidP="009834A8">
      <w:pPr>
        <w:spacing w:after="0"/>
        <w:rPr>
          <w:rFonts w:ascii="Verdana" w:hAnsi="Verdana"/>
        </w:rPr>
      </w:pPr>
    </w:p>
    <w:p w14:paraId="24E1069B" w14:textId="77777777" w:rsidR="00DD74E0" w:rsidRDefault="00DD74E0" w:rsidP="009834A8">
      <w:pPr>
        <w:spacing w:after="0"/>
        <w:rPr>
          <w:rFonts w:ascii="Verdana" w:hAnsi="Verdana"/>
        </w:rPr>
      </w:pPr>
    </w:p>
    <w:p w14:paraId="617E0645" w14:textId="77777777" w:rsidR="00DD74E0" w:rsidRDefault="00DD74E0" w:rsidP="009834A8">
      <w:pPr>
        <w:spacing w:after="0"/>
        <w:rPr>
          <w:rFonts w:ascii="Verdana" w:hAnsi="Verdana"/>
        </w:rPr>
      </w:pPr>
    </w:p>
    <w:p w14:paraId="75CBE88D" w14:textId="77777777" w:rsidR="00DD74E0" w:rsidRDefault="00DD74E0" w:rsidP="009834A8">
      <w:pPr>
        <w:spacing w:after="0"/>
        <w:rPr>
          <w:rFonts w:ascii="Verdana" w:hAnsi="Verdana"/>
        </w:rPr>
      </w:pPr>
    </w:p>
    <w:p w14:paraId="261254A0" w14:textId="77777777" w:rsidR="00DD74E0" w:rsidRDefault="00DD74E0" w:rsidP="009834A8">
      <w:pPr>
        <w:spacing w:after="0"/>
        <w:rPr>
          <w:rFonts w:ascii="Verdana" w:hAnsi="Verdana"/>
        </w:rPr>
      </w:pPr>
    </w:p>
    <w:p w14:paraId="01CECFA6" w14:textId="77777777" w:rsidR="00DD74E0" w:rsidRDefault="00DD74E0" w:rsidP="009834A8">
      <w:pPr>
        <w:spacing w:after="0"/>
        <w:rPr>
          <w:rFonts w:ascii="Verdana" w:hAnsi="Verdana"/>
        </w:rPr>
      </w:pPr>
    </w:p>
    <w:p w14:paraId="1410B847" w14:textId="77777777" w:rsidR="00DD74E0" w:rsidRDefault="00DD74E0" w:rsidP="009834A8">
      <w:pPr>
        <w:spacing w:after="0"/>
        <w:rPr>
          <w:rFonts w:ascii="Verdana" w:hAnsi="Verdana"/>
        </w:rPr>
      </w:pPr>
    </w:p>
    <w:p w14:paraId="4B2673B8" w14:textId="77777777" w:rsidR="00DD74E0" w:rsidRDefault="00DD74E0" w:rsidP="009834A8">
      <w:pPr>
        <w:spacing w:after="0"/>
        <w:rPr>
          <w:rFonts w:ascii="Verdana" w:hAnsi="Verdana"/>
        </w:rPr>
      </w:pPr>
    </w:p>
    <w:p w14:paraId="2BD87C85" w14:textId="77777777" w:rsidR="00DD74E0" w:rsidRDefault="00DD74E0" w:rsidP="009834A8">
      <w:pPr>
        <w:spacing w:after="0"/>
        <w:rPr>
          <w:rFonts w:ascii="Verdana" w:hAnsi="Verdana"/>
        </w:rPr>
      </w:pPr>
    </w:p>
    <w:p w14:paraId="17DA9816" w14:textId="77777777" w:rsidR="00DD74E0" w:rsidRDefault="00DD74E0" w:rsidP="009834A8">
      <w:pPr>
        <w:spacing w:after="0"/>
        <w:rPr>
          <w:rFonts w:ascii="Verdana" w:hAnsi="Verdana"/>
        </w:rPr>
      </w:pPr>
    </w:p>
    <w:p w14:paraId="28EDCFD3" w14:textId="77777777" w:rsidR="009834A8" w:rsidRDefault="009834A8" w:rsidP="009834A8">
      <w:pPr>
        <w:spacing w:after="0"/>
        <w:rPr>
          <w:rFonts w:ascii="Verdana" w:hAnsi="Verdana"/>
        </w:rPr>
      </w:pPr>
    </w:p>
    <w:p w14:paraId="464A96D0" w14:textId="77777777" w:rsidR="009834A8" w:rsidRDefault="009834A8" w:rsidP="009834A8">
      <w:pPr>
        <w:spacing w:after="0"/>
        <w:rPr>
          <w:rFonts w:ascii="Verdana" w:hAnsi="Verdana"/>
        </w:rPr>
      </w:pPr>
    </w:p>
    <w:p w14:paraId="36887624" w14:textId="77777777" w:rsidR="009834A8" w:rsidRDefault="009834A8" w:rsidP="009834A8">
      <w:pPr>
        <w:spacing w:after="0"/>
        <w:rPr>
          <w:rFonts w:ascii="Verdana" w:hAnsi="Verdana"/>
        </w:rPr>
      </w:pPr>
    </w:p>
    <w:p w14:paraId="2C290EFB" w14:textId="46ACF914" w:rsidR="009834A8" w:rsidRPr="00AC6A49" w:rsidRDefault="009834A8" w:rsidP="009834A8">
      <w:pPr>
        <w:spacing w:after="0" w:line="240" w:lineRule="auto"/>
        <w:rPr>
          <w:rFonts w:ascii="Verdana" w:eastAsia="Geomanist Light" w:hAnsi="Verdana" w:cs="Arial"/>
          <w:color w:val="201F1E"/>
        </w:rPr>
      </w:pPr>
      <w:r w:rsidRPr="001F612B">
        <w:rPr>
          <w:rFonts w:ascii="Verdana" w:eastAsia="Geomanist Light" w:hAnsi="Verdana" w:cs="Arial"/>
          <w:color w:val="000000" w:themeColor="text1"/>
        </w:rPr>
        <w:lastRenderedPageBreak/>
        <w:t>Bogotá D.C., </w:t>
      </w:r>
      <w:r w:rsidR="00B87249">
        <w:rPr>
          <w:rFonts w:ascii="Verdana" w:eastAsia="Geomanist Light" w:hAnsi="Verdana" w:cs="Arial"/>
          <w:color w:val="201F1E"/>
        </w:rPr>
        <w:t>9 de octubre de 2025</w:t>
      </w:r>
    </w:p>
    <w:p w14:paraId="3E308D19" w14:textId="77777777" w:rsidR="009834A8" w:rsidRPr="00D9471C" w:rsidRDefault="009834A8" w:rsidP="009834A8">
      <w:pPr>
        <w:spacing w:after="0" w:line="240" w:lineRule="auto"/>
        <w:rPr>
          <w:rFonts w:ascii="Verdana" w:hAnsi="Verdana"/>
        </w:rPr>
      </w:pPr>
    </w:p>
    <w:p w14:paraId="67A1D0B8" w14:textId="7E384DBD" w:rsidR="009834A8" w:rsidRPr="00D9471C" w:rsidRDefault="00B87249" w:rsidP="00B87249">
      <w:pPr>
        <w:spacing w:after="0" w:line="240" w:lineRule="auto"/>
        <w:jc w:val="right"/>
        <w:rPr>
          <w:rFonts w:ascii="Verdana" w:hAnsi="Verdana"/>
        </w:rPr>
      </w:pPr>
      <w:r w:rsidRPr="00B87249">
        <w:rPr>
          <w:rFonts w:ascii="Verdana" w:hAnsi="Verdana"/>
          <w:noProof/>
        </w:rPr>
        <w:drawing>
          <wp:anchor distT="0" distB="0" distL="114300" distR="114300" simplePos="0" relativeHeight="251658240" behindDoc="0" locked="0" layoutInCell="1" allowOverlap="1" wp14:anchorId="6E41E237" wp14:editId="13707752">
            <wp:simplePos x="0" y="0"/>
            <wp:positionH relativeFrom="margin">
              <wp:align>right</wp:align>
            </wp:positionH>
            <wp:positionV relativeFrom="paragraph">
              <wp:posOffset>9221</wp:posOffset>
            </wp:positionV>
            <wp:extent cx="2811780" cy="891540"/>
            <wp:effectExtent l="0" t="0" r="7620" b="3810"/>
            <wp:wrapSquare wrapText="bothSides"/>
            <wp:docPr id="324644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11780" cy="891540"/>
                    </a:xfrm>
                    <a:prstGeom prst="rect">
                      <a:avLst/>
                    </a:prstGeom>
                    <a:noFill/>
                    <a:ln>
                      <a:noFill/>
                    </a:ln>
                  </pic:spPr>
                </pic:pic>
              </a:graphicData>
            </a:graphic>
          </wp:anchor>
        </w:drawing>
      </w:r>
    </w:p>
    <w:p w14:paraId="45D11E7A" w14:textId="77777777" w:rsidR="009834A8" w:rsidRDefault="009834A8" w:rsidP="009834A8">
      <w:pPr>
        <w:spacing w:after="0" w:line="240" w:lineRule="auto"/>
        <w:rPr>
          <w:rFonts w:ascii="Verdana" w:eastAsia="Calibri" w:hAnsi="Verdana" w:cs="Times New Roman"/>
          <w:lang w:val="es-MX"/>
        </w:rPr>
      </w:pPr>
      <w:r w:rsidRPr="00D9471C">
        <w:rPr>
          <w:rFonts w:ascii="Verdana" w:eastAsia="Calibri" w:hAnsi="Verdana" w:cs="Times New Roman"/>
          <w:lang w:val="es-MX"/>
        </w:rPr>
        <w:t>Señor</w:t>
      </w:r>
      <w:r>
        <w:rPr>
          <w:rFonts w:ascii="Verdana" w:eastAsia="Calibri" w:hAnsi="Verdana" w:cs="Times New Roman"/>
          <w:lang w:val="es-MX"/>
        </w:rPr>
        <w:t>a</w:t>
      </w:r>
    </w:p>
    <w:p w14:paraId="028AFCED" w14:textId="77777777" w:rsidR="009834A8" w:rsidRPr="007E3DB0" w:rsidRDefault="009834A8" w:rsidP="009834A8">
      <w:pPr>
        <w:spacing w:after="0" w:line="240" w:lineRule="auto"/>
        <w:rPr>
          <w:rFonts w:ascii="Verdana" w:eastAsia="Calibri" w:hAnsi="Verdana" w:cs="Times New Roman"/>
          <w:b/>
          <w:bCs/>
          <w:lang w:val="es-MX"/>
        </w:rPr>
      </w:pPr>
      <w:r w:rsidRPr="007E3DB0">
        <w:rPr>
          <w:rFonts w:ascii="Verdana" w:eastAsia="Calibri" w:hAnsi="Verdana" w:cs="Times New Roman"/>
          <w:b/>
          <w:bCs/>
          <w:lang w:val="es-MX"/>
        </w:rPr>
        <w:t>María Juliana Yepes Berrocal</w:t>
      </w:r>
    </w:p>
    <w:p w14:paraId="2915B1F8" w14:textId="77777777" w:rsidR="009834A8" w:rsidRPr="005F2F4A" w:rsidRDefault="009834A8" w:rsidP="009834A8">
      <w:pPr>
        <w:spacing w:after="0" w:line="240" w:lineRule="auto"/>
        <w:rPr>
          <w:rFonts w:ascii="Verdana" w:eastAsia="Calibri" w:hAnsi="Verdana" w:cs="Times New Roman"/>
          <w:bCs/>
        </w:rPr>
      </w:pPr>
      <w:hyperlink r:id="rId12" w:history="1">
        <w:r w:rsidRPr="00681AAA">
          <w:rPr>
            <w:rStyle w:val="Hipervnculo"/>
            <w:rFonts w:ascii="Verdana" w:eastAsia="Calibri" w:hAnsi="Verdana" w:cs="Times New Roman"/>
            <w:bCs/>
          </w:rPr>
          <w:t>abogado@gomezgiraldo.com</w:t>
        </w:r>
      </w:hyperlink>
      <w:r>
        <w:rPr>
          <w:rFonts w:ascii="Verdana" w:eastAsia="Calibri" w:hAnsi="Verdana" w:cs="Times New Roman"/>
          <w:bCs/>
        </w:rPr>
        <w:t xml:space="preserve"> </w:t>
      </w:r>
    </w:p>
    <w:p w14:paraId="40592E78" w14:textId="77777777" w:rsidR="009834A8" w:rsidRPr="00D9471C" w:rsidRDefault="009834A8" w:rsidP="009834A8">
      <w:pPr>
        <w:spacing w:after="0" w:line="240" w:lineRule="auto"/>
        <w:rPr>
          <w:rFonts w:ascii="Verdana" w:eastAsia="Calibri" w:hAnsi="Verdana" w:cs="Times New Roman"/>
        </w:rPr>
      </w:pPr>
      <w:r>
        <w:rPr>
          <w:rFonts w:ascii="Verdana" w:eastAsia="Calibri" w:hAnsi="Verdana" w:cs="Times New Roman"/>
        </w:rPr>
        <w:t xml:space="preserve">Bogotá D.C. </w:t>
      </w:r>
    </w:p>
    <w:p w14:paraId="385884FD" w14:textId="77777777" w:rsidR="009834A8" w:rsidRPr="00D9471C" w:rsidRDefault="009834A8" w:rsidP="009834A8">
      <w:pPr>
        <w:spacing w:after="0" w:line="240" w:lineRule="auto"/>
        <w:rPr>
          <w:rFonts w:ascii="Verdana" w:eastAsia="Calibri" w:hAnsi="Verdana" w:cs="Times New Roman"/>
        </w:rPr>
      </w:pPr>
    </w:p>
    <w:p w14:paraId="36F2BE1E" w14:textId="77777777" w:rsidR="009834A8" w:rsidRPr="00D9471C" w:rsidRDefault="009834A8" w:rsidP="009834A8">
      <w:pPr>
        <w:spacing w:after="0" w:line="240" w:lineRule="auto"/>
        <w:rPr>
          <w:rFonts w:ascii="Verdana" w:eastAsia="Calibri" w:hAnsi="Verdana" w:cs="Times New Roman"/>
        </w:rPr>
      </w:pPr>
    </w:p>
    <w:p w14:paraId="1974676F" w14:textId="77777777" w:rsidR="009834A8" w:rsidRPr="00D9471C" w:rsidRDefault="009834A8" w:rsidP="009834A8">
      <w:pPr>
        <w:spacing w:after="0" w:line="240" w:lineRule="auto"/>
        <w:rPr>
          <w:rFonts w:ascii="Verdana" w:eastAsia="Calibri" w:hAnsi="Verdana" w:cs="Times New Roman"/>
          <w:b/>
          <w:bCs/>
          <w:lang w:val="es-ES"/>
        </w:rPr>
      </w:pPr>
      <w:r w:rsidRPr="00D9471C">
        <w:rPr>
          <w:rFonts w:ascii="Verdana" w:eastAsia="Calibri" w:hAnsi="Verdana" w:cs="Times New Roman"/>
          <w:b/>
          <w:bCs/>
          <w:lang w:val="es-ES"/>
        </w:rPr>
        <w:t xml:space="preserve">                  </w:t>
      </w:r>
      <w:r>
        <w:rPr>
          <w:rFonts w:ascii="Verdana" w:eastAsia="Calibri" w:hAnsi="Verdana" w:cs="Times New Roman"/>
          <w:b/>
          <w:bCs/>
          <w:lang w:val="es-ES"/>
        </w:rPr>
        <w:t xml:space="preserve">                  Concepto C– 1288</w:t>
      </w:r>
      <w:r w:rsidRPr="00D9471C">
        <w:rPr>
          <w:rFonts w:ascii="Verdana" w:eastAsia="Calibri" w:hAnsi="Verdana" w:cs="Times New Roman"/>
          <w:b/>
          <w:bCs/>
          <w:lang w:val="es-ES"/>
        </w:rPr>
        <w:t xml:space="preserve"> de 2025</w:t>
      </w:r>
    </w:p>
    <w:p w14:paraId="21B0BB55" w14:textId="77777777" w:rsidR="009834A8" w:rsidRPr="00D9471C" w:rsidRDefault="009834A8" w:rsidP="009834A8">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9834A8" w:rsidRPr="008D191C" w14:paraId="1376C721" w14:textId="77777777" w:rsidTr="00F77C5D">
        <w:trPr>
          <w:trHeight w:val="884"/>
        </w:trPr>
        <w:tc>
          <w:tcPr>
            <w:tcW w:w="2685" w:type="dxa"/>
            <w:hideMark/>
          </w:tcPr>
          <w:p w14:paraId="140F7397" w14:textId="77777777" w:rsidR="009834A8" w:rsidRPr="008D191C" w:rsidRDefault="009834A8" w:rsidP="00F77C5D">
            <w:pPr>
              <w:rPr>
                <w:rFonts w:ascii="Verdana" w:hAnsi="Verdana"/>
                <w:b/>
                <w:bCs/>
                <w:lang w:val="es-ES_tradnl"/>
              </w:rPr>
            </w:pPr>
            <w:r w:rsidRPr="008D191C">
              <w:rPr>
                <w:rFonts w:ascii="Verdana" w:hAnsi="Verdana"/>
                <w:b/>
                <w:bCs/>
                <w:lang w:val="es-ES_tradnl"/>
              </w:rPr>
              <w:t xml:space="preserve">Temas:                   </w:t>
            </w:r>
          </w:p>
        </w:tc>
        <w:tc>
          <w:tcPr>
            <w:tcW w:w="6241" w:type="dxa"/>
            <w:hideMark/>
          </w:tcPr>
          <w:p w14:paraId="2FD214D0" w14:textId="292130ED" w:rsidR="009834A8" w:rsidRPr="00C72267" w:rsidRDefault="009834A8" w:rsidP="00F77C5D">
            <w:pPr>
              <w:spacing w:line="276" w:lineRule="auto"/>
              <w:jc w:val="both"/>
              <w:rPr>
                <w:rFonts w:ascii="Verdana" w:hAnsi="Verdana" w:cs="Arial"/>
                <w:bCs/>
                <w:lang w:val="es-ES" w:eastAsia="es-ES"/>
              </w:rPr>
            </w:pPr>
            <w:r w:rsidRPr="008D191C">
              <w:rPr>
                <w:rFonts w:ascii="Verdana" w:hAnsi="Verdana" w:cs="Arial"/>
                <w:bCs/>
                <w:lang w:val="es-ES" w:eastAsia="es-ES"/>
              </w:rPr>
              <w:t xml:space="preserve">CONTRATO ESTATAL – Concepto / CONTRATO DE OBRA –Características / CONTRATO DE OBRA – Sentido amplio – sentido restringido / </w:t>
            </w:r>
            <w:r w:rsidR="005B258F" w:rsidRPr="00827623">
              <w:rPr>
                <w:rFonts w:ascii="Verdana" w:hAnsi="Verdana" w:cs="Arial"/>
                <w:bCs/>
                <w:lang w:val="es-ES_tradnl" w:eastAsia="es-ES"/>
              </w:rPr>
              <w:t xml:space="preserve">CONTRATOS ESTATALES </w:t>
            </w:r>
            <w:r w:rsidRPr="00827623">
              <w:rPr>
                <w:rFonts w:ascii="Verdana" w:hAnsi="Verdana" w:cs="Arial"/>
                <w:bCs/>
                <w:lang w:val="es-ES_tradnl" w:eastAsia="es-ES"/>
              </w:rPr>
              <w:t>– Actas parciales – Alcance</w:t>
            </w:r>
            <w:r w:rsidRPr="008D191C">
              <w:rPr>
                <w:rFonts w:ascii="Verdana" w:hAnsi="Verdana" w:cs="Arial"/>
                <w:bCs/>
                <w:lang w:val="es-ES" w:eastAsia="es-ES"/>
              </w:rPr>
              <w:t xml:space="preserve"> /</w:t>
            </w:r>
            <w:r>
              <w:rPr>
                <w:rFonts w:ascii="Verdana" w:hAnsi="Verdana" w:cs="Arial"/>
                <w:bCs/>
                <w:lang w:val="es-ES" w:eastAsia="es-ES"/>
              </w:rPr>
              <w:t xml:space="preserve"> FUENTE DE FINANCIACIÓN </w:t>
            </w:r>
          </w:p>
        </w:tc>
        <w:tc>
          <w:tcPr>
            <w:tcW w:w="6237" w:type="dxa"/>
          </w:tcPr>
          <w:p w14:paraId="297548CE" w14:textId="77777777" w:rsidR="009834A8" w:rsidRPr="008D191C" w:rsidRDefault="009834A8" w:rsidP="00F77C5D">
            <w:pPr>
              <w:spacing w:line="256" w:lineRule="auto"/>
              <w:rPr>
                <w:rFonts w:ascii="Verdana" w:hAnsi="Verdana"/>
              </w:rPr>
            </w:pPr>
          </w:p>
        </w:tc>
      </w:tr>
      <w:tr w:rsidR="009834A8" w:rsidRPr="008D191C" w14:paraId="0E03171A" w14:textId="77777777" w:rsidTr="00F77C5D">
        <w:tc>
          <w:tcPr>
            <w:tcW w:w="2685" w:type="dxa"/>
          </w:tcPr>
          <w:p w14:paraId="4EC1EA9E" w14:textId="77777777" w:rsidR="009834A8" w:rsidRPr="008D191C" w:rsidRDefault="009834A8" w:rsidP="00F77C5D">
            <w:pPr>
              <w:spacing w:line="256" w:lineRule="auto"/>
              <w:rPr>
                <w:rFonts w:ascii="Verdana" w:hAnsi="Verdana"/>
              </w:rPr>
            </w:pPr>
          </w:p>
          <w:p w14:paraId="0052A0FE" w14:textId="77777777" w:rsidR="009834A8" w:rsidRPr="008D191C" w:rsidRDefault="009834A8" w:rsidP="00F77C5D">
            <w:pPr>
              <w:spacing w:line="256" w:lineRule="auto"/>
              <w:rPr>
                <w:rFonts w:ascii="Verdana" w:hAnsi="Verdana"/>
                <w:b/>
                <w:bCs/>
                <w:lang w:val="es-ES_tradnl"/>
              </w:rPr>
            </w:pPr>
            <w:r w:rsidRPr="008D191C">
              <w:rPr>
                <w:rFonts w:ascii="Verdana" w:hAnsi="Verdana"/>
                <w:b/>
                <w:bCs/>
                <w:lang w:val="es-ES_tradnl"/>
              </w:rPr>
              <w:t xml:space="preserve">Radicación:               </w:t>
            </w:r>
          </w:p>
        </w:tc>
        <w:tc>
          <w:tcPr>
            <w:tcW w:w="6241" w:type="dxa"/>
          </w:tcPr>
          <w:p w14:paraId="7CF6F1D5" w14:textId="77777777" w:rsidR="009834A8" w:rsidRPr="008D191C" w:rsidRDefault="009834A8" w:rsidP="00F77C5D">
            <w:pPr>
              <w:spacing w:line="257" w:lineRule="auto"/>
              <w:rPr>
                <w:rFonts w:ascii="Verdana" w:hAnsi="Verdana"/>
                <w:lang w:val="es-ES_tradnl"/>
              </w:rPr>
            </w:pPr>
          </w:p>
          <w:p w14:paraId="28A8761D" w14:textId="77777777" w:rsidR="009834A8" w:rsidRPr="008D191C" w:rsidRDefault="009834A8" w:rsidP="00F77C5D">
            <w:pPr>
              <w:spacing w:line="257" w:lineRule="auto"/>
              <w:jc w:val="both"/>
              <w:rPr>
                <w:rFonts w:ascii="Verdana" w:hAnsi="Verdana"/>
                <w:lang w:val="es-ES_tradnl"/>
              </w:rPr>
            </w:pPr>
            <w:r w:rsidRPr="008D191C">
              <w:rPr>
                <w:rFonts w:ascii="Verdana" w:hAnsi="Verdana"/>
                <w:lang w:val="es-ES_tradnl"/>
              </w:rPr>
              <w:t xml:space="preserve">Respuesta a </w:t>
            </w:r>
            <w:r>
              <w:rPr>
                <w:rFonts w:ascii="Verdana" w:hAnsi="Verdana"/>
                <w:lang w:val="es-ES_tradnl"/>
              </w:rPr>
              <w:t xml:space="preserve">las </w:t>
            </w:r>
            <w:r w:rsidRPr="008D191C">
              <w:rPr>
                <w:rFonts w:ascii="Verdana" w:hAnsi="Verdana"/>
                <w:lang w:val="es-ES_tradnl"/>
              </w:rPr>
              <w:t>consulta</w:t>
            </w:r>
            <w:r>
              <w:rPr>
                <w:rFonts w:ascii="Verdana" w:hAnsi="Verdana"/>
                <w:lang w:val="es-ES_tradnl"/>
              </w:rPr>
              <w:t>s</w:t>
            </w:r>
            <w:r w:rsidRPr="008D191C">
              <w:rPr>
                <w:rFonts w:ascii="Verdana" w:hAnsi="Verdana"/>
                <w:lang w:val="es-ES_tradnl"/>
              </w:rPr>
              <w:t xml:space="preserve"> con radicado No</w:t>
            </w:r>
            <w:r>
              <w:rPr>
                <w:rFonts w:ascii="Verdana" w:hAnsi="Verdana"/>
                <w:lang w:val="es-ES_tradnl"/>
              </w:rPr>
              <w:t>s</w:t>
            </w:r>
            <w:r w:rsidRPr="008D191C">
              <w:rPr>
                <w:rFonts w:ascii="Verdana" w:hAnsi="Verdana"/>
                <w:lang w:val="es-ES_tradnl"/>
              </w:rPr>
              <w:t xml:space="preserve">. </w:t>
            </w:r>
            <w:r w:rsidRPr="00ED33D8">
              <w:rPr>
                <w:rFonts w:ascii="Verdana" w:hAnsi="Verdana"/>
                <w:lang w:val="es-ES_tradnl"/>
              </w:rPr>
              <w:t xml:space="preserve">1_2025_09_05_009663 </w:t>
            </w:r>
            <w:r>
              <w:rPr>
                <w:rFonts w:ascii="Verdana" w:hAnsi="Verdana"/>
                <w:lang w:val="es-ES_tradnl"/>
              </w:rPr>
              <w:t>y</w:t>
            </w:r>
            <w:r w:rsidRPr="00ED33D8">
              <w:rPr>
                <w:rFonts w:ascii="Verdana" w:hAnsi="Verdana"/>
                <w:lang w:val="es-ES_tradnl"/>
              </w:rPr>
              <w:t xml:space="preserve"> 1_2025_09_05_009664</w:t>
            </w:r>
          </w:p>
          <w:p w14:paraId="61C7F074" w14:textId="77777777" w:rsidR="009834A8" w:rsidRPr="008D191C" w:rsidRDefault="009834A8" w:rsidP="00F77C5D">
            <w:pPr>
              <w:spacing w:line="257" w:lineRule="auto"/>
              <w:jc w:val="both"/>
              <w:rPr>
                <w:rFonts w:ascii="Verdana" w:hAnsi="Verdana"/>
              </w:rPr>
            </w:pPr>
          </w:p>
          <w:p w14:paraId="4E607BA4" w14:textId="77777777" w:rsidR="009834A8" w:rsidRPr="008D191C" w:rsidRDefault="009834A8" w:rsidP="00F77C5D">
            <w:pPr>
              <w:spacing w:line="257" w:lineRule="auto"/>
              <w:jc w:val="both"/>
              <w:rPr>
                <w:rFonts w:ascii="Verdana" w:hAnsi="Verdana"/>
              </w:rPr>
            </w:pPr>
          </w:p>
        </w:tc>
        <w:tc>
          <w:tcPr>
            <w:tcW w:w="6237" w:type="dxa"/>
          </w:tcPr>
          <w:p w14:paraId="667412D3" w14:textId="77777777" w:rsidR="009834A8" w:rsidRPr="008D191C" w:rsidRDefault="009834A8" w:rsidP="00F77C5D">
            <w:pPr>
              <w:spacing w:line="256" w:lineRule="auto"/>
              <w:rPr>
                <w:rFonts w:ascii="Verdana" w:hAnsi="Verdana"/>
                <w:lang w:val="es-ES_tradnl"/>
              </w:rPr>
            </w:pPr>
          </w:p>
        </w:tc>
      </w:tr>
    </w:tbl>
    <w:p w14:paraId="2799E9E2" w14:textId="77777777" w:rsidR="009834A8" w:rsidRPr="00A12CB6" w:rsidRDefault="009834A8" w:rsidP="009834A8">
      <w:pPr>
        <w:spacing w:after="0" w:line="256" w:lineRule="auto"/>
        <w:rPr>
          <w:rFonts w:ascii="Verdana" w:eastAsia="Calibri" w:hAnsi="Verdana" w:cs="Times New Roman"/>
          <w:lang w:val="es-ES"/>
        </w:rPr>
      </w:pPr>
      <w:r>
        <w:rPr>
          <w:rFonts w:ascii="Verdana" w:eastAsia="Calibri" w:hAnsi="Verdana" w:cs="Times New Roman"/>
          <w:lang w:val="es-ES"/>
        </w:rPr>
        <w:t xml:space="preserve">Estimada Señora Yepes: </w:t>
      </w:r>
    </w:p>
    <w:p w14:paraId="56AE47BC" w14:textId="77777777" w:rsidR="009834A8" w:rsidRPr="00A12CB6" w:rsidRDefault="009834A8" w:rsidP="009834A8">
      <w:pPr>
        <w:spacing w:after="0" w:line="256" w:lineRule="auto"/>
        <w:rPr>
          <w:rFonts w:ascii="Verdana" w:eastAsia="Calibri" w:hAnsi="Verdana" w:cs="Times New Roman"/>
          <w:lang w:val="es-ES"/>
        </w:rPr>
      </w:pPr>
    </w:p>
    <w:p w14:paraId="7702DFD2" w14:textId="77777777" w:rsidR="009834A8" w:rsidRDefault="009834A8" w:rsidP="009834A8">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del 5 de septiembre de 2025</w:t>
      </w:r>
      <w:r w:rsidRPr="00B57A1B">
        <w:rPr>
          <w:rFonts w:ascii="Verdana" w:eastAsia="Calibri" w:hAnsi="Verdana" w:cs="Times New Roman"/>
          <w:bCs/>
          <w:lang w:val="es-ES" w:bidi="es-ES"/>
        </w:rPr>
        <w:t>, en la cual manifiesta:</w:t>
      </w:r>
    </w:p>
    <w:p w14:paraId="4451640A" w14:textId="77777777" w:rsidR="009834A8" w:rsidRPr="00737C12" w:rsidRDefault="009834A8" w:rsidP="009834A8">
      <w:pPr>
        <w:spacing w:after="0" w:line="276" w:lineRule="auto"/>
        <w:jc w:val="both"/>
        <w:rPr>
          <w:rFonts w:ascii="Verdana" w:eastAsia="Calibri" w:hAnsi="Verdana" w:cs="Times New Roman"/>
          <w:bCs/>
          <w:lang w:val="es-ES" w:bidi="es-ES"/>
        </w:rPr>
      </w:pPr>
    </w:p>
    <w:p w14:paraId="0177AB14" w14:textId="77777777" w:rsidR="009834A8" w:rsidRDefault="009834A8" w:rsidP="009834A8">
      <w:pPr>
        <w:spacing w:after="0" w:line="240" w:lineRule="auto"/>
        <w:ind w:left="709" w:right="709"/>
        <w:jc w:val="both"/>
        <w:rPr>
          <w:rFonts w:ascii="Verdana" w:eastAsia="Calibri" w:hAnsi="Verdana" w:cs="Times New Roman"/>
          <w:iCs/>
          <w:sz w:val="20"/>
        </w:rPr>
      </w:pPr>
      <w:r w:rsidRPr="00BE3084">
        <w:rPr>
          <w:rFonts w:ascii="Verdana" w:eastAsia="Calibri" w:hAnsi="Verdana" w:cs="Times New Roman"/>
          <w:iCs/>
          <w:sz w:val="20"/>
        </w:rPr>
        <w:t>“</w:t>
      </w:r>
      <w:r>
        <w:rPr>
          <w:rFonts w:ascii="Verdana" w:eastAsia="Calibri" w:hAnsi="Verdana" w:cs="Times New Roman"/>
          <w:iCs/>
          <w:sz w:val="20"/>
        </w:rPr>
        <w:t xml:space="preserve">(…) </w:t>
      </w:r>
      <w:r w:rsidRPr="00DD56C5">
        <w:rPr>
          <w:rFonts w:ascii="Verdana" w:eastAsia="Calibri" w:hAnsi="Verdana" w:cs="Times New Roman"/>
          <w:iCs/>
          <w:sz w:val="20"/>
        </w:rPr>
        <w:t>El problema jurídico planteado es el siguiente:</w:t>
      </w:r>
    </w:p>
    <w:p w14:paraId="66EAD0C4" w14:textId="77777777" w:rsidR="009834A8" w:rsidRPr="00DD56C5" w:rsidRDefault="009834A8" w:rsidP="009834A8">
      <w:pPr>
        <w:spacing w:after="0" w:line="240" w:lineRule="auto"/>
        <w:ind w:left="709" w:right="709"/>
        <w:jc w:val="both"/>
        <w:rPr>
          <w:rFonts w:ascii="Verdana" w:eastAsia="Calibri" w:hAnsi="Verdana" w:cs="Times New Roman"/>
          <w:iCs/>
          <w:sz w:val="20"/>
        </w:rPr>
      </w:pPr>
    </w:p>
    <w:p w14:paraId="5957D960" w14:textId="77777777" w:rsidR="009834A8" w:rsidRDefault="009834A8" w:rsidP="009834A8">
      <w:pPr>
        <w:spacing w:after="0" w:line="240" w:lineRule="auto"/>
        <w:ind w:left="709" w:right="709"/>
        <w:jc w:val="both"/>
        <w:rPr>
          <w:rFonts w:ascii="Verdana" w:eastAsia="Calibri" w:hAnsi="Verdana" w:cs="Times New Roman"/>
          <w:iCs/>
          <w:sz w:val="20"/>
        </w:rPr>
      </w:pPr>
      <w:r w:rsidRPr="00DD56C5">
        <w:rPr>
          <w:rFonts w:ascii="Verdana" w:eastAsia="Calibri" w:hAnsi="Verdana" w:cs="Times New Roman"/>
          <w:iCs/>
          <w:sz w:val="20"/>
        </w:rPr>
        <w:t>¿Es jurídicamente válido que, dentro de un mismo contrato de obra pública, celebrado como negocio único y con una forma de pago integral pactada en actas parciales, la entidad contratante fragmente dichas actas según la fuente de financiación (recursos de regalías y recursos propios), condicionando el trámite y el pago al agotamiento o a la armonización interna de cada “bolsa de recursos”?</w:t>
      </w:r>
    </w:p>
    <w:p w14:paraId="1A3B2BF1" w14:textId="77777777" w:rsidR="009834A8" w:rsidRPr="00DD56C5" w:rsidRDefault="009834A8" w:rsidP="009834A8">
      <w:pPr>
        <w:spacing w:after="0" w:line="240" w:lineRule="auto"/>
        <w:ind w:left="709" w:right="709"/>
        <w:jc w:val="both"/>
        <w:rPr>
          <w:rFonts w:ascii="Verdana" w:eastAsia="Calibri" w:hAnsi="Verdana" w:cs="Times New Roman"/>
          <w:iCs/>
          <w:sz w:val="20"/>
        </w:rPr>
      </w:pPr>
    </w:p>
    <w:p w14:paraId="6B117DE3" w14:textId="77777777" w:rsidR="009834A8" w:rsidRPr="00DD56C5" w:rsidRDefault="009834A8" w:rsidP="009834A8">
      <w:pPr>
        <w:spacing w:after="0" w:line="240" w:lineRule="auto"/>
        <w:ind w:left="709" w:right="709"/>
        <w:jc w:val="both"/>
        <w:rPr>
          <w:rFonts w:ascii="Verdana" w:eastAsia="Calibri" w:hAnsi="Verdana" w:cs="Times New Roman"/>
          <w:iCs/>
          <w:sz w:val="20"/>
        </w:rPr>
      </w:pPr>
      <w:r w:rsidRPr="00DD56C5">
        <w:rPr>
          <w:rFonts w:ascii="Verdana" w:eastAsia="Calibri" w:hAnsi="Verdana" w:cs="Times New Roman"/>
          <w:iCs/>
          <w:sz w:val="20"/>
        </w:rPr>
        <w:t>Esta práctica ha generado situaciones en las que, pese a que el contratista ha ejecutado la obra y radicado las actas correspondientes, la interventoría y la entidad contratante detienen su trámite bajo el argumento de que aún no se han surtido ajustes presupuestales en el SUIFP-SGR o que es necesario “definir” la amortización de anticipos por cada fuente de financiación.</w:t>
      </w:r>
    </w:p>
    <w:p w14:paraId="1917564B" w14:textId="77777777" w:rsidR="009834A8" w:rsidRDefault="009834A8" w:rsidP="009834A8">
      <w:pPr>
        <w:spacing w:after="0" w:line="240" w:lineRule="auto"/>
        <w:ind w:left="709" w:right="709"/>
        <w:jc w:val="both"/>
        <w:rPr>
          <w:rFonts w:ascii="Verdana" w:eastAsia="Calibri" w:hAnsi="Verdana" w:cs="Times New Roman"/>
          <w:iCs/>
          <w:sz w:val="20"/>
        </w:rPr>
      </w:pPr>
      <w:r w:rsidRPr="00DD56C5">
        <w:rPr>
          <w:rFonts w:ascii="Verdana" w:eastAsia="Calibri" w:hAnsi="Verdana" w:cs="Times New Roman"/>
          <w:iCs/>
          <w:sz w:val="20"/>
        </w:rPr>
        <w:lastRenderedPageBreak/>
        <w:t>Solicitudes</w:t>
      </w:r>
      <w:r>
        <w:rPr>
          <w:rFonts w:ascii="Verdana" w:eastAsia="Calibri" w:hAnsi="Verdana" w:cs="Times New Roman"/>
          <w:iCs/>
          <w:sz w:val="20"/>
        </w:rPr>
        <w:t>:</w:t>
      </w:r>
    </w:p>
    <w:p w14:paraId="2F563338" w14:textId="77777777" w:rsidR="009834A8" w:rsidRPr="00DD56C5" w:rsidRDefault="009834A8" w:rsidP="009834A8">
      <w:pPr>
        <w:spacing w:after="0" w:line="240" w:lineRule="auto"/>
        <w:ind w:left="709" w:right="709"/>
        <w:jc w:val="both"/>
        <w:rPr>
          <w:rFonts w:ascii="Verdana" w:eastAsia="Calibri" w:hAnsi="Verdana" w:cs="Times New Roman"/>
          <w:iCs/>
          <w:sz w:val="20"/>
        </w:rPr>
      </w:pPr>
    </w:p>
    <w:p w14:paraId="18F7B91F" w14:textId="77777777" w:rsidR="009834A8" w:rsidRDefault="009834A8" w:rsidP="009834A8">
      <w:pPr>
        <w:spacing w:after="0" w:line="240" w:lineRule="auto"/>
        <w:ind w:left="720" w:right="709"/>
        <w:jc w:val="both"/>
        <w:rPr>
          <w:rFonts w:ascii="Verdana" w:eastAsia="Calibri" w:hAnsi="Verdana" w:cs="Times New Roman"/>
          <w:iCs/>
          <w:sz w:val="20"/>
        </w:rPr>
      </w:pPr>
      <w:r>
        <w:rPr>
          <w:rFonts w:ascii="Verdana" w:eastAsia="Calibri" w:hAnsi="Verdana" w:cs="Times New Roman"/>
          <w:iCs/>
          <w:sz w:val="20"/>
        </w:rPr>
        <w:t xml:space="preserve">1. </w:t>
      </w:r>
      <w:r w:rsidRPr="00DD56C5">
        <w:rPr>
          <w:rFonts w:ascii="Verdana" w:eastAsia="Calibri" w:hAnsi="Verdana" w:cs="Times New Roman"/>
          <w:iCs/>
          <w:sz w:val="20"/>
        </w:rPr>
        <w:t>Que se indique si, de conformidad con la normativa de contratación pública (Ley 80 de 1993, Ley 1150 de 2007, Decreto 1082 de 2015) y el régimen del Sistema General de Regalías (Ley 2056 de 2020, Manual Operativo SGR), es válido y procedente fragmentar actas de obra por fuente de financiación dentro de un contrato único.</w:t>
      </w:r>
    </w:p>
    <w:p w14:paraId="7285A291" w14:textId="77777777" w:rsidR="009834A8" w:rsidRDefault="009834A8" w:rsidP="009834A8">
      <w:pPr>
        <w:spacing w:after="0" w:line="240" w:lineRule="auto"/>
        <w:ind w:left="720" w:right="709"/>
        <w:jc w:val="both"/>
        <w:rPr>
          <w:rFonts w:ascii="Verdana" w:eastAsia="Calibri" w:hAnsi="Verdana" w:cs="Times New Roman"/>
          <w:iCs/>
          <w:sz w:val="20"/>
        </w:rPr>
      </w:pPr>
    </w:p>
    <w:p w14:paraId="0BBA7962" w14:textId="77777777" w:rsidR="009834A8" w:rsidRDefault="009834A8" w:rsidP="009834A8">
      <w:pPr>
        <w:spacing w:after="0" w:line="240" w:lineRule="auto"/>
        <w:ind w:left="720" w:right="709"/>
        <w:jc w:val="both"/>
        <w:rPr>
          <w:rFonts w:ascii="Verdana" w:eastAsia="Calibri" w:hAnsi="Verdana" w:cs="Times New Roman"/>
          <w:iCs/>
          <w:sz w:val="20"/>
        </w:rPr>
      </w:pPr>
      <w:r>
        <w:rPr>
          <w:rFonts w:ascii="Verdana" w:eastAsia="Calibri" w:hAnsi="Verdana" w:cs="Times New Roman"/>
          <w:iCs/>
          <w:sz w:val="20"/>
        </w:rPr>
        <w:t>(…)</w:t>
      </w:r>
    </w:p>
    <w:p w14:paraId="0BCF5CE0" w14:textId="77777777" w:rsidR="009834A8" w:rsidRPr="00DD56C5" w:rsidRDefault="009834A8" w:rsidP="009834A8">
      <w:pPr>
        <w:spacing w:after="0" w:line="240" w:lineRule="auto"/>
        <w:ind w:left="720" w:right="709"/>
        <w:jc w:val="both"/>
        <w:rPr>
          <w:rFonts w:ascii="Verdana" w:eastAsia="Calibri" w:hAnsi="Verdana" w:cs="Times New Roman"/>
          <w:iCs/>
          <w:sz w:val="20"/>
        </w:rPr>
      </w:pPr>
    </w:p>
    <w:p w14:paraId="2D2AC0A9" w14:textId="77777777" w:rsidR="009834A8" w:rsidRPr="00DD56C5" w:rsidRDefault="009834A8" w:rsidP="009834A8">
      <w:pPr>
        <w:spacing w:after="0" w:line="240" w:lineRule="auto"/>
        <w:ind w:left="709" w:right="709"/>
        <w:jc w:val="both"/>
        <w:rPr>
          <w:rFonts w:ascii="Verdana" w:eastAsia="Calibri" w:hAnsi="Verdana" w:cs="Times New Roman"/>
          <w:iCs/>
          <w:sz w:val="20"/>
        </w:rPr>
      </w:pPr>
      <w:r>
        <w:rPr>
          <w:rFonts w:ascii="Verdana" w:eastAsia="Calibri" w:hAnsi="Verdana" w:cs="Times New Roman"/>
          <w:iCs/>
          <w:sz w:val="20"/>
        </w:rPr>
        <w:t xml:space="preserve">4. </w:t>
      </w:r>
      <w:r w:rsidRPr="00DD56C5">
        <w:rPr>
          <w:rFonts w:ascii="Verdana" w:eastAsia="Calibri" w:hAnsi="Verdana" w:cs="Times New Roman"/>
          <w:iCs/>
          <w:sz w:val="20"/>
        </w:rPr>
        <w:t>Que se remita copia o referencia de conceptos, lineamientos o guías oficiales expedidos por Colombia Compra Eficiente y/o el DNP-SGR sobre:</w:t>
      </w:r>
    </w:p>
    <w:p w14:paraId="5C2DF194" w14:textId="77777777" w:rsidR="009834A8" w:rsidRPr="00DD56C5" w:rsidRDefault="009834A8" w:rsidP="009834A8">
      <w:pPr>
        <w:numPr>
          <w:ilvl w:val="1"/>
          <w:numId w:val="34"/>
        </w:numPr>
        <w:spacing w:after="0" w:line="240" w:lineRule="auto"/>
        <w:ind w:right="709"/>
        <w:jc w:val="both"/>
        <w:rPr>
          <w:rFonts w:ascii="Verdana" w:eastAsia="Calibri" w:hAnsi="Verdana" w:cs="Times New Roman"/>
          <w:iCs/>
          <w:sz w:val="20"/>
        </w:rPr>
      </w:pPr>
      <w:r w:rsidRPr="00DD56C5">
        <w:rPr>
          <w:rFonts w:ascii="Verdana" w:eastAsia="Calibri" w:hAnsi="Verdana" w:cs="Times New Roman"/>
          <w:iCs/>
          <w:sz w:val="20"/>
        </w:rPr>
        <w:t>Manejo de cofinanciación en contratos estatales.</w:t>
      </w:r>
    </w:p>
    <w:p w14:paraId="6999A0F7" w14:textId="77777777" w:rsidR="009834A8" w:rsidRPr="00DD56C5" w:rsidRDefault="009834A8" w:rsidP="009834A8">
      <w:pPr>
        <w:numPr>
          <w:ilvl w:val="1"/>
          <w:numId w:val="34"/>
        </w:numPr>
        <w:spacing w:after="0" w:line="240" w:lineRule="auto"/>
        <w:ind w:right="709"/>
        <w:jc w:val="both"/>
        <w:rPr>
          <w:rFonts w:ascii="Verdana" w:eastAsia="Calibri" w:hAnsi="Verdana" w:cs="Times New Roman"/>
          <w:iCs/>
          <w:sz w:val="20"/>
        </w:rPr>
      </w:pPr>
      <w:r w:rsidRPr="00DD56C5">
        <w:rPr>
          <w:rFonts w:ascii="Verdana" w:eastAsia="Calibri" w:hAnsi="Verdana" w:cs="Times New Roman"/>
          <w:iCs/>
          <w:sz w:val="20"/>
        </w:rPr>
        <w:t>Amortización de anticipos con múltiples fuentes.</w:t>
      </w:r>
    </w:p>
    <w:p w14:paraId="45C11AA4" w14:textId="77777777" w:rsidR="009834A8" w:rsidRDefault="009834A8" w:rsidP="009834A8">
      <w:pPr>
        <w:numPr>
          <w:ilvl w:val="1"/>
          <w:numId w:val="34"/>
        </w:numPr>
        <w:spacing w:after="0" w:line="240" w:lineRule="auto"/>
        <w:ind w:right="709"/>
        <w:jc w:val="both"/>
        <w:rPr>
          <w:rFonts w:ascii="Verdana" w:eastAsia="Calibri" w:hAnsi="Verdana" w:cs="Times New Roman"/>
          <w:iCs/>
          <w:sz w:val="20"/>
        </w:rPr>
      </w:pPr>
      <w:r w:rsidRPr="00DD56C5">
        <w:rPr>
          <w:rFonts w:ascii="Verdana" w:eastAsia="Calibri" w:hAnsi="Verdana" w:cs="Times New Roman"/>
          <w:iCs/>
          <w:sz w:val="20"/>
        </w:rPr>
        <w:t>Registro de actas y pagos en SECOP II y SUIFP-SGR</w:t>
      </w:r>
      <w:r>
        <w:rPr>
          <w:rFonts w:ascii="Verdana" w:eastAsia="Calibri" w:hAnsi="Verdana" w:cs="Times New Roman"/>
          <w:iCs/>
          <w:sz w:val="20"/>
        </w:rPr>
        <w:t>”</w:t>
      </w:r>
      <w:r w:rsidRPr="00DD56C5">
        <w:rPr>
          <w:rFonts w:ascii="Verdana" w:eastAsia="Calibri" w:hAnsi="Verdana" w:cs="Times New Roman"/>
          <w:iCs/>
          <w:sz w:val="20"/>
        </w:rPr>
        <w:t>.</w:t>
      </w:r>
    </w:p>
    <w:p w14:paraId="1C27E989" w14:textId="77777777" w:rsidR="009834A8" w:rsidRPr="00DD56C5" w:rsidRDefault="009834A8" w:rsidP="009834A8">
      <w:pPr>
        <w:spacing w:after="0" w:line="240" w:lineRule="auto"/>
        <w:ind w:left="1440" w:right="709"/>
        <w:jc w:val="both"/>
        <w:rPr>
          <w:rFonts w:ascii="Verdana" w:eastAsia="Calibri" w:hAnsi="Verdana" w:cs="Times New Roman"/>
          <w:iCs/>
          <w:sz w:val="20"/>
        </w:rPr>
      </w:pPr>
    </w:p>
    <w:p w14:paraId="4236EC16" w14:textId="77777777" w:rsidR="009834A8" w:rsidRPr="00A12CB6" w:rsidRDefault="009834A8" w:rsidP="009834A8">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17754DE" w14:textId="015876ED" w:rsidR="009834A8" w:rsidRPr="005B258F" w:rsidRDefault="009834A8" w:rsidP="005B258F">
      <w:pPr>
        <w:spacing w:line="276" w:lineRule="auto"/>
        <w:ind w:firstLine="709"/>
        <w:jc w:val="both"/>
        <w:rPr>
          <w:rFonts w:ascii="Verdana" w:eastAsia="Calibri" w:hAnsi="Verdana" w:cs="Arial"/>
          <w:b/>
          <w:bCs/>
          <w:color w:val="000000"/>
          <w:lang w:eastAsia="es-ES"/>
        </w:rPr>
      </w:pPr>
      <w:r w:rsidRPr="00A12CB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w:t>
      </w:r>
      <w:r w:rsidRPr="00593A5F">
        <w:rPr>
          <w:rFonts w:ascii="Verdana" w:eastAsia="Calibri" w:hAnsi="Verdana" w:cs="Arial"/>
          <w:color w:val="000000"/>
          <w:lang w:val="es-ES" w:eastAsia="es-ES"/>
        </w:rPr>
        <w:t xml:space="preserve">relacionadas con </w:t>
      </w:r>
      <w:r>
        <w:rPr>
          <w:rFonts w:ascii="Verdana" w:eastAsia="Calibri" w:hAnsi="Verdana" w:cs="Arial"/>
          <w:color w:val="000000"/>
          <w:lang w:val="es-ES" w:eastAsia="es-ES"/>
        </w:rPr>
        <w:t>las preguntas No. 1 y 4 de su consulta, atendiendo a que las preguntas 2, 3, y 4 fueron trasladadas por competencia al Ministerio de Hacienda y Crédito Público mediante radicado No</w:t>
      </w:r>
      <w:r w:rsidRPr="00BA4EBE">
        <w:rPr>
          <w:rFonts w:ascii="Verdana" w:eastAsia="Calibri" w:hAnsi="Verdana" w:cs="Arial"/>
          <w:color w:val="000000"/>
          <w:lang w:val="es-ES" w:eastAsia="es-ES"/>
        </w:rPr>
        <w:t xml:space="preserve">. </w:t>
      </w:r>
      <w:r w:rsidRPr="00BA4EBE">
        <w:rPr>
          <w:rFonts w:ascii="Verdana" w:eastAsia="Calibri" w:hAnsi="Verdana" w:cs="Arial"/>
          <w:color w:val="000000"/>
          <w:lang w:eastAsia="es-ES"/>
        </w:rPr>
        <w:t>2_2025_09_11_009538</w:t>
      </w:r>
      <w:r>
        <w:rPr>
          <w:rFonts w:ascii="Verdana" w:eastAsia="Calibri" w:hAnsi="Verdana" w:cs="Arial"/>
          <w:color w:val="000000"/>
          <w:lang w:eastAsia="es-ES"/>
        </w:rPr>
        <w:t>.</w:t>
      </w:r>
    </w:p>
    <w:p w14:paraId="69FFA795" w14:textId="77777777" w:rsidR="009834A8" w:rsidRPr="00A12CB6" w:rsidRDefault="009834A8" w:rsidP="009834A8">
      <w:pPr>
        <w:spacing w:after="0" w:line="256" w:lineRule="auto"/>
        <w:rPr>
          <w:rFonts w:ascii="Verdana" w:eastAsia="Calibri" w:hAnsi="Verdana" w:cs="Times New Roman"/>
          <w:lang w:val="es-ES"/>
        </w:rPr>
      </w:pPr>
    </w:p>
    <w:p w14:paraId="0FCCDE4B" w14:textId="77777777" w:rsidR="009834A8" w:rsidRPr="00A12CB6" w:rsidRDefault="009834A8" w:rsidP="009834A8">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41788A95" w14:textId="77777777" w:rsidR="009834A8" w:rsidRPr="00A12CB6" w:rsidRDefault="009834A8" w:rsidP="009834A8">
      <w:pPr>
        <w:spacing w:after="0" w:line="256" w:lineRule="auto"/>
        <w:rPr>
          <w:rFonts w:ascii="Verdana" w:eastAsia="Calibri" w:hAnsi="Verdana" w:cs="Times New Roman"/>
        </w:rPr>
      </w:pPr>
    </w:p>
    <w:p w14:paraId="48695DD4" w14:textId="77777777" w:rsidR="009834A8" w:rsidRPr="005B55A8" w:rsidRDefault="009834A8" w:rsidP="009834A8">
      <w:pPr>
        <w:spacing w:after="0" w:line="276" w:lineRule="auto"/>
        <w:jc w:val="both"/>
        <w:rPr>
          <w:rFonts w:ascii="Verdana" w:eastAsia="Calibri" w:hAnsi="Verdana" w:cs="Times New Roman"/>
          <w:bCs/>
          <w:iCs/>
        </w:rPr>
      </w:pPr>
      <w:r w:rsidRPr="00A12CB6">
        <w:rPr>
          <w:rFonts w:ascii="Verdana" w:eastAsia="Calibri" w:hAnsi="Verdana" w:cs="Times New Roman"/>
        </w:rPr>
        <w:lastRenderedPageBreak/>
        <w:t>De acuerdo con el contenido de su solicitud, esta Agencia procede a resolver</w:t>
      </w:r>
      <w:r>
        <w:rPr>
          <w:rFonts w:ascii="Verdana" w:eastAsia="Calibri" w:hAnsi="Verdana" w:cs="Times New Roman"/>
        </w:rPr>
        <w:t xml:space="preserve"> el siguiente problema: </w:t>
      </w:r>
      <w:r>
        <w:rPr>
          <w:rFonts w:ascii="Verdana" w:eastAsia="Calibri" w:hAnsi="Verdana" w:cs="Times New Roman"/>
          <w:bCs/>
          <w:iCs/>
        </w:rPr>
        <w:t>¿Cuál es el alcance de las actas parciales de obra en contratos con diversas fuentes de financiación?</w:t>
      </w:r>
    </w:p>
    <w:p w14:paraId="0D4176D8" w14:textId="77777777" w:rsidR="009834A8" w:rsidRPr="00A12CB6" w:rsidRDefault="009834A8" w:rsidP="009834A8">
      <w:pPr>
        <w:spacing w:after="0" w:line="256" w:lineRule="auto"/>
        <w:rPr>
          <w:rFonts w:ascii="Verdana" w:eastAsia="Calibri" w:hAnsi="Verdana" w:cs="Times New Roman"/>
        </w:rPr>
      </w:pPr>
    </w:p>
    <w:p w14:paraId="2378F45E" w14:textId="77777777" w:rsidR="009834A8" w:rsidRDefault="009834A8" w:rsidP="009834A8">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724380F4" w14:textId="77777777" w:rsidR="009834A8" w:rsidRPr="00A12CB6" w:rsidRDefault="009834A8" w:rsidP="009834A8">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9834A8" w:rsidRPr="008D191C" w14:paraId="1C874498" w14:textId="77777777" w:rsidTr="00F77C5D">
        <w:trPr>
          <w:trHeight w:val="870"/>
          <w:jc w:val="center"/>
        </w:trPr>
        <w:tc>
          <w:tcPr>
            <w:tcW w:w="8784" w:type="dxa"/>
            <w:tcBorders>
              <w:bottom w:val="single" w:sz="4" w:space="0" w:color="auto"/>
            </w:tcBorders>
          </w:tcPr>
          <w:p w14:paraId="22B7036F" w14:textId="77777777" w:rsidR="009834A8" w:rsidRDefault="009834A8" w:rsidP="00F77C5D">
            <w:pPr>
              <w:widowControl w:val="0"/>
              <w:autoSpaceDE w:val="0"/>
              <w:autoSpaceDN w:val="0"/>
              <w:spacing w:before="120" w:after="120" w:line="276" w:lineRule="auto"/>
              <w:jc w:val="both"/>
              <w:rPr>
                <w:rStyle w:val="normaltextrun"/>
                <w:rFonts w:ascii="Verdana" w:hAnsi="Verdana" w:cs="Arial"/>
                <w:color w:val="000000"/>
                <w:shd w:val="clear" w:color="auto" w:fill="FFFFFF"/>
              </w:rPr>
            </w:pPr>
            <w:r>
              <w:rPr>
                <w:rStyle w:val="normaltextrun"/>
                <w:rFonts w:ascii="Verdana" w:hAnsi="Verdana" w:cs="Arial"/>
                <w:color w:val="000000"/>
                <w:shd w:val="clear" w:color="auto" w:fill="FFFFFF"/>
              </w:rPr>
              <w:t>D</w:t>
            </w:r>
            <w:r w:rsidRPr="00AD0C22">
              <w:rPr>
                <w:rStyle w:val="normaltextrun"/>
                <w:rFonts w:ascii="Verdana" w:hAnsi="Verdana" w:cs="Arial"/>
                <w:color w:val="000000"/>
                <w:shd w:val="clear" w:color="auto" w:fill="FFFFFF"/>
              </w:rPr>
              <w:t xml:space="preserve">urante la ejecución </w:t>
            </w:r>
            <w:r>
              <w:rPr>
                <w:rStyle w:val="normaltextrun"/>
                <w:rFonts w:ascii="Verdana" w:hAnsi="Verdana" w:cs="Arial"/>
                <w:color w:val="000000"/>
                <w:shd w:val="clear" w:color="auto" w:fill="FFFFFF"/>
              </w:rPr>
              <w:t xml:space="preserve">del contrato de obra </w:t>
            </w:r>
            <w:r w:rsidRPr="00AD0C22">
              <w:rPr>
                <w:rStyle w:val="normaltextrun"/>
                <w:rFonts w:ascii="Verdana" w:hAnsi="Verdana" w:cs="Arial"/>
                <w:color w:val="000000"/>
                <w:shd w:val="clear" w:color="auto" w:fill="FFFFFF"/>
              </w:rPr>
              <w:t xml:space="preserve">se pueden </w:t>
            </w:r>
            <w:r>
              <w:rPr>
                <w:rStyle w:val="normaltextrun"/>
                <w:rFonts w:ascii="Verdana" w:hAnsi="Verdana" w:cs="Arial"/>
                <w:color w:val="000000"/>
                <w:shd w:val="clear" w:color="auto" w:fill="FFFFFF"/>
              </w:rPr>
              <w:t>generar</w:t>
            </w:r>
            <w:r w:rsidRPr="00AD0C22">
              <w:rPr>
                <w:rStyle w:val="normaltextrun"/>
                <w:rFonts w:ascii="Verdana" w:hAnsi="Verdana" w:cs="Arial"/>
                <w:color w:val="000000"/>
                <w:shd w:val="clear" w:color="auto" w:fill="FFFFFF"/>
              </w:rPr>
              <w:t xml:space="preserve"> ciert</w:t>
            </w:r>
            <w:r>
              <w:rPr>
                <w:rStyle w:val="normaltextrun"/>
                <w:rFonts w:ascii="Verdana" w:hAnsi="Verdana" w:cs="Arial"/>
                <w:color w:val="000000"/>
                <w:shd w:val="clear" w:color="auto" w:fill="FFFFFF"/>
              </w:rPr>
              <w:t>o</w:t>
            </w:r>
            <w:r w:rsidRPr="00AD0C22">
              <w:rPr>
                <w:rStyle w:val="normaltextrun"/>
                <w:rFonts w:ascii="Verdana" w:hAnsi="Verdana" w:cs="Arial"/>
                <w:color w:val="000000"/>
                <w:shd w:val="clear" w:color="auto" w:fill="FFFFFF"/>
              </w:rPr>
              <w:t>s</w:t>
            </w:r>
            <w:r>
              <w:rPr>
                <w:rStyle w:val="normaltextrun"/>
                <w:rFonts w:ascii="Verdana" w:hAnsi="Verdana" w:cs="Arial"/>
                <w:color w:val="000000"/>
                <w:shd w:val="clear" w:color="auto" w:fill="FFFFFF"/>
              </w:rPr>
              <w:t xml:space="preserve"> documentos en el que las partes consagran </w:t>
            </w:r>
            <w:r w:rsidRPr="00AD0C22">
              <w:rPr>
                <w:rFonts w:ascii="Verdana" w:eastAsia="Arial" w:hAnsi="Verdana" w:cs="Arial"/>
                <w:lang w:val="es-ES" w:eastAsia="es-ES" w:bidi="es-ES"/>
              </w:rPr>
              <w:t xml:space="preserve">diversas circunstancias que registran el progreso o </w:t>
            </w:r>
            <w:r>
              <w:rPr>
                <w:rFonts w:ascii="Verdana" w:eastAsia="Arial" w:hAnsi="Verdana" w:cs="Arial"/>
                <w:lang w:val="es-ES" w:eastAsia="es-ES" w:bidi="es-ES"/>
              </w:rPr>
              <w:t>desarrollo</w:t>
            </w:r>
            <w:r w:rsidRPr="00AD0C22">
              <w:rPr>
                <w:rFonts w:ascii="Verdana" w:eastAsia="Arial" w:hAnsi="Verdana" w:cs="Arial"/>
                <w:lang w:val="es-ES" w:eastAsia="es-ES" w:bidi="es-ES"/>
              </w:rPr>
              <w:t xml:space="preserve"> del contrato estatal</w:t>
            </w:r>
            <w:r>
              <w:rPr>
                <w:rFonts w:ascii="Verdana" w:eastAsia="Arial" w:hAnsi="Verdana" w:cs="Arial"/>
                <w:lang w:val="es-ES" w:eastAsia="es-ES" w:bidi="es-ES"/>
              </w:rPr>
              <w:t>, como son las actas parciales de obra. Estas actas</w:t>
            </w:r>
            <w:r w:rsidRPr="00AD0C22">
              <w:rPr>
                <w:rStyle w:val="normaltextrun"/>
                <w:rFonts w:ascii="Verdana" w:hAnsi="Verdana" w:cs="Arial"/>
                <w:color w:val="000000"/>
                <w:shd w:val="clear" w:color="auto" w:fill="FFFFFF"/>
              </w:rPr>
              <w:t xml:space="preserve"> se suscriben periódicamente en consideración a la naturaleza de tracto sucesivo de los contratos en el marco de cuya ejecución se genera y que además de constatar la ejecución parcial de las obligaciones del contrato, facilita el pago parcial de los mismos.</w:t>
            </w:r>
          </w:p>
          <w:p w14:paraId="620B774A" w14:textId="77777777" w:rsidR="009834A8" w:rsidRPr="00AD0C22" w:rsidRDefault="009834A8" w:rsidP="00F77C5D">
            <w:pPr>
              <w:widowControl w:val="0"/>
              <w:autoSpaceDE w:val="0"/>
              <w:autoSpaceDN w:val="0"/>
              <w:spacing w:before="93" w:after="120" w:line="276" w:lineRule="auto"/>
              <w:ind w:right="105" w:firstLine="709"/>
              <w:jc w:val="both"/>
              <w:rPr>
                <w:rFonts w:ascii="Verdana" w:hAnsi="Verdana" w:cs="Arial"/>
                <w:sz w:val="21"/>
                <w:szCs w:val="21"/>
              </w:rPr>
            </w:pPr>
            <w:r w:rsidRPr="00AD0C22">
              <w:rPr>
                <w:rFonts w:ascii="Verdana" w:eastAsia="Arial" w:hAnsi="Verdana" w:cs="Arial"/>
                <w:lang w:val="es-ES" w:eastAsia="es-ES" w:bidi="es-ES"/>
              </w:rPr>
              <w:t xml:space="preserve">Las actas parciales contienen la ejecución periódica de las actividades para cumplir el objeto contractual, y constituyen, como lo señala la sentencia precitada, cortes parciales de la ejecución del objeto contratado. Con estos documentos, se facilita el cálculo del avance de la ejecución de lo pactado en el contrato. Estos elementos accidentales del contrato no están regulados en la ley, por lo cual su configuración se sujeta al </w:t>
            </w:r>
            <w:r>
              <w:rPr>
                <w:rFonts w:ascii="Verdana" w:hAnsi="Verdana" w:cs="Arial"/>
                <w:i/>
                <w:iCs/>
                <w:sz w:val="21"/>
                <w:szCs w:val="21"/>
              </w:rPr>
              <w:t>“</w:t>
            </w:r>
            <w:r w:rsidRPr="00AD0C22">
              <w:rPr>
                <w:rFonts w:ascii="Verdana" w:eastAsia="Arial" w:hAnsi="Verdana" w:cs="Arial"/>
                <w:i/>
                <w:iCs/>
                <w:lang w:val="es-ES" w:eastAsia="es-ES" w:bidi="es-ES"/>
              </w:rPr>
              <w:t>libre acuerdo de voluntades de las partes</w:t>
            </w:r>
            <w:r w:rsidRPr="00AD0C22">
              <w:rPr>
                <w:rStyle w:val="Refdenotaalpie"/>
                <w:rFonts w:ascii="Verdana" w:eastAsia="Arial" w:hAnsi="Verdana" w:cs="Arial"/>
                <w:i/>
                <w:iCs/>
                <w:lang w:val="es-ES" w:eastAsia="es-ES" w:bidi="es-ES"/>
              </w:rPr>
              <w:footnoteReference w:id="2"/>
            </w:r>
            <w:r>
              <w:rPr>
                <w:rFonts w:ascii="Verdana" w:hAnsi="Verdana" w:cs="Arial"/>
                <w:i/>
                <w:iCs/>
                <w:sz w:val="21"/>
                <w:szCs w:val="21"/>
              </w:rPr>
              <w:t>”</w:t>
            </w:r>
            <w:r w:rsidRPr="00AD0C22">
              <w:rPr>
                <w:rFonts w:ascii="Verdana" w:hAnsi="Verdana" w:cs="Arial"/>
                <w:i/>
                <w:iCs/>
                <w:sz w:val="21"/>
                <w:szCs w:val="21"/>
              </w:rPr>
              <w:t>.</w:t>
            </w:r>
            <w:r w:rsidRPr="00AD0C22">
              <w:rPr>
                <w:rFonts w:ascii="Verdana" w:hAnsi="Verdana" w:cs="Arial"/>
                <w:sz w:val="21"/>
                <w:szCs w:val="21"/>
              </w:rPr>
              <w:t xml:space="preserve"> </w:t>
            </w:r>
          </w:p>
          <w:p w14:paraId="6CEC3409" w14:textId="77777777" w:rsidR="009834A8" w:rsidRDefault="009834A8" w:rsidP="00F77C5D">
            <w:pPr>
              <w:spacing w:before="120" w:line="276" w:lineRule="auto"/>
              <w:ind w:firstLine="707"/>
              <w:jc w:val="both"/>
              <w:rPr>
                <w:rFonts w:ascii="Verdana" w:eastAsia="Calibri" w:hAnsi="Verdana" w:cs="Arial"/>
              </w:rPr>
            </w:pPr>
            <w:r>
              <w:rPr>
                <w:rFonts w:ascii="Verdana" w:eastAsia="Calibri" w:hAnsi="Verdana" w:cs="Arial"/>
              </w:rPr>
              <w:t xml:space="preserve">De esta manera, </w:t>
            </w:r>
            <w:r w:rsidRPr="003445D3">
              <w:rPr>
                <w:rFonts w:ascii="Verdana" w:eastAsia="Calibri" w:hAnsi="Verdana" w:cs="Arial"/>
              </w:rPr>
              <w:t>las actas parciales no tienen una regulación específica en el EGCAP</w:t>
            </w:r>
            <w:r>
              <w:rPr>
                <w:rFonts w:ascii="Verdana" w:eastAsia="Calibri" w:hAnsi="Verdana" w:cs="Arial"/>
              </w:rPr>
              <w:t xml:space="preserve"> y,</w:t>
            </w:r>
            <w:r w:rsidRPr="003445D3">
              <w:rPr>
                <w:rFonts w:ascii="Verdana" w:eastAsia="Calibri" w:hAnsi="Verdana" w:cs="Arial"/>
              </w:rPr>
              <w:t xml:space="preserve"> </w:t>
            </w:r>
            <w:r>
              <w:rPr>
                <w:rFonts w:ascii="Verdana" w:eastAsia="Calibri" w:hAnsi="Verdana" w:cs="Arial"/>
              </w:rPr>
              <w:t>p</w:t>
            </w:r>
            <w:r w:rsidRPr="003445D3">
              <w:rPr>
                <w:rFonts w:ascii="Verdana" w:eastAsia="Calibri" w:hAnsi="Verdana" w:cs="Arial"/>
              </w:rPr>
              <w:t>or ende, su contenido</w:t>
            </w:r>
            <w:r>
              <w:rPr>
                <w:rFonts w:ascii="Verdana" w:eastAsia="Calibri" w:hAnsi="Verdana" w:cs="Arial"/>
              </w:rPr>
              <w:t xml:space="preserve"> y forma se determinan en atención </w:t>
            </w:r>
            <w:r w:rsidRPr="003445D3">
              <w:rPr>
                <w:rFonts w:ascii="Verdana" w:eastAsia="Calibri" w:hAnsi="Verdana" w:cs="Arial"/>
              </w:rPr>
              <w:t xml:space="preserve">exclusiva </w:t>
            </w:r>
            <w:r>
              <w:rPr>
                <w:rFonts w:ascii="Verdana" w:eastAsia="Calibri" w:hAnsi="Verdana" w:cs="Arial"/>
              </w:rPr>
              <w:t xml:space="preserve">a lo </w:t>
            </w:r>
            <w:r w:rsidRPr="003445D3">
              <w:rPr>
                <w:rFonts w:ascii="Verdana" w:eastAsia="Calibri" w:hAnsi="Verdana" w:cs="Arial"/>
              </w:rPr>
              <w:t>consignado en el contrato. Est</w:t>
            </w:r>
            <w:r>
              <w:rPr>
                <w:rFonts w:ascii="Verdana" w:eastAsia="Calibri" w:hAnsi="Verdana" w:cs="Arial"/>
              </w:rPr>
              <w:t>o</w:t>
            </w:r>
            <w:r w:rsidRPr="003445D3">
              <w:rPr>
                <w:rFonts w:ascii="Verdana" w:eastAsia="Calibri" w:hAnsi="Verdana" w:cs="Arial"/>
              </w:rPr>
              <w:t xml:space="preserve"> implica que la administración y el contratista tienen la facultad de definir en el contrato</w:t>
            </w:r>
            <w:r>
              <w:rPr>
                <w:rFonts w:ascii="Verdana" w:eastAsia="Calibri" w:hAnsi="Verdana" w:cs="Arial"/>
              </w:rPr>
              <w:t xml:space="preserve"> </w:t>
            </w:r>
            <w:r w:rsidRPr="003445D3">
              <w:rPr>
                <w:rFonts w:ascii="Verdana" w:eastAsia="Calibri" w:hAnsi="Verdana" w:cs="Arial"/>
              </w:rPr>
              <w:t xml:space="preserve">las condiciones, periodicidad, mecanismos de aprobación y </w:t>
            </w:r>
            <w:r>
              <w:rPr>
                <w:rFonts w:ascii="Verdana" w:eastAsia="Calibri" w:hAnsi="Verdana" w:cs="Arial"/>
              </w:rPr>
              <w:t xml:space="preserve">pago, entre otros aspectos propios de las actas parciales de obra. </w:t>
            </w:r>
          </w:p>
          <w:p w14:paraId="3C953B86" w14:textId="77777777" w:rsidR="009834A8" w:rsidRDefault="009834A8" w:rsidP="00F77C5D">
            <w:pPr>
              <w:spacing w:before="120" w:line="276" w:lineRule="auto"/>
              <w:ind w:firstLine="707"/>
              <w:jc w:val="both"/>
              <w:rPr>
                <w:rFonts w:ascii="Verdana" w:eastAsia="Calibri" w:hAnsi="Verdana" w:cs="Arial"/>
              </w:rPr>
            </w:pPr>
            <w:r>
              <w:rPr>
                <w:rFonts w:ascii="Verdana" w:eastAsia="Calibri" w:hAnsi="Verdana" w:cs="Arial"/>
              </w:rPr>
              <w:t>En este contexto</w:t>
            </w:r>
            <w:r w:rsidRPr="00B87628">
              <w:rPr>
                <w:rFonts w:ascii="Verdana" w:eastAsia="Calibri" w:hAnsi="Verdana" w:cs="Arial"/>
              </w:rPr>
              <w:t>,</w:t>
            </w:r>
            <w:r>
              <w:rPr>
                <w:rFonts w:ascii="Verdana" w:eastAsia="Calibri" w:hAnsi="Verdana" w:cs="Arial"/>
              </w:rPr>
              <w:t xml:space="preserve"> se puede afirmar que</w:t>
            </w:r>
            <w:r w:rsidRPr="00B87628">
              <w:rPr>
                <w:rFonts w:ascii="Verdana" w:eastAsia="Calibri" w:hAnsi="Verdana" w:cs="Arial"/>
              </w:rPr>
              <w:t xml:space="preserve"> </w:t>
            </w:r>
            <w:r w:rsidRPr="00F6797D">
              <w:rPr>
                <w:rFonts w:ascii="Verdana" w:eastAsia="Calibri" w:hAnsi="Verdana" w:cs="Arial"/>
                <w:color w:val="000000" w:themeColor="text1"/>
              </w:rPr>
              <w:t xml:space="preserve">el Estatuto General de Contratación de la Administración Pública -EGCAP- no establece de manera expresa ni taxativa </w:t>
            </w:r>
            <w:r>
              <w:rPr>
                <w:rFonts w:ascii="Verdana" w:eastAsia="Calibri" w:hAnsi="Verdana" w:cs="Arial"/>
                <w:color w:val="000000" w:themeColor="text1"/>
              </w:rPr>
              <w:t xml:space="preserve">lo referente a las actas parciales de obras, así como tampoco </w:t>
            </w:r>
            <w:r w:rsidRPr="00F6797D">
              <w:rPr>
                <w:rFonts w:ascii="Verdana" w:eastAsia="Calibri" w:hAnsi="Verdana" w:cs="Arial"/>
                <w:color w:val="000000" w:themeColor="text1"/>
              </w:rPr>
              <w:t xml:space="preserve">las situaciones específicas en las que </w:t>
            </w:r>
            <w:r>
              <w:rPr>
                <w:rFonts w:ascii="Verdana" w:eastAsia="Calibri" w:hAnsi="Verdana" w:cs="Arial"/>
              </w:rPr>
              <w:t xml:space="preserve">se puedan </w:t>
            </w:r>
            <w:r w:rsidRPr="00B87628">
              <w:rPr>
                <w:rFonts w:ascii="Verdana" w:eastAsia="Calibri" w:hAnsi="Verdana" w:cs="Arial"/>
              </w:rPr>
              <w:t xml:space="preserve">realizar los pagos asociados a </w:t>
            </w:r>
            <w:r>
              <w:rPr>
                <w:rFonts w:ascii="Verdana" w:eastAsia="Calibri" w:hAnsi="Verdana" w:cs="Arial"/>
              </w:rPr>
              <w:t xml:space="preserve">estas </w:t>
            </w:r>
            <w:r w:rsidRPr="00B87628">
              <w:rPr>
                <w:rFonts w:ascii="Verdana" w:eastAsia="Calibri" w:hAnsi="Verdana" w:cs="Arial"/>
              </w:rPr>
              <w:t xml:space="preserve">actas con base en </w:t>
            </w:r>
            <w:r>
              <w:rPr>
                <w:rFonts w:ascii="Verdana" w:eastAsia="Calibri" w:hAnsi="Verdana" w:cs="Arial"/>
              </w:rPr>
              <w:t xml:space="preserve">una o varias </w:t>
            </w:r>
            <w:r w:rsidRPr="00B87628">
              <w:rPr>
                <w:rFonts w:ascii="Verdana" w:eastAsia="Calibri" w:hAnsi="Verdana" w:cs="Arial"/>
              </w:rPr>
              <w:t>fuente</w:t>
            </w:r>
            <w:r>
              <w:rPr>
                <w:rFonts w:ascii="Verdana" w:eastAsia="Calibri" w:hAnsi="Verdana" w:cs="Arial"/>
              </w:rPr>
              <w:t>s</w:t>
            </w:r>
            <w:r w:rsidRPr="00B87628">
              <w:rPr>
                <w:rFonts w:ascii="Verdana" w:eastAsia="Calibri" w:hAnsi="Verdana" w:cs="Arial"/>
              </w:rPr>
              <w:t xml:space="preserve"> específica</w:t>
            </w:r>
            <w:r>
              <w:rPr>
                <w:rFonts w:ascii="Verdana" w:eastAsia="Calibri" w:hAnsi="Verdana" w:cs="Arial"/>
              </w:rPr>
              <w:t>s</w:t>
            </w:r>
            <w:r w:rsidRPr="00B87628">
              <w:rPr>
                <w:rFonts w:ascii="Verdana" w:eastAsia="Calibri" w:hAnsi="Verdana" w:cs="Arial"/>
              </w:rPr>
              <w:t xml:space="preserve"> de financiación del contrato</w:t>
            </w:r>
            <w:r>
              <w:rPr>
                <w:rFonts w:ascii="Verdana" w:eastAsia="Calibri" w:hAnsi="Verdana" w:cs="Arial"/>
              </w:rPr>
              <w:t>.</w:t>
            </w:r>
            <w:r w:rsidRPr="00675432">
              <w:rPr>
                <w:rFonts w:ascii="Verdana" w:eastAsia="Calibri" w:hAnsi="Verdana" w:cs="Arial"/>
                <w:color w:val="000000" w:themeColor="text1"/>
              </w:rPr>
              <w:t xml:space="preserve"> </w:t>
            </w:r>
            <w:r w:rsidRPr="00F6797D">
              <w:rPr>
                <w:rFonts w:ascii="Verdana" w:eastAsia="Calibri" w:hAnsi="Verdana" w:cs="Arial"/>
                <w:color w:val="000000" w:themeColor="text1"/>
              </w:rPr>
              <w:t xml:space="preserve">En este sentido, la viabilidad de </w:t>
            </w:r>
            <w:r>
              <w:rPr>
                <w:rFonts w:ascii="Verdana" w:eastAsia="Calibri" w:hAnsi="Verdana" w:cs="Arial"/>
                <w:color w:val="000000" w:themeColor="text1"/>
              </w:rPr>
              <w:t xml:space="preserve">realizar estos pagos atendiendo a las distintas fuentes de los recursos </w:t>
            </w:r>
            <w:r w:rsidRPr="00F6797D">
              <w:rPr>
                <w:rFonts w:ascii="Verdana" w:eastAsia="Calibri" w:hAnsi="Verdana" w:cs="Arial"/>
                <w:color w:val="000000" w:themeColor="text1"/>
              </w:rPr>
              <w:t xml:space="preserve">depende del análisis conjunto de la naturaleza de la apropiación y su ejecución, así como de las </w:t>
            </w:r>
            <w:r w:rsidRPr="00F6797D">
              <w:rPr>
                <w:rFonts w:ascii="Verdana" w:eastAsia="Calibri" w:hAnsi="Verdana" w:cs="Arial"/>
                <w:color w:val="000000" w:themeColor="text1"/>
              </w:rPr>
              <w:lastRenderedPageBreak/>
              <w:t>normas presupuestales aplicables en cada caso particular</w:t>
            </w:r>
            <w:r>
              <w:rPr>
                <w:rFonts w:ascii="Verdana" w:eastAsia="Calibri" w:hAnsi="Verdana" w:cs="Arial"/>
                <w:color w:val="000000" w:themeColor="text1"/>
              </w:rPr>
              <w:t xml:space="preserve"> y a lo que </w:t>
            </w:r>
            <w:r w:rsidRPr="00B87628">
              <w:rPr>
                <w:rFonts w:ascii="Verdana" w:eastAsia="Calibri" w:hAnsi="Verdana" w:cs="Arial"/>
              </w:rPr>
              <w:t xml:space="preserve">las partes acuerden en el clausulado contractual. </w:t>
            </w:r>
          </w:p>
          <w:p w14:paraId="44196011" w14:textId="77777777" w:rsidR="009834A8" w:rsidRPr="000C1C3E" w:rsidRDefault="009834A8" w:rsidP="00F77C5D">
            <w:pPr>
              <w:spacing w:before="120" w:after="160" w:line="276" w:lineRule="auto"/>
              <w:ind w:firstLine="707"/>
              <w:jc w:val="both"/>
              <w:rPr>
                <w:rFonts w:ascii="Verdana" w:eastAsia="Calibri" w:hAnsi="Verdana" w:cs="Arial"/>
              </w:rPr>
            </w:pPr>
            <w:r>
              <w:rPr>
                <w:rFonts w:ascii="Verdana" w:eastAsia="Calibri" w:hAnsi="Verdana" w:cs="Arial"/>
              </w:rPr>
              <w:t>De esta forma, c</w:t>
            </w:r>
            <w:r w:rsidRPr="00B87628">
              <w:rPr>
                <w:rFonts w:ascii="Verdana" w:eastAsia="Calibri" w:hAnsi="Verdana" w:cs="Arial"/>
              </w:rPr>
              <w:t>uando concurren diversas fuentes de financiación</w:t>
            </w:r>
            <w:r>
              <w:rPr>
                <w:rFonts w:ascii="Verdana" w:eastAsia="Calibri" w:hAnsi="Verdana" w:cs="Arial"/>
              </w:rPr>
              <w:t xml:space="preserve"> en un contrato de obra</w:t>
            </w:r>
            <w:r w:rsidRPr="00B87628">
              <w:rPr>
                <w:rFonts w:ascii="Verdana" w:eastAsia="Calibri" w:hAnsi="Verdana" w:cs="Arial"/>
              </w:rPr>
              <w:t xml:space="preserve">, </w:t>
            </w:r>
            <w:r>
              <w:rPr>
                <w:rFonts w:ascii="Verdana" w:eastAsia="Calibri" w:hAnsi="Verdana" w:cs="Arial"/>
              </w:rPr>
              <w:t xml:space="preserve">es recomendable </w:t>
            </w:r>
            <w:r w:rsidRPr="00B87628">
              <w:rPr>
                <w:rFonts w:ascii="Verdana" w:eastAsia="Calibri" w:hAnsi="Verdana" w:cs="Arial"/>
              </w:rPr>
              <w:t xml:space="preserve">que las partes definan expresamente en </w:t>
            </w:r>
            <w:r>
              <w:rPr>
                <w:rFonts w:ascii="Verdana" w:eastAsia="Calibri" w:hAnsi="Verdana" w:cs="Arial"/>
              </w:rPr>
              <w:t xml:space="preserve">este </w:t>
            </w:r>
            <w:r w:rsidRPr="00B87628">
              <w:rPr>
                <w:rFonts w:ascii="Verdana" w:eastAsia="Calibri" w:hAnsi="Verdana" w:cs="Arial"/>
              </w:rPr>
              <w:t xml:space="preserve">cómo se aplicarán dichas fuentes al momento de ejecutar los pagos parciales, con el fin de garantizar la trazabilidad del gasto público, la adecuada imputación presupuestal y la observancia de los procedimientos administrativos y financieros propios de cada fuente. Esto incluye aspectos como los requisitos documentales, los tiempos de aprobación, la disponibilidad de los recursos y los trámites ante los órganos </w:t>
            </w:r>
            <w:r>
              <w:rPr>
                <w:rFonts w:ascii="Verdana" w:eastAsia="Calibri" w:hAnsi="Verdana" w:cs="Arial"/>
              </w:rPr>
              <w:t xml:space="preserve">respectivos, si es del caso, etc. </w:t>
            </w:r>
          </w:p>
        </w:tc>
      </w:tr>
    </w:tbl>
    <w:p w14:paraId="0C5F3B96" w14:textId="77777777" w:rsidR="009834A8" w:rsidRPr="00A12CB6" w:rsidRDefault="009834A8" w:rsidP="009834A8">
      <w:pPr>
        <w:spacing w:after="0" w:line="276" w:lineRule="auto"/>
        <w:jc w:val="both"/>
        <w:rPr>
          <w:rFonts w:ascii="Verdana" w:eastAsia="Calibri" w:hAnsi="Verdana" w:cs="Arial"/>
          <w:bCs/>
          <w:color w:val="000000" w:themeColor="text1"/>
        </w:rPr>
      </w:pPr>
    </w:p>
    <w:p w14:paraId="3C7D9E18" w14:textId="77777777" w:rsidR="009834A8" w:rsidRPr="00A12CB6" w:rsidRDefault="009834A8" w:rsidP="009834A8">
      <w:pPr>
        <w:numPr>
          <w:ilvl w:val="0"/>
          <w:numId w:val="19"/>
        </w:num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Razones de la respuesta:</w:t>
      </w:r>
    </w:p>
    <w:p w14:paraId="3A26C5D4" w14:textId="77777777" w:rsidR="009834A8" w:rsidRPr="00A12CB6" w:rsidRDefault="009834A8" w:rsidP="009834A8">
      <w:pPr>
        <w:spacing w:after="0" w:line="256" w:lineRule="auto"/>
        <w:rPr>
          <w:rFonts w:ascii="Verdana" w:eastAsia="Calibri" w:hAnsi="Verdana" w:cs="Times New Roman"/>
          <w:b/>
          <w:bCs/>
          <w:lang w:val="es-ES"/>
        </w:rPr>
      </w:pPr>
    </w:p>
    <w:p w14:paraId="7C8017F3" w14:textId="77777777" w:rsidR="009834A8" w:rsidRPr="00A12CB6" w:rsidRDefault="009834A8" w:rsidP="009834A8">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5923BF7C" w14:textId="77777777" w:rsidR="009834A8" w:rsidRDefault="009834A8" w:rsidP="009834A8">
      <w:pPr>
        <w:spacing w:after="0" w:line="276" w:lineRule="auto"/>
        <w:jc w:val="both"/>
        <w:rPr>
          <w:rFonts w:ascii="Verdana" w:eastAsia="Times New Roman" w:hAnsi="Verdana" w:cs="Arial"/>
          <w:color w:val="000000" w:themeColor="text1"/>
          <w:lang w:eastAsia="es-CO"/>
        </w:rPr>
      </w:pPr>
    </w:p>
    <w:p w14:paraId="4B75DBC7" w14:textId="77777777" w:rsidR="009834A8" w:rsidRPr="00CB68C5" w:rsidRDefault="009834A8" w:rsidP="009834A8">
      <w:pPr>
        <w:spacing w:after="120" w:line="276" w:lineRule="auto"/>
        <w:jc w:val="both"/>
        <w:rPr>
          <w:rFonts w:ascii="Verdana" w:hAnsi="Verdana" w:cs="Arial"/>
        </w:rPr>
      </w:pPr>
      <w:r>
        <w:rPr>
          <w:rFonts w:ascii="Verdana" w:eastAsia="Calibri" w:hAnsi="Verdana" w:cs="Arial"/>
          <w:lang w:val="es-ES"/>
        </w:rPr>
        <w:t xml:space="preserve">i. </w:t>
      </w:r>
      <w:r w:rsidRPr="00CB68C5">
        <w:rPr>
          <w:rFonts w:ascii="Verdana" w:eastAsia="Calibri" w:hAnsi="Verdana" w:cs="Arial"/>
          <w:lang w:val="es-ES"/>
        </w:rPr>
        <w:t>El Estatuto General de Contratación de la Administración Pública</w:t>
      </w:r>
      <w:r>
        <w:rPr>
          <w:rFonts w:ascii="Verdana" w:eastAsia="Calibri" w:hAnsi="Verdana" w:cs="Arial"/>
          <w:lang w:val="es-ES"/>
        </w:rPr>
        <w:t xml:space="preserve"> –EGCAP-</w:t>
      </w:r>
      <w:r w:rsidRPr="00CB68C5">
        <w:rPr>
          <w:rFonts w:ascii="Verdana" w:eastAsia="Calibri" w:hAnsi="Verdana" w:cs="Arial"/>
          <w:lang w:val="es-ES"/>
        </w:rPr>
        <w:t xml:space="preserve">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el inciso prim</w:t>
      </w:r>
      <w:r>
        <w:rPr>
          <w:rFonts w:ascii="Verdana" w:hAnsi="Verdana" w:cs="Arial"/>
        </w:rPr>
        <w:t xml:space="preserve">ero del artículo 13 dispone: </w:t>
      </w:r>
      <w:r w:rsidRPr="00CB68C5">
        <w:rPr>
          <w:rFonts w:ascii="Verdana" w:hAnsi="Verdana" w:cs="Arial"/>
        </w:rPr>
        <w:t xml:space="preserve">“Los contratos que celebren las entidades a que se refiere el artículo 2o. del presente estatuto se regirán por las disposiciones comerciales y civiles pertinentes, salvo en las materias particularmente reguladas en esta ley”. </w:t>
      </w:r>
    </w:p>
    <w:p w14:paraId="037D3212" w14:textId="77777777" w:rsidR="009834A8" w:rsidRPr="00CB68C5" w:rsidRDefault="009834A8" w:rsidP="009834A8">
      <w:pPr>
        <w:spacing w:after="120" w:line="276" w:lineRule="auto"/>
        <w:ind w:firstLine="709"/>
        <w:jc w:val="both"/>
        <w:rPr>
          <w:rFonts w:ascii="Verdana" w:hAnsi="Verdana" w:cs="Arial"/>
        </w:rPr>
      </w:pPr>
      <w:r w:rsidRPr="00CB68C5">
        <w:rPr>
          <w:rFonts w:ascii="Verdana" w:hAnsi="Verdana" w:cs="Arial"/>
        </w:rPr>
        <w:t>Dicha idea también se reitera en el EGCAP considerando que</w:t>
      </w:r>
      <w:r>
        <w:rPr>
          <w:rFonts w:ascii="Verdana" w:hAnsi="Verdana" w:cs="Arial"/>
        </w:rPr>
        <w:t>:</w:t>
      </w:r>
      <w:r w:rsidRPr="00CB68C5">
        <w:rPr>
          <w:rFonts w:ascii="Verdana" w:hAnsi="Verdana" w:cs="Arial"/>
        </w:rPr>
        <w:t xml:space="preserv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74F688AB" w14:textId="77777777" w:rsidR="009834A8" w:rsidRPr="00CB68C5" w:rsidRDefault="009834A8" w:rsidP="009834A8">
      <w:pPr>
        <w:spacing w:after="0" w:line="276" w:lineRule="auto"/>
        <w:ind w:firstLine="708"/>
        <w:jc w:val="both"/>
        <w:rPr>
          <w:rFonts w:ascii="Verdana" w:hAnsi="Verdana" w:cs="Arial"/>
        </w:rPr>
      </w:pPr>
      <w:r w:rsidRPr="00CB68C5">
        <w:rPr>
          <w:rFonts w:ascii="Verdana" w:hAnsi="Verdana" w:cs="Arial"/>
        </w:rPr>
        <w:t>De esta manera, los contratos de las entidades sometidas al Estatuto General de Contratación se rigen generalmente por el derecho privado y excepcionalmente</w:t>
      </w:r>
      <w:r>
        <w:rPr>
          <w:rFonts w:ascii="Verdana" w:hAnsi="Verdana" w:cs="Arial"/>
        </w:rPr>
        <w:t>,</w:t>
      </w:r>
      <w:r w:rsidRPr="00CB68C5">
        <w:rPr>
          <w:rFonts w:ascii="Verdana" w:hAnsi="Verdana" w:cs="Arial"/>
        </w:rPr>
        <w:t xml:space="preserve"> por el derecho público, pues las normas civiles y comerciales </w:t>
      </w:r>
      <w:r w:rsidRPr="00CB68C5">
        <w:rPr>
          <w:rFonts w:ascii="Verdana" w:hAnsi="Verdana" w:cs="Arial"/>
        </w:rPr>
        <w:lastRenderedPageBreak/>
        <w:t>son el derecho común de los contratos estatales</w:t>
      </w:r>
      <w:r w:rsidRPr="008D191C">
        <w:rPr>
          <w:rFonts w:ascii="Verdana" w:hAnsi="Verdana" w:cs="Arial"/>
          <w:vertAlign w:val="superscript"/>
        </w:rPr>
        <w:footnoteReference w:id="3"/>
      </w:r>
      <w:r w:rsidRPr="00CB68C5">
        <w:rPr>
          <w:rFonts w:ascii="Verdana" w:hAnsi="Verdana" w:cs="Arial"/>
        </w:rPr>
        <w:t>. Para la doctrina, la mixtura del régimen contractual:</w:t>
      </w:r>
    </w:p>
    <w:p w14:paraId="30E607CD" w14:textId="77777777" w:rsidR="009834A8" w:rsidRPr="00CB68C5" w:rsidRDefault="009834A8" w:rsidP="009834A8">
      <w:pPr>
        <w:spacing w:after="0" w:line="276" w:lineRule="auto"/>
        <w:ind w:firstLine="709"/>
        <w:jc w:val="both"/>
        <w:rPr>
          <w:rFonts w:ascii="Verdana" w:hAnsi="Verdana" w:cs="Arial"/>
        </w:rPr>
      </w:pPr>
    </w:p>
    <w:p w14:paraId="03C60ABC" w14:textId="77777777" w:rsidR="009834A8" w:rsidRPr="00C568CF" w:rsidRDefault="009834A8" w:rsidP="009834A8">
      <w:pPr>
        <w:spacing w:after="0" w:line="240" w:lineRule="auto"/>
        <w:ind w:left="709" w:right="709"/>
        <w:jc w:val="both"/>
        <w:rPr>
          <w:rFonts w:ascii="Verdana" w:hAnsi="Verdana" w:cs="Arial"/>
          <w:sz w:val="20"/>
          <w:szCs w:val="20"/>
        </w:rPr>
      </w:pPr>
      <w:r w:rsidRPr="00C568CF">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5F9677CE" w14:textId="77777777" w:rsidR="009834A8" w:rsidRPr="00C568CF" w:rsidRDefault="009834A8" w:rsidP="009834A8">
      <w:pPr>
        <w:spacing w:after="0" w:line="240" w:lineRule="auto"/>
        <w:ind w:right="709"/>
        <w:jc w:val="both"/>
        <w:rPr>
          <w:rFonts w:ascii="Verdana" w:hAnsi="Verdana" w:cs="Arial"/>
          <w:sz w:val="20"/>
          <w:szCs w:val="20"/>
        </w:rPr>
      </w:pPr>
      <w:r w:rsidRPr="00C568CF">
        <w:rPr>
          <w:rFonts w:ascii="Verdana" w:hAnsi="Verdana" w:cs="Arial"/>
          <w:sz w:val="20"/>
          <w:szCs w:val="20"/>
        </w:rPr>
        <w:tab/>
      </w:r>
    </w:p>
    <w:p w14:paraId="2A7F0BCE" w14:textId="77777777" w:rsidR="009834A8" w:rsidRPr="00C568CF" w:rsidRDefault="009834A8" w:rsidP="009834A8">
      <w:pPr>
        <w:spacing w:after="0" w:line="240" w:lineRule="auto"/>
        <w:ind w:left="709" w:right="709"/>
        <w:jc w:val="both"/>
        <w:rPr>
          <w:rFonts w:ascii="Verdana" w:hAnsi="Verdana" w:cs="Arial"/>
          <w:sz w:val="20"/>
          <w:szCs w:val="20"/>
        </w:rPr>
      </w:pPr>
      <w:r w:rsidRPr="00C568CF">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C568CF">
        <w:rPr>
          <w:rFonts w:ascii="Verdana" w:hAnsi="Verdana" w:cs="Arial"/>
          <w:sz w:val="20"/>
          <w:szCs w:val="20"/>
          <w:vertAlign w:val="superscript"/>
        </w:rPr>
        <w:footnoteReference w:id="4"/>
      </w:r>
      <w:r w:rsidRPr="00C568CF">
        <w:rPr>
          <w:rFonts w:ascii="Verdana" w:hAnsi="Verdana" w:cs="Arial"/>
          <w:sz w:val="20"/>
          <w:szCs w:val="20"/>
        </w:rPr>
        <w:t xml:space="preserve">. </w:t>
      </w:r>
    </w:p>
    <w:p w14:paraId="66F49BE0" w14:textId="77777777" w:rsidR="009834A8" w:rsidRPr="00CB68C5" w:rsidRDefault="009834A8" w:rsidP="009834A8">
      <w:pPr>
        <w:spacing w:after="0" w:line="276" w:lineRule="auto"/>
        <w:ind w:left="709" w:right="709"/>
        <w:jc w:val="both"/>
        <w:rPr>
          <w:rFonts w:ascii="Verdana" w:hAnsi="Verdana" w:cs="Arial"/>
        </w:rPr>
      </w:pPr>
      <w:r w:rsidRPr="00CB68C5">
        <w:rPr>
          <w:rFonts w:ascii="Verdana" w:hAnsi="Verdana" w:cs="Arial"/>
        </w:rPr>
        <w:t xml:space="preserve"> </w:t>
      </w:r>
    </w:p>
    <w:p w14:paraId="510CC980" w14:textId="77777777" w:rsidR="009834A8" w:rsidRDefault="009834A8" w:rsidP="009834A8">
      <w:pPr>
        <w:spacing w:after="0" w:line="276" w:lineRule="auto"/>
        <w:jc w:val="both"/>
        <w:rPr>
          <w:rFonts w:ascii="Verdana" w:hAnsi="Verdana" w:cs="Arial"/>
        </w:rPr>
      </w:pPr>
      <w:r w:rsidRPr="00CB68C5">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r>
        <w:rPr>
          <w:rFonts w:ascii="Verdana" w:hAnsi="Verdana" w:cs="Arial"/>
        </w:rPr>
        <w:t xml:space="preserve"> </w:t>
      </w:r>
    </w:p>
    <w:p w14:paraId="729B0744" w14:textId="77777777" w:rsidR="009834A8" w:rsidRDefault="009834A8" w:rsidP="009834A8">
      <w:pPr>
        <w:widowControl w:val="0"/>
        <w:autoSpaceDE w:val="0"/>
        <w:autoSpaceDN w:val="0"/>
        <w:spacing w:after="0" w:line="276" w:lineRule="auto"/>
        <w:jc w:val="both"/>
        <w:rPr>
          <w:rFonts w:ascii="Verdana" w:eastAsia="Arial" w:hAnsi="Verdana" w:cs="Arial"/>
          <w:lang w:val="es-ES" w:eastAsia="es-ES" w:bidi="es-ES"/>
        </w:rPr>
      </w:pPr>
    </w:p>
    <w:p w14:paraId="4072BEC1" w14:textId="77777777" w:rsidR="009834A8" w:rsidRPr="00EC5368" w:rsidRDefault="009834A8" w:rsidP="009834A8">
      <w:pPr>
        <w:widowControl w:val="0"/>
        <w:autoSpaceDE w:val="0"/>
        <w:autoSpaceDN w:val="0"/>
        <w:spacing w:line="276" w:lineRule="auto"/>
        <w:jc w:val="both"/>
        <w:rPr>
          <w:rFonts w:ascii="Verdana" w:eastAsia="Calibri" w:hAnsi="Verdana" w:cs="Arial"/>
          <w:color w:val="000000"/>
          <w:lang w:val="es-ES_tradnl" w:eastAsia="es-ES" w:bidi="es-ES"/>
        </w:rPr>
      </w:pPr>
      <w:proofErr w:type="spellStart"/>
      <w:r>
        <w:rPr>
          <w:rFonts w:ascii="Verdana" w:eastAsia="Calibri" w:hAnsi="Verdana" w:cs="Arial"/>
        </w:rPr>
        <w:t>ii</w:t>
      </w:r>
      <w:proofErr w:type="spellEnd"/>
      <w:r>
        <w:rPr>
          <w:rFonts w:ascii="Verdana" w:eastAsia="Calibri" w:hAnsi="Verdana" w:cs="Arial"/>
        </w:rPr>
        <w:t xml:space="preserve">. </w:t>
      </w:r>
      <w:r w:rsidRPr="00EC5368">
        <w:rPr>
          <w:rFonts w:ascii="Verdana" w:eastAsia="Calibri" w:hAnsi="Verdana" w:cs="Arial"/>
          <w:lang w:val="es-MX"/>
        </w:rPr>
        <w:t>La</w:t>
      </w:r>
      <w:r>
        <w:rPr>
          <w:rFonts w:ascii="Verdana" w:eastAsia="Calibri" w:hAnsi="Verdana" w:cs="Arial"/>
          <w:color w:val="000000"/>
          <w:lang w:val="es-ES_tradnl" w:eastAsia="es-ES" w:bidi="es-ES"/>
        </w:rPr>
        <w:t xml:space="preserve"> obra pública es una de las tipologías </w:t>
      </w:r>
      <w:r w:rsidRPr="00EC5368">
        <w:rPr>
          <w:rFonts w:ascii="Verdana" w:eastAsia="Calibri" w:hAnsi="Verdana" w:cs="Arial"/>
          <w:color w:val="000000"/>
          <w:lang w:val="es-ES_tradnl" w:eastAsia="es-ES" w:bidi="es-ES"/>
        </w:rPr>
        <w:t xml:space="preserve">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0D0CC01E" w14:textId="77777777" w:rsidR="009834A8" w:rsidRPr="00EC5368" w:rsidRDefault="009834A8" w:rsidP="009834A8">
      <w:pPr>
        <w:widowControl w:val="0"/>
        <w:autoSpaceDE w:val="0"/>
        <w:autoSpaceDN w:val="0"/>
        <w:spacing w:before="120" w:after="0" w:line="276" w:lineRule="auto"/>
        <w:ind w:firstLine="708"/>
        <w:jc w:val="both"/>
        <w:rPr>
          <w:rFonts w:ascii="Verdana" w:eastAsia="Calibri" w:hAnsi="Verdana" w:cs="Arial"/>
          <w:color w:val="000000"/>
          <w:lang w:val="es-ES" w:eastAsia="es-ES" w:bidi="es-ES"/>
        </w:rPr>
      </w:pPr>
      <w:r w:rsidRPr="418CF8A0">
        <w:rPr>
          <w:rFonts w:ascii="Verdana" w:eastAsia="Calibri" w:hAnsi="Verdana" w:cs="Arial"/>
          <w:color w:val="000000" w:themeColor="text1"/>
          <w:lang w:val="es-ES" w:eastAsia="es-ES" w:bidi="es-ES"/>
        </w:rPr>
        <w:t xml:space="preserve">En efecto, </w:t>
      </w:r>
      <w:bookmarkStart w:id="1" w:name="_Hlk81432298"/>
      <w:r w:rsidRPr="418CF8A0">
        <w:rPr>
          <w:rFonts w:ascii="Verdana" w:eastAsia="Calibri" w:hAnsi="Verdana" w:cs="Arial"/>
          <w:color w:val="000000" w:themeColor="text1"/>
          <w:lang w:val="es-ES" w:eastAsia="es-ES" w:bidi="es-ES"/>
        </w:rPr>
        <w:t xml:space="preserve">en el derecho privado brilla por la ausencia una definición del </w:t>
      </w:r>
      <w:r w:rsidRPr="418CF8A0">
        <w:rPr>
          <w:rFonts w:ascii="Verdana" w:eastAsia="Calibri" w:hAnsi="Verdana" w:cs="Arial"/>
          <w:color w:val="000000" w:themeColor="text1"/>
          <w:lang w:val="es-ES" w:eastAsia="es-ES" w:bidi="es-ES"/>
        </w:rPr>
        <w:lastRenderedPageBreak/>
        <w:t xml:space="preserve">contrato de obra. El artículo 2053 del Código Civil lo tipifica como una de las 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w:t>
      </w:r>
      <w:bookmarkEnd w:id="1"/>
      <w:r w:rsidRPr="418CF8A0">
        <w:rPr>
          <w:rFonts w:ascii="Verdana" w:eastAsia="Calibri" w:hAnsi="Verdana" w:cs="Arial"/>
          <w:color w:val="000000" w:themeColor="text1"/>
          <w:lang w:val="es-ES" w:eastAsia="es-ES" w:bidi="es-ES"/>
        </w:rPr>
        <w:t>Así, la doctrina considera que:</w:t>
      </w:r>
    </w:p>
    <w:p w14:paraId="3D32F5BF" w14:textId="77777777" w:rsidR="009834A8" w:rsidRPr="00EC5368" w:rsidRDefault="009834A8" w:rsidP="009834A8">
      <w:pPr>
        <w:widowControl w:val="0"/>
        <w:autoSpaceDE w:val="0"/>
        <w:autoSpaceDN w:val="0"/>
        <w:spacing w:after="0" w:line="276" w:lineRule="auto"/>
        <w:ind w:firstLine="708"/>
        <w:jc w:val="both"/>
        <w:rPr>
          <w:rFonts w:ascii="Verdana" w:eastAsia="Calibri" w:hAnsi="Verdana" w:cs="Arial"/>
          <w:color w:val="000000"/>
          <w:lang w:val="es-ES_tradnl" w:eastAsia="es-ES" w:bidi="es-ES"/>
        </w:rPr>
      </w:pPr>
    </w:p>
    <w:p w14:paraId="670A78BA" w14:textId="77777777" w:rsidR="009834A8" w:rsidRPr="00C568CF" w:rsidRDefault="009834A8" w:rsidP="009834A8">
      <w:pPr>
        <w:widowControl w:val="0"/>
        <w:autoSpaceDE w:val="0"/>
        <w:autoSpaceDN w:val="0"/>
        <w:spacing w:after="120" w:line="240" w:lineRule="auto"/>
        <w:ind w:left="709" w:right="709"/>
        <w:jc w:val="both"/>
        <w:rPr>
          <w:rFonts w:ascii="Verdana" w:eastAsia="Calibri" w:hAnsi="Verdana" w:cs="Arial"/>
          <w:color w:val="000000"/>
          <w:sz w:val="20"/>
          <w:szCs w:val="20"/>
          <w:lang w:val="es-ES_tradnl" w:eastAsia="es-ES" w:bidi="es-ES"/>
        </w:rPr>
      </w:pPr>
      <w:r w:rsidRPr="00C568CF">
        <w:rPr>
          <w:rFonts w:ascii="Verdana" w:eastAsia="Calibri" w:hAnsi="Verdana" w:cs="Arial"/>
          <w:color w:val="000000"/>
          <w:sz w:val="20"/>
          <w:szCs w:val="20"/>
          <w:lang w:val="es-ES_tradnl" w:eastAsia="es-ES" w:bidi="es-ES"/>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p>
    <w:p w14:paraId="17C65755" w14:textId="77777777" w:rsidR="009834A8" w:rsidRPr="00C568CF" w:rsidRDefault="009834A8" w:rsidP="009834A8">
      <w:pPr>
        <w:widowControl w:val="0"/>
        <w:autoSpaceDE w:val="0"/>
        <w:autoSpaceDN w:val="0"/>
        <w:spacing w:before="120" w:after="0" w:line="240" w:lineRule="auto"/>
        <w:ind w:left="709" w:right="709"/>
        <w:jc w:val="both"/>
        <w:rPr>
          <w:rFonts w:ascii="Verdana" w:eastAsia="Calibri" w:hAnsi="Verdana" w:cs="Arial"/>
          <w:color w:val="000000"/>
          <w:sz w:val="20"/>
          <w:szCs w:val="20"/>
          <w:lang w:val="es-ES_tradnl" w:eastAsia="es-ES" w:bidi="es-ES"/>
        </w:rPr>
      </w:pPr>
      <w:r w:rsidRPr="00C568CF">
        <w:rPr>
          <w:rFonts w:ascii="Verdana" w:eastAsia="Calibri" w:hAnsi="Verdana" w:cs="Arial"/>
          <w:color w:val="000000"/>
          <w:sz w:val="20"/>
          <w:szCs w:val="20"/>
          <w:lang w:val="es-ES_tradnl" w:eastAsia="es-ES" w:bidi="es-ES"/>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C568CF">
        <w:rPr>
          <w:rFonts w:ascii="Verdana" w:eastAsia="Calibri" w:hAnsi="Verdana" w:cs="Arial"/>
          <w:color w:val="000000"/>
          <w:sz w:val="20"/>
          <w:szCs w:val="20"/>
          <w:vertAlign w:val="superscript"/>
          <w:lang w:val="es-ES_tradnl" w:eastAsia="es-ES" w:bidi="es-ES"/>
        </w:rPr>
        <w:footnoteReference w:id="5"/>
      </w:r>
      <w:r w:rsidRPr="00C568CF">
        <w:rPr>
          <w:rFonts w:ascii="Verdana" w:eastAsia="Calibri" w:hAnsi="Verdana" w:cs="Arial"/>
          <w:color w:val="000000"/>
          <w:sz w:val="20"/>
          <w:szCs w:val="20"/>
          <w:lang w:val="es-ES_tradnl" w:eastAsia="es-ES" w:bidi="es-ES"/>
        </w:rPr>
        <w:t xml:space="preserve">.  </w:t>
      </w:r>
    </w:p>
    <w:p w14:paraId="2F11109A" w14:textId="77777777" w:rsidR="009834A8" w:rsidRPr="00C568CF" w:rsidRDefault="009834A8" w:rsidP="009834A8">
      <w:pPr>
        <w:widowControl w:val="0"/>
        <w:autoSpaceDE w:val="0"/>
        <w:autoSpaceDN w:val="0"/>
        <w:spacing w:after="0" w:line="276" w:lineRule="auto"/>
        <w:ind w:left="709" w:right="709"/>
        <w:jc w:val="both"/>
        <w:rPr>
          <w:rFonts w:ascii="Verdana" w:eastAsia="Calibri" w:hAnsi="Verdana" w:cs="Arial"/>
          <w:color w:val="000000"/>
          <w:sz w:val="20"/>
          <w:szCs w:val="20"/>
          <w:lang w:val="es-ES_tradnl" w:eastAsia="es-ES" w:bidi="es-ES"/>
        </w:rPr>
      </w:pPr>
      <w:r w:rsidRPr="00C568CF">
        <w:rPr>
          <w:rFonts w:ascii="Verdana" w:eastAsia="Calibri" w:hAnsi="Verdana" w:cs="Arial"/>
          <w:color w:val="000000"/>
          <w:sz w:val="20"/>
          <w:szCs w:val="20"/>
          <w:lang w:val="es-ES_tradnl" w:eastAsia="es-ES" w:bidi="es-ES"/>
        </w:rPr>
        <w:t xml:space="preserve">    </w:t>
      </w:r>
    </w:p>
    <w:p w14:paraId="3CB6AAAE" w14:textId="77777777" w:rsidR="009834A8" w:rsidRDefault="009834A8" w:rsidP="009834A8">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bookmarkStart w:id="2" w:name="_Hlk35420344"/>
      <w:r w:rsidRPr="00EC5368">
        <w:rPr>
          <w:rFonts w:ascii="Verdana" w:eastAsia="Calibri" w:hAnsi="Verdana" w:cs="Arial"/>
          <w:color w:val="000000"/>
          <w:lang w:val="es-ES_tradnl" w:eastAsia="es-ES" w:bidi="es-ES"/>
        </w:rPr>
        <w:t xml:space="preserve">En </w:t>
      </w:r>
      <w:r w:rsidRPr="00EC5368">
        <w:rPr>
          <w:rFonts w:ascii="Verdana" w:eastAsia="Calibri" w:hAnsi="Verdana" w:cs="Arial"/>
          <w:i/>
          <w:iCs/>
          <w:color w:val="000000"/>
          <w:lang w:val="es-ES_tradnl" w:eastAsia="es-ES" w:bidi="es-ES"/>
        </w:rPr>
        <w:t>sentido amplio</w:t>
      </w:r>
      <w:r w:rsidRPr="00EC5368">
        <w:rPr>
          <w:rFonts w:ascii="Verdana" w:eastAsia="Calibri" w:hAnsi="Verdana" w:cs="Arial"/>
          <w:color w:val="000000"/>
          <w:lang w:val="es-ES_tradnl" w:eastAsia="es-ES" w:bidi="es-ES"/>
        </w:rPr>
        <w:t xml:space="preserve">, dado que la “obra” es un bien que crea la actividad humana, el hecho de que sea “pública” significa que es todo trabajo material en cuya creación o realización interviene el Estado. No obstante, </w:t>
      </w:r>
      <w:bookmarkStart w:id="3" w:name="_Hlk81428563"/>
      <w:r w:rsidRPr="00EC5368">
        <w:rPr>
          <w:rFonts w:ascii="Verdana" w:eastAsia="Calibri" w:hAnsi="Verdana" w:cs="Arial"/>
          <w:color w:val="000000"/>
          <w:lang w:val="es-ES_tradnl" w:eastAsia="es-ES" w:bidi="es-ES"/>
        </w:rPr>
        <w:t xml:space="preserve">el numeral 1 del artículo 32 de la Ley 80 de 1993 opta por un </w:t>
      </w:r>
      <w:r w:rsidRPr="00EC5368">
        <w:rPr>
          <w:rFonts w:ascii="Verdana" w:eastAsia="Calibri" w:hAnsi="Verdana" w:cs="Arial"/>
          <w:i/>
          <w:iCs/>
          <w:color w:val="000000"/>
          <w:lang w:val="es-ES_tradnl" w:eastAsia="es-ES" w:bidi="es-ES"/>
        </w:rPr>
        <w:t>sentido restringido</w:t>
      </w:r>
      <w:r w:rsidRPr="00EC5368">
        <w:rPr>
          <w:rFonts w:ascii="Verdana" w:eastAsia="Calibri" w:hAnsi="Verdana" w:cs="Arial"/>
          <w:color w:val="000000"/>
          <w:lang w:val="es-ES_tradnl" w:eastAsia="es-ES" w:bidi="es-ES"/>
        </w:rPr>
        <w:t xml:space="preserve">, al disponer que “Son contratos de obra los que celebren las entidades estatales para la </w:t>
      </w:r>
      <w:bookmarkStart w:id="4" w:name="_Hlk171668266"/>
      <w:r w:rsidRPr="00EC5368">
        <w:rPr>
          <w:rFonts w:ascii="Verdana" w:eastAsia="Calibri" w:hAnsi="Verdana" w:cs="Arial"/>
          <w:color w:val="000000"/>
          <w:lang w:val="es-ES_tradnl" w:eastAsia="es-ES" w:bidi="es-ES"/>
        </w:rPr>
        <w:t>construcción, mantenimiento, instalación</w:t>
      </w:r>
      <w:bookmarkEnd w:id="4"/>
      <w:r w:rsidRPr="00EC5368">
        <w:rPr>
          <w:rFonts w:ascii="Verdana" w:eastAsia="Calibri" w:hAnsi="Verdana" w:cs="Arial"/>
          <w:color w:val="000000"/>
          <w:lang w:val="es-ES_tradnl" w:eastAsia="es-ES" w:bidi="es-ES"/>
        </w:rPr>
        <w:t xml:space="preserve"> y, en general, para la realización de cualquier otro trabajo material sobre bienes inmuebles, </w:t>
      </w:r>
      <w:bookmarkStart w:id="5" w:name="_Hlk171667437"/>
      <w:r w:rsidRPr="00EC5368">
        <w:rPr>
          <w:rFonts w:ascii="Verdana" w:eastAsia="Calibri" w:hAnsi="Verdana" w:cs="Arial"/>
          <w:color w:val="000000"/>
          <w:lang w:val="es-ES_tradnl" w:eastAsia="es-ES" w:bidi="es-ES"/>
        </w:rPr>
        <w:t>cualquiera que sea la modalidad de ejecución y pago</w:t>
      </w:r>
      <w:bookmarkEnd w:id="5"/>
      <w:r w:rsidRPr="00EC5368">
        <w:rPr>
          <w:rFonts w:ascii="Verdana" w:eastAsia="Calibri" w:hAnsi="Verdana" w:cs="Arial"/>
          <w:color w:val="000000"/>
          <w:lang w:val="es-ES_tradnl" w:eastAsia="es-ES" w:bidi="es-ES"/>
        </w:rPr>
        <w:t xml:space="preserve">”, de manera que este tipo de contrato no aplica </w:t>
      </w:r>
      <w:r w:rsidRPr="00EC5368">
        <w:rPr>
          <w:rFonts w:ascii="Verdana" w:eastAsia="Calibri" w:hAnsi="Verdana" w:cs="Arial"/>
          <w:color w:val="000000"/>
          <w:lang w:val="es-ES_tradnl" w:eastAsia="es-ES" w:bidi="es-ES"/>
        </w:rPr>
        <w:lastRenderedPageBreak/>
        <w:t>a los trabajos materiales realizados sobre bienes muebles</w:t>
      </w:r>
      <w:r w:rsidRPr="008D191C">
        <w:rPr>
          <w:rFonts w:ascii="Verdana" w:eastAsia="Calibri" w:hAnsi="Verdana" w:cs="Arial"/>
          <w:color w:val="000000"/>
          <w:vertAlign w:val="superscript"/>
          <w:lang w:val="es-ES_tradnl" w:eastAsia="es-ES" w:bidi="es-ES"/>
        </w:rPr>
        <w:footnoteReference w:id="6"/>
      </w:r>
      <w:r w:rsidRPr="00EC5368">
        <w:rPr>
          <w:rFonts w:ascii="Verdana" w:eastAsia="Calibri" w:hAnsi="Verdana" w:cs="Arial"/>
          <w:color w:val="000000"/>
          <w:lang w:val="es-ES_tradnl" w:eastAsia="es-ES" w:bidi="es-ES"/>
        </w:rPr>
        <w:t xml:space="preserve">. </w:t>
      </w:r>
    </w:p>
    <w:p w14:paraId="46BE9AAB" w14:textId="77777777" w:rsidR="009834A8" w:rsidRPr="00EC5368" w:rsidRDefault="009834A8" w:rsidP="009834A8">
      <w:pPr>
        <w:widowControl w:val="0"/>
        <w:autoSpaceDE w:val="0"/>
        <w:autoSpaceDN w:val="0"/>
        <w:spacing w:after="0" w:line="276" w:lineRule="auto"/>
        <w:ind w:firstLine="708"/>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bookmarkEnd w:id="2"/>
      <w:bookmarkEnd w:id="3"/>
      <w:r w:rsidRPr="00EC5368">
        <w:rPr>
          <w:rFonts w:ascii="Verdana" w:eastAsia="Calibri" w:hAnsi="Verdana" w:cs="Arial"/>
          <w:color w:val="000000"/>
          <w:vertAlign w:val="superscript"/>
          <w:lang w:val="es-ES_tradnl" w:eastAsia="es-ES" w:bidi="es-ES"/>
        </w:rPr>
        <w:footnoteReference w:id="7"/>
      </w:r>
      <w:r w:rsidRPr="00EC5368">
        <w:rPr>
          <w:rFonts w:ascii="Verdana" w:eastAsia="Calibri" w:hAnsi="Verdana" w:cs="Arial"/>
          <w:color w:val="000000"/>
          <w:lang w:val="es-ES_tradnl" w:eastAsia="es-ES" w:bidi="es-ES"/>
        </w:rPr>
        <w:t>. De esta manera:</w:t>
      </w:r>
    </w:p>
    <w:p w14:paraId="19407A93" w14:textId="77777777" w:rsidR="009834A8" w:rsidRPr="00EC5368" w:rsidRDefault="009834A8" w:rsidP="009834A8">
      <w:pPr>
        <w:widowControl w:val="0"/>
        <w:autoSpaceDE w:val="0"/>
        <w:autoSpaceDN w:val="0"/>
        <w:spacing w:after="0" w:line="276" w:lineRule="auto"/>
        <w:ind w:firstLine="709"/>
        <w:jc w:val="both"/>
        <w:rPr>
          <w:rFonts w:ascii="Verdana" w:eastAsia="Calibri" w:hAnsi="Verdana" w:cs="Arial"/>
          <w:color w:val="000000"/>
          <w:lang w:val="es-ES_tradnl" w:eastAsia="es-ES" w:bidi="es-ES"/>
        </w:rPr>
      </w:pPr>
    </w:p>
    <w:p w14:paraId="59AB14D2" w14:textId="77777777" w:rsidR="009834A8" w:rsidRPr="00C568CF" w:rsidRDefault="009834A8" w:rsidP="009834A8">
      <w:pPr>
        <w:widowControl w:val="0"/>
        <w:autoSpaceDE w:val="0"/>
        <w:autoSpaceDN w:val="0"/>
        <w:spacing w:line="240" w:lineRule="auto"/>
        <w:ind w:left="709" w:right="709"/>
        <w:jc w:val="both"/>
        <w:rPr>
          <w:rFonts w:ascii="Verdana" w:eastAsia="Calibri" w:hAnsi="Verdana" w:cs="Arial"/>
          <w:color w:val="000000"/>
          <w:sz w:val="20"/>
          <w:szCs w:val="20"/>
          <w:lang w:val="es-ES_tradnl" w:eastAsia="es-ES" w:bidi="es-ES"/>
        </w:rPr>
      </w:pPr>
      <w:r w:rsidRPr="00C568CF">
        <w:rPr>
          <w:rFonts w:ascii="Verdana" w:eastAsia="Calibri" w:hAnsi="Verdana" w:cs="Arial"/>
          <w:color w:val="000000"/>
          <w:sz w:val="20"/>
          <w:szCs w:val="20"/>
          <w:lang w:val="es-ES_tradnl"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134A97B4" w14:textId="77777777" w:rsidR="009834A8" w:rsidRPr="00C568CF" w:rsidRDefault="009834A8" w:rsidP="009834A8">
      <w:pPr>
        <w:widowControl w:val="0"/>
        <w:autoSpaceDE w:val="0"/>
        <w:autoSpaceDN w:val="0"/>
        <w:spacing w:before="120" w:after="0" w:line="240" w:lineRule="auto"/>
        <w:ind w:left="709" w:right="709"/>
        <w:jc w:val="both"/>
        <w:rPr>
          <w:rFonts w:ascii="Verdana" w:eastAsia="Calibri" w:hAnsi="Verdana" w:cs="Arial"/>
          <w:color w:val="000000"/>
          <w:sz w:val="20"/>
          <w:szCs w:val="20"/>
          <w:lang w:val="es-ES_tradnl" w:eastAsia="es-ES" w:bidi="es-ES"/>
        </w:rPr>
      </w:pPr>
      <w:r w:rsidRPr="00C568CF">
        <w:rPr>
          <w:rFonts w:ascii="Verdana" w:eastAsia="Calibri" w:hAnsi="Verdana" w:cs="Arial"/>
          <w:color w:val="000000"/>
          <w:sz w:val="20"/>
          <w:szCs w:val="20"/>
          <w:lang w:val="es-ES_tradnl" w:eastAsia="es-ES" w:bidi="es-ES"/>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C568CF">
        <w:rPr>
          <w:rFonts w:ascii="Verdana" w:eastAsia="Calibri" w:hAnsi="Verdana" w:cs="Arial"/>
          <w:color w:val="000000"/>
          <w:sz w:val="20"/>
          <w:szCs w:val="20"/>
          <w:vertAlign w:val="superscript"/>
          <w:lang w:val="es-ES_tradnl" w:eastAsia="es-ES" w:bidi="es-ES"/>
        </w:rPr>
        <w:footnoteReference w:id="8"/>
      </w:r>
      <w:r w:rsidRPr="00C568CF">
        <w:rPr>
          <w:rFonts w:ascii="Verdana" w:eastAsia="Calibri" w:hAnsi="Verdana" w:cs="Arial"/>
          <w:color w:val="000000"/>
          <w:sz w:val="20"/>
          <w:szCs w:val="20"/>
          <w:lang w:val="es-ES_tradnl" w:eastAsia="es-ES" w:bidi="es-ES"/>
        </w:rPr>
        <w:t>.</w:t>
      </w:r>
    </w:p>
    <w:p w14:paraId="2FAA9EF2" w14:textId="77777777" w:rsidR="009834A8" w:rsidRPr="00EC5368" w:rsidRDefault="009834A8" w:rsidP="009834A8">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p>
    <w:p w14:paraId="3FA0797D" w14:textId="77777777" w:rsidR="009834A8" w:rsidRDefault="009834A8" w:rsidP="009834A8">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r w:rsidRPr="00EC5368">
        <w:rPr>
          <w:rFonts w:ascii="Verdana" w:eastAsia="Calibri" w:hAnsi="Verdana" w:cs="Arial"/>
          <w:color w:val="000000"/>
          <w:lang w:val="es-ES_tradnl" w:eastAsia="es-ES" w:bidi="es-ES"/>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w:t>
      </w:r>
    </w:p>
    <w:p w14:paraId="0A618682" w14:textId="77777777" w:rsidR="009834A8" w:rsidRDefault="009834A8" w:rsidP="009834A8">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r>
        <w:rPr>
          <w:rFonts w:ascii="Verdana" w:eastAsia="Calibri" w:hAnsi="Verdana" w:cs="Arial"/>
          <w:lang w:val="es-ES"/>
        </w:rPr>
        <w:t>D</w:t>
      </w:r>
      <w:r w:rsidRPr="7D35C63F">
        <w:rPr>
          <w:rFonts w:ascii="Verdana" w:eastAsia="Calibri" w:hAnsi="Verdana" w:cs="Arial"/>
          <w:lang w:val="es-ES"/>
        </w:rPr>
        <w:t xml:space="preserve">entro del </w:t>
      </w:r>
      <w:r>
        <w:rPr>
          <w:rFonts w:ascii="Verdana" w:eastAsia="Calibri" w:hAnsi="Verdana" w:cs="Arial"/>
          <w:lang w:val="es-ES"/>
        </w:rPr>
        <w:t>c</w:t>
      </w:r>
      <w:r w:rsidRPr="7D35C63F">
        <w:rPr>
          <w:rFonts w:ascii="Verdana" w:eastAsia="Calibri" w:hAnsi="Verdana" w:cs="Arial"/>
          <w:lang w:val="es-ES"/>
        </w:rPr>
        <w:t xml:space="preserve">ontrato de </w:t>
      </w:r>
      <w:r>
        <w:rPr>
          <w:rFonts w:ascii="Verdana" w:eastAsia="Calibri" w:hAnsi="Verdana" w:cs="Arial"/>
          <w:lang w:val="es-ES"/>
        </w:rPr>
        <w:t>o</w:t>
      </w:r>
      <w:r w:rsidRPr="7D35C63F">
        <w:rPr>
          <w:rFonts w:ascii="Verdana" w:eastAsia="Calibri" w:hAnsi="Verdana" w:cs="Arial"/>
          <w:lang w:val="es-ES"/>
        </w:rPr>
        <w:t xml:space="preserve">bra como tipo contractual regulado en el artículo 32 de la Ley 80 de 1993, existen diversos métodos para determinar </w:t>
      </w:r>
      <w:r>
        <w:rPr>
          <w:rFonts w:ascii="Verdana" w:eastAsia="Calibri" w:hAnsi="Verdana" w:cs="Arial"/>
          <w:lang w:val="es-ES"/>
        </w:rPr>
        <w:t xml:space="preserve">la </w:t>
      </w:r>
      <w:r w:rsidRPr="7D35C63F">
        <w:rPr>
          <w:rFonts w:ascii="Verdana" w:eastAsia="Calibri" w:hAnsi="Verdana" w:cs="Arial"/>
          <w:lang w:val="es-ES"/>
        </w:rPr>
        <w:t xml:space="preserve">forma de pago, que si bien no están contemplados de manera expresa en la Ley 80 de </w:t>
      </w:r>
      <w:r w:rsidRPr="7D35C63F">
        <w:rPr>
          <w:rFonts w:ascii="Verdana" w:eastAsia="Calibri" w:hAnsi="Verdana" w:cs="Arial"/>
          <w:lang w:val="es-ES"/>
        </w:rPr>
        <w:lastRenderedPageBreak/>
        <w:t xml:space="preserve">1993, pueden pactarse por las partes, teniendo en cuenta el artículo 40 de la Ley 80 de 1993 que dispone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 </w:t>
      </w:r>
    </w:p>
    <w:p w14:paraId="5A71D163" w14:textId="77777777" w:rsidR="009834A8" w:rsidRDefault="009834A8" w:rsidP="009834A8">
      <w:pPr>
        <w:widowControl w:val="0"/>
        <w:autoSpaceDE w:val="0"/>
        <w:autoSpaceDN w:val="0"/>
        <w:spacing w:after="120" w:line="276" w:lineRule="auto"/>
        <w:ind w:firstLine="709"/>
        <w:jc w:val="both"/>
        <w:rPr>
          <w:rStyle w:val="normaltextrun"/>
          <w:rFonts w:ascii="Verdana" w:hAnsi="Verdana" w:cs="Arial"/>
          <w:color w:val="000000"/>
          <w:shd w:val="clear" w:color="auto" w:fill="FFFFFF"/>
        </w:rPr>
      </w:pPr>
      <w:r>
        <w:rPr>
          <w:rStyle w:val="normaltextrun"/>
          <w:rFonts w:ascii="Verdana" w:hAnsi="Verdana" w:cs="Arial"/>
          <w:color w:val="000000"/>
          <w:shd w:val="clear" w:color="auto" w:fill="FFFFFF"/>
        </w:rPr>
        <w:t>En tal sentido, d</w:t>
      </w:r>
      <w:r w:rsidRPr="00AD0C22">
        <w:rPr>
          <w:rStyle w:val="normaltextrun"/>
          <w:rFonts w:ascii="Verdana" w:hAnsi="Verdana" w:cs="Arial"/>
          <w:color w:val="000000"/>
          <w:shd w:val="clear" w:color="auto" w:fill="FFFFFF"/>
        </w:rPr>
        <w:t xml:space="preserve">urante la ejecución se pueden </w:t>
      </w:r>
      <w:r>
        <w:rPr>
          <w:rStyle w:val="normaltextrun"/>
          <w:rFonts w:ascii="Verdana" w:hAnsi="Verdana" w:cs="Arial"/>
          <w:color w:val="000000"/>
          <w:shd w:val="clear" w:color="auto" w:fill="FFFFFF"/>
        </w:rPr>
        <w:t>generar</w:t>
      </w:r>
      <w:r w:rsidRPr="00AD0C22">
        <w:rPr>
          <w:rStyle w:val="normaltextrun"/>
          <w:rFonts w:ascii="Verdana" w:hAnsi="Verdana" w:cs="Arial"/>
          <w:color w:val="000000"/>
          <w:shd w:val="clear" w:color="auto" w:fill="FFFFFF"/>
        </w:rPr>
        <w:t xml:space="preserve"> ciert</w:t>
      </w:r>
      <w:r>
        <w:rPr>
          <w:rStyle w:val="normaltextrun"/>
          <w:rFonts w:ascii="Verdana" w:hAnsi="Verdana" w:cs="Arial"/>
          <w:color w:val="000000"/>
          <w:shd w:val="clear" w:color="auto" w:fill="FFFFFF"/>
        </w:rPr>
        <w:t>o</w:t>
      </w:r>
      <w:r w:rsidRPr="00AD0C22">
        <w:rPr>
          <w:rStyle w:val="normaltextrun"/>
          <w:rFonts w:ascii="Verdana" w:hAnsi="Verdana" w:cs="Arial"/>
          <w:color w:val="000000"/>
          <w:shd w:val="clear" w:color="auto" w:fill="FFFFFF"/>
        </w:rPr>
        <w:t>s</w:t>
      </w:r>
      <w:r>
        <w:rPr>
          <w:rStyle w:val="normaltextrun"/>
          <w:rFonts w:ascii="Verdana" w:hAnsi="Verdana" w:cs="Arial"/>
          <w:color w:val="000000"/>
          <w:shd w:val="clear" w:color="auto" w:fill="FFFFFF"/>
        </w:rPr>
        <w:t xml:space="preserve"> documentos en el que las partes consagran </w:t>
      </w:r>
      <w:r w:rsidRPr="00AD0C22">
        <w:rPr>
          <w:rFonts w:ascii="Verdana" w:eastAsia="Arial" w:hAnsi="Verdana" w:cs="Arial"/>
          <w:lang w:val="es-ES" w:eastAsia="es-ES" w:bidi="es-ES"/>
        </w:rPr>
        <w:t xml:space="preserve">diversas circunstancias que registran el progreso o </w:t>
      </w:r>
      <w:r>
        <w:rPr>
          <w:rFonts w:ascii="Verdana" w:eastAsia="Arial" w:hAnsi="Verdana" w:cs="Arial"/>
          <w:lang w:val="es-ES" w:eastAsia="es-ES" w:bidi="es-ES"/>
        </w:rPr>
        <w:t>desarrollo</w:t>
      </w:r>
      <w:r w:rsidRPr="00AD0C22">
        <w:rPr>
          <w:rFonts w:ascii="Verdana" w:eastAsia="Arial" w:hAnsi="Verdana" w:cs="Arial"/>
          <w:lang w:val="es-ES" w:eastAsia="es-ES" w:bidi="es-ES"/>
        </w:rPr>
        <w:t xml:space="preserve"> del contrato estatal</w:t>
      </w:r>
      <w:r>
        <w:rPr>
          <w:rFonts w:ascii="Verdana" w:eastAsia="Arial" w:hAnsi="Verdana" w:cs="Arial"/>
          <w:lang w:val="es-ES" w:eastAsia="es-ES" w:bidi="es-ES"/>
        </w:rPr>
        <w:t>, como son las actas parciales de obra. Estas actas</w:t>
      </w:r>
      <w:r w:rsidRPr="00AD0C22">
        <w:rPr>
          <w:rStyle w:val="normaltextrun"/>
          <w:rFonts w:ascii="Verdana" w:hAnsi="Verdana" w:cs="Arial"/>
          <w:color w:val="000000"/>
          <w:shd w:val="clear" w:color="auto" w:fill="FFFFFF"/>
        </w:rPr>
        <w:t xml:space="preserve"> se suscriben periódicamente en consideración a la naturaleza de tracto sucesivo de los contratos en el marco de cuya ejecución se genera y que además de constatar la ejecución parcial de las obligaciones del contrato, facilita el pago parcial de los mismos. Sobre el particular, el Consejo de Estado señaló lo siguiente:</w:t>
      </w:r>
    </w:p>
    <w:p w14:paraId="5B7AAA97" w14:textId="77777777" w:rsidR="009834A8" w:rsidRPr="00AD0C22" w:rsidRDefault="009834A8" w:rsidP="009834A8">
      <w:pPr>
        <w:widowControl w:val="0"/>
        <w:autoSpaceDE w:val="0"/>
        <w:autoSpaceDN w:val="0"/>
        <w:spacing w:after="0" w:line="276" w:lineRule="auto"/>
        <w:ind w:firstLine="709"/>
        <w:jc w:val="both"/>
        <w:rPr>
          <w:rStyle w:val="normaltextrun"/>
          <w:rFonts w:ascii="Verdana" w:hAnsi="Verdana" w:cs="Arial"/>
          <w:color w:val="000000"/>
          <w:shd w:val="clear" w:color="auto" w:fill="FFFFFF"/>
        </w:rPr>
      </w:pPr>
    </w:p>
    <w:p w14:paraId="0BEF44B7" w14:textId="77777777" w:rsidR="009834A8" w:rsidRDefault="009834A8" w:rsidP="009834A8">
      <w:pPr>
        <w:pStyle w:val="Sinespaciado"/>
        <w:ind w:left="709" w:right="709"/>
        <w:jc w:val="both"/>
        <w:rPr>
          <w:rFonts w:ascii="Verdana" w:hAnsi="Verdana" w:cs="Arial"/>
          <w:bCs/>
          <w:sz w:val="20"/>
          <w:szCs w:val="20"/>
          <w:lang w:val="es-ES"/>
        </w:rPr>
      </w:pPr>
      <w:r w:rsidRPr="00AD0C22">
        <w:rPr>
          <w:rFonts w:ascii="Verdana" w:hAnsi="Verdana" w:cs="Arial"/>
          <w:bCs/>
          <w:sz w:val="20"/>
          <w:szCs w:val="20"/>
          <w:lang w:val="es-ES"/>
        </w:rPr>
        <w:t>[…] En contratos de tracto sucesivo, en los que se pactan entregas periódicas de obras, bienes o servicios, se acuerde la elaboración de actas parciales de recibo cada cierto tiempo, que servirán como soporte para la elaboración de las respectivas cuentas de cobro y por lo tanto, constituyen uno de los requisitos acordados para su presentación, de tal manera que, dichas actas, representan cortes parciales de la ejecución del objeto contractual, que va avanzando conforme transcurre el plazo acordado y su finalidad básicamente es la de permitir el cálculo del avance de la ejecución en relación con lo pactado así como el valor de lo que se ejecutó en ese periodo de tiempo, para efectos de realizar el respectivo cobro parcial</w:t>
      </w:r>
      <w:r w:rsidRPr="00AD0C22">
        <w:rPr>
          <w:rStyle w:val="Refdenotaalpie"/>
          <w:rFonts w:ascii="Verdana" w:hAnsi="Verdana" w:cs="Arial"/>
          <w:bCs/>
          <w:sz w:val="20"/>
          <w:szCs w:val="20"/>
          <w:lang w:val="es-ES"/>
        </w:rPr>
        <w:footnoteReference w:id="9"/>
      </w:r>
      <w:r w:rsidRPr="00AD0C22">
        <w:rPr>
          <w:rFonts w:ascii="Verdana" w:hAnsi="Verdana" w:cs="Arial"/>
          <w:bCs/>
          <w:sz w:val="20"/>
          <w:szCs w:val="20"/>
          <w:lang w:val="es-ES"/>
        </w:rPr>
        <w:t>.</w:t>
      </w:r>
    </w:p>
    <w:p w14:paraId="752BDC7F" w14:textId="77777777" w:rsidR="009834A8" w:rsidRPr="00AD0C22" w:rsidRDefault="009834A8" w:rsidP="009834A8">
      <w:pPr>
        <w:pStyle w:val="Sinespaciado"/>
        <w:spacing w:line="276" w:lineRule="auto"/>
        <w:ind w:left="709" w:right="709"/>
        <w:jc w:val="both"/>
        <w:rPr>
          <w:rStyle w:val="normaltextrun"/>
          <w:rFonts w:ascii="Verdana" w:hAnsi="Verdana" w:cs="Arial"/>
          <w:color w:val="000000"/>
          <w:sz w:val="20"/>
          <w:szCs w:val="20"/>
          <w:shd w:val="clear" w:color="auto" w:fill="FFFFFF"/>
        </w:rPr>
      </w:pPr>
    </w:p>
    <w:p w14:paraId="2EB6E0EF" w14:textId="77777777" w:rsidR="009834A8" w:rsidRPr="00AD0C22" w:rsidRDefault="009834A8" w:rsidP="009834A8">
      <w:pPr>
        <w:widowControl w:val="0"/>
        <w:autoSpaceDE w:val="0"/>
        <w:autoSpaceDN w:val="0"/>
        <w:spacing w:before="93" w:after="120" w:line="276" w:lineRule="auto"/>
        <w:ind w:right="105" w:firstLine="709"/>
        <w:jc w:val="both"/>
        <w:rPr>
          <w:rFonts w:ascii="Verdana" w:hAnsi="Verdana" w:cs="Arial"/>
          <w:sz w:val="21"/>
          <w:szCs w:val="21"/>
        </w:rPr>
      </w:pPr>
      <w:r w:rsidRPr="00AD0C22">
        <w:rPr>
          <w:rFonts w:ascii="Verdana" w:eastAsia="Arial" w:hAnsi="Verdana" w:cs="Arial"/>
          <w:lang w:val="es-ES" w:eastAsia="es-ES" w:bidi="es-ES"/>
        </w:rPr>
        <w:t xml:space="preserve">Las actas parciales contienen la ejecución periódica de las actividades para cumplir el objeto contractual, y constituyen, como lo señala la sentencia precitada, cortes parciales de la ejecución del objeto contratado. Con estos documentos, se facilita el cálculo del avance de la ejecución de lo pactado en el contrato. Estos elementos accidentales del contrato no están regulados en la ley, por lo cual su configuración se sujeta al </w:t>
      </w:r>
      <w:r>
        <w:rPr>
          <w:rFonts w:ascii="Verdana" w:hAnsi="Verdana" w:cs="Arial"/>
          <w:i/>
          <w:iCs/>
          <w:sz w:val="21"/>
          <w:szCs w:val="21"/>
        </w:rPr>
        <w:t>“</w:t>
      </w:r>
      <w:r w:rsidRPr="00AD0C22">
        <w:rPr>
          <w:rFonts w:ascii="Verdana" w:eastAsia="Arial" w:hAnsi="Verdana" w:cs="Arial"/>
          <w:i/>
          <w:iCs/>
          <w:lang w:val="es-ES" w:eastAsia="es-ES" w:bidi="es-ES"/>
        </w:rPr>
        <w:t>libre acuerdo de voluntades de las partes</w:t>
      </w:r>
      <w:r w:rsidRPr="00AD0C22">
        <w:rPr>
          <w:rStyle w:val="Refdenotaalpie"/>
          <w:rFonts w:ascii="Verdana" w:eastAsia="Arial" w:hAnsi="Verdana" w:cs="Arial"/>
          <w:i/>
          <w:iCs/>
          <w:lang w:val="es-ES" w:eastAsia="es-ES" w:bidi="es-ES"/>
        </w:rPr>
        <w:footnoteReference w:id="10"/>
      </w:r>
      <w:r>
        <w:rPr>
          <w:rFonts w:ascii="Verdana" w:hAnsi="Verdana" w:cs="Arial"/>
          <w:i/>
          <w:iCs/>
          <w:sz w:val="21"/>
          <w:szCs w:val="21"/>
        </w:rPr>
        <w:t>”</w:t>
      </w:r>
      <w:r w:rsidRPr="00AD0C22">
        <w:rPr>
          <w:rFonts w:ascii="Verdana" w:hAnsi="Verdana" w:cs="Arial"/>
          <w:i/>
          <w:iCs/>
          <w:sz w:val="21"/>
          <w:szCs w:val="21"/>
        </w:rPr>
        <w:t>.</w:t>
      </w:r>
      <w:r w:rsidRPr="00AD0C22">
        <w:rPr>
          <w:rFonts w:ascii="Verdana" w:hAnsi="Verdana" w:cs="Arial"/>
          <w:sz w:val="21"/>
          <w:szCs w:val="21"/>
        </w:rPr>
        <w:t xml:space="preserve"> </w:t>
      </w:r>
    </w:p>
    <w:p w14:paraId="38E000C6" w14:textId="77777777" w:rsidR="009834A8" w:rsidRDefault="009834A8" w:rsidP="009834A8">
      <w:pPr>
        <w:spacing w:before="120" w:line="276" w:lineRule="auto"/>
        <w:ind w:firstLine="707"/>
        <w:jc w:val="both"/>
        <w:rPr>
          <w:rFonts w:ascii="Verdana" w:eastAsia="Calibri" w:hAnsi="Verdana" w:cs="Arial"/>
        </w:rPr>
      </w:pPr>
      <w:r>
        <w:rPr>
          <w:rFonts w:ascii="Verdana" w:eastAsia="Calibri" w:hAnsi="Verdana" w:cs="Arial"/>
        </w:rPr>
        <w:lastRenderedPageBreak/>
        <w:t xml:space="preserve">De esta manera, </w:t>
      </w:r>
      <w:r w:rsidRPr="003445D3">
        <w:rPr>
          <w:rFonts w:ascii="Verdana" w:eastAsia="Calibri" w:hAnsi="Verdana" w:cs="Arial"/>
        </w:rPr>
        <w:t>las actas parciales no tienen una regulación específica en el EGCAP</w:t>
      </w:r>
      <w:r>
        <w:rPr>
          <w:rFonts w:ascii="Verdana" w:eastAsia="Calibri" w:hAnsi="Verdana" w:cs="Arial"/>
        </w:rPr>
        <w:t xml:space="preserve"> y,</w:t>
      </w:r>
      <w:r w:rsidRPr="003445D3">
        <w:rPr>
          <w:rFonts w:ascii="Verdana" w:eastAsia="Calibri" w:hAnsi="Verdana" w:cs="Arial"/>
        </w:rPr>
        <w:t xml:space="preserve"> </w:t>
      </w:r>
      <w:r>
        <w:rPr>
          <w:rFonts w:ascii="Verdana" w:eastAsia="Calibri" w:hAnsi="Verdana" w:cs="Arial"/>
        </w:rPr>
        <w:t>p</w:t>
      </w:r>
      <w:r w:rsidRPr="003445D3">
        <w:rPr>
          <w:rFonts w:ascii="Verdana" w:eastAsia="Calibri" w:hAnsi="Verdana" w:cs="Arial"/>
        </w:rPr>
        <w:t>or ende, su contenido</w:t>
      </w:r>
      <w:r>
        <w:rPr>
          <w:rFonts w:ascii="Verdana" w:eastAsia="Calibri" w:hAnsi="Verdana" w:cs="Arial"/>
        </w:rPr>
        <w:t xml:space="preserve"> y forma se determinan en atención </w:t>
      </w:r>
      <w:r w:rsidRPr="003445D3">
        <w:rPr>
          <w:rFonts w:ascii="Verdana" w:eastAsia="Calibri" w:hAnsi="Verdana" w:cs="Arial"/>
        </w:rPr>
        <w:t xml:space="preserve">exclusiva </w:t>
      </w:r>
      <w:r>
        <w:rPr>
          <w:rFonts w:ascii="Verdana" w:eastAsia="Calibri" w:hAnsi="Verdana" w:cs="Arial"/>
        </w:rPr>
        <w:t xml:space="preserve">a lo </w:t>
      </w:r>
      <w:r w:rsidRPr="003445D3">
        <w:rPr>
          <w:rFonts w:ascii="Verdana" w:eastAsia="Calibri" w:hAnsi="Verdana" w:cs="Arial"/>
        </w:rPr>
        <w:t>consignado en el contrato. Est</w:t>
      </w:r>
      <w:r>
        <w:rPr>
          <w:rFonts w:ascii="Verdana" w:eastAsia="Calibri" w:hAnsi="Verdana" w:cs="Arial"/>
        </w:rPr>
        <w:t>o</w:t>
      </w:r>
      <w:r w:rsidRPr="003445D3">
        <w:rPr>
          <w:rFonts w:ascii="Verdana" w:eastAsia="Calibri" w:hAnsi="Verdana" w:cs="Arial"/>
        </w:rPr>
        <w:t xml:space="preserve"> implica que la administración y el contratista tienen la facultad de definir en el contrato</w:t>
      </w:r>
      <w:r>
        <w:rPr>
          <w:rFonts w:ascii="Verdana" w:eastAsia="Calibri" w:hAnsi="Verdana" w:cs="Arial"/>
        </w:rPr>
        <w:t xml:space="preserve"> </w:t>
      </w:r>
      <w:r w:rsidRPr="003445D3">
        <w:rPr>
          <w:rFonts w:ascii="Verdana" w:eastAsia="Calibri" w:hAnsi="Verdana" w:cs="Arial"/>
        </w:rPr>
        <w:t xml:space="preserve">las condiciones, periodicidad, mecanismos de aprobación y </w:t>
      </w:r>
      <w:r>
        <w:rPr>
          <w:rFonts w:ascii="Verdana" w:eastAsia="Calibri" w:hAnsi="Verdana" w:cs="Arial"/>
        </w:rPr>
        <w:t xml:space="preserve">pago, entre otros aspectos propios de las actas parciales de obra. </w:t>
      </w:r>
    </w:p>
    <w:p w14:paraId="048A7E81" w14:textId="77777777" w:rsidR="009834A8" w:rsidRDefault="009834A8" w:rsidP="009834A8">
      <w:pPr>
        <w:spacing w:before="120" w:line="276" w:lineRule="auto"/>
        <w:ind w:firstLine="707"/>
        <w:jc w:val="both"/>
        <w:rPr>
          <w:rFonts w:ascii="Verdana" w:eastAsia="Calibri" w:hAnsi="Verdana" w:cs="Arial"/>
        </w:rPr>
      </w:pPr>
      <w:r>
        <w:rPr>
          <w:rFonts w:ascii="Verdana" w:eastAsia="Calibri" w:hAnsi="Verdana" w:cs="Arial"/>
        </w:rPr>
        <w:t>En este contexto</w:t>
      </w:r>
      <w:r w:rsidRPr="00B87628">
        <w:rPr>
          <w:rFonts w:ascii="Verdana" w:eastAsia="Calibri" w:hAnsi="Verdana" w:cs="Arial"/>
        </w:rPr>
        <w:t>,</w:t>
      </w:r>
      <w:r>
        <w:rPr>
          <w:rFonts w:ascii="Verdana" w:eastAsia="Calibri" w:hAnsi="Verdana" w:cs="Arial"/>
        </w:rPr>
        <w:t xml:space="preserve"> se puede afirmar que</w:t>
      </w:r>
      <w:r w:rsidRPr="00B87628">
        <w:rPr>
          <w:rFonts w:ascii="Verdana" w:eastAsia="Calibri" w:hAnsi="Verdana" w:cs="Arial"/>
        </w:rPr>
        <w:t xml:space="preserve"> </w:t>
      </w:r>
      <w:r w:rsidRPr="00F6797D">
        <w:rPr>
          <w:rFonts w:ascii="Verdana" w:eastAsia="Calibri" w:hAnsi="Verdana" w:cs="Arial"/>
          <w:color w:val="000000" w:themeColor="text1"/>
        </w:rPr>
        <w:t xml:space="preserve">el Estatuto General de Contratación de la Administración Pública -EGCAP- no establece de manera expresa ni taxativa </w:t>
      </w:r>
      <w:r>
        <w:rPr>
          <w:rFonts w:ascii="Verdana" w:eastAsia="Calibri" w:hAnsi="Verdana" w:cs="Arial"/>
          <w:color w:val="000000" w:themeColor="text1"/>
        </w:rPr>
        <w:t xml:space="preserve">lo referente a las actas parciales de obras, así como tampoco </w:t>
      </w:r>
      <w:r w:rsidRPr="00F6797D">
        <w:rPr>
          <w:rFonts w:ascii="Verdana" w:eastAsia="Calibri" w:hAnsi="Verdana" w:cs="Arial"/>
          <w:color w:val="000000" w:themeColor="text1"/>
        </w:rPr>
        <w:t xml:space="preserve">las situaciones específicas en las que </w:t>
      </w:r>
      <w:r>
        <w:rPr>
          <w:rFonts w:ascii="Verdana" w:eastAsia="Calibri" w:hAnsi="Verdana" w:cs="Arial"/>
        </w:rPr>
        <w:t xml:space="preserve">se puedan </w:t>
      </w:r>
      <w:r w:rsidRPr="00B87628">
        <w:rPr>
          <w:rFonts w:ascii="Verdana" w:eastAsia="Calibri" w:hAnsi="Verdana" w:cs="Arial"/>
        </w:rPr>
        <w:t xml:space="preserve">realizar los pagos asociados a </w:t>
      </w:r>
      <w:r>
        <w:rPr>
          <w:rFonts w:ascii="Verdana" w:eastAsia="Calibri" w:hAnsi="Verdana" w:cs="Arial"/>
        </w:rPr>
        <w:t xml:space="preserve">estas </w:t>
      </w:r>
      <w:r w:rsidRPr="00B87628">
        <w:rPr>
          <w:rFonts w:ascii="Verdana" w:eastAsia="Calibri" w:hAnsi="Verdana" w:cs="Arial"/>
        </w:rPr>
        <w:t xml:space="preserve">actas con base en </w:t>
      </w:r>
      <w:r>
        <w:rPr>
          <w:rFonts w:ascii="Verdana" w:eastAsia="Calibri" w:hAnsi="Verdana" w:cs="Arial"/>
        </w:rPr>
        <w:t xml:space="preserve">una o varias </w:t>
      </w:r>
      <w:r w:rsidRPr="00B87628">
        <w:rPr>
          <w:rFonts w:ascii="Verdana" w:eastAsia="Calibri" w:hAnsi="Verdana" w:cs="Arial"/>
        </w:rPr>
        <w:t>fuente</w:t>
      </w:r>
      <w:r>
        <w:rPr>
          <w:rFonts w:ascii="Verdana" w:eastAsia="Calibri" w:hAnsi="Verdana" w:cs="Arial"/>
        </w:rPr>
        <w:t>s</w:t>
      </w:r>
      <w:r w:rsidRPr="00B87628">
        <w:rPr>
          <w:rFonts w:ascii="Verdana" w:eastAsia="Calibri" w:hAnsi="Verdana" w:cs="Arial"/>
        </w:rPr>
        <w:t xml:space="preserve"> específica</w:t>
      </w:r>
      <w:r>
        <w:rPr>
          <w:rFonts w:ascii="Verdana" w:eastAsia="Calibri" w:hAnsi="Verdana" w:cs="Arial"/>
        </w:rPr>
        <w:t>s</w:t>
      </w:r>
      <w:r w:rsidRPr="00B87628">
        <w:rPr>
          <w:rFonts w:ascii="Verdana" w:eastAsia="Calibri" w:hAnsi="Verdana" w:cs="Arial"/>
        </w:rPr>
        <w:t xml:space="preserve"> de financiación del contrato</w:t>
      </w:r>
      <w:r>
        <w:rPr>
          <w:rFonts w:ascii="Verdana" w:eastAsia="Calibri" w:hAnsi="Verdana" w:cs="Arial"/>
        </w:rPr>
        <w:t>.</w:t>
      </w:r>
      <w:r w:rsidRPr="00675432">
        <w:rPr>
          <w:rFonts w:ascii="Verdana" w:eastAsia="Calibri" w:hAnsi="Verdana" w:cs="Arial"/>
          <w:color w:val="000000" w:themeColor="text1"/>
        </w:rPr>
        <w:t xml:space="preserve"> </w:t>
      </w:r>
      <w:r w:rsidRPr="00F6797D">
        <w:rPr>
          <w:rFonts w:ascii="Verdana" w:eastAsia="Calibri" w:hAnsi="Verdana" w:cs="Arial"/>
          <w:color w:val="000000" w:themeColor="text1"/>
        </w:rPr>
        <w:t xml:space="preserve">En este sentido, la viabilidad de </w:t>
      </w:r>
      <w:r>
        <w:rPr>
          <w:rFonts w:ascii="Verdana" w:eastAsia="Calibri" w:hAnsi="Verdana" w:cs="Arial"/>
          <w:color w:val="000000" w:themeColor="text1"/>
        </w:rPr>
        <w:t xml:space="preserve">realizar estos pagos atendiendo a las distintas fuentes de los recursos </w:t>
      </w:r>
      <w:r w:rsidRPr="00F6797D">
        <w:rPr>
          <w:rFonts w:ascii="Verdana" w:eastAsia="Calibri" w:hAnsi="Verdana" w:cs="Arial"/>
          <w:color w:val="000000" w:themeColor="text1"/>
        </w:rPr>
        <w:t>depende del análisis conjunto de la naturaleza de la apropiación y su ejecución, así como de las normas presupuestales aplicables en cada caso particular</w:t>
      </w:r>
      <w:r>
        <w:rPr>
          <w:rFonts w:ascii="Verdana" w:eastAsia="Calibri" w:hAnsi="Verdana" w:cs="Arial"/>
          <w:color w:val="000000" w:themeColor="text1"/>
        </w:rPr>
        <w:t xml:space="preserve"> y a lo que </w:t>
      </w:r>
      <w:r w:rsidRPr="00B87628">
        <w:rPr>
          <w:rFonts w:ascii="Verdana" w:eastAsia="Calibri" w:hAnsi="Verdana" w:cs="Arial"/>
        </w:rPr>
        <w:t xml:space="preserve">las partes acuerden en el clausulado contractual. </w:t>
      </w:r>
    </w:p>
    <w:p w14:paraId="5023D4C8" w14:textId="77777777" w:rsidR="009834A8" w:rsidRDefault="009834A8" w:rsidP="009834A8">
      <w:pPr>
        <w:spacing w:before="120" w:line="276" w:lineRule="auto"/>
        <w:ind w:firstLine="707"/>
        <w:jc w:val="both"/>
        <w:rPr>
          <w:rFonts w:ascii="Verdana" w:eastAsia="Calibri" w:hAnsi="Verdana" w:cs="Arial"/>
        </w:rPr>
      </w:pPr>
      <w:r>
        <w:rPr>
          <w:rFonts w:ascii="Verdana" w:eastAsia="Calibri" w:hAnsi="Verdana" w:cs="Arial"/>
        </w:rPr>
        <w:t>Sobre este aspecto, vale la pena anotar q</w:t>
      </w:r>
      <w:r w:rsidRPr="00B87628">
        <w:rPr>
          <w:rFonts w:ascii="Verdana" w:eastAsia="Calibri" w:hAnsi="Verdana" w:cs="Arial"/>
        </w:rPr>
        <w:t xml:space="preserve">ue los contratos de obra pública pueden estar respaldados presupuestalmente por múltiples fuentes de financiación, lo cual refleja la concurrencia de recursos del sector público, tales como el Presupuesto General de la Nación (PGN), el Sistema General de Regalías (SGR), el Sistema General de Participaciones (SGP), recursos propios de la entidad contratante, </w:t>
      </w:r>
      <w:r>
        <w:rPr>
          <w:rFonts w:ascii="Verdana" w:eastAsia="Calibri" w:hAnsi="Verdana" w:cs="Arial"/>
        </w:rPr>
        <w:t>entre otros</w:t>
      </w:r>
      <w:r w:rsidRPr="00B87628">
        <w:rPr>
          <w:rFonts w:ascii="Verdana" w:eastAsia="Calibri" w:hAnsi="Verdana" w:cs="Arial"/>
        </w:rPr>
        <w:t>.</w:t>
      </w:r>
      <w:r>
        <w:rPr>
          <w:rFonts w:ascii="Verdana" w:eastAsia="Calibri" w:hAnsi="Verdana" w:cs="Arial"/>
        </w:rPr>
        <w:t xml:space="preserve"> </w:t>
      </w:r>
      <w:r w:rsidRPr="00BC1770">
        <w:rPr>
          <w:rFonts w:ascii="Verdana" w:eastAsia="Times New Roman" w:hAnsi="Verdana" w:cs="Arial"/>
          <w:color w:val="1A1A1A" w:themeColor="background1" w:themeShade="1A"/>
          <w:lang w:val="es-ES" w:eastAsia="es-ES_tradnl"/>
        </w:rPr>
        <w:t>Para la debida asignación</w:t>
      </w:r>
      <w:r>
        <w:rPr>
          <w:rFonts w:ascii="Verdana" w:eastAsia="Times New Roman" w:hAnsi="Verdana" w:cs="Arial"/>
          <w:color w:val="1A1A1A" w:themeColor="background1" w:themeShade="1A"/>
          <w:lang w:val="es-ES" w:eastAsia="es-ES_tradnl"/>
        </w:rPr>
        <w:t xml:space="preserve">, </w:t>
      </w:r>
      <w:r w:rsidRPr="00BC1770">
        <w:rPr>
          <w:rFonts w:ascii="Verdana" w:eastAsia="Times New Roman" w:hAnsi="Verdana" w:cs="Arial"/>
          <w:color w:val="1A1A1A" w:themeColor="background1" w:themeShade="1A"/>
          <w:lang w:val="es-ES" w:eastAsia="es-ES_tradnl"/>
        </w:rPr>
        <w:t xml:space="preserve">distribución </w:t>
      </w:r>
      <w:r>
        <w:rPr>
          <w:rFonts w:ascii="Verdana" w:eastAsia="Times New Roman" w:hAnsi="Verdana" w:cs="Arial"/>
          <w:color w:val="1A1A1A" w:themeColor="background1" w:themeShade="1A"/>
          <w:lang w:val="es-ES" w:eastAsia="es-ES_tradnl"/>
        </w:rPr>
        <w:t xml:space="preserve">y correcta ejecución </w:t>
      </w:r>
      <w:r w:rsidRPr="00BC1770">
        <w:rPr>
          <w:rFonts w:ascii="Verdana" w:eastAsia="Times New Roman" w:hAnsi="Verdana" w:cs="Arial"/>
          <w:color w:val="1A1A1A" w:themeColor="background1" w:themeShade="1A"/>
          <w:lang w:val="es-ES" w:eastAsia="es-ES_tradnl"/>
        </w:rPr>
        <w:t>de los recursos públicos, las Entidades deben cumplir los procedimientos señalados en las normas, observando la regulación presupuestal donde se establecen diferentes requisitos que comportan deberes ineludibles que tienen como finalidad el control del gasto</w:t>
      </w:r>
      <w:r>
        <w:rPr>
          <w:rFonts w:ascii="Verdana" w:eastAsia="Times New Roman" w:hAnsi="Verdana" w:cs="Arial"/>
          <w:color w:val="1A1A1A" w:themeColor="background1" w:themeShade="1A"/>
          <w:lang w:val="es-ES" w:eastAsia="es-ES_tradnl"/>
        </w:rPr>
        <w:t xml:space="preserve">. </w:t>
      </w:r>
    </w:p>
    <w:p w14:paraId="09A6E629" w14:textId="77777777" w:rsidR="009834A8" w:rsidRPr="00B87628" w:rsidRDefault="009834A8" w:rsidP="009834A8">
      <w:pPr>
        <w:spacing w:before="120" w:line="276" w:lineRule="auto"/>
        <w:ind w:firstLine="707"/>
        <w:jc w:val="both"/>
        <w:rPr>
          <w:rFonts w:ascii="Verdana" w:eastAsia="Calibri" w:hAnsi="Verdana" w:cs="Arial"/>
        </w:rPr>
      </w:pPr>
      <w:r>
        <w:rPr>
          <w:rFonts w:ascii="Verdana" w:eastAsia="Calibri" w:hAnsi="Verdana" w:cs="Arial"/>
        </w:rPr>
        <w:t>De esta forma, c</w:t>
      </w:r>
      <w:r w:rsidRPr="00B87628">
        <w:rPr>
          <w:rFonts w:ascii="Verdana" w:eastAsia="Calibri" w:hAnsi="Verdana" w:cs="Arial"/>
        </w:rPr>
        <w:t>uando concurren diversas fuentes de financiación</w:t>
      </w:r>
      <w:r>
        <w:rPr>
          <w:rFonts w:ascii="Verdana" w:eastAsia="Calibri" w:hAnsi="Verdana" w:cs="Arial"/>
        </w:rPr>
        <w:t xml:space="preserve"> en un contrato de obra</w:t>
      </w:r>
      <w:r w:rsidRPr="00B87628">
        <w:rPr>
          <w:rFonts w:ascii="Verdana" w:eastAsia="Calibri" w:hAnsi="Verdana" w:cs="Arial"/>
        </w:rPr>
        <w:t xml:space="preserve">, </w:t>
      </w:r>
      <w:r>
        <w:rPr>
          <w:rFonts w:ascii="Verdana" w:eastAsia="Calibri" w:hAnsi="Verdana" w:cs="Arial"/>
        </w:rPr>
        <w:t xml:space="preserve">es recomendable </w:t>
      </w:r>
      <w:r w:rsidRPr="00B87628">
        <w:rPr>
          <w:rFonts w:ascii="Verdana" w:eastAsia="Calibri" w:hAnsi="Verdana" w:cs="Arial"/>
        </w:rPr>
        <w:t xml:space="preserve">que las partes definan expresamente en </w:t>
      </w:r>
      <w:r>
        <w:rPr>
          <w:rFonts w:ascii="Verdana" w:eastAsia="Calibri" w:hAnsi="Verdana" w:cs="Arial"/>
        </w:rPr>
        <w:t xml:space="preserve">este </w:t>
      </w:r>
      <w:r w:rsidRPr="00B87628">
        <w:rPr>
          <w:rFonts w:ascii="Verdana" w:eastAsia="Calibri" w:hAnsi="Verdana" w:cs="Arial"/>
        </w:rPr>
        <w:t xml:space="preserve">cómo se aplicarán dichas fuentes al momento de ejecutar los pagos parciales, con el fin de garantizar la trazabilidad del gasto público, la adecuada imputación presupuestal y la observancia de los procedimientos administrativos y financieros propios de cada fuente. Esto incluye aspectos como los requisitos documentales, los tiempos de aprobación, la disponibilidad de los recursos y los trámites ante los órganos </w:t>
      </w:r>
      <w:r>
        <w:rPr>
          <w:rFonts w:ascii="Verdana" w:eastAsia="Calibri" w:hAnsi="Verdana" w:cs="Arial"/>
        </w:rPr>
        <w:t xml:space="preserve">respectivos, si es del caso, etc. </w:t>
      </w:r>
    </w:p>
    <w:p w14:paraId="62D85CC7" w14:textId="77777777" w:rsidR="009834A8" w:rsidRPr="009C66F4" w:rsidRDefault="009834A8" w:rsidP="009834A8">
      <w:pPr>
        <w:tabs>
          <w:tab w:val="left" w:pos="3228"/>
        </w:tabs>
        <w:spacing w:before="120" w:line="276" w:lineRule="auto"/>
        <w:ind w:firstLine="707"/>
        <w:jc w:val="both"/>
        <w:rPr>
          <w:rFonts w:ascii="Verdana" w:eastAsia="Calibri" w:hAnsi="Verdana" w:cs="Arial"/>
        </w:rPr>
      </w:pPr>
      <w:r>
        <w:rPr>
          <w:rFonts w:ascii="Verdana" w:eastAsia="Calibri" w:hAnsi="Verdana" w:cs="Arial"/>
        </w:rPr>
        <w:t>Así las cosas, teniendo en cuenta</w:t>
      </w:r>
      <w:r w:rsidRPr="009C66F4">
        <w:rPr>
          <w:rFonts w:ascii="Verdana" w:eastAsia="Calibri" w:hAnsi="Verdana" w:cs="Arial"/>
        </w:rPr>
        <w:t xml:space="preserve"> que no existe una</w:t>
      </w:r>
      <w:r>
        <w:rPr>
          <w:rFonts w:ascii="Verdana" w:eastAsia="Calibri" w:hAnsi="Verdana" w:cs="Arial"/>
        </w:rPr>
        <w:t xml:space="preserve"> regulación ni una</w:t>
      </w:r>
      <w:r w:rsidRPr="009C66F4">
        <w:rPr>
          <w:rFonts w:ascii="Verdana" w:eastAsia="Calibri" w:hAnsi="Verdana" w:cs="Arial"/>
        </w:rPr>
        <w:t xml:space="preserve"> prohibición expresa en el EGCAP respecto del pago de actas parciales de obra </w:t>
      </w:r>
      <w:r w:rsidRPr="009C66F4">
        <w:rPr>
          <w:rFonts w:ascii="Verdana" w:eastAsia="Calibri" w:hAnsi="Verdana" w:cs="Arial"/>
        </w:rPr>
        <w:lastRenderedPageBreak/>
        <w:t>con cargo a diversas fuentes de financiación, y en virtud del principio de autonomía de la voluntad contractual, se entiende que las partes están facultadas para definir estas condiciones en el clausulado del contrato. No obstante, en ausencia de una estipulación contractual expresa y detallada sobre este aspecto, la ejecución de los pagos parciales deberá ajustarse a los procedimientos administrativos y operativos internos de la entidad, así como a aquellos aplicables a cada fuente de financiación, en atención a los requisitos, lineamientos y restricciones emitidos por las autoridades competentes en materia presupuestal</w:t>
      </w:r>
      <w:r>
        <w:rPr>
          <w:rFonts w:ascii="Verdana" w:eastAsia="Calibri" w:hAnsi="Verdana" w:cs="Arial"/>
        </w:rPr>
        <w:t xml:space="preserve">. </w:t>
      </w:r>
    </w:p>
    <w:p w14:paraId="216C2CBD" w14:textId="77777777" w:rsidR="009834A8" w:rsidRPr="007A60E6" w:rsidRDefault="009834A8" w:rsidP="009834A8">
      <w:pPr>
        <w:spacing w:after="120" w:line="276" w:lineRule="auto"/>
        <w:ind w:firstLine="709"/>
        <w:jc w:val="both"/>
        <w:rPr>
          <w:rFonts w:ascii="Verdana" w:hAnsi="Verdana" w:cs="Arial"/>
        </w:rPr>
      </w:pPr>
      <w:r>
        <w:rPr>
          <w:rFonts w:ascii="Verdana" w:eastAsia="Calibri" w:hAnsi="Verdana" w:cs="Arial"/>
        </w:rPr>
        <w:t>Particularmente, en relación con la ejecución de recursos del Sistema General de Regalías, el artículo 37 de la Ley 2056 de 2020</w:t>
      </w:r>
      <w:r w:rsidRPr="007A60E6">
        <w:rPr>
          <w:rFonts w:ascii="Verdana" w:hAnsi="Verdana" w:cs="Arial"/>
          <w:noProof/>
        </w:rPr>
        <w:t xml:space="preserve"> </w:t>
      </w:r>
      <w:r w:rsidRPr="007A60E6">
        <w:rPr>
          <w:rFonts w:ascii="Verdana" w:hAnsi="Verdana" w:cs="Arial"/>
        </w:rPr>
        <w:t xml:space="preserve">dispone que los proyectos de inversión que se financien con cargo al Sistema General de Regalías serán ejecutados por quien designe las entidades u órganos de que tratan los artículos 35 y 36 </w:t>
      </w:r>
      <w:r w:rsidRPr="007A60E6">
        <w:rPr>
          <w:rFonts w:ascii="Verdana" w:hAnsi="Verdana" w:cs="Arial"/>
          <w:i/>
          <w:iCs/>
        </w:rPr>
        <w:t>ibidem</w:t>
      </w:r>
      <w:r w:rsidRPr="007A60E6">
        <w:rPr>
          <w:rFonts w:ascii="Verdana" w:hAnsi="Verdana" w:cs="Arial"/>
        </w:rPr>
        <w:t xml:space="preserve">. También agrega que la entidad pública ejecutora tiene el deber de adelantar la contratación de la interventoría, de conformidad con lo previsto en la presente ley. Las entidades ejecutoras de recursos del Sistema son responsables de suministrar de forma veraz, oportuna e idónea, la información de la gestión de los proyectos que se requiera e implementar las actuaciones pertinentes para encauzar el desempeño de los proyectos de inversión y decidir, de manera motivada, sobre la continuidad de </w:t>
      </w:r>
      <w:proofErr w:type="gramStart"/>
      <w:r w:rsidRPr="007A60E6">
        <w:rPr>
          <w:rFonts w:ascii="Verdana" w:hAnsi="Verdana" w:cs="Arial"/>
        </w:rPr>
        <w:t>los mismos</w:t>
      </w:r>
      <w:proofErr w:type="gramEnd"/>
      <w:r w:rsidRPr="007A60E6">
        <w:rPr>
          <w:rFonts w:ascii="Verdana" w:hAnsi="Verdana" w:cs="Arial"/>
        </w:rPr>
        <w:t xml:space="preserve">, sin perjuicio de las acciones de control a las que haya lugar. </w:t>
      </w:r>
    </w:p>
    <w:p w14:paraId="4DFD1E75" w14:textId="77777777" w:rsidR="009834A8" w:rsidRDefault="009834A8" w:rsidP="009834A8">
      <w:pPr>
        <w:spacing w:before="120" w:line="276" w:lineRule="auto"/>
        <w:ind w:firstLine="707"/>
        <w:jc w:val="both"/>
        <w:rPr>
          <w:rFonts w:ascii="Verdana" w:hAnsi="Verdana" w:cs="Arial"/>
          <w:noProof/>
        </w:rPr>
      </w:pPr>
      <w:r w:rsidRPr="007A60E6">
        <w:rPr>
          <w:rFonts w:ascii="Verdana" w:hAnsi="Verdana" w:cs="Arial"/>
        </w:rPr>
        <w:t xml:space="preserve">El parágrafo primero del artículo 37 </w:t>
      </w:r>
      <w:r w:rsidRPr="007A60E6">
        <w:rPr>
          <w:rFonts w:ascii="Verdana" w:hAnsi="Verdana" w:cs="Arial"/>
          <w:i/>
          <w:iCs/>
        </w:rPr>
        <w:t>ibidem</w:t>
      </w:r>
      <w:r w:rsidRPr="007A60E6">
        <w:rPr>
          <w:rFonts w:ascii="Verdana" w:hAnsi="Verdana" w:cs="Arial"/>
        </w:rPr>
        <w:t xml:space="preserve"> dispone lo siguiente: “La ejecución de proyectos de que trata este artículo, se adelantará, con estricta sujeción al régimen presupuestal definido en esta ley, </w:t>
      </w:r>
      <w:r w:rsidRPr="00373299">
        <w:rPr>
          <w:rFonts w:ascii="Verdana" w:hAnsi="Verdana" w:cs="Arial"/>
        </w:rPr>
        <w:t xml:space="preserve">al de contratación pública </w:t>
      </w:r>
      <w:r w:rsidRPr="007A60E6">
        <w:rPr>
          <w:rFonts w:ascii="Verdana" w:hAnsi="Verdana" w:cs="Arial"/>
        </w:rPr>
        <w:t>y las demás normas legales vigentes. El ejecutor garantizará la correcta ejecución de los recursos asignados al proyecto de inversión, así como el suministro y registro de la información requerida por el sistema de seguimiento, evaluación y control”</w:t>
      </w:r>
      <w:r w:rsidRPr="007A60E6">
        <w:rPr>
          <w:rFonts w:ascii="Verdana" w:hAnsi="Verdana" w:cs="Arial"/>
          <w:vertAlign w:val="superscript"/>
        </w:rPr>
        <w:footnoteReference w:id="11"/>
      </w:r>
      <w:r w:rsidRPr="007A60E6">
        <w:rPr>
          <w:rFonts w:ascii="Verdana" w:hAnsi="Verdana" w:cs="Arial"/>
        </w:rPr>
        <w:t>.</w:t>
      </w:r>
      <w:r w:rsidRPr="007A60E6">
        <w:rPr>
          <w:rFonts w:ascii="Verdana" w:hAnsi="Verdana" w:cs="Arial"/>
          <w:noProof/>
        </w:rPr>
        <w:t xml:space="preserve"> A partir de esta norma, el ejercutor de los proyectos de </w:t>
      </w:r>
      <w:r w:rsidRPr="007A60E6">
        <w:rPr>
          <w:rFonts w:ascii="Verdana" w:hAnsi="Verdana" w:cs="Arial"/>
          <w:noProof/>
        </w:rPr>
        <w:lastRenderedPageBreak/>
        <w:t>inversion en el SGR debe sujetarse a</w:t>
      </w:r>
      <w:r>
        <w:rPr>
          <w:rFonts w:ascii="Verdana" w:hAnsi="Verdana" w:cs="Arial"/>
          <w:noProof/>
        </w:rPr>
        <w:t>l regimen presupuestal previsto en dicha ley y a</w:t>
      </w:r>
      <w:r w:rsidRPr="007A60E6">
        <w:rPr>
          <w:rFonts w:ascii="Verdana" w:hAnsi="Verdana" w:cs="Arial"/>
          <w:noProof/>
        </w:rPr>
        <w:t xml:space="preserve"> las reglas de contratación pública</w:t>
      </w:r>
      <w:r>
        <w:rPr>
          <w:rFonts w:ascii="Verdana" w:hAnsi="Verdana" w:cs="Arial"/>
          <w:noProof/>
        </w:rPr>
        <w:t>, esto es, a las prescripciones del EGCAP.</w:t>
      </w:r>
    </w:p>
    <w:p w14:paraId="02865981" w14:textId="77777777" w:rsidR="009834A8" w:rsidRDefault="009834A8" w:rsidP="009834A8">
      <w:pPr>
        <w:spacing w:before="120" w:line="276" w:lineRule="auto"/>
        <w:ind w:firstLine="707"/>
        <w:jc w:val="both"/>
        <w:rPr>
          <w:rFonts w:ascii="Verdana" w:hAnsi="Verdana" w:cs="Arial"/>
          <w:noProof/>
        </w:rPr>
      </w:pPr>
      <w:r>
        <w:rPr>
          <w:rFonts w:ascii="Verdana" w:hAnsi="Verdana" w:cs="Arial"/>
          <w:noProof/>
        </w:rPr>
        <w:t xml:space="preserve">Por consiguiente, si el contrato de obra tiene dentro de sus fuentes de financiación recursos del SGR, el ejecutor del proyecto debe sujetarse al regimen presupuestal dispuesto en la Ley 2056 de 2020, en donde se establece, entre otros aspectos, que deberá </w:t>
      </w:r>
      <w:r w:rsidRPr="00CF222C">
        <w:rPr>
          <w:rFonts w:ascii="Verdana" w:hAnsi="Verdana" w:cs="Arial"/>
          <w:noProof/>
        </w:rPr>
        <w:t>hacer uso del Sistema de Presupuesto y Giro de Regalías (SPGR) para realizar la gestión de ejecución de estos recursos y ordenar el pago de las obligaciones legalmente adquiridas directamente desde la cuenta única del Sistema General de Regalías a las cuentas bancarias de los destinatarios finales</w:t>
      </w:r>
      <w:r>
        <w:rPr>
          <w:rStyle w:val="Refdenotaalpie"/>
          <w:rFonts w:ascii="Verdana" w:hAnsi="Verdana" w:cs="Arial"/>
          <w:noProof/>
        </w:rPr>
        <w:footnoteReference w:id="12"/>
      </w:r>
      <w:r w:rsidRPr="00CF222C">
        <w:rPr>
          <w:rFonts w:ascii="Verdana" w:hAnsi="Verdana" w:cs="Arial"/>
          <w:noProof/>
        </w:rPr>
        <w:t>.</w:t>
      </w:r>
      <w:r>
        <w:rPr>
          <w:rFonts w:ascii="Verdana" w:hAnsi="Verdana" w:cs="Arial"/>
          <w:noProof/>
        </w:rPr>
        <w:t xml:space="preserve"> </w:t>
      </w:r>
    </w:p>
    <w:p w14:paraId="77246C06" w14:textId="77777777" w:rsidR="009834A8" w:rsidRDefault="009834A8" w:rsidP="009834A8">
      <w:pPr>
        <w:spacing w:before="120" w:line="276" w:lineRule="auto"/>
        <w:ind w:firstLine="707"/>
        <w:jc w:val="both"/>
        <w:rPr>
          <w:rFonts w:ascii="Verdana" w:hAnsi="Verdana" w:cs="Arial"/>
          <w:noProof/>
        </w:rPr>
      </w:pPr>
      <w:r>
        <w:rPr>
          <w:rFonts w:ascii="Verdana" w:hAnsi="Verdana" w:cs="Arial"/>
          <w:noProof/>
        </w:rPr>
        <w:t>E</w:t>
      </w:r>
      <w:r w:rsidRPr="00685E8D">
        <w:rPr>
          <w:rFonts w:ascii="Verdana" w:hAnsi="Verdana" w:cs="Arial"/>
          <w:noProof/>
        </w:rPr>
        <w:t xml:space="preserve">n consecuencia, los requisitos presupuestales y procedimentales aplicables a determinadas fuentes de financiación deben ser considerados en la estructuración contractual, con el fin de garantizar la viabilidad del pago de los avances de obra. Por ello, </w:t>
      </w:r>
      <w:r>
        <w:rPr>
          <w:rFonts w:ascii="Verdana" w:hAnsi="Verdana" w:cs="Arial"/>
          <w:noProof/>
        </w:rPr>
        <w:t xml:space="preserve">lo recomendable es que </w:t>
      </w:r>
      <w:r w:rsidRPr="00685E8D">
        <w:rPr>
          <w:rFonts w:ascii="Verdana" w:hAnsi="Verdana" w:cs="Arial"/>
          <w:noProof/>
        </w:rPr>
        <w:t>el contrato contempl</w:t>
      </w:r>
      <w:r>
        <w:rPr>
          <w:rFonts w:ascii="Verdana" w:hAnsi="Verdana" w:cs="Arial"/>
          <w:noProof/>
        </w:rPr>
        <w:t>e</w:t>
      </w:r>
      <w:r w:rsidRPr="00685E8D">
        <w:rPr>
          <w:rFonts w:ascii="Verdana" w:hAnsi="Verdana" w:cs="Arial"/>
          <w:noProof/>
        </w:rPr>
        <w:t xml:space="preserve"> de manera clara y detallada aspectos como el procedimiento para la elaboración y aprobación de las actas parciales, las condiciones para su reconocimiento y los plazos en los que se efectuará el pago correspondiente. En todo caso, la entidad contratante está obligada a cumplir los términos de pago pactados</w:t>
      </w:r>
      <w:r>
        <w:rPr>
          <w:rFonts w:ascii="Verdana" w:hAnsi="Verdana" w:cs="Arial"/>
          <w:noProof/>
        </w:rPr>
        <w:t xml:space="preserve"> </w:t>
      </w:r>
      <w:r w:rsidRPr="00685E8D">
        <w:rPr>
          <w:rFonts w:ascii="Verdana" w:hAnsi="Verdana" w:cs="Arial"/>
          <w:noProof/>
        </w:rPr>
        <w:t>a fin de evitar controversias derivadas de posibles retrasos o incumplimientos, los cuales podrían dar lugar a reclamaciones judiciales por parte del contratista.</w:t>
      </w:r>
    </w:p>
    <w:p w14:paraId="4B510AEE" w14:textId="77777777" w:rsidR="009834A8" w:rsidRDefault="009834A8" w:rsidP="009834A8">
      <w:pPr>
        <w:spacing w:before="120" w:line="276" w:lineRule="auto"/>
        <w:ind w:firstLine="707"/>
        <w:jc w:val="both"/>
        <w:rPr>
          <w:rFonts w:ascii="Verdana" w:eastAsia="Calibri" w:hAnsi="Verdana" w:cs="Arial"/>
          <w:lang w:val="es-ES_tradnl"/>
        </w:rPr>
      </w:pPr>
      <w:r>
        <w:rPr>
          <w:rFonts w:ascii="Verdana" w:hAnsi="Verdana" w:cs="Arial"/>
          <w:noProof/>
        </w:rPr>
        <w:lastRenderedPageBreak/>
        <w:t xml:space="preserve">Bajo este contexto, no se evidencia en la Ley 2056 de 2020 disposiciones que regulen el contenido de las actas parciales de obra o la viabilidad o prohobición de pagos de dichas actas dependiendo de la fuente de financiación de recursos. Sin embargo, </w:t>
      </w:r>
      <w:r w:rsidRPr="00B56BD0">
        <w:rPr>
          <w:rFonts w:ascii="Verdana" w:hAnsi="Verdana" w:cs="Arial"/>
          <w:lang w:eastAsia="es-ES"/>
        </w:rPr>
        <w:t xml:space="preserve">debe advertirse que el llamado a emitir lineamientos respecto a </w:t>
      </w:r>
      <w:r w:rsidRPr="00B56BD0">
        <w:rPr>
          <w:rFonts w:ascii="Verdana" w:eastAsia="Calibri" w:hAnsi="Verdana" w:cs="Arial"/>
          <w:bCs/>
          <w:color w:val="000000" w:themeColor="text1"/>
        </w:rPr>
        <w:t>los proyectos adelantados con cargo al Sistema General de Regalías</w:t>
      </w:r>
      <w:r w:rsidRPr="00B56BD0">
        <w:rPr>
          <w:rFonts w:ascii="Verdana" w:hAnsi="Verdana" w:cs="Arial"/>
          <w:lang w:eastAsia="es-ES"/>
        </w:rPr>
        <w:t xml:space="preserve"> debe ser realizado por el Departamento Nacional de Planeación</w:t>
      </w:r>
      <w:r w:rsidRPr="00B56BD0">
        <w:rPr>
          <w:rFonts w:ascii="Verdana" w:eastAsia="Calibri" w:hAnsi="Verdana" w:cs="Arial"/>
          <w:color w:val="000000"/>
          <w:lang w:val="es-ES" w:eastAsia="es-ES"/>
        </w:rPr>
        <w:t xml:space="preserve">, el cual tiene a su cargo el deber de </w:t>
      </w:r>
      <w:r w:rsidRPr="00B56BD0">
        <w:rPr>
          <w:rFonts w:ascii="Verdana" w:eastAsia="Calibri" w:hAnsi="Verdana" w:cs="Arial"/>
          <w:color w:val="000000"/>
          <w:lang w:eastAsia="es-ES"/>
        </w:rPr>
        <w:t xml:space="preserve">impartir las directrices jurídicas y adoptar los instrumentos para la interpretación y aplicación de las normas por parte de las dependencias y demás organismos y entidades del Estado y de establecer criterios de interpretación legal de última instancia, así como fijar la posición jurídica institucional del Departamento Nacional de Planeación y de las normas legales relacionadas con el Sistema General de Regalías, de </w:t>
      </w:r>
      <w:r w:rsidRPr="00B56BD0">
        <w:rPr>
          <w:rFonts w:ascii="Verdana" w:eastAsia="Calibri" w:hAnsi="Verdana" w:cs="Arial"/>
          <w:color w:val="000000"/>
          <w:lang w:val="es-ES" w:eastAsia="es-ES"/>
        </w:rPr>
        <w:t>conformidad con lo señalado en los numeral 2 y 3 del artículo 8 del Decreto 1893 de 2021.</w:t>
      </w:r>
    </w:p>
    <w:p w14:paraId="7F1D3AD4" w14:textId="77777777" w:rsidR="009834A8" w:rsidRDefault="009834A8" w:rsidP="009834A8">
      <w:pPr>
        <w:spacing w:before="120" w:line="276" w:lineRule="auto"/>
        <w:ind w:firstLine="707"/>
        <w:jc w:val="both"/>
        <w:rPr>
          <w:rFonts w:ascii="Verdana" w:hAnsi="Verdana" w:cs="Arial"/>
          <w:noProof/>
        </w:rPr>
      </w:pPr>
      <w:r>
        <w:rPr>
          <w:rFonts w:ascii="Verdana" w:hAnsi="Verdana" w:cs="Arial"/>
          <w:noProof/>
        </w:rPr>
        <w:t xml:space="preserve">Por otro lado, en relación con la consulta </w:t>
      </w:r>
      <w:r w:rsidRPr="009531B1">
        <w:rPr>
          <w:rFonts w:ascii="Verdana" w:hAnsi="Verdana" w:cs="Arial"/>
          <w:b/>
          <w:bCs/>
          <w:noProof/>
        </w:rPr>
        <w:t>No. 4</w:t>
      </w:r>
      <w:r>
        <w:rPr>
          <w:rFonts w:ascii="Verdana" w:hAnsi="Verdana" w:cs="Arial"/>
          <w:noProof/>
        </w:rPr>
        <w:t xml:space="preserve"> de su petición se informa que la ANCP – CCE no ha emitido lineamientos o guías específicas sobre el manejo de cofinanciación en contratos estatales, a</w:t>
      </w:r>
      <w:r w:rsidRPr="003C19C6">
        <w:rPr>
          <w:rFonts w:ascii="Verdana" w:hAnsi="Verdana" w:cs="Arial"/>
          <w:noProof/>
        </w:rPr>
        <w:t>mortización de anticipos con múltiples fuentes</w:t>
      </w:r>
      <w:r>
        <w:rPr>
          <w:rFonts w:ascii="Verdana" w:hAnsi="Verdana" w:cs="Arial"/>
          <w:noProof/>
        </w:rPr>
        <w:t xml:space="preserve"> o r</w:t>
      </w:r>
      <w:r w:rsidRPr="003C19C6">
        <w:rPr>
          <w:rFonts w:ascii="Verdana" w:hAnsi="Verdana" w:cs="Arial"/>
          <w:noProof/>
        </w:rPr>
        <w:t>egistro de actas y pagos SUIFP-SGR.</w:t>
      </w:r>
      <w:r>
        <w:rPr>
          <w:rFonts w:ascii="Verdana" w:hAnsi="Verdana" w:cs="Arial"/>
          <w:noProof/>
        </w:rPr>
        <w:t xml:space="preserve"> </w:t>
      </w:r>
    </w:p>
    <w:p w14:paraId="1F66C636" w14:textId="77777777" w:rsidR="009834A8" w:rsidRDefault="009834A8" w:rsidP="009834A8">
      <w:pPr>
        <w:spacing w:before="120" w:line="276" w:lineRule="auto"/>
        <w:ind w:firstLine="707"/>
        <w:jc w:val="both"/>
        <w:rPr>
          <w:rFonts w:ascii="Verdana" w:hAnsi="Verdana" w:cs="Arial"/>
          <w:noProof/>
        </w:rPr>
      </w:pPr>
      <w:r>
        <w:rPr>
          <w:rFonts w:ascii="Verdana" w:hAnsi="Verdana" w:cs="Arial"/>
          <w:noProof/>
        </w:rPr>
        <w:t xml:space="preserve">Respecto del anticipo es pertinente indicar que esta Agencia cuenta con la </w:t>
      </w:r>
      <w:r w:rsidRPr="00E42C02">
        <w:rPr>
          <w:rFonts w:ascii="Verdana" w:hAnsi="Verdana" w:cs="Arial"/>
          <w:noProof/>
        </w:rPr>
        <w:t>Guía para el manejo de anticipos mediante contrato de fiducia mercantil irrevocable</w:t>
      </w:r>
      <w:r>
        <w:rPr>
          <w:rStyle w:val="Refdenotaalpie"/>
          <w:rFonts w:ascii="Verdana" w:hAnsi="Verdana" w:cs="Arial"/>
          <w:noProof/>
        </w:rPr>
        <w:footnoteReference w:id="13"/>
      </w:r>
      <w:r>
        <w:rPr>
          <w:rFonts w:ascii="Verdana" w:hAnsi="Verdana" w:cs="Arial"/>
          <w:noProof/>
        </w:rPr>
        <w:t xml:space="preserve"> que </w:t>
      </w:r>
      <w:r w:rsidRPr="00F70180">
        <w:rPr>
          <w:rFonts w:ascii="Verdana" w:hAnsi="Verdana" w:cs="Arial"/>
          <w:noProof/>
        </w:rPr>
        <w:t>tiene como objetivo establecer lineamientos sobre este tipo contractual y junto con el documento estándar, definir los documentos que las Entidades Estatales utilizan para este tipo de contrato.</w:t>
      </w:r>
      <w:r>
        <w:rPr>
          <w:rFonts w:ascii="Verdana" w:hAnsi="Verdana" w:cs="Arial"/>
          <w:noProof/>
        </w:rPr>
        <w:t xml:space="preserve"> Asimismo, </w:t>
      </w:r>
      <w:r>
        <w:rPr>
          <w:rFonts w:ascii="Verdana" w:hAnsi="Verdana"/>
        </w:rPr>
        <w:t>sobre el ámbito de aplicación del anticipo, su noción y características esta Subdirección se pronunció en los conceptos C-726 del 18 de julio de 2025, C-557 del 17 de junio de 2025, C-503 del 3 de junio de 2025, C-485 del 26 de mayo de 2025, entre otros. Así mismo, esta Subdirección estudió el alcance del artículo 91 de la Ley 1474 de 2011 en el Concepto C-911 del 31 de diciembre de 2024.</w:t>
      </w:r>
    </w:p>
    <w:p w14:paraId="44CECE5F" w14:textId="77777777" w:rsidR="009834A8" w:rsidRDefault="009834A8" w:rsidP="009834A8">
      <w:pPr>
        <w:spacing w:before="120" w:line="276" w:lineRule="auto"/>
        <w:ind w:firstLine="707"/>
        <w:jc w:val="both"/>
        <w:rPr>
          <w:rFonts w:ascii="Verdana" w:hAnsi="Verdana" w:cs="Arial"/>
          <w:noProof/>
        </w:rPr>
      </w:pPr>
      <w:r>
        <w:rPr>
          <w:rFonts w:ascii="Verdana" w:hAnsi="Verdana" w:cs="Arial"/>
          <w:noProof/>
        </w:rPr>
        <w:t xml:space="preserve">Sobre el registro de actas y pagos en el SECOP, esta entidad expidió “la </w:t>
      </w:r>
      <w:r w:rsidRPr="00B55FA5">
        <w:rPr>
          <w:rFonts w:ascii="Verdana" w:hAnsi="Verdana" w:cs="Arial"/>
          <w:noProof/>
        </w:rPr>
        <w:t>Guía Secop I</w:t>
      </w:r>
      <w:r>
        <w:rPr>
          <w:rFonts w:ascii="Verdana" w:hAnsi="Verdana" w:cs="Arial"/>
          <w:noProof/>
        </w:rPr>
        <w:t>I</w:t>
      </w:r>
      <w:r w:rsidRPr="00B55FA5">
        <w:rPr>
          <w:rFonts w:ascii="Verdana" w:hAnsi="Verdana" w:cs="Arial"/>
          <w:noProof/>
        </w:rPr>
        <w:t xml:space="preserve"> – Gestión Contractual Para Entidades Estatales</w:t>
      </w:r>
      <w:r>
        <w:rPr>
          <w:rFonts w:ascii="Verdana" w:hAnsi="Verdana" w:cs="Arial"/>
          <w:noProof/>
        </w:rPr>
        <w:t xml:space="preserve">” </w:t>
      </w:r>
      <w:r w:rsidRPr="00672831">
        <w:rPr>
          <w:rFonts w:ascii="Verdana" w:hAnsi="Verdana" w:cs="Arial"/>
          <w:noProof/>
        </w:rPr>
        <w:t>Con el fin de apoyar el proceso de formación de los diferentes participes del Sistema de Compra Pública y difundir las practicas oficiales del uso técnico del Sistema Electrónico de Contratación Pública – SECOP II</w:t>
      </w:r>
      <w:r>
        <w:rPr>
          <w:rFonts w:ascii="Verdana" w:hAnsi="Verdana" w:cs="Arial"/>
          <w:noProof/>
        </w:rPr>
        <w:t xml:space="preserve">. En dicha Guía se determina el </w:t>
      </w:r>
      <w:r>
        <w:rPr>
          <w:rFonts w:ascii="Verdana" w:hAnsi="Verdana" w:cs="Arial"/>
          <w:noProof/>
        </w:rPr>
        <w:lastRenderedPageBreak/>
        <w:t>registro de los documentos de ejecuicón del contrato, como actas de inicio e informes parciales</w:t>
      </w:r>
      <w:r>
        <w:rPr>
          <w:rStyle w:val="Refdenotaalpie"/>
          <w:rFonts w:ascii="Verdana" w:hAnsi="Verdana" w:cs="Arial"/>
          <w:noProof/>
        </w:rPr>
        <w:footnoteReference w:id="14"/>
      </w:r>
      <w:r>
        <w:rPr>
          <w:rFonts w:ascii="Verdana" w:hAnsi="Verdana" w:cs="Arial"/>
          <w:noProof/>
        </w:rPr>
        <w:t xml:space="preserve">. </w:t>
      </w:r>
    </w:p>
    <w:p w14:paraId="4CCFFAA9" w14:textId="77777777" w:rsidR="009834A8" w:rsidRDefault="009834A8" w:rsidP="009834A8">
      <w:pPr>
        <w:spacing w:after="0" w:line="256" w:lineRule="auto"/>
        <w:ind w:firstLine="709"/>
        <w:jc w:val="both"/>
        <w:rPr>
          <w:rFonts w:ascii="Verdana" w:eastAsia="Calibri" w:hAnsi="Verdana" w:cs="Times New Roman"/>
        </w:rPr>
      </w:pPr>
      <w:r>
        <w:rPr>
          <w:rFonts w:ascii="Verdana" w:hAnsi="Verdana" w:cs="Arial"/>
          <w:noProof/>
        </w:rPr>
        <w:t xml:space="preserve">En relación con conceptos referentes a la cofinanciación de recursos públicos se informa que se expidió el concepto C-074 del 17 de marzo de 2021 el cual puede ser revisado en el siguiente link: </w:t>
      </w:r>
      <w:hyperlink r:id="rId13" w:history="1">
        <w:r w:rsidRPr="00A12CB6">
          <w:rPr>
            <w:rFonts w:ascii="Verdana" w:eastAsia="Calibri" w:hAnsi="Verdana" w:cs="Times New Roman"/>
            <w:color w:val="0000FF"/>
            <w:u w:val="single"/>
            <w:lang w:val="es-ES"/>
          </w:rPr>
          <w:t>https://relatoria.colombiacompra.gov.co/busqueda/conceptos</w:t>
        </w:r>
      </w:hyperlink>
      <w:r w:rsidRPr="00A12CB6">
        <w:rPr>
          <w:rFonts w:ascii="Verdana" w:eastAsia="Calibri" w:hAnsi="Verdana" w:cs="Times New Roman"/>
        </w:rPr>
        <w:t>.</w:t>
      </w:r>
    </w:p>
    <w:p w14:paraId="61D011AA" w14:textId="77777777" w:rsidR="009834A8" w:rsidRPr="003E370C" w:rsidRDefault="009834A8" w:rsidP="009834A8">
      <w:pPr>
        <w:spacing w:after="0" w:line="256" w:lineRule="auto"/>
        <w:jc w:val="both"/>
        <w:rPr>
          <w:rFonts w:ascii="Verdana" w:eastAsia="Calibri" w:hAnsi="Verdana" w:cs="Times New Roman"/>
        </w:rPr>
      </w:pPr>
    </w:p>
    <w:p w14:paraId="064292A9" w14:textId="77777777" w:rsidR="009834A8" w:rsidRPr="008D191C" w:rsidRDefault="009834A8" w:rsidP="009834A8">
      <w:pPr>
        <w:spacing w:after="120" w:line="276" w:lineRule="auto"/>
        <w:jc w:val="both"/>
        <w:rPr>
          <w:rFonts w:ascii="Verdana" w:hAnsi="Verdana"/>
        </w:rPr>
      </w:pPr>
      <w:proofErr w:type="spellStart"/>
      <w:r>
        <w:rPr>
          <w:rFonts w:ascii="Verdana" w:hAnsi="Verdana"/>
        </w:rPr>
        <w:t>iii</w:t>
      </w:r>
      <w:proofErr w:type="spellEnd"/>
      <w:r w:rsidRPr="008D191C">
        <w:rPr>
          <w:rFonts w:ascii="Verdana" w:hAnsi="Verdana"/>
        </w:rPr>
        <w:t xml:space="preserve">. </w:t>
      </w:r>
      <w:r w:rsidRPr="008D191C">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3010016" w14:textId="77777777" w:rsidR="009834A8" w:rsidRPr="008D191C" w:rsidRDefault="009834A8" w:rsidP="009834A8">
      <w:pPr>
        <w:spacing w:after="0"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86D29A8" w14:textId="77777777" w:rsidR="009834A8" w:rsidRPr="008D191C" w:rsidRDefault="009834A8" w:rsidP="009834A8">
      <w:pPr>
        <w:spacing w:after="0" w:line="276" w:lineRule="auto"/>
        <w:jc w:val="both"/>
        <w:rPr>
          <w:rFonts w:ascii="Verdana" w:hAnsi="Verdana"/>
        </w:rPr>
      </w:pPr>
    </w:p>
    <w:p w14:paraId="2EE3C775" w14:textId="77777777" w:rsidR="009834A8" w:rsidRPr="008D191C" w:rsidRDefault="009834A8" w:rsidP="009834A8">
      <w:pPr>
        <w:numPr>
          <w:ilvl w:val="0"/>
          <w:numId w:val="19"/>
        </w:numPr>
        <w:spacing w:after="0" w:line="256" w:lineRule="auto"/>
        <w:rPr>
          <w:rFonts w:ascii="Verdana" w:eastAsia="Calibri" w:hAnsi="Verdana" w:cs="Times New Roman"/>
          <w:b/>
          <w:bCs/>
          <w:lang w:val="es-ES"/>
        </w:rPr>
      </w:pPr>
      <w:r w:rsidRPr="008D191C">
        <w:rPr>
          <w:rFonts w:ascii="Verdana" w:eastAsia="Calibri" w:hAnsi="Verdana" w:cs="Times New Roman"/>
          <w:b/>
          <w:bCs/>
          <w:lang w:val="es-ES"/>
        </w:rPr>
        <w:t>Referencias normativas, jurisprudenciales y doctrinales</w:t>
      </w:r>
    </w:p>
    <w:p w14:paraId="73679A88" w14:textId="77777777" w:rsidR="009834A8" w:rsidRPr="008D191C" w:rsidRDefault="009834A8" w:rsidP="009834A8">
      <w:pPr>
        <w:spacing w:after="0" w:line="256" w:lineRule="auto"/>
        <w:ind w:left="1080"/>
        <w:rPr>
          <w:rFonts w:ascii="Verdana" w:eastAsia="Calibri" w:hAnsi="Verdana" w:cs="Times New Roman"/>
          <w:b/>
          <w:bCs/>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834A8" w:rsidRPr="008D191C" w14:paraId="0336783E" w14:textId="77777777" w:rsidTr="00F77C5D">
        <w:trPr>
          <w:trHeight w:val="870"/>
          <w:jc w:val="center"/>
        </w:trPr>
        <w:tc>
          <w:tcPr>
            <w:tcW w:w="8647" w:type="dxa"/>
          </w:tcPr>
          <w:p w14:paraId="68A05B19" w14:textId="77777777" w:rsidR="009834A8" w:rsidRPr="008D191C" w:rsidRDefault="009834A8" w:rsidP="00F77C5D">
            <w:pPr>
              <w:widowControl w:val="0"/>
              <w:autoSpaceDE w:val="0"/>
              <w:autoSpaceDN w:val="0"/>
              <w:jc w:val="both"/>
              <w:rPr>
                <w:rFonts w:ascii="Verdana" w:hAnsi="Verdana" w:cs="Arial"/>
              </w:rPr>
            </w:pPr>
          </w:p>
          <w:p w14:paraId="6AD3CC7C" w14:textId="77777777" w:rsidR="009834A8" w:rsidRPr="008D191C" w:rsidRDefault="009834A8" w:rsidP="00F77C5D">
            <w:pPr>
              <w:widowControl w:val="0"/>
              <w:numPr>
                <w:ilvl w:val="0"/>
                <w:numId w:val="26"/>
              </w:numPr>
              <w:autoSpaceDE w:val="0"/>
              <w:autoSpaceDN w:val="0"/>
              <w:spacing w:after="120"/>
              <w:jc w:val="both"/>
              <w:rPr>
                <w:rFonts w:ascii="Verdana" w:hAnsi="Verdana" w:cs="Arial"/>
                <w:lang w:val="es-ES"/>
              </w:rPr>
            </w:pPr>
            <w:r w:rsidRPr="008D191C">
              <w:rPr>
                <w:rFonts w:ascii="Verdana" w:hAnsi="Verdana" w:cs="Arial"/>
                <w:lang w:val="es-ES"/>
              </w:rPr>
              <w:t xml:space="preserve">Código Civil, artículos 656, 658, 2053, 2060 y 2061. </w:t>
            </w:r>
          </w:p>
          <w:p w14:paraId="5A589B4B" w14:textId="77777777" w:rsidR="009834A8" w:rsidRDefault="009834A8" w:rsidP="00F77C5D">
            <w:pPr>
              <w:numPr>
                <w:ilvl w:val="0"/>
                <w:numId w:val="20"/>
              </w:numPr>
              <w:spacing w:after="120"/>
              <w:jc w:val="both"/>
              <w:rPr>
                <w:rFonts w:ascii="Verdana" w:hAnsi="Verdana" w:cs="Arial"/>
                <w:lang w:val="es-ES"/>
              </w:rPr>
            </w:pPr>
            <w:r w:rsidRPr="008D191C">
              <w:rPr>
                <w:rFonts w:ascii="Verdana" w:hAnsi="Verdana" w:cs="Arial"/>
                <w:lang w:val="es-ES"/>
              </w:rPr>
              <w:t xml:space="preserve">Ley 80 de 1993, artículos 2, 13, </w:t>
            </w:r>
            <w:r>
              <w:rPr>
                <w:rFonts w:ascii="Verdana" w:hAnsi="Verdana" w:cs="Arial"/>
                <w:lang w:val="es-ES"/>
              </w:rPr>
              <w:t xml:space="preserve">25, 26, </w:t>
            </w:r>
            <w:r w:rsidRPr="008D191C">
              <w:rPr>
                <w:rFonts w:ascii="Verdana" w:hAnsi="Verdana" w:cs="Arial"/>
                <w:lang w:val="es-ES"/>
              </w:rPr>
              <w:t xml:space="preserve">32, 39, 40 y 41. </w:t>
            </w:r>
          </w:p>
          <w:p w14:paraId="144A7BF8" w14:textId="77777777" w:rsidR="009834A8" w:rsidRPr="008D191C" w:rsidRDefault="009834A8" w:rsidP="00F77C5D">
            <w:pPr>
              <w:numPr>
                <w:ilvl w:val="0"/>
                <w:numId w:val="20"/>
              </w:numPr>
              <w:spacing w:after="120"/>
              <w:jc w:val="both"/>
              <w:rPr>
                <w:rFonts w:ascii="Verdana" w:hAnsi="Verdana" w:cs="Arial"/>
                <w:lang w:val="es-ES"/>
              </w:rPr>
            </w:pPr>
            <w:r>
              <w:rPr>
                <w:rFonts w:ascii="Verdana" w:hAnsi="Verdana" w:cs="Arial"/>
                <w:lang w:val="es-ES"/>
              </w:rPr>
              <w:t xml:space="preserve">Ley 1682 de 2013, artículo 12. </w:t>
            </w:r>
          </w:p>
          <w:p w14:paraId="088285E8" w14:textId="77777777" w:rsidR="009834A8" w:rsidRDefault="009834A8" w:rsidP="00F77C5D">
            <w:pPr>
              <w:widowControl w:val="0"/>
              <w:numPr>
                <w:ilvl w:val="0"/>
                <w:numId w:val="20"/>
              </w:numPr>
              <w:autoSpaceDE w:val="0"/>
              <w:autoSpaceDN w:val="0"/>
              <w:spacing w:after="120"/>
              <w:jc w:val="both"/>
              <w:rPr>
                <w:rFonts w:ascii="Verdana" w:hAnsi="Verdana" w:cs="Arial"/>
                <w:lang w:val="es-MX"/>
              </w:rPr>
            </w:pPr>
            <w:r>
              <w:rPr>
                <w:rFonts w:ascii="Verdana" w:hAnsi="Verdana" w:cs="Arial"/>
                <w:lang w:val="es-MX"/>
              </w:rPr>
              <w:t xml:space="preserve">Decreto 1082 de 2015, </w:t>
            </w:r>
            <w:r>
              <w:rPr>
                <w:rFonts w:ascii="Verdana" w:hAnsi="Verdana" w:cs="Arial"/>
              </w:rPr>
              <w:t>a</w:t>
            </w:r>
            <w:r w:rsidRPr="001C24A4">
              <w:rPr>
                <w:rFonts w:ascii="Verdana" w:hAnsi="Verdana" w:cs="Arial"/>
              </w:rPr>
              <w:t>rtículo 2.2.1.1.2.1.1</w:t>
            </w:r>
            <w:r>
              <w:rPr>
                <w:rFonts w:ascii="Verdana" w:hAnsi="Verdana" w:cs="Arial"/>
              </w:rPr>
              <w:t>.</w:t>
            </w:r>
          </w:p>
          <w:p w14:paraId="1257BA39" w14:textId="77777777" w:rsidR="009834A8" w:rsidRDefault="009834A8" w:rsidP="00F77C5D">
            <w:pPr>
              <w:widowControl w:val="0"/>
              <w:numPr>
                <w:ilvl w:val="0"/>
                <w:numId w:val="20"/>
              </w:numPr>
              <w:autoSpaceDE w:val="0"/>
              <w:autoSpaceDN w:val="0"/>
              <w:spacing w:after="120"/>
              <w:jc w:val="both"/>
              <w:rPr>
                <w:rFonts w:ascii="Verdana" w:hAnsi="Verdana" w:cs="Arial"/>
                <w:lang w:val="es-MX"/>
              </w:rPr>
            </w:pPr>
            <w:r w:rsidRPr="005D6A91">
              <w:rPr>
                <w:rFonts w:ascii="Verdana" w:hAnsi="Verdana" w:cs="Arial"/>
                <w:lang w:val="es-MX"/>
              </w:rPr>
              <w:t xml:space="preserve">Consejo de Estado, Sala de Consulta y Servicio Civil, Concepto 1439 </w:t>
            </w:r>
            <w:r w:rsidRPr="005D6A91">
              <w:rPr>
                <w:rFonts w:ascii="Verdana" w:hAnsi="Verdana" w:cs="Arial"/>
                <w:lang w:val="es-MX"/>
              </w:rPr>
              <w:lastRenderedPageBreak/>
              <w:t>del 18 de julio de 2002. C.P. Susana Montes de Echeverri.</w:t>
            </w:r>
          </w:p>
          <w:p w14:paraId="4A8FE53D" w14:textId="77777777" w:rsidR="009834A8" w:rsidRPr="008D191C" w:rsidRDefault="009834A8" w:rsidP="00F77C5D">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Consejo de Estado. Sección Cuarta. Sentencia del 13 de marzo del 2008. C.P: </w:t>
            </w:r>
            <w:proofErr w:type="spellStart"/>
            <w:r w:rsidRPr="008D191C">
              <w:rPr>
                <w:rFonts w:ascii="Verdana" w:hAnsi="Verdana" w:cs="Arial"/>
                <w:lang w:val="es-MX"/>
              </w:rPr>
              <w:t>Hector</w:t>
            </w:r>
            <w:proofErr w:type="spellEnd"/>
            <w:r w:rsidRPr="008D191C">
              <w:rPr>
                <w:rFonts w:ascii="Verdana" w:hAnsi="Verdana" w:cs="Arial"/>
                <w:lang w:val="es-MX"/>
              </w:rPr>
              <w:t xml:space="preserve"> J. Romero Díaz. </w:t>
            </w:r>
            <w:proofErr w:type="spellStart"/>
            <w:r w:rsidRPr="008D191C">
              <w:rPr>
                <w:rFonts w:ascii="Verdana" w:hAnsi="Verdana" w:cs="Arial"/>
                <w:lang w:val="es-MX"/>
              </w:rPr>
              <w:t>Exp</w:t>
            </w:r>
            <w:proofErr w:type="spellEnd"/>
            <w:r w:rsidRPr="008D191C">
              <w:rPr>
                <w:rFonts w:ascii="Verdana" w:hAnsi="Verdana" w:cs="Arial"/>
                <w:lang w:val="es-MX"/>
              </w:rPr>
              <w:t>. 15009.</w:t>
            </w:r>
          </w:p>
          <w:p w14:paraId="0D5A2869" w14:textId="77777777" w:rsidR="009834A8" w:rsidRPr="008D191C" w:rsidRDefault="009834A8" w:rsidP="00F77C5D">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Consejo de Estado. Sección Primera. Sentencia del 19 de septiembre de 2013. C.P. Marco Antonio Velilla Moreno. Rad. 63001233100020120008901. </w:t>
            </w:r>
          </w:p>
          <w:p w14:paraId="56CCF00D" w14:textId="77777777" w:rsidR="009834A8" w:rsidRPr="008D191C" w:rsidRDefault="009834A8" w:rsidP="00F77C5D">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Consejo de Estado. Sala de Consulta y Servicio Civil. 28 de marzo del 2017. C.P. Edgar González López. Rad.2331.</w:t>
            </w:r>
          </w:p>
          <w:p w14:paraId="0F220D80" w14:textId="77777777" w:rsidR="009834A8" w:rsidRPr="008D191C" w:rsidRDefault="009834A8" w:rsidP="00F77C5D">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Consejo de Estado. Sala de Consulta y Servicio Civil. Concepto del 5 de septiembre de 2018. Rad. 2.386. C.P. Edgar González López.</w:t>
            </w:r>
          </w:p>
          <w:p w14:paraId="286C94C2" w14:textId="77777777" w:rsidR="009834A8" w:rsidRPr="008D191C" w:rsidRDefault="009834A8" w:rsidP="00F77C5D">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 xml:space="preserve">AGENCIA NACIONAL DE CONTRATACIÓN PÚBLICA –COLOMBIA COMPRA EFICIENTE. Guía para los procesos de contratación de obra pública. </w:t>
            </w:r>
          </w:p>
          <w:p w14:paraId="6893A539" w14:textId="77777777" w:rsidR="009834A8" w:rsidRPr="004D2D96" w:rsidRDefault="009834A8" w:rsidP="00F77C5D">
            <w:pPr>
              <w:widowControl w:val="0"/>
              <w:numPr>
                <w:ilvl w:val="0"/>
                <w:numId w:val="20"/>
              </w:numPr>
              <w:autoSpaceDE w:val="0"/>
              <w:autoSpaceDN w:val="0"/>
              <w:spacing w:after="120"/>
              <w:jc w:val="both"/>
              <w:rPr>
                <w:rFonts w:ascii="Verdana" w:hAnsi="Verdana" w:cs="Arial"/>
                <w:lang w:val="es-MX"/>
              </w:rPr>
            </w:pPr>
            <w:r w:rsidRPr="008D191C">
              <w:rPr>
                <w:rFonts w:ascii="Verdana" w:hAnsi="Verdana" w:cs="Arial"/>
                <w:lang w:val="es-MX"/>
              </w:rPr>
              <w:t>Cámara de Comercio de Bogotá. Laudo TA-CCB-20040531 del 31 de mayo de 2004. Concesión Santa Marta Paraguachón vs. Instituto Nacional de Vías.</w:t>
            </w:r>
            <w:r w:rsidRPr="004D2D96">
              <w:rPr>
                <w:rFonts w:ascii="Verdana" w:hAnsi="Verdana" w:cs="Arial"/>
                <w:lang w:val="es-MX"/>
              </w:rPr>
              <w:t xml:space="preserve"> </w:t>
            </w:r>
          </w:p>
        </w:tc>
      </w:tr>
    </w:tbl>
    <w:p w14:paraId="5BAF91A7" w14:textId="77777777" w:rsidR="009834A8" w:rsidRPr="00A12CB6" w:rsidRDefault="009834A8" w:rsidP="009834A8">
      <w:pPr>
        <w:spacing w:line="276" w:lineRule="auto"/>
        <w:ind w:right="709"/>
        <w:contextualSpacing/>
        <w:jc w:val="both"/>
        <w:rPr>
          <w:rFonts w:ascii="Verdana" w:hAnsi="Verdana" w:cs="Arial"/>
          <w:color w:val="000000" w:themeColor="text1"/>
          <w:lang w:val="es-ES_tradnl"/>
        </w:rPr>
      </w:pPr>
    </w:p>
    <w:p w14:paraId="7973972C" w14:textId="77777777" w:rsidR="009834A8" w:rsidRPr="00A12CB6" w:rsidRDefault="009834A8" w:rsidP="009834A8">
      <w:pPr>
        <w:numPr>
          <w:ilvl w:val="0"/>
          <w:numId w:val="19"/>
        </w:num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Doctrina de la Agencia Nacional de Contratación Pública:</w:t>
      </w:r>
    </w:p>
    <w:p w14:paraId="627B6C37" w14:textId="77777777" w:rsidR="009834A8" w:rsidRPr="00A12CB6" w:rsidRDefault="009834A8" w:rsidP="009834A8">
      <w:pPr>
        <w:spacing w:after="0" w:line="256" w:lineRule="auto"/>
        <w:rPr>
          <w:rFonts w:ascii="Verdana" w:eastAsia="Calibri" w:hAnsi="Verdana" w:cs="Times New Roman"/>
          <w:lang w:val="es-ES"/>
        </w:rPr>
      </w:pPr>
    </w:p>
    <w:p w14:paraId="33F3764A" w14:textId="77777777" w:rsidR="009834A8" w:rsidRPr="006A24F2" w:rsidRDefault="009834A8" w:rsidP="009834A8">
      <w:pPr>
        <w:widowControl w:val="0"/>
        <w:autoSpaceDE w:val="0"/>
        <w:autoSpaceDN w:val="0"/>
        <w:spacing w:after="0" w:line="276" w:lineRule="auto"/>
        <w:jc w:val="both"/>
        <w:rPr>
          <w:rFonts w:ascii="Verdana" w:hAnsi="Verdana" w:cs="Arial"/>
          <w:shd w:val="clear" w:color="auto" w:fill="FFFFFF"/>
          <w:lang w:val="es-ES"/>
        </w:rPr>
      </w:pPr>
      <w:r w:rsidRPr="006A24F2">
        <w:rPr>
          <w:rFonts w:ascii="Verdana" w:hAnsi="Verdana" w:cs="Arial"/>
          <w:shd w:val="clear" w:color="auto" w:fill="FFFFFF"/>
        </w:rPr>
        <w:t>Esta Subdirección se ha pronunciado sobre el objeto y las características del contrato de obra pública en los Conceptos 4201913000008014 del 24 de diciembre del año 2019, C-530 del 13 de agosto de 2020 y C-038 del 5 de abril de 2021. Por otra parte, en los Conceptos 4201912000005784 del 7 de octubre de 2019, C-702 del 11 de diciembre de 2020, C-177 del 26 de abril de 2021, C-255 del 1 de junio de 2021, C-284 del 11 de mayo de 2022, C-359 del 21 de julio de 2022, C-174 del 16 de mayo de 2023</w:t>
      </w:r>
      <w:r>
        <w:rPr>
          <w:rFonts w:ascii="Verdana" w:hAnsi="Verdana" w:cs="Arial"/>
          <w:shd w:val="clear" w:color="auto" w:fill="FFFFFF"/>
        </w:rPr>
        <w:t>,</w:t>
      </w:r>
      <w:r w:rsidRPr="006A24F2">
        <w:rPr>
          <w:rFonts w:ascii="Verdana" w:hAnsi="Verdana" w:cs="Arial"/>
          <w:shd w:val="clear" w:color="auto" w:fill="FFFFFF"/>
        </w:rPr>
        <w:t xml:space="preserve"> C-735 del 20 de junio de 2025, </w:t>
      </w:r>
      <w:r>
        <w:rPr>
          <w:rFonts w:ascii="Verdana" w:hAnsi="Verdana" w:cs="Arial"/>
          <w:shd w:val="clear" w:color="auto" w:fill="FFFFFF"/>
        </w:rPr>
        <w:t>C-915 del 15 de julio de 2025, entre otros</w:t>
      </w:r>
      <w:r>
        <w:rPr>
          <w:rFonts w:ascii="Verdana" w:hAnsi="Verdana" w:cs="Arial"/>
          <w:shd w:val="clear" w:color="auto" w:fill="FFFFFF"/>
          <w:lang w:val="es-ES"/>
        </w:rPr>
        <w:t xml:space="preserve">. En todo caso, este concepto hace un análisis particular de los contratos bajo la modalidad de llave en mano. </w:t>
      </w:r>
      <w:r w:rsidRPr="00A12CB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E0DB579" w14:textId="77777777" w:rsidR="009834A8" w:rsidRPr="00A12CB6" w:rsidRDefault="009834A8" w:rsidP="009834A8">
      <w:pPr>
        <w:spacing w:after="0" w:line="256" w:lineRule="auto"/>
        <w:jc w:val="both"/>
        <w:rPr>
          <w:rFonts w:ascii="Verdana" w:eastAsia="Calibri" w:hAnsi="Verdana" w:cs="Times New Roman"/>
        </w:rPr>
      </w:pPr>
      <w:hyperlink r:id="rId14" w:history="1">
        <w:r w:rsidRPr="00A12CB6">
          <w:rPr>
            <w:rFonts w:ascii="Verdana" w:eastAsia="Calibri" w:hAnsi="Verdana" w:cs="Times New Roman"/>
            <w:color w:val="0000FF"/>
            <w:u w:val="single"/>
            <w:lang w:val="es-ES"/>
          </w:rPr>
          <w:t>https://relatoria.colombiacompra.gov.co/busqueda/conceptos</w:t>
        </w:r>
      </w:hyperlink>
      <w:r w:rsidRPr="00A12CB6">
        <w:rPr>
          <w:rFonts w:ascii="Verdana" w:eastAsia="Calibri" w:hAnsi="Verdana" w:cs="Times New Roman"/>
        </w:rPr>
        <w:t xml:space="preserve">. </w:t>
      </w:r>
    </w:p>
    <w:p w14:paraId="0EF7AC77" w14:textId="77777777" w:rsidR="009834A8" w:rsidRDefault="009834A8" w:rsidP="009834A8">
      <w:pPr>
        <w:spacing w:after="0" w:line="240" w:lineRule="auto"/>
        <w:jc w:val="both"/>
        <w:rPr>
          <w:rFonts w:ascii="Verdana" w:hAnsi="Verdana"/>
        </w:rPr>
      </w:pPr>
    </w:p>
    <w:p w14:paraId="4EA00BF9" w14:textId="77777777" w:rsidR="009834A8" w:rsidRPr="00B31C7B" w:rsidRDefault="009834A8" w:rsidP="009834A8">
      <w:pPr>
        <w:spacing w:after="0" w:line="256" w:lineRule="auto"/>
        <w:jc w:val="both"/>
        <w:rPr>
          <w:rFonts w:ascii="Verdana" w:eastAsia="Calibri" w:hAnsi="Verdana" w:cs="Times New Roman"/>
          <w:bCs/>
          <w:lang w:val="es-ES_tradnl"/>
        </w:rPr>
      </w:pPr>
      <w:r w:rsidRPr="00B31C7B">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B31C7B">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6CF838E1" w14:textId="77777777" w:rsidR="009834A8" w:rsidRPr="00B31C7B" w:rsidRDefault="009834A8" w:rsidP="009834A8">
      <w:pPr>
        <w:spacing w:after="0" w:line="256" w:lineRule="auto"/>
        <w:jc w:val="both"/>
        <w:rPr>
          <w:rFonts w:ascii="Verdana" w:eastAsia="Calibri" w:hAnsi="Verdana" w:cs="Times New Roman"/>
        </w:rPr>
      </w:pPr>
    </w:p>
    <w:p w14:paraId="09AAFF63" w14:textId="77777777" w:rsidR="009834A8" w:rsidRDefault="009834A8" w:rsidP="009834A8">
      <w:pPr>
        <w:spacing w:after="0" w:line="256" w:lineRule="auto"/>
        <w:jc w:val="both"/>
        <w:rPr>
          <w:rFonts w:ascii="Verdana" w:eastAsia="Calibri" w:hAnsi="Verdana" w:cs="Times New Roman"/>
        </w:rPr>
      </w:pPr>
      <w:r w:rsidRPr="00B31C7B">
        <w:rPr>
          <w:rFonts w:ascii="Verdana" w:eastAsia="Calibri" w:hAnsi="Verdana" w:cs="Times New Roman"/>
        </w:rPr>
        <w:t>Atentamente,</w:t>
      </w:r>
    </w:p>
    <w:p w14:paraId="00141EF5" w14:textId="77777777" w:rsidR="009834A8" w:rsidRPr="004D2D96" w:rsidRDefault="009834A8" w:rsidP="009834A8">
      <w:pPr>
        <w:spacing w:after="0" w:line="256" w:lineRule="auto"/>
        <w:jc w:val="both"/>
        <w:rPr>
          <w:rFonts w:ascii="Verdana" w:eastAsia="Calibri" w:hAnsi="Verdana" w:cs="Times New Roman"/>
        </w:rPr>
      </w:pPr>
    </w:p>
    <w:p w14:paraId="1EF45401" w14:textId="0326062B" w:rsidR="009834A8" w:rsidRPr="001F612B" w:rsidRDefault="003379A8" w:rsidP="009834A8">
      <w:pPr>
        <w:spacing w:line="276" w:lineRule="auto"/>
        <w:jc w:val="center"/>
        <w:rPr>
          <w:rFonts w:ascii="Verdana" w:hAnsi="Verdana" w:cs="Arial"/>
          <w:color w:val="000000"/>
          <w:lang w:eastAsia="es-CO"/>
        </w:rPr>
      </w:pPr>
      <w:r w:rsidRPr="002C3AD6">
        <w:rPr>
          <w:rFonts w:ascii="Century Gothic" w:hAnsi="Century Gothic"/>
          <w:noProof/>
        </w:rPr>
        <w:drawing>
          <wp:inline distT="0" distB="0" distL="0" distR="0" wp14:anchorId="64C764C7" wp14:editId="5072193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834A8" w:rsidRPr="001F612B" w14:paraId="24A25290" w14:textId="77777777" w:rsidTr="00F77C5D">
        <w:trPr>
          <w:trHeight w:val="315"/>
        </w:trPr>
        <w:tc>
          <w:tcPr>
            <w:tcW w:w="893" w:type="dxa"/>
            <w:vAlign w:val="center"/>
            <w:hideMark/>
          </w:tcPr>
          <w:p w14:paraId="1E476A48" w14:textId="77777777" w:rsidR="009834A8" w:rsidRPr="001F612B" w:rsidRDefault="009834A8" w:rsidP="00F77C5D">
            <w:pPr>
              <w:contextualSpacing/>
              <w:rPr>
                <w:rFonts w:ascii="Verdana" w:hAnsi="Verdana" w:cs="Arial"/>
                <w:sz w:val="16"/>
                <w:szCs w:val="16"/>
                <w:lang w:eastAsia="es-ES"/>
              </w:rPr>
            </w:pPr>
            <w:r w:rsidRPr="001F612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4C50AF2" w14:textId="77777777" w:rsidR="009834A8" w:rsidRPr="001F612B" w:rsidRDefault="009834A8" w:rsidP="00F77C5D">
            <w:pPr>
              <w:contextualSpacing/>
              <w:rPr>
                <w:rFonts w:ascii="Verdana" w:hAnsi="Verdana"/>
                <w:sz w:val="16"/>
                <w:szCs w:val="16"/>
              </w:rPr>
            </w:pPr>
            <w:r w:rsidRPr="001F612B">
              <w:rPr>
                <w:rFonts w:ascii="Verdana" w:hAnsi="Verdana"/>
                <w:sz w:val="16"/>
                <w:szCs w:val="16"/>
              </w:rPr>
              <w:t>Tatiana Baquero Iguarán</w:t>
            </w:r>
          </w:p>
          <w:p w14:paraId="0641C800" w14:textId="77777777" w:rsidR="009834A8" w:rsidRPr="001F612B" w:rsidRDefault="009834A8" w:rsidP="00F77C5D">
            <w:pPr>
              <w:contextualSpacing/>
              <w:rPr>
                <w:rFonts w:ascii="Verdana" w:eastAsia="Arial" w:hAnsi="Verdana" w:cs="Arial"/>
                <w:sz w:val="16"/>
                <w:szCs w:val="16"/>
              </w:rPr>
            </w:pPr>
            <w:r w:rsidRPr="001F612B">
              <w:rPr>
                <w:rFonts w:ascii="Verdana" w:hAnsi="Verdana"/>
                <w:sz w:val="16"/>
                <w:szCs w:val="16"/>
              </w:rPr>
              <w:t>Contratista de la Subdirección de Gestión Contractual</w:t>
            </w:r>
          </w:p>
        </w:tc>
      </w:tr>
      <w:tr w:rsidR="009834A8" w:rsidRPr="001F612B" w14:paraId="632B0D64" w14:textId="77777777" w:rsidTr="00F77C5D">
        <w:trPr>
          <w:trHeight w:val="330"/>
        </w:trPr>
        <w:tc>
          <w:tcPr>
            <w:tcW w:w="893" w:type="dxa"/>
            <w:vAlign w:val="center"/>
            <w:hideMark/>
          </w:tcPr>
          <w:p w14:paraId="02461863" w14:textId="77777777" w:rsidR="009834A8" w:rsidRPr="001F612B" w:rsidRDefault="009834A8" w:rsidP="00F77C5D">
            <w:pPr>
              <w:contextualSpacing/>
              <w:rPr>
                <w:rFonts w:ascii="Verdana" w:hAnsi="Verdana" w:cs="Arial"/>
                <w:sz w:val="16"/>
                <w:szCs w:val="16"/>
                <w:lang w:eastAsia="es-ES"/>
              </w:rPr>
            </w:pPr>
            <w:r w:rsidRPr="001F612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62238AC" w14:textId="77777777" w:rsidR="009834A8" w:rsidRPr="001F612B" w:rsidRDefault="009834A8" w:rsidP="00F77C5D">
            <w:pPr>
              <w:textAlignment w:val="baseline"/>
              <w:rPr>
                <w:rFonts w:ascii="Verdana" w:eastAsia="Times New Roman" w:hAnsi="Verdana" w:cs="Arial"/>
                <w:sz w:val="16"/>
                <w:szCs w:val="16"/>
                <w:lang w:val="es-MX" w:eastAsia="es-CO"/>
              </w:rPr>
            </w:pPr>
            <w:r w:rsidRPr="001F612B">
              <w:rPr>
                <w:rFonts w:ascii="Verdana" w:eastAsia="Times New Roman" w:hAnsi="Verdana" w:cs="Arial"/>
                <w:sz w:val="16"/>
                <w:szCs w:val="16"/>
                <w:lang w:val="es-MX" w:eastAsia="es-CO"/>
              </w:rPr>
              <w:t>Alejandro Raúl Sarmiento Cantillo</w:t>
            </w:r>
          </w:p>
          <w:p w14:paraId="79E50CDA" w14:textId="77777777" w:rsidR="009834A8" w:rsidRPr="001F612B" w:rsidRDefault="009834A8" w:rsidP="00F77C5D">
            <w:pPr>
              <w:spacing w:before="100" w:beforeAutospacing="1" w:after="100" w:afterAutospacing="1"/>
              <w:contextualSpacing/>
              <w:textAlignment w:val="baseline"/>
              <w:rPr>
                <w:rFonts w:ascii="Verdana" w:eastAsia="Times New Roman" w:hAnsi="Verdana" w:cs="Segoe UI"/>
                <w:sz w:val="16"/>
                <w:szCs w:val="16"/>
                <w:lang w:eastAsia="es-ES_tradnl"/>
              </w:rPr>
            </w:pPr>
            <w:r w:rsidRPr="001F612B">
              <w:rPr>
                <w:rFonts w:ascii="Verdana" w:eastAsia="Times New Roman" w:hAnsi="Verdana" w:cs="Arial"/>
                <w:sz w:val="16"/>
                <w:szCs w:val="16"/>
                <w:lang w:val="es-MX" w:eastAsia="es-CO"/>
              </w:rPr>
              <w:t>Gestor T1-15 de la Subdirección de Gestión Contractual</w:t>
            </w:r>
          </w:p>
        </w:tc>
      </w:tr>
      <w:tr w:rsidR="009834A8" w:rsidRPr="001F612B" w14:paraId="2BBF00C5" w14:textId="77777777" w:rsidTr="00F77C5D">
        <w:trPr>
          <w:trHeight w:val="300"/>
        </w:trPr>
        <w:tc>
          <w:tcPr>
            <w:tcW w:w="893" w:type="dxa"/>
            <w:vAlign w:val="center"/>
          </w:tcPr>
          <w:p w14:paraId="05AD9B76" w14:textId="77777777" w:rsidR="009834A8" w:rsidRPr="001F612B" w:rsidRDefault="009834A8" w:rsidP="00F77C5D">
            <w:pPr>
              <w:contextualSpacing/>
              <w:rPr>
                <w:rFonts w:ascii="Verdana" w:hAnsi="Verdana" w:cs="Arial"/>
                <w:sz w:val="16"/>
                <w:szCs w:val="16"/>
                <w:lang w:eastAsia="es-ES"/>
              </w:rPr>
            </w:pPr>
            <w:r w:rsidRPr="001F612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031A115" w14:textId="77777777" w:rsidR="009834A8" w:rsidRPr="001F612B" w:rsidRDefault="009834A8" w:rsidP="00F77C5D">
            <w:pPr>
              <w:contextualSpacing/>
              <w:rPr>
                <w:rFonts w:ascii="Verdana" w:eastAsia="Calibri" w:hAnsi="Verdana" w:cs="Arial"/>
                <w:sz w:val="16"/>
                <w:szCs w:val="16"/>
                <w:lang w:eastAsia="es-ES"/>
              </w:rPr>
            </w:pPr>
            <w:r w:rsidRPr="001F612B">
              <w:rPr>
                <w:rFonts w:ascii="Verdana" w:eastAsia="Calibri" w:hAnsi="Verdana" w:cs="Arial"/>
                <w:sz w:val="16"/>
                <w:szCs w:val="16"/>
                <w:lang w:eastAsia="es-ES"/>
              </w:rPr>
              <w:t xml:space="preserve">Carolina Quintero </w:t>
            </w:r>
            <w:proofErr w:type="spellStart"/>
            <w:r w:rsidRPr="001F612B">
              <w:rPr>
                <w:rFonts w:ascii="Verdana" w:eastAsia="Calibri" w:hAnsi="Verdana" w:cs="Arial"/>
                <w:sz w:val="16"/>
                <w:szCs w:val="16"/>
                <w:lang w:eastAsia="es-ES"/>
              </w:rPr>
              <w:t>Gacharná</w:t>
            </w:r>
            <w:proofErr w:type="spellEnd"/>
          </w:p>
          <w:p w14:paraId="3AFD8AB4" w14:textId="77777777" w:rsidR="009834A8" w:rsidRPr="001F612B" w:rsidRDefault="009834A8" w:rsidP="00F77C5D">
            <w:pPr>
              <w:contextualSpacing/>
              <w:rPr>
                <w:rFonts w:ascii="Verdana" w:eastAsia="Calibri" w:hAnsi="Verdana" w:cs="Arial"/>
                <w:sz w:val="16"/>
                <w:szCs w:val="16"/>
                <w:lang w:eastAsia="es-ES"/>
              </w:rPr>
            </w:pPr>
            <w:r w:rsidRPr="001F612B">
              <w:rPr>
                <w:rFonts w:ascii="Verdana" w:eastAsia="Calibri" w:hAnsi="Verdana" w:cs="Arial"/>
                <w:sz w:val="16"/>
                <w:szCs w:val="16"/>
                <w:lang w:eastAsia="es-ES"/>
              </w:rPr>
              <w:t>Subdirectora de Gestión Contractual ANCP – CCE</w:t>
            </w:r>
          </w:p>
        </w:tc>
      </w:tr>
    </w:tbl>
    <w:p w14:paraId="598D5630" w14:textId="77777777" w:rsidR="009834A8" w:rsidRPr="001F612B" w:rsidRDefault="009834A8" w:rsidP="009834A8"/>
    <w:p w14:paraId="1E305A5D" w14:textId="77777777" w:rsidR="009834A8" w:rsidRPr="00591DEA" w:rsidRDefault="009834A8" w:rsidP="009834A8">
      <w:pPr>
        <w:rPr>
          <w:rStyle w:val="Hipervnculo"/>
          <w:color w:val="auto"/>
          <w:u w:val="none"/>
        </w:rPr>
      </w:pPr>
    </w:p>
    <w:p w14:paraId="7D50D70E" w14:textId="0A13AAD6" w:rsidR="00362B7B" w:rsidRDefault="00362B7B" w:rsidP="00591DEA">
      <w:pPr>
        <w:spacing w:after="0"/>
        <w:rPr>
          <w:rFonts w:ascii="Verdana" w:hAnsi="Verdana"/>
        </w:rPr>
      </w:pPr>
    </w:p>
    <w:bookmarkEnd w:id="0"/>
    <w:sectPr w:rsidR="00362B7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31518" w14:textId="77777777" w:rsidR="00C3782A" w:rsidRDefault="00C3782A" w:rsidP="004A1847">
      <w:pPr>
        <w:spacing w:after="0" w:line="240" w:lineRule="auto"/>
      </w:pPr>
      <w:r>
        <w:separator/>
      </w:r>
    </w:p>
  </w:endnote>
  <w:endnote w:type="continuationSeparator" w:id="0">
    <w:p w14:paraId="615B343D" w14:textId="77777777" w:rsidR="00C3782A" w:rsidRDefault="00C3782A" w:rsidP="004A1847">
      <w:pPr>
        <w:spacing w:after="0" w:line="240" w:lineRule="auto"/>
      </w:pPr>
      <w:r>
        <w:continuationSeparator/>
      </w:r>
    </w:p>
  </w:endnote>
  <w:endnote w:type="continuationNotice" w:id="1">
    <w:p w14:paraId="4AF6E68E" w14:textId="77777777" w:rsidR="00C3782A" w:rsidRDefault="00C378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35C89199"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362B7B" w:rsidRPr="00362B7B">
      <w:rPr>
        <w:rFonts w:ascii="Verdana" w:eastAsiaTheme="minorEastAsia" w:hAnsi="Verdana"/>
        <w:b/>
        <w:bCs/>
        <w:noProof/>
        <w:sz w:val="16"/>
        <w:szCs w:val="16"/>
      </w:rPr>
      <w:t>27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4CC88" w14:textId="77777777" w:rsidR="00C3782A" w:rsidRDefault="00C3782A" w:rsidP="004A1847">
      <w:pPr>
        <w:spacing w:after="0" w:line="240" w:lineRule="auto"/>
      </w:pPr>
      <w:r>
        <w:separator/>
      </w:r>
    </w:p>
  </w:footnote>
  <w:footnote w:type="continuationSeparator" w:id="0">
    <w:p w14:paraId="0CB7D22E" w14:textId="77777777" w:rsidR="00C3782A" w:rsidRDefault="00C3782A" w:rsidP="004A1847">
      <w:pPr>
        <w:spacing w:after="0" w:line="240" w:lineRule="auto"/>
      </w:pPr>
      <w:r>
        <w:continuationSeparator/>
      </w:r>
    </w:p>
  </w:footnote>
  <w:footnote w:type="continuationNotice" w:id="1">
    <w:p w14:paraId="3D33B9AD" w14:textId="77777777" w:rsidR="00C3782A" w:rsidRDefault="00C3782A">
      <w:pPr>
        <w:spacing w:after="0" w:line="240" w:lineRule="auto"/>
      </w:pPr>
    </w:p>
  </w:footnote>
  <w:footnote w:id="2">
    <w:p w14:paraId="4FDA9038" w14:textId="77777777" w:rsidR="009834A8" w:rsidRPr="004E002A" w:rsidRDefault="009834A8" w:rsidP="009834A8">
      <w:pPr>
        <w:pStyle w:val="Textonotapie"/>
        <w:ind w:firstLine="709"/>
        <w:rPr>
          <w:lang w:val="es-CO"/>
        </w:rPr>
      </w:pPr>
      <w:r>
        <w:rPr>
          <w:rStyle w:val="Refdenotaalpie"/>
        </w:rPr>
        <w:footnoteRef/>
      </w:r>
      <w:r>
        <w:t xml:space="preserve"> </w:t>
      </w:r>
      <w:r w:rsidRPr="00DF4A4E">
        <w:rPr>
          <w:i/>
          <w:iCs/>
          <w:lang w:val="es-CO"/>
        </w:rPr>
        <w:t xml:space="preserve">Ibídem.  </w:t>
      </w:r>
    </w:p>
  </w:footnote>
  <w:footnote w:id="3">
    <w:p w14:paraId="0EDB82CC" w14:textId="77777777" w:rsidR="009834A8" w:rsidRPr="00591DEA" w:rsidRDefault="009834A8" w:rsidP="009834A8">
      <w:pPr>
        <w:pStyle w:val="Textonotapie"/>
        <w:ind w:firstLine="708"/>
        <w:jc w:val="both"/>
        <w:rPr>
          <w:rFonts w:ascii="Verdana" w:hAnsi="Verdana" w:cs="Arial"/>
          <w:sz w:val="16"/>
          <w:szCs w:val="16"/>
        </w:rPr>
      </w:pPr>
      <w:r w:rsidRPr="00540128">
        <w:rPr>
          <w:rStyle w:val="Refdenotaalpie"/>
          <w:rFonts w:ascii="Verdana" w:hAnsi="Verdana" w:cs="Arial"/>
          <w:sz w:val="16"/>
          <w:szCs w:val="16"/>
        </w:rPr>
        <w:footnoteRef/>
      </w:r>
      <w:r w:rsidRPr="00540128">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4">
    <w:p w14:paraId="16358668" w14:textId="77777777" w:rsidR="009834A8" w:rsidRPr="00540128" w:rsidRDefault="009834A8" w:rsidP="009834A8">
      <w:pPr>
        <w:pStyle w:val="Textonotapie"/>
        <w:ind w:firstLine="708"/>
        <w:jc w:val="both"/>
        <w:rPr>
          <w:rFonts w:ascii="Verdana" w:hAnsi="Verdana" w:cs="Arial"/>
          <w:sz w:val="16"/>
          <w:szCs w:val="16"/>
          <w:lang w:val="es-ES"/>
        </w:rPr>
      </w:pPr>
      <w:r w:rsidRPr="00540128">
        <w:rPr>
          <w:rStyle w:val="Refdenotaalpie"/>
          <w:rFonts w:ascii="Verdana" w:hAnsi="Verdana" w:cs="Arial"/>
          <w:sz w:val="16"/>
          <w:szCs w:val="16"/>
        </w:rPr>
        <w:footnoteRef/>
      </w:r>
      <w:r w:rsidRPr="00540128">
        <w:rPr>
          <w:rFonts w:ascii="Verdana" w:hAnsi="Verdana" w:cs="Arial"/>
          <w:sz w:val="16"/>
          <w:szCs w:val="16"/>
        </w:rPr>
        <w:t xml:space="preserve"> BETANCUR JARAMILLO, Carlos. Derecho procesal administrativo. Octava edición. Medellín: Señal Editora, 2013. p. 627. </w:t>
      </w:r>
    </w:p>
  </w:footnote>
  <w:footnote w:id="5">
    <w:p w14:paraId="1E720366" w14:textId="77777777" w:rsidR="009834A8" w:rsidRPr="00540128" w:rsidRDefault="009834A8" w:rsidP="009834A8">
      <w:pPr>
        <w:pStyle w:val="Textonotapie"/>
        <w:ind w:firstLine="709"/>
        <w:jc w:val="both"/>
        <w:rPr>
          <w:rFonts w:ascii="Verdana" w:hAnsi="Verdana" w:cs="Arial"/>
          <w:color w:val="000000"/>
          <w:sz w:val="16"/>
          <w:szCs w:val="16"/>
        </w:rPr>
      </w:pPr>
      <w:r w:rsidRPr="00540128">
        <w:rPr>
          <w:rStyle w:val="Refdenotaalpie"/>
          <w:rFonts w:ascii="Verdana" w:hAnsi="Verdana" w:cs="Arial"/>
          <w:color w:val="000000"/>
          <w:sz w:val="16"/>
          <w:szCs w:val="16"/>
        </w:rPr>
        <w:footnoteRef/>
      </w:r>
      <w:r w:rsidRPr="00540128">
        <w:rPr>
          <w:rFonts w:ascii="Verdana" w:hAnsi="Verdana" w:cs="Arial"/>
          <w:color w:val="000000"/>
          <w:sz w:val="16"/>
          <w:szCs w:val="16"/>
        </w:rPr>
        <w:t xml:space="preserve"> ALESSANDRI RODRÍGUEZ, Arturo. De los contratos. Santiago de Chile: Editorial Jurídica EDIAR-CONOCSUR LTDA, 1988. p. 182. </w:t>
      </w:r>
    </w:p>
  </w:footnote>
  <w:footnote w:id="6">
    <w:p w14:paraId="16F91BB3" w14:textId="77777777" w:rsidR="009834A8" w:rsidRPr="00540128" w:rsidRDefault="009834A8" w:rsidP="009834A8">
      <w:pPr>
        <w:pStyle w:val="Textonotapie"/>
        <w:ind w:firstLine="708"/>
        <w:jc w:val="both"/>
        <w:rPr>
          <w:rFonts w:ascii="Verdana" w:hAnsi="Verdana" w:cs="Arial"/>
          <w:sz w:val="16"/>
          <w:szCs w:val="16"/>
          <w:lang w:val="es-ES_tradnl"/>
        </w:rPr>
      </w:pPr>
      <w:r w:rsidRPr="00540128">
        <w:rPr>
          <w:rStyle w:val="Refdenotaalpie"/>
          <w:rFonts w:ascii="Verdana" w:hAnsi="Verdana" w:cs="Arial"/>
          <w:sz w:val="16"/>
          <w:szCs w:val="16"/>
        </w:rPr>
        <w:footnoteRef/>
      </w:r>
      <w:r w:rsidRPr="00540128">
        <w:rPr>
          <w:rFonts w:ascii="Verdana" w:hAnsi="Verdana" w:cs="Arial"/>
          <w:sz w:val="16"/>
          <w:szCs w:val="16"/>
        </w:rPr>
        <w:t xml:space="preserve"> </w:t>
      </w:r>
      <w:r w:rsidRPr="00540128">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footnote>
  <w:footnote w:id="7">
    <w:p w14:paraId="6DA86BFB" w14:textId="77777777" w:rsidR="009834A8" w:rsidRPr="00540128" w:rsidRDefault="009834A8" w:rsidP="009834A8">
      <w:pPr>
        <w:pStyle w:val="Textonotapie"/>
        <w:ind w:firstLine="709"/>
        <w:jc w:val="both"/>
        <w:rPr>
          <w:rFonts w:ascii="Verdana" w:hAnsi="Verdana" w:cs="Arial"/>
          <w:color w:val="000000"/>
          <w:sz w:val="16"/>
          <w:szCs w:val="16"/>
        </w:rPr>
      </w:pPr>
      <w:r w:rsidRPr="00540128">
        <w:rPr>
          <w:rStyle w:val="Refdenotaalpie"/>
          <w:rFonts w:ascii="Verdana" w:hAnsi="Verdana" w:cs="Arial"/>
          <w:color w:val="000000"/>
          <w:sz w:val="16"/>
          <w:szCs w:val="16"/>
        </w:rPr>
        <w:footnoteRef/>
      </w:r>
      <w:r w:rsidRPr="00540128">
        <w:rPr>
          <w:rFonts w:ascii="Verdana" w:hAnsi="Verdana" w:cs="Arial"/>
          <w:color w:val="000000"/>
          <w:sz w:val="16"/>
          <w:szCs w:val="16"/>
        </w:rPr>
        <w:t xml:space="preserve"> OSPINA MENA, Jesús Marino. Régimen de la Contratación Estatal. Un salto a la contratación liquida. Bogotá: </w:t>
      </w:r>
      <w:r w:rsidRPr="00540128">
        <w:rPr>
          <w:rFonts w:ascii="Verdana" w:hAnsi="Verdana" w:cs="Arial"/>
          <w:color w:val="000000"/>
          <w:sz w:val="16"/>
          <w:szCs w:val="16"/>
        </w:rPr>
        <w:t>Dike, 2020. p. 168.</w:t>
      </w:r>
    </w:p>
  </w:footnote>
  <w:footnote w:id="8">
    <w:p w14:paraId="714360BC" w14:textId="77777777" w:rsidR="009834A8" w:rsidRPr="00540128" w:rsidRDefault="009834A8" w:rsidP="009834A8">
      <w:pPr>
        <w:pStyle w:val="Textonotapie"/>
        <w:ind w:firstLine="709"/>
        <w:jc w:val="both"/>
        <w:rPr>
          <w:rFonts w:ascii="Verdana" w:hAnsi="Verdana" w:cs="Arial"/>
          <w:color w:val="000000"/>
          <w:sz w:val="16"/>
          <w:szCs w:val="16"/>
        </w:rPr>
      </w:pPr>
      <w:r w:rsidRPr="00540128">
        <w:rPr>
          <w:rStyle w:val="Refdenotaalpie"/>
          <w:rFonts w:ascii="Verdana" w:hAnsi="Verdana" w:cs="Arial"/>
          <w:color w:val="000000"/>
          <w:sz w:val="16"/>
          <w:szCs w:val="16"/>
        </w:rPr>
        <w:footnoteRef/>
      </w:r>
      <w:r w:rsidRPr="00540128">
        <w:rPr>
          <w:rFonts w:ascii="Verdana" w:hAnsi="Verdana" w:cs="Arial"/>
          <w:color w:val="000000"/>
          <w:sz w:val="16"/>
          <w:szCs w:val="16"/>
        </w:rPr>
        <w:t xml:space="preserve"> Consejo de Estado. Sala de Consulta y Servicio Civil. Concepto del 5 de septiembre de 2018. Rad. 2.386. C.P. Edgar González López.</w:t>
      </w:r>
    </w:p>
  </w:footnote>
  <w:footnote w:id="9">
    <w:p w14:paraId="40E30382" w14:textId="77777777" w:rsidR="009834A8" w:rsidRPr="00685275" w:rsidRDefault="009834A8" w:rsidP="009834A8">
      <w:pPr>
        <w:pStyle w:val="Textonotapie"/>
        <w:ind w:firstLine="709"/>
        <w:rPr>
          <w:lang w:val="es-CO"/>
        </w:rPr>
      </w:pPr>
      <w:r>
        <w:rPr>
          <w:rStyle w:val="Refdenotaalpie"/>
        </w:rPr>
        <w:footnoteRef/>
      </w:r>
      <w:r>
        <w:t xml:space="preserve"> </w:t>
      </w:r>
      <w:r w:rsidRPr="00DF4A4E">
        <w:rPr>
          <w:i/>
          <w:iCs/>
          <w:lang w:val="es-CO"/>
        </w:rPr>
        <w:t>Idem.</w:t>
      </w:r>
      <w:r>
        <w:rPr>
          <w:lang w:val="es-CO"/>
        </w:rPr>
        <w:t xml:space="preserve">  </w:t>
      </w:r>
    </w:p>
  </w:footnote>
  <w:footnote w:id="10">
    <w:p w14:paraId="600A6BC4" w14:textId="77777777" w:rsidR="009834A8" w:rsidRPr="004E002A" w:rsidRDefault="009834A8" w:rsidP="009834A8">
      <w:pPr>
        <w:pStyle w:val="Textonotapie"/>
        <w:ind w:firstLine="709"/>
        <w:rPr>
          <w:lang w:val="es-CO"/>
        </w:rPr>
      </w:pPr>
      <w:r>
        <w:rPr>
          <w:rStyle w:val="Refdenotaalpie"/>
        </w:rPr>
        <w:footnoteRef/>
      </w:r>
      <w:r>
        <w:t xml:space="preserve"> </w:t>
      </w:r>
      <w:r w:rsidRPr="00DF4A4E">
        <w:rPr>
          <w:i/>
          <w:iCs/>
          <w:lang w:val="es-CO"/>
        </w:rPr>
        <w:t xml:space="preserve">Ibídem.  </w:t>
      </w:r>
    </w:p>
  </w:footnote>
  <w:footnote w:id="11">
    <w:p w14:paraId="0AD51A5E" w14:textId="77777777" w:rsidR="009834A8" w:rsidRPr="00591347" w:rsidRDefault="009834A8" w:rsidP="009834A8">
      <w:pPr>
        <w:spacing w:after="0"/>
        <w:ind w:firstLine="708"/>
        <w:jc w:val="both"/>
        <w:rPr>
          <w:rFonts w:ascii="Verdana" w:hAnsi="Verdana" w:cs="Arial"/>
          <w:sz w:val="16"/>
          <w:szCs w:val="16"/>
        </w:rPr>
      </w:pPr>
      <w:r w:rsidRPr="00591347">
        <w:rPr>
          <w:rStyle w:val="Refdenotaalpie"/>
          <w:rFonts w:ascii="Verdana" w:hAnsi="Verdana" w:cs="Arial"/>
          <w:sz w:val="16"/>
          <w:szCs w:val="16"/>
        </w:rPr>
        <w:footnoteRef/>
      </w:r>
      <w:r w:rsidRPr="00591347">
        <w:rPr>
          <w:rFonts w:ascii="Verdana" w:hAnsi="Verdana" w:cs="Arial"/>
          <w:sz w:val="16"/>
          <w:szCs w:val="16"/>
        </w:rPr>
        <w:t xml:space="preserve"> “</w:t>
      </w:r>
      <w:r w:rsidRPr="00591347">
        <w:rPr>
          <w:rFonts w:ascii="Verdana" w:hAnsi="Verdana" w:cs="Arial"/>
          <w:bCs/>
          <w:sz w:val="16"/>
          <w:szCs w:val="16"/>
        </w:rPr>
        <w:t>Artículo 37. ejecución de proyectos de inversión.</w:t>
      </w:r>
      <w:r w:rsidRPr="00591347">
        <w:rPr>
          <w:rFonts w:ascii="Verdana" w:hAnsi="Verdana" w:cs="Arial"/>
          <w:sz w:val="16"/>
          <w:szCs w:val="16"/>
        </w:rPr>
        <w:t> los proyectos de inversión que se financien con cargo al sistema general de regalías serán ejecutados por quien designe las entidades u órganos de que tratan los artículos </w:t>
      </w:r>
      <w:hyperlink r:id="rId1" w:anchor="35" w:history="1">
        <w:r w:rsidRPr="00591347">
          <w:rPr>
            <w:rFonts w:ascii="Verdana" w:hAnsi="Verdana" w:cs="Arial"/>
            <w:sz w:val="16"/>
            <w:szCs w:val="16"/>
          </w:rPr>
          <w:t>35</w:t>
        </w:r>
      </w:hyperlink>
      <w:r w:rsidRPr="00591347">
        <w:rPr>
          <w:rFonts w:ascii="Verdana" w:hAnsi="Verdana" w:cs="Arial"/>
          <w:sz w:val="16"/>
          <w:szCs w:val="16"/>
        </w:rPr>
        <w:t> y </w:t>
      </w:r>
      <w:hyperlink r:id="rId2" w:anchor="36" w:history="1">
        <w:r w:rsidRPr="00591347">
          <w:rPr>
            <w:rFonts w:ascii="Verdana" w:hAnsi="Verdana" w:cs="Arial"/>
            <w:sz w:val="16"/>
            <w:szCs w:val="16"/>
          </w:rPr>
          <w:t>36</w:t>
        </w:r>
      </w:hyperlink>
      <w:r w:rsidRPr="00591347">
        <w:rPr>
          <w:rFonts w:ascii="Verdana" w:hAnsi="Verdana" w:cs="Arial"/>
          <w:sz w:val="16"/>
          <w:szCs w:val="16"/>
        </w:rPr>
        <w:t> de la presente ley. así mismo, la entidad ejecutora estará a cargo de la contratación de la interventoría, de conformidad con lo previsto en la presente ley.</w:t>
      </w:r>
    </w:p>
    <w:p w14:paraId="2C614BA9" w14:textId="77777777" w:rsidR="009834A8" w:rsidRPr="00591347" w:rsidRDefault="009834A8" w:rsidP="009834A8">
      <w:pPr>
        <w:spacing w:after="0"/>
        <w:ind w:firstLine="708"/>
        <w:jc w:val="both"/>
        <w:rPr>
          <w:rFonts w:ascii="Verdana" w:hAnsi="Verdana" w:cs="Arial"/>
          <w:sz w:val="16"/>
          <w:szCs w:val="16"/>
        </w:rPr>
      </w:pPr>
      <w:r w:rsidRPr="00591347">
        <w:rPr>
          <w:rFonts w:ascii="Verdana" w:hAnsi="Verdana" w:cs="Arial"/>
          <w:sz w:val="16"/>
          <w:szCs w:val="16"/>
        </w:rPr>
        <w:t xml:space="preserve">Las entidades ejecutoras de recursos del sistema son responsables de suministrar de forma veraz, oportuna e idónea, la información de la gestión de los proyectos que se requiera e implementar las acciones que sean pertinentes para encauzar el desempeño de los proyectos de inversión y decidir, de manera motivada, sobre la continuidad de </w:t>
      </w:r>
      <w:r w:rsidRPr="00591347">
        <w:rPr>
          <w:rFonts w:ascii="Verdana" w:hAnsi="Verdana" w:cs="Arial"/>
          <w:sz w:val="16"/>
          <w:szCs w:val="16"/>
        </w:rPr>
        <w:t>los mismos, sin perjuicio de las acciones de control a las que haya lugar.</w:t>
      </w:r>
    </w:p>
    <w:p w14:paraId="2BA05F1F" w14:textId="77777777" w:rsidR="009834A8" w:rsidRPr="00591347" w:rsidRDefault="009834A8" w:rsidP="009834A8">
      <w:pPr>
        <w:spacing w:after="0"/>
        <w:ind w:firstLine="708"/>
        <w:jc w:val="both"/>
        <w:rPr>
          <w:rFonts w:ascii="Verdana" w:hAnsi="Verdana" w:cs="Arial"/>
          <w:sz w:val="16"/>
          <w:szCs w:val="16"/>
        </w:rPr>
      </w:pPr>
      <w:r w:rsidRPr="00591347">
        <w:rPr>
          <w:rFonts w:ascii="Verdana" w:hAnsi="Verdana" w:cs="Arial"/>
          <w:bCs/>
          <w:sz w:val="16"/>
          <w:szCs w:val="16"/>
        </w:rPr>
        <w:t>Parágrafo 1o.</w:t>
      </w:r>
      <w:r w:rsidRPr="00591347">
        <w:rPr>
          <w:rFonts w:ascii="Verdana" w:hAnsi="Verdana" w:cs="Arial"/>
          <w:sz w:val="16"/>
          <w:szCs w:val="16"/>
        </w:rPr>
        <w:t xml:space="preserve"> La ejecución de proyectos de que trata este artículo, se adelantará, con estricta sujeción al régimen presupuestal definido en esta ley, al de contratación pública y las demás normas legales vigentes. el ejecutor garantizará la correcta ejecución de los recursos asignados al proyecto de inversión, así como el suministro y registro de la información requerida por el sistema de seguimiento, evaluación y control.</w:t>
      </w:r>
    </w:p>
    <w:p w14:paraId="426E021A" w14:textId="77777777" w:rsidR="009834A8" w:rsidRPr="00591347" w:rsidRDefault="009834A8" w:rsidP="009834A8">
      <w:pPr>
        <w:spacing w:after="0"/>
        <w:ind w:firstLine="708"/>
        <w:jc w:val="both"/>
        <w:rPr>
          <w:rFonts w:ascii="Verdana" w:hAnsi="Verdana" w:cs="Arial"/>
          <w:sz w:val="16"/>
          <w:szCs w:val="16"/>
        </w:rPr>
      </w:pPr>
      <w:r w:rsidRPr="00591347">
        <w:rPr>
          <w:rFonts w:ascii="Verdana" w:hAnsi="Verdana" w:cs="Arial"/>
          <w:bCs/>
          <w:sz w:val="16"/>
          <w:szCs w:val="16"/>
        </w:rPr>
        <w:t>Parágrafo 2o.</w:t>
      </w:r>
      <w:r w:rsidRPr="00591347">
        <w:rPr>
          <w:rFonts w:ascii="Verdana" w:hAnsi="Verdana" w:cs="Arial"/>
          <w:sz w:val="16"/>
          <w:szCs w:val="16"/>
        </w:rPr>
        <w:t xml:space="preserve"> Las entidades territoriales beneficiarias de asignaciones directas, la asignación para la inversión local y del 60% de la asignación para la inversión regional en cabeza de los departamentos podrán ejecutar directamente estos recursos o la entidad ejecutora que designe.</w:t>
      </w:r>
    </w:p>
    <w:p w14:paraId="1153711F" w14:textId="77777777" w:rsidR="009834A8" w:rsidRPr="00591347" w:rsidRDefault="009834A8" w:rsidP="009834A8">
      <w:pPr>
        <w:spacing w:after="0"/>
        <w:ind w:firstLine="708"/>
        <w:jc w:val="both"/>
        <w:rPr>
          <w:rFonts w:ascii="Verdana" w:hAnsi="Verdana" w:cs="Arial"/>
          <w:sz w:val="16"/>
          <w:szCs w:val="16"/>
        </w:rPr>
      </w:pPr>
      <w:r w:rsidRPr="00591347">
        <w:rPr>
          <w:rFonts w:ascii="Verdana" w:hAnsi="Verdana" w:cs="Arial"/>
          <w:bCs/>
          <w:sz w:val="16"/>
          <w:szCs w:val="16"/>
        </w:rPr>
        <w:t>Parágrafo 3o.</w:t>
      </w:r>
      <w:r w:rsidRPr="00591347">
        <w:rPr>
          <w:rFonts w:ascii="Verdana" w:hAnsi="Verdana" w:cs="Arial"/>
          <w:sz w:val="16"/>
          <w:szCs w:val="16"/>
        </w:rPr>
        <w:t xml:space="preserve"> La entidad designada ejecutora por las entidades u órganos de que tratan los artículos </w:t>
      </w:r>
      <w:hyperlink r:id="rId3" w:anchor="35" w:history="1">
        <w:r w:rsidRPr="00591347">
          <w:rPr>
            <w:rFonts w:ascii="Verdana" w:hAnsi="Verdana" w:cs="Arial"/>
            <w:sz w:val="16"/>
            <w:szCs w:val="16"/>
          </w:rPr>
          <w:t>35</w:t>
        </w:r>
      </w:hyperlink>
      <w:r w:rsidRPr="00591347">
        <w:rPr>
          <w:rFonts w:ascii="Verdana" w:hAnsi="Verdana" w:cs="Arial"/>
          <w:sz w:val="16"/>
          <w:szCs w:val="16"/>
        </w:rPr>
        <w:t xml:space="preserve"> y </w:t>
      </w:r>
      <w:hyperlink r:id="rId4" w:anchor="36" w:history="1">
        <w:r w:rsidRPr="00591347">
          <w:rPr>
            <w:rFonts w:ascii="Verdana" w:hAnsi="Verdana" w:cs="Arial"/>
            <w:sz w:val="16"/>
            <w:szCs w:val="16"/>
          </w:rPr>
          <w:t>36</w:t>
        </w:r>
      </w:hyperlink>
      <w:r w:rsidRPr="00591347">
        <w:rPr>
          <w:rFonts w:ascii="Verdana" w:hAnsi="Verdana" w:cs="Arial"/>
          <w:sz w:val="16"/>
          <w:szCs w:val="16"/>
        </w:rPr>
        <w:t>, deberá expedir el acto administrativo que ordena la apertura del proceso de selección o acto administrativo unilateral que decreta el gasto con cargo a los recursos asignados, a más tardar dentro de los seis (6) meses contados a partir de la publicación del acuerdo de aprobación del proyecto de inversión que emita la entidad o instancia, según corresponda, y será la responsable de verificar el cumplimiento de los requisitos legales para el inicio de la ejecución del proyecto de inversión.</w:t>
      </w:r>
    </w:p>
    <w:p w14:paraId="4927654A" w14:textId="77777777" w:rsidR="009834A8" w:rsidRPr="00591347" w:rsidRDefault="009834A8" w:rsidP="009834A8">
      <w:pPr>
        <w:spacing w:after="0"/>
        <w:ind w:firstLine="708"/>
        <w:jc w:val="both"/>
        <w:rPr>
          <w:rFonts w:ascii="Verdana" w:hAnsi="Verdana" w:cs="Arial"/>
          <w:sz w:val="16"/>
          <w:szCs w:val="16"/>
        </w:rPr>
      </w:pPr>
      <w:r w:rsidRPr="00591347">
        <w:rPr>
          <w:rFonts w:ascii="Verdana" w:hAnsi="Verdana" w:cs="Arial"/>
          <w:sz w:val="16"/>
          <w:szCs w:val="16"/>
        </w:rPr>
        <w:t>En caso de no cumplirse lo anterior, las entidades u órganos liberarán automáticamente los recursos para la aprobación de nuevos proyectos de inversión y reportarán estos casos al sistema de seguimiento, evaluación y control para que se tengan en cuenta en la medición del desempeño en la gestión de los recursos del sistema general de regalías y a los órganos de control.</w:t>
      </w:r>
    </w:p>
    <w:p w14:paraId="0765961D" w14:textId="77777777" w:rsidR="009834A8" w:rsidRPr="00591347" w:rsidRDefault="009834A8" w:rsidP="009834A8">
      <w:pPr>
        <w:spacing w:after="0"/>
        <w:ind w:firstLine="708"/>
        <w:jc w:val="both"/>
        <w:rPr>
          <w:rFonts w:ascii="Verdana" w:hAnsi="Verdana"/>
          <w:sz w:val="16"/>
          <w:szCs w:val="16"/>
        </w:rPr>
      </w:pPr>
      <w:r w:rsidRPr="00591347">
        <w:rPr>
          <w:rFonts w:ascii="Verdana" w:hAnsi="Verdana" w:cs="Arial"/>
          <w:sz w:val="16"/>
          <w:szCs w:val="16"/>
        </w:rPr>
        <w:t>Se exceptúan los casos en los que por causas no atribuibles a la entidad designada como ejecutora no se logre expedir el acto administrativo que ordena la apertura del proceso de selección o acto administrativo unilateral que decreta el gasto con cargo a los recursos asignados en los seis (6) meses, caso en el cual las entidades u órganos podrán prorrogar hasta por doce (12) meses más lo estipulado en este parágrafo. la comisión rectora del sistema general de regalías reglamentará estos casos</w:t>
      </w:r>
      <w:r w:rsidRPr="00591347">
        <w:rPr>
          <w:rFonts w:ascii="Verdana" w:hAnsi="Verdana" w:cs="Arial"/>
          <w:sz w:val="16"/>
          <w:szCs w:val="16"/>
          <w:lang w:val="es-ES"/>
        </w:rPr>
        <w:t>”</w:t>
      </w:r>
      <w:r w:rsidRPr="00591347">
        <w:rPr>
          <w:rFonts w:ascii="Verdana" w:hAnsi="Verdana" w:cs="Arial"/>
          <w:sz w:val="16"/>
          <w:szCs w:val="16"/>
        </w:rPr>
        <w:t>.</w:t>
      </w:r>
    </w:p>
  </w:footnote>
  <w:footnote w:id="12">
    <w:p w14:paraId="5F3C7BEC" w14:textId="77777777" w:rsidR="009834A8" w:rsidRPr="00CF222C" w:rsidRDefault="009834A8" w:rsidP="009834A8">
      <w:pPr>
        <w:pStyle w:val="Textonotapie"/>
        <w:ind w:firstLine="709"/>
        <w:rPr>
          <w:lang w:val="es-CO"/>
        </w:rPr>
      </w:pPr>
      <w:r>
        <w:rPr>
          <w:rStyle w:val="Refdenotaalpie"/>
        </w:rPr>
        <w:footnoteRef/>
      </w:r>
      <w:r>
        <w:t xml:space="preserve"> </w:t>
      </w:r>
      <w:r w:rsidRPr="00CF222C">
        <w:rPr>
          <w:rFonts w:ascii="Verdana" w:hAnsi="Verdana"/>
          <w:sz w:val="16"/>
          <w:szCs w:val="16"/>
          <w:lang w:val="es-CO"/>
        </w:rPr>
        <w:t>Artículo 27 de la Ley 2056 de 2020</w:t>
      </w:r>
    </w:p>
  </w:footnote>
  <w:footnote w:id="13">
    <w:p w14:paraId="2E6AFF14" w14:textId="77777777" w:rsidR="009834A8" w:rsidRPr="003B66BF" w:rsidRDefault="009834A8" w:rsidP="009834A8">
      <w:pPr>
        <w:pStyle w:val="Textonotapie"/>
        <w:ind w:firstLine="709"/>
        <w:jc w:val="both"/>
        <w:rPr>
          <w:lang w:val="es-CO"/>
        </w:rPr>
      </w:pPr>
      <w:r>
        <w:rPr>
          <w:rStyle w:val="Refdenotaalpie"/>
        </w:rPr>
        <w:footnoteRef/>
      </w:r>
      <w:r>
        <w:t xml:space="preserve"> </w:t>
      </w:r>
      <w:r w:rsidRPr="003B66BF">
        <w:rPr>
          <w:rFonts w:ascii="Verdana" w:hAnsi="Verdana"/>
          <w:sz w:val="16"/>
          <w:szCs w:val="16"/>
        </w:rPr>
        <w:t xml:space="preserve">Esta Guía puede ser revisada en este enlace: </w:t>
      </w:r>
      <w:hyperlink r:id="rId5" w:history="1">
        <w:r w:rsidRPr="003B66BF">
          <w:rPr>
            <w:rStyle w:val="Hipervnculo"/>
            <w:rFonts w:ascii="Verdana" w:hAnsi="Verdana"/>
            <w:sz w:val="16"/>
            <w:szCs w:val="16"/>
          </w:rPr>
          <w:t>https://www.colombiacompra.gov.co/archivos/manual/guia-para-el-manejo-de-anticipos-mediante-contrato-de-fiducia-mercantil-irrevocable</w:t>
        </w:r>
      </w:hyperlink>
      <w:r>
        <w:t xml:space="preserve"> </w:t>
      </w:r>
    </w:p>
  </w:footnote>
  <w:footnote w:id="14">
    <w:p w14:paraId="59C85CC9" w14:textId="77777777" w:rsidR="009834A8" w:rsidRPr="004316BD" w:rsidRDefault="009834A8" w:rsidP="009834A8">
      <w:pPr>
        <w:pStyle w:val="Textonotapie"/>
        <w:ind w:firstLine="709"/>
        <w:rPr>
          <w:lang w:val="es-CO"/>
        </w:rPr>
      </w:pPr>
      <w:r>
        <w:rPr>
          <w:rStyle w:val="Refdenotaalpie"/>
        </w:rPr>
        <w:footnoteRef/>
      </w:r>
      <w:r>
        <w:t xml:space="preserve"> </w:t>
      </w:r>
      <w:r w:rsidRPr="00E615A4">
        <w:rPr>
          <w:rFonts w:ascii="Verdana" w:hAnsi="Verdana"/>
          <w:sz w:val="16"/>
          <w:szCs w:val="16"/>
        </w:rPr>
        <w:t>Disponible en: https://www.colombiacompra.gov.co/normativa-y-relatoria/guias-y-manuales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4pt;height:14.4pt" o:bullet="t">
        <v:imagedata r:id="rId1" o:title="mso1B13"/>
      </v:shape>
    </w:pict>
  </w:numPicBullet>
  <w:abstractNum w:abstractNumId="0" w15:restartNumberingAfterBreak="0">
    <w:nsid w:val="8C356933"/>
    <w:multiLevelType w:val="hybridMultilevel"/>
    <w:tmpl w:val="D095A54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84FA968"/>
    <w:multiLevelType w:val="hybridMultilevel"/>
    <w:tmpl w:val="FA93AFA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06C718F"/>
    <w:multiLevelType w:val="hybridMultilevel"/>
    <w:tmpl w:val="867DB43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142C8FB"/>
    <w:multiLevelType w:val="hybridMultilevel"/>
    <w:tmpl w:val="1FAA61C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5"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15:restartNumberingAfterBreak="0">
    <w:nsid w:val="1FFE0ADF"/>
    <w:multiLevelType w:val="multilevel"/>
    <w:tmpl w:val="813C7E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C114D7"/>
    <w:multiLevelType w:val="hybridMultilevel"/>
    <w:tmpl w:val="6D001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A54984"/>
    <w:multiLevelType w:val="hybridMultilevel"/>
    <w:tmpl w:val="1CBE281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1" w15:restartNumberingAfterBreak="0">
    <w:nsid w:val="23110008"/>
    <w:multiLevelType w:val="hybridMultilevel"/>
    <w:tmpl w:val="A6BC0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2B0379A"/>
    <w:multiLevelType w:val="hybridMultilevel"/>
    <w:tmpl w:val="673241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 w15:restartNumberingAfterBreak="0">
    <w:nsid w:val="4983715A"/>
    <w:multiLevelType w:val="hybridMultilevel"/>
    <w:tmpl w:val="D902A7CC"/>
    <w:lvl w:ilvl="0" w:tplc="04090001">
      <w:start w:val="1"/>
      <w:numFmt w:val="bullet"/>
      <w:lvlText w:val=""/>
      <w:lvlJc w:val="left"/>
      <w:pPr>
        <w:ind w:left="1434" w:hanging="360"/>
      </w:pPr>
      <w:rPr>
        <w:rFonts w:ascii="Symbol" w:hAnsi="Symbol" w:hint="default"/>
      </w:rPr>
    </w:lvl>
    <w:lvl w:ilvl="1" w:tplc="04090003" w:tentative="1">
      <w:start w:val="1"/>
      <w:numFmt w:val="bullet"/>
      <w:lvlText w:val="o"/>
      <w:lvlJc w:val="left"/>
      <w:pPr>
        <w:ind w:left="2154" w:hanging="360"/>
      </w:pPr>
      <w:rPr>
        <w:rFonts w:ascii="Courier New" w:hAnsi="Courier New" w:cs="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cs="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cs="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22" w15:restartNumberingAfterBreak="0">
    <w:nsid w:val="57872798"/>
    <w:multiLevelType w:val="hybridMultilevel"/>
    <w:tmpl w:val="58926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5D695050"/>
    <w:multiLevelType w:val="hybridMultilevel"/>
    <w:tmpl w:val="628A568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6" w15:restartNumberingAfterBreak="0">
    <w:nsid w:val="69E54ACA"/>
    <w:multiLevelType w:val="hybridMultilevel"/>
    <w:tmpl w:val="61A08D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556741497">
    <w:abstractNumId w:val="17"/>
  </w:num>
  <w:num w:numId="2" w16cid:durableId="909774480">
    <w:abstractNumId w:val="6"/>
  </w:num>
  <w:num w:numId="3" w16cid:durableId="967468761">
    <w:abstractNumId w:val="14"/>
  </w:num>
  <w:num w:numId="4" w16cid:durableId="2035674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12116329">
    <w:abstractNumId w:val="6"/>
  </w:num>
  <w:num w:numId="6" w16cid:durableId="1112094425">
    <w:abstractNumId w:val="29"/>
  </w:num>
  <w:num w:numId="7" w16cid:durableId="1151140186">
    <w:abstractNumId w:val="15"/>
  </w:num>
  <w:num w:numId="8" w16cid:durableId="1213035826">
    <w:abstractNumId w:val="28"/>
  </w:num>
  <w:num w:numId="9" w16cid:durableId="40134752">
    <w:abstractNumId w:val="18"/>
  </w:num>
  <w:num w:numId="10" w16cid:durableId="69618277">
    <w:abstractNumId w:val="27"/>
  </w:num>
  <w:num w:numId="11" w16cid:durableId="1001129607">
    <w:abstractNumId w:val="19"/>
  </w:num>
  <w:num w:numId="12" w16cid:durableId="1207135076">
    <w:abstractNumId w:val="5"/>
  </w:num>
  <w:num w:numId="13" w16cid:durableId="958101326">
    <w:abstractNumId w:val="12"/>
  </w:num>
  <w:num w:numId="14" w16cid:durableId="1552614702">
    <w:abstractNumId w:val="30"/>
  </w:num>
  <w:num w:numId="15" w16cid:durableId="705838058">
    <w:abstractNumId w:val="25"/>
  </w:num>
  <w:num w:numId="16" w16cid:durableId="1016737418">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64951876">
    <w:abstractNumId w:val="7"/>
  </w:num>
  <w:num w:numId="18" w16cid:durableId="1754936400">
    <w:abstractNumId w:val="23"/>
  </w:num>
  <w:num w:numId="19" w16cid:durableId="32506250">
    <w:abstractNumId w:val="13"/>
  </w:num>
  <w:num w:numId="20" w16cid:durableId="814104812">
    <w:abstractNumId w:val="20"/>
  </w:num>
  <w:num w:numId="21" w16cid:durableId="794787136">
    <w:abstractNumId w:val="31"/>
  </w:num>
  <w:num w:numId="22" w16cid:durableId="986977132">
    <w:abstractNumId w:val="9"/>
  </w:num>
  <w:num w:numId="23" w16cid:durableId="696541444">
    <w:abstractNumId w:val="3"/>
  </w:num>
  <w:num w:numId="24" w16cid:durableId="559898773">
    <w:abstractNumId w:val="21"/>
  </w:num>
  <w:num w:numId="25" w16cid:durableId="1675955653">
    <w:abstractNumId w:val="22"/>
  </w:num>
  <w:num w:numId="26" w16cid:durableId="1824006985">
    <w:abstractNumId w:val="11"/>
  </w:num>
  <w:num w:numId="27" w16cid:durableId="632105107">
    <w:abstractNumId w:val="1"/>
  </w:num>
  <w:num w:numId="28" w16cid:durableId="636448800">
    <w:abstractNumId w:val="0"/>
  </w:num>
  <w:num w:numId="29" w16cid:durableId="298849881">
    <w:abstractNumId w:val="2"/>
  </w:num>
  <w:num w:numId="30" w16cid:durableId="1455127740">
    <w:abstractNumId w:val="24"/>
  </w:num>
  <w:num w:numId="31" w16cid:durableId="464198050">
    <w:abstractNumId w:val="10"/>
  </w:num>
  <w:num w:numId="32" w16cid:durableId="44649118">
    <w:abstractNumId w:val="26"/>
  </w:num>
  <w:num w:numId="33" w16cid:durableId="150829592">
    <w:abstractNumId w:val="16"/>
  </w:num>
  <w:num w:numId="34" w16cid:durableId="181934787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2B29"/>
    <w:rsid w:val="000039A2"/>
    <w:rsid w:val="00003D43"/>
    <w:rsid w:val="0000547E"/>
    <w:rsid w:val="000061A6"/>
    <w:rsid w:val="000062F3"/>
    <w:rsid w:val="0000797D"/>
    <w:rsid w:val="00010E32"/>
    <w:rsid w:val="0001328B"/>
    <w:rsid w:val="0001665C"/>
    <w:rsid w:val="000224F2"/>
    <w:rsid w:val="00023C3E"/>
    <w:rsid w:val="0002653B"/>
    <w:rsid w:val="00030EA1"/>
    <w:rsid w:val="0003512B"/>
    <w:rsid w:val="000364E3"/>
    <w:rsid w:val="00043719"/>
    <w:rsid w:val="0004434A"/>
    <w:rsid w:val="0005204F"/>
    <w:rsid w:val="0005281E"/>
    <w:rsid w:val="0005682C"/>
    <w:rsid w:val="00056D71"/>
    <w:rsid w:val="000572E6"/>
    <w:rsid w:val="00061B2A"/>
    <w:rsid w:val="00062BAF"/>
    <w:rsid w:val="000630B9"/>
    <w:rsid w:val="000643B2"/>
    <w:rsid w:val="00065E80"/>
    <w:rsid w:val="0007022C"/>
    <w:rsid w:val="00071DE6"/>
    <w:rsid w:val="000754B0"/>
    <w:rsid w:val="00077439"/>
    <w:rsid w:val="000774B8"/>
    <w:rsid w:val="00080133"/>
    <w:rsid w:val="000805C9"/>
    <w:rsid w:val="00082362"/>
    <w:rsid w:val="0008328D"/>
    <w:rsid w:val="00084DA5"/>
    <w:rsid w:val="000871CF"/>
    <w:rsid w:val="0009387A"/>
    <w:rsid w:val="0009387B"/>
    <w:rsid w:val="000963C6"/>
    <w:rsid w:val="0009762F"/>
    <w:rsid w:val="000A07C7"/>
    <w:rsid w:val="000A31B9"/>
    <w:rsid w:val="000A3330"/>
    <w:rsid w:val="000A3D63"/>
    <w:rsid w:val="000A683A"/>
    <w:rsid w:val="000A683E"/>
    <w:rsid w:val="000B0103"/>
    <w:rsid w:val="000B19B9"/>
    <w:rsid w:val="000B5AFD"/>
    <w:rsid w:val="000C1C3E"/>
    <w:rsid w:val="000C2889"/>
    <w:rsid w:val="000D0152"/>
    <w:rsid w:val="000D0334"/>
    <w:rsid w:val="000D0CC1"/>
    <w:rsid w:val="000D3B29"/>
    <w:rsid w:val="000D7BEA"/>
    <w:rsid w:val="000E06F4"/>
    <w:rsid w:val="000E4CE4"/>
    <w:rsid w:val="000E5F12"/>
    <w:rsid w:val="000E62F9"/>
    <w:rsid w:val="000F10B1"/>
    <w:rsid w:val="000F6486"/>
    <w:rsid w:val="000F669F"/>
    <w:rsid w:val="00100C1D"/>
    <w:rsid w:val="00105B23"/>
    <w:rsid w:val="001063B3"/>
    <w:rsid w:val="00106643"/>
    <w:rsid w:val="00107ACA"/>
    <w:rsid w:val="001107BB"/>
    <w:rsid w:val="001114A9"/>
    <w:rsid w:val="00111979"/>
    <w:rsid w:val="001126E2"/>
    <w:rsid w:val="00116537"/>
    <w:rsid w:val="00120766"/>
    <w:rsid w:val="001240BD"/>
    <w:rsid w:val="00125105"/>
    <w:rsid w:val="001264F4"/>
    <w:rsid w:val="00126A5C"/>
    <w:rsid w:val="00127233"/>
    <w:rsid w:val="00127AE5"/>
    <w:rsid w:val="00133571"/>
    <w:rsid w:val="0013405E"/>
    <w:rsid w:val="001371AE"/>
    <w:rsid w:val="001372FC"/>
    <w:rsid w:val="00140A11"/>
    <w:rsid w:val="00143D6D"/>
    <w:rsid w:val="00143E81"/>
    <w:rsid w:val="00143FD9"/>
    <w:rsid w:val="00145047"/>
    <w:rsid w:val="00146C57"/>
    <w:rsid w:val="00150F83"/>
    <w:rsid w:val="0016332F"/>
    <w:rsid w:val="00164A65"/>
    <w:rsid w:val="001659A2"/>
    <w:rsid w:val="00166340"/>
    <w:rsid w:val="001717E9"/>
    <w:rsid w:val="001718BF"/>
    <w:rsid w:val="0017238A"/>
    <w:rsid w:val="0017699D"/>
    <w:rsid w:val="00180A30"/>
    <w:rsid w:val="00180DAF"/>
    <w:rsid w:val="001810FF"/>
    <w:rsid w:val="001813FB"/>
    <w:rsid w:val="00185EE9"/>
    <w:rsid w:val="00187F79"/>
    <w:rsid w:val="00190BDE"/>
    <w:rsid w:val="00196381"/>
    <w:rsid w:val="001964CE"/>
    <w:rsid w:val="001964E6"/>
    <w:rsid w:val="00197274"/>
    <w:rsid w:val="001A2179"/>
    <w:rsid w:val="001A237A"/>
    <w:rsid w:val="001A26CF"/>
    <w:rsid w:val="001A2919"/>
    <w:rsid w:val="001A346E"/>
    <w:rsid w:val="001A4304"/>
    <w:rsid w:val="001B1CFF"/>
    <w:rsid w:val="001B2873"/>
    <w:rsid w:val="001B2CFE"/>
    <w:rsid w:val="001C222E"/>
    <w:rsid w:val="001C22F9"/>
    <w:rsid w:val="001C24A4"/>
    <w:rsid w:val="001C5FE2"/>
    <w:rsid w:val="001C6D2D"/>
    <w:rsid w:val="001C6ED4"/>
    <w:rsid w:val="001D1C29"/>
    <w:rsid w:val="001E3C06"/>
    <w:rsid w:val="001E4177"/>
    <w:rsid w:val="001E4CE8"/>
    <w:rsid w:val="001F4EFD"/>
    <w:rsid w:val="001F5E13"/>
    <w:rsid w:val="001F6D11"/>
    <w:rsid w:val="001F7CF3"/>
    <w:rsid w:val="001F7D24"/>
    <w:rsid w:val="001F7DC6"/>
    <w:rsid w:val="002020AD"/>
    <w:rsid w:val="00202523"/>
    <w:rsid w:val="00202886"/>
    <w:rsid w:val="0020301D"/>
    <w:rsid w:val="00203062"/>
    <w:rsid w:val="00207EB1"/>
    <w:rsid w:val="00211C7E"/>
    <w:rsid w:val="00213948"/>
    <w:rsid w:val="00215CEF"/>
    <w:rsid w:val="002167F6"/>
    <w:rsid w:val="00217A08"/>
    <w:rsid w:val="00220B77"/>
    <w:rsid w:val="00221D27"/>
    <w:rsid w:val="00231928"/>
    <w:rsid w:val="00237233"/>
    <w:rsid w:val="0024106B"/>
    <w:rsid w:val="002421BB"/>
    <w:rsid w:val="00242CCA"/>
    <w:rsid w:val="00246A81"/>
    <w:rsid w:val="00247F34"/>
    <w:rsid w:val="00251380"/>
    <w:rsid w:val="00251A5F"/>
    <w:rsid w:val="00256F7C"/>
    <w:rsid w:val="0025796E"/>
    <w:rsid w:val="002603E5"/>
    <w:rsid w:val="00260804"/>
    <w:rsid w:val="0026286F"/>
    <w:rsid w:val="002638B2"/>
    <w:rsid w:val="002660F2"/>
    <w:rsid w:val="002664BB"/>
    <w:rsid w:val="002707A2"/>
    <w:rsid w:val="00273546"/>
    <w:rsid w:val="002835A6"/>
    <w:rsid w:val="002844ED"/>
    <w:rsid w:val="0028606A"/>
    <w:rsid w:val="002951A0"/>
    <w:rsid w:val="002962BC"/>
    <w:rsid w:val="00296562"/>
    <w:rsid w:val="002A093D"/>
    <w:rsid w:val="002A0DD0"/>
    <w:rsid w:val="002A2811"/>
    <w:rsid w:val="002A49AC"/>
    <w:rsid w:val="002A64FD"/>
    <w:rsid w:val="002A6BBF"/>
    <w:rsid w:val="002B1E57"/>
    <w:rsid w:val="002B1F7F"/>
    <w:rsid w:val="002B290B"/>
    <w:rsid w:val="002C110E"/>
    <w:rsid w:val="002C173D"/>
    <w:rsid w:val="002C24EF"/>
    <w:rsid w:val="002C379A"/>
    <w:rsid w:val="002C618B"/>
    <w:rsid w:val="002C73C2"/>
    <w:rsid w:val="002C765E"/>
    <w:rsid w:val="002C7A84"/>
    <w:rsid w:val="002D13A1"/>
    <w:rsid w:val="002D3181"/>
    <w:rsid w:val="002D3F0D"/>
    <w:rsid w:val="002E11E1"/>
    <w:rsid w:val="002E1D98"/>
    <w:rsid w:val="002E2C3F"/>
    <w:rsid w:val="002E32E4"/>
    <w:rsid w:val="002E4FD9"/>
    <w:rsid w:val="002E6F15"/>
    <w:rsid w:val="002F13FD"/>
    <w:rsid w:val="00302902"/>
    <w:rsid w:val="00303021"/>
    <w:rsid w:val="00303544"/>
    <w:rsid w:val="003039C1"/>
    <w:rsid w:val="00306D8D"/>
    <w:rsid w:val="00310DBE"/>
    <w:rsid w:val="0031430F"/>
    <w:rsid w:val="00320BBD"/>
    <w:rsid w:val="00320CD7"/>
    <w:rsid w:val="00322A85"/>
    <w:rsid w:val="00323642"/>
    <w:rsid w:val="00324168"/>
    <w:rsid w:val="00325FC2"/>
    <w:rsid w:val="003268A5"/>
    <w:rsid w:val="0033032A"/>
    <w:rsid w:val="00334C6A"/>
    <w:rsid w:val="00336C05"/>
    <w:rsid w:val="003379A8"/>
    <w:rsid w:val="00337AB5"/>
    <w:rsid w:val="00340B31"/>
    <w:rsid w:val="00342675"/>
    <w:rsid w:val="00343512"/>
    <w:rsid w:val="003445D3"/>
    <w:rsid w:val="003446BD"/>
    <w:rsid w:val="003448F4"/>
    <w:rsid w:val="00345330"/>
    <w:rsid w:val="003455A6"/>
    <w:rsid w:val="00345897"/>
    <w:rsid w:val="00345A95"/>
    <w:rsid w:val="003469FD"/>
    <w:rsid w:val="003528DF"/>
    <w:rsid w:val="00352C12"/>
    <w:rsid w:val="00354BCA"/>
    <w:rsid w:val="0035503C"/>
    <w:rsid w:val="0036093C"/>
    <w:rsid w:val="00362B7B"/>
    <w:rsid w:val="0036594E"/>
    <w:rsid w:val="003665EE"/>
    <w:rsid w:val="0037010E"/>
    <w:rsid w:val="003716F6"/>
    <w:rsid w:val="00373299"/>
    <w:rsid w:val="003734F4"/>
    <w:rsid w:val="00374F5E"/>
    <w:rsid w:val="00376899"/>
    <w:rsid w:val="00376C8F"/>
    <w:rsid w:val="00377E3E"/>
    <w:rsid w:val="003815B3"/>
    <w:rsid w:val="003815E8"/>
    <w:rsid w:val="003818E0"/>
    <w:rsid w:val="00392A49"/>
    <w:rsid w:val="00392F0B"/>
    <w:rsid w:val="0039784B"/>
    <w:rsid w:val="003A26D1"/>
    <w:rsid w:val="003A3B30"/>
    <w:rsid w:val="003A779E"/>
    <w:rsid w:val="003B005A"/>
    <w:rsid w:val="003B4859"/>
    <w:rsid w:val="003B4C77"/>
    <w:rsid w:val="003B66BF"/>
    <w:rsid w:val="003C0F65"/>
    <w:rsid w:val="003C19C6"/>
    <w:rsid w:val="003C3FA5"/>
    <w:rsid w:val="003D0F4D"/>
    <w:rsid w:val="003D5B0D"/>
    <w:rsid w:val="003E0499"/>
    <w:rsid w:val="003E1A35"/>
    <w:rsid w:val="003E370C"/>
    <w:rsid w:val="003E40F2"/>
    <w:rsid w:val="003F1CF7"/>
    <w:rsid w:val="003F3941"/>
    <w:rsid w:val="00400676"/>
    <w:rsid w:val="004008A9"/>
    <w:rsid w:val="00406575"/>
    <w:rsid w:val="004069AB"/>
    <w:rsid w:val="004074C7"/>
    <w:rsid w:val="00410906"/>
    <w:rsid w:val="004125AB"/>
    <w:rsid w:val="00412A3E"/>
    <w:rsid w:val="0041655A"/>
    <w:rsid w:val="00426FD7"/>
    <w:rsid w:val="0042722E"/>
    <w:rsid w:val="00427DA0"/>
    <w:rsid w:val="004316BD"/>
    <w:rsid w:val="00432C6C"/>
    <w:rsid w:val="00440391"/>
    <w:rsid w:val="00442C7F"/>
    <w:rsid w:val="0044357E"/>
    <w:rsid w:val="0044528D"/>
    <w:rsid w:val="0044645B"/>
    <w:rsid w:val="00450920"/>
    <w:rsid w:val="00452D4D"/>
    <w:rsid w:val="00454D48"/>
    <w:rsid w:val="004554F9"/>
    <w:rsid w:val="004567D1"/>
    <w:rsid w:val="00457C25"/>
    <w:rsid w:val="0046004D"/>
    <w:rsid w:val="0046236C"/>
    <w:rsid w:val="004633DE"/>
    <w:rsid w:val="00465E71"/>
    <w:rsid w:val="004734BD"/>
    <w:rsid w:val="004801D6"/>
    <w:rsid w:val="00480E57"/>
    <w:rsid w:val="00482608"/>
    <w:rsid w:val="00483749"/>
    <w:rsid w:val="00484809"/>
    <w:rsid w:val="00484BB1"/>
    <w:rsid w:val="0048717A"/>
    <w:rsid w:val="00493DF6"/>
    <w:rsid w:val="004940DD"/>
    <w:rsid w:val="004940FB"/>
    <w:rsid w:val="00496543"/>
    <w:rsid w:val="00497004"/>
    <w:rsid w:val="004A0980"/>
    <w:rsid w:val="004A0B8B"/>
    <w:rsid w:val="004A1847"/>
    <w:rsid w:val="004A305D"/>
    <w:rsid w:val="004A3312"/>
    <w:rsid w:val="004A6C0D"/>
    <w:rsid w:val="004B26F2"/>
    <w:rsid w:val="004B3607"/>
    <w:rsid w:val="004B740F"/>
    <w:rsid w:val="004C4B37"/>
    <w:rsid w:val="004C52E4"/>
    <w:rsid w:val="004D026D"/>
    <w:rsid w:val="004D2643"/>
    <w:rsid w:val="004D2D96"/>
    <w:rsid w:val="004D6242"/>
    <w:rsid w:val="004E221E"/>
    <w:rsid w:val="004E2892"/>
    <w:rsid w:val="004E4C0B"/>
    <w:rsid w:val="004E505B"/>
    <w:rsid w:val="004F21C4"/>
    <w:rsid w:val="004F3012"/>
    <w:rsid w:val="004F44B4"/>
    <w:rsid w:val="004F5559"/>
    <w:rsid w:val="004F685F"/>
    <w:rsid w:val="004F7EC9"/>
    <w:rsid w:val="005029D2"/>
    <w:rsid w:val="00504CBE"/>
    <w:rsid w:val="00514598"/>
    <w:rsid w:val="005163B5"/>
    <w:rsid w:val="00522025"/>
    <w:rsid w:val="0052543A"/>
    <w:rsid w:val="0052785C"/>
    <w:rsid w:val="00533E1B"/>
    <w:rsid w:val="005379F8"/>
    <w:rsid w:val="00540128"/>
    <w:rsid w:val="00540C2D"/>
    <w:rsid w:val="00541B3C"/>
    <w:rsid w:val="00543073"/>
    <w:rsid w:val="00552502"/>
    <w:rsid w:val="005546B4"/>
    <w:rsid w:val="005566E8"/>
    <w:rsid w:val="00560CB5"/>
    <w:rsid w:val="00564F8B"/>
    <w:rsid w:val="00574122"/>
    <w:rsid w:val="00574867"/>
    <w:rsid w:val="00577D09"/>
    <w:rsid w:val="0058087F"/>
    <w:rsid w:val="005819B8"/>
    <w:rsid w:val="005823C1"/>
    <w:rsid w:val="005832FE"/>
    <w:rsid w:val="00583511"/>
    <w:rsid w:val="00590AF7"/>
    <w:rsid w:val="00591460"/>
    <w:rsid w:val="00591DEA"/>
    <w:rsid w:val="00592628"/>
    <w:rsid w:val="00597C75"/>
    <w:rsid w:val="005A0868"/>
    <w:rsid w:val="005A0CFB"/>
    <w:rsid w:val="005A23FB"/>
    <w:rsid w:val="005A2650"/>
    <w:rsid w:val="005A282F"/>
    <w:rsid w:val="005A2AC9"/>
    <w:rsid w:val="005A5354"/>
    <w:rsid w:val="005A65AC"/>
    <w:rsid w:val="005B258F"/>
    <w:rsid w:val="005B2CCE"/>
    <w:rsid w:val="005B55A8"/>
    <w:rsid w:val="005B58C1"/>
    <w:rsid w:val="005B6033"/>
    <w:rsid w:val="005C3777"/>
    <w:rsid w:val="005C5CDC"/>
    <w:rsid w:val="005D17C8"/>
    <w:rsid w:val="005D2B2B"/>
    <w:rsid w:val="005D476C"/>
    <w:rsid w:val="005D5F91"/>
    <w:rsid w:val="005D6A91"/>
    <w:rsid w:val="005D7B25"/>
    <w:rsid w:val="005E60D0"/>
    <w:rsid w:val="005F2F4A"/>
    <w:rsid w:val="005F4023"/>
    <w:rsid w:val="005F7C43"/>
    <w:rsid w:val="006021D6"/>
    <w:rsid w:val="00605A00"/>
    <w:rsid w:val="006065A5"/>
    <w:rsid w:val="00610812"/>
    <w:rsid w:val="00612CE7"/>
    <w:rsid w:val="00613A64"/>
    <w:rsid w:val="006179C4"/>
    <w:rsid w:val="006219F8"/>
    <w:rsid w:val="006227EA"/>
    <w:rsid w:val="00627F02"/>
    <w:rsid w:val="00630318"/>
    <w:rsid w:val="0063165E"/>
    <w:rsid w:val="00632C08"/>
    <w:rsid w:val="00635980"/>
    <w:rsid w:val="006459C3"/>
    <w:rsid w:val="00646FE9"/>
    <w:rsid w:val="00647738"/>
    <w:rsid w:val="00650FF7"/>
    <w:rsid w:val="006544D5"/>
    <w:rsid w:val="0065651F"/>
    <w:rsid w:val="00657E07"/>
    <w:rsid w:val="00665D70"/>
    <w:rsid w:val="00670147"/>
    <w:rsid w:val="00671DAC"/>
    <w:rsid w:val="00672831"/>
    <w:rsid w:val="006747C7"/>
    <w:rsid w:val="00675432"/>
    <w:rsid w:val="00675A16"/>
    <w:rsid w:val="006761DF"/>
    <w:rsid w:val="006827AC"/>
    <w:rsid w:val="00684C87"/>
    <w:rsid w:val="006859A3"/>
    <w:rsid w:val="00685E8D"/>
    <w:rsid w:val="006900D9"/>
    <w:rsid w:val="006A0008"/>
    <w:rsid w:val="006A10DF"/>
    <w:rsid w:val="006A1513"/>
    <w:rsid w:val="006A24F2"/>
    <w:rsid w:val="006A3147"/>
    <w:rsid w:val="006B25DE"/>
    <w:rsid w:val="006B3FBE"/>
    <w:rsid w:val="006B4F3F"/>
    <w:rsid w:val="006B5581"/>
    <w:rsid w:val="006C0240"/>
    <w:rsid w:val="006C0C2C"/>
    <w:rsid w:val="006C5595"/>
    <w:rsid w:val="006C5765"/>
    <w:rsid w:val="006D12F8"/>
    <w:rsid w:val="006D798C"/>
    <w:rsid w:val="006E23BA"/>
    <w:rsid w:val="006E4DAE"/>
    <w:rsid w:val="006F0D40"/>
    <w:rsid w:val="006F2501"/>
    <w:rsid w:val="006F2D86"/>
    <w:rsid w:val="006F2D8E"/>
    <w:rsid w:val="006F4A9F"/>
    <w:rsid w:val="007000F0"/>
    <w:rsid w:val="00704B5C"/>
    <w:rsid w:val="00704D9B"/>
    <w:rsid w:val="00705E5F"/>
    <w:rsid w:val="00706C16"/>
    <w:rsid w:val="00706FAA"/>
    <w:rsid w:val="00707997"/>
    <w:rsid w:val="0071164E"/>
    <w:rsid w:val="00711C85"/>
    <w:rsid w:val="0071458F"/>
    <w:rsid w:val="0071627C"/>
    <w:rsid w:val="00722594"/>
    <w:rsid w:val="007231C5"/>
    <w:rsid w:val="00723A7F"/>
    <w:rsid w:val="007312C3"/>
    <w:rsid w:val="007332E4"/>
    <w:rsid w:val="00737C12"/>
    <w:rsid w:val="00737C53"/>
    <w:rsid w:val="00737DFA"/>
    <w:rsid w:val="007403C6"/>
    <w:rsid w:val="00754FA8"/>
    <w:rsid w:val="00756841"/>
    <w:rsid w:val="00756FC8"/>
    <w:rsid w:val="007612AC"/>
    <w:rsid w:val="00762AA9"/>
    <w:rsid w:val="007649AB"/>
    <w:rsid w:val="00764B5A"/>
    <w:rsid w:val="007654D4"/>
    <w:rsid w:val="00767F52"/>
    <w:rsid w:val="00771D0C"/>
    <w:rsid w:val="007833AC"/>
    <w:rsid w:val="007839DB"/>
    <w:rsid w:val="00784D58"/>
    <w:rsid w:val="00786FBF"/>
    <w:rsid w:val="00790AB7"/>
    <w:rsid w:val="00791769"/>
    <w:rsid w:val="00796340"/>
    <w:rsid w:val="007A0FF3"/>
    <w:rsid w:val="007A23EA"/>
    <w:rsid w:val="007A5189"/>
    <w:rsid w:val="007A5603"/>
    <w:rsid w:val="007A6B6E"/>
    <w:rsid w:val="007A7C44"/>
    <w:rsid w:val="007B0D88"/>
    <w:rsid w:val="007B12BC"/>
    <w:rsid w:val="007B268C"/>
    <w:rsid w:val="007B6552"/>
    <w:rsid w:val="007B7171"/>
    <w:rsid w:val="007B7D02"/>
    <w:rsid w:val="007C0C0F"/>
    <w:rsid w:val="007C3DC2"/>
    <w:rsid w:val="007D0457"/>
    <w:rsid w:val="007D1A96"/>
    <w:rsid w:val="007D43C9"/>
    <w:rsid w:val="007D4CAA"/>
    <w:rsid w:val="007E3DB0"/>
    <w:rsid w:val="007E5497"/>
    <w:rsid w:val="007E5B9E"/>
    <w:rsid w:val="007F1BF7"/>
    <w:rsid w:val="007F28CA"/>
    <w:rsid w:val="007F52A4"/>
    <w:rsid w:val="007F60FB"/>
    <w:rsid w:val="007F7B94"/>
    <w:rsid w:val="008029C8"/>
    <w:rsid w:val="00804981"/>
    <w:rsid w:val="008065B5"/>
    <w:rsid w:val="00806F5F"/>
    <w:rsid w:val="008163D7"/>
    <w:rsid w:val="00816734"/>
    <w:rsid w:val="00820278"/>
    <w:rsid w:val="00827623"/>
    <w:rsid w:val="00834554"/>
    <w:rsid w:val="00834B31"/>
    <w:rsid w:val="00840ADC"/>
    <w:rsid w:val="00843BF7"/>
    <w:rsid w:val="008449B3"/>
    <w:rsid w:val="00845347"/>
    <w:rsid w:val="00846276"/>
    <w:rsid w:val="00850E23"/>
    <w:rsid w:val="00851137"/>
    <w:rsid w:val="0085230D"/>
    <w:rsid w:val="00853978"/>
    <w:rsid w:val="0085432F"/>
    <w:rsid w:val="00860A01"/>
    <w:rsid w:val="00860DAD"/>
    <w:rsid w:val="00863146"/>
    <w:rsid w:val="00864209"/>
    <w:rsid w:val="00867257"/>
    <w:rsid w:val="0087325B"/>
    <w:rsid w:val="00881ABA"/>
    <w:rsid w:val="008824B0"/>
    <w:rsid w:val="008843B6"/>
    <w:rsid w:val="00886C89"/>
    <w:rsid w:val="008910F7"/>
    <w:rsid w:val="00891433"/>
    <w:rsid w:val="00891928"/>
    <w:rsid w:val="00894B8B"/>
    <w:rsid w:val="00897DFC"/>
    <w:rsid w:val="008A00A4"/>
    <w:rsid w:val="008A224D"/>
    <w:rsid w:val="008A446D"/>
    <w:rsid w:val="008A5F25"/>
    <w:rsid w:val="008A7059"/>
    <w:rsid w:val="008A7A64"/>
    <w:rsid w:val="008A7F08"/>
    <w:rsid w:val="008B2F0E"/>
    <w:rsid w:val="008B55B3"/>
    <w:rsid w:val="008B5A2E"/>
    <w:rsid w:val="008D16F5"/>
    <w:rsid w:val="008D180B"/>
    <w:rsid w:val="008D191C"/>
    <w:rsid w:val="008D7227"/>
    <w:rsid w:val="008E1F92"/>
    <w:rsid w:val="008E276B"/>
    <w:rsid w:val="008E3E61"/>
    <w:rsid w:val="008E70EA"/>
    <w:rsid w:val="008E7333"/>
    <w:rsid w:val="008E7B09"/>
    <w:rsid w:val="008F04CB"/>
    <w:rsid w:val="008F0EA7"/>
    <w:rsid w:val="008F147A"/>
    <w:rsid w:val="008F1F27"/>
    <w:rsid w:val="008F7BB9"/>
    <w:rsid w:val="00904692"/>
    <w:rsid w:val="00910097"/>
    <w:rsid w:val="00911C7C"/>
    <w:rsid w:val="00912C24"/>
    <w:rsid w:val="0091561E"/>
    <w:rsid w:val="00917452"/>
    <w:rsid w:val="009231C7"/>
    <w:rsid w:val="00923EEF"/>
    <w:rsid w:val="00926840"/>
    <w:rsid w:val="00926D3B"/>
    <w:rsid w:val="00930E1E"/>
    <w:rsid w:val="009351F9"/>
    <w:rsid w:val="009411F5"/>
    <w:rsid w:val="009419F9"/>
    <w:rsid w:val="00943251"/>
    <w:rsid w:val="00952531"/>
    <w:rsid w:val="009531B1"/>
    <w:rsid w:val="00953AA4"/>
    <w:rsid w:val="00955305"/>
    <w:rsid w:val="009567E2"/>
    <w:rsid w:val="0095685E"/>
    <w:rsid w:val="009572D9"/>
    <w:rsid w:val="009600D2"/>
    <w:rsid w:val="00961409"/>
    <w:rsid w:val="00961B09"/>
    <w:rsid w:val="00962300"/>
    <w:rsid w:val="00965334"/>
    <w:rsid w:val="0096612C"/>
    <w:rsid w:val="0097093E"/>
    <w:rsid w:val="009747A8"/>
    <w:rsid w:val="00976025"/>
    <w:rsid w:val="00977D20"/>
    <w:rsid w:val="009800BE"/>
    <w:rsid w:val="00982E41"/>
    <w:rsid w:val="009834A8"/>
    <w:rsid w:val="00984649"/>
    <w:rsid w:val="009847C5"/>
    <w:rsid w:val="009852C1"/>
    <w:rsid w:val="009858BE"/>
    <w:rsid w:val="00994E88"/>
    <w:rsid w:val="00997126"/>
    <w:rsid w:val="009A0DFA"/>
    <w:rsid w:val="009A3C2C"/>
    <w:rsid w:val="009A4A40"/>
    <w:rsid w:val="009A4C0E"/>
    <w:rsid w:val="009B007A"/>
    <w:rsid w:val="009B2D26"/>
    <w:rsid w:val="009B3595"/>
    <w:rsid w:val="009B74D2"/>
    <w:rsid w:val="009B780F"/>
    <w:rsid w:val="009C2DD0"/>
    <w:rsid w:val="009C3AC7"/>
    <w:rsid w:val="009C66B0"/>
    <w:rsid w:val="009C66F4"/>
    <w:rsid w:val="009C71FA"/>
    <w:rsid w:val="009C72E7"/>
    <w:rsid w:val="009D0555"/>
    <w:rsid w:val="009D0607"/>
    <w:rsid w:val="009D279E"/>
    <w:rsid w:val="009D3058"/>
    <w:rsid w:val="009D3A11"/>
    <w:rsid w:val="009D44C4"/>
    <w:rsid w:val="009D67FD"/>
    <w:rsid w:val="009E2DDB"/>
    <w:rsid w:val="009E5A30"/>
    <w:rsid w:val="009E5E0E"/>
    <w:rsid w:val="009E7C05"/>
    <w:rsid w:val="009F0D6A"/>
    <w:rsid w:val="009F33DE"/>
    <w:rsid w:val="009F3831"/>
    <w:rsid w:val="009F3832"/>
    <w:rsid w:val="009F3A13"/>
    <w:rsid w:val="009F4AB2"/>
    <w:rsid w:val="009F73F7"/>
    <w:rsid w:val="00A02465"/>
    <w:rsid w:val="00A03415"/>
    <w:rsid w:val="00A04A81"/>
    <w:rsid w:val="00A11424"/>
    <w:rsid w:val="00A122D3"/>
    <w:rsid w:val="00A12E69"/>
    <w:rsid w:val="00A14D3D"/>
    <w:rsid w:val="00A17F13"/>
    <w:rsid w:val="00A20739"/>
    <w:rsid w:val="00A211D0"/>
    <w:rsid w:val="00A23361"/>
    <w:rsid w:val="00A24433"/>
    <w:rsid w:val="00A2443A"/>
    <w:rsid w:val="00A26526"/>
    <w:rsid w:val="00A332DD"/>
    <w:rsid w:val="00A339A9"/>
    <w:rsid w:val="00A33C78"/>
    <w:rsid w:val="00A34B38"/>
    <w:rsid w:val="00A34D87"/>
    <w:rsid w:val="00A354A6"/>
    <w:rsid w:val="00A35538"/>
    <w:rsid w:val="00A37BC4"/>
    <w:rsid w:val="00A42050"/>
    <w:rsid w:val="00A43292"/>
    <w:rsid w:val="00A445C0"/>
    <w:rsid w:val="00A471D0"/>
    <w:rsid w:val="00A56FCA"/>
    <w:rsid w:val="00A570CC"/>
    <w:rsid w:val="00A6004A"/>
    <w:rsid w:val="00A613C2"/>
    <w:rsid w:val="00A668DA"/>
    <w:rsid w:val="00A71516"/>
    <w:rsid w:val="00A74DE6"/>
    <w:rsid w:val="00A8086A"/>
    <w:rsid w:val="00A80F32"/>
    <w:rsid w:val="00A81FF6"/>
    <w:rsid w:val="00A84283"/>
    <w:rsid w:val="00A87F7D"/>
    <w:rsid w:val="00A9244C"/>
    <w:rsid w:val="00A94D14"/>
    <w:rsid w:val="00AA455A"/>
    <w:rsid w:val="00AA6866"/>
    <w:rsid w:val="00AA6CD2"/>
    <w:rsid w:val="00AA7C79"/>
    <w:rsid w:val="00AB0627"/>
    <w:rsid w:val="00AB0ADB"/>
    <w:rsid w:val="00AB3FD1"/>
    <w:rsid w:val="00AC0EAB"/>
    <w:rsid w:val="00AC25E3"/>
    <w:rsid w:val="00AC2F9D"/>
    <w:rsid w:val="00AC3C93"/>
    <w:rsid w:val="00AC4701"/>
    <w:rsid w:val="00AC49A2"/>
    <w:rsid w:val="00AC6A49"/>
    <w:rsid w:val="00AD09C9"/>
    <w:rsid w:val="00AD0C22"/>
    <w:rsid w:val="00AD73E2"/>
    <w:rsid w:val="00AE2631"/>
    <w:rsid w:val="00AE5592"/>
    <w:rsid w:val="00AF1BEC"/>
    <w:rsid w:val="00AF734E"/>
    <w:rsid w:val="00B00909"/>
    <w:rsid w:val="00B009B8"/>
    <w:rsid w:val="00B0182C"/>
    <w:rsid w:val="00B01B1A"/>
    <w:rsid w:val="00B04457"/>
    <w:rsid w:val="00B1099C"/>
    <w:rsid w:val="00B13FD9"/>
    <w:rsid w:val="00B14E03"/>
    <w:rsid w:val="00B2377D"/>
    <w:rsid w:val="00B26B98"/>
    <w:rsid w:val="00B277BD"/>
    <w:rsid w:val="00B35201"/>
    <w:rsid w:val="00B35ADC"/>
    <w:rsid w:val="00B37C24"/>
    <w:rsid w:val="00B40FBC"/>
    <w:rsid w:val="00B45277"/>
    <w:rsid w:val="00B45288"/>
    <w:rsid w:val="00B46F27"/>
    <w:rsid w:val="00B47FD7"/>
    <w:rsid w:val="00B51F75"/>
    <w:rsid w:val="00B53E27"/>
    <w:rsid w:val="00B558AF"/>
    <w:rsid w:val="00B55FA5"/>
    <w:rsid w:val="00B615BA"/>
    <w:rsid w:val="00B62D8B"/>
    <w:rsid w:val="00B64817"/>
    <w:rsid w:val="00B660AA"/>
    <w:rsid w:val="00B72CD3"/>
    <w:rsid w:val="00B72FFF"/>
    <w:rsid w:val="00B76CEB"/>
    <w:rsid w:val="00B81401"/>
    <w:rsid w:val="00B8257D"/>
    <w:rsid w:val="00B82B8B"/>
    <w:rsid w:val="00B82C26"/>
    <w:rsid w:val="00B8425E"/>
    <w:rsid w:val="00B84B90"/>
    <w:rsid w:val="00B86FE2"/>
    <w:rsid w:val="00B87249"/>
    <w:rsid w:val="00B87628"/>
    <w:rsid w:val="00B91186"/>
    <w:rsid w:val="00B93423"/>
    <w:rsid w:val="00B93B9D"/>
    <w:rsid w:val="00BA1740"/>
    <w:rsid w:val="00BA2EF4"/>
    <w:rsid w:val="00BA3816"/>
    <w:rsid w:val="00BA3ACC"/>
    <w:rsid w:val="00BA4EBE"/>
    <w:rsid w:val="00BA5F2D"/>
    <w:rsid w:val="00BB3964"/>
    <w:rsid w:val="00BC0036"/>
    <w:rsid w:val="00BC05A6"/>
    <w:rsid w:val="00BC15C9"/>
    <w:rsid w:val="00BC288A"/>
    <w:rsid w:val="00BC3D36"/>
    <w:rsid w:val="00BC4B34"/>
    <w:rsid w:val="00BC7AD2"/>
    <w:rsid w:val="00BD0FDF"/>
    <w:rsid w:val="00BD7F72"/>
    <w:rsid w:val="00BE03BC"/>
    <w:rsid w:val="00BE0A18"/>
    <w:rsid w:val="00BE3084"/>
    <w:rsid w:val="00BE5B00"/>
    <w:rsid w:val="00BF022C"/>
    <w:rsid w:val="00BF1201"/>
    <w:rsid w:val="00BF1D4A"/>
    <w:rsid w:val="00BF1DB1"/>
    <w:rsid w:val="00BF230F"/>
    <w:rsid w:val="00BF26DE"/>
    <w:rsid w:val="00C002E3"/>
    <w:rsid w:val="00C012CC"/>
    <w:rsid w:val="00C04571"/>
    <w:rsid w:val="00C04FB3"/>
    <w:rsid w:val="00C1083F"/>
    <w:rsid w:val="00C10C0F"/>
    <w:rsid w:val="00C11574"/>
    <w:rsid w:val="00C147D0"/>
    <w:rsid w:val="00C159C1"/>
    <w:rsid w:val="00C16346"/>
    <w:rsid w:val="00C2014B"/>
    <w:rsid w:val="00C21B15"/>
    <w:rsid w:val="00C226E2"/>
    <w:rsid w:val="00C25EC1"/>
    <w:rsid w:val="00C2687E"/>
    <w:rsid w:val="00C301B7"/>
    <w:rsid w:val="00C31234"/>
    <w:rsid w:val="00C32523"/>
    <w:rsid w:val="00C330EB"/>
    <w:rsid w:val="00C346B0"/>
    <w:rsid w:val="00C371C9"/>
    <w:rsid w:val="00C3782A"/>
    <w:rsid w:val="00C40E9F"/>
    <w:rsid w:val="00C41481"/>
    <w:rsid w:val="00C42469"/>
    <w:rsid w:val="00C46D91"/>
    <w:rsid w:val="00C47A07"/>
    <w:rsid w:val="00C47B74"/>
    <w:rsid w:val="00C55E59"/>
    <w:rsid w:val="00C56663"/>
    <w:rsid w:val="00C568CF"/>
    <w:rsid w:val="00C57281"/>
    <w:rsid w:val="00C65D65"/>
    <w:rsid w:val="00C67703"/>
    <w:rsid w:val="00C7173F"/>
    <w:rsid w:val="00C72267"/>
    <w:rsid w:val="00C730B6"/>
    <w:rsid w:val="00C754BE"/>
    <w:rsid w:val="00C76466"/>
    <w:rsid w:val="00C76B1C"/>
    <w:rsid w:val="00C91252"/>
    <w:rsid w:val="00C915DD"/>
    <w:rsid w:val="00C91B94"/>
    <w:rsid w:val="00C92665"/>
    <w:rsid w:val="00C976F6"/>
    <w:rsid w:val="00CA0E36"/>
    <w:rsid w:val="00CA50DE"/>
    <w:rsid w:val="00CA54D3"/>
    <w:rsid w:val="00CA6A9D"/>
    <w:rsid w:val="00CA7F6B"/>
    <w:rsid w:val="00CB3E47"/>
    <w:rsid w:val="00CB6357"/>
    <w:rsid w:val="00CC0FA3"/>
    <w:rsid w:val="00CC1846"/>
    <w:rsid w:val="00CC1B26"/>
    <w:rsid w:val="00CC3B7F"/>
    <w:rsid w:val="00CC42DF"/>
    <w:rsid w:val="00CC49F7"/>
    <w:rsid w:val="00CC54DB"/>
    <w:rsid w:val="00CC5A22"/>
    <w:rsid w:val="00CD087D"/>
    <w:rsid w:val="00CD41CB"/>
    <w:rsid w:val="00CD5EE0"/>
    <w:rsid w:val="00CD7000"/>
    <w:rsid w:val="00CE509A"/>
    <w:rsid w:val="00CE5414"/>
    <w:rsid w:val="00CE6A1B"/>
    <w:rsid w:val="00CE796C"/>
    <w:rsid w:val="00CF222C"/>
    <w:rsid w:val="00CF241F"/>
    <w:rsid w:val="00CF2612"/>
    <w:rsid w:val="00CF37B7"/>
    <w:rsid w:val="00CF7826"/>
    <w:rsid w:val="00D00512"/>
    <w:rsid w:val="00D0157A"/>
    <w:rsid w:val="00D036D8"/>
    <w:rsid w:val="00D038ED"/>
    <w:rsid w:val="00D038EF"/>
    <w:rsid w:val="00D03D03"/>
    <w:rsid w:val="00D06D26"/>
    <w:rsid w:val="00D074C1"/>
    <w:rsid w:val="00D10407"/>
    <w:rsid w:val="00D10B75"/>
    <w:rsid w:val="00D13351"/>
    <w:rsid w:val="00D15E25"/>
    <w:rsid w:val="00D20368"/>
    <w:rsid w:val="00D22361"/>
    <w:rsid w:val="00D2238F"/>
    <w:rsid w:val="00D22493"/>
    <w:rsid w:val="00D22598"/>
    <w:rsid w:val="00D26924"/>
    <w:rsid w:val="00D27887"/>
    <w:rsid w:val="00D279C7"/>
    <w:rsid w:val="00D365FE"/>
    <w:rsid w:val="00D413F6"/>
    <w:rsid w:val="00D41C7E"/>
    <w:rsid w:val="00D4231B"/>
    <w:rsid w:val="00D423A2"/>
    <w:rsid w:val="00D51F2A"/>
    <w:rsid w:val="00D520D8"/>
    <w:rsid w:val="00D52961"/>
    <w:rsid w:val="00D55048"/>
    <w:rsid w:val="00D57D07"/>
    <w:rsid w:val="00D57FA4"/>
    <w:rsid w:val="00D603D7"/>
    <w:rsid w:val="00D62DE7"/>
    <w:rsid w:val="00D63AC2"/>
    <w:rsid w:val="00D665B4"/>
    <w:rsid w:val="00D7383B"/>
    <w:rsid w:val="00D7609E"/>
    <w:rsid w:val="00D81A63"/>
    <w:rsid w:val="00D81D25"/>
    <w:rsid w:val="00D82700"/>
    <w:rsid w:val="00D85C60"/>
    <w:rsid w:val="00D935F9"/>
    <w:rsid w:val="00D9471C"/>
    <w:rsid w:val="00D94C40"/>
    <w:rsid w:val="00D973D5"/>
    <w:rsid w:val="00D9781D"/>
    <w:rsid w:val="00DA231B"/>
    <w:rsid w:val="00DA23A0"/>
    <w:rsid w:val="00DA7F66"/>
    <w:rsid w:val="00DB12C2"/>
    <w:rsid w:val="00DB186F"/>
    <w:rsid w:val="00DB3846"/>
    <w:rsid w:val="00DC39FC"/>
    <w:rsid w:val="00DC4385"/>
    <w:rsid w:val="00DC484F"/>
    <w:rsid w:val="00DC4C27"/>
    <w:rsid w:val="00DC51BC"/>
    <w:rsid w:val="00DC5970"/>
    <w:rsid w:val="00DC793F"/>
    <w:rsid w:val="00DD5592"/>
    <w:rsid w:val="00DD56C5"/>
    <w:rsid w:val="00DD74E0"/>
    <w:rsid w:val="00DE4629"/>
    <w:rsid w:val="00DF11FD"/>
    <w:rsid w:val="00DF5254"/>
    <w:rsid w:val="00E01A2B"/>
    <w:rsid w:val="00E07184"/>
    <w:rsid w:val="00E11735"/>
    <w:rsid w:val="00E12426"/>
    <w:rsid w:val="00E16408"/>
    <w:rsid w:val="00E20894"/>
    <w:rsid w:val="00E245AB"/>
    <w:rsid w:val="00E26239"/>
    <w:rsid w:val="00E2764C"/>
    <w:rsid w:val="00E27F2E"/>
    <w:rsid w:val="00E413EA"/>
    <w:rsid w:val="00E42C02"/>
    <w:rsid w:val="00E46E45"/>
    <w:rsid w:val="00E47F28"/>
    <w:rsid w:val="00E50AFE"/>
    <w:rsid w:val="00E52E49"/>
    <w:rsid w:val="00E555B0"/>
    <w:rsid w:val="00E577AC"/>
    <w:rsid w:val="00E578B6"/>
    <w:rsid w:val="00E61547"/>
    <w:rsid w:val="00E615A4"/>
    <w:rsid w:val="00E61702"/>
    <w:rsid w:val="00E61F93"/>
    <w:rsid w:val="00E64068"/>
    <w:rsid w:val="00E666C6"/>
    <w:rsid w:val="00E66E38"/>
    <w:rsid w:val="00E67F8E"/>
    <w:rsid w:val="00E7300F"/>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157F"/>
    <w:rsid w:val="00E92C27"/>
    <w:rsid w:val="00E92E10"/>
    <w:rsid w:val="00EA0E3D"/>
    <w:rsid w:val="00EA1CD8"/>
    <w:rsid w:val="00EA393B"/>
    <w:rsid w:val="00EA39A5"/>
    <w:rsid w:val="00EA5814"/>
    <w:rsid w:val="00EB2C4B"/>
    <w:rsid w:val="00EB7E00"/>
    <w:rsid w:val="00EC1A2C"/>
    <w:rsid w:val="00EC1FE1"/>
    <w:rsid w:val="00EC38A7"/>
    <w:rsid w:val="00ED042A"/>
    <w:rsid w:val="00ED0D4A"/>
    <w:rsid w:val="00ED33D8"/>
    <w:rsid w:val="00EE1AA8"/>
    <w:rsid w:val="00EF26C3"/>
    <w:rsid w:val="00EF419E"/>
    <w:rsid w:val="00EF489F"/>
    <w:rsid w:val="00F010F1"/>
    <w:rsid w:val="00F06820"/>
    <w:rsid w:val="00F11213"/>
    <w:rsid w:val="00F11BAA"/>
    <w:rsid w:val="00F12405"/>
    <w:rsid w:val="00F127F3"/>
    <w:rsid w:val="00F1327E"/>
    <w:rsid w:val="00F14C0B"/>
    <w:rsid w:val="00F17785"/>
    <w:rsid w:val="00F177C1"/>
    <w:rsid w:val="00F21D2E"/>
    <w:rsid w:val="00F238F2"/>
    <w:rsid w:val="00F260AA"/>
    <w:rsid w:val="00F27B26"/>
    <w:rsid w:val="00F31EDC"/>
    <w:rsid w:val="00F34D02"/>
    <w:rsid w:val="00F34E84"/>
    <w:rsid w:val="00F40BAD"/>
    <w:rsid w:val="00F4431F"/>
    <w:rsid w:val="00F462B3"/>
    <w:rsid w:val="00F5184B"/>
    <w:rsid w:val="00F52ECA"/>
    <w:rsid w:val="00F53E9A"/>
    <w:rsid w:val="00F55081"/>
    <w:rsid w:val="00F55168"/>
    <w:rsid w:val="00F55564"/>
    <w:rsid w:val="00F55C22"/>
    <w:rsid w:val="00F5664F"/>
    <w:rsid w:val="00F57DDD"/>
    <w:rsid w:val="00F626C4"/>
    <w:rsid w:val="00F64D9E"/>
    <w:rsid w:val="00F666C4"/>
    <w:rsid w:val="00F70180"/>
    <w:rsid w:val="00F7253C"/>
    <w:rsid w:val="00F7684C"/>
    <w:rsid w:val="00F76AFC"/>
    <w:rsid w:val="00F80CBE"/>
    <w:rsid w:val="00F85198"/>
    <w:rsid w:val="00F937BF"/>
    <w:rsid w:val="00F939CB"/>
    <w:rsid w:val="00F9479C"/>
    <w:rsid w:val="00F965EE"/>
    <w:rsid w:val="00F97949"/>
    <w:rsid w:val="00FA1110"/>
    <w:rsid w:val="00FA358D"/>
    <w:rsid w:val="00FA36E4"/>
    <w:rsid w:val="00FA47C0"/>
    <w:rsid w:val="00FB4425"/>
    <w:rsid w:val="00FB5615"/>
    <w:rsid w:val="00FB5DD1"/>
    <w:rsid w:val="00FB5F87"/>
    <w:rsid w:val="00FC07B5"/>
    <w:rsid w:val="00FC2B5D"/>
    <w:rsid w:val="00FC50C9"/>
    <w:rsid w:val="00FD00E9"/>
    <w:rsid w:val="00FD03E3"/>
    <w:rsid w:val="00FE122A"/>
    <w:rsid w:val="00FE20E6"/>
    <w:rsid w:val="00FE74DC"/>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1DEA"/>
  </w:style>
  <w:style w:type="paragraph" w:styleId="Ttulo2">
    <w:name w:val="heading 2"/>
    <w:basedOn w:val="Normal"/>
    <w:next w:val="Normal"/>
    <w:link w:val="Ttulo2Car"/>
    <w:uiPriority w:val="9"/>
    <w:semiHidden/>
    <w:unhideWhenUsed/>
    <w:qFormat/>
    <w:rsid w:val="00BA4EB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character" w:styleId="Mencinsinresolver">
    <w:name w:val="Unresolved Mention"/>
    <w:basedOn w:val="Fuentedeprrafopredeter"/>
    <w:uiPriority w:val="99"/>
    <w:semiHidden/>
    <w:unhideWhenUsed/>
    <w:rsid w:val="005F2F4A"/>
    <w:rPr>
      <w:color w:val="605E5C"/>
      <w:shd w:val="clear" w:color="auto" w:fill="E1DFDD"/>
    </w:rPr>
  </w:style>
  <w:style w:type="character" w:customStyle="1" w:styleId="Ttulo2Car">
    <w:name w:val="Título 2 Car"/>
    <w:basedOn w:val="Fuentedeprrafopredeter"/>
    <w:link w:val="Ttulo2"/>
    <w:uiPriority w:val="9"/>
    <w:semiHidden/>
    <w:rsid w:val="00BA4EBE"/>
    <w:rPr>
      <w:rFonts w:asciiTheme="majorHAnsi" w:eastAsiaTheme="majorEastAsia" w:hAnsiTheme="majorHAnsi" w:cstheme="majorBidi"/>
      <w:color w:val="2F5496" w:themeColor="accent1" w:themeShade="BF"/>
      <w:sz w:val="26"/>
      <w:szCs w:val="26"/>
    </w:rPr>
  </w:style>
  <w:style w:type="paragraph" w:styleId="Sinespaciado">
    <w:name w:val="No Spacing"/>
    <w:aliases w:val="No Indent"/>
    <w:qFormat/>
    <w:rsid w:val="00AD0C22"/>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47232680">
      <w:bodyDiv w:val="1"/>
      <w:marLeft w:val="0"/>
      <w:marRight w:val="0"/>
      <w:marTop w:val="0"/>
      <w:marBottom w:val="0"/>
      <w:divBdr>
        <w:top w:val="none" w:sz="0" w:space="0" w:color="auto"/>
        <w:left w:val="none" w:sz="0" w:space="0" w:color="auto"/>
        <w:bottom w:val="none" w:sz="0" w:space="0" w:color="auto"/>
        <w:right w:val="none" w:sz="0" w:space="0" w:color="auto"/>
      </w:divBdr>
      <w:divsChild>
        <w:div w:id="66651347">
          <w:marLeft w:val="0"/>
          <w:marRight w:val="0"/>
          <w:marTop w:val="0"/>
          <w:marBottom w:val="0"/>
          <w:divBdr>
            <w:top w:val="none" w:sz="0" w:space="0" w:color="auto"/>
            <w:left w:val="none" w:sz="0" w:space="0" w:color="auto"/>
            <w:bottom w:val="none" w:sz="0" w:space="0" w:color="auto"/>
            <w:right w:val="none" w:sz="0" w:space="0" w:color="auto"/>
          </w:divBdr>
        </w:div>
        <w:div w:id="623661893">
          <w:marLeft w:val="0"/>
          <w:marRight w:val="0"/>
          <w:marTop w:val="0"/>
          <w:marBottom w:val="0"/>
          <w:divBdr>
            <w:top w:val="none" w:sz="0" w:space="0" w:color="auto"/>
            <w:left w:val="none" w:sz="0" w:space="0" w:color="auto"/>
            <w:bottom w:val="none" w:sz="0" w:space="0" w:color="auto"/>
            <w:right w:val="none" w:sz="0" w:space="0" w:color="auto"/>
          </w:divBdr>
        </w:div>
        <w:div w:id="702287851">
          <w:marLeft w:val="0"/>
          <w:marRight w:val="0"/>
          <w:marTop w:val="0"/>
          <w:marBottom w:val="0"/>
          <w:divBdr>
            <w:top w:val="none" w:sz="0" w:space="0" w:color="auto"/>
            <w:left w:val="none" w:sz="0" w:space="0" w:color="auto"/>
            <w:bottom w:val="none" w:sz="0" w:space="0" w:color="auto"/>
            <w:right w:val="none" w:sz="0" w:space="0" w:color="auto"/>
          </w:divBdr>
        </w:div>
        <w:div w:id="1193348883">
          <w:marLeft w:val="0"/>
          <w:marRight w:val="0"/>
          <w:marTop w:val="0"/>
          <w:marBottom w:val="0"/>
          <w:divBdr>
            <w:top w:val="none" w:sz="0" w:space="0" w:color="auto"/>
            <w:left w:val="none" w:sz="0" w:space="0" w:color="auto"/>
            <w:bottom w:val="none" w:sz="0" w:space="0" w:color="auto"/>
            <w:right w:val="none" w:sz="0" w:space="0" w:color="auto"/>
          </w:divBdr>
        </w:div>
        <w:div w:id="1567496523">
          <w:marLeft w:val="0"/>
          <w:marRight w:val="0"/>
          <w:marTop w:val="0"/>
          <w:marBottom w:val="0"/>
          <w:divBdr>
            <w:top w:val="none" w:sz="0" w:space="0" w:color="auto"/>
            <w:left w:val="none" w:sz="0" w:space="0" w:color="auto"/>
            <w:bottom w:val="none" w:sz="0" w:space="0" w:color="auto"/>
            <w:right w:val="none" w:sz="0" w:space="0" w:color="auto"/>
          </w:divBdr>
        </w:div>
        <w:div w:id="1600287683">
          <w:marLeft w:val="0"/>
          <w:marRight w:val="0"/>
          <w:marTop w:val="0"/>
          <w:marBottom w:val="0"/>
          <w:divBdr>
            <w:top w:val="none" w:sz="0" w:space="0" w:color="auto"/>
            <w:left w:val="none" w:sz="0" w:space="0" w:color="auto"/>
            <w:bottom w:val="none" w:sz="0" w:space="0" w:color="auto"/>
            <w:right w:val="none" w:sz="0" w:space="0" w:color="auto"/>
          </w:divBdr>
        </w:div>
        <w:div w:id="623969290">
          <w:marLeft w:val="0"/>
          <w:marRight w:val="0"/>
          <w:marTop w:val="0"/>
          <w:marBottom w:val="0"/>
          <w:divBdr>
            <w:top w:val="none" w:sz="0" w:space="0" w:color="auto"/>
            <w:left w:val="none" w:sz="0" w:space="0" w:color="auto"/>
            <w:bottom w:val="none" w:sz="0" w:space="0" w:color="auto"/>
            <w:right w:val="none" w:sz="0" w:space="0" w:color="auto"/>
          </w:divBdr>
        </w:div>
        <w:div w:id="143818348">
          <w:marLeft w:val="0"/>
          <w:marRight w:val="0"/>
          <w:marTop w:val="0"/>
          <w:marBottom w:val="0"/>
          <w:divBdr>
            <w:top w:val="none" w:sz="0" w:space="0" w:color="auto"/>
            <w:left w:val="none" w:sz="0" w:space="0" w:color="auto"/>
            <w:bottom w:val="none" w:sz="0" w:space="0" w:color="auto"/>
            <w:right w:val="none" w:sz="0" w:space="0" w:color="auto"/>
          </w:divBdr>
        </w:div>
        <w:div w:id="424963520">
          <w:marLeft w:val="0"/>
          <w:marRight w:val="0"/>
          <w:marTop w:val="0"/>
          <w:marBottom w:val="0"/>
          <w:divBdr>
            <w:top w:val="none" w:sz="0" w:space="0" w:color="auto"/>
            <w:left w:val="none" w:sz="0" w:space="0" w:color="auto"/>
            <w:bottom w:val="none" w:sz="0" w:space="0" w:color="auto"/>
            <w:right w:val="none" w:sz="0" w:space="0" w:color="auto"/>
          </w:divBdr>
        </w:div>
      </w:divsChild>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52017029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94617855">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993491494">
      <w:bodyDiv w:val="1"/>
      <w:marLeft w:val="0"/>
      <w:marRight w:val="0"/>
      <w:marTop w:val="0"/>
      <w:marBottom w:val="0"/>
      <w:divBdr>
        <w:top w:val="none" w:sz="0" w:space="0" w:color="auto"/>
        <w:left w:val="none" w:sz="0" w:space="0" w:color="auto"/>
        <w:bottom w:val="none" w:sz="0" w:space="0" w:color="auto"/>
        <w:right w:val="none" w:sz="0" w:space="0" w:color="auto"/>
      </w:divBdr>
      <w:divsChild>
        <w:div w:id="2100637574">
          <w:marLeft w:val="0"/>
          <w:marRight w:val="0"/>
          <w:marTop w:val="0"/>
          <w:marBottom w:val="0"/>
          <w:divBdr>
            <w:top w:val="none" w:sz="0" w:space="0" w:color="auto"/>
            <w:left w:val="none" w:sz="0" w:space="0" w:color="auto"/>
            <w:bottom w:val="none" w:sz="0" w:space="0" w:color="auto"/>
            <w:right w:val="none" w:sz="0" w:space="0" w:color="auto"/>
          </w:divBdr>
        </w:div>
      </w:divsChild>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bogado@gomezgiraldo.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ley_2056_2020.html" TargetMode="External"/><Relationship Id="rId2" Type="http://schemas.openxmlformats.org/officeDocument/2006/relationships/hyperlink" Target="http://www.secretariasenado.gov.co/senado/basedoc/ley_2056_2020.html" TargetMode="External"/><Relationship Id="rId1" Type="http://schemas.openxmlformats.org/officeDocument/2006/relationships/hyperlink" Target="http://www.secretariasenado.gov.co/senado/basedoc/ley_2056_2020.html" TargetMode="External"/><Relationship Id="rId5" Type="http://schemas.openxmlformats.org/officeDocument/2006/relationships/hyperlink" Target="https://www.colombiacompra.gov.co/archivos/manual/guia-para-el-manejo-de-anticipos-mediante-contrato-de-fiducia-mercantil-irrevocable" TargetMode="External"/><Relationship Id="rId4" Type="http://schemas.openxmlformats.org/officeDocument/2006/relationships/hyperlink" Target="http://www.secretariasenado.gov.co/senado/basedoc/ley_2056_2020.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657E1E-7822-4D41-83CE-CF689FF929F0}">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http://www.w3.org/XML/1998/namespace"/>
    <ds:schemaRef ds:uri="http://purl.org/dc/terms/"/>
    <ds:schemaRef ds:uri="http://schemas.microsoft.com/office/2006/documentManagement/types"/>
    <ds:schemaRef ds:uri="http://schemas.openxmlformats.org/package/2006/metadata/core-properties"/>
    <ds:schemaRef ds:uri="http://schemas.microsoft.com/office/infopath/2007/PartnerControls"/>
    <ds:schemaRef ds:uri="a6cb9e4b-f1d1-4245-83ec-6cad768d538a"/>
    <ds:schemaRef ds:uri="9d85dbaf-23eb-4e57-a637-93dcacc8b1a1"/>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17</Pages>
  <Words>5649</Words>
  <Characters>30223</Characters>
  <Application>Microsoft Office Word</Application>
  <DocSecurity>0</DocSecurity>
  <Lines>604</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2025-02-25T15:45:00Z</cp:lastPrinted>
  <dcterms:created xsi:type="dcterms:W3CDTF">2025-10-15T19:57:00Z</dcterms:created>
  <dcterms:modified xsi:type="dcterms:W3CDTF">2025-10-15T19:57:00Z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