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08CBF" w14:textId="77777777" w:rsidR="00B9145D" w:rsidRPr="00F74246" w:rsidRDefault="00B9145D" w:rsidP="00B9145D">
      <w:pPr>
        <w:jc w:val="both"/>
        <w:rPr>
          <w:rFonts w:ascii="Verdana" w:eastAsia="Calibri" w:hAnsi="Verdana" w:cs="Arial"/>
          <w:color w:val="000000" w:themeColor="text1"/>
        </w:rPr>
      </w:pPr>
      <w:bookmarkStart w:id="0" w:name="_Hlk143780582"/>
      <w:r w:rsidRPr="00F74246">
        <w:rPr>
          <w:rFonts w:ascii="Verdana" w:eastAsia="Calibri" w:hAnsi="Verdana" w:cs="Arial"/>
          <w:b/>
          <w:color w:val="000000" w:themeColor="text1"/>
        </w:rPr>
        <w:t>CAPACIDAD RESIDUAL – Fórmula – Factor de experiencia (E)</w:t>
      </w:r>
    </w:p>
    <w:p w14:paraId="23944558" w14:textId="77777777" w:rsidR="00B9145D" w:rsidRPr="00F74246" w:rsidRDefault="00B9145D" w:rsidP="00B9145D">
      <w:pPr>
        <w:jc w:val="both"/>
        <w:rPr>
          <w:rFonts w:ascii="Verdana" w:eastAsia="Calibri" w:hAnsi="Verdana" w:cs="Arial"/>
          <w:color w:val="000000" w:themeColor="text1"/>
          <w:sz w:val="20"/>
          <w:szCs w:val="20"/>
        </w:rPr>
      </w:pPr>
    </w:p>
    <w:p w14:paraId="0A34FF2A" w14:textId="77777777" w:rsidR="00B9145D" w:rsidRPr="00F74246" w:rsidRDefault="00B9145D" w:rsidP="00B9145D">
      <w:pPr>
        <w:jc w:val="both"/>
        <w:rPr>
          <w:rFonts w:ascii="Verdana" w:eastAsia="Calibri" w:hAnsi="Verdana" w:cs="Arial"/>
          <w:color w:val="000000" w:themeColor="text1"/>
          <w:sz w:val="20"/>
        </w:rPr>
      </w:pPr>
      <w:r w:rsidRPr="00F74246">
        <w:rPr>
          <w:rFonts w:ascii="Verdana" w:eastAsia="Calibri" w:hAnsi="Verdana" w:cs="Arial"/>
          <w:color w:val="000000" w:themeColor="text1"/>
          <w:sz w:val="20"/>
        </w:rPr>
        <w:t>la Agencia Nacional de Contratación Pública - Colombia Compra Eficiente, en la Guía para Determinar y Verificar la Capacidad Residual del Proponente en los Procesos de Contratación de Obra Pública , señala que el factor de experiencia (E) se obtiene realizando una operación matemática de división entre el valor total en pesos de los contratos que figuran en el RUP y el presupuesto oficial estimado del procedimiento contractual: “La relación indica el número de veces que el proponente ha ejecutado contratos equivalentes a la cuantía del Proceso de Contratación objeto de la acreditación de la Capacidad Residual”.</w:t>
      </w:r>
    </w:p>
    <w:p w14:paraId="2E2D9898" w14:textId="77777777" w:rsidR="00B9145D" w:rsidRPr="00F74246" w:rsidRDefault="00B9145D" w:rsidP="00B9145D">
      <w:pPr>
        <w:jc w:val="both"/>
        <w:rPr>
          <w:rFonts w:ascii="Verdana" w:eastAsia="Calibri" w:hAnsi="Verdana" w:cs="Arial"/>
          <w:b/>
          <w:color w:val="000000" w:themeColor="text1"/>
          <w:sz w:val="20"/>
          <w:szCs w:val="20"/>
        </w:rPr>
      </w:pPr>
    </w:p>
    <w:p w14:paraId="2643CAC0" w14:textId="77777777" w:rsidR="00B9145D" w:rsidRPr="00F74246" w:rsidRDefault="00B9145D" w:rsidP="00B9145D">
      <w:pPr>
        <w:jc w:val="both"/>
        <w:rPr>
          <w:rFonts w:ascii="Verdana" w:eastAsia="Calibri" w:hAnsi="Verdana" w:cs="Arial"/>
          <w:b/>
          <w:color w:val="000000" w:themeColor="text1"/>
        </w:rPr>
      </w:pPr>
      <w:r w:rsidRPr="00F74246">
        <w:rPr>
          <w:rFonts w:ascii="Verdana" w:eastAsia="Calibri" w:hAnsi="Verdana" w:cs="Arial"/>
          <w:b/>
          <w:color w:val="000000" w:themeColor="text1"/>
        </w:rPr>
        <w:t>CAPACIDAD RESIDUAL – Factor de experiencia (E) – Contratos</w:t>
      </w:r>
    </w:p>
    <w:p w14:paraId="11C5DED3" w14:textId="77777777" w:rsidR="00B9145D" w:rsidRPr="00F74246" w:rsidRDefault="00B9145D" w:rsidP="00B9145D">
      <w:pPr>
        <w:jc w:val="both"/>
        <w:rPr>
          <w:rFonts w:ascii="Verdana" w:eastAsia="Calibri" w:hAnsi="Verdana" w:cs="Arial"/>
          <w:color w:val="000000" w:themeColor="text1"/>
          <w:sz w:val="20"/>
          <w:szCs w:val="20"/>
          <w:highlight w:val="yellow"/>
        </w:rPr>
      </w:pPr>
    </w:p>
    <w:p w14:paraId="6F020B88" w14:textId="77777777" w:rsidR="00B9145D" w:rsidRPr="00F74246" w:rsidRDefault="00B9145D" w:rsidP="00B9145D">
      <w:pPr>
        <w:jc w:val="both"/>
        <w:rPr>
          <w:rFonts w:ascii="Verdana" w:eastAsia="Calibri" w:hAnsi="Verdana" w:cs="Arial"/>
          <w:color w:val="000000" w:themeColor="text1"/>
          <w:sz w:val="20"/>
          <w:szCs w:val="20"/>
        </w:rPr>
      </w:pPr>
      <w:r w:rsidRPr="00F74246">
        <w:rPr>
          <w:rFonts w:ascii="Verdana" w:eastAsia="Calibri" w:hAnsi="Verdana" w:cs="Arial"/>
          <w:color w:val="000000" w:themeColor="text1"/>
          <w:sz w:val="20"/>
          <w:szCs w:val="20"/>
        </w:rPr>
        <w:t>[…] para determinar cuáles contratos se tendrán en cuenta para definir la experiencia que se debe reemplazar en la fórmula de la capacidad residual con el puntaje de la tabla anterior, es necesario presentar el siguiente análisis normativo sobre la experiencia, que permitirá concluir si es posible acreditar contratos ejecutados por terceros, como matrices, subordinadas, afiliadas de matrices, etc. En todo caso la Guía señala “para acreditar el factor de experiencia (E), el proponente debe diligenciar el formato correspondiente al Anexo 1 (de la Guía de la Agencia), el cual contiene los contratos inscritos en el segmento 72 y su valor total en pesos colombianos liquidados con el SMMLV” (Paréntesis fuera del texto).</w:t>
      </w:r>
    </w:p>
    <w:p w14:paraId="3C815A2A" w14:textId="77777777" w:rsidR="00B9145D" w:rsidRPr="00F74246" w:rsidRDefault="00B9145D" w:rsidP="00B9145D">
      <w:pPr>
        <w:jc w:val="both"/>
        <w:rPr>
          <w:rFonts w:ascii="Verdana" w:eastAsia="Calibri" w:hAnsi="Verdana" w:cs="Arial"/>
          <w:color w:val="000000" w:themeColor="text1"/>
          <w:sz w:val="20"/>
          <w:szCs w:val="20"/>
        </w:rPr>
      </w:pPr>
    </w:p>
    <w:p w14:paraId="496CDD8A" w14:textId="77777777" w:rsidR="00B9145D" w:rsidRPr="00F74246" w:rsidRDefault="00B9145D" w:rsidP="00B9145D">
      <w:pPr>
        <w:jc w:val="both"/>
        <w:rPr>
          <w:rFonts w:ascii="Verdana" w:eastAsia="Calibri" w:hAnsi="Verdana" w:cs="Arial"/>
          <w:b/>
          <w:color w:val="000000" w:themeColor="text1"/>
        </w:rPr>
      </w:pPr>
      <w:r w:rsidRPr="00F74246">
        <w:rPr>
          <w:rFonts w:ascii="Verdana" w:eastAsia="Calibri" w:hAnsi="Verdana" w:cs="Arial"/>
          <w:b/>
          <w:color w:val="000000" w:themeColor="text1"/>
        </w:rPr>
        <w:t>EXPERIENCIA – Requisito habilitante – Concepto – Acreditación – RUP</w:t>
      </w:r>
    </w:p>
    <w:p w14:paraId="707BE0A1" w14:textId="77777777" w:rsidR="00B9145D" w:rsidRPr="00F74246" w:rsidRDefault="00B9145D" w:rsidP="00B9145D">
      <w:pPr>
        <w:jc w:val="both"/>
        <w:rPr>
          <w:rFonts w:ascii="Verdana" w:eastAsia="Calibri" w:hAnsi="Verdana" w:cs="Arial"/>
          <w:color w:val="000000" w:themeColor="text1"/>
          <w:sz w:val="20"/>
        </w:rPr>
      </w:pPr>
    </w:p>
    <w:p w14:paraId="5B657719" w14:textId="77777777" w:rsidR="00B9145D" w:rsidRPr="00F74246" w:rsidRDefault="00B9145D" w:rsidP="00B9145D">
      <w:pPr>
        <w:jc w:val="both"/>
        <w:rPr>
          <w:rFonts w:ascii="Verdana" w:eastAsia="Calibri" w:hAnsi="Verdana" w:cs="Arial"/>
          <w:color w:val="000000" w:themeColor="text1"/>
          <w:sz w:val="20"/>
        </w:rPr>
      </w:pPr>
      <w:r w:rsidRPr="00F74246">
        <w:rPr>
          <w:rFonts w:ascii="Verdana" w:eastAsia="Calibri" w:hAnsi="Verdana" w:cs="Arial"/>
          <w:color w:val="000000" w:themeColor="text1"/>
          <w:sz w:val="20"/>
        </w:rPr>
        <w:t>La experiencia que se deriva de los contratos que el proponente ha celebrado y ejecutado con diferentes contratantes, sin importar la naturaleza de estos, se verifica con el Registro Único de Proponentes (RUP</w:t>
      </w:r>
      <w:proofErr w:type="gramStart"/>
      <w:r w:rsidRPr="00F74246">
        <w:rPr>
          <w:rFonts w:ascii="Verdana" w:eastAsia="Calibri" w:hAnsi="Verdana" w:cs="Arial"/>
          <w:color w:val="000000" w:themeColor="text1"/>
          <w:sz w:val="20"/>
        </w:rPr>
        <w:t>) ,</w:t>
      </w:r>
      <w:proofErr w:type="gramEnd"/>
      <w:r w:rsidRPr="00F74246">
        <w:rPr>
          <w:rFonts w:ascii="Verdana" w:eastAsia="Calibri" w:hAnsi="Verdana" w:cs="Arial"/>
          <w:color w:val="000000" w:themeColor="text1"/>
          <w:sz w:val="20"/>
        </w:rPr>
        <w:t xml:space="preserve"> cuando este certificado sea exigible de acuerdo con la ley, en el cual constan los requisitos habilitantes, que se evalúan exclusivamente con este documento, que es su plena prueba, sin que sea posible para la entidad o el proponente solicitar o aportar otra documentación.</w:t>
      </w:r>
    </w:p>
    <w:p w14:paraId="5E96E89A" w14:textId="77777777" w:rsidR="00B9145D" w:rsidRPr="00F74246" w:rsidRDefault="00B9145D" w:rsidP="00B9145D">
      <w:pPr>
        <w:jc w:val="both"/>
        <w:rPr>
          <w:rFonts w:ascii="Verdana" w:eastAsia="Calibri" w:hAnsi="Verdana" w:cs="Arial"/>
          <w:color w:val="000000" w:themeColor="text1"/>
          <w:sz w:val="20"/>
        </w:rPr>
      </w:pPr>
    </w:p>
    <w:p w14:paraId="5E6632B6" w14:textId="77777777" w:rsidR="00B9145D" w:rsidRPr="00F74246" w:rsidRDefault="00B9145D" w:rsidP="00B9145D">
      <w:pPr>
        <w:jc w:val="both"/>
        <w:rPr>
          <w:rFonts w:ascii="Verdana" w:eastAsia="Calibri" w:hAnsi="Verdana" w:cs="Arial"/>
          <w:b/>
          <w:color w:val="000000" w:themeColor="text1"/>
        </w:rPr>
      </w:pPr>
      <w:r w:rsidRPr="00F74246">
        <w:rPr>
          <w:rFonts w:ascii="Verdana" w:eastAsia="Calibri" w:hAnsi="Verdana" w:cs="Arial"/>
          <w:b/>
          <w:color w:val="000000" w:themeColor="text1"/>
        </w:rPr>
        <w:t>EXPERIENCIA – Requisito habilitante – Factor – Fórmula de cálculo – Capacidad residual – Similitud</w:t>
      </w:r>
    </w:p>
    <w:p w14:paraId="11B456FF" w14:textId="77777777" w:rsidR="00B9145D" w:rsidRPr="00F74246" w:rsidRDefault="00B9145D" w:rsidP="00B9145D">
      <w:pPr>
        <w:jc w:val="both"/>
        <w:rPr>
          <w:rFonts w:ascii="Verdana" w:eastAsia="Calibri" w:hAnsi="Verdana" w:cs="Arial"/>
          <w:b/>
          <w:color w:val="000000" w:themeColor="text1"/>
        </w:rPr>
      </w:pPr>
    </w:p>
    <w:p w14:paraId="4E7A372C" w14:textId="77777777" w:rsidR="00B9145D" w:rsidRPr="00F74246" w:rsidRDefault="00B9145D" w:rsidP="00B9145D">
      <w:pPr>
        <w:jc w:val="both"/>
        <w:rPr>
          <w:rFonts w:ascii="Verdana" w:eastAsia="Calibri" w:hAnsi="Verdana" w:cs="Arial"/>
          <w:color w:val="000000" w:themeColor="text1"/>
          <w:sz w:val="20"/>
        </w:rPr>
      </w:pPr>
      <w:r w:rsidRPr="00F74246">
        <w:rPr>
          <w:rFonts w:ascii="Verdana" w:eastAsia="Calibri" w:hAnsi="Verdana" w:cs="Arial"/>
          <w:color w:val="000000" w:themeColor="text1"/>
          <w:sz w:val="20"/>
        </w:rPr>
        <w:lastRenderedPageBreak/>
        <w:t xml:space="preserve">Por último, al observar el concepto de experiencia, como “requisito habilitante”, y teniendo en cuenta que su consulta se relaciona con la experiencia, como “factor de la fórmula de la capacidad residual”, de acuerdo con lo señalado para cada concepto, es decir, que el “requisito habilitante” se deriva de los contratos celebrados por el proponente que deben inscribirse en el RUP, y que el “factor de la fórmula de la capacidad residual” </w:t>
      </w:r>
      <w:proofErr w:type="spellStart"/>
      <w:r w:rsidRPr="00F74246">
        <w:rPr>
          <w:rFonts w:ascii="Verdana" w:eastAsia="Calibri" w:hAnsi="Verdana" w:cs="Arial"/>
          <w:color w:val="000000" w:themeColor="text1"/>
          <w:sz w:val="20"/>
        </w:rPr>
        <w:t>esta</w:t>
      </w:r>
      <w:proofErr w:type="spellEnd"/>
      <w:r w:rsidRPr="00F74246">
        <w:rPr>
          <w:rFonts w:ascii="Verdana" w:eastAsia="Calibri" w:hAnsi="Verdana" w:cs="Arial"/>
          <w:color w:val="000000" w:themeColor="text1"/>
          <w:sz w:val="20"/>
        </w:rPr>
        <w:t xml:space="preserve"> determinado por el valor total en pesos de los contratos que figuran en el RUP, la experiencia en ambos casos se refiere a la misma definición.</w:t>
      </w:r>
    </w:p>
    <w:p w14:paraId="41A37836" w14:textId="77777777" w:rsidR="00B9145D" w:rsidRPr="00F74246" w:rsidRDefault="00B9145D" w:rsidP="00B9145D">
      <w:pPr>
        <w:jc w:val="both"/>
        <w:rPr>
          <w:rFonts w:ascii="Verdana" w:eastAsia="Calibri" w:hAnsi="Verdana" w:cs="Arial"/>
          <w:b/>
          <w:color w:val="000000" w:themeColor="text1"/>
        </w:rPr>
      </w:pPr>
    </w:p>
    <w:p w14:paraId="374798AB" w14:textId="77777777" w:rsidR="00B9145D" w:rsidRPr="00F74246" w:rsidRDefault="00B9145D" w:rsidP="00B9145D">
      <w:pPr>
        <w:jc w:val="both"/>
        <w:rPr>
          <w:rFonts w:ascii="Verdana" w:hAnsi="Verdana" w:cs="Arial"/>
          <w:color w:val="000000" w:themeColor="text1"/>
          <w:sz w:val="20"/>
          <w:szCs w:val="20"/>
        </w:rPr>
      </w:pPr>
      <w:r w:rsidRPr="00F74246">
        <w:rPr>
          <w:rFonts w:ascii="Verdana" w:eastAsia="Calibri" w:hAnsi="Verdana" w:cs="Arial"/>
          <w:b/>
          <w:color w:val="000000" w:themeColor="text1"/>
        </w:rPr>
        <w:t>EXPERIENCIA – Características – Compartir – Transferir</w:t>
      </w:r>
    </w:p>
    <w:p w14:paraId="50B8A4EC" w14:textId="77777777" w:rsidR="00B9145D" w:rsidRDefault="00B9145D" w:rsidP="00B9145D">
      <w:pPr>
        <w:spacing w:before="120" w:after="120" w:line="276" w:lineRule="auto"/>
        <w:jc w:val="both"/>
        <w:rPr>
          <w:rFonts w:ascii="Verdana" w:hAnsi="Verdana" w:cs="Arial"/>
          <w:color w:val="000000" w:themeColor="text1"/>
          <w:sz w:val="20"/>
          <w:szCs w:val="20"/>
        </w:rPr>
      </w:pPr>
    </w:p>
    <w:p w14:paraId="569BD28A" w14:textId="77777777" w:rsidR="00B9145D" w:rsidRPr="00F74246" w:rsidRDefault="00B9145D" w:rsidP="00B9145D">
      <w:pPr>
        <w:spacing w:before="120" w:after="120" w:line="276"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i) </w:t>
      </w:r>
      <w:r w:rsidRPr="0048429D">
        <w:rPr>
          <w:rFonts w:ascii="Verdana" w:hAnsi="Verdana" w:cs="Arial"/>
          <w:color w:val="000000" w:themeColor="text1"/>
          <w:sz w:val="20"/>
          <w:szCs w:val="20"/>
        </w:rPr>
        <w:t>La experiencia considerada como componente de la fórmula de capacidad residual debe entenderse bajo los mismos criterios que rigen la experiencia como requisito habilitante, es decir, como un atributo de carácter personal.</w:t>
      </w:r>
    </w:p>
    <w:p w14:paraId="32E8EC0C" w14:textId="77777777" w:rsidR="00B9145D" w:rsidRPr="00F74246" w:rsidRDefault="00B9145D" w:rsidP="00B9145D">
      <w:pPr>
        <w:spacing w:after="120"/>
        <w:jc w:val="both"/>
        <w:rPr>
          <w:rFonts w:ascii="Verdana" w:hAnsi="Verdana" w:cs="Arial"/>
          <w:color w:val="000000" w:themeColor="text1"/>
          <w:sz w:val="20"/>
          <w:szCs w:val="20"/>
        </w:rPr>
      </w:pPr>
      <w:proofErr w:type="spellStart"/>
      <w:r w:rsidRPr="00F74246">
        <w:rPr>
          <w:rFonts w:ascii="Verdana" w:hAnsi="Verdana" w:cs="Arial"/>
          <w:color w:val="000000" w:themeColor="text1"/>
          <w:sz w:val="20"/>
          <w:szCs w:val="20"/>
        </w:rPr>
        <w:t>ii</w:t>
      </w:r>
      <w:proofErr w:type="spellEnd"/>
      <w:r w:rsidRPr="00F74246">
        <w:rPr>
          <w:rFonts w:ascii="Verdana" w:hAnsi="Verdana" w:cs="Arial"/>
          <w:color w:val="000000" w:themeColor="text1"/>
          <w:sz w:val="20"/>
          <w:szCs w:val="20"/>
        </w:rPr>
        <w:t xml:space="preserve">) La experiencia se puede compartir, sin que implique que la que le hayan compartido a una persona se entienda suya, ya que dentro del procedimiento contractual se reflejará que esa persona tiene la experiencia de otra, como es el caso de la que </w:t>
      </w:r>
      <w:proofErr w:type="gramStart"/>
      <w:r w:rsidRPr="00F74246">
        <w:rPr>
          <w:rFonts w:ascii="Verdana" w:hAnsi="Verdana" w:cs="Arial"/>
          <w:color w:val="000000" w:themeColor="text1"/>
          <w:sz w:val="20"/>
          <w:szCs w:val="20"/>
        </w:rPr>
        <w:t>le</w:t>
      </w:r>
      <w:proofErr w:type="gramEnd"/>
      <w:r w:rsidRPr="00F74246">
        <w:rPr>
          <w:rFonts w:ascii="Verdana" w:hAnsi="Verdana" w:cs="Arial"/>
          <w:color w:val="000000" w:themeColor="text1"/>
          <w:sz w:val="20"/>
          <w:szCs w:val="20"/>
        </w:rPr>
        <w:t xml:space="preserve"> aportan los socios a las sociedades con menos de 3 años de constitución, lo cual constará en el RUP; o de las figuras </w:t>
      </w:r>
      <w:proofErr w:type="gramStart"/>
      <w:r w:rsidRPr="00F74246">
        <w:rPr>
          <w:rFonts w:ascii="Verdana" w:hAnsi="Verdana" w:cs="Arial"/>
          <w:color w:val="000000" w:themeColor="text1"/>
          <w:sz w:val="20"/>
          <w:szCs w:val="20"/>
        </w:rPr>
        <w:t xml:space="preserve">asociativas  </w:t>
      </w:r>
      <w:r w:rsidRPr="00F74246">
        <w:rPr>
          <w:rFonts w:ascii="Arial" w:hAnsi="Arial" w:cs="Arial"/>
          <w:color w:val="000000" w:themeColor="text1"/>
          <w:sz w:val="20"/>
          <w:szCs w:val="20"/>
        </w:rPr>
        <w:t>̶</w:t>
      </w:r>
      <w:proofErr w:type="gramEnd"/>
      <w:r w:rsidRPr="00F74246">
        <w:rPr>
          <w:rFonts w:ascii="Verdana" w:hAnsi="Verdana" w:cs="Arial"/>
          <w:color w:val="000000" w:themeColor="text1"/>
          <w:sz w:val="20"/>
          <w:szCs w:val="20"/>
        </w:rPr>
        <w:t xml:space="preserve"> consorcios y uniones temporales </w:t>
      </w:r>
      <w:proofErr w:type="gramStart"/>
      <w:r w:rsidRPr="00F74246">
        <w:rPr>
          <w:rFonts w:ascii="Arial" w:hAnsi="Arial" w:cs="Arial"/>
          <w:color w:val="000000" w:themeColor="text1"/>
          <w:sz w:val="20"/>
          <w:szCs w:val="20"/>
        </w:rPr>
        <w:t>̶</w:t>
      </w:r>
      <w:r w:rsidRPr="00F74246">
        <w:rPr>
          <w:rFonts w:ascii="Verdana" w:hAnsi="Verdana" w:cs="Arial"/>
          <w:color w:val="000000" w:themeColor="text1"/>
          <w:sz w:val="20"/>
          <w:szCs w:val="20"/>
        </w:rPr>
        <w:t xml:space="preserve">  que</w:t>
      </w:r>
      <w:proofErr w:type="gramEnd"/>
      <w:r w:rsidRPr="00F74246">
        <w:rPr>
          <w:rFonts w:ascii="Verdana" w:hAnsi="Verdana" w:cs="Arial"/>
          <w:color w:val="000000" w:themeColor="text1"/>
          <w:sz w:val="20"/>
          <w:szCs w:val="20"/>
        </w:rPr>
        <w:t xml:space="preserve"> se verificar</w:t>
      </w:r>
      <w:r w:rsidRPr="00F74246">
        <w:rPr>
          <w:rFonts w:ascii="Verdana" w:hAnsi="Verdana" w:cs="Verdana"/>
          <w:color w:val="000000" w:themeColor="text1"/>
          <w:sz w:val="20"/>
          <w:szCs w:val="20"/>
        </w:rPr>
        <w:t>á</w:t>
      </w:r>
      <w:r w:rsidRPr="00F74246">
        <w:rPr>
          <w:rFonts w:ascii="Verdana" w:hAnsi="Verdana" w:cs="Arial"/>
          <w:color w:val="000000" w:themeColor="text1"/>
          <w:sz w:val="20"/>
          <w:szCs w:val="20"/>
        </w:rPr>
        <w:t xml:space="preserve"> en el documento privado de constituci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n.</w:t>
      </w:r>
    </w:p>
    <w:p w14:paraId="2CB46220" w14:textId="77777777" w:rsidR="00B9145D" w:rsidRPr="00F74246" w:rsidRDefault="00B9145D" w:rsidP="00B9145D">
      <w:pPr>
        <w:spacing w:after="120"/>
        <w:jc w:val="both"/>
        <w:rPr>
          <w:rFonts w:ascii="Verdana" w:hAnsi="Verdana" w:cs="Arial"/>
          <w:color w:val="000000" w:themeColor="text1"/>
          <w:sz w:val="20"/>
          <w:szCs w:val="20"/>
        </w:rPr>
      </w:pPr>
      <w:proofErr w:type="spellStart"/>
      <w:r w:rsidRPr="00F74246">
        <w:rPr>
          <w:rFonts w:ascii="Verdana" w:hAnsi="Verdana" w:cs="Arial"/>
          <w:color w:val="000000" w:themeColor="text1"/>
          <w:sz w:val="20"/>
          <w:szCs w:val="20"/>
        </w:rPr>
        <w:t>iii</w:t>
      </w:r>
      <w:proofErr w:type="spellEnd"/>
      <w:r w:rsidRPr="00F74246">
        <w:rPr>
          <w:rFonts w:ascii="Verdana" w:hAnsi="Verdana" w:cs="Arial"/>
          <w:color w:val="000000" w:themeColor="text1"/>
          <w:sz w:val="20"/>
          <w:szCs w:val="20"/>
        </w:rPr>
        <w:t>) La experiencia se puede transferir, y es diferente a compartir, puesto que implica que la experiencia de una persona se traslada a otra, y esta última acredita esa experiencia como propia, lo cual es el caso de las figuras y reformas estatutarias como transformación, fusión y escisión.</w:t>
      </w:r>
    </w:p>
    <w:p w14:paraId="1F253055" w14:textId="77777777" w:rsidR="00B9145D" w:rsidRPr="00F74246" w:rsidRDefault="00B9145D" w:rsidP="00B9145D">
      <w:pPr>
        <w:spacing w:after="120"/>
        <w:jc w:val="both"/>
        <w:rPr>
          <w:rFonts w:ascii="Verdana" w:hAnsi="Verdana" w:cs="Arial"/>
          <w:color w:val="000000" w:themeColor="text1"/>
          <w:sz w:val="20"/>
          <w:szCs w:val="20"/>
        </w:rPr>
      </w:pPr>
      <w:proofErr w:type="spellStart"/>
      <w:r w:rsidRPr="00F74246">
        <w:rPr>
          <w:rFonts w:ascii="Verdana" w:hAnsi="Verdana" w:cs="Arial"/>
          <w:color w:val="000000" w:themeColor="text1"/>
          <w:sz w:val="20"/>
          <w:szCs w:val="20"/>
        </w:rPr>
        <w:t>iv</w:t>
      </w:r>
      <w:proofErr w:type="spellEnd"/>
      <w:r w:rsidRPr="00F74246">
        <w:rPr>
          <w:rFonts w:ascii="Verdana" w:hAnsi="Verdana" w:cs="Arial"/>
          <w:color w:val="000000" w:themeColor="text1"/>
          <w:sz w:val="20"/>
          <w:szCs w:val="20"/>
        </w:rPr>
        <w:t xml:space="preserve">) Solo es posible transferir o compartir la experiencia de una persona natural o jurídica a otra, en los casos señalados en los numerales anteriores, por lo cual no es posible que se acredite la experiencia adquirida por un </w:t>
      </w:r>
      <w:proofErr w:type="gramStart"/>
      <w:r w:rsidRPr="00F74246">
        <w:rPr>
          <w:rFonts w:ascii="Verdana" w:hAnsi="Verdana" w:cs="Arial"/>
          <w:color w:val="000000" w:themeColor="text1"/>
          <w:sz w:val="20"/>
          <w:szCs w:val="20"/>
        </w:rPr>
        <w:t xml:space="preserve">tercero  </w:t>
      </w:r>
      <w:r w:rsidRPr="00F74246">
        <w:rPr>
          <w:rFonts w:ascii="Arial" w:hAnsi="Arial" w:cs="Arial"/>
          <w:color w:val="000000" w:themeColor="text1"/>
          <w:sz w:val="20"/>
          <w:szCs w:val="20"/>
        </w:rPr>
        <w:t>̶</w:t>
      </w:r>
      <w:proofErr w:type="gramEnd"/>
      <w:r w:rsidRPr="00F74246">
        <w:rPr>
          <w:rFonts w:ascii="Verdana" w:hAnsi="Verdana" w:cs="Arial"/>
          <w:color w:val="000000" w:themeColor="text1"/>
          <w:sz w:val="20"/>
          <w:szCs w:val="20"/>
        </w:rPr>
        <w:t xml:space="preserve"> que es otra persona diferente a la principal </w:t>
      </w:r>
      <w:proofErr w:type="gramStart"/>
      <w:r w:rsidRPr="00F74246">
        <w:rPr>
          <w:rFonts w:ascii="Arial" w:hAnsi="Arial" w:cs="Arial"/>
          <w:color w:val="000000" w:themeColor="text1"/>
          <w:sz w:val="20"/>
          <w:szCs w:val="20"/>
        </w:rPr>
        <w:t>̶</w:t>
      </w:r>
      <w:r w:rsidRPr="00F74246">
        <w:rPr>
          <w:rFonts w:ascii="Verdana" w:hAnsi="Verdana" w:cs="Arial"/>
          <w:color w:val="000000" w:themeColor="text1"/>
          <w:sz w:val="20"/>
          <w:szCs w:val="20"/>
        </w:rPr>
        <w:t xml:space="preserve">  sin</w:t>
      </w:r>
      <w:proofErr w:type="gramEnd"/>
      <w:r w:rsidRPr="00F74246">
        <w:rPr>
          <w:rFonts w:ascii="Verdana" w:hAnsi="Verdana" w:cs="Arial"/>
          <w:color w:val="000000" w:themeColor="text1"/>
          <w:sz w:val="20"/>
          <w:szCs w:val="20"/>
        </w:rPr>
        <w:t xml:space="preserve"> que se relacione con lo establecido, ya que la experiencia es personal, esto es, de quien la adquiri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w:t>
      </w:r>
    </w:p>
    <w:p w14:paraId="70BBE406" w14:textId="77777777" w:rsidR="00B9145D" w:rsidRPr="00F74246" w:rsidRDefault="00B9145D" w:rsidP="00B9145D">
      <w:pPr>
        <w:jc w:val="both"/>
        <w:rPr>
          <w:rFonts w:ascii="Verdana" w:hAnsi="Verdana" w:cs="Arial"/>
          <w:color w:val="000000" w:themeColor="text1"/>
          <w:sz w:val="20"/>
          <w:szCs w:val="20"/>
        </w:rPr>
      </w:pPr>
      <w:r w:rsidRPr="00F74246">
        <w:rPr>
          <w:rFonts w:ascii="Verdana" w:hAnsi="Verdana" w:cs="Arial"/>
          <w:color w:val="000000" w:themeColor="text1"/>
          <w:sz w:val="20"/>
          <w:szCs w:val="20"/>
        </w:rPr>
        <w:t>No obstante, las entidades son autónomas en la estructuración de sus procedimientos contractuales, por lo cual en sus pliegos de condiciones pueden establecer una regla de acreditación de la experiencia que permita que el proponente incluya la de otras personas o terceros para cumplir el requisito habilitante.</w:t>
      </w:r>
    </w:p>
    <w:p w14:paraId="7327AE64" w14:textId="77777777" w:rsidR="00B9145D" w:rsidRPr="00F74246" w:rsidRDefault="00B9145D" w:rsidP="00B9145D">
      <w:pPr>
        <w:jc w:val="both"/>
        <w:rPr>
          <w:rFonts w:ascii="Verdana" w:hAnsi="Verdana" w:cs="Arial"/>
          <w:color w:val="000000" w:themeColor="text1"/>
          <w:sz w:val="20"/>
          <w:szCs w:val="20"/>
        </w:rPr>
      </w:pPr>
    </w:p>
    <w:p w14:paraId="545A280A" w14:textId="77777777" w:rsidR="00B9145D" w:rsidRPr="00F74246" w:rsidRDefault="00B9145D" w:rsidP="00B9145D">
      <w:pPr>
        <w:jc w:val="both"/>
        <w:rPr>
          <w:rFonts w:ascii="Verdana" w:eastAsia="Calibri" w:hAnsi="Verdana" w:cs="Arial"/>
          <w:b/>
          <w:color w:val="000000" w:themeColor="text1"/>
        </w:rPr>
      </w:pPr>
      <w:r w:rsidRPr="00F74246">
        <w:rPr>
          <w:rFonts w:ascii="Verdana" w:eastAsia="Calibri" w:hAnsi="Verdana" w:cs="Arial"/>
          <w:b/>
          <w:color w:val="000000" w:themeColor="text1"/>
        </w:rPr>
        <w:t>MATRICES Y SUBORDINADAS – Concepto – Filiales – Subsidiarias</w:t>
      </w:r>
    </w:p>
    <w:p w14:paraId="21BEEF43" w14:textId="77777777" w:rsidR="00B9145D" w:rsidRPr="00F74246" w:rsidRDefault="00B9145D" w:rsidP="00B9145D">
      <w:pPr>
        <w:jc w:val="both"/>
        <w:rPr>
          <w:rFonts w:ascii="Verdana" w:eastAsia="Calibri" w:hAnsi="Verdana" w:cs="Arial"/>
          <w:b/>
          <w:color w:val="000000" w:themeColor="text1"/>
          <w:sz w:val="20"/>
          <w:szCs w:val="20"/>
        </w:rPr>
      </w:pPr>
    </w:p>
    <w:p w14:paraId="34ED98D5" w14:textId="77777777" w:rsidR="00B9145D" w:rsidRPr="00F74246" w:rsidRDefault="00B9145D" w:rsidP="00B9145D">
      <w:pPr>
        <w:jc w:val="both"/>
        <w:rPr>
          <w:rFonts w:ascii="Verdana" w:hAnsi="Verdana" w:cs="Arial"/>
          <w:color w:val="000000" w:themeColor="text1"/>
          <w:sz w:val="20"/>
          <w:szCs w:val="20"/>
        </w:rPr>
      </w:pPr>
      <w:r w:rsidRPr="00F74246">
        <w:rPr>
          <w:rFonts w:ascii="Verdana" w:hAnsi="Verdana" w:cs="Arial"/>
          <w:color w:val="000000" w:themeColor="text1"/>
          <w:sz w:val="20"/>
          <w:szCs w:val="20"/>
        </w:rPr>
        <w:lastRenderedPageBreak/>
        <w:t xml:space="preserve">El Código de Comercio, en el artículo 260, subrogado por el artículo 26 de la Ley 222 de 1995, regula las matrices y subordinadas. La norma citada contiene los siguientes conceptos: i) matriz, </w:t>
      </w:r>
      <w:proofErr w:type="spellStart"/>
      <w:r w:rsidRPr="00F74246">
        <w:rPr>
          <w:rFonts w:ascii="Verdana" w:hAnsi="Verdana" w:cs="Arial"/>
          <w:color w:val="000000" w:themeColor="text1"/>
          <w:sz w:val="20"/>
          <w:szCs w:val="20"/>
        </w:rPr>
        <w:t>ii</w:t>
      </w:r>
      <w:proofErr w:type="spellEnd"/>
      <w:r w:rsidRPr="00F74246">
        <w:rPr>
          <w:rFonts w:ascii="Verdana" w:hAnsi="Verdana" w:cs="Arial"/>
          <w:color w:val="000000" w:themeColor="text1"/>
          <w:sz w:val="20"/>
          <w:szCs w:val="20"/>
        </w:rPr>
        <w:t xml:space="preserve">) subordinada o controlada, </w:t>
      </w:r>
      <w:proofErr w:type="spellStart"/>
      <w:r w:rsidRPr="00F74246">
        <w:rPr>
          <w:rFonts w:ascii="Verdana" w:hAnsi="Verdana" w:cs="Arial"/>
          <w:color w:val="000000" w:themeColor="text1"/>
          <w:sz w:val="20"/>
          <w:szCs w:val="20"/>
        </w:rPr>
        <w:t>iii</w:t>
      </w:r>
      <w:proofErr w:type="spellEnd"/>
      <w:r w:rsidRPr="00F74246">
        <w:rPr>
          <w:rFonts w:ascii="Verdana" w:hAnsi="Verdana" w:cs="Arial"/>
          <w:color w:val="000000" w:themeColor="text1"/>
          <w:sz w:val="20"/>
          <w:szCs w:val="20"/>
        </w:rPr>
        <w:t xml:space="preserve">) filial y </w:t>
      </w:r>
      <w:proofErr w:type="spellStart"/>
      <w:r w:rsidRPr="00F74246">
        <w:rPr>
          <w:rFonts w:ascii="Verdana" w:hAnsi="Verdana" w:cs="Arial"/>
          <w:color w:val="000000" w:themeColor="text1"/>
          <w:sz w:val="20"/>
          <w:szCs w:val="20"/>
        </w:rPr>
        <w:t>iv</w:t>
      </w:r>
      <w:proofErr w:type="spellEnd"/>
      <w:r w:rsidRPr="00F74246">
        <w:rPr>
          <w:rFonts w:ascii="Verdana" w:hAnsi="Verdana" w:cs="Arial"/>
          <w:color w:val="000000" w:themeColor="text1"/>
          <w:sz w:val="20"/>
          <w:szCs w:val="20"/>
        </w:rPr>
        <w:t xml:space="preserve">) </w:t>
      </w:r>
      <w:proofErr w:type="gramStart"/>
      <w:r w:rsidRPr="00F74246">
        <w:rPr>
          <w:rFonts w:ascii="Verdana" w:hAnsi="Verdana" w:cs="Arial"/>
          <w:color w:val="000000" w:themeColor="text1"/>
          <w:sz w:val="20"/>
          <w:szCs w:val="20"/>
        </w:rPr>
        <w:t>subsidiaria .</w:t>
      </w:r>
      <w:proofErr w:type="gramEnd"/>
      <w:r w:rsidRPr="00F74246">
        <w:rPr>
          <w:rFonts w:ascii="Verdana" w:hAnsi="Verdana" w:cs="Arial"/>
          <w:color w:val="000000" w:themeColor="text1"/>
          <w:sz w:val="20"/>
          <w:szCs w:val="20"/>
        </w:rPr>
        <w:t xml:space="preserve"> En primer lugar, una sociedad es i) matriz cuando tiene poder de decisión frente a otras personas, </w:t>
      </w:r>
      <w:proofErr w:type="spellStart"/>
      <w:r w:rsidRPr="00F74246">
        <w:rPr>
          <w:rFonts w:ascii="Verdana" w:hAnsi="Verdana" w:cs="Arial"/>
          <w:color w:val="000000" w:themeColor="text1"/>
          <w:sz w:val="20"/>
          <w:szCs w:val="20"/>
        </w:rPr>
        <w:t>ii</w:t>
      </w:r>
      <w:proofErr w:type="spellEnd"/>
      <w:r w:rsidRPr="00F74246">
        <w:rPr>
          <w:rFonts w:ascii="Verdana" w:hAnsi="Verdana" w:cs="Arial"/>
          <w:color w:val="000000" w:themeColor="text1"/>
          <w:sz w:val="20"/>
          <w:szCs w:val="20"/>
        </w:rPr>
        <w:t xml:space="preserve">) la sociedad subordinada o controlada es la que no puede autodeterminarse porque sus decisiones se someten a la sociedad matriz, y esa subordinación cuando es directa se denomina </w:t>
      </w:r>
      <w:proofErr w:type="spellStart"/>
      <w:r w:rsidRPr="00F74246">
        <w:rPr>
          <w:rFonts w:ascii="Verdana" w:hAnsi="Verdana" w:cs="Arial"/>
          <w:color w:val="000000" w:themeColor="text1"/>
          <w:sz w:val="20"/>
          <w:szCs w:val="20"/>
        </w:rPr>
        <w:t>iii</w:t>
      </w:r>
      <w:proofErr w:type="spellEnd"/>
      <w:r w:rsidRPr="00F74246">
        <w:rPr>
          <w:rFonts w:ascii="Verdana" w:hAnsi="Verdana" w:cs="Arial"/>
          <w:color w:val="000000" w:themeColor="text1"/>
          <w:sz w:val="20"/>
          <w:szCs w:val="20"/>
        </w:rPr>
        <w:t xml:space="preserve">) filial, y cuando es indirecta, esto es, la matriz toma decisiones con el concurso o por intermedio de otras de sus sociedades subordinadas o controladas, es una </w:t>
      </w:r>
      <w:proofErr w:type="spellStart"/>
      <w:r w:rsidRPr="00F74246">
        <w:rPr>
          <w:rFonts w:ascii="Verdana" w:hAnsi="Verdana" w:cs="Arial"/>
          <w:color w:val="000000" w:themeColor="text1"/>
          <w:sz w:val="20"/>
          <w:szCs w:val="20"/>
        </w:rPr>
        <w:t>iv</w:t>
      </w:r>
      <w:proofErr w:type="spellEnd"/>
      <w:r w:rsidRPr="00F74246">
        <w:rPr>
          <w:rFonts w:ascii="Verdana" w:hAnsi="Verdana" w:cs="Arial"/>
          <w:color w:val="000000" w:themeColor="text1"/>
          <w:sz w:val="20"/>
          <w:szCs w:val="20"/>
        </w:rPr>
        <w:t>) sociedad subsidiaria.</w:t>
      </w:r>
    </w:p>
    <w:p w14:paraId="1A0D05C3" w14:textId="77777777" w:rsidR="00B9145D" w:rsidRPr="00F74246" w:rsidRDefault="00B9145D" w:rsidP="00B9145D">
      <w:pPr>
        <w:jc w:val="both"/>
        <w:rPr>
          <w:rFonts w:ascii="Verdana" w:hAnsi="Verdana" w:cs="Arial"/>
          <w:color w:val="000000" w:themeColor="text1"/>
          <w:sz w:val="20"/>
          <w:szCs w:val="20"/>
        </w:rPr>
      </w:pPr>
    </w:p>
    <w:p w14:paraId="00A2D047" w14:textId="77777777" w:rsidR="00B9145D" w:rsidRPr="00F74246" w:rsidRDefault="00B9145D" w:rsidP="00B9145D">
      <w:pPr>
        <w:jc w:val="both"/>
        <w:rPr>
          <w:rFonts w:ascii="Verdana" w:eastAsia="Calibri" w:hAnsi="Verdana" w:cs="Arial"/>
          <w:b/>
          <w:color w:val="000000" w:themeColor="text1"/>
        </w:rPr>
      </w:pPr>
      <w:r w:rsidRPr="00F74246">
        <w:rPr>
          <w:rFonts w:ascii="Verdana" w:eastAsia="Calibri" w:hAnsi="Verdana" w:cs="Arial"/>
          <w:b/>
          <w:color w:val="000000" w:themeColor="text1"/>
        </w:rPr>
        <w:t>MATRICES Y SUBORDINADAS – Experiencia</w:t>
      </w:r>
    </w:p>
    <w:p w14:paraId="011CDD62" w14:textId="77777777" w:rsidR="00B9145D" w:rsidRPr="00F74246" w:rsidRDefault="00B9145D" w:rsidP="00B9145D">
      <w:pPr>
        <w:jc w:val="both"/>
        <w:rPr>
          <w:rFonts w:ascii="Verdana" w:eastAsia="Calibri" w:hAnsi="Verdana" w:cs="Arial"/>
          <w:b/>
          <w:color w:val="000000" w:themeColor="text1"/>
          <w:sz w:val="20"/>
          <w:szCs w:val="20"/>
        </w:rPr>
      </w:pPr>
    </w:p>
    <w:p w14:paraId="4B65A4CF" w14:textId="77777777" w:rsidR="00B9145D" w:rsidRPr="00F74246" w:rsidRDefault="00B9145D" w:rsidP="00B9145D">
      <w:pPr>
        <w:jc w:val="both"/>
        <w:rPr>
          <w:rFonts w:ascii="Verdana" w:hAnsi="Verdana" w:cs="Arial"/>
          <w:color w:val="000000" w:themeColor="text1"/>
          <w:sz w:val="20"/>
          <w:szCs w:val="20"/>
        </w:rPr>
      </w:pPr>
      <w:r w:rsidRPr="00F74246">
        <w:rPr>
          <w:rFonts w:ascii="Verdana" w:hAnsi="Verdana" w:cs="Arial"/>
          <w:color w:val="000000" w:themeColor="text1"/>
          <w:sz w:val="20"/>
          <w:szCs w:val="20"/>
        </w:rPr>
        <w:t xml:space="preserve">Por tanto, una sociedad </w:t>
      </w:r>
      <w:proofErr w:type="gramStart"/>
      <w:r w:rsidRPr="00F74246">
        <w:rPr>
          <w:rFonts w:ascii="Verdana" w:hAnsi="Verdana" w:cs="Arial"/>
          <w:color w:val="000000" w:themeColor="text1"/>
          <w:sz w:val="20"/>
          <w:szCs w:val="20"/>
        </w:rPr>
        <w:t xml:space="preserve">subordinada  </w:t>
      </w:r>
      <w:r w:rsidRPr="00F74246">
        <w:rPr>
          <w:rFonts w:ascii="Arial" w:hAnsi="Arial" w:cs="Arial"/>
          <w:color w:val="000000" w:themeColor="text1"/>
          <w:sz w:val="20"/>
          <w:szCs w:val="20"/>
        </w:rPr>
        <w:t>̶</w:t>
      </w:r>
      <w:proofErr w:type="gramEnd"/>
      <w:r w:rsidRPr="00F74246">
        <w:rPr>
          <w:rFonts w:ascii="Verdana" w:hAnsi="Verdana" w:cs="Arial"/>
          <w:color w:val="000000" w:themeColor="text1"/>
          <w:sz w:val="20"/>
          <w:szCs w:val="20"/>
        </w:rPr>
        <w:t xml:space="preserve"> filial o subsidiaria </w:t>
      </w:r>
      <w:r w:rsidRPr="00F74246">
        <w:rPr>
          <w:rFonts w:ascii="Arial" w:hAnsi="Arial" w:cs="Arial"/>
          <w:color w:val="000000" w:themeColor="text1"/>
          <w:sz w:val="20"/>
          <w:szCs w:val="20"/>
        </w:rPr>
        <w:t>̶</w:t>
      </w:r>
      <w:r w:rsidRPr="00F74246">
        <w:rPr>
          <w:rFonts w:ascii="Verdana" w:hAnsi="Verdana" w:cs="Arial"/>
          <w:color w:val="000000" w:themeColor="text1"/>
          <w:sz w:val="20"/>
          <w:szCs w:val="20"/>
        </w:rPr>
        <w:t xml:space="preserve"> conserva su individualidad respecto de su matriz, y al ser personas jur</w:t>
      </w:r>
      <w:r w:rsidRPr="00F74246">
        <w:rPr>
          <w:rFonts w:ascii="Verdana" w:hAnsi="Verdana" w:cs="Verdana"/>
          <w:color w:val="000000" w:themeColor="text1"/>
          <w:sz w:val="20"/>
          <w:szCs w:val="20"/>
        </w:rPr>
        <w:t>í</w:t>
      </w:r>
      <w:r w:rsidRPr="00F74246">
        <w:rPr>
          <w:rFonts w:ascii="Verdana" w:hAnsi="Verdana" w:cs="Arial"/>
          <w:color w:val="000000" w:themeColor="text1"/>
          <w:sz w:val="20"/>
          <w:szCs w:val="20"/>
        </w:rPr>
        <w:t xml:space="preserve">dicas diferentes adquieren su experiencia de forma personal e independiente, la cual pueden compartir conformando un proponente </w:t>
      </w:r>
      <w:proofErr w:type="gramStart"/>
      <w:r w:rsidRPr="00F74246">
        <w:rPr>
          <w:rFonts w:ascii="Verdana" w:hAnsi="Verdana" w:cs="Arial"/>
          <w:color w:val="000000" w:themeColor="text1"/>
          <w:sz w:val="20"/>
          <w:szCs w:val="20"/>
        </w:rPr>
        <w:t xml:space="preserve">plural  </w:t>
      </w:r>
      <w:r w:rsidRPr="00F74246">
        <w:rPr>
          <w:rFonts w:ascii="Arial" w:hAnsi="Arial" w:cs="Arial"/>
          <w:color w:val="000000" w:themeColor="text1"/>
          <w:sz w:val="20"/>
          <w:szCs w:val="20"/>
        </w:rPr>
        <w:t>̶</w:t>
      </w:r>
      <w:proofErr w:type="gramEnd"/>
      <w:r w:rsidRPr="00F74246">
        <w:rPr>
          <w:rFonts w:ascii="Verdana" w:hAnsi="Verdana" w:cs="Arial"/>
          <w:color w:val="000000" w:themeColor="text1"/>
          <w:sz w:val="20"/>
          <w:szCs w:val="20"/>
        </w:rPr>
        <w:t xml:space="preserve"> uni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 xml:space="preserve">n temporal o consorcio </w:t>
      </w:r>
      <w:proofErr w:type="gramStart"/>
      <w:r w:rsidRPr="00F74246">
        <w:rPr>
          <w:rFonts w:ascii="Arial" w:hAnsi="Arial" w:cs="Arial"/>
          <w:color w:val="000000" w:themeColor="text1"/>
          <w:sz w:val="20"/>
          <w:szCs w:val="20"/>
        </w:rPr>
        <w:t>̶</w:t>
      </w:r>
      <w:r w:rsidRPr="00F74246">
        <w:rPr>
          <w:rFonts w:ascii="Verdana" w:hAnsi="Verdana" w:cs="Arial"/>
          <w:color w:val="000000" w:themeColor="text1"/>
          <w:sz w:val="20"/>
          <w:szCs w:val="20"/>
        </w:rPr>
        <w:t xml:space="preserve"> ,</w:t>
      </w:r>
      <w:proofErr w:type="gramEnd"/>
      <w:r w:rsidRPr="00F74246">
        <w:rPr>
          <w:rFonts w:ascii="Verdana" w:hAnsi="Verdana" w:cs="Arial"/>
          <w:color w:val="000000" w:themeColor="text1"/>
          <w:sz w:val="20"/>
          <w:szCs w:val="20"/>
        </w:rPr>
        <w:t xml:space="preserve"> o transferir por fusi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n y escisi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n entre las sociedades comerciales, o por expresa disposici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n del pliego de condiciones que as</w:t>
      </w:r>
      <w:r w:rsidRPr="00F74246">
        <w:rPr>
          <w:rFonts w:ascii="Verdana" w:hAnsi="Verdana" w:cs="Verdana"/>
          <w:color w:val="000000" w:themeColor="text1"/>
          <w:sz w:val="20"/>
          <w:szCs w:val="20"/>
        </w:rPr>
        <w:t>í</w:t>
      </w:r>
      <w:r w:rsidRPr="00F74246">
        <w:rPr>
          <w:rFonts w:ascii="Verdana" w:hAnsi="Verdana" w:cs="Arial"/>
          <w:color w:val="000000" w:themeColor="text1"/>
          <w:sz w:val="20"/>
          <w:szCs w:val="20"/>
        </w:rPr>
        <w:t xml:space="preserve"> lo autorice. Sin embargo, por la prohibici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n del art</w:t>
      </w:r>
      <w:r w:rsidRPr="00F74246">
        <w:rPr>
          <w:rFonts w:ascii="Verdana" w:hAnsi="Verdana" w:cs="Verdana"/>
          <w:color w:val="000000" w:themeColor="text1"/>
          <w:sz w:val="20"/>
          <w:szCs w:val="20"/>
        </w:rPr>
        <w:t>í</w:t>
      </w:r>
      <w:r w:rsidRPr="00F74246">
        <w:rPr>
          <w:rFonts w:ascii="Verdana" w:hAnsi="Verdana" w:cs="Arial"/>
          <w:color w:val="000000" w:themeColor="text1"/>
          <w:sz w:val="20"/>
          <w:szCs w:val="20"/>
        </w:rPr>
        <w:t>culo 262 del C</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digo de Comercio, subrogado por el artículo 32 de la Ley 222 de 1995 citado, no es posible que entre una matriz y sus subordinadas se comparta la experiencia a través de la posibilidad que señala la ley para que los socios aporten su experiencia a las sociedades con menos de 3 años de constitución. Tampoco es posible transferir la experiencia por la transformación de la sociedad comercial, ya que esta reforma social del Código de Comercio involucra una persona jurídica y no varias como es el caso de la matriz y sus subordinadas.</w:t>
      </w:r>
    </w:p>
    <w:p w14:paraId="157084FC" w14:textId="77777777" w:rsidR="00B9145D" w:rsidRPr="00F74246" w:rsidRDefault="00B9145D" w:rsidP="00B9145D">
      <w:pPr>
        <w:jc w:val="both"/>
        <w:rPr>
          <w:rFonts w:ascii="Verdana" w:hAnsi="Verdana" w:cs="Arial"/>
          <w:color w:val="000000" w:themeColor="text1"/>
          <w:sz w:val="20"/>
          <w:szCs w:val="20"/>
        </w:rPr>
      </w:pPr>
    </w:p>
    <w:p w14:paraId="18AA725E" w14:textId="77777777" w:rsidR="00B9145D" w:rsidRPr="00F74246" w:rsidRDefault="00B9145D" w:rsidP="00B9145D">
      <w:pPr>
        <w:jc w:val="both"/>
        <w:rPr>
          <w:rFonts w:ascii="Verdana" w:eastAsia="Calibri" w:hAnsi="Verdana" w:cs="Arial"/>
          <w:b/>
          <w:color w:val="000000" w:themeColor="text1"/>
        </w:rPr>
      </w:pPr>
      <w:r w:rsidRPr="00F74246">
        <w:rPr>
          <w:rFonts w:ascii="Verdana" w:eastAsia="Calibri" w:hAnsi="Verdana" w:cs="Arial"/>
          <w:b/>
          <w:color w:val="000000" w:themeColor="text1"/>
        </w:rPr>
        <w:t>MATRICES Y SUBORDINADAS – Experiencia – Capacidad residual</w:t>
      </w:r>
    </w:p>
    <w:p w14:paraId="5DF24A2D" w14:textId="77777777" w:rsidR="00B9145D" w:rsidRPr="00F74246" w:rsidRDefault="00B9145D" w:rsidP="00B9145D">
      <w:pPr>
        <w:jc w:val="both"/>
        <w:rPr>
          <w:rFonts w:ascii="Verdana" w:eastAsia="Calibri" w:hAnsi="Verdana" w:cs="Arial"/>
          <w:b/>
          <w:color w:val="000000" w:themeColor="text1"/>
          <w:sz w:val="20"/>
          <w:szCs w:val="20"/>
        </w:rPr>
      </w:pPr>
    </w:p>
    <w:p w14:paraId="33148BDF" w14:textId="77777777" w:rsidR="00B9145D" w:rsidRPr="00F74246" w:rsidRDefault="00B9145D" w:rsidP="00B9145D">
      <w:pPr>
        <w:spacing w:after="120"/>
        <w:jc w:val="both"/>
        <w:rPr>
          <w:rFonts w:ascii="Verdana" w:hAnsi="Verdana" w:cs="Arial"/>
          <w:color w:val="000000" w:themeColor="text1"/>
          <w:sz w:val="20"/>
          <w:szCs w:val="20"/>
        </w:rPr>
      </w:pPr>
      <w:r w:rsidRPr="00F74246">
        <w:rPr>
          <w:rFonts w:ascii="Verdana" w:hAnsi="Verdana" w:cs="Arial"/>
          <w:color w:val="000000" w:themeColor="text1"/>
          <w:sz w:val="20"/>
          <w:szCs w:val="20"/>
        </w:rPr>
        <w:t xml:space="preserve">Sin embargo, entre dos o más personas jurídicas es posible i) transferir o </w:t>
      </w:r>
      <w:proofErr w:type="spellStart"/>
      <w:r w:rsidRPr="00F74246">
        <w:rPr>
          <w:rFonts w:ascii="Verdana" w:hAnsi="Verdana" w:cs="Arial"/>
          <w:color w:val="000000" w:themeColor="text1"/>
          <w:sz w:val="20"/>
          <w:szCs w:val="20"/>
        </w:rPr>
        <w:t>ii</w:t>
      </w:r>
      <w:proofErr w:type="spellEnd"/>
      <w:r w:rsidRPr="00F74246">
        <w:rPr>
          <w:rFonts w:ascii="Verdana" w:hAnsi="Verdana" w:cs="Arial"/>
          <w:color w:val="000000" w:themeColor="text1"/>
          <w:sz w:val="20"/>
          <w:szCs w:val="20"/>
        </w:rPr>
        <w:t xml:space="preserve">) compartir la experiencia, y teniendo en cuenta que la matriz y sus subordinadas  </w:t>
      </w:r>
      <w:r w:rsidRPr="00F74246">
        <w:rPr>
          <w:rFonts w:ascii="Arial" w:hAnsi="Arial" w:cs="Arial"/>
          <w:color w:val="000000" w:themeColor="text1"/>
          <w:sz w:val="20"/>
          <w:szCs w:val="20"/>
        </w:rPr>
        <w:t>̶</w:t>
      </w:r>
      <w:r w:rsidRPr="00F74246">
        <w:rPr>
          <w:rFonts w:ascii="Verdana" w:hAnsi="Verdana" w:cs="Arial"/>
          <w:color w:val="000000" w:themeColor="text1"/>
          <w:sz w:val="20"/>
          <w:szCs w:val="20"/>
        </w:rPr>
        <w:t xml:space="preserve"> filiales y subsidiarias </w:t>
      </w:r>
      <w:r w:rsidRPr="00F74246">
        <w:rPr>
          <w:rFonts w:ascii="Arial" w:hAnsi="Arial" w:cs="Arial"/>
          <w:color w:val="000000" w:themeColor="text1"/>
          <w:sz w:val="20"/>
          <w:szCs w:val="20"/>
        </w:rPr>
        <w:t>̶</w:t>
      </w:r>
      <w:r w:rsidRPr="00F74246">
        <w:rPr>
          <w:rFonts w:ascii="Verdana" w:hAnsi="Verdana" w:cs="Arial"/>
          <w:color w:val="000000" w:themeColor="text1"/>
          <w:sz w:val="20"/>
          <w:szCs w:val="20"/>
        </w:rPr>
        <w:t xml:space="preserve">  son personas jur</w:t>
      </w:r>
      <w:r w:rsidRPr="00F74246">
        <w:rPr>
          <w:rFonts w:ascii="Verdana" w:hAnsi="Verdana" w:cs="Verdana"/>
          <w:color w:val="000000" w:themeColor="text1"/>
          <w:sz w:val="20"/>
          <w:szCs w:val="20"/>
        </w:rPr>
        <w:t>í</w:t>
      </w:r>
      <w:r w:rsidRPr="00F74246">
        <w:rPr>
          <w:rFonts w:ascii="Verdana" w:hAnsi="Verdana" w:cs="Arial"/>
          <w:color w:val="000000" w:themeColor="text1"/>
          <w:sz w:val="20"/>
          <w:szCs w:val="20"/>
        </w:rPr>
        <w:t>dicas diferentes, para el c</w:t>
      </w:r>
      <w:r w:rsidRPr="00F74246">
        <w:rPr>
          <w:rFonts w:ascii="Verdana" w:hAnsi="Verdana" w:cs="Verdana"/>
          <w:color w:val="000000" w:themeColor="text1"/>
          <w:sz w:val="20"/>
          <w:szCs w:val="20"/>
        </w:rPr>
        <w:t>á</w:t>
      </w:r>
      <w:r w:rsidRPr="00F74246">
        <w:rPr>
          <w:rFonts w:ascii="Verdana" w:hAnsi="Verdana" w:cs="Arial"/>
          <w:color w:val="000000" w:themeColor="text1"/>
          <w:sz w:val="20"/>
          <w:szCs w:val="20"/>
        </w:rPr>
        <w:t>lculo de la capacidad residual del proponente cada una debe acreditar la experiencia adquirida directamente en la ejecuci</w:t>
      </w:r>
      <w:r w:rsidRPr="00F74246">
        <w:rPr>
          <w:rFonts w:ascii="Verdana" w:hAnsi="Verdana" w:cs="Verdana"/>
          <w:color w:val="000000" w:themeColor="text1"/>
          <w:sz w:val="20"/>
          <w:szCs w:val="20"/>
        </w:rPr>
        <w:t>ó</w:t>
      </w:r>
      <w:r w:rsidRPr="00F74246">
        <w:rPr>
          <w:rFonts w:ascii="Verdana" w:hAnsi="Verdana" w:cs="Arial"/>
          <w:color w:val="000000" w:themeColor="text1"/>
          <w:sz w:val="20"/>
          <w:szCs w:val="20"/>
        </w:rPr>
        <w:t>n de contratos clasificados en el segmento 72 del clasificador de bienes y servicios; y la matriz no puede acreditar la experiencia de sus subordinadas o viceversa, salvo que se hayan fusionado o escindido, o cuando el pliego de condiciones del procedimiento contractual haya previsto una regla que lo autorice.</w:t>
      </w:r>
    </w:p>
    <w:p w14:paraId="3646B697" w14:textId="77777777" w:rsidR="00B9145D" w:rsidRPr="00F74246" w:rsidRDefault="00B9145D" w:rsidP="00B9145D">
      <w:pPr>
        <w:jc w:val="both"/>
        <w:rPr>
          <w:rFonts w:ascii="Verdana" w:hAnsi="Verdana" w:cs="Arial"/>
          <w:color w:val="000000" w:themeColor="text1"/>
          <w:sz w:val="20"/>
          <w:szCs w:val="20"/>
        </w:rPr>
      </w:pPr>
      <w:r w:rsidRPr="00F74246">
        <w:rPr>
          <w:rFonts w:ascii="Verdana" w:hAnsi="Verdana" w:cs="Arial"/>
          <w:color w:val="000000" w:themeColor="text1"/>
          <w:sz w:val="20"/>
          <w:szCs w:val="20"/>
        </w:rPr>
        <w:t xml:space="preserve">Lo anterior teniendo en cuenta que: i) la transformación no aplica porque en el caso de las matriz y sus subordinadas se trata de dos o más personas jurídicas, </w:t>
      </w:r>
      <w:proofErr w:type="spellStart"/>
      <w:r w:rsidRPr="00F74246">
        <w:rPr>
          <w:rFonts w:ascii="Verdana" w:hAnsi="Verdana" w:cs="Arial"/>
          <w:color w:val="000000" w:themeColor="text1"/>
          <w:sz w:val="20"/>
          <w:szCs w:val="20"/>
        </w:rPr>
        <w:t>ii</w:t>
      </w:r>
      <w:proofErr w:type="spellEnd"/>
      <w:r w:rsidRPr="00F74246">
        <w:rPr>
          <w:rFonts w:ascii="Verdana" w:hAnsi="Verdana" w:cs="Arial"/>
          <w:color w:val="000000" w:themeColor="text1"/>
          <w:sz w:val="20"/>
          <w:szCs w:val="20"/>
        </w:rPr>
        <w:t xml:space="preserve">) la acreditación </w:t>
      </w:r>
      <w:r w:rsidRPr="00F74246">
        <w:rPr>
          <w:rFonts w:ascii="Verdana" w:hAnsi="Verdana" w:cs="Arial"/>
          <w:color w:val="000000" w:themeColor="text1"/>
          <w:sz w:val="20"/>
          <w:szCs w:val="20"/>
        </w:rPr>
        <w:lastRenderedPageBreak/>
        <w:t xml:space="preserve">de la experiencia de los socios en sociedades con menos de 3 años de constituidas tampoco aplica por la prohibición de que las subordinadas sean socias de sus matrices y </w:t>
      </w:r>
      <w:proofErr w:type="spellStart"/>
      <w:r w:rsidRPr="00F74246">
        <w:rPr>
          <w:rFonts w:ascii="Verdana" w:hAnsi="Verdana" w:cs="Arial"/>
          <w:color w:val="000000" w:themeColor="text1"/>
          <w:sz w:val="20"/>
          <w:szCs w:val="20"/>
        </w:rPr>
        <w:t>iii</w:t>
      </w:r>
      <w:proofErr w:type="spellEnd"/>
      <w:r w:rsidRPr="00F74246">
        <w:rPr>
          <w:rFonts w:ascii="Verdana" w:hAnsi="Verdana" w:cs="Arial"/>
          <w:color w:val="000000" w:themeColor="text1"/>
          <w:sz w:val="20"/>
          <w:szCs w:val="20"/>
        </w:rPr>
        <w:t>) la conformación del proponente plural no permite que la matriz acredite la experiencia de sus subordinadas o viceversa, ya que el cálculo de la capacidad residual se realiza para cada miembro según su porcentaje de participación.</w:t>
      </w:r>
    </w:p>
    <w:p w14:paraId="51D78AC2" w14:textId="77777777" w:rsidR="00B9145D" w:rsidRPr="00F74246" w:rsidRDefault="00B9145D" w:rsidP="00B9145D">
      <w:pPr>
        <w:rPr>
          <w:rFonts w:ascii="Verdana" w:eastAsia="Geomanist Light" w:hAnsi="Verdana" w:cs="Arial"/>
          <w:color w:val="000000" w:themeColor="text1"/>
        </w:rPr>
      </w:pPr>
      <w:r w:rsidRPr="00F74246">
        <w:rPr>
          <w:rFonts w:ascii="Verdana" w:eastAsia="Geomanist Light" w:hAnsi="Verdana" w:cs="Arial"/>
          <w:color w:val="000000" w:themeColor="text1"/>
        </w:rPr>
        <w:br w:type="page"/>
      </w:r>
    </w:p>
    <w:p w14:paraId="54F30E64" w14:textId="77777777" w:rsidR="00B9145D" w:rsidRDefault="00B9145D" w:rsidP="00B9145D">
      <w:pPr>
        <w:spacing w:after="0"/>
        <w:rPr>
          <w:rFonts w:ascii="Verdana" w:hAnsi="Verdana"/>
        </w:rPr>
      </w:pPr>
    </w:p>
    <w:p w14:paraId="0B7BEAF9" w14:textId="77777777" w:rsidR="00B9145D" w:rsidRDefault="00B9145D" w:rsidP="00B9145D">
      <w:pPr>
        <w:spacing w:after="0"/>
        <w:rPr>
          <w:rFonts w:ascii="Verdana" w:hAnsi="Verdana"/>
        </w:rPr>
      </w:pPr>
    </w:p>
    <w:p w14:paraId="2BF2015D" w14:textId="6EE8A0A6" w:rsidR="00B9145D" w:rsidRPr="0044528D" w:rsidRDefault="00AE4EBA" w:rsidP="00B9145D">
      <w:pPr>
        <w:spacing w:after="0"/>
        <w:rPr>
          <w:rFonts w:ascii="Verdana" w:hAnsi="Verdana"/>
        </w:rPr>
      </w:pPr>
      <w:r>
        <w:t xml:space="preserve">Bogotá D.C., 20 de </w:t>
      </w:r>
      <w:proofErr w:type="gramStart"/>
      <w:r>
        <w:t>Octubre</w:t>
      </w:r>
      <w:proofErr w:type="gramEnd"/>
      <w:r>
        <w:t xml:space="preserve"> 2025</w:t>
      </w:r>
      <w:r w:rsidR="00B9145D" w:rsidRPr="0044528D">
        <w:rPr>
          <w:rFonts w:ascii="Verdana" w:hAnsi="Verdana"/>
        </w:rPr>
        <w:tab/>
      </w:r>
    </w:p>
    <w:p w14:paraId="7E2B1B62" w14:textId="77777777" w:rsidR="00B9145D" w:rsidRDefault="00B9145D" w:rsidP="00B9145D">
      <w:pPr>
        <w:spacing w:after="0"/>
        <w:rPr>
          <w:rFonts w:ascii="Verdana" w:hAnsi="Verdana"/>
        </w:rPr>
      </w:pPr>
    </w:p>
    <w:p w14:paraId="46F16F1E" w14:textId="3C42B108" w:rsidR="00AE4EBA" w:rsidRPr="0044528D" w:rsidRDefault="00AE4EBA" w:rsidP="00AE4EBA">
      <w:pPr>
        <w:spacing w:after="0"/>
        <w:ind w:left="5664"/>
        <w:rPr>
          <w:rFonts w:ascii="Verdana" w:hAnsi="Verdana"/>
        </w:rPr>
      </w:pPr>
      <w:r>
        <w:rPr>
          <w:noProof/>
        </w:rPr>
        <w:drawing>
          <wp:inline distT="0" distB="0" distL="0" distR="0" wp14:anchorId="658E6043" wp14:editId="12F67811">
            <wp:extent cx="2219325" cy="676893"/>
            <wp:effectExtent l="0" t="0" r="0" b="9525"/>
            <wp:docPr id="18260745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74594" name=""/>
                    <pic:cNvPicPr/>
                  </pic:nvPicPr>
                  <pic:blipFill>
                    <a:blip r:embed="rId10"/>
                    <a:stretch>
                      <a:fillRect/>
                    </a:stretch>
                  </pic:blipFill>
                  <pic:spPr>
                    <a:xfrm>
                      <a:off x="0" y="0"/>
                      <a:ext cx="2232320" cy="680857"/>
                    </a:xfrm>
                    <a:prstGeom prst="rect">
                      <a:avLst/>
                    </a:prstGeom>
                  </pic:spPr>
                </pic:pic>
              </a:graphicData>
            </a:graphic>
          </wp:inline>
        </w:drawing>
      </w:r>
    </w:p>
    <w:bookmarkEnd w:id="0"/>
    <w:p w14:paraId="6A5AFE4F" w14:textId="4B3376D6" w:rsidR="00B9145D" w:rsidRDefault="00B9145D" w:rsidP="00C27D5A">
      <w:pPr>
        <w:spacing w:after="0" w:line="240" w:lineRule="auto"/>
        <w:jc w:val="both"/>
        <w:rPr>
          <w:rFonts w:ascii="Verdana" w:hAnsi="Verdana"/>
          <w:b/>
          <w:bCs/>
        </w:rPr>
      </w:pPr>
      <w:r w:rsidRPr="00F74246">
        <w:rPr>
          <w:rFonts w:ascii="Verdana" w:eastAsia="Calibri" w:hAnsi="Verdana" w:cs="Arial"/>
          <w:lang w:val="es-ES" w:eastAsia="es-ES"/>
        </w:rPr>
        <w:t>Señor</w:t>
      </w:r>
      <w:r w:rsidRPr="00F74246">
        <w:rPr>
          <w:rFonts w:ascii="Verdana" w:hAnsi="Verdana"/>
          <w:b/>
          <w:bCs/>
        </w:rPr>
        <w:t xml:space="preserve"> </w:t>
      </w:r>
    </w:p>
    <w:p w14:paraId="388BAE6C" w14:textId="02D09E70" w:rsidR="00C27D5A" w:rsidRPr="00C27D5A" w:rsidRDefault="00C27D5A" w:rsidP="00C27D5A">
      <w:pPr>
        <w:spacing w:after="0" w:line="240" w:lineRule="auto"/>
        <w:jc w:val="both"/>
        <w:rPr>
          <w:rFonts w:ascii="Verdana" w:eastAsia="Calibri" w:hAnsi="Verdana" w:cs="Arial"/>
          <w:lang w:val="es-ES" w:eastAsia="es-ES"/>
        </w:rPr>
      </w:pPr>
      <w:r>
        <w:rPr>
          <w:rFonts w:ascii="Verdana" w:hAnsi="Verdana"/>
          <w:b/>
          <w:bCs/>
        </w:rPr>
        <w:t xml:space="preserve">Anderson </w:t>
      </w:r>
      <w:proofErr w:type="spellStart"/>
      <w:r>
        <w:rPr>
          <w:rFonts w:ascii="Verdana" w:hAnsi="Verdana"/>
          <w:b/>
          <w:bCs/>
        </w:rPr>
        <w:t>Sti</w:t>
      </w:r>
      <w:r w:rsidR="009F54D6">
        <w:rPr>
          <w:rFonts w:ascii="Verdana" w:hAnsi="Verdana"/>
          <w:b/>
          <w:bCs/>
        </w:rPr>
        <w:t>ven</w:t>
      </w:r>
      <w:proofErr w:type="spellEnd"/>
      <w:r w:rsidR="009F54D6">
        <w:rPr>
          <w:rFonts w:ascii="Verdana" w:hAnsi="Verdana"/>
          <w:b/>
          <w:bCs/>
        </w:rPr>
        <w:t xml:space="preserve"> </w:t>
      </w:r>
      <w:proofErr w:type="spellStart"/>
      <w:r w:rsidR="009F54D6">
        <w:rPr>
          <w:rFonts w:ascii="Verdana" w:hAnsi="Verdana"/>
          <w:b/>
          <w:bCs/>
        </w:rPr>
        <w:t>Hernandez</w:t>
      </w:r>
      <w:proofErr w:type="spellEnd"/>
    </w:p>
    <w:p w14:paraId="3FDB05F9" w14:textId="77777777" w:rsidR="00B9145D" w:rsidRPr="00F74246" w:rsidRDefault="00B9145D" w:rsidP="00B9145D">
      <w:pPr>
        <w:spacing w:after="0" w:line="240" w:lineRule="auto"/>
        <w:jc w:val="both"/>
        <w:rPr>
          <w:rFonts w:ascii="Verdana" w:eastAsia="Calibri" w:hAnsi="Verdana" w:cs="Arial"/>
          <w:u w:val="single"/>
          <w:lang w:val="es-ES" w:eastAsia="es-ES"/>
        </w:rPr>
      </w:pPr>
      <w:r w:rsidRPr="00A13E07">
        <w:rPr>
          <w:rFonts w:ascii="Verdana" w:eastAsia="Calibri" w:hAnsi="Verdana" w:cs="Arial"/>
          <w:u w:val="single"/>
          <w:lang w:val="es-ES" w:eastAsia="es-ES"/>
        </w:rPr>
        <w:t>anderson.herandez@gmail.com</w:t>
      </w:r>
    </w:p>
    <w:p w14:paraId="5081032A" w14:textId="77777777" w:rsidR="00B9145D" w:rsidRPr="00F74246" w:rsidRDefault="00B9145D" w:rsidP="00B9145D">
      <w:pPr>
        <w:spacing w:after="0" w:line="240" w:lineRule="auto"/>
        <w:jc w:val="both"/>
        <w:rPr>
          <w:rFonts w:ascii="Verdana" w:eastAsia="Calibri" w:hAnsi="Verdana" w:cs="Arial"/>
          <w:lang w:val="es-ES" w:eastAsia="es-ES"/>
        </w:rPr>
      </w:pPr>
      <w:r w:rsidRPr="00F74246">
        <w:rPr>
          <w:rFonts w:ascii="Verdana" w:eastAsia="Calibri" w:hAnsi="Verdana" w:cs="Arial"/>
          <w:lang w:val="es-ES" w:eastAsia="es-ES"/>
        </w:rPr>
        <w:t xml:space="preserve">Bogotá D.C </w:t>
      </w:r>
    </w:p>
    <w:p w14:paraId="006336B5" w14:textId="77777777" w:rsidR="00B9145D" w:rsidRDefault="00B9145D" w:rsidP="00B9145D">
      <w:pPr>
        <w:spacing w:after="0" w:line="240" w:lineRule="auto"/>
        <w:rPr>
          <w:rFonts w:ascii="Verdana" w:eastAsia="Calibri" w:hAnsi="Verdana" w:cs="Arial"/>
          <w:bCs/>
          <w:lang w:val="es-ES_tradnl" w:eastAsia="es-ES_tradnl"/>
        </w:rPr>
      </w:pPr>
    </w:p>
    <w:p w14:paraId="36F66961" w14:textId="77777777" w:rsidR="00B9145D" w:rsidRPr="00F74246" w:rsidRDefault="00B9145D" w:rsidP="00B9145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015"/>
        <w:gridCol w:w="5774"/>
      </w:tblGrid>
      <w:tr w:rsidR="00B9145D" w:rsidRPr="00F74246" w14:paraId="11ADF7C9" w14:textId="77777777" w:rsidTr="00395422">
        <w:trPr>
          <w:trHeight w:val="174"/>
        </w:trPr>
        <w:tc>
          <w:tcPr>
            <w:tcW w:w="3015" w:type="dxa"/>
          </w:tcPr>
          <w:p w14:paraId="26356FF4" w14:textId="77777777" w:rsidR="00B9145D" w:rsidRPr="00F74246" w:rsidRDefault="00B9145D" w:rsidP="00524793">
            <w:pPr>
              <w:jc w:val="both"/>
              <w:rPr>
                <w:rFonts w:ascii="Verdana" w:eastAsia="Calibri" w:hAnsi="Verdana" w:cs="Arial"/>
                <w:b/>
                <w:bCs/>
                <w:color w:val="7030A0"/>
                <w:lang w:val="es-ES_tradnl" w:eastAsia="es-ES_tradnl"/>
              </w:rPr>
            </w:pPr>
          </w:p>
        </w:tc>
        <w:tc>
          <w:tcPr>
            <w:tcW w:w="5774" w:type="dxa"/>
          </w:tcPr>
          <w:p w14:paraId="48F82042" w14:textId="77777777" w:rsidR="00B9145D" w:rsidRDefault="00B9145D" w:rsidP="00524793">
            <w:pPr>
              <w:jc w:val="both"/>
              <w:rPr>
                <w:rFonts w:ascii="Verdana" w:eastAsia="Calibri" w:hAnsi="Verdana" w:cs="Arial"/>
                <w:b/>
                <w:bCs/>
                <w:lang w:val="es-ES" w:eastAsia="es-ES"/>
              </w:rPr>
            </w:pPr>
            <w:r w:rsidRPr="00F74246">
              <w:rPr>
                <w:rFonts w:ascii="Verdana" w:eastAsia="Calibri" w:hAnsi="Verdana" w:cs="Arial"/>
                <w:b/>
                <w:bCs/>
                <w:lang w:val="es-ES" w:eastAsia="es-ES"/>
              </w:rPr>
              <w:t xml:space="preserve">Concepto C- </w:t>
            </w:r>
            <w:r>
              <w:rPr>
                <w:rFonts w:ascii="Verdana" w:eastAsia="Calibri" w:hAnsi="Verdana" w:cs="Arial"/>
                <w:b/>
                <w:bCs/>
                <w:lang w:val="es-ES" w:eastAsia="es-ES"/>
              </w:rPr>
              <w:t>1289</w:t>
            </w:r>
            <w:r w:rsidRPr="00F74246">
              <w:rPr>
                <w:rFonts w:ascii="Verdana" w:eastAsia="Calibri" w:hAnsi="Verdana" w:cs="Arial"/>
                <w:b/>
                <w:bCs/>
                <w:lang w:val="es-ES" w:eastAsia="es-ES"/>
              </w:rPr>
              <w:t xml:space="preserve"> de 2025</w:t>
            </w:r>
          </w:p>
          <w:p w14:paraId="6B14A294" w14:textId="77777777" w:rsidR="00395422" w:rsidRPr="00F74246" w:rsidRDefault="00395422" w:rsidP="00524793">
            <w:pPr>
              <w:jc w:val="both"/>
              <w:rPr>
                <w:rFonts w:ascii="Verdana" w:eastAsia="Calibri" w:hAnsi="Verdana" w:cs="Arial"/>
                <w:b/>
                <w:bCs/>
                <w:color w:val="7030A0"/>
                <w:lang w:val="es-ES" w:eastAsia="es-ES"/>
              </w:rPr>
            </w:pPr>
          </w:p>
        </w:tc>
      </w:tr>
      <w:tr w:rsidR="00B9145D" w:rsidRPr="00F74246" w14:paraId="7C17E189" w14:textId="77777777" w:rsidTr="00524793">
        <w:trPr>
          <w:trHeight w:val="884"/>
        </w:trPr>
        <w:tc>
          <w:tcPr>
            <w:tcW w:w="3015" w:type="dxa"/>
          </w:tcPr>
          <w:p w14:paraId="5A07A2C6" w14:textId="77777777" w:rsidR="00B9145D" w:rsidRPr="00F74246" w:rsidRDefault="00B9145D" w:rsidP="00524793">
            <w:pPr>
              <w:jc w:val="both"/>
              <w:rPr>
                <w:rFonts w:ascii="Verdana" w:eastAsia="Calibri" w:hAnsi="Verdana" w:cs="Arial"/>
                <w:lang w:val="es-ES_tradnl" w:eastAsia="es-ES_tradnl"/>
              </w:rPr>
            </w:pPr>
            <w:r w:rsidRPr="00F74246">
              <w:rPr>
                <w:rFonts w:ascii="Verdana" w:eastAsia="Calibri" w:hAnsi="Verdana" w:cs="Arial"/>
                <w:b/>
                <w:lang w:val="es-ES_tradnl" w:eastAsia="es-ES_tradnl"/>
              </w:rPr>
              <w:t>Temas:</w:t>
            </w:r>
            <w:r w:rsidRPr="00F74246">
              <w:rPr>
                <w:rFonts w:ascii="Verdana" w:eastAsia="Calibri" w:hAnsi="Verdana" w:cs="Arial"/>
                <w:lang w:val="es-ES_tradnl" w:eastAsia="es-ES_tradnl"/>
              </w:rPr>
              <w:t xml:space="preserve">                   </w:t>
            </w:r>
          </w:p>
        </w:tc>
        <w:tc>
          <w:tcPr>
            <w:tcW w:w="5774" w:type="dxa"/>
          </w:tcPr>
          <w:p w14:paraId="7AA2D746" w14:textId="440C1E01" w:rsidR="00B9145D" w:rsidRDefault="00B9145D" w:rsidP="00524793">
            <w:pPr>
              <w:spacing w:line="276" w:lineRule="auto"/>
              <w:jc w:val="both"/>
              <w:rPr>
                <w:rFonts w:ascii="Verdana" w:eastAsia="Calibri" w:hAnsi="Verdana" w:cs="Arial"/>
                <w:color w:val="000000" w:themeColor="text1"/>
              </w:rPr>
            </w:pPr>
            <w:r w:rsidRPr="00F74246">
              <w:rPr>
                <w:rFonts w:ascii="Verdana" w:eastAsia="Calibri" w:hAnsi="Verdana" w:cs="Arial"/>
                <w:color w:val="000000" w:themeColor="text1"/>
              </w:rPr>
              <w:t xml:space="preserve">EXPERIENCIA ― Requisito habilitante ― Concepto ― Acreditación ― RUP ― MATRICES Y SUBORDINADAS ― Conceptos ― Filiales ― Subsidiarias ― Experiencia </w:t>
            </w:r>
          </w:p>
          <w:p w14:paraId="71FC6E14" w14:textId="77777777" w:rsidR="00E63647" w:rsidRPr="00F74246" w:rsidRDefault="00E63647" w:rsidP="00524793">
            <w:pPr>
              <w:spacing w:line="276" w:lineRule="auto"/>
              <w:jc w:val="both"/>
              <w:rPr>
                <w:rFonts w:ascii="Verdana" w:eastAsia="Calibri" w:hAnsi="Verdana" w:cs="Arial"/>
                <w:lang w:val="es-ES_tradnl"/>
              </w:rPr>
            </w:pPr>
          </w:p>
        </w:tc>
      </w:tr>
      <w:tr w:rsidR="00B9145D" w:rsidRPr="00F74246" w14:paraId="4D19EF9B" w14:textId="77777777" w:rsidTr="00524793">
        <w:trPr>
          <w:trHeight w:val="89"/>
        </w:trPr>
        <w:tc>
          <w:tcPr>
            <w:tcW w:w="3015" w:type="dxa"/>
          </w:tcPr>
          <w:p w14:paraId="3B3430BE" w14:textId="77777777" w:rsidR="00B9145D" w:rsidRPr="00F74246" w:rsidRDefault="00B9145D" w:rsidP="00524793">
            <w:pPr>
              <w:jc w:val="both"/>
              <w:rPr>
                <w:rFonts w:ascii="Verdana" w:eastAsia="Calibri" w:hAnsi="Verdana" w:cs="Arial"/>
                <w:b/>
                <w:lang w:val="es-ES_tradnl" w:eastAsia="es-ES_tradnl"/>
              </w:rPr>
            </w:pPr>
            <w:r w:rsidRPr="00F74246">
              <w:rPr>
                <w:rFonts w:ascii="Verdana" w:eastAsia="Calibri" w:hAnsi="Verdana" w:cs="Arial"/>
                <w:b/>
                <w:lang w:val="es-ES_tradnl" w:eastAsia="es-ES_tradnl"/>
              </w:rPr>
              <w:t>Radicación:</w:t>
            </w:r>
            <w:r w:rsidRPr="00F74246">
              <w:rPr>
                <w:rFonts w:ascii="Verdana" w:eastAsia="Calibri" w:hAnsi="Verdana" w:cs="Arial"/>
                <w:lang w:val="es-ES_tradnl" w:eastAsia="es-ES_tradnl"/>
              </w:rPr>
              <w:t xml:space="preserve">               </w:t>
            </w:r>
          </w:p>
        </w:tc>
        <w:tc>
          <w:tcPr>
            <w:tcW w:w="5774" w:type="dxa"/>
          </w:tcPr>
          <w:p w14:paraId="6D50BAC4" w14:textId="60D631CD" w:rsidR="00B9145D" w:rsidRPr="00F74246" w:rsidRDefault="00B9145D" w:rsidP="00524793">
            <w:pPr>
              <w:spacing w:line="276" w:lineRule="auto"/>
              <w:jc w:val="both"/>
              <w:rPr>
                <w:rFonts w:ascii="Verdana" w:hAnsi="Verdana" w:cs="Calibri"/>
              </w:rPr>
            </w:pPr>
            <w:r w:rsidRPr="00F74246">
              <w:rPr>
                <w:rFonts w:ascii="Verdana" w:eastAsia="Calibri" w:hAnsi="Verdana" w:cs="Arial"/>
                <w:lang w:val="es-ES_tradnl" w:eastAsia="es-ES_tradnl"/>
              </w:rPr>
              <w:t xml:space="preserve">Respuesta a consulta con radicado No. </w:t>
            </w:r>
            <w:r w:rsidRPr="00A13E07">
              <w:rPr>
                <w:rFonts w:ascii="Verdana" w:eastAsia="Calibri" w:hAnsi="Verdana" w:cs="Arial"/>
                <w:lang w:val="es-ES_tradnl" w:eastAsia="es-ES_tradnl"/>
              </w:rPr>
              <w:t>1_2025_09_08_009770</w:t>
            </w:r>
          </w:p>
        </w:tc>
      </w:tr>
    </w:tbl>
    <w:p w14:paraId="7709F7A1" w14:textId="77777777" w:rsidR="00B9145D" w:rsidRPr="00F74246" w:rsidRDefault="00B9145D" w:rsidP="007C223A">
      <w:pPr>
        <w:spacing w:after="0" w:line="276" w:lineRule="auto"/>
        <w:jc w:val="both"/>
        <w:rPr>
          <w:rFonts w:ascii="Verdana" w:eastAsia="Calibri" w:hAnsi="Verdana" w:cs="Arial"/>
          <w:color w:val="000000"/>
          <w:lang w:val="es-ES_tradnl" w:eastAsia="es-ES_tradnl"/>
        </w:rPr>
      </w:pPr>
    </w:p>
    <w:p w14:paraId="546DD206" w14:textId="77777777" w:rsidR="00B9145D" w:rsidRPr="00F74246" w:rsidRDefault="00B9145D" w:rsidP="007C223A">
      <w:pPr>
        <w:spacing w:after="0" w:line="276" w:lineRule="auto"/>
        <w:jc w:val="both"/>
        <w:rPr>
          <w:rFonts w:ascii="Verdana" w:eastAsia="Calibri" w:hAnsi="Verdana" w:cs="Arial"/>
          <w:color w:val="000000"/>
          <w:lang w:val="es-ES_tradnl" w:eastAsia="es-ES_tradnl"/>
        </w:rPr>
      </w:pPr>
    </w:p>
    <w:p w14:paraId="141F17CF" w14:textId="525044B3" w:rsidR="00B9145D" w:rsidRPr="00F74246" w:rsidRDefault="00B9145D" w:rsidP="000E590D">
      <w:pPr>
        <w:spacing w:after="0" w:line="276" w:lineRule="auto"/>
        <w:jc w:val="both"/>
        <w:rPr>
          <w:rFonts w:ascii="Verdana" w:eastAsia="Calibri" w:hAnsi="Verdana" w:cs="Arial"/>
          <w:lang w:val="es-ES" w:eastAsia="es-ES"/>
        </w:rPr>
      </w:pPr>
      <w:r w:rsidRPr="00F74246">
        <w:rPr>
          <w:rFonts w:ascii="Verdana" w:eastAsia="Calibri" w:hAnsi="Verdana" w:cs="Arial"/>
          <w:lang w:val="es-ES" w:eastAsia="es-ES"/>
        </w:rPr>
        <w:t>Estimad</w:t>
      </w:r>
      <w:r w:rsidR="006F40DB">
        <w:rPr>
          <w:rFonts w:ascii="Verdana" w:eastAsia="Calibri" w:hAnsi="Verdana" w:cs="Arial"/>
          <w:lang w:val="es-ES" w:eastAsia="es-ES"/>
        </w:rPr>
        <w:t>o</w:t>
      </w:r>
      <w:r w:rsidRPr="00F74246">
        <w:rPr>
          <w:rFonts w:ascii="Verdana" w:eastAsia="Calibri" w:hAnsi="Verdana" w:cs="Arial"/>
          <w:lang w:val="es-ES" w:eastAsia="es-ES"/>
        </w:rPr>
        <w:t xml:space="preserve"> señor </w:t>
      </w:r>
      <w:proofErr w:type="spellStart"/>
      <w:r w:rsidR="009F54D6">
        <w:rPr>
          <w:rFonts w:ascii="Verdana" w:eastAsia="Calibri" w:hAnsi="Verdana" w:cs="Arial"/>
          <w:lang w:val="es-ES" w:eastAsia="es-ES"/>
        </w:rPr>
        <w:t>Hernandez</w:t>
      </w:r>
      <w:proofErr w:type="spellEnd"/>
      <w:r w:rsidRPr="00F74246">
        <w:rPr>
          <w:rFonts w:ascii="Verdana" w:eastAsia="Calibri" w:hAnsi="Verdana" w:cs="Arial"/>
          <w:lang w:val="es-ES" w:eastAsia="es-ES"/>
        </w:rPr>
        <w:t xml:space="preserve">: </w:t>
      </w:r>
    </w:p>
    <w:p w14:paraId="07E11BB2" w14:textId="77777777" w:rsidR="00B9145D" w:rsidRPr="00F74246" w:rsidRDefault="00B9145D" w:rsidP="000E590D">
      <w:pPr>
        <w:tabs>
          <w:tab w:val="left" w:pos="3768"/>
        </w:tabs>
        <w:spacing w:after="0" w:line="276" w:lineRule="auto"/>
        <w:jc w:val="both"/>
        <w:rPr>
          <w:rFonts w:ascii="Verdana" w:eastAsia="Calibri" w:hAnsi="Verdana" w:cs="Arial"/>
          <w:lang w:val="es-ES" w:eastAsia="es-ES"/>
        </w:rPr>
      </w:pPr>
      <w:r w:rsidRPr="00F74246">
        <w:rPr>
          <w:rFonts w:ascii="Verdana" w:eastAsia="Calibri" w:hAnsi="Verdana" w:cs="Arial"/>
          <w:lang w:val="es-ES" w:eastAsia="es-ES"/>
        </w:rPr>
        <w:tab/>
      </w:r>
    </w:p>
    <w:p w14:paraId="61F037AE" w14:textId="77777777" w:rsidR="00B9145D" w:rsidRPr="00F74246" w:rsidRDefault="00B9145D" w:rsidP="000E590D">
      <w:pPr>
        <w:spacing w:after="0" w:line="276" w:lineRule="auto"/>
        <w:jc w:val="both"/>
        <w:rPr>
          <w:rFonts w:ascii="Verdana" w:eastAsia="Calibri" w:hAnsi="Verdana" w:cs="Arial"/>
          <w:lang w:val="es-ES" w:eastAsia="es-ES"/>
        </w:rPr>
      </w:pPr>
      <w:r w:rsidRPr="00F74246">
        <w:rPr>
          <w:rFonts w:ascii="Verdana" w:eastAsia="Calibri" w:hAnsi="Verdana" w:cs="Arial"/>
          <w:lang w:val="es-ES" w:eastAsia="es-ES"/>
        </w:rPr>
        <w:t>En ejercicio de la competencia otorgada por los artículos 3, numeral 5º, y 11, numeral 8º, del Decreto Ley 4170 de 2011,</w:t>
      </w:r>
      <w:r w:rsidRPr="00F74246">
        <w:rPr>
          <w:rFonts w:ascii="Verdana" w:eastAsia="Arial MT" w:hAnsi="Verdana" w:cs="Arial MT"/>
          <w:lang w:val="es-ES" w:eastAsia="es-ES"/>
        </w:rPr>
        <w:t xml:space="preserve"> </w:t>
      </w:r>
      <w:r w:rsidRPr="00F74246">
        <w:rPr>
          <w:rFonts w:ascii="Verdana" w:hAnsi="Verdana" w:cs="Arial"/>
        </w:rPr>
        <w:t xml:space="preserve">así como lo establecido en el artículo 4 de la Resolución 1707 de 2018 expedida por esta Entidad, </w:t>
      </w:r>
      <w:r w:rsidRPr="00F74246">
        <w:rPr>
          <w:rFonts w:ascii="Verdana" w:eastAsia="Calibri" w:hAnsi="Verdana" w:cs="Arial"/>
          <w:lang w:val="es-ES" w:eastAsia="es-ES"/>
        </w:rPr>
        <w:t xml:space="preserve">la Agencia Nacional de Contratación Pública –Colombia Compra Eficiente– responde su solicitud de consulta de fecha </w:t>
      </w:r>
      <w:r>
        <w:rPr>
          <w:rFonts w:ascii="Verdana" w:eastAsia="Calibri" w:hAnsi="Verdana" w:cs="Arial"/>
          <w:lang w:val="es-ES" w:eastAsia="es-ES"/>
        </w:rPr>
        <w:t>08</w:t>
      </w:r>
      <w:r w:rsidRPr="00F74246">
        <w:rPr>
          <w:rFonts w:ascii="Verdana" w:eastAsia="Calibri" w:hAnsi="Verdana" w:cs="Arial"/>
          <w:lang w:val="es-ES" w:eastAsia="es-ES"/>
        </w:rPr>
        <w:t xml:space="preserve"> de </w:t>
      </w:r>
      <w:r>
        <w:rPr>
          <w:rFonts w:ascii="Verdana" w:eastAsia="Calibri" w:hAnsi="Verdana" w:cs="Arial"/>
          <w:lang w:val="es-ES" w:eastAsia="es-ES"/>
        </w:rPr>
        <w:t>septiembre</w:t>
      </w:r>
      <w:r w:rsidRPr="00F74246">
        <w:rPr>
          <w:rFonts w:ascii="Verdana" w:eastAsia="Calibri" w:hAnsi="Verdana" w:cs="Arial"/>
          <w:lang w:val="es-ES" w:eastAsia="es-ES"/>
        </w:rPr>
        <w:t xml:space="preserve"> de 2025, en la cual manifiesta lo siguiente: </w:t>
      </w:r>
    </w:p>
    <w:p w14:paraId="5794FB01" w14:textId="77777777" w:rsidR="00B9145D" w:rsidRPr="00A13E07" w:rsidRDefault="00B9145D" w:rsidP="000E590D">
      <w:pPr>
        <w:spacing w:after="0" w:line="276" w:lineRule="auto"/>
        <w:jc w:val="both"/>
        <w:rPr>
          <w:rFonts w:ascii="Verdana" w:eastAsia="Calibri" w:hAnsi="Verdana" w:cs="Arial"/>
          <w:color w:val="000000"/>
          <w:lang w:val="es-ES" w:eastAsia="es-ES"/>
        </w:rPr>
      </w:pPr>
    </w:p>
    <w:p w14:paraId="096E4BAE" w14:textId="77777777" w:rsidR="00B9145D" w:rsidRPr="007C223A" w:rsidRDefault="00B9145D" w:rsidP="007C223A">
      <w:pPr>
        <w:spacing w:after="0" w:line="240" w:lineRule="auto"/>
        <w:ind w:left="709" w:right="616"/>
        <w:jc w:val="both"/>
        <w:rPr>
          <w:rFonts w:ascii="Verdana" w:eastAsia="Calibri" w:hAnsi="Verdana" w:cs="Arial"/>
          <w:i/>
          <w:iCs/>
          <w:color w:val="000000"/>
          <w:sz w:val="20"/>
          <w:szCs w:val="20"/>
          <w:lang w:val="es-ES" w:eastAsia="es-ES"/>
        </w:rPr>
      </w:pPr>
      <w:bookmarkStart w:id="1" w:name="_Hlk95313578"/>
      <w:r w:rsidRPr="007C223A">
        <w:rPr>
          <w:rFonts w:ascii="Verdana" w:eastAsia="Calibri" w:hAnsi="Verdana" w:cs="Arial"/>
          <w:color w:val="000000"/>
          <w:sz w:val="20"/>
          <w:szCs w:val="20"/>
          <w:lang w:val="es-ES" w:eastAsia="es-ES"/>
        </w:rPr>
        <w:t>“</w:t>
      </w:r>
      <w:bookmarkEnd w:id="1"/>
      <w:r w:rsidRPr="007C223A">
        <w:rPr>
          <w:rFonts w:ascii="Verdana" w:eastAsia="Calibri" w:hAnsi="Verdana" w:cs="Arial"/>
          <w:i/>
          <w:iCs/>
          <w:color w:val="000000"/>
          <w:sz w:val="20"/>
          <w:szCs w:val="20"/>
          <w:lang w:val="es-ES" w:eastAsia="es-ES"/>
        </w:rPr>
        <w:t>Por favor denme un concepto sobre lo siguiente: una empresa A que tiene</w:t>
      </w:r>
    </w:p>
    <w:p w14:paraId="6759FE6B" w14:textId="77777777" w:rsidR="00B9145D" w:rsidRPr="007C223A" w:rsidRDefault="00B9145D" w:rsidP="007C223A">
      <w:pPr>
        <w:spacing w:after="0" w:line="240" w:lineRule="auto"/>
        <w:ind w:left="709" w:right="616"/>
        <w:jc w:val="both"/>
        <w:rPr>
          <w:rFonts w:ascii="Verdana" w:eastAsia="Calibri" w:hAnsi="Verdana" w:cs="Arial"/>
          <w:i/>
          <w:iCs/>
          <w:color w:val="000000"/>
          <w:sz w:val="20"/>
          <w:szCs w:val="20"/>
          <w:lang w:val="es-ES" w:eastAsia="es-ES"/>
        </w:rPr>
      </w:pPr>
      <w:r w:rsidRPr="007C223A">
        <w:rPr>
          <w:rFonts w:ascii="Verdana" w:eastAsia="Calibri" w:hAnsi="Verdana" w:cs="Arial"/>
          <w:i/>
          <w:iCs/>
          <w:color w:val="000000"/>
          <w:sz w:val="20"/>
          <w:szCs w:val="20"/>
          <w:lang w:val="es-ES" w:eastAsia="es-ES"/>
        </w:rPr>
        <w:t xml:space="preserve">participación societaria en una empresa B puede acreditar la experiencia de la empresa B ante la cámara de comercio, y en esa situación traería únicamente el porcentaje de participación que tiene en la empresa B? , esto teniendo en cuenta que no se pretende acreditar la experiencia de sus socios sino obedece únicamente a la participación que tiene la empresa jurídica A en la empresa B en los términos del El artículo 2.2.1.1.1.5.3 del </w:t>
      </w:r>
      <w:r w:rsidRPr="007C223A">
        <w:rPr>
          <w:rFonts w:ascii="Verdana" w:eastAsia="Calibri" w:hAnsi="Verdana" w:cs="Arial"/>
          <w:i/>
          <w:iCs/>
          <w:color w:val="000000"/>
          <w:sz w:val="20"/>
          <w:szCs w:val="20"/>
          <w:lang w:val="es-ES" w:eastAsia="es-ES"/>
        </w:rPr>
        <w:lastRenderedPageBreak/>
        <w:t>Decreto 1082 de 2015 Sociedades en las cuales el proponente tenga o haya tenido participación societaria y en lo mencionado el numeral 1.9.2.2.2 de la circular 100-000002 DE 2022 de la Superintendencia de sociedades, la cual permite la acreditación de la experiencia de las cámaras de comercio bajo la figura sociedades en las cuales el interesado tenga o haya tenido participación ? ¿Si la experiencia está acreditada en el RUP, la entidad debe aceptarla y valorarla?</w:t>
      </w:r>
      <w:r w:rsidRPr="00982E7C">
        <w:rPr>
          <w:rFonts w:ascii="Verdana" w:eastAsia="Century Gothic" w:hAnsi="Verdana" w:cs="Century Gothic"/>
          <w:i/>
          <w:iCs/>
          <w:sz w:val="20"/>
          <w:szCs w:val="20"/>
        </w:rPr>
        <w:t>:</w:t>
      </w:r>
      <w:r w:rsidRPr="00982E7C">
        <w:rPr>
          <w:rFonts w:ascii="Verdana" w:hAnsi="Verdana"/>
          <w:i/>
          <w:iCs/>
          <w:sz w:val="20"/>
          <w:szCs w:val="20"/>
        </w:rPr>
        <w:t>.”</w:t>
      </w:r>
      <w:r w:rsidRPr="00982E7C">
        <w:rPr>
          <w:rFonts w:ascii="Verdana" w:eastAsia="Century Gothic" w:hAnsi="Verdana" w:cs="Century Gothic"/>
          <w:i/>
          <w:iCs/>
          <w:sz w:val="20"/>
          <w:szCs w:val="20"/>
          <w:lang w:val="es-ES"/>
        </w:rPr>
        <w:t>.</w:t>
      </w:r>
    </w:p>
    <w:p w14:paraId="02822F28" w14:textId="77777777" w:rsidR="00B9145D" w:rsidRPr="00F74246" w:rsidRDefault="00B9145D" w:rsidP="00B9145D">
      <w:pPr>
        <w:spacing w:after="0" w:line="240" w:lineRule="auto"/>
        <w:ind w:right="709"/>
        <w:jc w:val="both"/>
        <w:rPr>
          <w:rFonts w:ascii="Verdana" w:eastAsia="Century Gothic" w:hAnsi="Verdana" w:cs="Century Gothic"/>
          <w:i/>
          <w:iCs/>
          <w:sz w:val="20"/>
          <w:szCs w:val="20"/>
          <w:lang w:val="es-ES"/>
        </w:rPr>
      </w:pPr>
    </w:p>
    <w:p w14:paraId="5757D4AA" w14:textId="77777777" w:rsidR="00B9145D" w:rsidRPr="00F74246" w:rsidRDefault="00B9145D" w:rsidP="00B9145D">
      <w:pPr>
        <w:spacing w:after="120" w:line="276" w:lineRule="auto"/>
        <w:ind w:firstLine="709"/>
        <w:jc w:val="both"/>
        <w:rPr>
          <w:rFonts w:ascii="Verdana" w:eastAsia="Calibri" w:hAnsi="Verdana" w:cs="Arial"/>
          <w:color w:val="000000"/>
          <w:szCs w:val="24"/>
          <w:lang w:val="es-ES_tradnl" w:eastAsia="es-ES_tradnl"/>
        </w:rPr>
      </w:pPr>
      <w:r w:rsidRPr="00F74246">
        <w:rPr>
          <w:rFonts w:ascii="Verdana" w:eastAsia="Calibri" w:hAnsi="Verdana" w:cs="Arial"/>
          <w:color w:val="000000"/>
          <w:lang w:val="es-ES" w:eastAsia="es-ES"/>
        </w:rPr>
        <w:t xml:space="preserve">De manera preliminar, resulta necesario precisar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74246">
        <w:rPr>
          <w:rFonts w:ascii="Verdana" w:eastAsia="Calibri" w:hAnsi="Verdana" w:cs="Arial"/>
          <w:color w:val="000000"/>
          <w:szCs w:val="24"/>
          <w:lang w:val="es-ES_tradnl" w:eastAsia="es-ES_tradnl"/>
        </w:rPr>
        <w:tab/>
      </w:r>
    </w:p>
    <w:p w14:paraId="5F86745F" w14:textId="77777777" w:rsidR="00B9145D" w:rsidRPr="00F74246" w:rsidRDefault="00B9145D" w:rsidP="00B9145D">
      <w:pPr>
        <w:spacing w:after="0" w:line="276" w:lineRule="auto"/>
        <w:ind w:firstLine="709"/>
        <w:jc w:val="both"/>
        <w:rPr>
          <w:rFonts w:ascii="Verdana" w:eastAsia="Calibri" w:hAnsi="Verdana" w:cs="Arial"/>
          <w:lang w:val="es-ES" w:eastAsia="es-ES"/>
        </w:rPr>
      </w:pPr>
      <w:r w:rsidRPr="00F7424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442B3F99" w14:textId="77777777" w:rsidR="00B9145D" w:rsidRPr="00F74246" w:rsidRDefault="00B9145D" w:rsidP="00B9145D">
      <w:pPr>
        <w:spacing w:after="0" w:line="276" w:lineRule="auto"/>
        <w:jc w:val="both"/>
        <w:rPr>
          <w:rFonts w:ascii="Verdana" w:eastAsia="Calibri" w:hAnsi="Verdana" w:cs="Arial"/>
          <w:color w:val="000000"/>
          <w:lang w:val="es-ES" w:eastAsia="es-ES"/>
        </w:rPr>
      </w:pPr>
    </w:p>
    <w:p w14:paraId="4A339750" w14:textId="77777777" w:rsidR="00B9145D" w:rsidRPr="00F74246" w:rsidRDefault="00B9145D" w:rsidP="00B9145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F74246">
        <w:rPr>
          <w:rFonts w:ascii="Verdana" w:eastAsia="Century Gothic" w:hAnsi="Verdana" w:cs="Century Gothic"/>
          <w:b/>
          <w:bCs/>
        </w:rPr>
        <w:t>Problema planteado:</w:t>
      </w:r>
    </w:p>
    <w:p w14:paraId="3840C3E3" w14:textId="77777777" w:rsidR="00B9145D" w:rsidRPr="00F74246" w:rsidRDefault="00B9145D" w:rsidP="00B9145D">
      <w:pPr>
        <w:spacing w:after="0" w:line="240" w:lineRule="auto"/>
        <w:ind w:right="709"/>
        <w:jc w:val="both"/>
        <w:rPr>
          <w:rFonts w:ascii="Verdana" w:eastAsia="Century Gothic" w:hAnsi="Verdana" w:cs="Century Gothic"/>
          <w:lang w:val="es-ES"/>
        </w:rPr>
      </w:pPr>
    </w:p>
    <w:p w14:paraId="27A79D8E" w14:textId="78CA97EA" w:rsidR="00B9145D" w:rsidRPr="00F74246" w:rsidRDefault="00B9145D" w:rsidP="00B9145D">
      <w:pPr>
        <w:jc w:val="both"/>
        <w:rPr>
          <w:rFonts w:ascii="Verdana" w:eastAsia="Times New Roman" w:hAnsi="Verdana" w:cs="Calibri"/>
          <w:color w:val="000000"/>
          <w:shd w:val="clear" w:color="auto" w:fill="FFFFFF"/>
          <w:lang w:eastAsia="es-CO"/>
        </w:rPr>
      </w:pPr>
      <w:r w:rsidRPr="00F74246">
        <w:rPr>
          <w:rFonts w:ascii="Verdana" w:hAnsi="Verdana"/>
        </w:rPr>
        <w:t>De acuerdo con el contenido de su solicitud, esta Agencia resolverá el siguiente problema jurídico: ¿Una entidad debe tener en cuenta como experiencia los contratos ejecutados directamente por el proponente o es posible acreditar contratos ejecutados por terceros como matrices, subordinadas, afiliadas de matrices, etc.?</w:t>
      </w:r>
    </w:p>
    <w:p w14:paraId="64540C01" w14:textId="77777777" w:rsidR="00B9145D" w:rsidRPr="00F74246" w:rsidRDefault="00B9145D" w:rsidP="00B914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4246">
        <w:rPr>
          <w:rFonts w:ascii="Verdana" w:eastAsia="Century Gothic" w:hAnsi="Verdana" w:cs="Century Gothic"/>
          <w:b/>
          <w:bCs/>
        </w:rPr>
        <w:t>Respuesta:</w:t>
      </w:r>
    </w:p>
    <w:p w14:paraId="075D5DC8" w14:textId="77777777" w:rsidR="00B9145D" w:rsidRPr="00F74246" w:rsidRDefault="00B9145D" w:rsidP="00B9145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9145D" w:rsidRPr="00F74246" w14:paraId="4D7031D1" w14:textId="77777777" w:rsidTr="00524793">
        <w:tc>
          <w:tcPr>
            <w:tcW w:w="8828" w:type="dxa"/>
          </w:tcPr>
          <w:p w14:paraId="06F70464" w14:textId="4B74D88A" w:rsidR="00B9145D" w:rsidRPr="008D1368" w:rsidRDefault="004F38C6" w:rsidP="009C7277">
            <w:pPr>
              <w:spacing w:line="276" w:lineRule="auto"/>
              <w:jc w:val="both"/>
              <w:rPr>
                <w:rFonts w:ascii="Verdana" w:eastAsia="Calibri" w:hAnsi="Verdana" w:cs="Arial"/>
                <w:lang w:val="es-ES" w:eastAsia="es-ES"/>
              </w:rPr>
            </w:pPr>
            <w:r w:rsidRPr="00F74246">
              <w:rPr>
                <w:rFonts w:ascii="Verdana" w:eastAsia="Calibri" w:hAnsi="Verdana" w:cs="Arial"/>
                <w:color w:val="000000" w:themeColor="text1"/>
              </w:rPr>
              <w:t xml:space="preserve">una sociedad subordinada </w:t>
            </w:r>
            <w:r w:rsidRPr="00F74246">
              <w:rPr>
                <w:rFonts w:ascii="Arial" w:eastAsia="Calibri" w:hAnsi="Arial" w:cs="Arial"/>
                <w:color w:val="000000" w:themeColor="text1"/>
              </w:rPr>
              <w:t>̶</w:t>
            </w:r>
            <w:r w:rsidRPr="00F74246">
              <w:rPr>
                <w:rFonts w:ascii="Verdana" w:eastAsia="Calibri" w:hAnsi="Verdana" w:cs="Arial"/>
                <w:color w:val="000000" w:themeColor="text1"/>
              </w:rPr>
              <w:t xml:space="preserve"> filial o subsidiaria </w:t>
            </w:r>
            <w:r w:rsidRPr="00F74246">
              <w:rPr>
                <w:rFonts w:ascii="Arial" w:eastAsia="Calibri" w:hAnsi="Arial" w:cs="Arial"/>
                <w:color w:val="000000" w:themeColor="text1"/>
              </w:rPr>
              <w:t>̶</w:t>
            </w:r>
            <w:r w:rsidRPr="00F74246">
              <w:rPr>
                <w:rFonts w:ascii="Verdana" w:eastAsia="Calibri" w:hAnsi="Verdana" w:cs="Arial"/>
                <w:color w:val="000000" w:themeColor="text1"/>
              </w:rPr>
              <w:t xml:space="preserve"> conserva su individualidad respecto de su matriz, y al ser personas jurídicas diferentes adquieren su </w:t>
            </w:r>
            <w:r w:rsidRPr="00F74246">
              <w:rPr>
                <w:rFonts w:ascii="Verdana" w:eastAsia="Calibri" w:hAnsi="Verdana" w:cs="Arial"/>
                <w:color w:val="000000" w:themeColor="text1"/>
              </w:rPr>
              <w:lastRenderedPageBreak/>
              <w:t xml:space="preserve">experiencia de forma personal e independiente, la cual pueden compartir conformando un proponente </w:t>
            </w:r>
            <w:proofErr w:type="gramStart"/>
            <w:r w:rsidRPr="00F74246">
              <w:rPr>
                <w:rFonts w:ascii="Verdana" w:eastAsia="Calibri" w:hAnsi="Verdana" w:cs="Arial"/>
                <w:color w:val="000000" w:themeColor="text1"/>
              </w:rPr>
              <w:t xml:space="preserve">plural  </w:t>
            </w:r>
            <w:r w:rsidRPr="00F74246">
              <w:rPr>
                <w:rFonts w:ascii="Arial" w:eastAsia="Calibri" w:hAnsi="Arial" w:cs="Arial"/>
                <w:color w:val="000000" w:themeColor="text1"/>
              </w:rPr>
              <w:t>̶</w:t>
            </w:r>
            <w:proofErr w:type="gramEnd"/>
            <w:r w:rsidRPr="00F74246">
              <w:rPr>
                <w:rFonts w:ascii="Verdana" w:eastAsia="Calibri" w:hAnsi="Verdana" w:cs="Arial"/>
                <w:color w:val="000000" w:themeColor="text1"/>
              </w:rPr>
              <w:t xml:space="preserve"> uni</w:t>
            </w:r>
            <w:r w:rsidRPr="00F74246">
              <w:rPr>
                <w:rFonts w:ascii="Verdana" w:eastAsia="Calibri" w:hAnsi="Verdana" w:cs="Verdana"/>
                <w:color w:val="000000" w:themeColor="text1"/>
              </w:rPr>
              <w:t>ó</w:t>
            </w:r>
            <w:r w:rsidRPr="00F74246">
              <w:rPr>
                <w:rFonts w:ascii="Verdana" w:eastAsia="Calibri" w:hAnsi="Verdana" w:cs="Arial"/>
                <w:color w:val="000000" w:themeColor="text1"/>
              </w:rPr>
              <w:t xml:space="preserve">n temporal o consorcio </w:t>
            </w:r>
            <w:proofErr w:type="gramStart"/>
            <w:r w:rsidRPr="00F74246">
              <w:rPr>
                <w:rFonts w:ascii="Arial" w:eastAsia="Calibri" w:hAnsi="Arial" w:cs="Arial"/>
                <w:color w:val="000000" w:themeColor="text1"/>
              </w:rPr>
              <w:t>̶</w:t>
            </w:r>
            <w:r w:rsidRPr="00F74246">
              <w:rPr>
                <w:rFonts w:ascii="Verdana" w:eastAsia="Calibri" w:hAnsi="Verdana" w:cs="Arial"/>
                <w:color w:val="000000" w:themeColor="text1"/>
              </w:rPr>
              <w:t xml:space="preserve"> ,</w:t>
            </w:r>
            <w:proofErr w:type="gramEnd"/>
            <w:r w:rsidRPr="00F74246">
              <w:rPr>
                <w:rFonts w:ascii="Verdana" w:eastAsia="Calibri" w:hAnsi="Verdana" w:cs="Arial"/>
                <w:color w:val="000000" w:themeColor="text1"/>
              </w:rPr>
              <w:t xml:space="preserve"> o transferir por fusión y escisión entre las sociedades comerciales, o por expresa disposición del pliego de condiciones que así lo autorice. Sin embargo, por la prohibición del artículo 262 del Código de Comercio, subrogado por el artículo 32 de la Ley 222 de 1995 citado, no es posible que entre una matriz y sus subordinadas se comparta la experiencia a través de la posibilidad que señala la ley para que los socios aporten su experiencia a las sociedades con menos de 3 años de constitución. Tampoco es posible transferir la experiencia por la transformación de la sociedad comercial, ya que esta reforma social del Código de Comercio</w:t>
            </w:r>
            <w:r w:rsidRPr="00F74246">
              <w:rPr>
                <w:rStyle w:val="Refdenotaalpie"/>
                <w:rFonts w:ascii="Verdana" w:eastAsia="Calibri" w:hAnsi="Verdana" w:cs="Arial"/>
                <w:color w:val="000000" w:themeColor="text1"/>
              </w:rPr>
              <w:footnoteReference w:id="1"/>
            </w:r>
            <w:r w:rsidRPr="00F74246">
              <w:rPr>
                <w:rFonts w:ascii="Verdana" w:eastAsia="Calibri" w:hAnsi="Verdana" w:cs="Arial"/>
                <w:color w:val="000000" w:themeColor="text1"/>
              </w:rPr>
              <w:t xml:space="preserve"> involucra una persona jurídica y no varias como es el caso de la matriz y sus subordinadas</w:t>
            </w:r>
            <w:r w:rsidRPr="00F74246">
              <w:rPr>
                <w:rStyle w:val="Refdenotaalpie"/>
                <w:rFonts w:ascii="Verdana" w:eastAsia="Calibri" w:hAnsi="Verdana" w:cs="Arial"/>
                <w:color w:val="000000" w:themeColor="text1"/>
              </w:rPr>
              <w:footnoteReference w:id="2"/>
            </w:r>
            <w:r w:rsidRPr="00F74246">
              <w:rPr>
                <w:rFonts w:ascii="Verdana" w:eastAsia="Calibri" w:hAnsi="Verdana" w:cs="Arial"/>
                <w:color w:val="000000" w:themeColor="text1"/>
              </w:rPr>
              <w:t>.</w:t>
            </w:r>
          </w:p>
        </w:tc>
      </w:tr>
    </w:tbl>
    <w:p w14:paraId="6433EF52" w14:textId="77777777" w:rsidR="00B9145D" w:rsidRPr="00F74246" w:rsidRDefault="00B9145D" w:rsidP="00B9145D">
      <w:pPr>
        <w:tabs>
          <w:tab w:val="left" w:pos="142"/>
          <w:tab w:val="left" w:pos="284"/>
        </w:tabs>
        <w:spacing w:after="0" w:line="276" w:lineRule="auto"/>
        <w:jc w:val="both"/>
        <w:rPr>
          <w:rFonts w:ascii="Verdana" w:eastAsia="Century Gothic" w:hAnsi="Verdana" w:cs="Century Gothic"/>
          <w:b/>
          <w:bCs/>
          <w:lang w:val="es-ES"/>
        </w:rPr>
      </w:pPr>
    </w:p>
    <w:p w14:paraId="3771192C" w14:textId="77777777" w:rsidR="00B9145D" w:rsidRPr="00F74246" w:rsidRDefault="00B9145D" w:rsidP="00B914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4246">
        <w:rPr>
          <w:rFonts w:ascii="Verdana" w:eastAsia="Century Gothic" w:hAnsi="Verdana" w:cs="Century Gothic"/>
          <w:b/>
          <w:bCs/>
        </w:rPr>
        <w:t>Razones de la respuesta:</w:t>
      </w:r>
    </w:p>
    <w:p w14:paraId="08DF748B" w14:textId="77777777" w:rsidR="00B9145D" w:rsidRPr="00F74246" w:rsidRDefault="00B9145D" w:rsidP="00B9145D">
      <w:pPr>
        <w:spacing w:after="0" w:line="276" w:lineRule="auto"/>
        <w:jc w:val="both"/>
        <w:rPr>
          <w:rFonts w:ascii="Verdana" w:eastAsia="Calibri" w:hAnsi="Verdana" w:cs="Arial"/>
          <w:color w:val="7030A0"/>
          <w:lang w:val="es-ES"/>
        </w:rPr>
      </w:pPr>
    </w:p>
    <w:p w14:paraId="7F86BDE0" w14:textId="77777777" w:rsidR="00B9145D" w:rsidRPr="00F74246" w:rsidRDefault="00B9145D" w:rsidP="00B9145D">
      <w:pPr>
        <w:spacing w:after="0" w:line="276" w:lineRule="auto"/>
        <w:jc w:val="both"/>
        <w:rPr>
          <w:rFonts w:ascii="Verdana" w:eastAsia="Calibri" w:hAnsi="Verdana" w:cs="Arial"/>
          <w:lang w:val="es-ES"/>
        </w:rPr>
      </w:pPr>
      <w:r w:rsidRPr="00F74246">
        <w:rPr>
          <w:rFonts w:ascii="Verdana" w:eastAsia="Calibri" w:hAnsi="Verdana" w:cs="Arial"/>
          <w:lang w:val="es-ES"/>
        </w:rPr>
        <w:t>Lo anterior se sustenta en las siguientes consideraciones:</w:t>
      </w:r>
    </w:p>
    <w:p w14:paraId="6F2F4238" w14:textId="77777777" w:rsidR="00B9145D" w:rsidRPr="00F74246" w:rsidRDefault="00B9145D" w:rsidP="00B9145D">
      <w:pPr>
        <w:spacing w:after="0" w:line="276" w:lineRule="auto"/>
        <w:jc w:val="both"/>
        <w:rPr>
          <w:rFonts w:ascii="Verdana" w:eastAsia="Calibri" w:hAnsi="Verdana" w:cs="Arial"/>
          <w:lang w:val="es-ES"/>
        </w:rPr>
      </w:pPr>
    </w:p>
    <w:p w14:paraId="0A71667B" w14:textId="77777777" w:rsidR="00B9145D" w:rsidRPr="00F74246" w:rsidRDefault="00B9145D" w:rsidP="007C223A">
      <w:pPr>
        <w:spacing w:line="276" w:lineRule="auto"/>
        <w:jc w:val="both"/>
        <w:rPr>
          <w:rFonts w:ascii="Verdana" w:eastAsia="Calibri" w:hAnsi="Verdana" w:cs="Arial"/>
          <w:color w:val="000000" w:themeColor="text1"/>
        </w:rPr>
      </w:pPr>
      <w:r w:rsidRPr="00F74246">
        <w:rPr>
          <w:rFonts w:ascii="Verdana" w:eastAsia="Calibri" w:hAnsi="Verdana" w:cs="Arial"/>
          <w:color w:val="000000" w:themeColor="text1"/>
        </w:rPr>
        <w:t>La contratación pública involucra, entre otras relaciones, la interacción entre la Administración Pública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del Sistema de Compra Pública, con el fin de procurar un equilibrio y el cumplimiento de los principios de la contratación pública, entre otros objetivos.</w:t>
      </w:r>
    </w:p>
    <w:p w14:paraId="3B75249F" w14:textId="77777777" w:rsidR="00B9145D" w:rsidRPr="00F74246" w:rsidRDefault="00B9145D" w:rsidP="00B9145D">
      <w:pPr>
        <w:spacing w:before="120" w:after="120"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 xml:space="preserve">Por consiguiente, la normativa contractual contiene disposiciones que le indican a la entidad las actividades y documentos que debe desarrollar en sus </w:t>
      </w:r>
      <w:r w:rsidRPr="00F74246">
        <w:rPr>
          <w:rFonts w:ascii="Verdana" w:eastAsia="Calibri" w:hAnsi="Verdana" w:cs="Arial"/>
          <w:color w:val="000000" w:themeColor="text1"/>
        </w:rPr>
        <w:lastRenderedPageBreak/>
        <w:t>procedimientos contractuales, y con base en ello los proveedores pueden conocer los aspectos del objeto de la contratación para presentar sus ofertas, teniendo en cuenta los parámetros que define la entidad en la etapa de planeación del proceso, de acuerdo con las normas relacionadas con la adquisición de que se trate, y que quedan definidos en el pliego de condiciones</w:t>
      </w:r>
      <w:r w:rsidRPr="00F74246">
        <w:rPr>
          <w:rStyle w:val="Refdenotaalpie"/>
          <w:rFonts w:ascii="Verdana" w:eastAsia="Calibri" w:hAnsi="Verdana" w:cs="Arial"/>
          <w:color w:val="000000" w:themeColor="text1"/>
        </w:rPr>
        <w:footnoteReference w:id="3"/>
      </w:r>
      <w:r w:rsidRPr="00F74246">
        <w:rPr>
          <w:rFonts w:ascii="Verdana" w:eastAsia="Calibri" w:hAnsi="Verdana" w:cs="Arial"/>
          <w:color w:val="000000" w:themeColor="text1"/>
        </w:rPr>
        <w:t xml:space="preserve">. </w:t>
      </w:r>
    </w:p>
    <w:p w14:paraId="180ABA7C" w14:textId="3B6A9B07" w:rsidR="00B9145D" w:rsidRPr="00F74246" w:rsidRDefault="00B9145D" w:rsidP="00B9145D">
      <w:pPr>
        <w:spacing w:before="120" w:after="120"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En ese sentido, se debe tener en cuenta que de acuerdo con la Ley 80 de 1993, quienes pueden ser proveedores del Estado son las personas consideradas legalmente capaces, como las personas jurídicas</w:t>
      </w:r>
      <w:r w:rsidRPr="00F74246">
        <w:rPr>
          <w:rStyle w:val="Refdenotaalpie"/>
          <w:rFonts w:ascii="Verdana" w:eastAsia="Calibri" w:hAnsi="Verdana" w:cs="Arial"/>
          <w:color w:val="000000" w:themeColor="text1"/>
        </w:rPr>
        <w:footnoteReference w:id="4"/>
      </w:r>
      <w:r w:rsidRPr="00F74246">
        <w:rPr>
          <w:rFonts w:ascii="Verdana" w:eastAsia="Calibri" w:hAnsi="Verdana" w:cs="Arial"/>
          <w:color w:val="000000" w:themeColor="text1"/>
        </w:rPr>
        <w:t xml:space="preserve">, que de acuerdo con el Código Civil tienen capacidad para ejercer derechos y contraer obligaciones, por </w:t>
      </w:r>
      <w:r w:rsidR="009C7277" w:rsidRPr="00F74246">
        <w:rPr>
          <w:rFonts w:ascii="Verdana" w:eastAsia="Calibri" w:hAnsi="Verdana" w:cs="Arial"/>
          <w:color w:val="000000" w:themeColor="text1"/>
        </w:rPr>
        <w:t>ende,</w:t>
      </w:r>
      <w:r w:rsidRPr="00F74246">
        <w:rPr>
          <w:rFonts w:ascii="Verdana" w:eastAsia="Calibri" w:hAnsi="Verdana" w:cs="Arial"/>
          <w:color w:val="000000" w:themeColor="text1"/>
        </w:rPr>
        <w:t xml:space="preserve"> tienen capacidad jurídica. Un tipo de persona jurídica son las sociedades comerciales</w:t>
      </w:r>
      <w:r w:rsidRPr="00F74246">
        <w:rPr>
          <w:rStyle w:val="Refdenotaalpie"/>
          <w:rFonts w:ascii="Verdana" w:eastAsia="Calibri" w:hAnsi="Verdana" w:cs="Arial"/>
          <w:color w:val="000000" w:themeColor="text1"/>
        </w:rPr>
        <w:footnoteReference w:id="5"/>
      </w:r>
      <w:r w:rsidRPr="00F74246">
        <w:rPr>
          <w:rFonts w:ascii="Verdana" w:eastAsia="Calibri" w:hAnsi="Verdana" w:cs="Arial"/>
          <w:color w:val="000000" w:themeColor="text1"/>
        </w:rPr>
        <w:t xml:space="preserve"> reguladas, principalmente, en el Código de Comercio</w:t>
      </w:r>
      <w:r w:rsidRPr="00F74246">
        <w:rPr>
          <w:rStyle w:val="Refdenotaalpie"/>
          <w:rFonts w:ascii="Verdana" w:eastAsia="Calibri" w:hAnsi="Verdana" w:cs="Arial"/>
          <w:color w:val="000000" w:themeColor="text1"/>
        </w:rPr>
        <w:footnoteReference w:id="6"/>
      </w:r>
      <w:r w:rsidRPr="00F74246">
        <w:rPr>
          <w:rFonts w:ascii="Verdana" w:eastAsia="Calibri" w:hAnsi="Verdana" w:cs="Arial"/>
          <w:color w:val="000000" w:themeColor="text1"/>
        </w:rPr>
        <w:t xml:space="preserve">, donde se establece la posibilidad de que existan matrices y subordinadas de estas.   </w:t>
      </w:r>
    </w:p>
    <w:p w14:paraId="6EA0EEE7" w14:textId="77777777" w:rsidR="00B9145D" w:rsidRPr="00F74246" w:rsidRDefault="00B9145D" w:rsidP="00B9145D">
      <w:pPr>
        <w:spacing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 xml:space="preserve">Por tanto, para resolver su consulta, relacionada con la experiencia de las personas jurídicas  </w:t>
      </w:r>
      <w:r w:rsidRPr="00F74246">
        <w:rPr>
          <w:rFonts w:ascii="Arial" w:eastAsia="Calibri" w:hAnsi="Arial" w:cs="Arial"/>
          <w:color w:val="000000" w:themeColor="text1"/>
        </w:rPr>
        <w:t>̶</w:t>
      </w:r>
      <w:r w:rsidRPr="00F74246">
        <w:rPr>
          <w:rFonts w:ascii="Verdana" w:eastAsia="Calibri" w:hAnsi="Verdana" w:cs="Arial"/>
          <w:color w:val="000000" w:themeColor="text1"/>
        </w:rPr>
        <w:t xml:space="preserve"> sociedades comerciales </w:t>
      </w:r>
      <w:r w:rsidRPr="00F74246">
        <w:rPr>
          <w:rFonts w:ascii="Arial" w:eastAsia="Calibri" w:hAnsi="Arial" w:cs="Arial"/>
          <w:color w:val="000000" w:themeColor="text1"/>
        </w:rPr>
        <w:t>̶</w:t>
      </w:r>
      <w:r w:rsidRPr="00F74246">
        <w:rPr>
          <w:rFonts w:ascii="Verdana" w:eastAsia="Calibri" w:hAnsi="Verdana" w:cs="Arial"/>
          <w:color w:val="000000" w:themeColor="text1"/>
        </w:rPr>
        <w:t xml:space="preserve">  cuando tienen matrices y subordinadas: i) en primer lugar se citará la regulación sobre experiencia; </w:t>
      </w:r>
      <w:proofErr w:type="spellStart"/>
      <w:r w:rsidRPr="00F74246">
        <w:rPr>
          <w:rFonts w:ascii="Verdana" w:eastAsia="Calibri" w:hAnsi="Verdana" w:cs="Arial"/>
          <w:color w:val="000000" w:themeColor="text1"/>
        </w:rPr>
        <w:t>ii</w:t>
      </w:r>
      <w:proofErr w:type="spellEnd"/>
      <w:r w:rsidRPr="00F74246">
        <w:rPr>
          <w:rFonts w:ascii="Verdana" w:eastAsia="Calibri" w:hAnsi="Verdana" w:cs="Arial"/>
          <w:color w:val="000000" w:themeColor="text1"/>
        </w:rPr>
        <w:t xml:space="preserve">) después se analizarán las matrices y subordinadas, que son conceptos relacionados con las sociedades comerciales; y finalmente </w:t>
      </w:r>
      <w:proofErr w:type="spellStart"/>
      <w:r w:rsidRPr="00F74246">
        <w:rPr>
          <w:rFonts w:ascii="Verdana" w:eastAsia="Calibri" w:hAnsi="Verdana" w:cs="Arial"/>
          <w:color w:val="000000" w:themeColor="text1"/>
        </w:rPr>
        <w:t>iii</w:t>
      </w:r>
      <w:proofErr w:type="spellEnd"/>
      <w:r w:rsidRPr="00F74246">
        <w:rPr>
          <w:rFonts w:ascii="Verdana" w:eastAsia="Calibri" w:hAnsi="Verdana" w:cs="Arial"/>
          <w:color w:val="000000" w:themeColor="text1"/>
        </w:rPr>
        <w:t xml:space="preserve">) se determinará si es posible transferir la experiencia de las matrices y subordinadas a la sociedad comercial a la que pertenecen para calcular su capacidad residual. </w:t>
      </w:r>
    </w:p>
    <w:p w14:paraId="2EF9F52D" w14:textId="77777777" w:rsidR="00B9145D" w:rsidRPr="00F74246" w:rsidRDefault="00B9145D" w:rsidP="00B9145D">
      <w:pPr>
        <w:spacing w:before="120" w:after="120" w:line="276" w:lineRule="auto"/>
        <w:ind w:firstLine="708"/>
        <w:jc w:val="both"/>
        <w:rPr>
          <w:rFonts w:ascii="Verdana" w:eastAsia="Calibri" w:hAnsi="Verdana" w:cs="Arial"/>
          <w:color w:val="000000" w:themeColor="text1"/>
          <w:highlight w:val="yellow"/>
        </w:rPr>
      </w:pPr>
      <w:r w:rsidRPr="00F74246">
        <w:rPr>
          <w:rFonts w:ascii="Verdana" w:eastAsia="Calibri" w:hAnsi="Verdana" w:cs="Arial"/>
          <w:color w:val="000000" w:themeColor="text1"/>
        </w:rPr>
        <w:lastRenderedPageBreak/>
        <w:t>La Ley 1150 de 2007, en el artículo 5,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w:t>
      </w:r>
      <w:r w:rsidRPr="00F74246">
        <w:rPr>
          <w:rStyle w:val="Refdenotaalpie"/>
          <w:rFonts w:ascii="Verdana" w:eastAsia="Calibri" w:hAnsi="Verdana" w:cs="Arial"/>
          <w:color w:val="000000" w:themeColor="text1"/>
        </w:rPr>
        <w:footnoteReference w:id="7"/>
      </w:r>
      <w:r w:rsidRPr="00F74246">
        <w:rPr>
          <w:rFonts w:ascii="Verdana" w:eastAsia="Calibri" w:hAnsi="Verdana" w:cs="Arial"/>
          <w:color w:val="000000" w:themeColor="text1"/>
        </w:rPr>
        <w:t>. En ese sentido,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w:t>
      </w:r>
      <w:r w:rsidRPr="00F74246">
        <w:rPr>
          <w:rStyle w:val="Refdenotaalpie"/>
          <w:rFonts w:ascii="Verdana" w:eastAsia="Calibri" w:hAnsi="Verdana" w:cs="Arial"/>
          <w:color w:val="000000" w:themeColor="text1"/>
        </w:rPr>
        <w:footnoteReference w:id="8"/>
      </w:r>
      <w:r w:rsidRPr="00F74246">
        <w:rPr>
          <w:rFonts w:ascii="Verdana" w:eastAsia="Calibri" w:hAnsi="Verdana" w:cs="Arial"/>
          <w:color w:val="000000" w:themeColor="text1"/>
        </w:rPr>
        <w:t>.</w:t>
      </w:r>
    </w:p>
    <w:p w14:paraId="463F907F" w14:textId="77777777" w:rsidR="00B9145D" w:rsidRPr="00F74246" w:rsidRDefault="00B9145D" w:rsidP="00B9145D">
      <w:pPr>
        <w:spacing w:before="120" w:after="120"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La experiencia que se deriva de los contratos que el proponente ha celebrado y ejecutado con diferentes contratantes, sin importar la naturaleza de estos, se verifica con el Registro Único de Proponentes (RUP)</w:t>
      </w:r>
      <w:r w:rsidRPr="00F74246">
        <w:rPr>
          <w:rStyle w:val="Refdenotaalpie"/>
          <w:rFonts w:ascii="Verdana" w:eastAsia="Calibri" w:hAnsi="Verdana" w:cs="Arial"/>
          <w:color w:val="000000" w:themeColor="text1"/>
        </w:rPr>
        <w:footnoteReference w:id="9"/>
      </w:r>
      <w:r w:rsidRPr="00F74246">
        <w:rPr>
          <w:rFonts w:ascii="Verdana" w:eastAsia="Calibri" w:hAnsi="Verdana" w:cs="Arial"/>
          <w:color w:val="000000" w:themeColor="text1"/>
        </w:rPr>
        <w:t>, cuando este certificado sea exigible de acuerdo con la ley, en el cual constan los requisitos habilitantes, que se evalúan exclusivamente con este documento, que es su plena prueba, sin que sea posible para la entidad o el proponente solicitar o aportar otra documentación</w:t>
      </w:r>
      <w:r w:rsidRPr="00F74246">
        <w:rPr>
          <w:rStyle w:val="Refdenotaalpie"/>
          <w:rFonts w:ascii="Verdana" w:eastAsia="Calibri" w:hAnsi="Verdana" w:cs="Arial"/>
          <w:color w:val="000000" w:themeColor="text1"/>
        </w:rPr>
        <w:footnoteReference w:id="10"/>
      </w:r>
      <w:r w:rsidRPr="00F74246">
        <w:rPr>
          <w:rFonts w:ascii="Verdana" w:eastAsia="Calibri" w:hAnsi="Verdana" w:cs="Arial"/>
          <w:color w:val="000000" w:themeColor="text1"/>
        </w:rPr>
        <w:t>.</w:t>
      </w:r>
    </w:p>
    <w:p w14:paraId="0F97271D" w14:textId="77777777" w:rsidR="00B9145D" w:rsidRPr="00F74246" w:rsidRDefault="00B9145D" w:rsidP="00B9145D">
      <w:pPr>
        <w:spacing w:before="120" w:after="120" w:line="276" w:lineRule="auto"/>
        <w:ind w:firstLine="709"/>
        <w:jc w:val="both"/>
        <w:rPr>
          <w:rFonts w:ascii="Verdana" w:eastAsia="Calibri" w:hAnsi="Verdana" w:cs="Arial"/>
          <w:color w:val="000000" w:themeColor="text1"/>
        </w:rPr>
      </w:pPr>
      <w:r w:rsidRPr="00F74246">
        <w:rPr>
          <w:rFonts w:ascii="Verdana" w:eastAsia="Calibri" w:hAnsi="Verdana" w:cs="Arial"/>
          <w:color w:val="000000" w:themeColor="text1"/>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y esos documentos deben codificarse con el clasificador de bienes y servicios en el tercer nivel</w:t>
      </w:r>
      <w:r w:rsidRPr="00F74246">
        <w:rPr>
          <w:rStyle w:val="Refdenotaalpie"/>
          <w:rFonts w:ascii="Verdana" w:eastAsia="Calibri" w:hAnsi="Verdana" w:cs="Arial"/>
          <w:color w:val="000000" w:themeColor="text1"/>
        </w:rPr>
        <w:footnoteReference w:id="11"/>
      </w:r>
      <w:r w:rsidRPr="00F74246">
        <w:rPr>
          <w:rFonts w:ascii="Verdana" w:eastAsia="Calibri" w:hAnsi="Verdana" w:cs="Arial"/>
          <w:color w:val="000000" w:themeColor="text1"/>
        </w:rPr>
        <w:t>. De esta manera, lo que se verifica con el RUP es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Por lo anterior, es 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de esta forma.</w:t>
      </w:r>
    </w:p>
    <w:p w14:paraId="34C4483F" w14:textId="77777777" w:rsidR="00B9145D" w:rsidRPr="00F74246" w:rsidRDefault="00B9145D" w:rsidP="00B9145D">
      <w:pPr>
        <w:spacing w:line="276" w:lineRule="auto"/>
        <w:ind w:firstLine="709"/>
        <w:jc w:val="both"/>
        <w:rPr>
          <w:rFonts w:ascii="Verdana" w:eastAsia="Calibri" w:hAnsi="Verdana" w:cs="Arial"/>
          <w:color w:val="000000" w:themeColor="text1"/>
        </w:rPr>
      </w:pPr>
      <w:r w:rsidRPr="00F74246">
        <w:rPr>
          <w:rFonts w:ascii="Verdana" w:eastAsia="Calibri" w:hAnsi="Verdana" w:cs="Arial"/>
          <w:color w:val="000000" w:themeColor="text1"/>
        </w:rPr>
        <w:t xml:space="preserve">Por último, al observar el concepto de experiencia, como “requisito habilitante”, y teniendo en cuenta que su consulta se relaciona con la experiencia, como “factor de la fórmula de la capacidad residual”, de acuerdo con lo señalado para cada concepto, es decir, que el “requisito habilitante” se deriva de los contratos celebrados por el proponente que deben inscribirse en el RUP, y que el “factor de la fórmula de la capacidad residual” </w:t>
      </w:r>
      <w:proofErr w:type="spellStart"/>
      <w:r w:rsidRPr="00F74246">
        <w:rPr>
          <w:rFonts w:ascii="Verdana" w:eastAsia="Calibri" w:hAnsi="Verdana" w:cs="Arial"/>
          <w:color w:val="000000" w:themeColor="text1"/>
        </w:rPr>
        <w:t>esta</w:t>
      </w:r>
      <w:proofErr w:type="spellEnd"/>
      <w:r w:rsidRPr="00F74246">
        <w:rPr>
          <w:rFonts w:ascii="Verdana" w:eastAsia="Calibri" w:hAnsi="Verdana" w:cs="Arial"/>
          <w:color w:val="000000" w:themeColor="text1"/>
        </w:rPr>
        <w:t xml:space="preserve"> determinado </w:t>
      </w:r>
      <w:r w:rsidRPr="00F74246">
        <w:rPr>
          <w:rFonts w:ascii="Verdana" w:eastAsia="Calibri" w:hAnsi="Verdana" w:cs="Arial"/>
          <w:color w:val="000000" w:themeColor="text1"/>
        </w:rPr>
        <w:lastRenderedPageBreak/>
        <w:t xml:space="preserve">por el valor </w:t>
      </w:r>
      <w:r w:rsidRPr="00F74246">
        <w:rPr>
          <w:rFonts w:ascii="Verdana" w:hAnsi="Verdana" w:cs="Arial"/>
          <w:color w:val="000000" w:themeColor="text1"/>
        </w:rPr>
        <w:t>total en pesos de los contratos que figuran en el RUP, la experiencia en ambos casos se refiere a la misma definición.</w:t>
      </w:r>
    </w:p>
    <w:p w14:paraId="69146204" w14:textId="77777777" w:rsidR="00B9145D" w:rsidRPr="00F74246" w:rsidRDefault="00B9145D" w:rsidP="00B9145D">
      <w:pPr>
        <w:spacing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La Agencia Nacional de Contratación Pública - Colombia Compra Eficiente puso a disposición de los interesados el Manual para determinar y verificar requisitos habilitantes en los procesos de contratación, donde se establecen las definiciones de cada requisito habilitante y se dan lineamientos orientadores sobre lo que las entidades pueden hacer para establecerlos, en este caso, frente a la experiencia. Sobre el particular, para la experiencia, como requisito habilitante señalado en su consulta, el Manual se centra en una de sus cualidades y es que es “personal”, lo cual significa que la experiencia se tiene por la participación, con anterioridad, en actividades que le permitieron conocer cómo ejecutar el objeto contractual, que la entidad pretende satisfacer ahora</w:t>
      </w:r>
      <w:r w:rsidRPr="00F74246">
        <w:rPr>
          <w:rStyle w:val="Refdenotaalpie"/>
          <w:rFonts w:ascii="Verdana" w:eastAsia="Calibri" w:hAnsi="Verdana" w:cs="Arial"/>
          <w:color w:val="000000" w:themeColor="text1"/>
        </w:rPr>
        <w:footnoteReference w:id="12"/>
      </w:r>
      <w:r w:rsidRPr="00F74246">
        <w:rPr>
          <w:rFonts w:ascii="Verdana" w:eastAsia="Calibri" w:hAnsi="Verdana" w:cs="Arial"/>
          <w:color w:val="000000" w:themeColor="text1"/>
        </w:rPr>
        <w:t>.</w:t>
      </w:r>
    </w:p>
    <w:p w14:paraId="4E011815" w14:textId="77777777" w:rsidR="00B9145D" w:rsidRPr="00F74246" w:rsidRDefault="00B9145D" w:rsidP="00B9145D">
      <w:pPr>
        <w:spacing w:before="120" w:after="120"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 xml:space="preserve">Lo anterior es destacable porque no es posible tener experiencia si en la práctica no se ha ejercido o ejecutado lo que se ofrece a otros contratantes; y precisamente de la experiencia es que se deriva el conocimiento que tiene el proponente, y que para la contratación pública es importante, ya que garantiza que no habrá improvisación o mayores costos por errores o dificultades originadas en realizar una actividad por primera vez. Adicionalmente, el Manual menciona que la experiencia puede ser obtenida directamente o por participar asociado con otra persona, como es el caso de los proponentes plurales. En este caso, la experiencia no deja de ser </w:t>
      </w:r>
      <w:proofErr w:type="gramStart"/>
      <w:r w:rsidRPr="00F74246">
        <w:rPr>
          <w:rFonts w:ascii="Verdana" w:eastAsia="Calibri" w:hAnsi="Verdana" w:cs="Arial"/>
          <w:color w:val="000000" w:themeColor="text1"/>
        </w:rPr>
        <w:t>personal</w:t>
      </w:r>
      <w:proofErr w:type="gramEnd"/>
      <w:r w:rsidRPr="00F74246">
        <w:rPr>
          <w:rFonts w:ascii="Verdana" w:eastAsia="Calibri" w:hAnsi="Verdana" w:cs="Arial"/>
          <w:color w:val="000000" w:themeColor="text1"/>
        </w:rPr>
        <w:t xml:space="preserve"> sino que es proporcional a la participación como miembro de un consorcio o unión temporal, donde por ser esquemas asociativos la experiencia es compartida. Por otra parte, la Agencia recomienda que la experiencia que se solicite sea proporcional y no igual al </w:t>
      </w:r>
      <w:r w:rsidRPr="00F74246">
        <w:rPr>
          <w:rFonts w:ascii="Verdana" w:eastAsia="Calibri" w:hAnsi="Verdana" w:cs="Arial"/>
          <w:color w:val="000000" w:themeColor="text1"/>
        </w:rPr>
        <w:lastRenderedPageBreak/>
        <w:t xml:space="preserve">objeto que se va a contratar, ya que esto puede limitar la participación de los proveedores por no haber ejecutado un objeto igual pero sí similar, que puede funcionar para las exigencias de la entidad ayudando a que exista pluralidad de oferentes. Finalmente, se pueden extraer cuatro conclusiones relevantes para evaluar las matrices y subordinadas de las sociedades comerciales, respecto de la experiencia: </w:t>
      </w:r>
    </w:p>
    <w:p w14:paraId="1B05B54C" w14:textId="77777777" w:rsidR="00B9145D" w:rsidRDefault="00B9145D" w:rsidP="00B9145D">
      <w:pPr>
        <w:spacing w:before="120" w:after="120"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 xml:space="preserve">i) </w:t>
      </w:r>
      <w:r w:rsidRPr="0048429D">
        <w:rPr>
          <w:rFonts w:ascii="Verdana" w:eastAsia="Calibri" w:hAnsi="Verdana" w:cs="Arial"/>
          <w:color w:val="000000" w:themeColor="text1"/>
        </w:rPr>
        <w:t>La experiencia considerada como componente de la fórmula de capacidad residual debe entenderse bajo los mismos criterios que rigen la experiencia como requisito habilitante, es decir, como un atributo de carácter personal.</w:t>
      </w:r>
    </w:p>
    <w:p w14:paraId="4508EC04" w14:textId="77777777" w:rsidR="00B9145D" w:rsidRPr="00F74246" w:rsidRDefault="00B9145D" w:rsidP="00B9145D">
      <w:pPr>
        <w:spacing w:before="120" w:after="120" w:line="276" w:lineRule="auto"/>
        <w:ind w:firstLine="708"/>
        <w:jc w:val="both"/>
        <w:rPr>
          <w:rFonts w:ascii="Verdana" w:eastAsia="Calibri" w:hAnsi="Verdana" w:cs="Arial"/>
          <w:color w:val="000000" w:themeColor="text1"/>
        </w:rPr>
      </w:pPr>
      <w:proofErr w:type="spellStart"/>
      <w:r w:rsidRPr="00F74246">
        <w:rPr>
          <w:rFonts w:ascii="Verdana" w:eastAsia="Calibri" w:hAnsi="Verdana" w:cs="Arial"/>
          <w:color w:val="000000" w:themeColor="text1"/>
        </w:rPr>
        <w:t>ii</w:t>
      </w:r>
      <w:proofErr w:type="spellEnd"/>
      <w:r w:rsidRPr="00F74246">
        <w:rPr>
          <w:rFonts w:ascii="Verdana" w:eastAsia="Calibri" w:hAnsi="Verdana" w:cs="Arial"/>
          <w:color w:val="000000" w:themeColor="text1"/>
        </w:rPr>
        <w:t xml:space="preserve">) La experiencia se puede compartir, sin que implique que la que le hayan compartido a una persona se entienda suya, ya que dentro del procedimiento contractual se reflejará que esa persona tiene la experiencia de otra, como es el caso de la que </w:t>
      </w:r>
      <w:proofErr w:type="gramStart"/>
      <w:r w:rsidRPr="00F74246">
        <w:rPr>
          <w:rFonts w:ascii="Verdana" w:eastAsia="Calibri" w:hAnsi="Verdana" w:cs="Arial"/>
          <w:color w:val="000000" w:themeColor="text1"/>
        </w:rPr>
        <w:t>le</w:t>
      </w:r>
      <w:proofErr w:type="gramEnd"/>
      <w:r w:rsidRPr="00F74246">
        <w:rPr>
          <w:rFonts w:ascii="Verdana" w:eastAsia="Calibri" w:hAnsi="Verdana" w:cs="Arial"/>
          <w:color w:val="000000" w:themeColor="text1"/>
        </w:rPr>
        <w:t xml:space="preserve"> aportan los socios a las sociedades con menos de 3 años de constitución, lo cual constará en el RUP; o de las figuras </w:t>
      </w:r>
      <w:proofErr w:type="gramStart"/>
      <w:r w:rsidRPr="00F74246">
        <w:rPr>
          <w:rFonts w:ascii="Verdana" w:eastAsia="Calibri" w:hAnsi="Verdana" w:cs="Arial"/>
          <w:color w:val="000000" w:themeColor="text1"/>
        </w:rPr>
        <w:t xml:space="preserve">asociativas  </w:t>
      </w:r>
      <w:r w:rsidRPr="00F74246">
        <w:rPr>
          <w:rFonts w:ascii="Arial" w:eastAsia="Calibri" w:hAnsi="Arial" w:cs="Arial"/>
          <w:color w:val="000000" w:themeColor="text1"/>
        </w:rPr>
        <w:t>̶</w:t>
      </w:r>
      <w:proofErr w:type="gramEnd"/>
      <w:r w:rsidRPr="00F74246">
        <w:rPr>
          <w:rFonts w:ascii="Verdana" w:eastAsia="Calibri" w:hAnsi="Verdana" w:cs="Arial"/>
          <w:color w:val="000000" w:themeColor="text1"/>
        </w:rPr>
        <w:t xml:space="preserve"> consorcios y uniones temporales </w:t>
      </w:r>
      <w:proofErr w:type="gramStart"/>
      <w:r w:rsidRPr="00F74246">
        <w:rPr>
          <w:rFonts w:ascii="Arial" w:eastAsia="Calibri" w:hAnsi="Arial" w:cs="Arial"/>
          <w:color w:val="000000" w:themeColor="text1"/>
        </w:rPr>
        <w:t>̶</w:t>
      </w:r>
      <w:r w:rsidRPr="00F74246">
        <w:rPr>
          <w:rFonts w:ascii="Verdana" w:eastAsia="Calibri" w:hAnsi="Verdana" w:cs="Arial"/>
          <w:color w:val="000000" w:themeColor="text1"/>
        </w:rPr>
        <w:t xml:space="preserve"> </w:t>
      </w:r>
      <w:r>
        <w:rPr>
          <w:rFonts w:ascii="Verdana" w:eastAsia="Calibri" w:hAnsi="Verdana" w:cs="Arial"/>
          <w:color w:val="000000" w:themeColor="text1"/>
        </w:rPr>
        <w:t xml:space="preserve"> </w:t>
      </w:r>
      <w:r w:rsidRPr="00F74246">
        <w:rPr>
          <w:rFonts w:ascii="Verdana" w:eastAsia="Calibri" w:hAnsi="Verdana" w:cs="Arial"/>
          <w:color w:val="000000" w:themeColor="text1"/>
        </w:rPr>
        <w:t>que</w:t>
      </w:r>
      <w:proofErr w:type="gramEnd"/>
      <w:r w:rsidRPr="00F74246">
        <w:rPr>
          <w:rFonts w:ascii="Verdana" w:eastAsia="Calibri" w:hAnsi="Verdana" w:cs="Arial"/>
          <w:color w:val="000000" w:themeColor="text1"/>
        </w:rPr>
        <w:t xml:space="preserve"> se verificar</w:t>
      </w:r>
      <w:r w:rsidRPr="00F74246">
        <w:rPr>
          <w:rFonts w:ascii="Verdana" w:eastAsia="Calibri" w:hAnsi="Verdana" w:cs="Verdana"/>
          <w:color w:val="000000" w:themeColor="text1"/>
        </w:rPr>
        <w:t>á</w:t>
      </w:r>
      <w:r w:rsidRPr="00F74246">
        <w:rPr>
          <w:rFonts w:ascii="Verdana" w:eastAsia="Calibri" w:hAnsi="Verdana" w:cs="Arial"/>
          <w:color w:val="000000" w:themeColor="text1"/>
        </w:rPr>
        <w:t xml:space="preserve"> en el documento privado de constituci</w:t>
      </w:r>
      <w:r w:rsidRPr="00F74246">
        <w:rPr>
          <w:rFonts w:ascii="Verdana" w:eastAsia="Calibri" w:hAnsi="Verdana" w:cs="Verdana"/>
          <w:color w:val="000000" w:themeColor="text1"/>
        </w:rPr>
        <w:t>ó</w:t>
      </w:r>
      <w:r w:rsidRPr="00F74246">
        <w:rPr>
          <w:rFonts w:ascii="Verdana" w:eastAsia="Calibri" w:hAnsi="Verdana" w:cs="Arial"/>
          <w:color w:val="000000" w:themeColor="text1"/>
        </w:rPr>
        <w:t>n.</w:t>
      </w:r>
    </w:p>
    <w:p w14:paraId="02533344" w14:textId="77777777" w:rsidR="00B9145D" w:rsidRPr="00F74246" w:rsidRDefault="00B9145D" w:rsidP="00B9145D">
      <w:pPr>
        <w:spacing w:before="120" w:after="120" w:line="276" w:lineRule="auto"/>
        <w:ind w:firstLine="708"/>
        <w:jc w:val="both"/>
        <w:rPr>
          <w:rFonts w:ascii="Verdana" w:eastAsia="Calibri" w:hAnsi="Verdana" w:cs="Arial"/>
          <w:color w:val="000000" w:themeColor="text1"/>
        </w:rPr>
      </w:pPr>
      <w:proofErr w:type="spellStart"/>
      <w:r w:rsidRPr="00F74246">
        <w:rPr>
          <w:rFonts w:ascii="Verdana" w:eastAsia="Calibri" w:hAnsi="Verdana" w:cs="Arial"/>
          <w:color w:val="000000" w:themeColor="text1"/>
        </w:rPr>
        <w:t>iii</w:t>
      </w:r>
      <w:proofErr w:type="spellEnd"/>
      <w:r w:rsidRPr="00F74246">
        <w:rPr>
          <w:rFonts w:ascii="Verdana" w:eastAsia="Calibri" w:hAnsi="Verdana" w:cs="Arial"/>
          <w:color w:val="000000" w:themeColor="text1"/>
        </w:rPr>
        <w:t>) La experiencia se puede transferir, y es diferente a compartir, puesto que implica que la experiencia de una persona se traslada a otra, y esta última acredita esa experiencia como propia, lo cual es el caso de las figuras y reformas estatutarias como transformación, fusión y escisión.</w:t>
      </w:r>
    </w:p>
    <w:p w14:paraId="4CE27B10" w14:textId="77777777" w:rsidR="00B9145D" w:rsidRPr="00F74246" w:rsidRDefault="00B9145D" w:rsidP="00B9145D">
      <w:pPr>
        <w:spacing w:before="120" w:after="120" w:line="276" w:lineRule="auto"/>
        <w:ind w:firstLine="709"/>
        <w:jc w:val="both"/>
        <w:rPr>
          <w:rFonts w:ascii="Verdana" w:eastAsia="Calibri" w:hAnsi="Verdana" w:cs="Arial"/>
          <w:color w:val="000000" w:themeColor="text1"/>
        </w:rPr>
      </w:pPr>
      <w:proofErr w:type="spellStart"/>
      <w:r w:rsidRPr="00F74246">
        <w:rPr>
          <w:rFonts w:ascii="Verdana" w:eastAsia="Calibri" w:hAnsi="Verdana" w:cs="Arial"/>
          <w:color w:val="000000" w:themeColor="text1"/>
        </w:rPr>
        <w:t>iv</w:t>
      </w:r>
      <w:proofErr w:type="spellEnd"/>
      <w:r w:rsidRPr="00F74246">
        <w:rPr>
          <w:rFonts w:ascii="Verdana" w:eastAsia="Calibri" w:hAnsi="Verdana" w:cs="Arial"/>
          <w:color w:val="000000" w:themeColor="text1"/>
        </w:rPr>
        <w:t xml:space="preserve">) Solo es posible transferir o compartir la experiencia de una persona natural o jurídica a otra, en los casos señalados en los numerales anteriores, por lo cual no es posible que se acredite la experiencia adquirida por un </w:t>
      </w:r>
      <w:proofErr w:type="gramStart"/>
      <w:r w:rsidRPr="00F74246">
        <w:rPr>
          <w:rFonts w:ascii="Verdana" w:eastAsia="Calibri" w:hAnsi="Verdana" w:cs="Arial"/>
          <w:color w:val="000000" w:themeColor="text1"/>
        </w:rPr>
        <w:t xml:space="preserve">tercero  </w:t>
      </w:r>
      <w:r w:rsidRPr="00F74246">
        <w:rPr>
          <w:rFonts w:ascii="Arial" w:eastAsia="Calibri" w:hAnsi="Arial" w:cs="Arial"/>
          <w:color w:val="000000" w:themeColor="text1"/>
        </w:rPr>
        <w:t>̶</w:t>
      </w:r>
      <w:proofErr w:type="gramEnd"/>
      <w:r w:rsidRPr="00F74246">
        <w:rPr>
          <w:rFonts w:ascii="Verdana" w:eastAsia="Calibri" w:hAnsi="Verdana" w:cs="Arial"/>
          <w:color w:val="000000" w:themeColor="text1"/>
        </w:rPr>
        <w:t xml:space="preserve"> que es otra persona diferente a la principal </w:t>
      </w:r>
      <w:proofErr w:type="gramStart"/>
      <w:r w:rsidRPr="00F74246">
        <w:rPr>
          <w:rFonts w:ascii="Arial" w:eastAsia="Calibri" w:hAnsi="Arial" w:cs="Arial"/>
          <w:color w:val="000000" w:themeColor="text1"/>
        </w:rPr>
        <w:t>̶</w:t>
      </w:r>
      <w:r w:rsidRPr="00F74246">
        <w:rPr>
          <w:rFonts w:ascii="Verdana" w:eastAsia="Calibri" w:hAnsi="Verdana" w:cs="Arial"/>
          <w:color w:val="000000" w:themeColor="text1"/>
        </w:rPr>
        <w:t xml:space="preserve">  sin</w:t>
      </w:r>
      <w:proofErr w:type="gramEnd"/>
      <w:r w:rsidRPr="00F74246">
        <w:rPr>
          <w:rFonts w:ascii="Verdana" w:eastAsia="Calibri" w:hAnsi="Verdana" w:cs="Arial"/>
          <w:color w:val="000000" w:themeColor="text1"/>
        </w:rPr>
        <w:t xml:space="preserve"> que se relacione con lo establecido, ya que la experiencia es personal, esto es, de quien la adquiri</w:t>
      </w:r>
      <w:r w:rsidRPr="00F74246">
        <w:rPr>
          <w:rFonts w:ascii="Verdana" w:eastAsia="Calibri" w:hAnsi="Verdana" w:cs="Verdana"/>
          <w:color w:val="000000" w:themeColor="text1"/>
        </w:rPr>
        <w:t>ó</w:t>
      </w:r>
      <w:r w:rsidRPr="00F74246">
        <w:rPr>
          <w:rFonts w:ascii="Verdana" w:eastAsia="Calibri" w:hAnsi="Verdana" w:cs="Arial"/>
          <w:color w:val="000000" w:themeColor="text1"/>
        </w:rPr>
        <w:t>.</w:t>
      </w:r>
    </w:p>
    <w:p w14:paraId="2797F9F8" w14:textId="77777777" w:rsidR="00B9145D" w:rsidRPr="00F74246" w:rsidRDefault="00B9145D" w:rsidP="00B9145D">
      <w:pPr>
        <w:spacing w:line="276" w:lineRule="auto"/>
        <w:ind w:firstLine="708"/>
        <w:jc w:val="both"/>
        <w:rPr>
          <w:rFonts w:ascii="Verdana" w:eastAsia="Calibri" w:hAnsi="Verdana" w:cs="Arial"/>
          <w:color w:val="000000" w:themeColor="text1"/>
        </w:rPr>
      </w:pPr>
      <w:r w:rsidRPr="00F74246">
        <w:rPr>
          <w:rFonts w:ascii="Verdana" w:eastAsia="Calibri" w:hAnsi="Verdana" w:cs="Arial"/>
          <w:color w:val="000000" w:themeColor="text1"/>
        </w:rPr>
        <w:t xml:space="preserve">Ahora bien, el Código de Comercio, en el artículo 260, subrogado por el artículo 26 de la Ley 222 de 1995, regula las matrices y subordinadas. La norma citada contiene los siguientes conceptos: i) matriz, </w:t>
      </w:r>
      <w:proofErr w:type="spellStart"/>
      <w:r w:rsidRPr="00F74246">
        <w:rPr>
          <w:rFonts w:ascii="Verdana" w:eastAsia="Calibri" w:hAnsi="Verdana" w:cs="Arial"/>
          <w:color w:val="000000" w:themeColor="text1"/>
        </w:rPr>
        <w:t>ii</w:t>
      </w:r>
      <w:proofErr w:type="spellEnd"/>
      <w:r w:rsidRPr="00F74246">
        <w:rPr>
          <w:rFonts w:ascii="Verdana" w:eastAsia="Calibri" w:hAnsi="Verdana" w:cs="Arial"/>
          <w:color w:val="000000" w:themeColor="text1"/>
        </w:rPr>
        <w:t xml:space="preserve">) subordinada o controlada, </w:t>
      </w:r>
      <w:proofErr w:type="spellStart"/>
      <w:r w:rsidRPr="00F74246">
        <w:rPr>
          <w:rFonts w:ascii="Verdana" w:eastAsia="Calibri" w:hAnsi="Verdana" w:cs="Arial"/>
          <w:color w:val="000000" w:themeColor="text1"/>
        </w:rPr>
        <w:t>iii</w:t>
      </w:r>
      <w:proofErr w:type="spellEnd"/>
      <w:r w:rsidRPr="00F74246">
        <w:rPr>
          <w:rFonts w:ascii="Verdana" w:eastAsia="Calibri" w:hAnsi="Verdana" w:cs="Arial"/>
          <w:color w:val="000000" w:themeColor="text1"/>
        </w:rPr>
        <w:t xml:space="preserve">) filial y </w:t>
      </w:r>
      <w:proofErr w:type="spellStart"/>
      <w:r w:rsidRPr="00F74246">
        <w:rPr>
          <w:rFonts w:ascii="Verdana" w:eastAsia="Calibri" w:hAnsi="Verdana" w:cs="Arial"/>
          <w:color w:val="000000" w:themeColor="text1"/>
        </w:rPr>
        <w:t>iv</w:t>
      </w:r>
      <w:proofErr w:type="spellEnd"/>
      <w:r w:rsidRPr="00F74246">
        <w:rPr>
          <w:rFonts w:ascii="Verdana" w:eastAsia="Calibri" w:hAnsi="Verdana" w:cs="Arial"/>
          <w:color w:val="000000" w:themeColor="text1"/>
        </w:rPr>
        <w:t>) subsidiaria</w:t>
      </w:r>
      <w:r w:rsidRPr="00F74246">
        <w:rPr>
          <w:rStyle w:val="Refdenotaalpie"/>
          <w:rFonts w:ascii="Verdana" w:eastAsia="Calibri" w:hAnsi="Verdana" w:cs="Arial"/>
          <w:color w:val="000000" w:themeColor="text1"/>
        </w:rPr>
        <w:footnoteReference w:id="13"/>
      </w:r>
      <w:r w:rsidRPr="00F74246">
        <w:rPr>
          <w:rFonts w:ascii="Verdana" w:eastAsia="Calibri" w:hAnsi="Verdana" w:cs="Arial"/>
          <w:color w:val="000000" w:themeColor="text1"/>
        </w:rPr>
        <w:t xml:space="preserve">. En primer lugar, una sociedad es i) matriz cuando tiene poder de decisión frente a otras personas, </w:t>
      </w:r>
      <w:proofErr w:type="spellStart"/>
      <w:r w:rsidRPr="00F74246">
        <w:rPr>
          <w:rFonts w:ascii="Verdana" w:eastAsia="Calibri" w:hAnsi="Verdana" w:cs="Arial"/>
          <w:color w:val="000000" w:themeColor="text1"/>
        </w:rPr>
        <w:t>ii</w:t>
      </w:r>
      <w:proofErr w:type="spellEnd"/>
      <w:r w:rsidRPr="00F74246">
        <w:rPr>
          <w:rFonts w:ascii="Verdana" w:eastAsia="Calibri" w:hAnsi="Verdana" w:cs="Arial"/>
          <w:color w:val="000000" w:themeColor="text1"/>
        </w:rPr>
        <w:t xml:space="preserve">) la sociedad subordinada o </w:t>
      </w:r>
      <w:r w:rsidRPr="00F74246">
        <w:rPr>
          <w:rFonts w:ascii="Verdana" w:eastAsia="Calibri" w:hAnsi="Verdana" w:cs="Arial"/>
          <w:color w:val="000000" w:themeColor="text1"/>
        </w:rPr>
        <w:lastRenderedPageBreak/>
        <w:t xml:space="preserve">controlada es la que no puede autodeterminarse porque sus decisiones se someten a la sociedad matriz, y esa subordinación cuando es directa se denomina </w:t>
      </w:r>
      <w:proofErr w:type="spellStart"/>
      <w:r w:rsidRPr="00F74246">
        <w:rPr>
          <w:rFonts w:ascii="Verdana" w:eastAsia="Calibri" w:hAnsi="Verdana" w:cs="Arial"/>
          <w:color w:val="000000" w:themeColor="text1"/>
        </w:rPr>
        <w:t>iii</w:t>
      </w:r>
      <w:proofErr w:type="spellEnd"/>
      <w:r w:rsidRPr="00F74246">
        <w:rPr>
          <w:rFonts w:ascii="Verdana" w:eastAsia="Calibri" w:hAnsi="Verdana" w:cs="Arial"/>
          <w:color w:val="000000" w:themeColor="text1"/>
        </w:rPr>
        <w:t xml:space="preserve">) filial, y cuando es indirecta, esto es, la matriz toma decisiones con el concurso o por intermedio de otras de sus sociedades subordinadas o controladas, es una </w:t>
      </w:r>
      <w:proofErr w:type="spellStart"/>
      <w:r w:rsidRPr="00F74246">
        <w:rPr>
          <w:rFonts w:ascii="Verdana" w:eastAsia="Calibri" w:hAnsi="Verdana" w:cs="Arial"/>
          <w:color w:val="000000" w:themeColor="text1"/>
        </w:rPr>
        <w:t>iv</w:t>
      </w:r>
      <w:proofErr w:type="spellEnd"/>
      <w:r w:rsidRPr="00F74246">
        <w:rPr>
          <w:rFonts w:ascii="Verdana" w:eastAsia="Calibri" w:hAnsi="Verdana" w:cs="Arial"/>
          <w:color w:val="000000" w:themeColor="text1"/>
        </w:rPr>
        <w:t>) sociedad subsidiaria.</w:t>
      </w:r>
    </w:p>
    <w:p w14:paraId="0C5D71D1" w14:textId="77777777" w:rsidR="00B9145D" w:rsidRPr="00F74246" w:rsidRDefault="00B9145D" w:rsidP="00B9145D">
      <w:pPr>
        <w:spacing w:before="120" w:after="120" w:line="276" w:lineRule="auto"/>
        <w:ind w:firstLine="709"/>
        <w:jc w:val="both"/>
        <w:rPr>
          <w:rFonts w:ascii="Verdana" w:eastAsia="Calibri" w:hAnsi="Verdana" w:cs="Arial"/>
          <w:color w:val="000000" w:themeColor="text1"/>
        </w:rPr>
      </w:pPr>
      <w:r w:rsidRPr="00F74246">
        <w:rPr>
          <w:rFonts w:ascii="Verdana" w:eastAsia="Calibri" w:hAnsi="Verdana" w:cs="Arial"/>
          <w:color w:val="000000" w:themeColor="text1"/>
        </w:rPr>
        <w:t>De la norma analizada se destaca que la matriz subordina a otras personas, con lo cual se diferencian varias personas que se interrelacionan por su actividad comercial, a las que les aplica una prohibición y es que la sociedad subordinada no puede tener participación en el capital social de su matriz so pena de ineficacia de esos actos jurídicos</w:t>
      </w:r>
      <w:r w:rsidRPr="00F74246">
        <w:rPr>
          <w:rStyle w:val="Refdenotaalpie"/>
          <w:rFonts w:ascii="Verdana" w:eastAsia="Calibri" w:hAnsi="Verdana" w:cs="Arial"/>
          <w:color w:val="000000" w:themeColor="text1"/>
        </w:rPr>
        <w:footnoteReference w:id="14"/>
      </w:r>
      <w:r w:rsidRPr="00F74246">
        <w:rPr>
          <w:rFonts w:ascii="Verdana" w:eastAsia="Calibri" w:hAnsi="Verdana" w:cs="Arial"/>
          <w:color w:val="000000" w:themeColor="text1"/>
        </w:rPr>
        <w:t>. Esto es reafirmado por la Guía práctica régimen de matrices y subordinadas de la Superintendencia de Sociedades que señala que “Los sujetos vinculados en situación de control o grupo empresarial en los términos de la Ley 222 de 1995 conservan su individualidad; es decir, mantienen sus atributos y obligaciones propias</w:t>
      </w:r>
      <w:r w:rsidRPr="00F74246">
        <w:rPr>
          <w:rStyle w:val="Refdenotaalpie"/>
          <w:rFonts w:ascii="Verdana" w:eastAsia="Calibri" w:hAnsi="Verdana" w:cs="Arial"/>
          <w:color w:val="000000" w:themeColor="text1"/>
        </w:rPr>
        <w:footnoteReference w:id="15"/>
      </w:r>
      <w:r w:rsidRPr="00F74246">
        <w:rPr>
          <w:rFonts w:ascii="Verdana" w:eastAsia="Calibri" w:hAnsi="Verdana" w:cs="Arial"/>
          <w:color w:val="000000" w:themeColor="text1"/>
        </w:rPr>
        <w:t xml:space="preserve">“. </w:t>
      </w:r>
    </w:p>
    <w:p w14:paraId="77E426C7" w14:textId="006BB6E6" w:rsidR="00B9145D" w:rsidRPr="00F74246" w:rsidRDefault="00B9145D" w:rsidP="00B9145D">
      <w:pPr>
        <w:spacing w:line="276" w:lineRule="auto"/>
        <w:ind w:firstLine="709"/>
        <w:jc w:val="both"/>
        <w:rPr>
          <w:rFonts w:ascii="Verdana" w:eastAsia="Calibri" w:hAnsi="Verdana" w:cs="Arial"/>
          <w:color w:val="000000" w:themeColor="text1"/>
        </w:rPr>
      </w:pPr>
      <w:r w:rsidRPr="00F74246">
        <w:rPr>
          <w:rFonts w:ascii="Verdana" w:eastAsia="Calibri" w:hAnsi="Verdana" w:cs="Arial"/>
          <w:color w:val="000000" w:themeColor="text1"/>
        </w:rPr>
        <w:t xml:space="preserve">Por tanto, una sociedad </w:t>
      </w:r>
      <w:r w:rsidR="009C7277" w:rsidRPr="00F74246">
        <w:rPr>
          <w:rFonts w:ascii="Verdana" w:eastAsia="Calibri" w:hAnsi="Verdana" w:cs="Arial"/>
          <w:color w:val="000000" w:themeColor="text1"/>
        </w:rPr>
        <w:t xml:space="preserve">subordinada </w:t>
      </w:r>
      <w:r w:rsidR="009C7277" w:rsidRPr="00F74246">
        <w:rPr>
          <w:rFonts w:ascii="Arial" w:eastAsia="Calibri" w:hAnsi="Arial" w:cs="Arial"/>
          <w:color w:val="000000" w:themeColor="text1"/>
        </w:rPr>
        <w:t>̶</w:t>
      </w:r>
      <w:r w:rsidRPr="00F74246">
        <w:rPr>
          <w:rFonts w:ascii="Verdana" w:eastAsia="Calibri" w:hAnsi="Verdana" w:cs="Arial"/>
          <w:color w:val="000000" w:themeColor="text1"/>
        </w:rPr>
        <w:t xml:space="preserve"> filial o subsidiaria </w:t>
      </w:r>
      <w:r w:rsidRPr="00F74246">
        <w:rPr>
          <w:rFonts w:ascii="Arial" w:eastAsia="Calibri" w:hAnsi="Arial" w:cs="Arial"/>
          <w:color w:val="000000" w:themeColor="text1"/>
        </w:rPr>
        <w:t>̶</w:t>
      </w:r>
      <w:r w:rsidRPr="00F74246">
        <w:rPr>
          <w:rFonts w:ascii="Verdana" w:eastAsia="Calibri" w:hAnsi="Verdana" w:cs="Arial"/>
          <w:color w:val="000000" w:themeColor="text1"/>
        </w:rPr>
        <w:t xml:space="preserve"> conserva su individualidad respecto de su matriz, y al ser personas jurídicas diferentes adquieren su experiencia de forma personal e independiente, la cual pueden compartir conformando un proponente </w:t>
      </w:r>
      <w:proofErr w:type="gramStart"/>
      <w:r w:rsidRPr="00F74246">
        <w:rPr>
          <w:rFonts w:ascii="Verdana" w:eastAsia="Calibri" w:hAnsi="Verdana" w:cs="Arial"/>
          <w:color w:val="000000" w:themeColor="text1"/>
        </w:rPr>
        <w:t xml:space="preserve">plural  </w:t>
      </w:r>
      <w:r w:rsidRPr="00F74246">
        <w:rPr>
          <w:rFonts w:ascii="Arial" w:eastAsia="Calibri" w:hAnsi="Arial" w:cs="Arial"/>
          <w:color w:val="000000" w:themeColor="text1"/>
        </w:rPr>
        <w:t>̶</w:t>
      </w:r>
      <w:proofErr w:type="gramEnd"/>
      <w:r w:rsidRPr="00F74246">
        <w:rPr>
          <w:rFonts w:ascii="Verdana" w:eastAsia="Calibri" w:hAnsi="Verdana" w:cs="Arial"/>
          <w:color w:val="000000" w:themeColor="text1"/>
        </w:rPr>
        <w:t xml:space="preserve"> uni</w:t>
      </w:r>
      <w:r w:rsidRPr="00F74246">
        <w:rPr>
          <w:rFonts w:ascii="Verdana" w:eastAsia="Calibri" w:hAnsi="Verdana" w:cs="Verdana"/>
          <w:color w:val="000000" w:themeColor="text1"/>
        </w:rPr>
        <w:t>ó</w:t>
      </w:r>
      <w:r w:rsidRPr="00F74246">
        <w:rPr>
          <w:rFonts w:ascii="Verdana" w:eastAsia="Calibri" w:hAnsi="Verdana" w:cs="Arial"/>
          <w:color w:val="000000" w:themeColor="text1"/>
        </w:rPr>
        <w:t xml:space="preserve">n temporal o consorcio </w:t>
      </w:r>
      <w:proofErr w:type="gramStart"/>
      <w:r w:rsidRPr="00F74246">
        <w:rPr>
          <w:rFonts w:ascii="Arial" w:eastAsia="Calibri" w:hAnsi="Arial" w:cs="Arial"/>
          <w:color w:val="000000" w:themeColor="text1"/>
        </w:rPr>
        <w:t>̶</w:t>
      </w:r>
      <w:r w:rsidRPr="00F74246">
        <w:rPr>
          <w:rFonts w:ascii="Verdana" w:eastAsia="Calibri" w:hAnsi="Verdana" w:cs="Arial"/>
          <w:color w:val="000000" w:themeColor="text1"/>
        </w:rPr>
        <w:t xml:space="preserve"> ,</w:t>
      </w:r>
      <w:proofErr w:type="gramEnd"/>
      <w:r w:rsidRPr="00F74246">
        <w:rPr>
          <w:rFonts w:ascii="Verdana" w:eastAsia="Calibri" w:hAnsi="Verdana" w:cs="Arial"/>
          <w:color w:val="000000" w:themeColor="text1"/>
        </w:rPr>
        <w:t xml:space="preserve"> o transferir por fusión y escisión entre las sociedades comerciales, o por expresa disposición del pliego de condiciones que así lo autorice. Sin embargo, por la prohibición del artículo 262 del Código de Comercio, subrogado por el artículo 32 de la Ley 222 de 1995 citado, no es posible que entre una matriz y sus subordinadas se comparta la experiencia a través de la posibilidad que señala la ley para que los socios aporten su experiencia a las sociedades con menos de 3 años de constitución. Tampoco es posible transferir la experiencia por la transformación de la sociedad comercial, ya que esta reforma social del Código </w:t>
      </w:r>
      <w:r w:rsidRPr="00F74246">
        <w:rPr>
          <w:rFonts w:ascii="Verdana" w:eastAsia="Calibri" w:hAnsi="Verdana" w:cs="Arial"/>
          <w:color w:val="000000" w:themeColor="text1"/>
        </w:rPr>
        <w:lastRenderedPageBreak/>
        <w:t>de Comercio</w:t>
      </w:r>
      <w:r w:rsidRPr="00F74246">
        <w:rPr>
          <w:rStyle w:val="Refdenotaalpie"/>
          <w:rFonts w:ascii="Verdana" w:eastAsia="Calibri" w:hAnsi="Verdana" w:cs="Arial"/>
          <w:color w:val="000000" w:themeColor="text1"/>
        </w:rPr>
        <w:footnoteReference w:id="16"/>
      </w:r>
      <w:r w:rsidRPr="00F74246">
        <w:rPr>
          <w:rFonts w:ascii="Verdana" w:eastAsia="Calibri" w:hAnsi="Verdana" w:cs="Arial"/>
          <w:color w:val="000000" w:themeColor="text1"/>
        </w:rPr>
        <w:t xml:space="preserve"> involucra una persona jurídica y no varias como es el caso de la matriz y sus subordinadas</w:t>
      </w:r>
      <w:r w:rsidRPr="00F74246">
        <w:rPr>
          <w:rStyle w:val="Refdenotaalpie"/>
          <w:rFonts w:ascii="Verdana" w:eastAsia="Calibri" w:hAnsi="Verdana" w:cs="Arial"/>
          <w:color w:val="000000" w:themeColor="text1"/>
        </w:rPr>
        <w:footnoteReference w:id="17"/>
      </w:r>
      <w:r w:rsidRPr="00F74246">
        <w:rPr>
          <w:rFonts w:ascii="Verdana" w:eastAsia="Calibri" w:hAnsi="Verdana" w:cs="Arial"/>
          <w:color w:val="000000" w:themeColor="text1"/>
        </w:rPr>
        <w:t>.</w:t>
      </w:r>
    </w:p>
    <w:p w14:paraId="06B0A7EB" w14:textId="77777777" w:rsidR="00B9145D" w:rsidRPr="00F74246" w:rsidRDefault="00B9145D" w:rsidP="00B9145D">
      <w:pPr>
        <w:tabs>
          <w:tab w:val="left" w:pos="0"/>
        </w:tabs>
        <w:spacing w:before="120" w:after="0" w:line="276" w:lineRule="auto"/>
        <w:jc w:val="both"/>
        <w:rPr>
          <w:rFonts w:ascii="Verdana" w:hAnsi="Verdana" w:cs="Arial"/>
          <w:color w:val="000000" w:themeColor="text1"/>
        </w:rPr>
      </w:pPr>
    </w:p>
    <w:p w14:paraId="42268D28" w14:textId="77777777" w:rsidR="00B9145D" w:rsidRPr="00F74246" w:rsidRDefault="00B9145D" w:rsidP="00B914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4246">
        <w:rPr>
          <w:rFonts w:ascii="Verdana" w:eastAsia="Century Gothic" w:hAnsi="Verdana" w:cs="Century Gothic"/>
          <w:b/>
          <w:bCs/>
        </w:rPr>
        <w:t>Referencias normativas, jurisprudenciales y otras fuentes:</w:t>
      </w:r>
    </w:p>
    <w:p w14:paraId="5C020681" w14:textId="77777777" w:rsidR="00B9145D" w:rsidRPr="00F74246" w:rsidRDefault="00B9145D" w:rsidP="00B9145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9145D" w:rsidRPr="00F74246" w14:paraId="7BB0C863" w14:textId="77777777" w:rsidTr="00524793">
        <w:trPr>
          <w:trHeight w:val="870"/>
        </w:trPr>
        <w:tc>
          <w:tcPr>
            <w:tcW w:w="8647" w:type="dxa"/>
          </w:tcPr>
          <w:p w14:paraId="54C06DEF" w14:textId="77777777" w:rsidR="00B9145D" w:rsidRPr="00F74246" w:rsidRDefault="00B9145D" w:rsidP="00524793">
            <w:pPr>
              <w:pStyle w:val="Prrafodelista"/>
              <w:widowControl w:val="0"/>
              <w:numPr>
                <w:ilvl w:val="0"/>
                <w:numId w:val="17"/>
              </w:numPr>
              <w:autoSpaceDE w:val="0"/>
              <w:autoSpaceDN w:val="0"/>
              <w:spacing w:line="276" w:lineRule="auto"/>
              <w:ind w:left="714" w:hanging="357"/>
              <w:contextualSpacing w:val="0"/>
              <w:jc w:val="both"/>
              <w:rPr>
                <w:rFonts w:ascii="Verdana" w:eastAsia="Calibri" w:hAnsi="Verdana" w:cs="Arial"/>
                <w:color w:val="000000" w:themeColor="text1"/>
                <w:lang w:val="es-CO"/>
              </w:rPr>
            </w:pPr>
            <w:r w:rsidRPr="00F74246">
              <w:rPr>
                <w:rFonts w:ascii="Verdana" w:eastAsia="Calibri" w:hAnsi="Verdana" w:cs="Arial"/>
                <w:color w:val="000000" w:themeColor="text1"/>
                <w:lang w:val="es-CO"/>
              </w:rPr>
              <w:t>La Ley 1150 de 2007, en el parágrafo 1 del artículo 6</w:t>
            </w:r>
          </w:p>
          <w:p w14:paraId="75465951" w14:textId="77777777" w:rsidR="00B9145D" w:rsidRPr="00F74246" w:rsidRDefault="00B9145D" w:rsidP="00524793">
            <w:pPr>
              <w:pStyle w:val="Prrafodelista"/>
              <w:widowControl w:val="0"/>
              <w:numPr>
                <w:ilvl w:val="0"/>
                <w:numId w:val="17"/>
              </w:numPr>
              <w:autoSpaceDE w:val="0"/>
              <w:autoSpaceDN w:val="0"/>
              <w:spacing w:line="276" w:lineRule="auto"/>
              <w:ind w:left="714" w:hanging="357"/>
              <w:contextualSpacing w:val="0"/>
              <w:jc w:val="both"/>
              <w:rPr>
                <w:rFonts w:ascii="Verdana" w:eastAsia="Calibri" w:hAnsi="Verdana" w:cs="Arial"/>
                <w:color w:val="000000" w:themeColor="text1"/>
                <w:lang w:val="es-CO"/>
              </w:rPr>
            </w:pPr>
            <w:r w:rsidRPr="00F74246">
              <w:rPr>
                <w:rFonts w:ascii="Verdana" w:eastAsia="Calibri" w:hAnsi="Verdana" w:cs="Arial"/>
                <w:color w:val="000000" w:themeColor="text1"/>
                <w:lang w:val="es-CO"/>
              </w:rPr>
              <w:t>Decreto 1082 de 2015, en el artículo 2.2.1.1.1.6.4</w:t>
            </w:r>
          </w:p>
          <w:p w14:paraId="26DD5D0E" w14:textId="77777777" w:rsidR="00B9145D" w:rsidRPr="00F74246" w:rsidRDefault="00B9145D" w:rsidP="00524793">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F74246">
              <w:rPr>
                <w:rFonts w:ascii="Verdana" w:eastAsia="Calibri" w:hAnsi="Verdana" w:cs="Arial"/>
                <w:color w:val="000000" w:themeColor="text1"/>
                <w:lang w:val="es-CO"/>
              </w:rPr>
              <w:t>guía de capacidad residual</w:t>
            </w:r>
            <w:r w:rsidRPr="00F74246">
              <w:rPr>
                <w:rFonts w:ascii="Verdana" w:hAnsi="Verdana" w:cs="Arial"/>
                <w:color w:val="000000" w:themeColor="text1"/>
              </w:rPr>
              <w:t xml:space="preserve"> </w:t>
            </w:r>
            <w:hyperlink r:id="rId11" w:history="1">
              <w:r w:rsidRPr="00F74246">
                <w:rPr>
                  <w:rStyle w:val="Hipervnculo"/>
                  <w:rFonts w:ascii="Verdana" w:hAnsi="Verdana" w:cs="Arial"/>
                </w:rPr>
                <w:t>https://www.colombiacompra.gov.co/archivos/manual/guia-para-determinar-y-verificar-la-capacidad-residual-del-proponente-en-los-procesos-de-contratacion-de-obra-publica</w:t>
              </w:r>
            </w:hyperlink>
          </w:p>
          <w:p w14:paraId="1547B9D4" w14:textId="77777777" w:rsidR="00B9145D" w:rsidRPr="00F74246" w:rsidRDefault="00B9145D" w:rsidP="00524793">
            <w:pPr>
              <w:widowControl w:val="0"/>
              <w:autoSpaceDE w:val="0"/>
              <w:autoSpaceDN w:val="0"/>
              <w:spacing w:line="276" w:lineRule="auto"/>
              <w:jc w:val="both"/>
              <w:rPr>
                <w:rFonts w:ascii="Verdana" w:hAnsi="Verdana" w:cs="Arial"/>
                <w:color w:val="000000" w:themeColor="text1"/>
              </w:rPr>
            </w:pPr>
          </w:p>
        </w:tc>
      </w:tr>
    </w:tbl>
    <w:p w14:paraId="48047E04" w14:textId="77777777" w:rsidR="00B9145D" w:rsidRPr="00F74246" w:rsidRDefault="00B9145D" w:rsidP="00B9145D">
      <w:pPr>
        <w:widowControl w:val="0"/>
        <w:autoSpaceDE w:val="0"/>
        <w:autoSpaceDN w:val="0"/>
        <w:spacing w:after="0" w:line="276" w:lineRule="auto"/>
        <w:jc w:val="both"/>
        <w:rPr>
          <w:rFonts w:ascii="Verdana" w:hAnsi="Verdana" w:cs="Arial"/>
        </w:rPr>
      </w:pPr>
    </w:p>
    <w:p w14:paraId="6F6349A0" w14:textId="77777777" w:rsidR="00B9145D" w:rsidRPr="00F74246" w:rsidRDefault="00B9145D" w:rsidP="00B914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4246">
        <w:rPr>
          <w:rFonts w:ascii="Verdana" w:eastAsia="Century Gothic" w:hAnsi="Verdana" w:cs="Century Gothic"/>
          <w:b/>
          <w:bCs/>
        </w:rPr>
        <w:t>Doctrina de la Agencia Nacional de Contratación Pública:</w:t>
      </w:r>
    </w:p>
    <w:p w14:paraId="4F0C67B9" w14:textId="77777777" w:rsidR="00B9145D" w:rsidRPr="00F74246" w:rsidRDefault="00B9145D" w:rsidP="00B9145D">
      <w:pPr>
        <w:widowControl w:val="0"/>
        <w:autoSpaceDE w:val="0"/>
        <w:autoSpaceDN w:val="0"/>
        <w:spacing w:after="0" w:line="276" w:lineRule="auto"/>
        <w:jc w:val="both"/>
        <w:rPr>
          <w:rFonts w:ascii="Verdana" w:hAnsi="Verdana" w:cs="Arial"/>
        </w:rPr>
      </w:pPr>
    </w:p>
    <w:p w14:paraId="29F413ED" w14:textId="77777777" w:rsidR="00B9145D" w:rsidRPr="00F74246" w:rsidRDefault="00B9145D" w:rsidP="00B9145D">
      <w:pPr>
        <w:jc w:val="both"/>
        <w:rPr>
          <w:rFonts w:ascii="Verdana" w:hAnsi="Verdana" w:cs="Arial"/>
          <w:shd w:val="clear" w:color="auto" w:fill="FFFFFF"/>
        </w:rPr>
      </w:pPr>
      <w:r w:rsidRPr="00F74246">
        <w:rPr>
          <w:rFonts w:ascii="Verdana" w:hAnsi="Verdana" w:cs="Arial"/>
          <w:shd w:val="clear" w:color="auto" w:fill="FFFFFF"/>
        </w:rPr>
        <w:t>La Agencia Nacional de Contratación Pública - Colombia Compra Eficiente, en los conceptos con radicados No. 4201912000005192 del 9 de septiembre de 2019, y No. 4201912000007744 del 12 de febrero de 2020 y C -089 de 2020,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74246">
          <w:rPr>
            <w:rStyle w:val="Hipervnculo"/>
            <w:rFonts w:ascii="Verdana" w:hAnsi="Verdana" w:cs="Arial"/>
            <w:shd w:val="clear" w:color="auto" w:fill="FFFFFF"/>
          </w:rPr>
          <w:t>https://relatoria.colombiacompra.gov.co/</w:t>
        </w:r>
      </w:hyperlink>
      <w:r w:rsidRPr="00F74246">
        <w:rPr>
          <w:rFonts w:ascii="Verdana" w:hAnsi="Verdana" w:cs="Arial"/>
          <w:shd w:val="clear" w:color="auto" w:fill="FFFFFF"/>
        </w:rPr>
        <w:t>.</w:t>
      </w:r>
    </w:p>
    <w:p w14:paraId="13AD3E45" w14:textId="77777777" w:rsidR="00B9145D" w:rsidRPr="00F74246" w:rsidRDefault="00B9145D" w:rsidP="00B9145D">
      <w:pPr>
        <w:spacing w:after="0" w:line="240" w:lineRule="auto"/>
        <w:jc w:val="both"/>
        <w:rPr>
          <w:rFonts w:ascii="Verdana" w:hAnsi="Verdana"/>
        </w:rPr>
      </w:pPr>
      <w:r w:rsidRPr="00F74246">
        <w:rPr>
          <w:rFonts w:ascii="Verdana" w:hAnsi="Verdana"/>
        </w:rPr>
        <w:t>Por último, lo invitamos a seguirnos en las redes sociales en las cuales se difunde información institucional:</w:t>
      </w:r>
    </w:p>
    <w:p w14:paraId="783AA85E" w14:textId="77777777" w:rsidR="00B9145D" w:rsidRPr="00F74246" w:rsidRDefault="00B9145D" w:rsidP="00B9145D">
      <w:pPr>
        <w:spacing w:after="0" w:line="240" w:lineRule="auto"/>
        <w:jc w:val="both"/>
        <w:rPr>
          <w:rFonts w:ascii="Verdana" w:hAnsi="Verdana"/>
        </w:rPr>
      </w:pPr>
    </w:p>
    <w:p w14:paraId="7D5A0D0A" w14:textId="77777777" w:rsidR="00B9145D" w:rsidRPr="00F74246" w:rsidRDefault="00B9145D" w:rsidP="00B9145D">
      <w:pPr>
        <w:spacing w:after="0" w:line="240" w:lineRule="auto"/>
        <w:jc w:val="both"/>
        <w:rPr>
          <w:rFonts w:ascii="Verdana" w:hAnsi="Verdana"/>
        </w:rPr>
      </w:pPr>
      <w:r w:rsidRPr="00F74246">
        <w:rPr>
          <w:rFonts w:ascii="Verdana" w:hAnsi="Verdana"/>
        </w:rPr>
        <w:t xml:space="preserve">Twitter: </w:t>
      </w:r>
      <w:r w:rsidRPr="00F74246">
        <w:rPr>
          <w:rStyle w:val="Hipervnculo"/>
          <w:rFonts w:ascii="Verdana" w:hAnsi="Verdana"/>
          <w:color w:val="4472C4" w:themeColor="accent1"/>
        </w:rPr>
        <w:t>@colombiacompra</w:t>
      </w:r>
      <w:r w:rsidRPr="00F74246">
        <w:rPr>
          <w:rFonts w:ascii="Verdana" w:hAnsi="Verdana"/>
          <w:color w:val="4472C4" w:themeColor="accent1"/>
        </w:rPr>
        <w:t xml:space="preserve"> </w:t>
      </w:r>
    </w:p>
    <w:p w14:paraId="02B3323F" w14:textId="77777777" w:rsidR="00B9145D" w:rsidRPr="00F74246" w:rsidRDefault="00B9145D" w:rsidP="00B9145D">
      <w:pPr>
        <w:spacing w:after="0" w:line="240" w:lineRule="auto"/>
        <w:jc w:val="both"/>
        <w:rPr>
          <w:rFonts w:ascii="Verdana" w:hAnsi="Verdana"/>
        </w:rPr>
      </w:pPr>
      <w:r w:rsidRPr="00F74246">
        <w:rPr>
          <w:rFonts w:ascii="Verdana" w:hAnsi="Verdana"/>
        </w:rPr>
        <w:lastRenderedPageBreak/>
        <w:t xml:space="preserve">Facebook: </w:t>
      </w:r>
      <w:proofErr w:type="spellStart"/>
      <w:r w:rsidRPr="00F74246">
        <w:rPr>
          <w:rStyle w:val="Hipervnculo"/>
          <w:rFonts w:ascii="Verdana" w:hAnsi="Verdana"/>
          <w:color w:val="4472C4" w:themeColor="accent1"/>
        </w:rPr>
        <w:t>ColombiaCompraEficiente</w:t>
      </w:r>
      <w:proofErr w:type="spellEnd"/>
    </w:p>
    <w:p w14:paraId="2F9B46DF" w14:textId="77777777" w:rsidR="00B9145D" w:rsidRPr="00F74246" w:rsidRDefault="00B9145D" w:rsidP="00B9145D">
      <w:pPr>
        <w:spacing w:after="0" w:line="240" w:lineRule="auto"/>
        <w:jc w:val="both"/>
        <w:rPr>
          <w:rFonts w:ascii="Verdana" w:hAnsi="Verdana"/>
        </w:rPr>
      </w:pPr>
      <w:r w:rsidRPr="00F74246">
        <w:rPr>
          <w:rFonts w:ascii="Verdana" w:hAnsi="Verdana"/>
        </w:rPr>
        <w:t xml:space="preserve">LinkedIn: </w:t>
      </w:r>
      <w:r w:rsidRPr="00F74246">
        <w:rPr>
          <w:rStyle w:val="Hipervnculo"/>
          <w:rFonts w:ascii="Verdana" w:hAnsi="Verdana"/>
          <w:color w:val="4472C4" w:themeColor="accent1"/>
        </w:rPr>
        <w:t>Agencia Nacional de Contratación Pública - Colombia Compra Eficiente</w:t>
      </w:r>
      <w:r w:rsidRPr="00F74246">
        <w:rPr>
          <w:rFonts w:ascii="Verdana" w:hAnsi="Verdana"/>
          <w:color w:val="4472C4" w:themeColor="accent1"/>
        </w:rPr>
        <w:t xml:space="preserve"> </w:t>
      </w:r>
      <w:r w:rsidRPr="00F74246">
        <w:rPr>
          <w:rFonts w:ascii="Verdana" w:hAnsi="Verdana"/>
        </w:rPr>
        <w:t xml:space="preserve">Instagram: </w:t>
      </w:r>
      <w:r w:rsidRPr="00F74246">
        <w:rPr>
          <w:rStyle w:val="Hipervnculo"/>
          <w:rFonts w:ascii="Verdana" w:hAnsi="Verdana"/>
          <w:color w:val="4472C4" w:themeColor="accent1"/>
        </w:rPr>
        <w:t>@colombiacompraeficiente_cce</w:t>
      </w:r>
    </w:p>
    <w:p w14:paraId="72FAA464" w14:textId="77777777" w:rsidR="00B9145D" w:rsidRPr="00F74246" w:rsidRDefault="00B9145D" w:rsidP="00B9145D">
      <w:pPr>
        <w:widowControl w:val="0"/>
        <w:autoSpaceDE w:val="0"/>
        <w:autoSpaceDN w:val="0"/>
        <w:spacing w:after="0" w:line="276" w:lineRule="auto"/>
        <w:jc w:val="both"/>
        <w:rPr>
          <w:rFonts w:ascii="Verdana" w:hAnsi="Verdana" w:cs="Arial"/>
        </w:rPr>
      </w:pPr>
    </w:p>
    <w:p w14:paraId="148176D5" w14:textId="77777777" w:rsidR="00B9145D" w:rsidRPr="00F74246" w:rsidRDefault="00B9145D" w:rsidP="00B9145D">
      <w:pPr>
        <w:widowControl w:val="0"/>
        <w:autoSpaceDE w:val="0"/>
        <w:autoSpaceDN w:val="0"/>
        <w:spacing w:after="0" w:line="276" w:lineRule="auto"/>
        <w:jc w:val="both"/>
        <w:rPr>
          <w:rFonts w:ascii="Verdana" w:hAnsi="Verdana" w:cs="Arial"/>
          <w:lang w:val="es-ES_tradnl"/>
        </w:rPr>
      </w:pPr>
      <w:r w:rsidRPr="00F74246">
        <w:rPr>
          <w:rFonts w:ascii="Verdana" w:hAnsi="Verdana" w:cs="Arial"/>
        </w:rPr>
        <w:t xml:space="preserve">Este concepto tiene el alcance previsto en el artículo 28 del Código de Procedimiento Administrativo y de lo Contencioso Administrativo </w:t>
      </w:r>
      <w:r w:rsidRPr="00F74246">
        <w:rPr>
          <w:rFonts w:ascii="Verdana" w:hAnsi="Verdana" w:cs="Arial"/>
          <w:lang w:val="es-ES_tradnl"/>
        </w:rPr>
        <w:t>y las expresiones aquí utilizadas con mayúscula inicial deben ser entendidas con el significado que les otorga el artículo 2.2.1.1.1.3.1. del Decreto 1082 de 2015.</w:t>
      </w:r>
    </w:p>
    <w:p w14:paraId="45B88F70" w14:textId="77777777" w:rsidR="00B9145D" w:rsidRPr="00F74246" w:rsidRDefault="00B9145D" w:rsidP="00B9145D">
      <w:pPr>
        <w:widowControl w:val="0"/>
        <w:autoSpaceDE w:val="0"/>
        <w:autoSpaceDN w:val="0"/>
        <w:spacing w:after="0" w:line="276" w:lineRule="auto"/>
        <w:jc w:val="both"/>
        <w:rPr>
          <w:rFonts w:ascii="Verdana" w:hAnsi="Verdana" w:cs="Arial"/>
        </w:rPr>
      </w:pPr>
    </w:p>
    <w:p w14:paraId="54638F28" w14:textId="77777777" w:rsidR="00B9145D" w:rsidRPr="00F74246" w:rsidRDefault="00B9145D" w:rsidP="00B9145D">
      <w:pPr>
        <w:spacing w:after="0" w:line="240" w:lineRule="auto"/>
        <w:rPr>
          <w:rFonts w:ascii="Verdana" w:hAnsi="Verdana" w:cs="Arial"/>
          <w:lang w:eastAsia="es-CO"/>
        </w:rPr>
      </w:pPr>
      <w:r w:rsidRPr="00F74246">
        <w:rPr>
          <w:rFonts w:ascii="Verdana" w:eastAsia="Times New Roman" w:hAnsi="Verdana" w:cs="Arial"/>
          <w:lang w:eastAsia="es-CO"/>
        </w:rPr>
        <w:t>Atentamente,</w:t>
      </w:r>
      <w:r w:rsidRPr="00F74246">
        <w:rPr>
          <w:rFonts w:ascii="Verdana" w:hAnsi="Verdana" w:cs="Arial"/>
          <w:lang w:eastAsia="es-CO"/>
        </w:rPr>
        <w:t xml:space="preserve"> </w:t>
      </w:r>
    </w:p>
    <w:p w14:paraId="7FC3308B" w14:textId="3233976C" w:rsidR="00B9145D" w:rsidRPr="00AE4EBA" w:rsidRDefault="00AE4EBA" w:rsidP="00AE4EBA">
      <w:pPr>
        <w:spacing w:line="276" w:lineRule="auto"/>
        <w:jc w:val="center"/>
        <w:rPr>
          <w:rFonts w:ascii="Verdana" w:eastAsia="Calibri" w:hAnsi="Verdana" w:cs="Arial"/>
          <w:lang w:val="es-ES_tradnl" w:eastAsia="es-CO"/>
        </w:rPr>
      </w:pPr>
      <w:r>
        <w:rPr>
          <w:rFonts w:ascii="Verdana" w:eastAsia="Calibri" w:hAnsi="Verdana" w:cs="Arial"/>
          <w:noProof/>
          <w:lang w:val="es-ES_tradnl" w:eastAsia="es-CO"/>
        </w:rPr>
        <w:drawing>
          <wp:inline distT="0" distB="0" distL="0" distR="0" wp14:anchorId="18B36ECE" wp14:editId="0BAE20F9">
            <wp:extent cx="4792733" cy="2060691"/>
            <wp:effectExtent l="0" t="0" r="8255" b="0"/>
            <wp:docPr id="8377062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706216" name="Imagen 837706216"/>
                    <pic:cNvPicPr/>
                  </pic:nvPicPr>
                  <pic:blipFill>
                    <a:blip r:embed="rId13">
                      <a:extLst>
                        <a:ext uri="{28A0092B-C50C-407E-A947-70E740481C1C}">
                          <a14:useLocalDpi xmlns:a14="http://schemas.microsoft.com/office/drawing/2010/main" val="0"/>
                        </a:ext>
                      </a:extLst>
                    </a:blip>
                    <a:stretch>
                      <a:fillRect/>
                    </a:stretch>
                  </pic:blipFill>
                  <pic:spPr>
                    <a:xfrm>
                      <a:off x="0" y="0"/>
                      <a:ext cx="4794640" cy="206151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9145D" w:rsidRPr="00223A24" w14:paraId="2E2B5547" w14:textId="77777777" w:rsidTr="00524793">
        <w:trPr>
          <w:trHeight w:val="315"/>
        </w:trPr>
        <w:tc>
          <w:tcPr>
            <w:tcW w:w="893" w:type="dxa"/>
            <w:vAlign w:val="center"/>
            <w:hideMark/>
          </w:tcPr>
          <w:p w14:paraId="7E2A4FEF" w14:textId="77777777" w:rsidR="00B9145D" w:rsidRPr="00223A24" w:rsidRDefault="00B9145D" w:rsidP="00524793">
            <w:pPr>
              <w:rPr>
                <w:rFonts w:ascii="Verdana" w:eastAsia="Calibri" w:hAnsi="Verdana" w:cs="Arial"/>
                <w:sz w:val="16"/>
                <w:szCs w:val="16"/>
                <w:lang w:eastAsia="es-ES"/>
              </w:rPr>
            </w:pPr>
            <w:r w:rsidRPr="00223A24">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38498560" w14:textId="77777777" w:rsidR="00B9145D" w:rsidRPr="00223A24" w:rsidRDefault="00B9145D" w:rsidP="00524793">
            <w:pPr>
              <w:rPr>
                <w:rFonts w:ascii="Verdana" w:eastAsia="Arial" w:hAnsi="Verdana" w:cs="Arial"/>
                <w:sz w:val="16"/>
                <w:szCs w:val="16"/>
              </w:rPr>
            </w:pPr>
            <w:proofErr w:type="spellStart"/>
            <w:r>
              <w:rPr>
                <w:rFonts w:ascii="Verdana" w:eastAsia="Arial" w:hAnsi="Verdana" w:cs="Arial"/>
                <w:sz w:val="16"/>
                <w:szCs w:val="16"/>
              </w:rPr>
              <w:t>Karol</w:t>
            </w:r>
            <w:proofErr w:type="spellEnd"/>
            <w:r>
              <w:rPr>
                <w:rFonts w:ascii="Verdana" w:eastAsia="Arial" w:hAnsi="Verdana" w:cs="Arial"/>
                <w:sz w:val="16"/>
                <w:szCs w:val="16"/>
              </w:rPr>
              <w:t xml:space="preserve"> Andrea </w:t>
            </w:r>
            <w:proofErr w:type="spellStart"/>
            <w:r>
              <w:rPr>
                <w:rFonts w:ascii="Verdana" w:eastAsia="Arial" w:hAnsi="Verdana" w:cs="Arial"/>
                <w:sz w:val="16"/>
                <w:szCs w:val="16"/>
              </w:rPr>
              <w:t>Gonzalez</w:t>
            </w:r>
            <w:proofErr w:type="spellEnd"/>
            <w:r>
              <w:rPr>
                <w:rFonts w:ascii="Verdana" w:eastAsia="Arial" w:hAnsi="Verdana" w:cs="Arial"/>
                <w:sz w:val="16"/>
                <w:szCs w:val="16"/>
              </w:rPr>
              <w:t xml:space="preserve"> </w:t>
            </w:r>
            <w:proofErr w:type="spellStart"/>
            <w:r>
              <w:rPr>
                <w:rFonts w:ascii="Verdana" w:eastAsia="Arial" w:hAnsi="Verdana" w:cs="Arial"/>
                <w:sz w:val="16"/>
                <w:szCs w:val="16"/>
              </w:rPr>
              <w:t>Marin</w:t>
            </w:r>
            <w:proofErr w:type="spellEnd"/>
            <w:r w:rsidRPr="00223A24">
              <w:rPr>
                <w:rFonts w:ascii="Verdana" w:eastAsia="Arial" w:hAnsi="Verdana" w:cs="Arial"/>
                <w:sz w:val="16"/>
                <w:szCs w:val="16"/>
              </w:rPr>
              <w:t xml:space="preserve"> </w:t>
            </w:r>
          </w:p>
          <w:p w14:paraId="3335B346" w14:textId="13DE0AAF" w:rsidR="00B9145D" w:rsidRPr="00223A24" w:rsidRDefault="00B9145D" w:rsidP="00524793">
            <w:pPr>
              <w:rPr>
                <w:rFonts w:ascii="Verdana" w:eastAsia="Arial" w:hAnsi="Verdana" w:cs="Arial"/>
                <w:sz w:val="16"/>
                <w:szCs w:val="16"/>
              </w:rPr>
            </w:pPr>
            <w:r w:rsidRPr="00223A24">
              <w:rPr>
                <w:rFonts w:ascii="Verdana" w:eastAsia="Arial" w:hAnsi="Verdana" w:cs="Arial"/>
                <w:sz w:val="16"/>
                <w:szCs w:val="16"/>
              </w:rPr>
              <w:t>Contratista de la Subdirección de Gestión Contractual</w:t>
            </w:r>
          </w:p>
        </w:tc>
      </w:tr>
      <w:tr w:rsidR="00B9145D" w:rsidRPr="00223A24" w14:paraId="0C6513C1" w14:textId="77777777" w:rsidTr="00524793">
        <w:trPr>
          <w:trHeight w:val="330"/>
        </w:trPr>
        <w:tc>
          <w:tcPr>
            <w:tcW w:w="893" w:type="dxa"/>
            <w:vAlign w:val="center"/>
            <w:hideMark/>
          </w:tcPr>
          <w:p w14:paraId="4F735E42" w14:textId="77777777" w:rsidR="00B9145D" w:rsidRPr="00223A24" w:rsidRDefault="00B9145D" w:rsidP="00524793">
            <w:pPr>
              <w:rPr>
                <w:rFonts w:ascii="Verdana" w:eastAsia="Calibri" w:hAnsi="Verdana" w:cs="Arial"/>
                <w:sz w:val="16"/>
                <w:szCs w:val="16"/>
                <w:lang w:eastAsia="es-ES"/>
              </w:rPr>
            </w:pPr>
            <w:r w:rsidRPr="00223A24">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7F3DF2C" w14:textId="77777777" w:rsidR="00B9145D" w:rsidRPr="00223A24" w:rsidRDefault="00B9145D" w:rsidP="00524793">
            <w:pPr>
              <w:textAlignment w:val="baseline"/>
              <w:rPr>
                <w:rFonts w:ascii="Verdana" w:eastAsia="Times New Roman" w:hAnsi="Verdana" w:cs="Aptos"/>
                <w:sz w:val="16"/>
                <w:szCs w:val="16"/>
                <w:lang w:eastAsia="es-CO"/>
              </w:rPr>
            </w:pPr>
            <w:r w:rsidRPr="00A13E07">
              <w:rPr>
                <w:rFonts w:ascii="Verdana" w:eastAsia="Times New Roman" w:hAnsi="Verdana" w:cs="Aptos"/>
                <w:sz w:val="16"/>
                <w:szCs w:val="16"/>
                <w:lang w:eastAsia="es-CO"/>
              </w:rPr>
              <w:t>Diana Saavedra</w:t>
            </w:r>
            <w:r w:rsidRPr="00223A24">
              <w:rPr>
                <w:rFonts w:ascii="Verdana" w:eastAsia="Times New Roman" w:hAnsi="Verdana" w:cs="Aptos"/>
                <w:sz w:val="16"/>
                <w:szCs w:val="16"/>
                <w:lang w:eastAsia="es-CO"/>
              </w:rPr>
              <w:t xml:space="preserve"> </w:t>
            </w:r>
          </w:p>
          <w:p w14:paraId="01C5629F" w14:textId="77777777" w:rsidR="00B9145D" w:rsidRPr="00223A24" w:rsidRDefault="00B9145D" w:rsidP="00524793">
            <w:pPr>
              <w:rPr>
                <w:rFonts w:ascii="Verdana" w:eastAsia="Arial" w:hAnsi="Verdana" w:cs="Arial"/>
                <w:sz w:val="16"/>
                <w:szCs w:val="16"/>
              </w:rPr>
            </w:pPr>
            <w:r w:rsidRPr="00223A24">
              <w:rPr>
                <w:rFonts w:ascii="Verdana" w:eastAsia="Arial" w:hAnsi="Verdana" w:cs="Arial"/>
                <w:sz w:val="16"/>
                <w:szCs w:val="16"/>
              </w:rPr>
              <w:t>Contratista de la Subdirección de Gestión Contractual</w:t>
            </w:r>
          </w:p>
        </w:tc>
      </w:tr>
      <w:tr w:rsidR="00B9145D" w:rsidRPr="00223A24" w14:paraId="74F51942" w14:textId="77777777" w:rsidTr="00524793">
        <w:trPr>
          <w:trHeight w:val="300"/>
        </w:trPr>
        <w:tc>
          <w:tcPr>
            <w:tcW w:w="893" w:type="dxa"/>
            <w:vAlign w:val="center"/>
          </w:tcPr>
          <w:p w14:paraId="1CB38A1E" w14:textId="77777777" w:rsidR="00B9145D" w:rsidRPr="00223A24" w:rsidRDefault="00B9145D" w:rsidP="00524793">
            <w:pPr>
              <w:rPr>
                <w:rFonts w:ascii="Verdana" w:eastAsia="Calibri" w:hAnsi="Verdana" w:cs="Arial"/>
                <w:sz w:val="16"/>
                <w:szCs w:val="16"/>
                <w:lang w:eastAsia="es-ES"/>
              </w:rPr>
            </w:pPr>
            <w:r w:rsidRPr="00223A24">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EC65172" w14:textId="77777777" w:rsidR="00B9145D" w:rsidRPr="00223A24" w:rsidRDefault="00B9145D" w:rsidP="00524793">
            <w:pPr>
              <w:rPr>
                <w:rFonts w:ascii="Verdana" w:eastAsia="Calibri" w:hAnsi="Verdana" w:cs="Arial"/>
                <w:sz w:val="16"/>
                <w:szCs w:val="16"/>
                <w:lang w:eastAsia="es-ES"/>
              </w:rPr>
            </w:pPr>
            <w:r w:rsidRPr="00223A24">
              <w:rPr>
                <w:rFonts w:ascii="Verdana" w:eastAsia="Calibri" w:hAnsi="Verdana" w:cs="Arial"/>
                <w:sz w:val="16"/>
                <w:szCs w:val="16"/>
                <w:lang w:eastAsia="es-ES"/>
              </w:rPr>
              <w:t xml:space="preserve">Carolina Quintero </w:t>
            </w:r>
            <w:proofErr w:type="spellStart"/>
            <w:r w:rsidRPr="00223A24">
              <w:rPr>
                <w:rFonts w:ascii="Verdana" w:eastAsia="Calibri" w:hAnsi="Verdana" w:cs="Arial"/>
                <w:sz w:val="16"/>
                <w:szCs w:val="16"/>
                <w:lang w:eastAsia="es-ES"/>
              </w:rPr>
              <w:t>Gacharná</w:t>
            </w:r>
            <w:proofErr w:type="spellEnd"/>
          </w:p>
          <w:p w14:paraId="092F419F" w14:textId="77777777" w:rsidR="00B9145D" w:rsidRPr="00223A24" w:rsidRDefault="00B9145D" w:rsidP="00524793">
            <w:pPr>
              <w:rPr>
                <w:rFonts w:ascii="Verdana" w:eastAsia="Calibri" w:hAnsi="Verdana" w:cs="Arial"/>
                <w:sz w:val="16"/>
                <w:szCs w:val="16"/>
                <w:lang w:eastAsia="es-ES"/>
              </w:rPr>
            </w:pPr>
            <w:r w:rsidRPr="00223A24">
              <w:rPr>
                <w:rFonts w:ascii="Verdana" w:eastAsia="Calibri" w:hAnsi="Verdana" w:cs="Arial"/>
                <w:sz w:val="16"/>
                <w:szCs w:val="16"/>
                <w:lang w:eastAsia="es-ES"/>
              </w:rPr>
              <w:t>Subdirectora de Gestión Contractual ANCP – CCE</w:t>
            </w:r>
          </w:p>
        </w:tc>
      </w:tr>
    </w:tbl>
    <w:p w14:paraId="79D6ECC6" w14:textId="77777777" w:rsidR="00B9145D" w:rsidRPr="0044528D" w:rsidRDefault="00B9145D" w:rsidP="00B9145D">
      <w:pPr>
        <w:spacing w:after="0" w:line="240" w:lineRule="auto"/>
        <w:textAlignment w:val="baseline"/>
        <w:rPr>
          <w:rFonts w:ascii="Verdana" w:eastAsia="Times New Roman" w:hAnsi="Verdana" w:cs="Segoe UI"/>
          <w:b/>
          <w:bCs/>
          <w:color w:val="46589C"/>
          <w:lang w:val="es-ES" w:eastAsia="es-CO"/>
        </w:rPr>
      </w:pPr>
    </w:p>
    <w:p w14:paraId="43AEFC6C" w14:textId="77777777" w:rsidR="00322A85" w:rsidRPr="0044528D" w:rsidRDefault="00322A85" w:rsidP="00322A85">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2B16A3E9" w14:textId="77777777" w:rsidR="00322A85" w:rsidRPr="0044528D" w:rsidRDefault="00322A85" w:rsidP="00322A85">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0F293BF4" w14:textId="79DE69A2" w:rsidR="00127233" w:rsidRPr="00046945" w:rsidRDefault="00322A85" w:rsidP="0004694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sectPr w:rsidR="00127233" w:rsidRPr="00046945"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0D2D4" w14:textId="77777777" w:rsidR="00AB4326" w:rsidRDefault="00AB4326" w:rsidP="004A1847">
      <w:pPr>
        <w:spacing w:after="0" w:line="240" w:lineRule="auto"/>
      </w:pPr>
      <w:r>
        <w:separator/>
      </w:r>
    </w:p>
  </w:endnote>
  <w:endnote w:type="continuationSeparator" w:id="0">
    <w:p w14:paraId="5971243F" w14:textId="77777777" w:rsidR="00AB4326" w:rsidRDefault="00AB432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8ACCB" w14:textId="77777777" w:rsidR="00AB4326" w:rsidRDefault="00AB4326" w:rsidP="004A1847">
      <w:pPr>
        <w:spacing w:after="0" w:line="240" w:lineRule="auto"/>
      </w:pPr>
      <w:r>
        <w:separator/>
      </w:r>
    </w:p>
  </w:footnote>
  <w:footnote w:type="continuationSeparator" w:id="0">
    <w:p w14:paraId="33C87DDB" w14:textId="77777777" w:rsidR="00AB4326" w:rsidRDefault="00AB4326" w:rsidP="004A1847">
      <w:pPr>
        <w:spacing w:after="0" w:line="240" w:lineRule="auto"/>
      </w:pPr>
      <w:r>
        <w:continuationSeparator/>
      </w:r>
    </w:p>
  </w:footnote>
  <w:footnote w:id="1">
    <w:p w14:paraId="13656608" w14:textId="77777777" w:rsidR="004F38C6" w:rsidRPr="008A2673" w:rsidRDefault="004F38C6" w:rsidP="004F38C6">
      <w:pPr>
        <w:pStyle w:val="Textonotapie"/>
        <w:ind w:firstLine="708"/>
        <w:jc w:val="both"/>
        <w:rPr>
          <w:rFonts w:ascii="Arial" w:hAnsi="Arial" w:cs="Arial"/>
          <w:color w:val="000000" w:themeColor="text1"/>
          <w:sz w:val="19"/>
          <w:szCs w:val="19"/>
        </w:rPr>
      </w:pPr>
      <w:r w:rsidRPr="008A2673">
        <w:rPr>
          <w:rStyle w:val="Refdenotaalpie"/>
          <w:rFonts w:ascii="Arial" w:hAnsi="Arial" w:cs="Arial"/>
          <w:color w:val="000000" w:themeColor="text1"/>
          <w:sz w:val="19"/>
          <w:szCs w:val="19"/>
        </w:rPr>
        <w:footnoteRef/>
      </w:r>
      <w:r w:rsidRPr="008A2673">
        <w:rPr>
          <w:rFonts w:ascii="Arial" w:hAnsi="Arial" w:cs="Arial"/>
          <w:color w:val="000000" w:themeColor="text1"/>
          <w:sz w:val="19"/>
          <w:szCs w:val="19"/>
        </w:rPr>
        <w:t xml:space="preserve"> Código de Comercio: </w:t>
      </w:r>
      <w:r>
        <w:rPr>
          <w:rFonts w:ascii="Arial" w:hAnsi="Arial" w:cs="Arial"/>
          <w:color w:val="000000" w:themeColor="text1"/>
          <w:sz w:val="19"/>
          <w:szCs w:val="19"/>
        </w:rPr>
        <w:t>“</w:t>
      </w:r>
      <w:r w:rsidRPr="008A2673">
        <w:rPr>
          <w:rFonts w:ascii="Arial" w:hAnsi="Arial" w:cs="Arial"/>
          <w:color w:val="000000" w:themeColor="text1"/>
          <w:sz w:val="19"/>
          <w:szCs w:val="19"/>
        </w:rPr>
        <w:t>Artículo 167. Reforma de contrato social por transformación de sociedad. Una sociedad podrá, antes de su disolución, adoptar cualquiera otra de las formas de la sociedad comercial reguladas en este Código, mediante una reforma del contrato social.</w:t>
      </w:r>
    </w:p>
    <w:p w14:paraId="3407F522" w14:textId="77777777" w:rsidR="004F38C6" w:rsidRPr="008A2673" w:rsidRDefault="004F38C6" w:rsidP="004F38C6">
      <w:pPr>
        <w:pStyle w:val="Textonotapie"/>
        <w:ind w:firstLine="708"/>
        <w:jc w:val="both"/>
        <w:rPr>
          <w:rFonts w:ascii="Arial" w:hAnsi="Arial" w:cs="Arial"/>
          <w:color w:val="000000" w:themeColor="text1"/>
          <w:sz w:val="19"/>
          <w:szCs w:val="19"/>
        </w:rPr>
      </w:pPr>
      <w:r>
        <w:rPr>
          <w:rFonts w:ascii="Arial" w:hAnsi="Arial" w:cs="Arial"/>
          <w:color w:val="000000" w:themeColor="text1"/>
          <w:sz w:val="19"/>
          <w:szCs w:val="19"/>
        </w:rPr>
        <w:t>“</w:t>
      </w:r>
      <w:r w:rsidRPr="008A2673">
        <w:rPr>
          <w:rFonts w:ascii="Arial" w:hAnsi="Arial" w:cs="Arial"/>
          <w:color w:val="000000" w:themeColor="text1"/>
          <w:sz w:val="19"/>
          <w:szCs w:val="19"/>
        </w:rPr>
        <w:t>La transformación no producirá solución de continuidad en la existencia de la sociedad como persona jurídica, ni en sus actividades ni en su patrimonio</w:t>
      </w:r>
      <w:r>
        <w:rPr>
          <w:rFonts w:ascii="Arial" w:hAnsi="Arial" w:cs="Arial"/>
          <w:color w:val="000000" w:themeColor="text1"/>
          <w:sz w:val="19"/>
          <w:szCs w:val="19"/>
        </w:rPr>
        <w:t>”</w:t>
      </w:r>
      <w:r w:rsidRPr="008A2673">
        <w:rPr>
          <w:rFonts w:ascii="Arial" w:hAnsi="Arial" w:cs="Arial"/>
          <w:color w:val="000000" w:themeColor="text1"/>
          <w:sz w:val="19"/>
          <w:szCs w:val="19"/>
        </w:rPr>
        <w:t>.</w:t>
      </w:r>
    </w:p>
    <w:p w14:paraId="3053E3FB" w14:textId="77777777" w:rsidR="004F38C6" w:rsidRPr="008A2673" w:rsidRDefault="004F38C6" w:rsidP="004F38C6">
      <w:pPr>
        <w:pStyle w:val="Textonotapie"/>
        <w:ind w:firstLine="708"/>
        <w:jc w:val="both"/>
        <w:rPr>
          <w:rFonts w:ascii="Arial" w:hAnsi="Arial" w:cs="Arial"/>
          <w:color w:val="000000" w:themeColor="text1"/>
          <w:sz w:val="19"/>
          <w:szCs w:val="19"/>
          <w:lang w:val="es-ES"/>
        </w:rPr>
      </w:pPr>
    </w:p>
  </w:footnote>
  <w:footnote w:id="2">
    <w:p w14:paraId="1D5DEABA" w14:textId="77777777" w:rsidR="004F38C6" w:rsidRPr="008A2673" w:rsidRDefault="004F38C6" w:rsidP="004F38C6">
      <w:pPr>
        <w:pStyle w:val="Textonotapie"/>
        <w:ind w:firstLine="708"/>
        <w:jc w:val="both"/>
        <w:rPr>
          <w:rFonts w:ascii="Arial" w:hAnsi="Arial" w:cs="Arial"/>
          <w:color w:val="000000" w:themeColor="text1"/>
          <w:sz w:val="19"/>
          <w:szCs w:val="19"/>
          <w:lang w:val="es-ES"/>
        </w:rPr>
      </w:pPr>
      <w:r w:rsidRPr="008A2673">
        <w:rPr>
          <w:rStyle w:val="Refdenotaalpie"/>
          <w:rFonts w:ascii="Arial" w:hAnsi="Arial" w:cs="Arial"/>
          <w:color w:val="000000" w:themeColor="text1"/>
          <w:sz w:val="19"/>
          <w:szCs w:val="19"/>
        </w:rPr>
        <w:footnoteRef/>
      </w:r>
      <w:r w:rsidRPr="008A2673">
        <w:rPr>
          <w:rFonts w:ascii="Arial" w:hAnsi="Arial" w:cs="Arial"/>
          <w:color w:val="000000" w:themeColor="text1"/>
          <w:sz w:val="19"/>
          <w:szCs w:val="19"/>
        </w:rPr>
        <w:t xml:space="preserve"> Colombia Compra Eficiente. Concepto C-002 de 2020: </w:t>
      </w:r>
      <w:r>
        <w:rPr>
          <w:rFonts w:ascii="Arial" w:hAnsi="Arial" w:cs="Arial"/>
          <w:color w:val="000000" w:themeColor="text1"/>
          <w:sz w:val="19"/>
          <w:szCs w:val="19"/>
        </w:rPr>
        <w:t>“</w:t>
      </w:r>
      <w:r w:rsidRPr="008A2673">
        <w:rPr>
          <w:rFonts w:ascii="Arial" w:hAnsi="Arial" w:cs="Arial"/>
          <w:color w:val="000000" w:themeColor="text1"/>
          <w:sz w:val="19"/>
          <w:szCs w:val="19"/>
        </w:rPr>
        <w:t>[...] si una sociedad se crea como sociedad limitada, y sin “disolverse” decide adoptar la figura de sociedad anónima, lo podrá hacer mediante una reforma estatutaria, sin que se interrumpa la continuidad de la sociedad comercial o persona jurídica. Es importante destacar que en esta reforma estatutaria solo participa la sociedad involucrada, y no existen otras sociedades que se relacionen o intervengan, lo cual diferencia la transformación de otras reformas o figuras</w:t>
      </w:r>
      <w:r>
        <w:rPr>
          <w:rFonts w:ascii="Arial" w:hAnsi="Arial" w:cs="Arial"/>
          <w:color w:val="000000" w:themeColor="text1"/>
          <w:sz w:val="19"/>
          <w:szCs w:val="19"/>
        </w:rPr>
        <w:t>”</w:t>
      </w:r>
      <w:r w:rsidRPr="008A2673">
        <w:rPr>
          <w:rFonts w:ascii="Arial" w:hAnsi="Arial" w:cs="Arial"/>
          <w:color w:val="000000" w:themeColor="text1"/>
          <w:sz w:val="19"/>
          <w:szCs w:val="19"/>
        </w:rPr>
        <w:t>.</w:t>
      </w:r>
    </w:p>
  </w:footnote>
  <w:footnote w:id="3">
    <w:p w14:paraId="2B450860"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125F26D1"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w:t>
      </w:r>
    </w:p>
    <w:p w14:paraId="6760CE87"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07E01080"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w:t>
      </w:r>
    </w:p>
    <w:p w14:paraId="39E5B0DA" w14:textId="77777777" w:rsidR="00B9145D" w:rsidRPr="008A2673" w:rsidRDefault="00B9145D" w:rsidP="00B9145D">
      <w:pPr>
        <w:pStyle w:val="Textonotapie"/>
        <w:jc w:val="both"/>
        <w:rPr>
          <w:rFonts w:ascii="Arial" w:hAnsi="Arial" w:cs="Arial"/>
          <w:color w:val="000000" w:themeColor="text1"/>
          <w:sz w:val="19"/>
          <w:szCs w:val="19"/>
          <w:lang w:val="es-ES"/>
        </w:rPr>
      </w:pPr>
    </w:p>
  </w:footnote>
  <w:footnote w:id="4">
    <w:p w14:paraId="3BBE776F"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14F8A7CE"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“Las personas jurídicas nacionales y extranjeras deberán acreditar que su duración no será inferior a la del plazo del contrato y un año más”.</w:t>
      </w:r>
    </w:p>
    <w:p w14:paraId="224A5272" w14:textId="77777777" w:rsidR="00B9145D" w:rsidRPr="0074273A" w:rsidRDefault="00B9145D" w:rsidP="00B9145D">
      <w:pPr>
        <w:pStyle w:val="Textonotapie"/>
        <w:jc w:val="both"/>
        <w:rPr>
          <w:rFonts w:ascii="Verdana" w:hAnsi="Verdana" w:cs="Arial"/>
          <w:color w:val="000000" w:themeColor="text1"/>
          <w:sz w:val="14"/>
          <w:szCs w:val="14"/>
          <w:lang w:val="es-CO"/>
        </w:rPr>
      </w:pPr>
      <w:r w:rsidRPr="0074273A">
        <w:rPr>
          <w:rFonts w:ascii="Verdana" w:hAnsi="Verdana" w:cs="Arial"/>
          <w:color w:val="000000" w:themeColor="text1"/>
          <w:sz w:val="14"/>
          <w:szCs w:val="14"/>
        </w:rPr>
        <w:t xml:space="preserve"> </w:t>
      </w:r>
    </w:p>
  </w:footnote>
  <w:footnote w:id="5">
    <w:p w14:paraId="18499344"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Código Civil: “Artículo 633. Definición de persona jurídica. Se llama persona jurídica, una persona ficticia, capaz de ejercer derechos y contraer obligaciones civiles, y de ser representada judicial y extrajudicialmente.</w:t>
      </w:r>
    </w:p>
    <w:p w14:paraId="59A365DA"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“Las personas jurídicas son de dos especies: corporaciones y fundaciones de beneficencia pública.</w:t>
      </w:r>
    </w:p>
    <w:p w14:paraId="6C874757" w14:textId="77777777" w:rsidR="00B9145D" w:rsidRPr="0074273A" w:rsidRDefault="00B9145D" w:rsidP="00B9145D">
      <w:pPr>
        <w:pStyle w:val="Textonotapie"/>
        <w:ind w:firstLine="708"/>
        <w:jc w:val="both"/>
        <w:rPr>
          <w:rFonts w:ascii="Verdana" w:hAnsi="Verdana" w:cs="Arial"/>
          <w:color w:val="000000" w:themeColor="text1"/>
          <w:sz w:val="14"/>
          <w:szCs w:val="14"/>
          <w:lang w:val="es-CO"/>
        </w:rPr>
      </w:pPr>
      <w:r w:rsidRPr="0074273A">
        <w:rPr>
          <w:rFonts w:ascii="Verdana" w:hAnsi="Verdana" w:cs="Arial"/>
          <w:color w:val="000000" w:themeColor="text1"/>
          <w:sz w:val="14"/>
          <w:szCs w:val="14"/>
        </w:rPr>
        <w:t>“Hay personas jurídicas que participan de uno y otro carácter”.</w:t>
      </w:r>
    </w:p>
  </w:footnote>
  <w:footnote w:id="6">
    <w:p w14:paraId="1CC8CB12" w14:textId="77777777" w:rsidR="00B9145D" w:rsidRPr="0074273A" w:rsidRDefault="00B9145D" w:rsidP="00B9145D">
      <w:pPr>
        <w:pStyle w:val="Textonotapie"/>
        <w:ind w:firstLine="708"/>
        <w:jc w:val="both"/>
        <w:rPr>
          <w:rFonts w:ascii="Verdana" w:hAnsi="Verdana" w:cs="Arial"/>
          <w:color w:val="000000" w:themeColor="text1"/>
          <w:sz w:val="14"/>
          <w:szCs w:val="14"/>
          <w:lang w:val="es-CO"/>
        </w:rPr>
      </w:pPr>
    </w:p>
    <w:p w14:paraId="5E232BC2"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Código de Comercio: “Artículo 1. Aplicabilidad de la ley comercial. Los comerciantes y los asuntos mercantiles se regirán por las disposiciones de la ley comercial, y los casos no regulados expresamente en ella serán decididos por analogía de sus normas.</w:t>
      </w:r>
    </w:p>
    <w:p w14:paraId="0652907D"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“Artículo 2. Aplicación de la legislación civil. En las cuestiones comerciales que no pudieren regularse conforme a la regla anterior, se aplicarán las disposiciones de la legislación civil”.</w:t>
      </w:r>
    </w:p>
    <w:p w14:paraId="287DCB2D" w14:textId="77777777" w:rsidR="00B9145D" w:rsidRPr="0074273A" w:rsidRDefault="00B9145D" w:rsidP="00B9145D">
      <w:pPr>
        <w:pStyle w:val="Textonotapie"/>
        <w:jc w:val="both"/>
        <w:rPr>
          <w:rFonts w:ascii="Verdana" w:hAnsi="Verdana" w:cs="Arial"/>
          <w:color w:val="000000" w:themeColor="text1"/>
          <w:sz w:val="14"/>
          <w:szCs w:val="14"/>
          <w:lang w:val="es-CO"/>
        </w:rPr>
      </w:pPr>
    </w:p>
  </w:footnote>
  <w:footnote w:id="7">
    <w:p w14:paraId="7CE846ED"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75F5DA2C"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73BFAF5C"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w:t>
      </w:r>
    </w:p>
    <w:p w14:paraId="1BB7537C" w14:textId="77777777" w:rsidR="00B9145D" w:rsidRPr="0074273A" w:rsidRDefault="00B9145D" w:rsidP="00B9145D">
      <w:pPr>
        <w:pStyle w:val="Textonotapie"/>
        <w:jc w:val="both"/>
        <w:rPr>
          <w:rFonts w:ascii="Verdana" w:hAnsi="Verdana" w:cs="Arial"/>
          <w:color w:val="000000" w:themeColor="text1"/>
          <w:sz w:val="14"/>
          <w:szCs w:val="14"/>
          <w:lang w:val="es-ES"/>
        </w:rPr>
      </w:pPr>
    </w:p>
  </w:footnote>
  <w:footnote w:id="8">
    <w:p w14:paraId="630A87A6"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602CFB6" w14:textId="77777777" w:rsidR="00B9145D" w:rsidRPr="0074273A" w:rsidRDefault="00B9145D" w:rsidP="00B9145D">
      <w:pPr>
        <w:pStyle w:val="Textonotapie"/>
        <w:ind w:firstLine="708"/>
        <w:jc w:val="both"/>
        <w:rPr>
          <w:rFonts w:ascii="Verdana" w:hAnsi="Verdana" w:cs="Arial"/>
          <w:color w:val="000000" w:themeColor="text1"/>
          <w:sz w:val="14"/>
          <w:szCs w:val="14"/>
          <w:lang w:val="es-ES"/>
        </w:rPr>
      </w:pPr>
    </w:p>
  </w:footnote>
  <w:footnote w:id="9">
    <w:p w14:paraId="54E73BE1"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45F0FA82"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“1. Experiencia – Los contratos celebrados por el interesado para cada uno de los bienes, obras y servicios que ofrecerá a las Entidades Estatales, identificados con el Clasificador de Bienes y Servicios en el tercer nivel y su valor expresado en SMMLV.</w:t>
      </w:r>
    </w:p>
    <w:p w14:paraId="48C729EA"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w:t>
      </w:r>
    </w:p>
    <w:p w14:paraId="1B9FC3F0" w14:textId="77777777" w:rsidR="00B9145D" w:rsidRPr="0074273A" w:rsidRDefault="00B9145D" w:rsidP="00B9145D">
      <w:pPr>
        <w:pStyle w:val="Textonotapie"/>
        <w:ind w:firstLine="708"/>
        <w:jc w:val="both"/>
        <w:rPr>
          <w:rFonts w:ascii="Verdana" w:hAnsi="Verdana" w:cs="Arial"/>
          <w:color w:val="000000" w:themeColor="text1"/>
          <w:sz w:val="14"/>
          <w:szCs w:val="14"/>
          <w:lang w:val="es-ES"/>
        </w:rPr>
      </w:pPr>
    </w:p>
  </w:footnote>
  <w:footnote w:id="10">
    <w:p w14:paraId="5B2C7E11"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4ED2EA3"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w:t>
      </w:r>
    </w:p>
    <w:p w14:paraId="2A23029A"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“El certificado de Registro Único de Proponentes será plena prueba de las circunstancias que en ella se hagan constar y que hayan sido verificadas por las Cámaras de Comercio. En tal sentido, la</w:t>
      </w:r>
      <w:r w:rsidRPr="008A2673">
        <w:rPr>
          <w:rFonts w:ascii="Arial" w:hAnsi="Arial" w:cs="Arial"/>
          <w:color w:val="000000" w:themeColor="text1"/>
          <w:sz w:val="19"/>
          <w:szCs w:val="19"/>
        </w:rPr>
        <w:t xml:space="preserve"> </w:t>
      </w:r>
      <w:r w:rsidRPr="0074273A">
        <w:rPr>
          <w:rFonts w:ascii="Verdana" w:hAnsi="Verdana" w:cs="Arial"/>
          <w:color w:val="000000" w:themeColor="text1"/>
          <w:sz w:val="14"/>
          <w:szCs w:val="14"/>
        </w:rPr>
        <w:t>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C278A31"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33ED2EC7" w14:textId="77777777" w:rsidR="00B9145D" w:rsidRPr="0074273A" w:rsidRDefault="00B9145D" w:rsidP="00B9145D">
      <w:pPr>
        <w:pStyle w:val="Textonotapie"/>
        <w:jc w:val="both"/>
        <w:rPr>
          <w:rFonts w:ascii="Verdana" w:hAnsi="Verdana" w:cs="Arial"/>
          <w:color w:val="000000" w:themeColor="text1"/>
          <w:sz w:val="14"/>
          <w:szCs w:val="14"/>
          <w:lang w:val="es-ES"/>
        </w:rPr>
      </w:pPr>
    </w:p>
  </w:footnote>
  <w:footnote w:id="11">
    <w:p w14:paraId="2D284BE1"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7DF3CA6E"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“1. Si es una persona natural:</w:t>
      </w:r>
    </w:p>
    <w:p w14:paraId="0CA9DA0C"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“1.1. Bienes, obras y servicios que ofrecerá a las Entidades Estatales, identificados con el Clasificador de Bienes y Servicios en el tercer nivel.</w:t>
      </w:r>
    </w:p>
    <w:p w14:paraId="6B1EAA0A"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126E3DDE" w14:textId="77777777" w:rsidR="00B9145D" w:rsidRPr="008A2673" w:rsidRDefault="00B9145D" w:rsidP="00B9145D">
      <w:pPr>
        <w:pStyle w:val="Textonotapie"/>
        <w:ind w:firstLine="708"/>
        <w:jc w:val="both"/>
        <w:rPr>
          <w:rFonts w:ascii="Arial" w:hAnsi="Arial" w:cs="Arial"/>
          <w:color w:val="000000" w:themeColor="text1"/>
          <w:sz w:val="19"/>
          <w:szCs w:val="19"/>
          <w:lang w:val="es-ES"/>
        </w:rPr>
      </w:pPr>
    </w:p>
  </w:footnote>
  <w:footnote w:id="12">
    <w:p w14:paraId="2A48276B"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Style w:val="Refdenotaalpie"/>
          <w:rFonts w:ascii="Verdana" w:hAnsi="Verdana" w:cs="Arial"/>
          <w:color w:val="000000" w:themeColor="text1"/>
          <w:sz w:val="14"/>
          <w:szCs w:val="14"/>
        </w:rPr>
        <w:footnoteRef/>
      </w:r>
      <w:r w:rsidRPr="0074273A">
        <w:rPr>
          <w:rFonts w:ascii="Verdana" w:hAnsi="Verdana" w:cs="Arial"/>
          <w:color w:val="000000" w:themeColor="text1"/>
          <w:sz w:val="14"/>
          <w:szCs w:val="14"/>
        </w:rPr>
        <w:t xml:space="preserve"> 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14:paraId="2D1D0F6F"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4EE5EDD0"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w:t>
      </w:r>
    </w:p>
    <w:p w14:paraId="65E13241"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0B51E4D2"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5FC413C5" w14:textId="77777777" w:rsidR="00B9145D" w:rsidRPr="0074273A" w:rsidRDefault="00B9145D" w:rsidP="00B9145D">
      <w:pPr>
        <w:pStyle w:val="Textonotapie"/>
        <w:ind w:firstLine="708"/>
        <w:jc w:val="both"/>
        <w:rPr>
          <w:rFonts w:ascii="Verdana" w:hAnsi="Verdana" w:cs="Arial"/>
          <w:color w:val="000000" w:themeColor="text1"/>
          <w:sz w:val="14"/>
          <w:szCs w:val="14"/>
        </w:rPr>
      </w:pPr>
      <w:r w:rsidRPr="0074273A">
        <w:rPr>
          <w:rFonts w:ascii="Verdana" w:hAnsi="Verdana" w:cs="Arial"/>
          <w:color w:val="000000" w:themeColor="text1"/>
          <w:sz w:val="14"/>
          <w:szCs w:val="14"/>
        </w:rPr>
        <w:t>“[...]”.</w:t>
      </w:r>
    </w:p>
    <w:p w14:paraId="00375159" w14:textId="77777777" w:rsidR="00B9145D" w:rsidRPr="008A2673" w:rsidRDefault="00B9145D" w:rsidP="00B9145D">
      <w:pPr>
        <w:pStyle w:val="Textonotapie"/>
        <w:jc w:val="both"/>
        <w:rPr>
          <w:rFonts w:ascii="Arial" w:hAnsi="Arial" w:cs="Arial"/>
          <w:color w:val="000000" w:themeColor="text1"/>
          <w:sz w:val="19"/>
          <w:szCs w:val="19"/>
          <w:lang w:val="es-ES"/>
        </w:rPr>
      </w:pPr>
    </w:p>
  </w:footnote>
  <w:footnote w:id="13">
    <w:p w14:paraId="65388292" w14:textId="77777777" w:rsidR="00B9145D" w:rsidRPr="008A2673" w:rsidRDefault="00B9145D" w:rsidP="00B9145D">
      <w:pPr>
        <w:pStyle w:val="Textonotapie"/>
        <w:ind w:firstLine="708"/>
        <w:jc w:val="both"/>
        <w:rPr>
          <w:rFonts w:ascii="Arial" w:hAnsi="Arial" w:cs="Arial"/>
          <w:color w:val="000000" w:themeColor="text1"/>
          <w:sz w:val="19"/>
          <w:szCs w:val="19"/>
        </w:rPr>
      </w:pPr>
      <w:r w:rsidRPr="008A2673">
        <w:rPr>
          <w:rStyle w:val="Refdenotaalpie"/>
          <w:rFonts w:ascii="Arial" w:hAnsi="Arial" w:cs="Arial"/>
          <w:color w:val="000000" w:themeColor="text1"/>
          <w:sz w:val="19"/>
          <w:szCs w:val="19"/>
        </w:rPr>
        <w:footnoteRef/>
      </w:r>
      <w:r w:rsidRPr="008A2673">
        <w:rPr>
          <w:rFonts w:ascii="Arial" w:hAnsi="Arial" w:cs="Arial"/>
          <w:color w:val="000000" w:themeColor="text1"/>
          <w:sz w:val="19"/>
          <w:szCs w:val="19"/>
        </w:rPr>
        <w:t xml:space="preserve"> Código de Comercio: </w:t>
      </w:r>
      <w:r>
        <w:rPr>
          <w:rFonts w:ascii="Arial" w:hAnsi="Arial" w:cs="Arial"/>
          <w:color w:val="000000" w:themeColor="text1"/>
          <w:sz w:val="19"/>
          <w:szCs w:val="19"/>
        </w:rPr>
        <w:t>“</w:t>
      </w:r>
      <w:r w:rsidRPr="008A2673">
        <w:rPr>
          <w:rFonts w:ascii="Arial" w:hAnsi="Arial" w:cs="Arial"/>
          <w:color w:val="000000" w:themeColor="text1"/>
          <w:sz w:val="19"/>
          <w:szCs w:val="19"/>
        </w:rPr>
        <w:t>Artículo 260. Subordinación. Una sociedad será subordinada o controlada cuando su poder de decisión se encuentre sometido a la voluntad de otra u otras personas que serán su matriz o controlante, bien sea directamente, caso en el cual aquélla se denominará filial o con el concurso o por intermedio de las subordinadas de la matriz, en cuyo caso se llamará subsidiaria</w:t>
      </w:r>
      <w:r>
        <w:rPr>
          <w:rFonts w:ascii="Arial" w:hAnsi="Arial" w:cs="Arial"/>
          <w:color w:val="000000" w:themeColor="text1"/>
          <w:sz w:val="19"/>
          <w:szCs w:val="19"/>
        </w:rPr>
        <w:t>”</w:t>
      </w:r>
      <w:r w:rsidRPr="008A2673">
        <w:rPr>
          <w:rFonts w:ascii="Arial" w:hAnsi="Arial" w:cs="Arial"/>
          <w:color w:val="000000" w:themeColor="text1"/>
          <w:sz w:val="19"/>
          <w:szCs w:val="19"/>
        </w:rPr>
        <w:t>.</w:t>
      </w:r>
    </w:p>
    <w:p w14:paraId="43F60092" w14:textId="77777777" w:rsidR="00B9145D" w:rsidRPr="008A2673" w:rsidRDefault="00B9145D" w:rsidP="00B9145D">
      <w:pPr>
        <w:pStyle w:val="Textonotapie"/>
        <w:ind w:firstLine="708"/>
        <w:jc w:val="both"/>
        <w:rPr>
          <w:rFonts w:ascii="Arial" w:hAnsi="Arial" w:cs="Arial"/>
          <w:color w:val="000000" w:themeColor="text1"/>
          <w:sz w:val="19"/>
          <w:szCs w:val="19"/>
          <w:lang w:val="es-ES"/>
        </w:rPr>
      </w:pPr>
    </w:p>
  </w:footnote>
  <w:footnote w:id="14">
    <w:p w14:paraId="4F80A79F" w14:textId="77777777" w:rsidR="00B9145D" w:rsidRPr="008A2673" w:rsidRDefault="00B9145D" w:rsidP="00B9145D">
      <w:pPr>
        <w:pStyle w:val="Textonotapie"/>
        <w:ind w:firstLine="708"/>
        <w:jc w:val="both"/>
        <w:rPr>
          <w:rFonts w:ascii="Arial" w:hAnsi="Arial" w:cs="Arial"/>
          <w:color w:val="000000" w:themeColor="text1"/>
          <w:sz w:val="19"/>
          <w:szCs w:val="19"/>
          <w:lang w:val="es-ES"/>
        </w:rPr>
      </w:pPr>
      <w:r w:rsidRPr="008A2673">
        <w:rPr>
          <w:rStyle w:val="Refdenotaalpie"/>
          <w:rFonts w:ascii="Arial" w:hAnsi="Arial" w:cs="Arial"/>
          <w:color w:val="000000" w:themeColor="text1"/>
          <w:sz w:val="19"/>
          <w:szCs w:val="19"/>
        </w:rPr>
        <w:footnoteRef/>
      </w:r>
      <w:r w:rsidRPr="008A2673">
        <w:rPr>
          <w:rFonts w:ascii="Arial" w:hAnsi="Arial" w:cs="Arial"/>
          <w:color w:val="000000" w:themeColor="text1"/>
          <w:sz w:val="19"/>
          <w:szCs w:val="19"/>
        </w:rPr>
        <w:t xml:space="preserve"> Código de Comercio: </w:t>
      </w:r>
      <w:r>
        <w:rPr>
          <w:rFonts w:ascii="Arial" w:hAnsi="Arial" w:cs="Arial"/>
          <w:color w:val="000000" w:themeColor="text1"/>
          <w:sz w:val="19"/>
          <w:szCs w:val="19"/>
        </w:rPr>
        <w:t>“</w:t>
      </w:r>
      <w:r w:rsidRPr="008A2673">
        <w:rPr>
          <w:rFonts w:ascii="Arial" w:hAnsi="Arial" w:cs="Arial"/>
          <w:color w:val="000000" w:themeColor="text1"/>
          <w:sz w:val="19"/>
          <w:szCs w:val="19"/>
        </w:rPr>
        <w:t>Artículo 262. Subordinación. Una sociedad será subordinada o controlada cuando su poder de decisión se encuentre sometido a la voluntad de otra u otras personas que serán su matriz o controlante, bien sea directamente, caso en el cual aquélla se denominará filial o con el concurso o por intermedio de las subordinadas de la matriz, en cuyo caso se llamará subsidiaria</w:t>
      </w:r>
      <w:r>
        <w:rPr>
          <w:rFonts w:ascii="Arial" w:hAnsi="Arial" w:cs="Arial"/>
          <w:color w:val="000000" w:themeColor="text1"/>
          <w:sz w:val="19"/>
          <w:szCs w:val="19"/>
        </w:rPr>
        <w:t>”</w:t>
      </w:r>
      <w:r w:rsidRPr="008A2673">
        <w:rPr>
          <w:rFonts w:ascii="Arial" w:hAnsi="Arial" w:cs="Arial"/>
          <w:color w:val="000000" w:themeColor="text1"/>
          <w:sz w:val="19"/>
          <w:szCs w:val="19"/>
        </w:rPr>
        <w:t>.</w:t>
      </w:r>
    </w:p>
  </w:footnote>
  <w:footnote w:id="15">
    <w:p w14:paraId="15AB5CA6" w14:textId="77777777" w:rsidR="00B9145D" w:rsidRPr="008A2673" w:rsidRDefault="00B9145D" w:rsidP="00B9145D">
      <w:pPr>
        <w:pStyle w:val="Textonotapie"/>
        <w:ind w:firstLine="708"/>
        <w:jc w:val="both"/>
        <w:rPr>
          <w:rFonts w:ascii="Arial" w:hAnsi="Arial" w:cs="Arial"/>
          <w:color w:val="000000" w:themeColor="text1"/>
          <w:sz w:val="19"/>
          <w:szCs w:val="19"/>
        </w:rPr>
      </w:pPr>
    </w:p>
    <w:p w14:paraId="6A0E16A2" w14:textId="77777777" w:rsidR="00B9145D" w:rsidRPr="008A2673" w:rsidRDefault="00B9145D" w:rsidP="00B9145D">
      <w:pPr>
        <w:pStyle w:val="Textonotapie"/>
        <w:ind w:firstLine="708"/>
        <w:jc w:val="both"/>
        <w:rPr>
          <w:rFonts w:ascii="Arial" w:hAnsi="Arial" w:cs="Arial"/>
          <w:color w:val="000000" w:themeColor="text1"/>
          <w:sz w:val="19"/>
          <w:szCs w:val="19"/>
        </w:rPr>
      </w:pPr>
      <w:r w:rsidRPr="008A2673">
        <w:rPr>
          <w:rStyle w:val="Refdenotaalpie"/>
          <w:rFonts w:ascii="Arial" w:hAnsi="Arial" w:cs="Arial"/>
          <w:color w:val="000000" w:themeColor="text1"/>
          <w:sz w:val="19"/>
          <w:szCs w:val="19"/>
        </w:rPr>
        <w:footnoteRef/>
      </w:r>
      <w:r w:rsidRPr="008A2673">
        <w:rPr>
          <w:rFonts w:ascii="Arial" w:hAnsi="Arial" w:cs="Arial"/>
          <w:color w:val="000000" w:themeColor="text1"/>
          <w:sz w:val="19"/>
          <w:szCs w:val="19"/>
        </w:rPr>
        <w:t xml:space="preserve"> Superintendencia de Sociedades, Guía práctica régimen de matrices y subordinadas. Disponible en:  https://www.supersociedades.gov.co/delegatura_ivc/CartillasyGuias/Guia_Practica_RegimenMatricesySubordinadas.pdf</w:t>
      </w:r>
    </w:p>
    <w:p w14:paraId="398725E2" w14:textId="77777777" w:rsidR="00B9145D" w:rsidRPr="008A2673" w:rsidRDefault="00B9145D" w:rsidP="00B9145D">
      <w:pPr>
        <w:pStyle w:val="Textonotapie"/>
        <w:ind w:firstLine="708"/>
        <w:jc w:val="both"/>
        <w:rPr>
          <w:rFonts w:ascii="Arial" w:hAnsi="Arial" w:cs="Arial"/>
          <w:color w:val="000000" w:themeColor="text1"/>
          <w:sz w:val="19"/>
          <w:szCs w:val="19"/>
        </w:rPr>
      </w:pPr>
    </w:p>
  </w:footnote>
  <w:footnote w:id="16">
    <w:p w14:paraId="10C5318F" w14:textId="77777777" w:rsidR="00B9145D" w:rsidRPr="008A2673" w:rsidRDefault="00B9145D" w:rsidP="00B9145D">
      <w:pPr>
        <w:pStyle w:val="Textonotapie"/>
        <w:ind w:firstLine="708"/>
        <w:jc w:val="both"/>
        <w:rPr>
          <w:rFonts w:ascii="Arial" w:hAnsi="Arial" w:cs="Arial"/>
          <w:color w:val="000000" w:themeColor="text1"/>
          <w:sz w:val="19"/>
          <w:szCs w:val="19"/>
        </w:rPr>
      </w:pPr>
      <w:r w:rsidRPr="008A2673">
        <w:rPr>
          <w:rStyle w:val="Refdenotaalpie"/>
          <w:rFonts w:ascii="Arial" w:hAnsi="Arial" w:cs="Arial"/>
          <w:color w:val="000000" w:themeColor="text1"/>
          <w:sz w:val="19"/>
          <w:szCs w:val="19"/>
        </w:rPr>
        <w:footnoteRef/>
      </w:r>
      <w:r w:rsidRPr="008A2673">
        <w:rPr>
          <w:rFonts w:ascii="Arial" w:hAnsi="Arial" w:cs="Arial"/>
          <w:color w:val="000000" w:themeColor="text1"/>
          <w:sz w:val="19"/>
          <w:szCs w:val="19"/>
        </w:rPr>
        <w:t xml:space="preserve"> Código de Comercio: </w:t>
      </w:r>
      <w:r>
        <w:rPr>
          <w:rFonts w:ascii="Arial" w:hAnsi="Arial" w:cs="Arial"/>
          <w:color w:val="000000" w:themeColor="text1"/>
          <w:sz w:val="19"/>
          <w:szCs w:val="19"/>
        </w:rPr>
        <w:t>“</w:t>
      </w:r>
      <w:r w:rsidRPr="008A2673">
        <w:rPr>
          <w:rFonts w:ascii="Arial" w:hAnsi="Arial" w:cs="Arial"/>
          <w:color w:val="000000" w:themeColor="text1"/>
          <w:sz w:val="19"/>
          <w:szCs w:val="19"/>
        </w:rPr>
        <w:t>Artículo 167. Reforma de contrato social por transformación de sociedad. Una sociedad podrá, antes de su disolución, adoptar cualquiera otra de las formas de la sociedad comercial reguladas en este Código, mediante una reforma del contrato social.</w:t>
      </w:r>
    </w:p>
    <w:p w14:paraId="780B0859" w14:textId="77777777" w:rsidR="00B9145D" w:rsidRPr="008A2673" w:rsidRDefault="00B9145D" w:rsidP="00B9145D">
      <w:pPr>
        <w:pStyle w:val="Textonotapie"/>
        <w:ind w:firstLine="708"/>
        <w:jc w:val="both"/>
        <w:rPr>
          <w:rFonts w:ascii="Arial" w:hAnsi="Arial" w:cs="Arial"/>
          <w:color w:val="000000" w:themeColor="text1"/>
          <w:sz w:val="19"/>
          <w:szCs w:val="19"/>
        </w:rPr>
      </w:pPr>
      <w:r>
        <w:rPr>
          <w:rFonts w:ascii="Arial" w:hAnsi="Arial" w:cs="Arial"/>
          <w:color w:val="000000" w:themeColor="text1"/>
          <w:sz w:val="19"/>
          <w:szCs w:val="19"/>
        </w:rPr>
        <w:t>“</w:t>
      </w:r>
      <w:r w:rsidRPr="008A2673">
        <w:rPr>
          <w:rFonts w:ascii="Arial" w:hAnsi="Arial" w:cs="Arial"/>
          <w:color w:val="000000" w:themeColor="text1"/>
          <w:sz w:val="19"/>
          <w:szCs w:val="19"/>
        </w:rPr>
        <w:t>La transformación no producirá solución de continuidad en la existencia de la sociedad como persona jurídica, ni en sus actividades ni en su patrimonio</w:t>
      </w:r>
      <w:r>
        <w:rPr>
          <w:rFonts w:ascii="Arial" w:hAnsi="Arial" w:cs="Arial"/>
          <w:color w:val="000000" w:themeColor="text1"/>
          <w:sz w:val="19"/>
          <w:szCs w:val="19"/>
        </w:rPr>
        <w:t>”</w:t>
      </w:r>
      <w:r w:rsidRPr="008A2673">
        <w:rPr>
          <w:rFonts w:ascii="Arial" w:hAnsi="Arial" w:cs="Arial"/>
          <w:color w:val="000000" w:themeColor="text1"/>
          <w:sz w:val="19"/>
          <w:szCs w:val="19"/>
        </w:rPr>
        <w:t>.</w:t>
      </w:r>
    </w:p>
    <w:p w14:paraId="5A4C3085" w14:textId="77777777" w:rsidR="00B9145D" w:rsidRPr="008A2673" w:rsidRDefault="00B9145D" w:rsidP="00B9145D">
      <w:pPr>
        <w:pStyle w:val="Textonotapie"/>
        <w:ind w:firstLine="708"/>
        <w:jc w:val="both"/>
        <w:rPr>
          <w:rFonts w:ascii="Arial" w:hAnsi="Arial" w:cs="Arial"/>
          <w:color w:val="000000" w:themeColor="text1"/>
          <w:sz w:val="19"/>
          <w:szCs w:val="19"/>
          <w:lang w:val="es-ES"/>
        </w:rPr>
      </w:pPr>
    </w:p>
  </w:footnote>
  <w:footnote w:id="17">
    <w:p w14:paraId="37EE57A0" w14:textId="77777777" w:rsidR="00B9145D" w:rsidRPr="008A2673" w:rsidRDefault="00B9145D" w:rsidP="00B9145D">
      <w:pPr>
        <w:pStyle w:val="Textonotapie"/>
        <w:ind w:firstLine="708"/>
        <w:jc w:val="both"/>
        <w:rPr>
          <w:rFonts w:ascii="Arial" w:hAnsi="Arial" w:cs="Arial"/>
          <w:color w:val="000000" w:themeColor="text1"/>
          <w:sz w:val="19"/>
          <w:szCs w:val="19"/>
          <w:lang w:val="es-ES"/>
        </w:rPr>
      </w:pPr>
      <w:r w:rsidRPr="008A2673">
        <w:rPr>
          <w:rStyle w:val="Refdenotaalpie"/>
          <w:rFonts w:ascii="Arial" w:hAnsi="Arial" w:cs="Arial"/>
          <w:color w:val="000000" w:themeColor="text1"/>
          <w:sz w:val="19"/>
          <w:szCs w:val="19"/>
        </w:rPr>
        <w:footnoteRef/>
      </w:r>
      <w:r w:rsidRPr="008A2673">
        <w:rPr>
          <w:rFonts w:ascii="Arial" w:hAnsi="Arial" w:cs="Arial"/>
          <w:color w:val="000000" w:themeColor="text1"/>
          <w:sz w:val="19"/>
          <w:szCs w:val="19"/>
        </w:rPr>
        <w:t xml:space="preserve"> Colombia Compra Eficiente. Concepto C-002 de 2020: </w:t>
      </w:r>
      <w:r>
        <w:rPr>
          <w:rFonts w:ascii="Arial" w:hAnsi="Arial" w:cs="Arial"/>
          <w:color w:val="000000" w:themeColor="text1"/>
          <w:sz w:val="19"/>
          <w:szCs w:val="19"/>
        </w:rPr>
        <w:t>“</w:t>
      </w:r>
      <w:r w:rsidRPr="008A2673">
        <w:rPr>
          <w:rFonts w:ascii="Arial" w:hAnsi="Arial" w:cs="Arial"/>
          <w:color w:val="000000" w:themeColor="text1"/>
          <w:sz w:val="19"/>
          <w:szCs w:val="19"/>
        </w:rPr>
        <w:t>[...] si una sociedad se crea como sociedad limitada, y sin “disolverse” decide adoptar la figura de sociedad anónima, lo podrá hacer mediante una reforma estatutaria, sin que se interrumpa la continuidad de la sociedad comercial o persona jurídica. Es importante destacar que en esta reforma estatutaria solo participa la sociedad involucrada, y no existen otras sociedades que se relacionen o intervengan, lo cual diferencia la transformación de otras reformas o figuras</w:t>
      </w:r>
      <w:r>
        <w:rPr>
          <w:rFonts w:ascii="Arial" w:hAnsi="Arial" w:cs="Arial"/>
          <w:color w:val="000000" w:themeColor="text1"/>
          <w:sz w:val="19"/>
          <w:szCs w:val="19"/>
        </w:rPr>
        <w:t>”</w:t>
      </w:r>
      <w:r w:rsidRPr="008A2673">
        <w:rPr>
          <w:rFonts w:ascii="Arial" w:hAnsi="Arial" w:cs="Arial"/>
          <w:color w:val="000000" w:themeColor="text1"/>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30839725">
    <w:abstractNumId w:val="0"/>
  </w:num>
  <w:num w:numId="17" w16cid:durableId="15901155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900"/>
    <w:rsid w:val="00082362"/>
    <w:rsid w:val="000A683E"/>
    <w:rsid w:val="000B19B9"/>
    <w:rsid w:val="000D0334"/>
    <w:rsid w:val="000E590D"/>
    <w:rsid w:val="000F6486"/>
    <w:rsid w:val="00125105"/>
    <w:rsid w:val="00127233"/>
    <w:rsid w:val="001E4177"/>
    <w:rsid w:val="001F7DC6"/>
    <w:rsid w:val="002421BB"/>
    <w:rsid w:val="0025796E"/>
    <w:rsid w:val="002707A2"/>
    <w:rsid w:val="002951A0"/>
    <w:rsid w:val="002951BF"/>
    <w:rsid w:val="002962BC"/>
    <w:rsid w:val="002A093D"/>
    <w:rsid w:val="002A0DD0"/>
    <w:rsid w:val="002A49AC"/>
    <w:rsid w:val="002A64FD"/>
    <w:rsid w:val="002C7A84"/>
    <w:rsid w:val="002E4FD9"/>
    <w:rsid w:val="00322A85"/>
    <w:rsid w:val="00324168"/>
    <w:rsid w:val="003448F4"/>
    <w:rsid w:val="00374F5E"/>
    <w:rsid w:val="00377E3E"/>
    <w:rsid w:val="003804BA"/>
    <w:rsid w:val="00395422"/>
    <w:rsid w:val="003A779E"/>
    <w:rsid w:val="003D0F4D"/>
    <w:rsid w:val="003D5B0D"/>
    <w:rsid w:val="003E0499"/>
    <w:rsid w:val="003F3941"/>
    <w:rsid w:val="00406575"/>
    <w:rsid w:val="00411619"/>
    <w:rsid w:val="00414C74"/>
    <w:rsid w:val="00421929"/>
    <w:rsid w:val="0042722E"/>
    <w:rsid w:val="0044528D"/>
    <w:rsid w:val="004A1847"/>
    <w:rsid w:val="004A305D"/>
    <w:rsid w:val="004F21C4"/>
    <w:rsid w:val="004F38C6"/>
    <w:rsid w:val="004F685F"/>
    <w:rsid w:val="005566E8"/>
    <w:rsid w:val="00574867"/>
    <w:rsid w:val="00591460"/>
    <w:rsid w:val="005C3777"/>
    <w:rsid w:val="005C5CDC"/>
    <w:rsid w:val="005D476C"/>
    <w:rsid w:val="006219F8"/>
    <w:rsid w:val="006302F7"/>
    <w:rsid w:val="006645A2"/>
    <w:rsid w:val="00665D70"/>
    <w:rsid w:val="006900D9"/>
    <w:rsid w:val="006A760C"/>
    <w:rsid w:val="006F40DB"/>
    <w:rsid w:val="00706C16"/>
    <w:rsid w:val="00756841"/>
    <w:rsid w:val="007649AB"/>
    <w:rsid w:val="00771D0C"/>
    <w:rsid w:val="007833AC"/>
    <w:rsid w:val="007B268C"/>
    <w:rsid w:val="007B7171"/>
    <w:rsid w:val="007C0C0F"/>
    <w:rsid w:val="007C223A"/>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82E7C"/>
    <w:rsid w:val="009A0DFA"/>
    <w:rsid w:val="009B25A8"/>
    <w:rsid w:val="009B2D26"/>
    <w:rsid w:val="009C71FA"/>
    <w:rsid w:val="009C7277"/>
    <w:rsid w:val="009C72E7"/>
    <w:rsid w:val="009D3058"/>
    <w:rsid w:val="009F3A13"/>
    <w:rsid w:val="009F54D6"/>
    <w:rsid w:val="00A122D3"/>
    <w:rsid w:val="00A17F13"/>
    <w:rsid w:val="00A20739"/>
    <w:rsid w:val="00A33C78"/>
    <w:rsid w:val="00A74005"/>
    <w:rsid w:val="00AB0ADB"/>
    <w:rsid w:val="00AB4326"/>
    <w:rsid w:val="00AE4EBA"/>
    <w:rsid w:val="00B00C0E"/>
    <w:rsid w:val="00B01B1A"/>
    <w:rsid w:val="00B44A47"/>
    <w:rsid w:val="00B52009"/>
    <w:rsid w:val="00B72CD3"/>
    <w:rsid w:val="00B72FFF"/>
    <w:rsid w:val="00B9145D"/>
    <w:rsid w:val="00BC3D36"/>
    <w:rsid w:val="00BD7F72"/>
    <w:rsid w:val="00C04FB3"/>
    <w:rsid w:val="00C27D5A"/>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63647"/>
    <w:rsid w:val="00E75C92"/>
    <w:rsid w:val="00E771DC"/>
    <w:rsid w:val="00E8772A"/>
    <w:rsid w:val="00E90F6B"/>
    <w:rsid w:val="00E92C27"/>
    <w:rsid w:val="00EA0E3D"/>
    <w:rsid w:val="00EC38A7"/>
    <w:rsid w:val="00EE1AA8"/>
    <w:rsid w:val="00F31EDC"/>
    <w:rsid w:val="00F462B3"/>
    <w:rsid w:val="00F5664F"/>
    <w:rsid w:val="00F666C4"/>
    <w:rsid w:val="00F76AFC"/>
    <w:rsid w:val="00F8118D"/>
    <w:rsid w:val="00FA01C7"/>
    <w:rsid w:val="00FA47C0"/>
    <w:rsid w:val="00FB5DD1"/>
    <w:rsid w:val="00FC2B5D"/>
    <w:rsid w:val="00FD6D0E"/>
    <w:rsid w:val="00FF1033"/>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9145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9145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archivos/manual/guia-para-determinar-y-verificar-la-capacidad-residual-del-proponente-en-los-procesos-de-contratacion-de-obra-publica"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http://purl.org/dc/elements/1.1/"/>
    <ds:schemaRef ds:uri="http://www.w3.org/XML/1998/namespace"/>
    <ds:schemaRef ds:uri="http://schemas.microsoft.com/office/2006/documentManagement/types"/>
    <ds:schemaRef ds:uri="a6cb9e4b-f1d1-4245-83ec-6cad768d538a"/>
    <ds:schemaRef ds:uri="http://schemas.openxmlformats.org/package/2006/metadata/core-properties"/>
    <ds:schemaRef ds:uri="http://schemas.microsoft.com/office/infopath/2007/PartnerControls"/>
    <ds:schemaRef ds:uri="9d85dbaf-23eb-4e57-a637-93dcacc8b1a1"/>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B6B07FB-36EF-4B27-B906-5EB7266489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15</Pages>
  <Words>4022</Words>
  <Characters>22122</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2025-10-22T17:12:00Z</dcterms:created>
  <dcterms:modified xsi:type="dcterms:W3CDTF">2025-10-22T17:12:00Z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