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570B6" w14:textId="22A8C358" w:rsidR="005653DC" w:rsidRPr="005653DC" w:rsidRDefault="005653DC" w:rsidP="005653DC">
      <w:pPr>
        <w:jc w:val="both"/>
        <w:rPr>
          <w:rFonts w:ascii="Verdana" w:eastAsia="Calibri" w:hAnsi="Verdana" w:cs="Arial"/>
          <w:b/>
          <w:bCs/>
          <w:lang w:val="es-ES" w:eastAsia="es-ES"/>
        </w:rPr>
      </w:pPr>
      <w:bookmarkStart w:id="0" w:name="_Hlk143780582"/>
      <w:r w:rsidRPr="005653DC">
        <w:rPr>
          <w:rFonts w:ascii="Verdana" w:eastAsia="Calibri" w:hAnsi="Verdana" w:cs="Arial"/>
          <w:b/>
          <w:bCs/>
          <w:lang w:val="es-ES" w:eastAsia="es-ES"/>
        </w:rPr>
        <w:t xml:space="preserve">MODIFICACION DE LOS CONTRATOS ESTATALES – Procedencia – Límites  </w:t>
      </w:r>
    </w:p>
    <w:p w14:paraId="178CCF21" w14:textId="77777777" w:rsidR="005653DC" w:rsidRPr="0083168A" w:rsidRDefault="005653DC" w:rsidP="005653DC">
      <w:pPr>
        <w:spacing w:after="120" w:line="276" w:lineRule="auto"/>
        <w:jc w:val="both"/>
        <w:rPr>
          <w:rFonts w:ascii="Verdana" w:eastAsia="Calibri" w:hAnsi="Verdana" w:cs="Arial"/>
        </w:rPr>
      </w:pPr>
      <w:r w:rsidRPr="00286FF3">
        <w:rPr>
          <w:rFonts w:ascii="Verdana" w:eastAsia="Calibri" w:hAnsi="Verdana" w:cs="Arial"/>
        </w:rPr>
        <w:t xml:space="preserve">El Estatuto General de Contratación de la Administración Pública, contenido en las Leyes 80 de 1993, 1150 de 2007 y 1474 de 2011, así como en las normas que las han modificado y las reglamentan, no consagran una regulación expresa sobre la posibilidad de modificar los contratos celebrados por las Entidades Estatales. Ello encuentra sustento en que, en principio, los contratos deben ejecutarse en las condiciones pactadas inicialmente, pues tales condiciones fueron convenidas luego de que la entidad pública surtiera todos los procedimientos </w:t>
      </w:r>
      <w:r w:rsidRPr="0083168A">
        <w:rPr>
          <w:rFonts w:ascii="Verdana" w:eastAsia="Calibri" w:hAnsi="Verdana" w:cs="Arial"/>
        </w:rPr>
        <w:t xml:space="preserve">previstos para la selección de su contratista y definiera los aspectos, técnicos, legales y financieros propios de cada caso, con observancia de los principios de la función administrativa, aplicables al proceso de gestión contractual. La regulación expresa contenida en la ley, se limita a fijar los porcentajes límite para adicionar los valores inicialmente pactados, como lo hace el artículo 40 de la Ley 80 de 1993. </w:t>
      </w:r>
    </w:p>
    <w:p w14:paraId="3F5AC037" w14:textId="76860F70" w:rsidR="005653DC" w:rsidRPr="005653DC" w:rsidRDefault="005653DC" w:rsidP="005653DC">
      <w:pPr>
        <w:spacing w:after="120" w:line="276" w:lineRule="auto"/>
        <w:jc w:val="both"/>
        <w:rPr>
          <w:rFonts w:ascii="Verdana" w:eastAsia="Calibri" w:hAnsi="Verdana" w:cs="Arial"/>
        </w:rPr>
      </w:pPr>
      <w:r w:rsidRPr="0083168A">
        <w:rPr>
          <w:rFonts w:ascii="Verdana" w:eastAsia="Calibri" w:hAnsi="Verdana" w:cs="Arial"/>
        </w:rPr>
        <w:t>Por su parte, en el Concepto 2263 del 17 de marzo del 2016, la Sala de Consulta y Servicio Civil del Consejo de Estado precisó que la regla general es la no modificación del contrato, y la vía excepcional su modificación, sometida a límites legales (de orden formal, material y temporal, así como l</w:t>
      </w:r>
      <w:r w:rsidRPr="0083168A">
        <w:rPr>
          <w:rFonts w:ascii="Verdana" w:eastAsia="Calibri" w:hAnsi="Verdana" w:cs="Arial"/>
          <w:lang w:val="es-MX" w:eastAsia="es-ES_tradnl"/>
        </w:rPr>
        <w:t xml:space="preserve">a necesidad de preservar </w:t>
      </w:r>
      <w:r w:rsidRPr="004C713C">
        <w:rPr>
          <w:rFonts w:ascii="Verdana" w:eastAsia="Calibri" w:hAnsi="Verdana" w:cs="Arial"/>
          <w:lang w:val="es-MX" w:eastAsia="es-ES_tradnl"/>
        </w:rPr>
        <w:t xml:space="preserve">los principios de igualdad, transparencia y libertad de concurrencia, durante la fase de ejecución del contrato). </w:t>
      </w:r>
    </w:p>
    <w:p w14:paraId="467F275C" w14:textId="100B2B2F" w:rsidR="005653DC" w:rsidRDefault="005653DC" w:rsidP="005653DC">
      <w:pPr>
        <w:jc w:val="both"/>
        <w:rPr>
          <w:rFonts w:ascii="Verdana" w:hAnsi="Verdana" w:cs="Arial"/>
          <w:b/>
          <w:color w:val="000000" w:themeColor="text1"/>
          <w:lang w:val="es-ES_tradnl"/>
        </w:rPr>
      </w:pPr>
      <w:r w:rsidRPr="005653DC">
        <w:rPr>
          <w:rFonts w:ascii="Verdana" w:hAnsi="Verdana" w:cs="Arial"/>
          <w:b/>
          <w:color w:val="000000" w:themeColor="text1"/>
          <w:lang w:val="es-ES_tradnl"/>
        </w:rPr>
        <w:t xml:space="preserve">ADICIÓN – Límite – Ley 80 de 1993 - Parágrafo artículo 40 – Contratos interadministrativos </w:t>
      </w:r>
    </w:p>
    <w:p w14:paraId="0EFC613D" w14:textId="422E26E2" w:rsidR="005653DC" w:rsidRDefault="005653DC" w:rsidP="005653DC">
      <w:pPr>
        <w:spacing w:after="0" w:line="276" w:lineRule="auto"/>
        <w:jc w:val="both"/>
        <w:rPr>
          <w:rFonts w:ascii="Verdana" w:eastAsia="Calibri" w:hAnsi="Verdana" w:cs="Arial"/>
          <w:bCs/>
          <w:szCs w:val="24"/>
          <w:lang w:val="es-MX" w:eastAsia="es-ES_tradnl" w:bidi="es-ES"/>
        </w:rPr>
      </w:pPr>
      <w:r w:rsidRPr="005653DC">
        <w:rPr>
          <w:rFonts w:ascii="Verdana" w:hAnsi="Verdana" w:cs="Arial"/>
          <w:bCs/>
          <w:color w:val="000000" w:themeColor="text1"/>
          <w:lang w:val="es-ES_tradnl"/>
        </w:rPr>
        <w:t xml:space="preserve">[…] </w:t>
      </w:r>
      <w:r w:rsidRPr="00286FF3">
        <w:rPr>
          <w:rFonts w:ascii="Verdana" w:eastAsia="Calibri" w:hAnsi="Verdana" w:cs="Arial"/>
        </w:rPr>
        <w:t>La regulación expresa contenida en la ley, se limita a fijar los porcentajes límite para adicionar los valores inicialmente pactados, como lo hace el artículo 40 de la Ley 80 de 1993</w:t>
      </w:r>
      <w:r w:rsidRPr="00286FF3">
        <w:rPr>
          <w:rFonts w:ascii="Verdana" w:eastAsia="Calibri" w:hAnsi="Verdana" w:cs="Arial"/>
          <w:bCs/>
          <w:szCs w:val="24"/>
          <w:lang w:val="es-MX" w:eastAsia="es-ES_tradnl" w:bidi="es-ES"/>
        </w:rPr>
        <w:t>.</w:t>
      </w:r>
    </w:p>
    <w:p w14:paraId="032B19F6" w14:textId="13BBF045" w:rsidR="005653DC" w:rsidRPr="00E61635" w:rsidRDefault="005653DC" w:rsidP="005653DC">
      <w:pPr>
        <w:snapToGrid w:val="0"/>
        <w:spacing w:after="120" w:line="276" w:lineRule="auto"/>
        <w:jc w:val="both"/>
        <w:rPr>
          <w:rFonts w:ascii="Verdana" w:hAnsi="Verdana" w:cs="Arial"/>
          <w:bCs/>
          <w:color w:val="000000" w:themeColor="text1"/>
        </w:rPr>
      </w:pPr>
      <w:r>
        <w:rPr>
          <w:rFonts w:ascii="Verdana" w:hAnsi="Verdana" w:cs="Arial"/>
          <w:bCs/>
          <w:color w:val="000000" w:themeColor="text1"/>
        </w:rPr>
        <w:t>El mencionado artículo</w:t>
      </w:r>
      <w:r w:rsidRPr="00E61635">
        <w:rPr>
          <w:rFonts w:ascii="Verdana" w:hAnsi="Verdana" w:cs="Arial"/>
          <w:bCs/>
          <w:color w:val="000000" w:themeColor="text1"/>
        </w:rPr>
        <w:t xml:space="preserve">, además de establecer generalidades del contenido de los contratos estatales y resaltar la autonomía de la voluntad de las entidades, en este artículo la ley dispone una limitación a dicha autonomía en el inciso dos del parágrafo: </w:t>
      </w:r>
      <w:r w:rsidRPr="00E61635">
        <w:rPr>
          <w:rFonts w:ascii="Verdana" w:eastAsia="Calibri" w:hAnsi="Verdana" w:cs="Arial"/>
          <w:iCs/>
        </w:rPr>
        <w:t>“</w:t>
      </w:r>
      <w:r w:rsidRPr="00E61635">
        <w:rPr>
          <w:rFonts w:ascii="Verdana" w:hAnsi="Verdana" w:cs="Arial"/>
          <w:shd w:val="clear" w:color="auto" w:fill="FFFFFF"/>
        </w:rPr>
        <w:t>Los contratos no podrán adicionarse en más del cincuenta por ciento (50%) de su valor inicial, expresado éste en salarios mínimos legales mensuales</w:t>
      </w:r>
      <w:r w:rsidRPr="005F3B31">
        <w:rPr>
          <w:rFonts w:ascii="Verdana" w:hAnsi="Verdana" w:cs="Arial"/>
          <w:shd w:val="clear" w:color="auto" w:fill="FFFFFF"/>
        </w:rPr>
        <w:t>”.</w:t>
      </w:r>
      <w:r w:rsidRPr="00E61635">
        <w:rPr>
          <w:rFonts w:ascii="Verdana" w:hAnsi="Verdana" w:cs="Arial"/>
          <w:shd w:val="clear" w:color="auto" w:fill="FFFFFF"/>
        </w:rPr>
        <w:t xml:space="preserve"> </w:t>
      </w:r>
    </w:p>
    <w:p w14:paraId="17846858" w14:textId="278F99B5" w:rsidR="005653DC" w:rsidRPr="005653DC" w:rsidRDefault="005653DC" w:rsidP="005653DC">
      <w:pPr>
        <w:jc w:val="both"/>
        <w:rPr>
          <w:rFonts w:ascii="Verdana" w:hAnsi="Verdana" w:cs="Arial"/>
          <w:b/>
          <w:color w:val="000000" w:themeColor="text1"/>
          <w:lang w:val="es-ES_tradnl"/>
        </w:rPr>
      </w:pPr>
      <w:r w:rsidRPr="0719921A">
        <w:rPr>
          <w:rFonts w:ascii="Verdana" w:eastAsia="Calibri" w:hAnsi="Verdana" w:cs="Arial"/>
          <w:lang w:val="es-ES" w:eastAsia="es-ES"/>
        </w:rPr>
        <w:t xml:space="preserve">Dicha norma además de consagrar una prohibición trae implícita una autorización, consistente en la posibilidad de adicionar los contratos estatales, siempre que no se supere el tope establecido. Ha de tenerse en cuenta que el </w:t>
      </w:r>
      <w:r w:rsidRPr="0719921A">
        <w:rPr>
          <w:rFonts w:ascii="Verdana" w:eastAsia="Calibri" w:hAnsi="Verdana" w:cs="Arial"/>
          <w:lang w:val="es-ES" w:eastAsia="es-ES"/>
        </w:rPr>
        <w:lastRenderedPageBreak/>
        <w:t>límite debe establecerse en salarios mínimos para que el cálculo del tope sea preciso. De manera que para adicionar un contrato debe dividirse el valor inicial por el salario mínimo vigente al momento de la suscripción del contrato, y luego dividirlo por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w:t>
      </w:r>
    </w:p>
    <w:p w14:paraId="13DFAF95" w14:textId="1715C067" w:rsidR="005653DC" w:rsidRPr="005653DC" w:rsidRDefault="005653DC" w:rsidP="005653DC">
      <w:pPr>
        <w:jc w:val="both"/>
        <w:rPr>
          <w:rFonts w:ascii="Verdana" w:hAnsi="Verdana" w:cs="Arial"/>
          <w:b/>
          <w:color w:val="000000" w:themeColor="text1"/>
          <w:lang w:val="es-ES_tradnl"/>
        </w:rPr>
      </w:pPr>
      <w:r w:rsidRPr="005653DC">
        <w:rPr>
          <w:rFonts w:ascii="Verdana" w:hAnsi="Verdana" w:cs="Arial"/>
          <w:b/>
          <w:color w:val="000000" w:themeColor="text1"/>
          <w:lang w:val="es-ES_tradnl"/>
        </w:rPr>
        <w:t>LIQUIDACIÓN DEL CONTRATO – Tipos - Normativa</w:t>
      </w:r>
    </w:p>
    <w:p w14:paraId="4ECB7D11" w14:textId="01221001" w:rsidR="005653DC" w:rsidRDefault="005653DC" w:rsidP="005653DC">
      <w:pPr>
        <w:pStyle w:val="Sinespaciado"/>
        <w:spacing w:after="120" w:line="276" w:lineRule="auto"/>
        <w:jc w:val="both"/>
        <w:rPr>
          <w:rFonts w:ascii="Verdana" w:eastAsia="Calibri" w:hAnsi="Verdana" w:cs="Arial"/>
          <w:bCs/>
          <w:lang w:val="es-ES"/>
        </w:rPr>
      </w:pPr>
      <w:r>
        <w:rPr>
          <w:rFonts w:ascii="Verdana" w:hAnsi="Verdana"/>
          <w:lang w:val="es-ES"/>
        </w:rPr>
        <w:t xml:space="preserve">[…] </w:t>
      </w:r>
      <w:r w:rsidRPr="004C713C">
        <w:rPr>
          <w:rFonts w:ascii="Verdana" w:hAnsi="Verdana"/>
          <w:lang w:val="es-ES"/>
        </w:rPr>
        <w:t>el artículo 11 de la Ley 1150 de 2007, existen tres</w:t>
      </w:r>
      <w:r w:rsidRPr="004C713C">
        <w:rPr>
          <w:rFonts w:ascii="Verdana" w:hAnsi="Verdana"/>
          <w:spacing w:val="30"/>
          <w:lang w:val="es-ES"/>
        </w:rPr>
        <w:t xml:space="preserve"> </w:t>
      </w:r>
      <w:r w:rsidRPr="004C713C">
        <w:rPr>
          <w:rFonts w:ascii="Verdana" w:hAnsi="Verdana"/>
          <w:lang w:val="es-ES"/>
        </w:rPr>
        <w:t>(3)</w:t>
      </w:r>
      <w:r w:rsidRPr="004C713C">
        <w:rPr>
          <w:rFonts w:ascii="Verdana" w:hAnsi="Verdana"/>
          <w:spacing w:val="29"/>
          <w:lang w:val="es-ES"/>
        </w:rPr>
        <w:t xml:space="preserve"> </w:t>
      </w:r>
      <w:r w:rsidRPr="004C713C">
        <w:rPr>
          <w:rFonts w:ascii="Verdana" w:hAnsi="Verdana"/>
          <w:lang w:val="es-ES"/>
        </w:rPr>
        <w:t>tipos</w:t>
      </w:r>
      <w:r w:rsidRPr="004C713C">
        <w:rPr>
          <w:rFonts w:ascii="Verdana" w:hAnsi="Verdana"/>
          <w:spacing w:val="30"/>
          <w:lang w:val="es-ES"/>
        </w:rPr>
        <w:t xml:space="preserve"> </w:t>
      </w:r>
      <w:r w:rsidRPr="004C713C">
        <w:rPr>
          <w:rFonts w:ascii="Verdana" w:hAnsi="Verdana"/>
          <w:lang w:val="es-ES"/>
        </w:rPr>
        <w:t>de</w:t>
      </w:r>
      <w:r w:rsidRPr="004C713C">
        <w:rPr>
          <w:rFonts w:ascii="Verdana" w:hAnsi="Verdana"/>
          <w:spacing w:val="29"/>
          <w:lang w:val="es-ES"/>
        </w:rPr>
        <w:t xml:space="preserve"> </w:t>
      </w:r>
      <w:r w:rsidRPr="004C713C">
        <w:rPr>
          <w:rFonts w:ascii="Verdana" w:hAnsi="Verdana"/>
          <w:lang w:val="es-ES"/>
        </w:rPr>
        <w:t>liquidación:</w:t>
      </w:r>
      <w:r w:rsidRPr="004C713C">
        <w:rPr>
          <w:rFonts w:ascii="Verdana" w:hAnsi="Verdana"/>
          <w:spacing w:val="32"/>
          <w:lang w:val="es-ES"/>
        </w:rPr>
        <w:t xml:space="preserve"> </w:t>
      </w:r>
      <w:r w:rsidRPr="004C713C">
        <w:rPr>
          <w:rFonts w:ascii="Verdana" w:hAnsi="Verdana"/>
          <w:lang w:val="es-ES"/>
        </w:rPr>
        <w:t>i)</w:t>
      </w:r>
      <w:r w:rsidRPr="004C713C">
        <w:rPr>
          <w:rFonts w:ascii="Verdana" w:hAnsi="Verdana"/>
          <w:spacing w:val="29"/>
          <w:lang w:val="es-ES"/>
        </w:rPr>
        <w:t xml:space="preserve"> </w:t>
      </w:r>
      <w:r w:rsidRPr="004C713C">
        <w:rPr>
          <w:rFonts w:ascii="Verdana" w:hAnsi="Verdana"/>
          <w:lang w:val="es-ES"/>
        </w:rPr>
        <w:t>bilateral,</w:t>
      </w:r>
      <w:r w:rsidRPr="004C713C">
        <w:rPr>
          <w:rFonts w:ascii="Verdana" w:hAnsi="Verdana"/>
          <w:spacing w:val="32"/>
          <w:lang w:val="es-ES"/>
        </w:rPr>
        <w:t xml:space="preserve"> </w:t>
      </w:r>
      <w:proofErr w:type="spellStart"/>
      <w:r w:rsidRPr="004C713C">
        <w:rPr>
          <w:rFonts w:ascii="Verdana" w:hAnsi="Verdana"/>
          <w:lang w:val="es-ES"/>
        </w:rPr>
        <w:t>ii</w:t>
      </w:r>
      <w:proofErr w:type="spellEnd"/>
      <w:r w:rsidRPr="004C713C">
        <w:rPr>
          <w:rFonts w:ascii="Verdana" w:hAnsi="Verdana"/>
          <w:lang w:val="es-ES"/>
        </w:rPr>
        <w:t>)</w:t>
      </w:r>
      <w:r w:rsidRPr="004C713C">
        <w:rPr>
          <w:rFonts w:ascii="Verdana" w:hAnsi="Verdana"/>
          <w:spacing w:val="29"/>
          <w:lang w:val="es-ES"/>
        </w:rPr>
        <w:t xml:space="preserve"> </w:t>
      </w:r>
      <w:r w:rsidRPr="004C713C">
        <w:rPr>
          <w:rFonts w:ascii="Verdana" w:hAnsi="Verdana"/>
          <w:lang w:val="es-ES"/>
        </w:rPr>
        <w:t>unilateral</w:t>
      </w:r>
      <w:r w:rsidRPr="004C713C">
        <w:rPr>
          <w:rFonts w:ascii="Verdana" w:hAnsi="Verdana"/>
          <w:spacing w:val="32"/>
          <w:lang w:val="es-ES"/>
        </w:rPr>
        <w:t xml:space="preserve"> </w:t>
      </w:r>
      <w:r w:rsidRPr="004C713C">
        <w:rPr>
          <w:rFonts w:ascii="Verdana" w:hAnsi="Verdana"/>
          <w:lang w:val="es-ES"/>
        </w:rPr>
        <w:t>y</w:t>
      </w:r>
      <w:r w:rsidRPr="004C713C">
        <w:rPr>
          <w:rFonts w:ascii="Verdana" w:hAnsi="Verdana"/>
          <w:spacing w:val="29"/>
          <w:lang w:val="es-ES"/>
        </w:rPr>
        <w:t xml:space="preserve"> </w:t>
      </w:r>
      <w:proofErr w:type="spellStart"/>
      <w:r w:rsidRPr="004C713C">
        <w:rPr>
          <w:rFonts w:ascii="Verdana" w:hAnsi="Verdana"/>
          <w:lang w:val="es-ES"/>
        </w:rPr>
        <w:t>iii</w:t>
      </w:r>
      <w:proofErr w:type="spellEnd"/>
      <w:r w:rsidRPr="004C713C">
        <w:rPr>
          <w:rFonts w:ascii="Verdana" w:hAnsi="Verdana"/>
          <w:lang w:val="es-ES"/>
        </w:rPr>
        <w:t>)</w:t>
      </w:r>
      <w:r w:rsidRPr="004C713C">
        <w:rPr>
          <w:rFonts w:ascii="Verdana" w:hAnsi="Verdana"/>
          <w:spacing w:val="29"/>
          <w:lang w:val="es-ES"/>
        </w:rPr>
        <w:t xml:space="preserve"> </w:t>
      </w:r>
      <w:r w:rsidRPr="004C713C">
        <w:rPr>
          <w:rFonts w:ascii="Verdana" w:hAnsi="Verdana"/>
          <w:lang w:val="es-ES"/>
        </w:rPr>
        <w:t>judicial.</w:t>
      </w:r>
      <w:r w:rsidRPr="004C713C">
        <w:rPr>
          <w:rFonts w:ascii="Verdana" w:hAnsi="Verdana"/>
          <w:spacing w:val="32"/>
          <w:lang w:val="es-ES"/>
        </w:rPr>
        <w:t xml:space="preserve"> </w:t>
      </w:r>
      <w:r w:rsidRPr="004C713C">
        <w:rPr>
          <w:rFonts w:ascii="Verdana" w:hAnsi="Verdana"/>
          <w:lang w:val="es-ES"/>
        </w:rPr>
        <w:t>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w:t>
      </w:r>
      <w:r w:rsidRPr="004C713C">
        <w:rPr>
          <w:rFonts w:ascii="Verdana" w:hAnsi="Verdana"/>
          <w:spacing w:val="-15"/>
          <w:lang w:val="es-ES"/>
        </w:rPr>
        <w:t xml:space="preserve"> </w:t>
      </w:r>
      <w:r w:rsidRPr="004C713C">
        <w:rPr>
          <w:rFonts w:ascii="Verdana" w:hAnsi="Verdana"/>
          <w:lang w:val="es-ES"/>
        </w:rPr>
        <w:t>o</w:t>
      </w:r>
      <w:r w:rsidRPr="004C713C">
        <w:rPr>
          <w:rFonts w:ascii="Verdana" w:hAnsi="Verdana"/>
          <w:spacing w:val="-19"/>
          <w:lang w:val="es-ES"/>
        </w:rPr>
        <w:t xml:space="preserve"> </w:t>
      </w:r>
      <w:r w:rsidRPr="004C713C">
        <w:rPr>
          <w:rFonts w:ascii="Verdana" w:hAnsi="Verdana"/>
          <w:lang w:val="es-ES"/>
        </w:rPr>
        <w:t>un</w:t>
      </w:r>
      <w:r w:rsidRPr="004C713C">
        <w:rPr>
          <w:rFonts w:ascii="Verdana" w:hAnsi="Verdana"/>
          <w:spacing w:val="-18"/>
          <w:lang w:val="es-ES"/>
        </w:rPr>
        <w:t xml:space="preserve"> </w:t>
      </w:r>
      <w:r w:rsidRPr="004C713C">
        <w:rPr>
          <w:rFonts w:ascii="Verdana" w:hAnsi="Verdana"/>
          <w:lang w:val="es-ES"/>
        </w:rPr>
        <w:t>tribunal</w:t>
      </w:r>
      <w:r w:rsidRPr="004C713C">
        <w:rPr>
          <w:rFonts w:ascii="Verdana" w:hAnsi="Verdana"/>
          <w:spacing w:val="-17"/>
          <w:lang w:val="es-ES"/>
        </w:rPr>
        <w:t xml:space="preserve"> </w:t>
      </w:r>
      <w:r w:rsidRPr="004C713C">
        <w:rPr>
          <w:rFonts w:ascii="Verdana" w:hAnsi="Verdana"/>
          <w:lang w:val="es-ES"/>
        </w:rPr>
        <w:t>de</w:t>
      </w:r>
      <w:r w:rsidRPr="004C713C">
        <w:rPr>
          <w:rFonts w:ascii="Verdana" w:hAnsi="Verdana"/>
          <w:spacing w:val="-18"/>
          <w:lang w:val="es-ES"/>
        </w:rPr>
        <w:t xml:space="preserve"> </w:t>
      </w:r>
      <w:r w:rsidRPr="004C713C">
        <w:rPr>
          <w:rFonts w:ascii="Verdana" w:hAnsi="Verdana"/>
          <w:lang w:val="es-ES"/>
        </w:rPr>
        <w:t>arbitramento</w:t>
      </w:r>
      <w:r w:rsidRPr="004C713C">
        <w:rPr>
          <w:rFonts w:ascii="Verdana" w:hAnsi="Verdana"/>
          <w:spacing w:val="-15"/>
          <w:lang w:val="es-ES"/>
        </w:rPr>
        <w:t xml:space="preserve"> </w:t>
      </w:r>
      <w:r w:rsidRPr="004C713C">
        <w:rPr>
          <w:rFonts w:ascii="Verdana" w:hAnsi="Verdana"/>
          <w:lang w:val="es-ES"/>
        </w:rPr>
        <w:t>dentro</w:t>
      </w:r>
      <w:r w:rsidRPr="004C713C">
        <w:rPr>
          <w:rFonts w:ascii="Verdana" w:hAnsi="Verdana"/>
          <w:spacing w:val="-18"/>
          <w:lang w:val="es-ES"/>
        </w:rPr>
        <w:t xml:space="preserve"> </w:t>
      </w:r>
      <w:r w:rsidRPr="004C713C">
        <w:rPr>
          <w:rFonts w:ascii="Verdana" w:hAnsi="Verdana"/>
          <w:lang w:val="es-ES"/>
        </w:rPr>
        <w:t>de</w:t>
      </w:r>
      <w:r w:rsidRPr="004C713C">
        <w:rPr>
          <w:rFonts w:ascii="Verdana" w:hAnsi="Verdana"/>
          <w:spacing w:val="-18"/>
          <w:lang w:val="es-ES"/>
        </w:rPr>
        <w:t xml:space="preserve"> </w:t>
      </w:r>
      <w:r w:rsidRPr="004C713C">
        <w:rPr>
          <w:rFonts w:ascii="Verdana" w:hAnsi="Verdana"/>
          <w:lang w:val="es-ES"/>
        </w:rPr>
        <w:t>un</w:t>
      </w:r>
      <w:r w:rsidRPr="004C713C">
        <w:rPr>
          <w:rFonts w:ascii="Verdana" w:hAnsi="Verdana"/>
          <w:spacing w:val="-19"/>
          <w:lang w:val="es-ES"/>
        </w:rPr>
        <w:t xml:space="preserve"> </w:t>
      </w:r>
      <w:r w:rsidRPr="004C713C">
        <w:rPr>
          <w:rFonts w:ascii="Verdana" w:hAnsi="Verdana"/>
          <w:lang w:val="es-ES"/>
        </w:rPr>
        <w:t>proceso</w:t>
      </w:r>
      <w:r w:rsidRPr="004C713C">
        <w:rPr>
          <w:rFonts w:ascii="Verdana" w:hAnsi="Verdana"/>
          <w:spacing w:val="-17"/>
          <w:lang w:val="es-ES"/>
        </w:rPr>
        <w:t xml:space="preserve"> </w:t>
      </w:r>
      <w:r w:rsidRPr="004C713C">
        <w:rPr>
          <w:rFonts w:ascii="Verdana" w:hAnsi="Verdana"/>
          <w:lang w:val="es-ES"/>
        </w:rPr>
        <w:t>judicial de controversias contractuales, y puede darse con ocasión de una demanda</w:t>
      </w:r>
      <w:r w:rsidRPr="004C713C">
        <w:rPr>
          <w:rFonts w:ascii="Verdana" w:hAnsi="Verdana"/>
          <w:spacing w:val="-3"/>
          <w:lang w:val="es-ES"/>
        </w:rPr>
        <w:t xml:space="preserve"> </w:t>
      </w:r>
      <w:r w:rsidRPr="004C713C">
        <w:rPr>
          <w:rFonts w:ascii="Verdana" w:hAnsi="Verdana"/>
          <w:lang w:val="es-ES"/>
        </w:rPr>
        <w:t>del</w:t>
      </w:r>
      <w:r w:rsidRPr="004C713C">
        <w:rPr>
          <w:rFonts w:ascii="Verdana" w:hAnsi="Verdana"/>
          <w:spacing w:val="-4"/>
          <w:lang w:val="es-ES"/>
        </w:rPr>
        <w:t xml:space="preserve"> </w:t>
      </w:r>
      <w:r w:rsidRPr="004C713C">
        <w:rPr>
          <w:rFonts w:ascii="Verdana" w:hAnsi="Verdana"/>
          <w:lang w:val="es-ES"/>
        </w:rPr>
        <w:t>interesado</w:t>
      </w:r>
      <w:r w:rsidRPr="004C713C">
        <w:rPr>
          <w:rFonts w:ascii="Verdana" w:hAnsi="Verdana"/>
          <w:spacing w:val="-3"/>
          <w:lang w:val="es-ES"/>
        </w:rPr>
        <w:t xml:space="preserve"> </w:t>
      </w:r>
      <w:r w:rsidRPr="004C713C">
        <w:rPr>
          <w:rFonts w:ascii="Verdana" w:hAnsi="Verdana"/>
          <w:lang w:val="es-ES"/>
        </w:rPr>
        <w:t>solicitando</w:t>
      </w:r>
      <w:r w:rsidRPr="004C713C">
        <w:rPr>
          <w:rFonts w:ascii="Verdana" w:hAnsi="Verdana"/>
          <w:spacing w:val="-2"/>
          <w:lang w:val="es-ES"/>
        </w:rPr>
        <w:t xml:space="preserve"> </w:t>
      </w:r>
      <w:r w:rsidRPr="004C713C">
        <w:rPr>
          <w:rFonts w:ascii="Verdana" w:hAnsi="Verdana"/>
          <w:lang w:val="es-ES"/>
        </w:rPr>
        <w:t>dicha</w:t>
      </w:r>
      <w:r w:rsidRPr="004C713C">
        <w:rPr>
          <w:rFonts w:ascii="Verdana" w:hAnsi="Verdana"/>
          <w:spacing w:val="-4"/>
          <w:lang w:val="es-ES"/>
        </w:rPr>
        <w:t xml:space="preserve"> </w:t>
      </w:r>
      <w:r w:rsidRPr="004C713C">
        <w:rPr>
          <w:rFonts w:ascii="Verdana" w:hAnsi="Verdana"/>
          <w:lang w:val="es-ES"/>
        </w:rPr>
        <w:t>liquidación.</w:t>
      </w:r>
      <w:r w:rsidRPr="004C713C">
        <w:rPr>
          <w:rFonts w:ascii="Verdana" w:hAnsi="Verdana"/>
          <w:spacing w:val="-2"/>
          <w:lang w:val="es-ES"/>
        </w:rPr>
        <w:t xml:space="preserve"> </w:t>
      </w:r>
      <w:r w:rsidRPr="004C713C">
        <w:rPr>
          <w:rFonts w:ascii="Verdana" w:hAnsi="Verdana"/>
          <w:lang w:val="es-ES"/>
        </w:rPr>
        <w:t>Para</w:t>
      </w:r>
      <w:r w:rsidRPr="004C713C">
        <w:rPr>
          <w:rFonts w:ascii="Verdana" w:hAnsi="Verdana"/>
          <w:spacing w:val="-4"/>
          <w:lang w:val="es-ES"/>
        </w:rPr>
        <w:t xml:space="preserve"> </w:t>
      </w:r>
      <w:r w:rsidRPr="004C713C">
        <w:rPr>
          <w:rFonts w:ascii="Verdana" w:hAnsi="Verdana"/>
          <w:lang w:val="es-ES"/>
        </w:rPr>
        <w:t>ello,</w:t>
      </w:r>
      <w:r w:rsidRPr="004C713C">
        <w:rPr>
          <w:rFonts w:ascii="Verdana" w:hAnsi="Verdana"/>
          <w:spacing w:val="-4"/>
          <w:lang w:val="es-ES"/>
        </w:rPr>
        <w:t xml:space="preserve"> </w:t>
      </w:r>
      <w:r w:rsidRPr="004C713C">
        <w:rPr>
          <w:rFonts w:ascii="Verdana" w:hAnsi="Verdana"/>
          <w:lang w:val="es-ES"/>
        </w:rPr>
        <w:t>existe</w:t>
      </w:r>
      <w:r w:rsidRPr="004C713C">
        <w:rPr>
          <w:rFonts w:ascii="Verdana" w:hAnsi="Verdana"/>
          <w:spacing w:val="-3"/>
          <w:lang w:val="es-ES"/>
        </w:rPr>
        <w:t xml:space="preserve"> </w:t>
      </w:r>
      <w:r w:rsidRPr="004C713C">
        <w:rPr>
          <w:rFonts w:ascii="Verdana" w:hAnsi="Verdana"/>
          <w:lang w:val="es-ES"/>
        </w:rPr>
        <w:t>un plazo máximo de dos (2) años contados a partir de los dos meses establecidos en la Ley para realizar la liquidación unilateral, de conformidad con</w:t>
      </w:r>
      <w:r w:rsidRPr="004C713C">
        <w:rPr>
          <w:rFonts w:ascii="Verdana" w:hAnsi="Verdana"/>
          <w:spacing w:val="-2"/>
          <w:lang w:val="es-ES"/>
        </w:rPr>
        <w:t xml:space="preserve"> </w:t>
      </w:r>
      <w:r w:rsidRPr="004C713C">
        <w:rPr>
          <w:rFonts w:ascii="Verdana" w:hAnsi="Verdana"/>
          <w:lang w:val="es-ES"/>
        </w:rPr>
        <w:t>el</w:t>
      </w:r>
      <w:r w:rsidRPr="004C713C">
        <w:rPr>
          <w:rFonts w:ascii="Verdana" w:hAnsi="Verdana"/>
          <w:spacing w:val="-2"/>
          <w:lang w:val="es-ES"/>
        </w:rPr>
        <w:t xml:space="preserve"> </w:t>
      </w:r>
      <w:r w:rsidRPr="004C713C">
        <w:rPr>
          <w:rFonts w:ascii="Verdana" w:hAnsi="Verdana"/>
          <w:lang w:val="es-ES"/>
        </w:rPr>
        <w:t>citado</w:t>
      </w:r>
      <w:r w:rsidRPr="004C713C">
        <w:rPr>
          <w:rFonts w:ascii="Verdana" w:hAnsi="Verdana"/>
          <w:spacing w:val="-1"/>
          <w:lang w:val="es-ES"/>
        </w:rPr>
        <w:t xml:space="preserve"> </w:t>
      </w:r>
      <w:r w:rsidRPr="004C713C">
        <w:rPr>
          <w:rFonts w:ascii="Verdana" w:hAnsi="Verdana"/>
          <w:lang w:val="es-ES"/>
        </w:rPr>
        <w:t>auto</w:t>
      </w:r>
      <w:r w:rsidRPr="004C713C">
        <w:rPr>
          <w:rFonts w:ascii="Verdana" w:hAnsi="Verdana"/>
          <w:spacing w:val="-1"/>
          <w:lang w:val="es-ES"/>
        </w:rPr>
        <w:t xml:space="preserve"> </w:t>
      </w:r>
      <w:r w:rsidRPr="004C713C">
        <w:rPr>
          <w:rFonts w:ascii="Verdana" w:hAnsi="Verdana"/>
          <w:lang w:val="es-ES"/>
        </w:rPr>
        <w:t>de</w:t>
      </w:r>
      <w:r w:rsidRPr="004C713C">
        <w:rPr>
          <w:rFonts w:ascii="Verdana" w:hAnsi="Verdana"/>
          <w:spacing w:val="-2"/>
          <w:lang w:val="es-ES"/>
        </w:rPr>
        <w:t xml:space="preserve"> </w:t>
      </w:r>
      <w:r w:rsidRPr="004C713C">
        <w:rPr>
          <w:rFonts w:ascii="Verdana" w:hAnsi="Verdana"/>
          <w:lang w:val="es-ES"/>
        </w:rPr>
        <w:t>unificación jurisprudencial del</w:t>
      </w:r>
      <w:r w:rsidRPr="004C713C">
        <w:rPr>
          <w:rFonts w:ascii="Verdana" w:hAnsi="Verdana"/>
          <w:spacing w:val="-2"/>
          <w:lang w:val="es-ES"/>
        </w:rPr>
        <w:t xml:space="preserve"> </w:t>
      </w:r>
      <w:r w:rsidRPr="004C713C">
        <w:rPr>
          <w:rFonts w:ascii="Verdana" w:hAnsi="Verdana"/>
          <w:lang w:val="es-ES"/>
        </w:rPr>
        <w:t xml:space="preserve">Consejo de Estado. </w:t>
      </w:r>
    </w:p>
    <w:p w14:paraId="1550377D" w14:textId="77777777" w:rsidR="005653DC" w:rsidRDefault="005653DC" w:rsidP="00E245AB">
      <w:pPr>
        <w:spacing w:after="0"/>
        <w:rPr>
          <w:rFonts w:ascii="Verdana" w:hAnsi="Verdana"/>
        </w:rPr>
      </w:pPr>
    </w:p>
    <w:p w14:paraId="20A03751" w14:textId="77777777" w:rsidR="005653DC" w:rsidRDefault="005653DC" w:rsidP="00E245AB">
      <w:pPr>
        <w:spacing w:after="0"/>
        <w:rPr>
          <w:rFonts w:ascii="Verdana" w:hAnsi="Verdana"/>
        </w:rPr>
      </w:pPr>
    </w:p>
    <w:p w14:paraId="13B56D34" w14:textId="77777777" w:rsidR="005653DC" w:rsidRDefault="005653DC" w:rsidP="00E245AB">
      <w:pPr>
        <w:spacing w:after="0"/>
        <w:rPr>
          <w:rFonts w:ascii="Verdana" w:hAnsi="Verdana"/>
        </w:rPr>
      </w:pPr>
    </w:p>
    <w:p w14:paraId="3B5A153E" w14:textId="77777777" w:rsidR="005653DC" w:rsidRDefault="005653DC" w:rsidP="00E245AB">
      <w:pPr>
        <w:spacing w:after="0"/>
        <w:rPr>
          <w:rFonts w:ascii="Verdana" w:hAnsi="Verdana"/>
        </w:rPr>
      </w:pPr>
    </w:p>
    <w:p w14:paraId="000D05BB" w14:textId="77777777" w:rsidR="005653DC" w:rsidRDefault="005653DC" w:rsidP="00E245AB">
      <w:pPr>
        <w:spacing w:after="0"/>
        <w:rPr>
          <w:rFonts w:ascii="Verdana" w:hAnsi="Verdana"/>
        </w:rPr>
      </w:pPr>
    </w:p>
    <w:p w14:paraId="663F1034" w14:textId="77777777" w:rsidR="005653DC" w:rsidRDefault="005653DC" w:rsidP="00E245AB">
      <w:pPr>
        <w:spacing w:after="0"/>
        <w:rPr>
          <w:rFonts w:ascii="Verdana" w:hAnsi="Verdana"/>
        </w:rPr>
      </w:pPr>
    </w:p>
    <w:p w14:paraId="4C28E774" w14:textId="77777777" w:rsidR="005653DC" w:rsidRDefault="005653DC" w:rsidP="00E245AB">
      <w:pPr>
        <w:spacing w:after="0"/>
        <w:rPr>
          <w:rFonts w:ascii="Verdana" w:hAnsi="Verdana"/>
        </w:rPr>
      </w:pPr>
    </w:p>
    <w:p w14:paraId="4B3BE9F9" w14:textId="77777777" w:rsidR="005653DC" w:rsidRDefault="005653DC" w:rsidP="00E245AB">
      <w:pPr>
        <w:spacing w:after="0"/>
        <w:rPr>
          <w:rFonts w:ascii="Verdana" w:hAnsi="Verdana"/>
        </w:rPr>
      </w:pPr>
    </w:p>
    <w:p w14:paraId="145CD41C" w14:textId="77777777" w:rsidR="005653DC" w:rsidRDefault="005653DC" w:rsidP="00E245AB">
      <w:pPr>
        <w:spacing w:after="0"/>
        <w:rPr>
          <w:rFonts w:ascii="Verdana" w:hAnsi="Verdana"/>
        </w:rPr>
      </w:pPr>
    </w:p>
    <w:p w14:paraId="250087B8" w14:textId="77777777" w:rsidR="005653DC" w:rsidRDefault="005653DC" w:rsidP="00E245AB">
      <w:pPr>
        <w:spacing w:after="0"/>
        <w:rPr>
          <w:rFonts w:ascii="Verdana" w:hAnsi="Verdana"/>
        </w:rPr>
      </w:pPr>
    </w:p>
    <w:p w14:paraId="1EFF73C5" w14:textId="77777777" w:rsidR="005653DC" w:rsidRDefault="005653DC" w:rsidP="00E245AB">
      <w:pPr>
        <w:spacing w:after="0"/>
        <w:rPr>
          <w:rFonts w:ascii="Verdana" w:hAnsi="Verdana"/>
        </w:rPr>
      </w:pPr>
    </w:p>
    <w:p w14:paraId="3FE2184B" w14:textId="7FED2E7F" w:rsidR="00E245AB" w:rsidRPr="0044528D" w:rsidRDefault="005653DC" w:rsidP="00E245AB">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35158EDB" wp14:editId="01E86DE4">
            <wp:simplePos x="0" y="0"/>
            <wp:positionH relativeFrom="column">
              <wp:posOffset>2775750</wp:posOffset>
            </wp:positionH>
            <wp:positionV relativeFrom="paragraph">
              <wp:posOffset>-72832</wp:posOffset>
            </wp:positionV>
            <wp:extent cx="2934031" cy="914227"/>
            <wp:effectExtent l="0" t="0" r="0"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934031" cy="914227"/>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17 </w:t>
      </w:r>
      <w:proofErr w:type="gramStart"/>
      <w:r>
        <w:rPr>
          <w:rFonts w:ascii="Verdana" w:hAnsi="Verdana"/>
        </w:rPr>
        <w:t>Octubre</w:t>
      </w:r>
      <w:proofErr w:type="gramEnd"/>
      <w:r>
        <w:rPr>
          <w:rFonts w:ascii="Verdana" w:hAnsi="Verdana"/>
        </w:rPr>
        <w:t xml:space="preserve"> 2025</w:t>
      </w:r>
      <w:r w:rsidR="00891928" w:rsidRPr="0044528D">
        <w:rPr>
          <w:rFonts w:ascii="Verdana" w:hAnsi="Verdana"/>
        </w:rPr>
        <w:tab/>
      </w:r>
    </w:p>
    <w:p w14:paraId="5FCADBF9" w14:textId="77777777" w:rsidR="00E245AB" w:rsidRDefault="00E245AB" w:rsidP="00E245AB">
      <w:pPr>
        <w:spacing w:after="0"/>
        <w:rPr>
          <w:rFonts w:ascii="Verdana" w:hAnsi="Verdana"/>
        </w:rPr>
      </w:pPr>
    </w:p>
    <w:p w14:paraId="4C27849E" w14:textId="77777777" w:rsidR="00473EB6" w:rsidRPr="004C713C" w:rsidRDefault="00473EB6" w:rsidP="00473EB6">
      <w:pPr>
        <w:spacing w:after="0" w:line="240" w:lineRule="auto"/>
        <w:jc w:val="both"/>
        <w:rPr>
          <w:rFonts w:ascii="Verdana" w:eastAsia="Calibri" w:hAnsi="Verdana" w:cs="Arial"/>
          <w:lang w:val="es-ES" w:eastAsia="es-ES"/>
        </w:rPr>
      </w:pPr>
      <w:r w:rsidRPr="004C713C">
        <w:rPr>
          <w:rFonts w:ascii="Verdana" w:eastAsia="Calibri" w:hAnsi="Verdana" w:cs="Arial"/>
          <w:lang w:val="es-ES" w:eastAsia="es-ES"/>
        </w:rPr>
        <w:t>Señora</w:t>
      </w:r>
    </w:p>
    <w:p w14:paraId="231775C5" w14:textId="77777777" w:rsidR="00473EB6" w:rsidRPr="004C713C" w:rsidRDefault="00473EB6" w:rsidP="00473EB6">
      <w:pPr>
        <w:spacing w:after="0" w:line="240" w:lineRule="auto"/>
        <w:rPr>
          <w:rFonts w:ascii="Verdana" w:eastAsia="Calibri" w:hAnsi="Verdana" w:cs="Arial"/>
          <w:b/>
          <w:lang w:val="es-ES" w:eastAsia="es-ES"/>
        </w:rPr>
      </w:pPr>
      <w:r w:rsidRPr="004C713C">
        <w:rPr>
          <w:rFonts w:ascii="Verdana" w:eastAsia="Calibri" w:hAnsi="Verdana" w:cs="Arial"/>
          <w:b/>
          <w:lang w:val="es-ES" w:eastAsia="es-ES"/>
        </w:rPr>
        <w:t>Jennifer García</w:t>
      </w:r>
    </w:p>
    <w:p w14:paraId="560DCE46" w14:textId="77777777" w:rsidR="00473EB6" w:rsidRPr="004C713C" w:rsidRDefault="00473EB6" w:rsidP="00473EB6">
      <w:pPr>
        <w:spacing w:after="0" w:line="240" w:lineRule="auto"/>
        <w:rPr>
          <w:rFonts w:ascii="Verdana" w:hAnsi="Verdana" w:cs="ArialMT"/>
        </w:rPr>
      </w:pPr>
      <w:hyperlink r:id="rId11" w:history="1">
        <w:r w:rsidRPr="004C713C">
          <w:rPr>
            <w:rStyle w:val="Hipervnculo"/>
            <w:rFonts w:ascii="Verdana" w:hAnsi="Verdana" w:cs="ArialMT"/>
          </w:rPr>
          <w:t>berardinelli_15@hotmail.com</w:t>
        </w:r>
      </w:hyperlink>
      <w:r w:rsidRPr="004C713C">
        <w:rPr>
          <w:rFonts w:ascii="Verdana" w:hAnsi="Verdana" w:cs="ArialMT"/>
        </w:rPr>
        <w:t xml:space="preserve">  </w:t>
      </w:r>
    </w:p>
    <w:p w14:paraId="6AAF26BF" w14:textId="77777777" w:rsidR="00473EB6" w:rsidRPr="004C713C" w:rsidRDefault="00473EB6" w:rsidP="00473EB6">
      <w:pPr>
        <w:spacing w:after="0" w:line="240" w:lineRule="auto"/>
        <w:rPr>
          <w:rFonts w:ascii="Verdana" w:hAnsi="Verdana" w:cs="ArialMT"/>
        </w:rPr>
      </w:pPr>
      <w:r w:rsidRPr="004C713C">
        <w:rPr>
          <w:rFonts w:ascii="Verdana" w:eastAsia="Calibri" w:hAnsi="Verdana" w:cs="Arial"/>
          <w:lang w:val="es-ES" w:eastAsia="es-ES"/>
        </w:rPr>
        <w:t>Bogotá D.C.</w:t>
      </w:r>
    </w:p>
    <w:p w14:paraId="5C6E6CFD" w14:textId="77777777" w:rsidR="00473EB6" w:rsidRPr="006A2651" w:rsidRDefault="00473EB6" w:rsidP="00473EB6">
      <w:pPr>
        <w:spacing w:after="0" w:line="240" w:lineRule="auto"/>
        <w:rPr>
          <w:rFonts w:ascii="Verdana" w:eastAsia="Calibri" w:hAnsi="Verdana" w:cs="Arial"/>
          <w:b/>
          <w:bCs/>
          <w:color w:val="000000"/>
          <w:highlight w:val="yellow"/>
          <w:lang w:val="es-ES_tradnl" w:eastAsia="es-ES_tradnl"/>
        </w:rPr>
      </w:pPr>
    </w:p>
    <w:p w14:paraId="13580C91" w14:textId="77777777" w:rsidR="00473EB6" w:rsidRPr="006A2651" w:rsidRDefault="00473EB6" w:rsidP="00473EB6">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73EB6" w:rsidRPr="006A2651" w14:paraId="56736AE8" w14:textId="77777777" w:rsidTr="0040574D">
        <w:trPr>
          <w:trHeight w:val="218"/>
        </w:trPr>
        <w:tc>
          <w:tcPr>
            <w:tcW w:w="2689" w:type="dxa"/>
          </w:tcPr>
          <w:p w14:paraId="33E6C44F" w14:textId="77777777" w:rsidR="00473EB6" w:rsidRPr="006A2651" w:rsidRDefault="00473EB6" w:rsidP="0040574D">
            <w:pPr>
              <w:jc w:val="both"/>
              <w:rPr>
                <w:rFonts w:ascii="Verdana" w:eastAsia="Calibri" w:hAnsi="Verdana" w:cs="Arial"/>
                <w:b/>
                <w:bCs/>
                <w:color w:val="7030A0"/>
                <w:highlight w:val="yellow"/>
                <w:lang w:val="es-ES_tradnl" w:eastAsia="es-ES_tradnl"/>
              </w:rPr>
            </w:pPr>
          </w:p>
        </w:tc>
        <w:tc>
          <w:tcPr>
            <w:tcW w:w="6100" w:type="dxa"/>
            <w:hideMark/>
          </w:tcPr>
          <w:p w14:paraId="3705D5EE" w14:textId="77777777" w:rsidR="00473EB6" w:rsidRPr="004C713C" w:rsidRDefault="00473EB6" w:rsidP="0040574D">
            <w:pPr>
              <w:jc w:val="both"/>
              <w:rPr>
                <w:rFonts w:ascii="Verdana" w:eastAsia="Calibri" w:hAnsi="Verdana" w:cs="Arial"/>
                <w:b/>
                <w:bCs/>
                <w:lang w:val="es-ES" w:eastAsia="es-ES"/>
              </w:rPr>
            </w:pPr>
            <w:r w:rsidRPr="004C713C">
              <w:rPr>
                <w:rFonts w:ascii="Verdana" w:eastAsia="Calibri" w:hAnsi="Verdana" w:cs="Arial"/>
                <w:b/>
                <w:bCs/>
                <w:lang w:val="es-ES" w:eastAsia="es-ES"/>
              </w:rPr>
              <w:t>Concepto C-1290 de 2025</w:t>
            </w:r>
          </w:p>
          <w:p w14:paraId="75ECCD05" w14:textId="77777777" w:rsidR="00473EB6" w:rsidRPr="006A2651" w:rsidRDefault="00473EB6" w:rsidP="0040574D">
            <w:pPr>
              <w:jc w:val="both"/>
              <w:rPr>
                <w:rFonts w:ascii="Verdana" w:eastAsia="Calibri" w:hAnsi="Verdana" w:cs="Arial"/>
                <w:b/>
                <w:bCs/>
                <w:highlight w:val="yellow"/>
                <w:lang w:val="es-ES" w:eastAsia="es-ES"/>
              </w:rPr>
            </w:pPr>
          </w:p>
          <w:p w14:paraId="1882368C" w14:textId="77777777" w:rsidR="00473EB6" w:rsidRPr="006A2651" w:rsidRDefault="00473EB6" w:rsidP="0040574D">
            <w:pPr>
              <w:jc w:val="both"/>
              <w:rPr>
                <w:rFonts w:ascii="Verdana" w:eastAsia="Calibri" w:hAnsi="Verdana" w:cs="Arial"/>
                <w:b/>
                <w:bCs/>
                <w:highlight w:val="yellow"/>
                <w:lang w:val="es-ES" w:eastAsia="es-ES"/>
              </w:rPr>
            </w:pPr>
          </w:p>
        </w:tc>
      </w:tr>
      <w:tr w:rsidR="00473EB6" w:rsidRPr="006A2651" w14:paraId="6E437975" w14:textId="77777777" w:rsidTr="0040574D">
        <w:trPr>
          <w:trHeight w:val="884"/>
        </w:trPr>
        <w:tc>
          <w:tcPr>
            <w:tcW w:w="2689" w:type="dxa"/>
            <w:hideMark/>
          </w:tcPr>
          <w:p w14:paraId="24D91C27" w14:textId="77777777" w:rsidR="00473EB6" w:rsidRPr="004C713C" w:rsidRDefault="00473EB6" w:rsidP="0040574D">
            <w:pPr>
              <w:jc w:val="both"/>
              <w:rPr>
                <w:rFonts w:ascii="Verdana" w:eastAsia="Calibri" w:hAnsi="Verdana" w:cs="Arial"/>
                <w:color w:val="000000"/>
                <w:lang w:val="es-ES_tradnl" w:eastAsia="es-ES_tradnl"/>
              </w:rPr>
            </w:pPr>
            <w:r w:rsidRPr="004C713C">
              <w:rPr>
                <w:rFonts w:ascii="Verdana" w:eastAsia="Calibri" w:hAnsi="Verdana" w:cs="Arial"/>
                <w:b/>
                <w:color w:val="000000"/>
                <w:lang w:val="es-ES_tradnl" w:eastAsia="es-ES_tradnl"/>
              </w:rPr>
              <w:t>Temas:</w:t>
            </w:r>
            <w:r w:rsidRPr="004C713C">
              <w:rPr>
                <w:rFonts w:ascii="Verdana" w:eastAsia="Calibri" w:hAnsi="Verdana" w:cs="Arial"/>
                <w:color w:val="000000"/>
                <w:lang w:val="es-ES_tradnl" w:eastAsia="es-ES_tradnl"/>
              </w:rPr>
              <w:t xml:space="preserve">                   </w:t>
            </w:r>
          </w:p>
        </w:tc>
        <w:tc>
          <w:tcPr>
            <w:tcW w:w="6100" w:type="dxa"/>
            <w:hideMark/>
          </w:tcPr>
          <w:p w14:paraId="3819BDCA" w14:textId="77777777" w:rsidR="00473EB6" w:rsidRPr="004C713C" w:rsidRDefault="00473EB6" w:rsidP="0040574D">
            <w:pPr>
              <w:jc w:val="both"/>
              <w:rPr>
                <w:rFonts w:ascii="Verdana" w:hAnsi="Verdana" w:cs="Arial"/>
                <w:bCs/>
                <w:color w:val="000000" w:themeColor="text1"/>
                <w:lang w:val="es-ES_tradnl"/>
              </w:rPr>
            </w:pPr>
            <w:r w:rsidRPr="004C713C">
              <w:rPr>
                <w:rFonts w:ascii="Verdana" w:eastAsia="Calibri" w:hAnsi="Verdana" w:cs="Arial"/>
                <w:lang w:val="es-ES" w:eastAsia="es-ES"/>
              </w:rPr>
              <w:t xml:space="preserve">MODIFICACION DE LOS CONTRATOS ESTATALES – Procedencia – Límites / </w:t>
            </w:r>
            <w:r w:rsidRPr="004C713C">
              <w:rPr>
                <w:rFonts w:ascii="Verdana" w:hAnsi="Verdana" w:cs="Arial"/>
                <w:bCs/>
                <w:color w:val="000000" w:themeColor="text1"/>
                <w:lang w:val="es-ES_tradnl"/>
              </w:rPr>
              <w:t>ADICIÓN – Límite – Ley 80 de 1993 - Parágrafo artículo 40 – Contratos interadministrativos / LIQUIDACIÓN DEL CONTRATO – Tipos - Normativa</w:t>
            </w:r>
          </w:p>
          <w:p w14:paraId="4E92BC02" w14:textId="77777777" w:rsidR="00473EB6" w:rsidRPr="004C713C" w:rsidRDefault="00473EB6" w:rsidP="0040574D">
            <w:pPr>
              <w:jc w:val="both"/>
              <w:rPr>
                <w:rFonts w:ascii="Verdana" w:eastAsia="Calibri" w:hAnsi="Verdana" w:cs="Arial"/>
                <w:lang w:val="es-ES" w:eastAsia="es-ES"/>
              </w:rPr>
            </w:pPr>
          </w:p>
        </w:tc>
      </w:tr>
      <w:tr w:rsidR="00473EB6" w14:paraId="17F552D5" w14:textId="77777777" w:rsidTr="0040574D">
        <w:tc>
          <w:tcPr>
            <w:tcW w:w="2689" w:type="dxa"/>
            <w:hideMark/>
          </w:tcPr>
          <w:p w14:paraId="2D976A73" w14:textId="77777777" w:rsidR="00473EB6" w:rsidRPr="004C713C" w:rsidRDefault="00473EB6" w:rsidP="0040574D">
            <w:pPr>
              <w:jc w:val="both"/>
              <w:rPr>
                <w:rFonts w:ascii="Verdana" w:eastAsia="Calibri" w:hAnsi="Verdana" w:cs="Arial"/>
                <w:b/>
                <w:color w:val="7030A0"/>
                <w:lang w:val="es-ES_tradnl" w:eastAsia="es-ES_tradnl"/>
              </w:rPr>
            </w:pPr>
            <w:r w:rsidRPr="004C713C">
              <w:rPr>
                <w:rFonts w:ascii="Verdana" w:eastAsia="Calibri" w:hAnsi="Verdana" w:cs="Arial"/>
                <w:b/>
                <w:lang w:val="es-ES_tradnl" w:eastAsia="es-ES_tradnl"/>
              </w:rPr>
              <w:t>Radicación:</w:t>
            </w:r>
            <w:r w:rsidRPr="004C713C">
              <w:rPr>
                <w:rFonts w:ascii="Verdana" w:eastAsia="Calibri" w:hAnsi="Verdana" w:cs="Arial"/>
                <w:lang w:val="es-ES_tradnl" w:eastAsia="es-ES_tradnl"/>
              </w:rPr>
              <w:t xml:space="preserve">               </w:t>
            </w:r>
          </w:p>
        </w:tc>
        <w:tc>
          <w:tcPr>
            <w:tcW w:w="6100" w:type="dxa"/>
          </w:tcPr>
          <w:p w14:paraId="24DB9BD0" w14:textId="77777777" w:rsidR="00473EB6" w:rsidRPr="004C713C" w:rsidRDefault="00473EB6" w:rsidP="0040574D">
            <w:pPr>
              <w:jc w:val="both"/>
              <w:rPr>
                <w:rFonts w:ascii="Verdana" w:eastAsia="Calibri" w:hAnsi="Verdana" w:cs="Arial"/>
                <w:lang w:val="es-ES_tradnl" w:eastAsia="es-ES_tradnl"/>
              </w:rPr>
            </w:pPr>
            <w:r w:rsidRPr="004C713C">
              <w:rPr>
                <w:rFonts w:ascii="Verdana" w:eastAsia="Calibri" w:hAnsi="Verdana" w:cs="Arial"/>
                <w:lang w:val="es-ES_tradnl" w:eastAsia="es-ES_tradnl"/>
              </w:rPr>
              <w:t>Respuesta a consulta con radicado No. 1_2025_09_08_009771</w:t>
            </w:r>
          </w:p>
        </w:tc>
      </w:tr>
    </w:tbl>
    <w:p w14:paraId="397767CE" w14:textId="77777777" w:rsidR="00473EB6" w:rsidRDefault="00473EB6" w:rsidP="00473EB6">
      <w:pPr>
        <w:spacing w:after="0" w:line="240" w:lineRule="auto"/>
        <w:jc w:val="both"/>
        <w:rPr>
          <w:rFonts w:ascii="Verdana" w:eastAsia="Calibri" w:hAnsi="Verdana" w:cs="Arial"/>
          <w:color w:val="000000"/>
          <w:lang w:val="es-ES_tradnl" w:eastAsia="es-ES_tradnl"/>
        </w:rPr>
      </w:pPr>
    </w:p>
    <w:p w14:paraId="34D62D0B" w14:textId="77777777" w:rsidR="00473EB6" w:rsidRDefault="00473EB6" w:rsidP="00473EB6">
      <w:pPr>
        <w:spacing w:after="0" w:line="240" w:lineRule="auto"/>
        <w:jc w:val="both"/>
        <w:rPr>
          <w:rFonts w:ascii="Verdana" w:eastAsia="Calibri" w:hAnsi="Verdana" w:cs="Arial"/>
          <w:color w:val="000000"/>
          <w:lang w:val="es-ES_tradnl" w:eastAsia="es-ES_tradnl"/>
        </w:rPr>
      </w:pPr>
    </w:p>
    <w:p w14:paraId="178AC55B" w14:textId="77777777" w:rsidR="00473EB6" w:rsidRDefault="00473EB6" w:rsidP="00473EB6">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García,</w:t>
      </w:r>
    </w:p>
    <w:p w14:paraId="41C1FD0A" w14:textId="77777777" w:rsidR="00473EB6" w:rsidRDefault="00473EB6" w:rsidP="00473EB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A153F53" w14:textId="7702086D" w:rsidR="00473EB6" w:rsidRDefault="00473EB6" w:rsidP="00473EB6">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8 de </w:t>
      </w:r>
      <w:r w:rsidR="24E51C10" w:rsidRPr="7D664DA9">
        <w:rPr>
          <w:rFonts w:ascii="Verdana" w:eastAsia="Calibri" w:hAnsi="Verdana" w:cs="Arial"/>
          <w:lang w:val="es-ES" w:eastAsia="es-ES"/>
        </w:rPr>
        <w:t>s</w:t>
      </w:r>
      <w:r w:rsidRPr="7D664DA9">
        <w:rPr>
          <w:rFonts w:ascii="Verdana" w:eastAsia="Calibri" w:hAnsi="Verdana" w:cs="Arial"/>
          <w:lang w:val="es-ES" w:eastAsia="es-ES"/>
        </w:rPr>
        <w:t>eptiembre</w:t>
      </w:r>
      <w:r>
        <w:rPr>
          <w:rFonts w:ascii="Verdana" w:eastAsia="Calibri" w:hAnsi="Verdana" w:cs="Arial"/>
          <w:lang w:val="es-ES" w:eastAsia="es-ES"/>
        </w:rPr>
        <w:t xml:space="preserve"> de 2025, en la cual manifiesta lo siguiente: </w:t>
      </w:r>
    </w:p>
    <w:p w14:paraId="2C2B3310" w14:textId="77777777" w:rsidR="00473EB6" w:rsidRDefault="00473EB6" w:rsidP="00473EB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052B379" w14:textId="77777777" w:rsidR="00473EB6" w:rsidRDefault="00473EB6" w:rsidP="00473EB6">
      <w:pPr>
        <w:autoSpaceDE w:val="0"/>
        <w:autoSpaceDN w:val="0"/>
        <w:adjustRightInd w:val="0"/>
        <w:spacing w:after="0" w:line="240" w:lineRule="auto"/>
        <w:ind w:left="709" w:right="709"/>
        <w:jc w:val="both"/>
        <w:rPr>
          <w:rFonts w:ascii="Verdana" w:hAnsi="Verdana" w:cs="ArialMT"/>
          <w:sz w:val="20"/>
          <w:szCs w:val="20"/>
        </w:rPr>
      </w:pPr>
      <w:bookmarkStart w:id="1" w:name="_Hlk95313578"/>
      <w:r w:rsidRPr="005E4943">
        <w:rPr>
          <w:rFonts w:ascii="Verdana" w:eastAsia="Century Gothic" w:hAnsi="Verdana" w:cs="Century Gothic"/>
          <w:sz w:val="20"/>
          <w:szCs w:val="20"/>
          <w:lang w:val="es-ES"/>
        </w:rPr>
        <w:t>“</w:t>
      </w:r>
      <w:bookmarkEnd w:id="1"/>
      <w:r w:rsidRPr="006A2651">
        <w:rPr>
          <w:rFonts w:ascii="Verdana" w:hAnsi="Verdana"/>
          <w:sz w:val="20"/>
          <w:szCs w:val="20"/>
        </w:rPr>
        <w:t xml:space="preserve">Tengo un contrato interadministrativo que va hasta el 28 de noviembre de 2025; </w:t>
      </w:r>
      <w:proofErr w:type="gramStart"/>
      <w:r w:rsidRPr="006A2651">
        <w:rPr>
          <w:rFonts w:ascii="Verdana" w:hAnsi="Verdana"/>
          <w:sz w:val="20"/>
          <w:szCs w:val="20"/>
        </w:rPr>
        <w:t>ese contrato están</w:t>
      </w:r>
      <w:proofErr w:type="gramEnd"/>
      <w:r w:rsidRPr="006A2651">
        <w:rPr>
          <w:rFonts w:ascii="Verdana" w:hAnsi="Verdana"/>
          <w:sz w:val="20"/>
          <w:szCs w:val="20"/>
        </w:rPr>
        <w:t xml:space="preserve"> incluidos 3 áreas (</w:t>
      </w:r>
      <w:proofErr w:type="gramStart"/>
      <w:r w:rsidRPr="006A2651">
        <w:rPr>
          <w:rFonts w:ascii="Verdana" w:hAnsi="Verdana"/>
          <w:sz w:val="20"/>
          <w:szCs w:val="20"/>
        </w:rPr>
        <w:t>A,B</w:t>
      </w:r>
      <w:proofErr w:type="gramEnd"/>
      <w:r w:rsidRPr="006A2651">
        <w:rPr>
          <w:rFonts w:ascii="Verdana" w:hAnsi="Verdana"/>
          <w:sz w:val="20"/>
          <w:szCs w:val="20"/>
        </w:rPr>
        <w:t xml:space="preserve"> Y C) con supervisión independiente. Dos de las áreas (A y B) no continuaran con el contrato ya que tienen viabilizado vigencias futuras y se irán con un nuevo contrato desde diciembre de 2025, pero C no cuenta con vigencias futuras por lo que requiere realizar una adición y prorroga a dicho </w:t>
      </w:r>
      <w:proofErr w:type="gramStart"/>
      <w:r w:rsidRPr="006A2651">
        <w:rPr>
          <w:rFonts w:ascii="Verdana" w:hAnsi="Verdana"/>
          <w:sz w:val="20"/>
          <w:szCs w:val="20"/>
        </w:rPr>
        <w:t>contrato</w:t>
      </w:r>
      <w:proofErr w:type="gramEnd"/>
      <w:r w:rsidRPr="006A2651">
        <w:rPr>
          <w:rFonts w:ascii="Verdana" w:hAnsi="Verdana"/>
          <w:sz w:val="20"/>
          <w:szCs w:val="20"/>
        </w:rPr>
        <w:t xml:space="preserve"> pero solo para lo relacionado a su </w:t>
      </w:r>
      <w:proofErr w:type="spellStart"/>
      <w:r w:rsidRPr="006A2651">
        <w:rPr>
          <w:rFonts w:ascii="Verdana" w:hAnsi="Verdana"/>
          <w:sz w:val="20"/>
          <w:szCs w:val="20"/>
        </w:rPr>
        <w:t>item</w:t>
      </w:r>
      <w:proofErr w:type="spellEnd"/>
      <w:r w:rsidRPr="006A2651">
        <w:rPr>
          <w:rFonts w:ascii="Verdana" w:hAnsi="Verdana"/>
          <w:sz w:val="20"/>
          <w:szCs w:val="20"/>
        </w:rPr>
        <w:t xml:space="preserve"> o supervisión. </w:t>
      </w:r>
      <w:proofErr w:type="gramStart"/>
      <w:r w:rsidRPr="006A2651">
        <w:rPr>
          <w:rFonts w:ascii="Verdana" w:hAnsi="Verdana"/>
          <w:sz w:val="20"/>
          <w:szCs w:val="20"/>
        </w:rPr>
        <w:t xml:space="preserve">Es viable realizar esa adición y prorroga solo para ese </w:t>
      </w:r>
      <w:proofErr w:type="spellStart"/>
      <w:r w:rsidRPr="006A2651">
        <w:rPr>
          <w:rFonts w:ascii="Verdana" w:hAnsi="Verdana"/>
          <w:sz w:val="20"/>
          <w:szCs w:val="20"/>
        </w:rPr>
        <w:t>item</w:t>
      </w:r>
      <w:proofErr w:type="spellEnd"/>
      <w:r w:rsidRPr="006A2651">
        <w:rPr>
          <w:rFonts w:ascii="Verdana" w:hAnsi="Verdana"/>
          <w:sz w:val="20"/>
          <w:szCs w:val="20"/>
        </w:rPr>
        <w:t xml:space="preserve"> </w:t>
      </w:r>
      <w:proofErr w:type="spellStart"/>
      <w:r w:rsidRPr="006A2651">
        <w:rPr>
          <w:rFonts w:ascii="Verdana" w:hAnsi="Verdana"/>
          <w:sz w:val="20"/>
          <w:szCs w:val="20"/>
        </w:rPr>
        <w:t>asi</w:t>
      </w:r>
      <w:proofErr w:type="spellEnd"/>
      <w:r w:rsidRPr="006A2651">
        <w:rPr>
          <w:rFonts w:ascii="Verdana" w:hAnsi="Verdana"/>
          <w:sz w:val="20"/>
          <w:szCs w:val="20"/>
        </w:rPr>
        <w:t xml:space="preserve"> las otras áreas no continúen?</w:t>
      </w:r>
      <w:proofErr w:type="gramEnd"/>
      <w:r w:rsidRPr="006A2651">
        <w:rPr>
          <w:rFonts w:ascii="Verdana" w:hAnsi="Verdana"/>
          <w:sz w:val="20"/>
          <w:szCs w:val="20"/>
        </w:rPr>
        <w:t xml:space="preserve"> </w:t>
      </w:r>
      <w:proofErr w:type="gramStart"/>
      <w:r w:rsidRPr="006A2651">
        <w:rPr>
          <w:rFonts w:ascii="Verdana" w:hAnsi="Verdana"/>
          <w:sz w:val="20"/>
          <w:szCs w:val="20"/>
        </w:rPr>
        <w:t xml:space="preserve">procede una liquidación parcial para los </w:t>
      </w:r>
      <w:proofErr w:type="spellStart"/>
      <w:r w:rsidRPr="006A2651">
        <w:rPr>
          <w:rFonts w:ascii="Verdana" w:hAnsi="Verdana"/>
          <w:sz w:val="20"/>
          <w:szCs w:val="20"/>
        </w:rPr>
        <w:t>item</w:t>
      </w:r>
      <w:proofErr w:type="spellEnd"/>
      <w:r w:rsidRPr="006A2651">
        <w:rPr>
          <w:rFonts w:ascii="Verdana" w:hAnsi="Verdana"/>
          <w:sz w:val="20"/>
          <w:szCs w:val="20"/>
        </w:rPr>
        <w:t xml:space="preserve"> de las otras </w:t>
      </w:r>
      <w:proofErr w:type="spellStart"/>
      <w:r w:rsidRPr="006A2651">
        <w:rPr>
          <w:rFonts w:ascii="Verdana" w:hAnsi="Verdana"/>
          <w:sz w:val="20"/>
          <w:szCs w:val="20"/>
        </w:rPr>
        <w:t>areas</w:t>
      </w:r>
      <w:proofErr w:type="spellEnd"/>
      <w:r w:rsidRPr="006A2651">
        <w:rPr>
          <w:rFonts w:ascii="Verdana" w:hAnsi="Verdana"/>
          <w:sz w:val="20"/>
          <w:szCs w:val="20"/>
        </w:rPr>
        <w:t>?</w:t>
      </w:r>
      <w:proofErr w:type="gramEnd"/>
      <w:r w:rsidRPr="006A2651">
        <w:rPr>
          <w:rFonts w:ascii="Verdana" w:hAnsi="Verdana"/>
          <w:sz w:val="20"/>
          <w:szCs w:val="20"/>
        </w:rPr>
        <w:t>”</w:t>
      </w:r>
    </w:p>
    <w:p w14:paraId="4FBBE772" w14:textId="77777777" w:rsidR="00473EB6" w:rsidRPr="00924340" w:rsidRDefault="00473EB6" w:rsidP="00473EB6">
      <w:pPr>
        <w:autoSpaceDE w:val="0"/>
        <w:autoSpaceDN w:val="0"/>
        <w:adjustRightInd w:val="0"/>
        <w:spacing w:after="0" w:line="276" w:lineRule="auto"/>
        <w:ind w:left="851" w:right="616"/>
        <w:jc w:val="both"/>
        <w:rPr>
          <w:rFonts w:ascii="Verdana" w:eastAsia="Century Gothic" w:hAnsi="Verdana" w:cs="Century Gothic"/>
          <w:b/>
        </w:rPr>
      </w:pPr>
    </w:p>
    <w:p w14:paraId="76AAECFB" w14:textId="77777777" w:rsidR="00473EB6" w:rsidRDefault="00473EB6" w:rsidP="00473EB6">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165260F5" w14:textId="77777777" w:rsidR="00473EB6" w:rsidRDefault="00473EB6" w:rsidP="00473EB6">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715E4F92" w14:textId="77777777" w:rsidR="00473EB6" w:rsidRDefault="00473EB6" w:rsidP="00473EB6">
      <w:pPr>
        <w:spacing w:after="0" w:line="276" w:lineRule="auto"/>
        <w:ind w:firstLine="709"/>
        <w:jc w:val="both"/>
        <w:rPr>
          <w:rFonts w:ascii="Verdana" w:eastAsia="Calibri" w:hAnsi="Verdana" w:cs="Arial"/>
          <w:color w:val="000000"/>
          <w:lang w:val="es-ES" w:eastAsia="es-ES"/>
        </w:rPr>
      </w:pPr>
    </w:p>
    <w:p w14:paraId="4A1F9990" w14:textId="77777777" w:rsidR="00473EB6" w:rsidRDefault="00473EB6" w:rsidP="00473E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3952F72A" w14:textId="77777777" w:rsidR="00473EB6" w:rsidRDefault="00473EB6" w:rsidP="00473EB6">
      <w:pPr>
        <w:tabs>
          <w:tab w:val="left" w:pos="426"/>
        </w:tabs>
        <w:spacing w:after="0" w:line="276" w:lineRule="auto"/>
        <w:jc w:val="both"/>
        <w:rPr>
          <w:rFonts w:ascii="Verdana" w:eastAsia="Century Gothic" w:hAnsi="Verdana" w:cs="Century Gothic"/>
          <w:lang w:val="es-ES"/>
        </w:rPr>
      </w:pPr>
    </w:p>
    <w:p w14:paraId="3EE0D588" w14:textId="77777777" w:rsidR="00473EB6" w:rsidRDefault="00473EB6" w:rsidP="00473EB6">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i) ¿Cuándo procede la adición y prórroga de contratos interadministrativos? </w:t>
      </w:r>
      <w:proofErr w:type="spellStart"/>
      <w:r>
        <w:rPr>
          <w:rFonts w:ascii="Verdana" w:eastAsia="Century Gothic" w:hAnsi="Verdana" w:cs="Century Gothic"/>
        </w:rPr>
        <w:t>ii</w:t>
      </w:r>
      <w:proofErr w:type="spellEnd"/>
      <w:r>
        <w:rPr>
          <w:rFonts w:ascii="Verdana" w:eastAsia="Century Gothic" w:hAnsi="Verdana" w:cs="Century Gothic"/>
        </w:rPr>
        <w:t>) ¿Procede la liquidación parcial de un contrato interadministrativo?</w:t>
      </w:r>
    </w:p>
    <w:p w14:paraId="526CA2FD" w14:textId="77777777" w:rsidR="00473EB6" w:rsidRDefault="00473EB6" w:rsidP="00473EB6">
      <w:pPr>
        <w:spacing w:after="0" w:line="276" w:lineRule="auto"/>
        <w:jc w:val="both"/>
        <w:rPr>
          <w:rFonts w:ascii="Verdana" w:eastAsia="Calibri" w:hAnsi="Verdana" w:cs="Arial"/>
          <w:color w:val="7030A0"/>
          <w:lang w:val="es-ES"/>
        </w:rPr>
      </w:pPr>
    </w:p>
    <w:p w14:paraId="2CB5A2EC" w14:textId="77777777" w:rsidR="00473EB6" w:rsidRDefault="00473EB6" w:rsidP="00473E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F37F77F" w14:textId="77777777" w:rsidR="00473EB6" w:rsidRDefault="00473EB6" w:rsidP="00473EB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73EB6" w14:paraId="6F307225" w14:textId="77777777" w:rsidTr="0040574D">
        <w:tc>
          <w:tcPr>
            <w:tcW w:w="8828" w:type="dxa"/>
            <w:tcBorders>
              <w:top w:val="dotted" w:sz="4" w:space="0" w:color="auto"/>
              <w:left w:val="dotted" w:sz="4" w:space="0" w:color="auto"/>
              <w:bottom w:val="dotted" w:sz="4" w:space="0" w:color="auto"/>
              <w:right w:val="dotted" w:sz="4" w:space="0" w:color="auto"/>
            </w:tcBorders>
          </w:tcPr>
          <w:p w14:paraId="311EB315" w14:textId="77777777" w:rsidR="00473EB6" w:rsidRPr="0083168A" w:rsidRDefault="00473EB6" w:rsidP="0061099F">
            <w:pPr>
              <w:spacing w:after="120" w:line="276" w:lineRule="auto"/>
              <w:jc w:val="both"/>
              <w:rPr>
                <w:rFonts w:ascii="Verdana" w:eastAsia="Calibri" w:hAnsi="Verdana" w:cs="Arial"/>
              </w:rPr>
            </w:pPr>
            <w:r>
              <w:rPr>
                <w:rFonts w:ascii="Verdana" w:eastAsia="Calibri" w:hAnsi="Verdana" w:cs="Arial"/>
              </w:rPr>
              <w:t xml:space="preserve">i) </w:t>
            </w:r>
            <w:r w:rsidRPr="00286FF3">
              <w:rPr>
                <w:rFonts w:ascii="Verdana" w:eastAsia="Calibri" w:hAnsi="Verdana" w:cs="Arial"/>
              </w:rPr>
              <w:t xml:space="preserve">El Estatuto General de Contratación de la Administración Pública, contenido en las Leyes 80 de 1993, 1150 de 2007 y 1474 de 2011, así como en las normas que las han modificado y las reglamentan, no consagran una regulación expresa sobre la posibilidad de modificar los contratos celebrados por las Entidades Estatales. Ello encuentra sustento en que, en principio, los contratos deben ejecutarse en las condiciones pactadas inicialmente, pues tales condiciones fueron convenidas luego de que la entidad pública surtiera todos los procedimientos </w:t>
            </w:r>
            <w:r w:rsidRPr="0083168A">
              <w:rPr>
                <w:rFonts w:ascii="Verdana" w:eastAsia="Calibri" w:hAnsi="Verdana" w:cs="Arial"/>
              </w:rPr>
              <w:t xml:space="preserve">previstos para la selección de su contratista y definiera los aspectos, técnicos, legales y financieros propios de cada caso, con observancia de los principios de la función administrativa, aplicables al proceso de gestión contractual. La regulación expresa contenida en la ley, se limita a fijar los porcentajes límite para adicionar los valores inicialmente pactados, como lo hace el artículo 40 de la Ley 80 de 1993. </w:t>
            </w:r>
          </w:p>
          <w:p w14:paraId="01C8EE58" w14:textId="77777777" w:rsidR="00473EB6" w:rsidRPr="004C713C" w:rsidRDefault="00473EB6" w:rsidP="0061099F">
            <w:pPr>
              <w:spacing w:after="120" w:line="276" w:lineRule="auto"/>
              <w:ind w:firstLine="709"/>
              <w:jc w:val="both"/>
              <w:rPr>
                <w:rFonts w:ascii="Verdana" w:eastAsia="Calibri" w:hAnsi="Verdana" w:cs="Arial"/>
              </w:rPr>
            </w:pPr>
            <w:r w:rsidRPr="0083168A">
              <w:rPr>
                <w:rFonts w:ascii="Verdana" w:eastAsia="Calibri" w:hAnsi="Verdana" w:cs="Arial"/>
              </w:rPr>
              <w:lastRenderedPageBreak/>
              <w:t>Por su parte, en el Concepto 2263 del 17 de marzo del 2016, la Sala de Consulta y Servicio Civil del Consejo de Estado precisó que la regla general es la no modificación del contrato, y la vía excepcional su modificación, sometida a límites legales (de orden formal, material y temporal, así como l</w:t>
            </w:r>
            <w:r w:rsidRPr="0083168A">
              <w:rPr>
                <w:rFonts w:ascii="Verdana" w:eastAsia="Calibri" w:hAnsi="Verdana" w:cs="Arial"/>
                <w:lang w:val="es-MX" w:eastAsia="es-ES_tradnl"/>
              </w:rPr>
              <w:t xml:space="preserve">a necesidad de preservar </w:t>
            </w:r>
            <w:r w:rsidRPr="004C713C">
              <w:rPr>
                <w:rFonts w:ascii="Verdana" w:eastAsia="Calibri" w:hAnsi="Verdana" w:cs="Arial"/>
                <w:lang w:val="es-MX" w:eastAsia="es-ES_tradnl"/>
              </w:rPr>
              <w:t xml:space="preserve">los principios de igualdad, transparencia y libertad de concurrencia, durante la fase de ejecución del contrato). </w:t>
            </w:r>
          </w:p>
          <w:p w14:paraId="146C64E9" w14:textId="77777777" w:rsidR="00473EB6" w:rsidRPr="004C713C" w:rsidRDefault="00473EB6" w:rsidP="0006154C">
            <w:pPr>
              <w:spacing w:line="276" w:lineRule="auto"/>
              <w:ind w:firstLine="709"/>
              <w:jc w:val="both"/>
              <w:rPr>
                <w:rFonts w:ascii="Verdana" w:eastAsia="Calibri" w:hAnsi="Verdana" w:cs="Arial"/>
              </w:rPr>
            </w:pPr>
            <w:r w:rsidRPr="004C713C">
              <w:rPr>
                <w:rFonts w:ascii="Verdana" w:eastAsia="Calibri" w:hAnsi="Verdana" w:cs="Arial"/>
              </w:rPr>
              <w:t>Es claro entonces, que conforme a la regulación legal y a la interpretación que de la misma han realizado el Consejo de Estado y la Corte Constitucional, la cual es compartida por esta Agencia, es viable jurídicamente modificar los contratos estatales, pero dicha medida tiene un carácter excepcional y sólo procede cuando con ella se pretende garantizar el interés público, cuando la entidad haya verificado y así pueda constatarse, que la causa de la modificación es real y cierta; y cuando se deriva de previsiones legales, esto es, cuando la modificación encuentra sustento no sólo en circunstancias fácticas propias de la ejecución del contrato, sino, además, cuando tales situaciones ponen de presente la necesidad de dar cumplimiento a previsiones establecidas por el legislador. De esta manera, para establecer si un contrato determinado puede ser susceptible de modificación, se hace necesario que la Administración analice, en cada caso, la concurrencia de los aspectos antes referidos.</w:t>
            </w:r>
          </w:p>
          <w:p w14:paraId="2BE62AC9" w14:textId="77777777" w:rsidR="0006154C" w:rsidRPr="004C713C" w:rsidRDefault="0006154C" w:rsidP="0061099F">
            <w:pPr>
              <w:spacing w:line="276" w:lineRule="auto"/>
              <w:ind w:firstLine="709"/>
              <w:jc w:val="both"/>
              <w:rPr>
                <w:rFonts w:ascii="Verdana" w:eastAsia="Calibri" w:hAnsi="Verdana" w:cs="Arial"/>
              </w:rPr>
            </w:pPr>
          </w:p>
          <w:p w14:paraId="1D68084E" w14:textId="0C0115EC" w:rsidR="00473EB6" w:rsidRPr="004C713C" w:rsidRDefault="00473EB6" w:rsidP="0061099F">
            <w:pPr>
              <w:pStyle w:val="Sinespaciado"/>
              <w:spacing w:after="120" w:line="276" w:lineRule="auto"/>
              <w:jc w:val="both"/>
              <w:rPr>
                <w:rFonts w:ascii="Verdana" w:eastAsia="Calibri" w:hAnsi="Verdana" w:cs="Arial"/>
                <w:bCs/>
                <w:lang w:val="es-ES"/>
              </w:rPr>
            </w:pPr>
            <w:proofErr w:type="spellStart"/>
            <w:r w:rsidRPr="004C713C">
              <w:rPr>
                <w:rFonts w:ascii="Verdana" w:eastAsia="Calibri" w:hAnsi="Verdana" w:cs="Arial"/>
              </w:rPr>
              <w:t>ii</w:t>
            </w:r>
            <w:proofErr w:type="spellEnd"/>
            <w:r w:rsidRPr="004C713C">
              <w:rPr>
                <w:rFonts w:ascii="Verdana" w:eastAsia="Calibri" w:hAnsi="Verdana" w:cs="Arial"/>
              </w:rPr>
              <w:t xml:space="preserve">) </w:t>
            </w:r>
            <w:r w:rsidR="0006154C">
              <w:rPr>
                <w:rFonts w:ascii="Verdana" w:eastAsia="Calibri" w:hAnsi="Verdana" w:cs="Arial"/>
                <w:bCs/>
                <w:lang w:val="es-ES"/>
              </w:rPr>
              <w:t>E</w:t>
            </w:r>
            <w:r w:rsidR="0006154C" w:rsidRPr="004C713C">
              <w:rPr>
                <w:rFonts w:ascii="Verdana" w:eastAsia="Calibri" w:hAnsi="Verdana" w:cs="Arial"/>
                <w:bCs/>
                <w:lang w:val="es-ES"/>
              </w:rPr>
              <w:t>n</w:t>
            </w:r>
            <w:r w:rsidRPr="004C713C">
              <w:rPr>
                <w:rFonts w:ascii="Verdana" w:eastAsia="Calibri" w:hAnsi="Verdana" w:cs="Arial"/>
                <w:bCs/>
                <w:lang w:val="es-ES"/>
              </w:rPr>
              <w:t xml:space="preserve"> relación con la liquidación de los contratos, se resalta que la Ley 80 de 1993 en su artículo 60 define los contratos que las Entidades Estatales deben liquidar: i) los contratos de tracto sucesivo, esto es aquellos cuyas obligaciones se ejecuten de manera periódica o difieren en el tiempo o sucesivamente a medida que se van causando, </w:t>
            </w:r>
            <w:proofErr w:type="spellStart"/>
            <w:r w:rsidRPr="004C713C">
              <w:rPr>
                <w:rFonts w:ascii="Verdana" w:eastAsia="Calibri" w:hAnsi="Verdana" w:cs="Arial"/>
                <w:bCs/>
                <w:lang w:val="es-ES"/>
              </w:rPr>
              <w:t>ii</w:t>
            </w:r>
            <w:proofErr w:type="spellEnd"/>
            <w:r w:rsidRPr="004C713C">
              <w:rPr>
                <w:rFonts w:ascii="Verdana" w:eastAsia="Calibri" w:hAnsi="Verdana" w:cs="Arial"/>
                <w:bCs/>
                <w:lang w:val="es-ES"/>
              </w:rPr>
              <w:t xml:space="preserve">) aquellos contratos cuya ejecución o cumplimiento se prolonguen en el tiempo, ya sea por la naturaleza periódica de las prestaciones o por las vicisitudes que se presenten en su ejecución que lo dilaten o prorroguen y, </w:t>
            </w:r>
            <w:proofErr w:type="spellStart"/>
            <w:r w:rsidRPr="004C713C">
              <w:rPr>
                <w:rFonts w:ascii="Verdana" w:eastAsia="Calibri" w:hAnsi="Verdana" w:cs="Arial"/>
                <w:bCs/>
                <w:lang w:val="es-ES"/>
              </w:rPr>
              <w:t>iii</w:t>
            </w:r>
            <w:proofErr w:type="spellEnd"/>
            <w:r w:rsidRPr="004C713C">
              <w:rPr>
                <w:rFonts w:ascii="Verdana" w:eastAsia="Calibri" w:hAnsi="Verdana" w:cs="Arial"/>
                <w:bCs/>
                <w:lang w:val="es-ES"/>
              </w:rPr>
              <w:t>) los demás que lo requieran, con fundamento en su naturaleza, objeto y plazo, así como su importancia o relevancia o por la eventualidad de discrepancias y controversias en torno a su ejecución; y a su vez, establece una salvedad, que en los contratos de prestación de servicios profesionales y de apoyo a la gestión, no es obligatoria la liquidación.</w:t>
            </w:r>
          </w:p>
          <w:p w14:paraId="3B1351A8" w14:textId="77777777" w:rsidR="00473EB6" w:rsidRPr="004C713C" w:rsidRDefault="00473EB6" w:rsidP="0061099F">
            <w:pPr>
              <w:pStyle w:val="Sinespaciado"/>
              <w:spacing w:after="120" w:line="276" w:lineRule="auto"/>
              <w:ind w:firstLine="709"/>
              <w:jc w:val="both"/>
              <w:rPr>
                <w:rFonts w:ascii="Arial" w:eastAsia="Calibri" w:hAnsi="Arial" w:cs="Arial"/>
                <w:bCs/>
                <w:lang w:val="es-ES"/>
              </w:rPr>
            </w:pPr>
            <w:r w:rsidRPr="004C713C">
              <w:rPr>
                <w:rFonts w:ascii="Verdana" w:eastAsia="Calibri" w:hAnsi="Verdana" w:cs="Arial"/>
                <w:bCs/>
                <w:lang w:val="es-ES"/>
              </w:rPr>
              <w:t xml:space="preserve">Por su parte, </w:t>
            </w:r>
            <w:r w:rsidRPr="004C713C">
              <w:rPr>
                <w:rFonts w:ascii="Verdana" w:hAnsi="Verdana"/>
                <w:lang w:val="es-ES"/>
              </w:rPr>
              <w:t>el artículo 11 de la Ley 1150 de 2007, existen tres</w:t>
            </w:r>
            <w:r w:rsidRPr="004C713C">
              <w:rPr>
                <w:rFonts w:ascii="Verdana" w:hAnsi="Verdana"/>
                <w:spacing w:val="30"/>
                <w:lang w:val="es-ES"/>
              </w:rPr>
              <w:t xml:space="preserve"> </w:t>
            </w:r>
            <w:r w:rsidRPr="004C713C">
              <w:rPr>
                <w:rFonts w:ascii="Verdana" w:hAnsi="Verdana"/>
                <w:lang w:val="es-ES"/>
              </w:rPr>
              <w:t>(3)</w:t>
            </w:r>
            <w:r w:rsidRPr="004C713C">
              <w:rPr>
                <w:rFonts w:ascii="Verdana" w:hAnsi="Verdana"/>
                <w:spacing w:val="29"/>
                <w:lang w:val="es-ES"/>
              </w:rPr>
              <w:t xml:space="preserve"> </w:t>
            </w:r>
            <w:r w:rsidRPr="004C713C">
              <w:rPr>
                <w:rFonts w:ascii="Verdana" w:hAnsi="Verdana"/>
                <w:lang w:val="es-ES"/>
              </w:rPr>
              <w:t>tipos</w:t>
            </w:r>
            <w:r w:rsidRPr="004C713C">
              <w:rPr>
                <w:rFonts w:ascii="Verdana" w:hAnsi="Verdana"/>
                <w:spacing w:val="30"/>
                <w:lang w:val="es-ES"/>
              </w:rPr>
              <w:t xml:space="preserve"> </w:t>
            </w:r>
            <w:r w:rsidRPr="004C713C">
              <w:rPr>
                <w:rFonts w:ascii="Verdana" w:hAnsi="Verdana"/>
                <w:lang w:val="es-ES"/>
              </w:rPr>
              <w:t>de</w:t>
            </w:r>
            <w:r w:rsidRPr="004C713C">
              <w:rPr>
                <w:rFonts w:ascii="Verdana" w:hAnsi="Verdana"/>
                <w:spacing w:val="29"/>
                <w:lang w:val="es-ES"/>
              </w:rPr>
              <w:t xml:space="preserve"> </w:t>
            </w:r>
            <w:r w:rsidRPr="004C713C">
              <w:rPr>
                <w:rFonts w:ascii="Verdana" w:hAnsi="Verdana"/>
                <w:lang w:val="es-ES"/>
              </w:rPr>
              <w:t>liquidación:</w:t>
            </w:r>
            <w:r w:rsidRPr="004C713C">
              <w:rPr>
                <w:rFonts w:ascii="Verdana" w:hAnsi="Verdana"/>
                <w:spacing w:val="32"/>
                <w:lang w:val="es-ES"/>
              </w:rPr>
              <w:t xml:space="preserve"> </w:t>
            </w:r>
            <w:r w:rsidRPr="004C713C">
              <w:rPr>
                <w:rFonts w:ascii="Verdana" w:hAnsi="Verdana"/>
                <w:lang w:val="es-ES"/>
              </w:rPr>
              <w:t>i)</w:t>
            </w:r>
            <w:r w:rsidRPr="004C713C">
              <w:rPr>
                <w:rFonts w:ascii="Verdana" w:hAnsi="Verdana"/>
                <w:spacing w:val="29"/>
                <w:lang w:val="es-ES"/>
              </w:rPr>
              <w:t xml:space="preserve"> </w:t>
            </w:r>
            <w:r w:rsidRPr="004C713C">
              <w:rPr>
                <w:rFonts w:ascii="Verdana" w:hAnsi="Verdana"/>
                <w:lang w:val="es-ES"/>
              </w:rPr>
              <w:t>bilateral,</w:t>
            </w:r>
            <w:r w:rsidRPr="004C713C">
              <w:rPr>
                <w:rFonts w:ascii="Verdana" w:hAnsi="Verdana"/>
                <w:spacing w:val="32"/>
                <w:lang w:val="es-ES"/>
              </w:rPr>
              <w:t xml:space="preserve"> </w:t>
            </w:r>
            <w:proofErr w:type="spellStart"/>
            <w:r w:rsidRPr="004C713C">
              <w:rPr>
                <w:rFonts w:ascii="Verdana" w:hAnsi="Verdana"/>
                <w:lang w:val="es-ES"/>
              </w:rPr>
              <w:t>ii</w:t>
            </w:r>
            <w:proofErr w:type="spellEnd"/>
            <w:r w:rsidRPr="004C713C">
              <w:rPr>
                <w:rFonts w:ascii="Verdana" w:hAnsi="Verdana"/>
                <w:lang w:val="es-ES"/>
              </w:rPr>
              <w:t>)</w:t>
            </w:r>
            <w:r w:rsidRPr="004C713C">
              <w:rPr>
                <w:rFonts w:ascii="Verdana" w:hAnsi="Verdana"/>
                <w:spacing w:val="29"/>
                <w:lang w:val="es-ES"/>
              </w:rPr>
              <w:t xml:space="preserve"> </w:t>
            </w:r>
            <w:r w:rsidRPr="004C713C">
              <w:rPr>
                <w:rFonts w:ascii="Verdana" w:hAnsi="Verdana"/>
                <w:lang w:val="es-ES"/>
              </w:rPr>
              <w:t>unilateral</w:t>
            </w:r>
            <w:r w:rsidRPr="004C713C">
              <w:rPr>
                <w:rFonts w:ascii="Verdana" w:hAnsi="Verdana"/>
                <w:spacing w:val="32"/>
                <w:lang w:val="es-ES"/>
              </w:rPr>
              <w:t xml:space="preserve"> </w:t>
            </w:r>
            <w:r w:rsidRPr="004C713C">
              <w:rPr>
                <w:rFonts w:ascii="Verdana" w:hAnsi="Verdana"/>
                <w:lang w:val="es-ES"/>
              </w:rPr>
              <w:t>y</w:t>
            </w:r>
            <w:r w:rsidRPr="004C713C">
              <w:rPr>
                <w:rFonts w:ascii="Verdana" w:hAnsi="Verdana"/>
                <w:spacing w:val="29"/>
                <w:lang w:val="es-ES"/>
              </w:rPr>
              <w:t xml:space="preserve"> </w:t>
            </w:r>
            <w:proofErr w:type="spellStart"/>
            <w:r w:rsidRPr="004C713C">
              <w:rPr>
                <w:rFonts w:ascii="Verdana" w:hAnsi="Verdana"/>
                <w:lang w:val="es-ES"/>
              </w:rPr>
              <w:t>iii</w:t>
            </w:r>
            <w:proofErr w:type="spellEnd"/>
            <w:r w:rsidRPr="004C713C">
              <w:rPr>
                <w:rFonts w:ascii="Verdana" w:hAnsi="Verdana"/>
                <w:lang w:val="es-ES"/>
              </w:rPr>
              <w:t>)</w:t>
            </w:r>
            <w:r w:rsidRPr="004C713C">
              <w:rPr>
                <w:rFonts w:ascii="Verdana" w:hAnsi="Verdana"/>
                <w:spacing w:val="29"/>
                <w:lang w:val="es-ES"/>
              </w:rPr>
              <w:t xml:space="preserve"> </w:t>
            </w:r>
            <w:r w:rsidRPr="004C713C">
              <w:rPr>
                <w:rFonts w:ascii="Verdana" w:hAnsi="Verdana"/>
                <w:lang w:val="es-ES"/>
              </w:rPr>
              <w:t>judicial.</w:t>
            </w:r>
            <w:r w:rsidRPr="004C713C">
              <w:rPr>
                <w:rFonts w:ascii="Verdana" w:hAnsi="Verdana"/>
                <w:spacing w:val="32"/>
                <w:lang w:val="es-ES"/>
              </w:rPr>
              <w:t xml:space="preserve"> </w:t>
            </w:r>
            <w:r w:rsidRPr="004C713C">
              <w:rPr>
                <w:rFonts w:ascii="Verdana" w:hAnsi="Verdana"/>
                <w:lang w:val="es-ES"/>
              </w:rPr>
              <w:t xml:space="preserve">En términos generales, la primera, que puede ser total o parcial, debe hacerse en el término </w:t>
            </w:r>
            <w:r w:rsidRPr="004C713C">
              <w:rPr>
                <w:rFonts w:ascii="Verdana" w:hAnsi="Verdana"/>
                <w:lang w:val="es-ES"/>
              </w:rPr>
              <w:lastRenderedPageBreak/>
              <w:t>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w:t>
            </w:r>
            <w:r w:rsidRPr="004C713C">
              <w:rPr>
                <w:rFonts w:ascii="Verdana" w:hAnsi="Verdana"/>
                <w:spacing w:val="-15"/>
                <w:lang w:val="es-ES"/>
              </w:rPr>
              <w:t xml:space="preserve"> </w:t>
            </w:r>
            <w:r w:rsidRPr="004C713C">
              <w:rPr>
                <w:rFonts w:ascii="Verdana" w:hAnsi="Verdana"/>
                <w:lang w:val="es-ES"/>
              </w:rPr>
              <w:t>o</w:t>
            </w:r>
            <w:r w:rsidRPr="004C713C">
              <w:rPr>
                <w:rFonts w:ascii="Verdana" w:hAnsi="Verdana"/>
                <w:spacing w:val="-19"/>
                <w:lang w:val="es-ES"/>
              </w:rPr>
              <w:t xml:space="preserve"> </w:t>
            </w:r>
            <w:r w:rsidRPr="004C713C">
              <w:rPr>
                <w:rFonts w:ascii="Verdana" w:hAnsi="Verdana"/>
                <w:lang w:val="es-ES"/>
              </w:rPr>
              <w:t>un</w:t>
            </w:r>
            <w:r w:rsidRPr="004C713C">
              <w:rPr>
                <w:rFonts w:ascii="Verdana" w:hAnsi="Verdana"/>
                <w:spacing w:val="-18"/>
                <w:lang w:val="es-ES"/>
              </w:rPr>
              <w:t xml:space="preserve"> </w:t>
            </w:r>
            <w:r w:rsidRPr="004C713C">
              <w:rPr>
                <w:rFonts w:ascii="Verdana" w:hAnsi="Verdana"/>
                <w:lang w:val="es-ES"/>
              </w:rPr>
              <w:t>tribunal</w:t>
            </w:r>
            <w:r w:rsidRPr="004C713C">
              <w:rPr>
                <w:rFonts w:ascii="Verdana" w:hAnsi="Verdana"/>
                <w:spacing w:val="-17"/>
                <w:lang w:val="es-ES"/>
              </w:rPr>
              <w:t xml:space="preserve"> </w:t>
            </w:r>
            <w:r w:rsidRPr="004C713C">
              <w:rPr>
                <w:rFonts w:ascii="Verdana" w:hAnsi="Verdana"/>
                <w:lang w:val="es-ES"/>
              </w:rPr>
              <w:t>de</w:t>
            </w:r>
            <w:r w:rsidRPr="004C713C">
              <w:rPr>
                <w:rFonts w:ascii="Verdana" w:hAnsi="Verdana"/>
                <w:spacing w:val="-18"/>
                <w:lang w:val="es-ES"/>
              </w:rPr>
              <w:t xml:space="preserve"> </w:t>
            </w:r>
            <w:r w:rsidRPr="004C713C">
              <w:rPr>
                <w:rFonts w:ascii="Verdana" w:hAnsi="Verdana"/>
                <w:lang w:val="es-ES"/>
              </w:rPr>
              <w:t>arbitramento</w:t>
            </w:r>
            <w:r w:rsidRPr="004C713C">
              <w:rPr>
                <w:rFonts w:ascii="Verdana" w:hAnsi="Verdana"/>
                <w:spacing w:val="-15"/>
                <w:lang w:val="es-ES"/>
              </w:rPr>
              <w:t xml:space="preserve"> </w:t>
            </w:r>
            <w:r w:rsidRPr="004C713C">
              <w:rPr>
                <w:rFonts w:ascii="Verdana" w:hAnsi="Verdana"/>
                <w:lang w:val="es-ES"/>
              </w:rPr>
              <w:t>dentro</w:t>
            </w:r>
            <w:r w:rsidRPr="004C713C">
              <w:rPr>
                <w:rFonts w:ascii="Verdana" w:hAnsi="Verdana"/>
                <w:spacing w:val="-18"/>
                <w:lang w:val="es-ES"/>
              </w:rPr>
              <w:t xml:space="preserve"> </w:t>
            </w:r>
            <w:r w:rsidRPr="004C713C">
              <w:rPr>
                <w:rFonts w:ascii="Verdana" w:hAnsi="Verdana"/>
                <w:lang w:val="es-ES"/>
              </w:rPr>
              <w:t>de</w:t>
            </w:r>
            <w:r w:rsidRPr="004C713C">
              <w:rPr>
                <w:rFonts w:ascii="Verdana" w:hAnsi="Verdana"/>
                <w:spacing w:val="-18"/>
                <w:lang w:val="es-ES"/>
              </w:rPr>
              <w:t xml:space="preserve"> </w:t>
            </w:r>
            <w:r w:rsidRPr="004C713C">
              <w:rPr>
                <w:rFonts w:ascii="Verdana" w:hAnsi="Verdana"/>
                <w:lang w:val="es-ES"/>
              </w:rPr>
              <w:t>un</w:t>
            </w:r>
            <w:r w:rsidRPr="004C713C">
              <w:rPr>
                <w:rFonts w:ascii="Verdana" w:hAnsi="Verdana"/>
                <w:spacing w:val="-19"/>
                <w:lang w:val="es-ES"/>
              </w:rPr>
              <w:t xml:space="preserve"> </w:t>
            </w:r>
            <w:r w:rsidRPr="004C713C">
              <w:rPr>
                <w:rFonts w:ascii="Verdana" w:hAnsi="Verdana"/>
                <w:lang w:val="es-ES"/>
              </w:rPr>
              <w:t>proceso</w:t>
            </w:r>
            <w:r w:rsidRPr="004C713C">
              <w:rPr>
                <w:rFonts w:ascii="Verdana" w:hAnsi="Verdana"/>
                <w:spacing w:val="-17"/>
                <w:lang w:val="es-ES"/>
              </w:rPr>
              <w:t xml:space="preserve"> </w:t>
            </w:r>
            <w:r w:rsidRPr="004C713C">
              <w:rPr>
                <w:rFonts w:ascii="Verdana" w:hAnsi="Verdana"/>
                <w:lang w:val="es-ES"/>
              </w:rPr>
              <w:t>judicial de controversias contractuales, y puede darse con ocasión de una demanda</w:t>
            </w:r>
            <w:r w:rsidRPr="004C713C">
              <w:rPr>
                <w:rFonts w:ascii="Verdana" w:hAnsi="Verdana"/>
                <w:spacing w:val="-3"/>
                <w:lang w:val="es-ES"/>
              </w:rPr>
              <w:t xml:space="preserve"> </w:t>
            </w:r>
            <w:r w:rsidRPr="004C713C">
              <w:rPr>
                <w:rFonts w:ascii="Verdana" w:hAnsi="Verdana"/>
                <w:lang w:val="es-ES"/>
              </w:rPr>
              <w:t>del</w:t>
            </w:r>
            <w:r w:rsidRPr="004C713C">
              <w:rPr>
                <w:rFonts w:ascii="Verdana" w:hAnsi="Verdana"/>
                <w:spacing w:val="-4"/>
                <w:lang w:val="es-ES"/>
              </w:rPr>
              <w:t xml:space="preserve"> </w:t>
            </w:r>
            <w:r w:rsidRPr="004C713C">
              <w:rPr>
                <w:rFonts w:ascii="Verdana" w:hAnsi="Verdana"/>
                <w:lang w:val="es-ES"/>
              </w:rPr>
              <w:t>interesado</w:t>
            </w:r>
            <w:r w:rsidRPr="004C713C">
              <w:rPr>
                <w:rFonts w:ascii="Verdana" w:hAnsi="Verdana"/>
                <w:spacing w:val="-3"/>
                <w:lang w:val="es-ES"/>
              </w:rPr>
              <w:t xml:space="preserve"> </w:t>
            </w:r>
            <w:r w:rsidRPr="004C713C">
              <w:rPr>
                <w:rFonts w:ascii="Verdana" w:hAnsi="Verdana"/>
                <w:lang w:val="es-ES"/>
              </w:rPr>
              <w:t>solicitando</w:t>
            </w:r>
            <w:r w:rsidRPr="004C713C">
              <w:rPr>
                <w:rFonts w:ascii="Verdana" w:hAnsi="Verdana"/>
                <w:spacing w:val="-2"/>
                <w:lang w:val="es-ES"/>
              </w:rPr>
              <w:t xml:space="preserve"> </w:t>
            </w:r>
            <w:r w:rsidRPr="004C713C">
              <w:rPr>
                <w:rFonts w:ascii="Verdana" w:hAnsi="Verdana"/>
                <w:lang w:val="es-ES"/>
              </w:rPr>
              <w:t>dicha</w:t>
            </w:r>
            <w:r w:rsidRPr="004C713C">
              <w:rPr>
                <w:rFonts w:ascii="Verdana" w:hAnsi="Verdana"/>
                <w:spacing w:val="-4"/>
                <w:lang w:val="es-ES"/>
              </w:rPr>
              <w:t xml:space="preserve"> </w:t>
            </w:r>
            <w:r w:rsidRPr="004C713C">
              <w:rPr>
                <w:rFonts w:ascii="Verdana" w:hAnsi="Verdana"/>
                <w:lang w:val="es-ES"/>
              </w:rPr>
              <w:t>liquidación.</w:t>
            </w:r>
            <w:r w:rsidRPr="004C713C">
              <w:rPr>
                <w:rFonts w:ascii="Verdana" w:hAnsi="Verdana"/>
                <w:spacing w:val="-2"/>
                <w:lang w:val="es-ES"/>
              </w:rPr>
              <w:t xml:space="preserve"> </w:t>
            </w:r>
            <w:r w:rsidRPr="004C713C">
              <w:rPr>
                <w:rFonts w:ascii="Verdana" w:hAnsi="Verdana"/>
                <w:lang w:val="es-ES"/>
              </w:rPr>
              <w:t>Para</w:t>
            </w:r>
            <w:r w:rsidRPr="004C713C">
              <w:rPr>
                <w:rFonts w:ascii="Verdana" w:hAnsi="Verdana"/>
                <w:spacing w:val="-4"/>
                <w:lang w:val="es-ES"/>
              </w:rPr>
              <w:t xml:space="preserve"> </w:t>
            </w:r>
            <w:r w:rsidRPr="004C713C">
              <w:rPr>
                <w:rFonts w:ascii="Verdana" w:hAnsi="Verdana"/>
                <w:lang w:val="es-ES"/>
              </w:rPr>
              <w:t>ello,</w:t>
            </w:r>
            <w:r w:rsidRPr="004C713C">
              <w:rPr>
                <w:rFonts w:ascii="Verdana" w:hAnsi="Verdana"/>
                <w:spacing w:val="-4"/>
                <w:lang w:val="es-ES"/>
              </w:rPr>
              <w:t xml:space="preserve"> </w:t>
            </w:r>
            <w:r w:rsidRPr="004C713C">
              <w:rPr>
                <w:rFonts w:ascii="Verdana" w:hAnsi="Verdana"/>
                <w:lang w:val="es-ES"/>
              </w:rPr>
              <w:t>existe</w:t>
            </w:r>
            <w:r w:rsidRPr="004C713C">
              <w:rPr>
                <w:rFonts w:ascii="Verdana" w:hAnsi="Verdana"/>
                <w:spacing w:val="-3"/>
                <w:lang w:val="es-ES"/>
              </w:rPr>
              <w:t xml:space="preserve"> </w:t>
            </w:r>
            <w:r w:rsidRPr="004C713C">
              <w:rPr>
                <w:rFonts w:ascii="Verdana" w:hAnsi="Verdana"/>
                <w:lang w:val="es-ES"/>
              </w:rPr>
              <w:t>un plazo máximo de dos (2) años contados a partir de los dos meses establecidos en la Ley para realizar la liquidación unilateral, de conformidad con</w:t>
            </w:r>
            <w:r w:rsidRPr="004C713C">
              <w:rPr>
                <w:rFonts w:ascii="Verdana" w:hAnsi="Verdana"/>
                <w:spacing w:val="-2"/>
                <w:lang w:val="es-ES"/>
              </w:rPr>
              <w:t xml:space="preserve"> </w:t>
            </w:r>
            <w:r w:rsidRPr="004C713C">
              <w:rPr>
                <w:rFonts w:ascii="Verdana" w:hAnsi="Verdana"/>
                <w:lang w:val="es-ES"/>
              </w:rPr>
              <w:t>el</w:t>
            </w:r>
            <w:r w:rsidRPr="004C713C">
              <w:rPr>
                <w:rFonts w:ascii="Verdana" w:hAnsi="Verdana"/>
                <w:spacing w:val="-2"/>
                <w:lang w:val="es-ES"/>
              </w:rPr>
              <w:t xml:space="preserve"> </w:t>
            </w:r>
            <w:r w:rsidRPr="004C713C">
              <w:rPr>
                <w:rFonts w:ascii="Verdana" w:hAnsi="Verdana"/>
                <w:lang w:val="es-ES"/>
              </w:rPr>
              <w:t>citado</w:t>
            </w:r>
            <w:r w:rsidRPr="004C713C">
              <w:rPr>
                <w:rFonts w:ascii="Verdana" w:hAnsi="Verdana"/>
                <w:spacing w:val="-1"/>
                <w:lang w:val="es-ES"/>
              </w:rPr>
              <w:t xml:space="preserve"> </w:t>
            </w:r>
            <w:r w:rsidRPr="004C713C">
              <w:rPr>
                <w:rFonts w:ascii="Verdana" w:hAnsi="Verdana"/>
                <w:lang w:val="es-ES"/>
              </w:rPr>
              <w:t>auto</w:t>
            </w:r>
            <w:r w:rsidRPr="004C713C">
              <w:rPr>
                <w:rFonts w:ascii="Verdana" w:hAnsi="Verdana"/>
                <w:spacing w:val="-1"/>
                <w:lang w:val="es-ES"/>
              </w:rPr>
              <w:t xml:space="preserve"> </w:t>
            </w:r>
            <w:r w:rsidRPr="004C713C">
              <w:rPr>
                <w:rFonts w:ascii="Verdana" w:hAnsi="Verdana"/>
                <w:lang w:val="es-ES"/>
              </w:rPr>
              <w:t>de</w:t>
            </w:r>
            <w:r w:rsidRPr="004C713C">
              <w:rPr>
                <w:rFonts w:ascii="Verdana" w:hAnsi="Verdana"/>
                <w:spacing w:val="-2"/>
                <w:lang w:val="es-ES"/>
              </w:rPr>
              <w:t xml:space="preserve"> </w:t>
            </w:r>
            <w:r w:rsidRPr="004C713C">
              <w:rPr>
                <w:rFonts w:ascii="Verdana" w:hAnsi="Verdana"/>
                <w:lang w:val="es-ES"/>
              </w:rPr>
              <w:t>unificación jurisprudencial del</w:t>
            </w:r>
            <w:r w:rsidRPr="004C713C">
              <w:rPr>
                <w:rFonts w:ascii="Verdana" w:hAnsi="Verdana"/>
                <w:spacing w:val="-2"/>
                <w:lang w:val="es-ES"/>
              </w:rPr>
              <w:t xml:space="preserve"> </w:t>
            </w:r>
            <w:r w:rsidRPr="004C713C">
              <w:rPr>
                <w:rFonts w:ascii="Verdana" w:hAnsi="Verdana"/>
                <w:lang w:val="es-ES"/>
              </w:rPr>
              <w:t xml:space="preserve">Consejo de Estado. </w:t>
            </w:r>
            <w:r w:rsidRPr="004C713C">
              <w:rPr>
                <w:rFonts w:ascii="Verdana" w:eastAsia="Calibri" w:hAnsi="Verdana" w:cs="Arial"/>
                <w:bCs/>
                <w:lang w:val="es-ES"/>
              </w:rPr>
              <w:t>En ese sentido, si el convenio interadministrativo cumple con las condiciones señaladas sobre los contratos que las entidades deben liquidar, la entidad contratante debe establecer si es procedente o no y la forma en que se hará.</w:t>
            </w:r>
          </w:p>
        </w:tc>
      </w:tr>
    </w:tbl>
    <w:p w14:paraId="3097E6A9" w14:textId="77777777" w:rsidR="00473EB6" w:rsidRDefault="00473EB6" w:rsidP="00473EB6">
      <w:pPr>
        <w:tabs>
          <w:tab w:val="left" w:pos="142"/>
          <w:tab w:val="left" w:pos="284"/>
        </w:tabs>
        <w:spacing w:after="0" w:line="276" w:lineRule="auto"/>
        <w:jc w:val="both"/>
        <w:rPr>
          <w:rFonts w:ascii="Verdana" w:eastAsia="Century Gothic" w:hAnsi="Verdana" w:cs="Century Gothic"/>
          <w:b/>
          <w:bCs/>
          <w:lang w:val="es-ES"/>
        </w:rPr>
      </w:pPr>
    </w:p>
    <w:p w14:paraId="4E78A68E" w14:textId="77777777" w:rsidR="00473EB6" w:rsidRDefault="00473EB6" w:rsidP="00473E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059A622B" w14:textId="77777777" w:rsidR="00473EB6" w:rsidRDefault="00473EB6" w:rsidP="00473EB6">
      <w:pPr>
        <w:spacing w:after="0" w:line="276" w:lineRule="auto"/>
        <w:jc w:val="both"/>
        <w:rPr>
          <w:rFonts w:ascii="Verdana" w:eastAsia="Calibri" w:hAnsi="Verdana" w:cs="Arial"/>
          <w:color w:val="7030A0"/>
          <w:lang w:val="es-ES"/>
        </w:rPr>
      </w:pPr>
    </w:p>
    <w:p w14:paraId="0EB4B12A" w14:textId="77777777" w:rsidR="00473EB6" w:rsidRDefault="00473EB6" w:rsidP="00473EB6">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44FD4BCF" w14:textId="77777777" w:rsidR="00473EB6" w:rsidRDefault="00473EB6" w:rsidP="00473EB6">
      <w:pPr>
        <w:spacing w:after="0" w:line="276" w:lineRule="auto"/>
        <w:jc w:val="both"/>
        <w:rPr>
          <w:rFonts w:ascii="Verdana" w:eastAsia="Calibri" w:hAnsi="Verdana" w:cs="Arial"/>
          <w:lang w:val="es-ES"/>
        </w:rPr>
      </w:pPr>
    </w:p>
    <w:p w14:paraId="44521CD7" w14:textId="77777777" w:rsidR="00473EB6" w:rsidRDefault="00473EB6" w:rsidP="00473EB6">
      <w:pPr>
        <w:spacing w:after="0" w:line="276" w:lineRule="auto"/>
        <w:jc w:val="both"/>
        <w:rPr>
          <w:rFonts w:ascii="Verdana" w:eastAsia="Calibri" w:hAnsi="Verdana" w:cs="Arial"/>
          <w:bCs/>
          <w:szCs w:val="24"/>
          <w:lang w:val="es-MX" w:eastAsia="es-ES_tradnl" w:bidi="es-ES"/>
        </w:rPr>
      </w:pPr>
      <w:r w:rsidRPr="00286FF3">
        <w:rPr>
          <w:rFonts w:ascii="Verdana" w:eastAsia="Calibri" w:hAnsi="Verdana" w:cs="Arial"/>
        </w:rPr>
        <w:t>El Estatuto General de Contratación de la Administración Pública, contenido en las Leyes 80 de 1993, 1150 de 2007 y 1474 de 2011, así como en las normas que las han modificado y las reglamentan, no consagran una regulación expresa sobre la posibilidad de modificar los contratos celebrados por las Entidades Estatales. Ello encuentra sustento en que, en principio, los contratos deben ejecutarse en las condiciones pactadas inicialmente, pues tales condiciones fueron convenidas luego de que la entidad pública surtiera todos los procedimientos previstos para la selección de su contratista y definiera los aspectos, técnicos, legales y financieros propios de cada caso, con observancia de los principios de la función administrativa, aplicables al proceso de gestión contractual. La regulación expresa contenida en la ley, se limita a fijar los porcentajes límite para adicionar los valores inicialmente pactados, como lo hace el artículo 40 de la Ley 80 de 1993</w:t>
      </w:r>
      <w:r w:rsidRPr="00286FF3">
        <w:rPr>
          <w:rFonts w:ascii="Verdana" w:eastAsia="Calibri" w:hAnsi="Verdana" w:cs="Arial"/>
          <w:bCs/>
          <w:szCs w:val="24"/>
          <w:vertAlign w:val="superscript"/>
          <w:lang w:val="es-MX" w:eastAsia="es-ES_tradnl"/>
        </w:rPr>
        <w:footnoteReference w:id="2"/>
      </w:r>
      <w:r w:rsidRPr="00286FF3">
        <w:rPr>
          <w:rFonts w:ascii="Verdana" w:eastAsia="Calibri" w:hAnsi="Verdana" w:cs="Arial"/>
          <w:bCs/>
          <w:szCs w:val="24"/>
          <w:lang w:val="es-MX" w:eastAsia="es-ES_tradnl" w:bidi="es-ES"/>
        </w:rPr>
        <w:t>.</w:t>
      </w:r>
    </w:p>
    <w:p w14:paraId="1D293960" w14:textId="77777777" w:rsidR="00473EB6" w:rsidRPr="00E61635" w:rsidRDefault="00473EB6" w:rsidP="00473EB6">
      <w:pPr>
        <w:snapToGrid w:val="0"/>
        <w:spacing w:after="120" w:line="276" w:lineRule="auto"/>
        <w:ind w:firstLine="708"/>
        <w:jc w:val="both"/>
        <w:rPr>
          <w:rFonts w:ascii="Verdana" w:hAnsi="Verdana" w:cs="Arial"/>
          <w:bCs/>
          <w:color w:val="000000" w:themeColor="text1"/>
        </w:rPr>
      </w:pPr>
      <w:r>
        <w:rPr>
          <w:rFonts w:ascii="Verdana" w:hAnsi="Verdana" w:cs="Arial"/>
          <w:bCs/>
          <w:color w:val="000000" w:themeColor="text1"/>
        </w:rPr>
        <w:lastRenderedPageBreak/>
        <w:t>El mencionado artículo</w:t>
      </w:r>
      <w:r w:rsidRPr="00E61635">
        <w:rPr>
          <w:rFonts w:ascii="Verdana" w:hAnsi="Verdana" w:cs="Arial"/>
          <w:bCs/>
          <w:color w:val="000000" w:themeColor="text1"/>
        </w:rPr>
        <w:t xml:space="preserve">, además de establecer generalidades del contenido de los contratos estatales y resaltar la autonomía de la voluntad de las entidades, en este artículo la ley dispone una limitación a dicha autonomía en el inciso dos del parágrafo: </w:t>
      </w:r>
      <w:r w:rsidRPr="00E61635">
        <w:rPr>
          <w:rFonts w:ascii="Verdana" w:eastAsia="Calibri" w:hAnsi="Verdana" w:cs="Arial"/>
          <w:iCs/>
        </w:rPr>
        <w:t>“</w:t>
      </w:r>
      <w:r w:rsidRPr="00E61635">
        <w:rPr>
          <w:rFonts w:ascii="Verdana" w:hAnsi="Verdana" w:cs="Arial"/>
          <w:shd w:val="clear" w:color="auto" w:fill="FFFFFF"/>
        </w:rPr>
        <w:t>Los contratos no podrán adicionarse en más del cincuenta por ciento (50%) de su valor inicial, expresado éste en salarios mínimos legales mensuales</w:t>
      </w:r>
      <w:r w:rsidRPr="005F3B31">
        <w:rPr>
          <w:rFonts w:ascii="Verdana" w:hAnsi="Verdana" w:cs="Arial"/>
          <w:shd w:val="clear" w:color="auto" w:fill="FFFFFF"/>
        </w:rPr>
        <w:t>”.</w:t>
      </w:r>
      <w:r w:rsidRPr="00E61635">
        <w:rPr>
          <w:rFonts w:ascii="Verdana" w:hAnsi="Verdana" w:cs="Arial"/>
          <w:shd w:val="clear" w:color="auto" w:fill="FFFFFF"/>
        </w:rPr>
        <w:t xml:space="preserve"> </w:t>
      </w:r>
    </w:p>
    <w:p w14:paraId="518AE679" w14:textId="2E731C84" w:rsidR="00473EB6" w:rsidRPr="005F3B31" w:rsidRDefault="00473EB6" w:rsidP="00473EB6">
      <w:pPr>
        <w:spacing w:after="120" w:line="276" w:lineRule="auto"/>
        <w:ind w:firstLine="709"/>
        <w:jc w:val="both"/>
        <w:rPr>
          <w:rFonts w:ascii="Verdana" w:eastAsia="Calibri" w:hAnsi="Verdana" w:cs="Arial"/>
          <w:lang w:val="es-ES" w:eastAsia="es-ES"/>
        </w:rPr>
      </w:pPr>
      <w:r w:rsidRPr="0719921A">
        <w:rPr>
          <w:rFonts w:ascii="Verdana" w:eastAsia="Calibri" w:hAnsi="Verdana" w:cs="Arial"/>
          <w:lang w:val="es-ES" w:eastAsia="es-ES"/>
        </w:rPr>
        <w:t xml:space="preserve">Dicha norma además de consagrar una prohibición trae implícita una autorización, consistente en la posibilidad de adicionar los contratos estatales, siempre que no se supere el tope establecido. Ha de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 </w:t>
      </w:r>
    </w:p>
    <w:p w14:paraId="58B89E8D" w14:textId="77777777" w:rsidR="00473EB6" w:rsidRPr="00E61635" w:rsidRDefault="00473EB6" w:rsidP="00473EB6">
      <w:pPr>
        <w:tabs>
          <w:tab w:val="left" w:pos="0"/>
        </w:tabs>
        <w:spacing w:after="120" w:line="276" w:lineRule="auto"/>
        <w:ind w:firstLine="709"/>
        <w:jc w:val="both"/>
        <w:rPr>
          <w:rFonts w:ascii="Verdana" w:eastAsia="Calibri" w:hAnsi="Verdana" w:cs="Arial"/>
          <w:iCs/>
        </w:rPr>
      </w:pPr>
      <w:r w:rsidRPr="00E61635">
        <w:rPr>
          <w:rFonts w:ascii="Verdana" w:eastAsia="Calibri" w:hAnsi="Verdana" w:cs="Arial"/>
          <w:iCs/>
        </w:rPr>
        <w:t xml:space="preserve">En consecuencia, las entidades sometidas al EGCAP, aunque gozan de autonomía para configurar el precio y para establecer el sistema de pago más apropiado para satisfacer los fines de la contratación, respetando los límites previstos en el ordenamiento, habrán de observar como límite el valor porcentual máximo objeto de adición previsto en el inciso segundo del parágrafo del artículo 40 de la Ley 80 de 1993, el cual no está restringido a una tipología contractual específica o a una modalidad concreta de selección del contratista. </w:t>
      </w:r>
    </w:p>
    <w:p w14:paraId="3DA764F5" w14:textId="77777777" w:rsidR="00473EB6" w:rsidRPr="00286FF3" w:rsidRDefault="00473EB6" w:rsidP="00473EB6">
      <w:pPr>
        <w:spacing w:before="120" w:after="0" w:line="276" w:lineRule="auto"/>
        <w:jc w:val="both"/>
        <w:rPr>
          <w:rFonts w:ascii="Verdana" w:eastAsia="Calibri" w:hAnsi="Verdana" w:cs="Arial"/>
        </w:rPr>
      </w:pPr>
      <w:r w:rsidRPr="00286FF3">
        <w:rPr>
          <w:rFonts w:ascii="Verdana" w:eastAsia="Calibri" w:hAnsi="Verdana" w:cs="Arial"/>
        </w:rPr>
        <w:tab/>
        <w:t xml:space="preserve">Así pues, no existe ninguna restricción expresa para modificar los contratos estatales, pues los mismos principios antes referidos, pueden poner en evidencia la necesidad de suscribir documentos de modificación en los cuales se cambie parte de las estipulaciones pactadas en un comienzo. En el contexto antes expuesto, la jurisprudencia ha fijado pautas generales conforme a las cuales la Administración Pública debe evaluar, teniendo en cuenta las particularidades de cada caso, si resulta procedente suscribir documentos de modificación a los contratos que ha celebrado. Así, por ejemplo, la Corte </w:t>
      </w:r>
      <w:r w:rsidRPr="00286FF3">
        <w:rPr>
          <w:rFonts w:ascii="Verdana" w:eastAsia="Calibri" w:hAnsi="Verdana" w:cs="Arial"/>
        </w:rPr>
        <w:lastRenderedPageBreak/>
        <w:t>Constitucional, mediante sentencia C-416 de 2012, expresó lo siguiente sobre la posibilidad de modificar los contratos estatales:</w:t>
      </w:r>
    </w:p>
    <w:p w14:paraId="59D8EDC2" w14:textId="77777777" w:rsidR="00473EB6" w:rsidRPr="00286FF3" w:rsidRDefault="00473EB6" w:rsidP="00473EB6">
      <w:pPr>
        <w:spacing w:after="0" w:line="240" w:lineRule="auto"/>
        <w:ind w:left="709" w:right="709"/>
        <w:jc w:val="both"/>
        <w:rPr>
          <w:rFonts w:ascii="Verdana" w:eastAsia="Calibri" w:hAnsi="Verdana" w:cs="Arial"/>
          <w:sz w:val="21"/>
          <w:szCs w:val="21"/>
          <w:lang w:val="es-MX" w:eastAsia="es-ES_tradnl"/>
        </w:rPr>
      </w:pPr>
    </w:p>
    <w:p w14:paraId="722614C0"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“Por regla general, los contratos estatales pueden ser modificados cuando sea necesario para lograr su finalidad y en aras de la realización de los fines del Estado, a los cuales sirve el contrato.</w:t>
      </w:r>
      <w:r w:rsidRPr="00286FF3">
        <w:rPr>
          <w:rFonts w:ascii="Verdana" w:eastAsia="Calibri" w:hAnsi="Verdana" w:cs="Arial"/>
          <w:sz w:val="20"/>
          <w:szCs w:val="20"/>
          <w:vertAlign w:val="superscript"/>
          <w:lang w:val="es-MX" w:eastAsia="es-ES_tradnl"/>
        </w:rPr>
        <w:footnoteReference w:id="3"/>
      </w:r>
      <w:r w:rsidRPr="00286FF3">
        <w:rPr>
          <w:rFonts w:ascii="Verdana" w:eastAsia="Calibri" w:hAnsi="Verdana" w:cs="Arial"/>
          <w:sz w:val="20"/>
          <w:szCs w:val="20"/>
          <w:lang w:val="es-MX" w:eastAsia="es-ES_tradnl"/>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sentencia C-949 de 2001</w:t>
      </w:r>
      <w:r w:rsidRPr="00286FF3">
        <w:rPr>
          <w:rFonts w:ascii="Verdana" w:eastAsia="Calibri" w:hAnsi="Verdana" w:cs="Arial"/>
          <w:sz w:val="20"/>
          <w:szCs w:val="20"/>
          <w:lang w:val="es-MX" w:eastAsia="es-ES_tradnl"/>
        </w:rPr>
        <w:footnoteReference w:id="4"/>
      </w:r>
      <w:r w:rsidRPr="00286FF3">
        <w:rPr>
          <w:rFonts w:ascii="Verdana" w:eastAsia="Calibri" w:hAnsi="Verdana" w:cs="Arial"/>
          <w:sz w:val="20"/>
          <w:szCs w:val="20"/>
          <w:lang w:val="es-MX" w:eastAsia="es-ES_tradnl"/>
        </w:rPr>
        <w:t>, la Corte Constitucional señaló que las prórrogas de los contratos –como especie de modificación- pueden ser un instrumento útil para lograr los fines propios de la contratación estatal.</w:t>
      </w:r>
      <w:r w:rsidRPr="00286FF3">
        <w:rPr>
          <w:rFonts w:ascii="Verdana" w:eastAsia="Calibri" w:hAnsi="Verdana" w:cs="Arial"/>
          <w:sz w:val="20"/>
          <w:szCs w:val="20"/>
          <w:vertAlign w:val="superscript"/>
          <w:lang w:val="es-MX" w:eastAsia="es-ES_tradnl"/>
        </w:rPr>
        <w:footnoteReference w:id="5"/>
      </w:r>
    </w:p>
    <w:p w14:paraId="39F6EB75"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w:t>
      </w:r>
    </w:p>
    <w:p w14:paraId="50B3BBF3"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La modificación de los contratos estatales es especialmente importante en aquellos por naturaleza incompletos, es decir, (i) los afectados por asimetrías de información que impiden la previsión de todas las contingencias que pueden afectar su ejecución, y (</w:t>
      </w:r>
      <w:proofErr w:type="spellStart"/>
      <w:r w:rsidRPr="00286FF3">
        <w:rPr>
          <w:rFonts w:ascii="Verdana" w:eastAsia="Calibri" w:hAnsi="Verdana" w:cs="Arial"/>
          <w:sz w:val="20"/>
          <w:szCs w:val="20"/>
          <w:lang w:val="es-MX" w:eastAsia="es-ES_tradnl"/>
        </w:rPr>
        <w:t>ii</w:t>
      </w:r>
      <w:proofErr w:type="spellEnd"/>
      <w:r w:rsidRPr="00286FF3">
        <w:rPr>
          <w:rFonts w:ascii="Verdana" w:eastAsia="Calibri" w:hAnsi="Verdana" w:cs="Arial"/>
          <w:sz w:val="20"/>
          <w:szCs w:val="20"/>
          <w:lang w:val="es-MX" w:eastAsia="es-ES_tradnl"/>
        </w:rPr>
        <w:t>) en el marco de los cuales, por esa misma razón, es difícil prever ex ante los remedios necesarios para afrontar tales contingencias, como ocurre por lo general con los contratos de largo plazo.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que las que tampoco era posible, en dicho momento, prever un remedio adecuado y específico. En este tipo de contratos es preciso entonces el diseño de reglas que permitan la adaptación y la resolución pacífica de las controversias para evitar el fracaso.</w:t>
      </w:r>
    </w:p>
    <w:p w14:paraId="1A3E27F4" w14:textId="77777777" w:rsidR="00473EB6" w:rsidRPr="00286FF3" w:rsidRDefault="00473EB6" w:rsidP="00473EB6">
      <w:pPr>
        <w:spacing w:before="120"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Ahora bien, el que la mutabilidad de los contratos estatales sea posible no significa que pueda llevarse a cabo por la mera voluntad de las partes o de la entidad contratante; por el contrario, la modificación del contrato debe ser excepcional en virtud de los principios de planeación y seguridad jurídica. Por ello la Corte concuerda con la Sala de Consulta y Servicio Civil en que la modificación debe obedecer a una causa real y cierta autorizada en la ley, sustentada y probada, y acorde con los fines estatales a los que sirve la contratación estatal”.</w:t>
      </w:r>
    </w:p>
    <w:p w14:paraId="5D8F8AD7" w14:textId="77777777" w:rsidR="00473EB6" w:rsidRPr="00286FF3" w:rsidRDefault="00473EB6" w:rsidP="00473EB6">
      <w:pPr>
        <w:spacing w:after="0" w:line="276" w:lineRule="auto"/>
        <w:jc w:val="both"/>
        <w:rPr>
          <w:rFonts w:ascii="Verdana" w:eastAsia="Calibri" w:hAnsi="Verdana" w:cs="Arial"/>
        </w:rPr>
      </w:pPr>
    </w:p>
    <w:p w14:paraId="66CE33B8" w14:textId="77777777" w:rsidR="00473EB6" w:rsidRPr="00286FF3" w:rsidRDefault="00473EB6" w:rsidP="00473EB6">
      <w:pPr>
        <w:spacing w:after="0" w:line="276" w:lineRule="auto"/>
        <w:jc w:val="both"/>
        <w:rPr>
          <w:rFonts w:ascii="Verdana" w:eastAsia="Calibri" w:hAnsi="Verdana" w:cs="Arial"/>
        </w:rPr>
      </w:pPr>
      <w:r w:rsidRPr="00286FF3">
        <w:rPr>
          <w:rFonts w:ascii="Verdana" w:eastAsia="Calibri" w:hAnsi="Verdana" w:cs="Arial"/>
        </w:rPr>
        <w:tab/>
        <w:t>Por otro el Consejo de Estado</w:t>
      </w:r>
      <w:r w:rsidRPr="00286FF3">
        <w:rPr>
          <w:rFonts w:ascii="Verdana" w:eastAsia="Calibri" w:hAnsi="Verdana" w:cs="Arial"/>
          <w:bCs/>
          <w:szCs w:val="24"/>
          <w:vertAlign w:val="superscript"/>
          <w:lang w:val="es-MX" w:eastAsia="es-ES_tradnl" w:bidi="es-ES"/>
        </w:rPr>
        <w:footnoteReference w:id="6"/>
      </w:r>
      <w:r w:rsidRPr="00286FF3">
        <w:rPr>
          <w:rFonts w:ascii="Verdana" w:eastAsia="Calibri" w:hAnsi="Verdana" w:cs="Arial"/>
        </w:rPr>
        <w:t xml:space="preserve">, sobre el particular ha manifestado lo siguiente: </w:t>
      </w:r>
    </w:p>
    <w:p w14:paraId="0FA2FCFA" w14:textId="77777777" w:rsidR="00473EB6" w:rsidRPr="00286FF3" w:rsidRDefault="00473EB6" w:rsidP="00473EB6">
      <w:pPr>
        <w:spacing w:after="0" w:line="276" w:lineRule="auto"/>
        <w:jc w:val="both"/>
        <w:rPr>
          <w:rFonts w:ascii="Verdana" w:eastAsia="Calibri" w:hAnsi="Verdana" w:cs="Arial"/>
        </w:rPr>
      </w:pPr>
    </w:p>
    <w:p w14:paraId="7ACFC235"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xml:space="preserve">“La contratación estatal responde de múltiples maneras a ese mandato y, en cuanto al concepto que se emite, se resalta que la posibilidad de modificar los contratos estatales es una especial forma de hacer prevalecer la finalidad del contrato sobre los restantes elementos </w:t>
      </w:r>
      <w:proofErr w:type="gramStart"/>
      <w:r w:rsidRPr="00286FF3">
        <w:rPr>
          <w:rFonts w:ascii="Verdana" w:eastAsia="Calibri" w:hAnsi="Verdana" w:cs="Arial"/>
          <w:sz w:val="20"/>
          <w:szCs w:val="20"/>
          <w:lang w:val="es-MX" w:eastAsia="es-ES_tradnl"/>
        </w:rPr>
        <w:t>del mismo</w:t>
      </w:r>
      <w:proofErr w:type="gramEnd"/>
      <w:r w:rsidRPr="00286FF3">
        <w:rPr>
          <w:rFonts w:ascii="Verdana" w:eastAsia="Calibri" w:hAnsi="Verdana" w:cs="Arial"/>
          <w:sz w:val="20"/>
          <w:szCs w:val="20"/>
          <w:lang w:val="es-MX" w:eastAsia="es-ES_tradnl"/>
        </w:rPr>
        <w:t>.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0F5A5EB9"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w:t>
      </w:r>
    </w:p>
    <w:p w14:paraId="18F08F3D"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 A manera de ejemplo, se citan las siguientes tomadas del Estatuto General de Contratación de la Administración Pública: mantener las condiciones técnicas, económicas y financieras, (artículo 4.8), no sobrevenga mayor onerosidad, (artículo 4.9), acordarán los mecanismos y procedimientos pertinentes para precaver o solucionar … diferencias, (</w:t>
      </w:r>
      <w:proofErr w:type="spellStart"/>
      <w:r w:rsidRPr="00286FF3">
        <w:rPr>
          <w:rFonts w:ascii="Verdana" w:eastAsia="Calibri" w:hAnsi="Verdana" w:cs="Arial"/>
          <w:sz w:val="20"/>
          <w:szCs w:val="20"/>
          <w:lang w:val="es-MX" w:eastAsia="es-ES_tradnl"/>
        </w:rPr>
        <w:t>ibídem</w:t>
      </w:r>
      <w:proofErr w:type="spellEnd"/>
      <w:r w:rsidRPr="00286FF3">
        <w:rPr>
          <w:rFonts w:ascii="Verdana" w:eastAsia="Calibri" w:hAnsi="Verdana" w:cs="Arial"/>
          <w:sz w:val="20"/>
          <w:szCs w:val="20"/>
          <w:lang w:val="es-MX" w:eastAsia="es-ES_tradnl"/>
        </w:rPr>
        <w:t>), evitar la paralización y la afectación grave de los servicios públicos a su cargo y asegurar la inmediata, continua y adecuada prestación, (artículo 14); etc. Nótese que, sin embargo, en ellas van inmersas las ideas de una causa cierta y unos fines públicos que hay que salvaguardar.</w:t>
      </w:r>
    </w:p>
    <w:p w14:paraId="5FB3DB32" w14:textId="77777777" w:rsidR="00473EB6" w:rsidRPr="00286FF3" w:rsidRDefault="00473EB6" w:rsidP="00473EB6">
      <w:pPr>
        <w:spacing w:before="120"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xml:space="preserve">Puede adicionarse una razón a las expuestas para justificar que la simple voluntad de las partes no es causa de modificación de los contratos estatales, la cual consiste en el respeto por el principio de igualdad de los oferentes. Si se acepta que los contratos pueden modificarse por el simple común acuerdo, fácilmente se podría licitar determinado objeto con el fin de adjudicárselo a cierta persona, a sabiendas de que se cambiarán las obligaciones, una vez celebrado. </w:t>
      </w:r>
    </w:p>
    <w:p w14:paraId="11ECE44F" w14:textId="77777777" w:rsidR="00473EB6" w:rsidRPr="00286FF3" w:rsidRDefault="00473EB6" w:rsidP="00473EB6">
      <w:pPr>
        <w:spacing w:before="120"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lastRenderedPageBreak/>
        <w:t>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toda modificación debe tener una causa real y cierta, contemplada en la ley, diferente de la mera voluntad de los contratantes”.</w:t>
      </w:r>
    </w:p>
    <w:p w14:paraId="47FF67B1" w14:textId="77777777" w:rsidR="00473EB6" w:rsidRPr="00286FF3" w:rsidRDefault="00473EB6" w:rsidP="00473EB6">
      <w:pPr>
        <w:spacing w:after="0" w:line="276" w:lineRule="auto"/>
        <w:jc w:val="both"/>
        <w:rPr>
          <w:rFonts w:ascii="Verdana" w:eastAsia="Calibri" w:hAnsi="Verdana" w:cs="Arial"/>
        </w:rPr>
      </w:pPr>
    </w:p>
    <w:p w14:paraId="2C39C599" w14:textId="77777777" w:rsidR="00473EB6" w:rsidRPr="00286FF3" w:rsidRDefault="00473EB6" w:rsidP="0061099F">
      <w:pPr>
        <w:spacing w:after="0" w:line="276" w:lineRule="auto"/>
        <w:ind w:firstLine="708"/>
        <w:jc w:val="both"/>
        <w:rPr>
          <w:rFonts w:ascii="Verdana" w:eastAsia="Calibri" w:hAnsi="Verdana" w:cs="Arial"/>
        </w:rPr>
      </w:pPr>
      <w:r w:rsidRPr="00286FF3">
        <w:rPr>
          <w:rFonts w:ascii="Verdana" w:eastAsia="Calibri" w:hAnsi="Verdana" w:cs="Arial"/>
        </w:rPr>
        <w:t xml:space="preserve">En el mismo sentido, en el Concepto 2263 del 17 de marzo del 2016, la Sala de Consulta y Servicio Civil del Consejo de Estado precisó que la regla general es la no modificación del contrato, y la vía excepcional su modificación, sometida a límites legales; límites que, en los términos definidos en el referido concepto, corresponden a las siguientes: </w:t>
      </w:r>
    </w:p>
    <w:p w14:paraId="3F5E3F52" w14:textId="77777777" w:rsidR="00473EB6" w:rsidRPr="00286FF3" w:rsidRDefault="00473EB6" w:rsidP="00473EB6">
      <w:pPr>
        <w:spacing w:after="0" w:line="276" w:lineRule="auto"/>
        <w:jc w:val="both"/>
        <w:rPr>
          <w:rFonts w:ascii="Verdana" w:eastAsia="Calibri" w:hAnsi="Verdana" w:cs="Arial"/>
        </w:rPr>
      </w:pPr>
    </w:p>
    <w:p w14:paraId="1DB0043C"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xml:space="preserve">“1. La necesidad de preservar los principios de igualdad, transparencia y libertad de concurrencia, durante la fase de ejecución del contrato. </w:t>
      </w:r>
    </w:p>
    <w:p w14:paraId="049F244D"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p>
    <w:p w14:paraId="684061C8"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p>
    <w:p w14:paraId="08F41E43"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p>
    <w:p w14:paraId="18399356"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73D5F70C"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p>
    <w:p w14:paraId="72737906"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xml:space="preserve">2.Límites de orden temporal, entre los que están comprendidos: i) la vigencia del contrato, pues no podría modificarse un contrato cuyo plazo ha culminado y </w:t>
      </w:r>
      <w:proofErr w:type="spellStart"/>
      <w:r w:rsidRPr="00286FF3">
        <w:rPr>
          <w:rFonts w:ascii="Verdana" w:eastAsia="Calibri" w:hAnsi="Verdana" w:cs="Arial"/>
          <w:sz w:val="20"/>
          <w:szCs w:val="20"/>
          <w:lang w:val="es-MX" w:eastAsia="es-ES_tradnl"/>
        </w:rPr>
        <w:t>ii</w:t>
      </w:r>
      <w:proofErr w:type="spellEnd"/>
      <w:r w:rsidRPr="00286FF3">
        <w:rPr>
          <w:rFonts w:ascii="Verdana" w:eastAsia="Calibri" w:hAnsi="Verdana" w:cs="Arial"/>
          <w:sz w:val="20"/>
          <w:szCs w:val="20"/>
          <w:lang w:val="es-MX" w:eastAsia="es-ES_tradnl"/>
        </w:rPr>
        <w:t>) la prohibición de consagrar prórrogas automáticas, sucesivas o indefinidas, en tanto resultan contrarias al derecho esencial de la libertad de competencia.</w:t>
      </w:r>
    </w:p>
    <w:p w14:paraId="52F6CA26"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p>
    <w:p w14:paraId="60B5EE17"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xml:space="preserve">3. Límites de orden formal, que comprenden: i) La solemnidad del contrato de modificación, derivada del carácter solemne del contrato estatal, que </w:t>
      </w:r>
      <w:r w:rsidRPr="00286FF3">
        <w:rPr>
          <w:rFonts w:ascii="Verdana" w:eastAsia="Calibri" w:hAnsi="Verdana" w:cs="Arial"/>
          <w:sz w:val="20"/>
          <w:szCs w:val="20"/>
          <w:lang w:val="es-MX" w:eastAsia="es-ES_tradnl"/>
        </w:rPr>
        <w:lastRenderedPageBreak/>
        <w:t>exige que modificación de los contratos conste por escrito</w:t>
      </w:r>
      <w:r w:rsidRPr="00286FF3">
        <w:rPr>
          <w:rFonts w:ascii="Verdana" w:eastAsia="Calibri" w:hAnsi="Verdana" w:cs="Arial"/>
          <w:sz w:val="20"/>
          <w:szCs w:val="20"/>
          <w:vertAlign w:val="superscript"/>
          <w:lang w:val="es-MX" w:eastAsia="es-ES_tradnl"/>
        </w:rPr>
        <w:footnoteReference w:id="7"/>
      </w:r>
      <w:r w:rsidRPr="00286FF3">
        <w:rPr>
          <w:rFonts w:ascii="Verdana" w:eastAsia="Calibri" w:hAnsi="Verdana" w:cs="Arial"/>
          <w:sz w:val="20"/>
          <w:szCs w:val="20"/>
          <w:vertAlign w:val="superscript"/>
          <w:lang w:val="es-MX" w:eastAsia="es-ES_tradnl"/>
        </w:rPr>
        <w:t>;</w:t>
      </w:r>
      <w:r w:rsidRPr="00286FF3">
        <w:rPr>
          <w:rFonts w:ascii="Verdana" w:eastAsia="Calibri" w:hAnsi="Verdana" w:cs="Arial"/>
          <w:sz w:val="20"/>
          <w:szCs w:val="20"/>
          <w:lang w:val="es-MX" w:eastAsia="es-ES_tradnl"/>
        </w:rPr>
        <w:t xml:space="preserve"> </w:t>
      </w:r>
      <w:proofErr w:type="spellStart"/>
      <w:r w:rsidRPr="00286FF3">
        <w:rPr>
          <w:rFonts w:ascii="Verdana" w:eastAsia="Calibri" w:hAnsi="Verdana" w:cs="Arial"/>
          <w:sz w:val="20"/>
          <w:szCs w:val="20"/>
          <w:lang w:val="es-MX" w:eastAsia="es-ES_tradnl"/>
        </w:rPr>
        <w:t>ii</w:t>
      </w:r>
      <w:proofErr w:type="spellEnd"/>
      <w:r w:rsidRPr="00286FF3">
        <w:rPr>
          <w:rFonts w:ascii="Verdana" w:eastAsia="Calibri" w:hAnsi="Verdana" w:cs="Arial"/>
          <w:sz w:val="20"/>
          <w:szCs w:val="20"/>
          <w:lang w:val="es-MX" w:eastAsia="es-ES_tradnl"/>
        </w:rPr>
        <w:t>) la motivación y justificación de la modificación, la cual constituye un elemento esencial que permite determinar la juridicidad y la necesidad de una modificación determinada; así como su racionalidad y la proporcionalidad de su contenido.</w:t>
      </w:r>
    </w:p>
    <w:p w14:paraId="3E7BE3D6"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p>
    <w:p w14:paraId="31E06FC5" w14:textId="77777777" w:rsidR="00473EB6" w:rsidRPr="00286FF3" w:rsidRDefault="00473EB6" w:rsidP="00473EB6">
      <w:pPr>
        <w:spacing w:after="0" w:line="240" w:lineRule="auto"/>
        <w:ind w:left="709" w:right="709"/>
        <w:jc w:val="both"/>
        <w:rPr>
          <w:rFonts w:ascii="Verdana" w:eastAsia="Calibri" w:hAnsi="Verdana" w:cs="Arial"/>
          <w:sz w:val="21"/>
          <w:szCs w:val="21"/>
          <w:lang w:val="es-MX" w:eastAsia="es-ES_tradnl"/>
        </w:rPr>
      </w:pPr>
      <w:r w:rsidRPr="00286FF3">
        <w:rPr>
          <w:rFonts w:ascii="Verdana" w:eastAsia="Calibri" w:hAnsi="Verdana" w:cs="Arial"/>
          <w:sz w:val="20"/>
          <w:szCs w:val="20"/>
          <w:lang w:val="es-MX" w:eastAsia="es-ES_tradnl"/>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0A2CA90B" w14:textId="77777777" w:rsidR="00473EB6" w:rsidRPr="00286FF3" w:rsidRDefault="00473EB6" w:rsidP="00473EB6">
      <w:pPr>
        <w:spacing w:after="0" w:line="276" w:lineRule="auto"/>
        <w:jc w:val="both"/>
        <w:rPr>
          <w:rFonts w:ascii="Verdana" w:eastAsia="Calibri" w:hAnsi="Verdana" w:cs="Arial"/>
        </w:rPr>
      </w:pPr>
    </w:p>
    <w:p w14:paraId="6E5DC19E" w14:textId="77777777" w:rsidR="00473EB6" w:rsidRPr="00286FF3" w:rsidRDefault="00473EB6" w:rsidP="0061099F">
      <w:pPr>
        <w:spacing w:after="0" w:line="276" w:lineRule="auto"/>
        <w:ind w:firstLine="708"/>
        <w:jc w:val="both"/>
        <w:rPr>
          <w:rFonts w:ascii="Verdana" w:eastAsia="Calibri" w:hAnsi="Verdana" w:cs="Arial"/>
        </w:rPr>
      </w:pPr>
      <w:r w:rsidRPr="00286FF3">
        <w:rPr>
          <w:rFonts w:ascii="Verdana" w:eastAsia="Calibri" w:hAnsi="Verdana" w:cs="Arial"/>
        </w:rPr>
        <w:t>Sobre el alcance de dicha prohibición, la Sala de Consulta y Servicio Civil</w:t>
      </w:r>
      <w:r w:rsidRPr="00286FF3">
        <w:rPr>
          <w:rFonts w:ascii="Verdana" w:eastAsia="Calibri" w:hAnsi="Verdana" w:cs="Arial"/>
          <w:vertAlign w:val="superscript"/>
          <w:lang w:val="es-MX" w:eastAsia="es-ES_tradnl"/>
        </w:rPr>
        <w:footnoteReference w:id="8"/>
      </w:r>
      <w:r w:rsidRPr="00286FF3">
        <w:rPr>
          <w:rFonts w:ascii="Verdana" w:eastAsia="Calibri" w:hAnsi="Verdana" w:cs="Arial"/>
        </w:rPr>
        <w:t xml:space="preserve"> expresó lo siguiente: </w:t>
      </w:r>
    </w:p>
    <w:p w14:paraId="1DD9B433" w14:textId="77777777" w:rsidR="00473EB6" w:rsidRPr="00286FF3" w:rsidRDefault="00473EB6" w:rsidP="00473EB6">
      <w:pPr>
        <w:spacing w:after="0" w:line="276" w:lineRule="auto"/>
        <w:jc w:val="both"/>
        <w:rPr>
          <w:rFonts w:ascii="Verdana" w:eastAsia="Calibri" w:hAnsi="Verdana" w:cs="Arial"/>
        </w:rPr>
      </w:pPr>
    </w:p>
    <w:p w14:paraId="43E2CE49"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xml:space="preserve">“Así,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w:t>
      </w:r>
      <w:proofErr w:type="gramStart"/>
      <w:r w:rsidRPr="00286FF3">
        <w:rPr>
          <w:rFonts w:ascii="Verdana" w:eastAsia="Calibri" w:hAnsi="Verdana" w:cs="Arial"/>
          <w:sz w:val="20"/>
          <w:szCs w:val="20"/>
          <w:lang w:val="es-MX" w:eastAsia="es-ES_tradnl"/>
        </w:rPr>
        <w:t>Estado,</w:t>
      </w:r>
      <w:proofErr w:type="gramEnd"/>
      <w:r w:rsidRPr="00286FF3">
        <w:rPr>
          <w:rFonts w:ascii="Verdana" w:eastAsia="Calibri" w:hAnsi="Verdana" w:cs="Arial"/>
          <w:sz w:val="20"/>
          <w:szCs w:val="20"/>
          <w:lang w:val="es-MX" w:eastAsia="es-ES_tradnl"/>
        </w:rPr>
        <w:t xml:space="preserve"> aportan los elementos necesarios que permiten orientar a la Administración sobre esta vía excepcional y sus requisitos:</w:t>
      </w:r>
    </w:p>
    <w:p w14:paraId="6F10A47A" w14:textId="77777777" w:rsidR="00473EB6" w:rsidRPr="00286FF3" w:rsidRDefault="00473EB6" w:rsidP="00473EB6">
      <w:pPr>
        <w:spacing w:before="120"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6C82D3FA"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w:t>
      </w:r>
    </w:p>
    <w:p w14:paraId="720B212B" w14:textId="77777777" w:rsidR="00473EB6" w:rsidRPr="00286FF3" w:rsidRDefault="00473EB6" w:rsidP="00473EB6">
      <w:pPr>
        <w:spacing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xml:space="preserve">-Las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w:t>
      </w:r>
      <w:r w:rsidRPr="00286FF3">
        <w:rPr>
          <w:rFonts w:ascii="Verdana" w:eastAsia="Calibri" w:hAnsi="Verdana" w:cs="Arial"/>
          <w:sz w:val="20"/>
          <w:szCs w:val="20"/>
          <w:lang w:val="es-MX" w:eastAsia="es-ES_tradnl"/>
        </w:rPr>
        <w:lastRenderedPageBreak/>
        <w:t>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3004587F" w14:textId="77777777" w:rsidR="00473EB6" w:rsidRPr="00286FF3" w:rsidRDefault="00473EB6" w:rsidP="00473EB6">
      <w:pPr>
        <w:spacing w:before="120"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 xml:space="preserve">-La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 </w:t>
      </w:r>
    </w:p>
    <w:p w14:paraId="31C3CCF0" w14:textId="77777777" w:rsidR="00473EB6" w:rsidRPr="00286FF3" w:rsidRDefault="00473EB6" w:rsidP="00473EB6">
      <w:pPr>
        <w:spacing w:before="120"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-El cumplimiento del límite cuantitativo consagrado en la ley para los contratos adicionales. […]</w:t>
      </w:r>
    </w:p>
    <w:p w14:paraId="3F99F3FF" w14:textId="77777777" w:rsidR="00473EB6" w:rsidRPr="00286FF3" w:rsidRDefault="00473EB6" w:rsidP="00473EB6">
      <w:pPr>
        <w:spacing w:before="120" w:after="0" w:line="240" w:lineRule="auto"/>
        <w:ind w:left="709" w:right="709"/>
        <w:jc w:val="both"/>
        <w:rPr>
          <w:rFonts w:ascii="Verdana" w:eastAsia="Calibri" w:hAnsi="Verdana" w:cs="Arial"/>
          <w:sz w:val="20"/>
          <w:szCs w:val="20"/>
          <w:lang w:val="es-MX" w:eastAsia="es-ES_tradnl"/>
        </w:rPr>
      </w:pPr>
      <w:r w:rsidRPr="00286FF3">
        <w:rPr>
          <w:rFonts w:ascii="Verdana" w:eastAsia="Calibri" w:hAnsi="Verdana" w:cs="Arial"/>
          <w:sz w:val="20"/>
          <w:szCs w:val="20"/>
          <w:lang w:val="es-MX" w:eastAsia="es-ES_tradnl"/>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p>
    <w:p w14:paraId="10324B31" w14:textId="77777777" w:rsidR="00473EB6" w:rsidRPr="00286FF3" w:rsidRDefault="00473EB6" w:rsidP="00473EB6">
      <w:pPr>
        <w:spacing w:after="0" w:line="240" w:lineRule="auto"/>
        <w:ind w:left="709" w:right="709"/>
        <w:jc w:val="both"/>
        <w:rPr>
          <w:rFonts w:ascii="Verdana" w:eastAsia="Calibri" w:hAnsi="Verdana" w:cs="Arial"/>
          <w:sz w:val="21"/>
          <w:szCs w:val="21"/>
          <w:lang w:val="es-MX" w:eastAsia="es-ES_tradnl"/>
        </w:rPr>
      </w:pPr>
    </w:p>
    <w:p w14:paraId="747B4A33" w14:textId="77777777" w:rsidR="00473EB6" w:rsidRDefault="00473EB6" w:rsidP="0061099F">
      <w:pPr>
        <w:spacing w:after="120" w:line="276" w:lineRule="auto"/>
        <w:ind w:firstLine="708"/>
        <w:jc w:val="both"/>
        <w:rPr>
          <w:rFonts w:ascii="Verdana" w:eastAsia="Calibri" w:hAnsi="Verdana" w:cs="Arial"/>
        </w:rPr>
      </w:pPr>
      <w:r w:rsidRPr="00286FF3">
        <w:rPr>
          <w:rFonts w:ascii="Verdana" w:eastAsia="Calibri" w:hAnsi="Verdana" w:cs="Arial"/>
        </w:rPr>
        <w:t>Es claro entonces, que conforme a la regulación legal y a la interpretación que de la misma han realizado el Consejo de Estado y la Corte Constitucional, la cual es compartida por esta Agencia, es viable jurídicamente modificar los contratos estatales, pero dicha medida tiene un carácter excepcional y sólo procede cuando con ella se pretende garantizar el interés público, cuando la entidad haya verificado y así pueda constatarse, que la causa de la modificación es real y cierta; y cuando se deriva de previsiones legales, esto es, cuando la modificación encuentra sustento no sólo en circunstancias fácticas propias de la ejecución del contrato, sino, además, cuando tales situaciones ponen de presente la necesidad de dar cumplimiento a previsiones establecidas por el legislador. De esta manera, para establecer si un contrato determinado puede ser susceptible de modificación, se hace necesario que la Administración analice, en cada caso, la concurrencia de los aspectos antes referidos.</w:t>
      </w:r>
    </w:p>
    <w:p w14:paraId="38DA7798" w14:textId="77777777" w:rsidR="00473EB6" w:rsidRPr="005F3B31" w:rsidRDefault="00473EB6" w:rsidP="00473EB6">
      <w:pPr>
        <w:spacing w:after="120" w:line="276" w:lineRule="auto"/>
        <w:ind w:firstLine="709"/>
        <w:jc w:val="both"/>
        <w:rPr>
          <w:rFonts w:ascii="Verdana" w:eastAsia="Calibri" w:hAnsi="Verdana" w:cs="Arial"/>
          <w:color w:val="000000" w:themeColor="text1"/>
          <w:lang w:val="es-ES"/>
        </w:rPr>
      </w:pPr>
      <w:r w:rsidRPr="0719921A">
        <w:rPr>
          <w:rFonts w:ascii="Verdana" w:eastAsia="Calibri" w:hAnsi="Verdana" w:cs="Arial"/>
          <w:color w:val="000000"/>
          <w:lang w:val="es-ES"/>
        </w:rPr>
        <w:t xml:space="preserve">Sobre la tipología del contrato o convenio interadministrativo, conviene señalar que, aunque la Ley 80 de 1993 no lo definió ni desarrolló, el Decreto 1082 de 2015, “Por medio del cual se expide el Decreto único reglamentario del </w:t>
      </w:r>
      <w:r w:rsidRPr="0719921A">
        <w:rPr>
          <w:rFonts w:ascii="Verdana" w:eastAsia="Calibri" w:hAnsi="Verdana" w:cs="Arial"/>
          <w:color w:val="000000"/>
          <w:lang w:val="es-ES"/>
        </w:rPr>
        <w:lastRenderedPageBreak/>
        <w:t>sector administrativo de planeación nacional”, los califica como aquella contratación entre entidades estatales</w:t>
      </w:r>
      <w:r w:rsidRPr="0719921A">
        <w:rPr>
          <w:rFonts w:ascii="Verdana" w:eastAsia="Calibri" w:hAnsi="Verdana" w:cs="Arial"/>
          <w:color w:val="000000"/>
          <w:vertAlign w:val="superscript"/>
          <w:lang w:val="es-ES"/>
        </w:rPr>
        <w:footnoteReference w:id="9"/>
      </w:r>
      <w:r w:rsidRPr="0719921A">
        <w:rPr>
          <w:rFonts w:ascii="Verdana" w:eastAsia="Calibri" w:hAnsi="Verdana" w:cs="Arial"/>
          <w:color w:val="000000"/>
          <w:lang w:val="es-ES"/>
        </w:rPr>
        <w:t>. En este contexto,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con competencia para celebrar contratos.</w:t>
      </w:r>
    </w:p>
    <w:p w14:paraId="302ADFCE" w14:textId="77777777" w:rsidR="00473EB6" w:rsidRPr="005F3B31" w:rsidRDefault="00473EB6" w:rsidP="00473EB6">
      <w:pPr>
        <w:spacing w:after="120" w:line="276" w:lineRule="auto"/>
        <w:ind w:firstLine="709"/>
        <w:jc w:val="both"/>
        <w:rPr>
          <w:rFonts w:ascii="Verdana" w:eastAsia="Calibri" w:hAnsi="Verdana" w:cs="Arial"/>
          <w:color w:val="000000" w:themeColor="text1"/>
          <w:lang w:val="es-ES_tradnl"/>
        </w:rPr>
      </w:pPr>
      <w:r w:rsidRPr="005F3B31">
        <w:rPr>
          <w:rFonts w:ascii="Verdana" w:eastAsia="Calibri" w:hAnsi="Verdana" w:cs="Arial"/>
          <w:color w:val="000000"/>
          <w:lang w:val="es-ES_tradnl"/>
        </w:rPr>
        <w:t xml:space="preserve">Si bien los contratos o convenios interadministrativos están previstos en la Ley 80 de 1993, en la Ley 1150 de 2007 y en el Decreto en el 1082 de 2015, no quiere decir que solo puedan celebrarse entre entidades estatales </w:t>
      </w:r>
      <w:r w:rsidRPr="005F3B31">
        <w:rPr>
          <w:rFonts w:ascii="Verdana" w:eastAsia="Calibri" w:hAnsi="Verdana" w:cs="Arial"/>
          <w:lang w:val="es-ES_tradnl"/>
        </w:rPr>
        <w:t>a las que se les aplique el Estatuto General de Contratación de la Administración Pública.</w:t>
      </w:r>
      <w:r w:rsidRPr="005F3B31">
        <w:rPr>
          <w:rFonts w:ascii="Verdana" w:eastAsia="Calibri" w:hAnsi="Verdana" w:cs="Arial"/>
          <w:color w:val="FF0000"/>
          <w:lang w:val="es-ES_tradnl"/>
        </w:rPr>
        <w:t xml:space="preserve"> </w:t>
      </w:r>
      <w:r w:rsidRPr="005F3B31">
        <w:rPr>
          <w:rFonts w:ascii="Verdana" w:eastAsia="Calibri" w:hAnsi="Verdana" w:cs="Arial"/>
          <w:color w:val="000000"/>
          <w:lang w:val="es-ES_tradnl"/>
        </w:rPr>
        <w:t xml:space="preserve">En efecto, una entidad estatal que debe aplicar la Ley 80 de 1993 bien puede celebrar esta clase de convenios con otra de régimen especial y no por ello dejará de ser un contrato o convenio interadministrativo. Caso en el cual su ejecución se regirá por el </w:t>
      </w:r>
      <w:r>
        <w:rPr>
          <w:rFonts w:ascii="Verdana" w:eastAsia="Calibri" w:hAnsi="Verdana" w:cs="Arial"/>
          <w:color w:val="000000"/>
          <w:lang w:val="es-ES_tradnl"/>
        </w:rPr>
        <w:t>EGCAP</w:t>
      </w:r>
      <w:r w:rsidRPr="005F3B31">
        <w:rPr>
          <w:rFonts w:ascii="Verdana" w:eastAsia="Calibri" w:hAnsi="Verdana" w:cs="Arial"/>
          <w:color w:val="000000"/>
          <w:lang w:val="es-ES_tradnl"/>
        </w:rPr>
        <w:t xml:space="preserve">, si la entidad contratante se encuentra sometida a este. </w:t>
      </w:r>
    </w:p>
    <w:p w14:paraId="77D8B6A7" w14:textId="77777777" w:rsidR="00473EB6" w:rsidRPr="005F3B31" w:rsidRDefault="00473EB6" w:rsidP="00473EB6">
      <w:pPr>
        <w:spacing w:after="120" w:line="276" w:lineRule="auto"/>
        <w:ind w:firstLine="709"/>
        <w:jc w:val="both"/>
        <w:rPr>
          <w:rFonts w:ascii="Verdana" w:eastAsia="Calibri" w:hAnsi="Verdana" w:cs="Arial"/>
          <w:color w:val="000000"/>
          <w:lang w:val="es-ES"/>
        </w:rPr>
      </w:pPr>
      <w:r w:rsidRPr="0719921A">
        <w:rPr>
          <w:rFonts w:ascii="Verdana" w:eastAsia="Calibri" w:hAnsi="Verdana" w:cs="Arial"/>
          <w:color w:val="000000" w:themeColor="text1"/>
          <w:lang w:val="es-ES"/>
        </w:rPr>
        <w:t xml:space="preserve">El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w:t>
      </w:r>
      <w:r w:rsidRPr="0719921A">
        <w:rPr>
          <w:rFonts w:ascii="Verdana" w:eastAsia="Calibri" w:hAnsi="Verdana" w:cs="Arial"/>
          <w:lang w:val="es-ES"/>
        </w:rPr>
        <w:t>legales</w:t>
      </w:r>
      <w:r w:rsidRPr="0719921A">
        <w:rPr>
          <w:rFonts w:ascii="Verdana" w:eastAsia="Calibri" w:hAnsi="Verdana" w:cs="Arial"/>
          <w:color w:val="000000" w:themeColor="text1"/>
          <w:lang w:val="es-ES"/>
        </w:rPr>
        <w:t>, deba adelantarse un procedimiento con pluralidad de oferentes. Nótese que, en este caso, lo que cambia es la modalidad de selección y no la naturaleza de contrato interadministrativo.</w:t>
      </w:r>
    </w:p>
    <w:p w14:paraId="4FE4162F" w14:textId="77777777" w:rsidR="00473EB6" w:rsidRPr="005F3B31" w:rsidRDefault="00473EB6" w:rsidP="00473EB6">
      <w:pPr>
        <w:spacing w:after="120" w:line="276" w:lineRule="auto"/>
        <w:ind w:firstLine="709"/>
        <w:jc w:val="both"/>
        <w:rPr>
          <w:rFonts w:ascii="Verdana" w:eastAsia="Calibri" w:hAnsi="Verdana" w:cs="Arial"/>
          <w:color w:val="000000"/>
          <w:lang w:eastAsia="es-ES_tradnl"/>
        </w:rPr>
      </w:pPr>
      <w:r w:rsidRPr="005F3B31">
        <w:rPr>
          <w:rFonts w:ascii="Verdana" w:eastAsia="Calibri" w:hAnsi="Verdana" w:cs="Arial"/>
          <w:color w:val="000000"/>
          <w:lang w:eastAsia="es-ES_tradnl"/>
        </w:rPr>
        <w:t xml:space="preserve">De acuerdo con lo anterior, los convenios interadministrativos son manifestaciones de la voluntad contractual de dos o más entidades estatales, independientemente de régimen de contratación. No obstante, tratándose de convenios celebrados por las entidades estatales sometidas al Estatuto General </w:t>
      </w:r>
      <w:r w:rsidRPr="005F3B31">
        <w:rPr>
          <w:rFonts w:ascii="Verdana" w:eastAsia="Calibri" w:hAnsi="Verdana" w:cs="Arial"/>
          <w:color w:val="000000"/>
          <w:lang w:eastAsia="es-ES_tradnl"/>
        </w:rPr>
        <w:lastRenderedPageBreak/>
        <w:t xml:space="preserve">de Contratación de la Administración Pública, es claro que los mismos deben celebrarse conforme a las disposiciones de dicho estatuto. </w:t>
      </w:r>
    </w:p>
    <w:p w14:paraId="7C33EA1A" w14:textId="77777777" w:rsidR="00473EB6" w:rsidRPr="004C713C" w:rsidRDefault="00473EB6" w:rsidP="00473EB6">
      <w:pPr>
        <w:spacing w:after="120" w:line="276" w:lineRule="auto"/>
        <w:ind w:firstLine="709"/>
        <w:jc w:val="both"/>
        <w:rPr>
          <w:rFonts w:ascii="Verdana" w:eastAsia="Calibri" w:hAnsi="Verdana" w:cs="Arial"/>
          <w:color w:val="000000"/>
          <w:lang w:eastAsia="es-ES_tradnl"/>
        </w:rPr>
      </w:pPr>
      <w:r w:rsidRPr="005F3B31">
        <w:rPr>
          <w:rFonts w:ascii="Verdana" w:eastAsia="Calibri" w:hAnsi="Verdana" w:cs="Arial"/>
          <w:color w:val="000000"/>
          <w:lang w:eastAsia="es-ES_tradnl"/>
        </w:rPr>
        <w:t xml:space="preserve">En ese sentido, una de las disposiciones que deben considerarse en la celebración de estos convenios es el artículo 40 de la Ley 80 de 1993 alusiva al contenido del contrato, así como su parágrafo estudiado </w:t>
      </w:r>
      <w:r w:rsidRPr="005F3B31">
        <w:rPr>
          <w:rFonts w:ascii="Verdana" w:eastAsia="Calibri" w:hAnsi="Verdana" w:cs="Arial"/>
          <w:i/>
          <w:iCs/>
          <w:color w:val="000000"/>
          <w:lang w:eastAsia="es-ES_tradnl"/>
        </w:rPr>
        <w:t>supra</w:t>
      </w:r>
      <w:r w:rsidRPr="005F3B31">
        <w:rPr>
          <w:rFonts w:ascii="Verdana" w:eastAsia="Calibri" w:hAnsi="Verdana" w:cs="Arial"/>
          <w:color w:val="000000"/>
          <w:lang w:eastAsia="es-ES_tradnl"/>
        </w:rPr>
        <w:t xml:space="preserve">.  Esto comoquiera que la modalidad de convenio o contrato interadministrativo no se encuentra exceptuada </w:t>
      </w:r>
      <w:r w:rsidRPr="004C713C">
        <w:rPr>
          <w:rFonts w:ascii="Verdana" w:eastAsia="Calibri" w:hAnsi="Verdana" w:cs="Arial"/>
          <w:color w:val="000000"/>
          <w:lang w:eastAsia="es-ES_tradnl"/>
        </w:rPr>
        <w:t xml:space="preserve">de la aplicación de dichas disposiciones, razón por la que las entidades sometidas a dicho estatuto, al realizar adiciones a los contratos deberán regirse por el inciso segundo del parágrafo del artículo 40, por lo que solo podrán realizar adiciones hasta por el cincuenta por ciento (50%) del valor inicial del contrato. </w:t>
      </w:r>
    </w:p>
    <w:p w14:paraId="6EA8F043" w14:textId="77777777" w:rsidR="00473EB6" w:rsidRPr="004C713C" w:rsidRDefault="00473EB6" w:rsidP="0061099F">
      <w:pPr>
        <w:pStyle w:val="Sinespaciado"/>
        <w:spacing w:after="120" w:line="276" w:lineRule="auto"/>
        <w:ind w:firstLine="708"/>
        <w:jc w:val="both"/>
        <w:rPr>
          <w:rFonts w:ascii="Verdana" w:eastAsia="Calibri" w:hAnsi="Verdana" w:cs="Arial"/>
          <w:bCs/>
          <w:lang w:val="es-ES"/>
        </w:rPr>
      </w:pPr>
      <w:r w:rsidRPr="004C713C">
        <w:rPr>
          <w:rFonts w:ascii="Verdana" w:eastAsia="Calibri" w:hAnsi="Verdana" w:cs="Arial"/>
          <w:bCs/>
          <w:lang w:val="es-ES"/>
        </w:rPr>
        <w:t xml:space="preserve">Por último, en relación con la liquidación de los contratos, se resalta que la Ley 80 de 1993 en su artículo 60 define los contratos que las Entidades Estatales deben liquidar: i) los contratos de tracto sucesivo, esto es aquellos cuyas obligaciones se ejecuten de manera periódica o difieren en el tiempo o sucesivamente a medida que se van causando, </w:t>
      </w:r>
      <w:proofErr w:type="spellStart"/>
      <w:r w:rsidRPr="004C713C">
        <w:rPr>
          <w:rFonts w:ascii="Verdana" w:eastAsia="Calibri" w:hAnsi="Verdana" w:cs="Arial"/>
          <w:bCs/>
          <w:lang w:val="es-ES"/>
        </w:rPr>
        <w:t>ii</w:t>
      </w:r>
      <w:proofErr w:type="spellEnd"/>
      <w:r w:rsidRPr="004C713C">
        <w:rPr>
          <w:rFonts w:ascii="Verdana" w:eastAsia="Calibri" w:hAnsi="Verdana" w:cs="Arial"/>
          <w:bCs/>
          <w:lang w:val="es-ES"/>
        </w:rPr>
        <w:t xml:space="preserve">) aquellos contratos cuya ejecución o cumplimiento se prolonguen en el tiempo, ya sea por la naturaleza periódica de las prestaciones o por las vicisitudes que se presenten en su ejecución que lo dilaten o prorroguen y, </w:t>
      </w:r>
      <w:proofErr w:type="spellStart"/>
      <w:r w:rsidRPr="004C713C">
        <w:rPr>
          <w:rFonts w:ascii="Verdana" w:eastAsia="Calibri" w:hAnsi="Verdana" w:cs="Arial"/>
          <w:bCs/>
          <w:lang w:val="es-ES"/>
        </w:rPr>
        <w:t>iii</w:t>
      </w:r>
      <w:proofErr w:type="spellEnd"/>
      <w:r w:rsidRPr="004C713C">
        <w:rPr>
          <w:rFonts w:ascii="Verdana" w:eastAsia="Calibri" w:hAnsi="Verdana" w:cs="Arial"/>
          <w:bCs/>
          <w:lang w:val="es-ES"/>
        </w:rPr>
        <w:t>) los demás que lo requieran, con fundamento en su naturaleza, objeto y plazo, así como su importancia o relevancia o por la eventualidad de discrepancias y controversias en torno a su ejecución; y a su vez, establece una salvedad, que en los contratos de prestación de servicios profesionales y de apoyo a la gestión, no es obligatoria la liquidación.</w:t>
      </w:r>
    </w:p>
    <w:p w14:paraId="62162E41" w14:textId="77777777" w:rsidR="00473EB6" w:rsidRDefault="00473EB6" w:rsidP="0061099F">
      <w:pPr>
        <w:pStyle w:val="Sinespaciado"/>
        <w:spacing w:after="120" w:line="276" w:lineRule="auto"/>
        <w:ind w:firstLine="708"/>
        <w:jc w:val="both"/>
        <w:rPr>
          <w:rFonts w:ascii="Verdana" w:eastAsia="Calibri" w:hAnsi="Verdana" w:cs="Arial"/>
          <w:bCs/>
          <w:lang w:val="es-ES"/>
        </w:rPr>
      </w:pPr>
      <w:r w:rsidRPr="004C713C">
        <w:rPr>
          <w:rFonts w:ascii="Verdana" w:eastAsia="Calibri" w:hAnsi="Verdana" w:cs="Arial"/>
          <w:bCs/>
          <w:lang w:val="es-ES"/>
        </w:rPr>
        <w:t xml:space="preserve">Por su parte, </w:t>
      </w:r>
      <w:r w:rsidRPr="004C713C">
        <w:rPr>
          <w:rFonts w:ascii="Verdana" w:hAnsi="Verdana"/>
          <w:lang w:val="es-ES"/>
        </w:rPr>
        <w:t>el artículo 11 de la Ley 1150 de 2007, existen tres</w:t>
      </w:r>
      <w:r w:rsidRPr="004C713C">
        <w:rPr>
          <w:rFonts w:ascii="Verdana" w:hAnsi="Verdana"/>
          <w:spacing w:val="30"/>
          <w:lang w:val="es-ES"/>
        </w:rPr>
        <w:t xml:space="preserve"> </w:t>
      </w:r>
      <w:r w:rsidRPr="004C713C">
        <w:rPr>
          <w:rFonts w:ascii="Verdana" w:hAnsi="Verdana"/>
          <w:lang w:val="es-ES"/>
        </w:rPr>
        <w:t>(3)</w:t>
      </w:r>
      <w:r w:rsidRPr="004C713C">
        <w:rPr>
          <w:rFonts w:ascii="Verdana" w:hAnsi="Verdana"/>
          <w:spacing w:val="29"/>
          <w:lang w:val="es-ES"/>
        </w:rPr>
        <w:t xml:space="preserve"> </w:t>
      </w:r>
      <w:r w:rsidRPr="004C713C">
        <w:rPr>
          <w:rFonts w:ascii="Verdana" w:hAnsi="Verdana"/>
          <w:lang w:val="es-ES"/>
        </w:rPr>
        <w:t>tipos</w:t>
      </w:r>
      <w:r w:rsidRPr="004C713C">
        <w:rPr>
          <w:rFonts w:ascii="Verdana" w:hAnsi="Verdana"/>
          <w:spacing w:val="30"/>
          <w:lang w:val="es-ES"/>
        </w:rPr>
        <w:t xml:space="preserve"> </w:t>
      </w:r>
      <w:r w:rsidRPr="004C713C">
        <w:rPr>
          <w:rFonts w:ascii="Verdana" w:hAnsi="Verdana"/>
          <w:lang w:val="es-ES"/>
        </w:rPr>
        <w:t>de</w:t>
      </w:r>
      <w:r w:rsidRPr="004C713C">
        <w:rPr>
          <w:rFonts w:ascii="Verdana" w:hAnsi="Verdana"/>
          <w:spacing w:val="29"/>
          <w:lang w:val="es-ES"/>
        </w:rPr>
        <w:t xml:space="preserve"> </w:t>
      </w:r>
      <w:r w:rsidRPr="004C713C">
        <w:rPr>
          <w:rFonts w:ascii="Verdana" w:hAnsi="Verdana"/>
          <w:lang w:val="es-ES"/>
        </w:rPr>
        <w:t>liquidación:</w:t>
      </w:r>
      <w:r w:rsidRPr="004C713C">
        <w:rPr>
          <w:rFonts w:ascii="Verdana" w:hAnsi="Verdana"/>
          <w:spacing w:val="32"/>
          <w:lang w:val="es-ES"/>
        </w:rPr>
        <w:t xml:space="preserve"> </w:t>
      </w:r>
      <w:r w:rsidRPr="004C713C">
        <w:rPr>
          <w:rFonts w:ascii="Verdana" w:hAnsi="Verdana"/>
          <w:lang w:val="es-ES"/>
        </w:rPr>
        <w:t>i)</w:t>
      </w:r>
      <w:r w:rsidRPr="004C713C">
        <w:rPr>
          <w:rFonts w:ascii="Verdana" w:hAnsi="Verdana"/>
          <w:spacing w:val="29"/>
          <w:lang w:val="es-ES"/>
        </w:rPr>
        <w:t xml:space="preserve"> </w:t>
      </w:r>
      <w:r w:rsidRPr="004C713C">
        <w:rPr>
          <w:rFonts w:ascii="Verdana" w:hAnsi="Verdana"/>
          <w:lang w:val="es-ES"/>
        </w:rPr>
        <w:t>bilateral,</w:t>
      </w:r>
      <w:r w:rsidRPr="004C713C">
        <w:rPr>
          <w:rFonts w:ascii="Verdana" w:hAnsi="Verdana"/>
          <w:spacing w:val="32"/>
          <w:lang w:val="es-ES"/>
        </w:rPr>
        <w:t xml:space="preserve"> </w:t>
      </w:r>
      <w:proofErr w:type="spellStart"/>
      <w:r w:rsidRPr="004C713C">
        <w:rPr>
          <w:rFonts w:ascii="Verdana" w:hAnsi="Verdana"/>
          <w:lang w:val="es-ES"/>
        </w:rPr>
        <w:t>ii</w:t>
      </w:r>
      <w:proofErr w:type="spellEnd"/>
      <w:r w:rsidRPr="004C713C">
        <w:rPr>
          <w:rFonts w:ascii="Verdana" w:hAnsi="Verdana"/>
          <w:lang w:val="es-ES"/>
        </w:rPr>
        <w:t>)</w:t>
      </w:r>
      <w:r w:rsidRPr="004C713C">
        <w:rPr>
          <w:rFonts w:ascii="Verdana" w:hAnsi="Verdana"/>
          <w:spacing w:val="29"/>
          <w:lang w:val="es-ES"/>
        </w:rPr>
        <w:t xml:space="preserve"> </w:t>
      </w:r>
      <w:r w:rsidRPr="004C713C">
        <w:rPr>
          <w:rFonts w:ascii="Verdana" w:hAnsi="Verdana"/>
          <w:lang w:val="es-ES"/>
        </w:rPr>
        <w:t>unilateral</w:t>
      </w:r>
      <w:r w:rsidRPr="004C713C">
        <w:rPr>
          <w:rFonts w:ascii="Verdana" w:hAnsi="Verdana"/>
          <w:spacing w:val="32"/>
          <w:lang w:val="es-ES"/>
        </w:rPr>
        <w:t xml:space="preserve"> </w:t>
      </w:r>
      <w:r w:rsidRPr="004C713C">
        <w:rPr>
          <w:rFonts w:ascii="Verdana" w:hAnsi="Verdana"/>
          <w:lang w:val="es-ES"/>
        </w:rPr>
        <w:t>y</w:t>
      </w:r>
      <w:r w:rsidRPr="004C713C">
        <w:rPr>
          <w:rFonts w:ascii="Verdana" w:hAnsi="Verdana"/>
          <w:spacing w:val="29"/>
          <w:lang w:val="es-ES"/>
        </w:rPr>
        <w:t xml:space="preserve"> </w:t>
      </w:r>
      <w:proofErr w:type="spellStart"/>
      <w:r w:rsidRPr="004C713C">
        <w:rPr>
          <w:rFonts w:ascii="Verdana" w:hAnsi="Verdana"/>
          <w:lang w:val="es-ES"/>
        </w:rPr>
        <w:t>iii</w:t>
      </w:r>
      <w:proofErr w:type="spellEnd"/>
      <w:r w:rsidRPr="004C713C">
        <w:rPr>
          <w:rFonts w:ascii="Verdana" w:hAnsi="Verdana"/>
          <w:lang w:val="es-ES"/>
        </w:rPr>
        <w:t>)</w:t>
      </w:r>
      <w:r w:rsidRPr="004C713C">
        <w:rPr>
          <w:rFonts w:ascii="Verdana" w:hAnsi="Verdana"/>
          <w:spacing w:val="29"/>
          <w:lang w:val="es-ES"/>
        </w:rPr>
        <w:t xml:space="preserve"> </w:t>
      </w:r>
      <w:r w:rsidRPr="004C713C">
        <w:rPr>
          <w:rFonts w:ascii="Verdana" w:hAnsi="Verdana"/>
          <w:lang w:val="es-ES"/>
        </w:rPr>
        <w:t>judicial.</w:t>
      </w:r>
      <w:r w:rsidRPr="004C713C">
        <w:rPr>
          <w:rFonts w:ascii="Verdana" w:hAnsi="Verdana"/>
          <w:spacing w:val="32"/>
          <w:lang w:val="es-ES"/>
        </w:rPr>
        <w:t xml:space="preserve"> </w:t>
      </w:r>
      <w:r w:rsidRPr="004C713C">
        <w:rPr>
          <w:rFonts w:ascii="Verdana" w:hAnsi="Verdana"/>
          <w:lang w:val="es-ES"/>
        </w:rPr>
        <w:t>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w:t>
      </w:r>
      <w:r w:rsidRPr="004C713C">
        <w:rPr>
          <w:rFonts w:ascii="Verdana" w:hAnsi="Verdana"/>
          <w:spacing w:val="-15"/>
          <w:lang w:val="es-ES"/>
        </w:rPr>
        <w:t xml:space="preserve"> </w:t>
      </w:r>
      <w:r w:rsidRPr="004C713C">
        <w:rPr>
          <w:rFonts w:ascii="Verdana" w:hAnsi="Verdana"/>
          <w:lang w:val="es-ES"/>
        </w:rPr>
        <w:t>o</w:t>
      </w:r>
      <w:r w:rsidRPr="004C713C">
        <w:rPr>
          <w:rFonts w:ascii="Verdana" w:hAnsi="Verdana"/>
          <w:spacing w:val="-19"/>
          <w:lang w:val="es-ES"/>
        </w:rPr>
        <w:t xml:space="preserve"> </w:t>
      </w:r>
      <w:r w:rsidRPr="004C713C">
        <w:rPr>
          <w:rFonts w:ascii="Verdana" w:hAnsi="Verdana"/>
          <w:lang w:val="es-ES"/>
        </w:rPr>
        <w:t>un</w:t>
      </w:r>
      <w:r w:rsidRPr="004C713C">
        <w:rPr>
          <w:rFonts w:ascii="Verdana" w:hAnsi="Verdana"/>
          <w:spacing w:val="-18"/>
          <w:lang w:val="es-ES"/>
        </w:rPr>
        <w:t xml:space="preserve"> </w:t>
      </w:r>
      <w:r w:rsidRPr="004C713C">
        <w:rPr>
          <w:rFonts w:ascii="Verdana" w:hAnsi="Verdana"/>
          <w:lang w:val="es-ES"/>
        </w:rPr>
        <w:t>tribunal</w:t>
      </w:r>
      <w:r w:rsidRPr="004C713C">
        <w:rPr>
          <w:rFonts w:ascii="Verdana" w:hAnsi="Verdana"/>
          <w:spacing w:val="-17"/>
          <w:lang w:val="es-ES"/>
        </w:rPr>
        <w:t xml:space="preserve"> </w:t>
      </w:r>
      <w:r w:rsidRPr="004C713C">
        <w:rPr>
          <w:rFonts w:ascii="Verdana" w:hAnsi="Verdana"/>
          <w:lang w:val="es-ES"/>
        </w:rPr>
        <w:t>de</w:t>
      </w:r>
      <w:r w:rsidRPr="004C713C">
        <w:rPr>
          <w:rFonts w:ascii="Verdana" w:hAnsi="Verdana"/>
          <w:spacing w:val="-18"/>
          <w:lang w:val="es-ES"/>
        </w:rPr>
        <w:t xml:space="preserve"> </w:t>
      </w:r>
      <w:r w:rsidRPr="004C713C">
        <w:rPr>
          <w:rFonts w:ascii="Verdana" w:hAnsi="Verdana"/>
          <w:lang w:val="es-ES"/>
        </w:rPr>
        <w:t>arbitramento</w:t>
      </w:r>
      <w:r w:rsidRPr="004C713C">
        <w:rPr>
          <w:rFonts w:ascii="Verdana" w:hAnsi="Verdana"/>
          <w:spacing w:val="-15"/>
          <w:lang w:val="es-ES"/>
        </w:rPr>
        <w:t xml:space="preserve"> </w:t>
      </w:r>
      <w:r w:rsidRPr="004C713C">
        <w:rPr>
          <w:rFonts w:ascii="Verdana" w:hAnsi="Verdana"/>
          <w:lang w:val="es-ES"/>
        </w:rPr>
        <w:t>dentro</w:t>
      </w:r>
      <w:r w:rsidRPr="004C713C">
        <w:rPr>
          <w:rFonts w:ascii="Verdana" w:hAnsi="Verdana"/>
          <w:spacing w:val="-18"/>
          <w:lang w:val="es-ES"/>
        </w:rPr>
        <w:t xml:space="preserve"> </w:t>
      </w:r>
      <w:r w:rsidRPr="004C713C">
        <w:rPr>
          <w:rFonts w:ascii="Verdana" w:hAnsi="Verdana"/>
          <w:lang w:val="es-ES"/>
        </w:rPr>
        <w:t>de</w:t>
      </w:r>
      <w:r w:rsidRPr="004C713C">
        <w:rPr>
          <w:rFonts w:ascii="Verdana" w:hAnsi="Verdana"/>
          <w:spacing w:val="-18"/>
          <w:lang w:val="es-ES"/>
        </w:rPr>
        <w:t xml:space="preserve"> </w:t>
      </w:r>
      <w:r w:rsidRPr="004C713C">
        <w:rPr>
          <w:rFonts w:ascii="Verdana" w:hAnsi="Verdana"/>
          <w:lang w:val="es-ES"/>
        </w:rPr>
        <w:t>un</w:t>
      </w:r>
      <w:r w:rsidRPr="004C713C">
        <w:rPr>
          <w:rFonts w:ascii="Verdana" w:hAnsi="Verdana"/>
          <w:spacing w:val="-19"/>
          <w:lang w:val="es-ES"/>
        </w:rPr>
        <w:t xml:space="preserve"> </w:t>
      </w:r>
      <w:r w:rsidRPr="004C713C">
        <w:rPr>
          <w:rFonts w:ascii="Verdana" w:hAnsi="Verdana"/>
          <w:lang w:val="es-ES"/>
        </w:rPr>
        <w:t>proceso</w:t>
      </w:r>
      <w:r w:rsidRPr="004C713C">
        <w:rPr>
          <w:rFonts w:ascii="Verdana" w:hAnsi="Verdana"/>
          <w:spacing w:val="-17"/>
          <w:lang w:val="es-ES"/>
        </w:rPr>
        <w:t xml:space="preserve"> </w:t>
      </w:r>
      <w:r w:rsidRPr="004C713C">
        <w:rPr>
          <w:rFonts w:ascii="Verdana" w:hAnsi="Verdana"/>
          <w:lang w:val="es-ES"/>
        </w:rPr>
        <w:t>judicial de controversias contractuales, y puede darse con ocasión de una demanda</w:t>
      </w:r>
      <w:r w:rsidRPr="004C713C">
        <w:rPr>
          <w:rFonts w:ascii="Verdana" w:hAnsi="Verdana"/>
          <w:spacing w:val="-3"/>
          <w:lang w:val="es-ES"/>
        </w:rPr>
        <w:t xml:space="preserve"> </w:t>
      </w:r>
      <w:r w:rsidRPr="004C713C">
        <w:rPr>
          <w:rFonts w:ascii="Verdana" w:hAnsi="Verdana"/>
          <w:lang w:val="es-ES"/>
        </w:rPr>
        <w:t>del</w:t>
      </w:r>
      <w:r w:rsidRPr="004C713C">
        <w:rPr>
          <w:rFonts w:ascii="Verdana" w:hAnsi="Verdana"/>
          <w:spacing w:val="-4"/>
          <w:lang w:val="es-ES"/>
        </w:rPr>
        <w:t xml:space="preserve"> </w:t>
      </w:r>
      <w:r w:rsidRPr="004C713C">
        <w:rPr>
          <w:rFonts w:ascii="Verdana" w:hAnsi="Verdana"/>
          <w:lang w:val="es-ES"/>
        </w:rPr>
        <w:t>interesado</w:t>
      </w:r>
      <w:r w:rsidRPr="004C713C">
        <w:rPr>
          <w:rFonts w:ascii="Verdana" w:hAnsi="Verdana"/>
          <w:spacing w:val="-3"/>
          <w:lang w:val="es-ES"/>
        </w:rPr>
        <w:t xml:space="preserve"> </w:t>
      </w:r>
      <w:r w:rsidRPr="004C713C">
        <w:rPr>
          <w:rFonts w:ascii="Verdana" w:hAnsi="Verdana"/>
          <w:lang w:val="es-ES"/>
        </w:rPr>
        <w:t>solicitando</w:t>
      </w:r>
      <w:r w:rsidRPr="004C713C">
        <w:rPr>
          <w:rFonts w:ascii="Verdana" w:hAnsi="Verdana"/>
          <w:spacing w:val="-2"/>
          <w:lang w:val="es-ES"/>
        </w:rPr>
        <w:t xml:space="preserve"> </w:t>
      </w:r>
      <w:r w:rsidRPr="004C713C">
        <w:rPr>
          <w:rFonts w:ascii="Verdana" w:hAnsi="Verdana"/>
          <w:lang w:val="es-ES"/>
        </w:rPr>
        <w:t>dicha</w:t>
      </w:r>
      <w:r w:rsidRPr="004C713C">
        <w:rPr>
          <w:rFonts w:ascii="Verdana" w:hAnsi="Verdana"/>
          <w:spacing w:val="-4"/>
          <w:lang w:val="es-ES"/>
        </w:rPr>
        <w:t xml:space="preserve"> </w:t>
      </w:r>
      <w:r w:rsidRPr="004C713C">
        <w:rPr>
          <w:rFonts w:ascii="Verdana" w:hAnsi="Verdana"/>
          <w:lang w:val="es-ES"/>
        </w:rPr>
        <w:t>liquidación.</w:t>
      </w:r>
      <w:r w:rsidRPr="004C713C">
        <w:rPr>
          <w:rFonts w:ascii="Verdana" w:hAnsi="Verdana"/>
          <w:spacing w:val="-2"/>
          <w:lang w:val="es-ES"/>
        </w:rPr>
        <w:t xml:space="preserve"> </w:t>
      </w:r>
      <w:r w:rsidRPr="004C713C">
        <w:rPr>
          <w:rFonts w:ascii="Verdana" w:hAnsi="Verdana"/>
          <w:lang w:val="es-ES"/>
        </w:rPr>
        <w:t>Para</w:t>
      </w:r>
      <w:r w:rsidRPr="004C713C">
        <w:rPr>
          <w:rFonts w:ascii="Verdana" w:hAnsi="Verdana"/>
          <w:spacing w:val="-4"/>
          <w:lang w:val="es-ES"/>
        </w:rPr>
        <w:t xml:space="preserve"> </w:t>
      </w:r>
      <w:r w:rsidRPr="004C713C">
        <w:rPr>
          <w:rFonts w:ascii="Verdana" w:hAnsi="Verdana"/>
          <w:lang w:val="es-ES"/>
        </w:rPr>
        <w:t>ello,</w:t>
      </w:r>
      <w:r w:rsidRPr="004C713C">
        <w:rPr>
          <w:rFonts w:ascii="Verdana" w:hAnsi="Verdana"/>
          <w:spacing w:val="-4"/>
          <w:lang w:val="es-ES"/>
        </w:rPr>
        <w:t xml:space="preserve"> </w:t>
      </w:r>
      <w:r w:rsidRPr="004C713C">
        <w:rPr>
          <w:rFonts w:ascii="Verdana" w:hAnsi="Verdana"/>
          <w:lang w:val="es-ES"/>
        </w:rPr>
        <w:t>existe</w:t>
      </w:r>
      <w:r w:rsidRPr="004C713C">
        <w:rPr>
          <w:rFonts w:ascii="Verdana" w:hAnsi="Verdana"/>
          <w:spacing w:val="-3"/>
          <w:lang w:val="es-ES"/>
        </w:rPr>
        <w:t xml:space="preserve"> </w:t>
      </w:r>
      <w:r w:rsidRPr="004C713C">
        <w:rPr>
          <w:rFonts w:ascii="Verdana" w:hAnsi="Verdana"/>
          <w:lang w:val="es-ES"/>
        </w:rPr>
        <w:t>un plazo máximo de dos (2) años contados a partir de los dos meses establecidos en la Ley para realizar la liquidación unilateral, de conformidad con</w:t>
      </w:r>
      <w:r w:rsidRPr="004C713C">
        <w:rPr>
          <w:rFonts w:ascii="Verdana" w:hAnsi="Verdana"/>
          <w:spacing w:val="-2"/>
          <w:lang w:val="es-ES"/>
        </w:rPr>
        <w:t xml:space="preserve"> </w:t>
      </w:r>
      <w:r w:rsidRPr="004C713C">
        <w:rPr>
          <w:rFonts w:ascii="Verdana" w:hAnsi="Verdana"/>
          <w:lang w:val="es-ES"/>
        </w:rPr>
        <w:t>el</w:t>
      </w:r>
      <w:r w:rsidRPr="004C713C">
        <w:rPr>
          <w:rFonts w:ascii="Verdana" w:hAnsi="Verdana"/>
          <w:spacing w:val="-2"/>
          <w:lang w:val="es-ES"/>
        </w:rPr>
        <w:t xml:space="preserve"> </w:t>
      </w:r>
      <w:r w:rsidRPr="004C713C">
        <w:rPr>
          <w:rFonts w:ascii="Verdana" w:hAnsi="Verdana"/>
          <w:lang w:val="es-ES"/>
        </w:rPr>
        <w:t>citado</w:t>
      </w:r>
      <w:r w:rsidRPr="004C713C">
        <w:rPr>
          <w:rFonts w:ascii="Verdana" w:hAnsi="Verdana"/>
          <w:spacing w:val="-1"/>
          <w:lang w:val="es-ES"/>
        </w:rPr>
        <w:t xml:space="preserve"> </w:t>
      </w:r>
      <w:r w:rsidRPr="004C713C">
        <w:rPr>
          <w:rFonts w:ascii="Verdana" w:hAnsi="Verdana"/>
          <w:lang w:val="es-ES"/>
        </w:rPr>
        <w:t>auto</w:t>
      </w:r>
      <w:r w:rsidRPr="004C713C">
        <w:rPr>
          <w:rFonts w:ascii="Verdana" w:hAnsi="Verdana"/>
          <w:spacing w:val="-1"/>
          <w:lang w:val="es-ES"/>
        </w:rPr>
        <w:t xml:space="preserve"> </w:t>
      </w:r>
      <w:r w:rsidRPr="004C713C">
        <w:rPr>
          <w:rFonts w:ascii="Verdana" w:hAnsi="Verdana"/>
          <w:lang w:val="es-ES"/>
        </w:rPr>
        <w:t>de</w:t>
      </w:r>
      <w:r w:rsidRPr="004C713C">
        <w:rPr>
          <w:rFonts w:ascii="Verdana" w:hAnsi="Verdana"/>
          <w:spacing w:val="-2"/>
          <w:lang w:val="es-ES"/>
        </w:rPr>
        <w:t xml:space="preserve"> </w:t>
      </w:r>
      <w:r w:rsidRPr="004C713C">
        <w:rPr>
          <w:rFonts w:ascii="Verdana" w:hAnsi="Verdana"/>
          <w:lang w:val="es-ES"/>
        </w:rPr>
        <w:t xml:space="preserve">unificación </w:t>
      </w:r>
      <w:r w:rsidRPr="004C713C">
        <w:rPr>
          <w:rFonts w:ascii="Verdana" w:hAnsi="Verdana"/>
          <w:lang w:val="es-ES"/>
        </w:rPr>
        <w:lastRenderedPageBreak/>
        <w:t>jurisprudencial del</w:t>
      </w:r>
      <w:r w:rsidRPr="004C713C">
        <w:rPr>
          <w:rFonts w:ascii="Verdana" w:hAnsi="Verdana"/>
          <w:spacing w:val="-2"/>
          <w:lang w:val="es-ES"/>
        </w:rPr>
        <w:t xml:space="preserve"> </w:t>
      </w:r>
      <w:r w:rsidRPr="004C713C">
        <w:rPr>
          <w:rFonts w:ascii="Verdana" w:hAnsi="Verdana"/>
          <w:lang w:val="es-ES"/>
        </w:rPr>
        <w:t xml:space="preserve">Consejo de Estado. </w:t>
      </w:r>
      <w:r w:rsidRPr="004C713C">
        <w:rPr>
          <w:rFonts w:ascii="Verdana" w:eastAsia="Calibri" w:hAnsi="Verdana" w:cs="Arial"/>
          <w:bCs/>
          <w:lang w:val="es-ES"/>
        </w:rPr>
        <w:t>En ese sentido, si el convenio interadministrativo cumple con las condiciones señaladas sobre los contratos que las entidades deben liquidar, la entidad contratante debe establecer si es procedente o no y la forma en que se hará.</w:t>
      </w:r>
    </w:p>
    <w:p w14:paraId="07F94D75" w14:textId="77777777" w:rsidR="00473EB6" w:rsidRPr="00E61635" w:rsidRDefault="00473EB6" w:rsidP="00473EB6">
      <w:pPr>
        <w:pStyle w:val="Sinespaciado"/>
        <w:spacing w:line="276" w:lineRule="auto"/>
        <w:ind w:firstLine="708"/>
        <w:jc w:val="both"/>
        <w:rPr>
          <w:rFonts w:ascii="Verdana" w:hAnsi="Verdana"/>
        </w:rPr>
      </w:pPr>
      <w:r w:rsidRPr="004C713C">
        <w:rPr>
          <w:rFonts w:ascii="Verdana" w:hAnsi="Verdana"/>
        </w:rPr>
        <w:t>Dentro de este marco, corresponde a cada entidad pública, en ejercicio de su competencia y previa valoración de los elementos fácticos y jurídicos, así como de las disposiciones legales mencionadas, determinar si procede adicionar y prorrogar determinado contrato. Al tratarse de un análisis que debe realizarse en el procedimiento contractual específico, la Agencia no puede definir un criterio universal y absoluto por vía consultiva, sino que brinda elementos de carácter general para que</w:t>
      </w:r>
      <w:r w:rsidRPr="00E61635">
        <w:rPr>
          <w:rFonts w:ascii="Verdana" w:hAnsi="Verdana"/>
        </w:rPr>
        <w:t xml:space="preserv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21D2CD1" w14:textId="77777777" w:rsidR="00473EB6" w:rsidRDefault="00473EB6" w:rsidP="00473EB6">
      <w:pPr>
        <w:widowControl w:val="0"/>
        <w:autoSpaceDE w:val="0"/>
        <w:autoSpaceDN w:val="0"/>
        <w:spacing w:after="0" w:line="276" w:lineRule="auto"/>
        <w:jc w:val="both"/>
        <w:rPr>
          <w:rFonts w:ascii="Verdana" w:hAnsi="Verdana" w:cs="Arial"/>
        </w:rPr>
      </w:pPr>
    </w:p>
    <w:p w14:paraId="344D00F4" w14:textId="77777777" w:rsidR="00473EB6" w:rsidRDefault="00473EB6" w:rsidP="00473E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092A5EDF" w14:textId="77777777" w:rsidR="00473EB6" w:rsidRDefault="00473EB6" w:rsidP="00473EB6">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73EB6" w14:paraId="377204B9" w14:textId="77777777" w:rsidTr="0040574D">
        <w:trPr>
          <w:trHeight w:val="870"/>
        </w:trPr>
        <w:tc>
          <w:tcPr>
            <w:tcW w:w="8647" w:type="dxa"/>
            <w:tcBorders>
              <w:top w:val="dotted" w:sz="4" w:space="0" w:color="auto"/>
              <w:left w:val="dotted" w:sz="4" w:space="0" w:color="auto"/>
              <w:bottom w:val="dotted" w:sz="4" w:space="0" w:color="auto"/>
              <w:right w:val="dotted" w:sz="4" w:space="0" w:color="auto"/>
            </w:tcBorders>
            <w:hideMark/>
          </w:tcPr>
          <w:p w14:paraId="39864D68" w14:textId="77777777" w:rsidR="00473EB6" w:rsidRDefault="00473EB6" w:rsidP="00473EB6">
            <w:pPr>
              <w:pStyle w:val="Prrafodelista"/>
              <w:numPr>
                <w:ilvl w:val="0"/>
                <w:numId w:val="17"/>
              </w:numPr>
              <w:spacing w:line="276" w:lineRule="auto"/>
              <w:contextualSpacing w:val="0"/>
              <w:jc w:val="both"/>
              <w:rPr>
                <w:rFonts w:ascii="Verdana" w:hAnsi="Verdana" w:cs="Arial"/>
              </w:rPr>
            </w:pPr>
            <w:r w:rsidRPr="00EE0353">
              <w:rPr>
                <w:rFonts w:ascii="Verdana" w:hAnsi="Verdana" w:cs="Arial"/>
              </w:rPr>
              <w:t xml:space="preserve">Ley </w:t>
            </w:r>
            <w:r>
              <w:rPr>
                <w:rFonts w:ascii="Verdana" w:hAnsi="Verdana" w:cs="Arial"/>
              </w:rPr>
              <w:t>80 de 1993. Parágrafo Artículo 40 y Artículo 60</w:t>
            </w:r>
          </w:p>
          <w:p w14:paraId="705451B1" w14:textId="77777777" w:rsidR="00473EB6" w:rsidRDefault="00473EB6" w:rsidP="00473EB6">
            <w:pPr>
              <w:pStyle w:val="Prrafodelista"/>
              <w:numPr>
                <w:ilvl w:val="0"/>
                <w:numId w:val="17"/>
              </w:numPr>
              <w:spacing w:line="276" w:lineRule="auto"/>
              <w:contextualSpacing w:val="0"/>
              <w:jc w:val="both"/>
              <w:rPr>
                <w:rFonts w:ascii="Verdana" w:hAnsi="Verdana" w:cs="Arial"/>
              </w:rPr>
            </w:pPr>
            <w:r>
              <w:rPr>
                <w:rFonts w:ascii="Verdana" w:hAnsi="Verdana" w:cs="Arial"/>
              </w:rPr>
              <w:t>Ley 1150 de 2007. Artículo 11</w:t>
            </w:r>
          </w:p>
          <w:p w14:paraId="6DCED501" w14:textId="77777777" w:rsidR="00473EB6" w:rsidRDefault="00473EB6" w:rsidP="00473EB6">
            <w:pPr>
              <w:pStyle w:val="Prrafodelista"/>
              <w:numPr>
                <w:ilvl w:val="0"/>
                <w:numId w:val="17"/>
              </w:numPr>
              <w:spacing w:line="276" w:lineRule="auto"/>
              <w:contextualSpacing w:val="0"/>
              <w:jc w:val="both"/>
              <w:rPr>
                <w:rFonts w:ascii="Verdana" w:hAnsi="Verdana" w:cs="Arial"/>
              </w:rPr>
            </w:pPr>
            <w:r>
              <w:rPr>
                <w:rFonts w:ascii="Verdana" w:hAnsi="Verdana" w:cs="Arial"/>
              </w:rPr>
              <w:t>Ley 1474 de 2011. Artículo 85</w:t>
            </w:r>
          </w:p>
          <w:p w14:paraId="32CE822C" w14:textId="77777777" w:rsidR="00473EB6" w:rsidRPr="00286FF3" w:rsidRDefault="00473EB6" w:rsidP="0061099F">
            <w:pPr>
              <w:widowControl w:val="0"/>
              <w:numPr>
                <w:ilvl w:val="0"/>
                <w:numId w:val="17"/>
              </w:numPr>
              <w:autoSpaceDE w:val="0"/>
              <w:autoSpaceDN w:val="0"/>
              <w:spacing w:line="276" w:lineRule="auto"/>
              <w:jc w:val="both"/>
              <w:rPr>
                <w:rFonts w:ascii="Verdana" w:eastAsia="Aptos" w:hAnsi="Verdana" w:cs="Arial"/>
              </w:rPr>
            </w:pPr>
            <w:r w:rsidRPr="00286FF3">
              <w:rPr>
                <w:rFonts w:ascii="Verdana" w:eastAsia="Calibri" w:hAnsi="Verdana" w:cs="Arial"/>
                <w:lang w:val="es-ES"/>
              </w:rPr>
              <w:t>Corte Constitucional. Sentencia C-416 de 2012</w:t>
            </w:r>
          </w:p>
          <w:p w14:paraId="3764A0BC" w14:textId="77777777" w:rsidR="00473EB6" w:rsidRPr="00286FF3" w:rsidRDefault="00473EB6" w:rsidP="0061099F">
            <w:pPr>
              <w:widowControl w:val="0"/>
              <w:numPr>
                <w:ilvl w:val="0"/>
                <w:numId w:val="17"/>
              </w:numPr>
              <w:autoSpaceDE w:val="0"/>
              <w:autoSpaceDN w:val="0"/>
              <w:spacing w:line="276" w:lineRule="auto"/>
              <w:jc w:val="both"/>
              <w:rPr>
                <w:rFonts w:ascii="Verdana" w:eastAsia="Calibri" w:hAnsi="Verdana" w:cs="Arial"/>
                <w:lang w:val="es-ES"/>
              </w:rPr>
            </w:pPr>
            <w:r w:rsidRPr="00286FF3">
              <w:rPr>
                <w:rFonts w:ascii="Verdana" w:eastAsia="Calibri" w:hAnsi="Verdana" w:cs="Arial"/>
                <w:lang w:val="es-ES"/>
              </w:rPr>
              <w:t>Consejo de Estado, Sala de Consulta y Servicio Civil. Concepto del 13 de agosto de 2009, rad. 1.952, C.P. Enrique José Arboleda Perdomo</w:t>
            </w:r>
          </w:p>
          <w:p w14:paraId="2A772277" w14:textId="77777777" w:rsidR="00473EB6" w:rsidRPr="00924340" w:rsidRDefault="00473EB6" w:rsidP="00473EB6">
            <w:pPr>
              <w:pStyle w:val="Prrafodelista"/>
              <w:numPr>
                <w:ilvl w:val="0"/>
                <w:numId w:val="17"/>
              </w:numPr>
              <w:spacing w:line="276" w:lineRule="auto"/>
              <w:contextualSpacing w:val="0"/>
              <w:jc w:val="both"/>
              <w:rPr>
                <w:rFonts w:ascii="Verdana" w:hAnsi="Verdana" w:cs="Arial"/>
              </w:rPr>
            </w:pPr>
            <w:r w:rsidRPr="00286FF3">
              <w:rPr>
                <w:rFonts w:ascii="Verdana" w:eastAsia="Calibri" w:hAnsi="Verdana" w:cs="Arial"/>
              </w:rPr>
              <w:t>Consejo de Estado, Sala de Consulta y Servicio Civil. Concepto 2263 del 17 de marzo del 2016</w:t>
            </w:r>
          </w:p>
        </w:tc>
      </w:tr>
    </w:tbl>
    <w:p w14:paraId="2C2C10B7" w14:textId="77777777" w:rsidR="00473EB6" w:rsidRDefault="00473EB6" w:rsidP="00473EB6">
      <w:pPr>
        <w:widowControl w:val="0"/>
        <w:autoSpaceDE w:val="0"/>
        <w:autoSpaceDN w:val="0"/>
        <w:spacing w:after="0" w:line="276" w:lineRule="auto"/>
        <w:jc w:val="both"/>
        <w:rPr>
          <w:rFonts w:ascii="Verdana" w:hAnsi="Verdana" w:cs="Arial"/>
        </w:rPr>
      </w:pPr>
    </w:p>
    <w:p w14:paraId="3189F859" w14:textId="77777777" w:rsidR="00473EB6" w:rsidRDefault="00473EB6" w:rsidP="00473E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5094D32" w14:textId="77777777" w:rsidR="00473EB6" w:rsidRDefault="00473EB6" w:rsidP="00473EB6">
      <w:pPr>
        <w:widowControl w:val="0"/>
        <w:autoSpaceDE w:val="0"/>
        <w:autoSpaceDN w:val="0"/>
        <w:spacing w:after="0" w:line="276" w:lineRule="auto"/>
        <w:jc w:val="both"/>
        <w:rPr>
          <w:rFonts w:ascii="Verdana" w:hAnsi="Verdana" w:cs="Arial"/>
        </w:rPr>
      </w:pPr>
    </w:p>
    <w:p w14:paraId="20E328FE" w14:textId="77777777" w:rsidR="00473EB6" w:rsidRPr="00FE3C84" w:rsidRDefault="00473EB6" w:rsidP="00473EB6">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 xml:space="preserve">Sobre </w:t>
      </w:r>
      <w:r w:rsidRPr="00286FF3">
        <w:rPr>
          <w:rFonts w:ascii="Verdana" w:eastAsia="Aptos" w:hAnsi="Verdana" w:cs="Arial"/>
          <w:shd w:val="clear" w:color="auto" w:fill="FFFFFF"/>
          <w:lang w:val="es-ES"/>
        </w:rPr>
        <w:t>las modificaciones y adiciones en los contratos estatales, esta Subdirección se ha pronunciado en los conceptos 4201912000007298 de 23 de octubre de 2019, 4201913000006294 del 16 de septiembre de 2019, así como en los conceptos C-062 del 25 de marzo de 2020, C-100 del 27 de marzo de 2020, C-318 del 28 de mayo de 2020, C–452 del 28 de julio de 2020, C-560 del 24 de agosto de 2020, C-628 del 23 de septiembre del 2020, C-750 del 21 de diciembre de 2020, C-073 de 16 de marzo de 2021, C-277 de 21 de junio de 2021, C-644 de 18 de noviembre de 2021, C-755 de 21 de enero de 2022, C-</w:t>
      </w:r>
      <w:r w:rsidRPr="00286FF3">
        <w:rPr>
          <w:rFonts w:ascii="Verdana" w:eastAsia="Aptos" w:hAnsi="Verdana" w:cs="Arial"/>
          <w:shd w:val="clear" w:color="auto" w:fill="FFFFFF"/>
          <w:lang w:val="es-ES"/>
        </w:rPr>
        <w:lastRenderedPageBreak/>
        <w:t xml:space="preserve">152 de 1 de abril de 2022, C-267 de 5 de mayo de 2022, C-432 de 13 de julio de 2022, C-630 del 29 de septiembre de 2022, C-784 del 21 de noviembre del 2022, C-398 del 27 de septiembre de 2023, C-452 del 7 de noviembre de 2023, C-463 del 22 de noviembre </w:t>
      </w:r>
      <w:r w:rsidRPr="001A1DD4">
        <w:rPr>
          <w:rFonts w:ascii="Verdana" w:eastAsia="Aptos" w:hAnsi="Verdana" w:cs="Arial"/>
          <w:shd w:val="clear" w:color="auto" w:fill="FFFFFF"/>
          <w:lang w:val="es-ES"/>
        </w:rPr>
        <w:t xml:space="preserve">de 2023, </w:t>
      </w:r>
      <w:r w:rsidRPr="001A1DD4">
        <w:rPr>
          <w:rStyle w:val="normaltextrun"/>
          <w:rFonts w:ascii="Verdana" w:hAnsi="Verdana" w:cs="Arial"/>
          <w:shd w:val="clear" w:color="auto" w:fill="FFFFFF"/>
          <w:lang w:val="es-ES"/>
        </w:rPr>
        <w:t>C-750 de 2020, C-625 de 2021, C-392 del 2024 entre otros. Es</w:t>
      </w:r>
      <w:r w:rsidRPr="001A1DD4">
        <w:rPr>
          <w:rFonts w:ascii="Verdana" w:hAnsi="Verdana"/>
        </w:rPr>
        <w:t>tos y otros conceptos</w:t>
      </w:r>
      <w:r>
        <w:rPr>
          <w:rFonts w:ascii="Verdana" w:hAnsi="Verdana"/>
        </w:rPr>
        <w:t xml:space="preserve">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785440">
          <w:rPr>
            <w:rStyle w:val="Hipervnculo"/>
            <w:rFonts w:ascii="Verdana" w:hAnsi="Verdana" w:cs="Arial"/>
            <w:shd w:val="clear" w:color="auto" w:fill="FFFFFF"/>
            <w:lang w:val="es-ES"/>
          </w:rPr>
          <w:t>https://relatoria.colombiacompra.gov.co/busqueda/conceptos</w:t>
        </w:r>
      </w:hyperlink>
      <w:r w:rsidRPr="00785440">
        <w:rPr>
          <w:rStyle w:val="normaltextrun"/>
          <w:rFonts w:ascii="Verdana" w:hAnsi="Verdana" w:cs="Arial"/>
          <w:color w:val="FF0000"/>
          <w:shd w:val="clear" w:color="auto" w:fill="FFFFFF"/>
          <w:lang w:val="es-ES"/>
        </w:rPr>
        <w:t xml:space="preserve">. </w:t>
      </w:r>
    </w:p>
    <w:p w14:paraId="68FB020B" w14:textId="77777777" w:rsidR="00473EB6" w:rsidRDefault="00473EB6" w:rsidP="00473EB6">
      <w:pPr>
        <w:spacing w:after="0" w:line="276" w:lineRule="auto"/>
        <w:jc w:val="both"/>
        <w:rPr>
          <w:rFonts w:ascii="Verdana" w:hAnsi="Verdana"/>
        </w:rPr>
      </w:pPr>
    </w:p>
    <w:p w14:paraId="008A4C59" w14:textId="77777777" w:rsidR="00473EB6" w:rsidRDefault="00473EB6" w:rsidP="00473EB6">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549F9878" w14:textId="77777777" w:rsidR="00473EB6" w:rsidRDefault="00473EB6" w:rsidP="00473EB6">
      <w:pPr>
        <w:spacing w:after="0" w:line="276" w:lineRule="auto"/>
        <w:jc w:val="both"/>
        <w:rPr>
          <w:rFonts w:ascii="Verdana" w:hAnsi="Verdana"/>
        </w:rPr>
      </w:pPr>
    </w:p>
    <w:p w14:paraId="09A91EE5" w14:textId="77777777" w:rsidR="00473EB6" w:rsidRDefault="00473EB6" w:rsidP="00473EB6">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3812FA54" w14:textId="77777777" w:rsidR="00473EB6" w:rsidRDefault="00473EB6" w:rsidP="00473EB6">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4B1A38C3" w14:textId="77777777" w:rsidR="00473EB6" w:rsidRDefault="00473EB6" w:rsidP="00473EB6">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48007F49" w14:textId="77777777" w:rsidR="00473EB6" w:rsidRDefault="00473EB6" w:rsidP="00473EB6">
      <w:pPr>
        <w:widowControl w:val="0"/>
        <w:autoSpaceDE w:val="0"/>
        <w:autoSpaceDN w:val="0"/>
        <w:spacing w:after="0" w:line="276" w:lineRule="auto"/>
        <w:jc w:val="both"/>
        <w:rPr>
          <w:rFonts w:ascii="Verdana" w:hAnsi="Verdana" w:cs="Arial"/>
        </w:rPr>
      </w:pPr>
    </w:p>
    <w:p w14:paraId="561FE351" w14:textId="77777777" w:rsidR="00473EB6" w:rsidRDefault="00473EB6" w:rsidP="00473EB6">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2060856D" w14:textId="77777777" w:rsidR="00473EB6" w:rsidRDefault="00473EB6" w:rsidP="00473EB6">
      <w:pPr>
        <w:widowControl w:val="0"/>
        <w:autoSpaceDE w:val="0"/>
        <w:autoSpaceDN w:val="0"/>
        <w:spacing w:after="0" w:line="276" w:lineRule="auto"/>
        <w:jc w:val="both"/>
        <w:rPr>
          <w:rFonts w:ascii="Verdana" w:hAnsi="Verdana" w:cs="Arial"/>
        </w:rPr>
      </w:pPr>
    </w:p>
    <w:p w14:paraId="31EB68C3" w14:textId="77777777" w:rsidR="00473EB6" w:rsidRDefault="00473EB6" w:rsidP="00473EB6">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2F1EC33A" w14:textId="33F325B8" w:rsidR="00473EB6" w:rsidRDefault="005653DC" w:rsidP="00473EB6">
      <w:pPr>
        <w:spacing w:line="276" w:lineRule="auto"/>
        <w:jc w:val="center"/>
        <w:rPr>
          <w:rFonts w:ascii="Verdana" w:hAnsi="Verdana" w:cs="Arial"/>
          <w:color w:val="000000"/>
          <w:lang w:val="es-ES_tradnl" w:eastAsia="es-CO"/>
        </w:rPr>
      </w:pPr>
      <w:r>
        <w:rPr>
          <w:noProof/>
        </w:rPr>
        <w:drawing>
          <wp:inline distT="0" distB="0" distL="0" distR="0" wp14:anchorId="11FAD97D" wp14:editId="5F765B7D">
            <wp:extent cx="3768725" cy="1399540"/>
            <wp:effectExtent l="0" t="0" r="3175" b="0"/>
            <wp:docPr id="5" name="Imagen 5"/>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73EB6" w14:paraId="64998641" w14:textId="77777777" w:rsidTr="0040574D">
        <w:trPr>
          <w:trHeight w:val="315"/>
        </w:trPr>
        <w:tc>
          <w:tcPr>
            <w:tcW w:w="893" w:type="dxa"/>
            <w:vAlign w:val="center"/>
            <w:hideMark/>
          </w:tcPr>
          <w:p w14:paraId="4A345F5D" w14:textId="77777777" w:rsidR="00473EB6" w:rsidRDefault="00473EB6" w:rsidP="0040574D">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63B3DB6" w14:textId="77777777" w:rsidR="00473EB6" w:rsidRDefault="00473EB6" w:rsidP="0040574D">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39BB6189" w14:textId="77777777" w:rsidR="00473EB6" w:rsidRDefault="00473EB6" w:rsidP="0040574D">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473EB6" w14:paraId="67DE2522" w14:textId="77777777" w:rsidTr="0040574D">
        <w:trPr>
          <w:trHeight w:val="330"/>
        </w:trPr>
        <w:tc>
          <w:tcPr>
            <w:tcW w:w="893" w:type="dxa"/>
            <w:vAlign w:val="center"/>
            <w:hideMark/>
          </w:tcPr>
          <w:p w14:paraId="70C0625F" w14:textId="77777777" w:rsidR="00473EB6" w:rsidRDefault="00473EB6" w:rsidP="0040574D">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F8AD2E5" w14:textId="77777777" w:rsidR="00473EB6" w:rsidRDefault="00473EB6" w:rsidP="0040574D">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2BC962C0" w14:textId="77777777" w:rsidR="00473EB6" w:rsidRDefault="00473EB6" w:rsidP="0040574D">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473EB6" w14:paraId="6AC7683D" w14:textId="77777777" w:rsidTr="0040574D">
        <w:trPr>
          <w:trHeight w:val="300"/>
        </w:trPr>
        <w:tc>
          <w:tcPr>
            <w:tcW w:w="893" w:type="dxa"/>
            <w:vAlign w:val="center"/>
            <w:hideMark/>
          </w:tcPr>
          <w:p w14:paraId="50436AD5" w14:textId="77777777" w:rsidR="00473EB6" w:rsidRDefault="00473EB6" w:rsidP="0040574D">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665348" w14:textId="77777777" w:rsidR="00473EB6" w:rsidRDefault="00473EB6" w:rsidP="0040574D">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0195CC33" w14:textId="77777777" w:rsidR="00473EB6" w:rsidRDefault="00473EB6" w:rsidP="0040574D">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0"/>
    </w:tbl>
    <w:p w14:paraId="3C7666BE" w14:textId="77777777" w:rsidR="00473EB6" w:rsidRPr="0044528D" w:rsidRDefault="00473EB6" w:rsidP="00E245AB">
      <w:pPr>
        <w:spacing w:after="0"/>
        <w:rPr>
          <w:rFonts w:ascii="Verdana" w:hAnsi="Verdana"/>
        </w:rPr>
      </w:pPr>
    </w:p>
    <w:sectPr w:rsidR="00473EB6"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37358" w14:textId="77777777" w:rsidR="007A6781" w:rsidRDefault="007A6781" w:rsidP="004A1847">
      <w:pPr>
        <w:spacing w:after="0" w:line="240" w:lineRule="auto"/>
      </w:pPr>
      <w:r>
        <w:separator/>
      </w:r>
    </w:p>
  </w:endnote>
  <w:endnote w:type="continuationSeparator" w:id="0">
    <w:p w14:paraId="779EB697" w14:textId="77777777" w:rsidR="007A6781" w:rsidRDefault="007A6781" w:rsidP="004A1847">
      <w:pPr>
        <w:spacing w:after="0" w:line="240" w:lineRule="auto"/>
      </w:pPr>
      <w:r>
        <w:continuationSeparator/>
      </w:r>
    </w:p>
  </w:endnote>
  <w:endnote w:type="continuationNotice" w:id="1">
    <w:p w14:paraId="20BC6CD3" w14:textId="77777777" w:rsidR="007A6781" w:rsidRDefault="007A67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D6B8E" w14:textId="77777777" w:rsidR="007A6781" w:rsidRDefault="007A6781" w:rsidP="004A1847">
      <w:pPr>
        <w:spacing w:after="0" w:line="240" w:lineRule="auto"/>
      </w:pPr>
      <w:r>
        <w:separator/>
      </w:r>
    </w:p>
  </w:footnote>
  <w:footnote w:type="continuationSeparator" w:id="0">
    <w:p w14:paraId="40600767" w14:textId="77777777" w:rsidR="007A6781" w:rsidRDefault="007A6781" w:rsidP="004A1847">
      <w:pPr>
        <w:spacing w:after="0" w:line="240" w:lineRule="auto"/>
      </w:pPr>
      <w:r>
        <w:continuationSeparator/>
      </w:r>
    </w:p>
  </w:footnote>
  <w:footnote w:type="continuationNotice" w:id="1">
    <w:p w14:paraId="51C94DE1" w14:textId="77777777" w:rsidR="007A6781" w:rsidRDefault="007A6781">
      <w:pPr>
        <w:spacing w:after="0" w:line="240" w:lineRule="auto"/>
      </w:pPr>
    </w:p>
  </w:footnote>
  <w:footnote w:id="2">
    <w:p w14:paraId="51A506F0" w14:textId="77777777" w:rsidR="00473EB6" w:rsidRPr="00A35427" w:rsidRDefault="00473EB6" w:rsidP="00473EB6">
      <w:pPr>
        <w:pStyle w:val="Textonotapie"/>
        <w:ind w:firstLine="708"/>
        <w:jc w:val="both"/>
        <w:rPr>
          <w:rFonts w:ascii="Verdana" w:hAnsi="Verdana" w:cs="Arial"/>
          <w:sz w:val="18"/>
          <w:szCs w:val="18"/>
          <w:lang w:val="es-CO"/>
        </w:rPr>
      </w:pPr>
      <w:r w:rsidRPr="00A35427">
        <w:rPr>
          <w:rStyle w:val="Refdenotaalpie"/>
          <w:rFonts w:ascii="Verdana" w:hAnsi="Verdana" w:cs="Arial"/>
          <w:sz w:val="18"/>
          <w:szCs w:val="18"/>
        </w:rPr>
        <w:footnoteRef/>
      </w:r>
      <w:r w:rsidRPr="00A35427">
        <w:rPr>
          <w:rFonts w:ascii="Verdana" w:hAnsi="Verdana" w:cs="Arial"/>
          <w:sz w:val="18"/>
          <w:szCs w:val="18"/>
        </w:rPr>
        <w:t xml:space="preserve"> </w:t>
      </w:r>
      <w:r w:rsidRPr="00A35427">
        <w:rPr>
          <w:rFonts w:ascii="Verdana" w:hAnsi="Verdana" w:cs="Arial"/>
          <w:color w:val="000000"/>
          <w:sz w:val="18"/>
          <w:szCs w:val="18"/>
        </w:rPr>
        <w:t>El artículo 40 de la Ley 80 de 1993 dispone que los contratos no podrán adicionarse en más del 50% de su valor inicial, expresado en SMLMV.</w:t>
      </w:r>
    </w:p>
    <w:p w14:paraId="43080A7E" w14:textId="77777777" w:rsidR="00473EB6" w:rsidRPr="00A35427" w:rsidRDefault="00473EB6" w:rsidP="00473EB6">
      <w:pPr>
        <w:pStyle w:val="Textonotapie"/>
        <w:ind w:firstLine="708"/>
        <w:jc w:val="both"/>
        <w:rPr>
          <w:rFonts w:ascii="Verdana" w:hAnsi="Verdana" w:cs="Arial"/>
          <w:sz w:val="18"/>
          <w:szCs w:val="18"/>
          <w:lang w:val="es-CO"/>
        </w:rPr>
      </w:pPr>
    </w:p>
  </w:footnote>
  <w:footnote w:id="3">
    <w:p w14:paraId="26874D6E" w14:textId="77777777" w:rsidR="00473EB6" w:rsidRPr="00A35427" w:rsidRDefault="00473EB6" w:rsidP="00473EB6">
      <w:pPr>
        <w:pStyle w:val="Textonotapie"/>
        <w:ind w:firstLine="708"/>
        <w:jc w:val="both"/>
        <w:rPr>
          <w:rFonts w:ascii="Verdana" w:hAnsi="Verdana" w:cs="Arial"/>
          <w:color w:val="000000"/>
          <w:sz w:val="18"/>
          <w:szCs w:val="18"/>
        </w:rPr>
      </w:pPr>
      <w:r w:rsidRPr="00A35427">
        <w:rPr>
          <w:rStyle w:val="Refdenotaalpie"/>
          <w:rFonts w:ascii="Verdana" w:hAnsi="Verdana" w:cs="Arial"/>
          <w:sz w:val="18"/>
          <w:szCs w:val="18"/>
        </w:rPr>
        <w:footnoteRef/>
      </w:r>
      <w:r w:rsidRPr="00A35427">
        <w:rPr>
          <w:rFonts w:ascii="Verdana" w:hAnsi="Verdana" w:cs="Arial"/>
          <w:sz w:val="18"/>
          <w:szCs w:val="18"/>
        </w:rPr>
        <w:t xml:space="preserve"> </w:t>
      </w:r>
      <w:r w:rsidRPr="00A35427">
        <w:rPr>
          <w:rFonts w:ascii="Verdana" w:hAnsi="Verdana" w:cs="Arial"/>
          <w:color w:val="000000"/>
          <w:sz w:val="18"/>
          <w:szCs w:val="18"/>
        </w:rPr>
        <w:t>Sobre la naturaleza instrumental del contrato para alcanzar los fines propios del estado social de derecho, ver la sentencia C-932 de 2007, M.P. Marco Gerardo Monroy Cabra.</w:t>
      </w:r>
    </w:p>
    <w:p w14:paraId="2FB23DA5" w14:textId="77777777" w:rsidR="00473EB6" w:rsidRPr="00A35427" w:rsidRDefault="00473EB6" w:rsidP="00473EB6">
      <w:pPr>
        <w:pStyle w:val="Textonotapie"/>
        <w:ind w:firstLine="708"/>
        <w:jc w:val="both"/>
        <w:rPr>
          <w:rFonts w:ascii="Verdana" w:hAnsi="Verdana" w:cs="Arial"/>
          <w:sz w:val="18"/>
          <w:szCs w:val="18"/>
        </w:rPr>
      </w:pPr>
    </w:p>
  </w:footnote>
  <w:footnote w:id="4">
    <w:p w14:paraId="63F39DC2" w14:textId="77777777" w:rsidR="00473EB6" w:rsidRPr="00A35427" w:rsidRDefault="00473EB6" w:rsidP="00473EB6">
      <w:pPr>
        <w:pStyle w:val="Textonotapie"/>
        <w:ind w:firstLine="708"/>
        <w:jc w:val="both"/>
        <w:rPr>
          <w:rFonts w:ascii="Verdana" w:hAnsi="Verdana" w:cs="Arial"/>
          <w:sz w:val="18"/>
          <w:szCs w:val="18"/>
        </w:rPr>
      </w:pPr>
      <w:r w:rsidRPr="00A35427">
        <w:rPr>
          <w:rStyle w:val="Refdenotaalpie"/>
          <w:rFonts w:ascii="Verdana" w:hAnsi="Verdana" w:cs="Arial"/>
          <w:sz w:val="18"/>
          <w:szCs w:val="18"/>
        </w:rPr>
        <w:footnoteRef/>
      </w:r>
      <w:r w:rsidRPr="00A35427">
        <w:rPr>
          <w:rFonts w:ascii="Verdana" w:hAnsi="Verdana" w:cs="Arial"/>
          <w:sz w:val="18"/>
          <w:szCs w:val="18"/>
        </w:rPr>
        <w:t xml:space="preserve"> M.P. Clara Inés Vargas Hernández.</w:t>
      </w:r>
    </w:p>
    <w:p w14:paraId="13F80BDF" w14:textId="77777777" w:rsidR="00473EB6" w:rsidRPr="00A35427" w:rsidRDefault="00473EB6" w:rsidP="00473EB6">
      <w:pPr>
        <w:pStyle w:val="Textonotapie"/>
        <w:ind w:firstLine="708"/>
        <w:jc w:val="both"/>
        <w:rPr>
          <w:rFonts w:ascii="Verdana" w:hAnsi="Verdana" w:cs="Arial"/>
          <w:sz w:val="18"/>
          <w:szCs w:val="18"/>
        </w:rPr>
      </w:pPr>
    </w:p>
  </w:footnote>
  <w:footnote w:id="5">
    <w:p w14:paraId="2DEC2F2C" w14:textId="77777777" w:rsidR="00473EB6" w:rsidRPr="00A35427" w:rsidRDefault="00473EB6" w:rsidP="00473EB6">
      <w:pPr>
        <w:pStyle w:val="Textonotapie"/>
        <w:ind w:firstLine="708"/>
        <w:jc w:val="both"/>
        <w:rPr>
          <w:rFonts w:ascii="Verdana" w:hAnsi="Verdana" w:cs="Arial"/>
          <w:sz w:val="18"/>
          <w:szCs w:val="18"/>
        </w:rPr>
      </w:pPr>
      <w:r w:rsidRPr="00A35427">
        <w:rPr>
          <w:rStyle w:val="Refdenotaalpie"/>
          <w:rFonts w:ascii="Verdana" w:hAnsi="Verdana" w:cs="Arial"/>
          <w:sz w:val="18"/>
          <w:szCs w:val="18"/>
        </w:rPr>
        <w:footnoteRef/>
      </w:r>
      <w:r w:rsidRPr="00A35427">
        <w:rPr>
          <w:rFonts w:ascii="Verdana" w:hAnsi="Verdana" w:cs="Arial"/>
          <w:sz w:val="18"/>
          <w:szCs w:val="18"/>
        </w:rPr>
        <w:t xml:space="preserve"> </w:t>
      </w:r>
      <w:r w:rsidRPr="00A35427">
        <w:rPr>
          <w:rFonts w:ascii="Verdana" w:hAnsi="Verdana" w:cs="Arial"/>
          <w:color w:val="000000"/>
          <w:sz w:val="18"/>
          <w:szCs w:val="18"/>
        </w:rPr>
        <w:t>Ver también la sentencia C-068 de 2009, M.P. Mauricio González Cuervo, sobre la constitucional de la posibilidad de prorrogar los contratos de concesión portuaria (artículo 8º  de la ley 1º de 1991).</w:t>
      </w:r>
    </w:p>
  </w:footnote>
  <w:footnote w:id="6">
    <w:p w14:paraId="58DA778F" w14:textId="77777777" w:rsidR="00473EB6" w:rsidRPr="00A35427" w:rsidRDefault="00473EB6" w:rsidP="00473EB6">
      <w:pPr>
        <w:pStyle w:val="Textonotapie"/>
        <w:ind w:firstLine="708"/>
        <w:jc w:val="both"/>
        <w:rPr>
          <w:rFonts w:ascii="Verdana" w:hAnsi="Verdana" w:cs="Arial"/>
          <w:sz w:val="18"/>
          <w:szCs w:val="18"/>
        </w:rPr>
      </w:pPr>
      <w:r w:rsidRPr="00A35427">
        <w:rPr>
          <w:rStyle w:val="Refdenotaalpie"/>
          <w:rFonts w:ascii="Verdana" w:hAnsi="Verdana" w:cs="Arial"/>
          <w:sz w:val="18"/>
          <w:szCs w:val="18"/>
        </w:rPr>
        <w:footnoteRef/>
      </w:r>
      <w:r w:rsidRPr="00A35427">
        <w:rPr>
          <w:rFonts w:ascii="Verdana" w:hAnsi="Verdana" w:cs="Arial"/>
          <w:sz w:val="18"/>
          <w:szCs w:val="18"/>
        </w:rPr>
        <w:t xml:space="preserve"> </w:t>
      </w:r>
      <w:r w:rsidRPr="00A35427">
        <w:rPr>
          <w:rFonts w:ascii="Verdana" w:hAnsi="Verdana" w:cs="Arial"/>
          <w:color w:val="000000"/>
          <w:sz w:val="18"/>
          <w:szCs w:val="18"/>
        </w:rPr>
        <w:t>Cfr. Consejo de Estado, Sala de Consulta y Servicio Civil, concepto del 13 de agosto de 2009, rad. 1.952, C.P. Enrique José Arboleda Perdomo. En este concepto la Sala de Consulta se ocupó, entre otras preguntas, de la siguiente formulada por el Ministerio de Transporte: “1. ¿Bajo el supuesto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7">
    <w:p w14:paraId="50299B37" w14:textId="77777777" w:rsidR="00473EB6" w:rsidRPr="00A35427" w:rsidRDefault="00473EB6" w:rsidP="00473EB6">
      <w:pPr>
        <w:pStyle w:val="Textonotapie"/>
        <w:ind w:firstLine="708"/>
        <w:jc w:val="both"/>
        <w:rPr>
          <w:rFonts w:ascii="Verdana" w:hAnsi="Verdana" w:cs="Arial"/>
          <w:bCs/>
          <w:iCs/>
          <w:sz w:val="18"/>
          <w:szCs w:val="18"/>
          <w:lang w:val="es-ES_tradnl"/>
        </w:rPr>
      </w:pPr>
      <w:r w:rsidRPr="00A35427">
        <w:rPr>
          <w:rStyle w:val="Refdenotaalpie"/>
          <w:rFonts w:ascii="Verdana" w:hAnsi="Verdana" w:cs="Arial"/>
          <w:sz w:val="18"/>
          <w:szCs w:val="18"/>
        </w:rPr>
        <w:footnoteRef/>
      </w:r>
      <w:r w:rsidRPr="00A35427">
        <w:rPr>
          <w:rFonts w:ascii="Verdana" w:hAnsi="Verdana" w:cs="Arial"/>
          <w:sz w:val="18"/>
          <w:szCs w:val="18"/>
        </w:rPr>
        <w:t xml:space="preserve"> </w:t>
      </w:r>
      <w:r w:rsidRPr="00A35427">
        <w:rPr>
          <w:rFonts w:ascii="Verdana" w:hAnsi="Verdana" w:cs="Arial"/>
          <w:color w:val="000000"/>
          <w:sz w:val="18"/>
          <w:szCs w:val="18"/>
        </w:rPr>
        <w:t>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p>
    <w:p w14:paraId="673466E4" w14:textId="77777777" w:rsidR="00473EB6" w:rsidRPr="00A35427" w:rsidRDefault="00473EB6" w:rsidP="00473EB6">
      <w:pPr>
        <w:pStyle w:val="Textonotapie"/>
        <w:ind w:firstLine="708"/>
        <w:jc w:val="both"/>
        <w:rPr>
          <w:rFonts w:ascii="Verdana" w:hAnsi="Verdana" w:cs="Arial"/>
          <w:sz w:val="18"/>
          <w:szCs w:val="18"/>
          <w:lang w:val="es-CO"/>
        </w:rPr>
      </w:pPr>
    </w:p>
  </w:footnote>
  <w:footnote w:id="8">
    <w:p w14:paraId="605C37D4" w14:textId="77777777" w:rsidR="00473EB6" w:rsidRPr="00A35427" w:rsidRDefault="00473EB6" w:rsidP="00473EB6">
      <w:pPr>
        <w:pStyle w:val="Textonotapie"/>
        <w:ind w:firstLine="708"/>
        <w:jc w:val="both"/>
        <w:rPr>
          <w:rFonts w:ascii="Verdana" w:hAnsi="Verdana" w:cs="Arial"/>
          <w:sz w:val="18"/>
          <w:szCs w:val="18"/>
          <w:lang w:val="es-CO"/>
        </w:rPr>
      </w:pPr>
      <w:r w:rsidRPr="00A35427">
        <w:rPr>
          <w:rStyle w:val="Refdenotaalpie"/>
          <w:rFonts w:ascii="Verdana" w:hAnsi="Verdana" w:cs="Arial"/>
          <w:sz w:val="18"/>
          <w:szCs w:val="18"/>
        </w:rPr>
        <w:footnoteRef/>
      </w:r>
      <w:r w:rsidRPr="00A35427">
        <w:rPr>
          <w:rFonts w:ascii="Verdana" w:hAnsi="Verdana" w:cs="Arial"/>
          <w:sz w:val="18"/>
          <w:szCs w:val="18"/>
        </w:rPr>
        <w:t xml:space="preserve"> Ibí</w:t>
      </w:r>
      <w:r w:rsidRPr="00A35427">
        <w:rPr>
          <w:rFonts w:ascii="Verdana" w:hAnsi="Verdana" w:cs="Arial"/>
          <w:color w:val="000000"/>
          <w:sz w:val="18"/>
          <w:szCs w:val="18"/>
        </w:rPr>
        <w:t>dem</w:t>
      </w:r>
    </w:p>
  </w:footnote>
  <w:footnote w:id="9">
    <w:p w14:paraId="4CD6BBA6" w14:textId="77777777" w:rsidR="00473EB6" w:rsidRPr="00E12BE7" w:rsidRDefault="00473EB6" w:rsidP="00473EB6">
      <w:pPr>
        <w:pStyle w:val="Textonotapie"/>
        <w:ind w:firstLine="709"/>
        <w:jc w:val="both"/>
        <w:rPr>
          <w:rFonts w:ascii="Arial" w:hAnsi="Arial" w:cs="Arial"/>
          <w:color w:val="000000"/>
          <w:sz w:val="19"/>
          <w:szCs w:val="19"/>
        </w:rPr>
      </w:pPr>
      <w:r w:rsidRPr="00E12BE7">
        <w:rPr>
          <w:rStyle w:val="Refdenotaalpie"/>
          <w:rFonts w:ascii="Arial" w:hAnsi="Arial" w:cs="Arial"/>
          <w:color w:val="000000"/>
          <w:sz w:val="19"/>
          <w:szCs w:val="19"/>
        </w:rPr>
        <w:footnoteRef/>
      </w:r>
      <w:r w:rsidRPr="00E12BE7">
        <w:rPr>
          <w:rFonts w:ascii="Arial" w:hAnsi="Arial" w:cs="Arial"/>
          <w:color w:val="000000"/>
          <w:sz w:val="19"/>
          <w:szCs w:val="19"/>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4E99DE7" w14:textId="77777777" w:rsidR="00473EB6" w:rsidRPr="00E12BE7" w:rsidRDefault="00473EB6" w:rsidP="00473EB6">
      <w:pPr>
        <w:pStyle w:val="Textonotapie"/>
        <w:ind w:firstLine="709"/>
        <w:jc w:val="both"/>
        <w:rPr>
          <w:rFonts w:ascii="Arial" w:hAnsi="Arial" w:cs="Arial"/>
          <w:color w:val="000000"/>
          <w:sz w:val="19"/>
          <w:szCs w:val="19"/>
        </w:rPr>
      </w:pPr>
      <w:r w:rsidRPr="00E12BE7">
        <w:rPr>
          <w:rFonts w:ascii="Arial" w:hAnsi="Arial" w:cs="Arial"/>
          <w:color w:val="000000"/>
          <w:sz w:val="19"/>
          <w:szCs w:val="19"/>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p w14:paraId="715B9582" w14:textId="77777777" w:rsidR="00473EB6" w:rsidRPr="00E12BE7" w:rsidRDefault="00473EB6" w:rsidP="00473EB6">
      <w:pPr>
        <w:pStyle w:val="Textonotapie"/>
        <w:ind w:firstLine="709"/>
        <w:jc w:val="both"/>
        <w:rPr>
          <w:rFonts w:ascii="Arial" w:hAnsi="Arial" w:cs="Arial"/>
          <w:color w:val="000000"/>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2539586">
    <w:abstractNumId w:val="7"/>
  </w:num>
  <w:num w:numId="2" w16cid:durableId="1857502134">
    <w:abstractNumId w:val="2"/>
  </w:num>
  <w:num w:numId="3" w16cid:durableId="955331443">
    <w:abstractNumId w:val="5"/>
  </w:num>
  <w:num w:numId="4" w16cid:durableId="7865048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87216095">
    <w:abstractNumId w:val="2"/>
  </w:num>
  <w:num w:numId="6" w16cid:durableId="819424376">
    <w:abstractNumId w:val="13"/>
  </w:num>
  <w:num w:numId="7" w16cid:durableId="156072311">
    <w:abstractNumId w:val="6"/>
  </w:num>
  <w:num w:numId="8" w16cid:durableId="67655067">
    <w:abstractNumId w:val="12"/>
  </w:num>
  <w:num w:numId="9" w16cid:durableId="1277104070">
    <w:abstractNumId w:val="8"/>
  </w:num>
  <w:num w:numId="10" w16cid:durableId="720056434">
    <w:abstractNumId w:val="11"/>
  </w:num>
  <w:num w:numId="11" w16cid:durableId="371080734">
    <w:abstractNumId w:val="9"/>
  </w:num>
  <w:num w:numId="12" w16cid:durableId="1538081252">
    <w:abstractNumId w:val="1"/>
  </w:num>
  <w:num w:numId="13" w16cid:durableId="932511896">
    <w:abstractNumId w:val="4"/>
  </w:num>
  <w:num w:numId="14" w16cid:durableId="692805033">
    <w:abstractNumId w:val="14"/>
  </w:num>
  <w:num w:numId="15" w16cid:durableId="552277178">
    <w:abstractNumId w:val="10"/>
  </w:num>
  <w:num w:numId="16" w16cid:durableId="214134088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24900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54C"/>
    <w:rsid w:val="00061B2A"/>
    <w:rsid w:val="00082362"/>
    <w:rsid w:val="000A683E"/>
    <w:rsid w:val="000B19B9"/>
    <w:rsid w:val="000D0334"/>
    <w:rsid w:val="000F6486"/>
    <w:rsid w:val="00125105"/>
    <w:rsid w:val="00125C77"/>
    <w:rsid w:val="00127233"/>
    <w:rsid w:val="001D50A5"/>
    <w:rsid w:val="001E4177"/>
    <w:rsid w:val="001F7DC6"/>
    <w:rsid w:val="002421BB"/>
    <w:rsid w:val="0025796E"/>
    <w:rsid w:val="002707A2"/>
    <w:rsid w:val="002951A0"/>
    <w:rsid w:val="002962BC"/>
    <w:rsid w:val="002A093D"/>
    <w:rsid w:val="002A0DD0"/>
    <w:rsid w:val="002A49AC"/>
    <w:rsid w:val="002A64FD"/>
    <w:rsid w:val="002C7A84"/>
    <w:rsid w:val="002D066F"/>
    <w:rsid w:val="002E4FD9"/>
    <w:rsid w:val="00322A85"/>
    <w:rsid w:val="00324168"/>
    <w:rsid w:val="003448F4"/>
    <w:rsid w:val="00374F5E"/>
    <w:rsid w:val="00377E3E"/>
    <w:rsid w:val="003804BA"/>
    <w:rsid w:val="003A779E"/>
    <w:rsid w:val="003B0756"/>
    <w:rsid w:val="003D0F4D"/>
    <w:rsid w:val="003D5B0D"/>
    <w:rsid w:val="003E0499"/>
    <w:rsid w:val="003F3941"/>
    <w:rsid w:val="00406575"/>
    <w:rsid w:val="00414C74"/>
    <w:rsid w:val="0042722E"/>
    <w:rsid w:val="0044528D"/>
    <w:rsid w:val="00473EB6"/>
    <w:rsid w:val="004A1847"/>
    <w:rsid w:val="004A305D"/>
    <w:rsid w:val="004F21C4"/>
    <w:rsid w:val="004F685F"/>
    <w:rsid w:val="005566E8"/>
    <w:rsid w:val="005653DC"/>
    <w:rsid w:val="00574867"/>
    <w:rsid w:val="00591460"/>
    <w:rsid w:val="005959D2"/>
    <w:rsid w:val="005C3777"/>
    <w:rsid w:val="005C5CDC"/>
    <w:rsid w:val="005D476C"/>
    <w:rsid w:val="0061099F"/>
    <w:rsid w:val="006219F8"/>
    <w:rsid w:val="006302F7"/>
    <w:rsid w:val="00665D70"/>
    <w:rsid w:val="006900D9"/>
    <w:rsid w:val="006A760C"/>
    <w:rsid w:val="00706C16"/>
    <w:rsid w:val="00756841"/>
    <w:rsid w:val="007649AB"/>
    <w:rsid w:val="00771D0C"/>
    <w:rsid w:val="007833AC"/>
    <w:rsid w:val="00785440"/>
    <w:rsid w:val="007A6781"/>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843CB"/>
    <w:rsid w:val="00BC3D36"/>
    <w:rsid w:val="00BD7F72"/>
    <w:rsid w:val="00C04FB3"/>
    <w:rsid w:val="00C05308"/>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562C"/>
    <w:rsid w:val="00EE1AA8"/>
    <w:rsid w:val="00F31EDC"/>
    <w:rsid w:val="00F462B3"/>
    <w:rsid w:val="00F5664F"/>
    <w:rsid w:val="00F666C4"/>
    <w:rsid w:val="00F76AFC"/>
    <w:rsid w:val="00F8118D"/>
    <w:rsid w:val="00FA47C0"/>
    <w:rsid w:val="00FB5DD1"/>
    <w:rsid w:val="00FC2B5D"/>
    <w:rsid w:val="00FF1449"/>
    <w:rsid w:val="24E51C10"/>
    <w:rsid w:val="7D664DA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73EB6"/>
    <w:rPr>
      <w:rFonts w:ascii="Geomanist Light" w:hAnsi="Geomanist Light"/>
      <w:lang w:val="es-ES"/>
    </w:rPr>
  </w:style>
  <w:style w:type="paragraph" w:customStyle="1" w:styleId="Appelnotedebasde">
    <w:name w:val="Appel note de bas de..."/>
    <w:basedOn w:val="Normal"/>
    <w:link w:val="Refdenotaalpie"/>
    <w:uiPriority w:val="99"/>
    <w:rsid w:val="00473EB6"/>
    <w:pPr>
      <w:spacing w:line="240" w:lineRule="exact"/>
    </w:pPr>
    <w:rPr>
      <w:vertAlign w:val="superscript"/>
    </w:rPr>
  </w:style>
  <w:style w:type="paragraph" w:styleId="Sinespaciado">
    <w:name w:val="No Spacing"/>
    <w:uiPriority w:val="1"/>
    <w:qFormat/>
    <w:rsid w:val="00473EB6"/>
    <w:pPr>
      <w:spacing w:after="0" w:line="240" w:lineRule="auto"/>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erardinelli_15@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http://schemas.microsoft.com/office/2006/documentManagement/types"/>
    <ds:schemaRef ds:uri="a6cb9e4b-f1d1-4245-83ec-6cad768d538a"/>
    <ds:schemaRef ds:uri="http://www.w3.org/XML/1998/namespace"/>
    <ds:schemaRef ds:uri="9d85dbaf-23eb-4e57-a637-93dcacc8b1a1"/>
    <ds:schemaRef ds:uri="http://schemas.openxmlformats.org/package/2006/metadata/core-properties"/>
    <ds:schemaRef ds:uri="http://schemas.microsoft.com/office/2006/metadata/properties"/>
    <ds:schemaRef ds:uri="http://schemas.microsoft.com/office/infopath/2007/PartnerControls"/>
    <ds:schemaRef ds:uri="http://purl.org/dc/terms/"/>
    <ds:schemaRef ds:uri="http://purl.org/dc/elements/1.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6683BE6-62B3-49C1-A024-4AED06ED8D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16</Pages>
  <Words>5613</Words>
  <Characters>30872</Characters>
  <Application>Microsoft Office Word</Application>
  <DocSecurity>0</DocSecurity>
  <Lines>257</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2025-10-22T17:13:00Z</dcterms:created>
  <dcterms:modified xsi:type="dcterms:W3CDTF">2025-10-22T17:13:00Z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