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4F6FE" w14:textId="77777777" w:rsidR="00313669" w:rsidRPr="00A94B48" w:rsidRDefault="00313669" w:rsidP="00313669">
      <w:pPr>
        <w:spacing w:after="0" w:line="276" w:lineRule="auto"/>
        <w:jc w:val="both"/>
        <w:textAlignment w:val="baseline"/>
        <w:rPr>
          <w:rFonts w:ascii="Verdana" w:eastAsia="Times New Roman" w:hAnsi="Verdana" w:cs="Segoe UI"/>
          <w:lang w:eastAsia="es-CO"/>
        </w:rPr>
      </w:pPr>
      <w:bookmarkStart w:id="0" w:name="_Hlk181166130"/>
      <w:bookmarkStart w:id="1" w:name="_Hlk209714638"/>
      <w:r w:rsidRPr="00A94B48">
        <w:rPr>
          <w:rFonts w:ascii="Verdana" w:eastAsia="Times New Roman" w:hAnsi="Verdana" w:cs="Arial"/>
          <w:b/>
          <w:bCs/>
          <w:color w:val="000000"/>
          <w:lang w:eastAsia="es-CO"/>
        </w:rPr>
        <w:t>DECRETO 1860 DE 2021 – Normas reglamentarias – </w:t>
      </w:r>
      <w:r w:rsidRPr="00A94B48">
        <w:rPr>
          <w:rFonts w:ascii="Verdana" w:eastAsia="Times New Roman" w:hAnsi="Verdana" w:cs="Arial"/>
          <w:b/>
          <w:bCs/>
          <w:color w:val="000000"/>
          <w:lang w:val="es-ES" w:eastAsia="es-CO"/>
        </w:rPr>
        <w:t>Mínima cuantía</w:t>
      </w:r>
      <w:r w:rsidRPr="00A94B48">
        <w:rPr>
          <w:rFonts w:ascii="Verdana" w:eastAsia="Times New Roman" w:hAnsi="Verdana" w:cs="Arial"/>
          <w:b/>
          <w:bCs/>
          <w:color w:val="000000"/>
          <w:lang w:eastAsia="es-CO"/>
        </w:rPr>
        <w:t>  </w:t>
      </w:r>
      <w:r w:rsidRPr="00A94B48">
        <w:rPr>
          <w:rFonts w:ascii="Verdana" w:eastAsia="Times New Roman" w:hAnsi="Verdana" w:cs="Arial"/>
          <w:color w:val="000000"/>
          <w:lang w:eastAsia="es-CO"/>
        </w:rPr>
        <w:t> </w:t>
      </w:r>
    </w:p>
    <w:p w14:paraId="38A4403F" w14:textId="77777777" w:rsidR="00313669" w:rsidRPr="00A94B48" w:rsidRDefault="00313669" w:rsidP="00313669">
      <w:pPr>
        <w:spacing w:after="0" w:line="276" w:lineRule="auto"/>
        <w:jc w:val="both"/>
        <w:textAlignment w:val="baseline"/>
        <w:rPr>
          <w:rFonts w:ascii="Verdana" w:eastAsia="Times New Roman" w:hAnsi="Verdana" w:cs="Segoe UI"/>
          <w:lang w:eastAsia="es-CO"/>
        </w:rPr>
      </w:pPr>
      <w:r w:rsidRPr="00A94B48">
        <w:rPr>
          <w:rFonts w:ascii="Verdana" w:eastAsia="Times New Roman" w:hAnsi="Verdana" w:cs="Arial"/>
          <w:color w:val="000000"/>
          <w:lang w:eastAsia="es-CO"/>
        </w:rPr>
        <w:t> </w:t>
      </w:r>
    </w:p>
    <w:p w14:paraId="10417FCA" w14:textId="77777777" w:rsidR="00313669" w:rsidRPr="00A94B48" w:rsidRDefault="00313669" w:rsidP="00313669">
      <w:pPr>
        <w:spacing w:after="0" w:line="240" w:lineRule="auto"/>
        <w:jc w:val="both"/>
        <w:textAlignment w:val="baseline"/>
        <w:rPr>
          <w:rFonts w:ascii="Verdana" w:eastAsia="Times New Roman" w:hAnsi="Verdana" w:cs="Arial"/>
          <w:color w:val="000000"/>
          <w:lang w:val="es-ES" w:eastAsia="es-CO"/>
        </w:rPr>
      </w:pPr>
      <w:r w:rsidRPr="00A94B48">
        <w:rPr>
          <w:rFonts w:ascii="Verdana" w:eastAsia="Times New Roman" w:hAnsi="Verdana" w:cs="Arial"/>
          <w:color w:val="000000"/>
          <w:lang w:val="es-ES" w:eastAsia="es-CO"/>
        </w:rPr>
        <w:t xml:space="preserve">En esta modalidad de selección contractual, la entidad estatal realiza una convocatoria pública para recibir ofertas de bienes o servicios cuyo valor no excede el diez por ciento (10%) de la menor cuantía de la entidad, el factor determinante para llevar a cabo tal procedimiento es la cuantía –calculada como presupuesto oficial a partir del estudio del sector–, independientemente de su objeto.  </w:t>
      </w:r>
    </w:p>
    <w:p w14:paraId="3BD02620" w14:textId="77777777" w:rsidR="00313669" w:rsidRPr="00A94B48" w:rsidRDefault="00313669" w:rsidP="00313669">
      <w:pPr>
        <w:spacing w:after="0" w:line="240" w:lineRule="auto"/>
        <w:jc w:val="both"/>
        <w:textAlignment w:val="baseline"/>
        <w:rPr>
          <w:rFonts w:ascii="Verdana" w:eastAsia="Times New Roman" w:hAnsi="Verdana" w:cs="Arial"/>
          <w:color w:val="000000"/>
          <w:lang w:val="es-ES" w:eastAsia="es-CO"/>
        </w:rPr>
      </w:pPr>
    </w:p>
    <w:p w14:paraId="3B5366E0" w14:textId="77777777" w:rsidR="00313669" w:rsidRPr="00A94B48" w:rsidRDefault="00313669" w:rsidP="00313669">
      <w:pPr>
        <w:spacing w:after="0" w:line="240" w:lineRule="auto"/>
        <w:jc w:val="both"/>
        <w:textAlignment w:val="baseline"/>
        <w:rPr>
          <w:rFonts w:ascii="Verdana" w:eastAsia="Times New Roman" w:hAnsi="Verdana" w:cs="Arial"/>
          <w:color w:val="000000"/>
          <w:lang w:val="es-ES" w:eastAsia="es-CO"/>
        </w:rPr>
      </w:pPr>
      <w:r w:rsidRPr="00A94B48">
        <w:rPr>
          <w:rFonts w:ascii="Verdana" w:eastAsia="Times New Roman" w:hAnsi="Verdana" w:cs="Arial"/>
          <w:color w:val="000000"/>
          <w:lang w:val="es-ES" w:eastAsia="es-CO"/>
        </w:rPr>
        <w:t>Fue creada por el artículo 274 de la Ley 1450 de 2011, por medio del cual se adiciono el numeral 5 del artículo 2 de la Ley 1150 de 2007, el cual posteriormente ha sido modificada por el artículo 94 de la Ley 1474 de 2011, y por el artículo 30 de la Ley 2069 de 2020 – Ley de Emprendimiento –, a través de la normativa enunciada se regula el Proceso de Contratación de mínima cuantía,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p>
    <w:p w14:paraId="099E83A2" w14:textId="77777777" w:rsidR="00313669" w:rsidRPr="00A94B48" w:rsidRDefault="00313669" w:rsidP="00313669">
      <w:pPr>
        <w:spacing w:after="0" w:line="240" w:lineRule="auto"/>
        <w:jc w:val="both"/>
        <w:textAlignment w:val="baseline"/>
        <w:rPr>
          <w:rFonts w:ascii="Verdana" w:eastAsia="Times New Roman" w:hAnsi="Verdana" w:cs="Arial"/>
          <w:color w:val="000000"/>
          <w:lang w:val="es-ES" w:eastAsia="es-CO"/>
        </w:rPr>
      </w:pPr>
    </w:p>
    <w:p w14:paraId="212C92AE" w14:textId="77777777" w:rsidR="00313669" w:rsidRPr="00A94B48" w:rsidRDefault="00313669" w:rsidP="00313669">
      <w:pPr>
        <w:spacing w:after="0" w:line="240" w:lineRule="auto"/>
        <w:jc w:val="both"/>
        <w:textAlignment w:val="baseline"/>
        <w:rPr>
          <w:rFonts w:ascii="Verdana" w:eastAsia="Times New Roman" w:hAnsi="Verdana" w:cs="Arial"/>
          <w:color w:val="000000"/>
          <w:lang w:val="es-ES" w:eastAsia="es-CO"/>
        </w:rPr>
      </w:pPr>
      <w:r w:rsidRPr="00A94B48">
        <w:rPr>
          <w:rFonts w:ascii="Verdana" w:eastAsia="Times New Roman" w:hAnsi="Verdana" w:cs="Arial"/>
          <w:color w:val="000000"/>
          <w:lang w:val="es-ES" w:eastAsia="es-CO"/>
        </w:rPr>
        <w:t>El Gobierno Nacional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w:t>
      </w:r>
    </w:p>
    <w:p w14:paraId="4603D2DC" w14:textId="77777777" w:rsidR="00313669" w:rsidRPr="00A94B48" w:rsidRDefault="00313669" w:rsidP="00313669">
      <w:pPr>
        <w:spacing w:after="0" w:line="240" w:lineRule="auto"/>
        <w:jc w:val="both"/>
        <w:textAlignment w:val="baseline"/>
        <w:rPr>
          <w:rFonts w:ascii="Verdana" w:eastAsia="Times New Roman" w:hAnsi="Verdana" w:cs="Arial"/>
          <w:color w:val="000000"/>
          <w:lang w:val="es-ES" w:eastAsia="es-CO"/>
        </w:rPr>
      </w:pPr>
    </w:p>
    <w:p w14:paraId="1BBD1DDD" w14:textId="77777777" w:rsidR="00313669" w:rsidRPr="00A94B48" w:rsidRDefault="00313669" w:rsidP="00313669">
      <w:pPr>
        <w:spacing w:after="0" w:line="276" w:lineRule="auto"/>
        <w:jc w:val="both"/>
        <w:textAlignment w:val="baseline"/>
        <w:rPr>
          <w:rFonts w:ascii="Verdana" w:eastAsia="Times New Roman" w:hAnsi="Verdana" w:cs="Arial"/>
          <w:b/>
          <w:bCs/>
          <w:color w:val="000000"/>
          <w:lang w:val="es-ES" w:eastAsia="es-CO"/>
        </w:rPr>
      </w:pPr>
      <w:bookmarkStart w:id="2" w:name="_Hlk130467972"/>
      <w:r w:rsidRPr="00A94B48">
        <w:rPr>
          <w:rFonts w:ascii="Verdana" w:eastAsia="Times New Roman" w:hAnsi="Verdana" w:cs="Arial"/>
          <w:b/>
          <w:bCs/>
          <w:color w:val="000000"/>
          <w:lang w:val="es-ES" w:eastAsia="es-CO"/>
        </w:rPr>
        <w:t>PRINCIPIOS DE LA CONTRATACION ESTATAL – Principio de Economía – deber de planeación</w:t>
      </w:r>
    </w:p>
    <w:bookmarkEnd w:id="2"/>
    <w:p w14:paraId="412F55E4" w14:textId="77777777" w:rsidR="00313669" w:rsidRPr="00A94B48" w:rsidRDefault="00313669" w:rsidP="00313669">
      <w:pPr>
        <w:spacing w:after="0" w:line="276" w:lineRule="auto"/>
        <w:jc w:val="both"/>
        <w:textAlignment w:val="baseline"/>
        <w:rPr>
          <w:rFonts w:ascii="Verdana" w:eastAsia="Times New Roman" w:hAnsi="Verdana" w:cs="Arial"/>
          <w:b/>
          <w:bCs/>
          <w:color w:val="000000"/>
          <w:lang w:val="es-ES" w:eastAsia="es-CO"/>
        </w:rPr>
      </w:pPr>
    </w:p>
    <w:p w14:paraId="4FFEE4EB" w14:textId="77777777" w:rsidR="00313669" w:rsidRPr="00A94B48" w:rsidRDefault="00313669" w:rsidP="00313669">
      <w:pPr>
        <w:spacing w:after="0" w:line="240" w:lineRule="auto"/>
        <w:contextualSpacing/>
        <w:jc w:val="both"/>
        <w:rPr>
          <w:rFonts w:ascii="Verdana" w:eastAsia="Arial" w:hAnsi="Verdana" w:cs="Arial"/>
          <w:lang w:val="es-ES" w:eastAsia="es-ES" w:bidi="es-ES"/>
        </w:rPr>
      </w:pPr>
      <w:r w:rsidRPr="00A94B48">
        <w:rPr>
          <w:rFonts w:ascii="Verdana" w:eastAsia="Arial" w:hAnsi="Verdana" w:cs="Arial"/>
          <w:lang w:val="es-ES" w:eastAsia="es-ES" w:bidi="es-ES"/>
        </w:rPr>
        <w:t>En materia de contratación pública, como una manifestación del principio de economía, surge el deber de planeación, el cual «tiene por finalidad asegurar que todo proyecto esté precedido de los estudios de orden técnico, financiero y jurídico requeridos para determinar su viabilidad económica y técnica y así poder establecer la conveniencia o no del objeto por contratar; si resulta o no necesario celebrar el respectivo negocio jurídico y su adecuación a los planes de inversión, de adquisición o compras, presupuesto y ley de apropiaciones, según el caso; y de ser necesario, deberá estar acompañado, además, de los diseños, planos y evaluaciones de prefactibilidad o factibilidad; qué modalidades contractuales pueden utilizarse y cuál de ellas resulta ser la más aconsejable; las características que deba reunir el bien o servicio objeto de licitación; así como los costos y recursos que su celebración y ejecución demanden.</w:t>
      </w:r>
    </w:p>
    <w:p w14:paraId="456F2DAC" w14:textId="77777777" w:rsidR="00313669" w:rsidRPr="00A94B48" w:rsidRDefault="00313669" w:rsidP="00313669">
      <w:pPr>
        <w:spacing w:after="0" w:line="276" w:lineRule="auto"/>
        <w:contextualSpacing/>
        <w:jc w:val="both"/>
        <w:rPr>
          <w:rFonts w:ascii="Verdana" w:eastAsia="Arial" w:hAnsi="Verdana" w:cs="Arial"/>
          <w:lang w:val="es-ES" w:eastAsia="es-ES" w:bidi="es-ES"/>
        </w:rPr>
      </w:pPr>
    </w:p>
    <w:p w14:paraId="5537F739" w14:textId="77777777" w:rsidR="00313669" w:rsidRPr="00A94B48" w:rsidRDefault="00313669" w:rsidP="00313669">
      <w:pPr>
        <w:adjustRightInd w:val="0"/>
        <w:snapToGrid w:val="0"/>
        <w:spacing w:after="0" w:line="276" w:lineRule="auto"/>
        <w:jc w:val="both"/>
        <w:rPr>
          <w:rFonts w:ascii="Verdana" w:eastAsia="Calibri" w:hAnsi="Verdana" w:cs="Arial"/>
          <w:b/>
          <w:bCs/>
          <w:lang w:eastAsia="es-ES_tradnl"/>
        </w:rPr>
      </w:pPr>
      <w:bookmarkStart w:id="3" w:name="_Hlk130468035"/>
      <w:r w:rsidRPr="00A94B48">
        <w:rPr>
          <w:rFonts w:ascii="Verdana" w:eastAsia="Calibri" w:hAnsi="Verdana" w:cs="Arial"/>
          <w:b/>
          <w:bCs/>
          <w:lang w:eastAsia="es-ES_tradnl"/>
        </w:rPr>
        <w:lastRenderedPageBreak/>
        <w:t>ADICIÓN – Contrato estatal – Concepto – Posibilidad</w:t>
      </w:r>
    </w:p>
    <w:bookmarkEnd w:id="3"/>
    <w:p w14:paraId="5F143A72" w14:textId="77777777" w:rsidR="00313669" w:rsidRPr="00A94B48" w:rsidRDefault="00313669" w:rsidP="00313669">
      <w:pPr>
        <w:spacing w:after="0" w:line="276" w:lineRule="auto"/>
        <w:jc w:val="both"/>
        <w:rPr>
          <w:rFonts w:ascii="Verdana" w:eastAsia="Times New Roman" w:hAnsi="Verdana" w:cs="Arial"/>
          <w:bCs/>
          <w:lang w:val="es-ES_tradnl" w:eastAsia="es-ES_tradnl"/>
        </w:rPr>
      </w:pPr>
    </w:p>
    <w:p w14:paraId="2613011B" w14:textId="77777777" w:rsidR="00313669" w:rsidRPr="00A94B48" w:rsidRDefault="00313669" w:rsidP="00313669">
      <w:pPr>
        <w:spacing w:after="0" w:line="276" w:lineRule="auto"/>
        <w:jc w:val="both"/>
        <w:rPr>
          <w:rFonts w:ascii="Verdana" w:eastAsia="Calibri" w:hAnsi="Verdana" w:cs="Arial"/>
          <w:lang w:val="es-ES" w:eastAsia="es-ES"/>
        </w:rPr>
      </w:pPr>
      <w:r w:rsidRPr="2570DDEE">
        <w:rPr>
          <w:rFonts w:ascii="Verdana" w:eastAsia="Calibri" w:hAnsi="Verdana" w:cs="Arial"/>
          <w:lang w:val="es-ES" w:eastAsia="es-ES"/>
        </w:rPr>
        <w:t xml:space="preserve">[…], 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a los inicialmente previstos, a lo que se le conoce como «mayores cantidades de obra», «obras adicionales» o adición de «ítems contractuales»; y </w:t>
      </w:r>
      <w:proofErr w:type="spellStart"/>
      <w:r w:rsidRPr="2570DDEE">
        <w:rPr>
          <w:rFonts w:ascii="Verdana" w:eastAsia="Calibri" w:hAnsi="Verdana" w:cs="Arial"/>
          <w:lang w:val="es-ES" w:eastAsia="es-ES"/>
        </w:rPr>
        <w:t>ii</w:t>
      </w:r>
      <w:proofErr w:type="spellEnd"/>
      <w:r w:rsidRPr="2570DDEE">
        <w:rPr>
          <w:rFonts w:ascii="Verdana" w:eastAsia="Calibri" w:hAnsi="Verdana" w:cs="Arial"/>
          <w:lang w:val="es-ES" w:eastAsia="es-ES"/>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w:t>
      </w:r>
    </w:p>
    <w:p w14:paraId="421E2C8B" w14:textId="77777777" w:rsidR="00313669" w:rsidRPr="00A94B48" w:rsidRDefault="00313669" w:rsidP="00313669">
      <w:pPr>
        <w:spacing w:after="0" w:line="276" w:lineRule="auto"/>
        <w:jc w:val="both"/>
        <w:rPr>
          <w:rFonts w:ascii="Verdana" w:eastAsia="Calibri" w:hAnsi="Verdana" w:cs="Arial"/>
          <w:lang w:val="es-ES_tradnl" w:eastAsia="es-ES_tradnl"/>
        </w:rPr>
      </w:pPr>
    </w:p>
    <w:p w14:paraId="1A9FB221" w14:textId="77777777" w:rsidR="00313669" w:rsidRPr="00A94B48" w:rsidRDefault="00313669" w:rsidP="00313669">
      <w:pPr>
        <w:spacing w:after="0" w:line="276" w:lineRule="auto"/>
        <w:jc w:val="both"/>
        <w:rPr>
          <w:rFonts w:ascii="Verdana" w:eastAsia="Times New Roman" w:hAnsi="Verdana" w:cs="Arial"/>
          <w:lang w:val="es-ES" w:eastAsia="es-ES"/>
        </w:rPr>
      </w:pPr>
      <w:r w:rsidRPr="2570DDEE">
        <w:rPr>
          <w:rFonts w:ascii="Verdana" w:eastAsia="Calibri" w:hAnsi="Verdana" w:cs="Arial"/>
          <w:lang w:val="es-ES" w:eastAsia="es-ES"/>
        </w:rPr>
        <w:t xml:space="preserve">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r w:rsidRPr="2570DDEE">
        <w:rPr>
          <w:rFonts w:ascii="Verdana" w:eastAsia="Times New Roman" w:hAnsi="Verdana" w:cs="Arial"/>
          <w:color w:val="000000" w:themeColor="text1"/>
          <w:lang w:val="es-ES" w:eastAsia="es-ES"/>
        </w:rPr>
        <w:t xml:space="preserve">Lo importante es que, frente a cualquier incremento del valor inicial del contrato, que es lo que implica una </w:t>
      </w:r>
      <w:r w:rsidRPr="2570DDEE">
        <w:rPr>
          <w:rFonts w:ascii="Verdana" w:eastAsia="Times New Roman" w:hAnsi="Verdana" w:cs="Arial"/>
          <w:i/>
          <w:color w:val="000000" w:themeColor="text1"/>
          <w:lang w:val="es-ES" w:eastAsia="es-ES"/>
        </w:rPr>
        <w:t xml:space="preserve">adición, </w:t>
      </w:r>
      <w:r w:rsidRPr="2570DDEE">
        <w:rPr>
          <w:rFonts w:ascii="Verdana" w:eastAsia="Times New Roman" w:hAnsi="Verdana" w:cs="Arial"/>
          <w:color w:val="000000" w:themeColor="text1"/>
          <w:lang w:val="es-ES" w:eastAsia="es-ES"/>
        </w:rPr>
        <w:t>por cualquiera de los dos supuestos señalados previamente, e independiente del nombre que se le dé al acuerdo,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se debe observar esta última disposición.</w:t>
      </w:r>
    </w:p>
    <w:p w14:paraId="7B816976" w14:textId="77777777" w:rsidR="00313669" w:rsidRPr="00A94B48" w:rsidRDefault="00313669" w:rsidP="00313669">
      <w:pPr>
        <w:spacing w:after="0" w:line="276" w:lineRule="auto"/>
        <w:jc w:val="both"/>
        <w:rPr>
          <w:rFonts w:ascii="Verdana" w:eastAsia="Times New Roman" w:hAnsi="Verdana" w:cs="Arial"/>
          <w:bCs/>
          <w:lang w:val="es-ES_tradnl" w:eastAsia="es-ES_tradnl"/>
        </w:rPr>
      </w:pPr>
    </w:p>
    <w:p w14:paraId="2EB7CD07" w14:textId="77777777" w:rsidR="00313669" w:rsidRPr="00A94B48" w:rsidRDefault="00313669" w:rsidP="00313669">
      <w:pPr>
        <w:spacing w:after="0" w:line="276" w:lineRule="auto"/>
        <w:jc w:val="both"/>
        <w:rPr>
          <w:rFonts w:ascii="Verdana" w:hAnsi="Verdana" w:cs="Arial"/>
          <w:b/>
          <w:bCs/>
          <w:lang w:val="es-MX" w:eastAsia="es-ES_tradnl"/>
        </w:rPr>
      </w:pPr>
      <w:bookmarkStart w:id="4" w:name="_Hlk130468086"/>
      <w:r w:rsidRPr="00A94B48">
        <w:rPr>
          <w:rFonts w:ascii="Verdana" w:hAnsi="Verdana" w:cs="Arial"/>
          <w:b/>
          <w:bCs/>
          <w:lang w:val="es-MX" w:eastAsia="es-ES_tradnl"/>
        </w:rPr>
        <w:t>ADICIÓN – Prohibición – Monto – Cálculo – Parágrafo artículo 40 – Ley 80 de 1993</w:t>
      </w:r>
      <w:bookmarkEnd w:id="4"/>
      <w:r w:rsidRPr="00A94B48">
        <w:rPr>
          <w:rFonts w:ascii="Verdana" w:hAnsi="Verdana" w:cs="Arial"/>
          <w:b/>
          <w:bCs/>
          <w:lang w:val="es-MX" w:eastAsia="es-ES_tradnl"/>
        </w:rPr>
        <w:t xml:space="preserve"> </w:t>
      </w:r>
    </w:p>
    <w:p w14:paraId="5C415471" w14:textId="77777777" w:rsidR="00313669" w:rsidRPr="00A94B48" w:rsidRDefault="00313669" w:rsidP="00313669">
      <w:pPr>
        <w:spacing w:after="0" w:line="276" w:lineRule="auto"/>
        <w:jc w:val="both"/>
        <w:rPr>
          <w:rFonts w:ascii="Verdana" w:hAnsi="Verdana" w:cs="Arial"/>
          <w:b/>
          <w:lang w:val="es-MX" w:eastAsia="es-ES_tradnl"/>
        </w:rPr>
      </w:pPr>
    </w:p>
    <w:p w14:paraId="51515727" w14:textId="77777777" w:rsidR="00313669" w:rsidRPr="00A94B48" w:rsidRDefault="00313669" w:rsidP="00313669">
      <w:pPr>
        <w:spacing w:after="0" w:line="240" w:lineRule="auto"/>
        <w:contextualSpacing/>
        <w:jc w:val="both"/>
        <w:rPr>
          <w:rFonts w:ascii="Verdana" w:hAnsi="Verdana" w:cs="Arial"/>
          <w:lang w:val="es-ES" w:eastAsia="es-ES"/>
        </w:rPr>
      </w:pPr>
      <w:r w:rsidRPr="2570DDEE">
        <w:rPr>
          <w:rFonts w:ascii="Verdana" w:hAnsi="Verdana" w:cs="Arial"/>
          <w:lang w:val="es-ES" w:eastAsia="es-ES"/>
        </w:rPr>
        <w:t xml:space="preserve">Dicha norma, además de consagrar una prohibición trae implícita una autorización, consistente en la posibilidad de adicionar los contratos estatales, siempre que no se supere el tope establecido. Ahora bien, teniendo en cuenta que el peticionario indaga sobre la forma de efectuar el cálculo del límite cuantitativo de la adición, basta con remitirse a lo dispuesto en el parágrafo del artículo 40 de la Ley 80 de 1993 «Los contratos no podrán adicionarse en más </w:t>
      </w:r>
      <w:r w:rsidRPr="2570DDEE">
        <w:rPr>
          <w:rFonts w:ascii="Verdana" w:hAnsi="Verdana" w:cs="Arial"/>
          <w:lang w:val="es-ES" w:eastAsia="es-ES"/>
        </w:rPr>
        <w:lastRenderedPageBreak/>
        <w:t>del cincuenta por ciento (50%) de su valor inicial, expresado éste en salarios mínimos legales mensuales».</w:t>
      </w:r>
    </w:p>
    <w:p w14:paraId="388966C8" w14:textId="77777777" w:rsidR="00313669" w:rsidRPr="00A94B48" w:rsidRDefault="00313669" w:rsidP="00313669">
      <w:pPr>
        <w:spacing w:after="0" w:line="240" w:lineRule="auto"/>
        <w:contextualSpacing/>
        <w:jc w:val="both"/>
        <w:rPr>
          <w:rFonts w:ascii="Verdana" w:hAnsi="Verdana" w:cs="Arial"/>
          <w:bCs/>
          <w:lang w:val="es-ES_tradnl" w:eastAsia="es-ES_tradnl"/>
        </w:rPr>
      </w:pPr>
      <w:r w:rsidRPr="00A94B48">
        <w:rPr>
          <w:rFonts w:ascii="Verdana" w:hAnsi="Verdana" w:cs="Arial"/>
          <w:bCs/>
          <w:lang w:val="es-ES_tradnl" w:eastAsia="es-ES_tradnl"/>
        </w:rPr>
        <w:tab/>
      </w:r>
    </w:p>
    <w:p w14:paraId="0A38EAEA" w14:textId="77777777" w:rsidR="00313669" w:rsidRPr="00A94B48" w:rsidRDefault="00313669" w:rsidP="00313669">
      <w:pPr>
        <w:spacing w:after="0" w:line="240" w:lineRule="auto"/>
        <w:contextualSpacing/>
        <w:jc w:val="both"/>
        <w:rPr>
          <w:rFonts w:ascii="Verdana" w:eastAsia="Geomanist Light" w:hAnsi="Verdana" w:cs="Arial"/>
          <w:color w:val="000000" w:themeColor="text1"/>
          <w:lang w:val="es-MX"/>
        </w:rPr>
      </w:pPr>
      <w:r w:rsidRPr="00A94B48">
        <w:rPr>
          <w:rFonts w:ascii="Verdana" w:hAnsi="Verdana" w:cs="Arial"/>
          <w:bCs/>
          <w:lang w:val="es-ES_tradnl" w:eastAsia="es-ES_tradnl"/>
        </w:rPr>
        <w:t>En consecuencia, al momento de hacer la adición se debe tener en cuenta que el cálculo del límite debe hacerse en salarios mínimos para efectos de que el cálculo del tope sea preciso, de manera que para adicionar un contrato deber dividirse el valor inicial por el salario mínimo vigente al momento de la suscripción del contrato, y luego dividirlo por 2; el resultado obtenido constituirá el número del SMMLV por los cuales podrá adicionarse el contrato. En ese sentido, para evitar equivocaciones, lo ideal es que cada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w:t>
      </w:r>
    </w:p>
    <w:p w14:paraId="4498C7D5" w14:textId="77777777" w:rsidR="00313669" w:rsidRPr="00566DF3" w:rsidRDefault="00313669" w:rsidP="00313669">
      <w:pPr>
        <w:spacing w:after="0" w:line="240" w:lineRule="auto"/>
        <w:contextualSpacing/>
        <w:rPr>
          <w:rFonts w:ascii="Verdana" w:eastAsia="Geomanist Light" w:hAnsi="Verdana" w:cs="Arial"/>
          <w:color w:val="000000" w:themeColor="text1"/>
          <w:lang w:val="es-MX"/>
        </w:rPr>
      </w:pPr>
    </w:p>
    <w:p w14:paraId="34371264" w14:textId="77777777" w:rsidR="00313669" w:rsidRPr="00566DF3" w:rsidRDefault="00313669" w:rsidP="00313669">
      <w:pPr>
        <w:spacing w:after="0" w:line="240" w:lineRule="auto"/>
        <w:contextualSpacing/>
        <w:rPr>
          <w:rFonts w:ascii="Verdana" w:eastAsia="Geomanist Light" w:hAnsi="Verdana" w:cs="Arial"/>
          <w:color w:val="000000" w:themeColor="text1"/>
          <w:lang w:val="es-MX"/>
        </w:rPr>
      </w:pPr>
    </w:p>
    <w:p w14:paraId="3FC96244" w14:textId="77777777" w:rsidR="00313669" w:rsidRPr="00566DF3" w:rsidRDefault="00313669" w:rsidP="00313669">
      <w:pPr>
        <w:spacing w:after="0" w:line="240" w:lineRule="auto"/>
        <w:contextualSpacing/>
        <w:rPr>
          <w:rFonts w:ascii="Verdana" w:eastAsia="Geomanist Light" w:hAnsi="Verdana" w:cs="Arial"/>
          <w:color w:val="000000" w:themeColor="text1"/>
          <w:lang w:val="es-MX"/>
        </w:rPr>
      </w:pPr>
    </w:p>
    <w:p w14:paraId="2BCB9FAC" w14:textId="77777777" w:rsidR="00313669" w:rsidRPr="00566DF3" w:rsidRDefault="00313669" w:rsidP="00313669">
      <w:pPr>
        <w:spacing w:after="0" w:line="240" w:lineRule="auto"/>
        <w:contextualSpacing/>
        <w:rPr>
          <w:rFonts w:ascii="Verdana" w:eastAsia="Geomanist Light" w:hAnsi="Verdana" w:cs="Arial"/>
          <w:color w:val="000000" w:themeColor="text1"/>
          <w:lang w:val="es-MX"/>
        </w:rPr>
      </w:pPr>
    </w:p>
    <w:p w14:paraId="3DB96293" w14:textId="77777777" w:rsidR="00313669" w:rsidRPr="00566DF3" w:rsidRDefault="00313669" w:rsidP="00313669">
      <w:pPr>
        <w:spacing w:after="0" w:line="240" w:lineRule="auto"/>
        <w:contextualSpacing/>
        <w:rPr>
          <w:rFonts w:ascii="Verdana" w:eastAsia="Geomanist Light" w:hAnsi="Verdana" w:cs="Arial"/>
          <w:color w:val="000000" w:themeColor="text1"/>
          <w:lang w:val="es-MX"/>
        </w:rPr>
      </w:pPr>
    </w:p>
    <w:p w14:paraId="0C077A1F"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15E4AD23"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00D2E233"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353C60C5"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68593FC7"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42F0B54F"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27686B2C"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6BE437CC"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2D3D6B85"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2852A210"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05200400"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384632B7"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78147197"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4356A943"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6EA84F78"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49FDB085"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2469B6F5"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069CAA47"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433D0E08"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18501124"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52AE4973"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0344A389"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7B4281AD" w14:textId="77777777" w:rsidR="00313669" w:rsidRDefault="00313669" w:rsidP="00313669">
      <w:pPr>
        <w:spacing w:after="0" w:line="240" w:lineRule="auto"/>
        <w:contextualSpacing/>
        <w:rPr>
          <w:rFonts w:ascii="Verdana" w:eastAsia="Geomanist Light" w:hAnsi="Verdana" w:cs="Arial"/>
          <w:color w:val="000000" w:themeColor="text1"/>
          <w:lang w:val="es-MX"/>
        </w:rPr>
      </w:pPr>
    </w:p>
    <w:p w14:paraId="0F25302D" w14:textId="115C3954" w:rsidR="00313669" w:rsidRDefault="00313669" w:rsidP="00313669">
      <w:pPr>
        <w:spacing w:after="0" w:line="240" w:lineRule="auto"/>
        <w:rPr>
          <w:rFonts w:ascii="Verdana" w:hAnsi="Verdana"/>
        </w:rPr>
      </w:pPr>
      <w:r>
        <w:rPr>
          <w:rFonts w:ascii="Verdana" w:hAnsi="Verdana"/>
        </w:rPr>
        <w:t>B</w:t>
      </w:r>
      <w:r w:rsidRPr="0044528D">
        <w:rPr>
          <w:rFonts w:ascii="Verdana" w:hAnsi="Verdana"/>
        </w:rPr>
        <w:t xml:space="preserve">ogotá D.C., </w:t>
      </w:r>
      <w:r w:rsidR="00A20CE1">
        <w:rPr>
          <w:rFonts w:ascii="Verdana" w:hAnsi="Verdana"/>
        </w:rPr>
        <w:t xml:space="preserve">15 de octubre de </w:t>
      </w:r>
      <w:proofErr w:type="gramStart"/>
      <w:r w:rsidR="00A20CE1">
        <w:rPr>
          <w:rFonts w:ascii="Verdana" w:hAnsi="Verdana"/>
        </w:rPr>
        <w:t>2025</w:t>
      </w:r>
      <w:r>
        <w:rPr>
          <w:rFonts w:ascii="Verdana" w:hAnsi="Verdana"/>
        </w:rPr>
        <w:t xml:space="preserve"> .</w:t>
      </w:r>
      <w:proofErr w:type="gramEnd"/>
    </w:p>
    <w:bookmarkEnd w:id="0"/>
    <w:p w14:paraId="20B5F30F" w14:textId="77777777" w:rsidR="00313669" w:rsidRDefault="00313669" w:rsidP="00313669">
      <w:pPr>
        <w:spacing w:after="0" w:line="240" w:lineRule="auto"/>
        <w:rPr>
          <w:rFonts w:ascii="Verdana" w:hAnsi="Verdana"/>
        </w:rPr>
      </w:pPr>
    </w:p>
    <w:p w14:paraId="7F3A4F93" w14:textId="77777777" w:rsidR="00313669" w:rsidRDefault="00313669" w:rsidP="00313669">
      <w:pPr>
        <w:spacing w:after="0" w:line="240" w:lineRule="auto"/>
        <w:rPr>
          <w:rFonts w:ascii="Verdana" w:hAnsi="Verdana"/>
        </w:rPr>
      </w:pPr>
    </w:p>
    <w:p w14:paraId="4AD2C924" w14:textId="1DF93DBA" w:rsidR="00A20CE1" w:rsidRDefault="00A20CE1" w:rsidP="00A20CE1">
      <w:pPr>
        <w:spacing w:after="0" w:line="240" w:lineRule="auto"/>
        <w:jc w:val="right"/>
        <w:rPr>
          <w:rFonts w:ascii="Verdana" w:hAnsi="Verdana"/>
        </w:rPr>
      </w:pPr>
      <w:r>
        <w:rPr>
          <w:rFonts w:ascii="Verdana" w:hAnsi="Verdana"/>
          <w:noProof/>
        </w:rPr>
        <w:drawing>
          <wp:inline distT="0" distB="0" distL="0" distR="0" wp14:anchorId="77A4B9CA" wp14:editId="40CD45BD">
            <wp:extent cx="2019300" cy="457200"/>
            <wp:effectExtent l="0" t="0" r="0" b="0"/>
            <wp:docPr id="7924027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19300" cy="457200"/>
                    </a:xfrm>
                    <a:prstGeom prst="rect">
                      <a:avLst/>
                    </a:prstGeom>
                    <a:noFill/>
                    <a:ln>
                      <a:noFill/>
                    </a:ln>
                  </pic:spPr>
                </pic:pic>
              </a:graphicData>
            </a:graphic>
          </wp:inline>
        </w:drawing>
      </w:r>
    </w:p>
    <w:p w14:paraId="571305FB" w14:textId="77777777" w:rsidR="00A20CE1" w:rsidRDefault="00A20CE1" w:rsidP="00313669">
      <w:pPr>
        <w:spacing w:after="0" w:line="240" w:lineRule="auto"/>
        <w:rPr>
          <w:rFonts w:ascii="Verdana" w:hAnsi="Verdana"/>
        </w:rPr>
      </w:pPr>
    </w:p>
    <w:p w14:paraId="7B0BC564" w14:textId="77777777" w:rsidR="00313669" w:rsidRPr="00631045" w:rsidRDefault="00313669" w:rsidP="00313669">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0DA08B70" w14:textId="77777777" w:rsidR="00313669" w:rsidRPr="00041B3A" w:rsidRDefault="00313669" w:rsidP="00313669">
      <w:pPr>
        <w:spacing w:after="0" w:line="240" w:lineRule="auto"/>
        <w:rPr>
          <w:rFonts w:ascii="Verdana" w:eastAsia="Calibri" w:hAnsi="Verdana" w:cs="Arial"/>
          <w:b/>
          <w:bCs/>
          <w:lang w:eastAsia="es-ES"/>
        </w:rPr>
      </w:pPr>
      <w:r w:rsidRPr="00041B3A">
        <w:rPr>
          <w:rFonts w:ascii="Verdana" w:eastAsia="Calibri" w:hAnsi="Verdana" w:cs="Arial"/>
          <w:b/>
          <w:bCs/>
          <w:lang w:eastAsia="es-ES"/>
        </w:rPr>
        <w:t>VICTOR EDUARDO ANDRADE ACHURY</w:t>
      </w:r>
    </w:p>
    <w:p w14:paraId="6311EFC6" w14:textId="77777777" w:rsidR="00313669" w:rsidRPr="00041B3A" w:rsidRDefault="00313669" w:rsidP="00313669">
      <w:pPr>
        <w:spacing w:after="0" w:line="240" w:lineRule="auto"/>
        <w:rPr>
          <w:rFonts w:ascii="Verdana" w:eastAsia="Calibri" w:hAnsi="Verdana" w:cs="Arial"/>
          <w:b/>
          <w:bCs/>
          <w:lang w:eastAsia="es-ES"/>
        </w:rPr>
      </w:pPr>
      <w:r w:rsidRPr="00041B3A">
        <w:rPr>
          <w:rFonts w:ascii="Verdana" w:hAnsi="Verdana"/>
        </w:rPr>
        <w:t>viedaner96@hotmail.com</w:t>
      </w:r>
      <w:r w:rsidRPr="00041B3A">
        <w:rPr>
          <w:rFonts w:ascii="Verdana" w:eastAsia="Calibri" w:hAnsi="Verdana" w:cs="Arial"/>
          <w:b/>
          <w:bCs/>
          <w:lang w:eastAsia="es-ES"/>
        </w:rPr>
        <w:t xml:space="preserve">  </w:t>
      </w:r>
    </w:p>
    <w:p w14:paraId="42285F96" w14:textId="77777777" w:rsidR="00313669" w:rsidRDefault="00313669" w:rsidP="00313669">
      <w:pPr>
        <w:spacing w:after="0" w:line="240" w:lineRule="auto"/>
        <w:rPr>
          <w:rFonts w:ascii="Verdana" w:hAnsi="Verdana"/>
        </w:rPr>
      </w:pPr>
      <w:r w:rsidRPr="00041B3A">
        <w:rPr>
          <w:rFonts w:ascii="Verdana" w:hAnsi="Verdana"/>
        </w:rPr>
        <w:t>Bogotá D.C.</w:t>
      </w:r>
      <w:r>
        <w:rPr>
          <w:rFonts w:ascii="Verdana" w:hAnsi="Verdana"/>
        </w:rPr>
        <w:t xml:space="preserve"> </w:t>
      </w:r>
    </w:p>
    <w:p w14:paraId="21E7E379" w14:textId="77777777" w:rsidR="00313669" w:rsidRPr="00FE3DEC" w:rsidRDefault="00313669" w:rsidP="00313669">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313669" w:rsidRPr="00593A5F" w14:paraId="552697DE" w14:textId="77777777" w:rsidTr="00E11A84">
        <w:trPr>
          <w:trHeight w:val="273"/>
        </w:trPr>
        <w:tc>
          <w:tcPr>
            <w:tcW w:w="2295" w:type="dxa"/>
          </w:tcPr>
          <w:p w14:paraId="580E5499" w14:textId="77777777" w:rsidR="00313669" w:rsidRPr="00E5644F" w:rsidRDefault="00313669" w:rsidP="00E11A84">
            <w:pPr>
              <w:jc w:val="both"/>
              <w:rPr>
                <w:rFonts w:ascii="Verdana" w:eastAsia="Calibri" w:hAnsi="Verdana" w:cs="Arial"/>
                <w:b/>
                <w:bCs/>
                <w:color w:val="7030A0"/>
                <w:lang w:val="es-ES_tradnl" w:eastAsia="es-ES_tradnl"/>
              </w:rPr>
            </w:pPr>
          </w:p>
        </w:tc>
        <w:tc>
          <w:tcPr>
            <w:tcW w:w="6481" w:type="dxa"/>
            <w:gridSpan w:val="2"/>
          </w:tcPr>
          <w:p w14:paraId="38D061E6" w14:textId="77777777" w:rsidR="00313669" w:rsidRDefault="00313669" w:rsidP="00E11A8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1291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2D48991C" w14:textId="77777777" w:rsidR="00313669" w:rsidRPr="00E5644F" w:rsidRDefault="00313669" w:rsidP="00E11A84">
            <w:pPr>
              <w:jc w:val="both"/>
              <w:rPr>
                <w:rFonts w:ascii="Verdana" w:eastAsia="Calibri" w:hAnsi="Verdana" w:cs="Arial"/>
                <w:b/>
                <w:bCs/>
                <w:color w:val="7030A0"/>
                <w:lang w:val="es-ES" w:eastAsia="es-ES"/>
              </w:rPr>
            </w:pPr>
          </w:p>
        </w:tc>
      </w:tr>
      <w:tr w:rsidR="00313669" w:rsidRPr="00280D79" w14:paraId="70DF5420" w14:textId="77777777" w:rsidTr="00E11A84">
        <w:trPr>
          <w:trHeight w:val="1583"/>
        </w:trPr>
        <w:tc>
          <w:tcPr>
            <w:tcW w:w="2295" w:type="dxa"/>
          </w:tcPr>
          <w:p w14:paraId="449D118A" w14:textId="77777777" w:rsidR="00313669" w:rsidRPr="00593A5F" w:rsidRDefault="00313669" w:rsidP="00E11A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58B6B891" w14:textId="77777777" w:rsidR="00313669" w:rsidRDefault="00313669" w:rsidP="00E11A84">
            <w:pPr>
              <w:jc w:val="both"/>
              <w:rPr>
                <w:rFonts w:ascii="Verdana" w:hAnsi="Verdana" w:cs="Arial"/>
                <w:bCs/>
              </w:rPr>
            </w:pPr>
            <w:r w:rsidRPr="00566DF3">
              <w:rPr>
                <w:rFonts w:ascii="Verdana" w:hAnsi="Verdana" w:cs="Arial"/>
                <w:bCs/>
              </w:rPr>
              <w:t>DECRETO 1860 DE 2021 – Normas reglamentarias – Mínima cuantía   / PRINCIPIOS DE LA CONTRATACION ESTATAL – Principio de Economía – deber de planeación / / ADICIÓN – Contrato estatal – Concepto – Posibilidad / ADICIÓN – Prohibición – Monto – Cálculo – Parágrafo artículo 40 – Ley 80 de 1993</w:t>
            </w:r>
            <w:r>
              <w:rPr>
                <w:rFonts w:ascii="Verdana" w:hAnsi="Verdana" w:cs="Arial"/>
                <w:bCs/>
              </w:rPr>
              <w:t>.</w:t>
            </w:r>
          </w:p>
          <w:p w14:paraId="74D37FEB" w14:textId="77777777" w:rsidR="00313669" w:rsidRPr="00280D79" w:rsidRDefault="00313669" w:rsidP="00E11A84">
            <w:pPr>
              <w:jc w:val="both"/>
              <w:rPr>
                <w:rFonts w:ascii="Verdana" w:eastAsia="Calibri" w:hAnsi="Verdana" w:cs="Arial"/>
                <w:b/>
                <w:highlight w:val="yellow"/>
                <w:lang w:val="es-ES" w:eastAsia="es-ES"/>
              </w:rPr>
            </w:pPr>
            <w:r w:rsidRPr="00566DF3">
              <w:rPr>
                <w:rFonts w:ascii="Verdana" w:hAnsi="Verdana" w:cs="Arial"/>
                <w:bCs/>
              </w:rPr>
              <w:t xml:space="preserve"> </w:t>
            </w:r>
          </w:p>
        </w:tc>
      </w:tr>
      <w:tr w:rsidR="00313669" w:rsidRPr="00593A5F" w14:paraId="671C30CB" w14:textId="77777777" w:rsidTr="00E11A84">
        <w:trPr>
          <w:trHeight w:val="545"/>
        </w:trPr>
        <w:tc>
          <w:tcPr>
            <w:tcW w:w="2295" w:type="dxa"/>
          </w:tcPr>
          <w:p w14:paraId="42AB5645" w14:textId="77777777" w:rsidR="00313669" w:rsidRPr="006730E9" w:rsidRDefault="00313669" w:rsidP="00E11A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2197EA4" w14:textId="77777777" w:rsidR="00313669" w:rsidRPr="006730E9" w:rsidRDefault="00313669" w:rsidP="00E11A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041B3A">
              <w:rPr>
                <w:rFonts w:ascii="Verdana" w:eastAsia="Calibri" w:hAnsi="Verdana" w:cs="Arial"/>
                <w:lang w:val="es-ES_tradnl" w:eastAsia="es-ES_tradnl"/>
              </w:rPr>
              <w:t>1_2025_09_09_009791</w:t>
            </w:r>
          </w:p>
        </w:tc>
      </w:tr>
      <w:tr w:rsidR="00313669" w:rsidRPr="00DB23D2" w14:paraId="7D2370B5" w14:textId="77777777" w:rsidTr="00E11A84">
        <w:trPr>
          <w:gridAfter w:val="1"/>
          <w:wAfter w:w="319" w:type="dxa"/>
          <w:trHeight w:val="242"/>
        </w:trPr>
        <w:tc>
          <w:tcPr>
            <w:tcW w:w="8457" w:type="dxa"/>
            <w:gridSpan w:val="2"/>
          </w:tcPr>
          <w:p w14:paraId="3F88C612" w14:textId="77777777" w:rsidR="00313669" w:rsidRPr="00DB23D2" w:rsidRDefault="00313669" w:rsidP="00E11A84">
            <w:pPr>
              <w:spacing w:line="276" w:lineRule="auto"/>
              <w:jc w:val="both"/>
              <w:rPr>
                <w:rFonts w:ascii="Verdana" w:eastAsia="Calibri" w:hAnsi="Verdana" w:cs="Arial"/>
                <w:lang w:val="es-ES_tradnl" w:eastAsia="es-ES"/>
              </w:rPr>
            </w:pPr>
          </w:p>
        </w:tc>
      </w:tr>
    </w:tbl>
    <w:p w14:paraId="53A7DD98" w14:textId="77777777" w:rsidR="00313669" w:rsidRPr="006730E9" w:rsidRDefault="00313669" w:rsidP="0031366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Andrade;</w:t>
      </w:r>
    </w:p>
    <w:p w14:paraId="69ECE436" w14:textId="77777777" w:rsidR="00313669" w:rsidRDefault="00313669" w:rsidP="0031366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3FFBDD35" w14:textId="77777777" w:rsidR="00313669" w:rsidRPr="006730E9" w:rsidRDefault="00313669" w:rsidP="0031366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w:t>
      </w:r>
      <w:r>
        <w:rPr>
          <w:rFonts w:ascii="Verdana" w:eastAsia="Calibri" w:hAnsi="Verdana" w:cs="Arial"/>
          <w:lang w:val="es-ES" w:eastAsia="es-ES"/>
        </w:rPr>
        <w:t xml:space="preserve"> a</w:t>
      </w:r>
      <w:r w:rsidRPr="006730E9">
        <w:rPr>
          <w:rFonts w:ascii="Verdana" w:eastAsia="Calibri" w:hAnsi="Verdana" w:cs="Arial"/>
          <w:lang w:val="es-ES" w:eastAsia="es-ES"/>
        </w:rPr>
        <w:t xml:space="preserve"> su solicitud</w:t>
      </w:r>
      <w:r>
        <w:rPr>
          <w:rFonts w:ascii="Verdana" w:eastAsia="Calibri" w:hAnsi="Verdana" w:cs="Arial"/>
          <w:lang w:val="es-ES" w:eastAsia="es-ES"/>
        </w:rPr>
        <w:t xml:space="preserve"> trasladada por competencia por parte del Departamento Administrativo de la Función Pública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09</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3C62222E" w14:textId="77777777" w:rsidR="00313669" w:rsidRPr="00326382" w:rsidRDefault="00313669" w:rsidP="00313669">
      <w:pPr>
        <w:spacing w:after="0" w:line="276" w:lineRule="auto"/>
        <w:ind w:left="709" w:right="474"/>
        <w:jc w:val="both"/>
        <w:rPr>
          <w:rFonts w:ascii="Verdana" w:hAnsi="Verdana" w:cs="Arial"/>
          <w:sz w:val="20"/>
          <w:szCs w:val="20"/>
          <w:shd w:val="clear" w:color="auto" w:fill="FFFFFF"/>
        </w:rPr>
      </w:pPr>
      <w:bookmarkStart w:id="5" w:name="_Hlk95313578"/>
    </w:p>
    <w:bookmarkEnd w:id="5"/>
    <w:p w14:paraId="1BC61614" w14:textId="77777777" w:rsidR="00313669" w:rsidRDefault="00313669" w:rsidP="00313669">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1949CF2A" w14:textId="77777777" w:rsidR="00313669" w:rsidRDefault="00313669" w:rsidP="00313669">
      <w:pPr>
        <w:tabs>
          <w:tab w:val="left" w:pos="142"/>
          <w:tab w:val="left" w:pos="567"/>
        </w:tabs>
        <w:spacing w:after="0" w:line="240" w:lineRule="auto"/>
        <w:ind w:left="709" w:right="709"/>
        <w:jc w:val="both"/>
        <w:rPr>
          <w:rFonts w:ascii="Verdana" w:eastAsia="Century Gothic" w:hAnsi="Verdana" w:cs="Century Gothic"/>
          <w:i/>
          <w:iCs/>
          <w:sz w:val="20"/>
          <w:szCs w:val="20"/>
        </w:rPr>
      </w:pPr>
      <w:r w:rsidRPr="00041B3A">
        <w:rPr>
          <w:rFonts w:ascii="Verdana" w:eastAsia="Century Gothic" w:hAnsi="Verdana" w:cs="Century Gothic"/>
          <w:i/>
          <w:iCs/>
          <w:sz w:val="20"/>
          <w:szCs w:val="20"/>
        </w:rPr>
        <w:t>¿Es jurídicamente viable realizar una adición a un contrato estatal celebrado por mínima cuantía, cuando</w:t>
      </w:r>
      <w:r>
        <w:rPr>
          <w:rFonts w:ascii="Verdana" w:eastAsia="Century Gothic" w:hAnsi="Verdana" w:cs="Century Gothic"/>
          <w:i/>
          <w:iCs/>
          <w:sz w:val="20"/>
          <w:szCs w:val="20"/>
        </w:rPr>
        <w:t xml:space="preserve"> </w:t>
      </w:r>
      <w:r w:rsidRPr="00041B3A">
        <w:rPr>
          <w:rFonts w:ascii="Verdana" w:eastAsia="Century Gothic" w:hAnsi="Verdana" w:cs="Century Gothic"/>
          <w:i/>
          <w:iCs/>
          <w:sz w:val="20"/>
          <w:szCs w:val="20"/>
        </w:rPr>
        <w:t>dicha adición haría que el valor total del contrato supere el límite de esa modalidad, teniendo en cuenta</w:t>
      </w:r>
      <w:r>
        <w:rPr>
          <w:rFonts w:ascii="Verdana" w:eastAsia="Century Gothic" w:hAnsi="Verdana" w:cs="Century Gothic"/>
          <w:i/>
          <w:iCs/>
          <w:sz w:val="20"/>
          <w:szCs w:val="20"/>
        </w:rPr>
        <w:t xml:space="preserve"> </w:t>
      </w:r>
      <w:r w:rsidRPr="00041B3A">
        <w:rPr>
          <w:rFonts w:ascii="Verdana" w:eastAsia="Century Gothic" w:hAnsi="Verdana" w:cs="Century Gothic"/>
          <w:i/>
          <w:iCs/>
          <w:sz w:val="20"/>
          <w:szCs w:val="20"/>
        </w:rPr>
        <w:t>que los recursos para financiarla llegaron con posterioridad a la celebración del contrato, en una</w:t>
      </w:r>
      <w:r>
        <w:rPr>
          <w:rFonts w:ascii="Verdana" w:eastAsia="Century Gothic" w:hAnsi="Verdana" w:cs="Century Gothic"/>
          <w:i/>
          <w:iCs/>
          <w:sz w:val="20"/>
          <w:szCs w:val="20"/>
        </w:rPr>
        <w:t xml:space="preserve"> </w:t>
      </w:r>
      <w:r w:rsidRPr="00041B3A">
        <w:rPr>
          <w:rFonts w:ascii="Verdana" w:eastAsia="Century Gothic" w:hAnsi="Verdana" w:cs="Century Gothic"/>
          <w:i/>
          <w:iCs/>
          <w:sz w:val="20"/>
          <w:szCs w:val="20"/>
        </w:rPr>
        <w:t>situación no previsible al momento de su suscripción, y que no implica la incorporación de nuevos ítems</w:t>
      </w:r>
      <w:r>
        <w:rPr>
          <w:rFonts w:ascii="Verdana" w:eastAsia="Century Gothic" w:hAnsi="Verdana" w:cs="Century Gothic"/>
          <w:i/>
          <w:iCs/>
          <w:sz w:val="20"/>
          <w:szCs w:val="20"/>
        </w:rPr>
        <w:t xml:space="preserve"> </w:t>
      </w:r>
      <w:r w:rsidRPr="00041B3A">
        <w:rPr>
          <w:rFonts w:ascii="Verdana" w:eastAsia="Century Gothic" w:hAnsi="Verdana" w:cs="Century Gothic"/>
          <w:i/>
          <w:iCs/>
          <w:sz w:val="20"/>
          <w:szCs w:val="20"/>
        </w:rPr>
        <w:t>al objeto contractual?</w:t>
      </w:r>
    </w:p>
    <w:p w14:paraId="3F9D4630" w14:textId="77777777" w:rsidR="00313669" w:rsidRPr="00EA70F7" w:rsidRDefault="00313669" w:rsidP="00313669">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lastRenderedPageBreak/>
        <w:t xml:space="preserve">(…)”. </w:t>
      </w:r>
    </w:p>
    <w:p w14:paraId="0F9A87AB" w14:textId="77777777" w:rsidR="00313669" w:rsidRDefault="00313669" w:rsidP="00313669">
      <w:pPr>
        <w:spacing w:after="0" w:line="276" w:lineRule="auto"/>
        <w:ind w:firstLine="709"/>
        <w:jc w:val="both"/>
        <w:rPr>
          <w:rFonts w:ascii="Verdana" w:eastAsia="Calibri" w:hAnsi="Verdana" w:cs="Arial"/>
          <w:lang w:val="es-ES" w:eastAsia="es-ES"/>
        </w:rPr>
      </w:pPr>
    </w:p>
    <w:p w14:paraId="365351A3" w14:textId="77777777" w:rsidR="00313669" w:rsidRPr="00AA3B9F" w:rsidRDefault="00313669" w:rsidP="00313669">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56F9BA1" w14:textId="77777777" w:rsidR="00313669" w:rsidRDefault="00313669" w:rsidP="00313669">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15B238EC" w14:textId="77777777" w:rsidR="00313669" w:rsidRPr="00AA3B9F" w:rsidRDefault="00313669" w:rsidP="00313669">
      <w:pPr>
        <w:spacing w:after="0" w:line="276" w:lineRule="auto"/>
        <w:ind w:firstLine="709"/>
        <w:jc w:val="both"/>
        <w:rPr>
          <w:rFonts w:ascii="Verdana" w:eastAsia="Calibri" w:hAnsi="Verdana" w:cs="Arial"/>
          <w:lang w:val="es-ES" w:eastAsia="es-ES"/>
        </w:rPr>
      </w:pPr>
    </w:p>
    <w:p w14:paraId="713E6982" w14:textId="77777777" w:rsidR="00313669" w:rsidRDefault="00313669" w:rsidP="0031366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2628DC7" w14:textId="77777777" w:rsidR="00313669" w:rsidRDefault="00313669" w:rsidP="00313669">
      <w:pPr>
        <w:pStyle w:val="Prrafodelista"/>
        <w:tabs>
          <w:tab w:val="left" w:pos="142"/>
          <w:tab w:val="left" w:pos="284"/>
        </w:tabs>
        <w:spacing w:after="0" w:line="276" w:lineRule="auto"/>
        <w:ind w:left="0"/>
        <w:jc w:val="both"/>
        <w:rPr>
          <w:rFonts w:ascii="Verdana" w:eastAsia="Century Gothic" w:hAnsi="Verdana" w:cs="Century Gothic"/>
          <w:b/>
          <w:bCs/>
        </w:rPr>
      </w:pPr>
    </w:p>
    <w:p w14:paraId="19E5ADFD" w14:textId="77777777" w:rsidR="00313669" w:rsidRDefault="00313669" w:rsidP="00313669">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6" w:name="_Hlk196737317"/>
      <w:r>
        <w:rPr>
          <w:rFonts w:ascii="Verdana" w:eastAsia="Calibri" w:hAnsi="Verdana" w:cs="Arial"/>
          <w:lang w:eastAsia="es-ES"/>
        </w:rPr>
        <w:t xml:space="preserve"> </w:t>
      </w:r>
      <w:r w:rsidRPr="005B0D68">
        <w:rPr>
          <w:rFonts w:ascii="Verdana" w:eastAsia="Calibri" w:hAnsi="Verdana" w:cs="Arial"/>
          <w:lang w:eastAsia="es-ES"/>
        </w:rPr>
        <w:t>¿Es jurídicamente viable que una entidad estatal haga una adición al valor de un contrato celebrado bajo la modalidad de mínima cuantía, de modo que dicha adición haga que el valor total del contrato supere el tope de la mínima cuantía para esa entidad</w:t>
      </w:r>
      <w:r w:rsidRPr="00C36604">
        <w:rPr>
          <w:rFonts w:ascii="Verdana" w:eastAsia="Calibri" w:hAnsi="Verdana" w:cs="Arial"/>
          <w:lang w:eastAsia="es-ES"/>
        </w:rPr>
        <w:t>?</w:t>
      </w:r>
    </w:p>
    <w:p w14:paraId="1B507A36" w14:textId="77777777" w:rsidR="00313669" w:rsidRDefault="00313669" w:rsidP="00313669">
      <w:pPr>
        <w:spacing w:after="0" w:line="276" w:lineRule="auto"/>
        <w:jc w:val="both"/>
        <w:rPr>
          <w:rFonts w:ascii="Verdana" w:eastAsia="Calibri" w:hAnsi="Verdana" w:cs="Arial"/>
          <w:lang w:eastAsia="es-ES"/>
        </w:rPr>
      </w:pPr>
    </w:p>
    <w:bookmarkEnd w:id="6"/>
    <w:p w14:paraId="796D360A" w14:textId="77777777" w:rsidR="00313669" w:rsidRDefault="00313669" w:rsidP="003136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DBF2853" w14:textId="77777777" w:rsidR="00313669" w:rsidRPr="00593A5F" w:rsidRDefault="00313669" w:rsidP="003136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13669" w:rsidRPr="00593A5F" w14:paraId="307A432E" w14:textId="77777777" w:rsidTr="00E11A84">
        <w:tc>
          <w:tcPr>
            <w:tcW w:w="8828" w:type="dxa"/>
          </w:tcPr>
          <w:p w14:paraId="597ADA62" w14:textId="77777777" w:rsidR="00313669" w:rsidRDefault="00313669" w:rsidP="00E11A84">
            <w:pPr>
              <w:spacing w:line="276" w:lineRule="auto"/>
              <w:ind w:right="-58"/>
              <w:jc w:val="both"/>
              <w:rPr>
                <w:rFonts w:ascii="Verdana" w:eastAsia="Calibri" w:hAnsi="Verdana" w:cs="Arial"/>
                <w:lang w:eastAsia="es-ES"/>
              </w:rPr>
            </w:pPr>
            <w:r>
              <w:rPr>
                <w:rFonts w:ascii="Verdana" w:eastAsia="Arial" w:hAnsi="Verdana" w:cs="Arial"/>
                <w:color w:val="000000"/>
              </w:rPr>
              <w:t xml:space="preserve">         </w:t>
            </w:r>
            <w:r w:rsidRPr="005B0D68">
              <w:rPr>
                <w:rFonts w:ascii="Verdana" w:eastAsia="Calibri" w:hAnsi="Verdana" w:cs="Arial"/>
                <w:lang w:eastAsia="es-ES"/>
              </w:rPr>
              <w:t xml:space="preserve">En el marco del régimen general de contratación estatal, no existe disposición legal que prohíba de manera expresa la adición de contratos celebrados bajo la modalidad de mínima cuantía, salvo la restricción general prevista en el artículo 40 de la Ley 80 de 1993, conforme a la cual las adiciones al valor del contrato no podrán exceder el cincuenta por ciento (50%) del valor </w:t>
            </w:r>
            <w:r w:rsidRPr="005B0D68">
              <w:rPr>
                <w:rFonts w:ascii="Verdana" w:eastAsia="Calibri" w:hAnsi="Verdana" w:cs="Arial"/>
                <w:lang w:eastAsia="es-ES"/>
              </w:rPr>
              <w:lastRenderedPageBreak/>
              <w:t>inicial pactado, expresado en salarios mínimos legales mensuales vigentes al momento de su celebración.</w:t>
            </w:r>
          </w:p>
          <w:p w14:paraId="5918C089" w14:textId="77777777" w:rsidR="00313669" w:rsidRDefault="00313669" w:rsidP="00E11A84">
            <w:pPr>
              <w:spacing w:line="276" w:lineRule="auto"/>
              <w:ind w:right="-58"/>
              <w:jc w:val="both"/>
              <w:rPr>
                <w:rFonts w:ascii="Verdana" w:eastAsia="Calibri" w:hAnsi="Verdana" w:cs="Arial"/>
                <w:lang w:eastAsia="es-ES"/>
              </w:rPr>
            </w:pPr>
          </w:p>
          <w:p w14:paraId="259F26EE" w14:textId="77777777" w:rsidR="00313669" w:rsidRDefault="00313669" w:rsidP="00E11A84">
            <w:pPr>
              <w:spacing w:line="276" w:lineRule="auto"/>
              <w:ind w:right="-58"/>
              <w:jc w:val="both"/>
              <w:rPr>
                <w:rFonts w:ascii="Verdana" w:eastAsia="Calibri" w:hAnsi="Verdana" w:cs="Arial"/>
                <w:lang w:eastAsia="es-ES"/>
              </w:rPr>
            </w:pPr>
            <w:r>
              <w:rPr>
                <w:rFonts w:ascii="Verdana" w:eastAsia="Calibri" w:hAnsi="Verdana" w:cs="Arial"/>
                <w:lang w:eastAsia="es-ES"/>
              </w:rPr>
              <w:t xml:space="preserve">          </w:t>
            </w:r>
            <w:r w:rsidRPr="005B0D68">
              <w:rPr>
                <w:rFonts w:ascii="Verdana" w:eastAsia="Calibri" w:hAnsi="Verdana" w:cs="Arial"/>
                <w:lang w:eastAsia="es-ES"/>
              </w:rPr>
              <w:t>Sin embargo, cuando la adición proyectada tenga como consecuencia que el valor total del contrato exceda el umbral cuantitativo que delimita la modalidad de mínima cuantía aplicable a la entidad contratante, resulta necesario efectuar un examen sustantivo a la luz de los principios que rigen la contratación estatal, particularmente los de planeación, transparencia, economía y selección objetiva consagrados en el artículo 23 de la Ley 80 de 1993.</w:t>
            </w:r>
          </w:p>
          <w:p w14:paraId="65A54629" w14:textId="77777777" w:rsidR="00313669" w:rsidRDefault="00313669" w:rsidP="00E11A84">
            <w:pPr>
              <w:spacing w:line="276" w:lineRule="auto"/>
              <w:ind w:right="-58"/>
              <w:jc w:val="both"/>
              <w:rPr>
                <w:rFonts w:ascii="Verdana" w:eastAsia="Calibri" w:hAnsi="Verdana" w:cs="Arial"/>
                <w:lang w:eastAsia="es-ES"/>
              </w:rPr>
            </w:pPr>
          </w:p>
          <w:p w14:paraId="10817A99" w14:textId="26D0EA3A" w:rsidR="00313669" w:rsidRDefault="00313669" w:rsidP="00E11A84">
            <w:pPr>
              <w:spacing w:line="276" w:lineRule="auto"/>
              <w:ind w:right="-58"/>
              <w:jc w:val="both"/>
              <w:rPr>
                <w:rFonts w:ascii="Verdana" w:eastAsia="Calibri" w:hAnsi="Verdana" w:cs="Arial"/>
                <w:lang w:eastAsia="es-ES"/>
              </w:rPr>
            </w:pPr>
            <w:r>
              <w:rPr>
                <w:rFonts w:ascii="Verdana" w:eastAsia="Calibri" w:hAnsi="Verdana" w:cs="Arial"/>
                <w:lang w:eastAsia="es-ES"/>
              </w:rPr>
              <w:t xml:space="preserve">          </w:t>
            </w:r>
            <w:r w:rsidRPr="005B0D68">
              <w:rPr>
                <w:rFonts w:ascii="Verdana" w:eastAsia="Calibri" w:hAnsi="Verdana" w:cs="Arial"/>
                <w:lang w:eastAsia="es-ES"/>
              </w:rPr>
              <w:t xml:space="preserve">En efecto, la ejecución de una adición en tales términos </w:t>
            </w:r>
            <w:proofErr w:type="gramStart"/>
            <w:r w:rsidR="06320667" w:rsidRPr="2570DDEE">
              <w:rPr>
                <w:rFonts w:ascii="Verdana" w:eastAsia="Calibri" w:hAnsi="Verdana" w:cs="Arial"/>
                <w:lang w:eastAsia="es-ES"/>
              </w:rPr>
              <w:t xml:space="preserve">requiere </w:t>
            </w:r>
            <w:r w:rsidRPr="2570DDEE">
              <w:rPr>
                <w:rFonts w:ascii="Verdana" w:eastAsia="Calibri" w:hAnsi="Verdana" w:cs="Arial"/>
                <w:lang w:eastAsia="es-ES"/>
              </w:rPr>
              <w:t xml:space="preserve"> </w:t>
            </w:r>
            <w:r w:rsidRPr="005B0D68">
              <w:rPr>
                <w:rFonts w:ascii="Verdana" w:eastAsia="Calibri" w:hAnsi="Verdana" w:cs="Arial"/>
                <w:lang w:eastAsia="es-ES"/>
              </w:rPr>
              <w:t>que</w:t>
            </w:r>
            <w:proofErr w:type="gramEnd"/>
            <w:r w:rsidRPr="005B0D68">
              <w:rPr>
                <w:rFonts w:ascii="Verdana" w:eastAsia="Calibri" w:hAnsi="Verdana" w:cs="Arial"/>
                <w:lang w:eastAsia="es-ES"/>
              </w:rPr>
              <w:t xml:space="preserve"> la entidad estatal </w:t>
            </w:r>
            <w:r w:rsidR="522C2044" w:rsidRPr="2570DDEE">
              <w:rPr>
                <w:rFonts w:ascii="Verdana" w:eastAsia="Calibri" w:hAnsi="Verdana" w:cs="Arial"/>
                <w:lang w:eastAsia="es-ES"/>
              </w:rPr>
              <w:t xml:space="preserve">haya efectuado un análisis de los factores previsibles para proceder en tal sentido </w:t>
            </w:r>
            <w:r w:rsidRPr="005B0D68">
              <w:rPr>
                <w:rFonts w:ascii="Verdana" w:eastAsia="Calibri" w:hAnsi="Verdana" w:cs="Arial"/>
                <w:lang w:eastAsia="es-ES"/>
              </w:rPr>
              <w:t>con el propósito de acudir a la modalidad de mínima cuantía</w:t>
            </w:r>
            <w:r w:rsidR="5364AFE0" w:rsidRPr="2570DDEE">
              <w:rPr>
                <w:rFonts w:ascii="Verdana" w:eastAsia="Calibri" w:hAnsi="Verdana" w:cs="Arial"/>
                <w:lang w:eastAsia="es-ES"/>
              </w:rPr>
              <w:t>.</w:t>
            </w:r>
            <w:r w:rsidRPr="005B0D68">
              <w:rPr>
                <w:rFonts w:ascii="Verdana" w:eastAsia="Calibri" w:hAnsi="Verdana" w:cs="Arial"/>
                <w:lang w:eastAsia="es-ES"/>
              </w:rPr>
              <w:t xml:space="preserve"> </w:t>
            </w:r>
          </w:p>
          <w:p w14:paraId="5249020B" w14:textId="77777777" w:rsidR="00313669" w:rsidRDefault="00313669" w:rsidP="00E11A84">
            <w:pPr>
              <w:spacing w:line="276" w:lineRule="auto"/>
              <w:ind w:right="-58"/>
              <w:jc w:val="both"/>
              <w:rPr>
                <w:rFonts w:ascii="Verdana" w:eastAsia="Calibri" w:hAnsi="Verdana" w:cs="Arial"/>
                <w:lang w:eastAsia="es-ES"/>
              </w:rPr>
            </w:pPr>
          </w:p>
          <w:p w14:paraId="55E03E41" w14:textId="52ECC803" w:rsidR="00313669" w:rsidRPr="005B0D68" w:rsidRDefault="00313669" w:rsidP="00E11A84">
            <w:pPr>
              <w:spacing w:line="276" w:lineRule="auto"/>
              <w:ind w:right="-58"/>
              <w:jc w:val="both"/>
              <w:rPr>
                <w:rFonts w:ascii="Verdana" w:eastAsia="Arial" w:hAnsi="Verdana" w:cs="Arial"/>
                <w:color w:val="000000"/>
              </w:rPr>
            </w:pPr>
            <w:r>
              <w:rPr>
                <w:rFonts w:ascii="Verdana" w:eastAsia="Calibri" w:hAnsi="Verdana" w:cs="Arial"/>
                <w:lang w:eastAsia="es-ES"/>
              </w:rPr>
              <w:t xml:space="preserve">           Así las cosas y en línea con lo previsto en el concepto C-030 del 23 de marzo de 2023</w:t>
            </w:r>
            <w:r w:rsidR="3E9CC314" w:rsidRPr="2570DDEE">
              <w:rPr>
                <w:rFonts w:ascii="Verdana" w:eastAsia="Calibri" w:hAnsi="Verdana" w:cs="Arial"/>
                <w:lang w:eastAsia="es-ES"/>
              </w:rPr>
              <w:t xml:space="preserve"> de esta Subdirección</w:t>
            </w:r>
            <w:r>
              <w:rPr>
                <w:rFonts w:ascii="Verdana" w:eastAsia="Calibri" w:hAnsi="Verdana" w:cs="Arial"/>
                <w:lang w:eastAsia="es-ES"/>
              </w:rPr>
              <w:t>,</w:t>
            </w:r>
            <w:r w:rsidRPr="005B0D68">
              <w:rPr>
                <w:rFonts w:ascii="Verdana" w:eastAsia="Calibri" w:hAnsi="Verdana" w:cs="Arial"/>
                <w:lang w:eastAsia="es-ES"/>
              </w:rPr>
              <w:t xml:space="preserve"> la viabilidad jurídica de la adición en un contrato celebrado por mínima cuantía solo se configura en situaciones excepcionales y debidamente justificadas, en las cuales la necesidad adicional surja de circunstancias sobrevinientes e imprevisibles al momento de la contratación, y siempre que la entidad acredite el cumplimiento del principio de planeación y observe los límites materiales y porcentuales establecidos en el artículo 40 de la Ley 80 de 1993.</w:t>
            </w:r>
          </w:p>
          <w:p w14:paraId="16C130C9" w14:textId="77777777" w:rsidR="00313669" w:rsidRDefault="00313669" w:rsidP="00E11A84">
            <w:pPr>
              <w:pStyle w:val="Prrafodelista"/>
              <w:spacing w:before="120" w:after="120" w:line="276" w:lineRule="auto"/>
              <w:ind w:left="0" w:right="-58"/>
              <w:jc w:val="both"/>
            </w:pPr>
            <w:r>
              <w:rPr>
                <w:rFonts w:ascii="Verdana" w:eastAsia="Calibri" w:hAnsi="Verdana" w:cs="Arial"/>
                <w:lang w:eastAsia="es-ES"/>
              </w:rPr>
              <w:t xml:space="preserve">            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C795B73" w14:textId="77777777" w:rsidR="00313669" w:rsidRDefault="00313669" w:rsidP="00E11A84">
            <w:pPr>
              <w:pStyle w:val="Prrafodelista"/>
              <w:spacing w:before="120" w:after="120" w:line="276" w:lineRule="auto"/>
              <w:ind w:left="0" w:right="-58"/>
              <w:jc w:val="both"/>
            </w:pPr>
          </w:p>
          <w:p w14:paraId="26B608BF" w14:textId="77777777" w:rsidR="00313669" w:rsidRPr="00E529C2" w:rsidRDefault="00313669" w:rsidP="00E11A84">
            <w:pPr>
              <w:pStyle w:val="Prrafodelista"/>
              <w:spacing w:before="120" w:after="120" w:line="276" w:lineRule="auto"/>
              <w:ind w:left="0" w:right="-58"/>
              <w:jc w:val="both"/>
              <w:rPr>
                <w:rFonts w:ascii="Verdana" w:eastAsia="Calibri" w:hAnsi="Verdana" w:cs="Times New Roman"/>
              </w:rPr>
            </w:pPr>
            <w:r>
              <w:t xml:space="preserve">                </w:t>
            </w:r>
            <w:r w:rsidRPr="00DB4737">
              <w:rPr>
                <w:rFonts w:ascii="Verdana" w:eastAsia="Calibri" w:hAnsi="Verdana" w:cs="Times New Roman"/>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w:t>
            </w:r>
            <w:r w:rsidRPr="00DB4737">
              <w:rPr>
                <w:rFonts w:ascii="Verdana" w:eastAsia="Calibri" w:hAnsi="Verdana" w:cs="Times New Roman"/>
              </w:rPr>
              <w:lastRenderedPageBreak/>
              <w:t>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rPr>
              <w:t>.</w:t>
            </w:r>
          </w:p>
        </w:tc>
      </w:tr>
      <w:tr w:rsidR="00313669" w:rsidRPr="00593A5F" w14:paraId="2FACD742" w14:textId="77777777" w:rsidTr="00E11A84">
        <w:tc>
          <w:tcPr>
            <w:tcW w:w="8828" w:type="dxa"/>
          </w:tcPr>
          <w:p w14:paraId="5D70139A" w14:textId="77777777" w:rsidR="00313669" w:rsidRDefault="00313669" w:rsidP="00E11A84">
            <w:pPr>
              <w:spacing w:after="120" w:line="276" w:lineRule="auto"/>
              <w:jc w:val="both"/>
              <w:rPr>
                <w:rFonts w:ascii="Verdana" w:eastAsia="Calibri" w:hAnsi="Verdana" w:cs="Arial"/>
                <w:bCs/>
                <w:lang w:eastAsia="es-ES_tradnl"/>
              </w:rPr>
            </w:pPr>
          </w:p>
        </w:tc>
      </w:tr>
    </w:tbl>
    <w:p w14:paraId="14CAD06D" w14:textId="77777777" w:rsidR="00313669" w:rsidRDefault="00313669" w:rsidP="00313669">
      <w:pPr>
        <w:tabs>
          <w:tab w:val="left" w:pos="142"/>
          <w:tab w:val="left" w:pos="284"/>
        </w:tabs>
        <w:spacing w:after="0" w:line="276" w:lineRule="auto"/>
        <w:jc w:val="both"/>
        <w:rPr>
          <w:rFonts w:ascii="Verdana" w:eastAsia="Century Gothic" w:hAnsi="Verdana" w:cs="Century Gothic"/>
          <w:b/>
          <w:bCs/>
          <w:lang w:val="es-ES"/>
        </w:rPr>
      </w:pPr>
    </w:p>
    <w:p w14:paraId="43AAAA15" w14:textId="286B9C99" w:rsidR="00313669" w:rsidRDefault="00313669" w:rsidP="2570DDE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054BC239" w14:textId="77777777" w:rsidR="00313669" w:rsidRDefault="00313669" w:rsidP="003136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666A8F9"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bookmarkStart w:id="7" w:name="_Hlk99546562"/>
      <w:r>
        <w:rPr>
          <w:rFonts w:ascii="Verdana" w:eastAsia="Times New Roman" w:hAnsi="Verdana" w:cs="Arial"/>
          <w:lang w:eastAsia="es-CO"/>
        </w:rPr>
        <w:t xml:space="preserve">De manera preliminar es pertinente indicar que en la </w:t>
      </w:r>
      <w:r w:rsidRPr="00D06743">
        <w:rPr>
          <w:rFonts w:ascii="Verdana" w:eastAsia="Times New Roman" w:hAnsi="Verdana" w:cs="Arial"/>
          <w:lang w:eastAsia="es-CO"/>
        </w:rPr>
        <w:t xml:space="preserve">modalidad de selección </w:t>
      </w:r>
      <w:r>
        <w:rPr>
          <w:rFonts w:ascii="Verdana" w:eastAsia="Times New Roman" w:hAnsi="Verdana" w:cs="Arial"/>
          <w:lang w:eastAsia="es-CO"/>
        </w:rPr>
        <w:t xml:space="preserve">de mínima </w:t>
      </w:r>
      <w:proofErr w:type="gramStart"/>
      <w:r>
        <w:rPr>
          <w:rFonts w:ascii="Verdana" w:eastAsia="Times New Roman" w:hAnsi="Verdana" w:cs="Arial"/>
          <w:lang w:eastAsia="es-CO"/>
        </w:rPr>
        <w:t xml:space="preserve">cuantía </w:t>
      </w:r>
      <w:r w:rsidRPr="00D06743">
        <w:rPr>
          <w:rFonts w:ascii="Verdana" w:eastAsia="Times New Roman" w:hAnsi="Verdana" w:cs="Arial"/>
          <w:lang w:eastAsia="es-CO"/>
        </w:rPr>
        <w:t xml:space="preserve"> la</w:t>
      </w:r>
      <w:proofErr w:type="gramEnd"/>
      <w:r w:rsidRPr="00D06743">
        <w:rPr>
          <w:rFonts w:ascii="Verdana" w:eastAsia="Times New Roman" w:hAnsi="Verdana" w:cs="Arial"/>
          <w:lang w:eastAsia="es-CO"/>
        </w:rPr>
        <w:t xml:space="preserve"> entidad estatal realiza una convocatoria pública para recibir ofertas de bienes o servicios cuyo valor no excede el diez por ciento (10%) de la menor cuantía de la entidad, el factor determinante para llevar a cabo tal procedimiento es la cuantía –calculada como presupuesto oficial a partir del estudio del sector–, independientemente de su objeto</w:t>
      </w:r>
      <w:r w:rsidRPr="00D06743">
        <w:rPr>
          <w:rStyle w:val="Refdenotaalpie"/>
          <w:rFonts w:ascii="Verdana" w:eastAsia="Times New Roman" w:hAnsi="Verdana" w:cs="Arial"/>
          <w:lang w:eastAsia="es-CO"/>
        </w:rPr>
        <w:footnoteReference w:id="2"/>
      </w:r>
      <w:r w:rsidRPr="00D06743">
        <w:rPr>
          <w:rFonts w:ascii="Verdana" w:eastAsia="Times New Roman" w:hAnsi="Verdana" w:cs="Arial"/>
          <w:lang w:eastAsia="es-CO"/>
        </w:rPr>
        <w:t xml:space="preserve">.  </w:t>
      </w:r>
    </w:p>
    <w:p w14:paraId="6B6D2EFF" w14:textId="77777777" w:rsidR="00313669" w:rsidRPr="00D06743" w:rsidRDefault="00313669" w:rsidP="00313669">
      <w:pPr>
        <w:spacing w:after="120" w:line="276" w:lineRule="auto"/>
        <w:ind w:firstLine="709"/>
        <w:jc w:val="both"/>
        <w:textAlignment w:val="baseline"/>
        <w:rPr>
          <w:rFonts w:ascii="Verdana" w:eastAsia="Times New Roman" w:hAnsi="Verdana" w:cs="Arial"/>
          <w:lang w:eastAsia="es-CO"/>
        </w:rPr>
      </w:pPr>
      <w:r>
        <w:rPr>
          <w:rFonts w:ascii="Verdana" w:eastAsia="Times New Roman" w:hAnsi="Verdana" w:cs="Arial"/>
          <w:lang w:eastAsia="es-CO"/>
        </w:rPr>
        <w:t>Ahora bien, la modalidad de mínima cuantía se encuentra regulada</w:t>
      </w:r>
      <w:r w:rsidRPr="00D06743">
        <w:rPr>
          <w:rFonts w:ascii="Verdana" w:eastAsia="Times New Roman" w:hAnsi="Verdana" w:cs="Arial"/>
          <w:lang w:eastAsia="es-CO"/>
        </w:rPr>
        <w:t xml:space="preserve"> por el artículo 274 de la Ley 1450 de 2011, por medio del cual se adiciono el numeral 5 del artículo 2 de la Ley 1150 de 2007, el cual posteriormente ha sido modificad</w:t>
      </w:r>
      <w:r>
        <w:rPr>
          <w:rFonts w:ascii="Verdana" w:eastAsia="Times New Roman" w:hAnsi="Verdana" w:cs="Arial"/>
          <w:lang w:eastAsia="es-CO"/>
        </w:rPr>
        <w:t>o</w:t>
      </w:r>
      <w:r w:rsidRPr="00D06743">
        <w:rPr>
          <w:rFonts w:ascii="Verdana" w:eastAsia="Times New Roman" w:hAnsi="Verdana" w:cs="Arial"/>
          <w:lang w:eastAsia="es-CO"/>
        </w:rPr>
        <w:t xml:space="preserve"> por el artículo 94 de la Ley 1474 de 2011, y por el artículo 30 de la Ley 2069 de 2020 – Ley de Emprendimiento –, </w:t>
      </w:r>
      <w:r>
        <w:rPr>
          <w:rFonts w:ascii="Verdana" w:eastAsia="Times New Roman" w:hAnsi="Verdana" w:cs="Arial"/>
          <w:lang w:eastAsia="es-CO"/>
        </w:rPr>
        <w:t xml:space="preserve">estableciendo </w:t>
      </w:r>
      <w:r w:rsidRPr="00D06743">
        <w:rPr>
          <w:rFonts w:ascii="Verdana" w:eastAsia="Times New Roman" w:hAnsi="Verdana" w:cs="Arial"/>
          <w:lang w:eastAsia="es-CO"/>
        </w:rPr>
        <w:t xml:space="preserve">que el factor determinante para adelantarla es el valor del presupuesto oficial con independencia de su objeto. Por lo demás, como en este procedimiento el contrato se perfecciona con la aceptación de la oferta, se considera similar de los denominados </w:t>
      </w:r>
      <w:r>
        <w:rPr>
          <w:rFonts w:ascii="Verdana" w:eastAsia="Times New Roman" w:hAnsi="Verdana" w:cs="Arial"/>
          <w:lang w:eastAsia="es-CO"/>
        </w:rPr>
        <w:t>“</w:t>
      </w:r>
      <w:r w:rsidRPr="00D06743">
        <w:rPr>
          <w:rFonts w:ascii="Verdana" w:eastAsia="Times New Roman" w:hAnsi="Verdana" w:cs="Arial"/>
          <w:lang w:eastAsia="es-CO"/>
        </w:rPr>
        <w:t>contratos sin formalidades plenas</w:t>
      </w:r>
      <w:r>
        <w:rPr>
          <w:rFonts w:ascii="Verdana" w:eastAsia="Times New Roman" w:hAnsi="Verdana" w:cs="Arial"/>
          <w:lang w:eastAsia="es-CO"/>
        </w:rPr>
        <w:t>”</w:t>
      </w:r>
      <w:r w:rsidRPr="00D06743">
        <w:rPr>
          <w:rStyle w:val="Refdenotaalpie"/>
          <w:rFonts w:ascii="Verdana" w:eastAsia="Times New Roman" w:hAnsi="Verdana" w:cs="Arial"/>
          <w:lang w:eastAsia="es-CO"/>
        </w:rPr>
        <w:footnoteReference w:id="3"/>
      </w:r>
      <w:r w:rsidRPr="00D06743">
        <w:rPr>
          <w:rFonts w:ascii="Verdana" w:eastAsia="Times New Roman" w:hAnsi="Verdana" w:cs="Arial"/>
          <w:lang w:eastAsia="es-CO"/>
        </w:rPr>
        <w:t xml:space="preserve">. </w:t>
      </w:r>
    </w:p>
    <w:p w14:paraId="56B0E4F8" w14:textId="3B966D48"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p>
    <w:p w14:paraId="5B4CF381" w14:textId="661DD439" w:rsidR="00313669" w:rsidRPr="00D06743" w:rsidRDefault="00313669" w:rsidP="00313669">
      <w:pPr>
        <w:spacing w:after="120" w:line="276" w:lineRule="auto"/>
        <w:ind w:firstLine="709"/>
        <w:jc w:val="both"/>
        <w:textAlignment w:val="baseline"/>
        <w:rPr>
          <w:rFonts w:ascii="Verdana" w:eastAsia="Times New Roman" w:hAnsi="Verdana" w:cs="Arial"/>
          <w:lang w:eastAsia="es-CO"/>
        </w:rPr>
      </w:pPr>
    </w:p>
    <w:p w14:paraId="32268DE8" w14:textId="7DE25233" w:rsidR="00313669" w:rsidRPr="00D06743" w:rsidRDefault="4AFB3610" w:rsidP="00313669">
      <w:pPr>
        <w:spacing w:after="120" w:line="276" w:lineRule="auto"/>
        <w:ind w:firstLine="709"/>
        <w:jc w:val="both"/>
        <w:textAlignment w:val="baseline"/>
        <w:rPr>
          <w:rFonts w:ascii="Verdana" w:eastAsia="Times New Roman" w:hAnsi="Verdana" w:cs="Arial"/>
          <w:lang w:eastAsia="es-CO"/>
        </w:rPr>
      </w:pPr>
      <w:r w:rsidRPr="2570DDEE">
        <w:rPr>
          <w:rFonts w:ascii="Verdana" w:eastAsia="Times New Roman" w:hAnsi="Verdana" w:cs="Arial"/>
          <w:lang w:eastAsia="es-CO"/>
        </w:rPr>
        <w:t>E</w:t>
      </w:r>
      <w:r w:rsidR="00313669" w:rsidRPr="2570DDEE">
        <w:rPr>
          <w:rFonts w:ascii="Verdana" w:eastAsia="Times New Roman" w:hAnsi="Verdana" w:cs="Arial"/>
          <w:lang w:eastAsia="es-CO"/>
        </w:rPr>
        <w:t>l</w:t>
      </w:r>
      <w:r w:rsidR="00313669" w:rsidRPr="00D06743">
        <w:rPr>
          <w:rFonts w:ascii="Verdana" w:eastAsia="Times New Roman" w:hAnsi="Verdana" w:cs="Arial"/>
          <w:lang w:eastAsia="es-CO"/>
        </w:rPr>
        <w:t xml:space="preserve"> Gobierno Nacional expidió el Decreto 1860 del 24 de diciembre de 2021, </w:t>
      </w:r>
      <w:r w:rsidR="00313669">
        <w:rPr>
          <w:rFonts w:ascii="Verdana" w:eastAsia="Times New Roman" w:hAnsi="Verdana" w:cs="Arial"/>
          <w:lang w:eastAsia="es-CO"/>
        </w:rPr>
        <w:t>“</w:t>
      </w:r>
      <w:r w:rsidR="00313669" w:rsidRPr="00D06743">
        <w:rPr>
          <w:rFonts w:ascii="Verdana" w:eastAsia="Times New Roman" w:hAnsi="Verdana" w:cs="Arial"/>
          <w:lang w:eastAsia="es-CO"/>
        </w:rPr>
        <w:t>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w:t>
      </w:r>
      <w:r w:rsidR="00313669">
        <w:rPr>
          <w:rFonts w:ascii="Verdana" w:eastAsia="Times New Roman" w:hAnsi="Verdana" w:cs="Arial"/>
          <w:lang w:eastAsia="es-CO"/>
        </w:rPr>
        <w:t>”</w:t>
      </w:r>
      <w:r w:rsidR="00313669" w:rsidRPr="00D06743">
        <w:rPr>
          <w:rFonts w:ascii="Verdana" w:eastAsia="Times New Roman" w:hAnsi="Verdana" w:cs="Arial"/>
          <w:lang w:eastAsia="es-CO"/>
        </w:rPr>
        <w:t xml:space="preserve">, reglamentación que entró a operar a partir del 24 de marzo de 2022.  </w:t>
      </w:r>
    </w:p>
    <w:p w14:paraId="0C1EC24B" w14:textId="77777777" w:rsidR="00313669" w:rsidRPr="00D06743" w:rsidRDefault="00313669" w:rsidP="00313669">
      <w:pPr>
        <w:spacing w:after="120" w:line="276" w:lineRule="auto"/>
        <w:ind w:firstLine="709"/>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Entre los aspectos reglamentados por el mencionado decreto se encuentra el procedimiento de mínima cuantía. Así las cosas, el artículo 2 modifica la Subsección 5 de la Sección 1 del Capítulo 2 del Título 1 de la Parte 2 del Libro 2 del Decreto 1082 de 2015, que se titula </w:t>
      </w:r>
      <w:r>
        <w:rPr>
          <w:rFonts w:ascii="Verdana" w:eastAsia="Times New Roman" w:hAnsi="Verdana" w:cs="Arial"/>
          <w:lang w:eastAsia="es-CO"/>
        </w:rPr>
        <w:t>“</w:t>
      </w:r>
      <w:r w:rsidRPr="00D06743">
        <w:rPr>
          <w:rFonts w:ascii="Verdana" w:eastAsia="Times New Roman" w:hAnsi="Verdana" w:cs="Arial"/>
          <w:lang w:eastAsia="es-CO"/>
        </w:rPr>
        <w:t>Mínima Cuantía</w:t>
      </w:r>
      <w:r>
        <w:rPr>
          <w:rFonts w:ascii="Verdana" w:eastAsia="Times New Roman" w:hAnsi="Verdana" w:cs="Arial"/>
          <w:lang w:eastAsia="es-CO"/>
        </w:rPr>
        <w:t>”</w:t>
      </w:r>
      <w:r w:rsidRPr="00D06743">
        <w:rPr>
          <w:rFonts w:ascii="Verdana" w:eastAsia="Times New Roman" w:hAnsi="Verdana" w:cs="Arial"/>
          <w:lang w:eastAsia="es-CO"/>
        </w:rPr>
        <w:t xml:space="preserve">, por lo que reglamenta esta modalidad de selección con fundamento en lo establecido en el artículo 30 de la Ley 2069 de 2020. Teniendo en cuenta lo anterior, la nueva Subsección 5 a que se hizo referencia contiene los siguientes artículos: i) 2.2.1.2.1.5.1. que se ocupa de desarrollar el contenido de los estudios previos para la contratación de mínima </w:t>
      </w:r>
      <w:proofErr w:type="spellStart"/>
      <w:proofErr w:type="gramStart"/>
      <w:r w:rsidRPr="00D06743">
        <w:rPr>
          <w:rFonts w:ascii="Verdana" w:eastAsia="Times New Roman" w:hAnsi="Verdana" w:cs="Arial"/>
          <w:lang w:eastAsia="es-CO"/>
        </w:rPr>
        <w:t>cuantía;ii</w:t>
      </w:r>
      <w:proofErr w:type="spellEnd"/>
      <w:proofErr w:type="gramEnd"/>
      <w:r w:rsidRPr="00D06743">
        <w:rPr>
          <w:rFonts w:ascii="Verdana" w:eastAsia="Times New Roman" w:hAnsi="Verdana" w:cs="Arial"/>
          <w:lang w:eastAsia="es-CO"/>
        </w:rPr>
        <w:t xml:space="preserve">) 2.2.1.2.1.5.2. que contiene el procedimiento general de la mínima cuantía, señalando el contenido mínimo de la </w:t>
      </w:r>
      <w:r>
        <w:rPr>
          <w:rFonts w:ascii="Verdana" w:eastAsia="Times New Roman" w:hAnsi="Verdana" w:cs="Arial"/>
          <w:lang w:eastAsia="es-CO"/>
        </w:rPr>
        <w:t>“</w:t>
      </w:r>
      <w:r w:rsidRPr="00D06743">
        <w:rPr>
          <w:rFonts w:ascii="Verdana" w:eastAsia="Times New Roman" w:hAnsi="Verdana" w:cs="Arial"/>
          <w:lang w:eastAsia="es-CO"/>
        </w:rPr>
        <w:t>invitación</w:t>
      </w:r>
      <w:r>
        <w:rPr>
          <w:rFonts w:ascii="Verdana" w:eastAsia="Times New Roman" w:hAnsi="Verdana" w:cs="Arial"/>
          <w:lang w:eastAsia="es-CO"/>
        </w:rPr>
        <w:t>”</w:t>
      </w:r>
      <w:r w:rsidRPr="00D06743">
        <w:rPr>
          <w:rFonts w:ascii="Verdana" w:eastAsia="Times New Roman" w:hAnsi="Verdana" w:cs="Arial"/>
          <w:lang w:eastAsia="es-CO"/>
        </w:rPr>
        <w:t xml:space="preserve"> y las distintas etapas y reglas que estructuran esta modalidad de selección, incluyendo la forma en que procederán las convocatorias limitadas a </w:t>
      </w:r>
      <w:proofErr w:type="spellStart"/>
      <w:r w:rsidRPr="00D06743">
        <w:rPr>
          <w:rFonts w:ascii="Verdana" w:eastAsia="Times New Roman" w:hAnsi="Verdana" w:cs="Arial"/>
          <w:lang w:eastAsia="es-CO"/>
        </w:rPr>
        <w:t>Mipyme</w:t>
      </w:r>
      <w:proofErr w:type="spellEnd"/>
      <w:r w:rsidRPr="00D06743">
        <w:rPr>
          <w:rFonts w:ascii="Verdana" w:eastAsia="Times New Roman" w:hAnsi="Verdana" w:cs="Arial"/>
          <w:lang w:eastAsia="es-CO"/>
        </w:rPr>
        <w:t xml:space="preserve">, de acuerdo con el mandato del parágrafo 1 del artículo 30 de la Ley 2069 de 2020; </w:t>
      </w:r>
      <w:proofErr w:type="spellStart"/>
      <w:r w:rsidRPr="00D06743">
        <w:rPr>
          <w:rFonts w:ascii="Verdana" w:eastAsia="Times New Roman" w:hAnsi="Verdana" w:cs="Arial"/>
          <w:lang w:eastAsia="es-CO"/>
        </w:rPr>
        <w:t>iii</w:t>
      </w:r>
      <w:proofErr w:type="spellEnd"/>
      <w:r w:rsidRPr="00D06743">
        <w:rPr>
          <w:rFonts w:ascii="Verdana" w:eastAsia="Times New Roman" w:hAnsi="Verdana" w:cs="Arial"/>
          <w:lang w:eastAsia="es-CO"/>
        </w:rPr>
        <w:t xml:space="preserve">) 2.2.1.2.1.5.3. que regula un procedimiento especial para las adquisiciones en grandes almacenes cuando se trate de mínima cuantía; </w:t>
      </w:r>
      <w:proofErr w:type="spellStart"/>
      <w:r w:rsidRPr="00D06743">
        <w:rPr>
          <w:rFonts w:ascii="Verdana" w:eastAsia="Times New Roman" w:hAnsi="Verdana" w:cs="Arial"/>
          <w:lang w:eastAsia="es-CO"/>
        </w:rPr>
        <w:t>iv</w:t>
      </w:r>
      <w:proofErr w:type="spellEnd"/>
      <w:r w:rsidRPr="00D06743">
        <w:rPr>
          <w:rFonts w:ascii="Verdana" w:eastAsia="Times New Roman" w:hAnsi="Verdana" w:cs="Arial"/>
          <w:lang w:eastAsia="es-CO"/>
        </w:rPr>
        <w:t xml:space="preserve">) 2.2.1.2.1.5.4. el cual establece la posibilidad de la Agencia Nacional de Contratación Pública – Colombia Compra Eficiente defina las reglas para la utilización de instrumentos de agregación de demanda en la Tienda Virtual del Estado Colombiano para adquisiciones hasta el monto de la mínima cuantía con </w:t>
      </w:r>
      <w:proofErr w:type="spellStart"/>
      <w:r w:rsidRPr="00D06743">
        <w:rPr>
          <w:rFonts w:ascii="Verdana" w:eastAsia="Times New Roman" w:hAnsi="Verdana" w:cs="Arial"/>
          <w:lang w:eastAsia="es-CO"/>
        </w:rPr>
        <w:t>Mipyme</w:t>
      </w:r>
      <w:proofErr w:type="spellEnd"/>
      <w:r w:rsidRPr="00D06743">
        <w:rPr>
          <w:rFonts w:ascii="Verdana" w:eastAsia="Times New Roman" w:hAnsi="Verdana" w:cs="Arial"/>
          <w:lang w:eastAsia="es-CO"/>
        </w:rPr>
        <w:t xml:space="preserve"> y con grandes almacenes y; v) 2.2.1.2.1.5.5. el cual establece que la entidad estatal es libre de exigir o no garantías en el proceso de selección de mínima cuantía y en la adquisición de </w:t>
      </w:r>
      <w:r>
        <w:rPr>
          <w:rFonts w:ascii="Verdana" w:eastAsia="Times New Roman" w:hAnsi="Verdana" w:cs="Arial"/>
          <w:lang w:eastAsia="es-CO"/>
        </w:rPr>
        <w:t>“</w:t>
      </w:r>
      <w:r w:rsidRPr="00D06743">
        <w:rPr>
          <w:rFonts w:ascii="Verdana" w:eastAsia="Times New Roman" w:hAnsi="Verdana" w:cs="Arial"/>
          <w:lang w:eastAsia="es-CO"/>
        </w:rPr>
        <w:t>grandes almacenes</w:t>
      </w:r>
      <w:r>
        <w:rPr>
          <w:rFonts w:ascii="Verdana" w:eastAsia="Times New Roman" w:hAnsi="Verdana" w:cs="Arial"/>
          <w:lang w:eastAsia="es-CO"/>
        </w:rPr>
        <w:t>”</w:t>
      </w:r>
      <w:r w:rsidRPr="00D06743">
        <w:rPr>
          <w:rFonts w:ascii="Verdana" w:eastAsia="Times New Roman" w:hAnsi="Verdana" w:cs="Arial"/>
          <w:lang w:eastAsia="es-CO"/>
        </w:rPr>
        <w:t xml:space="preserve">. </w:t>
      </w:r>
    </w:p>
    <w:p w14:paraId="131075E4" w14:textId="77777777" w:rsidR="00313669" w:rsidRPr="00D06743" w:rsidRDefault="00313669" w:rsidP="00313669">
      <w:pPr>
        <w:spacing w:after="120" w:line="276" w:lineRule="auto"/>
        <w:ind w:firstLine="709"/>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De esta manera, el artículo 2 del Decreto 1860 del 24 de diciembre de 2021, que modifica los artículos del Decreto 1082 de 2015 expuestos en el párrafo anterior, constituye la reglamentación del artículo 30 de la Ley 2069 de 2020, al desarrollar las reglas aplicables a esta modalidad de selección. Como se indicó anteriormente, estas disposiciones rigen para los procedimientos de </w:t>
      </w:r>
      <w:r w:rsidRPr="00D06743">
        <w:rPr>
          <w:rFonts w:ascii="Verdana" w:eastAsia="Times New Roman" w:hAnsi="Verdana" w:cs="Arial"/>
          <w:lang w:eastAsia="es-CO"/>
        </w:rPr>
        <w:lastRenderedPageBreak/>
        <w:t xml:space="preserve">selección cuya invitación, aviso de convocatoria o documento equivalente se publique a los tres (3) meses contados a partir de su expedición.  </w:t>
      </w:r>
    </w:p>
    <w:p w14:paraId="7987599B"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La mínima cuantía es un procedimiento de selección </w:t>
      </w:r>
      <w:r>
        <w:rPr>
          <w:rFonts w:ascii="Verdana" w:eastAsia="Times New Roman" w:hAnsi="Verdana" w:cs="Arial"/>
          <w:lang w:eastAsia="es-CO"/>
        </w:rPr>
        <w:t>“</w:t>
      </w:r>
      <w:r w:rsidRPr="00D06743">
        <w:rPr>
          <w:rFonts w:ascii="Verdana" w:eastAsia="Times New Roman" w:hAnsi="Verdana" w:cs="Arial"/>
          <w:lang w:eastAsia="es-CO"/>
        </w:rPr>
        <w:t>exceptivo</w:t>
      </w:r>
      <w:r>
        <w:rPr>
          <w:rFonts w:ascii="Verdana" w:eastAsia="Times New Roman" w:hAnsi="Verdana" w:cs="Arial"/>
          <w:lang w:eastAsia="es-CO"/>
        </w:rPr>
        <w:t>”</w:t>
      </w:r>
      <w:r w:rsidRPr="00D06743">
        <w:rPr>
          <w:rStyle w:val="Refdenotaalpie"/>
          <w:rFonts w:ascii="Verdana" w:eastAsia="Times New Roman" w:hAnsi="Verdana" w:cs="Arial"/>
          <w:lang w:eastAsia="es-CO"/>
        </w:rPr>
        <w:footnoteReference w:id="4"/>
      </w:r>
      <w:r w:rsidRPr="00D06743">
        <w:rPr>
          <w:rFonts w:ascii="Verdana" w:eastAsia="Times New Roman" w:hAnsi="Verdana" w:cs="Arial"/>
          <w:lang w:eastAsia="es-CO"/>
        </w:rPr>
        <w:t>, porque es una excepción adicional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D06743">
        <w:rPr>
          <w:rStyle w:val="Refdenotaalpie"/>
          <w:rFonts w:ascii="Verdana" w:eastAsia="Times New Roman" w:hAnsi="Verdana" w:cs="Arial"/>
          <w:lang w:eastAsia="es-CO"/>
        </w:rPr>
        <w:footnoteReference w:id="5"/>
      </w:r>
      <w:r w:rsidRPr="00D06743">
        <w:rPr>
          <w:rFonts w:ascii="Verdana" w:eastAsia="Times New Roman" w:hAnsi="Verdana" w:cs="Arial"/>
          <w:lang w:eastAsia="es-CO"/>
        </w:rPr>
        <w:t xml:space="preserve">, y lo segundo, porque sus requisitos, etapas y términos son especiales.  </w:t>
      </w:r>
    </w:p>
    <w:p w14:paraId="58858ED6"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En efecto, a partir de las modificaciones reguladas en el Decreto 1860 de 2021 los requisitos de la mínima cuantía pueden sintetizarse así: </w:t>
      </w:r>
    </w:p>
    <w:p w14:paraId="16C58794"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i) La entidad estatal debe realizar los estudios previos en los que señale cuál es la necesidad que pretende satisfacer, el objeto del contrato, sus condiciones técnicas, el valor estimado, el plazo de ejecución y el certificado de disponibilidad presupuestal. </w:t>
      </w:r>
    </w:p>
    <w:p w14:paraId="32EEF875"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proofErr w:type="spellStart"/>
      <w:r w:rsidRPr="00D06743">
        <w:rPr>
          <w:rFonts w:ascii="Verdana" w:eastAsia="Times New Roman" w:hAnsi="Verdana" w:cs="Arial"/>
          <w:lang w:eastAsia="es-CO"/>
        </w:rPr>
        <w:t>ii</w:t>
      </w:r>
      <w:proofErr w:type="spellEnd"/>
      <w:r w:rsidRPr="00D06743">
        <w:rPr>
          <w:rFonts w:ascii="Verdana" w:eastAsia="Times New Roman" w:hAnsi="Verdana" w:cs="Arial"/>
          <w:lang w:eastAsia="es-CO"/>
        </w:rPr>
        <w:t xml:space="preserve">) Luego de surtir los trámites previos, la entidad debe publicar en el SECOP una invitación señalando el objeto, las condiciones técnicas y el valor estimado del contrato, expresando además las razones que justifican el cálculo de la cuantía. Asimismo, deberá señalar la forma en la cual se acreditará la capacidad jurídica y la experiencia mínima, en caso de que esta se exija, así </w:t>
      </w:r>
      <w:r w:rsidRPr="00D06743">
        <w:rPr>
          <w:rFonts w:ascii="Verdana" w:eastAsia="Times New Roman" w:hAnsi="Verdana" w:cs="Arial"/>
          <w:lang w:eastAsia="es-CO"/>
        </w:rPr>
        <w:lastRenderedPageBreak/>
        <w:t xml:space="preserve">como el cumplimiento de las condiciones técnicas exigidas, incluyendo las obligaciones del futuro contrato.  </w:t>
      </w:r>
    </w:p>
    <w:p w14:paraId="14BE631E"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proofErr w:type="spellStart"/>
      <w:r w:rsidRPr="00D06743">
        <w:rPr>
          <w:rFonts w:ascii="Verdana" w:eastAsia="Times New Roman" w:hAnsi="Verdana" w:cs="Arial"/>
          <w:lang w:eastAsia="es-CO"/>
        </w:rPr>
        <w:t>iii</w:t>
      </w:r>
      <w:proofErr w:type="spellEnd"/>
      <w:r w:rsidRPr="00D06743">
        <w:rPr>
          <w:rFonts w:ascii="Verdana" w:eastAsia="Times New Roman" w:hAnsi="Verdana" w:cs="Arial"/>
          <w:lang w:eastAsia="es-CO"/>
        </w:rPr>
        <w:t xml:space="preserve">) La entidad podrá exigir una capacidad financiera mínima cuando no hace el pago contra entrega a satisfacción de los bienes, obras o servicios. En estos casos, la entidad deberá indicar la forma en la que hará la verificación correspondiente en la invitación. Cabe anotar que este aspecto se encontraba regulado desde la disposición anterior y no hay ninguna modificación en su aplicación en el procedimiento de mínima cuantía reglamentado en el Decreto 1860 de 2021.   </w:t>
      </w:r>
    </w:p>
    <w:p w14:paraId="66ED3BBB"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Es pertinente resaltar que en el evento en que la entidad determine la necesidad de exigir capacidad financiera en un proceso de mínima cuantía, no podrá requerir la presentación del RUP para realizar dicha verificación. En efecto, de conformidad con el artículo 6 de la Ley 1150 de 2007 el Registro Único de Proponentes – en adelante RUP –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r w:rsidRPr="00D06743">
        <w:rPr>
          <w:rStyle w:val="Refdenotaalpie"/>
          <w:rFonts w:ascii="Verdana" w:eastAsia="Times New Roman" w:hAnsi="Verdana" w:cs="Arial"/>
          <w:lang w:eastAsia="es-CO"/>
        </w:rPr>
        <w:footnoteReference w:id="6"/>
      </w:r>
      <w:r w:rsidRPr="00D06743">
        <w:rPr>
          <w:rFonts w:ascii="Verdana" w:eastAsia="Times New Roman" w:hAnsi="Verdana" w:cs="Arial"/>
          <w:lang w:eastAsia="es-CO"/>
        </w:rPr>
        <w:t xml:space="preserve">.  </w:t>
      </w:r>
    </w:p>
    <w:p w14:paraId="361959DD"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Por ello, las entidades estatales deben verificar directamente el cumplimiento de los requisitos habilitantes, como establece en inciso segundo del artículo 6 de la Ley 1150 de 2007. Las indicadas excepciones a la obligación general de inscribirse en el RUP para celebrar contratos con las entidades estatales sometidas al Estatuto General de Contratación de la Administración Pública – en adelante EGCAP–, son de interpretación estricta. Esto también se fundamenta en el artículo 2.2.1.1.1.5.1 del Decreto 1082 de 2015, al prescribir </w:t>
      </w:r>
      <w:r w:rsidRPr="00D06743">
        <w:rPr>
          <w:rFonts w:ascii="Verdana" w:eastAsia="Times New Roman" w:hAnsi="Verdana" w:cs="Arial"/>
          <w:lang w:eastAsia="es-CO"/>
        </w:rPr>
        <w:lastRenderedPageBreak/>
        <w:t>que la inscripción en el RUP es imperativa para los sujetos mencionados en el primer inciso del artículo 6 de la Ley 1150 de 2007, salvo las excepciones previstas de forma taxativa en la ley</w:t>
      </w:r>
      <w:r w:rsidRPr="00D06743">
        <w:rPr>
          <w:rStyle w:val="Refdenotaalpie"/>
          <w:rFonts w:ascii="Verdana" w:eastAsia="Times New Roman" w:hAnsi="Verdana" w:cs="Arial"/>
          <w:lang w:eastAsia="es-CO"/>
        </w:rPr>
        <w:footnoteReference w:id="7"/>
      </w:r>
      <w:r w:rsidRPr="00D06743">
        <w:rPr>
          <w:rFonts w:ascii="Verdana" w:eastAsia="Times New Roman" w:hAnsi="Verdana" w:cs="Arial"/>
          <w:lang w:eastAsia="es-CO"/>
        </w:rPr>
        <w:t xml:space="preserve">.  </w:t>
      </w:r>
    </w:p>
    <w:p w14:paraId="05994077"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En tal sentido, la evaluación de la capacidad financiera, así como el requisito de experiencia en los procesos de selección de mínima cuantía, cuando estas condiciones se requieran, se realizará en los términos establecidos en la invitación, pues las entidades estatales cuentan con discrecionalidad para regular este aspecto, de acuerdo con lo explicado, sin que sea posible exigir la presentación del RUP. </w:t>
      </w:r>
    </w:p>
    <w:p w14:paraId="634ACC27"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proofErr w:type="spellStart"/>
      <w:r w:rsidRPr="00D06743">
        <w:rPr>
          <w:rFonts w:ascii="Verdana" w:eastAsia="Times New Roman" w:hAnsi="Verdana" w:cs="Arial"/>
          <w:lang w:eastAsia="es-CO"/>
        </w:rPr>
        <w:t>iv</w:t>
      </w:r>
      <w:proofErr w:type="spellEnd"/>
      <w:r w:rsidRPr="00D06743">
        <w:rPr>
          <w:rFonts w:ascii="Verdana" w:eastAsia="Times New Roman" w:hAnsi="Verdana" w:cs="Arial"/>
          <w:lang w:eastAsia="es-CO"/>
        </w:rPr>
        <w:t xml:space="preserve">) La invitación se debe publicar por un término no inferior a un (1) día hábil, para que los interesados se informen de su contenido y formulen observaciones o comentarios. En este plazo se podrán presentar las solicitudes para limitar la convocatoria a </w:t>
      </w:r>
      <w:proofErr w:type="spellStart"/>
      <w:r w:rsidRPr="00D06743">
        <w:rPr>
          <w:rFonts w:ascii="Verdana" w:eastAsia="Times New Roman" w:hAnsi="Verdana" w:cs="Arial"/>
          <w:lang w:eastAsia="es-CO"/>
        </w:rPr>
        <w:t>Mipyme</w:t>
      </w:r>
      <w:proofErr w:type="spellEnd"/>
      <w:r w:rsidRPr="00D06743">
        <w:rPr>
          <w:rFonts w:ascii="Verdana" w:eastAsia="Times New Roman" w:hAnsi="Verdana" w:cs="Arial"/>
          <w:lang w:eastAsia="es-CO"/>
        </w:rPr>
        <w:t xml:space="preserve"> colombianas. Este último aspecto materializa la posibilidad de limitar las convocatorias a </w:t>
      </w:r>
      <w:proofErr w:type="spellStart"/>
      <w:r w:rsidRPr="00D06743">
        <w:rPr>
          <w:rFonts w:ascii="Verdana" w:eastAsia="Times New Roman" w:hAnsi="Verdana" w:cs="Arial"/>
          <w:lang w:eastAsia="es-CO"/>
        </w:rPr>
        <w:t>Mipyme</w:t>
      </w:r>
      <w:proofErr w:type="spellEnd"/>
      <w:r w:rsidRPr="00D06743">
        <w:rPr>
          <w:rFonts w:ascii="Verdana" w:eastAsia="Times New Roman" w:hAnsi="Verdana" w:cs="Arial"/>
          <w:lang w:eastAsia="es-CO"/>
        </w:rPr>
        <w:t xml:space="preserve"> en estos procesos de selección, conforme lo establece el artículo 30 de la Ley 2069 de 2020. </w:t>
      </w:r>
    </w:p>
    <w:p w14:paraId="4786D37A"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v) Las observaciones que realicen los interesados deben responderse por la entidad estatal a más tardar antes del inicio del plazo para presentar las ofertas.  </w:t>
      </w:r>
    </w:p>
    <w:p w14:paraId="1A6BCAF6"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vi) En la invitación se deberá incluir un cronograma que tenga en cuenta los términos mínimos establecidos en el artículo 2.2.1.2.1.5.2. del Decreto 1082 de 2015, así como: a) el término dentro del cual la entidad responderá las observaciones; b)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 c) el momento en que publicará un aviso en el SECOP precisando si el proceso efectivamente se limitó a </w:t>
      </w:r>
      <w:proofErr w:type="spellStart"/>
      <w:r w:rsidRPr="00D06743">
        <w:rPr>
          <w:rFonts w:ascii="Verdana" w:eastAsia="Times New Roman" w:hAnsi="Verdana" w:cs="Arial"/>
          <w:lang w:eastAsia="es-CO"/>
        </w:rPr>
        <w:t>Mipyme</w:t>
      </w:r>
      <w:proofErr w:type="spellEnd"/>
      <w:r w:rsidRPr="00D06743">
        <w:rPr>
          <w:rFonts w:ascii="Verdana" w:eastAsia="Times New Roman" w:hAnsi="Verdana" w:cs="Arial"/>
          <w:lang w:eastAsia="es-CO"/>
        </w:rPr>
        <w:t xml:space="preserve"> o si podrá participar cualquier otro interesado; d) finalmente, se dispondrá un término adicional dentro del cual los proponentes podrán presentar sus ofertas, el cual será de </w:t>
      </w:r>
      <w:r w:rsidRPr="00D06743">
        <w:rPr>
          <w:rFonts w:ascii="Verdana" w:eastAsia="Times New Roman" w:hAnsi="Verdana" w:cs="Arial"/>
          <w:lang w:eastAsia="es-CO"/>
        </w:rPr>
        <w:lastRenderedPageBreak/>
        <w:t xml:space="preserve">mínimo un (1) día hábil luego de publicado el aviso en que se informe si el proceso se limita o no a </w:t>
      </w:r>
      <w:proofErr w:type="spellStart"/>
      <w:r w:rsidRPr="00D06743">
        <w:rPr>
          <w:rFonts w:ascii="Verdana" w:eastAsia="Times New Roman" w:hAnsi="Verdana" w:cs="Arial"/>
          <w:lang w:eastAsia="es-CO"/>
        </w:rPr>
        <w:t>Mipyme</w:t>
      </w:r>
      <w:proofErr w:type="spellEnd"/>
      <w:r w:rsidRPr="00D06743">
        <w:rPr>
          <w:rFonts w:ascii="Verdana" w:eastAsia="Times New Roman" w:hAnsi="Verdana" w:cs="Arial"/>
          <w:lang w:eastAsia="es-CO"/>
        </w:rPr>
        <w:t xml:space="preserve">. </w:t>
      </w:r>
    </w:p>
    <w:p w14:paraId="3455F877"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proofErr w:type="spellStart"/>
      <w:r w:rsidRPr="00D06743">
        <w:rPr>
          <w:rFonts w:ascii="Verdana" w:eastAsia="Times New Roman" w:hAnsi="Verdana" w:cs="Arial"/>
          <w:lang w:eastAsia="es-CO"/>
        </w:rPr>
        <w:t>vii</w:t>
      </w:r>
      <w:proofErr w:type="spellEnd"/>
      <w:r w:rsidRPr="00D06743">
        <w:rPr>
          <w:rFonts w:ascii="Verdana" w:eastAsia="Times New Roman" w:hAnsi="Verdana" w:cs="Arial"/>
          <w:lang w:eastAsia="es-CO"/>
        </w:rPr>
        <w:t>) Presentadas las propuestas, la entidad estatal debe revisar las ofertas económicas y verificar que la del menor precio cumpla con los requisitos de participación. Si no los satisface, debe revisar la oferta económica en el segundo mejor precio y así sucesivamente. Esto significa que en la mínima cuantía el precio es el único factor de calificación o asignación de puntaje</w:t>
      </w:r>
      <w:r w:rsidRPr="00D06743">
        <w:rPr>
          <w:rStyle w:val="Refdenotaalpie"/>
          <w:rFonts w:ascii="Verdana" w:eastAsia="Times New Roman" w:hAnsi="Verdana" w:cs="Arial"/>
          <w:lang w:eastAsia="es-CO"/>
        </w:rPr>
        <w:footnoteReference w:id="8"/>
      </w:r>
      <w:r w:rsidRPr="00D06743">
        <w:rPr>
          <w:rFonts w:ascii="Verdana" w:eastAsia="Times New Roman" w:hAnsi="Verdana" w:cs="Arial"/>
          <w:lang w:eastAsia="es-CO"/>
        </w:rPr>
        <w:t xml:space="preserve">. </w:t>
      </w:r>
    </w:p>
    <w:p w14:paraId="6129B070"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Respecto de los requisitos de participación, las entidades deberán otorgar la oportunidad para subsanar las ofertas en los términos del artículo 5 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 </w:t>
      </w:r>
    </w:p>
    <w:p w14:paraId="1762B645"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proofErr w:type="spellStart"/>
      <w:r w:rsidRPr="00D06743">
        <w:rPr>
          <w:rFonts w:ascii="Verdana" w:eastAsia="Times New Roman" w:hAnsi="Verdana" w:cs="Arial"/>
          <w:lang w:eastAsia="es-CO"/>
        </w:rPr>
        <w:t>viii</w:t>
      </w:r>
      <w:proofErr w:type="spellEnd"/>
      <w:r w:rsidRPr="00D06743">
        <w:rPr>
          <w:rFonts w:ascii="Verdana" w:eastAsia="Times New Roman" w:hAnsi="Verdana" w:cs="Arial"/>
          <w:lang w:eastAsia="es-CO"/>
        </w:rPr>
        <w:t xml:space="preserve">) El informe de evaluación se debe publicar durante mínimo un (1) día hábil. </w:t>
      </w:r>
    </w:p>
    <w:p w14:paraId="40F73907"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proofErr w:type="spellStart"/>
      <w:r w:rsidRPr="00D06743">
        <w:rPr>
          <w:rFonts w:ascii="Verdana" w:eastAsia="Times New Roman" w:hAnsi="Verdana" w:cs="Arial"/>
          <w:lang w:eastAsia="es-CO"/>
        </w:rPr>
        <w:t>ix</w:t>
      </w:r>
      <w:proofErr w:type="spellEnd"/>
      <w:r w:rsidRPr="00D06743">
        <w:rPr>
          <w:rFonts w:ascii="Verdana" w:eastAsia="Times New Roman" w:hAnsi="Verdana" w:cs="Arial"/>
          <w:lang w:eastAsia="es-CO"/>
        </w:rPr>
        <w:t xml:space="preserve">) La entidad debe aceptar la oferta de menor precio, siempre que cumpla con las condiciones establecidas en la invitación a participar en procesos de mínima cuantía. En la aceptación de la oferta, la entidad debe informar al contratista el nombre del supervisor o interventor del contrato. En tal sentido, el contrato se perfecciona con la comunicación de aceptación de la oferta que envía la entidad estatal al proponente que presentó la oferta económica de menor precio, no requiriéndose, entonces, de la suscripción de una minuta.  </w:t>
      </w:r>
    </w:p>
    <w:p w14:paraId="675391B7" w14:textId="77777777" w:rsidR="00313669" w:rsidRPr="00D06743" w:rsidRDefault="00313669" w:rsidP="00313669">
      <w:pPr>
        <w:spacing w:after="12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t xml:space="preserve">x) De existir empate, la entidad aplicará los criterios de que trata el artículo 35 de la Ley 2069 de 2020, conforme a los medíos de acreditación del artículo 2.2.1.2.4.2.17. del Decreto 1082 de 2015 o las normas que los modifiquen, adicionen o sustituyan. Esta disposición se ajusta a la nueva regulación de criterios de desempate establecida en el artículo 35 de la Ley 2069 de 2020. </w:t>
      </w:r>
    </w:p>
    <w:p w14:paraId="0C0A00F6" w14:textId="77777777" w:rsidR="00313669" w:rsidRPr="00D06743" w:rsidRDefault="00313669" w:rsidP="00313669">
      <w:pPr>
        <w:spacing w:after="0" w:line="276" w:lineRule="auto"/>
        <w:ind w:firstLine="708"/>
        <w:jc w:val="both"/>
        <w:textAlignment w:val="baseline"/>
        <w:rPr>
          <w:rFonts w:ascii="Verdana" w:eastAsia="Times New Roman" w:hAnsi="Verdana" w:cs="Arial"/>
          <w:lang w:eastAsia="es-CO"/>
        </w:rPr>
      </w:pPr>
      <w:r w:rsidRPr="00D06743">
        <w:rPr>
          <w:rFonts w:ascii="Verdana" w:eastAsia="Times New Roman" w:hAnsi="Verdana" w:cs="Arial"/>
          <w:lang w:eastAsia="es-CO"/>
        </w:rPr>
        <w:lastRenderedPageBreak/>
        <w:t xml:space="preserve">En esta medida, el procedimiento de selección de mínima cuantía está regulado en el artículo 2, numeral 5, de la Ley 1150 de 2007 y en el Libro 2, Parte 2, Título 1, Capítulo 2, Sección 1, Subsección 5 del Decreto 1082 de 2015, modificado por el Decreto 1860 de 2021, con la particularidad de que el trámite solo sigue las reglas señaladas, razón por la cual no es posible aplicar disposiciones diferentes a las allí previstas.  </w:t>
      </w:r>
    </w:p>
    <w:p w14:paraId="76D38AEC" w14:textId="77777777" w:rsidR="00313669" w:rsidRPr="00D06743" w:rsidRDefault="00313669" w:rsidP="00313669">
      <w:pPr>
        <w:spacing w:after="0" w:line="276" w:lineRule="auto"/>
        <w:contextualSpacing/>
        <w:jc w:val="both"/>
        <w:textAlignment w:val="baseline"/>
        <w:rPr>
          <w:rFonts w:ascii="Verdana" w:eastAsia="Times New Roman" w:hAnsi="Verdana" w:cs="Segoe UI"/>
          <w:lang w:eastAsia="es-CO"/>
        </w:rPr>
      </w:pPr>
    </w:p>
    <w:p w14:paraId="2C856A5C" w14:textId="77777777" w:rsidR="00313669" w:rsidRPr="00D06743" w:rsidRDefault="00313669" w:rsidP="00313669">
      <w:pPr>
        <w:spacing w:after="0" w:line="276" w:lineRule="auto"/>
        <w:ind w:firstLine="708"/>
        <w:contextualSpacing/>
        <w:jc w:val="both"/>
        <w:textAlignment w:val="baseline"/>
        <w:rPr>
          <w:rFonts w:ascii="Verdana" w:hAnsi="Verdana"/>
        </w:rPr>
      </w:pPr>
      <w:bookmarkStart w:id="8" w:name="_Hlk130445019"/>
      <w:r w:rsidRPr="00D01CB2">
        <w:rPr>
          <w:rFonts w:ascii="Verdana" w:eastAsia="Times New Roman" w:hAnsi="Verdana" w:cs="Arial"/>
          <w:shd w:val="clear" w:color="auto" w:fill="FFFFFF"/>
          <w:lang w:eastAsia="es-CO"/>
        </w:rPr>
        <w:t>Ahora bien, en relación con los principios de la contratación estatal enfocados en la escogencia de la modalidad de selección</w:t>
      </w:r>
      <w:bookmarkEnd w:id="8"/>
      <w:r w:rsidRPr="00D01CB2">
        <w:rPr>
          <w:rFonts w:ascii="Verdana" w:eastAsia="Times New Roman" w:hAnsi="Verdana" w:cs="Arial"/>
          <w:shd w:val="clear" w:color="auto" w:fill="FFFFFF"/>
          <w:lang w:eastAsia="es-CO"/>
        </w:rPr>
        <w:t xml:space="preserve"> e</w:t>
      </w:r>
      <w:r w:rsidRPr="00D01CB2">
        <w:rPr>
          <w:rFonts w:ascii="Verdana" w:hAnsi="Verdana"/>
        </w:rPr>
        <w:t>l</w:t>
      </w:r>
      <w:r w:rsidRPr="00D06743">
        <w:rPr>
          <w:rFonts w:ascii="Verdana" w:hAnsi="Verdana"/>
        </w:rPr>
        <w:t xml:space="preserve"> artículo 23 de la Ley 80 de 1993 dispone: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p w14:paraId="154E112F" w14:textId="77777777" w:rsidR="00313669" w:rsidRPr="00D06743" w:rsidRDefault="00313669" w:rsidP="00313669">
      <w:pPr>
        <w:pStyle w:val="Textoindependiente"/>
        <w:spacing w:after="120" w:line="276" w:lineRule="auto"/>
        <w:ind w:right="48" w:firstLine="708"/>
        <w:jc w:val="both"/>
        <w:rPr>
          <w:rFonts w:ascii="Verdana" w:hAnsi="Verdana"/>
        </w:rPr>
      </w:pPr>
      <w:r w:rsidRPr="00D06743">
        <w:rPr>
          <w:rFonts w:ascii="Verdana" w:hAnsi="Verdana"/>
        </w:rPr>
        <w:t>Por su parte, el artículo 2 de la Ley 1150 del 2007, ordena que, en el procedimiento aplicable a cada una de las modalidades de selección de contratistas, “deberá observarse los principios de transparencia, economía, responsabilidad”.</w:t>
      </w:r>
    </w:p>
    <w:p w14:paraId="6EF5EFAB" w14:textId="77777777" w:rsidR="00313669" w:rsidRPr="00D06743" w:rsidRDefault="00313669" w:rsidP="00313669">
      <w:pPr>
        <w:pStyle w:val="Textoindependiente"/>
        <w:spacing w:after="120" w:line="276" w:lineRule="auto"/>
        <w:ind w:right="48" w:firstLine="708"/>
        <w:jc w:val="both"/>
        <w:rPr>
          <w:rFonts w:ascii="Verdana" w:hAnsi="Verdana"/>
        </w:rPr>
      </w:pPr>
      <w:r w:rsidRPr="00D06743">
        <w:rPr>
          <w:rFonts w:ascii="Verdana" w:hAnsi="Verdana"/>
        </w:rPr>
        <w:t>Así pues, los principios que rigen la actividad contractual de las entidades estatales están orientados a preservar la objetividad en la selección del contratista, para garantizar el interés general y la realización de los fines del Estado y, a la vez, hacer eficaz la participación, en igualdad de condiciones, de quienes reúnan los requisitos que sean exigidos en los documentos del proceso de contratación.</w:t>
      </w:r>
    </w:p>
    <w:p w14:paraId="6BF86AC7" w14:textId="77777777" w:rsidR="00313669" w:rsidRPr="00D06743" w:rsidRDefault="00313669" w:rsidP="00313669">
      <w:pPr>
        <w:pStyle w:val="Textoindependiente"/>
        <w:spacing w:before="1" w:after="120" w:line="276" w:lineRule="auto"/>
        <w:ind w:right="48" w:firstLine="708"/>
        <w:jc w:val="both"/>
        <w:rPr>
          <w:rFonts w:ascii="Verdana" w:hAnsi="Verdana"/>
        </w:rPr>
      </w:pPr>
      <w:r w:rsidRPr="00D06743">
        <w:rPr>
          <w:rFonts w:ascii="Verdana" w:hAnsi="Verdana"/>
        </w:rPr>
        <w:t xml:space="preserve">El principio de transparencia </w:t>
      </w:r>
      <w:r>
        <w:rPr>
          <w:rFonts w:ascii="Verdana" w:hAnsi="Verdana"/>
        </w:rPr>
        <w:t>“</w:t>
      </w:r>
      <w:r w:rsidRPr="00D06743">
        <w:rPr>
          <w:rFonts w:ascii="Verdana" w:hAnsi="Verdana"/>
        </w:rPr>
        <w:t xml:space="preserve">dispone que la selección de los contratistas debe “edificarse sobre las bases de i) la igualdad y respecto a todos los interesados; </w:t>
      </w:r>
      <w:proofErr w:type="spellStart"/>
      <w:r w:rsidRPr="00D06743">
        <w:rPr>
          <w:rFonts w:ascii="Verdana" w:hAnsi="Verdana"/>
        </w:rPr>
        <w:t>ii</w:t>
      </w:r>
      <w:proofErr w:type="spellEnd"/>
      <w:r w:rsidRPr="00D06743">
        <w:rPr>
          <w:rFonts w:ascii="Verdana" w:hAnsi="Verdana"/>
        </w:rPr>
        <w:t xml:space="preserve">) la objetividad, neutralidad y claridad de la reglas o condiciones impuestas para la presentación de las ofertas; </w:t>
      </w:r>
      <w:proofErr w:type="spellStart"/>
      <w:r w:rsidRPr="00D06743">
        <w:rPr>
          <w:rFonts w:ascii="Verdana" w:hAnsi="Verdana"/>
        </w:rPr>
        <w:t>iii</w:t>
      </w:r>
      <w:proofErr w:type="spellEnd"/>
      <w:r w:rsidRPr="00D06743">
        <w:rPr>
          <w:rFonts w:ascii="Verdana" w:hAnsi="Verdana"/>
        </w:rPr>
        <w:t xml:space="preserve">) la garantía del derecho de contradicción; </w:t>
      </w:r>
      <w:proofErr w:type="spellStart"/>
      <w:r w:rsidRPr="00D06743">
        <w:rPr>
          <w:rFonts w:ascii="Verdana" w:hAnsi="Verdana"/>
        </w:rPr>
        <w:t>iv</w:t>
      </w:r>
      <w:proofErr w:type="spellEnd"/>
      <w:r w:rsidRPr="00D06743">
        <w:rPr>
          <w:rFonts w:ascii="Verdana" w:hAnsi="Verdana"/>
        </w:rPr>
        <w:t xml:space="preserve">) la publicidad de las actuaciones de la administración; v) la motivación expresa, precisa y detallada del informe de evaluación, del acto de adjudicación o de la declaratoria de desierta; vi) la escogencia objetiva del contratista idóneo que ofrezca la oferta más favorable para los intereses de la </w:t>
      </w:r>
      <w:r w:rsidRPr="00D06743">
        <w:rPr>
          <w:rFonts w:ascii="Verdana" w:hAnsi="Verdana"/>
        </w:rPr>
        <w:lastRenderedPageBreak/>
        <w:t>administración</w:t>
      </w:r>
      <w:r>
        <w:rPr>
          <w:rFonts w:ascii="Verdana" w:hAnsi="Verdana"/>
        </w:rPr>
        <w:t>”</w:t>
      </w:r>
      <w:r w:rsidRPr="00D06743">
        <w:rPr>
          <w:rStyle w:val="Refdenotaalpie"/>
          <w:rFonts w:ascii="Verdana" w:hAnsi="Verdana"/>
        </w:rPr>
        <w:footnoteReference w:id="9"/>
      </w:r>
      <w:r w:rsidRPr="00D06743">
        <w:rPr>
          <w:rFonts w:ascii="Verdana" w:hAnsi="Verdana"/>
        </w:rPr>
        <w:t>.</w:t>
      </w:r>
    </w:p>
    <w:p w14:paraId="342557A5" w14:textId="77777777" w:rsidR="00313669" w:rsidRPr="00D06743" w:rsidRDefault="00313669" w:rsidP="00313669">
      <w:pPr>
        <w:pStyle w:val="Textoindependiente"/>
        <w:spacing w:before="1" w:after="120" w:line="276" w:lineRule="auto"/>
        <w:ind w:right="48" w:firstLine="708"/>
        <w:jc w:val="both"/>
        <w:rPr>
          <w:rFonts w:ascii="Verdana" w:hAnsi="Verdana"/>
        </w:rPr>
      </w:pPr>
      <w:r w:rsidRPr="00D06743">
        <w:rPr>
          <w:rFonts w:ascii="Verdana" w:hAnsi="Verdana"/>
        </w:rPr>
        <w:t>En otras palabras, con el principio de transparencia, se propende por garantizar la imparcialidad, igualdad, moralidad y selección objetiva en las contrataciones adelantadas en el marco del EGCAP, para lo cual entre otras cosas se implementan procedimientos de selección debidamente reglados y prescritos en cuanto a las condiciones propias en los que procede cada uno de ellos en el marco de las compras públicas.</w:t>
      </w:r>
    </w:p>
    <w:p w14:paraId="17A01874" w14:textId="77777777" w:rsidR="00313669" w:rsidRPr="00D06743" w:rsidRDefault="00313669" w:rsidP="00313669">
      <w:pPr>
        <w:pStyle w:val="Textoindependiente"/>
        <w:spacing w:before="1" w:after="120" w:line="276" w:lineRule="auto"/>
        <w:ind w:right="48" w:firstLine="708"/>
        <w:jc w:val="both"/>
        <w:rPr>
          <w:rFonts w:ascii="Verdana" w:hAnsi="Verdana"/>
        </w:rPr>
      </w:pPr>
      <w:r w:rsidRPr="00D06743">
        <w:rPr>
          <w:rFonts w:ascii="Verdana" w:hAnsi="Verdana"/>
        </w:rPr>
        <w:t>Por otra parte, el principio de economía contenido en la ley 80 de 1993, hace referencia a la eficiencia, eficacia y celeridad con las que se deben desarrollar los procesos de contratación estatal, por lo cual en virtud de este principio se insta a que las entidades estatales adelanten sus procesos cumpliendo con los procedimientos y etapas que sean estrictamente necesarios para la escogencia de la propuesta que satisfaga sus necesidades, buscando con ello la optimización de costos y tiempos relacionados con las compras públicas.</w:t>
      </w:r>
    </w:p>
    <w:p w14:paraId="73D6E6DD" w14:textId="77777777" w:rsidR="00313669" w:rsidRPr="00D06743" w:rsidRDefault="00313669" w:rsidP="00313669">
      <w:pPr>
        <w:pStyle w:val="Textoindependiente"/>
        <w:spacing w:before="1" w:after="120" w:line="276" w:lineRule="auto"/>
        <w:ind w:right="48" w:firstLine="708"/>
        <w:jc w:val="both"/>
        <w:rPr>
          <w:rFonts w:ascii="Verdana" w:hAnsi="Verdana"/>
        </w:rPr>
      </w:pPr>
      <w:r w:rsidRPr="00D06743">
        <w:rPr>
          <w:rFonts w:ascii="Verdana" w:hAnsi="Verdana"/>
        </w:rPr>
        <w:t xml:space="preserve">En materia de contratación pública, como una manifestación del principio de economía, surge el deber de planeación, el cual </w:t>
      </w:r>
      <w:r>
        <w:rPr>
          <w:rFonts w:ascii="Verdana" w:hAnsi="Verdana"/>
        </w:rPr>
        <w:t>“</w:t>
      </w:r>
      <w:r w:rsidRPr="00D06743">
        <w:rPr>
          <w:rFonts w:ascii="Verdana" w:hAnsi="Verdana"/>
        </w:rPr>
        <w:t>tiene por finalidad asegurar que todo proyecto esté precedido de los estudios de orden técnico, financiero y jurídico requeridos para determinar su viabilidad económica y técnica y así poder establecer la conveniencia o no del objeto por contratar; si resulta o no necesario celebrar el respectivo negocio jurídico y su adecuación a los planes de inversión, de adquisición o compras, presupuesto y ley de apropiaciones, según el caso; y de ser necesario, deberá estar acompañado, además, de los diseños, planos y evaluaciones de prefactibilidad o factibilidad; qué modalidades contractuales pueden utilizarse y cuál de ellas resulta ser la más aconsejable; las características que deba reunir el bien o servicio objeto de licitación; así como los costos y recursos que su celebración y ejecución demanden.</w:t>
      </w:r>
      <w:r>
        <w:rPr>
          <w:rFonts w:ascii="Verdana" w:hAnsi="Verdana"/>
        </w:rPr>
        <w:t>”</w:t>
      </w:r>
      <w:r w:rsidRPr="00D06743">
        <w:rPr>
          <w:rStyle w:val="Refdenotaalpie"/>
          <w:rFonts w:ascii="Verdana" w:hAnsi="Verdana"/>
        </w:rPr>
        <w:footnoteReference w:id="10"/>
      </w:r>
    </w:p>
    <w:p w14:paraId="1663AC7E" w14:textId="77777777" w:rsidR="00313669" w:rsidRPr="00D06743" w:rsidRDefault="00313669" w:rsidP="00313669">
      <w:pPr>
        <w:tabs>
          <w:tab w:val="left" w:pos="426"/>
        </w:tabs>
        <w:spacing w:after="120" w:line="276" w:lineRule="auto"/>
        <w:jc w:val="both"/>
        <w:rPr>
          <w:rFonts w:ascii="Verdana" w:hAnsi="Verdana" w:cs="Arial"/>
          <w:lang w:val="es-MX"/>
        </w:rPr>
      </w:pPr>
      <w:r w:rsidRPr="00D06743">
        <w:rPr>
          <w:rFonts w:ascii="Verdana" w:hAnsi="Verdana" w:cs="Arial"/>
          <w:lang w:val="es-MX"/>
        </w:rPr>
        <w:tab/>
      </w:r>
      <w:r w:rsidRPr="00D06743">
        <w:rPr>
          <w:rFonts w:ascii="Verdana" w:hAnsi="Verdana" w:cs="Arial"/>
          <w:lang w:val="es-MX"/>
        </w:rPr>
        <w:tab/>
        <w:t xml:space="preserve">Con respecto al principio de responsabilidad al que refiere el artículo 23 de la ley 80 de 1993, es preciso indicar que, con base a este principio, </w:t>
      </w:r>
      <w:r>
        <w:rPr>
          <w:rFonts w:ascii="Verdana" w:hAnsi="Verdana" w:cs="Arial"/>
          <w:lang w:val="es-MX"/>
        </w:rPr>
        <w:t>“</w:t>
      </w:r>
      <w:r w:rsidRPr="00D06743">
        <w:rPr>
          <w:rFonts w:ascii="Verdana" w:hAnsi="Verdana" w:cs="Arial"/>
          <w:lang w:val="es-MX"/>
        </w:rPr>
        <w:t xml:space="preserve">los servidores públicos que intervienen en la actividad contractual responderán civil, penal y disciplinariamente, razón por la cual están obligados a cumplir los fines de la contratación, vigilando la correcta ejecución de lo contratado y velando por </w:t>
      </w:r>
      <w:r w:rsidRPr="00D06743">
        <w:rPr>
          <w:rFonts w:ascii="Verdana" w:hAnsi="Verdana" w:cs="Arial"/>
          <w:lang w:val="es-MX"/>
        </w:rPr>
        <w:lastRenderedPageBreak/>
        <w:t>la protección de los derechos de la entidad y del contratista; responderán por sus actuaciones y omisiones antijurídicas y deberán indemnizar los daños que se causen por razón de ellas; verbigracia, cuando hubieren abierto licitaciones o concursos sin haber elaborado previamente los correspondientes pliegos de condiciones, términos de referencia, diseños, estudios, planos y evaluaciones que fueren necesarios, o cuando los pliegos de condiciones o términos de referencia hayan sido elaborados en forma incompleta, ambigua o confusa que conduzcan a interpretaciones o decisiones de carácter subjetivo […]</w:t>
      </w:r>
      <w:r>
        <w:rPr>
          <w:rFonts w:ascii="Verdana" w:hAnsi="Verdana" w:cs="Arial"/>
          <w:lang w:val="es-MX"/>
        </w:rPr>
        <w:t>”</w:t>
      </w:r>
      <w:r w:rsidRPr="00D06743">
        <w:rPr>
          <w:rStyle w:val="Refdenotaalpie"/>
          <w:rFonts w:ascii="Verdana" w:hAnsi="Verdana" w:cs="Arial"/>
          <w:lang w:val="es-MX"/>
        </w:rPr>
        <w:footnoteReference w:id="11"/>
      </w:r>
    </w:p>
    <w:p w14:paraId="08DD0929" w14:textId="77777777" w:rsidR="00313669" w:rsidRPr="00D06743" w:rsidRDefault="00313669" w:rsidP="00313669">
      <w:pPr>
        <w:spacing w:after="0" w:line="276" w:lineRule="auto"/>
        <w:contextualSpacing/>
        <w:jc w:val="both"/>
        <w:rPr>
          <w:rFonts w:ascii="Verdana" w:eastAsia="Calibri" w:hAnsi="Verdana" w:cs="Arial"/>
          <w:b/>
          <w:bCs/>
          <w:lang w:val="es-MX"/>
        </w:rPr>
      </w:pPr>
    </w:p>
    <w:p w14:paraId="22B523E4" w14:textId="77777777" w:rsidR="00313669" w:rsidRPr="00D06743" w:rsidRDefault="00313669" w:rsidP="00313669">
      <w:pPr>
        <w:widowControl w:val="0"/>
        <w:autoSpaceDE w:val="0"/>
        <w:autoSpaceDN w:val="0"/>
        <w:spacing w:after="120" w:line="276" w:lineRule="auto"/>
        <w:ind w:firstLine="708"/>
        <w:jc w:val="both"/>
        <w:rPr>
          <w:rFonts w:ascii="Verdana" w:eastAsia="Arial" w:hAnsi="Verdana" w:cs="Arial"/>
          <w:color w:val="000000"/>
          <w:lang w:val="es-ES" w:eastAsia="es-ES" w:bidi="es-ES"/>
        </w:rPr>
      </w:pPr>
      <w:r>
        <w:rPr>
          <w:rFonts w:ascii="Verdana" w:eastAsia="Arial" w:hAnsi="Verdana" w:cs="Arial"/>
          <w:color w:val="000000"/>
          <w:lang w:val="es-ES" w:eastAsia="es-ES" w:bidi="es-ES"/>
        </w:rPr>
        <w:t xml:space="preserve">Por su parte, frente a la </w:t>
      </w:r>
      <w:r w:rsidRPr="00676FD9">
        <w:rPr>
          <w:rFonts w:ascii="Verdana" w:eastAsia="Arial" w:hAnsi="Verdana" w:cs="Arial"/>
          <w:color w:val="000000"/>
          <w:lang w:val="es-ES" w:eastAsia="es-ES" w:bidi="es-ES"/>
        </w:rPr>
        <w:t xml:space="preserve">adición del contrato </w:t>
      </w:r>
      <w:r>
        <w:rPr>
          <w:rFonts w:ascii="Verdana" w:eastAsia="Arial" w:hAnsi="Verdana" w:cs="Arial"/>
          <w:color w:val="000000"/>
          <w:lang w:val="es-ES" w:eastAsia="es-ES" w:bidi="es-ES"/>
        </w:rPr>
        <w:t>estatal es de precisar que</w:t>
      </w:r>
      <w:r w:rsidRPr="00D06743">
        <w:rPr>
          <w:rFonts w:ascii="Verdana" w:eastAsia="Arial" w:hAnsi="Verdana" w:cs="Arial"/>
          <w:color w:val="000000"/>
          <w:lang w:val="es-ES" w:eastAsia="es-ES" w:bidi="es-ES"/>
        </w:rPr>
        <w:t xml:space="preserve"> uno de los elementos más comunes en los contratos estatales es el </w:t>
      </w:r>
      <w:r w:rsidRPr="00D06743">
        <w:rPr>
          <w:rFonts w:ascii="Verdana" w:eastAsia="Arial" w:hAnsi="Verdana" w:cs="Arial"/>
          <w:i/>
          <w:iCs/>
          <w:color w:val="000000"/>
          <w:lang w:val="es-ES" w:eastAsia="es-ES" w:bidi="es-ES"/>
        </w:rPr>
        <w:t xml:space="preserve">precio </w:t>
      </w:r>
      <w:r w:rsidRPr="00D06743">
        <w:rPr>
          <w:rFonts w:ascii="Verdana" w:eastAsia="Arial" w:hAnsi="Verdana" w:cs="Arial"/>
          <w:color w:val="000000"/>
          <w:lang w:val="es-ES" w:eastAsia="es-ES" w:bidi="es-ES"/>
        </w:rPr>
        <w:t>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1A2EABEF" w14:textId="77777777" w:rsidR="00313669" w:rsidRPr="00D06743" w:rsidRDefault="00313669" w:rsidP="00313669">
      <w:pPr>
        <w:widowControl w:val="0"/>
        <w:autoSpaceDE w:val="0"/>
        <w:autoSpaceDN w:val="0"/>
        <w:spacing w:after="120" w:line="276" w:lineRule="auto"/>
        <w:jc w:val="both"/>
        <w:rPr>
          <w:rFonts w:ascii="Verdana" w:eastAsia="Times New Roman" w:hAnsi="Verdana" w:cs="Arial"/>
          <w:lang w:val="es-ES" w:eastAsia="es-ES"/>
        </w:rPr>
      </w:pPr>
      <w:r w:rsidRPr="00D06743">
        <w:rPr>
          <w:rFonts w:ascii="Verdana" w:eastAsia="Arial" w:hAnsi="Verdana" w:cs="Arial"/>
          <w:color w:val="000000"/>
          <w:lang w:val="es-ES" w:eastAsia="es-ES" w:bidi="es-ES"/>
        </w:rPr>
        <w:tab/>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w:t>
      </w:r>
      <w:r>
        <w:rPr>
          <w:rFonts w:ascii="Verdana" w:eastAsia="Arial" w:hAnsi="Verdana" w:cs="Arial"/>
          <w:color w:val="000000"/>
          <w:lang w:val="es-ES" w:eastAsia="es-ES" w:bidi="es-ES"/>
        </w:rPr>
        <w:t xml:space="preserve"> </w:t>
      </w:r>
      <w:r w:rsidRPr="00D06743">
        <w:rPr>
          <w:rFonts w:ascii="Verdana" w:eastAsia="Arial" w:hAnsi="Verdana" w:cs="Arial"/>
          <w:color w:val="000000"/>
          <w:lang w:val="es-ES" w:eastAsia="es-ES" w:bidi="es-ES"/>
        </w:rPr>
        <w:t>por mencionar algunos ejemplos</w:t>
      </w:r>
      <w:r w:rsidRPr="00D06743">
        <w:rPr>
          <w:rFonts w:ascii="Verdana" w:eastAsia="Times New Roman" w:hAnsi="Verdana" w:cs="Arial"/>
          <w:vertAlign w:val="superscript"/>
          <w:lang w:val="es-ES" w:eastAsia="es-ES"/>
        </w:rPr>
        <w:footnoteReference w:id="12"/>
      </w:r>
      <w:r w:rsidRPr="00D06743">
        <w:rPr>
          <w:rFonts w:ascii="Verdana" w:eastAsia="Times New Roman" w:hAnsi="Verdana" w:cs="Arial"/>
          <w:lang w:val="es-ES" w:eastAsia="es-ES"/>
        </w:rPr>
        <w:t>.</w:t>
      </w:r>
    </w:p>
    <w:p w14:paraId="0B86BBF4" w14:textId="77777777" w:rsidR="00313669" w:rsidRPr="00D06743" w:rsidRDefault="00313669" w:rsidP="00313669">
      <w:pPr>
        <w:widowControl w:val="0"/>
        <w:autoSpaceDE w:val="0"/>
        <w:autoSpaceDN w:val="0"/>
        <w:spacing w:after="120" w:line="276" w:lineRule="auto"/>
        <w:jc w:val="both"/>
        <w:rPr>
          <w:rFonts w:ascii="Verdana" w:eastAsia="Times New Roman" w:hAnsi="Verdana" w:cs="Arial"/>
          <w:lang w:val="es-ES" w:eastAsia="es-ES"/>
        </w:rPr>
      </w:pPr>
      <w:r w:rsidRPr="00D06743">
        <w:rPr>
          <w:rFonts w:ascii="Verdana" w:eastAsia="Times New Roman" w:hAnsi="Verdana" w:cs="Arial"/>
          <w:bCs/>
          <w:lang w:val="es-ES_tradnl" w:eastAsia="es-ES_tradnl"/>
        </w:rPr>
        <w:lastRenderedPageBreak/>
        <w:tab/>
      </w:r>
      <w:r w:rsidRPr="2570DDEE">
        <w:rPr>
          <w:rFonts w:ascii="Verdana" w:eastAsia="Times New Roman" w:hAnsi="Verdana" w:cs="Arial"/>
          <w:lang w:val="es-ES" w:eastAsia="es-ES"/>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comprometen el objeto del contrato–, </w:t>
      </w:r>
      <w:proofErr w:type="spellStart"/>
      <w:r w:rsidRPr="2570DDEE">
        <w:rPr>
          <w:rFonts w:ascii="Verdana" w:eastAsia="Times New Roman" w:hAnsi="Verdana" w:cs="Arial"/>
          <w:lang w:val="es-ES" w:eastAsia="es-ES"/>
        </w:rPr>
        <w:t>ii</w:t>
      </w:r>
      <w:proofErr w:type="spellEnd"/>
      <w:r w:rsidRPr="2570DDEE">
        <w:rPr>
          <w:rFonts w:ascii="Verdana" w:eastAsia="Times New Roman" w:hAnsi="Verdana" w:cs="Arial"/>
          <w:lang w:val="es-ES" w:eastAsia="es-ES"/>
        </w:rPr>
        <w:t xml:space="preserve">) el precio global –que equivale al monto total, sin discriminar unidades–, y </w:t>
      </w:r>
      <w:proofErr w:type="spellStart"/>
      <w:r w:rsidRPr="2570DDEE">
        <w:rPr>
          <w:rFonts w:ascii="Verdana" w:eastAsia="Times New Roman" w:hAnsi="Verdana" w:cs="Arial"/>
          <w:lang w:val="es-ES" w:eastAsia="es-ES"/>
        </w:rPr>
        <w:t>iii</w:t>
      </w:r>
      <w:proofErr w:type="spellEnd"/>
      <w:r w:rsidRPr="2570DDEE">
        <w:rPr>
          <w:rFonts w:ascii="Verdana" w:eastAsia="Times New Roman" w:hAnsi="Verdana" w:cs="Arial"/>
          <w:lang w:val="es-ES" w:eastAsia="es-ES"/>
        </w:rPr>
        <w:t>) la administración delegada de recursos –en la que se distinguen los costos de inversión de los honorarios del administrador–.</w:t>
      </w:r>
    </w:p>
    <w:p w14:paraId="4AE54819" w14:textId="77777777" w:rsidR="00313669" w:rsidRPr="00D06743" w:rsidRDefault="00313669" w:rsidP="00313669">
      <w:pPr>
        <w:widowControl w:val="0"/>
        <w:autoSpaceDE w:val="0"/>
        <w:autoSpaceDN w:val="0"/>
        <w:spacing w:after="120" w:line="276" w:lineRule="auto"/>
        <w:jc w:val="both"/>
        <w:rPr>
          <w:rFonts w:ascii="Verdana" w:eastAsia="Times New Roman" w:hAnsi="Verdana" w:cs="Arial"/>
          <w:bCs/>
          <w:lang w:val="es-ES_tradnl" w:eastAsia="es-ES_tradnl"/>
        </w:rPr>
      </w:pPr>
      <w:r w:rsidRPr="00D06743">
        <w:rPr>
          <w:rFonts w:ascii="Verdana" w:eastAsia="Times New Roman" w:hAnsi="Verdana" w:cs="Arial"/>
          <w:bCs/>
          <w:lang w:val="es-ES_tradnl" w:eastAsia="es-ES_tradnl"/>
        </w:rPr>
        <w:tab/>
      </w:r>
    </w:p>
    <w:p w14:paraId="590BB35C" w14:textId="77777777" w:rsidR="00313669" w:rsidRPr="00D06743" w:rsidRDefault="00313669" w:rsidP="00313669">
      <w:pPr>
        <w:widowControl w:val="0"/>
        <w:autoSpaceDE w:val="0"/>
        <w:autoSpaceDN w:val="0"/>
        <w:spacing w:after="120" w:line="276" w:lineRule="auto"/>
        <w:ind w:firstLine="708"/>
        <w:jc w:val="both"/>
        <w:rPr>
          <w:rFonts w:ascii="Verdana" w:eastAsia="Times New Roman" w:hAnsi="Verdana" w:cs="Arial"/>
          <w:lang w:val="es-ES_tradnl" w:eastAsia="es-ES_tradnl"/>
        </w:rPr>
      </w:pPr>
      <w:r w:rsidRPr="00D06743">
        <w:rPr>
          <w:rFonts w:ascii="Verdana" w:eastAsia="Times New Roman" w:hAnsi="Verdana" w:cs="Arial"/>
          <w:lang w:val="es-ES" w:eastAsia="es-ES"/>
        </w:rPr>
        <w:t xml:space="preserve">Por ejemplo,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w:t>
      </w:r>
      <w:r w:rsidRPr="00D06743">
        <w:rPr>
          <w:rFonts w:ascii="Verdana" w:eastAsia="Times New Roman" w:hAnsi="Verdana" w:cs="Arial"/>
          <w:i/>
          <w:lang w:val="es-ES" w:eastAsia="es-ES"/>
        </w:rPr>
        <w:t xml:space="preserve">ítems </w:t>
      </w:r>
      <w:r w:rsidRPr="00D06743">
        <w:rPr>
          <w:rFonts w:ascii="Verdana" w:eastAsia="Times New Roman" w:hAnsi="Verdana" w:cs="Arial"/>
          <w:lang w:val="es-ES" w:eastAsia="es-ES"/>
        </w:rPr>
        <w:t>según su unidad de medida, los costos indirectos se suelen abreviar en las variables que integran el acrónimo AIU –Administración, Imprevistos y Utilidad–, que se calcula como un porcentaje aplicado a los costos indirectos</w:t>
      </w:r>
      <w:r w:rsidRPr="00D06743">
        <w:rPr>
          <w:rFonts w:ascii="Verdana" w:eastAsia="Times New Roman" w:hAnsi="Verdana" w:cs="Arial"/>
          <w:vertAlign w:val="superscript"/>
          <w:lang w:val="es-ES" w:eastAsia="es-ES"/>
        </w:rPr>
        <w:footnoteReference w:id="13"/>
      </w:r>
      <w:r w:rsidRPr="00D06743">
        <w:rPr>
          <w:rFonts w:ascii="Verdana" w:eastAsia="Times New Roman" w:hAnsi="Verdana" w:cs="Arial"/>
          <w:lang w:val="es-ES" w:eastAsia="es-ES"/>
        </w:rPr>
        <w:t>.</w:t>
      </w:r>
    </w:p>
    <w:p w14:paraId="30ECA6D1" w14:textId="77777777" w:rsidR="00313669" w:rsidRPr="00D06743" w:rsidRDefault="00313669" w:rsidP="00313669">
      <w:pPr>
        <w:widowControl w:val="0"/>
        <w:autoSpaceDE w:val="0"/>
        <w:autoSpaceDN w:val="0"/>
        <w:spacing w:after="120" w:line="276" w:lineRule="auto"/>
        <w:jc w:val="both"/>
        <w:rPr>
          <w:rFonts w:ascii="Verdana" w:eastAsia="Times New Roman" w:hAnsi="Verdana" w:cs="Arial"/>
          <w:lang w:val="es-ES" w:eastAsia="es-ES"/>
        </w:rPr>
      </w:pPr>
      <w:r w:rsidRPr="00D06743">
        <w:rPr>
          <w:rFonts w:ascii="Verdana" w:eastAsia="Times New Roman" w:hAnsi="Verdana" w:cs="Arial"/>
          <w:lang w:val="es-ES_tradnl" w:eastAsia="es-ES_tradnl"/>
        </w:rPr>
        <w:tab/>
      </w:r>
      <w:r w:rsidRPr="2570DDEE">
        <w:rPr>
          <w:rFonts w:ascii="Verdana" w:eastAsia="Times New Roman" w:hAnsi="Verdana" w:cs="Arial"/>
          <w:lang w:val="es-ES" w:eastAsia="es-ES"/>
        </w:rPr>
        <w:t xml:space="preserve">En ese orden de ideas, tanto las entidades sometidas al Estatuto General de Contratación de la Administración Pública, como las excluidas de este –es </w:t>
      </w:r>
      <w:r w:rsidRPr="2570DDEE">
        <w:rPr>
          <w:rFonts w:ascii="Verdana" w:eastAsia="Times New Roman" w:hAnsi="Verdana" w:cs="Arial"/>
          <w:lang w:val="es-ES" w:eastAsia="es-ES"/>
        </w:rPr>
        <w:lastRenderedPageBreak/>
        <w:t>decir, las que tienen un régimen especial– gozan de autonomía para configurar el precio y para establecer el sistema de pago más apropiado para satisfacer los fines de la contratación, respetando los límites previstos en el ordenamiento. Para las entidades que se rigen por el Estatuto General de Contratación de la Administración Pública, tal autonomía está reconocida en los artículos 13, 32 y 40 de la Ley 80 de 1993.</w:t>
      </w:r>
    </w:p>
    <w:p w14:paraId="01C863F7" w14:textId="77777777" w:rsidR="00313669" w:rsidRPr="00D06743" w:rsidRDefault="00313669" w:rsidP="00313669">
      <w:pPr>
        <w:widowControl w:val="0"/>
        <w:autoSpaceDE w:val="0"/>
        <w:autoSpaceDN w:val="0"/>
        <w:spacing w:after="120" w:line="276" w:lineRule="auto"/>
        <w:jc w:val="both"/>
        <w:rPr>
          <w:rFonts w:ascii="Verdana" w:eastAsia="Times New Roman" w:hAnsi="Verdana" w:cs="Arial"/>
          <w:lang w:val="es-ES" w:eastAsia="es-ES"/>
        </w:rPr>
      </w:pPr>
      <w:r w:rsidRPr="00D06743">
        <w:rPr>
          <w:rFonts w:ascii="Verdana" w:eastAsia="Times New Roman" w:hAnsi="Verdana" w:cs="Arial"/>
          <w:lang w:val="es-ES_tradnl" w:eastAsia="es-ES_tradnl"/>
        </w:rPr>
        <w:tab/>
      </w:r>
      <w:r w:rsidRPr="2570DDEE">
        <w:rPr>
          <w:rFonts w:ascii="Verdana" w:eastAsia="Times New Roman" w:hAnsi="Verdana" w:cs="Arial"/>
          <w:lang w:val="es-ES" w:eastAsia="es-ES"/>
        </w:rPr>
        <w:t xml:space="preserve">Ahora bien, la ejecución de los contratos estatales está sujeta a los cambios propios del paso del tiempo. Así, durante la etapa de planeación, las entidades públicas estiman y determinan las prestaciones que demanda la satisfacción de la necesidad de interés colectivo que se pretende satisfacer. No obstante, durante la ejecución del contrato, las partes identifican alguna de las siguientes situaciones: i) la necesidad de mayores cantidades de bienes o actividades a los inicialmente previstos, a lo que se conoce como “mayores cantidades de obra”, “obras adicionales” o adición de “ítems contractuales”; y </w:t>
      </w:r>
      <w:proofErr w:type="spellStart"/>
      <w:r w:rsidRPr="2570DDEE">
        <w:rPr>
          <w:rFonts w:ascii="Verdana" w:eastAsia="Times New Roman" w:hAnsi="Verdana" w:cs="Arial"/>
          <w:lang w:val="es-ES" w:eastAsia="es-ES"/>
        </w:rPr>
        <w:t>ii</w:t>
      </w:r>
      <w:proofErr w:type="spellEnd"/>
      <w:r w:rsidRPr="2570DDEE">
        <w:rPr>
          <w:rFonts w:ascii="Verdana" w:eastAsia="Times New Roman" w:hAnsi="Verdana" w:cs="Arial"/>
          <w:lang w:val="es-ES" w:eastAsia="es-ES"/>
        </w:rPr>
        <w:t>) la necesidad de ampliar las prestaciones contractuales, mediante la ejecución de nuevos ítems o actividades, no incluidos en el contrato inicial, para lo que en la práctica las entidades ejecutan “obras extras” o “amplían el alcance” del contrato mediante la celebración de un “contrato adicional”.</w:t>
      </w:r>
    </w:p>
    <w:p w14:paraId="7FAFAB81" w14:textId="77777777" w:rsidR="00313669" w:rsidRPr="00D06743" w:rsidRDefault="00313669" w:rsidP="00313669">
      <w:pPr>
        <w:spacing w:after="120" w:line="276" w:lineRule="auto"/>
        <w:ind w:firstLine="709"/>
        <w:jc w:val="both"/>
        <w:rPr>
          <w:rFonts w:ascii="Verdana" w:eastAsia="Calibri" w:hAnsi="Verdana" w:cs="Arial"/>
          <w:bCs/>
          <w:lang w:val="es-ES_tradnl"/>
        </w:rPr>
      </w:pPr>
      <w:r w:rsidRPr="00D06743">
        <w:rPr>
          <w:rFonts w:ascii="Verdana" w:eastAsia="Times New Roman" w:hAnsi="Verdana" w:cs="Arial"/>
          <w:lang w:val="es-ES" w:eastAsia="es-ES"/>
        </w:rPr>
        <w:t xml:space="preserve">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Lo importante es </w:t>
      </w:r>
      <w:proofErr w:type="gramStart"/>
      <w:r w:rsidRPr="00D06743">
        <w:rPr>
          <w:rFonts w:ascii="Verdana" w:eastAsia="Times New Roman" w:hAnsi="Verdana" w:cs="Arial"/>
          <w:lang w:val="es-ES" w:eastAsia="es-ES"/>
        </w:rPr>
        <w:t>que</w:t>
      </w:r>
      <w:proofErr w:type="gramEnd"/>
      <w:r w:rsidRPr="00D06743">
        <w:rPr>
          <w:rFonts w:ascii="Verdana" w:eastAsia="Times New Roman" w:hAnsi="Verdana" w:cs="Arial"/>
          <w:lang w:val="es-ES" w:eastAsia="es-ES"/>
        </w:rPr>
        <w:t xml:space="preserve"> frente a cualquier incremento del valor inicial del contrato, que es lo que implica una </w:t>
      </w:r>
      <w:r w:rsidRPr="00D06743">
        <w:rPr>
          <w:rFonts w:ascii="Verdana" w:eastAsia="Times New Roman" w:hAnsi="Verdana" w:cs="Arial"/>
          <w:i/>
          <w:lang w:val="es-ES" w:eastAsia="es-ES"/>
        </w:rPr>
        <w:t xml:space="preserve">adición, </w:t>
      </w:r>
      <w:r w:rsidRPr="00D06743">
        <w:rPr>
          <w:rFonts w:ascii="Verdana" w:eastAsia="Times New Roman" w:hAnsi="Verdana" w:cs="Arial"/>
          <w:lang w:val="es-ES" w:eastAsia="es-ES"/>
        </w:rPr>
        <w:t>por cualquiera de los dos supuestos señalados previamente, e independiente del nombre que se le dé al acuerdo, aplica el límite previsto en el parágrafo del artículo 40 de la Ley 80 de 1993:</w:t>
      </w:r>
      <w:r w:rsidRPr="00D06743">
        <w:rPr>
          <w:rFonts w:ascii="Verdana" w:eastAsia="Calibri" w:hAnsi="Verdana" w:cs="Arial"/>
          <w:color w:val="000000"/>
          <w:lang w:val="es-ES"/>
        </w:rPr>
        <w:t xml:space="preserve"> </w:t>
      </w:r>
      <w:r>
        <w:rPr>
          <w:rFonts w:ascii="Verdana" w:eastAsia="Calibri" w:hAnsi="Verdana" w:cs="Arial"/>
          <w:color w:val="000000"/>
          <w:lang w:val="es-ES"/>
        </w:rPr>
        <w:t>“</w:t>
      </w:r>
      <w:r w:rsidRPr="00D06743">
        <w:rPr>
          <w:rFonts w:ascii="Verdana" w:eastAsia="Calibri" w:hAnsi="Verdana" w:cs="Arial"/>
          <w:color w:val="000000"/>
          <w:lang w:val="es-ES"/>
        </w:rPr>
        <w:t>Los contratos no podrán adicionarse en más del cincuenta por ciento (50%) de su valor inicial, expresado éste en salarios mínimos legales mensuales</w:t>
      </w:r>
      <w:r>
        <w:rPr>
          <w:rFonts w:ascii="Verdana" w:eastAsia="Calibri" w:hAnsi="Verdana" w:cs="Arial"/>
          <w:color w:val="000000"/>
          <w:lang w:val="es-ES"/>
        </w:rPr>
        <w:t>”</w:t>
      </w:r>
      <w:r w:rsidRPr="00D06743">
        <w:rPr>
          <w:rFonts w:ascii="Verdana" w:eastAsia="Calibri" w:hAnsi="Verdana" w:cs="Arial"/>
          <w:color w:val="000000"/>
          <w:lang w:val="es-ES"/>
        </w:rPr>
        <w:t xml:space="preserve">. De manera </w:t>
      </w:r>
      <w:proofErr w:type="gramStart"/>
      <w:r w:rsidRPr="00D06743">
        <w:rPr>
          <w:rFonts w:ascii="Verdana" w:eastAsia="Calibri" w:hAnsi="Verdana" w:cs="Arial"/>
          <w:color w:val="000000"/>
          <w:lang w:val="es-ES"/>
        </w:rPr>
        <w:t>que</w:t>
      </w:r>
      <w:proofErr w:type="gramEnd"/>
      <w:r w:rsidRPr="00D06743">
        <w:rPr>
          <w:rFonts w:ascii="Verdana" w:eastAsia="Calibri" w:hAnsi="Verdana" w:cs="Arial"/>
          <w:color w:val="000000"/>
          <w:lang w:val="es-ES"/>
        </w:rPr>
        <w:t xml:space="preserve"> aunque es posible celebrar todos los tipos de acuerdos indicados, siempre se debe observar esta última disposición</w:t>
      </w:r>
      <w:r w:rsidRPr="00D06743">
        <w:rPr>
          <w:rFonts w:ascii="Verdana" w:eastAsia="Calibri" w:hAnsi="Verdana" w:cs="Arial"/>
          <w:color w:val="000000"/>
          <w:vertAlign w:val="superscript"/>
          <w:lang w:val="es-ES"/>
        </w:rPr>
        <w:footnoteReference w:id="14"/>
      </w:r>
      <w:r w:rsidRPr="00D06743">
        <w:rPr>
          <w:rFonts w:ascii="Verdana" w:eastAsia="Calibri" w:hAnsi="Verdana" w:cs="Arial"/>
          <w:color w:val="000000"/>
          <w:lang w:val="es-ES"/>
        </w:rPr>
        <w:t>.</w:t>
      </w:r>
    </w:p>
    <w:p w14:paraId="11537D96" w14:textId="77777777" w:rsidR="00313669" w:rsidRPr="00D06743" w:rsidRDefault="00313669" w:rsidP="00313669">
      <w:pPr>
        <w:widowControl w:val="0"/>
        <w:autoSpaceDE w:val="0"/>
        <w:autoSpaceDN w:val="0"/>
        <w:spacing w:after="120" w:line="276" w:lineRule="auto"/>
        <w:jc w:val="both"/>
        <w:rPr>
          <w:rFonts w:ascii="Verdana" w:eastAsia="Calibri" w:hAnsi="Verdana" w:cs="Arial"/>
          <w:color w:val="000000"/>
          <w:lang w:val="es-ES"/>
        </w:rPr>
      </w:pPr>
      <w:r w:rsidRPr="00D06743">
        <w:rPr>
          <w:rFonts w:ascii="Verdana" w:eastAsia="Times New Roman" w:hAnsi="Verdana" w:cs="Arial"/>
          <w:lang w:val="es-ES_tradnl" w:eastAsia="es-ES_tradnl"/>
        </w:rPr>
        <w:tab/>
      </w:r>
      <w:r w:rsidRPr="2570DDEE">
        <w:rPr>
          <w:rFonts w:ascii="Verdana" w:eastAsia="Times New Roman" w:hAnsi="Verdana" w:cs="Arial"/>
          <w:lang w:val="es-ES" w:eastAsia="es-ES"/>
        </w:rPr>
        <w:t xml:space="preserve">Dicha norma, además de consagrar una prohibición trae implícita una </w:t>
      </w:r>
      <w:r w:rsidRPr="2570DDEE">
        <w:rPr>
          <w:rFonts w:ascii="Verdana" w:eastAsia="Times New Roman" w:hAnsi="Verdana" w:cs="Arial"/>
          <w:lang w:val="es-ES" w:eastAsia="es-ES"/>
        </w:rPr>
        <w:lastRenderedPageBreak/>
        <w:t xml:space="preserve">autorización, consistente en la posibilidad de adicionar los contratos estatales, siempre que no se supere el tope establecido. Ahora bien, teniendo en cuenta que el peticionario indaga sobre la forma de efectuar el cálculo del límite cuantitativo de la adición, basta con remitirse a lo dispuesto en el parágrafo del artículo 40 de la Ley 80 de 1993 </w:t>
      </w:r>
      <w:r w:rsidRPr="2570DDEE">
        <w:rPr>
          <w:rFonts w:ascii="Verdana" w:eastAsia="Calibri" w:hAnsi="Verdana" w:cs="Arial"/>
          <w:color w:val="000000"/>
          <w:lang w:val="es-ES"/>
        </w:rPr>
        <w:t>“Los contratos no podrán adicionarse en más del cincuenta por ciento (50%) de su valor inicial, expresado éste en salarios mínimos legales mensuales”.</w:t>
      </w:r>
    </w:p>
    <w:p w14:paraId="4B05A880" w14:textId="77777777" w:rsidR="00313669" w:rsidRPr="00D06743" w:rsidRDefault="00313669" w:rsidP="00313669">
      <w:pPr>
        <w:widowControl w:val="0"/>
        <w:autoSpaceDE w:val="0"/>
        <w:autoSpaceDN w:val="0"/>
        <w:spacing w:after="120" w:line="276" w:lineRule="auto"/>
        <w:jc w:val="both"/>
        <w:rPr>
          <w:rFonts w:ascii="Verdana" w:eastAsia="Times New Roman" w:hAnsi="Verdana" w:cs="Arial"/>
          <w:lang w:val="es-ES" w:eastAsia="es-ES"/>
        </w:rPr>
      </w:pPr>
      <w:r w:rsidRPr="00D06743">
        <w:rPr>
          <w:rFonts w:ascii="Verdana" w:eastAsia="Calibri" w:hAnsi="Verdana" w:cs="Arial"/>
          <w:color w:val="000000"/>
          <w:lang w:val="es-ES_tradnl"/>
        </w:rPr>
        <w:tab/>
      </w:r>
      <w:r w:rsidRPr="2570DDEE">
        <w:rPr>
          <w:rFonts w:ascii="Verdana" w:eastAsia="Calibri" w:hAnsi="Verdana" w:cs="Arial"/>
          <w:color w:val="000000"/>
          <w:lang w:val="es-ES"/>
        </w:rPr>
        <w:t>En consecuencia, al momento de hacer la adición se debe tener en cuenta que el cálculo del límite debe hacerse en salarios mínimos para efectos de que el cálculo del tope sea preciso, de manera que para adicionar un contrato deber dividirse el valor inicial por el salario mínimo vigente al momento de la suscripción del contrato, y luego dividirlo por 2; el resultado obtenido constituirá el número del SMMLV por los cuales podrá adicionarse el contrato. En ese sentido, para evitar equivocaciones, lo ideal es que cada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w:t>
      </w:r>
    </w:p>
    <w:p w14:paraId="331E1B81" w14:textId="77777777" w:rsidR="00313669" w:rsidRDefault="00313669" w:rsidP="00313669">
      <w:pPr>
        <w:widowControl w:val="0"/>
        <w:autoSpaceDE w:val="0"/>
        <w:autoSpaceDN w:val="0"/>
        <w:spacing w:line="276" w:lineRule="auto"/>
        <w:ind w:firstLine="709"/>
        <w:jc w:val="both"/>
        <w:rPr>
          <w:rFonts w:ascii="Verdana" w:eastAsia="Arial" w:hAnsi="Verdana" w:cs="Arial"/>
          <w:color w:val="000000"/>
          <w:lang w:val="es-ES" w:eastAsia="es-ES" w:bidi="es-ES"/>
        </w:rPr>
      </w:pPr>
      <w:r w:rsidRPr="00D06743">
        <w:rPr>
          <w:rFonts w:ascii="Verdana" w:eastAsia="Arial" w:hAnsi="Verdana" w:cs="Arial"/>
          <w:color w:val="000000"/>
          <w:lang w:val="es-ES" w:eastAsia="es-ES" w:bidi="es-ES"/>
        </w:rPr>
        <w:t>El razonamiento anterior se soporta en la forma como la Ley 80 de 1993 estableció el tope para las adiciones, acudiendo a una forma de actualización del valor, de acuerdo con los incrementos que tenga el salario mínimo, lo que resulta especialmente relevante en contratos de larga duración.</w:t>
      </w:r>
    </w:p>
    <w:p w14:paraId="2511F802" w14:textId="77777777" w:rsidR="00313669" w:rsidRDefault="00313669" w:rsidP="00313669">
      <w:pPr>
        <w:widowControl w:val="0"/>
        <w:autoSpaceDE w:val="0"/>
        <w:autoSpaceDN w:val="0"/>
        <w:spacing w:line="276" w:lineRule="auto"/>
        <w:ind w:firstLine="709"/>
        <w:jc w:val="both"/>
        <w:rPr>
          <w:rFonts w:ascii="Verdana" w:eastAsia="Calibri" w:hAnsi="Verdana" w:cs="Arial"/>
          <w:lang w:eastAsia="es-ES"/>
        </w:rPr>
      </w:pPr>
      <w:r w:rsidRPr="005B0D68">
        <w:rPr>
          <w:rFonts w:ascii="Verdana" w:eastAsia="Calibri" w:hAnsi="Verdana" w:cs="Arial"/>
          <w:lang w:eastAsia="es-ES"/>
        </w:rPr>
        <w:t>En el marco del régimen general de contratación estatal, no existe disposición legal que prohíba de manera expresa la adición de contratos celebrados bajo la modalidad de mínima cuantía, salvo la restricción general prevista en el artículo 40 de la Ley 80 de 1993, conforme a la cual las adiciones al valor del contrato no podrán exceder el cincuenta por ciento (50%) del valor inicial pactado, expresado en salarios mínimos legales mensuales vigentes al momento de su celebración.</w:t>
      </w:r>
    </w:p>
    <w:p w14:paraId="3D643DE4" w14:textId="77777777" w:rsidR="00313669" w:rsidRDefault="00313669" w:rsidP="00313669">
      <w:pPr>
        <w:widowControl w:val="0"/>
        <w:autoSpaceDE w:val="0"/>
        <w:autoSpaceDN w:val="0"/>
        <w:spacing w:line="276" w:lineRule="auto"/>
        <w:ind w:firstLine="709"/>
        <w:jc w:val="both"/>
        <w:rPr>
          <w:rFonts w:ascii="Verdana" w:eastAsia="Calibri" w:hAnsi="Verdana" w:cs="Arial"/>
          <w:lang w:eastAsia="es-ES"/>
        </w:rPr>
      </w:pPr>
      <w:r w:rsidRPr="005B0D68">
        <w:rPr>
          <w:rFonts w:ascii="Verdana" w:eastAsia="Calibri" w:hAnsi="Verdana" w:cs="Arial"/>
          <w:lang w:eastAsia="es-ES"/>
        </w:rPr>
        <w:t xml:space="preserve">Sin embargo, cuando la adición proyectada tenga como consecuencia que el valor total del contrato exceda el umbral cuantitativo que delimita la modalidad de mínima cuantía aplicable a la entidad contratante, resulta necesario efectuar un examen sustantivo a la luz de los principios que rigen la </w:t>
      </w:r>
      <w:r w:rsidRPr="005B0D68">
        <w:rPr>
          <w:rFonts w:ascii="Verdana" w:eastAsia="Calibri" w:hAnsi="Verdana" w:cs="Arial"/>
          <w:lang w:eastAsia="es-ES"/>
        </w:rPr>
        <w:lastRenderedPageBreak/>
        <w:t>contratación estatal, particularmente los de planeación, transparencia, economía y selección objetiva consagrados en el artículo 23 de la Ley 80 de 1993.</w:t>
      </w:r>
    </w:p>
    <w:p w14:paraId="4AB32F65" w14:textId="507F17D0" w:rsidR="00A8323A" w:rsidRPr="00676FD9" w:rsidRDefault="00313669" w:rsidP="00313669">
      <w:pPr>
        <w:widowControl w:val="0"/>
        <w:autoSpaceDE w:val="0"/>
        <w:autoSpaceDN w:val="0"/>
        <w:spacing w:after="0" w:line="276" w:lineRule="auto"/>
        <w:ind w:firstLine="709"/>
        <w:jc w:val="both"/>
        <w:rPr>
          <w:rFonts w:ascii="Verdana" w:eastAsia="Calibri" w:hAnsi="Verdana" w:cs="Arial"/>
          <w:lang w:eastAsia="es-ES"/>
        </w:rPr>
      </w:pPr>
      <w:r>
        <w:rPr>
          <w:rFonts w:ascii="Verdana" w:eastAsia="Calibri" w:hAnsi="Verdana" w:cs="Arial"/>
          <w:lang w:eastAsia="es-ES"/>
        </w:rPr>
        <w:t>Así las cosas y en línea con lo previsto en el concepto C-030 del 23 de marzo de 2023</w:t>
      </w:r>
      <w:r w:rsidR="3057C955" w:rsidRPr="2570DDEE">
        <w:rPr>
          <w:rFonts w:ascii="Verdana" w:eastAsia="Calibri" w:hAnsi="Verdana" w:cs="Arial"/>
          <w:lang w:eastAsia="es-ES"/>
        </w:rPr>
        <w:t xml:space="preserve"> de esta Subdirección</w:t>
      </w:r>
      <w:r>
        <w:rPr>
          <w:rFonts w:ascii="Verdana" w:eastAsia="Calibri" w:hAnsi="Verdana" w:cs="Arial"/>
          <w:lang w:eastAsia="es-ES"/>
        </w:rPr>
        <w:t>,</w:t>
      </w:r>
      <w:r w:rsidRPr="005B0D68">
        <w:rPr>
          <w:rFonts w:ascii="Verdana" w:eastAsia="Calibri" w:hAnsi="Verdana" w:cs="Arial"/>
          <w:lang w:eastAsia="es-ES"/>
        </w:rPr>
        <w:t xml:space="preserve"> la viabilidad jurídica de la adición en un contrato celebrado por mínima cuantía solo se configura en situaciones excepcionales y debidamente justificadas, en las cuales la necesidad adicional surja de circunstancias sobrevinientes e imprevisibles al momento de la contratación, y siempre que la entidad acredite el cumplimiento del principio de planeación y observe los límites materiales y porcentuales establecidos en el artículo 40 de la Ley 80 de 1993.</w:t>
      </w:r>
    </w:p>
    <w:p w14:paraId="0B5027C2" w14:textId="77777777" w:rsidR="00313669" w:rsidRDefault="00313669" w:rsidP="00A8323A">
      <w:pPr>
        <w:widowControl w:val="0"/>
        <w:autoSpaceDE w:val="0"/>
        <w:autoSpaceDN w:val="0"/>
        <w:spacing w:after="0" w:line="276" w:lineRule="auto"/>
        <w:ind w:firstLine="709"/>
        <w:jc w:val="both"/>
        <w:rPr>
          <w:rFonts w:ascii="Verdana" w:eastAsia="Calibri" w:hAnsi="Verdana" w:cs="Arial"/>
          <w:lang w:val="es-ES" w:eastAsia="es-MX"/>
        </w:rPr>
      </w:pPr>
    </w:p>
    <w:bookmarkEnd w:id="7"/>
    <w:p w14:paraId="1D120316" w14:textId="77777777" w:rsidR="00313669" w:rsidRPr="00C71956" w:rsidRDefault="00313669" w:rsidP="00313669">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70D3304" w14:textId="77777777" w:rsidR="00313669" w:rsidRDefault="00313669" w:rsidP="00313669">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06AF9FE" w14:textId="77777777" w:rsidR="00313669" w:rsidRPr="0060676F" w:rsidRDefault="00313669" w:rsidP="00313669">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3056170" w14:textId="77777777" w:rsidR="00313669" w:rsidRPr="00593A5F" w:rsidRDefault="00313669" w:rsidP="0031366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13669" w:rsidRPr="00593A5F" w14:paraId="368F9BFF" w14:textId="77777777" w:rsidTr="00E11A84">
        <w:trPr>
          <w:trHeight w:val="870"/>
        </w:trPr>
        <w:tc>
          <w:tcPr>
            <w:tcW w:w="8647" w:type="dxa"/>
          </w:tcPr>
          <w:p w14:paraId="5077C932" w14:textId="77777777" w:rsidR="00313669" w:rsidRDefault="00313669" w:rsidP="00313669">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Código de Comercio: Artículo 515.</w:t>
            </w:r>
          </w:p>
          <w:p w14:paraId="1E6E7642" w14:textId="77777777" w:rsidR="00313669" w:rsidRPr="00960F72" w:rsidRDefault="00313669" w:rsidP="00313669">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Ley 1150 de 2007: Artículo 5 y artículo 6. </w:t>
            </w:r>
          </w:p>
          <w:p w14:paraId="0EBB7575" w14:textId="77777777" w:rsidR="00313669" w:rsidRPr="00960F72" w:rsidRDefault="00313669" w:rsidP="00313669">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Ley 1437 de 2011: Artículo 44. </w:t>
            </w:r>
          </w:p>
          <w:p w14:paraId="4895B4D0" w14:textId="77777777" w:rsidR="00313669" w:rsidRPr="00960F72" w:rsidRDefault="00313669" w:rsidP="00313669">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Decreto 1082 de 2015: Numeral 5 del artículo 2.2.1.1.2.1.3 y artículo 2.2.1.1.1.6.2. </w:t>
            </w:r>
          </w:p>
          <w:p w14:paraId="324668F4" w14:textId="77777777" w:rsidR="00313669" w:rsidRPr="00960F72" w:rsidRDefault="00313669" w:rsidP="00313669">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lastRenderedPageBreak/>
              <w:t>Corte Constitucional. Sala Plena. Sentencia C 178 de 29 de abril de 1996. Magistrado Ponente: Antonio Barrera Carbonell. Expediente No. D-974.</w:t>
            </w:r>
          </w:p>
          <w:p w14:paraId="523526DD" w14:textId="77777777" w:rsidR="00313669" w:rsidRPr="00960F72" w:rsidRDefault="00313669" w:rsidP="00313669">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Consejo de Estado. Sección Tercera. Subsección A. Sentencia del 12 de febrero de 2014. </w:t>
            </w:r>
            <w:proofErr w:type="spellStart"/>
            <w:r w:rsidRPr="00960F72">
              <w:rPr>
                <w:rFonts w:ascii="Verdana" w:eastAsia="Calibri" w:hAnsi="Verdana" w:cs="Arial"/>
                <w:lang w:val="es-CO" w:eastAsia="es-MX"/>
              </w:rPr>
              <w:t>Exp</w:t>
            </w:r>
            <w:proofErr w:type="spellEnd"/>
            <w:r w:rsidRPr="00960F72">
              <w:rPr>
                <w:rFonts w:ascii="Verdana" w:eastAsia="Calibri" w:hAnsi="Verdana" w:cs="Arial"/>
                <w:lang w:val="es-CO" w:eastAsia="es-MX"/>
              </w:rPr>
              <w:t xml:space="preserve">. 31.753. C.P. Mauricio Fajardo Gómez. </w:t>
            </w:r>
          </w:p>
          <w:p w14:paraId="5C20DE66" w14:textId="77777777" w:rsidR="00313669" w:rsidRPr="00960F72" w:rsidRDefault="00313669" w:rsidP="00313669">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Consejo de Estado. Sala de Consulta y Servicio Civil. Consejero Ponente: Álvaro </w:t>
            </w:r>
            <w:proofErr w:type="spellStart"/>
            <w:r w:rsidRPr="00960F72">
              <w:rPr>
                <w:rFonts w:ascii="Verdana" w:eastAsia="Calibri" w:hAnsi="Verdana" w:cs="Arial"/>
                <w:lang w:val="es-CO" w:eastAsia="es-MX"/>
              </w:rPr>
              <w:t>Namén</w:t>
            </w:r>
            <w:proofErr w:type="spellEnd"/>
            <w:r w:rsidRPr="00960F72">
              <w:rPr>
                <w:rFonts w:ascii="Verdana" w:eastAsia="Calibri" w:hAnsi="Verdana" w:cs="Arial"/>
                <w:lang w:val="es-CO" w:eastAsia="es-MX"/>
              </w:rPr>
              <w:t xml:space="preserve"> Vargas. Bogotá, 10 de agosto de 2015. Radicación número: 11001-03-06-000-2015-00118-00(2.260).</w:t>
            </w:r>
          </w:p>
          <w:p w14:paraId="7400E164" w14:textId="77777777" w:rsidR="00313669" w:rsidRPr="00960F72" w:rsidRDefault="00313669" w:rsidP="00313669">
            <w:pPr>
              <w:pStyle w:val="Prrafodelista"/>
              <w:numPr>
                <w:ilvl w:val="0"/>
                <w:numId w:val="17"/>
              </w:numPr>
              <w:spacing w:line="276" w:lineRule="auto"/>
              <w:ind w:left="357" w:hanging="357"/>
              <w:contextualSpacing w:val="0"/>
              <w:jc w:val="both"/>
              <w:rPr>
                <w:rFonts w:ascii="Verdana" w:hAnsi="Verdana" w:cs="Arial"/>
                <w:color w:val="000000" w:themeColor="text1"/>
                <w:lang w:val="es-CO"/>
              </w:rPr>
            </w:pPr>
            <w:r w:rsidRPr="00960F72">
              <w:rPr>
                <w:rFonts w:ascii="Verdana" w:eastAsia="Calibri" w:hAnsi="Verdana" w:cs="Arial"/>
                <w:lang w:val="es-CO" w:eastAsia="es-MX"/>
              </w:rPr>
              <w:t xml:space="preserve">Agencia Nacional de Contratación Pública – Colombia Compra Eficiente. Manual para determinar y verificar los requisitos habilitantes en los Procesos de Contratación. Disponible en: </w:t>
            </w:r>
            <w:hyperlink r:id="rId11" w:history="1">
              <w:r w:rsidRPr="00960F72">
                <w:rPr>
                  <w:rStyle w:val="Hipervnculo"/>
                  <w:rFonts w:ascii="Verdana" w:eastAsia="Calibri" w:hAnsi="Verdana" w:cs="Arial"/>
                  <w:lang w:val="es-CO" w:eastAsia="es-MX"/>
                </w:rPr>
                <w:t>https://colombiacompra.gov.co/manuales-guias-y-pliegos-tipo/manuales-y-guias</w:t>
              </w:r>
            </w:hyperlink>
            <w:r w:rsidRPr="00960F72">
              <w:rPr>
                <w:rFonts w:ascii="Verdana" w:eastAsia="Calibri" w:hAnsi="Verdana" w:cs="Arial"/>
                <w:lang w:val="es-CO" w:eastAsia="es-MX"/>
              </w:rPr>
              <w:t xml:space="preserve"> </w:t>
            </w:r>
          </w:p>
          <w:p w14:paraId="60D3C092" w14:textId="77777777" w:rsidR="00313669" w:rsidRPr="0003480F" w:rsidRDefault="00313669" w:rsidP="00E11A84">
            <w:pPr>
              <w:widowControl w:val="0"/>
              <w:autoSpaceDE w:val="0"/>
              <w:autoSpaceDN w:val="0"/>
              <w:spacing w:after="120" w:line="276" w:lineRule="auto"/>
              <w:ind w:left="720"/>
              <w:jc w:val="both"/>
              <w:rPr>
                <w:rFonts w:ascii="Verdana" w:hAnsi="Verdana" w:cs="Arial"/>
                <w:color w:val="000000" w:themeColor="text1"/>
              </w:rPr>
            </w:pPr>
          </w:p>
        </w:tc>
      </w:tr>
    </w:tbl>
    <w:p w14:paraId="3E606240" w14:textId="77777777" w:rsidR="00313669" w:rsidRDefault="00313669" w:rsidP="003136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2A5F836" w14:textId="77777777" w:rsidR="00313669" w:rsidRDefault="00313669" w:rsidP="00313669">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42FE39F" w14:textId="77777777" w:rsidR="00313669" w:rsidRPr="00593A5F" w:rsidRDefault="00313669" w:rsidP="003136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C3C007C" w14:textId="77777777" w:rsidR="00313669" w:rsidRPr="00AE7E03" w:rsidRDefault="00313669" w:rsidP="00313669">
      <w:pPr>
        <w:widowControl w:val="0"/>
        <w:autoSpaceDE w:val="0"/>
        <w:autoSpaceDN w:val="0"/>
        <w:spacing w:after="0" w:line="276" w:lineRule="auto"/>
        <w:jc w:val="both"/>
        <w:rPr>
          <w:rFonts w:ascii="Verdana" w:eastAsia="Arial" w:hAnsi="Verdana" w:cs="Arial"/>
          <w:lang w:val="es-MX" w:eastAsia="es-ES"/>
        </w:rPr>
      </w:pPr>
      <w:r w:rsidRPr="00676FD9">
        <w:rPr>
          <w:rFonts w:ascii="Verdana" w:eastAsia="Calibri" w:hAnsi="Verdana" w:cs="Arial"/>
          <w:color w:val="000000" w:themeColor="text1"/>
          <w:lang w:eastAsia="es-ES_tradnl"/>
        </w:rPr>
        <w:t>La Agencia Nacional de Contratación Pública –Colombia Compra Eficiente– se refirió a la definición y los límites de la adición del contrato estatal en los conceptos C-062 del 25 de marzo de 2020, C-063 del 10 de marzo de 2021, C-277 del 21 de junio de 2021, C-411 del 17 de agosto de 2021, C-579 del 9 de noviembre de 2021, C-092 del 22 de marzo de 2022, C-152 del 1 de abril de 2022, C-784 del 21 de noviembre de 2022</w:t>
      </w:r>
      <w:r>
        <w:rPr>
          <w:rFonts w:ascii="Verdana" w:eastAsia="Calibri" w:hAnsi="Verdana" w:cs="Arial"/>
          <w:color w:val="000000" w:themeColor="text1"/>
          <w:lang w:eastAsia="es-ES_tradnl"/>
        </w:rPr>
        <w:t xml:space="preserve">, </w:t>
      </w:r>
      <w:r w:rsidRPr="00676FD9">
        <w:rPr>
          <w:rFonts w:ascii="Verdana" w:eastAsia="Calibri" w:hAnsi="Verdana" w:cs="Arial"/>
          <w:color w:val="000000" w:themeColor="text1"/>
          <w:lang w:eastAsia="es-ES_tradnl"/>
        </w:rPr>
        <w:t>C-816 del 28 de noviembre de 2022</w:t>
      </w:r>
      <w:r>
        <w:rPr>
          <w:rFonts w:ascii="Verdana" w:hAnsi="Verdana" w:cs="Arial"/>
          <w:shd w:val="clear" w:color="auto" w:fill="FFFFFF"/>
        </w:rPr>
        <w:t xml:space="preserve"> y </w:t>
      </w:r>
      <w:r>
        <w:rPr>
          <w:rFonts w:ascii="Verdana" w:eastAsia="Calibri" w:hAnsi="Verdana" w:cs="Arial"/>
          <w:lang w:eastAsia="es-ES"/>
        </w:rPr>
        <w:t xml:space="preserve">C-030 del 23 de marzo de 2023, </w:t>
      </w:r>
      <w:r w:rsidRPr="00960F72">
        <w:rPr>
          <w:rFonts w:ascii="Verdana" w:hAnsi="Verdana" w:cs="Arial"/>
          <w:shd w:val="clear" w:color="auto" w:fill="FFFFFF"/>
        </w:rPr>
        <w:t>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4EB77F3" w14:textId="77777777" w:rsidR="00313669" w:rsidRPr="0065720B" w:rsidRDefault="00EA08E3" w:rsidP="00313669">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313669" w:rsidRPr="00191357">
          <w:rPr>
            <w:rStyle w:val="Hipervnculo"/>
            <w:rFonts w:ascii="Verdana" w:eastAsia="Calibri" w:hAnsi="Verdana" w:cs="Times New Roman"/>
            <w:lang w:val="es-ES"/>
          </w:rPr>
          <w:t>https://relatoria.colombiacompra.gov.co/busqueda/conceptos</w:t>
        </w:r>
      </w:hyperlink>
      <w:r w:rsidR="00313669" w:rsidRPr="00185EE9">
        <w:rPr>
          <w:rFonts w:ascii="Verdana" w:eastAsia="Calibri" w:hAnsi="Verdana" w:cs="Times New Roman"/>
        </w:rPr>
        <w:t>.</w:t>
      </w:r>
    </w:p>
    <w:p w14:paraId="38659C7D" w14:textId="77777777" w:rsidR="00313669" w:rsidRPr="00505CD6" w:rsidRDefault="00313669" w:rsidP="00313669">
      <w:pPr>
        <w:widowControl w:val="0"/>
        <w:autoSpaceDE w:val="0"/>
        <w:autoSpaceDN w:val="0"/>
        <w:spacing w:after="0" w:line="276" w:lineRule="auto"/>
        <w:jc w:val="both"/>
        <w:rPr>
          <w:rFonts w:ascii="Verdana" w:hAnsi="Verdana" w:cs="Arial"/>
          <w:color w:val="000000" w:themeColor="text1"/>
          <w:shd w:val="clear" w:color="auto" w:fill="FFFFFF"/>
        </w:rPr>
      </w:pPr>
    </w:p>
    <w:p w14:paraId="2D3140E0" w14:textId="77777777" w:rsidR="00313669" w:rsidRPr="00103B90" w:rsidRDefault="00313669" w:rsidP="00313669">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5592A691" w14:textId="77777777" w:rsidR="00313669" w:rsidRPr="00103B90" w:rsidRDefault="00313669" w:rsidP="00313669">
      <w:pPr>
        <w:widowControl w:val="0"/>
        <w:autoSpaceDE w:val="0"/>
        <w:autoSpaceDN w:val="0"/>
        <w:spacing w:after="0" w:line="276" w:lineRule="auto"/>
        <w:jc w:val="both"/>
        <w:rPr>
          <w:rFonts w:ascii="Verdana" w:hAnsi="Verdana"/>
        </w:rPr>
      </w:pPr>
    </w:p>
    <w:p w14:paraId="760CF6AB" w14:textId="77777777" w:rsidR="00313669" w:rsidRPr="00505CD6" w:rsidRDefault="00313669" w:rsidP="00313669">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A5FF0D6" w14:textId="77777777" w:rsidR="00313669" w:rsidRPr="00505CD6" w:rsidRDefault="00313669" w:rsidP="00313669">
      <w:pPr>
        <w:widowControl w:val="0"/>
        <w:autoSpaceDE w:val="0"/>
        <w:autoSpaceDN w:val="0"/>
        <w:spacing w:after="0" w:line="276" w:lineRule="auto"/>
        <w:jc w:val="both"/>
        <w:rPr>
          <w:rFonts w:ascii="Verdana" w:hAnsi="Verdana" w:cs="Arial"/>
        </w:rPr>
      </w:pPr>
    </w:p>
    <w:p w14:paraId="7DA71F2D" w14:textId="77777777" w:rsidR="00313669" w:rsidRDefault="00313669" w:rsidP="00313669">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162F734" w14:textId="77777777" w:rsidR="00A20CE1" w:rsidRDefault="00A20CE1" w:rsidP="00313669">
      <w:pPr>
        <w:spacing w:line="276" w:lineRule="auto"/>
        <w:jc w:val="center"/>
        <w:rPr>
          <w:noProof/>
        </w:rPr>
      </w:pPr>
    </w:p>
    <w:p w14:paraId="0F63EE99" w14:textId="0DED320B" w:rsidR="00313669" w:rsidRDefault="00A20CE1" w:rsidP="00313669">
      <w:pPr>
        <w:spacing w:line="276" w:lineRule="auto"/>
        <w:jc w:val="center"/>
        <w:rPr>
          <w:noProof/>
        </w:rPr>
      </w:pPr>
      <w:r>
        <w:rPr>
          <w:noProof/>
        </w:rPr>
        <w:drawing>
          <wp:inline distT="0" distB="0" distL="0" distR="0" wp14:anchorId="51CEECFE" wp14:editId="3CEBC3C1">
            <wp:extent cx="3249930" cy="1395139"/>
            <wp:effectExtent l="0" t="0" r="7620" b="0"/>
            <wp:docPr id="158964414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53674" cy="1396746"/>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13669" w:rsidRPr="00593A5F" w14:paraId="175D15DD" w14:textId="77777777" w:rsidTr="00E11A84">
        <w:trPr>
          <w:trHeight w:val="315"/>
        </w:trPr>
        <w:tc>
          <w:tcPr>
            <w:tcW w:w="893" w:type="dxa"/>
            <w:vAlign w:val="center"/>
            <w:hideMark/>
          </w:tcPr>
          <w:p w14:paraId="07C510C4" w14:textId="77777777" w:rsidR="00313669" w:rsidRPr="003751C7" w:rsidRDefault="00313669"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E20F6FC" w14:textId="77777777" w:rsidR="00313669" w:rsidRPr="007911EE" w:rsidRDefault="00313669" w:rsidP="00E11A84">
            <w:pPr>
              <w:contextualSpacing/>
              <w:rPr>
                <w:rFonts w:ascii="Verdana" w:hAnsi="Verdana"/>
                <w:sz w:val="16"/>
                <w:szCs w:val="16"/>
              </w:rPr>
            </w:pPr>
            <w:r>
              <w:rPr>
                <w:rFonts w:ascii="Verdana" w:hAnsi="Verdana"/>
                <w:sz w:val="16"/>
                <w:szCs w:val="16"/>
              </w:rPr>
              <w:t>Daniel Eduardo Rojas Poveda</w:t>
            </w:r>
          </w:p>
          <w:p w14:paraId="41AFFBD6" w14:textId="77777777" w:rsidR="00313669" w:rsidRPr="007911EE" w:rsidRDefault="00313669"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313669" w:rsidRPr="00593A5F" w14:paraId="1C93F519" w14:textId="77777777" w:rsidTr="00E11A84">
        <w:trPr>
          <w:trHeight w:val="330"/>
        </w:trPr>
        <w:tc>
          <w:tcPr>
            <w:tcW w:w="893" w:type="dxa"/>
            <w:vAlign w:val="center"/>
            <w:hideMark/>
          </w:tcPr>
          <w:p w14:paraId="691C7FF2" w14:textId="77777777" w:rsidR="00313669" w:rsidRPr="003751C7" w:rsidRDefault="00313669"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655DC1" w14:textId="77777777" w:rsidR="00313669" w:rsidRDefault="00313669" w:rsidP="00E11A84">
            <w:pPr>
              <w:spacing w:line="276" w:lineRule="auto"/>
              <w:contextualSpacing/>
              <w:jc w:val="both"/>
              <w:rPr>
                <w:rFonts w:ascii="Verdana" w:hAnsi="Verdana"/>
                <w:sz w:val="16"/>
                <w:szCs w:val="16"/>
              </w:rPr>
            </w:pPr>
            <w:r w:rsidRPr="00CC5B4B">
              <w:rPr>
                <w:rFonts w:ascii="Verdana" w:hAnsi="Verdana"/>
                <w:sz w:val="16"/>
                <w:szCs w:val="16"/>
              </w:rPr>
              <w:t>Juan Carlos González</w:t>
            </w:r>
            <w:r>
              <w:rPr>
                <w:rFonts w:ascii="Verdana" w:hAnsi="Verdana"/>
                <w:sz w:val="16"/>
                <w:szCs w:val="16"/>
              </w:rPr>
              <w:t xml:space="preserve"> Vásquez</w:t>
            </w:r>
          </w:p>
          <w:p w14:paraId="1CCA6BBD" w14:textId="77777777" w:rsidR="00313669" w:rsidRPr="007911EE" w:rsidRDefault="00313669"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313669" w:rsidRPr="00593A5F" w14:paraId="77FC669B" w14:textId="77777777" w:rsidTr="00E11A84">
        <w:trPr>
          <w:trHeight w:val="330"/>
        </w:trPr>
        <w:tc>
          <w:tcPr>
            <w:tcW w:w="893" w:type="dxa"/>
            <w:vAlign w:val="center"/>
          </w:tcPr>
          <w:p w14:paraId="732E85D6" w14:textId="77777777" w:rsidR="00313669" w:rsidRPr="003751C7" w:rsidRDefault="00313669"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D16710" w14:textId="77777777" w:rsidR="00313669" w:rsidRDefault="00313669" w:rsidP="00E11A8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2E6BC8A0" w14:textId="77777777" w:rsidR="00313669" w:rsidRDefault="00313669"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8F94943" w14:textId="77777777" w:rsidR="00313669" w:rsidRPr="00F30C63" w:rsidRDefault="00313669" w:rsidP="00313669"/>
    <w:p w14:paraId="0F293BF4" w14:textId="6B0BC0B2" w:rsidR="00127233" w:rsidRPr="004512C6" w:rsidRDefault="00127233" w:rsidP="004512C6"/>
    <w:sectPr w:rsidR="00127233" w:rsidRPr="004512C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F1A43" w14:textId="77777777" w:rsidR="00DA6397" w:rsidRDefault="00DA6397" w:rsidP="004A1847">
      <w:pPr>
        <w:spacing w:after="0" w:line="240" w:lineRule="auto"/>
      </w:pPr>
      <w:r>
        <w:separator/>
      </w:r>
    </w:p>
  </w:endnote>
  <w:endnote w:type="continuationSeparator" w:id="0">
    <w:p w14:paraId="6184F77C" w14:textId="77777777" w:rsidR="00DA6397" w:rsidRDefault="00DA6397" w:rsidP="004A1847">
      <w:pPr>
        <w:spacing w:after="0" w:line="240" w:lineRule="auto"/>
      </w:pPr>
      <w:r>
        <w:continuationSeparator/>
      </w:r>
    </w:p>
  </w:endnote>
  <w:endnote w:type="continuationNotice" w:id="1">
    <w:p w14:paraId="27F61560" w14:textId="77777777" w:rsidR="00DA6397" w:rsidRDefault="00DA63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ABE56" w14:textId="77777777" w:rsidR="00DA6397" w:rsidRDefault="00DA6397" w:rsidP="004A1847">
      <w:pPr>
        <w:spacing w:after="0" w:line="240" w:lineRule="auto"/>
      </w:pPr>
      <w:r>
        <w:separator/>
      </w:r>
    </w:p>
  </w:footnote>
  <w:footnote w:type="continuationSeparator" w:id="0">
    <w:p w14:paraId="02295119" w14:textId="77777777" w:rsidR="00DA6397" w:rsidRDefault="00DA6397" w:rsidP="004A1847">
      <w:pPr>
        <w:spacing w:after="0" w:line="240" w:lineRule="auto"/>
      </w:pPr>
      <w:r>
        <w:continuationSeparator/>
      </w:r>
    </w:p>
  </w:footnote>
  <w:footnote w:type="continuationNotice" w:id="1">
    <w:p w14:paraId="031464D3" w14:textId="77777777" w:rsidR="00DA6397" w:rsidRDefault="00DA6397">
      <w:pPr>
        <w:spacing w:after="0" w:line="240" w:lineRule="auto"/>
      </w:pPr>
    </w:p>
  </w:footnote>
  <w:footnote w:id="2">
    <w:p w14:paraId="5AEC8A13" w14:textId="77777777" w:rsidR="00313669" w:rsidRPr="00D06743" w:rsidRDefault="00313669" w:rsidP="00313669">
      <w:pPr>
        <w:pStyle w:val="Textonotapie"/>
        <w:ind w:firstLine="708"/>
        <w:rPr>
          <w:rFonts w:ascii="Verdana" w:hAnsi="Verdana"/>
          <w:sz w:val="16"/>
          <w:szCs w:val="16"/>
          <w:lang w:val="es-ES"/>
        </w:rPr>
      </w:pPr>
      <w:r w:rsidRPr="00D06743">
        <w:rPr>
          <w:rStyle w:val="Refdenotaalpie"/>
          <w:rFonts w:ascii="Verdana" w:hAnsi="Verdana"/>
          <w:sz w:val="16"/>
          <w:szCs w:val="16"/>
        </w:rPr>
        <w:footnoteRef/>
      </w:r>
      <w:r w:rsidRPr="00D06743">
        <w:rPr>
          <w:rFonts w:ascii="Verdana" w:hAnsi="Verdana"/>
          <w:sz w:val="16"/>
          <w:szCs w:val="16"/>
        </w:rPr>
        <w:t xml:space="preserve"> </w:t>
      </w:r>
      <w:r w:rsidRPr="00D06743">
        <w:rPr>
          <w:rStyle w:val="normaltextrun"/>
          <w:rFonts w:ascii="Verdana" w:hAnsi="Verdana" w:cs="Arial"/>
          <w:color w:val="000000"/>
          <w:sz w:val="16"/>
          <w:szCs w:val="16"/>
          <w:bdr w:val="none" w:sz="0" w:space="0" w:color="auto" w:frame="1"/>
          <w:lang w:val="es-ES"/>
        </w:rPr>
        <w:t>Esto lo ratifica el artículo 2.2.1.2.1.5.2. del Decreto 1082 de 2015</w:t>
      </w:r>
    </w:p>
  </w:footnote>
  <w:footnote w:id="3">
    <w:p w14:paraId="3F79F08A" w14:textId="77777777" w:rsidR="00313669" w:rsidRPr="00D06743" w:rsidRDefault="00313669" w:rsidP="00313669">
      <w:pPr>
        <w:pStyle w:val="paragraph"/>
        <w:spacing w:before="0" w:beforeAutospacing="0" w:after="0" w:afterAutospacing="0"/>
        <w:jc w:val="both"/>
        <w:textAlignment w:val="baseline"/>
        <w:rPr>
          <w:rFonts w:ascii="Verdana" w:hAnsi="Verdana" w:cs="Arial"/>
          <w:sz w:val="16"/>
          <w:szCs w:val="16"/>
        </w:rPr>
      </w:pPr>
      <w:r w:rsidRPr="00D06743">
        <w:rPr>
          <w:rFonts w:ascii="Verdana" w:hAnsi="Verdana" w:cs="Arial"/>
          <w:sz w:val="16"/>
          <w:szCs w:val="16"/>
        </w:rPr>
        <w:tab/>
      </w:r>
    </w:p>
    <w:p w14:paraId="440DBEB7" w14:textId="77777777" w:rsidR="00313669" w:rsidRPr="00D06743" w:rsidRDefault="00313669" w:rsidP="00313669">
      <w:pPr>
        <w:pStyle w:val="paragraph"/>
        <w:spacing w:before="0" w:beforeAutospacing="0" w:after="0" w:afterAutospacing="0"/>
        <w:ind w:firstLine="708"/>
        <w:jc w:val="both"/>
        <w:textAlignment w:val="baseline"/>
        <w:rPr>
          <w:rFonts w:ascii="Verdana" w:hAnsi="Verdana" w:cs="Arial"/>
          <w:sz w:val="16"/>
          <w:szCs w:val="16"/>
        </w:rPr>
      </w:pPr>
      <w:r w:rsidRPr="00D06743">
        <w:rPr>
          <w:rStyle w:val="Refdenotaalpie"/>
          <w:rFonts w:ascii="Verdana" w:hAnsi="Verdana" w:cs="Arial"/>
          <w:sz w:val="16"/>
          <w:szCs w:val="16"/>
        </w:rPr>
        <w:footnoteRef/>
      </w:r>
      <w:r w:rsidRPr="00D06743">
        <w:rPr>
          <w:rFonts w:ascii="Verdana" w:hAnsi="Verdana" w:cs="Arial"/>
          <w:sz w:val="16"/>
          <w:szCs w:val="16"/>
        </w:rPr>
        <w:t xml:space="preserve"> </w:t>
      </w:r>
      <w:r w:rsidRPr="00D06743">
        <w:rPr>
          <w:rFonts w:ascii="Verdana" w:hAnsi="Verdana" w:cs="Arial"/>
          <w:color w:val="000000"/>
          <w:sz w:val="16"/>
          <w:szCs w:val="16"/>
          <w:lang w:val="es-MX"/>
        </w:rPr>
        <w:t>Al respecto, la jurisprudencia explica que «[…] los contratos sin formalidades plenas no están previstos por la legislación nacional, pues […] el parágrafo del artículo 39 de la Ley 80 de 1993 fue derogado por el artículo 32 de la Ley 1150 de 2007. Ahora se les denomina contratos de mínima cuantía y se encuentran regulados por los artículos 2 de la Ley 1150 de 2007 y 94 de la Ley 1474 de 2011 […];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 (CONSEJO DE ESTADO. Sección Tercera. Subsección A. Sentencia del 3 de octubre de 2012. Exp. 26.140. C.P. Carlos Alberto Zambrano Barrera).</w:t>
      </w:r>
      <w:r w:rsidRPr="00D06743">
        <w:rPr>
          <w:rFonts w:ascii="Verdana" w:hAnsi="Verdana" w:cs="Arial"/>
          <w:color w:val="000000"/>
          <w:sz w:val="16"/>
          <w:szCs w:val="16"/>
        </w:rPr>
        <w:t> </w:t>
      </w:r>
    </w:p>
    <w:p w14:paraId="5E5A517D" w14:textId="77777777" w:rsidR="00313669" w:rsidRPr="00D06743" w:rsidRDefault="00313669" w:rsidP="00313669">
      <w:pPr>
        <w:spacing w:after="0" w:line="240" w:lineRule="auto"/>
        <w:ind w:firstLine="705"/>
        <w:jc w:val="both"/>
        <w:textAlignment w:val="baseline"/>
        <w:rPr>
          <w:rFonts w:ascii="Verdana" w:eastAsia="Times New Roman" w:hAnsi="Verdana" w:cs="Segoe UI"/>
          <w:sz w:val="16"/>
          <w:szCs w:val="16"/>
          <w:lang w:eastAsia="es-CO"/>
        </w:rPr>
      </w:pPr>
      <w:r w:rsidRPr="00D06743">
        <w:rPr>
          <w:rFonts w:ascii="Verdana" w:eastAsia="Times New Roman" w:hAnsi="Verdana" w:cs="Arial"/>
          <w:color w:val="000000"/>
          <w:sz w:val="16"/>
          <w:szCs w:val="16"/>
          <w:lang w:eastAsia="es-CO"/>
        </w:rPr>
        <w:t> </w:t>
      </w:r>
    </w:p>
    <w:p w14:paraId="49F50E8A" w14:textId="77777777" w:rsidR="00313669" w:rsidRPr="00D06743" w:rsidRDefault="00313669" w:rsidP="00313669">
      <w:pPr>
        <w:pStyle w:val="Textonotapie"/>
        <w:rPr>
          <w:rFonts w:ascii="Verdana" w:hAnsi="Verdana"/>
          <w:sz w:val="16"/>
          <w:szCs w:val="16"/>
          <w:lang w:val="es-ES"/>
        </w:rPr>
      </w:pPr>
    </w:p>
  </w:footnote>
  <w:footnote w:id="4">
    <w:p w14:paraId="7CC5E41E" w14:textId="77777777" w:rsidR="00313669" w:rsidRPr="00D06743" w:rsidRDefault="00313669" w:rsidP="00313669">
      <w:pPr>
        <w:pStyle w:val="Textonotapie"/>
        <w:rPr>
          <w:rFonts w:ascii="Verdana" w:hAnsi="Verdana"/>
          <w:sz w:val="16"/>
          <w:szCs w:val="16"/>
          <w:lang w:val="es-ES"/>
        </w:rPr>
      </w:pPr>
      <w:r w:rsidRPr="00D06743">
        <w:rPr>
          <w:rStyle w:val="Refdenotaalpie"/>
          <w:rFonts w:ascii="Verdana" w:hAnsi="Verdana"/>
          <w:sz w:val="16"/>
          <w:szCs w:val="16"/>
        </w:rPr>
        <w:footnoteRef/>
      </w:r>
      <w:r w:rsidRPr="00D06743">
        <w:rPr>
          <w:rFonts w:ascii="Verdana" w:hAnsi="Verdana"/>
          <w:sz w:val="16"/>
          <w:szCs w:val="16"/>
        </w:rPr>
        <w:t xml:space="preserve"> </w:t>
      </w:r>
      <w:r w:rsidRPr="00D06743">
        <w:rPr>
          <w:rStyle w:val="normaltextrun"/>
          <w:rFonts w:ascii="Verdana" w:hAnsi="Verdana" w:cs="Arial"/>
          <w:color w:val="000000"/>
          <w:sz w:val="16"/>
          <w:szCs w:val="16"/>
          <w:shd w:val="clear" w:color="auto" w:fill="FFFFFF"/>
          <w:lang w:val="es-ES"/>
        </w:rPr>
        <w:t>DÁVILA VINUEZA, Luis Guillermo. Régimen jurídico de la contratación estatal. 3ª ed. Bogotá: Legis, 2016. p. 463.</w:t>
      </w:r>
      <w:r w:rsidRPr="00D06743">
        <w:rPr>
          <w:rStyle w:val="eop"/>
          <w:rFonts w:ascii="Verdana" w:hAnsi="Verdana" w:cs="Arial"/>
          <w:color w:val="000000"/>
          <w:sz w:val="16"/>
          <w:szCs w:val="16"/>
          <w:shd w:val="clear" w:color="auto" w:fill="FFFFFF"/>
        </w:rPr>
        <w:t> </w:t>
      </w:r>
    </w:p>
  </w:footnote>
  <w:footnote w:id="5">
    <w:p w14:paraId="4ECD4577" w14:textId="77777777" w:rsidR="00313669" w:rsidRPr="00D06743" w:rsidRDefault="00313669" w:rsidP="00313669">
      <w:pPr>
        <w:pStyle w:val="paragraph"/>
        <w:spacing w:before="0" w:beforeAutospacing="0" w:after="0" w:afterAutospacing="0"/>
        <w:jc w:val="both"/>
        <w:textAlignment w:val="baseline"/>
        <w:rPr>
          <w:rFonts w:ascii="Verdana" w:hAnsi="Verdana"/>
          <w:sz w:val="16"/>
          <w:szCs w:val="16"/>
        </w:rPr>
      </w:pPr>
    </w:p>
    <w:p w14:paraId="33EEB5BB" w14:textId="77777777" w:rsidR="00313669" w:rsidRPr="00D06743" w:rsidRDefault="00313669" w:rsidP="00313669">
      <w:pPr>
        <w:pStyle w:val="paragraph"/>
        <w:spacing w:before="0" w:beforeAutospacing="0" w:after="0" w:afterAutospacing="0"/>
        <w:jc w:val="both"/>
        <w:textAlignment w:val="baseline"/>
        <w:rPr>
          <w:rFonts w:ascii="Verdana" w:hAnsi="Verdana" w:cs="Arial"/>
          <w:sz w:val="16"/>
          <w:szCs w:val="16"/>
        </w:rPr>
      </w:pPr>
      <w:r w:rsidRPr="00D06743">
        <w:rPr>
          <w:rStyle w:val="Refdenotaalpie"/>
          <w:rFonts w:ascii="Verdana" w:hAnsi="Verdana" w:cs="Arial"/>
          <w:sz w:val="16"/>
          <w:szCs w:val="16"/>
        </w:rPr>
        <w:footnoteRef/>
      </w:r>
      <w:r w:rsidRPr="00D06743">
        <w:rPr>
          <w:rFonts w:ascii="Verdana" w:hAnsi="Verdana" w:cs="Arial"/>
          <w:sz w:val="16"/>
          <w:szCs w:val="16"/>
        </w:rPr>
        <w:t xml:space="preserve"> </w:t>
      </w:r>
      <w:r w:rsidRPr="00D06743">
        <w:rPr>
          <w:rFonts w:ascii="Verdana" w:hAnsi="Verdana" w:cs="Arial"/>
          <w:color w:val="000000"/>
          <w:sz w:val="16"/>
          <w:szCs w:val="16"/>
          <w:lang w:val="es-ES"/>
        </w:rPr>
        <w:t>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r w:rsidRPr="00D06743">
        <w:rPr>
          <w:rFonts w:ascii="Verdana" w:hAnsi="Verdana" w:cs="Arial"/>
          <w:color w:val="000000"/>
          <w:sz w:val="16"/>
          <w:szCs w:val="16"/>
        </w:rPr>
        <w:t> </w:t>
      </w:r>
    </w:p>
    <w:p w14:paraId="67BE960E" w14:textId="77777777" w:rsidR="00313669" w:rsidRPr="00D06743" w:rsidRDefault="00313669" w:rsidP="00313669">
      <w:pPr>
        <w:spacing w:after="0" w:line="240" w:lineRule="auto"/>
        <w:ind w:firstLine="705"/>
        <w:jc w:val="both"/>
        <w:textAlignment w:val="baseline"/>
        <w:rPr>
          <w:rFonts w:ascii="Verdana" w:eastAsia="Times New Roman" w:hAnsi="Verdana" w:cs="Arial"/>
          <w:sz w:val="16"/>
          <w:szCs w:val="16"/>
          <w:lang w:eastAsia="es-CO"/>
        </w:rPr>
      </w:pPr>
      <w:r w:rsidRPr="00D06743">
        <w:rPr>
          <w:rFonts w:ascii="Verdana" w:eastAsia="Times New Roman" w:hAnsi="Verdana" w:cs="Arial"/>
          <w:color w:val="000000"/>
          <w:sz w:val="16"/>
          <w:szCs w:val="16"/>
          <w:lang w:val="es-ES" w:eastAsia="es-CO"/>
        </w:rPr>
        <w:t>»Para las entidades que tengan un presupuesto anual superior o igual a 1.200.000 salarios mínimos legales mensuales, la menor cuantía será hasta 1.000 salarios mínimos legales mensuales.</w:t>
      </w:r>
      <w:r w:rsidRPr="00D06743">
        <w:rPr>
          <w:rFonts w:ascii="Verdana" w:eastAsia="Times New Roman" w:hAnsi="Verdana" w:cs="Arial"/>
          <w:color w:val="000000"/>
          <w:sz w:val="16"/>
          <w:szCs w:val="16"/>
          <w:lang w:eastAsia="es-CO"/>
        </w:rPr>
        <w:t> </w:t>
      </w:r>
    </w:p>
    <w:p w14:paraId="158F9019" w14:textId="77777777" w:rsidR="00313669" w:rsidRPr="00D06743" w:rsidRDefault="00313669" w:rsidP="00313669">
      <w:pPr>
        <w:spacing w:after="0" w:line="240" w:lineRule="auto"/>
        <w:ind w:firstLine="705"/>
        <w:jc w:val="both"/>
        <w:textAlignment w:val="baseline"/>
        <w:rPr>
          <w:rFonts w:ascii="Verdana" w:eastAsia="Times New Roman" w:hAnsi="Verdana" w:cs="Arial"/>
          <w:sz w:val="16"/>
          <w:szCs w:val="16"/>
          <w:lang w:eastAsia="es-CO"/>
        </w:rPr>
      </w:pPr>
      <w:r w:rsidRPr="00D06743">
        <w:rPr>
          <w:rFonts w:ascii="Verdana" w:eastAsia="Times New Roman" w:hAnsi="Verdana" w:cs="Arial"/>
          <w:color w:val="000000"/>
          <w:sz w:val="16"/>
          <w:szCs w:val="16"/>
          <w:lang w:val="es-ES" w:eastAsia="es-CO"/>
        </w:rPr>
        <w:t>»Las que tengan un presupuesto anual superior o igual a 850.000 salarios mínimos legales mensuales e inferiores a 1.200.000 salarios mínimos legales mensuales, la menor cuantía será hasta 850 salarios mínimos legales mensuales.</w:t>
      </w:r>
      <w:r w:rsidRPr="00D06743">
        <w:rPr>
          <w:rFonts w:ascii="Verdana" w:eastAsia="Times New Roman" w:hAnsi="Verdana" w:cs="Arial"/>
          <w:color w:val="000000"/>
          <w:sz w:val="16"/>
          <w:szCs w:val="16"/>
          <w:lang w:eastAsia="es-CO"/>
        </w:rPr>
        <w:t> </w:t>
      </w:r>
    </w:p>
    <w:p w14:paraId="3F97CFF8" w14:textId="77777777" w:rsidR="00313669" w:rsidRPr="00D06743" w:rsidRDefault="00313669" w:rsidP="00313669">
      <w:pPr>
        <w:spacing w:after="0" w:line="240" w:lineRule="auto"/>
        <w:ind w:firstLine="705"/>
        <w:jc w:val="both"/>
        <w:textAlignment w:val="baseline"/>
        <w:rPr>
          <w:rFonts w:ascii="Verdana" w:eastAsia="Times New Roman" w:hAnsi="Verdana" w:cs="Arial"/>
          <w:sz w:val="16"/>
          <w:szCs w:val="16"/>
          <w:lang w:eastAsia="es-CO"/>
        </w:rPr>
      </w:pPr>
      <w:r w:rsidRPr="00D06743">
        <w:rPr>
          <w:rFonts w:ascii="Verdana" w:eastAsia="Times New Roman" w:hAnsi="Verdana" w:cs="Arial"/>
          <w:color w:val="000000"/>
          <w:sz w:val="16"/>
          <w:szCs w:val="16"/>
          <w:lang w:val="es-ES" w:eastAsia="es-CO"/>
        </w:rPr>
        <w:t>»Las que tengan un presupuesto anual superior o igual a 400.000 salarios mínimos legales mensuales e inferior a 850.000 salarios mínimos legales mensuales, la menor cuantía será hasta 650 salarios mínimos legales mensuales.</w:t>
      </w:r>
      <w:r w:rsidRPr="00D06743">
        <w:rPr>
          <w:rFonts w:ascii="Verdana" w:eastAsia="Times New Roman" w:hAnsi="Verdana" w:cs="Arial"/>
          <w:color w:val="000000"/>
          <w:sz w:val="16"/>
          <w:szCs w:val="16"/>
          <w:lang w:eastAsia="es-CO"/>
        </w:rPr>
        <w:t> </w:t>
      </w:r>
    </w:p>
    <w:p w14:paraId="3E124279" w14:textId="77777777" w:rsidR="00313669" w:rsidRPr="00D06743" w:rsidRDefault="00313669" w:rsidP="00313669">
      <w:pPr>
        <w:spacing w:after="0" w:line="240" w:lineRule="auto"/>
        <w:ind w:firstLine="705"/>
        <w:jc w:val="both"/>
        <w:textAlignment w:val="baseline"/>
        <w:rPr>
          <w:rFonts w:ascii="Verdana" w:eastAsia="Times New Roman" w:hAnsi="Verdana" w:cs="Arial"/>
          <w:sz w:val="16"/>
          <w:szCs w:val="16"/>
          <w:lang w:eastAsia="es-CO"/>
        </w:rPr>
      </w:pPr>
      <w:r w:rsidRPr="00D06743">
        <w:rPr>
          <w:rFonts w:ascii="Verdana" w:eastAsia="Times New Roman" w:hAnsi="Verdana" w:cs="Arial"/>
          <w:color w:val="000000"/>
          <w:sz w:val="16"/>
          <w:szCs w:val="16"/>
          <w:lang w:val="es-ES" w:eastAsia="es-CO"/>
        </w:rPr>
        <w:t>»Las que tengan un presupuesto anual superior o igual a 120.000 salarios mínimos legales mensuales e inferior a 400.000 salarios mínimos legales mensuales, la menor cuantía será hasta 450 salarios mínimos legales mensuales.</w:t>
      </w:r>
      <w:r w:rsidRPr="00D06743">
        <w:rPr>
          <w:rFonts w:ascii="Verdana" w:eastAsia="Times New Roman" w:hAnsi="Verdana" w:cs="Arial"/>
          <w:color w:val="000000"/>
          <w:sz w:val="16"/>
          <w:szCs w:val="16"/>
          <w:lang w:eastAsia="es-CO"/>
        </w:rPr>
        <w:t> </w:t>
      </w:r>
    </w:p>
    <w:p w14:paraId="5D8CEC94" w14:textId="77777777" w:rsidR="00313669" w:rsidRPr="00D06743" w:rsidRDefault="00313669" w:rsidP="00313669">
      <w:pPr>
        <w:spacing w:after="0" w:line="240" w:lineRule="auto"/>
        <w:ind w:firstLine="705"/>
        <w:jc w:val="both"/>
        <w:textAlignment w:val="baseline"/>
        <w:rPr>
          <w:rFonts w:ascii="Verdana" w:eastAsia="Times New Roman" w:hAnsi="Verdana" w:cs="Arial"/>
          <w:sz w:val="16"/>
          <w:szCs w:val="16"/>
          <w:lang w:eastAsia="es-CO"/>
        </w:rPr>
      </w:pPr>
      <w:r w:rsidRPr="00D06743">
        <w:rPr>
          <w:rFonts w:ascii="Verdana" w:eastAsia="Times New Roman" w:hAnsi="Verdana" w:cs="Arial"/>
          <w:color w:val="000000"/>
          <w:sz w:val="16"/>
          <w:szCs w:val="16"/>
          <w:lang w:val="es-ES" w:eastAsia="es-CO"/>
        </w:rPr>
        <w:t>»Las que tengan un presupuesto anual inferior a 120.000 salarios mínimos legales mensuales, la menor cuantía será hasta 280 salarios mínimos legales mensuales».</w:t>
      </w:r>
      <w:r w:rsidRPr="00D06743">
        <w:rPr>
          <w:rFonts w:ascii="Verdana" w:eastAsia="Times New Roman" w:hAnsi="Verdana" w:cs="Arial"/>
          <w:color w:val="000000"/>
          <w:sz w:val="16"/>
          <w:szCs w:val="16"/>
          <w:lang w:eastAsia="es-CO"/>
        </w:rPr>
        <w:t> </w:t>
      </w:r>
    </w:p>
    <w:p w14:paraId="025CD4B1" w14:textId="77777777" w:rsidR="00313669" w:rsidRPr="00D06743" w:rsidRDefault="00313669" w:rsidP="00313669">
      <w:pPr>
        <w:pStyle w:val="Textonotapie"/>
        <w:rPr>
          <w:rFonts w:ascii="Verdana" w:hAnsi="Verdana"/>
          <w:sz w:val="16"/>
          <w:szCs w:val="16"/>
          <w:lang w:val="es-ES"/>
        </w:rPr>
      </w:pPr>
    </w:p>
  </w:footnote>
  <w:footnote w:id="6">
    <w:p w14:paraId="3E58457F" w14:textId="77777777" w:rsidR="00313669" w:rsidRPr="00D06743" w:rsidRDefault="00313669" w:rsidP="00313669">
      <w:pPr>
        <w:pStyle w:val="paragraph"/>
        <w:spacing w:before="0" w:beforeAutospacing="0" w:after="0" w:afterAutospacing="0"/>
        <w:jc w:val="both"/>
        <w:textAlignment w:val="baseline"/>
        <w:rPr>
          <w:rFonts w:ascii="Verdana" w:hAnsi="Verdana" w:cs="Arial"/>
          <w:sz w:val="16"/>
          <w:szCs w:val="16"/>
        </w:rPr>
      </w:pPr>
      <w:r w:rsidRPr="00D06743">
        <w:rPr>
          <w:rStyle w:val="Refdenotaalpie"/>
          <w:rFonts w:ascii="Verdana" w:hAnsi="Verdana" w:cs="Arial"/>
          <w:sz w:val="16"/>
          <w:szCs w:val="16"/>
        </w:rPr>
        <w:footnoteRef/>
      </w:r>
      <w:r w:rsidRPr="00D06743">
        <w:rPr>
          <w:rFonts w:ascii="Verdana" w:hAnsi="Verdana" w:cs="Arial"/>
          <w:sz w:val="16"/>
          <w:szCs w:val="16"/>
        </w:rPr>
        <w:t xml:space="preserve"> </w:t>
      </w:r>
      <w:r w:rsidRPr="00D06743">
        <w:rPr>
          <w:rFonts w:ascii="Verdana" w:hAnsi="Verdana" w:cs="Arial"/>
          <w:sz w:val="16"/>
          <w:szCs w:val="16"/>
          <w:lang w:val="es-MX"/>
        </w:rPr>
        <w:t> </w:t>
      </w:r>
      <w:r w:rsidRPr="00D06743">
        <w:rPr>
          <w:rFonts w:ascii="Verdana" w:hAnsi="Verdana" w:cs="Arial"/>
          <w:color w:val="000000"/>
          <w:sz w:val="16"/>
          <w:szCs w:val="16"/>
          <w:lang w:val="es-ES"/>
        </w:rPr>
        <w:t>«</w:t>
      </w:r>
      <w:r w:rsidRPr="00D06743">
        <w:rPr>
          <w:rFonts w:ascii="Verdana" w:hAnsi="Verdana" w:cs="Arial"/>
          <w:sz w:val="16"/>
          <w:szCs w:val="16"/>
          <w:lang w:val="es-MX"/>
        </w:rPr>
        <w:t>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r w:rsidRPr="00D06743">
        <w:rPr>
          <w:rFonts w:ascii="Verdana" w:hAnsi="Verdana" w:cs="Arial"/>
          <w:sz w:val="16"/>
          <w:szCs w:val="16"/>
        </w:rPr>
        <w:t> </w:t>
      </w:r>
    </w:p>
    <w:p w14:paraId="5B6EDFA5" w14:textId="77777777" w:rsidR="00313669" w:rsidRPr="00D06743" w:rsidRDefault="00313669" w:rsidP="00313669">
      <w:pPr>
        <w:spacing w:after="0" w:line="240" w:lineRule="auto"/>
        <w:ind w:firstLine="705"/>
        <w:jc w:val="both"/>
        <w:textAlignment w:val="baseline"/>
        <w:rPr>
          <w:rFonts w:ascii="Verdana" w:eastAsia="Times New Roman" w:hAnsi="Verdana" w:cs="Arial"/>
          <w:sz w:val="16"/>
          <w:szCs w:val="16"/>
          <w:lang w:eastAsia="es-CO"/>
        </w:rPr>
      </w:pPr>
      <w:r w:rsidRPr="00D06743">
        <w:rPr>
          <w:rFonts w:ascii="Verdana" w:eastAsia="Times New Roman" w:hAnsi="Verdana" w:cs="Arial"/>
          <w:color w:val="000000"/>
          <w:sz w:val="16"/>
          <w:szCs w:val="16"/>
          <w:lang w:val="es-ES" w:eastAsia="es-CO"/>
        </w:rPr>
        <w:t>»</w:t>
      </w:r>
      <w:r w:rsidRPr="00D06743">
        <w:rPr>
          <w:rFonts w:ascii="Verdana" w:eastAsia="Times New Roman" w:hAnsi="Verdana" w:cs="Arial"/>
          <w:sz w:val="16"/>
          <w:szCs w:val="16"/>
          <w:lang w:val="es-MX" w:eastAsia="es-CO"/>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Pr="00D06743">
        <w:rPr>
          <w:rFonts w:ascii="Verdana" w:eastAsia="Times New Roman" w:hAnsi="Verdana" w:cs="Arial"/>
          <w:color w:val="000000"/>
          <w:sz w:val="16"/>
          <w:szCs w:val="16"/>
          <w:lang w:val="es-ES" w:eastAsia="es-CO"/>
        </w:rPr>
        <w:t> […]»</w:t>
      </w:r>
      <w:r w:rsidRPr="00D06743">
        <w:rPr>
          <w:rFonts w:ascii="Verdana" w:eastAsia="Times New Roman" w:hAnsi="Verdana" w:cs="Arial"/>
          <w:color w:val="000000"/>
          <w:sz w:val="16"/>
          <w:szCs w:val="16"/>
          <w:lang w:eastAsia="es-CO"/>
        </w:rPr>
        <w:t> </w:t>
      </w:r>
    </w:p>
    <w:p w14:paraId="4786AADC" w14:textId="77777777" w:rsidR="00313669" w:rsidRPr="00D06743" w:rsidRDefault="00313669" w:rsidP="00313669">
      <w:pPr>
        <w:pStyle w:val="Textonotapie"/>
        <w:rPr>
          <w:rFonts w:ascii="Verdana" w:hAnsi="Verdana"/>
          <w:sz w:val="16"/>
          <w:szCs w:val="16"/>
          <w:lang w:val="es-ES"/>
        </w:rPr>
      </w:pPr>
    </w:p>
  </w:footnote>
  <w:footnote w:id="7">
    <w:p w14:paraId="1455A5AC" w14:textId="77777777" w:rsidR="00313669" w:rsidRPr="00D06743" w:rsidRDefault="00313669" w:rsidP="00313669">
      <w:pPr>
        <w:pStyle w:val="Textonotapie"/>
        <w:ind w:firstLine="705"/>
        <w:rPr>
          <w:rFonts w:ascii="Verdana" w:hAnsi="Verdana"/>
          <w:sz w:val="16"/>
          <w:szCs w:val="16"/>
          <w:lang w:val="es-ES"/>
        </w:rPr>
      </w:pPr>
      <w:r w:rsidRPr="00D06743">
        <w:rPr>
          <w:rStyle w:val="Refdenotaalpie"/>
          <w:rFonts w:ascii="Verdana" w:hAnsi="Verdana"/>
          <w:sz w:val="16"/>
          <w:szCs w:val="16"/>
        </w:rPr>
        <w:footnoteRef/>
      </w:r>
      <w:r w:rsidRPr="00D06743">
        <w:rPr>
          <w:rFonts w:ascii="Verdana" w:hAnsi="Verdana"/>
          <w:sz w:val="16"/>
          <w:szCs w:val="16"/>
        </w:rPr>
        <w:t xml:space="preserve"> </w:t>
      </w:r>
      <w:r w:rsidRPr="00D06743">
        <w:rPr>
          <w:rStyle w:val="normaltextrun"/>
          <w:rFonts w:ascii="Verdana" w:hAnsi="Verdana" w:cs="Arial"/>
          <w:color w:val="000000"/>
          <w:sz w:val="16"/>
          <w:szCs w:val="16"/>
          <w:shd w:val="clear" w:color="auto" w:fill="FFFFFF"/>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D06743">
        <w:rPr>
          <w:rStyle w:val="eop"/>
          <w:rFonts w:ascii="Verdana" w:hAnsi="Verdana" w:cs="Arial"/>
          <w:color w:val="000000"/>
          <w:sz w:val="16"/>
          <w:szCs w:val="16"/>
          <w:shd w:val="clear" w:color="auto" w:fill="FFFFFF"/>
        </w:rPr>
        <w:t> </w:t>
      </w:r>
    </w:p>
  </w:footnote>
  <w:footnote w:id="8">
    <w:p w14:paraId="34C1729B" w14:textId="77777777" w:rsidR="00313669" w:rsidRPr="00D06743" w:rsidRDefault="00313669" w:rsidP="00313669">
      <w:pPr>
        <w:pStyle w:val="paragraph"/>
        <w:spacing w:before="0" w:beforeAutospacing="0" w:after="0" w:afterAutospacing="0"/>
        <w:ind w:firstLine="708"/>
        <w:jc w:val="both"/>
        <w:textAlignment w:val="baseline"/>
        <w:rPr>
          <w:rFonts w:ascii="Verdana" w:hAnsi="Verdana" w:cs="Arial"/>
          <w:sz w:val="16"/>
          <w:szCs w:val="16"/>
        </w:rPr>
      </w:pPr>
      <w:r w:rsidRPr="00D06743">
        <w:rPr>
          <w:rStyle w:val="Refdenotaalpie"/>
          <w:rFonts w:ascii="Verdana" w:hAnsi="Verdana" w:cs="Arial"/>
          <w:sz w:val="16"/>
          <w:szCs w:val="16"/>
        </w:rPr>
        <w:footnoteRef/>
      </w:r>
      <w:r w:rsidRPr="00D06743">
        <w:rPr>
          <w:rFonts w:ascii="Verdana" w:hAnsi="Verdana" w:cs="Arial"/>
          <w:sz w:val="16"/>
          <w:szCs w:val="16"/>
        </w:rPr>
        <w:t xml:space="preserve"> </w:t>
      </w:r>
      <w:r w:rsidRPr="00D06743">
        <w:rPr>
          <w:rFonts w:ascii="Verdana" w:hAnsi="Verdana" w:cs="Arial"/>
          <w:color w:val="000000"/>
          <w:sz w:val="16"/>
          <w:szCs w:val="16"/>
          <w:lang w:val="es-ES"/>
        </w:rPr>
        <w:t>Como lo indica la doctrina, en la mínima cuantía «El precio es el factor de selección del proponente. Es decir, la </w:t>
      </w:r>
      <w:r w:rsidRPr="00D06743">
        <w:rPr>
          <w:rFonts w:ascii="Verdana" w:hAnsi="Verdana" w:cs="Arial"/>
          <w:i/>
          <w:iCs/>
          <w:color w:val="000000"/>
          <w:sz w:val="16"/>
          <w:szCs w:val="16"/>
          <w:lang w:val="es-ES"/>
        </w:rPr>
        <w:t>entidad estatal</w:t>
      </w:r>
      <w:r w:rsidRPr="00D06743">
        <w:rPr>
          <w:rFonts w:ascii="Verdana" w:hAnsi="Verdana" w:cs="Arial"/>
          <w:color w:val="000000"/>
          <w:sz w:val="16"/>
          <w:szCs w:val="16"/>
          <w:lang w:val="es-ES"/>
        </w:rPr>
        <w:t> debe adjudicar el </w:t>
      </w:r>
      <w:r w:rsidRPr="00D06743">
        <w:rPr>
          <w:rFonts w:ascii="Verdana" w:hAnsi="Verdana" w:cs="Arial"/>
          <w:i/>
          <w:iCs/>
          <w:color w:val="000000"/>
          <w:sz w:val="16"/>
          <w:szCs w:val="16"/>
          <w:lang w:val="es-ES"/>
        </w:rPr>
        <w:t>proceso de contratación</w:t>
      </w:r>
      <w:r w:rsidRPr="00D06743">
        <w:rPr>
          <w:rFonts w:ascii="Verdana" w:hAnsi="Verdana" w:cs="Arial"/>
          <w:color w:val="000000"/>
          <w:sz w:val="16"/>
          <w:szCs w:val="16"/>
          <w:lang w:val="es-ES"/>
        </w:rPr>
        <w:t> al oferente que cumpla con todas las condiciones exigidas por la </w:t>
      </w:r>
      <w:r w:rsidRPr="00D06743">
        <w:rPr>
          <w:rFonts w:ascii="Verdana" w:hAnsi="Verdana" w:cs="Arial"/>
          <w:i/>
          <w:iCs/>
          <w:color w:val="000000"/>
          <w:sz w:val="16"/>
          <w:szCs w:val="16"/>
          <w:lang w:val="es-ES"/>
        </w:rPr>
        <w:t>entidad estatal</w:t>
      </w:r>
      <w:r w:rsidRPr="00D06743">
        <w:rPr>
          <w:rFonts w:ascii="Verdana" w:hAnsi="Verdana" w:cs="Arial"/>
          <w:color w:val="000000"/>
          <w:sz w:val="16"/>
          <w:szCs w:val="16"/>
          <w:lang w:val="es-ES"/>
        </w:rPr>
        <w:t> en los </w:t>
      </w:r>
      <w:r w:rsidRPr="00D06743">
        <w:rPr>
          <w:rFonts w:ascii="Verdana" w:hAnsi="Verdana" w:cs="Arial"/>
          <w:i/>
          <w:iCs/>
          <w:color w:val="000000"/>
          <w:sz w:val="16"/>
          <w:szCs w:val="16"/>
          <w:lang w:val="es-ES"/>
        </w:rPr>
        <w:t>documentos del proceso</w:t>
      </w:r>
      <w:r w:rsidRPr="00D06743">
        <w:rPr>
          <w:rFonts w:ascii="Verdana" w:hAnsi="Verdana" w:cs="Arial"/>
          <w:color w:val="000000"/>
          <w:sz w:val="16"/>
          <w:szCs w:val="16"/>
          <w:lang w:val="es-ES"/>
        </w:rPr>
        <w:t> (estudios previos e invitación a participar), y que ofrezca el menor valor. No hay lugar a puntajes para evaluar las ofertas sobre las características del objeto a contratar, su calidad o condiciones» (DÁVILA, Op.cit., p. 515).</w:t>
      </w:r>
      <w:r w:rsidRPr="00D06743">
        <w:rPr>
          <w:rFonts w:ascii="Verdana" w:hAnsi="Verdana" w:cs="Arial"/>
          <w:color w:val="000000"/>
          <w:sz w:val="16"/>
          <w:szCs w:val="16"/>
        </w:rPr>
        <w:t> </w:t>
      </w:r>
    </w:p>
    <w:p w14:paraId="7C5663D8" w14:textId="77777777" w:rsidR="00313669" w:rsidRPr="00D06743" w:rsidRDefault="00313669" w:rsidP="00313669">
      <w:pPr>
        <w:spacing w:after="0" w:line="240" w:lineRule="auto"/>
        <w:ind w:firstLine="705"/>
        <w:jc w:val="both"/>
        <w:textAlignment w:val="baseline"/>
        <w:rPr>
          <w:rFonts w:ascii="Verdana" w:eastAsia="Times New Roman" w:hAnsi="Verdana" w:cs="Segoe UI"/>
          <w:sz w:val="16"/>
          <w:szCs w:val="16"/>
          <w:lang w:eastAsia="es-CO"/>
        </w:rPr>
      </w:pPr>
      <w:r w:rsidRPr="00D06743">
        <w:rPr>
          <w:rFonts w:ascii="Verdana" w:eastAsia="Times New Roman" w:hAnsi="Verdana" w:cs="Arial"/>
          <w:color w:val="000000"/>
          <w:sz w:val="16"/>
          <w:szCs w:val="16"/>
          <w:lang w:eastAsia="es-CO"/>
        </w:rPr>
        <w:t> </w:t>
      </w:r>
    </w:p>
    <w:p w14:paraId="194156DF" w14:textId="77777777" w:rsidR="00313669" w:rsidRPr="00D06743" w:rsidRDefault="00313669" w:rsidP="00313669">
      <w:pPr>
        <w:pStyle w:val="Textonotapie"/>
        <w:rPr>
          <w:rFonts w:ascii="Verdana" w:hAnsi="Verdana"/>
          <w:sz w:val="16"/>
          <w:szCs w:val="16"/>
          <w:lang w:val="es-ES"/>
        </w:rPr>
      </w:pPr>
    </w:p>
  </w:footnote>
  <w:footnote w:id="9">
    <w:p w14:paraId="7AAE7729" w14:textId="77777777" w:rsidR="00313669" w:rsidRPr="00D06743" w:rsidRDefault="00313669" w:rsidP="00313669">
      <w:pPr>
        <w:spacing w:before="16"/>
        <w:ind w:left="40" w:firstLine="668"/>
        <w:jc w:val="both"/>
        <w:rPr>
          <w:rFonts w:ascii="Verdana" w:hAnsi="Verdana" w:cs="Arial"/>
          <w:sz w:val="16"/>
          <w:szCs w:val="16"/>
        </w:rPr>
      </w:pPr>
      <w:r w:rsidRPr="00D06743">
        <w:rPr>
          <w:rStyle w:val="Refdenotaalpie"/>
          <w:rFonts w:ascii="Verdana" w:hAnsi="Verdana" w:cs="Arial"/>
          <w:sz w:val="16"/>
          <w:szCs w:val="16"/>
        </w:rPr>
        <w:footnoteRef/>
      </w:r>
      <w:r w:rsidRPr="00D06743">
        <w:rPr>
          <w:rFonts w:ascii="Verdana" w:hAnsi="Verdana" w:cs="Arial"/>
          <w:sz w:val="16"/>
          <w:szCs w:val="16"/>
        </w:rPr>
        <w:t xml:space="preserve"> Sección Tercera de la Sala de lo Contencioso Administrativo del Consejo de Estado, Sentencia del 29 de abril de 2015, expediente 29201 con ponencia de Olga Melida Valle de De La Hoz.</w:t>
      </w:r>
    </w:p>
  </w:footnote>
  <w:footnote w:id="10">
    <w:p w14:paraId="121E4B0C" w14:textId="77777777" w:rsidR="00313669" w:rsidRPr="00D06743" w:rsidRDefault="00313669" w:rsidP="00313669">
      <w:pPr>
        <w:pStyle w:val="Textonotapie"/>
        <w:rPr>
          <w:rFonts w:ascii="Verdana" w:hAnsi="Verdana"/>
          <w:sz w:val="16"/>
          <w:szCs w:val="16"/>
          <w:lang w:val="es-ES"/>
        </w:rPr>
      </w:pPr>
      <w:r w:rsidRPr="00D06743">
        <w:rPr>
          <w:rStyle w:val="Refdenotaalpie"/>
          <w:rFonts w:ascii="Verdana" w:hAnsi="Verdana"/>
          <w:sz w:val="16"/>
          <w:szCs w:val="16"/>
        </w:rPr>
        <w:footnoteRef/>
      </w:r>
      <w:r w:rsidRPr="00D06743">
        <w:rPr>
          <w:rFonts w:ascii="Verdana" w:hAnsi="Verdana"/>
          <w:sz w:val="16"/>
          <w:szCs w:val="16"/>
        </w:rPr>
        <w:t xml:space="preserve"> </w:t>
      </w:r>
      <w:r w:rsidRPr="00D06743">
        <w:rPr>
          <w:rFonts w:ascii="Verdana" w:hAnsi="Verdana" w:cs="Arial"/>
          <w:sz w:val="16"/>
          <w:szCs w:val="16"/>
        </w:rPr>
        <w:t>Sección Tercera de la Sala de lo Contencioso Administrativo del Consejo de Estado, Sentencia del 28 de mayo de 2012, expediente 21489 con ponencia de Ruth Stella Correa Palacio</w:t>
      </w:r>
    </w:p>
  </w:footnote>
  <w:footnote w:id="11">
    <w:p w14:paraId="2F31B53F" w14:textId="77777777" w:rsidR="00313669" w:rsidRPr="00D06743" w:rsidRDefault="00313669" w:rsidP="00313669">
      <w:pPr>
        <w:pStyle w:val="Textonotapie"/>
        <w:rPr>
          <w:rFonts w:ascii="Verdana" w:hAnsi="Verdana" w:cs="Arial"/>
          <w:sz w:val="16"/>
          <w:szCs w:val="16"/>
        </w:rPr>
      </w:pPr>
      <w:r w:rsidRPr="00D06743">
        <w:rPr>
          <w:rStyle w:val="Refdenotaalpie"/>
          <w:rFonts w:ascii="Verdana" w:hAnsi="Verdana"/>
          <w:sz w:val="16"/>
          <w:szCs w:val="16"/>
        </w:rPr>
        <w:footnoteRef/>
      </w:r>
      <w:r w:rsidRPr="00D06743">
        <w:rPr>
          <w:rFonts w:ascii="Verdana" w:hAnsi="Verdana"/>
          <w:sz w:val="16"/>
          <w:szCs w:val="16"/>
        </w:rPr>
        <w:t xml:space="preserve"> </w:t>
      </w:r>
      <w:r w:rsidRPr="00D06743">
        <w:rPr>
          <w:rFonts w:ascii="Verdana" w:hAnsi="Verdana" w:cs="Arial"/>
          <w:sz w:val="16"/>
          <w:szCs w:val="16"/>
        </w:rPr>
        <w:t>Sección Tercera de la Sala de lo Contencioso Administrativo del Consejo de Estado, Sentencia del 28 de mayo de 2012, expediente 21489 con ponencia de Ruth Stella Correa Palacio.</w:t>
      </w:r>
    </w:p>
    <w:p w14:paraId="2102F9F8" w14:textId="77777777" w:rsidR="00313669" w:rsidRPr="00D06743" w:rsidRDefault="00313669" w:rsidP="00313669">
      <w:pPr>
        <w:pStyle w:val="Textonotapie"/>
        <w:rPr>
          <w:rFonts w:ascii="Verdana" w:hAnsi="Verdana"/>
          <w:sz w:val="16"/>
          <w:szCs w:val="16"/>
          <w:lang w:val="es-ES"/>
        </w:rPr>
      </w:pPr>
    </w:p>
  </w:footnote>
  <w:footnote w:id="12">
    <w:p w14:paraId="0A3C6EE5" w14:textId="77777777" w:rsidR="00313669" w:rsidRPr="00D06743" w:rsidRDefault="00313669" w:rsidP="00313669">
      <w:pPr>
        <w:pStyle w:val="Textonotapie"/>
        <w:ind w:firstLine="708"/>
        <w:jc w:val="both"/>
        <w:rPr>
          <w:rFonts w:ascii="Verdana" w:hAnsi="Verdana" w:cs="Arial"/>
          <w:sz w:val="16"/>
          <w:szCs w:val="16"/>
        </w:rPr>
      </w:pPr>
    </w:p>
    <w:p w14:paraId="4B770BD3" w14:textId="77777777" w:rsidR="00313669" w:rsidRPr="00D06743" w:rsidRDefault="00313669" w:rsidP="00313669">
      <w:pPr>
        <w:pStyle w:val="Textonotapie"/>
        <w:ind w:firstLine="708"/>
        <w:jc w:val="both"/>
        <w:rPr>
          <w:rFonts w:ascii="Verdana" w:hAnsi="Verdana" w:cs="Arial"/>
          <w:sz w:val="16"/>
          <w:szCs w:val="16"/>
          <w:lang w:val="es-ES"/>
        </w:rPr>
      </w:pPr>
      <w:r w:rsidRPr="00D06743">
        <w:rPr>
          <w:rStyle w:val="Refdenotaalpie"/>
          <w:rFonts w:ascii="Verdana" w:hAnsi="Verdana" w:cs="Arial"/>
          <w:sz w:val="16"/>
          <w:szCs w:val="16"/>
        </w:rPr>
        <w:footnoteRef/>
      </w:r>
      <w:r w:rsidRPr="00D06743">
        <w:rPr>
          <w:rFonts w:ascii="Verdana" w:hAnsi="Verdana" w:cs="Arial"/>
          <w:sz w:val="16"/>
          <w:szCs w:val="16"/>
        </w:rPr>
        <w:t xml:space="preserve"> </w:t>
      </w:r>
      <w:r w:rsidRPr="00D06743">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310D862E" w14:textId="77777777" w:rsidR="00313669" w:rsidRPr="00D06743" w:rsidRDefault="00313669" w:rsidP="00313669">
      <w:pPr>
        <w:pStyle w:val="Textonotapie"/>
        <w:ind w:firstLine="709"/>
        <w:jc w:val="both"/>
        <w:rPr>
          <w:rFonts w:ascii="Verdana" w:hAnsi="Verdana" w:cs="Arial"/>
          <w:sz w:val="16"/>
          <w:szCs w:val="16"/>
          <w:lang w:val="es-ES"/>
        </w:rPr>
      </w:pPr>
      <w:r w:rsidRPr="00D06743">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D06743">
        <w:rPr>
          <w:rFonts w:ascii="Verdana" w:hAnsi="Verdana" w:cs="Arial"/>
          <w:i/>
          <w:iCs/>
          <w:sz w:val="16"/>
          <w:szCs w:val="16"/>
          <w:lang w:val="es-ES"/>
        </w:rPr>
        <w:t>costos directos</w:t>
      </w:r>
      <w:r w:rsidRPr="00D06743">
        <w:rPr>
          <w:rFonts w:ascii="Verdana" w:hAnsi="Verdana" w:cs="Arial"/>
          <w:sz w:val="16"/>
          <w:szCs w:val="16"/>
          <w:lang w:val="es-ES"/>
        </w:rPr>
        <w:t xml:space="preserve"> y los</w:t>
      </w:r>
      <w:r w:rsidRPr="00D06743">
        <w:rPr>
          <w:rFonts w:ascii="Verdana" w:hAnsi="Verdana" w:cs="Arial"/>
          <w:i/>
          <w:iCs/>
          <w:sz w:val="16"/>
          <w:szCs w:val="16"/>
          <w:lang w:val="es-ES"/>
        </w:rPr>
        <w:t xml:space="preserve"> costos indirectos</w:t>
      </w:r>
      <w:r w:rsidRPr="00D06743">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D06743">
        <w:rPr>
          <w:rFonts w:ascii="Verdana" w:hAnsi="Verdana" w:cs="Arial"/>
          <w:i/>
          <w:iCs/>
          <w:sz w:val="16"/>
          <w:szCs w:val="16"/>
          <w:lang w:val="es-ES"/>
        </w:rPr>
        <w:t>ítems</w:t>
      </w:r>
      <w:r w:rsidRPr="00D06743">
        <w:rPr>
          <w:rFonts w:ascii="Verdana" w:hAnsi="Verdana" w:cs="Arial"/>
          <w:sz w:val="16"/>
          <w:szCs w:val="16"/>
          <w:lang w:val="es-ES"/>
        </w:rPr>
        <w:t xml:space="preserve"> que componen el contrato–. Los costos </w:t>
      </w:r>
      <w:r w:rsidRPr="00D06743">
        <w:rPr>
          <w:rFonts w:ascii="Verdana" w:hAnsi="Verdana" w:cs="Arial"/>
          <w:i/>
          <w:iCs/>
          <w:sz w:val="16"/>
          <w:szCs w:val="16"/>
          <w:lang w:val="es-ES"/>
        </w:rPr>
        <w:t>indirectos</w:t>
      </w:r>
      <w:r w:rsidRPr="00D06743">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13">
    <w:p w14:paraId="6EE15518" w14:textId="77777777" w:rsidR="00313669" w:rsidRPr="00D06743" w:rsidRDefault="00313669" w:rsidP="00313669">
      <w:pPr>
        <w:pStyle w:val="Textonotapie"/>
        <w:ind w:firstLine="708"/>
        <w:jc w:val="both"/>
        <w:rPr>
          <w:rFonts w:ascii="Verdana" w:hAnsi="Verdana" w:cs="Arial"/>
          <w:sz w:val="16"/>
          <w:szCs w:val="16"/>
        </w:rPr>
      </w:pPr>
    </w:p>
    <w:p w14:paraId="558A775F" w14:textId="77777777" w:rsidR="00313669" w:rsidRPr="00D06743" w:rsidRDefault="00313669" w:rsidP="00313669">
      <w:pPr>
        <w:pStyle w:val="Textonotapie"/>
        <w:ind w:firstLine="708"/>
        <w:jc w:val="both"/>
        <w:rPr>
          <w:rFonts w:ascii="Verdana" w:hAnsi="Verdana" w:cs="Arial"/>
          <w:sz w:val="16"/>
          <w:szCs w:val="16"/>
        </w:rPr>
      </w:pPr>
      <w:r w:rsidRPr="00D06743">
        <w:rPr>
          <w:rStyle w:val="Refdenotaalpie"/>
          <w:rFonts w:ascii="Verdana" w:hAnsi="Verdana" w:cs="Arial"/>
          <w:sz w:val="16"/>
          <w:szCs w:val="16"/>
        </w:rPr>
        <w:footnoteRef/>
      </w:r>
      <w:r w:rsidRPr="00D06743">
        <w:rPr>
          <w:rFonts w:ascii="Verdana" w:hAnsi="Verdana" w:cs="Arial"/>
          <w:sz w:val="16"/>
          <w:szCs w:val="16"/>
        </w:rPr>
        <w:t xml:space="preserve"> Consejo de Estado. Sección Tercera. Subsección B. Sentencia del 14 de octubre de 2011. Exp. 20811, C.P. Ruth Stella Correa Palacio.</w:t>
      </w:r>
    </w:p>
    <w:p w14:paraId="3C1268E1" w14:textId="77777777" w:rsidR="00313669" w:rsidRPr="00D06743" w:rsidRDefault="00313669" w:rsidP="00313669">
      <w:pPr>
        <w:pStyle w:val="Textonotapie"/>
        <w:ind w:firstLine="709"/>
        <w:jc w:val="both"/>
        <w:rPr>
          <w:rFonts w:ascii="Verdana" w:hAnsi="Verdana" w:cs="Arial"/>
          <w:sz w:val="16"/>
          <w:szCs w:val="16"/>
          <w:lang w:val="es-ES"/>
        </w:rPr>
      </w:pPr>
    </w:p>
  </w:footnote>
  <w:footnote w:id="14">
    <w:p w14:paraId="294E52C3" w14:textId="77777777" w:rsidR="00313669" w:rsidRPr="00D06743" w:rsidRDefault="00313669" w:rsidP="00313669">
      <w:pPr>
        <w:pStyle w:val="Textonotapie"/>
        <w:jc w:val="both"/>
        <w:rPr>
          <w:rFonts w:ascii="Verdana" w:hAnsi="Verdana" w:cs="Arial"/>
          <w:color w:val="000000"/>
          <w:sz w:val="16"/>
          <w:szCs w:val="16"/>
          <w:lang w:val="es-CO"/>
        </w:rPr>
      </w:pPr>
      <w:r w:rsidRPr="00D06743">
        <w:rPr>
          <w:rStyle w:val="Refdenotaalpie"/>
          <w:rFonts w:ascii="Verdana" w:hAnsi="Verdana" w:cs="Arial"/>
          <w:color w:val="000000"/>
          <w:sz w:val="16"/>
          <w:szCs w:val="16"/>
        </w:rPr>
        <w:footnoteRef/>
      </w:r>
      <w:r w:rsidRPr="00D06743">
        <w:rPr>
          <w:rFonts w:ascii="Verdana" w:hAnsi="Verdana" w:cs="Arial"/>
          <w:color w:val="000000"/>
          <w:sz w:val="16"/>
          <w:szCs w:val="16"/>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029BC"/>
    <w:rsid w:val="002421BB"/>
    <w:rsid w:val="0025796E"/>
    <w:rsid w:val="002707A2"/>
    <w:rsid w:val="002951A0"/>
    <w:rsid w:val="002962BC"/>
    <w:rsid w:val="002A093D"/>
    <w:rsid w:val="002A0DD0"/>
    <w:rsid w:val="002A49AC"/>
    <w:rsid w:val="002A64FD"/>
    <w:rsid w:val="002C7A84"/>
    <w:rsid w:val="002E4FD9"/>
    <w:rsid w:val="002F7E78"/>
    <w:rsid w:val="00313669"/>
    <w:rsid w:val="00322A85"/>
    <w:rsid w:val="00324168"/>
    <w:rsid w:val="003448F4"/>
    <w:rsid w:val="00374F5E"/>
    <w:rsid w:val="00377E3E"/>
    <w:rsid w:val="003A779E"/>
    <w:rsid w:val="003D0F4D"/>
    <w:rsid w:val="003D5B0D"/>
    <w:rsid w:val="003E0499"/>
    <w:rsid w:val="003F3941"/>
    <w:rsid w:val="00406575"/>
    <w:rsid w:val="00414C74"/>
    <w:rsid w:val="0042722E"/>
    <w:rsid w:val="004321FF"/>
    <w:rsid w:val="0044528D"/>
    <w:rsid w:val="004512C6"/>
    <w:rsid w:val="004A1847"/>
    <w:rsid w:val="004A305D"/>
    <w:rsid w:val="004F21C4"/>
    <w:rsid w:val="004F685F"/>
    <w:rsid w:val="0050075B"/>
    <w:rsid w:val="005566E8"/>
    <w:rsid w:val="00574867"/>
    <w:rsid w:val="00582D38"/>
    <w:rsid w:val="00591460"/>
    <w:rsid w:val="005C3777"/>
    <w:rsid w:val="005C5CDC"/>
    <w:rsid w:val="005D476C"/>
    <w:rsid w:val="006219F8"/>
    <w:rsid w:val="006302F7"/>
    <w:rsid w:val="00665D70"/>
    <w:rsid w:val="006900D9"/>
    <w:rsid w:val="006A760C"/>
    <w:rsid w:val="00706C16"/>
    <w:rsid w:val="00707993"/>
    <w:rsid w:val="00756841"/>
    <w:rsid w:val="007649AB"/>
    <w:rsid w:val="00771D0C"/>
    <w:rsid w:val="007833AC"/>
    <w:rsid w:val="007B268C"/>
    <w:rsid w:val="007B7171"/>
    <w:rsid w:val="007C0C0F"/>
    <w:rsid w:val="007C3DC2"/>
    <w:rsid w:val="007E5497"/>
    <w:rsid w:val="00806F5F"/>
    <w:rsid w:val="00820278"/>
    <w:rsid w:val="00867F95"/>
    <w:rsid w:val="00874DFF"/>
    <w:rsid w:val="00882B4B"/>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20CE1"/>
    <w:rsid w:val="00A33C78"/>
    <w:rsid w:val="00A8323A"/>
    <w:rsid w:val="00A95DF4"/>
    <w:rsid w:val="00AB0ADB"/>
    <w:rsid w:val="00AC7CA4"/>
    <w:rsid w:val="00B00C0E"/>
    <w:rsid w:val="00B01B1A"/>
    <w:rsid w:val="00B44A47"/>
    <w:rsid w:val="00B72CD3"/>
    <w:rsid w:val="00B72FFF"/>
    <w:rsid w:val="00BC3D36"/>
    <w:rsid w:val="00BD7F72"/>
    <w:rsid w:val="00C04FB3"/>
    <w:rsid w:val="00C330EB"/>
    <w:rsid w:val="00C754BE"/>
    <w:rsid w:val="00C76B1C"/>
    <w:rsid w:val="00CA36E6"/>
    <w:rsid w:val="00CB6357"/>
    <w:rsid w:val="00CC1B26"/>
    <w:rsid w:val="00D423A2"/>
    <w:rsid w:val="00D520D8"/>
    <w:rsid w:val="00D63AC2"/>
    <w:rsid w:val="00D7383B"/>
    <w:rsid w:val="00DA231B"/>
    <w:rsid w:val="00DA6397"/>
    <w:rsid w:val="00DC39FC"/>
    <w:rsid w:val="00DF5254"/>
    <w:rsid w:val="00E16408"/>
    <w:rsid w:val="00E20894"/>
    <w:rsid w:val="00E245AB"/>
    <w:rsid w:val="00E2764C"/>
    <w:rsid w:val="00E27F2E"/>
    <w:rsid w:val="00E50AFE"/>
    <w:rsid w:val="00E75C92"/>
    <w:rsid w:val="00E771DC"/>
    <w:rsid w:val="00E8772A"/>
    <w:rsid w:val="00E90F6B"/>
    <w:rsid w:val="00E92C27"/>
    <w:rsid w:val="00EA08E3"/>
    <w:rsid w:val="00EA0E3D"/>
    <w:rsid w:val="00EC38A7"/>
    <w:rsid w:val="00EE1AA8"/>
    <w:rsid w:val="00F31EDC"/>
    <w:rsid w:val="00F462B3"/>
    <w:rsid w:val="00F5664F"/>
    <w:rsid w:val="00F666C4"/>
    <w:rsid w:val="00F76AFC"/>
    <w:rsid w:val="00FA47C0"/>
    <w:rsid w:val="00FB5DD1"/>
    <w:rsid w:val="00FC2B5D"/>
    <w:rsid w:val="00FF1449"/>
    <w:rsid w:val="06320667"/>
    <w:rsid w:val="08CF8F7A"/>
    <w:rsid w:val="2570DDEE"/>
    <w:rsid w:val="3057C955"/>
    <w:rsid w:val="36BF0FF5"/>
    <w:rsid w:val="3D0DF0F8"/>
    <w:rsid w:val="3DD8E9D0"/>
    <w:rsid w:val="3E9CC314"/>
    <w:rsid w:val="489A9FAE"/>
    <w:rsid w:val="48FA8AE9"/>
    <w:rsid w:val="4AFB3610"/>
    <w:rsid w:val="522C2044"/>
    <w:rsid w:val="5364AFE0"/>
    <w:rsid w:val="65599D2D"/>
    <w:rsid w:val="66200FE7"/>
    <w:rsid w:val="6EF0452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13669"/>
    <w:rPr>
      <w:rFonts w:ascii="Geomanist Light" w:hAnsi="Geomanist Light"/>
      <w:lang w:val="es-ES"/>
    </w:rPr>
  </w:style>
  <w:style w:type="paragraph" w:customStyle="1" w:styleId="Appelnotedebasde">
    <w:name w:val="Appel note de bas de..."/>
    <w:basedOn w:val="Normal"/>
    <w:link w:val="Refdenotaalpie"/>
    <w:uiPriority w:val="99"/>
    <w:rsid w:val="00313669"/>
    <w:pPr>
      <w:spacing w:line="240" w:lineRule="exact"/>
    </w:pPr>
    <w:rPr>
      <w:vertAlign w:val="superscript"/>
    </w:rPr>
  </w:style>
  <w:style w:type="paragraph" w:styleId="Textoindependiente">
    <w:name w:val="Body Text"/>
    <w:basedOn w:val="Normal"/>
    <w:link w:val="TextoindependienteCar"/>
    <w:uiPriority w:val="1"/>
    <w:qFormat/>
    <w:rsid w:val="00313669"/>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313669"/>
    <w:rPr>
      <w:rFonts w:ascii="Arial" w:eastAsia="Arial" w:hAnsi="Arial" w:cs="Arial"/>
      <w:lang w:val="es-ES"/>
    </w:rPr>
  </w:style>
  <w:style w:type="paragraph" w:styleId="Textocomentario">
    <w:name w:val="annotation text"/>
    <w:basedOn w:val="Normal"/>
    <w:link w:val="TextocomentarioCar"/>
    <w:uiPriority w:val="99"/>
    <w:semiHidden/>
    <w:unhideWhenUsed/>
    <w:rsid w:val="00874DF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74DFF"/>
    <w:rPr>
      <w:sz w:val="20"/>
      <w:szCs w:val="20"/>
    </w:rPr>
  </w:style>
  <w:style w:type="character" w:styleId="Refdecomentario">
    <w:name w:val="annotation reference"/>
    <w:basedOn w:val="Fuentedeprrafopredeter"/>
    <w:uiPriority w:val="99"/>
    <w:semiHidden/>
    <w:unhideWhenUsed/>
    <w:rsid w:val="00874DF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lombiacompra.gov.co/manuales-guias-y-pliegos-tipo/manuales-y-guia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AB83A6-6381-44A0-8828-3F41F49B16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elements/1.1/"/>
    <ds:schemaRef ds:uri="http://www.w3.org/XML/1998/namespace"/>
    <ds:schemaRef ds:uri="http://purl.org/dc/dcmitype/"/>
    <ds:schemaRef ds:uri="http://schemas.openxmlformats.org/package/2006/metadata/core-properties"/>
    <ds:schemaRef ds:uri="a6cb9e4b-f1d1-4245-83ec-6cad768d538a"/>
    <ds:schemaRef ds:uri="http://schemas.microsoft.com/office/infopath/2007/PartnerControls"/>
    <ds:schemaRef ds:uri="http://schemas.microsoft.com/office/2006/documentManagement/types"/>
    <ds:schemaRef ds:uri="9d85dbaf-23eb-4e57-a637-93dcacc8b1a1"/>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21</Pages>
  <Words>6562</Words>
  <Characters>36092</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2025-10-16T13:44:00Z</dcterms:created>
  <dcterms:modified xsi:type="dcterms:W3CDTF">2025-10-16T13:44:00Z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