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390F1" w14:textId="77777777" w:rsidR="00D126E1" w:rsidRPr="00D126E1" w:rsidRDefault="00D126E1" w:rsidP="00D126E1">
      <w:pPr>
        <w:spacing w:after="0" w:line="276" w:lineRule="auto"/>
        <w:jc w:val="both"/>
        <w:rPr>
          <w:rFonts w:ascii="Verdana" w:eastAsia="Calibri" w:hAnsi="Verdana" w:cs="Arial"/>
          <w:b/>
          <w:bCs/>
          <w:lang w:val="es-ES_tradnl"/>
        </w:rPr>
      </w:pPr>
      <w:bookmarkStart w:id="0" w:name="_Hlk143780582"/>
      <w:r w:rsidRPr="00D126E1">
        <w:rPr>
          <w:rFonts w:ascii="Verdana" w:eastAsia="Calibri" w:hAnsi="Verdana" w:cs="Arial"/>
          <w:b/>
          <w:bCs/>
          <w:lang w:val="es-ES_tradnl"/>
        </w:rPr>
        <w:t xml:space="preserve">DOCUMENTOS TIPO – Fundamento normativo – Obligatoriedad </w:t>
      </w:r>
    </w:p>
    <w:p w14:paraId="71CC5566" w14:textId="77777777" w:rsidR="00D126E1" w:rsidRPr="00D126E1" w:rsidRDefault="00D126E1" w:rsidP="00D126E1">
      <w:pPr>
        <w:spacing w:after="0" w:line="276" w:lineRule="auto"/>
        <w:jc w:val="both"/>
        <w:rPr>
          <w:rFonts w:ascii="Verdana" w:eastAsia="Calibri" w:hAnsi="Verdana" w:cs="Arial"/>
          <w:b/>
          <w:bCs/>
          <w:sz w:val="20"/>
          <w:szCs w:val="20"/>
          <w:lang w:val="es-ES_tradnl"/>
        </w:rPr>
      </w:pPr>
    </w:p>
    <w:p w14:paraId="46F520D1" w14:textId="77777777" w:rsidR="00D126E1" w:rsidRPr="00D126E1" w:rsidRDefault="00D126E1" w:rsidP="00D126E1">
      <w:pPr>
        <w:tabs>
          <w:tab w:val="left" w:pos="709"/>
        </w:tabs>
        <w:spacing w:after="0" w:line="240" w:lineRule="auto"/>
        <w:jc w:val="both"/>
        <w:rPr>
          <w:rFonts w:ascii="Verdana" w:eastAsia="Calibri" w:hAnsi="Verdana" w:cs="Arial"/>
          <w:sz w:val="20"/>
          <w:szCs w:val="20"/>
          <w:lang w:val="es-ES"/>
        </w:rPr>
      </w:pPr>
      <w:r w:rsidRPr="00D126E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4F8C805" w14:textId="77777777" w:rsidR="00D126E1" w:rsidRPr="00D126E1" w:rsidRDefault="00D126E1" w:rsidP="00D126E1">
      <w:pPr>
        <w:widowControl w:val="0"/>
        <w:autoSpaceDE w:val="0"/>
        <w:autoSpaceDN w:val="0"/>
        <w:spacing w:after="0" w:line="276" w:lineRule="auto"/>
        <w:jc w:val="both"/>
        <w:rPr>
          <w:rFonts w:ascii="Verdana" w:eastAsia="Calibri" w:hAnsi="Verdana" w:cs="Times New Roman"/>
          <w:lang w:val="es-ES"/>
        </w:rPr>
      </w:pPr>
    </w:p>
    <w:p w14:paraId="171E3658" w14:textId="77777777" w:rsidR="00D126E1" w:rsidRPr="00D126E1" w:rsidRDefault="00D126E1" w:rsidP="00D126E1">
      <w:pPr>
        <w:spacing w:after="0" w:line="276" w:lineRule="auto"/>
        <w:jc w:val="both"/>
        <w:rPr>
          <w:rFonts w:ascii="Verdana" w:eastAsia="Calibri" w:hAnsi="Verdana" w:cs="Times New Roman"/>
          <w:sz w:val="20"/>
          <w:szCs w:val="20"/>
          <w:lang w:val="es-ES"/>
        </w:rPr>
      </w:pPr>
      <w:r w:rsidRPr="00D126E1">
        <w:rPr>
          <w:rFonts w:ascii="Verdana" w:eastAsia="Calibri" w:hAnsi="Verdana" w:cs="Times New Roman"/>
          <w:b/>
          <w:bCs/>
          <w:lang w:val="es-ES"/>
        </w:rPr>
        <w:t xml:space="preserve">DOCUMENTOS TIPO – Aplicación – Matriz de Experiencia </w:t>
      </w:r>
    </w:p>
    <w:p w14:paraId="7D178F3A" w14:textId="77777777" w:rsidR="00D126E1" w:rsidRPr="00D126E1" w:rsidRDefault="00D126E1" w:rsidP="00D126E1">
      <w:pPr>
        <w:spacing w:after="0" w:line="240" w:lineRule="auto"/>
        <w:rPr>
          <w:rFonts w:ascii="Verdana" w:eastAsia="Geomanist Light" w:hAnsi="Verdana" w:cs="Arial"/>
          <w:highlight w:val="yellow"/>
          <w:lang w:val="es-MX"/>
        </w:rPr>
      </w:pPr>
    </w:p>
    <w:p w14:paraId="0BDEAC4B"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sz w:val="20"/>
          <w:szCs w:val="20"/>
          <w:lang w:val="es-ES"/>
        </w:rPr>
      </w:pPr>
      <w:r w:rsidRPr="00D126E1">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8847569"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sz w:val="20"/>
          <w:szCs w:val="20"/>
          <w:lang w:val="es-ES"/>
        </w:rPr>
      </w:pPr>
    </w:p>
    <w:p w14:paraId="0C9937E1"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sz w:val="20"/>
          <w:szCs w:val="20"/>
          <w:lang w:val="es-ES"/>
        </w:rPr>
      </w:pPr>
      <w:r w:rsidRPr="00D126E1">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D017A98"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b/>
          <w:bCs/>
          <w:sz w:val="20"/>
          <w:szCs w:val="20"/>
          <w:lang w:val="es-ES"/>
        </w:rPr>
      </w:pPr>
    </w:p>
    <w:p w14:paraId="6CC8FA79"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b/>
          <w:bCs/>
          <w:sz w:val="20"/>
          <w:szCs w:val="20"/>
          <w:lang w:val="es-ES"/>
        </w:rPr>
      </w:pPr>
      <w:r w:rsidRPr="00D126E1">
        <w:rPr>
          <w:rFonts w:ascii="Verdana" w:eastAsia="Calibri" w:hAnsi="Verdana" w:cs="Times New Roman"/>
          <w:b/>
          <w:bCs/>
          <w:lang w:val="es-ES"/>
        </w:rPr>
        <w:t xml:space="preserve">DOCUMENTOS TIPO – Sector Institucional – Aplicación – </w:t>
      </w:r>
      <w:r w:rsidRPr="00D126E1">
        <w:rPr>
          <w:rFonts w:ascii="Verdana" w:eastAsia="Times New Roman" w:hAnsi="Verdana" w:cs="Times New Roman"/>
          <w:b/>
          <w:bCs/>
          <w:color w:val="000000"/>
          <w:lang w:eastAsia="es-CO"/>
        </w:rPr>
        <w:t xml:space="preserve">Casas de refugio </w:t>
      </w:r>
      <w:r w:rsidRPr="00D126E1">
        <w:rPr>
          <w:rFonts w:ascii="Verdana" w:eastAsia="Calibri" w:hAnsi="Verdana" w:cs="Times New Roman"/>
          <w:b/>
          <w:bCs/>
          <w:lang w:val="es-ES"/>
        </w:rPr>
        <w:t>–</w:t>
      </w:r>
      <w:r w:rsidRPr="00D126E1">
        <w:rPr>
          <w:rFonts w:ascii="Verdana" w:eastAsia="Calibri" w:hAnsi="Verdana" w:cs="Arial"/>
          <w:b/>
          <w:bCs/>
          <w:lang w:eastAsia="es-ES_tradnl"/>
        </w:rPr>
        <w:t xml:space="preserve"> Víctimas de violencias basada en el género y violencia contra la mujer</w:t>
      </w:r>
    </w:p>
    <w:p w14:paraId="753DEB77" w14:textId="77777777" w:rsidR="00D126E1" w:rsidRPr="00D126E1" w:rsidRDefault="00D126E1" w:rsidP="00D126E1">
      <w:pPr>
        <w:spacing w:after="0" w:line="278" w:lineRule="auto"/>
        <w:jc w:val="both"/>
        <w:textAlignment w:val="baseline"/>
        <w:rPr>
          <w:rFonts w:ascii="Verdana" w:eastAsia="Calibri" w:hAnsi="Verdana" w:cs="Times New Roman"/>
          <w:lang w:val="es-ES"/>
        </w:rPr>
      </w:pPr>
    </w:p>
    <w:p w14:paraId="637F29A4" w14:textId="77777777" w:rsidR="00D126E1" w:rsidRPr="00D126E1" w:rsidRDefault="00D126E1" w:rsidP="00D126E1">
      <w:pPr>
        <w:spacing w:after="0" w:line="240" w:lineRule="auto"/>
        <w:jc w:val="both"/>
        <w:rPr>
          <w:rFonts w:ascii="Verdana" w:eastAsia="Times New Roman" w:hAnsi="Verdana" w:cs="Arial"/>
          <w:color w:val="000000"/>
          <w:sz w:val="20"/>
          <w:szCs w:val="20"/>
          <w:lang w:val="es-ES" w:eastAsia="es-CO"/>
        </w:rPr>
      </w:pPr>
      <w:r w:rsidRPr="696A6386">
        <w:rPr>
          <w:rFonts w:ascii="Verdana" w:eastAsia="Times New Roman" w:hAnsi="Verdana" w:cs="Times New Roman"/>
          <w:color w:val="000000" w:themeColor="text1"/>
          <w:sz w:val="20"/>
          <w:szCs w:val="20"/>
          <w:lang w:val="es-ES" w:eastAsia="es-CO"/>
        </w:rPr>
        <w:t xml:space="preserve">En este sentido, teniendo en cuenta que en el Anexo – Glosario, no se encuentra definida la Infraestructura de Servicio Público, debe indicarse que, de acuerdo con la NSR-10, en el Subgrupo de Ocupación institucional de servicio público (I-5) en el Subgrupo de Ocupación Institucional de servicio público, “(…) se clasifican las edificaciones o espacios destinados a funciones administrativas y prestación de servicios públicos necesarios para el buen funcionamiento de las ciudades”. </w:t>
      </w:r>
      <w:proofErr w:type="gramStart"/>
      <w:r w:rsidRPr="696A6386">
        <w:rPr>
          <w:rFonts w:ascii="Verdana" w:eastAsia="Times New Roman" w:hAnsi="Verdana" w:cs="Times New Roman"/>
          <w:color w:val="000000" w:themeColor="text1"/>
          <w:sz w:val="20"/>
          <w:szCs w:val="20"/>
          <w:lang w:val="es-ES" w:eastAsia="es-CO"/>
        </w:rPr>
        <w:t>Y</w:t>
      </w:r>
      <w:proofErr w:type="gramEnd"/>
      <w:r w:rsidRPr="696A6386">
        <w:rPr>
          <w:rFonts w:ascii="Verdana" w:eastAsia="Times New Roman" w:hAnsi="Verdana" w:cs="Times New Roman"/>
          <w:color w:val="000000" w:themeColor="text1"/>
          <w:sz w:val="20"/>
          <w:szCs w:val="20"/>
          <w:lang w:val="es-ES" w:eastAsia="es-CO"/>
        </w:rPr>
        <w:t xml:space="preserve"> además, la norma técnica señalada, presenta una lista indicativa de edificaciones o espacios que deben clasificarse en el Subgrupo de Ocupación (I-5), estos son: i) centros de comunicación, centros administrativos municipales, distritales o gubernamentales, centros administrativos de servicios públicos, juzgados y otros similares. </w:t>
      </w:r>
    </w:p>
    <w:p w14:paraId="206D6AB2" w14:textId="77777777" w:rsidR="00D126E1" w:rsidRPr="00D126E1" w:rsidRDefault="00D126E1" w:rsidP="00D126E1">
      <w:pPr>
        <w:spacing w:after="0" w:line="240" w:lineRule="auto"/>
        <w:jc w:val="both"/>
        <w:rPr>
          <w:rFonts w:ascii="Verdana" w:eastAsia="Times New Roman" w:hAnsi="Verdana" w:cs="Arial"/>
          <w:color w:val="000000"/>
          <w:sz w:val="20"/>
          <w:szCs w:val="20"/>
          <w:lang w:val="es-ES_tradnl" w:eastAsia="es-ES"/>
        </w:rPr>
      </w:pPr>
    </w:p>
    <w:p w14:paraId="20A2FAA5" w14:textId="77777777" w:rsidR="00D126E1" w:rsidRPr="00D126E1" w:rsidRDefault="00D126E1" w:rsidP="00D126E1">
      <w:pPr>
        <w:spacing w:after="0" w:line="240" w:lineRule="auto"/>
        <w:jc w:val="both"/>
        <w:rPr>
          <w:rFonts w:ascii="Verdana" w:eastAsia="Times New Roman" w:hAnsi="Verdana" w:cs="Arial"/>
          <w:color w:val="000000"/>
          <w:sz w:val="20"/>
          <w:szCs w:val="20"/>
          <w:lang w:val="es-ES_tradnl" w:eastAsia="es-CO"/>
        </w:rPr>
      </w:pPr>
      <w:r w:rsidRPr="00D126E1">
        <w:rPr>
          <w:rFonts w:ascii="Verdana" w:eastAsia="Times New Roman" w:hAnsi="Verdana" w:cs="Arial"/>
          <w:color w:val="000000"/>
          <w:sz w:val="20"/>
          <w:szCs w:val="20"/>
          <w:lang w:val="es-ES_tradnl" w:eastAsia="es-ES"/>
        </w:rPr>
        <w:lastRenderedPageBreak/>
        <w:t xml:space="preserve">Por su parte, sobre la noción de </w:t>
      </w:r>
      <w:r w:rsidRPr="00D126E1">
        <w:rPr>
          <w:rFonts w:ascii="Verdana" w:eastAsia="Calibri" w:hAnsi="Verdana" w:cs="Times New Roman"/>
          <w:color w:val="000000"/>
          <w:sz w:val="20"/>
          <w:szCs w:val="20"/>
          <w:lang w:val="es-ES" w:eastAsia="es-ES"/>
        </w:rPr>
        <w:t xml:space="preserve">“centro de atención para víctimas de violencia basada en el género y violencia contra la mujer”, el artículo 2 de </w:t>
      </w:r>
      <w:r w:rsidRPr="00D126E1">
        <w:rPr>
          <w:rFonts w:ascii="Verdana" w:eastAsia="Times New Roman" w:hAnsi="Verdana" w:cs="Times New Roman"/>
          <w:color w:val="000000"/>
          <w:sz w:val="20"/>
          <w:szCs w:val="20"/>
          <w:bdr w:val="none" w:sz="0" w:space="0" w:color="auto" w:frame="1"/>
          <w:shd w:val="clear" w:color="auto" w:fill="FFFFFF"/>
          <w:lang w:val="es-ES_tradnl" w:eastAsia="es-CO"/>
        </w:rPr>
        <w:t>la Ley 2215 del 23 de junio de 2022, define l</w:t>
      </w:r>
      <w:r w:rsidRPr="00D126E1">
        <w:rPr>
          <w:rFonts w:ascii="Verdana" w:eastAsia="Times New Roman" w:hAnsi="Verdana" w:cs="Times New Roman"/>
          <w:color w:val="000000"/>
          <w:sz w:val="20"/>
          <w:szCs w:val="20"/>
          <w:bdr w:val="none" w:sz="0" w:space="0" w:color="auto" w:frame="1"/>
          <w:lang w:val="es-ES_tradnl" w:eastAsia="es-CO"/>
        </w:rPr>
        <w:t xml:space="preserve">as Casas de Refugio, sobre estas </w:t>
      </w:r>
      <w:r w:rsidRPr="00D126E1">
        <w:rPr>
          <w:rFonts w:ascii="Verdana" w:eastAsia="Times New Roman" w:hAnsi="Verdana" w:cs="Arial"/>
          <w:color w:val="000000"/>
          <w:sz w:val="20"/>
          <w:szCs w:val="20"/>
          <w:lang w:val="es-ES_tradnl" w:eastAsia="es-CO"/>
        </w:rPr>
        <w:t>puede señalarse que son espacios temporales, dignos, gratuitos y seguros que brinda protección integral a mujeres víctimas de violencia, junto a sus hijos u otras personas dependientes, ofreciendo alojamiento, alimentación, vestimenta, apoyo legal, psicosocial, educativo, ocupacional y espiritual, con el fin de garantizar su seguridad, romper el ciclo de violencia y promover su autonomía y empoderamiento.</w:t>
      </w:r>
    </w:p>
    <w:p w14:paraId="27764676" w14:textId="77777777" w:rsidR="00D126E1" w:rsidRPr="00D126E1" w:rsidRDefault="00D126E1" w:rsidP="00D126E1">
      <w:pPr>
        <w:spacing w:after="0" w:line="240" w:lineRule="auto"/>
        <w:jc w:val="both"/>
        <w:rPr>
          <w:rFonts w:ascii="Verdana" w:eastAsia="Times New Roman" w:hAnsi="Verdana" w:cs="Arial"/>
          <w:color w:val="000000"/>
          <w:sz w:val="20"/>
          <w:szCs w:val="20"/>
          <w:lang w:val="es-ES_tradnl" w:eastAsia="es-CO"/>
        </w:rPr>
      </w:pPr>
    </w:p>
    <w:p w14:paraId="7F79F162" w14:textId="77777777" w:rsidR="00D126E1" w:rsidRPr="00D126E1" w:rsidRDefault="00D126E1" w:rsidP="00D126E1">
      <w:pPr>
        <w:spacing w:after="0" w:line="240" w:lineRule="auto"/>
        <w:jc w:val="both"/>
        <w:rPr>
          <w:rFonts w:ascii="Verdana" w:eastAsia="Times New Roman" w:hAnsi="Verdana" w:cs="Arial"/>
          <w:color w:val="000000"/>
          <w:sz w:val="20"/>
          <w:szCs w:val="20"/>
          <w:lang w:val="es-ES_tradnl" w:eastAsia="es-CO"/>
        </w:rPr>
      </w:pPr>
      <w:r w:rsidRPr="00D126E1">
        <w:rPr>
          <w:rFonts w:ascii="Verdana" w:eastAsia="Times New Roman" w:hAnsi="Verdana" w:cs="Times New Roman"/>
          <w:color w:val="000000"/>
          <w:sz w:val="20"/>
          <w:szCs w:val="20"/>
          <w:lang w:val="es-ES_tradnl" w:eastAsia="es-CO"/>
        </w:rPr>
        <w:t>(…)</w:t>
      </w:r>
    </w:p>
    <w:p w14:paraId="042E389D" w14:textId="77777777" w:rsidR="00D126E1" w:rsidRPr="00D126E1" w:rsidRDefault="00D126E1" w:rsidP="00D126E1">
      <w:pPr>
        <w:shd w:val="clear" w:color="auto" w:fill="FFFFFF"/>
        <w:spacing w:after="0" w:line="278" w:lineRule="auto"/>
        <w:jc w:val="both"/>
        <w:textAlignment w:val="baseline"/>
        <w:rPr>
          <w:rFonts w:ascii="Verdana" w:eastAsia="Times New Roman" w:hAnsi="Verdana" w:cs="Times New Roman"/>
          <w:color w:val="000000"/>
          <w:kern w:val="2"/>
          <w:sz w:val="20"/>
          <w:szCs w:val="20"/>
          <w:lang w:eastAsia="es-CO"/>
          <w14:ligatures w14:val="standardContextual"/>
        </w:rPr>
      </w:pPr>
    </w:p>
    <w:p w14:paraId="7C3E83D2" w14:textId="77777777" w:rsidR="00D126E1" w:rsidRPr="00D126E1" w:rsidRDefault="00D126E1" w:rsidP="00D126E1">
      <w:pPr>
        <w:shd w:val="clear" w:color="auto" w:fill="FFFFFF"/>
        <w:spacing w:after="0" w:line="240" w:lineRule="auto"/>
        <w:jc w:val="both"/>
        <w:textAlignment w:val="baseline"/>
        <w:rPr>
          <w:rFonts w:ascii="Verdana" w:eastAsia="Times New Roman" w:hAnsi="Verdana" w:cs="Times New Roman"/>
          <w:color w:val="000000"/>
          <w:sz w:val="20"/>
          <w:szCs w:val="20"/>
          <w:lang w:eastAsia="es-CO"/>
        </w:rPr>
      </w:pPr>
      <w:r w:rsidRPr="00D126E1">
        <w:rPr>
          <w:rFonts w:ascii="Verdana" w:eastAsia="Times New Roman" w:hAnsi="Verdana" w:cs="Times New Roman"/>
          <w:color w:val="000000"/>
          <w:sz w:val="20"/>
          <w:szCs w:val="20"/>
          <w:lang w:eastAsia="es-CO"/>
        </w:rPr>
        <w:t xml:space="preserve">Ahora bien, de acuerdo con el artículo 6 de la Ley 2215 del 23 de junio de 2022, la administración de estas casas debe estar a cargo del Gobierno Nacional, los gobiernos departamentales y los entes territoriales, lo que refuerza el carácter de servicio público de las prestaciones ofrecidas en dichos espacios y lo que -eventualmente- podría otorgarles la consideración de edificaciones institucionales de la Administración Pública destinadas a la prestación de servicios público. </w:t>
      </w:r>
    </w:p>
    <w:p w14:paraId="0554169D" w14:textId="77777777" w:rsidR="00D126E1" w:rsidRPr="00D126E1" w:rsidRDefault="00D126E1" w:rsidP="00D126E1">
      <w:pPr>
        <w:widowControl w:val="0"/>
        <w:autoSpaceDE w:val="0"/>
        <w:autoSpaceDN w:val="0"/>
        <w:spacing w:after="0" w:line="278" w:lineRule="auto"/>
        <w:jc w:val="both"/>
        <w:rPr>
          <w:rFonts w:ascii="Verdana" w:eastAsia="Times New Roman" w:hAnsi="Verdana" w:cs="Times New Roman"/>
          <w:color w:val="000000"/>
          <w:kern w:val="2"/>
          <w:sz w:val="20"/>
          <w:szCs w:val="20"/>
          <w:lang w:eastAsia="es-CO"/>
          <w14:ligatures w14:val="standardContextual"/>
        </w:rPr>
      </w:pPr>
    </w:p>
    <w:p w14:paraId="05F43A50" w14:textId="584FA98E" w:rsidR="00D126E1" w:rsidRPr="00D126E1" w:rsidRDefault="00D126E1" w:rsidP="00D126E1">
      <w:pPr>
        <w:widowControl w:val="0"/>
        <w:autoSpaceDE w:val="0"/>
        <w:autoSpaceDN w:val="0"/>
        <w:spacing w:after="0" w:line="240" w:lineRule="auto"/>
        <w:jc w:val="both"/>
        <w:rPr>
          <w:rFonts w:ascii="Verdana" w:eastAsia="Calibri" w:hAnsi="Verdana" w:cs="Arial"/>
          <w:kern w:val="2"/>
          <w:sz w:val="20"/>
          <w:szCs w:val="20"/>
          <w14:ligatures w14:val="standardContextual"/>
        </w:rPr>
      </w:pPr>
      <w:r w:rsidRPr="00D126E1">
        <w:rPr>
          <w:rFonts w:ascii="Verdana" w:eastAsia="Times New Roman" w:hAnsi="Verdana" w:cs="Times New Roman"/>
          <w:color w:val="000000"/>
          <w:sz w:val="20"/>
          <w:szCs w:val="20"/>
          <w:lang w:eastAsia="es-CO"/>
        </w:rPr>
        <w:t xml:space="preserve">Considerando los parámetros señalados con anterioridad, </w:t>
      </w:r>
      <w:r w:rsidRPr="00D126E1">
        <w:rPr>
          <w:rFonts w:ascii="Verdana" w:eastAsia="Calibri" w:hAnsi="Verdana" w:cs="Arial"/>
          <w:kern w:val="2"/>
          <w:sz w:val="20"/>
          <w:szCs w:val="20"/>
          <w14:ligatures w14:val="standardContextual"/>
        </w:rPr>
        <w:t>los documentos tipo del sector institucional, adoptados por medio de la Resolución 5</w:t>
      </w:r>
      <w:r w:rsidR="2A389682" w:rsidRPr="00D126E1">
        <w:rPr>
          <w:rFonts w:ascii="Verdana" w:eastAsia="Calibri" w:hAnsi="Verdana" w:cs="Arial"/>
          <w:kern w:val="2"/>
          <w:sz w:val="20"/>
          <w:szCs w:val="20"/>
          <w14:ligatures w14:val="standardContextual"/>
        </w:rPr>
        <w:t>39</w:t>
      </w:r>
      <w:r w:rsidRPr="00D126E1">
        <w:rPr>
          <w:rFonts w:ascii="Verdana" w:eastAsia="Calibri" w:hAnsi="Verdana" w:cs="Arial"/>
          <w:kern w:val="2"/>
          <w:sz w:val="20"/>
          <w:szCs w:val="20"/>
          <w14:ligatures w14:val="standardContextual"/>
        </w:rPr>
        <w:t xml:space="preserve"> de 2025, eventualmente podrían enmarcarse dentro del objeto del proceso por el que se indaga. Por lo tanto, le corresponde a la entidad que pretende adelantar el proceso de contratación, determinar, de acuerdo con el alcance del servicio que prestará el “Centro de atención para víctimas de violencia contra la mujer”, si este se enmarca dentro de la </w:t>
      </w:r>
      <w:r w:rsidRPr="00D126E1">
        <w:rPr>
          <w:rFonts w:ascii="Verdana" w:eastAsia="Times New Roman" w:hAnsi="Verdana" w:cs="Times New Roman"/>
          <w:color w:val="000000"/>
          <w:sz w:val="20"/>
          <w:szCs w:val="20"/>
          <w:lang w:eastAsia="es-CO"/>
        </w:rPr>
        <w:t>Infraestructura de Servicio Público y por lo tanto determinar la aplicación o no del documento tipo señalado.</w:t>
      </w:r>
      <w:r w:rsidRPr="00D126E1">
        <w:rPr>
          <w:rFonts w:ascii="Verdana" w:eastAsia="Calibri" w:hAnsi="Verdana" w:cs="Arial"/>
          <w:kern w:val="2"/>
          <w:sz w:val="20"/>
          <w:szCs w:val="20"/>
          <w14:ligatures w14:val="standardContextual"/>
        </w:rPr>
        <w:t xml:space="preserve"> No obstante, los documentos tipo acogidos por medio de la Resolución 539 de 2025, tal como se indicó, aplicaran en los procesos de selección cuyo aviso de convocatoria se publique a partir del 16 de febrero de 2026.</w:t>
      </w:r>
    </w:p>
    <w:p w14:paraId="056DC829"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5FA4901B"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47393306"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78675780"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2F94C00A"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789800E4"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7A67330B"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641E35E3"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76064045"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68DC8C1A"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6FF7B728"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0D3A6116"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13AB3DAB"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2B699733"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0CDA3D59" w14:textId="77777777" w:rsidR="00D126E1" w:rsidRDefault="00D126E1" w:rsidP="00D126E1">
      <w:pPr>
        <w:spacing w:after="0" w:line="240" w:lineRule="auto"/>
        <w:rPr>
          <w:rFonts w:ascii="Verdana" w:eastAsia="Times New Roman" w:hAnsi="Verdana" w:cs="Times New Roman"/>
          <w:color w:val="000000"/>
          <w:sz w:val="20"/>
          <w:szCs w:val="20"/>
          <w:lang w:eastAsia="es-CO"/>
        </w:rPr>
      </w:pPr>
    </w:p>
    <w:p w14:paraId="051BFFC6" w14:textId="77777777" w:rsidR="0023659C" w:rsidRDefault="0023659C" w:rsidP="00D126E1">
      <w:pPr>
        <w:spacing w:after="0" w:line="240" w:lineRule="auto"/>
        <w:rPr>
          <w:rFonts w:ascii="Verdana" w:eastAsia="Times New Roman" w:hAnsi="Verdana" w:cs="Times New Roman"/>
          <w:color w:val="000000"/>
          <w:sz w:val="20"/>
          <w:szCs w:val="20"/>
          <w:lang w:eastAsia="es-CO"/>
        </w:rPr>
      </w:pPr>
    </w:p>
    <w:p w14:paraId="320D0AA3" w14:textId="77777777" w:rsidR="0023659C" w:rsidRPr="00D126E1" w:rsidRDefault="0023659C" w:rsidP="00D126E1">
      <w:pPr>
        <w:spacing w:after="0" w:line="240" w:lineRule="auto"/>
        <w:rPr>
          <w:rFonts w:ascii="Verdana" w:eastAsia="Times New Roman" w:hAnsi="Verdana" w:cs="Times New Roman"/>
          <w:color w:val="000000"/>
          <w:sz w:val="20"/>
          <w:szCs w:val="20"/>
          <w:lang w:eastAsia="es-CO"/>
        </w:rPr>
      </w:pPr>
    </w:p>
    <w:p w14:paraId="2B702D31"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09826A93"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6B3F3E99"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7451726F" w14:textId="66FD3820" w:rsidR="00D126E1" w:rsidRDefault="00D126E1" w:rsidP="00D126E1">
      <w:pPr>
        <w:spacing w:after="0" w:line="240" w:lineRule="auto"/>
        <w:jc w:val="both"/>
        <w:rPr>
          <w:rFonts w:ascii="Verdana" w:eastAsia="Aptos" w:hAnsi="Verdana" w:cs="Times New Roman"/>
          <w:kern w:val="2"/>
          <w:sz w:val="24"/>
          <w:szCs w:val="24"/>
          <w14:ligatures w14:val="standardContextual"/>
        </w:rPr>
      </w:pPr>
      <w:r w:rsidRPr="00D126E1">
        <w:rPr>
          <w:rFonts w:ascii="Verdana" w:eastAsia="Aptos" w:hAnsi="Verdana" w:cs="Times New Roman"/>
          <w:kern w:val="2"/>
          <w:sz w:val="24"/>
          <w:szCs w:val="24"/>
          <w14:ligatures w14:val="standardContextual"/>
        </w:rPr>
        <w:t xml:space="preserve">Bogotá D.C., </w:t>
      </w:r>
      <w:r w:rsidR="00544DF8">
        <w:rPr>
          <w:rFonts w:ascii="Verdana" w:eastAsia="Aptos" w:hAnsi="Verdana" w:cs="Times New Roman"/>
          <w:kern w:val="2"/>
          <w:sz w:val="24"/>
          <w:szCs w:val="24"/>
          <w14:ligatures w14:val="standardContextual"/>
        </w:rPr>
        <w:t>10 de octubre de 2025</w:t>
      </w:r>
    </w:p>
    <w:p w14:paraId="739FFA17" w14:textId="64EFE444" w:rsidR="00D126E1" w:rsidRDefault="008E0C1B" w:rsidP="00D126E1">
      <w:pPr>
        <w:spacing w:after="0" w:line="240" w:lineRule="auto"/>
        <w:rPr>
          <w:rFonts w:ascii="Verdana" w:eastAsia="Calibri" w:hAnsi="Verdana" w:cs="Arial"/>
          <w:kern w:val="2"/>
          <w:lang w:val="es-ES" w:eastAsia="es-ES"/>
          <w14:ligatures w14:val="standardContextual"/>
        </w:rPr>
      </w:pPr>
      <w:r w:rsidRPr="00544DF8">
        <w:rPr>
          <w:rFonts w:ascii="Verdana" w:eastAsia="Calibri" w:hAnsi="Verdana" w:cs="Arial"/>
          <w:noProof/>
          <w:kern w:val="2"/>
          <w:sz w:val="24"/>
          <w:szCs w:val="24"/>
          <w:lang w:val="es-ES"/>
          <w14:ligatures w14:val="standardContextual"/>
        </w:rPr>
        <w:drawing>
          <wp:anchor distT="0" distB="0" distL="114300" distR="114300" simplePos="0" relativeHeight="251658752" behindDoc="0" locked="0" layoutInCell="1" allowOverlap="1" wp14:anchorId="3B5F5DAD" wp14:editId="4D9EC850">
            <wp:simplePos x="0" y="0"/>
            <wp:positionH relativeFrom="margin">
              <wp:posOffset>2696210</wp:posOffset>
            </wp:positionH>
            <wp:positionV relativeFrom="paragraph">
              <wp:posOffset>64135</wp:posOffset>
            </wp:positionV>
            <wp:extent cx="2915285" cy="1029335"/>
            <wp:effectExtent l="0" t="0" r="0" b="0"/>
            <wp:wrapSquare wrapText="bothSides"/>
            <wp:docPr id="12010904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090423"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15285" cy="1029335"/>
                    </a:xfrm>
                    <a:prstGeom prst="rect">
                      <a:avLst/>
                    </a:prstGeom>
                  </pic:spPr>
                </pic:pic>
              </a:graphicData>
            </a:graphic>
            <wp14:sizeRelH relativeFrom="page">
              <wp14:pctWidth>0</wp14:pctWidth>
            </wp14:sizeRelH>
            <wp14:sizeRelV relativeFrom="page">
              <wp14:pctHeight>0</wp14:pctHeight>
            </wp14:sizeRelV>
          </wp:anchor>
        </w:drawing>
      </w:r>
    </w:p>
    <w:p w14:paraId="72DF514D" w14:textId="4FD9787B" w:rsidR="00424062" w:rsidRPr="00D126E1" w:rsidRDefault="00424062" w:rsidP="00D126E1">
      <w:pPr>
        <w:spacing w:after="0" w:line="240" w:lineRule="auto"/>
        <w:rPr>
          <w:rFonts w:ascii="Verdana" w:eastAsia="Calibri" w:hAnsi="Verdana" w:cs="Arial"/>
          <w:kern w:val="2"/>
          <w:lang w:val="es-ES" w:eastAsia="es-ES"/>
          <w14:ligatures w14:val="standardContextual"/>
        </w:rPr>
      </w:pPr>
    </w:p>
    <w:p w14:paraId="3998E0BC" w14:textId="77777777" w:rsidR="00F93171" w:rsidRDefault="00F93171" w:rsidP="00D126E1">
      <w:pPr>
        <w:spacing w:after="0" w:line="240" w:lineRule="auto"/>
        <w:rPr>
          <w:rFonts w:ascii="Verdana" w:eastAsia="Calibri" w:hAnsi="Verdana" w:cs="Arial"/>
          <w:kern w:val="2"/>
          <w:lang w:val="es-ES" w:eastAsia="es-ES"/>
          <w14:ligatures w14:val="standardContextual"/>
        </w:rPr>
      </w:pPr>
    </w:p>
    <w:p w14:paraId="5B4A489A" w14:textId="5CDD8735" w:rsidR="00D126E1" w:rsidRPr="00D126E1" w:rsidRDefault="00D126E1" w:rsidP="00D126E1">
      <w:pPr>
        <w:spacing w:after="0" w:line="240" w:lineRule="auto"/>
        <w:rPr>
          <w:rFonts w:ascii="Verdana" w:eastAsia="Aptos" w:hAnsi="Verdana" w:cs="Times New Roman"/>
          <w:kern w:val="2"/>
          <w14:ligatures w14:val="standardContextual"/>
        </w:rPr>
      </w:pPr>
      <w:r w:rsidRPr="00D126E1">
        <w:rPr>
          <w:rFonts w:ascii="Verdana" w:eastAsia="Calibri" w:hAnsi="Verdana" w:cs="Arial"/>
          <w:kern w:val="2"/>
          <w:lang w:val="es-ES" w:eastAsia="es-ES"/>
          <w14:ligatures w14:val="standardContextual"/>
        </w:rPr>
        <w:t>Señor</w:t>
      </w:r>
    </w:p>
    <w:p w14:paraId="4BD02CB6" w14:textId="77777777" w:rsidR="00D126E1" w:rsidRPr="00D126E1" w:rsidRDefault="00D126E1" w:rsidP="00D126E1">
      <w:pPr>
        <w:spacing w:after="0" w:line="240" w:lineRule="auto"/>
        <w:rPr>
          <w:rFonts w:ascii="Verdana" w:eastAsia="Calibri" w:hAnsi="Verdana" w:cs="Arial"/>
          <w:b/>
          <w:bCs/>
          <w:kern w:val="2"/>
          <w:lang w:eastAsia="es-ES_tradnl"/>
          <w14:ligatures w14:val="standardContextual"/>
        </w:rPr>
      </w:pPr>
      <w:r w:rsidRPr="00D126E1">
        <w:rPr>
          <w:rFonts w:ascii="Verdana" w:eastAsia="Calibri" w:hAnsi="Verdana" w:cs="Arial"/>
          <w:b/>
          <w:bCs/>
          <w:kern w:val="2"/>
          <w:lang w:eastAsia="es-ES_tradnl"/>
          <w14:ligatures w14:val="standardContextual"/>
        </w:rPr>
        <w:t>Nilton Javier Caicedo Vidal</w:t>
      </w:r>
    </w:p>
    <w:p w14:paraId="0C502A1F" w14:textId="77777777" w:rsidR="00D126E1" w:rsidRPr="00D126E1" w:rsidRDefault="00D126E1" w:rsidP="00D126E1">
      <w:pPr>
        <w:spacing w:after="0" w:line="240" w:lineRule="auto"/>
        <w:rPr>
          <w:rFonts w:ascii="Verdana" w:eastAsia="Calibri" w:hAnsi="Verdana" w:cs="Arial"/>
          <w:b/>
          <w:bCs/>
          <w:lang w:val="es-ES_tradnl" w:eastAsia="es-ES_tradnl"/>
        </w:rPr>
      </w:pPr>
      <w:r w:rsidRPr="00D126E1">
        <w:rPr>
          <w:rFonts w:ascii="Verdana" w:eastAsia="Calibri" w:hAnsi="Verdana" w:cs="Arial"/>
          <w:kern w:val="2"/>
          <w:lang w:val="es-ES_tradnl" w:eastAsia="es-ES_tradnl"/>
          <w14:ligatures w14:val="standardContextual"/>
        </w:rPr>
        <w:t>Bogotá D.C</w:t>
      </w:r>
    </w:p>
    <w:p w14:paraId="7A6C9F3B" w14:textId="77777777" w:rsidR="00D126E1" w:rsidRDefault="00D126E1" w:rsidP="00D126E1">
      <w:pPr>
        <w:spacing w:after="0" w:line="240" w:lineRule="auto"/>
        <w:rPr>
          <w:rFonts w:ascii="Verdana" w:eastAsia="Calibri" w:hAnsi="Verdana" w:cs="Arial"/>
          <w:b/>
          <w:bCs/>
          <w:lang w:val="es-ES_tradnl" w:eastAsia="es-ES_tradnl"/>
        </w:rPr>
      </w:pPr>
    </w:p>
    <w:p w14:paraId="13645024" w14:textId="77777777" w:rsidR="00424062" w:rsidRPr="00D126E1" w:rsidRDefault="00424062" w:rsidP="00D126E1">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D126E1" w:rsidRPr="00D126E1" w14:paraId="1D9FFBEC" w14:textId="77777777" w:rsidTr="00876EDD">
        <w:trPr>
          <w:trHeight w:val="229"/>
        </w:trPr>
        <w:tc>
          <w:tcPr>
            <w:tcW w:w="1985" w:type="dxa"/>
          </w:tcPr>
          <w:p w14:paraId="34258E93" w14:textId="77777777" w:rsidR="00D126E1" w:rsidRPr="00D126E1" w:rsidRDefault="00D126E1" w:rsidP="00D126E1">
            <w:pPr>
              <w:jc w:val="both"/>
              <w:rPr>
                <w:rFonts w:ascii="Verdana" w:eastAsia="Calibri" w:hAnsi="Verdana" w:cs="Arial"/>
                <w:b/>
                <w:bCs/>
                <w:lang w:val="es-ES_tradnl" w:eastAsia="es-ES_tradnl"/>
              </w:rPr>
            </w:pPr>
          </w:p>
        </w:tc>
        <w:tc>
          <w:tcPr>
            <w:tcW w:w="6383" w:type="dxa"/>
          </w:tcPr>
          <w:p w14:paraId="1FDB65DC" w14:textId="77777777" w:rsidR="00D126E1" w:rsidRPr="00D126E1" w:rsidRDefault="00D126E1" w:rsidP="00D126E1">
            <w:pPr>
              <w:jc w:val="both"/>
              <w:rPr>
                <w:rFonts w:ascii="Verdana" w:eastAsia="Calibri" w:hAnsi="Verdana" w:cs="Arial"/>
                <w:b/>
                <w:bCs/>
                <w:lang w:val="es-ES" w:eastAsia="es-ES"/>
              </w:rPr>
            </w:pPr>
            <w:r w:rsidRPr="00D126E1">
              <w:rPr>
                <w:rFonts w:ascii="Verdana" w:eastAsia="Calibri" w:hAnsi="Verdana" w:cs="Arial"/>
                <w:b/>
                <w:bCs/>
                <w:lang w:val="es-ES" w:eastAsia="es-ES"/>
              </w:rPr>
              <w:t>Concepto C-1293 de 2025</w:t>
            </w:r>
          </w:p>
          <w:p w14:paraId="180F2D29" w14:textId="77777777" w:rsidR="00D126E1" w:rsidRDefault="00D126E1" w:rsidP="00D126E1">
            <w:pPr>
              <w:jc w:val="both"/>
              <w:rPr>
                <w:rFonts w:ascii="Verdana" w:eastAsia="Calibri" w:hAnsi="Verdana" w:cs="Arial"/>
                <w:b/>
                <w:bCs/>
                <w:lang w:val="es-ES" w:eastAsia="es-ES"/>
              </w:rPr>
            </w:pPr>
          </w:p>
          <w:p w14:paraId="3EDF7533" w14:textId="77777777" w:rsidR="00424062" w:rsidRPr="00D126E1" w:rsidRDefault="00424062" w:rsidP="00D126E1">
            <w:pPr>
              <w:jc w:val="both"/>
              <w:rPr>
                <w:rFonts w:ascii="Verdana" w:eastAsia="Calibri" w:hAnsi="Verdana" w:cs="Arial"/>
                <w:b/>
                <w:bCs/>
                <w:lang w:val="es-ES" w:eastAsia="es-ES"/>
              </w:rPr>
            </w:pPr>
          </w:p>
        </w:tc>
      </w:tr>
      <w:tr w:rsidR="00D126E1" w:rsidRPr="00D126E1" w14:paraId="698BE977" w14:textId="77777777" w:rsidTr="00876EDD">
        <w:trPr>
          <w:trHeight w:val="884"/>
        </w:trPr>
        <w:tc>
          <w:tcPr>
            <w:tcW w:w="1985" w:type="dxa"/>
          </w:tcPr>
          <w:p w14:paraId="1D9050C6" w14:textId="77777777" w:rsidR="00D126E1" w:rsidRPr="00D126E1" w:rsidRDefault="00D126E1" w:rsidP="00D126E1">
            <w:pPr>
              <w:jc w:val="both"/>
              <w:rPr>
                <w:rFonts w:ascii="Verdana" w:eastAsia="Calibri" w:hAnsi="Verdana" w:cs="Arial"/>
                <w:lang w:val="es-ES_tradnl" w:eastAsia="es-ES_tradnl"/>
              </w:rPr>
            </w:pPr>
            <w:r w:rsidRPr="00D126E1">
              <w:rPr>
                <w:rFonts w:ascii="Verdana" w:eastAsia="Calibri" w:hAnsi="Verdana" w:cs="Arial"/>
                <w:b/>
                <w:lang w:val="es-ES_tradnl" w:eastAsia="es-ES_tradnl"/>
              </w:rPr>
              <w:t>Temas:</w:t>
            </w:r>
            <w:r w:rsidRPr="00D126E1">
              <w:rPr>
                <w:rFonts w:ascii="Verdana" w:eastAsia="Calibri" w:hAnsi="Verdana" w:cs="Arial"/>
                <w:lang w:val="es-ES_tradnl" w:eastAsia="es-ES_tradnl"/>
              </w:rPr>
              <w:t xml:space="preserve">                   </w:t>
            </w:r>
          </w:p>
        </w:tc>
        <w:tc>
          <w:tcPr>
            <w:tcW w:w="6383" w:type="dxa"/>
          </w:tcPr>
          <w:p w14:paraId="44776CB5" w14:textId="77777777" w:rsidR="00D126E1" w:rsidRPr="00D126E1" w:rsidRDefault="00D126E1" w:rsidP="00D126E1">
            <w:pPr>
              <w:widowControl w:val="0"/>
              <w:autoSpaceDE w:val="0"/>
              <w:autoSpaceDN w:val="0"/>
              <w:jc w:val="both"/>
              <w:rPr>
                <w:rFonts w:ascii="Verdana" w:eastAsia="Calibri" w:hAnsi="Verdana" w:cs="Times New Roman"/>
                <w:sz w:val="20"/>
                <w:szCs w:val="20"/>
                <w:lang w:val="es-ES"/>
              </w:rPr>
            </w:pPr>
            <w:r w:rsidRPr="00D126E1">
              <w:rPr>
                <w:rFonts w:ascii="Verdana" w:eastAsia="Calibri" w:hAnsi="Verdana" w:cs="Arial"/>
                <w:lang w:val="es-ES_tradnl"/>
              </w:rPr>
              <w:t xml:space="preserve">DOCUMENTOS TIPO – Fundamento normativo – Obligatoriedad / </w:t>
            </w:r>
            <w:r w:rsidRPr="00D126E1">
              <w:rPr>
                <w:rFonts w:ascii="Verdana" w:eastAsia="Calibri" w:hAnsi="Verdana" w:cs="Times New Roman"/>
                <w:lang w:val="es-ES"/>
              </w:rPr>
              <w:t xml:space="preserve">DOCUMENTOS TIPO – Aplicación – Matriz de Experiencia / DOCUMENTOS TIPO – Sector Institucional – Aplicación – </w:t>
            </w:r>
            <w:r w:rsidRPr="00D126E1">
              <w:rPr>
                <w:rFonts w:ascii="Verdana" w:eastAsia="Times New Roman" w:hAnsi="Verdana" w:cs="Times New Roman"/>
                <w:color w:val="000000"/>
                <w:lang w:eastAsia="es-CO"/>
              </w:rPr>
              <w:t xml:space="preserve">Casas de refugio </w:t>
            </w:r>
            <w:r w:rsidRPr="00D126E1">
              <w:rPr>
                <w:rFonts w:ascii="Verdana" w:eastAsia="Calibri" w:hAnsi="Verdana" w:cs="Times New Roman"/>
                <w:lang w:val="es-ES"/>
              </w:rPr>
              <w:t>–</w:t>
            </w:r>
            <w:r w:rsidRPr="00D126E1">
              <w:rPr>
                <w:rFonts w:ascii="Verdana" w:eastAsia="Calibri" w:hAnsi="Verdana" w:cs="Arial"/>
                <w:lang w:eastAsia="es-ES_tradnl"/>
              </w:rPr>
              <w:t xml:space="preserve"> Víctimas de violencias basada en el género y violencia contra la mujer</w:t>
            </w:r>
          </w:p>
          <w:p w14:paraId="34923F1C" w14:textId="77777777" w:rsidR="00D126E1" w:rsidRPr="00D126E1" w:rsidRDefault="00D126E1" w:rsidP="00D126E1">
            <w:pPr>
              <w:jc w:val="both"/>
              <w:rPr>
                <w:rFonts w:ascii="Verdana" w:eastAsia="Calibri" w:hAnsi="Verdana" w:cs="Arial"/>
                <w:bCs/>
                <w:lang w:val="es-ES" w:eastAsia="es-ES"/>
              </w:rPr>
            </w:pPr>
          </w:p>
        </w:tc>
      </w:tr>
      <w:tr w:rsidR="00D126E1" w:rsidRPr="00D126E1" w14:paraId="680D0FA7" w14:textId="77777777" w:rsidTr="00876EDD">
        <w:tc>
          <w:tcPr>
            <w:tcW w:w="1985" w:type="dxa"/>
          </w:tcPr>
          <w:p w14:paraId="37886155" w14:textId="77777777" w:rsidR="00D126E1" w:rsidRPr="00D126E1" w:rsidRDefault="00D126E1" w:rsidP="00D126E1">
            <w:pPr>
              <w:jc w:val="both"/>
              <w:rPr>
                <w:rFonts w:ascii="Verdana" w:eastAsia="Calibri" w:hAnsi="Verdana" w:cs="Arial"/>
                <w:b/>
                <w:lang w:val="es-ES_tradnl" w:eastAsia="es-ES_tradnl"/>
              </w:rPr>
            </w:pPr>
            <w:r w:rsidRPr="00D126E1">
              <w:rPr>
                <w:rFonts w:ascii="Verdana" w:eastAsia="Calibri" w:hAnsi="Verdana" w:cs="Arial"/>
                <w:b/>
                <w:lang w:val="es-ES_tradnl" w:eastAsia="es-ES_tradnl"/>
              </w:rPr>
              <w:t>Radicación:</w:t>
            </w:r>
            <w:r w:rsidRPr="00D126E1">
              <w:rPr>
                <w:rFonts w:ascii="Verdana" w:eastAsia="Calibri" w:hAnsi="Verdana" w:cs="Arial"/>
                <w:lang w:val="es-ES_tradnl" w:eastAsia="es-ES_tradnl"/>
              </w:rPr>
              <w:t xml:space="preserve">               </w:t>
            </w:r>
          </w:p>
        </w:tc>
        <w:tc>
          <w:tcPr>
            <w:tcW w:w="6383" w:type="dxa"/>
          </w:tcPr>
          <w:p w14:paraId="060AD153" w14:textId="77777777" w:rsidR="00D126E1" w:rsidRPr="00D126E1" w:rsidRDefault="00D126E1" w:rsidP="00D126E1">
            <w:pPr>
              <w:ind w:left="3" w:hanging="3"/>
              <w:jc w:val="both"/>
              <w:rPr>
                <w:rFonts w:ascii="Verdana" w:eastAsia="Calibri" w:hAnsi="Verdana" w:cs="Arial"/>
                <w:lang w:val="es-ES_tradnl" w:eastAsia="es-ES_tradnl"/>
              </w:rPr>
            </w:pPr>
            <w:r w:rsidRPr="00D126E1">
              <w:rPr>
                <w:rFonts w:ascii="Verdana" w:eastAsia="Calibri" w:hAnsi="Verdana" w:cs="Arial"/>
                <w:lang w:val="es-ES_tradnl" w:eastAsia="es-ES_tradnl"/>
              </w:rPr>
              <w:t>Respuesta a consulta con radicado No. 1_2025_09_09_009798</w:t>
            </w:r>
          </w:p>
        </w:tc>
      </w:tr>
    </w:tbl>
    <w:p w14:paraId="581E63D7" w14:textId="77777777" w:rsidR="00D126E1" w:rsidRPr="00D126E1" w:rsidRDefault="00D126E1" w:rsidP="00D126E1">
      <w:pPr>
        <w:spacing w:after="0" w:line="240" w:lineRule="auto"/>
        <w:jc w:val="both"/>
        <w:rPr>
          <w:rFonts w:ascii="Verdana" w:eastAsia="Calibri" w:hAnsi="Verdana" w:cs="Arial"/>
          <w:lang w:val="es-ES_tradnl" w:eastAsia="es-ES_tradnl"/>
        </w:rPr>
      </w:pPr>
    </w:p>
    <w:p w14:paraId="43DB1A31" w14:textId="77777777" w:rsidR="00F93171" w:rsidRDefault="00F93171" w:rsidP="00D126E1">
      <w:pPr>
        <w:spacing w:after="0" w:line="276" w:lineRule="auto"/>
        <w:jc w:val="both"/>
        <w:rPr>
          <w:rFonts w:ascii="Verdana" w:eastAsia="Calibri" w:hAnsi="Verdana" w:cs="Arial"/>
          <w:lang w:val="es-ES" w:eastAsia="es-ES"/>
        </w:rPr>
      </w:pPr>
    </w:p>
    <w:p w14:paraId="20E917B5" w14:textId="38F25607" w:rsidR="00D126E1" w:rsidRPr="00D126E1" w:rsidRDefault="00D126E1" w:rsidP="00D126E1">
      <w:pPr>
        <w:spacing w:after="0" w:line="276" w:lineRule="auto"/>
        <w:jc w:val="both"/>
        <w:rPr>
          <w:rFonts w:ascii="Verdana" w:eastAsia="Calibri" w:hAnsi="Verdana" w:cs="Arial"/>
          <w:lang w:val="es-ES" w:eastAsia="es-ES"/>
        </w:rPr>
      </w:pPr>
      <w:r w:rsidRPr="00D126E1">
        <w:rPr>
          <w:rFonts w:ascii="Verdana" w:eastAsia="Calibri" w:hAnsi="Verdana" w:cs="Arial"/>
          <w:lang w:val="es-ES" w:eastAsia="es-ES"/>
        </w:rPr>
        <w:t xml:space="preserve">Estimado señor Caicedo Vidal: </w:t>
      </w:r>
    </w:p>
    <w:p w14:paraId="293F441C" w14:textId="77777777" w:rsidR="00D126E1" w:rsidRPr="00D126E1" w:rsidRDefault="00D126E1" w:rsidP="00D126E1">
      <w:pPr>
        <w:tabs>
          <w:tab w:val="left" w:pos="3768"/>
        </w:tabs>
        <w:spacing w:after="0" w:line="276" w:lineRule="auto"/>
        <w:jc w:val="both"/>
        <w:rPr>
          <w:rFonts w:ascii="Verdana" w:eastAsia="Calibri" w:hAnsi="Verdana" w:cs="Arial"/>
          <w:lang w:val="es-ES" w:eastAsia="es-ES"/>
        </w:rPr>
      </w:pPr>
      <w:r w:rsidRPr="00D126E1">
        <w:rPr>
          <w:rFonts w:ascii="Verdana" w:eastAsia="Calibri" w:hAnsi="Verdana" w:cs="Arial"/>
          <w:lang w:val="es-ES" w:eastAsia="es-ES"/>
        </w:rPr>
        <w:tab/>
      </w:r>
    </w:p>
    <w:p w14:paraId="7B24B957" w14:textId="77777777" w:rsidR="00D126E1" w:rsidRPr="00D126E1" w:rsidRDefault="00D126E1" w:rsidP="00D126E1">
      <w:pPr>
        <w:spacing w:after="0" w:line="276" w:lineRule="auto"/>
        <w:jc w:val="both"/>
        <w:rPr>
          <w:rFonts w:ascii="Verdana" w:eastAsia="Calibri" w:hAnsi="Verdana" w:cs="Arial"/>
          <w:lang w:val="es-ES" w:eastAsia="es-ES"/>
        </w:rPr>
      </w:pPr>
      <w:r w:rsidRPr="00D126E1">
        <w:rPr>
          <w:rFonts w:ascii="Verdana" w:eastAsia="Calibri" w:hAnsi="Verdana" w:cs="Arial"/>
          <w:lang w:val="es-ES" w:eastAsia="es-ES"/>
        </w:rPr>
        <w:t>En ejercicio de la competencia otorgada por los artículos 3, numeral 5º, y 11, numeral 8º, del Decreto Ley 4170 de 2011,</w:t>
      </w:r>
      <w:r w:rsidRPr="00D126E1">
        <w:rPr>
          <w:rFonts w:ascii="Verdana" w:eastAsia="Arial MT" w:hAnsi="Verdana" w:cs="Arial MT"/>
          <w:lang w:val="es-ES" w:eastAsia="es-ES"/>
        </w:rPr>
        <w:t xml:space="preserve"> </w:t>
      </w:r>
      <w:r w:rsidRPr="00D126E1">
        <w:rPr>
          <w:rFonts w:ascii="Verdana" w:eastAsia="Calibri" w:hAnsi="Verdana" w:cs="Arial"/>
        </w:rPr>
        <w:t xml:space="preserve">así como lo establecido en el artículo 4 de la Resolución 1707 de 2018 expedida por esta Entidad, </w:t>
      </w:r>
      <w:r w:rsidRPr="00D126E1">
        <w:rPr>
          <w:rFonts w:ascii="Verdana" w:eastAsia="Calibri" w:hAnsi="Verdana" w:cs="Arial"/>
          <w:lang w:val="es-ES" w:eastAsia="es-ES"/>
        </w:rPr>
        <w:t>la Agencia Nacional de Contratación Pública – Colombia Compra Eficiente– responde su solicitud de consulta del 9 de septiembre de 2025, en la cual manifiesta lo siguiente:</w:t>
      </w:r>
    </w:p>
    <w:p w14:paraId="4AE73045" w14:textId="77777777" w:rsidR="00D126E1" w:rsidRPr="00D126E1" w:rsidRDefault="00D126E1" w:rsidP="00D126E1">
      <w:pPr>
        <w:spacing w:after="0" w:line="276" w:lineRule="auto"/>
        <w:jc w:val="both"/>
        <w:rPr>
          <w:rFonts w:ascii="Verdana" w:eastAsia="Calibri" w:hAnsi="Verdana" w:cs="Arial"/>
          <w:lang w:val="es-ES" w:eastAsia="es-ES"/>
        </w:rPr>
      </w:pPr>
    </w:p>
    <w:p w14:paraId="2233B60A" w14:textId="77777777" w:rsidR="00D126E1" w:rsidRPr="00D126E1" w:rsidRDefault="00D126E1" w:rsidP="00D126E1">
      <w:pPr>
        <w:spacing w:after="120" w:line="240" w:lineRule="auto"/>
        <w:ind w:left="709" w:right="709"/>
        <w:jc w:val="both"/>
        <w:rPr>
          <w:rFonts w:ascii="Verdana" w:eastAsia="Aptos" w:hAnsi="Verdana" w:cs="Helvetica"/>
          <w:color w:val="000000"/>
          <w:sz w:val="21"/>
          <w:szCs w:val="21"/>
          <w14:ligatures w14:val="standardContextual"/>
        </w:rPr>
      </w:pPr>
      <w:r w:rsidRPr="00D126E1">
        <w:rPr>
          <w:rFonts w:ascii="Verdana" w:eastAsia="Aptos" w:hAnsi="Verdana" w:cs="Helvetica"/>
          <w:color w:val="000000"/>
          <w:sz w:val="21"/>
          <w:szCs w:val="21"/>
          <w14:ligatures w14:val="standardContextual"/>
        </w:rPr>
        <w:t xml:space="preserve">“1. ¿Se puede considerar la aplicación de los documentos tipo de licitación pública de obra de infraestructura social - sector institucional para la construcción de un centro de atención para víctimas de violencias basada en el género y violencia contra la mujer, conformidad con las algunas de las actividades relacionadas en el numeral 2. OBRAS EN PROYECTOS DE INFRAESTRUCTURA INSTITUCIONAL DE SERVICIO PUBLICO? </w:t>
      </w:r>
    </w:p>
    <w:p w14:paraId="34DB517C" w14:textId="77777777" w:rsidR="00D126E1" w:rsidRDefault="00D126E1" w:rsidP="0017586E">
      <w:pPr>
        <w:spacing w:after="0" w:line="240" w:lineRule="auto"/>
        <w:ind w:left="709" w:right="709"/>
        <w:jc w:val="both"/>
        <w:rPr>
          <w:rFonts w:ascii="Verdana" w:eastAsia="Aptos" w:hAnsi="Verdana" w:cs="Helvetica"/>
          <w:color w:val="000000"/>
          <w:sz w:val="21"/>
          <w:szCs w:val="21"/>
          <w14:ligatures w14:val="standardContextual"/>
        </w:rPr>
      </w:pPr>
      <w:r w:rsidRPr="00D126E1">
        <w:rPr>
          <w:rFonts w:ascii="Verdana" w:eastAsia="Aptos" w:hAnsi="Verdana" w:cs="Helvetica"/>
          <w:color w:val="000000"/>
          <w:sz w:val="21"/>
          <w:szCs w:val="21"/>
          <w14:ligatures w14:val="standardContextual"/>
        </w:rPr>
        <w:lastRenderedPageBreak/>
        <w:t>2. ¿Se podría considerar la construcción de dicho centro de atención víctimas de violencias basada en el género y violencia contra la mujer como una INFRAESTRUCTURA DE SERVICIO PÚBLICO?”.</w:t>
      </w:r>
    </w:p>
    <w:p w14:paraId="3641C344" w14:textId="77777777" w:rsidR="0017586E" w:rsidRDefault="0017586E" w:rsidP="0017586E">
      <w:pPr>
        <w:spacing w:after="0" w:line="240" w:lineRule="auto"/>
        <w:ind w:left="709" w:right="709"/>
        <w:jc w:val="both"/>
        <w:rPr>
          <w:rFonts w:ascii="Verdana" w:eastAsia="Aptos" w:hAnsi="Verdana" w:cs="Helvetica"/>
          <w:color w:val="000000"/>
          <w:sz w:val="21"/>
          <w:szCs w:val="21"/>
          <w14:ligatures w14:val="standardContextual"/>
        </w:rPr>
      </w:pPr>
    </w:p>
    <w:p w14:paraId="31FCA136" w14:textId="77777777" w:rsidR="0017586E" w:rsidRPr="002B1949" w:rsidRDefault="0017586E" w:rsidP="00855C0C">
      <w:pPr>
        <w:spacing w:after="12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B1949">
        <w:rPr>
          <w:rFonts w:ascii="Verdana" w:eastAsia="Calibri" w:hAnsi="Verdana" w:cs="Arial"/>
          <w:color w:val="000000"/>
          <w:lang w:eastAsia="es-ES"/>
        </w:rPr>
        <w:tab/>
      </w:r>
    </w:p>
    <w:p w14:paraId="43C16577" w14:textId="6B5CBD1A" w:rsidR="0017586E" w:rsidRPr="002B1949" w:rsidRDefault="0017586E" w:rsidP="00855C0C">
      <w:pPr>
        <w:spacing w:after="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Pr>
          <w:rFonts w:ascii="Verdana" w:eastAsia="Calibri" w:hAnsi="Verdana" w:cs="Arial"/>
          <w:color w:val="000000"/>
          <w:lang w:eastAsia="es-ES"/>
        </w:rPr>
        <w:t>.</w:t>
      </w:r>
    </w:p>
    <w:p w14:paraId="1F22A780" w14:textId="77777777" w:rsidR="00DC467C" w:rsidRPr="00D126E1" w:rsidRDefault="00DC467C" w:rsidP="00855C0C">
      <w:pPr>
        <w:spacing w:after="0" w:line="240" w:lineRule="auto"/>
        <w:ind w:right="709"/>
        <w:jc w:val="both"/>
        <w:rPr>
          <w:rFonts w:ascii="Verdana" w:eastAsia="Aptos" w:hAnsi="Verdana" w:cs="Helvetica"/>
          <w:color w:val="000000"/>
          <w:sz w:val="21"/>
          <w:szCs w:val="21"/>
          <w:lang w:val="es-MX"/>
          <w14:ligatures w14:val="standardContextual"/>
        </w:rPr>
      </w:pPr>
    </w:p>
    <w:p w14:paraId="5CD1D032" w14:textId="77777777" w:rsidR="00D126E1" w:rsidRPr="00D126E1" w:rsidRDefault="00D126E1" w:rsidP="00855C0C">
      <w:pPr>
        <w:numPr>
          <w:ilvl w:val="0"/>
          <w:numId w:val="17"/>
        </w:numPr>
        <w:tabs>
          <w:tab w:val="left" w:pos="142"/>
          <w:tab w:val="left" w:pos="284"/>
        </w:tabs>
        <w:spacing w:after="0" w:line="276" w:lineRule="auto"/>
        <w:jc w:val="both"/>
        <w:rPr>
          <w:rFonts w:ascii="Verdana" w:eastAsia="Century Gothic" w:hAnsi="Verdana" w:cs="Century Gothic"/>
          <w:b/>
          <w:bCs/>
        </w:rPr>
      </w:pPr>
      <w:r w:rsidRPr="00D126E1">
        <w:rPr>
          <w:rFonts w:ascii="Verdana" w:eastAsia="Century Gothic" w:hAnsi="Verdana" w:cs="Century Gothic"/>
          <w:b/>
          <w:bCs/>
        </w:rPr>
        <w:t>Problema planteado:</w:t>
      </w:r>
    </w:p>
    <w:p w14:paraId="782CF94F" w14:textId="77777777" w:rsidR="00D126E1" w:rsidRPr="00D126E1" w:rsidRDefault="00D126E1" w:rsidP="00855C0C">
      <w:pPr>
        <w:tabs>
          <w:tab w:val="left" w:pos="426"/>
        </w:tabs>
        <w:spacing w:after="0" w:line="276" w:lineRule="auto"/>
        <w:jc w:val="both"/>
        <w:rPr>
          <w:rFonts w:ascii="Verdana" w:eastAsia="Century Gothic" w:hAnsi="Verdana" w:cs="Century Gothic"/>
          <w:lang w:val="es-ES"/>
        </w:rPr>
      </w:pPr>
    </w:p>
    <w:p w14:paraId="70654229" w14:textId="77777777" w:rsidR="00D126E1" w:rsidRPr="00D126E1" w:rsidRDefault="00D126E1" w:rsidP="00855C0C">
      <w:pPr>
        <w:spacing w:after="0" w:line="276" w:lineRule="auto"/>
        <w:jc w:val="both"/>
        <w:rPr>
          <w:rFonts w:ascii="Verdana" w:eastAsia="Calibri" w:hAnsi="Verdana" w:cs="Arial"/>
          <w:bCs/>
          <w:lang w:val="es-ES_tradnl" w:eastAsia="es-ES_tradnl"/>
        </w:rPr>
      </w:pPr>
      <w:r w:rsidRPr="00D126E1">
        <w:rPr>
          <w:rFonts w:ascii="Verdana" w:eastAsia="Century Gothic" w:hAnsi="Verdana" w:cs="Century Gothic"/>
        </w:rPr>
        <w:t xml:space="preserve">De acuerdo con el contenido de su solicitud, esta Agencia resolverá el siguiente problema jurídico: </w:t>
      </w:r>
      <w:r w:rsidRPr="00D126E1">
        <w:rPr>
          <w:rFonts w:ascii="Verdana" w:eastAsia="Calibri" w:hAnsi="Verdana" w:cs="Arial"/>
          <w:bCs/>
          <w:lang w:val="es-ES_tradnl" w:eastAsia="es-ES_tradnl"/>
        </w:rPr>
        <w:t xml:space="preserve">¿Aplican los documentos tipo complementarios del sector de infraestructura institucional (acogidos por medio de la resolución 539 de 2025), para adelantar un proceso que tiene por objeto la </w:t>
      </w:r>
      <w:r w:rsidRPr="00D126E1">
        <w:rPr>
          <w:rFonts w:ascii="Verdana" w:eastAsia="Calibri" w:hAnsi="Verdana" w:cs="Arial"/>
          <w:bCs/>
          <w:lang w:eastAsia="es-ES_tradnl"/>
        </w:rPr>
        <w:t>construcción de un centro de atención para víctimas de violencias basada en el género y violencia contra la mujer</w:t>
      </w:r>
      <w:r w:rsidRPr="00D126E1">
        <w:rPr>
          <w:rFonts w:ascii="Verdana" w:eastAsia="Calibri" w:hAnsi="Verdana" w:cs="Arial"/>
          <w:bCs/>
          <w:lang w:val="es-ES_tradnl" w:eastAsia="es-ES_tradnl"/>
        </w:rPr>
        <w:t xml:space="preserve">? </w:t>
      </w:r>
    </w:p>
    <w:p w14:paraId="77A7FF79" w14:textId="77777777" w:rsidR="00D126E1" w:rsidRPr="00D126E1" w:rsidRDefault="00D126E1" w:rsidP="00D126E1">
      <w:pPr>
        <w:spacing w:after="0" w:line="276" w:lineRule="auto"/>
        <w:jc w:val="both"/>
        <w:rPr>
          <w:rFonts w:ascii="Verdana" w:eastAsia="Century Gothic" w:hAnsi="Verdana" w:cs="Century Gothic"/>
        </w:rPr>
      </w:pPr>
    </w:p>
    <w:p w14:paraId="0300CA69" w14:textId="77777777" w:rsidR="00D126E1" w:rsidRPr="00D126E1" w:rsidRDefault="00D126E1" w:rsidP="00D126E1">
      <w:pPr>
        <w:tabs>
          <w:tab w:val="left" w:pos="142"/>
          <w:tab w:val="left" w:pos="284"/>
        </w:tabs>
        <w:spacing w:after="0" w:line="276" w:lineRule="auto"/>
        <w:contextualSpacing/>
        <w:jc w:val="both"/>
        <w:rPr>
          <w:rFonts w:ascii="Verdana" w:eastAsia="Century Gothic" w:hAnsi="Verdana" w:cs="Century Gothic"/>
          <w:b/>
          <w:bCs/>
          <w:lang w:val="es-ES"/>
        </w:rPr>
      </w:pPr>
      <w:r w:rsidRPr="00D126E1">
        <w:rPr>
          <w:rFonts w:ascii="Verdana" w:eastAsia="Century Gothic" w:hAnsi="Verdana" w:cs="Century Gothic"/>
          <w:b/>
          <w:bCs/>
          <w:lang w:val="es-ES"/>
        </w:rPr>
        <w:t>2. Respuestas:</w:t>
      </w:r>
    </w:p>
    <w:p w14:paraId="5061BE96" w14:textId="77777777" w:rsidR="00D126E1" w:rsidRPr="00D126E1" w:rsidRDefault="00D126E1" w:rsidP="00D126E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26E1" w:rsidRPr="00D126E1" w14:paraId="0EDFE052" w14:textId="77777777" w:rsidTr="00876EDD">
        <w:trPr>
          <w:trHeight w:val="40"/>
        </w:trPr>
        <w:tc>
          <w:tcPr>
            <w:tcW w:w="8828" w:type="dxa"/>
            <w:tcBorders>
              <w:top w:val="dotted" w:sz="4" w:space="0" w:color="auto"/>
              <w:left w:val="dotted" w:sz="4" w:space="0" w:color="auto"/>
              <w:bottom w:val="dotted" w:sz="4" w:space="0" w:color="auto"/>
              <w:right w:val="dotted" w:sz="4" w:space="0" w:color="auto"/>
            </w:tcBorders>
          </w:tcPr>
          <w:p w14:paraId="50D97349" w14:textId="77777777" w:rsidR="00D126E1" w:rsidRPr="00D126E1" w:rsidRDefault="00D126E1" w:rsidP="00D126E1">
            <w:pPr>
              <w:widowControl w:val="0"/>
              <w:autoSpaceDE w:val="0"/>
              <w:autoSpaceDN w:val="0"/>
              <w:spacing w:after="120" w:line="276" w:lineRule="auto"/>
              <w:jc w:val="both"/>
              <w:rPr>
                <w:rFonts w:ascii="Verdana" w:eastAsia="Calibri" w:hAnsi="Verdana" w:cs="Times New Roman"/>
                <w:lang w:val="es-ES"/>
              </w:rPr>
            </w:pPr>
            <w:r w:rsidRPr="00D126E1">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w:t>
            </w:r>
            <w:r w:rsidRPr="00D126E1">
              <w:rPr>
                <w:rFonts w:ascii="Verdana" w:eastAsia="Calibri" w:hAnsi="Verdana" w:cs="Times New Roman"/>
                <w:lang w:val="es-ES"/>
              </w:rPr>
              <w:lastRenderedPageBreak/>
              <w:t>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1288C7D" w14:textId="36806CB2" w:rsidR="00D126E1" w:rsidRPr="00D126E1" w:rsidRDefault="00D126E1" w:rsidP="00D126E1">
            <w:pPr>
              <w:spacing w:after="120" w:line="276" w:lineRule="auto"/>
              <w:ind w:firstLine="709"/>
              <w:jc w:val="both"/>
              <w:rPr>
                <w:rFonts w:ascii="Verdana" w:eastAsia="Times New Roman" w:hAnsi="Verdana" w:cs="Times New Roman"/>
                <w:color w:val="000000"/>
                <w:lang w:val="es-ES" w:eastAsia="es-CO"/>
              </w:rPr>
            </w:pPr>
            <w:r w:rsidRPr="696A6386">
              <w:rPr>
                <w:rFonts w:ascii="Verdana" w:eastAsia="Times New Roman" w:hAnsi="Verdana" w:cs="Times New Roman"/>
                <w:color w:val="000000" w:themeColor="text1"/>
                <w:lang w:val="es-ES" w:eastAsia="es-CO"/>
              </w:rPr>
              <w:t xml:space="preserve">Concretamente, para determinar si </w:t>
            </w:r>
            <w:r w:rsidRPr="696A6386">
              <w:rPr>
                <w:rFonts w:ascii="Verdana" w:eastAsia="Calibri" w:hAnsi="Verdana" w:cs="Times New Roman"/>
                <w:color w:val="000000" w:themeColor="text1"/>
                <w:lang w:val="es-ES" w:eastAsia="es-ES"/>
              </w:rPr>
              <w:t xml:space="preserve">un “centro de atención para víctimas de violencia basada en el género y violencia contra la mujer” puede ser considerado infraestructura de servicio público, para efectos de aplicación de la actividad dispuesta en el numeral 2 de la Matriz de Experiencia de los documentos tipo complementarios del sector de infraestructura institucional. </w:t>
            </w:r>
            <w:r w:rsidRPr="696A6386">
              <w:rPr>
                <w:rFonts w:ascii="Verdana" w:eastAsia="Times New Roman" w:hAnsi="Verdana" w:cs="Arial"/>
                <w:color w:val="000000" w:themeColor="text1"/>
                <w:lang w:val="es-ES" w:eastAsia="es-ES"/>
              </w:rPr>
              <w:t xml:space="preserve">A tales efectos, es preciso mencionar </w:t>
            </w:r>
            <w:r w:rsidRPr="696A6386">
              <w:rPr>
                <w:rFonts w:ascii="Verdana" w:eastAsia="Times New Roman" w:hAnsi="Verdana" w:cs="Times New Roman"/>
                <w:color w:val="000000" w:themeColor="text1"/>
                <w:lang w:val="es-ES" w:eastAsia="es-CO"/>
              </w:rPr>
              <w:t>que en el Anexo 5 – Glosario, de los documentos tipo acogidos por medio de la Resolución 539 de 2025, dispone en el numeral 3 “Glosario específico técnico general del sector social”, que</w:t>
            </w:r>
            <w:r w:rsidR="4683F37A" w:rsidRPr="696A6386">
              <w:rPr>
                <w:rFonts w:ascii="Verdana" w:eastAsia="Times New Roman" w:hAnsi="Verdana" w:cs="Times New Roman"/>
                <w:color w:val="000000" w:themeColor="text1"/>
                <w:lang w:val="es-ES" w:eastAsia="es-CO"/>
              </w:rPr>
              <w:t>,</w:t>
            </w:r>
            <w:r w:rsidRPr="696A6386">
              <w:rPr>
                <w:rFonts w:ascii="Verdana" w:eastAsia="Times New Roman" w:hAnsi="Verdana" w:cs="Times New Roman"/>
                <w:color w:val="000000" w:themeColor="text1"/>
                <w:lang w:val="es-ES" w:eastAsia="es-CO"/>
              </w:rPr>
              <w:t xml:space="preserve"> en el sector institucional, la entidad deberá incluir conceptos adicionales que aplican al Procesos de Contratación, de acuerdo con la normativa. </w:t>
            </w:r>
          </w:p>
          <w:p w14:paraId="4BA27080" w14:textId="77777777" w:rsidR="00D126E1" w:rsidRPr="00D126E1" w:rsidRDefault="00D126E1" w:rsidP="00D126E1">
            <w:pPr>
              <w:spacing w:after="120" w:line="276" w:lineRule="auto"/>
              <w:ind w:firstLine="709"/>
              <w:jc w:val="both"/>
              <w:rPr>
                <w:rFonts w:ascii="Verdana" w:eastAsia="Times New Roman" w:hAnsi="Verdana" w:cs="Arial"/>
                <w:color w:val="000000"/>
                <w:lang w:val="es-ES" w:eastAsia="es-CO"/>
              </w:rPr>
            </w:pPr>
            <w:r w:rsidRPr="696A6386">
              <w:rPr>
                <w:rFonts w:ascii="Verdana" w:eastAsia="Times New Roman" w:hAnsi="Verdana" w:cs="Times New Roman"/>
                <w:color w:val="000000" w:themeColor="text1"/>
                <w:lang w:val="es-ES" w:eastAsia="es-CO"/>
              </w:rPr>
              <w:t xml:space="preserve">En este sentido, teniendo en cuenta que en el Anexo – Glosario, no se encuentra definida la Infraestructura de Servicio Público, debe indicarse que, de acuerdo con la NSR-10, en el Subgrupo de Ocupación institucional de servicio público (I-5) “(…) se clasifican las edificaciones o espacios destinados a funciones administrativas y prestación de servicios públicos necesarios para el buen funcionamiento de las ciudades”. </w:t>
            </w:r>
            <w:proofErr w:type="gramStart"/>
            <w:r w:rsidRPr="696A6386">
              <w:rPr>
                <w:rFonts w:ascii="Verdana" w:eastAsia="Times New Roman" w:hAnsi="Verdana" w:cs="Times New Roman"/>
                <w:color w:val="000000" w:themeColor="text1"/>
                <w:lang w:val="es-ES" w:eastAsia="es-CO"/>
              </w:rPr>
              <w:t>Y</w:t>
            </w:r>
            <w:proofErr w:type="gramEnd"/>
            <w:r w:rsidRPr="696A6386">
              <w:rPr>
                <w:rFonts w:ascii="Verdana" w:eastAsia="Times New Roman" w:hAnsi="Verdana" w:cs="Times New Roman"/>
                <w:color w:val="000000" w:themeColor="text1"/>
                <w:lang w:val="es-ES" w:eastAsia="es-CO"/>
              </w:rPr>
              <w:t xml:space="preserve"> además, la norma técnica señalada, presenta una lista indicativa de edificaciones o espacios que deben clasificarse en el Subgrupo de Ocupación (I-5), estos son: i) centros de comunicación, centros administrativos municipales, distritales o gubernamentales, centros administrativos de servicios públicos, juzgados y otros similares. </w:t>
            </w:r>
          </w:p>
          <w:p w14:paraId="31C2B737" w14:textId="3D38687E" w:rsidR="00D126E1" w:rsidRPr="00D126E1" w:rsidRDefault="00D126E1" w:rsidP="00D126E1">
            <w:pPr>
              <w:spacing w:after="120" w:line="276" w:lineRule="auto"/>
              <w:ind w:firstLine="708"/>
              <w:jc w:val="both"/>
              <w:rPr>
                <w:rFonts w:ascii="Verdana" w:eastAsia="Times New Roman" w:hAnsi="Verdana" w:cs="Arial"/>
                <w:color w:val="000000"/>
                <w:lang w:val="es-ES_tradnl" w:eastAsia="es-CO"/>
              </w:rPr>
            </w:pPr>
            <w:r w:rsidRPr="00D126E1">
              <w:rPr>
                <w:rFonts w:ascii="Verdana" w:eastAsia="Times New Roman" w:hAnsi="Verdana" w:cs="Arial"/>
                <w:color w:val="000000"/>
                <w:lang w:val="es-ES_tradnl" w:eastAsia="es-ES"/>
              </w:rPr>
              <w:t xml:space="preserve">Por su parte, sobre la noción de </w:t>
            </w:r>
            <w:r w:rsidRPr="00D126E1">
              <w:rPr>
                <w:rFonts w:ascii="Verdana" w:eastAsia="Calibri" w:hAnsi="Verdana" w:cs="Times New Roman"/>
                <w:color w:val="000000"/>
                <w:lang w:val="es-ES" w:eastAsia="es-ES"/>
              </w:rPr>
              <w:t xml:space="preserve">“centro de atención para víctimas de violencia basada en el género y violencia contra la mujer”, el artículo 2 de </w:t>
            </w:r>
            <w:r w:rsidRPr="00D126E1">
              <w:rPr>
                <w:rFonts w:ascii="Verdana" w:eastAsia="Times New Roman" w:hAnsi="Verdana" w:cs="Times New Roman"/>
                <w:color w:val="000000"/>
                <w:bdr w:val="none" w:sz="0" w:space="0" w:color="auto" w:frame="1"/>
                <w:shd w:val="clear" w:color="auto" w:fill="FFFFFF"/>
                <w:lang w:val="es-ES_tradnl" w:eastAsia="es-CO"/>
              </w:rPr>
              <w:t>la Ley 2215 del 23 de junio de 2022, define l</w:t>
            </w:r>
            <w:r w:rsidRPr="00D126E1">
              <w:rPr>
                <w:rFonts w:ascii="Verdana" w:eastAsia="Times New Roman" w:hAnsi="Verdana" w:cs="Times New Roman"/>
                <w:color w:val="000000"/>
                <w:bdr w:val="none" w:sz="0" w:space="0" w:color="auto" w:frame="1"/>
                <w:lang w:val="es-ES_tradnl" w:eastAsia="es-CO"/>
              </w:rPr>
              <w:t xml:space="preserve">as Casas de Refugio, sobre estas </w:t>
            </w:r>
            <w:r w:rsidRPr="00D126E1">
              <w:rPr>
                <w:rFonts w:ascii="Verdana" w:eastAsia="Times New Roman" w:hAnsi="Verdana" w:cs="Arial"/>
                <w:color w:val="000000"/>
                <w:lang w:val="es-ES_tradnl" w:eastAsia="es-CO"/>
              </w:rPr>
              <w:t>puede señalarse que son espacios temporales, dignos, gratuitos y seguros que brinda</w:t>
            </w:r>
            <w:r w:rsidR="007B5680">
              <w:rPr>
                <w:rFonts w:ascii="Verdana" w:eastAsia="Times New Roman" w:hAnsi="Verdana" w:cs="Arial"/>
                <w:color w:val="000000"/>
                <w:lang w:val="es-ES_tradnl" w:eastAsia="es-CO"/>
              </w:rPr>
              <w:t>n</w:t>
            </w:r>
            <w:r w:rsidRPr="00D126E1">
              <w:rPr>
                <w:rFonts w:ascii="Verdana" w:eastAsia="Times New Roman" w:hAnsi="Verdana" w:cs="Arial"/>
                <w:color w:val="000000"/>
                <w:lang w:val="es-ES_tradnl" w:eastAsia="es-CO"/>
              </w:rPr>
              <w:t xml:space="preserve"> protección integral a mujeres víctimas de violencia, junto a sus hijos u otras personas dependientes, ofreciendo alojamiento, alimentación, vestimenta, apoyo legal, psicosocial, educativo, ocupacional y espiritual, con el fin de garantizar su seguridad, romper el ciclo de violencia y promover su autonomía y empoderamiento.</w:t>
            </w:r>
          </w:p>
          <w:p w14:paraId="15FB9538" w14:textId="77777777" w:rsidR="00D126E1" w:rsidRPr="00D126E1" w:rsidRDefault="00D126E1" w:rsidP="00D126E1">
            <w:pPr>
              <w:shd w:val="clear" w:color="auto" w:fill="FFFFFF"/>
              <w:spacing w:after="120" w:line="276" w:lineRule="auto"/>
              <w:jc w:val="both"/>
              <w:textAlignment w:val="baseline"/>
              <w:rPr>
                <w:rFonts w:ascii="Verdana" w:eastAsia="Times New Roman" w:hAnsi="Verdana" w:cs="Times New Roman"/>
                <w:color w:val="000000"/>
                <w:lang w:eastAsia="es-CO"/>
              </w:rPr>
            </w:pPr>
            <w:r w:rsidRPr="00D126E1">
              <w:rPr>
                <w:rFonts w:ascii="Verdana" w:eastAsia="Times New Roman" w:hAnsi="Verdana" w:cs="Times New Roman"/>
                <w:color w:val="000000"/>
                <w:lang w:eastAsia="es-CO"/>
              </w:rPr>
              <w:lastRenderedPageBreak/>
              <w:tab/>
              <w:t xml:space="preserve">Así las cosas, a partir del marco jurídico señalado, puede afirmarse que las casas de refugio, al formar parte del sistema de protección integral para mujeres víctimas de violencia, constituyen un servicio que el Estado está obligado a prestar para garantizar los derechos de esta población. Así, se requiere una acción positiva por parte del Estado para implementar y financiar medidas como las casas de refugio, lo cual convierte la atención brindada en estos espacios en una política pública bajo responsabilidad de las entidades estatales. </w:t>
            </w:r>
          </w:p>
          <w:p w14:paraId="6F984FD2" w14:textId="77777777" w:rsidR="00D126E1" w:rsidRPr="00D126E1" w:rsidRDefault="00D126E1" w:rsidP="00D126E1">
            <w:pPr>
              <w:shd w:val="clear" w:color="auto" w:fill="FFFFFF"/>
              <w:spacing w:after="120" w:line="276" w:lineRule="auto"/>
              <w:ind w:firstLine="708"/>
              <w:jc w:val="both"/>
              <w:textAlignment w:val="baseline"/>
              <w:rPr>
                <w:rFonts w:ascii="Verdana" w:eastAsia="Times New Roman" w:hAnsi="Verdana" w:cs="Times New Roman"/>
                <w:color w:val="000000"/>
                <w:lang w:eastAsia="es-CO"/>
              </w:rPr>
            </w:pPr>
            <w:r w:rsidRPr="00D126E1">
              <w:rPr>
                <w:rFonts w:ascii="Verdana" w:eastAsia="Times New Roman" w:hAnsi="Verdana" w:cs="Times New Roman"/>
                <w:color w:val="000000"/>
                <w:lang w:eastAsia="es-CO"/>
              </w:rPr>
              <w:t xml:space="preserve">Ahora bien, de acuerdo con el artículo 6 de la Ley 2215 del 23 de junio de 2022, la administración de estas casas debe estar a cargo del Gobierno Nacional, los gobiernos departamentales y los entes territoriales, lo que refuerza el carácter de servicio público de las prestaciones ofrecidas en dichos espacios y lo que -eventualmente- podría otorgarles la consideración de edificaciones institucionales de la Administración Pública destinadas a la prestación de servicios público. </w:t>
            </w:r>
          </w:p>
          <w:p w14:paraId="413B1A42" w14:textId="17B677B7" w:rsidR="00D126E1" w:rsidRPr="00D126E1" w:rsidRDefault="00D126E1" w:rsidP="00D126E1">
            <w:pPr>
              <w:widowControl w:val="0"/>
              <w:autoSpaceDE w:val="0"/>
              <w:autoSpaceDN w:val="0"/>
              <w:spacing w:line="276" w:lineRule="auto"/>
              <w:ind w:firstLine="709"/>
              <w:jc w:val="both"/>
              <w:rPr>
                <w:rFonts w:ascii="Verdana" w:eastAsia="Calibri" w:hAnsi="Verdana" w:cs="Arial"/>
              </w:rPr>
            </w:pPr>
            <w:r w:rsidRPr="696A6386">
              <w:rPr>
                <w:rFonts w:ascii="Verdana" w:eastAsia="Times New Roman" w:hAnsi="Verdana" w:cs="Times New Roman"/>
                <w:color w:val="000000" w:themeColor="text1"/>
                <w:lang w:eastAsia="es-CO"/>
              </w:rPr>
              <w:t xml:space="preserve">Considerando los parámetros señalados con anterioridad, </w:t>
            </w:r>
            <w:r w:rsidRPr="00D126E1">
              <w:rPr>
                <w:rFonts w:ascii="Verdana" w:eastAsia="Calibri" w:hAnsi="Verdana" w:cs="Arial"/>
              </w:rPr>
              <w:t xml:space="preserve">los documentos tipo del sector institucional, adoptados por medio de la Resolución </w:t>
            </w:r>
            <w:r w:rsidRPr="696A6386">
              <w:rPr>
                <w:rFonts w:ascii="Verdana" w:eastAsia="Calibri" w:hAnsi="Verdana" w:cs="Arial"/>
              </w:rPr>
              <w:t>5</w:t>
            </w:r>
            <w:r w:rsidR="26AFFFEA" w:rsidRPr="696A6386">
              <w:rPr>
                <w:rFonts w:ascii="Verdana" w:eastAsia="Calibri" w:hAnsi="Verdana" w:cs="Arial"/>
              </w:rPr>
              <w:t>3</w:t>
            </w:r>
            <w:r w:rsidRPr="696A6386">
              <w:rPr>
                <w:rFonts w:ascii="Verdana" w:eastAsia="Calibri" w:hAnsi="Verdana" w:cs="Arial"/>
              </w:rPr>
              <w:t>9</w:t>
            </w:r>
            <w:r w:rsidRPr="00D126E1">
              <w:rPr>
                <w:rFonts w:ascii="Verdana" w:eastAsia="Calibri" w:hAnsi="Verdana" w:cs="Arial"/>
              </w:rPr>
              <w:t xml:space="preserve"> de 2025, eventualmente podrían enmarcarse dentro del objeto del proceso por el que se indaga. Por lo tanto, le corresponde a la entidad que pretende adelantar el proceso de contratación, determinar, de acuerdo con el alcance del servicio que prestará el “Centro de atención para víctimas de violencia contra la mujer”, si este se enmarca dentro de la </w:t>
            </w:r>
            <w:r w:rsidRPr="696A6386">
              <w:rPr>
                <w:rFonts w:ascii="Verdana" w:eastAsia="Times New Roman" w:hAnsi="Verdana" w:cs="Times New Roman"/>
                <w:color w:val="000000" w:themeColor="text1"/>
                <w:lang w:eastAsia="es-CO"/>
              </w:rPr>
              <w:t>Infraestructura de Servicio Público y por lo tanto determinar la aplicación o no del documento tipo señalado.</w:t>
            </w:r>
            <w:r w:rsidRPr="00D126E1">
              <w:rPr>
                <w:rFonts w:ascii="Verdana" w:eastAsia="Calibri" w:hAnsi="Verdana" w:cs="Arial"/>
              </w:rPr>
              <w:t xml:space="preserve"> No obstante, los documentos tipo acogidos por medio de la Resolución 539 de 2025, tal como se indicó, aplicaran en los procesos de selección cuyo aviso de convocatoria se publique a partir del 16 de febrero de 2026.</w:t>
            </w:r>
          </w:p>
          <w:p w14:paraId="136B3045" w14:textId="77777777" w:rsidR="00D126E1" w:rsidRPr="00D126E1" w:rsidRDefault="00D126E1" w:rsidP="00D126E1">
            <w:pPr>
              <w:snapToGrid w:val="0"/>
              <w:spacing w:after="120" w:line="276" w:lineRule="auto"/>
              <w:ind w:firstLine="708"/>
              <w:jc w:val="both"/>
              <w:rPr>
                <w:rFonts w:ascii="Verdana" w:eastAsia="Calibri" w:hAnsi="Verdana" w:cs="Arial"/>
              </w:rPr>
            </w:pPr>
            <w:r w:rsidRPr="00D126E1">
              <w:rPr>
                <w:rFonts w:ascii="Verdana" w:eastAsia="Times New Roman" w:hAnsi="Verdana" w:cs="Arial"/>
                <w:kern w:val="2"/>
                <w:shd w:val="clear" w:color="auto" w:fill="FFFFFF"/>
                <w:lang w:val="es-ES_tradnl" w:eastAsia="es-ES_tradnl"/>
                <w14:ligatures w14:val="standardContextual"/>
              </w:rPr>
              <w:t xml:space="preserve">Finalmente,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de experiencia de cada documento tipo, y si en consecuencia deben aplicarse o no determinados documentos tipo, conforme a los parámetros indicados en este concepto. Lo anterior sin que pueda apartarse de su aplicación cuando </w:t>
            </w:r>
            <w:r w:rsidRPr="00D126E1">
              <w:rPr>
                <w:rFonts w:ascii="Verdana" w:eastAsia="Times New Roman" w:hAnsi="Verdana" w:cs="Arial"/>
                <w:kern w:val="2"/>
                <w:shd w:val="clear" w:color="auto" w:fill="FFFFFF"/>
                <w:lang w:val="es-ES_tradnl" w:eastAsia="es-ES_tradnl"/>
                <w14:ligatures w14:val="standardContextual"/>
              </w:rPr>
              <w:lastRenderedPageBreak/>
              <w:t xml:space="preserve">materialmente el objeto a contratar corresponde con alguna actividad contemplada en dicha matriz. </w:t>
            </w:r>
          </w:p>
          <w:p w14:paraId="122775D3" w14:textId="77777777" w:rsidR="00D126E1" w:rsidRPr="00D126E1" w:rsidRDefault="00D126E1" w:rsidP="00D126E1">
            <w:pPr>
              <w:snapToGrid w:val="0"/>
              <w:spacing w:line="276" w:lineRule="auto"/>
              <w:ind w:firstLine="708"/>
              <w:jc w:val="both"/>
              <w:rPr>
                <w:rFonts w:ascii="Verdana" w:eastAsia="Calibri" w:hAnsi="Verdana" w:cs="Arial"/>
                <w:kern w:val="2"/>
                <w14:ligatures w14:val="standardContextual"/>
              </w:rPr>
            </w:pPr>
            <w:r w:rsidRPr="00D126E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DAD53E6" w14:textId="77777777" w:rsidR="00D126E1" w:rsidRPr="00D126E1" w:rsidRDefault="00D126E1" w:rsidP="00D126E1">
      <w:pPr>
        <w:tabs>
          <w:tab w:val="left" w:pos="142"/>
          <w:tab w:val="left" w:pos="284"/>
        </w:tabs>
        <w:spacing w:after="0" w:line="276" w:lineRule="auto"/>
        <w:jc w:val="both"/>
        <w:rPr>
          <w:rFonts w:ascii="Verdana" w:eastAsia="Century Gothic" w:hAnsi="Verdana" w:cs="Century Gothic"/>
          <w:b/>
          <w:bCs/>
          <w:lang w:val="es-ES"/>
        </w:rPr>
      </w:pPr>
    </w:p>
    <w:p w14:paraId="3D787B8B" w14:textId="77777777" w:rsidR="00D126E1" w:rsidRPr="00D126E1" w:rsidRDefault="00D126E1" w:rsidP="00D126E1">
      <w:pPr>
        <w:tabs>
          <w:tab w:val="left" w:pos="142"/>
          <w:tab w:val="left" w:pos="284"/>
        </w:tabs>
        <w:spacing w:after="0" w:line="276" w:lineRule="auto"/>
        <w:jc w:val="both"/>
        <w:rPr>
          <w:rFonts w:ascii="Verdana" w:eastAsia="Century Gothic" w:hAnsi="Verdana" w:cs="Century Gothic"/>
          <w:b/>
          <w:bCs/>
          <w:lang w:val="es-ES"/>
        </w:rPr>
      </w:pPr>
      <w:r w:rsidRPr="00D126E1">
        <w:rPr>
          <w:rFonts w:ascii="Verdana" w:eastAsia="Century Gothic" w:hAnsi="Verdana" w:cs="Century Gothic"/>
          <w:b/>
          <w:bCs/>
          <w:lang w:val="es-ES"/>
        </w:rPr>
        <w:t>3. Razones de la respuesta:</w:t>
      </w:r>
    </w:p>
    <w:p w14:paraId="522846EE" w14:textId="77777777" w:rsidR="00D126E1" w:rsidRPr="00D126E1" w:rsidRDefault="00D126E1" w:rsidP="00D126E1">
      <w:pPr>
        <w:spacing w:after="0" w:line="276" w:lineRule="auto"/>
        <w:jc w:val="both"/>
        <w:rPr>
          <w:rFonts w:ascii="Verdana" w:eastAsia="Calibri" w:hAnsi="Verdana" w:cs="Arial"/>
          <w:lang w:val="es-ES"/>
        </w:rPr>
      </w:pPr>
    </w:p>
    <w:p w14:paraId="6E360494" w14:textId="77777777" w:rsidR="00D126E1" w:rsidRPr="00D126E1" w:rsidRDefault="00D126E1" w:rsidP="00D126E1">
      <w:pPr>
        <w:spacing w:after="0" w:line="276" w:lineRule="auto"/>
        <w:jc w:val="both"/>
        <w:rPr>
          <w:rFonts w:ascii="Verdana" w:eastAsia="Calibri" w:hAnsi="Verdana" w:cs="Arial"/>
          <w:lang w:val="es-ES"/>
        </w:rPr>
      </w:pPr>
      <w:r w:rsidRPr="00D126E1">
        <w:rPr>
          <w:rFonts w:ascii="Verdana" w:eastAsia="Calibri" w:hAnsi="Verdana" w:cs="Arial"/>
          <w:lang w:val="es-ES"/>
        </w:rPr>
        <w:t xml:space="preserve">Lo anterior se sustenta en las siguientes consideraciones: </w:t>
      </w:r>
    </w:p>
    <w:p w14:paraId="295AA617" w14:textId="77777777" w:rsidR="00D126E1" w:rsidRPr="00D126E1" w:rsidRDefault="00D126E1" w:rsidP="00D126E1">
      <w:pPr>
        <w:widowControl w:val="0"/>
        <w:autoSpaceDE w:val="0"/>
        <w:autoSpaceDN w:val="0"/>
        <w:spacing w:after="0" w:line="276" w:lineRule="auto"/>
        <w:jc w:val="both"/>
        <w:rPr>
          <w:rFonts w:ascii="Verdana" w:eastAsia="Calibri" w:hAnsi="Verdana" w:cs="Times New Roman"/>
          <w:lang w:val="es-ES"/>
        </w:rPr>
      </w:pPr>
      <w:bookmarkStart w:id="1" w:name="_Hlk113022941"/>
    </w:p>
    <w:p w14:paraId="15A291CE" w14:textId="77777777" w:rsidR="00D126E1" w:rsidRPr="00D126E1" w:rsidRDefault="00D126E1" w:rsidP="00D126E1">
      <w:pPr>
        <w:spacing w:after="120" w:line="276" w:lineRule="auto"/>
        <w:jc w:val="both"/>
        <w:rPr>
          <w:rFonts w:ascii="Verdana" w:eastAsia="Aptos" w:hAnsi="Verdana" w:cs="Arial"/>
          <w:kern w:val="2"/>
          <w14:ligatures w14:val="standardContextual"/>
        </w:rPr>
      </w:pPr>
      <w:r w:rsidRPr="00D126E1">
        <w:rPr>
          <w:rFonts w:ascii="Verdana" w:eastAsia="Aptos" w:hAnsi="Verdana" w:cs="Arial"/>
          <w:kern w:val="2"/>
          <w14:ligatures w14:val="standardContextu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8C05053" w14:textId="77777777" w:rsidR="00D126E1" w:rsidRPr="00D126E1" w:rsidRDefault="00D126E1" w:rsidP="00D126E1">
      <w:pPr>
        <w:spacing w:after="120" w:line="276" w:lineRule="auto"/>
        <w:ind w:firstLine="708"/>
        <w:jc w:val="both"/>
        <w:rPr>
          <w:rFonts w:ascii="Verdana" w:eastAsia="Aptos" w:hAnsi="Verdana" w:cs="Arial"/>
          <w:kern w:val="2"/>
          <w14:ligatures w14:val="standardContextual"/>
        </w:rPr>
      </w:pPr>
      <w:r w:rsidRPr="00D126E1">
        <w:rPr>
          <w:rFonts w:ascii="Verdana" w:eastAsia="Aptos" w:hAnsi="Verdana" w:cs="Arial"/>
          <w:kern w:val="2"/>
          <w:lang w:val="es-ES"/>
          <w14:ligatures w14:val="standardContextua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4D63461" w14:textId="77777777" w:rsidR="00D126E1" w:rsidRPr="00D126E1" w:rsidRDefault="00D126E1" w:rsidP="00D126E1">
      <w:pPr>
        <w:spacing w:after="120" w:line="276" w:lineRule="auto"/>
        <w:ind w:firstLine="708"/>
        <w:jc w:val="both"/>
        <w:rPr>
          <w:rFonts w:ascii="Verdana" w:eastAsia="Calibri" w:hAnsi="Verdana" w:cs="Arial"/>
          <w:kern w:val="2"/>
          <w14:ligatures w14:val="standardContextual"/>
        </w:rPr>
      </w:pPr>
      <w:r w:rsidRPr="00D126E1">
        <w:rPr>
          <w:rFonts w:ascii="Verdana" w:eastAsia="Aptos" w:hAnsi="Verdana" w:cs="Arial"/>
          <w:kern w:val="2"/>
          <w14:ligatures w14:val="standardContextual"/>
        </w:rPr>
        <w:t xml:space="preserve">En relación con su solicitud, debe indicarse que, </w:t>
      </w:r>
      <w:r w:rsidRPr="00D126E1">
        <w:rPr>
          <w:rFonts w:ascii="Verdana" w:eastAsia="Calibri" w:hAnsi="Verdana" w:cs="Arial"/>
          <w:kern w:val="2"/>
          <w:lang w:val="es-MX"/>
          <w14:ligatures w14:val="standardContextual"/>
        </w:rPr>
        <w:t xml:space="preserve">la Agencia Nacional de Contratación Pública – Colombia Compra </w:t>
      </w:r>
      <w:r w:rsidRPr="00D126E1">
        <w:rPr>
          <w:rFonts w:ascii="Verdana" w:eastAsia="Calibri" w:hAnsi="Verdana" w:cs="Arial"/>
          <w:kern w:val="2"/>
          <w14:ligatures w14:val="standardContextual"/>
        </w:rPr>
        <w:t xml:space="preserve">Eficiente expidió la Resolución 539 </w:t>
      </w:r>
      <w:r w:rsidRPr="00D126E1">
        <w:rPr>
          <w:rFonts w:ascii="Verdana" w:eastAsia="Calibri" w:hAnsi="Verdana" w:cs="Arial"/>
          <w:bCs/>
          <w:kern w:val="2"/>
          <w14:ligatures w14:val="standardContextual"/>
        </w:rPr>
        <w:t xml:space="preserve">del 21 de agosto </w:t>
      </w:r>
      <w:r w:rsidRPr="00D126E1">
        <w:rPr>
          <w:rFonts w:ascii="Verdana" w:eastAsia="Calibri" w:hAnsi="Verdana" w:cs="Arial"/>
          <w:kern w:val="2"/>
          <w14:ligatures w14:val="standardContextual"/>
        </w:rPr>
        <w:t xml:space="preserve">de 2025, </w:t>
      </w:r>
      <w:r w:rsidRPr="00D126E1">
        <w:rPr>
          <w:rFonts w:ascii="Verdana" w:eastAsia="Calibri" w:hAnsi="Verdana" w:cs="Arial"/>
          <w:i/>
          <w:iCs/>
          <w:kern w:val="2"/>
          <w14:ligatures w14:val="standardContextual"/>
        </w:rPr>
        <w:t xml:space="preserve">"Por la cual se adopta la versión -2- de los documentos </w:t>
      </w:r>
      <w:r w:rsidRPr="00D126E1">
        <w:rPr>
          <w:rFonts w:ascii="Verdana" w:eastAsia="Calibri" w:hAnsi="Verdana" w:cs="Arial"/>
          <w:i/>
          <w:iCs/>
          <w:kern w:val="2"/>
          <w14:ligatures w14:val="standardContextual"/>
        </w:rPr>
        <w:lastRenderedPageBreak/>
        <w:t>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r w:rsidRPr="00D126E1">
        <w:rPr>
          <w:rFonts w:ascii="Verdana" w:eastAsia="Calibri" w:hAnsi="Verdana" w:cs="Arial"/>
          <w:kern w:val="2"/>
          <w14:ligatures w14:val="standardContextual"/>
        </w:rPr>
        <w:t xml:space="preserve"> </w:t>
      </w:r>
    </w:p>
    <w:p w14:paraId="48A437DE" w14:textId="77777777" w:rsidR="00D126E1" w:rsidRPr="00D126E1" w:rsidRDefault="00D126E1" w:rsidP="00D126E1">
      <w:pPr>
        <w:spacing w:after="120" w:line="276" w:lineRule="auto"/>
        <w:ind w:firstLine="708"/>
        <w:jc w:val="both"/>
        <w:rPr>
          <w:rFonts w:ascii="Verdana" w:eastAsia="Calibri" w:hAnsi="Verdana" w:cs="Arial"/>
          <w:kern w:val="2"/>
          <w14:ligatures w14:val="standardContextual"/>
        </w:rPr>
      </w:pPr>
      <w:r w:rsidRPr="00D126E1">
        <w:rPr>
          <w:rFonts w:ascii="Verdana" w:eastAsia="Calibri" w:hAnsi="Verdana" w:cs="Arial"/>
          <w:kern w:val="2"/>
          <w14:ligatures w14:val="standardContextual"/>
        </w:rPr>
        <w:t xml:space="preserve">Mediante el capítulo I de la Resolución señalada, se adoptaron los documentos tipo transversales al sector de infraestructura social. Estos documentos son el documento base, los anexos, los formatos, los formularios y las matrices. Por su parte mediante los capítulos II, III, IV, V y VI de la Resolución, se adoptaron -respectivamente- los documentos tipo complementarios -Matriz de Experiencia- del sector educativo, sector salud, sector cultura, recreación y deporte, sector institucional, y sector vivienda. </w:t>
      </w:r>
    </w:p>
    <w:p w14:paraId="5F001630" w14:textId="77777777" w:rsidR="00D126E1" w:rsidRPr="00D126E1" w:rsidRDefault="00D126E1" w:rsidP="00D126E1">
      <w:pPr>
        <w:spacing w:after="120" w:line="276" w:lineRule="auto"/>
        <w:ind w:firstLine="708"/>
        <w:jc w:val="both"/>
        <w:rPr>
          <w:rFonts w:ascii="Verdana" w:eastAsia="Calibri" w:hAnsi="Verdana" w:cs="Arial"/>
          <w:kern w:val="2"/>
          <w14:ligatures w14:val="standardContextual"/>
        </w:rPr>
      </w:pPr>
      <w:r w:rsidRPr="00D126E1">
        <w:rPr>
          <w:rFonts w:ascii="Verdana" w:eastAsia="Calibri" w:hAnsi="Verdana" w:cs="Arial"/>
          <w:kern w:val="2"/>
          <w14:ligatures w14:val="standardContextual"/>
        </w:rPr>
        <w:t xml:space="preserve">En consecuencia, en materia de infraestructura social debe tenerse en cuenta que existen dos (2) clases de documentos tipo que se integran en cada proceso: i) los documentos </w:t>
      </w:r>
      <w:r w:rsidRPr="00D126E1">
        <w:rPr>
          <w:rFonts w:ascii="Verdana" w:eastAsia="Calibri" w:hAnsi="Verdana" w:cs="Arial"/>
          <w:i/>
          <w:kern w:val="2"/>
          <w14:ligatures w14:val="standardContextual"/>
        </w:rPr>
        <w:t>transversales</w:t>
      </w:r>
      <w:r w:rsidRPr="00D126E1">
        <w:rPr>
          <w:rFonts w:ascii="Verdana" w:eastAsia="Calibri" w:hAnsi="Verdana" w:cs="Arial"/>
          <w:kern w:val="2"/>
          <w14:ligatures w14:val="standardContextual"/>
        </w:rPr>
        <w:t xml:space="preserve"> a todos los sectores de infraestructura social, es decir, el documento base, los anexos, los formatos, los formularios y las matrices adoptados en el capítulo I de la Resolución No. 539 de 2025; y </w:t>
      </w:r>
      <w:proofErr w:type="spellStart"/>
      <w:r w:rsidRPr="00D126E1">
        <w:rPr>
          <w:rFonts w:ascii="Verdana" w:eastAsia="Calibri" w:hAnsi="Verdana" w:cs="Arial"/>
          <w:kern w:val="2"/>
          <w14:ligatures w14:val="standardContextual"/>
        </w:rPr>
        <w:t>ii</w:t>
      </w:r>
      <w:proofErr w:type="spellEnd"/>
      <w:r w:rsidRPr="00D126E1">
        <w:rPr>
          <w:rFonts w:ascii="Verdana" w:eastAsia="Calibri" w:hAnsi="Verdana" w:cs="Arial"/>
          <w:kern w:val="2"/>
          <w14:ligatures w14:val="standardContextual"/>
        </w:rPr>
        <w:t xml:space="preserve">) los documentos tipo </w:t>
      </w:r>
      <w:r w:rsidRPr="00D126E1">
        <w:rPr>
          <w:rFonts w:ascii="Verdana" w:eastAsia="Calibri" w:hAnsi="Verdana" w:cs="Arial"/>
          <w:i/>
          <w:kern w:val="2"/>
          <w14:ligatures w14:val="standardContextual"/>
        </w:rPr>
        <w:t>complementarios</w:t>
      </w:r>
      <w:r w:rsidRPr="00D126E1">
        <w:rPr>
          <w:rFonts w:ascii="Verdana" w:eastAsia="Calibri" w:hAnsi="Verdana" w:cs="Arial"/>
          <w:iCs/>
          <w:kern w:val="2"/>
          <w14:ligatures w14:val="standardContextual"/>
        </w:rPr>
        <w:t>,</w:t>
      </w:r>
      <w:r w:rsidRPr="00D126E1">
        <w:rPr>
          <w:rFonts w:ascii="Verdana" w:eastAsia="Calibri" w:hAnsi="Verdana" w:cs="Arial"/>
          <w:i/>
          <w:kern w:val="2"/>
          <w14:ligatures w14:val="standardContextual"/>
        </w:rPr>
        <w:t xml:space="preserve"> </w:t>
      </w:r>
      <w:r w:rsidRPr="00D126E1">
        <w:rPr>
          <w:rFonts w:ascii="Verdana" w:eastAsia="Calibri" w:hAnsi="Verdana" w:cs="Arial"/>
          <w:kern w:val="2"/>
          <w14:ligatures w14:val="standardContextual"/>
        </w:rPr>
        <w:t xml:space="preserve">referentes a la matriz de experiencia adoptadas en los capítulos II, III, IV, V y VI de la Resolución señalada. </w:t>
      </w:r>
    </w:p>
    <w:p w14:paraId="216027C6" w14:textId="77777777" w:rsidR="00D126E1" w:rsidRPr="00D126E1" w:rsidRDefault="00D126E1" w:rsidP="00D126E1">
      <w:pPr>
        <w:spacing w:after="120" w:line="276" w:lineRule="auto"/>
        <w:ind w:firstLine="708"/>
        <w:jc w:val="both"/>
        <w:rPr>
          <w:rFonts w:ascii="Verdana" w:eastAsia="Aptos" w:hAnsi="Verdana" w:cs="Arial"/>
          <w:kern w:val="2"/>
          <w14:ligatures w14:val="standardContextual"/>
        </w:rPr>
      </w:pPr>
      <w:r w:rsidRPr="00D126E1">
        <w:rPr>
          <w:rFonts w:ascii="Verdana" w:eastAsia="Calibri" w:hAnsi="Verdana" w:cs="Arial"/>
          <w:kern w:val="2"/>
          <w14:ligatures w14:val="standardContextual"/>
        </w:rPr>
        <w:t xml:space="preserve">Debe indicarse que, en el artículo 23 “Vigencia” de la Resolución 539 del 21 de agosto de 2025, se determinó que los documentos tipo que acoge dicha Resolución aplicarán a los procedimientos de selección de licitación de obra pública de infraestructura social en los sectores educación, salud, cultura, recreación y deporte, institucional y vivienda, cuyo aviso de convocatoria sea publicado a partir del 18 de febrero de 2026. </w:t>
      </w:r>
    </w:p>
    <w:p w14:paraId="00E2A5D5"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D126E1">
        <w:rPr>
          <w:rFonts w:ascii="Verdana" w:eastAsia="Calibri" w:hAnsi="Verdana" w:cs="Times New Roman"/>
          <w:shd w:val="clear" w:color="auto" w:fill="E8E8E8"/>
          <w:lang w:val="es-ES"/>
        </w:rPr>
        <w:t>–[texto]–,</w:t>
      </w:r>
      <w:r w:rsidRPr="00D126E1">
        <w:rPr>
          <w:rFonts w:ascii="Verdana" w:eastAsia="Calibri" w:hAnsi="Verdana" w:cs="Times New Roman"/>
          <w:lang w:val="es-ES"/>
        </w:rPr>
        <w:t xml:space="preserve"> para lo cual deberán observarse las instrucciones contenidas en los mismos para su diligenciamiento.</w:t>
      </w:r>
    </w:p>
    <w:p w14:paraId="12009A1F"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 xml:space="preserve">Por lo tanto, la entidad solo podrá modificar aspectos de los documentos </w:t>
      </w:r>
      <w:r w:rsidRPr="00D126E1">
        <w:rPr>
          <w:rFonts w:ascii="Verdana" w:eastAsia="Calibri" w:hAnsi="Verdana" w:cs="Times New Roman"/>
          <w:lang w:val="es-ES"/>
        </w:rPr>
        <w:lastRenderedPageBreak/>
        <w:t xml:space="preserve">tipo cuando así esté permitido, en los términos expuestos. Lo anterior implica que, en los apartes en que los documentos tipo no lo permitan, la entidad deberá integrar el contenido de estos a su proceso de contratación sin ningún tipo de alteración. </w:t>
      </w:r>
    </w:p>
    <w:p w14:paraId="3C256484"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18DE559"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BA44AC5"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8D52D54"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 xml:space="preserve">De esta manera, para saber a qué actividades deben aplicarse los documentos tipo de licitación de obra pública de infraestructura social – versión 2,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w:t>
      </w:r>
      <w:r w:rsidRPr="00D126E1">
        <w:rPr>
          <w:rFonts w:ascii="Verdana" w:eastAsia="Calibri" w:hAnsi="Verdana" w:cs="Times New Roman"/>
          <w:lang w:val="es-ES"/>
        </w:rPr>
        <w:lastRenderedPageBreak/>
        <w:t>no será forzosa su aplicación.</w:t>
      </w:r>
    </w:p>
    <w:p w14:paraId="1538B294" w14:textId="77777777" w:rsidR="00D126E1" w:rsidRPr="00D126E1" w:rsidRDefault="00D126E1" w:rsidP="00D126E1">
      <w:pPr>
        <w:spacing w:after="120" w:line="278" w:lineRule="auto"/>
        <w:ind w:firstLine="708"/>
        <w:jc w:val="both"/>
        <w:textAlignment w:val="baseline"/>
        <w:rPr>
          <w:rFonts w:ascii="Verdana" w:eastAsia="Calibri" w:hAnsi="Verdana" w:cs="Times New Roman"/>
          <w:lang w:val="es-ES"/>
        </w:rPr>
      </w:pPr>
      <w:r w:rsidRPr="00D126E1">
        <w:rPr>
          <w:rFonts w:ascii="Verdana" w:eastAsia="Calibri" w:hAnsi="Verdana" w:cs="Times New Roman"/>
          <w:lang w:val="es-ES"/>
        </w:rPr>
        <w:t>Teniendo en cuenta que usted indaga sí un proceso de selección que tiene por objeto la construcción de un “centro de atención para víctimas de violencia basada en el género y violencia contra la mujer” se debe contratar con los documentos tipo complementarios del sector institucional, esto, teniendo en cuentas las actividades contenidas en la Matriz de Experiencia que se relacionan con “2. Obras en proyectos de infraestructura institucional de servicio público”, sobre el particular esta Agencia le manifiesta lo siguiente:</w:t>
      </w:r>
    </w:p>
    <w:p w14:paraId="3B27A10C" w14:textId="77777777" w:rsidR="00D126E1" w:rsidRPr="00D126E1" w:rsidRDefault="00D126E1" w:rsidP="00D126E1">
      <w:pPr>
        <w:spacing w:after="0" w:line="276" w:lineRule="auto"/>
        <w:ind w:firstLine="708"/>
        <w:jc w:val="both"/>
        <w:rPr>
          <w:rFonts w:ascii="Verdana" w:eastAsia="Times New Roman" w:hAnsi="Verdana" w:cs="Arial"/>
          <w:color w:val="000000"/>
          <w:lang w:val="es-ES_tradnl" w:eastAsia="es-CO"/>
        </w:rPr>
      </w:pPr>
      <w:r w:rsidRPr="00D126E1">
        <w:rPr>
          <w:rFonts w:ascii="Verdana" w:eastAsia="Times New Roman" w:hAnsi="Verdana" w:cs="Times New Roman"/>
          <w:color w:val="000000"/>
          <w:lang w:val="es-ES_tradnl" w:eastAsia="es-CO"/>
        </w:rPr>
        <w:t xml:space="preserve">Para determinar si </w:t>
      </w:r>
      <w:r w:rsidRPr="00D126E1">
        <w:rPr>
          <w:rFonts w:ascii="Verdana" w:eastAsia="Calibri" w:hAnsi="Verdana" w:cs="Times New Roman"/>
          <w:color w:val="000000"/>
          <w:lang w:val="es-ES" w:eastAsia="es-ES"/>
        </w:rPr>
        <w:t xml:space="preserve">un “centro de atención para víctimas de violencia basada en el género y violencia contra la mujer” puede ser considerado infraestructura de servicio público, para efectos de aplicación de la actividad dispuesta en el numeral 2 de la Matriz de Experiencia de los documentos tipo complementarios del sector de infraestructura institucional. </w:t>
      </w:r>
      <w:r w:rsidRPr="00D126E1">
        <w:rPr>
          <w:rFonts w:ascii="Verdana" w:eastAsia="Times New Roman" w:hAnsi="Verdana" w:cs="Arial"/>
          <w:color w:val="000000"/>
          <w:lang w:val="es-ES_tradnl" w:eastAsia="es-ES"/>
        </w:rPr>
        <w:t xml:space="preserve">A tales efectos, es preciso mencionar </w:t>
      </w:r>
      <w:r w:rsidRPr="00D126E1">
        <w:rPr>
          <w:rFonts w:ascii="Verdana" w:eastAsia="Times New Roman" w:hAnsi="Verdana" w:cs="Times New Roman"/>
          <w:color w:val="000000"/>
          <w:lang w:val="es-ES_tradnl" w:eastAsia="es-CO"/>
        </w:rPr>
        <w:t xml:space="preserve">que en el Anexo 5 – Glosario, de los documentos tipo acogidos por medio de la Resolución 539 de 2025, dispone en el numeral 3 “Glosario específico técnico general del sector social”, que en el sector institucional: </w:t>
      </w:r>
    </w:p>
    <w:p w14:paraId="7A5A158F" w14:textId="77777777" w:rsidR="00D126E1" w:rsidRPr="00D126E1" w:rsidRDefault="00D126E1" w:rsidP="00D126E1">
      <w:pPr>
        <w:shd w:val="clear" w:color="auto" w:fill="FFFFFF"/>
        <w:spacing w:after="0" w:line="240" w:lineRule="auto"/>
        <w:ind w:firstLine="708"/>
        <w:jc w:val="both"/>
        <w:textAlignment w:val="baseline"/>
        <w:rPr>
          <w:rFonts w:ascii="Verdana" w:eastAsia="Times New Roman" w:hAnsi="Verdana" w:cs="Times New Roman"/>
          <w:color w:val="000000"/>
          <w:lang w:eastAsia="es-CO"/>
        </w:rPr>
      </w:pPr>
    </w:p>
    <w:p w14:paraId="6CFA04BC" w14:textId="77777777" w:rsidR="00D126E1" w:rsidRPr="00D126E1" w:rsidRDefault="00D126E1" w:rsidP="00D126E1">
      <w:pPr>
        <w:spacing w:after="0" w:line="278" w:lineRule="auto"/>
        <w:ind w:left="709" w:right="709"/>
        <w:jc w:val="both"/>
        <w:rPr>
          <w:rFonts w:ascii="Verdana" w:eastAsia="Arial" w:hAnsi="Verdana" w:cs="Arial"/>
          <w:color w:val="000000"/>
          <w:kern w:val="2"/>
          <w:sz w:val="21"/>
          <w:szCs w:val="21"/>
          <w14:ligatures w14:val="standardContextual"/>
        </w:rPr>
      </w:pPr>
      <w:r w:rsidRPr="00D126E1">
        <w:rPr>
          <w:rFonts w:ascii="Verdana" w:eastAsia="Times New Roman" w:hAnsi="Verdana" w:cs="Times New Roman"/>
          <w:color w:val="000000"/>
          <w:kern w:val="2"/>
          <w:sz w:val="21"/>
          <w:szCs w:val="21"/>
          <w:highlight w:val="lightGray"/>
          <w:lang w:eastAsia="es-ES"/>
          <w14:ligatures w14:val="standardContextual"/>
        </w:rPr>
        <w:t>“[La Entidad deberá incluir en orden alfabético los conceptos adicionales que aplican al Proceso de Contratación que no estén incorporados en este Anexo y se definan en leyes o normativas que en orden de jerarquía esté por encima del pliego de condiciones, siendo estos obligatorios con independencia de que se encuentren detallados o no, con su respectiva fuente o referencia de donde se tomó la definición correspondiente. Así como los términos y conceptos definidos en el Decreto 1077 de 2015, así como en la NSR-10, y demás normatividad y legislación que la modifique, regule o sustituya o sea aplicable en la materia.]</w:t>
      </w:r>
      <w:r w:rsidRPr="00D126E1">
        <w:rPr>
          <w:rFonts w:ascii="Verdana" w:eastAsia="Times New Roman" w:hAnsi="Verdana" w:cs="Times New Roman"/>
          <w:color w:val="000000"/>
          <w:kern w:val="2"/>
          <w:sz w:val="21"/>
          <w:szCs w:val="21"/>
          <w:lang w:eastAsia="es-ES"/>
          <w14:ligatures w14:val="standardContextual"/>
        </w:rPr>
        <w:t xml:space="preserve">”. </w:t>
      </w:r>
    </w:p>
    <w:p w14:paraId="4E948ED1" w14:textId="77777777" w:rsidR="00D126E1" w:rsidRPr="00D126E1" w:rsidRDefault="00D126E1" w:rsidP="00D126E1">
      <w:pPr>
        <w:shd w:val="clear" w:color="auto" w:fill="FFFFFF"/>
        <w:spacing w:after="0" w:line="240" w:lineRule="auto"/>
        <w:ind w:firstLine="708"/>
        <w:jc w:val="both"/>
        <w:textAlignment w:val="baseline"/>
        <w:rPr>
          <w:rFonts w:ascii="Verdana" w:eastAsia="Times New Roman" w:hAnsi="Verdana" w:cs="Times New Roman"/>
          <w:color w:val="000000"/>
          <w:lang w:eastAsia="es-CO"/>
        </w:rPr>
      </w:pPr>
    </w:p>
    <w:p w14:paraId="3437BEC5" w14:textId="77777777" w:rsidR="00D126E1" w:rsidRPr="00D126E1" w:rsidRDefault="00D126E1" w:rsidP="00D126E1">
      <w:pPr>
        <w:shd w:val="clear" w:color="auto" w:fill="FFFFFF"/>
        <w:spacing w:after="120" w:line="276" w:lineRule="auto"/>
        <w:jc w:val="both"/>
        <w:textAlignment w:val="baseline"/>
        <w:rPr>
          <w:rFonts w:ascii="Verdana" w:eastAsia="Times New Roman" w:hAnsi="Verdana" w:cs="Times New Roman"/>
          <w:color w:val="000000"/>
          <w:lang w:eastAsia="es-CO"/>
        </w:rPr>
      </w:pPr>
      <w:r w:rsidRPr="00D126E1">
        <w:rPr>
          <w:rFonts w:ascii="Verdana" w:eastAsia="Times New Roman" w:hAnsi="Verdana" w:cs="Times New Roman"/>
          <w:color w:val="000000"/>
          <w:lang w:eastAsia="es-CO"/>
        </w:rPr>
        <w:tab/>
        <w:t>En este sentido, teniendo en cuenta que en el Anexo – Glosario, no se encuentra definida la Infraestructura de Servicio Público, debe indicarse que, de acuerdo con la NSR-10</w:t>
      </w:r>
      <w:r w:rsidRPr="00D126E1">
        <w:rPr>
          <w:rFonts w:ascii="Verdana" w:eastAsia="Times New Roman" w:hAnsi="Verdana" w:cs="Times New Roman"/>
          <w:color w:val="000000"/>
          <w:vertAlign w:val="superscript"/>
          <w:lang w:eastAsia="es-CO"/>
        </w:rPr>
        <w:footnoteReference w:id="1"/>
      </w:r>
      <w:r w:rsidRPr="00D126E1">
        <w:rPr>
          <w:rFonts w:ascii="Verdana" w:eastAsia="Times New Roman" w:hAnsi="Verdana" w:cs="Times New Roman"/>
          <w:color w:val="000000"/>
          <w:lang w:eastAsia="es-CO"/>
        </w:rPr>
        <w:t xml:space="preserve">, en el Subgrupo de Ocupación institucional de servicio público (I-5) “(…) se clasifican las edificaciones o espacios destinados a funciones administrativas y prestación de servicios públicos necesarios para el buen funcionamiento de las ciudades”. Y además, la norma técnica señalada, presenta </w:t>
      </w:r>
      <w:r w:rsidRPr="00D126E1">
        <w:rPr>
          <w:rFonts w:ascii="Verdana" w:eastAsia="Times New Roman" w:hAnsi="Verdana" w:cs="Times New Roman"/>
          <w:color w:val="000000"/>
          <w:lang w:eastAsia="es-CO"/>
        </w:rPr>
        <w:lastRenderedPageBreak/>
        <w:t xml:space="preserve">una lista indicativa de edificaciones o espacios que deben clasificarse en el Subgrupo de Ocupación (I-5), estos son: i) centros de comunicación, centros administrativos municipales, distritales o gubernamentales, centros administrativos de servicios públicos, juzgados y otros similares. </w:t>
      </w:r>
    </w:p>
    <w:p w14:paraId="599E530C" w14:textId="77777777" w:rsidR="00D126E1" w:rsidRPr="00D126E1" w:rsidRDefault="00D126E1" w:rsidP="00D126E1">
      <w:pPr>
        <w:spacing w:after="0" w:line="276" w:lineRule="auto"/>
        <w:ind w:firstLine="708"/>
        <w:jc w:val="both"/>
        <w:rPr>
          <w:rFonts w:ascii="Verdana" w:eastAsia="Times New Roman" w:hAnsi="Verdana" w:cs="Times New Roman"/>
          <w:color w:val="000000"/>
          <w:bdr w:val="none" w:sz="0" w:space="0" w:color="auto" w:frame="1"/>
          <w:lang w:val="es-ES_tradnl" w:eastAsia="es-CO"/>
        </w:rPr>
      </w:pPr>
      <w:r w:rsidRPr="00D126E1">
        <w:rPr>
          <w:rFonts w:ascii="Verdana" w:eastAsia="Times New Roman" w:hAnsi="Verdana" w:cs="Arial"/>
          <w:color w:val="000000"/>
          <w:lang w:val="es-ES_tradnl" w:eastAsia="es-ES"/>
        </w:rPr>
        <w:t xml:space="preserve">Por su parte, sobre la noción de </w:t>
      </w:r>
      <w:r w:rsidRPr="00D126E1">
        <w:rPr>
          <w:rFonts w:ascii="Verdana" w:eastAsia="Calibri" w:hAnsi="Verdana" w:cs="Times New Roman"/>
          <w:color w:val="000000"/>
          <w:lang w:val="es-ES" w:eastAsia="es-ES"/>
        </w:rPr>
        <w:t xml:space="preserve">“centro de atención para víctimas de violencia basada en el género y violencia contra la mujer”, el artículo 2 de </w:t>
      </w:r>
      <w:r w:rsidRPr="00D126E1">
        <w:rPr>
          <w:rFonts w:ascii="Verdana" w:eastAsia="Times New Roman" w:hAnsi="Verdana" w:cs="Times New Roman"/>
          <w:color w:val="000000"/>
          <w:bdr w:val="none" w:sz="0" w:space="0" w:color="auto" w:frame="1"/>
          <w:shd w:val="clear" w:color="auto" w:fill="FFFFFF"/>
          <w:lang w:val="es-ES_tradnl" w:eastAsia="es-CO"/>
        </w:rPr>
        <w:t>la Ley 2215 del 23 de junio de 2022</w:t>
      </w:r>
      <w:r w:rsidRPr="00D126E1">
        <w:rPr>
          <w:rFonts w:ascii="Verdana" w:eastAsia="Times New Roman" w:hAnsi="Verdana" w:cs="Times New Roman"/>
          <w:color w:val="000000"/>
          <w:bdr w:val="none" w:sz="0" w:space="0" w:color="auto" w:frame="1"/>
          <w:shd w:val="clear" w:color="auto" w:fill="FFFFFF"/>
          <w:vertAlign w:val="superscript"/>
          <w:lang w:val="es-ES_tradnl" w:eastAsia="es-CO"/>
        </w:rPr>
        <w:footnoteReference w:id="2"/>
      </w:r>
      <w:r w:rsidRPr="00D126E1">
        <w:rPr>
          <w:rFonts w:ascii="Verdana" w:eastAsia="Times New Roman" w:hAnsi="Verdana" w:cs="Times New Roman"/>
          <w:color w:val="000000"/>
          <w:bdr w:val="none" w:sz="0" w:space="0" w:color="auto" w:frame="1"/>
          <w:shd w:val="clear" w:color="auto" w:fill="FFFFFF"/>
          <w:lang w:val="es-ES_tradnl" w:eastAsia="es-CO"/>
        </w:rPr>
        <w:t>, define l</w:t>
      </w:r>
      <w:r w:rsidRPr="00D126E1">
        <w:rPr>
          <w:rFonts w:ascii="Verdana" w:eastAsia="Times New Roman" w:hAnsi="Verdana" w:cs="Times New Roman"/>
          <w:color w:val="000000"/>
          <w:bdr w:val="none" w:sz="0" w:space="0" w:color="auto" w:frame="1"/>
          <w:lang w:val="es-ES_tradnl" w:eastAsia="es-CO"/>
        </w:rPr>
        <w:t>as Casas de Refugio, en los siguientes términos:</w:t>
      </w:r>
    </w:p>
    <w:p w14:paraId="29E4D824" w14:textId="77777777" w:rsidR="00D126E1" w:rsidRPr="00D126E1" w:rsidRDefault="00D126E1" w:rsidP="00D126E1">
      <w:pPr>
        <w:spacing w:after="0" w:line="240" w:lineRule="auto"/>
        <w:ind w:left="709" w:right="709"/>
        <w:jc w:val="both"/>
        <w:rPr>
          <w:rFonts w:ascii="Verdana" w:eastAsia="Times New Roman" w:hAnsi="Verdana" w:cs="Arial"/>
          <w:color w:val="000000"/>
          <w:sz w:val="21"/>
          <w:szCs w:val="21"/>
          <w:lang w:eastAsia="es-ES"/>
        </w:rPr>
      </w:pPr>
    </w:p>
    <w:p w14:paraId="4B449C51" w14:textId="77777777" w:rsidR="00D126E1" w:rsidRPr="00D126E1" w:rsidRDefault="00D126E1" w:rsidP="00D126E1">
      <w:pPr>
        <w:spacing w:after="0" w:line="240" w:lineRule="auto"/>
        <w:ind w:left="709" w:right="709"/>
        <w:jc w:val="both"/>
        <w:rPr>
          <w:rFonts w:ascii="Verdana" w:eastAsia="Times New Roman" w:hAnsi="Verdana" w:cs="Arial"/>
          <w:color w:val="000000"/>
          <w:sz w:val="21"/>
          <w:szCs w:val="21"/>
          <w:lang w:val="es-ES_tradnl" w:eastAsia="es-ES"/>
        </w:rPr>
      </w:pPr>
      <w:r w:rsidRPr="00D126E1">
        <w:rPr>
          <w:rFonts w:ascii="Verdana" w:eastAsia="Times New Roman" w:hAnsi="Verdana" w:cs="Arial"/>
          <w:color w:val="000000"/>
          <w:sz w:val="21"/>
          <w:szCs w:val="21"/>
          <w:lang w:eastAsia="es-ES"/>
        </w:rPr>
        <w:t>“Las Casas de Refugio son sitios de acogida temporales, dignos, gratuitos y seguros, en los que se ofrece el alojamiento, la alimentación y vestimenta, para la protección y atención integral de las mujeres que son víctimas de los diferentes tipos y formas de violencia, sus hijos e hijas y personas dependientes si los tienen. En donde se realizan asesorías y asistencias técnicas - legales para asegurar el acceso a la justicia, el acompañamiento psicosocial y psicopedagógico, la orientación ocupacional y/o educacional, la empleabilidad, el emprendimiento y el apoyo de fe; cuando así sea solicitado constituyéndose en el escenario principal para garantizar la seguridad, la interrupción del ciclo de la violencia, la reconstrucción de los proyectos de vida, autonomía y empoderamiento de las mujeres víctimas de la violencia”.</w:t>
      </w:r>
    </w:p>
    <w:p w14:paraId="222DB4F5" w14:textId="77777777" w:rsidR="00D126E1" w:rsidRPr="00D126E1" w:rsidRDefault="00D126E1" w:rsidP="00D126E1">
      <w:pPr>
        <w:shd w:val="clear" w:color="auto" w:fill="FFFFFF"/>
        <w:spacing w:after="0" w:line="240" w:lineRule="auto"/>
        <w:jc w:val="both"/>
        <w:textAlignment w:val="baseline"/>
        <w:rPr>
          <w:rFonts w:ascii="Verdana" w:eastAsia="Times New Roman" w:hAnsi="Verdana" w:cs="Times New Roman"/>
          <w:color w:val="000000"/>
          <w:lang w:eastAsia="es-CO"/>
        </w:rPr>
      </w:pPr>
    </w:p>
    <w:p w14:paraId="4E83D333" w14:textId="77777777" w:rsidR="00D126E1" w:rsidRPr="00D126E1" w:rsidRDefault="00D126E1" w:rsidP="00D126E1">
      <w:pPr>
        <w:spacing w:after="120" w:line="276" w:lineRule="auto"/>
        <w:ind w:firstLine="708"/>
        <w:jc w:val="both"/>
        <w:rPr>
          <w:rFonts w:ascii="Verdana" w:eastAsia="Aptos" w:hAnsi="Verdana" w:cs="Times New Roman"/>
          <w:kern w:val="2"/>
          <w:lang w:eastAsia="es-CO"/>
          <w14:ligatures w14:val="standardContextual"/>
        </w:rPr>
      </w:pPr>
      <w:r w:rsidRPr="00D126E1">
        <w:rPr>
          <w:rFonts w:ascii="Verdana" w:eastAsia="Aptos" w:hAnsi="Verdana" w:cs="Times New Roman"/>
          <w:kern w:val="2"/>
          <w:lang w:eastAsia="es-CO"/>
          <w14:ligatures w14:val="standardContextual"/>
        </w:rPr>
        <w:t>Teniendo en cuenta la definición de “Casas de refugios”, puede señalarse que estos centros son espacios temporales, dignos, gratuitos y seguros que brinda protección integral a mujeres víctimas de violencia, junto a sus hijos u otras personas dependientes, ofreciendo alojamiento, alimentación, vestimenta, apoyo legal, psicosocial, educativo, ocupacional y espiritual, con el fin de garantizar su seguridad, romper el ciclo de violencia y promover su autonomía y empoderamiento.</w:t>
      </w:r>
    </w:p>
    <w:p w14:paraId="324A2E36" w14:textId="77777777" w:rsidR="00D126E1" w:rsidRPr="00D126E1" w:rsidRDefault="00D126E1" w:rsidP="00D126E1">
      <w:pPr>
        <w:shd w:val="clear" w:color="auto" w:fill="FFFFFF"/>
        <w:spacing w:after="120" w:line="276" w:lineRule="auto"/>
        <w:jc w:val="both"/>
        <w:textAlignment w:val="baseline"/>
        <w:rPr>
          <w:rFonts w:ascii="Verdana" w:eastAsia="Times New Roman" w:hAnsi="Verdana" w:cs="Times New Roman"/>
          <w:color w:val="000000"/>
          <w:lang w:eastAsia="es-CO"/>
        </w:rPr>
      </w:pPr>
      <w:r w:rsidRPr="00D126E1">
        <w:rPr>
          <w:rFonts w:ascii="Verdana" w:eastAsia="Times New Roman" w:hAnsi="Verdana" w:cs="Times New Roman"/>
          <w:color w:val="000000"/>
          <w:lang w:eastAsia="es-CO"/>
        </w:rPr>
        <w:tab/>
        <w:t xml:space="preserve">En este sentido, a partir del marco jurídico señalado, puede afirmarse que las casas de refugio, al formar parte del sistema de protección integral para mujeres víctimas de violencia, constituyen un servicio que el Estado está obligado a prestar para garantizar los derechos de esta población. Así, se requiere una acción positiva por parte del Estado para implementar y financiar medidas como las casas de refugio, lo cual convierte la atención brindada en </w:t>
      </w:r>
      <w:r w:rsidRPr="00D126E1">
        <w:rPr>
          <w:rFonts w:ascii="Verdana" w:eastAsia="Times New Roman" w:hAnsi="Verdana" w:cs="Times New Roman"/>
          <w:color w:val="000000"/>
          <w:lang w:eastAsia="es-CO"/>
        </w:rPr>
        <w:lastRenderedPageBreak/>
        <w:t xml:space="preserve">estos espacios en una política pública bajo responsabilidad de las entidades estatales. </w:t>
      </w:r>
    </w:p>
    <w:p w14:paraId="62DB898F" w14:textId="77777777" w:rsidR="00D126E1" w:rsidRPr="00D126E1" w:rsidRDefault="00D126E1" w:rsidP="00D126E1">
      <w:pPr>
        <w:shd w:val="clear" w:color="auto" w:fill="FFFFFF"/>
        <w:spacing w:after="120" w:line="276" w:lineRule="auto"/>
        <w:ind w:firstLine="708"/>
        <w:jc w:val="both"/>
        <w:textAlignment w:val="baseline"/>
        <w:rPr>
          <w:rFonts w:ascii="Verdana" w:eastAsia="Times New Roman" w:hAnsi="Verdana" w:cs="Times New Roman"/>
          <w:color w:val="000000"/>
          <w:lang w:eastAsia="es-CO"/>
        </w:rPr>
      </w:pPr>
      <w:r w:rsidRPr="00D126E1">
        <w:rPr>
          <w:rFonts w:ascii="Verdana" w:eastAsia="Times New Roman" w:hAnsi="Verdana" w:cs="Times New Roman"/>
          <w:color w:val="000000"/>
          <w:lang w:eastAsia="es-CO"/>
        </w:rPr>
        <w:t xml:space="preserve">Ahora bien, de acuerdo con el artículo 6 de la Ley 2215 del 23 de junio de 2022, la administración de estas casas debe estar a cargo del Gobierno Nacional, los gobiernos departamentales y los entes territoriales, lo que refuerza el carácter de servicio público de las prestaciones ofrecidas en dichos espacios y lo que -eventualmente- podría otorgarles la consideración de edificaciones institucionales de la Administración Pública destinadas a la prestación de servicios público. </w:t>
      </w:r>
    </w:p>
    <w:p w14:paraId="1B3918C8" w14:textId="5DCB10E3" w:rsidR="00D126E1" w:rsidRPr="00D126E1" w:rsidRDefault="00D126E1" w:rsidP="00D126E1">
      <w:pPr>
        <w:spacing w:after="120" w:line="276" w:lineRule="auto"/>
        <w:ind w:firstLine="709"/>
        <w:jc w:val="both"/>
        <w:rPr>
          <w:rFonts w:ascii="Verdana" w:eastAsia="Calibri" w:hAnsi="Verdana" w:cs="Arial"/>
          <w:kern w:val="2"/>
          <w14:ligatures w14:val="standardContextual"/>
        </w:rPr>
      </w:pPr>
      <w:r w:rsidRPr="00D126E1">
        <w:rPr>
          <w:rFonts w:ascii="Verdana" w:eastAsia="Times New Roman" w:hAnsi="Verdana" w:cs="Times New Roman"/>
          <w:color w:val="000000"/>
          <w:lang w:eastAsia="es-CO"/>
        </w:rPr>
        <w:t xml:space="preserve">Considerando los parámetros señalados con anterioridad, </w:t>
      </w:r>
      <w:r w:rsidRPr="00D126E1">
        <w:rPr>
          <w:rFonts w:ascii="Verdana" w:eastAsia="Calibri" w:hAnsi="Verdana" w:cs="Arial"/>
          <w:kern w:val="2"/>
          <w14:ligatures w14:val="standardContextual"/>
        </w:rPr>
        <w:t>los documentos tipo del sector institucional, adoptados por medio de la Resolución 5</w:t>
      </w:r>
      <w:r w:rsidR="7B3CBF00" w:rsidRPr="00D126E1">
        <w:rPr>
          <w:rFonts w:ascii="Verdana" w:eastAsia="Calibri" w:hAnsi="Verdana" w:cs="Arial"/>
          <w:kern w:val="2"/>
          <w14:ligatures w14:val="standardContextual"/>
        </w:rPr>
        <w:t>3</w:t>
      </w:r>
      <w:r w:rsidRPr="00D126E1">
        <w:rPr>
          <w:rFonts w:ascii="Verdana" w:eastAsia="Calibri" w:hAnsi="Verdana" w:cs="Arial"/>
          <w:kern w:val="2"/>
          <w14:ligatures w14:val="standardContextual"/>
        </w:rPr>
        <w:t xml:space="preserve">9 de 2025, eventualmente podrían enmarcarse dentro del objeto del proceso por el que se indaga. Por lo tanto, le corresponde a la entidad que pretende adelantar el proceso de contratación, determinar, de acuerdo con el alcance del servicio que prestará el “Centro de atención para víctimas de violencia contra la mujer”, si este se enmarca dentro de la </w:t>
      </w:r>
      <w:r w:rsidRPr="00D126E1">
        <w:rPr>
          <w:rFonts w:ascii="Verdana" w:eastAsia="Times New Roman" w:hAnsi="Verdana" w:cs="Times New Roman"/>
          <w:color w:val="000000"/>
          <w:lang w:eastAsia="es-CO"/>
        </w:rPr>
        <w:t>Infraestructura de Servicio Público y por lo tanto determinar la aplicación o no del documento tipo señalado.</w:t>
      </w:r>
      <w:r w:rsidRPr="00D126E1">
        <w:rPr>
          <w:rFonts w:ascii="Verdana" w:eastAsia="Calibri" w:hAnsi="Verdana" w:cs="Arial"/>
          <w:kern w:val="2"/>
          <w14:ligatures w14:val="standardContextual"/>
        </w:rPr>
        <w:t xml:space="preserve"> No obstante, los documentos tipo acogidos por medio de la Resolución 539 de 2025, tal como se indicó, aplicaran en los procesos de selección cuyo aviso de convocatoria se publique a partir del 16 de febrero de 2026.</w:t>
      </w:r>
    </w:p>
    <w:bookmarkEnd w:id="1"/>
    <w:p w14:paraId="78785E5C" w14:textId="77777777" w:rsidR="00D126E1" w:rsidRPr="00D126E1" w:rsidRDefault="00D126E1" w:rsidP="00D126E1">
      <w:pPr>
        <w:snapToGrid w:val="0"/>
        <w:spacing w:after="120" w:line="276" w:lineRule="auto"/>
        <w:ind w:firstLine="708"/>
        <w:jc w:val="both"/>
        <w:rPr>
          <w:rFonts w:ascii="Verdana" w:eastAsia="Calibri" w:hAnsi="Verdana" w:cs="Arial"/>
          <w:kern w:val="2"/>
          <w14:ligatures w14:val="standardContextual"/>
        </w:rPr>
      </w:pPr>
      <w:r w:rsidRPr="00D126E1">
        <w:rPr>
          <w:rFonts w:ascii="Verdana" w:eastAsia="Times New Roman" w:hAnsi="Verdana" w:cs="Arial"/>
          <w:kern w:val="2"/>
          <w:shd w:val="clear" w:color="auto" w:fill="FFFFFF"/>
          <w:lang w:val="es-ES_tradnl" w:eastAsia="es-ES_tradnl"/>
          <w14:ligatures w14:val="standardContextual"/>
        </w:rPr>
        <w:t xml:space="preserve">Finalmente,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de experiencia de cada documento tipo, y si en consecuencia deben aplicarse o no determinados documentos tipo, conforme a los parámetros indicados en este concepto. Lo anterior sin que pueda apartarse de su aplicación cuando materialmente el objeto a contratar corresponde con alguna actividad contemplada en dicha matriz. </w:t>
      </w:r>
    </w:p>
    <w:p w14:paraId="02786C11" w14:textId="0CAAA7E0" w:rsidR="00D126E1" w:rsidRPr="00F93171" w:rsidRDefault="00D126E1" w:rsidP="00F93171">
      <w:pPr>
        <w:snapToGrid w:val="0"/>
        <w:spacing w:after="0" w:line="276" w:lineRule="auto"/>
        <w:ind w:firstLine="708"/>
        <w:jc w:val="both"/>
        <w:rPr>
          <w:rFonts w:ascii="Verdana" w:eastAsia="Calibri" w:hAnsi="Verdana" w:cs="Arial"/>
          <w:kern w:val="2"/>
          <w14:ligatures w14:val="standardContextual"/>
        </w:rPr>
      </w:pPr>
      <w:r w:rsidRPr="00D126E1">
        <w:rPr>
          <w:rFonts w:ascii="Verdana" w:eastAsia="Calibri" w:hAnsi="Verdana" w:cs="Times New Roman"/>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D126E1">
        <w:rPr>
          <w:rFonts w:ascii="Verdana" w:eastAsia="Calibri" w:hAnsi="Verdana" w:cs="Times New Roman"/>
          <w:lang w:val="es-ES"/>
        </w:rPr>
        <w:lastRenderedPageBreak/>
        <w:t>el principio de juridicidad. Así, cada entidad definirá la forma de adelantar su gestión contractual, sin que sea atribución de Colombia Compra Eficiente validar sus actuaciones.</w:t>
      </w:r>
    </w:p>
    <w:p w14:paraId="607636B0" w14:textId="77777777" w:rsidR="00F93171" w:rsidRPr="00D126E1" w:rsidRDefault="00F93171" w:rsidP="00D126E1">
      <w:pPr>
        <w:spacing w:after="0" w:line="276" w:lineRule="auto"/>
        <w:jc w:val="both"/>
        <w:rPr>
          <w:rFonts w:ascii="Verdana" w:eastAsia="Calibri" w:hAnsi="Verdana" w:cs="Times New Roman"/>
        </w:rPr>
      </w:pPr>
    </w:p>
    <w:p w14:paraId="60D68085" w14:textId="77777777" w:rsidR="00D126E1" w:rsidRPr="00D126E1" w:rsidRDefault="00D126E1" w:rsidP="00D126E1">
      <w:pPr>
        <w:tabs>
          <w:tab w:val="left" w:pos="142"/>
          <w:tab w:val="left" w:pos="284"/>
        </w:tabs>
        <w:spacing w:after="0" w:line="276" w:lineRule="auto"/>
        <w:jc w:val="both"/>
        <w:rPr>
          <w:rFonts w:ascii="Verdana" w:eastAsia="Century Gothic" w:hAnsi="Verdana" w:cs="Century Gothic"/>
          <w:b/>
          <w:bCs/>
          <w:lang w:val="es-ES_tradnl"/>
        </w:rPr>
      </w:pPr>
      <w:r w:rsidRPr="00D126E1">
        <w:rPr>
          <w:rFonts w:ascii="Verdana" w:eastAsia="Century Gothic" w:hAnsi="Verdana" w:cs="Century Gothic"/>
          <w:b/>
          <w:bCs/>
          <w:lang w:val="es-ES_tradnl"/>
        </w:rPr>
        <w:t>4. Referencias normativas, jurisprudenciales y otras fuentes:</w:t>
      </w:r>
    </w:p>
    <w:p w14:paraId="200D5EF0" w14:textId="77777777" w:rsidR="00D126E1" w:rsidRPr="00D126E1" w:rsidRDefault="00D126E1" w:rsidP="00D126E1">
      <w:pPr>
        <w:spacing w:after="0"/>
        <w:ind w:left="-15840"/>
        <w:jc w:val="both"/>
        <w:rPr>
          <w:rFonts w:ascii="Verdana" w:eastAsia="Calibri" w:hAnsi="Verdana" w:cs="Arial"/>
          <w:b/>
          <w:bCs/>
        </w:rPr>
      </w:pPr>
      <w:r w:rsidRPr="00D126E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126E1" w:rsidRPr="00D126E1" w14:paraId="6A26DBE0" w14:textId="77777777" w:rsidTr="00876EDD">
        <w:trPr>
          <w:trHeight w:val="870"/>
        </w:trPr>
        <w:tc>
          <w:tcPr>
            <w:tcW w:w="8647" w:type="dxa"/>
            <w:tcBorders>
              <w:top w:val="dotted" w:sz="4" w:space="0" w:color="auto"/>
              <w:left w:val="dotted" w:sz="4" w:space="0" w:color="auto"/>
              <w:bottom w:val="dotted" w:sz="4" w:space="0" w:color="auto"/>
              <w:right w:val="dotted" w:sz="4" w:space="0" w:color="auto"/>
            </w:tcBorders>
          </w:tcPr>
          <w:p w14:paraId="3BFFE7E4" w14:textId="77777777" w:rsidR="00D126E1" w:rsidRPr="00D126E1" w:rsidRDefault="00D126E1" w:rsidP="00D126E1">
            <w:pPr>
              <w:ind w:left="720"/>
              <w:contextualSpacing/>
              <w:jc w:val="both"/>
              <w:rPr>
                <w:rFonts w:ascii="Verdana" w:eastAsia="Calibri" w:hAnsi="Verdana" w:cs="Arial"/>
                <w:bCs/>
              </w:rPr>
            </w:pPr>
          </w:p>
          <w:p w14:paraId="636FF356" w14:textId="77777777" w:rsidR="00D126E1" w:rsidRPr="00D126E1" w:rsidRDefault="00D126E1" w:rsidP="00D126E1">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D126E1">
              <w:rPr>
                <w:rFonts w:ascii="Verdana" w:eastAsia="Calibri" w:hAnsi="Verdana" w:cs="Arial"/>
                <w:lang w:val="es-ES_tradnl"/>
              </w:rPr>
              <w:t xml:space="preserve">Ley 2022 de 2020, artículo 1. </w:t>
            </w:r>
          </w:p>
          <w:p w14:paraId="58D71E74" w14:textId="77777777" w:rsidR="00D126E1" w:rsidRPr="00D126E1" w:rsidRDefault="00D126E1" w:rsidP="00D126E1">
            <w:pPr>
              <w:widowControl w:val="0"/>
              <w:numPr>
                <w:ilvl w:val="0"/>
                <w:numId w:val="16"/>
              </w:numPr>
              <w:autoSpaceDE w:val="0"/>
              <w:autoSpaceDN w:val="0"/>
              <w:spacing w:line="276" w:lineRule="auto"/>
              <w:jc w:val="both"/>
              <w:rPr>
                <w:rFonts w:ascii="Verdana" w:eastAsia="Calibri" w:hAnsi="Verdana" w:cs="Arial"/>
              </w:rPr>
            </w:pPr>
            <w:r w:rsidRPr="00D126E1">
              <w:rPr>
                <w:rFonts w:ascii="Verdana" w:eastAsia="Calibri" w:hAnsi="Verdana" w:cs="Arial"/>
              </w:rPr>
              <w:t>Ley 1150 de 2007, artículo 2.</w:t>
            </w:r>
          </w:p>
          <w:p w14:paraId="4FB83DC7" w14:textId="77777777" w:rsidR="00D126E1" w:rsidRPr="00D126E1" w:rsidRDefault="00D126E1" w:rsidP="00D126E1">
            <w:pPr>
              <w:widowControl w:val="0"/>
              <w:numPr>
                <w:ilvl w:val="0"/>
                <w:numId w:val="16"/>
              </w:numPr>
              <w:autoSpaceDE w:val="0"/>
              <w:autoSpaceDN w:val="0"/>
              <w:spacing w:line="276" w:lineRule="auto"/>
              <w:contextualSpacing/>
              <w:jc w:val="both"/>
              <w:rPr>
                <w:rFonts w:ascii="Verdana" w:eastAsia="Calibri" w:hAnsi="Verdana" w:cs="Arial"/>
              </w:rPr>
            </w:pPr>
            <w:r w:rsidRPr="00D126E1">
              <w:rPr>
                <w:rFonts w:ascii="Verdana" w:eastAsia="Calibri" w:hAnsi="Verdana" w:cs="Arial"/>
                <w:lang w:val="es-ES_tradnl"/>
              </w:rPr>
              <w:t xml:space="preserve">Documentos Tipo. Disponibles en: </w:t>
            </w:r>
            <w:hyperlink r:id="rId11" w:history="1">
              <w:r w:rsidRPr="00D126E1">
                <w:rPr>
                  <w:rFonts w:ascii="Verdana" w:eastAsia="Calibri" w:hAnsi="Verdana" w:cs="Arial"/>
                  <w:color w:val="0000FF"/>
                  <w:u w:val="single"/>
                  <w:lang w:val="es-ES_tradnl"/>
                </w:rPr>
                <w:t>https://www.colombiacompra.gov.co/documentos-tipo/documentos-tipo</w:t>
              </w:r>
            </w:hyperlink>
            <w:r w:rsidRPr="00D126E1">
              <w:rPr>
                <w:rFonts w:ascii="Verdana" w:eastAsia="Calibri" w:hAnsi="Verdana" w:cs="Arial"/>
                <w:lang w:val="es-ES_tradnl"/>
              </w:rPr>
              <w:t>.</w:t>
            </w:r>
          </w:p>
        </w:tc>
      </w:tr>
    </w:tbl>
    <w:p w14:paraId="6FCDFF62" w14:textId="77777777" w:rsidR="00D126E1" w:rsidRPr="00D126E1" w:rsidRDefault="00D126E1" w:rsidP="00D126E1">
      <w:pPr>
        <w:tabs>
          <w:tab w:val="left" w:pos="142"/>
          <w:tab w:val="left" w:pos="284"/>
        </w:tabs>
        <w:spacing w:after="0" w:line="276" w:lineRule="auto"/>
        <w:jc w:val="both"/>
        <w:rPr>
          <w:rFonts w:ascii="Verdana" w:eastAsia="Calibri" w:hAnsi="Verdana" w:cs="Arial"/>
        </w:rPr>
      </w:pPr>
    </w:p>
    <w:p w14:paraId="4CCB38BA" w14:textId="77777777" w:rsidR="00D126E1" w:rsidRPr="00D126E1" w:rsidRDefault="00D126E1" w:rsidP="00D126E1">
      <w:pPr>
        <w:tabs>
          <w:tab w:val="left" w:pos="142"/>
          <w:tab w:val="left" w:pos="284"/>
        </w:tabs>
        <w:spacing w:after="0" w:line="276" w:lineRule="auto"/>
        <w:jc w:val="both"/>
        <w:rPr>
          <w:rFonts w:ascii="Verdana" w:eastAsia="Century Gothic" w:hAnsi="Verdana" w:cs="Century Gothic"/>
          <w:b/>
          <w:bCs/>
          <w:lang w:val="es-ES"/>
        </w:rPr>
      </w:pPr>
      <w:r w:rsidRPr="00D126E1">
        <w:rPr>
          <w:rFonts w:ascii="Verdana" w:eastAsia="Calibri" w:hAnsi="Verdana" w:cs="Arial"/>
          <w:b/>
          <w:bCs/>
        </w:rPr>
        <w:t>5</w:t>
      </w:r>
      <w:r w:rsidRPr="00D126E1">
        <w:rPr>
          <w:rFonts w:ascii="Verdana" w:eastAsia="Calibri" w:hAnsi="Verdana" w:cs="Arial"/>
        </w:rPr>
        <w:t>.</w:t>
      </w:r>
      <w:r w:rsidRPr="00D126E1">
        <w:rPr>
          <w:rFonts w:ascii="Verdana" w:eastAsia="Century Gothic" w:hAnsi="Verdana" w:cs="Century Gothic"/>
          <w:b/>
          <w:bCs/>
          <w:lang w:val="es-ES"/>
        </w:rPr>
        <w:t>Doctrina de la Agencia Nacional de Contratación Pública:</w:t>
      </w:r>
    </w:p>
    <w:p w14:paraId="2B4C2797" w14:textId="77777777" w:rsidR="00D126E1" w:rsidRPr="00D126E1" w:rsidRDefault="00D126E1" w:rsidP="00D126E1">
      <w:pPr>
        <w:widowControl w:val="0"/>
        <w:autoSpaceDE w:val="0"/>
        <w:autoSpaceDN w:val="0"/>
        <w:spacing w:after="0" w:line="276" w:lineRule="auto"/>
        <w:jc w:val="both"/>
        <w:rPr>
          <w:rFonts w:ascii="Verdana" w:eastAsia="Calibri" w:hAnsi="Verdana" w:cs="Arial"/>
        </w:rPr>
      </w:pPr>
    </w:p>
    <w:p w14:paraId="2397948A" w14:textId="77777777" w:rsidR="00D126E1" w:rsidRPr="00D126E1" w:rsidRDefault="00D126E1" w:rsidP="00D126E1">
      <w:pPr>
        <w:spacing w:after="0" w:line="276" w:lineRule="auto"/>
        <w:jc w:val="both"/>
        <w:rPr>
          <w:rFonts w:ascii="Verdana" w:eastAsia="Calibri" w:hAnsi="Verdana" w:cs="Arial"/>
          <w:lang w:val="es-ES"/>
        </w:rPr>
      </w:pPr>
      <w:r w:rsidRPr="00D126E1">
        <w:rPr>
          <w:rFonts w:ascii="Verdana" w:eastAsia="Calibri" w:hAnsi="Verdana" w:cs="Arial"/>
          <w:shd w:val="clear" w:color="auto" w:fill="FFFFFF"/>
          <w:lang w:val="es-ES"/>
        </w:rPr>
        <w:t>La Agencia Nacional de Contratación Pública – Colombia Compra Eficiente se pronunció</w:t>
      </w:r>
      <w:r w:rsidRPr="00D126E1">
        <w:rPr>
          <w:rFonts w:ascii="Verdana" w:eastAsia="Calibri" w:hAnsi="Verdana" w:cs="Times New Roman"/>
        </w:rPr>
        <w:t xml:space="preserve"> </w:t>
      </w:r>
      <w:r w:rsidRPr="00D126E1">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D126E1">
        <w:rPr>
          <w:rFonts w:ascii="Verdana" w:eastAsia="Calibri" w:hAnsi="Verdana" w:cs="Arial"/>
          <w:shd w:val="clear" w:color="auto" w:fill="FFFFFF"/>
          <w:lang w:val="es-ES"/>
        </w:rPr>
        <w:tab/>
        <w:t xml:space="preserve">C-636 del 1 de noviembre de 2024, C-777 del 9 de diciembre de 2024, C-971 del 21 de enero de 2025, entre otros. </w:t>
      </w:r>
    </w:p>
    <w:p w14:paraId="092A2CF5" w14:textId="77777777" w:rsidR="00D126E1" w:rsidRPr="00D126E1" w:rsidRDefault="00D126E1" w:rsidP="00D126E1">
      <w:pPr>
        <w:spacing w:after="0" w:line="276" w:lineRule="auto"/>
        <w:jc w:val="both"/>
        <w:rPr>
          <w:rFonts w:ascii="Verdana" w:eastAsia="Times New Roman" w:hAnsi="Verdana" w:cs="Arial"/>
          <w:shd w:val="clear" w:color="auto" w:fill="FFFFFF"/>
          <w:lang w:val="es-ES"/>
        </w:rPr>
      </w:pPr>
    </w:p>
    <w:p w14:paraId="320B56AC" w14:textId="77777777" w:rsidR="00D126E1" w:rsidRPr="00D126E1" w:rsidRDefault="00D126E1" w:rsidP="00D126E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D126E1">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D126E1">
        <w:rPr>
          <w:rFonts w:ascii="Verdana" w:eastAsia="Aptos" w:hAnsi="Verdana" w:cs="Times New Roman"/>
          <w:kern w:val="2"/>
          <w14:ligatures w14:val="standardContextual"/>
        </w:rPr>
        <w:t xml:space="preserve"> </w:t>
      </w:r>
      <w:r w:rsidRPr="00D126E1">
        <w:rPr>
          <w:rFonts w:ascii="Verdana" w:eastAsia="Calibri" w:hAnsi="Verdana" w:cs="Arial"/>
          <w:kern w:val="2"/>
          <w:shd w:val="clear" w:color="auto" w:fill="FFFFFF"/>
          <w:lang w:val="es-ES_tradnl"/>
          <w14:ligatures w14:val="standardContextual"/>
        </w:rPr>
        <w:t>pronunció</w:t>
      </w:r>
      <w:r w:rsidRPr="00D126E1">
        <w:rPr>
          <w:rFonts w:ascii="Verdana" w:eastAsia="Aptos" w:hAnsi="Verdana" w:cs="Times New Roman"/>
          <w:kern w:val="2"/>
          <w:lang w:val="es-ES_tradnl"/>
          <w14:ligatures w14:val="standardContextual"/>
        </w:rPr>
        <w:t xml:space="preserve"> </w:t>
      </w:r>
      <w:r w:rsidRPr="00D126E1">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w:t>
      </w:r>
      <w:r w:rsidRPr="00D126E1">
        <w:rPr>
          <w:rFonts w:ascii="Verdana" w:eastAsia="Calibri" w:hAnsi="Verdana" w:cs="Arial"/>
          <w:kern w:val="2"/>
          <w:shd w:val="clear" w:color="auto" w:fill="FFFFFF"/>
          <w:lang w:val="es-ES"/>
          <w14:ligatures w14:val="standardContextual"/>
        </w:rPr>
        <w:lastRenderedPageBreak/>
        <w:t xml:space="preserve">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y </w:t>
      </w:r>
      <w:r w:rsidRPr="00D126E1">
        <w:rPr>
          <w:rFonts w:ascii="Verdana" w:eastAsia="Calibri" w:hAnsi="Verdana" w:cs="Arial"/>
          <w:shd w:val="clear" w:color="auto" w:fill="FFFFFF"/>
          <w:lang w:val="es-ES"/>
        </w:rPr>
        <w:t xml:space="preserve">C-854 del 4 de agosto de 2025, </w:t>
      </w:r>
      <w:r w:rsidRPr="00D126E1">
        <w:rPr>
          <w:rFonts w:ascii="Verdana" w:eastAsia="Calibri" w:hAnsi="Verdana" w:cs="Arial"/>
          <w:kern w:val="2"/>
          <w:shd w:val="clear" w:color="auto" w:fill="FFFFFF"/>
          <w:lang w:val="es-ES"/>
          <w14:ligatures w14:val="standardContextual"/>
        </w:rPr>
        <w:t>entre otros</w:t>
      </w:r>
      <w:r w:rsidRPr="00D126E1">
        <w:rPr>
          <w:rFonts w:ascii="Verdana" w:eastAsia="Calibri" w:hAnsi="Verdana" w:cs="Arial"/>
          <w:kern w:val="2"/>
          <w:shd w:val="clear" w:color="auto" w:fill="FFFFFF"/>
          <w:lang w:val="es-ES_tradnl"/>
          <w14:ligatures w14:val="standardContextual"/>
        </w:rPr>
        <w:t xml:space="preserve">. </w:t>
      </w:r>
      <w:r w:rsidRPr="00D126E1">
        <w:rPr>
          <w:rFonts w:ascii="Verdana" w:eastAsia="Aptos" w:hAnsi="Verdana" w:cs="Times New Roman"/>
          <w:kern w:val="2"/>
          <w:lang w:val="es-ES_tradnl"/>
          <w14:ligatures w14:val="standardContextual"/>
        </w:rPr>
        <w:t xml:space="preserve"> </w:t>
      </w:r>
    </w:p>
    <w:p w14:paraId="7808C9A4" w14:textId="77777777" w:rsidR="00D126E1" w:rsidRPr="00D126E1" w:rsidRDefault="00D126E1" w:rsidP="00D126E1">
      <w:pPr>
        <w:widowControl w:val="0"/>
        <w:autoSpaceDE w:val="0"/>
        <w:autoSpaceDN w:val="0"/>
        <w:spacing w:after="0" w:line="276" w:lineRule="auto"/>
        <w:jc w:val="both"/>
        <w:rPr>
          <w:rFonts w:ascii="Verdana" w:eastAsia="Times New Roman" w:hAnsi="Verdana" w:cs="Arial"/>
          <w:shd w:val="clear" w:color="auto" w:fill="FFFFFF"/>
          <w:lang w:val="es-ES"/>
        </w:rPr>
      </w:pPr>
    </w:p>
    <w:p w14:paraId="042C8B86" w14:textId="77777777" w:rsidR="00D126E1" w:rsidRPr="00D126E1" w:rsidRDefault="00D126E1" w:rsidP="00D126E1">
      <w:pPr>
        <w:widowControl w:val="0"/>
        <w:autoSpaceDE w:val="0"/>
        <w:autoSpaceDN w:val="0"/>
        <w:spacing w:after="0" w:line="276" w:lineRule="auto"/>
        <w:jc w:val="both"/>
        <w:rPr>
          <w:rFonts w:ascii="Verdana" w:eastAsia="Times New Roman" w:hAnsi="Verdana" w:cs="Arial"/>
          <w:shd w:val="clear" w:color="auto" w:fill="FFFFFF"/>
          <w:lang w:val="es-ES"/>
        </w:rPr>
      </w:pPr>
      <w:r w:rsidRPr="00D126E1">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D126E1">
          <w:rPr>
            <w:rFonts w:ascii="Verdana" w:eastAsia="Calibri" w:hAnsi="Verdana" w:cs="Arial"/>
            <w:color w:val="000000"/>
            <w:u w:val="single"/>
            <w:shd w:val="clear" w:color="auto" w:fill="FFFFFF"/>
          </w:rPr>
          <w:t>https://relatoria.colombiacompra.gov.co/</w:t>
        </w:r>
      </w:hyperlink>
      <w:r w:rsidRPr="00D126E1">
        <w:rPr>
          <w:rFonts w:ascii="Verdana" w:eastAsia="Calibri" w:hAnsi="Verdana" w:cs="Arial"/>
          <w:color w:val="000000"/>
          <w:shd w:val="clear" w:color="auto" w:fill="FFFFFF"/>
        </w:rPr>
        <w:t> .</w:t>
      </w:r>
    </w:p>
    <w:p w14:paraId="3BF1395F" w14:textId="77777777" w:rsidR="00D126E1" w:rsidRPr="00D126E1" w:rsidRDefault="00D126E1" w:rsidP="00D126E1">
      <w:pPr>
        <w:spacing w:after="0" w:line="240" w:lineRule="auto"/>
        <w:jc w:val="both"/>
        <w:rPr>
          <w:rFonts w:ascii="Verdana" w:eastAsia="Calibri" w:hAnsi="Verdana" w:cs="Arial"/>
          <w:color w:val="000000"/>
          <w:shd w:val="clear" w:color="auto" w:fill="FFFFFF"/>
        </w:rPr>
      </w:pPr>
    </w:p>
    <w:bookmarkEnd w:id="0"/>
    <w:p w14:paraId="3032B300" w14:textId="77777777" w:rsidR="00D126E1" w:rsidRPr="00D126E1" w:rsidRDefault="00D126E1" w:rsidP="00D126E1">
      <w:pPr>
        <w:spacing w:after="0" w:line="240" w:lineRule="auto"/>
        <w:jc w:val="both"/>
        <w:rPr>
          <w:rFonts w:ascii="Verdana" w:eastAsia="Calibri" w:hAnsi="Verdana" w:cs="Arial"/>
          <w:color w:val="000000"/>
          <w:kern w:val="2"/>
          <w:shd w:val="clear" w:color="auto" w:fill="FFFFFF"/>
          <w14:ligatures w14:val="standardContextual"/>
        </w:rPr>
      </w:pPr>
      <w:r w:rsidRPr="00D126E1">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D126E1">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D126E1">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126E1">
        <w:rPr>
          <w:rFonts w:ascii="Verdana" w:eastAsia="Calibri" w:hAnsi="Verdana" w:cs="Arial"/>
          <w:color w:val="000000"/>
          <w:kern w:val="2"/>
          <w:shd w:val="clear" w:color="auto" w:fill="FFFFFF"/>
          <w14:ligatures w14:val="standardContextual"/>
        </w:rPr>
        <w:t>Wayúu</w:t>
      </w:r>
      <w:proofErr w:type="spellEnd"/>
      <w:r w:rsidRPr="00D126E1">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D126E1">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D126E1">
        <w:rPr>
          <w:rFonts w:ascii="Verdana" w:eastAsia="Calibri" w:hAnsi="Verdana" w:cs="Arial"/>
          <w:color w:val="000000"/>
          <w:kern w:val="2"/>
          <w:u w:val="single"/>
          <w:shd w:val="clear" w:color="auto" w:fill="FFFFFF"/>
          <w14:ligatures w14:val="standardContextual"/>
        </w:rPr>
        <w:t>"</w:t>
      </w:r>
    </w:p>
    <w:p w14:paraId="2409D766" w14:textId="77777777" w:rsidR="00D126E1" w:rsidRPr="00D126E1" w:rsidRDefault="00D126E1" w:rsidP="00D126E1">
      <w:pPr>
        <w:spacing w:after="0" w:line="278" w:lineRule="auto"/>
        <w:jc w:val="both"/>
        <w:rPr>
          <w:rFonts w:ascii="Verdana" w:eastAsia="Aptos" w:hAnsi="Verdana" w:cs="Times New Roman"/>
          <w:color w:val="212121"/>
          <w:kern w:val="2"/>
          <w:sz w:val="24"/>
          <w:szCs w:val="24"/>
          <w14:ligatures w14:val="standardContextual"/>
        </w:rPr>
      </w:pPr>
    </w:p>
    <w:p w14:paraId="28993A13" w14:textId="77777777" w:rsidR="00D126E1" w:rsidRPr="00D126E1" w:rsidRDefault="00D126E1" w:rsidP="00D126E1">
      <w:pPr>
        <w:spacing w:after="0" w:line="240" w:lineRule="auto"/>
        <w:jc w:val="both"/>
        <w:rPr>
          <w:rFonts w:ascii="Verdana" w:eastAsia="Calibri" w:hAnsi="Verdana" w:cs="Times New Roman"/>
          <w:kern w:val="2"/>
          <w14:ligatures w14:val="standardContextual"/>
        </w:rPr>
      </w:pPr>
      <w:r w:rsidRPr="00D126E1">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955B276" w14:textId="77777777" w:rsidR="00D126E1" w:rsidRPr="00D126E1" w:rsidRDefault="00D126E1" w:rsidP="00D126E1">
      <w:pPr>
        <w:spacing w:after="0" w:line="240" w:lineRule="auto"/>
        <w:jc w:val="both"/>
        <w:rPr>
          <w:rFonts w:ascii="Verdana" w:eastAsia="Aptos" w:hAnsi="Verdana" w:cs="Times New Roman"/>
          <w:kern w:val="2"/>
          <w14:ligatures w14:val="standardContextual"/>
        </w:rPr>
      </w:pPr>
    </w:p>
    <w:p w14:paraId="07AC1E41" w14:textId="77777777" w:rsidR="00D126E1" w:rsidRPr="00D126E1" w:rsidRDefault="00D126E1" w:rsidP="00D126E1">
      <w:pPr>
        <w:spacing w:after="0" w:line="240" w:lineRule="auto"/>
        <w:jc w:val="both"/>
        <w:rPr>
          <w:rFonts w:ascii="Verdana" w:eastAsia="Aptos" w:hAnsi="Verdana" w:cs="Times New Roman"/>
          <w:kern w:val="2"/>
          <w14:ligatures w14:val="standardContextual"/>
        </w:rPr>
      </w:pPr>
      <w:r w:rsidRPr="00D126E1">
        <w:rPr>
          <w:rFonts w:ascii="Verdana" w:eastAsia="Aptos" w:hAnsi="Verdana" w:cs="Times New Roman"/>
          <w:kern w:val="2"/>
          <w14:ligatures w14:val="standardContextual"/>
        </w:rPr>
        <w:t xml:space="preserve">Twitter: </w:t>
      </w:r>
      <w:r w:rsidRPr="00D126E1">
        <w:rPr>
          <w:rFonts w:ascii="Verdana" w:eastAsia="Calibri" w:hAnsi="Verdana" w:cs="Times New Roman"/>
          <w:color w:val="156082"/>
          <w:kern w:val="2"/>
          <w:u w:val="single"/>
          <w14:ligatures w14:val="standardContextual"/>
        </w:rPr>
        <w:t>@colombiacompra</w:t>
      </w:r>
      <w:r w:rsidRPr="00D126E1">
        <w:rPr>
          <w:rFonts w:ascii="Verdana" w:eastAsia="Calibri" w:hAnsi="Verdana" w:cs="Times New Roman"/>
          <w:color w:val="156082"/>
          <w:kern w:val="2"/>
          <w14:ligatures w14:val="standardContextual"/>
        </w:rPr>
        <w:t xml:space="preserve"> </w:t>
      </w:r>
    </w:p>
    <w:p w14:paraId="71115EBB" w14:textId="77777777" w:rsidR="00D126E1" w:rsidRPr="00D126E1" w:rsidRDefault="00D126E1" w:rsidP="00D126E1">
      <w:pPr>
        <w:spacing w:after="0" w:line="240" w:lineRule="auto"/>
        <w:jc w:val="both"/>
        <w:rPr>
          <w:rFonts w:ascii="Verdana" w:eastAsia="Aptos" w:hAnsi="Verdana" w:cs="Times New Roman"/>
          <w:kern w:val="2"/>
          <w14:ligatures w14:val="standardContextual"/>
        </w:rPr>
      </w:pPr>
      <w:r w:rsidRPr="00D126E1">
        <w:rPr>
          <w:rFonts w:ascii="Verdana" w:eastAsia="Aptos" w:hAnsi="Verdana" w:cs="Times New Roman"/>
          <w:kern w:val="2"/>
          <w14:ligatures w14:val="standardContextual"/>
        </w:rPr>
        <w:t xml:space="preserve">Facebook: </w:t>
      </w:r>
      <w:proofErr w:type="spellStart"/>
      <w:r w:rsidRPr="00D126E1">
        <w:rPr>
          <w:rFonts w:ascii="Verdana" w:eastAsia="Calibri" w:hAnsi="Verdana" w:cs="Times New Roman"/>
          <w:color w:val="156082"/>
          <w:kern w:val="2"/>
          <w:u w:val="single"/>
          <w14:ligatures w14:val="standardContextual"/>
        </w:rPr>
        <w:t>ColombiaCompraEficiente</w:t>
      </w:r>
      <w:proofErr w:type="spellEnd"/>
    </w:p>
    <w:p w14:paraId="426C11D6" w14:textId="77777777" w:rsidR="00D126E1" w:rsidRPr="00D126E1" w:rsidRDefault="00D126E1" w:rsidP="00D126E1">
      <w:pPr>
        <w:spacing w:after="0" w:line="240" w:lineRule="auto"/>
        <w:jc w:val="both"/>
        <w:rPr>
          <w:rFonts w:ascii="Verdana" w:eastAsia="Aptos" w:hAnsi="Verdana" w:cs="Times New Roman"/>
          <w:kern w:val="2"/>
          <w14:ligatures w14:val="standardContextual"/>
        </w:rPr>
      </w:pPr>
      <w:r w:rsidRPr="00D126E1">
        <w:rPr>
          <w:rFonts w:ascii="Verdana" w:eastAsia="Aptos" w:hAnsi="Verdana" w:cs="Times New Roman"/>
          <w:kern w:val="2"/>
          <w14:ligatures w14:val="standardContextual"/>
        </w:rPr>
        <w:t xml:space="preserve">LinkedIn: </w:t>
      </w:r>
      <w:r w:rsidRPr="00D126E1">
        <w:rPr>
          <w:rFonts w:ascii="Verdana" w:eastAsia="Calibri" w:hAnsi="Verdana" w:cs="Times New Roman"/>
          <w:color w:val="156082"/>
          <w:kern w:val="2"/>
          <w:u w:val="single"/>
          <w14:ligatures w14:val="standardContextual"/>
        </w:rPr>
        <w:t>Agencia Nacional de Contratación Pública - Colombia Compra Eficiente</w:t>
      </w:r>
      <w:r w:rsidRPr="00D126E1">
        <w:rPr>
          <w:rFonts w:ascii="Verdana" w:eastAsia="Calibri" w:hAnsi="Verdana" w:cs="Times New Roman"/>
          <w:color w:val="156082"/>
          <w:kern w:val="2"/>
          <w14:ligatures w14:val="standardContextual"/>
        </w:rPr>
        <w:t xml:space="preserve"> </w:t>
      </w:r>
      <w:r w:rsidRPr="00D126E1">
        <w:rPr>
          <w:rFonts w:ascii="Verdana" w:eastAsia="Aptos" w:hAnsi="Verdana" w:cs="Times New Roman"/>
          <w:kern w:val="2"/>
          <w14:ligatures w14:val="standardContextual"/>
        </w:rPr>
        <w:t xml:space="preserve">Instagram: </w:t>
      </w:r>
      <w:r w:rsidRPr="00D126E1">
        <w:rPr>
          <w:rFonts w:ascii="Verdana" w:eastAsia="Calibri" w:hAnsi="Verdana" w:cs="Times New Roman"/>
          <w:color w:val="156082"/>
          <w:kern w:val="2"/>
          <w:u w:val="single"/>
          <w14:ligatures w14:val="standardContextual"/>
        </w:rPr>
        <w:t>@colombiacompraeficiente_cce</w:t>
      </w:r>
    </w:p>
    <w:p w14:paraId="46F519C8" w14:textId="77777777" w:rsidR="00D126E1" w:rsidRPr="00D126E1" w:rsidRDefault="00D126E1" w:rsidP="00D126E1">
      <w:pPr>
        <w:spacing w:after="0" w:line="276" w:lineRule="auto"/>
        <w:jc w:val="both"/>
        <w:rPr>
          <w:rFonts w:ascii="Verdana" w:eastAsia="Aptos" w:hAnsi="Verdana" w:cs="Times New Roman"/>
          <w:kern w:val="2"/>
          <w14:ligatures w14:val="standardContextual"/>
        </w:rPr>
      </w:pPr>
    </w:p>
    <w:p w14:paraId="43EADBBB" w14:textId="77777777" w:rsidR="00D126E1" w:rsidRPr="00D126E1" w:rsidRDefault="00D126E1" w:rsidP="00D126E1">
      <w:pPr>
        <w:spacing w:after="0" w:line="276" w:lineRule="auto"/>
        <w:jc w:val="both"/>
        <w:rPr>
          <w:rFonts w:ascii="Verdana" w:eastAsia="Calibri" w:hAnsi="Verdana" w:cs="Times New Roman"/>
          <w:bCs/>
          <w:kern w:val="2"/>
          <w:lang w:val="es-ES_tradnl"/>
          <w14:ligatures w14:val="standardContextual"/>
        </w:rPr>
      </w:pPr>
      <w:r w:rsidRPr="00D126E1">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3FC791D" w14:textId="77777777" w:rsidR="00D126E1" w:rsidRPr="00D126E1" w:rsidRDefault="00D126E1" w:rsidP="00D126E1">
      <w:pPr>
        <w:spacing w:after="0" w:line="276" w:lineRule="auto"/>
        <w:jc w:val="both"/>
        <w:rPr>
          <w:rFonts w:ascii="Verdana" w:eastAsia="Calibri" w:hAnsi="Verdana" w:cs="Times New Roman"/>
          <w:kern w:val="2"/>
          <w14:ligatures w14:val="standardContextual"/>
        </w:rPr>
      </w:pPr>
    </w:p>
    <w:p w14:paraId="27BF21C2" w14:textId="77777777" w:rsidR="00D126E1" w:rsidRPr="00D126E1" w:rsidRDefault="00D126E1" w:rsidP="00D126E1">
      <w:pPr>
        <w:spacing w:after="0" w:line="276" w:lineRule="auto"/>
        <w:jc w:val="both"/>
        <w:rPr>
          <w:rFonts w:ascii="Verdana" w:eastAsia="Calibri" w:hAnsi="Verdana" w:cs="Times New Roman"/>
          <w:kern w:val="2"/>
          <w14:ligatures w14:val="standardContextual"/>
        </w:rPr>
      </w:pPr>
      <w:r w:rsidRPr="00D126E1">
        <w:rPr>
          <w:rFonts w:ascii="Verdana" w:eastAsia="Calibri" w:hAnsi="Verdana" w:cs="Times New Roman"/>
          <w:kern w:val="2"/>
          <w14:ligatures w14:val="standardContextual"/>
        </w:rPr>
        <w:t>Atentamente,</w:t>
      </w:r>
    </w:p>
    <w:p w14:paraId="6A7EC93E" w14:textId="3C6A142D" w:rsidR="00D126E1" w:rsidRPr="00D126E1" w:rsidRDefault="00424062" w:rsidP="00D126E1">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4C94E208" wp14:editId="06B02507">
            <wp:extent cx="2314855" cy="993781"/>
            <wp:effectExtent l="0" t="0" r="952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323610" cy="99754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126E1" w:rsidRPr="00D126E1" w14:paraId="77884EE5" w14:textId="77777777" w:rsidTr="00876EDD">
        <w:trPr>
          <w:trHeight w:val="315"/>
        </w:trPr>
        <w:tc>
          <w:tcPr>
            <w:tcW w:w="893" w:type="dxa"/>
            <w:vAlign w:val="center"/>
            <w:hideMark/>
          </w:tcPr>
          <w:p w14:paraId="1CFB5174"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70708144" w14:textId="525CE40E" w:rsidR="00D126E1" w:rsidRPr="00D126E1" w:rsidRDefault="00D126E1" w:rsidP="00D126E1">
            <w:pPr>
              <w:rPr>
                <w:rFonts w:ascii="Verdana" w:eastAsia="Arial" w:hAnsi="Verdana" w:cs="Arial"/>
                <w:sz w:val="16"/>
                <w:szCs w:val="16"/>
              </w:rPr>
            </w:pPr>
            <w:r w:rsidRPr="00D126E1">
              <w:rPr>
                <w:rFonts w:ascii="Verdana" w:eastAsia="Arial" w:hAnsi="Verdana" w:cs="Arial"/>
                <w:sz w:val="16"/>
                <w:szCs w:val="16"/>
              </w:rPr>
              <w:t xml:space="preserve">Carlos Mario </w:t>
            </w:r>
            <w:r w:rsidR="00CF58E6" w:rsidRPr="00D126E1">
              <w:rPr>
                <w:rFonts w:ascii="Verdana" w:eastAsia="Arial" w:hAnsi="Verdana" w:cs="Arial"/>
                <w:sz w:val="16"/>
                <w:szCs w:val="16"/>
              </w:rPr>
              <w:t>Castrillón</w:t>
            </w:r>
            <w:r w:rsidRPr="00D126E1">
              <w:rPr>
                <w:rFonts w:ascii="Verdana" w:eastAsia="Arial" w:hAnsi="Verdana" w:cs="Arial"/>
                <w:sz w:val="16"/>
                <w:szCs w:val="16"/>
              </w:rPr>
              <w:t xml:space="preserve"> Endo </w:t>
            </w:r>
          </w:p>
          <w:p w14:paraId="271BFB66" w14:textId="77777777" w:rsidR="00D126E1" w:rsidRPr="00D126E1" w:rsidRDefault="00D126E1" w:rsidP="00D126E1">
            <w:pPr>
              <w:rPr>
                <w:rFonts w:ascii="Verdana" w:eastAsia="Arial" w:hAnsi="Verdana" w:cs="Arial"/>
                <w:sz w:val="16"/>
                <w:szCs w:val="16"/>
              </w:rPr>
            </w:pPr>
            <w:r w:rsidRPr="00D126E1">
              <w:rPr>
                <w:rFonts w:ascii="Verdana" w:eastAsia="Arial" w:hAnsi="Verdana" w:cs="Arial"/>
                <w:sz w:val="16"/>
                <w:szCs w:val="16"/>
              </w:rPr>
              <w:t>Contratista de la Subdirección de Gestión Contractual</w:t>
            </w:r>
          </w:p>
        </w:tc>
      </w:tr>
      <w:tr w:rsidR="00D126E1" w:rsidRPr="00D126E1" w14:paraId="74A9C02A" w14:textId="77777777" w:rsidTr="00876EDD">
        <w:trPr>
          <w:trHeight w:val="330"/>
        </w:trPr>
        <w:tc>
          <w:tcPr>
            <w:tcW w:w="893" w:type="dxa"/>
            <w:vAlign w:val="center"/>
            <w:hideMark/>
          </w:tcPr>
          <w:p w14:paraId="43479509"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C2D5F33" w14:textId="77777777" w:rsidR="00D126E1" w:rsidRPr="00D126E1" w:rsidRDefault="00D126E1" w:rsidP="00D126E1">
            <w:pPr>
              <w:rPr>
                <w:rFonts w:ascii="Verdana" w:eastAsia="Times New Roman" w:hAnsi="Verdana" w:cs="Segoe UI"/>
                <w:sz w:val="16"/>
                <w:szCs w:val="16"/>
                <w:lang w:eastAsia="es-ES_tradnl"/>
              </w:rPr>
            </w:pPr>
            <w:r w:rsidRPr="00D126E1">
              <w:rPr>
                <w:rFonts w:ascii="Verdana" w:eastAsia="Times New Roman" w:hAnsi="Verdana" w:cs="Segoe UI"/>
                <w:sz w:val="16"/>
                <w:szCs w:val="16"/>
                <w:lang w:eastAsia="es-ES_tradnl"/>
              </w:rPr>
              <w:t>Alexandra Rodríguez Motta</w:t>
            </w:r>
          </w:p>
          <w:p w14:paraId="63A9F4B4" w14:textId="77777777" w:rsidR="00D126E1" w:rsidRPr="00D126E1" w:rsidRDefault="00D126E1" w:rsidP="00D126E1">
            <w:pPr>
              <w:rPr>
                <w:rFonts w:ascii="Verdana" w:eastAsia="Times New Roman" w:hAnsi="Verdana" w:cs="Segoe UI"/>
                <w:sz w:val="16"/>
                <w:szCs w:val="16"/>
                <w:lang w:eastAsia="es-ES_tradnl"/>
              </w:rPr>
            </w:pPr>
            <w:r w:rsidRPr="00D126E1">
              <w:rPr>
                <w:rFonts w:ascii="Verdana" w:eastAsia="Arial" w:hAnsi="Verdana" w:cs="Arial"/>
                <w:sz w:val="16"/>
                <w:szCs w:val="16"/>
              </w:rPr>
              <w:t>Contratista de la Subdirección de Gestión Contractual</w:t>
            </w:r>
          </w:p>
          <w:p w14:paraId="0A1D7AAE" w14:textId="146C2544" w:rsidR="00D126E1" w:rsidRPr="00D126E1" w:rsidRDefault="00D126E1" w:rsidP="00D126E1">
            <w:pPr>
              <w:rPr>
                <w:rFonts w:ascii="Verdana" w:eastAsia="Times New Roman" w:hAnsi="Verdana" w:cs="Segoe UI"/>
                <w:sz w:val="16"/>
                <w:szCs w:val="16"/>
                <w:lang w:eastAsia="es-ES_tradnl"/>
              </w:rPr>
            </w:pPr>
            <w:r w:rsidRPr="00D126E1">
              <w:rPr>
                <w:rFonts w:ascii="Verdana" w:eastAsia="Times New Roman" w:hAnsi="Verdana" w:cs="Segoe UI"/>
                <w:sz w:val="16"/>
                <w:szCs w:val="16"/>
                <w:lang w:eastAsia="es-ES_tradnl"/>
              </w:rPr>
              <w:t xml:space="preserve">Adriana </w:t>
            </w:r>
            <w:r w:rsidR="00CF58E6" w:rsidRPr="00D126E1">
              <w:rPr>
                <w:rFonts w:ascii="Verdana" w:eastAsia="Times New Roman" w:hAnsi="Verdana" w:cs="Segoe UI"/>
                <w:sz w:val="16"/>
                <w:szCs w:val="16"/>
                <w:lang w:eastAsia="es-ES_tradnl"/>
              </w:rPr>
              <w:t>Katherine</w:t>
            </w:r>
            <w:r w:rsidRPr="00D126E1">
              <w:rPr>
                <w:rFonts w:ascii="Verdana" w:eastAsia="Times New Roman" w:hAnsi="Verdana" w:cs="Segoe UI"/>
                <w:sz w:val="16"/>
                <w:szCs w:val="16"/>
                <w:lang w:eastAsia="es-ES_tradnl"/>
              </w:rPr>
              <w:t xml:space="preserve"> López </w:t>
            </w:r>
            <w:proofErr w:type="spellStart"/>
            <w:r w:rsidRPr="00D126E1">
              <w:rPr>
                <w:rFonts w:ascii="Verdana" w:eastAsia="Times New Roman" w:hAnsi="Verdana" w:cs="Segoe UI"/>
                <w:sz w:val="16"/>
                <w:szCs w:val="16"/>
                <w:lang w:eastAsia="es-ES_tradnl"/>
              </w:rPr>
              <w:t>Rodriguéz</w:t>
            </w:r>
            <w:proofErr w:type="spellEnd"/>
          </w:p>
          <w:p w14:paraId="27F81E29" w14:textId="77777777" w:rsidR="00D126E1" w:rsidRPr="00D126E1" w:rsidRDefault="00D126E1" w:rsidP="00D126E1">
            <w:pPr>
              <w:rPr>
                <w:rFonts w:ascii="Verdana" w:eastAsia="Times New Roman" w:hAnsi="Verdana" w:cs="Segoe UI"/>
                <w:sz w:val="16"/>
                <w:szCs w:val="16"/>
                <w:lang w:eastAsia="es-ES_tradnl"/>
              </w:rPr>
            </w:pPr>
            <w:r w:rsidRPr="00D126E1">
              <w:rPr>
                <w:rFonts w:ascii="Verdana" w:eastAsia="Arial" w:hAnsi="Verdana" w:cs="Arial"/>
                <w:sz w:val="16"/>
                <w:szCs w:val="16"/>
              </w:rPr>
              <w:t>Contratista de la Subdirección de Gestión Contractual</w:t>
            </w:r>
          </w:p>
        </w:tc>
      </w:tr>
      <w:tr w:rsidR="00D126E1" w:rsidRPr="00D126E1" w14:paraId="0981F80C" w14:textId="77777777" w:rsidTr="00876EDD">
        <w:trPr>
          <w:trHeight w:val="300"/>
        </w:trPr>
        <w:tc>
          <w:tcPr>
            <w:tcW w:w="893" w:type="dxa"/>
            <w:vAlign w:val="center"/>
          </w:tcPr>
          <w:p w14:paraId="2F3E1115"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B2215FC"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 xml:space="preserve">Carolina Quintero </w:t>
            </w:r>
            <w:proofErr w:type="spellStart"/>
            <w:r w:rsidRPr="00D126E1">
              <w:rPr>
                <w:rFonts w:ascii="Verdana" w:eastAsia="Calibri" w:hAnsi="Verdana" w:cs="Arial"/>
                <w:sz w:val="16"/>
                <w:szCs w:val="16"/>
                <w:lang w:eastAsia="es-ES"/>
              </w:rPr>
              <w:t>Gacharná</w:t>
            </w:r>
            <w:proofErr w:type="spellEnd"/>
          </w:p>
          <w:p w14:paraId="65B27010"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Subdirectora de Gestión Contractual ANCP – CCE</w:t>
            </w:r>
          </w:p>
        </w:tc>
      </w:tr>
    </w:tbl>
    <w:p w14:paraId="5A159CDB" w14:textId="77777777" w:rsidR="00D126E1" w:rsidRPr="00D126E1" w:rsidRDefault="00D126E1" w:rsidP="00D126E1">
      <w:pPr>
        <w:tabs>
          <w:tab w:val="left" w:pos="1320"/>
        </w:tabs>
        <w:rPr>
          <w:rFonts w:ascii="Calibri" w:eastAsia="Calibri" w:hAnsi="Calibri" w:cs="Times New Roman"/>
        </w:rPr>
      </w:pPr>
    </w:p>
    <w:p w14:paraId="0A2F55C1" w14:textId="77777777" w:rsidR="00D126E1" w:rsidRPr="00D126E1" w:rsidRDefault="00D126E1" w:rsidP="00D126E1">
      <w:pPr>
        <w:spacing w:line="278" w:lineRule="auto"/>
        <w:rPr>
          <w:rFonts w:ascii="Aptos" w:eastAsia="Aptos" w:hAnsi="Aptos" w:cs="Times New Roman"/>
          <w:kern w:val="2"/>
          <w:sz w:val="24"/>
          <w:szCs w:val="24"/>
          <w14:ligatures w14:val="standardContextual"/>
        </w:rPr>
      </w:pPr>
    </w:p>
    <w:p w14:paraId="0F293BF4" w14:textId="10FDF172" w:rsidR="00127233" w:rsidRPr="00F93666" w:rsidRDefault="00127233" w:rsidP="00F93666"/>
    <w:sectPr w:rsidR="00127233" w:rsidRPr="00F9366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CC52F" w14:textId="77777777" w:rsidR="00EB78B1" w:rsidRDefault="00EB78B1" w:rsidP="004A1847">
      <w:pPr>
        <w:spacing w:after="0" w:line="240" w:lineRule="auto"/>
      </w:pPr>
      <w:r>
        <w:separator/>
      </w:r>
    </w:p>
  </w:endnote>
  <w:endnote w:type="continuationSeparator" w:id="0">
    <w:p w14:paraId="4D1A9880" w14:textId="77777777" w:rsidR="00EB78B1" w:rsidRDefault="00EB78B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7D859" w14:textId="77777777" w:rsidR="00424062" w:rsidRDefault="00424062">
    <w:pPr>
      <w:pStyle w:val="Piedepgina"/>
    </w:pPr>
  </w:p>
  <w:p w14:paraId="346C752A" w14:textId="77777777" w:rsidR="00F93171" w:rsidRDefault="00F93171">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D126E1">
      <w:rPr>
        <w:rFonts w:ascii="Verdana" w:eastAsia="Times New Roman" w:hAnsi="Verdana" w:cs="Times New Roman"/>
        <w:b/>
        <w:bCs/>
        <w:sz w:val="16"/>
        <w:szCs w:val="16"/>
        <w:lang w:val="es-ES"/>
      </w:rPr>
      <w:t xml:space="preserve">pág. </w:t>
    </w:r>
    <w:r w:rsidRPr="00D126E1">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D126E1">
      <w:rPr>
        <w:rFonts w:ascii="Verdana" w:eastAsia="Times New Roman" w:hAnsi="Verdana"/>
        <w:b/>
        <w:bCs/>
        <w:sz w:val="16"/>
        <w:szCs w:val="16"/>
      </w:rPr>
      <w:fldChar w:fldCharType="separate"/>
    </w:r>
    <w:r w:rsidRPr="00D126E1">
      <w:rPr>
        <w:rFonts w:ascii="Verdana" w:eastAsia="Times New Roman" w:hAnsi="Verdana"/>
        <w:b/>
        <w:bCs/>
        <w:sz w:val="16"/>
        <w:szCs w:val="16"/>
      </w:rPr>
      <w:t>1</w:t>
    </w:r>
    <w:r w:rsidRPr="00D126E1">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2209A" w14:textId="77777777" w:rsidR="00EB78B1" w:rsidRDefault="00EB78B1" w:rsidP="004A1847">
      <w:pPr>
        <w:spacing w:after="0" w:line="240" w:lineRule="auto"/>
      </w:pPr>
      <w:r>
        <w:separator/>
      </w:r>
    </w:p>
  </w:footnote>
  <w:footnote w:type="continuationSeparator" w:id="0">
    <w:p w14:paraId="575C2091" w14:textId="77777777" w:rsidR="00EB78B1" w:rsidRDefault="00EB78B1" w:rsidP="004A1847">
      <w:pPr>
        <w:spacing w:after="0" w:line="240" w:lineRule="auto"/>
      </w:pPr>
      <w:r>
        <w:continuationSeparator/>
      </w:r>
    </w:p>
  </w:footnote>
  <w:footnote w:id="1">
    <w:p w14:paraId="1B1230DB" w14:textId="77777777" w:rsidR="00D126E1" w:rsidRPr="0037333D" w:rsidRDefault="00D126E1" w:rsidP="00D126E1">
      <w:pPr>
        <w:pStyle w:val="Textonotapie"/>
        <w:ind w:firstLine="708"/>
        <w:jc w:val="both"/>
        <w:rPr>
          <w:rFonts w:ascii="Verdana" w:hAnsi="Verdana"/>
          <w:sz w:val="19"/>
          <w:szCs w:val="19"/>
        </w:rPr>
      </w:pPr>
      <w:r w:rsidRPr="0037333D">
        <w:rPr>
          <w:rStyle w:val="Refdenotaalpie"/>
          <w:rFonts w:ascii="Verdana" w:hAnsi="Verdana"/>
          <w:sz w:val="19"/>
          <w:szCs w:val="19"/>
        </w:rPr>
        <w:footnoteRef/>
      </w:r>
      <w:r w:rsidRPr="0037333D">
        <w:rPr>
          <w:rFonts w:ascii="Verdana" w:hAnsi="Verdana"/>
          <w:sz w:val="19"/>
          <w:szCs w:val="19"/>
        </w:rPr>
        <w:t xml:space="preserve"> Reglamento colombiano de construcción sismo resistente. </w:t>
      </w:r>
    </w:p>
    <w:p w14:paraId="23E911FF" w14:textId="77777777" w:rsidR="00D126E1" w:rsidRPr="0037333D" w:rsidRDefault="00D126E1" w:rsidP="00D126E1">
      <w:pPr>
        <w:pStyle w:val="Textonotapie"/>
        <w:ind w:firstLine="708"/>
        <w:jc w:val="both"/>
        <w:rPr>
          <w:rFonts w:ascii="Verdana" w:hAnsi="Verdana"/>
          <w:sz w:val="19"/>
          <w:szCs w:val="19"/>
        </w:rPr>
      </w:pPr>
    </w:p>
  </w:footnote>
  <w:footnote w:id="2">
    <w:p w14:paraId="3F6429F5" w14:textId="77777777" w:rsidR="00D126E1" w:rsidRPr="0037333D" w:rsidRDefault="00D126E1" w:rsidP="00D126E1">
      <w:pPr>
        <w:pStyle w:val="Textonotapie"/>
        <w:ind w:firstLine="708"/>
        <w:jc w:val="both"/>
        <w:rPr>
          <w:rFonts w:ascii="Verdana" w:hAnsi="Verdana"/>
          <w:sz w:val="19"/>
          <w:szCs w:val="19"/>
        </w:rPr>
      </w:pPr>
      <w:r w:rsidRPr="0037333D">
        <w:rPr>
          <w:rStyle w:val="Refdenotaalpie"/>
          <w:rFonts w:ascii="Verdana" w:hAnsi="Verdana"/>
          <w:sz w:val="19"/>
          <w:szCs w:val="19"/>
        </w:rPr>
        <w:footnoteRef/>
      </w:r>
      <w:r w:rsidRPr="0037333D">
        <w:rPr>
          <w:rFonts w:ascii="Verdana" w:hAnsi="Verdana"/>
          <w:sz w:val="19"/>
          <w:szCs w:val="19"/>
        </w:rPr>
        <w:t xml:space="preserve"> </w:t>
      </w:r>
      <w:r w:rsidRPr="0037333D">
        <w:rPr>
          <w:rFonts w:ascii="Verdana" w:hAnsi="Verdana"/>
          <w:sz w:val="19"/>
          <w:szCs w:val="19"/>
          <w:lang w:val="es-CO"/>
        </w:rPr>
        <w:t>“Por medio de la cual se establecen las casas de refugio en el marco de la ley 1257 de 2008 y se fortalece la política pública en contra de la violencia hacia las mujeres”.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7586E"/>
    <w:rsid w:val="001E4177"/>
    <w:rsid w:val="001F7DC6"/>
    <w:rsid w:val="0023659C"/>
    <w:rsid w:val="002421BB"/>
    <w:rsid w:val="0025796E"/>
    <w:rsid w:val="002707A2"/>
    <w:rsid w:val="002951A0"/>
    <w:rsid w:val="002962BC"/>
    <w:rsid w:val="002A093D"/>
    <w:rsid w:val="002A0DD0"/>
    <w:rsid w:val="002A49AC"/>
    <w:rsid w:val="002A64FD"/>
    <w:rsid w:val="002C7A84"/>
    <w:rsid w:val="002E4FD9"/>
    <w:rsid w:val="00305DEF"/>
    <w:rsid w:val="00322A85"/>
    <w:rsid w:val="00324168"/>
    <w:rsid w:val="003448F4"/>
    <w:rsid w:val="00374F5E"/>
    <w:rsid w:val="00377E3E"/>
    <w:rsid w:val="003A779E"/>
    <w:rsid w:val="003D0F4D"/>
    <w:rsid w:val="003D5B0D"/>
    <w:rsid w:val="003E0499"/>
    <w:rsid w:val="003E7C14"/>
    <w:rsid w:val="003F3941"/>
    <w:rsid w:val="00400731"/>
    <w:rsid w:val="00406575"/>
    <w:rsid w:val="00414C74"/>
    <w:rsid w:val="00424062"/>
    <w:rsid w:val="0042722E"/>
    <w:rsid w:val="0044528D"/>
    <w:rsid w:val="004A1847"/>
    <w:rsid w:val="004A305D"/>
    <w:rsid w:val="004F21C4"/>
    <w:rsid w:val="004F685F"/>
    <w:rsid w:val="0051646F"/>
    <w:rsid w:val="00544DF8"/>
    <w:rsid w:val="005566E8"/>
    <w:rsid w:val="00574867"/>
    <w:rsid w:val="00591460"/>
    <w:rsid w:val="005C3777"/>
    <w:rsid w:val="005C5CDC"/>
    <w:rsid w:val="005D476C"/>
    <w:rsid w:val="006219F8"/>
    <w:rsid w:val="006302F7"/>
    <w:rsid w:val="00665D70"/>
    <w:rsid w:val="006900D9"/>
    <w:rsid w:val="006A760C"/>
    <w:rsid w:val="00706C16"/>
    <w:rsid w:val="00747280"/>
    <w:rsid w:val="00756841"/>
    <w:rsid w:val="007649AB"/>
    <w:rsid w:val="0076663A"/>
    <w:rsid w:val="00771D0C"/>
    <w:rsid w:val="007833AC"/>
    <w:rsid w:val="007A46D6"/>
    <w:rsid w:val="007B268C"/>
    <w:rsid w:val="007B5680"/>
    <w:rsid w:val="007B7171"/>
    <w:rsid w:val="007C0C0F"/>
    <w:rsid w:val="007C3DC2"/>
    <w:rsid w:val="007E5497"/>
    <w:rsid w:val="00806F5F"/>
    <w:rsid w:val="00820278"/>
    <w:rsid w:val="008531B0"/>
    <w:rsid w:val="00855C0C"/>
    <w:rsid w:val="00867F95"/>
    <w:rsid w:val="008843B6"/>
    <w:rsid w:val="00891928"/>
    <w:rsid w:val="00897A3A"/>
    <w:rsid w:val="008A446D"/>
    <w:rsid w:val="008D180B"/>
    <w:rsid w:val="008E0C1B"/>
    <w:rsid w:val="008F0EA7"/>
    <w:rsid w:val="00921664"/>
    <w:rsid w:val="00923EEF"/>
    <w:rsid w:val="009419F9"/>
    <w:rsid w:val="0095685E"/>
    <w:rsid w:val="00961B09"/>
    <w:rsid w:val="00965334"/>
    <w:rsid w:val="0097093E"/>
    <w:rsid w:val="009804CB"/>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754BE"/>
    <w:rsid w:val="00C76B1C"/>
    <w:rsid w:val="00C940FC"/>
    <w:rsid w:val="00CB6357"/>
    <w:rsid w:val="00CC1B26"/>
    <w:rsid w:val="00CE6607"/>
    <w:rsid w:val="00CF58E6"/>
    <w:rsid w:val="00D126E1"/>
    <w:rsid w:val="00D423A2"/>
    <w:rsid w:val="00D520D8"/>
    <w:rsid w:val="00D63AC2"/>
    <w:rsid w:val="00D7383B"/>
    <w:rsid w:val="00D932F2"/>
    <w:rsid w:val="00DA231B"/>
    <w:rsid w:val="00DC39FC"/>
    <w:rsid w:val="00DC467C"/>
    <w:rsid w:val="00DF5254"/>
    <w:rsid w:val="00E14221"/>
    <w:rsid w:val="00E16408"/>
    <w:rsid w:val="00E20894"/>
    <w:rsid w:val="00E245AB"/>
    <w:rsid w:val="00E2764C"/>
    <w:rsid w:val="00E27F2E"/>
    <w:rsid w:val="00E50AFE"/>
    <w:rsid w:val="00E75C92"/>
    <w:rsid w:val="00E771DC"/>
    <w:rsid w:val="00E8772A"/>
    <w:rsid w:val="00E90F6B"/>
    <w:rsid w:val="00E92C27"/>
    <w:rsid w:val="00EA0E3D"/>
    <w:rsid w:val="00EB78B1"/>
    <w:rsid w:val="00EC38A7"/>
    <w:rsid w:val="00EE1AA8"/>
    <w:rsid w:val="00F23F7B"/>
    <w:rsid w:val="00F31EDC"/>
    <w:rsid w:val="00F462B3"/>
    <w:rsid w:val="00F5664F"/>
    <w:rsid w:val="00F666C4"/>
    <w:rsid w:val="00F76AFC"/>
    <w:rsid w:val="00F93171"/>
    <w:rsid w:val="00F93666"/>
    <w:rsid w:val="00FA47C0"/>
    <w:rsid w:val="00FB5DD1"/>
    <w:rsid w:val="00FC2B5D"/>
    <w:rsid w:val="00FE1E82"/>
    <w:rsid w:val="00FF1449"/>
    <w:rsid w:val="24921221"/>
    <w:rsid w:val="26AFFFEA"/>
    <w:rsid w:val="2A389682"/>
    <w:rsid w:val="4683F37A"/>
    <w:rsid w:val="696A6386"/>
    <w:rsid w:val="79381BB7"/>
    <w:rsid w:val="798754A6"/>
    <w:rsid w:val="7B3CBF0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126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126E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purl.org/dc/terms/"/>
    <ds:schemaRef ds:uri="http://schemas.microsoft.com/office/2006/documentManagement/types"/>
    <ds:schemaRef ds:uri="9d85dbaf-23eb-4e57-a637-93dcacc8b1a1"/>
    <ds:schemaRef ds:uri="http://schemas.openxmlformats.org/package/2006/metadata/core-properties"/>
    <ds:schemaRef ds:uri="http://purl.org/dc/elements/1.1/"/>
    <ds:schemaRef ds:uri="http://schemas.microsoft.com/office/infopath/2007/PartnerControls"/>
    <ds:schemaRef ds:uri="a6cb9e4b-f1d1-4245-83ec-6cad768d538a"/>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C0FEE3F4-B377-4DD1-B845-7C4D1C6F43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5222</Words>
  <Characters>28723</Characters>
  <Application>Microsoft Office Word</Application>
  <DocSecurity>0</DocSecurity>
  <Lines>239</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2025-10-10T15:59:00Z</dcterms:created>
  <dcterms:modified xsi:type="dcterms:W3CDTF">2025-10-10T15:59:00Z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