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9BFA4" w14:textId="77777777" w:rsidR="00F142EF" w:rsidRDefault="00F142EF" w:rsidP="00E146FE">
      <w:pPr>
        <w:spacing w:after="0"/>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Finalidad</w:t>
      </w:r>
    </w:p>
    <w:p w14:paraId="2E2B36EF" w14:textId="77777777" w:rsidR="00F142EF" w:rsidRDefault="00F142EF" w:rsidP="00F142EF">
      <w:pPr>
        <w:contextualSpacing/>
        <w:jc w:val="both"/>
        <w:rPr>
          <w:rFonts w:ascii="Verdana" w:eastAsia="Calibri" w:hAnsi="Verdana" w:cs="Arial"/>
          <w:b/>
          <w:bCs/>
          <w:lang w:val="es-ES" w:eastAsia="es-ES"/>
        </w:rPr>
      </w:pPr>
    </w:p>
    <w:p w14:paraId="23C1EB9E" w14:textId="160341D2" w:rsidR="00F142EF" w:rsidRPr="00E146FE" w:rsidRDefault="00F142EF" w:rsidP="00E146FE">
      <w:pPr>
        <w:spacing w:line="240" w:lineRule="auto"/>
        <w:contextualSpacing/>
        <w:jc w:val="both"/>
        <w:rPr>
          <w:rFonts w:ascii="Verdana" w:eastAsia="Times New Roman" w:hAnsi="Verdana" w:cs="Arial"/>
          <w:sz w:val="20"/>
          <w:szCs w:val="20"/>
          <w:lang w:val="es-ES" w:eastAsia="es-CO"/>
        </w:rPr>
      </w:pPr>
      <w:r w:rsidRPr="00E146F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79CE3F7" w14:textId="77777777" w:rsidR="00F142EF" w:rsidRPr="00F142EF" w:rsidRDefault="00F142EF" w:rsidP="00F142EF">
      <w:pPr>
        <w:spacing w:after="0" w:line="240" w:lineRule="auto"/>
        <w:contextualSpacing/>
        <w:jc w:val="both"/>
        <w:rPr>
          <w:rFonts w:ascii="Verdana" w:eastAsia="Calibri" w:hAnsi="Verdana" w:cs="Arial"/>
          <w:b/>
          <w:bCs/>
          <w:lang w:val="es-ES" w:eastAsia="es-ES"/>
        </w:rPr>
      </w:pPr>
    </w:p>
    <w:p w14:paraId="6CD331EB" w14:textId="77777777" w:rsidR="00F142EF" w:rsidRDefault="00F142EF" w:rsidP="00F142EF">
      <w:pPr>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Restricciones ‒ Contratación ‒ Tipos de elección</w:t>
      </w:r>
    </w:p>
    <w:p w14:paraId="250F1C8A" w14:textId="77777777" w:rsidR="00F142EF" w:rsidRDefault="00F142EF" w:rsidP="00F142EF">
      <w:pPr>
        <w:contextualSpacing/>
        <w:jc w:val="both"/>
        <w:rPr>
          <w:rFonts w:ascii="Verdana" w:eastAsia="Calibri" w:hAnsi="Verdana" w:cs="Arial"/>
          <w:b/>
          <w:bCs/>
          <w:lang w:val="es-ES" w:eastAsia="es-ES"/>
        </w:rPr>
      </w:pPr>
    </w:p>
    <w:p w14:paraId="5DF72CBE" w14:textId="29329ECF" w:rsidR="00F142EF" w:rsidRDefault="00F142EF" w:rsidP="00E146FE">
      <w:pPr>
        <w:spacing w:after="0" w:line="240" w:lineRule="auto"/>
        <w:jc w:val="both"/>
        <w:rPr>
          <w:rFonts w:ascii="Verdana" w:eastAsia="Calibri" w:hAnsi="Verdana" w:cs="Arial"/>
          <w:sz w:val="20"/>
          <w:szCs w:val="20"/>
          <w:lang w:val="es-ES"/>
        </w:rPr>
      </w:pPr>
      <w:r w:rsidRPr="00E146FE">
        <w:rPr>
          <w:rFonts w:ascii="Verdana" w:eastAsia="Calibri" w:hAnsi="Verdana" w:cs="Arial"/>
          <w:sz w:val="20"/>
          <w:szCs w:val="20"/>
          <w:lang w:val="es-ES"/>
        </w:rPr>
        <w:t xml:space="preserve">Por un lado, el </w:t>
      </w:r>
      <w:r w:rsidRPr="00E146FE">
        <w:rPr>
          <w:rFonts w:ascii="Verdana" w:eastAsia="Calibri" w:hAnsi="Verdana" w:cs="Arial"/>
          <w:i/>
          <w:iCs/>
          <w:sz w:val="20"/>
          <w:szCs w:val="20"/>
          <w:lang w:val="es-ES"/>
        </w:rPr>
        <w:t xml:space="preserve">artículo 33 </w:t>
      </w:r>
      <w:r w:rsidRPr="00E146FE">
        <w:rPr>
          <w:rFonts w:ascii="Verdana" w:eastAsia="Calibri" w:hAnsi="Verdana" w:cs="Arial"/>
          <w:sz w:val="20"/>
          <w:szCs w:val="20"/>
          <w:lang w:val="es-ES"/>
        </w:rPr>
        <w:t xml:space="preserve">de la Ley 996 de 2005 prohíbe “[…] la contratación directa por parte de </w:t>
      </w:r>
      <w:r w:rsidRPr="00E146FE">
        <w:rPr>
          <w:rFonts w:ascii="Verdana" w:eastAsia="Calibri" w:hAnsi="Verdana" w:cs="Arial"/>
          <w:i/>
          <w:iCs/>
          <w:sz w:val="20"/>
          <w:szCs w:val="20"/>
          <w:lang w:val="es-ES"/>
        </w:rPr>
        <w:t>todos los entes del Estado</w:t>
      </w:r>
      <w:r w:rsidRPr="00E146FE">
        <w:rPr>
          <w:rFonts w:ascii="Verdana" w:eastAsia="Calibri" w:hAnsi="Verdana" w:cs="Arial"/>
          <w:sz w:val="20"/>
          <w:szCs w:val="20"/>
          <w:lang w:val="es-ES"/>
        </w:rPr>
        <w:t xml:space="preserve">” durante los cuatro (4) meses anteriores a las </w:t>
      </w:r>
      <w:r w:rsidRPr="00E146FE">
        <w:rPr>
          <w:rFonts w:ascii="Verdana" w:eastAsia="Calibri" w:hAnsi="Verdana" w:cs="Arial"/>
          <w:i/>
          <w:iCs/>
          <w:sz w:val="20"/>
          <w:szCs w:val="20"/>
          <w:lang w:val="es-ES"/>
        </w:rPr>
        <w:t>elecciones presidenciales</w:t>
      </w:r>
      <w:r w:rsidRPr="00E146FE">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0FFD650" w14:textId="77777777" w:rsidR="00E146FE" w:rsidRPr="00E146FE" w:rsidRDefault="00E146FE" w:rsidP="00E146FE">
      <w:pPr>
        <w:spacing w:after="0" w:line="240" w:lineRule="auto"/>
        <w:jc w:val="both"/>
        <w:rPr>
          <w:rFonts w:ascii="Verdana" w:eastAsia="Calibri" w:hAnsi="Verdana" w:cs="Arial"/>
          <w:sz w:val="20"/>
          <w:szCs w:val="20"/>
          <w:lang w:val="es-ES"/>
        </w:rPr>
      </w:pPr>
    </w:p>
    <w:p w14:paraId="6E7C4D10" w14:textId="74A69545" w:rsidR="00F142EF" w:rsidRDefault="00F142EF" w:rsidP="00E146FE">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E146FE">
        <w:rPr>
          <w:rFonts w:ascii="Verdana" w:eastAsia="Calibri" w:hAnsi="Verdana" w:cs="Arial"/>
          <w:sz w:val="20"/>
          <w:szCs w:val="20"/>
          <w:lang w:val="es-ES"/>
        </w:rPr>
        <w:t xml:space="preserve">Por otro lado, </w:t>
      </w:r>
      <w:r w:rsidRPr="00E146FE">
        <w:rPr>
          <w:rFonts w:ascii="Verdana" w:eastAsia="Calibri" w:hAnsi="Verdana" w:cs="Arial"/>
          <w:i/>
          <w:iCs/>
          <w:sz w:val="20"/>
          <w:szCs w:val="20"/>
          <w:lang w:val="es-ES"/>
        </w:rPr>
        <w:t xml:space="preserve">el parágrafo del artículo 38 </w:t>
      </w:r>
      <w:r w:rsidRPr="00E146FE">
        <w:rPr>
          <w:rFonts w:ascii="Verdana" w:eastAsia="Calibri" w:hAnsi="Verdana" w:cs="Arial"/>
          <w:sz w:val="20"/>
          <w:szCs w:val="20"/>
          <w:lang w:val="es-ES"/>
        </w:rPr>
        <w:t xml:space="preserve">de la Ley 996 de 2005 prevé una restricción, aplicable respecto de </w:t>
      </w:r>
      <w:r w:rsidRPr="00E146FE">
        <w:rPr>
          <w:rFonts w:ascii="Verdana" w:eastAsia="Calibri" w:hAnsi="Verdana" w:cs="Arial"/>
          <w:i/>
          <w:iCs/>
          <w:sz w:val="20"/>
          <w:szCs w:val="20"/>
          <w:lang w:val="es-ES"/>
        </w:rPr>
        <w:t>cualquier tipo de contienda electoral</w:t>
      </w:r>
      <w:r w:rsidRPr="00E146FE">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146FE">
        <w:rPr>
          <w:rFonts w:ascii="Verdana" w:eastAsia="Arial" w:hAnsi="Verdana" w:cs="Arial"/>
          <w:sz w:val="20"/>
          <w:szCs w:val="20"/>
          <w:lang w:val="es-ES" w:eastAsia="es-ES" w:bidi="es-ES"/>
        </w:rPr>
        <w:t xml:space="preserve"> </w:t>
      </w:r>
    </w:p>
    <w:p w14:paraId="18095C97" w14:textId="77777777" w:rsidR="00E146FE" w:rsidRPr="00E146FE" w:rsidRDefault="00E146FE" w:rsidP="00E146FE">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31459BFE" w14:textId="77777777" w:rsidR="00F142EF" w:rsidRDefault="00F142EF" w:rsidP="00E146FE">
      <w:pPr>
        <w:spacing w:after="0" w:line="240" w:lineRule="auto"/>
        <w:jc w:val="both"/>
        <w:rPr>
          <w:rFonts w:ascii="Verdana" w:eastAsia="Arial" w:hAnsi="Verdana" w:cs="Arial"/>
          <w:sz w:val="20"/>
          <w:szCs w:val="20"/>
          <w:lang w:val="es-ES" w:eastAsia="es-ES" w:bidi="es-ES"/>
        </w:rPr>
      </w:pPr>
      <w:r w:rsidRPr="00E146FE">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E146FE">
        <w:rPr>
          <w:rFonts w:ascii="Verdana" w:eastAsia="Arial" w:hAnsi="Verdana" w:cs="Arial"/>
          <w:i/>
          <w:sz w:val="20"/>
          <w:szCs w:val="20"/>
          <w:lang w:val="es-ES" w:eastAsia="es-ES" w:bidi="es-ES"/>
        </w:rPr>
        <w:t>En primer lugar</w:t>
      </w:r>
      <w:r w:rsidRPr="00E146FE">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146FE">
        <w:rPr>
          <w:rFonts w:ascii="Verdana" w:eastAsia="Arial" w:hAnsi="Verdana" w:cs="Arial"/>
          <w:i/>
          <w:sz w:val="20"/>
          <w:szCs w:val="20"/>
          <w:lang w:val="es-ES" w:eastAsia="es-ES" w:bidi="es-ES"/>
        </w:rPr>
        <w:t>En segundo lugar</w:t>
      </w:r>
      <w:r w:rsidRPr="00E146FE">
        <w:rPr>
          <w:rFonts w:ascii="Verdana" w:eastAsia="Arial" w:hAnsi="Verdana" w:cs="Arial"/>
          <w:sz w:val="20"/>
          <w:szCs w:val="20"/>
          <w:lang w:val="es-ES" w:eastAsia="es-ES" w:bidi="es-ES"/>
        </w:rPr>
        <w:t xml:space="preserve">, también se encuentra la prohibición del parágrafo del artículo 38, el cual debe aplicarse respecto de cualquier tipo de contienda electoral, y que prohíbe la celebración de convenios interadministrativos que impliquen la </w:t>
      </w:r>
      <w:r w:rsidRPr="00E146FE">
        <w:rPr>
          <w:rFonts w:ascii="Verdana" w:eastAsia="Arial" w:hAnsi="Verdana" w:cs="Arial"/>
          <w:sz w:val="20"/>
          <w:szCs w:val="20"/>
          <w:lang w:val="es-ES" w:eastAsia="es-ES" w:bidi="es-ES"/>
        </w:rPr>
        <w:lastRenderedPageBreak/>
        <w:t>ejecución de recursos públicos dentro de los cuatro (4) meses anteriores a la respectiva jornada de votaciones.</w:t>
      </w:r>
    </w:p>
    <w:p w14:paraId="13949919" w14:textId="77777777" w:rsidR="00E146FE" w:rsidRPr="00E146FE" w:rsidRDefault="00E146FE" w:rsidP="00E146FE">
      <w:pPr>
        <w:spacing w:after="0" w:line="240" w:lineRule="auto"/>
        <w:jc w:val="both"/>
        <w:rPr>
          <w:rFonts w:ascii="Verdana" w:eastAsia="Arial" w:hAnsi="Verdana" w:cs="Arial"/>
          <w:sz w:val="20"/>
          <w:szCs w:val="20"/>
          <w:lang w:val="es-ES" w:eastAsia="es-ES" w:bidi="es-ES"/>
        </w:rPr>
      </w:pPr>
    </w:p>
    <w:p w14:paraId="1CE3F8C3" w14:textId="77777777" w:rsidR="00F142EF" w:rsidRDefault="00F142EF" w:rsidP="00F142EF">
      <w:pPr>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Artículo 33 ‒ Ámbito material</w:t>
      </w:r>
    </w:p>
    <w:p w14:paraId="2F619DDF" w14:textId="77777777" w:rsidR="00F142EF" w:rsidRPr="00E146FE" w:rsidRDefault="00F142EF" w:rsidP="00E146FE">
      <w:pPr>
        <w:spacing w:line="240" w:lineRule="auto"/>
        <w:contextualSpacing/>
        <w:jc w:val="both"/>
        <w:rPr>
          <w:rFonts w:ascii="Verdana" w:eastAsia="Calibri" w:hAnsi="Verdana" w:cs="Arial"/>
          <w:b/>
          <w:bCs/>
          <w:sz w:val="20"/>
          <w:szCs w:val="20"/>
          <w:lang w:val="es-ES" w:eastAsia="es-ES"/>
        </w:rPr>
      </w:pPr>
    </w:p>
    <w:p w14:paraId="3DDE55AF" w14:textId="1589DDF0" w:rsidR="00F142EF" w:rsidRPr="00E146FE" w:rsidRDefault="00F142EF" w:rsidP="00E146FE">
      <w:pPr>
        <w:spacing w:after="0" w:line="240" w:lineRule="auto"/>
        <w:contextualSpacing/>
        <w:jc w:val="both"/>
        <w:rPr>
          <w:rFonts w:ascii="Verdana" w:eastAsia="Calibri" w:hAnsi="Verdana" w:cs="Arial"/>
          <w:b/>
          <w:bCs/>
          <w:sz w:val="20"/>
          <w:szCs w:val="20"/>
          <w:lang w:val="es-ES" w:eastAsia="es-ES"/>
        </w:rPr>
      </w:pPr>
      <w:r w:rsidRPr="00E146FE">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E146FE">
        <w:rPr>
          <w:rFonts w:ascii="Verdana" w:eastAsia="Times New Roman" w:hAnsi="Verdana" w:cs="Arial"/>
          <w:i/>
          <w:iCs/>
          <w:sz w:val="20"/>
          <w:szCs w:val="20"/>
          <w:lang w:val="es-ES"/>
        </w:rPr>
        <w:t>cualquier contrato de forma directa</w:t>
      </w:r>
      <w:r w:rsidRPr="00E146FE">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B299EE7" w14:textId="77777777" w:rsidR="00F142EF" w:rsidRPr="00F142EF" w:rsidRDefault="00F142EF" w:rsidP="00F142EF">
      <w:pPr>
        <w:spacing w:after="0" w:line="240" w:lineRule="auto"/>
        <w:contextualSpacing/>
        <w:jc w:val="both"/>
        <w:rPr>
          <w:rFonts w:ascii="Verdana" w:eastAsia="Calibri" w:hAnsi="Verdana" w:cs="Arial"/>
          <w:b/>
          <w:bCs/>
          <w:lang w:val="es-ES" w:eastAsia="es-ES"/>
        </w:rPr>
      </w:pPr>
    </w:p>
    <w:p w14:paraId="7B2ECED0" w14:textId="77777777" w:rsidR="00F142EF" w:rsidRDefault="00F142EF" w:rsidP="00E146FE">
      <w:pPr>
        <w:spacing w:after="0"/>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Aplicación – Contratación PIC</w:t>
      </w:r>
    </w:p>
    <w:p w14:paraId="0C1AC901" w14:textId="77777777" w:rsidR="008B480E" w:rsidRDefault="008B480E" w:rsidP="00F142EF">
      <w:pPr>
        <w:contextualSpacing/>
        <w:jc w:val="both"/>
        <w:rPr>
          <w:rFonts w:ascii="Verdana" w:eastAsia="Calibri" w:hAnsi="Verdana" w:cs="Arial"/>
          <w:b/>
          <w:bCs/>
          <w:lang w:val="es-ES" w:eastAsia="es-ES"/>
        </w:rPr>
      </w:pPr>
    </w:p>
    <w:p w14:paraId="659C9745" w14:textId="77777777" w:rsidR="008B480E" w:rsidRPr="00E146FE" w:rsidRDefault="008B480E" w:rsidP="00E146FE">
      <w:pPr>
        <w:spacing w:after="0" w:line="240" w:lineRule="auto"/>
        <w:jc w:val="both"/>
        <w:rPr>
          <w:rFonts w:ascii="Verdana" w:eastAsia="Arial" w:hAnsi="Verdana" w:cs="Arial"/>
          <w:bCs/>
          <w:color w:val="000000" w:themeColor="text1"/>
          <w:sz w:val="20"/>
          <w:szCs w:val="20"/>
          <w:lang w:val="es-ES"/>
        </w:rPr>
      </w:pPr>
      <w:r w:rsidRPr="00E146FE">
        <w:rPr>
          <w:rFonts w:ascii="Verdana" w:eastAsia="Arial" w:hAnsi="Verdana" w:cs="Arial"/>
          <w:bCs/>
          <w:color w:val="000000" w:themeColor="text1"/>
          <w:sz w:val="20"/>
          <w:szCs w:val="20"/>
          <w:lang w:val="es-ES"/>
        </w:rPr>
        <w:t>Conforme con lo expuesto, las entidades que requieran adelantar procesos de contratación directa durante el periodo de garantías electorales deberán analizar, primero, si se configuran los supuestos establecidos en el artículo 33 de la Ley 996 de 2005, es decir, si se trata de una entidad pública que pretenda adelantar un proceso no competitivo. Adicionalmente, será pertinente analizar si se configura alguna de las excepciones previstas en la norma. En este caso, será relevante determinar si la contratación del PIC se realiza con ocasión a una “emergencia sanitaria” o si es llevada a cabo por “entidades sanitarias u hospitalarias”. De ser así, la entidad podrá contratar directamente, a pesar de que haya iniciado el periodo de garantías electorales correspondiente al artículo 33 de la Ley 996 de 2005.</w:t>
      </w:r>
    </w:p>
    <w:p w14:paraId="73BA5217" w14:textId="77777777" w:rsidR="00E146FE" w:rsidRDefault="00E146FE" w:rsidP="00E146FE">
      <w:pPr>
        <w:widowControl w:val="0"/>
        <w:autoSpaceDE w:val="0"/>
        <w:autoSpaceDN w:val="0"/>
        <w:spacing w:after="120" w:line="240" w:lineRule="auto"/>
        <w:ind w:right="113"/>
        <w:jc w:val="both"/>
        <w:rPr>
          <w:rFonts w:ascii="Verdana" w:eastAsia="Calibri" w:hAnsi="Verdana" w:cs="Arial"/>
          <w:bCs/>
          <w:sz w:val="20"/>
          <w:szCs w:val="20"/>
          <w:lang w:val="es-ES" w:eastAsia="es-ES"/>
        </w:rPr>
      </w:pPr>
    </w:p>
    <w:p w14:paraId="4B162113" w14:textId="498E50B0" w:rsidR="008B480E" w:rsidRPr="00E146FE" w:rsidRDefault="008B480E" w:rsidP="00E146FE">
      <w:pPr>
        <w:widowControl w:val="0"/>
        <w:autoSpaceDE w:val="0"/>
        <w:autoSpaceDN w:val="0"/>
        <w:spacing w:after="120" w:line="240" w:lineRule="auto"/>
        <w:ind w:right="113"/>
        <w:jc w:val="both"/>
        <w:rPr>
          <w:rFonts w:ascii="Verdana" w:eastAsia="Arial" w:hAnsi="Verdana" w:cs="Arial"/>
          <w:bCs/>
          <w:color w:val="000000" w:themeColor="text1"/>
          <w:sz w:val="20"/>
          <w:szCs w:val="20"/>
          <w:lang w:val="es-ES"/>
        </w:rPr>
      </w:pPr>
      <w:r w:rsidRPr="00E146FE">
        <w:rPr>
          <w:rFonts w:ascii="Verdana" w:eastAsia="Calibri" w:hAnsi="Verdana" w:cs="Arial"/>
          <w:bCs/>
          <w:sz w:val="20"/>
          <w:szCs w:val="20"/>
          <w:lang w:val="es-ES" w:eastAsia="es-ES"/>
        </w:rPr>
        <w:t xml:space="preserve">[…] </w:t>
      </w:r>
      <w:r w:rsidRPr="00E146FE">
        <w:rPr>
          <w:rFonts w:ascii="Verdana" w:eastAsia="Arial" w:hAnsi="Verdana" w:cs="Arial"/>
          <w:bCs/>
          <w:sz w:val="20"/>
          <w:szCs w:val="20"/>
          <w:lang w:val="es-ES" w:eastAsia="es-ES" w:bidi="es-ES"/>
        </w:rPr>
        <w:t xml:space="preserve">En efecto, con respecto a [la] prohibición [del parágrafo del artículo 38], </w:t>
      </w:r>
      <w:r w:rsidRPr="00E146FE">
        <w:rPr>
          <w:rFonts w:ascii="Verdana" w:eastAsia="Arial" w:hAnsi="Verdana" w:cs="Arial"/>
          <w:bCs/>
          <w:color w:val="000000" w:themeColor="text1"/>
          <w:sz w:val="20"/>
          <w:szCs w:val="20"/>
          <w:lang w:val="es-ES"/>
        </w:rPr>
        <w:t xml:space="preserve">es necesario verificar si la contratación del PIC es llevada a cabo por alguno de los sujetos señalados en la norma, </w:t>
      </w:r>
      <w:r w:rsidRPr="00E146FE">
        <w:rPr>
          <w:rFonts w:ascii="Verdana" w:eastAsia="Arial" w:hAnsi="Verdana" w:cs="Arial"/>
          <w:bCs/>
          <w:color w:val="000000" w:themeColor="text1"/>
          <w:sz w:val="20"/>
          <w:szCs w:val="20"/>
        </w:rPr>
        <w:t>así como</w:t>
      </w:r>
      <w:r w:rsidRPr="00E146FE">
        <w:rPr>
          <w:rFonts w:ascii="Verdana" w:eastAsia="Arial" w:hAnsi="Verdana" w:cs="Arial"/>
          <w:bCs/>
          <w:color w:val="000000" w:themeColor="text1"/>
          <w:sz w:val="20"/>
          <w:szCs w:val="20"/>
          <w:lang w:val="es-ES"/>
        </w:rPr>
        <w:t xml:space="preserve"> si lo que se pretende adelantar es un convenio o un contrato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aplicará aunque se trate de entidades sanitarias u hospitalarias […] </w:t>
      </w:r>
      <w:r w:rsidRPr="00E146FE">
        <w:rPr>
          <w:rFonts w:ascii="Verdana" w:eastAsia="Times New Roman" w:hAnsi="Verdana" w:cs="Arial"/>
          <w:bCs/>
          <w:sz w:val="20"/>
          <w:szCs w:val="20"/>
          <w:lang w:val="es-ES" w:eastAsia="es-CO"/>
        </w:rPr>
        <w:t xml:space="preserve">es importante resaltar que el Ministerio de Salud y Protección Social </w:t>
      </w:r>
      <w:r w:rsidRPr="00E146FE">
        <w:rPr>
          <w:rFonts w:ascii="Verdana" w:eastAsia="Arial" w:hAnsi="Verdana" w:cs="Arial"/>
          <w:bCs/>
          <w:color w:val="000000" w:themeColor="text1"/>
          <w:sz w:val="20"/>
          <w:szCs w:val="20"/>
          <w:lang w:val="es-ES"/>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p>
    <w:p w14:paraId="7C6BBCD0" w14:textId="77777777" w:rsidR="00F142EF" w:rsidRDefault="00F142EF" w:rsidP="004B6767">
      <w:pPr>
        <w:spacing w:after="0"/>
        <w:rPr>
          <w:rFonts w:ascii="Verdana" w:hAnsi="Verdana"/>
          <w:lang w:val="es-ES"/>
        </w:rPr>
      </w:pPr>
    </w:p>
    <w:p w14:paraId="45C1C00B" w14:textId="77777777" w:rsidR="00E146FE" w:rsidRDefault="00E146FE" w:rsidP="004B6767">
      <w:pPr>
        <w:spacing w:after="0"/>
        <w:rPr>
          <w:rFonts w:ascii="Verdana" w:hAnsi="Verdana"/>
          <w:lang w:val="es-ES"/>
        </w:rPr>
      </w:pPr>
    </w:p>
    <w:p w14:paraId="2797D5FE" w14:textId="77777777" w:rsidR="00E146FE" w:rsidRDefault="00E146FE" w:rsidP="004B6767">
      <w:pPr>
        <w:spacing w:after="0"/>
        <w:rPr>
          <w:rFonts w:ascii="Verdana" w:hAnsi="Verdana"/>
          <w:lang w:val="es-ES"/>
        </w:rPr>
      </w:pPr>
    </w:p>
    <w:p w14:paraId="21007489" w14:textId="77777777" w:rsidR="00E146FE" w:rsidRDefault="00E146FE" w:rsidP="004B6767">
      <w:pPr>
        <w:spacing w:after="0"/>
        <w:rPr>
          <w:rFonts w:ascii="Verdana" w:hAnsi="Verdana"/>
          <w:lang w:val="es-ES"/>
        </w:rPr>
      </w:pPr>
    </w:p>
    <w:p w14:paraId="2FC4673E" w14:textId="77777777" w:rsidR="00E146FE" w:rsidRDefault="00E146FE" w:rsidP="004B6767">
      <w:pPr>
        <w:spacing w:after="0"/>
        <w:rPr>
          <w:rFonts w:ascii="Verdana" w:hAnsi="Verdana"/>
          <w:lang w:val="es-ES"/>
        </w:rPr>
      </w:pPr>
    </w:p>
    <w:p w14:paraId="395EEEA8" w14:textId="7D53DFE1" w:rsidR="004B6767" w:rsidRDefault="00C6198B" w:rsidP="004B6767">
      <w:pPr>
        <w:spacing w:after="0"/>
        <w:rPr>
          <w:rFonts w:ascii="Verdana" w:hAnsi="Verdana"/>
          <w:lang w:val="es-ES"/>
        </w:rPr>
      </w:pPr>
      <w:r w:rsidRPr="00C6198B">
        <w:rPr>
          <w:rFonts w:ascii="Verdana" w:hAnsi="Verdana"/>
          <w:lang w:val="es-ES"/>
        </w:rPr>
        <w:lastRenderedPageBreak/>
        <w:t xml:space="preserve">Bogotá D.C., </w:t>
      </w:r>
      <w:r w:rsidR="00FA0625">
        <w:rPr>
          <w:rFonts w:ascii="Verdana" w:hAnsi="Verdana"/>
          <w:lang w:val="es-ES"/>
        </w:rPr>
        <w:t>17 de octubre de 2025</w:t>
      </w:r>
    </w:p>
    <w:p w14:paraId="1FA50C4B" w14:textId="77777777" w:rsidR="00FA0625" w:rsidRDefault="00FA0625" w:rsidP="004B6767">
      <w:pPr>
        <w:spacing w:after="0"/>
        <w:rPr>
          <w:rFonts w:ascii="Verdana" w:hAnsi="Verdana"/>
          <w:lang w:val="es-ES"/>
        </w:rPr>
      </w:pPr>
    </w:p>
    <w:p w14:paraId="2BC40F24" w14:textId="4041DB27" w:rsidR="00FA0625" w:rsidRPr="00FC6F34" w:rsidRDefault="00FA0625" w:rsidP="00FA0625">
      <w:pPr>
        <w:spacing w:after="0"/>
        <w:jc w:val="right"/>
        <w:rPr>
          <w:rFonts w:ascii="Verdana" w:hAnsi="Verdana"/>
          <w:lang w:val="es-ES"/>
        </w:rPr>
      </w:pPr>
    </w:p>
    <w:p w14:paraId="09F67070" w14:textId="09556E25" w:rsidR="004B6767" w:rsidRPr="00FC6F34" w:rsidRDefault="003C60CD" w:rsidP="004B6767">
      <w:pPr>
        <w:spacing w:after="0"/>
        <w:rPr>
          <w:rFonts w:ascii="Verdana" w:hAnsi="Verdana"/>
          <w:lang w:val="es-ES"/>
        </w:rPr>
      </w:pPr>
      <w:r w:rsidRPr="00FA0625">
        <w:rPr>
          <w:rFonts w:ascii="Verdana" w:hAnsi="Verdana"/>
          <w:noProof/>
          <w:lang w:val="es-ES"/>
        </w:rPr>
        <w:drawing>
          <wp:anchor distT="0" distB="0" distL="114300" distR="114300" simplePos="0" relativeHeight="251658752" behindDoc="0" locked="0" layoutInCell="1" allowOverlap="1" wp14:anchorId="0D1BE8A4" wp14:editId="2D6F3E5C">
            <wp:simplePos x="0" y="0"/>
            <wp:positionH relativeFrom="margin">
              <wp:align>right</wp:align>
            </wp:positionH>
            <wp:positionV relativeFrom="paragraph">
              <wp:posOffset>45085</wp:posOffset>
            </wp:positionV>
            <wp:extent cx="3070860" cy="847725"/>
            <wp:effectExtent l="0" t="0" r="0" b="9525"/>
            <wp:wrapSquare wrapText="bothSides"/>
            <wp:docPr id="16327695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769587" name=""/>
                    <pic:cNvPicPr/>
                  </pic:nvPicPr>
                  <pic:blipFill>
                    <a:blip r:embed="rId11">
                      <a:extLst>
                        <a:ext uri="{28A0092B-C50C-407E-A947-70E740481C1C}">
                          <a14:useLocalDpi xmlns:a14="http://schemas.microsoft.com/office/drawing/2010/main" val="0"/>
                        </a:ext>
                      </a:extLst>
                    </a:blip>
                    <a:stretch>
                      <a:fillRect/>
                    </a:stretch>
                  </pic:blipFill>
                  <pic:spPr>
                    <a:xfrm>
                      <a:off x="0" y="0"/>
                      <a:ext cx="3070860" cy="847725"/>
                    </a:xfrm>
                    <a:prstGeom prst="rect">
                      <a:avLst/>
                    </a:prstGeom>
                  </pic:spPr>
                </pic:pic>
              </a:graphicData>
            </a:graphic>
            <wp14:sizeRelH relativeFrom="margin">
              <wp14:pctWidth>0</wp14:pctWidth>
            </wp14:sizeRelH>
            <wp14:sizeRelV relativeFrom="margin">
              <wp14:pctHeight>0</wp14:pctHeight>
            </wp14:sizeRelV>
          </wp:anchor>
        </w:drawing>
      </w:r>
    </w:p>
    <w:p w14:paraId="4E441E27" w14:textId="49A99211" w:rsidR="004B6767" w:rsidRPr="00FC6F34" w:rsidRDefault="004B6767" w:rsidP="004B6767">
      <w:pPr>
        <w:spacing w:after="0" w:line="240" w:lineRule="auto"/>
        <w:rPr>
          <w:rFonts w:ascii="Verdana" w:hAnsi="Verdana"/>
          <w:lang w:val="es-ES"/>
        </w:rPr>
      </w:pPr>
      <w:bookmarkStart w:id="0" w:name="_Hlk143780582"/>
      <w:r w:rsidRPr="00FC6F34">
        <w:rPr>
          <w:rFonts w:ascii="Verdana" w:eastAsia="Calibri" w:hAnsi="Verdana" w:cs="Arial"/>
          <w:color w:val="000000" w:themeColor="text1"/>
          <w:lang w:val="es-ES" w:eastAsia="es-ES"/>
        </w:rPr>
        <w:t>Señora</w:t>
      </w:r>
    </w:p>
    <w:p w14:paraId="2645911E" w14:textId="02999CDE" w:rsidR="004B6767" w:rsidRPr="00FC6F34" w:rsidRDefault="0058714E" w:rsidP="004B6767">
      <w:pPr>
        <w:spacing w:after="0"/>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Paola Alfonso Moreno</w:t>
      </w:r>
    </w:p>
    <w:p w14:paraId="55DCE24C" w14:textId="66313A06" w:rsidR="004B6767" w:rsidRPr="00DD500C" w:rsidRDefault="00DD500C" w:rsidP="00DD500C">
      <w:pPr>
        <w:spacing w:after="0"/>
        <w:rPr>
          <w:rStyle w:val="Hipervnculo"/>
        </w:rPr>
      </w:pPr>
      <w:r w:rsidRPr="00DD500C">
        <w:rPr>
          <w:rStyle w:val="Hipervnculo"/>
          <w:rFonts w:ascii="Verdana" w:eastAsia="Calibri" w:hAnsi="Verdana" w:cs="Arial"/>
          <w:lang w:val="es-ES" w:eastAsia="es-ES"/>
        </w:rPr>
        <w:t>pemalfonso@gmail.co</w:t>
      </w:r>
      <w:r>
        <w:rPr>
          <w:rStyle w:val="Hipervnculo"/>
          <w:rFonts w:ascii="Verdana" w:eastAsia="Calibri" w:hAnsi="Verdana" w:cs="Arial"/>
          <w:lang w:val="es-ES" w:eastAsia="es-ES"/>
        </w:rPr>
        <w:t>m</w:t>
      </w:r>
      <w:r w:rsidRPr="00DD500C">
        <w:rPr>
          <w:rStyle w:val="Hipervnculo"/>
        </w:rPr>
        <w:t xml:space="preserve"> </w:t>
      </w:r>
    </w:p>
    <w:p w14:paraId="15E25282" w14:textId="76E12AC1" w:rsidR="004B6767" w:rsidRPr="00FC6F34" w:rsidRDefault="00DD500C" w:rsidP="004B6767">
      <w:pPr>
        <w:spacing w:after="0"/>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Guateque</w:t>
      </w:r>
      <w:r w:rsidR="004B6767"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Boyacá</w:t>
      </w:r>
    </w:p>
    <w:p w14:paraId="2683F0FD" w14:textId="77777777" w:rsidR="004B6767" w:rsidRPr="00FC6F34" w:rsidRDefault="004B6767" w:rsidP="004B6767">
      <w:pPr>
        <w:spacing w:after="0" w:line="240" w:lineRule="auto"/>
        <w:rPr>
          <w:rFonts w:ascii="Verdana" w:eastAsia="Calibri" w:hAnsi="Verdana" w:cs="Arial"/>
          <w:b/>
          <w:color w:val="000000" w:themeColor="text1"/>
          <w:lang w:val="es-ES" w:eastAsia="es-ES"/>
        </w:rPr>
      </w:pPr>
    </w:p>
    <w:p w14:paraId="2EC0D062" w14:textId="77777777" w:rsidR="004B6767" w:rsidRPr="00FC6F34" w:rsidRDefault="004B6767" w:rsidP="004B6767">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B6767" w:rsidRPr="00FC6F34" w14:paraId="0D607849" w14:textId="77777777" w:rsidTr="00E67E18">
        <w:trPr>
          <w:trHeight w:val="300"/>
        </w:trPr>
        <w:tc>
          <w:tcPr>
            <w:tcW w:w="2410" w:type="dxa"/>
          </w:tcPr>
          <w:p w14:paraId="36071B77" w14:textId="77777777" w:rsidR="004B6767" w:rsidRPr="00FC6F34" w:rsidRDefault="004B6767" w:rsidP="00E67E18">
            <w:pPr>
              <w:ind w:left="-142"/>
              <w:jc w:val="both"/>
              <w:rPr>
                <w:rFonts w:ascii="Verdana" w:eastAsia="Calibri" w:hAnsi="Verdana" w:cs="Arial"/>
                <w:b/>
                <w:bCs/>
                <w:color w:val="000000" w:themeColor="text1"/>
                <w:lang w:val="es-ES" w:eastAsia="es-ES_tradnl"/>
              </w:rPr>
            </w:pPr>
          </w:p>
        </w:tc>
        <w:tc>
          <w:tcPr>
            <w:tcW w:w="6100" w:type="dxa"/>
          </w:tcPr>
          <w:p w14:paraId="49B5723B" w14:textId="448DC5BC" w:rsidR="004B6767" w:rsidRPr="00FC6F34" w:rsidRDefault="004B6767" w:rsidP="00E67E18">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5A27D9">
              <w:rPr>
                <w:rFonts w:ascii="Verdana" w:eastAsia="Calibri" w:hAnsi="Verdana" w:cs="Arial"/>
                <w:b/>
                <w:bCs/>
                <w:color w:val="000000" w:themeColor="text1"/>
                <w:lang w:val="es-ES" w:eastAsia="es-ES"/>
              </w:rPr>
              <w:t>1296</w:t>
            </w:r>
            <w:r w:rsidRPr="00FC6F34">
              <w:rPr>
                <w:rFonts w:ascii="Verdana" w:eastAsia="Calibri" w:hAnsi="Verdana" w:cs="Arial"/>
                <w:b/>
                <w:bCs/>
                <w:color w:val="000000" w:themeColor="text1"/>
                <w:lang w:val="es-ES" w:eastAsia="es-ES"/>
              </w:rPr>
              <w:t xml:space="preserve"> de 2025</w:t>
            </w:r>
          </w:p>
          <w:p w14:paraId="50EC1EA5" w14:textId="77777777" w:rsidR="004B6767" w:rsidRPr="00FC6F34" w:rsidRDefault="004B6767" w:rsidP="00E67E18">
            <w:pPr>
              <w:ind w:left="3"/>
              <w:jc w:val="both"/>
              <w:rPr>
                <w:rFonts w:ascii="Verdana" w:eastAsia="Calibri" w:hAnsi="Verdana" w:cs="Arial"/>
                <w:b/>
                <w:bCs/>
                <w:color w:val="000000" w:themeColor="text1"/>
                <w:lang w:val="es-ES" w:eastAsia="es-ES"/>
              </w:rPr>
            </w:pPr>
          </w:p>
        </w:tc>
      </w:tr>
      <w:tr w:rsidR="004B6767" w:rsidRPr="00FC6F34" w14:paraId="76159873" w14:textId="77777777" w:rsidTr="00E67E18">
        <w:trPr>
          <w:trHeight w:val="300"/>
        </w:trPr>
        <w:tc>
          <w:tcPr>
            <w:tcW w:w="2410" w:type="dxa"/>
          </w:tcPr>
          <w:p w14:paraId="48F341EA" w14:textId="77777777" w:rsidR="004B6767" w:rsidRPr="00FC6F34" w:rsidRDefault="004B6767" w:rsidP="00E67E18">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1A274111" w14:textId="2DB374C8" w:rsidR="004B6767" w:rsidRDefault="004B6767" w:rsidP="00E67E18">
            <w:pPr>
              <w:spacing w:line="276" w:lineRule="auto"/>
              <w:jc w:val="both"/>
              <w:rPr>
                <w:rFonts w:ascii="Verdana" w:hAnsi="Verdana" w:cs="Arial"/>
                <w:color w:val="000000" w:themeColor="text1"/>
                <w:lang w:val="es-ES"/>
              </w:rPr>
            </w:pPr>
            <w:r w:rsidRPr="00686D6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sidR="00F142EF">
              <w:rPr>
                <w:rFonts w:ascii="Verdana" w:eastAsia="Calibri" w:hAnsi="Verdana" w:cs="Arial"/>
                <w:lang w:val="es-ES" w:eastAsia="es-ES"/>
              </w:rPr>
              <w:t xml:space="preserve"> </w:t>
            </w:r>
            <w:r w:rsidRPr="00686D64">
              <w:rPr>
                <w:rFonts w:ascii="Verdana" w:eastAsia="Calibri" w:hAnsi="Verdana" w:cs="Arial"/>
                <w:lang w:val="es-ES" w:eastAsia="es-ES"/>
              </w:rPr>
              <w:t xml:space="preserve">/ LEY DE GARANTÍAS ELECTORALES – Aplicación – Contratación PIC </w:t>
            </w:r>
          </w:p>
          <w:p w14:paraId="37348D18" w14:textId="77777777" w:rsidR="00203F4C" w:rsidRPr="00686D64" w:rsidRDefault="00203F4C" w:rsidP="00E67E18">
            <w:pPr>
              <w:spacing w:line="276" w:lineRule="auto"/>
              <w:jc w:val="both"/>
              <w:rPr>
                <w:rFonts w:ascii="Verdana" w:eastAsia="Calibri" w:hAnsi="Verdana" w:cs="Arial"/>
                <w:color w:val="000000" w:themeColor="text1"/>
                <w:lang w:val="es-ES" w:eastAsia="es-ES"/>
              </w:rPr>
            </w:pPr>
          </w:p>
        </w:tc>
      </w:tr>
      <w:tr w:rsidR="004B6767" w:rsidRPr="00FC6F34" w14:paraId="647D498E" w14:textId="77777777" w:rsidTr="00E67E18">
        <w:tc>
          <w:tcPr>
            <w:tcW w:w="2410" w:type="dxa"/>
          </w:tcPr>
          <w:p w14:paraId="35865F9A" w14:textId="77777777" w:rsidR="004B6767" w:rsidRPr="00FC6F34" w:rsidRDefault="004B6767" w:rsidP="00E67E18">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7F0E591A" w14:textId="17370A09" w:rsidR="004B6767" w:rsidRPr="00FC6F34" w:rsidRDefault="004B6767" w:rsidP="00E67E18">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0087751A" w:rsidRPr="0087751A">
              <w:rPr>
                <w:rFonts w:ascii="Verdana" w:eastAsia="Calibri" w:hAnsi="Verdana" w:cs="Arial"/>
                <w:color w:val="000000" w:themeColor="text1"/>
                <w:lang w:val="es-ES" w:eastAsia="es-ES"/>
              </w:rPr>
              <w:t>1_2025_09_10_009879</w:t>
            </w:r>
          </w:p>
        </w:tc>
      </w:tr>
    </w:tbl>
    <w:p w14:paraId="357BCA64" w14:textId="77777777" w:rsidR="004B6767" w:rsidRPr="00FC6F34" w:rsidRDefault="004B6767" w:rsidP="004B6767">
      <w:pPr>
        <w:spacing w:after="0" w:line="276" w:lineRule="auto"/>
        <w:jc w:val="both"/>
        <w:rPr>
          <w:rFonts w:ascii="Verdana" w:eastAsia="Calibri" w:hAnsi="Verdana" w:cs="Arial"/>
          <w:color w:val="000000" w:themeColor="text1"/>
          <w:lang w:val="es-ES" w:eastAsia="es-ES"/>
        </w:rPr>
      </w:pPr>
    </w:p>
    <w:p w14:paraId="69103731" w14:textId="77777777" w:rsidR="004B6767" w:rsidRPr="00FC6F34" w:rsidRDefault="004B6767" w:rsidP="004B6767">
      <w:pPr>
        <w:spacing w:after="0" w:line="276" w:lineRule="auto"/>
        <w:jc w:val="both"/>
        <w:rPr>
          <w:rFonts w:ascii="Verdana" w:eastAsia="Calibri" w:hAnsi="Verdana" w:cs="Arial"/>
          <w:color w:val="000000" w:themeColor="text1"/>
          <w:lang w:val="es-ES" w:eastAsia="es-ES"/>
        </w:rPr>
      </w:pPr>
    </w:p>
    <w:p w14:paraId="2E223CFA" w14:textId="012D5DD8" w:rsidR="004B6767" w:rsidRPr="00FC6F34" w:rsidRDefault="004B6767" w:rsidP="004B676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Estimada señora </w:t>
      </w:r>
      <w:r w:rsidR="0087751A">
        <w:rPr>
          <w:rFonts w:ascii="Verdana" w:eastAsia="Calibri" w:hAnsi="Verdana" w:cs="Arial"/>
          <w:color w:val="000000" w:themeColor="text1"/>
          <w:lang w:val="es-ES" w:eastAsia="es-ES"/>
        </w:rPr>
        <w:t>Alfonso</w:t>
      </w:r>
      <w:r w:rsidRPr="00FC6F34">
        <w:rPr>
          <w:rFonts w:ascii="Verdana" w:eastAsia="Calibri" w:hAnsi="Verdana" w:cs="Arial"/>
          <w:color w:val="000000" w:themeColor="text1"/>
          <w:lang w:val="es-ES" w:eastAsia="es-ES"/>
        </w:rPr>
        <w:t xml:space="preserve">: </w:t>
      </w:r>
    </w:p>
    <w:p w14:paraId="728A050E" w14:textId="77777777" w:rsidR="004B6767" w:rsidRPr="00FC6F34" w:rsidRDefault="004B6767" w:rsidP="004B6767">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33F0D9CE" w14:textId="506E0646" w:rsidR="004B6767" w:rsidRPr="00FC6F34" w:rsidRDefault="004B6767" w:rsidP="004B676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la Agencia Nacional de Contratación Pública – Colombia Compra Eficiente– responde su solicitud de consulta de fecha 1</w:t>
      </w:r>
      <w:r w:rsidR="00612700">
        <w:rPr>
          <w:rFonts w:ascii="Verdana" w:eastAsia="Calibri" w:hAnsi="Verdana" w:cs="Arial"/>
          <w:color w:val="000000" w:themeColor="text1"/>
          <w:lang w:val="es-ES" w:eastAsia="es-ES"/>
        </w:rPr>
        <w:t>0</w:t>
      </w:r>
      <w:r w:rsidRPr="00FC6F34">
        <w:rPr>
          <w:rFonts w:ascii="Verdana" w:eastAsia="Calibri" w:hAnsi="Verdana" w:cs="Arial"/>
          <w:color w:val="000000" w:themeColor="text1"/>
          <w:lang w:val="es-ES" w:eastAsia="es-ES"/>
        </w:rPr>
        <w:t xml:space="preserve"> de </w:t>
      </w:r>
      <w:r w:rsidR="00612700">
        <w:rPr>
          <w:rFonts w:ascii="Verdana" w:eastAsia="Calibri" w:hAnsi="Verdana" w:cs="Arial"/>
          <w:color w:val="000000" w:themeColor="text1"/>
          <w:lang w:val="es-ES" w:eastAsia="es-ES"/>
        </w:rPr>
        <w:t>septiembre</w:t>
      </w:r>
      <w:r w:rsidRPr="00FC6F34">
        <w:rPr>
          <w:rFonts w:ascii="Verdana" w:eastAsia="Calibri" w:hAnsi="Verdana" w:cs="Arial"/>
          <w:color w:val="000000" w:themeColor="text1"/>
          <w:lang w:val="es-ES" w:eastAsia="es-ES"/>
        </w:rPr>
        <w:t xml:space="preserve"> de 2025, en la cual manifiesta lo siguiente: </w:t>
      </w:r>
    </w:p>
    <w:p w14:paraId="39E08715" w14:textId="77777777" w:rsidR="004B6767" w:rsidRPr="00FC6F34" w:rsidRDefault="004B6767" w:rsidP="004B6767">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4C65EA09" w14:textId="77777777" w:rsidR="0058714E" w:rsidRPr="0058714E" w:rsidRDefault="004B6767" w:rsidP="0058714E">
      <w:pPr>
        <w:spacing w:before="120" w:after="120"/>
        <w:ind w:left="709" w:right="709"/>
        <w:contextualSpacing/>
        <w:jc w:val="both"/>
        <w:rPr>
          <w:rFonts w:ascii="Verdana" w:hAnsi="Verdana"/>
          <w:i/>
          <w:iCs/>
          <w:sz w:val="20"/>
          <w:szCs w:val="20"/>
          <w:lang w:val="es-ES"/>
        </w:rPr>
      </w:pPr>
      <w:r w:rsidRPr="00FC6F34">
        <w:rPr>
          <w:rFonts w:ascii="Verdana" w:eastAsia="Century Gothic" w:hAnsi="Verdana" w:cs="Century Gothic"/>
          <w:i/>
          <w:iCs/>
          <w:color w:val="000000" w:themeColor="text1"/>
          <w:sz w:val="20"/>
          <w:szCs w:val="20"/>
          <w:lang w:val="es-ES"/>
        </w:rPr>
        <w:t>“</w:t>
      </w:r>
      <w:r w:rsidR="0058714E" w:rsidRPr="0058714E">
        <w:rPr>
          <w:rFonts w:ascii="Verdana" w:hAnsi="Verdana"/>
          <w:i/>
          <w:iCs/>
          <w:sz w:val="20"/>
          <w:szCs w:val="20"/>
          <w:lang w:val="es-ES"/>
        </w:rPr>
        <w:t xml:space="preserve">De conformidad con lo previsto en la excepción V del artículo 33 de la Ley 996 de 2005, se consulta si un municipio puede celebrar un convenio con una Empresa Social del Estado – ESE, para la ejecución de las actividades del Plan de Intervenciones Colectivas en Salud (PIC), durante la vigencia de la prohibición establecida por la ley de garantías, teniendo en cuenta que, por disposición normativa expresa, dicha contratación debe suscribirse a más tardar el 31 de marzo de cada año. </w:t>
      </w:r>
    </w:p>
    <w:p w14:paraId="7CD040DE" w14:textId="77777777" w:rsidR="0058714E" w:rsidRPr="0058714E" w:rsidRDefault="0058714E" w:rsidP="0058714E">
      <w:pPr>
        <w:spacing w:before="120" w:after="120"/>
        <w:ind w:left="709" w:right="709"/>
        <w:contextualSpacing/>
        <w:jc w:val="both"/>
        <w:rPr>
          <w:rFonts w:ascii="Verdana" w:hAnsi="Verdana"/>
          <w:i/>
          <w:iCs/>
          <w:sz w:val="20"/>
          <w:szCs w:val="20"/>
          <w:lang w:val="es-ES"/>
        </w:rPr>
      </w:pPr>
    </w:p>
    <w:p w14:paraId="5C55908A" w14:textId="77777777" w:rsidR="0058714E" w:rsidRPr="0058714E" w:rsidRDefault="0058714E" w:rsidP="0058714E">
      <w:pPr>
        <w:spacing w:before="120" w:after="120"/>
        <w:ind w:left="709" w:right="709"/>
        <w:contextualSpacing/>
        <w:jc w:val="both"/>
        <w:rPr>
          <w:rFonts w:ascii="Verdana" w:hAnsi="Verdana"/>
          <w:i/>
          <w:iCs/>
          <w:sz w:val="20"/>
          <w:szCs w:val="20"/>
          <w:lang w:val="es-ES"/>
        </w:rPr>
      </w:pPr>
      <w:r w:rsidRPr="0058714E">
        <w:rPr>
          <w:rFonts w:ascii="Verdana" w:hAnsi="Verdana"/>
          <w:i/>
          <w:iCs/>
          <w:sz w:val="20"/>
          <w:szCs w:val="20"/>
          <w:lang w:val="es-ES"/>
        </w:rPr>
        <w:lastRenderedPageBreak/>
        <w:t xml:space="preserve">La inquietud surge en razón a la necesidad de armonizar la obligación legal que tienen las entidades territoriales de suscribir el respectivo convenio para garantizar la prestación de las actividades colectivas en salud de la población, con las restricciones temporales impuestas por la Ley 996 de 2005. </w:t>
      </w:r>
    </w:p>
    <w:p w14:paraId="5996DCC4" w14:textId="77777777" w:rsidR="0058714E" w:rsidRPr="0058714E" w:rsidRDefault="0058714E" w:rsidP="0058714E">
      <w:pPr>
        <w:spacing w:before="120" w:after="120"/>
        <w:ind w:left="709" w:right="709"/>
        <w:contextualSpacing/>
        <w:jc w:val="both"/>
        <w:rPr>
          <w:rFonts w:ascii="Verdana" w:hAnsi="Verdana"/>
          <w:i/>
          <w:iCs/>
          <w:sz w:val="20"/>
          <w:szCs w:val="20"/>
          <w:lang w:val="es-ES"/>
        </w:rPr>
      </w:pPr>
    </w:p>
    <w:p w14:paraId="70E8B0BF" w14:textId="70290870" w:rsidR="004B6767" w:rsidRPr="00FC6F34" w:rsidRDefault="0058714E" w:rsidP="0058714E">
      <w:pPr>
        <w:spacing w:before="120" w:after="120"/>
        <w:ind w:left="709" w:right="709"/>
        <w:contextualSpacing/>
        <w:jc w:val="both"/>
        <w:rPr>
          <w:rFonts w:ascii="Verdana" w:hAnsi="Verdana"/>
          <w:i/>
          <w:iCs/>
          <w:sz w:val="20"/>
          <w:szCs w:val="20"/>
          <w:lang w:val="es-ES"/>
        </w:rPr>
      </w:pPr>
      <w:r w:rsidRPr="0058714E">
        <w:rPr>
          <w:rFonts w:ascii="Verdana" w:hAnsi="Verdana"/>
          <w:i/>
          <w:iCs/>
          <w:sz w:val="20"/>
          <w:szCs w:val="20"/>
          <w:lang w:val="es-ES"/>
        </w:rPr>
        <w:t>En este sentido, se solicita a esa Entidad emitir un pronunciamiento que permita a la entidad territorial contar con seguridad jurídica respecto de la viabilidad de celebrar el referido convenio dentro de la vigencia de la ley de garantías</w:t>
      </w:r>
      <w:r w:rsidR="004B6767" w:rsidRPr="00FC6F34">
        <w:rPr>
          <w:rFonts w:ascii="Verdana" w:hAnsi="Verdana"/>
          <w:i/>
          <w:iCs/>
          <w:sz w:val="20"/>
          <w:szCs w:val="20"/>
          <w:lang w:val="es-ES"/>
        </w:rPr>
        <w:t>”</w:t>
      </w:r>
      <w:r>
        <w:rPr>
          <w:rFonts w:ascii="Verdana" w:hAnsi="Verdana"/>
          <w:i/>
          <w:iCs/>
          <w:sz w:val="20"/>
          <w:szCs w:val="20"/>
          <w:lang w:val="es-ES"/>
        </w:rPr>
        <w:t>.</w:t>
      </w:r>
    </w:p>
    <w:p w14:paraId="29D195BC" w14:textId="77777777" w:rsidR="004B6767" w:rsidRPr="00FC6F34" w:rsidRDefault="004B6767" w:rsidP="004B6767">
      <w:pPr>
        <w:spacing w:after="0" w:line="276" w:lineRule="auto"/>
        <w:ind w:right="709"/>
        <w:jc w:val="both"/>
        <w:rPr>
          <w:rFonts w:ascii="Verdana" w:eastAsia="Calibri" w:hAnsi="Verdana" w:cs="Arial"/>
          <w:lang w:val="es-ES"/>
        </w:rPr>
      </w:pPr>
    </w:p>
    <w:p w14:paraId="686A1AFF" w14:textId="77777777" w:rsidR="004B6767" w:rsidRPr="00FC6F34" w:rsidRDefault="004B6767" w:rsidP="004B6767">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499A9056" w14:textId="77777777" w:rsidR="004B6767" w:rsidRPr="00FC6F34" w:rsidRDefault="004B6767" w:rsidP="004B6767">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A01C11" w14:textId="77777777" w:rsidR="004B6767" w:rsidRPr="00FC6F34" w:rsidRDefault="004B6767" w:rsidP="004B6767">
      <w:pPr>
        <w:spacing w:after="0" w:line="276" w:lineRule="auto"/>
        <w:ind w:firstLine="709"/>
        <w:jc w:val="both"/>
        <w:rPr>
          <w:rFonts w:ascii="Verdana" w:eastAsia="Calibri" w:hAnsi="Verdana" w:cs="Arial"/>
          <w:color w:val="000000" w:themeColor="text1"/>
          <w:lang w:val="es-ES" w:eastAsia="es-ES"/>
        </w:rPr>
      </w:pPr>
    </w:p>
    <w:p w14:paraId="1E619670" w14:textId="18819892" w:rsidR="004B6767" w:rsidRPr="00FC6F34" w:rsidRDefault="004B6767" w:rsidP="004B6767">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w:t>
      </w:r>
      <w:r w:rsidR="00102AFD">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Problema planteado:</w:t>
      </w:r>
    </w:p>
    <w:p w14:paraId="20D50D7F" w14:textId="77777777" w:rsidR="004B6767" w:rsidRPr="00FC6F34" w:rsidRDefault="004B6767" w:rsidP="004B6767">
      <w:pPr>
        <w:tabs>
          <w:tab w:val="left" w:pos="426"/>
        </w:tabs>
        <w:spacing w:after="0" w:line="276" w:lineRule="auto"/>
        <w:jc w:val="both"/>
        <w:rPr>
          <w:rFonts w:ascii="Verdana" w:eastAsia="Century Gothic" w:hAnsi="Verdana" w:cs="Century Gothic"/>
          <w:color w:val="000000" w:themeColor="text1"/>
          <w:lang w:val="es-ES"/>
        </w:rPr>
      </w:pPr>
    </w:p>
    <w:p w14:paraId="28738D91" w14:textId="77777777" w:rsidR="004B6767" w:rsidRPr="00FC6F34" w:rsidRDefault="004B6767" w:rsidP="004B6767">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sidRPr="00982071">
        <w:rPr>
          <w:rFonts w:ascii="Verdana" w:eastAsia="Century Gothic" w:hAnsi="Verdana" w:cs="Century Gothic"/>
          <w:color w:val="000000" w:themeColor="text1"/>
          <w:lang w:val="es-ES"/>
        </w:rPr>
        <w:t xml:space="preserve">Cuál es el marco jurídico para la </w:t>
      </w:r>
      <w:r>
        <w:rPr>
          <w:rFonts w:ascii="Verdana" w:eastAsia="Century Gothic" w:hAnsi="Verdana" w:cs="Century Gothic"/>
          <w:color w:val="000000" w:themeColor="text1"/>
          <w:lang w:val="es-ES"/>
        </w:rPr>
        <w:t xml:space="preserve">contratación </w:t>
      </w:r>
      <w:r w:rsidRPr="00982071">
        <w:rPr>
          <w:rFonts w:ascii="Verdana" w:eastAsia="Century Gothic" w:hAnsi="Verdana" w:cs="Century Gothic"/>
          <w:color w:val="000000" w:themeColor="text1"/>
          <w:lang w:val="es-ES"/>
        </w:rPr>
        <w:t>del Plan de Intervenciones Colectivas</w:t>
      </w:r>
      <w:r>
        <w:rPr>
          <w:rFonts w:ascii="Verdana" w:eastAsia="Century Gothic" w:hAnsi="Verdana" w:cs="Century Gothic"/>
          <w:color w:val="000000" w:themeColor="text1"/>
          <w:lang w:val="es-ES"/>
        </w:rPr>
        <w:t xml:space="preserve"> (PIC) </w:t>
      </w:r>
      <w:r w:rsidRPr="0076257C">
        <w:rPr>
          <w:rFonts w:ascii="Verdana" w:eastAsia="Century Gothic" w:hAnsi="Verdana" w:cs="Century Gothic"/>
          <w:color w:val="000000" w:themeColor="text1"/>
          <w:lang w:val="es-ES"/>
        </w:rPr>
        <w:t>en vigencia de la Ley de Garantías</w:t>
      </w:r>
      <w:r w:rsidRPr="00982071">
        <w:rPr>
          <w:rFonts w:ascii="Verdana" w:eastAsia="Century Gothic" w:hAnsi="Verdana" w:cs="Century Gothic"/>
          <w:color w:val="000000" w:themeColor="text1"/>
          <w:lang w:val="es-ES"/>
        </w:rPr>
        <w:t>?</w:t>
      </w:r>
    </w:p>
    <w:p w14:paraId="740AB1A3" w14:textId="77777777" w:rsidR="004B6767" w:rsidRPr="00FC6F34" w:rsidRDefault="004B6767" w:rsidP="004B6767">
      <w:pPr>
        <w:spacing w:after="0" w:line="276" w:lineRule="auto"/>
        <w:jc w:val="both"/>
        <w:rPr>
          <w:rFonts w:ascii="Verdana" w:eastAsia="Calibri" w:hAnsi="Verdana" w:cs="Arial"/>
          <w:color w:val="000000" w:themeColor="text1"/>
          <w:lang w:val="es-ES"/>
        </w:rPr>
      </w:pPr>
    </w:p>
    <w:p w14:paraId="594DC2BC" w14:textId="339C915E"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w:t>
      </w:r>
      <w:r w:rsidR="00102AFD">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Respuesta:</w:t>
      </w:r>
    </w:p>
    <w:p w14:paraId="17347E57"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B6767" w:rsidRPr="00FC6F34" w14:paraId="4F9CC2F4" w14:textId="77777777" w:rsidTr="00E67E18">
        <w:tc>
          <w:tcPr>
            <w:tcW w:w="8828" w:type="dxa"/>
          </w:tcPr>
          <w:p w14:paraId="53DF937D" w14:textId="77777777" w:rsidR="004B6767" w:rsidRDefault="004B6767" w:rsidP="00051C96">
            <w:pPr>
              <w:spacing w:before="120" w:after="120" w:line="276" w:lineRule="auto"/>
              <w:jc w:val="both"/>
              <w:rPr>
                <w:rFonts w:ascii="Verdana" w:eastAsia="Calibri" w:hAnsi="Verdana" w:cs="Arial"/>
                <w:lang w:val="es-ES"/>
              </w:rPr>
            </w:pPr>
            <w:r w:rsidRPr="00FC6F34">
              <w:rPr>
                <w:rFonts w:ascii="Verdana" w:eastAsia="Calibri" w:hAnsi="Verdana" w:cs="Arial"/>
                <w:color w:val="000000" w:themeColor="text1"/>
                <w:lang w:val="es-ES"/>
              </w:rPr>
              <w:lastRenderedPageBreak/>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 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32A11FA" w14:textId="78472FDE" w:rsidR="004B6767" w:rsidRDefault="004B6767" w:rsidP="00E67E18">
            <w:pPr>
              <w:spacing w:before="120" w:after="120" w:line="276" w:lineRule="auto"/>
              <w:ind w:firstLine="742"/>
              <w:jc w:val="both"/>
              <w:rPr>
                <w:rFonts w:ascii="Verdana" w:hAnsi="Verdana" w:cs="Arial"/>
                <w:bCs/>
                <w:color w:val="000000" w:themeColor="text1"/>
                <w:lang w:val="es-ES"/>
              </w:rPr>
            </w:pP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 principio, todos los entes del Estado están cobijados por la prohibición para contratar directamente </w:t>
            </w:r>
            <w:r w:rsidR="00281E8D">
              <w:rPr>
                <w:rFonts w:ascii="Verdana" w:eastAsia="Arial" w:hAnsi="Verdana" w:cs="Arial"/>
                <w:bCs/>
                <w:color w:val="000000" w:themeColor="text1"/>
                <w:lang w:val="es-ES"/>
              </w:rPr>
              <w:t xml:space="preserve">según </w:t>
            </w:r>
            <w:r w:rsidRPr="00FC6F34">
              <w:rPr>
                <w:rFonts w:ascii="Verdana" w:eastAsia="Arial" w:hAnsi="Verdana" w:cs="Arial"/>
                <w:bCs/>
                <w:color w:val="000000" w:themeColor="text1"/>
                <w:lang w:val="es-ES"/>
              </w:rPr>
              <w:t xml:space="preserve">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w:t>
            </w:r>
            <w:r>
              <w:rPr>
                <w:rFonts w:ascii="Verdana" w:hAnsi="Verdana" w:cs="Arial"/>
                <w:bCs/>
                <w:color w:val="000000" w:themeColor="text1"/>
                <w:lang w:val="es-ES"/>
              </w:rPr>
              <w:t>, entre las cuales se incluyen “l</w:t>
            </w:r>
            <w:r w:rsidRPr="00FC6F34">
              <w:rPr>
                <w:rFonts w:ascii="Verdana" w:hAnsi="Verdana" w:cs="Arial"/>
                <w:bCs/>
                <w:color w:val="000000" w:themeColor="text1"/>
                <w:lang w:val="es-ES"/>
              </w:rPr>
              <w:t>os contratos requeridos para cubrir las emergencias educativas, sanitarias y desastres</w:t>
            </w:r>
            <w:r>
              <w:rPr>
                <w:rFonts w:ascii="Verdana" w:hAnsi="Verdana" w:cs="Arial"/>
                <w:bCs/>
                <w:color w:val="000000" w:themeColor="text1"/>
                <w:lang w:val="es-ES"/>
              </w:rPr>
              <w:t>” y “l</w:t>
            </w:r>
            <w:r w:rsidRPr="00FC6F34">
              <w:rPr>
                <w:rFonts w:ascii="Verdana" w:hAnsi="Verdana" w:cs="Arial"/>
                <w:bCs/>
                <w:color w:val="000000" w:themeColor="text1"/>
                <w:lang w:val="es-ES"/>
              </w:rPr>
              <w:t>a contratación que deban realizar las entidades sanitarias y hospitalarias</w:t>
            </w:r>
            <w:r>
              <w:rPr>
                <w:rFonts w:ascii="Verdana" w:hAnsi="Verdana" w:cs="Arial"/>
                <w:bCs/>
                <w:color w:val="000000" w:themeColor="text1"/>
                <w:lang w:val="es-ES"/>
              </w:rPr>
              <w:t>”</w:t>
            </w:r>
            <w:r w:rsidRPr="00FC6F34">
              <w:rPr>
                <w:rFonts w:ascii="Verdana" w:hAnsi="Verdana" w:cs="Arial"/>
                <w:bCs/>
                <w:color w:val="000000" w:themeColor="text1"/>
                <w:lang w:val="es-ES"/>
              </w:rPr>
              <w:t>.</w:t>
            </w:r>
          </w:p>
          <w:p w14:paraId="40008F6B" w14:textId="2A5CABB5" w:rsidR="004B6767" w:rsidRDefault="004B6767" w:rsidP="00E67E18">
            <w:pPr>
              <w:spacing w:before="120" w:after="120" w:line="276" w:lineRule="auto"/>
              <w:ind w:firstLine="709"/>
              <w:jc w:val="both"/>
              <w:rPr>
                <w:rFonts w:ascii="Verdana" w:eastAsia="Arial"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w:t>
            </w:r>
            <w:r>
              <w:rPr>
                <w:rFonts w:ascii="Verdana" w:hAnsi="Verdana" w:cs="Arial"/>
                <w:bCs/>
                <w:color w:val="000000" w:themeColor="text1"/>
                <w:lang w:val="es-ES"/>
              </w:rPr>
              <w:t xml:space="preserve">aclarar que, </w:t>
            </w:r>
            <w:r w:rsidRPr="00FC6F34">
              <w:rPr>
                <w:rFonts w:ascii="Verdana" w:hAnsi="Verdana" w:cs="Arial"/>
                <w:color w:val="000000" w:themeColor="text1"/>
                <w:lang w:val="es-ES"/>
              </w:rPr>
              <w:t>dentro de la estructura de la administración pública</w:t>
            </w:r>
            <w:r>
              <w:rPr>
                <w:rFonts w:ascii="Verdana" w:hAnsi="Verdana" w:cs="Arial"/>
                <w:color w:val="000000" w:themeColor="text1"/>
                <w:lang w:val="es-ES"/>
              </w:rPr>
              <w:t>,</w:t>
            </w:r>
            <w:r w:rsidRPr="00FC6F34">
              <w:rPr>
                <w:rFonts w:ascii="Verdana" w:hAnsi="Verdana" w:cs="Arial"/>
                <w:color w:val="000000" w:themeColor="text1"/>
                <w:lang w:val="es-ES"/>
              </w:rPr>
              <w:t xml:space="preserve"> las Empresas Sociales del Estado son las entidades encargadas de prestar el servicio de salud de manera directa</w:t>
            </w:r>
            <w:r w:rsidR="00DE6815">
              <w:rPr>
                <w:rFonts w:ascii="Verdana" w:hAnsi="Verdana" w:cs="Arial"/>
                <w:color w:val="000000" w:themeColor="text1"/>
                <w:lang w:val="es-ES"/>
              </w:rPr>
              <w:t xml:space="preserve"> </w:t>
            </w:r>
            <w:r w:rsidR="00DE6815">
              <w:rPr>
                <w:rFonts w:ascii="Verdana" w:hAnsi="Verdana" w:cs="Arial"/>
                <w:bCs/>
                <w:color w:val="000000" w:themeColor="text1"/>
                <w:lang w:val="es-ES"/>
              </w:rPr>
              <w:t>b</w:t>
            </w:r>
            <w:r w:rsidR="00DE6815" w:rsidRPr="00FC6F34">
              <w:rPr>
                <w:rFonts w:ascii="Verdana" w:hAnsi="Verdana" w:cs="Arial"/>
                <w:color w:val="000000" w:themeColor="text1"/>
                <w:lang w:val="es-ES"/>
              </w:rPr>
              <w:t>ajo la Ley 100 de 1993</w:t>
            </w:r>
            <w:r>
              <w:rPr>
                <w:rFonts w:ascii="Verdana" w:hAnsi="Verdana" w:cs="Arial"/>
                <w:color w:val="000000" w:themeColor="text1"/>
                <w:lang w:val="es-ES"/>
              </w:rPr>
              <w:t xml:space="preserve">. Adicionalmente, </w:t>
            </w:r>
            <w:r w:rsidRPr="00FC6F34">
              <w:rPr>
                <w:rFonts w:ascii="Verdana" w:eastAsia="Arial" w:hAnsi="Verdana" w:cs="Arial"/>
                <w:bCs/>
                <w:color w:val="000000" w:themeColor="text1"/>
                <w:lang w:val="es-ES"/>
              </w:rPr>
              <w:t xml:space="preserve">el artículo 2.8.8.1.1.3 del Decreto 780 de 2016, Por medio del cual se expide el Decreto Único Reglamentario del Sector Salud y Protección Social, definió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como “Entidades del Estado que prestan servicios sanitarios o de sanidad con el propósito de preservar la salud humana y la salud pública”. De esta forma, </w:t>
            </w:r>
            <w:r>
              <w:rPr>
                <w:rFonts w:ascii="Verdana" w:eastAsia="Arial" w:hAnsi="Verdana" w:cs="Arial"/>
                <w:bCs/>
                <w:color w:val="000000" w:themeColor="text1"/>
                <w:lang w:val="es-ES"/>
              </w:rPr>
              <w:t>p</w:t>
            </w:r>
            <w:r w:rsidRPr="00FC6F34">
              <w:rPr>
                <w:rFonts w:ascii="Verdana" w:eastAsia="Arial" w:hAnsi="Verdana" w:cs="Arial"/>
                <w:bCs/>
                <w:color w:val="000000" w:themeColor="text1"/>
                <w:lang w:val="es-ES"/>
              </w:rPr>
              <w:t xml:space="preserve">ara efectos de la excepción, es indiferente que la </w:t>
            </w: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ntidad </w:t>
            </w:r>
            <w:r>
              <w:rPr>
                <w:rFonts w:ascii="Verdana" w:eastAsia="Arial" w:hAnsi="Verdana" w:cs="Arial"/>
                <w:bCs/>
                <w:color w:val="000000" w:themeColor="text1"/>
                <w:lang w:val="es-ES"/>
              </w:rPr>
              <w:t>Es</w:t>
            </w:r>
            <w:r w:rsidRPr="00FC6F34">
              <w:rPr>
                <w:rFonts w:ascii="Verdana" w:eastAsia="Arial" w:hAnsi="Verdana" w:cs="Arial"/>
                <w:bCs/>
                <w:color w:val="000000" w:themeColor="text1"/>
                <w:lang w:val="es-ES"/>
              </w:rPr>
              <w:t xml:space="preserve">tatal tenga funciones de </w:t>
            </w:r>
            <w:r w:rsidRPr="00FC6F34">
              <w:rPr>
                <w:rFonts w:ascii="Verdana" w:eastAsia="Arial" w:hAnsi="Verdana" w:cs="Arial"/>
                <w:bCs/>
                <w:i/>
                <w:iCs/>
                <w:color w:val="000000" w:themeColor="text1"/>
                <w:lang w:val="es-ES"/>
              </w:rPr>
              <w:t>autoridad sanitaria</w:t>
            </w:r>
            <w:r w:rsidRPr="00FC6F34">
              <w:rPr>
                <w:rFonts w:ascii="Verdana" w:eastAsia="Arial" w:hAnsi="Verdana" w:cs="Arial"/>
                <w:bCs/>
                <w:color w:val="000000" w:themeColor="text1"/>
                <w:lang w:val="es-ES"/>
              </w:rPr>
              <w:t xml:space="preserve">, pues lo relevante para determinar si la contratación está exceptuada de la prohibición general </w:t>
            </w:r>
            <w:r>
              <w:rPr>
                <w:rFonts w:ascii="Verdana" w:eastAsia="Arial" w:hAnsi="Verdana" w:cs="Arial"/>
                <w:bCs/>
                <w:color w:val="000000" w:themeColor="text1"/>
                <w:lang w:val="es-ES"/>
              </w:rPr>
              <w:t xml:space="preserve">es que </w:t>
            </w:r>
            <w:r w:rsidRPr="00FC6F34">
              <w:rPr>
                <w:rFonts w:ascii="Verdana" w:eastAsia="Arial" w:hAnsi="Verdana" w:cs="Arial"/>
                <w:bCs/>
                <w:color w:val="000000" w:themeColor="text1"/>
                <w:lang w:val="es-ES"/>
              </w:rPr>
              <w:t xml:space="preserve">se trate de una </w:t>
            </w:r>
            <w:r w:rsidRPr="00FC6F34">
              <w:rPr>
                <w:rFonts w:ascii="Verdana" w:eastAsia="Arial" w:hAnsi="Verdana" w:cs="Arial"/>
                <w:bCs/>
                <w:i/>
                <w:iCs/>
                <w:color w:val="000000" w:themeColor="text1"/>
                <w:lang w:val="es-ES"/>
              </w:rPr>
              <w:t>entidad sanitaria</w:t>
            </w:r>
            <w:r w:rsidRPr="00FC6F34">
              <w:rPr>
                <w:rFonts w:ascii="Verdana" w:eastAsia="Arial" w:hAnsi="Verdana" w:cs="Arial"/>
                <w:bCs/>
                <w:color w:val="000000" w:themeColor="text1"/>
                <w:lang w:val="es-ES"/>
              </w:rPr>
              <w:t>. Sobre lo anterior</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el Consejo de Estado ha señalado que “las entidades que presten servicios tendientes a preservar la salud </w:t>
            </w:r>
            <w:proofErr w:type="spellStart"/>
            <w:r w:rsidRPr="00FC6F34">
              <w:rPr>
                <w:rFonts w:ascii="Verdana" w:eastAsia="Arial" w:hAnsi="Verdana" w:cs="Arial"/>
                <w:bCs/>
                <w:color w:val="000000" w:themeColor="text1"/>
                <w:lang w:val="es-ES"/>
              </w:rPr>
              <w:t>pública</w:t>
            </w:r>
            <w:proofErr w:type="spellEnd"/>
            <w:r w:rsidRPr="00FC6F34">
              <w:rPr>
                <w:rFonts w:ascii="Verdana" w:eastAsia="Arial" w:hAnsi="Verdana" w:cs="Arial"/>
                <w:bCs/>
                <w:color w:val="000000" w:themeColor="text1"/>
                <w:lang w:val="es-ES"/>
              </w:rPr>
              <w:t xml:space="preserve"> o humana deben ser consideradas como entidades sanitarias y en principio estarían exceptuadas de la prohibición de </w:t>
            </w:r>
            <w:proofErr w:type="spellStart"/>
            <w:r w:rsidRPr="00FC6F34">
              <w:rPr>
                <w:rFonts w:ascii="Verdana" w:eastAsia="Arial" w:hAnsi="Verdana" w:cs="Arial"/>
                <w:bCs/>
                <w:color w:val="000000" w:themeColor="text1"/>
                <w:lang w:val="es-ES"/>
              </w:rPr>
              <w:t>contratación</w:t>
            </w:r>
            <w:proofErr w:type="spellEnd"/>
            <w:r w:rsidRPr="00FC6F34">
              <w:rPr>
                <w:rFonts w:ascii="Verdana" w:eastAsia="Arial" w:hAnsi="Verdana" w:cs="Arial"/>
                <w:bCs/>
                <w:color w:val="000000" w:themeColor="text1"/>
                <w:lang w:val="es-ES"/>
              </w:rPr>
              <w:t xml:space="preserve"> directa”.</w:t>
            </w:r>
          </w:p>
          <w:p w14:paraId="708ACF6A" w14:textId="009E10F6" w:rsidR="004B6767" w:rsidRDefault="004B6767" w:rsidP="00E67E18">
            <w:pPr>
              <w:spacing w:before="120" w:after="120" w:line="276" w:lineRule="auto"/>
              <w:ind w:firstLine="742"/>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Conforme con lo expuesto, las entidades que requieran adelantar procesos de contratación directa durante el periodo de garantías electorales deberán analizar, primero, si se configuran los supuestos establecidos en </w:t>
            </w:r>
            <w:r w:rsidRPr="00D43D96">
              <w:rPr>
                <w:rFonts w:ascii="Verdana" w:eastAsia="Arial" w:hAnsi="Verdana" w:cs="Arial"/>
                <w:bCs/>
                <w:color w:val="000000" w:themeColor="text1"/>
                <w:lang w:val="es-ES"/>
              </w:rPr>
              <w:t xml:space="preserve">el </w:t>
            </w:r>
            <w:r w:rsidRPr="00D43D96">
              <w:rPr>
                <w:rFonts w:ascii="Verdana" w:eastAsia="Arial" w:hAnsi="Verdana" w:cs="Arial"/>
                <w:bCs/>
                <w:color w:val="000000" w:themeColor="text1"/>
                <w:lang w:val="es-ES"/>
              </w:rPr>
              <w:lastRenderedPageBreak/>
              <w:t xml:space="preserve">artículo 33 </w:t>
            </w:r>
            <w:r>
              <w:rPr>
                <w:rFonts w:ascii="Verdana" w:eastAsia="Arial" w:hAnsi="Verdana" w:cs="Arial"/>
                <w:bCs/>
                <w:color w:val="000000" w:themeColor="text1"/>
                <w:lang w:val="es-ES"/>
              </w:rPr>
              <w:t>de la Ley 996 de 2005, es decir, si se trata de una entidad pública que pretenda adelantar un proceso no competitivo. Adicionalmente, será pertinente analizar si se configura alguna de las excepciones previstas en la norma. En este caso, será relevante determinar si la contratación del PIC se realiza con ocasión a una “emergencia sanitaria” o si es llevada a cabo por “entidades sanitarias u hospitalarias”. De ser así, la entidad podrá contratar directamente, a pesar de que haya iniciado el periodo de garantías electorales correspondiente al artículo 33 de la Ley 996 de 2005.</w:t>
            </w:r>
          </w:p>
          <w:p w14:paraId="184403A8" w14:textId="77777777" w:rsidR="004B6767" w:rsidRDefault="004B6767" w:rsidP="00E67E18">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033E8B">
              <w:rPr>
                <w:rFonts w:ascii="Verdana" w:eastAsia="Calibri" w:hAnsi="Verdana" w:cs="Arial"/>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Arial" w:hAnsi="Verdana" w:cs="Arial"/>
                <w:lang w:val="es-ES" w:eastAsia="es-ES" w:bidi="es-ES"/>
              </w:rPr>
              <w:t xml:space="preserve"> </w:t>
            </w:r>
          </w:p>
          <w:p w14:paraId="044CF81C" w14:textId="0CE71D63" w:rsidR="004B6767" w:rsidRPr="00B743F9" w:rsidRDefault="004B6767" w:rsidP="00E67E18">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Arial" w:hAnsi="Verdana" w:cs="Arial"/>
                <w:lang w:val="es-ES" w:eastAsia="es-ES" w:bidi="es-ES"/>
              </w:rPr>
              <w:t xml:space="preserve">En efecto, con respecto a esta prohibición, </w:t>
            </w:r>
            <w:r>
              <w:rPr>
                <w:rFonts w:ascii="Verdana" w:eastAsia="Arial" w:hAnsi="Verdana" w:cs="Arial"/>
                <w:bCs/>
                <w:color w:val="000000" w:themeColor="text1"/>
                <w:lang w:val="es-ES"/>
              </w:rPr>
              <w:t>es necesario verificar si la contratación del PIC es llevada a cabo por alguno de los sujetos señalados en la norma</w:t>
            </w:r>
            <w:r w:rsidR="00E614F5">
              <w:rPr>
                <w:rFonts w:ascii="Verdana" w:eastAsia="Arial" w:hAnsi="Verdana" w:cs="Arial"/>
                <w:bCs/>
                <w:color w:val="000000" w:themeColor="text1"/>
                <w:lang w:val="es-ES"/>
              </w:rPr>
              <w:t xml:space="preserve">, </w:t>
            </w:r>
            <w:r>
              <w:rPr>
                <w:rFonts w:ascii="Verdana" w:eastAsia="Arial" w:hAnsi="Verdana" w:cs="Arial"/>
                <w:bCs/>
                <w:color w:val="000000" w:themeColor="text1"/>
              </w:rPr>
              <w:t>así como</w:t>
            </w:r>
            <w:r>
              <w:rPr>
                <w:rFonts w:ascii="Verdana" w:eastAsia="Arial" w:hAnsi="Verdana" w:cs="Arial"/>
                <w:bCs/>
                <w:color w:val="000000" w:themeColor="text1"/>
                <w:lang w:val="es-ES"/>
              </w:rPr>
              <w:t xml:space="preserve"> si lo que se pretende adelantar es un convenio o un contrato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trate de entidades sanitarias u hospitalarias. </w:t>
            </w:r>
          </w:p>
          <w:p w14:paraId="17D706DE" w14:textId="151FBC6D" w:rsidR="004B6767" w:rsidRDefault="004B6767" w:rsidP="00E67E18">
            <w:pPr>
              <w:widowControl w:val="0"/>
              <w:tabs>
                <w:tab w:val="left" w:pos="3402"/>
              </w:tabs>
              <w:autoSpaceDE w:val="0"/>
              <w:autoSpaceDN w:val="0"/>
              <w:spacing w:after="120" w:line="276" w:lineRule="auto"/>
              <w:ind w:right="113" w:firstLine="709"/>
              <w:jc w:val="both"/>
              <w:rPr>
                <w:rFonts w:ascii="Verdana" w:eastAsia="Arial" w:hAnsi="Verdana" w:cs="Arial"/>
                <w:bCs/>
                <w:color w:val="000000" w:themeColor="text1"/>
                <w:lang w:val="es-ES"/>
              </w:rPr>
            </w:pPr>
            <w:r>
              <w:rPr>
                <w:rFonts w:ascii="Verdana" w:eastAsia="Arial" w:hAnsi="Verdana" w:cs="Arial"/>
                <w:lang w:val="es-ES" w:eastAsia="es-ES" w:bidi="es-ES"/>
              </w:rPr>
              <w:t xml:space="preserve">Se resalta que el </w:t>
            </w:r>
            <w:r w:rsidRPr="00FC6F34">
              <w:rPr>
                <w:rFonts w:ascii="Verdana" w:eastAsia="Arial" w:hAnsi="Verdana" w:cs="Arial"/>
                <w:bCs/>
                <w:color w:val="000000" w:themeColor="text1"/>
                <w:lang w:val="es-ES"/>
              </w:rPr>
              <w:t>Ministerio de Salud y Protección Social</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mediante la Resolución 04 del 12 de </w:t>
            </w:r>
            <w:proofErr w:type="gramStart"/>
            <w:r w:rsidRPr="00FC6F34">
              <w:rPr>
                <w:rFonts w:ascii="Verdana" w:eastAsia="Arial" w:hAnsi="Verdana" w:cs="Arial"/>
                <w:bCs/>
                <w:color w:val="000000" w:themeColor="text1"/>
                <w:lang w:val="es-ES"/>
              </w:rPr>
              <w:t>Enero</w:t>
            </w:r>
            <w:proofErr w:type="gramEnd"/>
            <w:r w:rsidRPr="00FC6F34">
              <w:rPr>
                <w:rFonts w:ascii="Verdana" w:eastAsia="Arial" w:hAnsi="Verdana" w:cs="Arial"/>
                <w:bCs/>
                <w:color w:val="000000" w:themeColor="text1"/>
                <w:lang w:val="es-ES"/>
              </w:rPr>
              <w:t xml:space="preserve"> de 2018, dio “instrucciones para la ejecución de las acciones en salud pública en el marco de la Ley de Garantías electorales”.</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Respecto de la ejecución del Plan de Intervenciones Colectivas</w:t>
            </w:r>
            <w:r>
              <w:rPr>
                <w:rFonts w:ascii="Verdana" w:eastAsia="Arial" w:hAnsi="Verdana" w:cs="Arial"/>
                <w:bCs/>
                <w:color w:val="000000" w:themeColor="text1"/>
                <w:lang w:val="es-ES"/>
              </w:rPr>
              <w:t xml:space="preserve"> (PIC)</w:t>
            </w:r>
            <w:r w:rsidRPr="00FC6F34">
              <w:rPr>
                <w:rFonts w:ascii="Verdana" w:eastAsia="Arial" w:hAnsi="Verdana" w:cs="Arial"/>
                <w:bCs/>
                <w:color w:val="000000" w:themeColor="text1"/>
                <w:lang w:val="es-ES"/>
              </w:rPr>
              <w:t>,</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enfatizó que las entidades deben garantizar los tramites contractuales y la planeación para la continuidad del </w:t>
            </w:r>
            <w:r>
              <w:rPr>
                <w:rFonts w:ascii="Verdana" w:eastAsia="Arial" w:hAnsi="Verdana" w:cs="Arial"/>
                <w:bCs/>
                <w:color w:val="000000" w:themeColor="text1"/>
                <w:lang w:val="es-ES"/>
              </w:rPr>
              <w:t>programa</w:t>
            </w:r>
            <w:r w:rsidRPr="00FC6F34">
              <w:rPr>
                <w:rFonts w:ascii="Verdana" w:eastAsia="Arial" w:hAnsi="Verdana" w:cs="Arial"/>
                <w:bCs/>
                <w:color w:val="000000" w:themeColor="text1"/>
                <w:lang w:val="es-ES"/>
              </w:rPr>
              <w:t>. Además, señal</w:t>
            </w:r>
            <w:r>
              <w:rPr>
                <w:rFonts w:ascii="Verdana" w:eastAsia="Arial" w:hAnsi="Verdana" w:cs="Arial"/>
                <w:bCs/>
                <w:color w:val="000000" w:themeColor="text1"/>
                <w:lang w:val="es-ES"/>
              </w:rPr>
              <w:t>ó</w:t>
            </w:r>
            <w:r w:rsidRPr="00FC6F34">
              <w:rPr>
                <w:rFonts w:ascii="Verdana" w:eastAsia="Arial" w:hAnsi="Verdana" w:cs="Arial"/>
                <w:bCs/>
                <w:color w:val="000000" w:themeColor="text1"/>
                <w:lang w:val="es-ES"/>
              </w:rPr>
              <w:t xml:space="preserve"> que durante el periodo de prohibición del artículo 33 de la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ey 996 de 2005 “se exceptúan las acciones que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a entidad territorial requiera contratar como entidad sanitaria” con el fin de no paralizar su funcionamiento o interrumpir la prestación de los servicios públicos de carácter esencial, con lo cual resalt</w:t>
            </w:r>
            <w:r w:rsidR="0064473F">
              <w:rPr>
                <w:rFonts w:ascii="Verdana" w:eastAsia="Arial" w:hAnsi="Verdana" w:cs="Arial"/>
                <w:bCs/>
                <w:color w:val="000000" w:themeColor="text1"/>
                <w:lang w:val="es-ES"/>
              </w:rPr>
              <w:t>ó</w:t>
            </w:r>
            <w:r w:rsidRPr="00FC6F34">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lastRenderedPageBreak/>
              <w:t xml:space="preserve">la excepción aplicable a </w:t>
            </w:r>
            <w:r>
              <w:rPr>
                <w:rFonts w:ascii="Verdana" w:eastAsia="Arial" w:hAnsi="Verdana" w:cs="Arial"/>
                <w:bCs/>
                <w:color w:val="000000" w:themeColor="text1"/>
                <w:lang w:val="es-ES"/>
              </w:rPr>
              <w:t>estas entidades</w:t>
            </w:r>
            <w:r w:rsidRPr="00FC6F34">
              <w:rPr>
                <w:rFonts w:ascii="Verdana" w:eastAsia="Arial" w:hAnsi="Verdana" w:cs="Arial"/>
                <w:bCs/>
                <w:color w:val="000000" w:themeColor="text1"/>
                <w:lang w:val="es-ES"/>
              </w:rPr>
              <w:t>. Sobre esto último</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estableció como criterios para determinar </w:t>
            </w:r>
            <w:r>
              <w:rPr>
                <w:rFonts w:ascii="Verdana" w:eastAsia="Arial" w:hAnsi="Verdana" w:cs="Arial"/>
                <w:bCs/>
                <w:color w:val="000000" w:themeColor="text1"/>
                <w:lang w:val="es-ES"/>
              </w:rPr>
              <w:t xml:space="preserve">la </w:t>
            </w:r>
            <w:r w:rsidR="00842959">
              <w:rPr>
                <w:rFonts w:ascii="Verdana" w:eastAsia="Arial" w:hAnsi="Verdana" w:cs="Arial"/>
                <w:bCs/>
                <w:color w:val="000000" w:themeColor="text1"/>
                <w:lang w:val="es-ES"/>
              </w:rPr>
              <w:t xml:space="preserve">procedencia </w:t>
            </w:r>
            <w:r>
              <w:rPr>
                <w:rFonts w:ascii="Verdana" w:eastAsia="Arial" w:hAnsi="Verdana" w:cs="Arial"/>
                <w:bCs/>
                <w:color w:val="000000" w:themeColor="text1"/>
                <w:lang w:val="es-ES"/>
              </w:rPr>
              <w:t>de la</w:t>
            </w:r>
            <w:r w:rsidRPr="00FC6F34">
              <w:rPr>
                <w:rFonts w:ascii="Verdana" w:eastAsia="Arial" w:hAnsi="Verdana" w:cs="Arial"/>
                <w:bCs/>
                <w:color w:val="000000" w:themeColor="text1"/>
                <w:lang w:val="es-ES"/>
              </w:rPr>
              <w:t xml:space="preserve"> excepción en materia de salud: i) </w:t>
            </w:r>
            <w:r>
              <w:rPr>
                <w:rFonts w:ascii="Verdana" w:eastAsia="Arial" w:hAnsi="Verdana" w:cs="Arial"/>
                <w:bCs/>
                <w:color w:val="000000" w:themeColor="text1"/>
                <w:lang w:val="es-ES"/>
              </w:rPr>
              <w:t>q</w:t>
            </w:r>
            <w:r w:rsidRPr="00FC6F34">
              <w:rPr>
                <w:rFonts w:ascii="Verdana" w:eastAsia="Arial" w:hAnsi="Verdana" w:cs="Arial"/>
                <w:bCs/>
                <w:color w:val="000000" w:themeColor="text1"/>
                <w:lang w:val="es-ES"/>
              </w:rPr>
              <w:t xml:space="preserve">ue la contratación sea necesaria para solventar las eventuales situaciones de urgencia en salud, y </w:t>
            </w:r>
            <w:proofErr w:type="spellStart"/>
            <w:r w:rsidRPr="00FC6F34">
              <w:rPr>
                <w:rFonts w:ascii="Verdana" w:eastAsia="Arial" w:hAnsi="Verdana" w:cs="Arial"/>
                <w:bCs/>
                <w:color w:val="000000" w:themeColor="text1"/>
                <w:lang w:val="es-ES"/>
              </w:rPr>
              <w:t>ii</w:t>
            </w:r>
            <w:proofErr w:type="spellEnd"/>
            <w:r w:rsidR="002207EB" w:rsidRPr="00FC6F34">
              <w:rPr>
                <w:rFonts w:ascii="Verdana" w:eastAsia="Arial" w:hAnsi="Verdana" w:cs="Arial"/>
                <w:bCs/>
                <w:color w:val="000000" w:themeColor="text1"/>
                <w:lang w:val="es-ES"/>
              </w:rPr>
              <w:t>) que</w:t>
            </w:r>
            <w:r w:rsidRPr="00FC6F34">
              <w:rPr>
                <w:rFonts w:ascii="Verdana" w:eastAsia="Arial" w:hAnsi="Verdana" w:cs="Arial"/>
                <w:bCs/>
                <w:color w:val="000000" w:themeColor="text1"/>
                <w:lang w:val="es-ES"/>
              </w:rPr>
              <w:t xml:space="preserv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2F2F2B12" w14:textId="5F0EEEFC" w:rsidR="004B6767" w:rsidRDefault="004B6767" w:rsidP="00E67E18">
            <w:pPr>
              <w:spacing w:before="120" w:after="120" w:line="276" w:lineRule="auto"/>
              <w:ind w:firstLine="709"/>
              <w:jc w:val="both"/>
              <w:rPr>
                <w:rFonts w:ascii="Verdana" w:eastAsia="Times New Roman" w:hAnsi="Verdana" w:cs="Arial"/>
                <w:bCs/>
                <w:lang w:val="es-ES" w:eastAsia="es-CO"/>
              </w:rPr>
            </w:pPr>
            <w:r>
              <w:rPr>
                <w:rFonts w:ascii="Verdana" w:eastAsia="Arial" w:hAnsi="Verdana" w:cs="Arial"/>
                <w:bCs/>
                <w:color w:val="000000" w:themeColor="text1"/>
                <w:lang w:val="es-ES"/>
              </w:rPr>
              <w:t xml:space="preserve">Esto último es acorde con </w:t>
            </w:r>
            <w:r>
              <w:rPr>
                <w:rFonts w:ascii="Verdana" w:eastAsia="Times New Roman" w:hAnsi="Verdana" w:cs="Arial"/>
                <w:bCs/>
                <w:lang w:val="es-ES" w:eastAsia="es-CO"/>
              </w:rPr>
              <w:t xml:space="preserve">lo </w:t>
            </w:r>
            <w:r w:rsidRPr="00FC6F34">
              <w:rPr>
                <w:rFonts w:ascii="Verdana" w:eastAsia="Times New Roman" w:hAnsi="Verdana" w:cs="Arial"/>
                <w:bCs/>
                <w:lang w:val="es-ES" w:eastAsia="es-CO"/>
              </w:rPr>
              <w:t xml:space="preserve">manifestado </w:t>
            </w:r>
            <w:r>
              <w:rPr>
                <w:rFonts w:ascii="Verdana" w:eastAsia="Times New Roman" w:hAnsi="Verdana" w:cs="Arial"/>
                <w:bCs/>
                <w:lang w:val="es-ES" w:eastAsia="es-CO"/>
              </w:rPr>
              <w:t xml:space="preserve">por </w:t>
            </w:r>
            <w:r w:rsidRPr="00FC6F34">
              <w:rPr>
                <w:rFonts w:ascii="Verdana" w:eastAsia="Times New Roman" w:hAnsi="Verdana" w:cs="Arial"/>
                <w:bCs/>
                <w:lang w:val="es-ES" w:eastAsia="es-CO"/>
              </w:rPr>
              <w:t>esta Agencia,</w:t>
            </w:r>
            <w:r>
              <w:rPr>
                <w:rFonts w:ascii="Verdana" w:eastAsia="Times New Roman" w:hAnsi="Verdana" w:cs="Arial"/>
                <w:bCs/>
                <w:lang w:val="es-ES" w:eastAsia="es-CO"/>
              </w:rPr>
              <w:t xml:space="preserve"> en el sentido de que</w:t>
            </w:r>
            <w:r w:rsidRPr="00FC6F34">
              <w:rPr>
                <w:rFonts w:ascii="Verdana" w:eastAsia="Times New Roman" w:hAnsi="Verdana" w:cs="Arial"/>
                <w:bCs/>
                <w:lang w:val="es-ES" w:eastAsia="es-CO"/>
              </w:rPr>
              <w:t xml:space="preserve"> las prórrogas, modificaciones o adiciones de los contratos suscritos antes de la entrada en vigencia de las prohibiciones</w:t>
            </w:r>
            <w:r>
              <w:rPr>
                <w:rFonts w:ascii="Verdana" w:eastAsia="Times New Roman" w:hAnsi="Verdana" w:cs="Arial"/>
                <w:bCs/>
                <w:lang w:val="es-ES" w:eastAsia="es-CO"/>
              </w:rPr>
              <w:t xml:space="preserve"> del artículo 33 y el parágrafo del artículo 38</w:t>
            </w:r>
            <w:r w:rsidRPr="00FC6F34">
              <w:rPr>
                <w:rFonts w:ascii="Verdana" w:eastAsia="Times New Roman" w:hAnsi="Verdana" w:cs="Arial"/>
                <w:bCs/>
                <w:lang w:val="es-ES" w:eastAsia="es-CO"/>
              </w:rPr>
              <w:t>, así como la cesión de los mismos, pueden tener lugar en el período de aplicación de la Ley de Garantías Electorales, sin que ello haga nugatoria la restricción de la contratación directa</w:t>
            </w:r>
            <w:r w:rsidR="0048632F">
              <w:rPr>
                <w:rFonts w:ascii="Verdana" w:eastAsia="Times New Roman" w:hAnsi="Verdana" w:cs="Arial"/>
                <w:bCs/>
                <w:lang w:val="es-ES" w:eastAsia="es-CO"/>
              </w:rPr>
              <w:t xml:space="preserve">, </w:t>
            </w:r>
            <w:r w:rsidRPr="00FC6F34">
              <w:rPr>
                <w:rFonts w:ascii="Verdana" w:eastAsia="Times New Roman" w:hAnsi="Verdana" w:cs="Arial"/>
                <w:bCs/>
                <w:lang w:val="es-ES" w:eastAsia="es-CO"/>
              </w:rPr>
              <w:t>siempre que cumplan los principios de planeación, transparencia y responsabilidad</w:t>
            </w:r>
            <w:r w:rsidRPr="00FC6F34">
              <w:rPr>
                <w:rFonts w:ascii="Verdana" w:eastAsia="Times New Roman" w:hAnsi="Verdana" w:cs="Arial"/>
                <w:bCs/>
                <w:vertAlign w:val="superscript"/>
                <w:lang w:val="es-ES" w:eastAsia="es-CO"/>
              </w:rPr>
              <w:footnoteReference w:id="1"/>
            </w:r>
            <w:r w:rsidRPr="00FC6F34">
              <w:rPr>
                <w:rFonts w:ascii="Verdana" w:eastAsia="Times New Roman" w:hAnsi="Verdana" w:cs="Arial"/>
                <w:bCs/>
                <w:lang w:val="es-ES" w:eastAsia="es-CO"/>
              </w:rPr>
              <w:t xml:space="preserve">. Además, también es posible que contratos celebrados previamente se continúen ejecutando con normalidad y, en consecuencia, se realicen los pagos en las condiciones pactadas. </w:t>
            </w:r>
          </w:p>
          <w:p w14:paraId="3F9422C3" w14:textId="77777777" w:rsidR="004B6767" w:rsidRPr="00036A04" w:rsidRDefault="004B6767" w:rsidP="00E67E18">
            <w:pPr>
              <w:spacing w:before="120"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Con respecto a la prohibición del parágrafo del artículo 38, es importante resaltar que el Ministerio de Salud y Protección Social </w:t>
            </w:r>
            <w:r>
              <w:rPr>
                <w:rFonts w:ascii="Verdana" w:eastAsia="Arial" w:hAnsi="Verdana" w:cs="Arial"/>
                <w:bCs/>
                <w:color w:val="000000" w:themeColor="text1"/>
                <w:lang w:val="es-ES"/>
              </w:rPr>
              <w:t xml:space="preserve">dispuso </w:t>
            </w:r>
            <w:r w:rsidRPr="00FC6F34">
              <w:rPr>
                <w:rFonts w:ascii="Verdana" w:eastAsia="Arial" w:hAnsi="Verdana" w:cs="Arial"/>
                <w:bCs/>
                <w:color w:val="000000" w:themeColor="text1"/>
                <w:lang w:val="es-ES"/>
              </w:rPr>
              <w:t>que</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con el fin de garantizar la continuidad de</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las intervenciones de promoción de salud y prevención, “se debe acudir 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as demás modalidades de contratación autorizadas por la ley de manera que no se afecte la ejecución de las intervenciones colectivas a cargo de las entidades territoriales”. </w:t>
            </w:r>
            <w:r>
              <w:rPr>
                <w:rFonts w:ascii="Verdana" w:eastAsia="Arial" w:hAnsi="Verdana" w:cs="Arial"/>
                <w:bCs/>
                <w:color w:val="000000" w:themeColor="text1"/>
                <w:lang w:val="es-ES"/>
              </w:rPr>
              <w:t xml:space="preserve">Lo anterior, considerando que esta prohibición no fijó excepción alguna para su aplicación. </w:t>
            </w:r>
          </w:p>
          <w:p w14:paraId="27A0D52E" w14:textId="03D23DE1" w:rsidR="004B6767" w:rsidRPr="00584759" w:rsidRDefault="004B6767" w:rsidP="00003E57">
            <w:pPr>
              <w:shd w:val="clear" w:color="auto" w:fill="FFFFFF"/>
              <w:spacing w:before="120" w:line="276" w:lineRule="auto"/>
              <w:ind w:firstLine="709"/>
              <w:jc w:val="both"/>
              <w:rPr>
                <w:rFonts w:ascii="Verdana" w:eastAsia="Calibri" w:hAnsi="Verdana" w:cs="Arial"/>
                <w:lang w:val="es-ES"/>
              </w:rPr>
            </w:pPr>
            <w:r>
              <w:rPr>
                <w:rFonts w:ascii="Verdana" w:eastAsia="Calibri" w:hAnsi="Verdana" w:cs="Arial"/>
                <w:lang w:val="es-ES"/>
              </w:rPr>
              <w:t xml:space="preserve">En </w:t>
            </w:r>
            <w:r w:rsidR="00102AFD">
              <w:rPr>
                <w:rFonts w:ascii="Verdana" w:eastAsia="Calibri" w:hAnsi="Verdana" w:cs="Arial"/>
                <w:lang w:val="es-ES"/>
              </w:rPr>
              <w:t>suma, corresponderá</w:t>
            </w:r>
            <w:r w:rsidRPr="00584759">
              <w:rPr>
                <w:rFonts w:ascii="Verdana" w:eastAsia="Calibri" w:hAnsi="Verdana" w:cs="Arial"/>
                <w:lang w:val="es-ES"/>
              </w:rPr>
              <w:t xml:space="preserve"> a cada entidad estatal, incluyendo a aquellas autorizadas para suscribir contratos en el marco de los Planes de Salud Pública de Intervenciones Colectivas</w:t>
            </w:r>
            <w:r w:rsidR="009828E9">
              <w:rPr>
                <w:rFonts w:ascii="Verdana" w:eastAsia="Calibri" w:hAnsi="Verdana" w:cs="Arial"/>
                <w:lang w:val="es-ES"/>
              </w:rPr>
              <w:t xml:space="preserve">, </w:t>
            </w:r>
            <w:r w:rsidRPr="00584759">
              <w:rPr>
                <w:rFonts w:ascii="Verdana" w:eastAsia="Calibri" w:hAnsi="Verdana" w:cs="Arial"/>
                <w:lang w:val="es-ES"/>
              </w:rPr>
              <w:t>determinar la procedencia de celebrar un contrato estatal específico, para lo cual deberán tener en cuenta las prohibiciones establecidas en materia contractual en la Ley de Garantías Electorales</w:t>
            </w:r>
            <w:r w:rsidR="00FD59D5">
              <w:rPr>
                <w:rFonts w:ascii="Verdana" w:eastAsia="Calibri" w:hAnsi="Verdana" w:cs="Arial"/>
                <w:lang w:val="es-ES"/>
              </w:rPr>
              <w:t>.</w:t>
            </w:r>
          </w:p>
          <w:p w14:paraId="601F0074" w14:textId="77777777" w:rsidR="004B6767" w:rsidRPr="00036A04" w:rsidRDefault="004B6767" w:rsidP="00003E57">
            <w:pPr>
              <w:shd w:val="clear" w:color="auto" w:fill="FFFFFF"/>
              <w:spacing w:before="120" w:after="120" w:line="276" w:lineRule="auto"/>
              <w:ind w:firstLine="708"/>
              <w:jc w:val="both"/>
              <w:rPr>
                <w:rFonts w:ascii="Verdana" w:eastAsia="Calibri" w:hAnsi="Verdana" w:cs="Arial"/>
                <w:lang w:val="es-ES"/>
              </w:rPr>
            </w:pPr>
            <w:r>
              <w:rPr>
                <w:rFonts w:ascii="Verdana" w:eastAsia="Calibri" w:hAnsi="Verdana" w:cs="Arial"/>
                <w:lang w:val="es-ES"/>
              </w:rPr>
              <w:lastRenderedPageBreak/>
              <w:t>En particular</w:t>
            </w:r>
            <w:r w:rsidRPr="00584759">
              <w:rPr>
                <w:rFonts w:ascii="Verdana" w:eastAsia="Calibri" w:hAnsi="Verdana" w:cs="Arial"/>
                <w:lang w:val="es-ES"/>
              </w:rPr>
              <w:t xml:space="preserve">, corresponde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correspondiente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 xml:space="preserve">la situación fáctica y jurídica particular del caso concreto, para lo cual las consideraciones expuestas en el presente concepto constituyen un instrumento orientador. De ser es procedente la excepción, la entidad </w:t>
            </w:r>
            <w:r>
              <w:rPr>
                <w:rFonts w:ascii="Verdana" w:eastAsia="Calibri" w:hAnsi="Verdana" w:cs="Arial"/>
                <w:lang w:val="es-ES"/>
              </w:rPr>
              <w:t xml:space="preserve">podrá </w:t>
            </w:r>
            <w:r w:rsidRPr="00584759">
              <w:rPr>
                <w:rFonts w:ascii="Verdana" w:eastAsia="Calibri" w:hAnsi="Verdana" w:cs="Arial"/>
                <w:lang w:val="es-ES"/>
              </w:rPr>
              <w:t>realizar la contratación directa justificando las razones que avalan su procedencia</w:t>
            </w:r>
            <w:r w:rsidRPr="00FC6F34">
              <w:rPr>
                <w:rFonts w:ascii="Verdana" w:hAnsi="Verdana" w:cs="Arial"/>
                <w:lang w:val="es-ES" w:eastAsia="es-CO"/>
              </w:rPr>
              <w:t>. Por el contrario, si el estudio determina que no aplica excepción alguna estará vedada la celebración de contratos de manera directa</w:t>
            </w:r>
            <w:r>
              <w:rPr>
                <w:rFonts w:ascii="Verdana" w:hAnsi="Verdana" w:cs="Arial"/>
                <w:lang w:val="es-ES" w:eastAsia="es-CO"/>
              </w:rPr>
              <w:t xml:space="preserve">. </w:t>
            </w:r>
            <w:r w:rsidRPr="00FC6F34">
              <w:rPr>
                <w:rFonts w:ascii="Verdana" w:hAnsi="Verdana" w:cs="Arial"/>
                <w:lang w:val="es-ES" w:eastAsia="es-CO"/>
              </w:rPr>
              <w:t>Lo anterior, sin perjuicio de la prohibición establecida en el parágrafo del artículo 38 de la Ley de Garantías Electorales</w:t>
            </w:r>
            <w:r>
              <w:rPr>
                <w:rFonts w:ascii="Verdana" w:hAnsi="Verdana" w:cs="Arial"/>
                <w:lang w:val="es-ES" w:eastAsia="es-CO"/>
              </w:rPr>
              <w:t>. 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tipologías distintas a la contratación interadministrativa</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20614B91" w14:textId="77777777" w:rsidR="004B6767" w:rsidRPr="00036A04" w:rsidRDefault="004B6767" w:rsidP="00E67E18">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4BEFFD35"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0D1A9AD" w14:textId="5E9C453F"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w:t>
      </w:r>
      <w:r w:rsidR="00102AFD">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Razones de la respuesta:</w:t>
      </w:r>
    </w:p>
    <w:p w14:paraId="1667405F" w14:textId="77777777" w:rsidR="004B6767" w:rsidRPr="00FC6F34" w:rsidRDefault="004B6767" w:rsidP="004B6767">
      <w:pPr>
        <w:spacing w:after="0" w:line="276" w:lineRule="auto"/>
        <w:jc w:val="both"/>
        <w:rPr>
          <w:rFonts w:ascii="Verdana" w:eastAsia="Calibri" w:hAnsi="Verdana" w:cs="Arial"/>
          <w:color w:val="000000" w:themeColor="text1"/>
          <w:lang w:val="es-ES"/>
        </w:rPr>
      </w:pPr>
    </w:p>
    <w:p w14:paraId="121D2CEB" w14:textId="77777777" w:rsidR="004B6767" w:rsidRPr="00FC6F34" w:rsidRDefault="004B6767" w:rsidP="004B6767">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 xml:space="preserve">Por ejemplo, el artículo 127 de la Constitución Política establece una prohibición contractual a los servidores públicos y, en cuanto a aspectos </w:t>
      </w:r>
      <w:r w:rsidRPr="00FC6F34">
        <w:rPr>
          <w:rFonts w:ascii="Verdana" w:eastAsia="Calibri" w:hAnsi="Verdana" w:cs="Arial"/>
          <w:lang w:val="es-ES"/>
        </w:rPr>
        <w:lastRenderedPageBreak/>
        <w:t>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0450F3E3" w14:textId="77777777" w:rsidR="004B6767" w:rsidRPr="00FC6F34" w:rsidRDefault="004B6767" w:rsidP="004B6767">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30A90E01" w14:textId="77777777" w:rsidR="004B6767" w:rsidRPr="00FC6F34" w:rsidRDefault="004B6767" w:rsidP="004B6767">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608AFB3A" w14:textId="77777777" w:rsidR="004B6767" w:rsidRPr="00FC6F34" w:rsidRDefault="004B6767" w:rsidP="004B6767">
      <w:pPr>
        <w:spacing w:after="0" w:line="276" w:lineRule="auto"/>
        <w:ind w:right="709"/>
        <w:jc w:val="both"/>
        <w:rPr>
          <w:rFonts w:ascii="Verdana" w:eastAsia="Times New Roman" w:hAnsi="Verdana" w:cs="Arial"/>
          <w:lang w:val="es-ES" w:eastAsia="es-CO"/>
        </w:rPr>
      </w:pPr>
    </w:p>
    <w:p w14:paraId="4ED4C91F" w14:textId="77777777" w:rsidR="004B6767" w:rsidRPr="00FC6F34" w:rsidRDefault="004B6767" w:rsidP="004B6767">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54347710" w14:textId="77777777" w:rsidR="004B6767" w:rsidRPr="00FC6F34" w:rsidRDefault="004B6767" w:rsidP="004B6767">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7BC8819E" w14:textId="77777777" w:rsidR="004B6767" w:rsidRPr="00FC6F34" w:rsidRDefault="004B6767" w:rsidP="004B6767">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56217E50" w14:textId="77777777" w:rsidR="004B6767" w:rsidRPr="00FC6F34" w:rsidRDefault="004B6767" w:rsidP="004B6767">
      <w:pPr>
        <w:spacing w:after="0" w:line="276" w:lineRule="auto"/>
        <w:ind w:firstLine="709"/>
        <w:jc w:val="both"/>
        <w:rPr>
          <w:rFonts w:ascii="Verdana" w:eastAsia="Times New Roman" w:hAnsi="Verdana" w:cs="Arial"/>
          <w:lang w:val="es-ES" w:eastAsia="es-CO"/>
        </w:rPr>
      </w:pPr>
    </w:p>
    <w:p w14:paraId="5DF79CE6" w14:textId="77777777" w:rsidR="004B6767" w:rsidRPr="00FC6F34" w:rsidRDefault="004B6767" w:rsidP="004B6767">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F4B1B96" w14:textId="77777777" w:rsidR="004B6767" w:rsidRPr="00FC6F34" w:rsidRDefault="004B6767" w:rsidP="004B6767">
      <w:pPr>
        <w:spacing w:after="0" w:line="276" w:lineRule="auto"/>
        <w:ind w:firstLine="709"/>
        <w:jc w:val="both"/>
        <w:rPr>
          <w:rFonts w:ascii="Verdana" w:eastAsia="Times New Roman" w:hAnsi="Verdana" w:cs="Arial"/>
          <w:lang w:val="es-ES" w:eastAsia="es-CO"/>
        </w:rPr>
      </w:pPr>
    </w:p>
    <w:p w14:paraId="7F6E493E" w14:textId="77777777" w:rsidR="004B6767" w:rsidRPr="00FC6F34" w:rsidRDefault="004B6767" w:rsidP="004B6767">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4FCC430" w14:textId="77777777" w:rsidR="004B6767" w:rsidRPr="00FC6F34" w:rsidRDefault="004B6767" w:rsidP="004B6767">
      <w:pPr>
        <w:spacing w:after="0" w:line="240" w:lineRule="auto"/>
        <w:ind w:right="709"/>
        <w:jc w:val="both"/>
        <w:rPr>
          <w:rFonts w:ascii="Verdana" w:eastAsia="Times New Roman" w:hAnsi="Verdana" w:cs="Arial"/>
          <w:lang w:val="es-ES" w:eastAsia="es-CO"/>
        </w:rPr>
      </w:pPr>
    </w:p>
    <w:p w14:paraId="2FFF383C" w14:textId="77777777" w:rsidR="004B6767" w:rsidRPr="00FC6F34" w:rsidRDefault="004B6767" w:rsidP="004B6767">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6D1D249E" w14:textId="77777777" w:rsidR="004B6767" w:rsidRPr="00FC6F34" w:rsidRDefault="004B6767" w:rsidP="004B6767">
      <w:pPr>
        <w:spacing w:after="0" w:line="276" w:lineRule="auto"/>
        <w:jc w:val="both"/>
        <w:rPr>
          <w:rFonts w:ascii="Verdana" w:eastAsia="Calibri" w:hAnsi="Verdana" w:cs="Arial"/>
          <w:bCs/>
          <w:lang w:val="es-ES"/>
        </w:rPr>
      </w:pPr>
    </w:p>
    <w:p w14:paraId="1212C4E7" w14:textId="77777777" w:rsidR="004B6767" w:rsidRPr="00FC6F34" w:rsidRDefault="004B6767" w:rsidP="004B6767">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lastRenderedPageBreak/>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5187D00" w14:textId="77777777" w:rsidR="004B6767" w:rsidRPr="00FC6F34" w:rsidRDefault="004B6767" w:rsidP="004B6767">
      <w:pPr>
        <w:spacing w:after="0" w:line="276" w:lineRule="auto"/>
        <w:ind w:firstLine="709"/>
        <w:jc w:val="both"/>
        <w:rPr>
          <w:rFonts w:ascii="Verdana" w:eastAsia="Arial" w:hAnsi="Verdana" w:cs="Arial"/>
          <w:lang w:val="es-ES" w:eastAsia="es-ES" w:bidi="es-ES"/>
        </w:rPr>
      </w:pPr>
    </w:p>
    <w:p w14:paraId="478053D9" w14:textId="77777777" w:rsidR="004B6767" w:rsidRPr="00FC6F34" w:rsidRDefault="004B6767" w:rsidP="004B6767">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211D8693" w14:textId="77777777" w:rsidR="004B6767" w:rsidRPr="00FC6F34" w:rsidRDefault="004B6767" w:rsidP="004B6767">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04C0679C" w14:textId="77777777" w:rsidR="004B6767" w:rsidRPr="00FC6F34" w:rsidRDefault="004B6767" w:rsidP="004B6767">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FC6F34">
        <w:rPr>
          <w:rFonts w:ascii="Verdana" w:eastAsia="Calibri" w:hAnsi="Verdana" w:cs="Arial"/>
          <w:lang w:val="es-ES"/>
        </w:rPr>
        <w:lastRenderedPageBreak/>
        <w:t>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6453739B" w14:textId="77777777" w:rsidR="004B6767" w:rsidRPr="00FC6F34" w:rsidRDefault="004B6767" w:rsidP="004B676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7086FA64" w14:textId="77777777" w:rsidR="004B6767" w:rsidRPr="00FC6F34" w:rsidRDefault="004B6767" w:rsidP="004B676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540BC8D" w14:textId="77777777" w:rsidR="004B6767" w:rsidRPr="00FC6F34" w:rsidRDefault="004B6767" w:rsidP="004B676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1F8E2832" w14:textId="77777777" w:rsidR="004B6767" w:rsidRPr="00FC6F34" w:rsidRDefault="004B6767" w:rsidP="004B6767">
      <w:pPr>
        <w:widowControl w:val="0"/>
        <w:autoSpaceDE w:val="0"/>
        <w:autoSpaceDN w:val="0"/>
        <w:spacing w:after="0" w:line="276" w:lineRule="auto"/>
        <w:contextualSpacing/>
        <w:rPr>
          <w:rFonts w:ascii="Verdana" w:eastAsia="Arial" w:hAnsi="Verdana" w:cs="Arial"/>
          <w:lang w:val="es-ES" w:eastAsia="es-ES" w:bidi="es-ES"/>
        </w:rPr>
      </w:pPr>
    </w:p>
    <w:p w14:paraId="2BA8B7C5" w14:textId="77777777" w:rsidR="004B6767" w:rsidRPr="00FC6F34" w:rsidRDefault="004B6767" w:rsidP="004B6767">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w:t>
      </w:r>
      <w:r w:rsidRPr="00FC6F34">
        <w:rPr>
          <w:rFonts w:ascii="Verdana" w:eastAsia="Arial" w:hAnsi="Verdana" w:cs="Arial"/>
          <w:lang w:val="es-ES" w:eastAsia="es-ES" w:bidi="es-ES"/>
        </w:rPr>
        <w:lastRenderedPageBreak/>
        <w:t xml:space="preserve">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29EBD7D" w14:textId="77777777" w:rsidR="004B6767" w:rsidRPr="00FC6F34" w:rsidRDefault="004B6767" w:rsidP="004B6767">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1ED80B60" w14:textId="77777777" w:rsidR="004B6767" w:rsidRPr="00FC6F34" w:rsidRDefault="004B6767" w:rsidP="004B6767">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13926BC" w14:textId="77777777" w:rsidR="004B6767" w:rsidRPr="00FC6F34" w:rsidRDefault="004B6767" w:rsidP="004B6767">
      <w:pPr>
        <w:spacing w:after="0" w:line="276" w:lineRule="auto"/>
        <w:ind w:firstLine="709"/>
        <w:jc w:val="both"/>
        <w:rPr>
          <w:rFonts w:ascii="Verdana" w:eastAsia="Arial" w:hAnsi="Verdana" w:cs="Arial"/>
          <w:lang w:val="es-ES" w:eastAsia="es-ES" w:bidi="es-ES"/>
        </w:rPr>
      </w:pPr>
    </w:p>
    <w:p w14:paraId="688FE85D" w14:textId="77777777" w:rsidR="004B6767" w:rsidRPr="00FC6F34" w:rsidRDefault="004B6767" w:rsidP="004B6767">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73D23177" w14:textId="77777777" w:rsidR="004B6767" w:rsidRPr="00FC6F34" w:rsidRDefault="004B6767" w:rsidP="004B6767">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w:t>
      </w:r>
      <w:r w:rsidRPr="00FC6F34">
        <w:rPr>
          <w:rFonts w:ascii="Verdana" w:eastAsia="Calibri" w:hAnsi="Verdana" w:cs="Arial"/>
          <w:sz w:val="20"/>
          <w:szCs w:val="20"/>
          <w:lang w:val="es-ES"/>
        </w:rPr>
        <w:lastRenderedPageBreak/>
        <w:t>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61C0A1D5" w14:textId="77777777" w:rsidR="004B6767" w:rsidRPr="00FC6F34" w:rsidRDefault="004B6767" w:rsidP="004B6767">
      <w:pPr>
        <w:shd w:val="clear" w:color="auto" w:fill="FFFFFF" w:themeFill="background1"/>
        <w:spacing w:after="0" w:line="276" w:lineRule="auto"/>
        <w:ind w:firstLine="709"/>
        <w:jc w:val="both"/>
        <w:rPr>
          <w:rFonts w:ascii="Verdana" w:eastAsia="Times New Roman" w:hAnsi="Verdana" w:cs="Arial"/>
          <w:lang w:val="es-ES" w:eastAsia="x-none"/>
        </w:rPr>
      </w:pPr>
    </w:p>
    <w:p w14:paraId="360D4F1B" w14:textId="77777777" w:rsidR="004B6767" w:rsidRPr="00FC6F34" w:rsidRDefault="004B6767" w:rsidP="004B6767">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37A099C6" w14:textId="77777777" w:rsidR="004B6767" w:rsidRPr="00FC6F34" w:rsidRDefault="004B6767" w:rsidP="004B6767">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cualquier sistema de selección o procedimiento de contratación utilizado por las </w:t>
      </w:r>
      <w:r w:rsidRPr="00FC6F34">
        <w:rPr>
          <w:rFonts w:ascii="Verdana" w:eastAsia="Times New Roman" w:hAnsi="Verdana" w:cs="Arial"/>
          <w:lang w:val="es-ES"/>
        </w:rPr>
        <w:lastRenderedPageBreak/>
        <w:t>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2738080A" w14:textId="77777777" w:rsidR="004B6767" w:rsidRPr="00FC6F34" w:rsidRDefault="004B6767" w:rsidP="004B6767">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B992992" w14:textId="77777777" w:rsidR="004B6767" w:rsidRPr="00FC6F34" w:rsidRDefault="004B6767" w:rsidP="004B6767">
      <w:pPr>
        <w:spacing w:after="0" w:line="276" w:lineRule="auto"/>
        <w:ind w:firstLine="708"/>
        <w:jc w:val="both"/>
        <w:rPr>
          <w:rFonts w:ascii="Verdana" w:eastAsia="Times New Roman" w:hAnsi="Verdana" w:cs="Arial"/>
          <w:lang w:val="es-ES"/>
        </w:rPr>
      </w:pPr>
    </w:p>
    <w:p w14:paraId="2DDC99E3" w14:textId="77777777" w:rsidR="004B6767" w:rsidRPr="00FC6F34" w:rsidRDefault="004B6767" w:rsidP="004B6767">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030856C3" w14:textId="77777777" w:rsidR="004B6767" w:rsidRPr="00FC6F34" w:rsidRDefault="004B6767" w:rsidP="004B6767">
      <w:pPr>
        <w:spacing w:after="0" w:line="276" w:lineRule="auto"/>
        <w:ind w:firstLine="708"/>
        <w:jc w:val="both"/>
        <w:rPr>
          <w:rFonts w:ascii="Verdana" w:eastAsia="Times New Roman" w:hAnsi="Verdana" w:cs="Arial"/>
          <w:lang w:val="es-ES"/>
        </w:rPr>
      </w:pPr>
    </w:p>
    <w:p w14:paraId="71F51A47" w14:textId="77777777" w:rsidR="004B6767" w:rsidRPr="00FC6F34" w:rsidRDefault="004B6767" w:rsidP="004B6767">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62FE12C6" w14:textId="77777777" w:rsidR="004B6767" w:rsidRPr="00FC6F34" w:rsidRDefault="004B6767" w:rsidP="004B6767">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FC6F34">
        <w:rPr>
          <w:rFonts w:ascii="Verdana" w:hAnsi="Verdana" w:cs="Arial"/>
          <w:bCs/>
          <w:lang w:val="es-ES" w:eastAsia="x-none"/>
        </w:rPr>
        <w:lastRenderedPageBreak/>
        <w:t>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482325F3" w14:textId="77777777" w:rsidR="004B6767" w:rsidRPr="00FC6F34" w:rsidRDefault="004B6767" w:rsidP="004B6767">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0773A3F6" w14:textId="77777777" w:rsidR="004B6767" w:rsidRPr="00FC6F34" w:rsidRDefault="004B6767" w:rsidP="004B6767">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7A65CF2F" w14:textId="77777777" w:rsidR="004B6767" w:rsidRPr="00FC6F34" w:rsidRDefault="004B6767" w:rsidP="004B6767">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i) La contratación referente a la defensa y seguridad del Estado;</w:t>
      </w:r>
    </w:p>
    <w:p w14:paraId="2ECA2E78" w14:textId="77777777" w:rsidR="004B6767" w:rsidRPr="00FC6F34" w:rsidRDefault="004B6767" w:rsidP="004B6767">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w:t>
      </w:r>
      <w:proofErr w:type="spellEnd"/>
      <w:r w:rsidRPr="00FC6F34">
        <w:rPr>
          <w:rFonts w:ascii="Verdana" w:hAnsi="Verdana" w:cs="Arial"/>
          <w:bCs/>
          <w:color w:val="000000" w:themeColor="text1"/>
          <w:lang w:val="es-ES"/>
        </w:rPr>
        <w:t>) Los contratos de crédito público;</w:t>
      </w:r>
    </w:p>
    <w:p w14:paraId="1D6576C1" w14:textId="77777777" w:rsidR="004B6767" w:rsidRPr="00FC6F34" w:rsidRDefault="004B6767" w:rsidP="004B6767">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iii</w:t>
      </w:r>
      <w:proofErr w:type="spellEnd"/>
      <w:r w:rsidRPr="00FC6F34">
        <w:rPr>
          <w:rFonts w:ascii="Verdana" w:hAnsi="Verdana" w:cs="Arial"/>
          <w:bCs/>
          <w:color w:val="000000" w:themeColor="text1"/>
          <w:lang w:val="es-ES"/>
        </w:rPr>
        <w:t xml:space="preserve">) Los contratos requeridos para cubrir las emergencias educativas, sanitarias y desastres; </w:t>
      </w:r>
    </w:p>
    <w:p w14:paraId="588996B0" w14:textId="77777777" w:rsidR="004B6767" w:rsidRPr="00FC6F34" w:rsidRDefault="004B6767" w:rsidP="004B6767">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iv</w:t>
      </w:r>
      <w:proofErr w:type="spellEnd"/>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3166D034" w14:textId="77777777" w:rsidR="004B6767" w:rsidRPr="00FC6F34" w:rsidRDefault="004B6767" w:rsidP="004B6767">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ab/>
        <w:t xml:space="preserve">v) La contratación que deban realizar las entidades sanitarias y hospitalarias. </w:t>
      </w:r>
    </w:p>
    <w:p w14:paraId="504E34CE" w14:textId="77777777" w:rsidR="004B6767" w:rsidRPr="00FC6F34" w:rsidRDefault="004B6767" w:rsidP="004B6767">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34C9B79" w14:textId="77777777" w:rsidR="004B6767" w:rsidRPr="00FC6F34" w:rsidRDefault="004B6767" w:rsidP="004B6767">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CF56C98" w14:textId="77777777" w:rsidR="004B6767" w:rsidRPr="00FC6F34" w:rsidRDefault="004B6767" w:rsidP="004B6767">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9"/>
      </w:r>
      <w:r w:rsidRPr="00FC6F34">
        <w:rPr>
          <w:rFonts w:ascii="Verdana" w:hAnsi="Verdana" w:cs="Arial"/>
          <w:color w:val="000000" w:themeColor="text1"/>
          <w:sz w:val="20"/>
          <w:szCs w:val="20"/>
          <w:lang w:val="es-ES" w:eastAsia="es-CO"/>
        </w:rPr>
        <w:t xml:space="preserve">”. </w:t>
      </w:r>
    </w:p>
    <w:p w14:paraId="3E53AB75" w14:textId="77777777" w:rsidR="004B6767" w:rsidRPr="00FC6F34" w:rsidRDefault="004B6767" w:rsidP="004B6767">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2AE56FBD" w14:textId="77777777" w:rsidR="004B6767" w:rsidRPr="00FC6F34" w:rsidRDefault="004B6767" w:rsidP="004B6767">
      <w:pPr>
        <w:tabs>
          <w:tab w:val="left" w:pos="426"/>
        </w:tabs>
        <w:spacing w:after="0" w:line="276" w:lineRule="auto"/>
        <w:ind w:firstLine="709"/>
        <w:jc w:val="both"/>
        <w:rPr>
          <w:rFonts w:ascii="Verdana" w:hAnsi="Verdana" w:cs="Arial"/>
          <w:color w:val="000000" w:themeColor="text1"/>
          <w:lang w:val="es-ES"/>
        </w:rPr>
      </w:pPr>
    </w:p>
    <w:p w14:paraId="3EFC5D08" w14:textId="77777777" w:rsidR="004B6767" w:rsidRPr="00FC6F34" w:rsidRDefault="004B6767" w:rsidP="004B6767">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7289DEA9" w14:textId="77777777" w:rsidR="004B6767" w:rsidRPr="00FC6F34" w:rsidRDefault="004B6767" w:rsidP="004B6767">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lastRenderedPageBreak/>
        <w:t>Ahora bien, las únicas excepciones a las disposiciones previstas en la Ley de Garantías se encuentran numeradas taxativamente en el último inciso del artículo 33 de la ley 996 de 2005, dentro de las que se encuentran:</w:t>
      </w:r>
    </w:p>
    <w:p w14:paraId="2E2FE2AC" w14:textId="77777777" w:rsidR="004B6767" w:rsidRPr="00FC6F34" w:rsidRDefault="004B6767" w:rsidP="004B6767">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 xml:space="preserve">[…] </w:t>
      </w:r>
    </w:p>
    <w:p w14:paraId="7E179BE6" w14:textId="77777777" w:rsidR="004B6767" w:rsidRPr="00FC6F34" w:rsidRDefault="004B6767" w:rsidP="004B6767">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5. Los que deban realizar las entidades sanitarias y hospitalarias […]</w:t>
      </w:r>
      <w:r w:rsidRPr="00FC6F34">
        <w:rPr>
          <w:rFonts w:ascii="Verdana" w:hAnsi="Verdana" w:cs="Arial"/>
          <w:color w:val="000000" w:themeColor="text1"/>
          <w:sz w:val="20"/>
          <w:szCs w:val="20"/>
          <w:shd w:val="clear" w:color="auto" w:fill="FFFFFF"/>
          <w:vertAlign w:val="superscript"/>
          <w:lang w:val="es-ES"/>
        </w:rPr>
        <w:footnoteReference w:id="20"/>
      </w:r>
      <w:r w:rsidRPr="00FC6F34">
        <w:rPr>
          <w:rFonts w:ascii="Verdana" w:hAnsi="Verdana" w:cs="Arial"/>
          <w:color w:val="000000" w:themeColor="text1"/>
          <w:sz w:val="20"/>
          <w:szCs w:val="20"/>
          <w:shd w:val="clear" w:color="auto" w:fill="FFFFFF"/>
          <w:lang w:val="es-ES"/>
        </w:rPr>
        <w:t>.</w:t>
      </w:r>
    </w:p>
    <w:p w14:paraId="6AC4C854" w14:textId="77777777" w:rsidR="004B6767" w:rsidRPr="00FC6F34" w:rsidRDefault="004B6767" w:rsidP="004B6767">
      <w:pPr>
        <w:spacing w:after="0"/>
        <w:ind w:left="709" w:right="709"/>
        <w:jc w:val="both"/>
        <w:rPr>
          <w:rFonts w:ascii="Verdana" w:hAnsi="Verdana" w:cs="Arial"/>
          <w:color w:val="000000" w:themeColor="text1"/>
          <w:sz w:val="20"/>
          <w:szCs w:val="20"/>
          <w:shd w:val="clear" w:color="auto" w:fill="FFFFFF"/>
          <w:lang w:val="es-ES"/>
        </w:rPr>
      </w:pPr>
    </w:p>
    <w:p w14:paraId="1A462F6F" w14:textId="77777777" w:rsidR="004B6767" w:rsidRPr="00FC6F34" w:rsidRDefault="004B6767" w:rsidP="004B6767">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19684FA" w14:textId="77777777" w:rsidR="004B6767" w:rsidRPr="00FC6F34" w:rsidRDefault="004B6767" w:rsidP="004B6767">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analizar el quinto evento exceptuado de la prohibición,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56782184" w14:textId="77777777" w:rsidR="004B6767" w:rsidRPr="00FC6F34" w:rsidRDefault="004B6767" w:rsidP="004B6767">
      <w:pPr>
        <w:tabs>
          <w:tab w:val="left" w:pos="426"/>
        </w:tabs>
        <w:spacing w:before="120" w:line="276" w:lineRule="auto"/>
        <w:ind w:firstLine="709"/>
        <w:jc w:val="both"/>
        <w:rPr>
          <w:rFonts w:ascii="Verdana" w:hAnsi="Verdana" w:cs="Arial"/>
          <w:color w:val="000000" w:themeColor="text1"/>
          <w:lang w:val="es-ES"/>
        </w:rPr>
      </w:pPr>
      <w:r w:rsidRPr="00FC6F34">
        <w:rPr>
          <w:rFonts w:ascii="Verdana" w:hAnsi="Verdana" w:cs="Arial"/>
          <w:color w:val="000000" w:themeColor="text1"/>
          <w:lang w:val="es-ES"/>
        </w:rPr>
        <w:t>De lo anterior se desprende que, bajo la Ley 100 de 1993, dentro de la estructura de la administración pública las Empresas Sociales del Estado son las entidades encargadas de prestar el servicio de salud de manera directa. Además, el mismo artículo 197</w:t>
      </w:r>
      <w:r w:rsidRPr="00FC6F34">
        <w:rPr>
          <w:rFonts w:ascii="Arial" w:hAnsi="Arial" w:cs="Arial"/>
          <w:color w:val="000000" w:themeColor="text1"/>
          <w:vertAlign w:val="superscript"/>
          <w:lang w:val="es-ES"/>
        </w:rPr>
        <w:footnoteReference w:id="21"/>
      </w:r>
      <w:r w:rsidRPr="00FC6F34">
        <w:rPr>
          <w:rFonts w:ascii="Verdana" w:hAnsi="Verdana" w:cs="Arial"/>
          <w:color w:val="000000" w:themeColor="text1"/>
          <w:lang w:val="es-ES"/>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w:t>
      </w:r>
      <w:r w:rsidRPr="00FC6F34">
        <w:rPr>
          <w:rFonts w:ascii="Verdana" w:hAnsi="Verdana" w:cs="Arial"/>
          <w:color w:val="000000" w:themeColor="text1"/>
          <w:lang w:val="es-ES"/>
        </w:rPr>
        <w:lastRenderedPageBreak/>
        <w:t xml:space="preserve">creación de la institución jurídica referida sino además la imposición del mandato de reestructuración de aquellas entidades. </w:t>
      </w:r>
    </w:p>
    <w:p w14:paraId="59AAB5B8" w14:textId="77777777" w:rsidR="004B6767" w:rsidRDefault="004B6767" w:rsidP="004B6767">
      <w:pPr>
        <w:spacing w:before="120"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 xml:space="preserve">De otro lado, el artículo 2.8.8.1.1.3 del Decreto 780 de 2016, Por medio del cual se expide el Decreto Único Reglamentario del Sector Salud y Protección Social, definió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como “Entidades del Estado que prestan servicios sanitarios o de sanidad con el propósito de preservar la salud humana y la salud pública”. El artículo citado también define las </w:t>
      </w:r>
      <w:r w:rsidRPr="00FC6F34">
        <w:rPr>
          <w:rFonts w:ascii="Verdana" w:eastAsia="Arial" w:hAnsi="Verdana" w:cs="Arial"/>
          <w:bCs/>
          <w:i/>
          <w:iCs/>
          <w:color w:val="000000" w:themeColor="text1"/>
          <w:lang w:val="es-ES"/>
        </w:rPr>
        <w:t>autoridades sanitarias</w:t>
      </w:r>
      <w:r w:rsidRPr="00FC6F34">
        <w:rPr>
          <w:rFonts w:ascii="Verdana" w:eastAsia="Arial" w:hAnsi="Verdana" w:cs="Arial"/>
          <w:bCs/>
          <w:color w:val="000000" w:themeColor="text1"/>
          <w:lang w:val="es-ES"/>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C6F34">
        <w:rPr>
          <w:rFonts w:ascii="Verdana" w:eastAsia="Arial" w:hAnsi="Verdana" w:cs="Arial"/>
          <w:bCs/>
          <w:color w:val="000000" w:themeColor="text1"/>
          <w:vertAlign w:val="superscript"/>
          <w:lang w:val="es-ES"/>
        </w:rPr>
        <w:footnoteReference w:id="22"/>
      </w:r>
      <w:r w:rsidRPr="00FC6F34">
        <w:rPr>
          <w:rFonts w:ascii="Verdana" w:eastAsia="Arial" w:hAnsi="Verdana" w:cs="Arial"/>
          <w:bCs/>
          <w:color w:val="000000" w:themeColor="text1"/>
          <w:lang w:val="es-ES"/>
        </w:rPr>
        <w:t xml:space="preserve">. De esta forma, la excepción del artículo 33 de la Ley de Garantías solo aplica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y no a las </w:t>
      </w:r>
      <w:r w:rsidRPr="00FC6F34">
        <w:rPr>
          <w:rFonts w:ascii="Verdana" w:eastAsia="Arial" w:hAnsi="Verdana" w:cs="Arial"/>
          <w:bCs/>
          <w:i/>
          <w:iCs/>
          <w:color w:val="000000" w:themeColor="text1"/>
          <w:lang w:val="es-ES"/>
        </w:rPr>
        <w:t>autoridades sanitarias</w:t>
      </w:r>
      <w:r w:rsidRPr="00FC6F34">
        <w:rPr>
          <w:rFonts w:ascii="Verdana" w:eastAsia="Arial" w:hAnsi="Verdana" w:cs="Arial"/>
          <w:bCs/>
          <w:color w:val="000000" w:themeColor="text1"/>
          <w:lang w:val="es-ES"/>
        </w:rPr>
        <w:t xml:space="preserve">. Para efectos de la excepción, es indiferente que la entidad estatal tenga funciones de </w:t>
      </w:r>
      <w:r w:rsidRPr="00FC6F34">
        <w:rPr>
          <w:rFonts w:ascii="Verdana" w:eastAsia="Arial" w:hAnsi="Verdana" w:cs="Arial"/>
          <w:bCs/>
          <w:i/>
          <w:iCs/>
          <w:color w:val="000000" w:themeColor="text1"/>
          <w:lang w:val="es-ES"/>
        </w:rPr>
        <w:t>autoridad sanitaria</w:t>
      </w:r>
      <w:r w:rsidRPr="00FC6F34">
        <w:rPr>
          <w:rFonts w:ascii="Verdana" w:eastAsia="Arial" w:hAnsi="Verdana" w:cs="Arial"/>
          <w:bCs/>
          <w:color w:val="000000" w:themeColor="text1"/>
          <w:lang w:val="es-ES"/>
        </w:rPr>
        <w:t xml:space="preserve">, pues lo relevante para determinar si la contratación está exceptuada de la prohibición general no es el carácter de autoridad sanitaria, sino que se trate de una </w:t>
      </w:r>
      <w:r w:rsidRPr="00FC6F34">
        <w:rPr>
          <w:rFonts w:ascii="Verdana" w:eastAsia="Arial" w:hAnsi="Verdana" w:cs="Arial"/>
          <w:bCs/>
          <w:i/>
          <w:iCs/>
          <w:color w:val="000000" w:themeColor="text1"/>
          <w:lang w:val="es-ES"/>
        </w:rPr>
        <w:t>entidad sanitaria</w:t>
      </w:r>
      <w:r w:rsidRPr="00FC6F34">
        <w:rPr>
          <w:rFonts w:ascii="Verdana" w:eastAsia="Arial" w:hAnsi="Verdana" w:cs="Arial"/>
          <w:bCs/>
          <w:color w:val="000000" w:themeColor="text1"/>
          <w:lang w:val="es-ES"/>
        </w:rPr>
        <w:t xml:space="preserve">. </w:t>
      </w:r>
    </w:p>
    <w:p w14:paraId="050A3BD9" w14:textId="77777777" w:rsidR="004B6767" w:rsidRDefault="004B6767" w:rsidP="004B6767">
      <w:pPr>
        <w:spacing w:before="120" w:after="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Sobre lo anterior</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el Consejo de Estado ha señalado que “las entidades que presten servicios tendientes a preservar la salud </w:t>
      </w:r>
      <w:proofErr w:type="spellStart"/>
      <w:r w:rsidRPr="00FC6F34">
        <w:rPr>
          <w:rFonts w:ascii="Verdana" w:eastAsia="Arial" w:hAnsi="Verdana" w:cs="Arial"/>
          <w:bCs/>
          <w:color w:val="000000" w:themeColor="text1"/>
          <w:lang w:val="es-ES"/>
        </w:rPr>
        <w:t>pública</w:t>
      </w:r>
      <w:proofErr w:type="spellEnd"/>
      <w:r w:rsidRPr="00FC6F34">
        <w:rPr>
          <w:rFonts w:ascii="Verdana" w:eastAsia="Arial" w:hAnsi="Verdana" w:cs="Arial"/>
          <w:bCs/>
          <w:color w:val="000000" w:themeColor="text1"/>
          <w:lang w:val="es-ES"/>
        </w:rPr>
        <w:t xml:space="preserve"> o humana deben ser consideradas como entidades sanitarias y en principio estarían exceptuadas de la prohibición de </w:t>
      </w:r>
      <w:proofErr w:type="spellStart"/>
      <w:r w:rsidRPr="00FC6F34">
        <w:rPr>
          <w:rFonts w:ascii="Verdana" w:eastAsia="Arial" w:hAnsi="Verdana" w:cs="Arial"/>
          <w:bCs/>
          <w:color w:val="000000" w:themeColor="text1"/>
          <w:lang w:val="es-ES"/>
        </w:rPr>
        <w:t>contratación</w:t>
      </w:r>
      <w:proofErr w:type="spellEnd"/>
      <w:r w:rsidRPr="00FC6F34">
        <w:rPr>
          <w:rFonts w:ascii="Verdana" w:eastAsia="Arial" w:hAnsi="Verdana" w:cs="Arial"/>
          <w:bCs/>
          <w:color w:val="000000" w:themeColor="text1"/>
          <w:lang w:val="es-ES"/>
        </w:rPr>
        <w:t xml:space="preserve"> directa”</w:t>
      </w:r>
      <w:r w:rsidRPr="00FC6F34">
        <w:rPr>
          <w:rStyle w:val="Refdenotaalpie"/>
          <w:rFonts w:ascii="Verdana" w:eastAsia="Arial" w:hAnsi="Verdana" w:cs="Arial"/>
          <w:bCs/>
          <w:color w:val="000000" w:themeColor="text1"/>
          <w:lang w:val="es-ES"/>
        </w:rPr>
        <w:footnoteReference w:id="23"/>
      </w:r>
      <w:r w:rsidRPr="00FC6F34">
        <w:rPr>
          <w:rFonts w:ascii="Verdana" w:eastAsia="Arial" w:hAnsi="Verdana" w:cs="Arial"/>
          <w:bCs/>
          <w:color w:val="000000" w:themeColor="text1"/>
          <w:lang w:val="es-ES"/>
        </w:rPr>
        <w:t xml:space="preserve">. Sobre la excepción dirigida a las entidades hospitalarias de carácter público resaltó que “debe ser entendida solo en aquellos eventos en que ocurran emergencias sanitarias o de salubridad que requieran la </w:t>
      </w:r>
      <w:proofErr w:type="spellStart"/>
      <w:r w:rsidRPr="00FC6F34">
        <w:rPr>
          <w:rFonts w:ascii="Verdana" w:eastAsia="Arial" w:hAnsi="Verdana" w:cs="Arial"/>
          <w:bCs/>
          <w:color w:val="000000" w:themeColor="text1"/>
          <w:lang w:val="es-ES"/>
        </w:rPr>
        <w:t>atención</w:t>
      </w:r>
      <w:proofErr w:type="spellEnd"/>
      <w:r w:rsidRPr="00FC6F34">
        <w:rPr>
          <w:rFonts w:ascii="Verdana" w:eastAsia="Arial" w:hAnsi="Verdana" w:cs="Arial"/>
          <w:bCs/>
          <w:color w:val="000000" w:themeColor="text1"/>
          <w:lang w:val="es-ES"/>
        </w:rPr>
        <w:t xml:space="preserve">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w:t>
      </w:r>
      <w:r w:rsidRPr="00FC6F34">
        <w:rPr>
          <w:rFonts w:ascii="Verdana" w:eastAsia="Arial" w:hAnsi="Verdana" w:cs="Arial"/>
          <w:bCs/>
          <w:color w:val="000000" w:themeColor="text1"/>
          <w:lang w:val="es-ES"/>
        </w:rPr>
        <w:lastRenderedPageBreak/>
        <w:t xml:space="preserve">planear y desarrollar su gestión contractual con suficiente antelación para que no sea cobijada por la prohibición de </w:t>
      </w:r>
      <w:proofErr w:type="spellStart"/>
      <w:r w:rsidRPr="00FC6F34">
        <w:rPr>
          <w:rFonts w:ascii="Verdana" w:eastAsia="Arial" w:hAnsi="Verdana" w:cs="Arial"/>
          <w:bCs/>
          <w:color w:val="000000" w:themeColor="text1"/>
          <w:lang w:val="es-ES"/>
        </w:rPr>
        <w:t>contratación</w:t>
      </w:r>
      <w:proofErr w:type="spellEnd"/>
      <w:r w:rsidRPr="00FC6F34">
        <w:rPr>
          <w:rFonts w:ascii="Verdana" w:eastAsia="Arial" w:hAnsi="Verdana" w:cs="Arial"/>
          <w:bCs/>
          <w:color w:val="000000" w:themeColor="text1"/>
          <w:lang w:val="es-ES"/>
        </w:rPr>
        <w:t xml:space="preserve"> que establece la ley de </w:t>
      </w:r>
      <w:proofErr w:type="spellStart"/>
      <w:r w:rsidRPr="00FC6F34">
        <w:rPr>
          <w:rFonts w:ascii="Verdana" w:eastAsia="Arial" w:hAnsi="Verdana" w:cs="Arial"/>
          <w:bCs/>
          <w:color w:val="000000" w:themeColor="text1"/>
          <w:lang w:val="es-ES"/>
        </w:rPr>
        <w:t>garantías</w:t>
      </w:r>
      <w:proofErr w:type="spellEnd"/>
      <w:r w:rsidRPr="00FC6F34">
        <w:rPr>
          <w:rFonts w:ascii="Verdana" w:eastAsia="Arial" w:hAnsi="Verdana" w:cs="Arial"/>
          <w:bCs/>
          <w:color w:val="000000" w:themeColor="text1"/>
          <w:lang w:val="es-ES"/>
        </w:rPr>
        <w:t>”</w:t>
      </w:r>
      <w:r w:rsidRPr="00FC6F34">
        <w:rPr>
          <w:rStyle w:val="Refdenotaalpie"/>
          <w:rFonts w:ascii="Verdana" w:eastAsia="Arial" w:hAnsi="Verdana" w:cs="Arial"/>
          <w:bCs/>
          <w:color w:val="000000" w:themeColor="text1"/>
          <w:lang w:val="es-ES"/>
        </w:rPr>
        <w:footnoteReference w:id="24"/>
      </w:r>
      <w:r w:rsidRPr="00FC6F34">
        <w:rPr>
          <w:rFonts w:ascii="Verdana" w:eastAsia="Arial" w:hAnsi="Verdana" w:cs="Arial"/>
          <w:bCs/>
          <w:color w:val="000000" w:themeColor="text1"/>
          <w:lang w:val="es-ES"/>
        </w:rPr>
        <w:t xml:space="preserve">. </w:t>
      </w:r>
    </w:p>
    <w:p w14:paraId="74A6ABCD" w14:textId="77777777" w:rsidR="004B6767" w:rsidRDefault="004B6767" w:rsidP="004B6767">
      <w:pPr>
        <w:spacing w:before="240" w:line="276" w:lineRule="auto"/>
        <w:jc w:val="both"/>
        <w:rPr>
          <w:rFonts w:ascii="Verdana" w:hAnsi="Verdana" w:cs="Arial"/>
          <w:lang w:val="es-ES"/>
        </w:rPr>
      </w:pPr>
      <w:r>
        <w:rPr>
          <w:rFonts w:ascii="Verdana" w:eastAsia="Arial" w:hAnsi="Verdana" w:cs="Arial"/>
          <w:bCs/>
          <w:color w:val="000000" w:themeColor="text1"/>
          <w:lang w:val="es-ES"/>
        </w:rPr>
        <w:t xml:space="preserve">v) Por otro lado,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w:t>
      </w:r>
      <w:proofErr w:type="gramStart"/>
      <w:r w:rsidRPr="00FC6F34">
        <w:rPr>
          <w:rFonts w:ascii="Verdana" w:eastAsia="Calibri" w:hAnsi="Verdana" w:cs="Arial"/>
          <w:bCs/>
          <w:lang w:val="es-ES"/>
        </w:rPr>
        <w:t>Alcaldes</w:t>
      </w:r>
      <w:proofErr w:type="gramEnd"/>
      <w:r w:rsidRPr="00FC6F34">
        <w:rPr>
          <w:rFonts w:ascii="Verdana" w:eastAsia="Calibri" w:hAnsi="Verdana" w:cs="Arial"/>
          <w:bCs/>
          <w:lang w:val="es-ES"/>
        </w:rPr>
        <w:t xml:space="preserve"> Municipales y/o Distritales, </w:t>
      </w:r>
      <w:proofErr w:type="gramStart"/>
      <w:r w:rsidRPr="00FC6F34">
        <w:rPr>
          <w:rFonts w:ascii="Verdana" w:eastAsia="Calibri" w:hAnsi="Verdana" w:cs="Arial"/>
          <w:bCs/>
          <w:lang w:val="es-ES"/>
        </w:rPr>
        <w:t>Secretarios</w:t>
      </w:r>
      <w:proofErr w:type="gramEnd"/>
      <w:r w:rsidRPr="00FC6F34">
        <w:rPr>
          <w:rFonts w:ascii="Verdana" w:eastAsia="Calibri" w:hAnsi="Verdana" w:cs="Arial"/>
          <w:bCs/>
          <w:lang w:val="es-ES"/>
        </w:rPr>
        <w:t>, Gerentes y directores de Entidades Descentralizadas del orden Municipal, Departamental o Distrital, dentro de los cuatro (4) meses anteriores a las elecciones, no podrán celebrar convenios interadministrativos para la ejecución de recursos públicos”.</w:t>
      </w:r>
      <w:r w:rsidRPr="00FC6F34">
        <w:rPr>
          <w:rFonts w:ascii="Verdana" w:hAnsi="Verdana" w:cs="Arial"/>
          <w:bCs/>
          <w:iCs/>
          <w:lang w:val="es-ES"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C6F34">
        <w:rPr>
          <w:rStyle w:val="Refdenotaalpie"/>
          <w:rFonts w:ascii="Verdana" w:hAnsi="Verdana" w:cs="Arial"/>
          <w:bCs/>
          <w:iCs/>
          <w:lang w:val="es-ES" w:eastAsia="x-none"/>
        </w:rPr>
        <w:footnoteReference w:id="25"/>
      </w:r>
      <w:r w:rsidRPr="00FC6F34">
        <w:rPr>
          <w:rFonts w:ascii="Verdana" w:hAnsi="Verdana" w:cs="Arial"/>
          <w:bCs/>
          <w:iCs/>
          <w:lang w:val="es-ES" w:eastAsia="x-none"/>
        </w:rPr>
        <w:t>.</w:t>
      </w:r>
      <w:r w:rsidRPr="00FC6F34">
        <w:rPr>
          <w:rFonts w:ascii="Verdana" w:hAnsi="Verdana" w:cs="Arial"/>
          <w:lang w:val="es-ES"/>
        </w:rPr>
        <w:t xml:space="preserve"> </w:t>
      </w:r>
      <w:bookmarkStart w:id="3" w:name="_Hlk78820161"/>
    </w:p>
    <w:p w14:paraId="3919CB9D" w14:textId="77777777" w:rsidR="004B6767" w:rsidRDefault="004B6767" w:rsidP="004B6767">
      <w:pPr>
        <w:spacing w:before="120" w:after="120" w:line="276" w:lineRule="auto"/>
        <w:ind w:firstLine="708"/>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o contratos interadministrativos</w:t>
      </w:r>
      <w:r w:rsidRPr="00FC6F34">
        <w:rPr>
          <w:rFonts w:ascii="Verdana" w:hAnsi="Verdana" w:cs="Arial"/>
          <w:lang w:val="es-ES"/>
        </w:rPr>
        <w:t>, el Decreto 1082 de 2015 califica a los convenios o contratos interadministrativos como aquella contratación entre entidades estatales</w:t>
      </w:r>
      <w:r w:rsidRPr="00FC6F34">
        <w:rPr>
          <w:rStyle w:val="Refdenotaalpie"/>
          <w:rFonts w:ascii="Verdana" w:hAnsi="Verdana" w:cs="Arial"/>
          <w:lang w:val="es-ES"/>
        </w:rPr>
        <w:footnoteReference w:id="26"/>
      </w:r>
      <w:r w:rsidRPr="00FC6F34">
        <w:rPr>
          <w:rFonts w:ascii="Verdana" w:hAnsi="Verdana" w:cs="Arial"/>
          <w:lang w:val="es-ES"/>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bookmarkStart w:id="4" w:name="_Hlk78820654"/>
      <w:bookmarkEnd w:id="3"/>
    </w:p>
    <w:p w14:paraId="2DA50E7E" w14:textId="77777777" w:rsidR="004B6767" w:rsidRDefault="004B6767" w:rsidP="004B6767">
      <w:pPr>
        <w:spacing w:before="120" w:after="120" w:line="276" w:lineRule="auto"/>
        <w:ind w:firstLine="708"/>
        <w:jc w:val="both"/>
        <w:rPr>
          <w:rFonts w:ascii="Verdana" w:hAnsi="Verdana" w:cs="Arial"/>
          <w:lang w:val="es-ES"/>
        </w:rPr>
      </w:pPr>
      <w:r w:rsidRPr="00FC6F34">
        <w:rPr>
          <w:rFonts w:ascii="Verdana" w:hAnsi="Verdana" w:cs="Arial"/>
          <w:lang w:val="es-ES"/>
        </w:rPr>
        <w:t xml:space="preserve">Si bien los contratos o convenios interadministrativos están previstos en la Ley 80 de 1993, en la Ley 1150 de 2007 y en el Decreto en el 1082 de 2015, no quiere decir que solo puedan celebrarse entre </w:t>
      </w:r>
      <w:r>
        <w:rPr>
          <w:rFonts w:ascii="Verdana" w:hAnsi="Verdana" w:cs="Arial"/>
          <w:lang w:val="es-ES"/>
        </w:rPr>
        <w:t>E</w:t>
      </w:r>
      <w:r w:rsidRPr="00FC6F34">
        <w:rPr>
          <w:rFonts w:ascii="Verdana" w:hAnsi="Verdana" w:cs="Arial"/>
          <w:lang w:val="es-ES"/>
        </w:rPr>
        <w:t xml:space="preserve">ntidades </w:t>
      </w:r>
      <w:r>
        <w:rPr>
          <w:rFonts w:ascii="Verdana" w:hAnsi="Verdana" w:cs="Arial"/>
          <w:lang w:val="es-ES"/>
        </w:rPr>
        <w:t>E</w:t>
      </w:r>
      <w:r w:rsidRPr="00FC6F34">
        <w:rPr>
          <w:rFonts w:ascii="Verdana" w:hAnsi="Verdana" w:cs="Arial"/>
          <w:lang w:val="es-ES"/>
        </w:rPr>
        <w:t xml:space="preserve">statales que 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 xml:space="preserve">celebrar esta clase de convenios con una </w:t>
      </w:r>
      <w:r w:rsidRPr="00FC6F34">
        <w:rPr>
          <w:rFonts w:ascii="Verdana" w:hAnsi="Verdana" w:cs="Arial"/>
          <w:lang w:val="es-ES"/>
        </w:rPr>
        <w:lastRenderedPageBreak/>
        <w:t>de régimen especial y no por ello dejará de ser un contrato o convenio interadministrativo.</w:t>
      </w:r>
      <w:bookmarkEnd w:id="4"/>
    </w:p>
    <w:p w14:paraId="3029C40D" w14:textId="77777777" w:rsidR="004B6767" w:rsidRDefault="004B6767" w:rsidP="004B6767">
      <w:pPr>
        <w:spacing w:before="120" w:after="120" w:line="276" w:lineRule="auto"/>
        <w:ind w:firstLine="708"/>
        <w:jc w:val="both"/>
        <w:rPr>
          <w:rFonts w:ascii="Verdana" w:hAnsi="Verdana" w:cs="Arial"/>
          <w:lang w:val="es-ES"/>
        </w:rPr>
      </w:pPr>
      <w:r>
        <w:rPr>
          <w:rFonts w:ascii="Verdana" w:hAnsi="Verdana" w:cs="Arial"/>
          <w:lang w:val="es-ES"/>
        </w:rPr>
        <w:t>Adicionalmente, se deriva del criterio orgánico referido que u</w:t>
      </w:r>
      <w:r w:rsidRPr="00FC6F34">
        <w:rPr>
          <w:rFonts w:ascii="Verdana" w:hAnsi="Verdana" w:cs="Arial"/>
          <w:lang w:val="es-ES"/>
        </w:rPr>
        <w:t>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FC6F34">
        <w:rPr>
          <w:rStyle w:val="Refdenotaalpie"/>
          <w:rFonts w:ascii="Verdana" w:hAnsi="Verdana" w:cs="Arial"/>
          <w:lang w:val="es-ES"/>
        </w:rPr>
        <w:footnoteReference w:id="27"/>
      </w:r>
      <w:r w:rsidRPr="00FC6F34">
        <w:rPr>
          <w:rFonts w:ascii="Verdana" w:hAnsi="Verdana" w:cs="Arial"/>
          <w:lang w:val="es-ES"/>
        </w:rPr>
        <w:t>. Nótese que, en este caso, lo que cambia es la modalidad de selección y no la naturaleza de contrato</w:t>
      </w:r>
      <w:r w:rsidRPr="00FC6F34">
        <w:rPr>
          <w:rFonts w:ascii="Verdana" w:hAnsi="Verdana" w:cs="Arial"/>
          <w:spacing w:val="-18"/>
          <w:lang w:val="es-ES"/>
        </w:rPr>
        <w:t xml:space="preserve"> </w:t>
      </w:r>
      <w:r w:rsidRPr="00FC6F34">
        <w:rPr>
          <w:rFonts w:ascii="Verdana" w:hAnsi="Verdana" w:cs="Arial"/>
          <w:lang w:val="es-ES"/>
        </w:rPr>
        <w:t>interadministrativo.</w:t>
      </w:r>
    </w:p>
    <w:p w14:paraId="4D52FD1D" w14:textId="77777777" w:rsidR="004B6767" w:rsidRDefault="004B6767" w:rsidP="004B6767">
      <w:pPr>
        <w:spacing w:before="120" w:after="120" w:line="276" w:lineRule="auto"/>
        <w:ind w:firstLine="708"/>
        <w:jc w:val="both"/>
        <w:rPr>
          <w:rFonts w:ascii="Verdana" w:eastAsia="Calibri" w:hAnsi="Verdana" w:cs="Arial"/>
          <w:bCs/>
          <w:lang w:val="es-ES"/>
        </w:rPr>
      </w:pPr>
      <w:r w:rsidRPr="00FC6F34">
        <w:rPr>
          <w:rFonts w:ascii="Verdana" w:hAnsi="Verdana" w:cs="Arial"/>
          <w:lang w:val="es-ES"/>
        </w:rPr>
        <w:t xml:space="preserve">Teniendo en cuenta lo anterior, se reitera la conclusión de que los contratos o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serán aquellos celebrados entre entidades estatales. Además, no existe una definición legal que diferencie los conceptos de contrato y convenio, por lo que</w:t>
      </w:r>
      <w:r>
        <w:rPr>
          <w:rFonts w:ascii="Verdana" w:hAnsi="Verdana" w:cs="Arial"/>
          <w:lang w:val="es-ES"/>
        </w:rPr>
        <w:t xml:space="preserve"> esta Agencia ha considerado que se asimilan </w:t>
      </w:r>
      <w:r w:rsidRPr="00FC6F34">
        <w:rPr>
          <w:rFonts w:ascii="Verdana" w:hAnsi="Verdana" w:cs="Arial"/>
          <w:lang w:val="es-ES"/>
        </w:rPr>
        <w:t>para la aplicación de la Ley de Garantías. En tal sentido, las referencias realizadas por el legislador a estos términos deben asimilarse, salvo que de su contenido se logre inferir que se le quiere otorgar un contenido en particular, pues el legislador utiliza estos conceptos de forma indistinta.</w:t>
      </w:r>
    </w:p>
    <w:p w14:paraId="03C52BF0" w14:textId="77777777" w:rsidR="004B6767" w:rsidRDefault="004B6767" w:rsidP="00EE5FBA">
      <w:pPr>
        <w:spacing w:before="120" w:after="0" w:line="276" w:lineRule="auto"/>
        <w:ind w:firstLine="708"/>
        <w:jc w:val="both"/>
        <w:rPr>
          <w:rFonts w:ascii="Verdana" w:hAnsi="Verdana" w:cs="Arial"/>
          <w:bCs/>
          <w:lang w:val="es-ES" w:eastAsia="es-CO"/>
        </w:rPr>
      </w:pPr>
      <w:r>
        <w:rPr>
          <w:rFonts w:ascii="Verdana" w:eastAsia="Calibri" w:hAnsi="Verdana" w:cs="Arial"/>
          <w:bCs/>
          <w:lang w:val="es-ES"/>
        </w:rPr>
        <w:t xml:space="preserve">En consecuencia, </w:t>
      </w:r>
      <w:r w:rsidRPr="00FC6F34">
        <w:rPr>
          <w:rFonts w:ascii="Verdana" w:hAnsi="Verdana" w:cs="Arial"/>
          <w:bCs/>
          <w:lang w:val="es-ES"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no podrá celebrar tales convenios o contratos durante la aplicación de la ley de garantías, toda vez que la citada disposición hace referencia a dicha tipología contractual sin que el legislador hubiere </w:t>
      </w:r>
      <w:r w:rsidRPr="00FC6F34">
        <w:rPr>
          <w:rFonts w:ascii="Verdana" w:hAnsi="Verdana" w:cs="Arial"/>
          <w:bCs/>
          <w:lang w:val="es-ES" w:eastAsia="es-CO"/>
        </w:rPr>
        <w:lastRenderedPageBreak/>
        <w:t>contemplado excepción alguna frente a la modalidad de selección o naturaleza de su objeto</w:t>
      </w:r>
      <w:r w:rsidRPr="00FC6F34">
        <w:rPr>
          <w:rFonts w:ascii="Verdana" w:hAnsi="Verdana" w:cs="Arial"/>
          <w:vertAlign w:val="superscript"/>
          <w:lang w:val="es-ES"/>
        </w:rPr>
        <w:footnoteReference w:id="28"/>
      </w:r>
      <w:r w:rsidRPr="00FC6F34">
        <w:rPr>
          <w:rFonts w:ascii="Verdana" w:hAnsi="Verdana" w:cs="Arial"/>
          <w:bCs/>
          <w:lang w:val="es-ES" w:eastAsia="es-CO"/>
        </w:rPr>
        <w:t xml:space="preserve">. </w:t>
      </w:r>
    </w:p>
    <w:p w14:paraId="02DE0764" w14:textId="77777777" w:rsidR="00EE5FBA" w:rsidRPr="00FB337F" w:rsidRDefault="00EE5FBA" w:rsidP="00EE5FBA">
      <w:pPr>
        <w:spacing w:after="0" w:line="276" w:lineRule="auto"/>
        <w:ind w:firstLine="708"/>
        <w:jc w:val="both"/>
        <w:rPr>
          <w:rFonts w:ascii="Verdana" w:eastAsia="Calibri" w:hAnsi="Verdana" w:cs="Arial"/>
          <w:bCs/>
          <w:lang w:val="es-ES"/>
        </w:rPr>
      </w:pPr>
    </w:p>
    <w:p w14:paraId="3E3346F7" w14:textId="7BC780A4" w:rsidR="004B6767" w:rsidRDefault="004B6767" w:rsidP="00EE5FBA">
      <w:pPr>
        <w:spacing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v</w:t>
      </w:r>
      <w:r w:rsidR="00EE5FBA">
        <w:rPr>
          <w:rFonts w:ascii="Verdana" w:eastAsia="Arial" w:hAnsi="Verdana" w:cs="Arial"/>
          <w:bCs/>
          <w:color w:val="000000" w:themeColor="text1"/>
          <w:lang w:val="es-ES"/>
        </w:rPr>
        <w:t>i</w:t>
      </w:r>
      <w:r>
        <w:rPr>
          <w:rFonts w:ascii="Verdana" w:eastAsia="Arial" w:hAnsi="Verdana" w:cs="Arial"/>
          <w:bCs/>
          <w:color w:val="000000" w:themeColor="text1"/>
          <w:lang w:val="es-ES"/>
        </w:rPr>
        <w:t xml:space="preserve">) Conforme con lo expuesto, las entidades que requieran adelantar procesos de contratación directa durante el periodo de garantías electorales deberán analizar, primero, si se configuran los supuestos establecidos en </w:t>
      </w:r>
      <w:r w:rsidRPr="00C16886">
        <w:rPr>
          <w:rFonts w:ascii="Verdana" w:eastAsia="Arial" w:hAnsi="Verdana" w:cs="Arial"/>
          <w:bCs/>
          <w:i/>
          <w:iCs/>
          <w:color w:val="000000" w:themeColor="text1"/>
          <w:lang w:val="es-ES"/>
        </w:rPr>
        <w:t>el artículo 33</w:t>
      </w:r>
      <w:r>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PIC se realiza con ocasión a una “emergencia sanitaria” o si es llevada a cabo por “entidades sanitarias u hospitalarias”. De ser así, la entidad podrá llevar a cabo la contratación directa, a pesar de que haya iniciado el periodo de garantías electorales correspondiente al artículo 33 de la Ley 996 de 2005.</w:t>
      </w:r>
    </w:p>
    <w:p w14:paraId="50365516" w14:textId="0368E688" w:rsidR="004B6767" w:rsidRPr="00FC6F34" w:rsidRDefault="004B6767" w:rsidP="004B6767">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del PIC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municipal, departamental o distrital</w:t>
      </w:r>
      <w:r>
        <w:rPr>
          <w:rFonts w:ascii="Verdana" w:eastAsia="Arial" w:hAnsi="Verdana" w:cs="Arial"/>
          <w:bCs/>
          <w:color w:val="000000" w:themeColor="text1"/>
        </w:rPr>
        <w:t xml:space="preserve">”; así </w:t>
      </w:r>
      <w:r w:rsidR="005A59FB">
        <w:rPr>
          <w:rFonts w:ascii="Verdana" w:eastAsia="Arial" w:hAnsi="Verdana" w:cs="Arial"/>
          <w:bCs/>
          <w:color w:val="000000" w:themeColor="text1"/>
        </w:rPr>
        <w:t>como</w:t>
      </w:r>
      <w:r w:rsidR="005A59FB" w:rsidRPr="000C77A8">
        <w:rPr>
          <w:rFonts w:ascii="Verdana" w:eastAsia="Arial" w:hAnsi="Verdana" w:cs="Arial"/>
          <w:bCs/>
          <w:color w:val="000000" w:themeColor="text1"/>
        </w:rPr>
        <w:t xml:space="preserve"> determinar</w:t>
      </w:r>
      <w:r w:rsidR="00420468">
        <w:rPr>
          <w:rFonts w:ascii="Verdana" w:eastAsia="Arial" w:hAnsi="Verdana" w:cs="Arial"/>
          <w:bCs/>
          <w:color w:val="000000" w:themeColor="text1"/>
          <w:lang w:val="es-ES"/>
        </w:rPr>
        <w:t xml:space="preserve"> </w:t>
      </w:r>
      <w:r>
        <w:rPr>
          <w:rFonts w:ascii="Verdana" w:eastAsia="Arial" w:hAnsi="Verdana" w:cs="Arial"/>
          <w:bCs/>
          <w:color w:val="000000" w:themeColor="text1"/>
          <w:lang w:val="es-ES"/>
        </w:rPr>
        <w:t xml:space="preserve">si lo que pretende adelantar es un convenio o un contrato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trate de entidades sanitarias u hospitalarias. </w:t>
      </w:r>
    </w:p>
    <w:p w14:paraId="4F6B0149" w14:textId="16899E78" w:rsidR="004B6767" w:rsidRDefault="004B6767" w:rsidP="004B6767">
      <w:pPr>
        <w:spacing w:before="120" w:after="120" w:line="276" w:lineRule="auto"/>
        <w:ind w:firstLine="709"/>
        <w:jc w:val="both"/>
        <w:rPr>
          <w:rFonts w:ascii="Verdana" w:eastAsia="Arial" w:hAnsi="Verdana" w:cs="Arial"/>
          <w:bCs/>
          <w:color w:val="000000" w:themeColor="text1"/>
          <w:lang w:val="es-ES"/>
        </w:rPr>
      </w:pPr>
      <w:r>
        <w:rPr>
          <w:rFonts w:ascii="Verdana" w:eastAsia="Arial" w:hAnsi="Verdana" w:cs="Arial"/>
          <w:bCs/>
          <w:color w:val="000000" w:themeColor="text1"/>
          <w:lang w:val="es-ES"/>
        </w:rPr>
        <w:t>Sobre el tema de su consulta</w:t>
      </w:r>
      <w:r w:rsidRPr="00FC6F34">
        <w:rPr>
          <w:rFonts w:ascii="Verdana" w:eastAsia="Arial" w:hAnsi="Verdana" w:cs="Arial"/>
          <w:bCs/>
          <w:color w:val="000000" w:themeColor="text1"/>
          <w:lang w:val="es-ES"/>
        </w:rPr>
        <w:t xml:space="preserve">, mediante la Resolución 04 del 12 de </w:t>
      </w:r>
      <w:proofErr w:type="gramStart"/>
      <w:r w:rsidRPr="00FC6F34">
        <w:rPr>
          <w:rFonts w:ascii="Verdana" w:eastAsia="Arial" w:hAnsi="Verdana" w:cs="Arial"/>
          <w:bCs/>
          <w:color w:val="000000" w:themeColor="text1"/>
          <w:lang w:val="es-ES"/>
        </w:rPr>
        <w:t>Enero</w:t>
      </w:r>
      <w:proofErr w:type="gramEnd"/>
      <w:r w:rsidRPr="00FC6F34">
        <w:rPr>
          <w:rFonts w:ascii="Verdana" w:eastAsia="Arial" w:hAnsi="Verdana" w:cs="Arial"/>
          <w:bCs/>
          <w:color w:val="000000" w:themeColor="text1"/>
          <w:lang w:val="es-ES"/>
        </w:rPr>
        <w:t xml:space="preserve"> de 2018, el Ministerio de Salud y Protección Social dio “instrucciones para la ejecución de las acciones en salud pública en el marco de la Ley de Garantías electorales”. Respecto de la ejecución del Plan de Intervenciones Colectivas</w:t>
      </w:r>
      <w:r>
        <w:rPr>
          <w:rFonts w:ascii="Verdana" w:eastAsia="Arial" w:hAnsi="Verdana" w:cs="Arial"/>
          <w:bCs/>
          <w:color w:val="000000" w:themeColor="text1"/>
          <w:lang w:val="es-ES"/>
        </w:rPr>
        <w:t xml:space="preserve"> (PIC)</w:t>
      </w:r>
      <w:r w:rsidRPr="00FC6F34">
        <w:rPr>
          <w:rFonts w:ascii="Verdana" w:eastAsia="Arial" w:hAnsi="Verdana" w:cs="Arial"/>
          <w:bCs/>
          <w:color w:val="000000" w:themeColor="text1"/>
          <w:lang w:val="es-ES"/>
        </w:rPr>
        <w:t xml:space="preserve">, el Ministerio enfatizó que las entidades deben garantizar los tramites contractuales y la planeación para la continuidad del </w:t>
      </w:r>
      <w:r>
        <w:rPr>
          <w:rFonts w:ascii="Verdana" w:eastAsia="Arial" w:hAnsi="Verdana" w:cs="Arial"/>
          <w:bCs/>
          <w:color w:val="000000" w:themeColor="text1"/>
          <w:lang w:val="es-ES"/>
        </w:rPr>
        <w:t>programa</w:t>
      </w:r>
      <w:r w:rsidRPr="00FC6F34">
        <w:rPr>
          <w:rFonts w:ascii="Verdana" w:eastAsia="Arial" w:hAnsi="Verdana" w:cs="Arial"/>
          <w:bCs/>
          <w:color w:val="000000" w:themeColor="text1"/>
          <w:lang w:val="es-ES"/>
        </w:rPr>
        <w:t>. Además, señal</w:t>
      </w:r>
      <w:r>
        <w:rPr>
          <w:rFonts w:ascii="Verdana" w:eastAsia="Arial" w:hAnsi="Verdana" w:cs="Arial"/>
          <w:bCs/>
          <w:color w:val="000000" w:themeColor="text1"/>
          <w:lang w:val="es-ES"/>
        </w:rPr>
        <w:t>ó</w:t>
      </w:r>
      <w:r w:rsidRPr="00FC6F34">
        <w:rPr>
          <w:rFonts w:ascii="Verdana" w:eastAsia="Arial" w:hAnsi="Verdana" w:cs="Arial"/>
          <w:bCs/>
          <w:color w:val="000000" w:themeColor="text1"/>
          <w:lang w:val="es-ES"/>
        </w:rPr>
        <w:t xml:space="preserve"> que durante el periodo de prohibición del artículo 33 de la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ey 996 de 2005 “se exceptúan las acciones que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a entidad territorial requiera contratar como entidad sanitaria” con el fin de no paralizar su funcionamiento o interrumpir la prestación </w:t>
      </w:r>
      <w:r w:rsidRPr="00FC6F34">
        <w:rPr>
          <w:rFonts w:ascii="Verdana" w:eastAsia="Arial" w:hAnsi="Verdana" w:cs="Arial"/>
          <w:bCs/>
          <w:color w:val="000000" w:themeColor="text1"/>
          <w:lang w:val="es-ES"/>
        </w:rPr>
        <w:lastRenderedPageBreak/>
        <w:t xml:space="preserve">de los servicios públicos de carácter esencial, con lo cual resalto la excepción aplicable a </w:t>
      </w:r>
      <w:r>
        <w:rPr>
          <w:rFonts w:ascii="Verdana" w:eastAsia="Arial" w:hAnsi="Verdana" w:cs="Arial"/>
          <w:bCs/>
          <w:color w:val="000000" w:themeColor="text1"/>
          <w:lang w:val="es-ES"/>
        </w:rPr>
        <w:t>estas entidades</w:t>
      </w:r>
      <w:r w:rsidRPr="00FC6F34">
        <w:rPr>
          <w:rFonts w:ascii="Verdana" w:eastAsia="Arial" w:hAnsi="Verdana" w:cs="Arial"/>
          <w:bCs/>
          <w:color w:val="000000" w:themeColor="text1"/>
          <w:lang w:val="es-ES"/>
        </w:rPr>
        <w:t>. Sobre esto último</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estableció como criterios para determinar </w:t>
      </w:r>
      <w:r>
        <w:rPr>
          <w:rFonts w:ascii="Verdana" w:eastAsia="Arial" w:hAnsi="Verdana" w:cs="Arial"/>
          <w:bCs/>
          <w:color w:val="000000" w:themeColor="text1"/>
          <w:lang w:val="es-ES"/>
        </w:rPr>
        <w:t>la aplicación de la</w:t>
      </w:r>
      <w:r w:rsidRPr="00FC6F34">
        <w:rPr>
          <w:rFonts w:ascii="Verdana" w:eastAsia="Arial" w:hAnsi="Verdana" w:cs="Arial"/>
          <w:bCs/>
          <w:color w:val="000000" w:themeColor="text1"/>
          <w:lang w:val="es-ES"/>
        </w:rPr>
        <w:t xml:space="preserve"> excepción en materia de salud: i) </w:t>
      </w:r>
      <w:r>
        <w:rPr>
          <w:rFonts w:ascii="Verdana" w:eastAsia="Arial" w:hAnsi="Verdana" w:cs="Arial"/>
          <w:bCs/>
          <w:color w:val="000000" w:themeColor="text1"/>
          <w:lang w:val="es-ES"/>
        </w:rPr>
        <w:t>q</w:t>
      </w:r>
      <w:r w:rsidRPr="00FC6F34">
        <w:rPr>
          <w:rFonts w:ascii="Verdana" w:eastAsia="Arial" w:hAnsi="Verdana" w:cs="Arial"/>
          <w:bCs/>
          <w:color w:val="000000" w:themeColor="text1"/>
          <w:lang w:val="es-ES"/>
        </w:rPr>
        <w:t xml:space="preserve">ue la contratación sea necesaria para solventar las eventuales situaciones de urgencia en salud, y </w:t>
      </w:r>
      <w:proofErr w:type="spellStart"/>
      <w:r w:rsidRPr="00FC6F34">
        <w:rPr>
          <w:rFonts w:ascii="Verdana" w:eastAsia="Arial" w:hAnsi="Verdana" w:cs="Arial"/>
          <w:bCs/>
          <w:color w:val="000000" w:themeColor="text1"/>
          <w:lang w:val="es-ES"/>
        </w:rPr>
        <w:t>ii</w:t>
      </w:r>
      <w:proofErr w:type="spellEnd"/>
      <w:r w:rsidR="005A59FB" w:rsidRPr="00FC6F34">
        <w:rPr>
          <w:rFonts w:ascii="Verdana" w:eastAsia="Arial" w:hAnsi="Verdana" w:cs="Arial"/>
          <w:bCs/>
          <w:color w:val="000000" w:themeColor="text1"/>
          <w:lang w:val="es-ES"/>
        </w:rPr>
        <w:t>) que</w:t>
      </w:r>
      <w:r w:rsidRPr="00FC6F34">
        <w:rPr>
          <w:rFonts w:ascii="Verdana" w:eastAsia="Arial" w:hAnsi="Verdana" w:cs="Arial"/>
          <w:bCs/>
          <w:color w:val="000000" w:themeColor="text1"/>
          <w:lang w:val="es-ES"/>
        </w:rPr>
        <w:t xml:space="preserv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4C4BDE97" w14:textId="77777777" w:rsidR="004B6767" w:rsidRPr="00FC6F34" w:rsidRDefault="004B6767" w:rsidP="004B6767">
      <w:pPr>
        <w:spacing w:after="0" w:line="276" w:lineRule="auto"/>
        <w:ind w:firstLine="708"/>
        <w:jc w:val="both"/>
        <w:rPr>
          <w:rFonts w:ascii="Verdana" w:eastAsia="Calibri" w:hAnsi="Verdana" w:cs="Arial"/>
          <w:lang w:val="es-ES"/>
        </w:rPr>
      </w:pPr>
    </w:p>
    <w:bookmarkEnd w:id="1"/>
    <w:bookmarkEnd w:id="2"/>
    <w:p w14:paraId="15A72604" w14:textId="247127F4"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w:t>
      </w:r>
      <w:r w:rsidR="005A59FB">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Referencias normativas, jurisprudenciales y otras fuentes:</w:t>
      </w:r>
    </w:p>
    <w:p w14:paraId="486A3527" w14:textId="77777777" w:rsidR="004B6767" w:rsidRPr="00FC6F34" w:rsidRDefault="004B6767" w:rsidP="004B6767">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B6767" w:rsidRPr="00FC6F34" w14:paraId="363ED045" w14:textId="77777777" w:rsidTr="00E67E18">
        <w:trPr>
          <w:trHeight w:val="870"/>
        </w:trPr>
        <w:tc>
          <w:tcPr>
            <w:tcW w:w="8647" w:type="dxa"/>
          </w:tcPr>
          <w:p w14:paraId="2D8600DF" w14:textId="77777777" w:rsidR="004B6767" w:rsidRPr="00FC6F34"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3BAFADC7" w14:textId="77777777" w:rsidR="004B6767" w:rsidRDefault="004B6767" w:rsidP="0027089D">
            <w:pPr>
              <w:pStyle w:val="Prrafodelista"/>
              <w:numPr>
                <w:ilvl w:val="0"/>
                <w:numId w:val="16"/>
              </w:numPr>
              <w:spacing w:line="276" w:lineRule="auto"/>
              <w:ind w:left="714" w:hanging="357"/>
              <w:jc w:val="both"/>
              <w:rPr>
                <w:rFonts w:ascii="Verdana" w:hAnsi="Verdana" w:cs="Arial"/>
              </w:rPr>
            </w:pPr>
            <w:r w:rsidRPr="00FC6F34">
              <w:rPr>
                <w:rFonts w:ascii="Verdana" w:hAnsi="Verdana" w:cs="Arial"/>
              </w:rPr>
              <w:t>Ley 80 de 1993, artículos 30 y 32.</w:t>
            </w:r>
          </w:p>
          <w:p w14:paraId="18476F3E" w14:textId="76B13CCB" w:rsidR="0042718F" w:rsidRPr="00FC6F34" w:rsidRDefault="0042718F" w:rsidP="0027089D">
            <w:pPr>
              <w:pStyle w:val="Prrafodelista"/>
              <w:numPr>
                <w:ilvl w:val="0"/>
                <w:numId w:val="16"/>
              </w:numPr>
              <w:spacing w:line="276" w:lineRule="auto"/>
              <w:ind w:left="714" w:hanging="357"/>
              <w:jc w:val="both"/>
              <w:rPr>
                <w:rFonts w:ascii="Verdana" w:hAnsi="Verdana" w:cs="Arial"/>
              </w:rPr>
            </w:pPr>
            <w:r w:rsidRPr="00FC6F34">
              <w:rPr>
                <w:rFonts w:ascii="Verdana" w:hAnsi="Verdana" w:cs="Arial"/>
                <w:color w:val="000000" w:themeColor="text1"/>
              </w:rPr>
              <w:t>Ley 100 de 1993</w:t>
            </w:r>
            <w:r w:rsidR="006D50FD">
              <w:rPr>
                <w:rFonts w:ascii="Verdana" w:hAnsi="Verdana" w:cs="Arial"/>
                <w:color w:val="000000" w:themeColor="text1"/>
              </w:rPr>
              <w:t>:</w:t>
            </w:r>
            <w:r>
              <w:rPr>
                <w:rFonts w:ascii="Verdana" w:hAnsi="Verdana" w:cs="Arial"/>
                <w:color w:val="000000" w:themeColor="text1"/>
              </w:rPr>
              <w:t xml:space="preserve"> artículo 94 y 197</w:t>
            </w:r>
          </w:p>
          <w:p w14:paraId="5DAA8787" w14:textId="77777777" w:rsidR="004B6767"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Ley 813 de 2003: artículos 8, 10, 11 y 12.</w:t>
            </w:r>
          </w:p>
          <w:p w14:paraId="4B133AD8" w14:textId="506EE911" w:rsidR="006D50FD" w:rsidRPr="00EB7F54" w:rsidRDefault="006D50FD"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721E36E2" w14:textId="77777777" w:rsidR="004B6767" w:rsidRPr="00FC6F34"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Ley 1483 de 2011.</w:t>
            </w:r>
          </w:p>
          <w:p w14:paraId="0C2C6B13" w14:textId="77777777" w:rsidR="004B6767" w:rsidRPr="00FC6F34"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Decreto 111 de 1996.</w:t>
            </w:r>
          </w:p>
          <w:p w14:paraId="1F146BD4" w14:textId="77777777" w:rsidR="004B6767"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 xml:space="preserve">Decreto 1068 de 2015: artículo 2.8.3.4. </w:t>
            </w:r>
          </w:p>
          <w:p w14:paraId="3D8B92DB" w14:textId="006A5003" w:rsidR="0042718F" w:rsidRPr="00FC6F34" w:rsidRDefault="0042718F"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eastAsia="Arial" w:hAnsi="Verdana" w:cs="Arial"/>
                <w:bCs/>
                <w:color w:val="000000" w:themeColor="text1"/>
              </w:rPr>
              <w:t>Decreto 780 de 2016</w:t>
            </w:r>
            <w:r w:rsidR="004841EA">
              <w:rPr>
                <w:rFonts w:ascii="Verdana" w:eastAsia="Arial" w:hAnsi="Verdana" w:cs="Arial"/>
                <w:bCs/>
                <w:color w:val="000000" w:themeColor="text1"/>
              </w:rPr>
              <w:t>:</w:t>
            </w:r>
            <w:r>
              <w:rPr>
                <w:rFonts w:ascii="Verdana" w:eastAsia="Arial" w:hAnsi="Verdana" w:cs="Arial"/>
                <w:bCs/>
                <w:color w:val="000000" w:themeColor="text1"/>
              </w:rPr>
              <w:t xml:space="preserve"> </w:t>
            </w:r>
            <w:r w:rsidRPr="00FC6F34">
              <w:rPr>
                <w:rFonts w:ascii="Verdana" w:eastAsia="Arial" w:hAnsi="Verdana" w:cs="Arial"/>
                <w:bCs/>
                <w:color w:val="000000" w:themeColor="text1"/>
              </w:rPr>
              <w:t>artículo 2.8.8.1.1.3</w:t>
            </w:r>
          </w:p>
          <w:p w14:paraId="6D797922" w14:textId="77777777" w:rsidR="004B6767" w:rsidRPr="00FC6F34"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Calibri" w:hAnsi="Verdana" w:cs="Arial"/>
                <w:lang w:val="es-ES"/>
              </w:rPr>
              <w:t>Decreto 2770 de 2006.</w:t>
            </w:r>
          </w:p>
          <w:p w14:paraId="6828F460" w14:textId="4AFB0B00" w:rsidR="004B6767"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sidR="004841EA">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sidR="004841EA">
              <w:rPr>
                <w:rFonts w:ascii="Verdana" w:eastAsia="Arial MT" w:hAnsi="Verdana" w:cs="Arial"/>
                <w:lang w:val="es-ES" w:eastAsia="es-ES" w:bidi="es-ES"/>
              </w:rPr>
              <w:t>a</w:t>
            </w:r>
            <w:r w:rsidRPr="00FC6F34">
              <w:rPr>
                <w:rFonts w:ascii="Verdana" w:eastAsia="Arial MT" w:hAnsi="Verdana" w:cs="Arial"/>
                <w:lang w:val="es-ES" w:eastAsia="es-ES" w:bidi="es-ES"/>
              </w:rPr>
              <w:t xml:space="preserve">rtículo 2, numeral 4. </w:t>
            </w:r>
          </w:p>
          <w:p w14:paraId="53E30C5D" w14:textId="43201814" w:rsidR="00E06D2F" w:rsidRPr="00D93D5B" w:rsidRDefault="00E06D2F"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841EA">
              <w:rPr>
                <w:rFonts w:ascii="Verdana" w:eastAsia="Arial MT" w:hAnsi="Verdana" w:cs="Arial"/>
                <w:lang w:val="es-ES" w:eastAsia="es-ES" w:bidi="es-ES"/>
              </w:rPr>
              <w:t>Estatuto Orgánico del Presupuesto</w:t>
            </w:r>
            <w:r w:rsidR="004841EA">
              <w:rPr>
                <w:rFonts w:ascii="Verdana" w:eastAsia="Arial MT" w:hAnsi="Verdana" w:cs="Arial"/>
                <w:lang w:val="es-ES" w:eastAsia="es-ES" w:bidi="es-ES"/>
              </w:rPr>
              <w:t>:</w:t>
            </w:r>
            <w:r w:rsidRPr="004841EA">
              <w:rPr>
                <w:rFonts w:ascii="Verdana" w:eastAsia="Arial MT" w:hAnsi="Verdana" w:cs="Arial"/>
                <w:lang w:val="es-ES" w:eastAsia="es-ES" w:bidi="es-ES"/>
              </w:rPr>
              <w:t xml:space="preserve"> </w:t>
            </w:r>
            <w:r w:rsidR="004841EA">
              <w:rPr>
                <w:rFonts w:ascii="Verdana" w:eastAsia="Arial MT" w:hAnsi="Verdana" w:cs="Arial"/>
                <w:lang w:val="es-ES" w:eastAsia="es-ES" w:bidi="es-ES"/>
              </w:rPr>
              <w:t>a</w:t>
            </w:r>
            <w:r w:rsidRPr="004841EA">
              <w:rPr>
                <w:rFonts w:ascii="Verdana" w:eastAsia="Arial MT" w:hAnsi="Verdana" w:cs="Arial"/>
                <w:lang w:val="es-ES" w:eastAsia="es-ES" w:bidi="es-ES"/>
              </w:rPr>
              <w:t>rtículo 89.</w:t>
            </w:r>
          </w:p>
          <w:p w14:paraId="72E9B81E" w14:textId="178EEF02" w:rsidR="00D93D5B" w:rsidRPr="00E06D2F" w:rsidRDefault="00D93D5B"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841EA">
              <w:rPr>
                <w:rFonts w:ascii="Verdana" w:eastAsia="Arial MT" w:hAnsi="Verdana" w:cs="Arial"/>
                <w:lang w:val="es-ES" w:eastAsia="es-ES" w:bidi="es-ES"/>
              </w:rPr>
              <w:t>Decreto 1082 de 2015</w:t>
            </w:r>
            <w:r w:rsidR="004841EA">
              <w:rPr>
                <w:rFonts w:ascii="Verdana" w:eastAsia="Arial MT" w:hAnsi="Verdana" w:cs="Arial"/>
                <w:lang w:val="es-ES" w:eastAsia="es-ES" w:bidi="es-ES"/>
              </w:rPr>
              <w:t>:</w:t>
            </w:r>
            <w:r w:rsidRPr="004841EA">
              <w:rPr>
                <w:rFonts w:ascii="Verdana" w:eastAsia="Arial MT" w:hAnsi="Verdana" w:cs="Arial"/>
                <w:lang w:val="es-ES" w:eastAsia="es-ES" w:bidi="es-ES"/>
              </w:rPr>
              <w:t xml:space="preserve"> </w:t>
            </w:r>
            <w:r w:rsidR="004841EA">
              <w:rPr>
                <w:rFonts w:ascii="Verdana" w:eastAsia="Arial MT" w:hAnsi="Verdana" w:cs="Arial"/>
                <w:lang w:val="es-ES" w:eastAsia="es-ES" w:bidi="es-ES"/>
              </w:rPr>
              <w:t>a</w:t>
            </w:r>
            <w:r w:rsidRPr="004841EA">
              <w:rPr>
                <w:rFonts w:ascii="Verdana" w:eastAsia="Arial MT" w:hAnsi="Verdana" w:cs="Arial"/>
                <w:lang w:val="es-ES" w:eastAsia="es-ES" w:bidi="es-ES"/>
              </w:rPr>
              <w:t>rtículo 2.2.1.2.1.4.4</w:t>
            </w:r>
          </w:p>
          <w:p w14:paraId="6B8F6933" w14:textId="77C3B39F" w:rsidR="009F61BB" w:rsidRPr="00FC6F34" w:rsidRDefault="009F61BB"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Consejo de Estado. Sala de Consulta y Servicio Civil. Concepto del 18 de febrero 2010. Rad. 11001-03-06-000-2010-00006-00 (1985). C.P. Enrique José Arboleda Perdomo.</w:t>
            </w:r>
          </w:p>
          <w:p w14:paraId="0633FDCA" w14:textId="77777777" w:rsidR="004B6767" w:rsidRPr="0027089D"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Sección Primera. Sentencia de 3 de marzo de 2005, </w:t>
            </w:r>
            <w:proofErr w:type="spellStart"/>
            <w:r w:rsidRPr="0027089D">
              <w:rPr>
                <w:rFonts w:ascii="Verdana" w:eastAsia="Arial MT" w:hAnsi="Verdana" w:cs="Arial"/>
                <w:lang w:val="es-ES" w:eastAsia="es-ES" w:bidi="es-ES"/>
              </w:rPr>
              <w:t>Exp</w:t>
            </w:r>
            <w:proofErr w:type="spellEnd"/>
            <w:r w:rsidRPr="0027089D">
              <w:rPr>
                <w:rFonts w:ascii="Verdana" w:eastAsia="Arial MT" w:hAnsi="Verdana" w:cs="Arial"/>
                <w:lang w:val="es-ES" w:eastAsia="es-ES" w:bidi="es-ES"/>
              </w:rPr>
              <w:t xml:space="preserve">. 2004-00823-01(PI). </w:t>
            </w:r>
          </w:p>
          <w:p w14:paraId="38660AFA" w14:textId="3DBFD7B0" w:rsidR="00AA07F3" w:rsidRPr="0027089D" w:rsidRDefault="00AA07F3"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Sala de Consulta y Servicio Civil, Concepto de fecha 8 de mayo de 2018, No. 2382. C. P. Álvaro </w:t>
            </w:r>
            <w:proofErr w:type="spellStart"/>
            <w:r w:rsidRPr="0027089D">
              <w:rPr>
                <w:rFonts w:ascii="Verdana" w:eastAsia="Arial MT" w:hAnsi="Verdana" w:cs="Arial"/>
                <w:lang w:val="es-ES" w:eastAsia="es-ES" w:bidi="es-ES"/>
              </w:rPr>
              <w:t>Namén</w:t>
            </w:r>
            <w:proofErr w:type="spellEnd"/>
            <w:r w:rsidRPr="0027089D">
              <w:rPr>
                <w:rFonts w:ascii="Verdana" w:eastAsia="Arial MT" w:hAnsi="Verdana" w:cs="Arial"/>
                <w:lang w:val="es-ES" w:eastAsia="es-ES" w:bidi="es-ES"/>
              </w:rPr>
              <w:t xml:space="preserve"> Vargas.</w:t>
            </w:r>
          </w:p>
          <w:p w14:paraId="6D08A0C1" w14:textId="7F0BEDBE" w:rsidR="009F61BB" w:rsidRPr="0027089D" w:rsidRDefault="009F61BB"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Sala de Consulta y Servicio Civil. Concepto del 02 de septiembre de 2013. Rad. 11001-03-06-000-2013-00412-00 (2168). C.P. Álvaro </w:t>
            </w:r>
            <w:proofErr w:type="spellStart"/>
            <w:r w:rsidRPr="0027089D">
              <w:rPr>
                <w:rFonts w:ascii="Verdana" w:eastAsia="Arial MT" w:hAnsi="Verdana" w:cs="Arial"/>
                <w:lang w:val="es-ES" w:eastAsia="es-ES" w:bidi="es-ES"/>
              </w:rPr>
              <w:t>Namén</w:t>
            </w:r>
            <w:proofErr w:type="spellEnd"/>
            <w:r w:rsidRPr="0027089D">
              <w:rPr>
                <w:rFonts w:ascii="Verdana" w:eastAsia="Arial MT" w:hAnsi="Verdana" w:cs="Arial"/>
                <w:lang w:val="es-ES" w:eastAsia="es-ES" w:bidi="es-ES"/>
              </w:rPr>
              <w:t xml:space="preserve"> Vargas.</w:t>
            </w:r>
          </w:p>
          <w:p w14:paraId="139BEBFA" w14:textId="77777777" w:rsidR="004B6767" w:rsidRPr="0027089D"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Sala de Consulta y Servicio Civil, Concepto de fecha 24 de julio de 2013, Rad. 2166, C. P. Álvaro </w:t>
            </w:r>
            <w:proofErr w:type="spellStart"/>
            <w:r w:rsidRPr="0027089D">
              <w:rPr>
                <w:rFonts w:ascii="Verdana" w:eastAsia="Arial MT" w:hAnsi="Verdana" w:cs="Arial"/>
                <w:lang w:val="es-ES" w:eastAsia="es-ES" w:bidi="es-ES"/>
              </w:rPr>
              <w:t>Namén</w:t>
            </w:r>
            <w:proofErr w:type="spellEnd"/>
            <w:r w:rsidRPr="0027089D">
              <w:rPr>
                <w:rFonts w:ascii="Verdana" w:eastAsia="Arial MT" w:hAnsi="Verdana" w:cs="Arial"/>
                <w:lang w:val="es-ES" w:eastAsia="es-ES" w:bidi="es-ES"/>
              </w:rPr>
              <w:t xml:space="preserve"> Vargas. </w:t>
            </w:r>
          </w:p>
          <w:p w14:paraId="5FB89522" w14:textId="77777777" w:rsidR="004B6767" w:rsidRPr="0027089D" w:rsidRDefault="004B6767" w:rsidP="0027089D">
            <w:pPr>
              <w:pStyle w:val="Prrafodelista"/>
              <w:numPr>
                <w:ilvl w:val="0"/>
                <w:numId w:val="16"/>
              </w:numPr>
              <w:spacing w:line="276" w:lineRule="auto"/>
              <w:ind w:left="714" w:hanging="357"/>
              <w:jc w:val="both"/>
              <w:rPr>
                <w:rFonts w:ascii="Verdana" w:eastAsia="Arial MT" w:hAnsi="Verdana" w:cs="Arial"/>
                <w:lang w:eastAsia="es-ES" w:bidi="es-ES"/>
              </w:rPr>
            </w:pPr>
            <w:r w:rsidRPr="0027089D">
              <w:rPr>
                <w:rFonts w:ascii="Verdana" w:eastAsia="Arial MT" w:hAnsi="Verdana" w:cs="Arial"/>
                <w:lang w:eastAsia="es-ES" w:bidi="es-ES"/>
              </w:rPr>
              <w:lastRenderedPageBreak/>
              <w:t>Consejo de Estado. Sala de Consulta y Servicio Civil. Concepto del 17 de febrero de 2015. C.P. William Zambrano Cetina. Radicación No. 11001-03-06-000-2015-00164-00(2269).</w:t>
            </w:r>
          </w:p>
          <w:p w14:paraId="2DAE8414" w14:textId="77777777" w:rsidR="004B6767" w:rsidRPr="0027089D" w:rsidRDefault="004B6767" w:rsidP="0027089D">
            <w:pPr>
              <w:pStyle w:val="Prrafodelista"/>
              <w:numPr>
                <w:ilvl w:val="0"/>
                <w:numId w:val="16"/>
              </w:numPr>
              <w:spacing w:line="276" w:lineRule="auto"/>
              <w:ind w:left="714" w:hanging="357"/>
              <w:jc w:val="both"/>
              <w:rPr>
                <w:rFonts w:ascii="Verdana" w:eastAsia="Arial MT" w:hAnsi="Verdana" w:cs="Arial"/>
                <w:lang w:eastAsia="es-ES" w:bidi="es-ES"/>
              </w:rPr>
            </w:pPr>
            <w:r w:rsidRPr="0027089D">
              <w:rPr>
                <w:rFonts w:ascii="Verdana" w:eastAsia="Arial MT" w:hAnsi="Verdana" w:cs="Arial"/>
                <w:lang w:eastAsia="es-ES" w:bidi="es-ES"/>
              </w:rPr>
              <w:t xml:space="preserve">Consejo de Estado, Sala de Consulta y Servicio Civil, Concepto de fecha 8 de mayo de 2018, No. 2382. C. P. Álvaro </w:t>
            </w:r>
            <w:proofErr w:type="spellStart"/>
            <w:r w:rsidRPr="0027089D">
              <w:rPr>
                <w:rFonts w:ascii="Verdana" w:eastAsia="Arial MT" w:hAnsi="Verdana" w:cs="Arial"/>
                <w:lang w:eastAsia="es-ES" w:bidi="es-ES"/>
              </w:rPr>
              <w:t>Namén</w:t>
            </w:r>
            <w:proofErr w:type="spellEnd"/>
            <w:r w:rsidRPr="0027089D">
              <w:rPr>
                <w:rFonts w:ascii="Verdana" w:eastAsia="Arial MT" w:hAnsi="Verdana" w:cs="Arial"/>
                <w:lang w:eastAsia="es-ES" w:bidi="es-ES"/>
              </w:rPr>
              <w:t xml:space="preserve"> Vargas.</w:t>
            </w:r>
          </w:p>
          <w:p w14:paraId="15247968" w14:textId="33524D65" w:rsidR="009F61BB" w:rsidRPr="0027089D" w:rsidRDefault="009F61BB" w:rsidP="0027089D">
            <w:pPr>
              <w:pStyle w:val="Prrafodelista"/>
              <w:numPr>
                <w:ilvl w:val="0"/>
                <w:numId w:val="16"/>
              </w:numPr>
              <w:spacing w:line="276" w:lineRule="auto"/>
              <w:ind w:left="714" w:hanging="357"/>
              <w:jc w:val="both"/>
              <w:rPr>
                <w:rFonts w:ascii="Verdana" w:eastAsia="Arial MT" w:hAnsi="Verdana" w:cs="Arial"/>
                <w:lang w:eastAsia="es-ES" w:bidi="es-ES"/>
              </w:rPr>
            </w:pPr>
            <w:r w:rsidRPr="0027089D">
              <w:rPr>
                <w:rFonts w:ascii="Verdana" w:eastAsia="Arial MT" w:hAnsi="Verdana" w:cs="Arial"/>
                <w:lang w:eastAsia="es-ES" w:bidi="es-ES"/>
              </w:rPr>
              <w:t>Corte Constitucional. Sentencia C-1153 de 2005 M.P. Marco Gerardo Monroy Cabra.</w:t>
            </w:r>
          </w:p>
          <w:p w14:paraId="473E25D9" w14:textId="33F062DD" w:rsidR="00D93D5B" w:rsidRPr="00FC6F34" w:rsidRDefault="00225862" w:rsidP="0027089D">
            <w:pPr>
              <w:pStyle w:val="Prrafodelista"/>
              <w:numPr>
                <w:ilvl w:val="0"/>
                <w:numId w:val="16"/>
              </w:numPr>
              <w:spacing w:line="276" w:lineRule="auto"/>
              <w:ind w:left="714" w:hanging="357"/>
              <w:jc w:val="both"/>
              <w:rPr>
                <w:rFonts w:ascii="Verdana" w:hAnsi="Verdana" w:cs="Arial"/>
              </w:rPr>
            </w:pPr>
            <w:r w:rsidRPr="0027089D">
              <w:rPr>
                <w:rFonts w:ascii="Verdana" w:eastAsia="Arial MT" w:hAnsi="Verdana" w:cs="Arial"/>
                <w:lang w:eastAsia="es-ES" w:bidi="es-ES"/>
              </w:rPr>
              <w:t xml:space="preserve">Ministerio de Salud y Protección Social, </w:t>
            </w:r>
            <w:r w:rsidR="00D93D5B" w:rsidRPr="0027089D">
              <w:rPr>
                <w:rFonts w:ascii="Verdana" w:eastAsia="Arial MT" w:hAnsi="Verdana" w:cs="Arial"/>
                <w:lang w:eastAsia="es-ES" w:bidi="es-ES"/>
              </w:rPr>
              <w:t xml:space="preserve">Resolución 04 del 12 de </w:t>
            </w:r>
            <w:proofErr w:type="gramStart"/>
            <w:r w:rsidR="00D93D5B" w:rsidRPr="0027089D">
              <w:rPr>
                <w:rFonts w:ascii="Verdana" w:eastAsia="Arial MT" w:hAnsi="Verdana" w:cs="Arial"/>
                <w:lang w:eastAsia="es-ES" w:bidi="es-ES"/>
              </w:rPr>
              <w:t>Enero</w:t>
            </w:r>
            <w:proofErr w:type="gramEnd"/>
            <w:r w:rsidR="00D93D5B" w:rsidRPr="0027089D">
              <w:rPr>
                <w:rFonts w:ascii="Verdana" w:eastAsia="Arial MT" w:hAnsi="Verdana" w:cs="Arial"/>
                <w:lang w:eastAsia="es-ES" w:bidi="es-ES"/>
              </w:rPr>
              <w:t xml:space="preserve"> de 2018</w:t>
            </w:r>
            <w:r w:rsidRPr="0027089D">
              <w:rPr>
                <w:rFonts w:ascii="Verdana" w:eastAsia="Arial MT" w:hAnsi="Verdana" w:cs="Arial"/>
                <w:lang w:eastAsia="es-ES" w:bidi="es-ES"/>
              </w:rPr>
              <w:t>.</w:t>
            </w:r>
          </w:p>
        </w:tc>
      </w:tr>
    </w:tbl>
    <w:p w14:paraId="22C8CA20" w14:textId="77777777" w:rsidR="004B6767" w:rsidRPr="00FC6F34" w:rsidRDefault="004B6767" w:rsidP="004B6767">
      <w:pPr>
        <w:widowControl w:val="0"/>
        <w:autoSpaceDE w:val="0"/>
        <w:autoSpaceDN w:val="0"/>
        <w:spacing w:after="0" w:line="276" w:lineRule="auto"/>
        <w:jc w:val="both"/>
        <w:rPr>
          <w:rFonts w:ascii="Verdana" w:hAnsi="Verdana" w:cs="Arial"/>
          <w:color w:val="000000" w:themeColor="text1"/>
          <w:lang w:val="es-ES"/>
        </w:rPr>
      </w:pPr>
    </w:p>
    <w:p w14:paraId="0BFEE60D" w14:textId="24167051"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w:t>
      </w:r>
      <w:r w:rsidR="005A59FB">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Doctrina de la Agencia Nacional de Contratación Pública:</w:t>
      </w:r>
    </w:p>
    <w:p w14:paraId="4CCC2B95" w14:textId="77777777" w:rsidR="004B6767" w:rsidRPr="00FC6F34" w:rsidRDefault="004B6767" w:rsidP="004B6767">
      <w:pPr>
        <w:widowControl w:val="0"/>
        <w:autoSpaceDE w:val="0"/>
        <w:autoSpaceDN w:val="0"/>
        <w:spacing w:after="0" w:line="276" w:lineRule="auto"/>
        <w:jc w:val="both"/>
        <w:rPr>
          <w:rFonts w:ascii="Verdana" w:hAnsi="Verdana" w:cs="Arial"/>
          <w:color w:val="000000" w:themeColor="text1"/>
          <w:lang w:val="es-ES"/>
        </w:rPr>
      </w:pPr>
    </w:p>
    <w:p w14:paraId="4FB0C912" w14:textId="63922DF6" w:rsidR="004B6767" w:rsidRDefault="004B6767" w:rsidP="00FB428F">
      <w:pPr>
        <w:spacing w:after="0"/>
        <w:jc w:val="both"/>
        <w:rPr>
          <w:rFonts w:ascii="Verdana" w:hAnsi="Verdana" w:cs="Arial"/>
          <w:color w:val="0000FF"/>
          <w:u w:val="single"/>
          <w:shd w:val="clear" w:color="auto" w:fill="FFFFFF"/>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entre otros</w:t>
      </w:r>
      <w:r w:rsidRPr="00FC6F34">
        <w:rPr>
          <w:rFonts w:ascii="Verdana" w:hAnsi="Verdana" w:cs="Arial"/>
          <w:shd w:val="clear" w:color="auto" w:fill="FFFFFF"/>
          <w:lang w:val="es-ES"/>
        </w:rPr>
        <w:t xml:space="preserve">. </w:t>
      </w:r>
      <w:r>
        <w:rPr>
          <w:rFonts w:ascii="Verdana" w:hAnsi="Verdana" w:cs="Arial"/>
          <w:shd w:val="clear" w:color="auto" w:fill="FFFFFF"/>
          <w:lang w:val="es-ES"/>
        </w:rPr>
        <w:t xml:space="preserve">Sobre la aplicación de esta ley y la contratación del PIC se refirió en los conceptos </w:t>
      </w:r>
      <w:r w:rsidRPr="00982071">
        <w:rPr>
          <w:rFonts w:ascii="Verdana" w:hAnsi="Verdana" w:cs="Arial"/>
          <w:shd w:val="clear" w:color="auto" w:fill="FFFFFF"/>
          <w:lang w:val="es-ES"/>
        </w:rPr>
        <w:t>C ‒ 044 del 04 de marzo de 2022, C ‒ 158 del 04 de abril de 2022</w:t>
      </w:r>
      <w:r w:rsidR="00FB428F">
        <w:rPr>
          <w:rFonts w:ascii="Verdana" w:hAnsi="Verdana" w:cs="Arial"/>
          <w:shd w:val="clear" w:color="auto" w:fill="FFFFFF"/>
          <w:lang w:val="es-ES"/>
        </w:rPr>
        <w:t xml:space="preserve">, </w:t>
      </w:r>
      <w:r w:rsidRPr="00982071">
        <w:rPr>
          <w:rFonts w:ascii="Verdana" w:hAnsi="Verdana" w:cs="Arial"/>
          <w:shd w:val="clear" w:color="auto" w:fill="FFFFFF"/>
          <w:lang w:val="es-ES"/>
        </w:rPr>
        <w:t>C ‒ 364 del 20 de mayo de 2022</w:t>
      </w:r>
      <w:r w:rsidR="00FB428F">
        <w:rPr>
          <w:rFonts w:ascii="Verdana" w:hAnsi="Verdana" w:cs="Arial"/>
          <w:shd w:val="clear" w:color="auto" w:fill="FFFFFF"/>
          <w:lang w:val="es-ES"/>
        </w:rPr>
        <w:t xml:space="preserve"> y C-979 del 25 de agosto de 2025</w:t>
      </w:r>
      <w:r>
        <w:rPr>
          <w:rFonts w:ascii="Verdana" w:hAnsi="Verdana" w:cs="Arial"/>
          <w:shd w:val="clear" w:color="auto" w:fill="FFFFFF"/>
          <w:lang w:val="es-ES"/>
        </w:rPr>
        <w:t xml:space="preserve">.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2" w:history="1">
        <w:r w:rsidR="00DD500C" w:rsidRPr="006332FC">
          <w:rPr>
            <w:rStyle w:val="Hipervnculo"/>
            <w:rFonts w:ascii="Verdana" w:hAnsi="Verdana" w:cs="Arial"/>
            <w:shd w:val="clear" w:color="auto" w:fill="FFFFFF"/>
            <w:lang w:val="es-ES"/>
          </w:rPr>
          <w:t>https://relatoria.colombiacompra.gov.co/busqueda/conceptos</w:t>
        </w:r>
      </w:hyperlink>
    </w:p>
    <w:p w14:paraId="38A2C7E4" w14:textId="77777777" w:rsidR="00FB428F" w:rsidRDefault="00FB428F" w:rsidP="00FB428F">
      <w:pPr>
        <w:spacing w:after="0"/>
        <w:jc w:val="both"/>
        <w:rPr>
          <w:rFonts w:ascii="Verdana" w:hAnsi="Verdana" w:cs="Arial"/>
          <w:shd w:val="clear" w:color="auto" w:fill="FFFFFF"/>
          <w:lang w:val="es-ES"/>
        </w:rPr>
      </w:pPr>
    </w:p>
    <w:p w14:paraId="6DB5A0A8" w14:textId="77777777" w:rsidR="00FB428F" w:rsidRPr="00FB428F" w:rsidRDefault="00FB428F" w:rsidP="00FB428F">
      <w:pPr>
        <w:spacing w:after="0"/>
        <w:jc w:val="both"/>
        <w:rPr>
          <w:rFonts w:ascii="Verdana" w:hAnsi="Verdana" w:cs="Arial"/>
          <w:shd w:val="clear" w:color="auto" w:fill="FFFFFF"/>
        </w:rPr>
      </w:pPr>
      <w:r w:rsidRPr="00FB428F">
        <w:rPr>
          <w:rFonts w:ascii="Verdana" w:hAnsi="Verdana" w:cs="Arial"/>
          <w:shd w:val="clear" w:color="auto" w:fill="FFFFFF"/>
        </w:rPr>
        <w:t>También le contamos que ya se encuentra disponible la </w:t>
      </w:r>
      <w:r w:rsidRPr="00FB428F">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FB428F">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w:t>
      </w:r>
      <w:r w:rsidRPr="00FB428F">
        <w:rPr>
          <w:rFonts w:ascii="Verdana" w:hAnsi="Verdana" w:cs="Arial"/>
          <w:shd w:val="clear" w:color="auto" w:fill="FFFFFF"/>
        </w:rPr>
        <w:lastRenderedPageBreak/>
        <w:t xml:space="preserve">de los derechos fundamentales de los niños y de las niñas del Pueblo </w:t>
      </w:r>
      <w:proofErr w:type="spellStart"/>
      <w:r w:rsidRPr="00FB428F">
        <w:rPr>
          <w:rFonts w:ascii="Verdana" w:hAnsi="Verdana" w:cs="Arial"/>
          <w:shd w:val="clear" w:color="auto" w:fill="FFFFFF"/>
        </w:rPr>
        <w:t>Wayúu</w:t>
      </w:r>
      <w:proofErr w:type="spellEnd"/>
      <w:r w:rsidRPr="00FB428F">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FB428F">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p>
    <w:p w14:paraId="6BE13BEC" w14:textId="77777777" w:rsidR="00FB428F" w:rsidRPr="00FB428F" w:rsidRDefault="00FB428F" w:rsidP="00FB428F">
      <w:pPr>
        <w:spacing w:after="0"/>
        <w:jc w:val="both"/>
        <w:rPr>
          <w:rFonts w:ascii="Verdana" w:hAnsi="Verdana" w:cs="Arial"/>
          <w:shd w:val="clear" w:color="auto" w:fill="FFFFFF"/>
        </w:rPr>
      </w:pPr>
    </w:p>
    <w:p w14:paraId="3AC4C658" w14:textId="77777777" w:rsidR="00FB428F" w:rsidRPr="00FB428F" w:rsidRDefault="00FB428F" w:rsidP="00FB428F">
      <w:pPr>
        <w:spacing w:after="0"/>
        <w:jc w:val="both"/>
        <w:rPr>
          <w:rFonts w:ascii="Verdana" w:hAnsi="Verdana" w:cs="Arial"/>
          <w:shd w:val="clear" w:color="auto" w:fill="FFFFFF"/>
        </w:rPr>
      </w:pPr>
      <w:r w:rsidRPr="00FB428F">
        <w:rPr>
          <w:rFonts w:ascii="Verdana" w:hAnsi="Verdana" w:cs="Arial"/>
          <w:shd w:val="clear" w:color="auto" w:fill="FFFFFF"/>
        </w:rPr>
        <w:t xml:space="preserve">Por último, lo invitamos a seguirnos en las redes sociales en las cuales se difunde información institucional: </w:t>
      </w:r>
    </w:p>
    <w:p w14:paraId="29F9F051" w14:textId="77777777" w:rsidR="00FB428F" w:rsidRPr="00FB428F" w:rsidRDefault="00FB428F" w:rsidP="00FB428F">
      <w:pPr>
        <w:spacing w:after="0"/>
        <w:jc w:val="both"/>
        <w:rPr>
          <w:rFonts w:ascii="Verdana" w:hAnsi="Verdana" w:cs="Arial"/>
          <w:shd w:val="clear" w:color="auto" w:fill="FFFFFF"/>
        </w:rPr>
      </w:pPr>
    </w:p>
    <w:p w14:paraId="74851ECD" w14:textId="77777777" w:rsidR="00FB428F" w:rsidRPr="00FB428F" w:rsidRDefault="00FB428F" w:rsidP="00FB428F">
      <w:pPr>
        <w:spacing w:after="0"/>
        <w:jc w:val="both"/>
        <w:rPr>
          <w:rFonts w:ascii="Verdana" w:hAnsi="Verdana" w:cs="Arial"/>
          <w:shd w:val="clear" w:color="auto" w:fill="FFFFFF"/>
        </w:rPr>
      </w:pPr>
      <w:r w:rsidRPr="00FB428F">
        <w:rPr>
          <w:rFonts w:ascii="Verdana" w:hAnsi="Verdana" w:cs="Arial"/>
          <w:shd w:val="clear" w:color="auto" w:fill="FFFFFF"/>
        </w:rPr>
        <w:t xml:space="preserve">Twitter: </w:t>
      </w:r>
      <w:r w:rsidRPr="00FB428F">
        <w:rPr>
          <w:rFonts w:ascii="Verdana" w:hAnsi="Verdana" w:cs="Arial"/>
          <w:u w:val="single"/>
          <w:shd w:val="clear" w:color="auto" w:fill="FFFFFF"/>
        </w:rPr>
        <w:t>@colombiacompra</w:t>
      </w:r>
      <w:r w:rsidRPr="00FB428F">
        <w:rPr>
          <w:rFonts w:ascii="Verdana" w:hAnsi="Verdana" w:cs="Arial"/>
          <w:shd w:val="clear" w:color="auto" w:fill="FFFFFF"/>
        </w:rPr>
        <w:t xml:space="preserve"> </w:t>
      </w:r>
    </w:p>
    <w:p w14:paraId="31FB9456" w14:textId="77777777" w:rsidR="00FB428F" w:rsidRPr="00FB428F" w:rsidRDefault="00FB428F" w:rsidP="00FB428F">
      <w:pPr>
        <w:spacing w:after="0"/>
        <w:jc w:val="both"/>
        <w:rPr>
          <w:rFonts w:ascii="Verdana" w:hAnsi="Verdana" w:cs="Arial"/>
          <w:shd w:val="clear" w:color="auto" w:fill="FFFFFF"/>
        </w:rPr>
      </w:pPr>
      <w:r w:rsidRPr="00FB428F">
        <w:rPr>
          <w:rFonts w:ascii="Verdana" w:hAnsi="Verdana" w:cs="Arial"/>
          <w:shd w:val="clear" w:color="auto" w:fill="FFFFFF"/>
        </w:rPr>
        <w:t xml:space="preserve">Facebook: </w:t>
      </w:r>
      <w:proofErr w:type="spellStart"/>
      <w:r w:rsidRPr="00FB428F">
        <w:rPr>
          <w:rFonts w:ascii="Verdana" w:hAnsi="Verdana" w:cs="Arial"/>
          <w:u w:val="single"/>
          <w:shd w:val="clear" w:color="auto" w:fill="FFFFFF"/>
        </w:rPr>
        <w:t>ColombiaCompraEficiente</w:t>
      </w:r>
      <w:proofErr w:type="spellEnd"/>
    </w:p>
    <w:p w14:paraId="1B767672" w14:textId="77777777" w:rsidR="00FB428F" w:rsidRPr="00FB428F" w:rsidRDefault="00FB428F" w:rsidP="00FB428F">
      <w:pPr>
        <w:spacing w:after="0"/>
        <w:jc w:val="both"/>
        <w:rPr>
          <w:rFonts w:ascii="Verdana" w:hAnsi="Verdana" w:cs="Arial"/>
          <w:shd w:val="clear" w:color="auto" w:fill="FFFFFF"/>
        </w:rPr>
      </w:pPr>
      <w:r w:rsidRPr="00FB428F">
        <w:rPr>
          <w:rFonts w:ascii="Verdana" w:hAnsi="Verdana" w:cs="Arial"/>
          <w:shd w:val="clear" w:color="auto" w:fill="FFFFFF"/>
        </w:rPr>
        <w:t xml:space="preserve">LinkedIn: </w:t>
      </w:r>
      <w:r w:rsidRPr="00FB428F">
        <w:rPr>
          <w:rFonts w:ascii="Verdana" w:hAnsi="Verdana" w:cs="Arial"/>
          <w:u w:val="single"/>
          <w:shd w:val="clear" w:color="auto" w:fill="FFFFFF"/>
        </w:rPr>
        <w:t>Agencia Nacional de Contratación Pública - Colombia Compra Eficiente</w:t>
      </w:r>
      <w:r w:rsidRPr="00FB428F">
        <w:rPr>
          <w:rFonts w:ascii="Verdana" w:hAnsi="Verdana" w:cs="Arial"/>
          <w:shd w:val="clear" w:color="auto" w:fill="FFFFFF"/>
        </w:rPr>
        <w:t xml:space="preserve"> Instagram: </w:t>
      </w:r>
      <w:r w:rsidRPr="00FB428F">
        <w:rPr>
          <w:rFonts w:ascii="Verdana" w:hAnsi="Verdana" w:cs="Arial"/>
          <w:u w:val="single"/>
          <w:shd w:val="clear" w:color="auto" w:fill="FFFFFF"/>
        </w:rPr>
        <w:t>@colombiacompraeficiente_cce</w:t>
      </w:r>
    </w:p>
    <w:p w14:paraId="108407B7" w14:textId="77777777" w:rsidR="00FB428F" w:rsidRDefault="00FB428F" w:rsidP="004B6767">
      <w:pPr>
        <w:widowControl w:val="0"/>
        <w:autoSpaceDE w:val="0"/>
        <w:autoSpaceDN w:val="0"/>
        <w:spacing w:after="0" w:line="276" w:lineRule="auto"/>
        <w:jc w:val="both"/>
        <w:rPr>
          <w:rFonts w:ascii="Verdana" w:hAnsi="Verdana" w:cs="Arial"/>
          <w:lang w:val="es-ES"/>
        </w:rPr>
      </w:pPr>
    </w:p>
    <w:p w14:paraId="4C1E9E7D" w14:textId="57DB3B6F" w:rsidR="004B6767" w:rsidRPr="00FC6F34" w:rsidRDefault="004B6767" w:rsidP="004B6767">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DB31147" w14:textId="77777777" w:rsidR="004B6767" w:rsidRPr="00FC6F34" w:rsidRDefault="004B6767" w:rsidP="004B6767">
      <w:pPr>
        <w:widowControl w:val="0"/>
        <w:autoSpaceDE w:val="0"/>
        <w:autoSpaceDN w:val="0"/>
        <w:spacing w:after="0" w:line="276" w:lineRule="auto"/>
        <w:jc w:val="both"/>
        <w:rPr>
          <w:rFonts w:ascii="Verdana" w:hAnsi="Verdana" w:cs="Arial"/>
          <w:lang w:val="es-ES"/>
        </w:rPr>
      </w:pPr>
    </w:p>
    <w:p w14:paraId="69AAB1E6" w14:textId="77777777" w:rsidR="004B6767" w:rsidRPr="00FC6F34" w:rsidRDefault="004B6767" w:rsidP="004B6767">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0E5A3F78" w14:textId="2C089202" w:rsidR="004B6767" w:rsidRPr="00FC6F34" w:rsidRDefault="00FA0625" w:rsidP="001A5026">
      <w:pPr>
        <w:spacing w:after="0" w:line="276" w:lineRule="auto"/>
        <w:jc w:val="center"/>
        <w:rPr>
          <w:rFonts w:ascii="Verdana" w:hAnsi="Verdana" w:cs="Arial"/>
          <w:color w:val="000000" w:themeColor="text1"/>
          <w:lang w:val="es-ES" w:eastAsia="es-CO"/>
        </w:rPr>
      </w:pPr>
      <w:r>
        <w:rPr>
          <w:noProof/>
        </w:rPr>
        <w:drawing>
          <wp:inline distT="0" distB="0" distL="0" distR="0" wp14:anchorId="5FD61C09" wp14:editId="33FE5FC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B6767" w:rsidRPr="00FC6F34" w14:paraId="0928210D" w14:textId="77777777" w:rsidTr="00E67E18">
        <w:trPr>
          <w:trHeight w:val="315"/>
        </w:trPr>
        <w:tc>
          <w:tcPr>
            <w:tcW w:w="893" w:type="dxa"/>
            <w:vAlign w:val="center"/>
            <w:hideMark/>
          </w:tcPr>
          <w:p w14:paraId="3741846F" w14:textId="77777777" w:rsidR="004B6767" w:rsidRPr="00FC6F34" w:rsidRDefault="004B6767" w:rsidP="00E67E18">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8265BF" w14:textId="52BC1DD6" w:rsidR="004B6767" w:rsidRPr="00FC6F34" w:rsidRDefault="000277CB" w:rsidP="00E67E18">
            <w:pPr>
              <w:contextualSpacing/>
              <w:rPr>
                <w:rFonts w:ascii="Verdana" w:eastAsia="Arial" w:hAnsi="Verdana" w:cs="Arial"/>
                <w:color w:val="000000" w:themeColor="text1"/>
                <w:sz w:val="16"/>
                <w:szCs w:val="16"/>
                <w:lang w:val="es-ES"/>
              </w:rPr>
            </w:pPr>
            <w:r w:rsidRPr="000277CB">
              <w:rPr>
                <w:rFonts w:ascii="Verdana" w:eastAsia="Arial" w:hAnsi="Verdana" w:cs="Arial"/>
                <w:color w:val="000000" w:themeColor="text1"/>
                <w:sz w:val="16"/>
                <w:szCs w:val="16"/>
                <w:lang w:val="es-ES"/>
              </w:rPr>
              <w:t>Ximena Ríos López</w:t>
            </w:r>
          </w:p>
          <w:p w14:paraId="10863EE9" w14:textId="0E00CB49" w:rsidR="004B6767" w:rsidRPr="00FC6F34" w:rsidRDefault="000277CB" w:rsidP="00E67E18">
            <w:pPr>
              <w:contextualSpacing/>
              <w:rPr>
                <w:rFonts w:ascii="Verdana" w:eastAsia="Arial" w:hAnsi="Verdana" w:cs="Arial"/>
                <w:sz w:val="16"/>
                <w:szCs w:val="16"/>
                <w:lang w:val="es-ES"/>
              </w:rPr>
            </w:pPr>
            <w:r w:rsidRPr="00FC6F34">
              <w:rPr>
                <w:rFonts w:ascii="Verdana" w:hAnsi="Verdana" w:cs="Arial"/>
                <w:sz w:val="16"/>
                <w:szCs w:val="16"/>
                <w:lang w:val="es-ES"/>
              </w:rPr>
              <w:t>Gestor T1 – 1</w:t>
            </w:r>
            <w:r>
              <w:rPr>
                <w:rFonts w:ascii="Verdana" w:hAnsi="Verdana" w:cs="Arial"/>
                <w:sz w:val="16"/>
                <w:szCs w:val="16"/>
                <w:lang w:val="es-ES"/>
              </w:rPr>
              <w:t>1</w:t>
            </w:r>
            <w:r w:rsidRPr="00FC6F34">
              <w:rPr>
                <w:rFonts w:ascii="Verdana" w:hAnsi="Verdana" w:cs="Arial"/>
                <w:sz w:val="16"/>
                <w:szCs w:val="16"/>
                <w:lang w:val="es-ES"/>
              </w:rPr>
              <w:t xml:space="preserve"> </w:t>
            </w:r>
            <w:r w:rsidR="004B6767" w:rsidRPr="00FC6F34">
              <w:rPr>
                <w:rStyle w:val="normaltextrun"/>
                <w:rFonts w:ascii="Verdana" w:eastAsia="Arial" w:hAnsi="Verdana" w:cs="Arial"/>
                <w:color w:val="000000" w:themeColor="text1"/>
                <w:sz w:val="16"/>
                <w:szCs w:val="16"/>
                <w:lang w:val="es-ES"/>
              </w:rPr>
              <w:t xml:space="preserve">de la Subdirección </w:t>
            </w:r>
            <w:r w:rsidR="004B6767" w:rsidRPr="00FC6F34">
              <w:rPr>
                <w:rStyle w:val="normaltextrun"/>
                <w:rFonts w:ascii="Verdana" w:eastAsia="Arial" w:hAnsi="Verdana" w:cs="Arial"/>
                <w:sz w:val="16"/>
                <w:szCs w:val="16"/>
                <w:lang w:val="es-ES"/>
              </w:rPr>
              <w:t>de Gestión Contractual</w:t>
            </w:r>
          </w:p>
        </w:tc>
      </w:tr>
      <w:tr w:rsidR="004B6767" w:rsidRPr="00FC6F34" w14:paraId="2C3FC6E1" w14:textId="77777777" w:rsidTr="00E67E18">
        <w:trPr>
          <w:trHeight w:val="330"/>
        </w:trPr>
        <w:tc>
          <w:tcPr>
            <w:tcW w:w="893" w:type="dxa"/>
            <w:vAlign w:val="center"/>
            <w:hideMark/>
          </w:tcPr>
          <w:p w14:paraId="6388B03C" w14:textId="77777777" w:rsidR="004B6767" w:rsidRPr="00FC6F34" w:rsidRDefault="004B6767" w:rsidP="00E67E18">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DDD6B3" w14:textId="01F21F2B" w:rsidR="004B6767" w:rsidRPr="00FC6F34" w:rsidRDefault="000277CB" w:rsidP="00E67E18">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Diana Saavedra</w:t>
            </w:r>
          </w:p>
          <w:p w14:paraId="12824FE5" w14:textId="6D6376F1" w:rsidR="004B6767" w:rsidRPr="00FC6F34" w:rsidRDefault="000277CB" w:rsidP="00E67E18">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val="es-ES"/>
              </w:rPr>
              <w:t>Contratista</w:t>
            </w:r>
            <w:r w:rsidR="004B6767" w:rsidRPr="00FC6F34">
              <w:rPr>
                <w:rFonts w:ascii="Verdana" w:hAnsi="Verdana" w:cs="Arial"/>
                <w:sz w:val="16"/>
                <w:szCs w:val="16"/>
                <w:lang w:val="es-ES"/>
              </w:rPr>
              <w:t xml:space="preserve"> </w:t>
            </w:r>
            <w:r w:rsidR="004B6767" w:rsidRPr="00FC6F34">
              <w:rPr>
                <w:rStyle w:val="normaltextrun"/>
                <w:rFonts w:ascii="Verdana" w:hAnsi="Verdana" w:cs="Arial"/>
                <w:sz w:val="16"/>
                <w:szCs w:val="16"/>
                <w:lang w:val="es-ES"/>
              </w:rPr>
              <w:t>de la Subdirección de Gestión Contractual</w:t>
            </w:r>
            <w:r w:rsidR="004B6767" w:rsidRPr="00FC6F34">
              <w:rPr>
                <w:rStyle w:val="eop"/>
                <w:rFonts w:ascii="Verdana" w:hAnsi="Verdana" w:cs="Arial"/>
                <w:sz w:val="16"/>
                <w:szCs w:val="16"/>
                <w:lang w:val="es-ES"/>
              </w:rPr>
              <w:t> </w:t>
            </w:r>
          </w:p>
        </w:tc>
      </w:tr>
      <w:tr w:rsidR="004B6767" w:rsidRPr="00FC6F34" w14:paraId="77A9D648" w14:textId="77777777" w:rsidTr="00E67E18">
        <w:trPr>
          <w:trHeight w:val="300"/>
        </w:trPr>
        <w:tc>
          <w:tcPr>
            <w:tcW w:w="893" w:type="dxa"/>
            <w:vAlign w:val="center"/>
          </w:tcPr>
          <w:p w14:paraId="25BD728B" w14:textId="77777777" w:rsidR="004B6767" w:rsidRPr="00FC6F34" w:rsidRDefault="004B6767" w:rsidP="00E67E18">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FDFF8F0" w14:textId="77777777" w:rsidR="004B6767" w:rsidRPr="00FC6F34" w:rsidRDefault="004B6767" w:rsidP="00E67E18">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 xml:space="preserve">Carolina Quintero </w:t>
            </w:r>
            <w:proofErr w:type="spellStart"/>
            <w:r w:rsidRPr="00FC6F34">
              <w:rPr>
                <w:rFonts w:ascii="Verdana" w:eastAsia="Calibri" w:hAnsi="Verdana" w:cs="Arial"/>
                <w:sz w:val="16"/>
                <w:szCs w:val="16"/>
                <w:lang w:val="es-ES" w:eastAsia="es-ES"/>
              </w:rPr>
              <w:t>Gacharná</w:t>
            </w:r>
            <w:proofErr w:type="spellEnd"/>
          </w:p>
          <w:p w14:paraId="7E5E0319" w14:textId="77777777" w:rsidR="004B6767" w:rsidRPr="00FC6F34" w:rsidRDefault="004B6767" w:rsidP="00E67E18">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498E8044" w14:textId="77777777" w:rsidR="004B6767" w:rsidRPr="00FC6F34" w:rsidRDefault="004B6767" w:rsidP="004B6767">
      <w:pPr>
        <w:spacing w:after="0" w:line="276" w:lineRule="auto"/>
        <w:jc w:val="center"/>
        <w:rPr>
          <w:lang w:val="es-ES"/>
        </w:rPr>
      </w:pPr>
    </w:p>
    <w:bookmarkEnd w:id="0"/>
    <w:p w14:paraId="7ADB9122" w14:textId="77777777" w:rsidR="004B6767" w:rsidRPr="00FC6F34" w:rsidRDefault="004B6767" w:rsidP="004B6767">
      <w:pPr>
        <w:spacing w:after="0" w:line="240" w:lineRule="auto"/>
        <w:textAlignment w:val="baseline"/>
        <w:rPr>
          <w:rFonts w:ascii="Verdana" w:eastAsia="Times New Roman" w:hAnsi="Verdana" w:cs="Segoe UI"/>
          <w:b/>
          <w:bCs/>
          <w:color w:val="46589C"/>
          <w:lang w:val="es-ES" w:eastAsia="es-CO"/>
        </w:rPr>
      </w:pPr>
    </w:p>
    <w:p w14:paraId="545BBCC9" w14:textId="77777777" w:rsidR="004B6767" w:rsidRPr="00FC6F34" w:rsidRDefault="004B6767" w:rsidP="004B6767">
      <w:pPr>
        <w:rPr>
          <w:lang w:val="es-ES"/>
        </w:rPr>
      </w:pPr>
    </w:p>
    <w:p w14:paraId="3900974D" w14:textId="77777777" w:rsidR="003D5B0D" w:rsidRPr="00981746" w:rsidRDefault="003D5B0D" w:rsidP="00981746"/>
    <w:sectPr w:rsidR="003D5B0D" w:rsidRPr="0098174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FB81B" w14:textId="77777777" w:rsidR="009836D9" w:rsidRDefault="009836D9" w:rsidP="004A1847">
      <w:pPr>
        <w:spacing w:after="0" w:line="240" w:lineRule="auto"/>
      </w:pPr>
      <w:r>
        <w:separator/>
      </w:r>
    </w:p>
  </w:endnote>
  <w:endnote w:type="continuationSeparator" w:id="0">
    <w:p w14:paraId="3D4F2619" w14:textId="77777777" w:rsidR="009836D9" w:rsidRDefault="009836D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3391A" w14:textId="77777777" w:rsidR="009836D9" w:rsidRDefault="009836D9" w:rsidP="004A1847">
      <w:pPr>
        <w:spacing w:after="0" w:line="240" w:lineRule="auto"/>
      </w:pPr>
      <w:r>
        <w:separator/>
      </w:r>
    </w:p>
  </w:footnote>
  <w:footnote w:type="continuationSeparator" w:id="0">
    <w:p w14:paraId="6974F3C1" w14:textId="77777777" w:rsidR="009836D9" w:rsidRDefault="009836D9" w:rsidP="004A1847">
      <w:pPr>
        <w:spacing w:after="0" w:line="240" w:lineRule="auto"/>
      </w:pPr>
      <w:r>
        <w:continuationSeparator/>
      </w:r>
    </w:p>
  </w:footnote>
  <w:footnote w:id="1">
    <w:p w14:paraId="0505336F" w14:textId="77777777" w:rsidR="004B6767" w:rsidRPr="0016660C" w:rsidRDefault="004B6767" w:rsidP="004B6767">
      <w:pPr>
        <w:pStyle w:val="Textonotapie"/>
        <w:ind w:firstLine="708"/>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
    <w:p w14:paraId="3392EBDD" w14:textId="77777777" w:rsidR="004B6767" w:rsidRPr="0016660C"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66F3C27" w14:textId="77777777" w:rsidR="004B6767" w:rsidRDefault="004B6767" w:rsidP="004B6767">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17A4541" w14:textId="77777777" w:rsidR="0019142D" w:rsidRPr="0016660C" w:rsidRDefault="0019142D" w:rsidP="004B6767">
      <w:pPr>
        <w:pStyle w:val="Textonotapie"/>
        <w:ind w:firstLine="709"/>
        <w:contextualSpacing/>
        <w:jc w:val="both"/>
        <w:rPr>
          <w:rFonts w:ascii="Verdana" w:hAnsi="Verdana" w:cs="Arial"/>
          <w:sz w:val="16"/>
          <w:szCs w:val="16"/>
        </w:rPr>
      </w:pPr>
    </w:p>
  </w:footnote>
  <w:footnote w:id="3">
    <w:p w14:paraId="146366DB" w14:textId="77777777" w:rsidR="004B6767"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p w14:paraId="258A1B44" w14:textId="77777777" w:rsidR="0019142D" w:rsidRPr="0016660C" w:rsidRDefault="0019142D" w:rsidP="004B6767">
      <w:pPr>
        <w:pStyle w:val="Textonotapie"/>
        <w:ind w:firstLine="709"/>
        <w:contextualSpacing/>
        <w:jc w:val="both"/>
        <w:rPr>
          <w:rFonts w:ascii="Verdana" w:hAnsi="Verdana" w:cs="Arial"/>
          <w:sz w:val="16"/>
          <w:szCs w:val="16"/>
        </w:rPr>
      </w:pPr>
    </w:p>
  </w:footnote>
  <w:footnote w:id="4">
    <w:p w14:paraId="446DAC5C" w14:textId="77777777" w:rsidR="004B6767" w:rsidRDefault="004B6767" w:rsidP="004B6767">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p w14:paraId="27CAA393" w14:textId="77777777" w:rsidR="0019142D" w:rsidRPr="0016660C" w:rsidRDefault="0019142D" w:rsidP="004B6767">
      <w:pPr>
        <w:pStyle w:val="Textonotapie"/>
        <w:ind w:firstLine="709"/>
        <w:contextualSpacing/>
        <w:jc w:val="both"/>
        <w:rPr>
          <w:rFonts w:ascii="Verdana" w:hAnsi="Verdana" w:cs="Arial"/>
          <w:sz w:val="16"/>
          <w:szCs w:val="16"/>
          <w:lang w:val="pt-BR"/>
        </w:rPr>
      </w:pPr>
    </w:p>
  </w:footnote>
  <w:footnote w:id="5">
    <w:p w14:paraId="3E7A263B" w14:textId="77777777" w:rsidR="004B6767" w:rsidRDefault="004B6767" w:rsidP="004B6767">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197655C0" w14:textId="77777777" w:rsidR="0019142D" w:rsidRPr="0016660C" w:rsidRDefault="0019142D" w:rsidP="004B6767">
      <w:pPr>
        <w:pStyle w:val="Textonotapie"/>
        <w:ind w:firstLine="709"/>
        <w:contextualSpacing/>
        <w:jc w:val="both"/>
        <w:rPr>
          <w:rFonts w:ascii="Verdana" w:hAnsi="Verdana" w:cs="Arial"/>
          <w:sz w:val="16"/>
          <w:szCs w:val="16"/>
          <w:lang w:val="pt-BR"/>
        </w:rPr>
      </w:pPr>
    </w:p>
  </w:footnote>
  <w:footnote w:id="6">
    <w:p w14:paraId="6F1972FB" w14:textId="77777777" w:rsidR="004B6767" w:rsidRPr="0016660C" w:rsidRDefault="004B6767" w:rsidP="004B6767">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685E6260" w14:textId="77777777" w:rsidR="0019142D" w:rsidRDefault="0019142D" w:rsidP="004B6767">
      <w:pPr>
        <w:pStyle w:val="Textonotapie"/>
        <w:ind w:firstLine="709"/>
        <w:contextualSpacing/>
        <w:jc w:val="both"/>
        <w:rPr>
          <w:rFonts w:ascii="Verdana" w:hAnsi="Verdana" w:cs="Arial"/>
          <w:sz w:val="16"/>
          <w:szCs w:val="16"/>
        </w:rPr>
      </w:pPr>
    </w:p>
    <w:p w14:paraId="3E5D0750" w14:textId="6BC464DD" w:rsidR="004B6767"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p w14:paraId="41A2CB87" w14:textId="77777777" w:rsidR="0019142D" w:rsidRPr="0016660C" w:rsidRDefault="0019142D" w:rsidP="004B6767">
      <w:pPr>
        <w:pStyle w:val="Textonotapie"/>
        <w:ind w:firstLine="709"/>
        <w:contextualSpacing/>
        <w:jc w:val="both"/>
        <w:rPr>
          <w:rFonts w:ascii="Verdana" w:hAnsi="Verdana" w:cs="Arial"/>
          <w:sz w:val="16"/>
          <w:szCs w:val="16"/>
        </w:rPr>
      </w:pPr>
    </w:p>
  </w:footnote>
  <w:footnote w:id="8">
    <w:p w14:paraId="11EE52EB" w14:textId="77777777" w:rsidR="004B6767" w:rsidRPr="0016660C" w:rsidRDefault="004B6767" w:rsidP="004B6767">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EEFC674" w14:textId="77777777" w:rsidR="004B6767" w:rsidRDefault="004B6767" w:rsidP="004B6767">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p w14:paraId="164E69D4" w14:textId="77777777" w:rsidR="00C34DF5" w:rsidRPr="0016660C" w:rsidRDefault="00C34DF5" w:rsidP="004B6767">
      <w:pPr>
        <w:spacing w:after="0" w:line="240" w:lineRule="auto"/>
        <w:ind w:firstLine="709"/>
        <w:contextualSpacing/>
        <w:jc w:val="both"/>
        <w:rPr>
          <w:rFonts w:ascii="Verdana" w:eastAsia="Times New Roman" w:hAnsi="Verdana" w:cs="Arial"/>
          <w:sz w:val="16"/>
          <w:szCs w:val="16"/>
        </w:rPr>
      </w:pPr>
    </w:p>
  </w:footnote>
  <w:footnote w:id="9">
    <w:p w14:paraId="4F9D3C1D" w14:textId="77777777" w:rsidR="004B6767" w:rsidRPr="0016660C" w:rsidRDefault="004B6767" w:rsidP="004B6767">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5E17F4A2" w14:textId="77777777" w:rsidR="004B6767" w:rsidRDefault="004B6767" w:rsidP="004B6767">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p w14:paraId="53DEC8EB" w14:textId="77777777" w:rsidR="00C34DF5" w:rsidRPr="0016660C" w:rsidRDefault="00C34DF5" w:rsidP="004B6767">
      <w:pPr>
        <w:pStyle w:val="NormalWeb"/>
        <w:spacing w:before="0" w:beforeAutospacing="0" w:after="0" w:afterAutospacing="0"/>
        <w:ind w:firstLine="709"/>
        <w:contextualSpacing/>
        <w:jc w:val="both"/>
        <w:rPr>
          <w:rFonts w:ascii="Verdana" w:hAnsi="Verdana" w:cs="Arial"/>
          <w:sz w:val="16"/>
          <w:szCs w:val="16"/>
          <w:lang w:val="es-MX"/>
        </w:rPr>
      </w:pPr>
    </w:p>
  </w:footnote>
  <w:footnote w:id="10">
    <w:p w14:paraId="5810CB5C" w14:textId="77777777" w:rsidR="004B6767" w:rsidRPr="0016660C" w:rsidRDefault="004B6767" w:rsidP="004B6767">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17566077" w14:textId="77777777" w:rsidR="004B6767" w:rsidRPr="0016660C" w:rsidRDefault="004B6767" w:rsidP="004B6767">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2">
    <w:p w14:paraId="67BF791D" w14:textId="77777777" w:rsidR="004B6767"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3D794B93" w14:textId="77777777" w:rsidR="007F22F5" w:rsidRPr="0016660C" w:rsidRDefault="007F22F5" w:rsidP="004B6767">
      <w:pPr>
        <w:pStyle w:val="Textonotapie"/>
        <w:ind w:firstLine="709"/>
        <w:contextualSpacing/>
        <w:jc w:val="both"/>
        <w:rPr>
          <w:rFonts w:ascii="Verdana" w:hAnsi="Verdana" w:cs="Arial"/>
          <w:sz w:val="16"/>
          <w:szCs w:val="16"/>
        </w:rPr>
      </w:pPr>
    </w:p>
  </w:footnote>
  <w:footnote w:id="13">
    <w:p w14:paraId="37963D1B" w14:textId="77777777" w:rsidR="004B6767" w:rsidRPr="0016660C" w:rsidRDefault="004B6767" w:rsidP="004B6767">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4">
    <w:p w14:paraId="681C2F34" w14:textId="77777777" w:rsidR="007F22F5" w:rsidRDefault="007F22F5" w:rsidP="004B6767">
      <w:pPr>
        <w:pStyle w:val="Textonotapie"/>
        <w:ind w:firstLine="709"/>
        <w:contextualSpacing/>
        <w:jc w:val="both"/>
        <w:rPr>
          <w:rFonts w:ascii="Verdana" w:hAnsi="Verdana" w:cs="Arial"/>
          <w:sz w:val="16"/>
          <w:szCs w:val="16"/>
        </w:rPr>
      </w:pPr>
    </w:p>
    <w:p w14:paraId="19B2FA0C" w14:textId="71551539" w:rsidR="004B6767" w:rsidRPr="0016660C" w:rsidRDefault="004B6767" w:rsidP="004B6767">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5">
    <w:p w14:paraId="24521EE1" w14:textId="77777777" w:rsidR="007F22F5" w:rsidRDefault="007F22F5" w:rsidP="004B6767">
      <w:pPr>
        <w:pStyle w:val="Textonotapie"/>
        <w:ind w:firstLine="709"/>
        <w:contextualSpacing/>
        <w:jc w:val="both"/>
        <w:rPr>
          <w:rFonts w:ascii="Verdana" w:hAnsi="Verdana" w:cs="Arial"/>
          <w:sz w:val="16"/>
          <w:szCs w:val="16"/>
        </w:rPr>
      </w:pPr>
    </w:p>
    <w:p w14:paraId="022F4B8C" w14:textId="1C4BD5B4" w:rsidR="004B6767"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p w14:paraId="65903B5B" w14:textId="77777777" w:rsidR="007F22F5" w:rsidRPr="0016660C" w:rsidRDefault="007F22F5" w:rsidP="004B6767">
      <w:pPr>
        <w:pStyle w:val="Textonotapie"/>
        <w:ind w:firstLine="709"/>
        <w:contextualSpacing/>
        <w:jc w:val="both"/>
        <w:rPr>
          <w:rFonts w:ascii="Verdana" w:hAnsi="Verdana" w:cs="Arial"/>
          <w:sz w:val="16"/>
          <w:szCs w:val="16"/>
        </w:rPr>
      </w:pPr>
    </w:p>
  </w:footnote>
  <w:footnote w:id="16">
    <w:p w14:paraId="6B71DB46" w14:textId="77777777" w:rsidR="004B6767" w:rsidRDefault="004B6767" w:rsidP="004B6767">
      <w:pPr>
        <w:pStyle w:val="Textonotapie"/>
        <w:ind w:firstLine="708"/>
        <w:contextualSpacing/>
        <w:jc w:val="both"/>
        <w:rPr>
          <w:rFonts w:ascii="Verdana" w:hAnsi="Verdana"/>
          <w:sz w:val="16"/>
          <w:szCs w:val="16"/>
          <w:lang w:val="es-CO"/>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p w14:paraId="726DF7F3" w14:textId="77777777" w:rsidR="009E51D0" w:rsidRPr="0016660C" w:rsidRDefault="009E51D0" w:rsidP="004B6767">
      <w:pPr>
        <w:pStyle w:val="Textonotapie"/>
        <w:ind w:firstLine="708"/>
        <w:contextualSpacing/>
        <w:jc w:val="both"/>
        <w:rPr>
          <w:rFonts w:ascii="Verdana" w:hAnsi="Verdana"/>
          <w:sz w:val="16"/>
          <w:szCs w:val="16"/>
          <w:lang w:val="es-ES"/>
        </w:rPr>
      </w:pPr>
    </w:p>
  </w:footnote>
  <w:footnote w:id="17">
    <w:p w14:paraId="09F60D16" w14:textId="77777777" w:rsidR="004B6767" w:rsidRDefault="004B6767" w:rsidP="004B6767">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EFCF9FD" w14:textId="77777777" w:rsidR="009E51D0" w:rsidRPr="0016660C" w:rsidRDefault="009E51D0" w:rsidP="004B6767">
      <w:pPr>
        <w:spacing w:after="0" w:line="240" w:lineRule="auto"/>
        <w:ind w:firstLine="709"/>
        <w:contextualSpacing/>
        <w:jc w:val="both"/>
        <w:rPr>
          <w:rFonts w:ascii="Verdana" w:hAnsi="Verdana" w:cs="Arial"/>
          <w:color w:val="000000" w:themeColor="text1"/>
          <w:sz w:val="16"/>
          <w:szCs w:val="16"/>
        </w:rPr>
      </w:pPr>
    </w:p>
  </w:footnote>
  <w:footnote w:id="18">
    <w:p w14:paraId="3F60CAC0" w14:textId="77777777" w:rsidR="004B6767" w:rsidRDefault="004B6767" w:rsidP="004B6767">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p w14:paraId="6F1BAF9B" w14:textId="77777777" w:rsidR="0050693B" w:rsidRPr="0016660C" w:rsidRDefault="0050693B" w:rsidP="004B6767">
      <w:pPr>
        <w:pStyle w:val="Textonotapie"/>
        <w:ind w:firstLine="708"/>
        <w:contextualSpacing/>
        <w:jc w:val="both"/>
        <w:rPr>
          <w:rFonts w:ascii="Verdana" w:hAnsi="Verdana" w:cs="Arial"/>
          <w:color w:val="000000" w:themeColor="text1"/>
          <w:sz w:val="16"/>
          <w:szCs w:val="16"/>
        </w:rPr>
      </w:pPr>
    </w:p>
  </w:footnote>
  <w:footnote w:id="19">
    <w:p w14:paraId="7F4F05B5" w14:textId="77777777" w:rsidR="004B6767" w:rsidRPr="0016660C" w:rsidRDefault="004B6767" w:rsidP="004B6767">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150035E9" w14:textId="77777777" w:rsidR="0050693B" w:rsidRDefault="0050693B" w:rsidP="004B6767">
      <w:pPr>
        <w:pStyle w:val="Textonotapie"/>
        <w:ind w:firstLine="708"/>
        <w:contextualSpacing/>
        <w:jc w:val="both"/>
        <w:rPr>
          <w:rFonts w:ascii="Verdana" w:hAnsi="Verdana" w:cs="Arial"/>
          <w:color w:val="000000" w:themeColor="text1"/>
          <w:sz w:val="16"/>
          <w:szCs w:val="16"/>
        </w:rPr>
      </w:pPr>
    </w:p>
    <w:p w14:paraId="159AE86B" w14:textId="142CC7F8" w:rsidR="004B6767" w:rsidRDefault="004B6767" w:rsidP="004B6767">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p w14:paraId="3CCBD20C" w14:textId="77777777" w:rsidR="0050693B" w:rsidRPr="0016660C" w:rsidRDefault="0050693B" w:rsidP="004B6767">
      <w:pPr>
        <w:pStyle w:val="Textonotapie"/>
        <w:ind w:firstLine="708"/>
        <w:contextualSpacing/>
        <w:jc w:val="both"/>
        <w:rPr>
          <w:rFonts w:ascii="Verdana" w:hAnsi="Verdana" w:cs="Arial"/>
          <w:color w:val="000000" w:themeColor="text1"/>
          <w:sz w:val="16"/>
          <w:szCs w:val="16"/>
        </w:rPr>
      </w:pPr>
    </w:p>
  </w:footnote>
  <w:footnote w:id="21">
    <w:p w14:paraId="72D3077E" w14:textId="77777777" w:rsidR="004B6767" w:rsidRDefault="004B6767" w:rsidP="004B6767">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sidRPr="0016660C">
        <w:rPr>
          <w:rFonts w:ascii="Verdana" w:hAnsi="Verdana" w:cs="Arial"/>
          <w:color w:val="000000" w:themeColor="text1"/>
          <w:sz w:val="16"/>
          <w:szCs w:val="16"/>
          <w:lang w:val="es-CO"/>
        </w:rPr>
        <w:t>“</w:t>
      </w:r>
      <w:r w:rsidRPr="0016660C">
        <w:rPr>
          <w:rFonts w:ascii="Verdana" w:hAnsi="Verdana" w:cs="Arial"/>
          <w:color w:val="000000" w:themeColor="text1"/>
          <w:sz w:val="16"/>
          <w:szCs w:val="16"/>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p w14:paraId="7CDDEB92" w14:textId="77777777" w:rsidR="0050693B" w:rsidRPr="0016660C" w:rsidRDefault="0050693B" w:rsidP="004B6767">
      <w:pPr>
        <w:pStyle w:val="Textonotapie"/>
        <w:ind w:firstLine="708"/>
        <w:contextualSpacing/>
        <w:jc w:val="both"/>
        <w:rPr>
          <w:rFonts w:ascii="Verdana" w:hAnsi="Verdana" w:cs="Arial"/>
          <w:color w:val="000000" w:themeColor="text1"/>
          <w:sz w:val="16"/>
          <w:szCs w:val="16"/>
          <w:lang w:val="es-ES"/>
        </w:rPr>
      </w:pPr>
    </w:p>
  </w:footnote>
  <w:footnote w:id="22">
    <w:p w14:paraId="24D35693" w14:textId="77777777" w:rsidR="004B6767" w:rsidRDefault="004B6767" w:rsidP="004B6767">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16660C">
        <w:rPr>
          <w:rFonts w:ascii="Verdana" w:hAnsi="Verdana" w:cs="Arial"/>
          <w:i/>
          <w:iCs/>
          <w:color w:val="000000" w:themeColor="text1"/>
          <w:sz w:val="16"/>
          <w:szCs w:val="16"/>
        </w:rPr>
        <w:t>y todas aquellas entidades que de acuerdo con la ley ejerzan funciones de vigilancia y control sanitario</w:t>
      </w:r>
      <w:r w:rsidRPr="0016660C">
        <w:rPr>
          <w:rFonts w:ascii="Verdana" w:hAnsi="Verdana" w:cs="Arial"/>
          <w:color w:val="000000" w:themeColor="text1"/>
          <w:sz w:val="16"/>
          <w:szCs w:val="16"/>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5A1819F1" w14:textId="77777777" w:rsidR="0050693B" w:rsidRPr="0016660C" w:rsidRDefault="0050693B" w:rsidP="004B6767">
      <w:pPr>
        <w:pStyle w:val="Textonotapie"/>
        <w:ind w:firstLine="708"/>
        <w:contextualSpacing/>
        <w:jc w:val="both"/>
        <w:rPr>
          <w:rFonts w:ascii="Verdana" w:hAnsi="Verdana" w:cs="Arial"/>
          <w:color w:val="000000" w:themeColor="text1"/>
          <w:sz w:val="16"/>
          <w:szCs w:val="16"/>
        </w:rPr>
      </w:pPr>
    </w:p>
  </w:footnote>
  <w:footnote w:id="23">
    <w:p w14:paraId="5AAD0B29" w14:textId="77777777" w:rsidR="004B6767" w:rsidRPr="0016660C" w:rsidRDefault="004B6767" w:rsidP="004B6767">
      <w:pPr>
        <w:pStyle w:val="Textonotapie"/>
        <w:ind w:firstLine="708"/>
        <w:contextualSpacing/>
        <w:jc w:val="both"/>
        <w:rPr>
          <w:rFonts w:ascii="Verdana" w:hAnsi="Verdana"/>
          <w:sz w:val="16"/>
          <w:szCs w:val="16"/>
        </w:rPr>
      </w:pPr>
      <w:r w:rsidRPr="0016660C">
        <w:rPr>
          <w:rStyle w:val="Refdenotaalpie"/>
          <w:rFonts w:ascii="Verdana" w:hAnsi="Verdana"/>
          <w:sz w:val="16"/>
          <w:szCs w:val="16"/>
        </w:rPr>
        <w:footnoteRef/>
      </w:r>
      <w:r w:rsidRPr="0016660C">
        <w:rPr>
          <w:rFonts w:ascii="Verdana" w:hAnsi="Verdana"/>
          <w:sz w:val="16"/>
          <w:szCs w:val="16"/>
        </w:rPr>
        <w:t xml:space="preserve"> CONSEJO DE ESTADO. Sala de Consulta y Servicio Civil .Concepto del doce (12) de junio de dos mil dieciocho (2018).R adicación Interna: 11001-03-06-000-2018-0043-00. Número Único: 2371. Consejero Ponente: Oscar Darío Amaya Navas </w:t>
      </w:r>
    </w:p>
    <w:p w14:paraId="3B9201DB" w14:textId="77777777" w:rsidR="004B6767" w:rsidRPr="0016660C" w:rsidRDefault="004B6767" w:rsidP="004B6767">
      <w:pPr>
        <w:pStyle w:val="Textonotapie"/>
        <w:contextualSpacing/>
        <w:rPr>
          <w:rFonts w:ascii="Verdana" w:hAnsi="Verdana"/>
          <w:sz w:val="16"/>
          <w:szCs w:val="16"/>
          <w:lang w:val="es-ES"/>
        </w:rPr>
      </w:pPr>
    </w:p>
  </w:footnote>
  <w:footnote w:id="24">
    <w:p w14:paraId="6B5DFFDA" w14:textId="69A81574" w:rsidR="004B6767" w:rsidRDefault="004B6767" w:rsidP="00D93D5B">
      <w:pPr>
        <w:pStyle w:val="Textonotapie"/>
        <w:ind w:firstLine="708"/>
        <w:contextualSpacing/>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hAnsi="Verdana"/>
          <w:sz w:val="16"/>
          <w:szCs w:val="16"/>
          <w:lang w:val="es-ES"/>
        </w:rPr>
        <w:t>Ibidem</w:t>
      </w:r>
      <w:r w:rsidR="0050693B">
        <w:rPr>
          <w:rFonts w:ascii="Verdana" w:hAnsi="Verdana"/>
          <w:sz w:val="16"/>
          <w:szCs w:val="16"/>
          <w:lang w:val="es-ES"/>
        </w:rPr>
        <w:t>.</w:t>
      </w:r>
    </w:p>
    <w:p w14:paraId="2DD02829" w14:textId="77777777" w:rsidR="0050693B" w:rsidRPr="0016660C" w:rsidRDefault="0050693B" w:rsidP="00D93D5B">
      <w:pPr>
        <w:pStyle w:val="Textonotapie"/>
        <w:ind w:firstLine="708"/>
        <w:contextualSpacing/>
        <w:rPr>
          <w:rFonts w:ascii="Verdana" w:hAnsi="Verdana"/>
          <w:sz w:val="16"/>
          <w:szCs w:val="16"/>
          <w:lang w:val="es-ES"/>
        </w:rPr>
      </w:pPr>
    </w:p>
  </w:footnote>
  <w:footnote w:id="25">
    <w:p w14:paraId="102D5179" w14:textId="77777777" w:rsidR="004B6767" w:rsidRDefault="004B6767" w:rsidP="004B6767">
      <w:pPr>
        <w:pStyle w:val="Textonotapie"/>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p w14:paraId="1DAE86C8" w14:textId="77777777" w:rsidR="004C6B79" w:rsidRPr="0016660C" w:rsidRDefault="004C6B79" w:rsidP="004B6767">
      <w:pPr>
        <w:pStyle w:val="Textonotapie"/>
        <w:ind w:firstLine="709"/>
        <w:contextualSpacing/>
        <w:jc w:val="both"/>
        <w:rPr>
          <w:rFonts w:ascii="Verdana" w:hAnsi="Verdana" w:cs="Arial"/>
          <w:color w:val="000000" w:themeColor="text1"/>
          <w:sz w:val="16"/>
          <w:szCs w:val="16"/>
        </w:rPr>
      </w:pPr>
    </w:p>
  </w:footnote>
  <w:footnote w:id="26">
    <w:p w14:paraId="359B4B6D" w14:textId="45FB0C09" w:rsidR="004B6767" w:rsidRPr="0016660C" w:rsidRDefault="004B6767" w:rsidP="004B6767">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Decreto 1082 de 2015: </w:t>
      </w:r>
      <w:r w:rsidR="004C6B79">
        <w:rPr>
          <w:rFonts w:ascii="Verdana" w:hAnsi="Verdana" w:cs="Arial"/>
          <w:color w:val="000000" w:themeColor="text1"/>
          <w:sz w:val="16"/>
          <w:szCs w:val="16"/>
        </w:rPr>
        <w:t>“</w:t>
      </w:r>
      <w:r w:rsidRPr="0016660C">
        <w:rPr>
          <w:rFonts w:ascii="Verdana" w:hAnsi="Verdana" w:cs="Arial"/>
          <w:color w:val="000000" w:themeColor="text1"/>
          <w:sz w:val="16"/>
          <w:szCs w:val="16"/>
        </w:rPr>
        <w:t>Artículo 2.2.1.2.1.4.4. Convenios o contratos interadministrativos. La modalidad de selección para la contratación entre Entidades Estatales es la contratación directa; y en consecuencia, le es aplicable lo establecido en el artículo 2.2.1.2.1.4.1 del presente decreto.</w:t>
      </w:r>
    </w:p>
    <w:p w14:paraId="21A95E7B" w14:textId="4A69BAA1" w:rsidR="004B6767" w:rsidRDefault="004B6767" w:rsidP="004B6767">
      <w:pPr>
        <w:spacing w:after="0" w:line="240" w:lineRule="auto"/>
        <w:ind w:firstLine="709"/>
        <w:contextualSpacing/>
        <w:jc w:val="both"/>
        <w:rPr>
          <w:rFonts w:ascii="Verdana" w:hAnsi="Verdana" w:cs="Arial"/>
          <w:color w:val="000000" w:themeColor="text1"/>
          <w:sz w:val="16"/>
          <w:szCs w:val="16"/>
        </w:rPr>
      </w:pPr>
      <w:r w:rsidRPr="0016660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16660C">
        <w:rPr>
          <w:rFonts w:ascii="Verdana" w:hAnsi="Verdana" w:cs="Arial"/>
          <w:color w:val="000000" w:themeColor="text1"/>
          <w:spacing w:val="-1"/>
          <w:sz w:val="16"/>
          <w:szCs w:val="16"/>
        </w:rPr>
        <w:t xml:space="preserve"> </w:t>
      </w:r>
      <w:r w:rsidRPr="0016660C">
        <w:rPr>
          <w:rFonts w:ascii="Verdana" w:hAnsi="Verdana" w:cs="Arial"/>
          <w:color w:val="000000" w:themeColor="text1"/>
          <w:sz w:val="16"/>
          <w:szCs w:val="16"/>
        </w:rPr>
        <w:t>Estatales</w:t>
      </w:r>
      <w:r w:rsidR="004C6B79">
        <w:rPr>
          <w:rFonts w:ascii="Verdana" w:hAnsi="Verdana" w:cs="Arial"/>
          <w:color w:val="000000" w:themeColor="text1"/>
          <w:sz w:val="16"/>
          <w:szCs w:val="16"/>
        </w:rPr>
        <w:t>”</w:t>
      </w:r>
      <w:r w:rsidRPr="0016660C">
        <w:rPr>
          <w:rFonts w:ascii="Verdana" w:hAnsi="Verdana" w:cs="Arial"/>
          <w:color w:val="000000" w:themeColor="text1"/>
          <w:sz w:val="16"/>
          <w:szCs w:val="16"/>
        </w:rPr>
        <w:t>.</w:t>
      </w:r>
    </w:p>
    <w:p w14:paraId="393DD58F" w14:textId="77777777" w:rsidR="004C6B79" w:rsidRPr="0016660C" w:rsidRDefault="004C6B79" w:rsidP="004B6767">
      <w:pPr>
        <w:spacing w:after="0" w:line="240" w:lineRule="auto"/>
        <w:ind w:firstLine="709"/>
        <w:contextualSpacing/>
        <w:jc w:val="both"/>
        <w:rPr>
          <w:rFonts w:ascii="Verdana" w:hAnsi="Verdana" w:cs="Arial"/>
          <w:color w:val="000000" w:themeColor="text1"/>
          <w:sz w:val="16"/>
          <w:szCs w:val="16"/>
        </w:rPr>
      </w:pPr>
    </w:p>
  </w:footnote>
  <w:footnote w:id="27">
    <w:p w14:paraId="799A4BE7" w14:textId="77777777" w:rsidR="004B6767" w:rsidRDefault="004B6767" w:rsidP="004B6767">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16660C">
        <w:rPr>
          <w:rFonts w:ascii="Verdana" w:hAnsi="Verdana" w:cs="Arial"/>
          <w:color w:val="000000" w:themeColor="text1"/>
          <w:spacing w:val="-6"/>
          <w:sz w:val="16"/>
          <w:szCs w:val="16"/>
        </w:rPr>
        <w:t xml:space="preserve"> </w:t>
      </w:r>
      <w:r w:rsidRPr="0016660C">
        <w:rPr>
          <w:rFonts w:ascii="Verdana" w:hAnsi="Verdana" w:cs="Arial"/>
          <w:color w:val="000000" w:themeColor="text1"/>
          <w:sz w:val="16"/>
          <w:szCs w:val="16"/>
        </w:rPr>
        <w:t>artículo”.</w:t>
      </w:r>
    </w:p>
    <w:p w14:paraId="0D0AC0AF" w14:textId="77777777" w:rsidR="004C6B79" w:rsidRPr="0016660C" w:rsidRDefault="004C6B79" w:rsidP="004B6767">
      <w:pPr>
        <w:spacing w:after="0" w:line="240" w:lineRule="auto"/>
        <w:ind w:firstLine="709"/>
        <w:contextualSpacing/>
        <w:jc w:val="both"/>
        <w:rPr>
          <w:rFonts w:ascii="Verdana" w:hAnsi="Verdana" w:cs="Arial"/>
          <w:color w:val="000000" w:themeColor="text1"/>
          <w:sz w:val="16"/>
          <w:szCs w:val="16"/>
        </w:rPr>
      </w:pPr>
    </w:p>
  </w:footnote>
  <w:footnote w:id="28">
    <w:p w14:paraId="2F5ED81A" w14:textId="77777777" w:rsidR="004B6767" w:rsidRDefault="004B6767" w:rsidP="004B6767">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p w14:paraId="2C18E2D4" w14:textId="77777777" w:rsidR="004C6B79" w:rsidRPr="0016660C" w:rsidRDefault="004C6B79" w:rsidP="004B6767">
      <w:pPr>
        <w:pStyle w:val="Textonotapie"/>
        <w:ind w:firstLine="708"/>
        <w:contextualSpacing/>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pt;height:10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153255849">
    <w:abstractNumId w:val="10"/>
  </w:num>
  <w:num w:numId="17" w16cid:durableId="319966317">
    <w:abstractNumId w:val="2"/>
  </w:num>
  <w:num w:numId="18"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E57"/>
    <w:rsid w:val="00016F78"/>
    <w:rsid w:val="000277CB"/>
    <w:rsid w:val="00046945"/>
    <w:rsid w:val="00051C96"/>
    <w:rsid w:val="00061B2A"/>
    <w:rsid w:val="00082362"/>
    <w:rsid w:val="000A683E"/>
    <w:rsid w:val="000B19B9"/>
    <w:rsid w:val="000B770B"/>
    <w:rsid w:val="000D0334"/>
    <w:rsid w:val="000F6486"/>
    <w:rsid w:val="00102AFD"/>
    <w:rsid w:val="00125105"/>
    <w:rsid w:val="00127233"/>
    <w:rsid w:val="001453EE"/>
    <w:rsid w:val="00147D9B"/>
    <w:rsid w:val="001511A0"/>
    <w:rsid w:val="00152963"/>
    <w:rsid w:val="0019142D"/>
    <w:rsid w:val="001A5026"/>
    <w:rsid w:val="001E4177"/>
    <w:rsid w:val="001F7DC6"/>
    <w:rsid w:val="00203F4C"/>
    <w:rsid w:val="002207EB"/>
    <w:rsid w:val="00225862"/>
    <w:rsid w:val="002421BB"/>
    <w:rsid w:val="0025796E"/>
    <w:rsid w:val="002707A2"/>
    <w:rsid w:val="0027089D"/>
    <w:rsid w:val="00281E8D"/>
    <w:rsid w:val="002951A0"/>
    <w:rsid w:val="002962BC"/>
    <w:rsid w:val="002A093D"/>
    <w:rsid w:val="002A0DD0"/>
    <w:rsid w:val="002A49AC"/>
    <w:rsid w:val="002A64FD"/>
    <w:rsid w:val="002C7A84"/>
    <w:rsid w:val="002E4FD9"/>
    <w:rsid w:val="003000B0"/>
    <w:rsid w:val="00322A85"/>
    <w:rsid w:val="00324168"/>
    <w:rsid w:val="003448F4"/>
    <w:rsid w:val="00374F5E"/>
    <w:rsid w:val="00377E3E"/>
    <w:rsid w:val="00387F6A"/>
    <w:rsid w:val="003A779E"/>
    <w:rsid w:val="003C60CD"/>
    <w:rsid w:val="003D0F4D"/>
    <w:rsid w:val="003D5B0D"/>
    <w:rsid w:val="003E0499"/>
    <w:rsid w:val="003F3941"/>
    <w:rsid w:val="00406575"/>
    <w:rsid w:val="00414C74"/>
    <w:rsid w:val="00420468"/>
    <w:rsid w:val="0042718F"/>
    <w:rsid w:val="0042722E"/>
    <w:rsid w:val="0044528D"/>
    <w:rsid w:val="004841EA"/>
    <w:rsid w:val="0048632F"/>
    <w:rsid w:val="004A1847"/>
    <w:rsid w:val="004A305D"/>
    <w:rsid w:val="004B6767"/>
    <w:rsid w:val="004C6B79"/>
    <w:rsid w:val="004F21C4"/>
    <w:rsid w:val="004F685F"/>
    <w:rsid w:val="0050693B"/>
    <w:rsid w:val="00515C3E"/>
    <w:rsid w:val="005566E8"/>
    <w:rsid w:val="00574867"/>
    <w:rsid w:val="0058714E"/>
    <w:rsid w:val="00591460"/>
    <w:rsid w:val="005A27D9"/>
    <w:rsid w:val="005A59FB"/>
    <w:rsid w:val="005B3816"/>
    <w:rsid w:val="005C3777"/>
    <w:rsid w:val="005C5CDC"/>
    <w:rsid w:val="005D476C"/>
    <w:rsid w:val="00612700"/>
    <w:rsid w:val="006219F8"/>
    <w:rsid w:val="0064473F"/>
    <w:rsid w:val="00654104"/>
    <w:rsid w:val="00665D70"/>
    <w:rsid w:val="00676B28"/>
    <w:rsid w:val="00686D64"/>
    <w:rsid w:val="006900D9"/>
    <w:rsid w:val="006C1A43"/>
    <w:rsid w:val="006D50FD"/>
    <w:rsid w:val="006E49E0"/>
    <w:rsid w:val="00706C16"/>
    <w:rsid w:val="00753E81"/>
    <w:rsid w:val="00756841"/>
    <w:rsid w:val="007649AB"/>
    <w:rsid w:val="00771D0C"/>
    <w:rsid w:val="007833AC"/>
    <w:rsid w:val="007B268C"/>
    <w:rsid w:val="007B7171"/>
    <w:rsid w:val="007C0C0F"/>
    <w:rsid w:val="007C3DC2"/>
    <w:rsid w:val="007E5497"/>
    <w:rsid w:val="007F22F5"/>
    <w:rsid w:val="00806F5F"/>
    <w:rsid w:val="00820278"/>
    <w:rsid w:val="00842959"/>
    <w:rsid w:val="00867F95"/>
    <w:rsid w:val="0087751A"/>
    <w:rsid w:val="008843B6"/>
    <w:rsid w:val="00891928"/>
    <w:rsid w:val="008A446D"/>
    <w:rsid w:val="008B480E"/>
    <w:rsid w:val="008D180B"/>
    <w:rsid w:val="008F0EA7"/>
    <w:rsid w:val="00923EEF"/>
    <w:rsid w:val="009419F9"/>
    <w:rsid w:val="0095685E"/>
    <w:rsid w:val="00961B09"/>
    <w:rsid w:val="00965334"/>
    <w:rsid w:val="0097093E"/>
    <w:rsid w:val="00981746"/>
    <w:rsid w:val="009828E9"/>
    <w:rsid w:val="009836D9"/>
    <w:rsid w:val="00986AC5"/>
    <w:rsid w:val="009A0DFA"/>
    <w:rsid w:val="009A6C5F"/>
    <w:rsid w:val="009B2D26"/>
    <w:rsid w:val="009C71FA"/>
    <w:rsid w:val="009C72E7"/>
    <w:rsid w:val="009D3058"/>
    <w:rsid w:val="009E225C"/>
    <w:rsid w:val="009E51D0"/>
    <w:rsid w:val="009F3A13"/>
    <w:rsid w:val="009F61BB"/>
    <w:rsid w:val="00A122D3"/>
    <w:rsid w:val="00A17F13"/>
    <w:rsid w:val="00A20739"/>
    <w:rsid w:val="00A33C78"/>
    <w:rsid w:val="00A6329A"/>
    <w:rsid w:val="00AA07F3"/>
    <w:rsid w:val="00AB0ADB"/>
    <w:rsid w:val="00AC22CD"/>
    <w:rsid w:val="00B01B1A"/>
    <w:rsid w:val="00B4485E"/>
    <w:rsid w:val="00B44F4B"/>
    <w:rsid w:val="00B66319"/>
    <w:rsid w:val="00B72CD3"/>
    <w:rsid w:val="00B72FFF"/>
    <w:rsid w:val="00BC3D36"/>
    <w:rsid w:val="00BD7F72"/>
    <w:rsid w:val="00C04FB3"/>
    <w:rsid w:val="00C330EB"/>
    <w:rsid w:val="00C34DF5"/>
    <w:rsid w:val="00C41061"/>
    <w:rsid w:val="00C6198B"/>
    <w:rsid w:val="00C754BE"/>
    <w:rsid w:val="00C76B1C"/>
    <w:rsid w:val="00CB6357"/>
    <w:rsid w:val="00CC1B26"/>
    <w:rsid w:val="00CD0E20"/>
    <w:rsid w:val="00D423A2"/>
    <w:rsid w:val="00D520D8"/>
    <w:rsid w:val="00D566A8"/>
    <w:rsid w:val="00D63AC2"/>
    <w:rsid w:val="00D7383B"/>
    <w:rsid w:val="00D93D5B"/>
    <w:rsid w:val="00DA231B"/>
    <w:rsid w:val="00DB757B"/>
    <w:rsid w:val="00DC39FC"/>
    <w:rsid w:val="00DD500C"/>
    <w:rsid w:val="00DE6815"/>
    <w:rsid w:val="00DF5254"/>
    <w:rsid w:val="00E03E7E"/>
    <w:rsid w:val="00E06D2F"/>
    <w:rsid w:val="00E10804"/>
    <w:rsid w:val="00E146FE"/>
    <w:rsid w:val="00E16408"/>
    <w:rsid w:val="00E20894"/>
    <w:rsid w:val="00E245AB"/>
    <w:rsid w:val="00E2764C"/>
    <w:rsid w:val="00E27F2E"/>
    <w:rsid w:val="00E50AFE"/>
    <w:rsid w:val="00E614F5"/>
    <w:rsid w:val="00E75C92"/>
    <w:rsid w:val="00E771DC"/>
    <w:rsid w:val="00E8772A"/>
    <w:rsid w:val="00E90F6B"/>
    <w:rsid w:val="00E92C27"/>
    <w:rsid w:val="00E95AC9"/>
    <w:rsid w:val="00EA0E3D"/>
    <w:rsid w:val="00EB7F54"/>
    <w:rsid w:val="00EC1E63"/>
    <w:rsid w:val="00EC1F6A"/>
    <w:rsid w:val="00EC38A7"/>
    <w:rsid w:val="00ED7384"/>
    <w:rsid w:val="00EE1AA8"/>
    <w:rsid w:val="00EE5FBA"/>
    <w:rsid w:val="00F142EF"/>
    <w:rsid w:val="00F31EDC"/>
    <w:rsid w:val="00F462B3"/>
    <w:rsid w:val="00F5664F"/>
    <w:rsid w:val="00F666C4"/>
    <w:rsid w:val="00F76AFC"/>
    <w:rsid w:val="00FA0625"/>
    <w:rsid w:val="00FA47C0"/>
    <w:rsid w:val="00FB428F"/>
    <w:rsid w:val="00FB5DD1"/>
    <w:rsid w:val="00FC2B5D"/>
    <w:rsid w:val="00FD531E"/>
    <w:rsid w:val="00FD59D5"/>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B6767"/>
    <w:pPr>
      <w:spacing w:line="240" w:lineRule="exact"/>
    </w:pPr>
    <w:rPr>
      <w:vertAlign w:val="superscript"/>
    </w:rPr>
  </w:style>
  <w:style w:type="character" w:customStyle="1" w:styleId="baj">
    <w:name w:val="b_aj"/>
    <w:basedOn w:val="Fuentedeprrafopredeter"/>
    <w:rsid w:val="004B6767"/>
  </w:style>
  <w:style w:type="character" w:customStyle="1" w:styleId="NormalWebCar">
    <w:name w:val="Normal (Web) Car"/>
    <w:link w:val="NormalWeb"/>
    <w:uiPriority w:val="99"/>
    <w:locked/>
    <w:rsid w:val="004B6767"/>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6767"/>
    <w:rPr>
      <w:rFonts w:ascii="Geomanist Light" w:hAnsi="Geomanist Light"/>
      <w:lang w:val="es-ES"/>
    </w:rPr>
  </w:style>
  <w:style w:type="paragraph" w:styleId="Textoindependiente">
    <w:name w:val="Body Text"/>
    <w:basedOn w:val="Normal"/>
    <w:link w:val="TextoindependienteCar"/>
    <w:uiPriority w:val="1"/>
    <w:unhideWhenUsed/>
    <w:qFormat/>
    <w:rsid w:val="004B6767"/>
    <w:pPr>
      <w:spacing w:after="120"/>
    </w:pPr>
  </w:style>
  <w:style w:type="character" w:customStyle="1" w:styleId="TextoindependienteCar">
    <w:name w:val="Texto independiente Car"/>
    <w:basedOn w:val="Fuentedeprrafopredeter"/>
    <w:link w:val="Textoindependiente"/>
    <w:uiPriority w:val="1"/>
    <w:rsid w:val="004B6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304060-5847-4E3B-A179-7B79B16161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a6cb9e4b-f1d1-4245-83ec-6cad768d538a"/>
    <ds:schemaRef ds:uri="9d85dbaf-23eb-4e57-a637-93dcacc8b1a1"/>
    <ds:schemaRef ds:uri="http://www.w3.org/XML/1998/namespace"/>
    <ds:schemaRef ds:uri="http://purl.org/dc/dcmitype/"/>
  </ds:schemaRefs>
</ds:datastoreItem>
</file>

<file path=customXml/itemProps3.xml><?xml version="1.0" encoding="utf-8"?>
<ds:datastoreItem xmlns:ds="http://schemas.openxmlformats.org/officeDocument/2006/customXml" ds:itemID="{DD5F1003-DF75-2741-97D7-AD5ADDD53601}">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25</Pages>
  <Words>8606</Words>
  <Characters>46474</Characters>
  <Application>Microsoft Office Word</Application>
  <DocSecurity>0</DocSecurity>
  <Lines>860</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2025-10-20T14:51:00Z</dcterms:created>
  <dcterms:modified xsi:type="dcterms:W3CDTF">2025-10-20T14:51:00Z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