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91E02" w14:textId="04801883" w:rsidR="00056CD6" w:rsidRPr="0003633C" w:rsidRDefault="00056CD6" w:rsidP="0003633C">
      <w:pPr>
        <w:pStyle w:val="Textoindependiente"/>
        <w:contextualSpacing/>
        <w:jc w:val="both"/>
        <w:rPr>
          <w:b/>
        </w:rPr>
      </w:pPr>
      <w:bookmarkStart w:id="0" w:name="_Hlk143780582"/>
      <w:r w:rsidRPr="0003633C">
        <w:rPr>
          <w:b/>
        </w:rPr>
        <w:t xml:space="preserve">SELECCIÓN OBJETIVA </w:t>
      </w:r>
      <w:r w:rsidR="00AE7AE9" w:rsidRPr="00AE7AE9">
        <w:rPr>
          <w:b/>
          <w:bCs/>
          <w:lang w:val="es-CO"/>
        </w:rPr>
        <w:t>–</w:t>
      </w:r>
      <w:r w:rsidRPr="0003633C">
        <w:rPr>
          <w:b/>
        </w:rPr>
        <w:t xml:space="preserve"> Noción y factores de escogencia</w:t>
      </w:r>
    </w:p>
    <w:p w14:paraId="6DF6F19A" w14:textId="77777777" w:rsidR="00056CD6" w:rsidRPr="007E4D88" w:rsidRDefault="00056CD6" w:rsidP="0003633C">
      <w:pPr>
        <w:pStyle w:val="Textoindependiente"/>
        <w:contextualSpacing/>
        <w:jc w:val="both"/>
        <w:rPr>
          <w:b/>
          <w:sz w:val="20"/>
          <w:szCs w:val="20"/>
        </w:rPr>
      </w:pPr>
    </w:p>
    <w:p w14:paraId="43AEE8D4" w14:textId="6378282E" w:rsidR="00056CD6" w:rsidRDefault="00056CD6" w:rsidP="0003633C">
      <w:pPr>
        <w:pStyle w:val="Textoindependiente"/>
        <w:contextualSpacing/>
        <w:jc w:val="both"/>
        <w:rPr>
          <w:rFonts w:cs="Arial"/>
          <w:color w:val="000000" w:themeColor="text1"/>
          <w:sz w:val="20"/>
          <w:szCs w:val="20"/>
          <w:lang w:val="es-ES_tradnl"/>
        </w:rPr>
      </w:pPr>
      <w:r w:rsidRPr="007E4D88">
        <w:rPr>
          <w:rFonts w:cs="Arial"/>
          <w:color w:val="000000" w:themeColor="text1"/>
          <w:sz w:val="20"/>
          <w:szCs w:val="20"/>
          <w:lang w:val="es-ES_tradnl"/>
        </w:rPr>
        <w:t>[…] se considera objetiva la selección en la cual la escogencia se haga al ofrecimiento más favorable a la Entidad y a los fines que ella busca, sin tener en consideración factores de afecto o de interés y, en general, cualquier clase de motivación subjetiva</w:t>
      </w:r>
      <w:r w:rsidRPr="007E4D88">
        <w:rPr>
          <w:rFonts w:cs="Arial"/>
          <w:i/>
          <w:iCs/>
          <w:color w:val="000000" w:themeColor="text1"/>
          <w:sz w:val="20"/>
          <w:szCs w:val="20"/>
          <w:lang w:val="es-ES_tradnl"/>
        </w:rPr>
        <w:t>.</w:t>
      </w:r>
      <w:r w:rsidRPr="007E4D88">
        <w:rPr>
          <w:rFonts w:cs="Arial"/>
          <w:color w:val="000000" w:themeColor="text1"/>
          <w:sz w:val="20"/>
          <w:szCs w:val="20"/>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w:t>
      </w:r>
    </w:p>
    <w:p w14:paraId="17A2F1A2" w14:textId="77777777" w:rsidR="0003633C" w:rsidRPr="007E4D88" w:rsidRDefault="0003633C" w:rsidP="0003633C">
      <w:pPr>
        <w:pStyle w:val="Textoindependiente"/>
        <w:contextualSpacing/>
        <w:jc w:val="both"/>
        <w:rPr>
          <w:rFonts w:cs="Arial"/>
          <w:color w:val="000000" w:themeColor="text1"/>
          <w:sz w:val="20"/>
          <w:szCs w:val="20"/>
          <w:lang w:val="es-ES_tradnl"/>
        </w:rPr>
      </w:pPr>
    </w:p>
    <w:p w14:paraId="6F1A0CBE" w14:textId="6013D18E" w:rsidR="00056CD6" w:rsidRPr="007E4D88" w:rsidRDefault="00056CD6" w:rsidP="0003633C">
      <w:pPr>
        <w:pStyle w:val="Textoindependiente"/>
        <w:contextualSpacing/>
        <w:jc w:val="both"/>
        <w:rPr>
          <w:rFonts w:cs="Arial"/>
          <w:color w:val="000000" w:themeColor="text1"/>
          <w:sz w:val="20"/>
          <w:szCs w:val="20"/>
          <w:lang w:val="es-ES_tradnl"/>
        </w:rPr>
      </w:pPr>
      <w:r w:rsidRPr="007E4D88">
        <w:rPr>
          <w:rFonts w:cs="Arial"/>
          <w:color w:val="000000" w:themeColor="text1"/>
          <w:sz w:val="20"/>
          <w:szCs w:val="20"/>
          <w:lang w:val="es-ES_tradnl"/>
        </w:rPr>
        <w:t>[…]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07305796" w14:textId="77777777" w:rsidR="00056CD6" w:rsidRPr="007E4D88" w:rsidRDefault="00056CD6" w:rsidP="0003633C">
      <w:pPr>
        <w:pStyle w:val="Textoindependiente"/>
        <w:contextualSpacing/>
        <w:jc w:val="both"/>
        <w:rPr>
          <w:b/>
          <w:sz w:val="20"/>
          <w:szCs w:val="20"/>
        </w:rPr>
      </w:pPr>
    </w:p>
    <w:p w14:paraId="76A71A69" w14:textId="18DF3F07" w:rsidR="00056CD6" w:rsidRPr="0003633C" w:rsidRDefault="00056CD6" w:rsidP="0003633C">
      <w:pPr>
        <w:pStyle w:val="Textoindependiente"/>
        <w:contextualSpacing/>
        <w:jc w:val="both"/>
        <w:rPr>
          <w:b/>
        </w:rPr>
      </w:pPr>
      <w:r w:rsidRPr="0003633C">
        <w:rPr>
          <w:b/>
        </w:rPr>
        <w:t xml:space="preserve">REQUISITOS HABILITANTES DE LA LEY 1150 DE 2007 </w:t>
      </w:r>
      <w:r w:rsidR="00AE7AE9" w:rsidRPr="00AE7AE9">
        <w:rPr>
          <w:b/>
          <w:bCs/>
          <w:lang w:val="es-CO"/>
        </w:rPr>
        <w:t>–</w:t>
      </w:r>
      <w:r w:rsidRPr="0003633C">
        <w:rPr>
          <w:b/>
        </w:rPr>
        <w:t xml:space="preserve"> Carácter enunciativo</w:t>
      </w:r>
    </w:p>
    <w:p w14:paraId="4969FD9D" w14:textId="77777777" w:rsidR="00933A01" w:rsidRPr="007E4D88" w:rsidRDefault="00933A01" w:rsidP="0003633C">
      <w:pPr>
        <w:pStyle w:val="Textoindependiente"/>
        <w:contextualSpacing/>
        <w:jc w:val="both"/>
        <w:rPr>
          <w:rFonts w:eastAsia="Times New Roman" w:cs="Arial"/>
          <w:sz w:val="20"/>
          <w:szCs w:val="20"/>
          <w:lang w:val="es-ES_tradnl" w:eastAsia="es-MX"/>
        </w:rPr>
      </w:pPr>
    </w:p>
    <w:p w14:paraId="1063F7E7" w14:textId="4DEE48C1" w:rsidR="001A677F" w:rsidRPr="007E4D88" w:rsidRDefault="00056CD6" w:rsidP="0003633C">
      <w:pPr>
        <w:pStyle w:val="Textoindependiente"/>
        <w:contextualSpacing/>
        <w:jc w:val="both"/>
        <w:rPr>
          <w:rFonts w:eastAsia="Times New Roman" w:cs="Arial"/>
          <w:sz w:val="20"/>
          <w:szCs w:val="20"/>
          <w:lang w:val="es-ES_tradnl" w:eastAsia="es-MX"/>
        </w:rPr>
      </w:pPr>
      <w:r w:rsidRPr="007E4D88">
        <w:rPr>
          <w:rFonts w:eastAsia="Times New Roman" w:cs="Arial"/>
          <w:sz w:val="20"/>
          <w:szCs w:val="20"/>
          <w:lang w:val="es-ES_tradnl" w:eastAsia="es-MX"/>
        </w:rPr>
        <w:t>La Agencia Nacional de Contratación Pública – Colombia Compra Eficiente ha defendido el carácter 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p>
    <w:p w14:paraId="628BB421" w14:textId="77777777" w:rsidR="000741E8" w:rsidRPr="007E4D88" w:rsidRDefault="000741E8" w:rsidP="0003633C">
      <w:pPr>
        <w:pStyle w:val="Textoindependiente"/>
        <w:contextualSpacing/>
        <w:jc w:val="both"/>
        <w:rPr>
          <w:rFonts w:eastAsia="Times New Roman" w:cs="Arial"/>
          <w:sz w:val="20"/>
          <w:szCs w:val="20"/>
          <w:lang w:val="es-ES_tradnl" w:eastAsia="es-MX"/>
        </w:rPr>
      </w:pPr>
    </w:p>
    <w:p w14:paraId="6154CDB3" w14:textId="4FA0DEEA" w:rsidR="001A677F" w:rsidRPr="007E4D88" w:rsidRDefault="001A677F" w:rsidP="0003633C">
      <w:pPr>
        <w:pStyle w:val="Textoindependiente"/>
        <w:contextualSpacing/>
        <w:jc w:val="both"/>
        <w:rPr>
          <w:rFonts w:eastAsia="Times New Roman" w:cs="Arial"/>
          <w:sz w:val="20"/>
          <w:szCs w:val="20"/>
          <w:lang w:val="es-ES_tradnl" w:eastAsia="es-MX"/>
        </w:rPr>
      </w:pPr>
      <w:r w:rsidRPr="007E4D88">
        <w:rPr>
          <w:rFonts w:eastAsia="Times New Roman" w:cs="Arial"/>
          <w:sz w:val="20"/>
          <w:szCs w:val="20"/>
          <w:lang w:val="es-ES_tradnl" w:eastAsia="es-MX"/>
        </w:rPr>
        <w:t xml:space="preserve">[…] </w:t>
      </w:r>
      <w:r w:rsidRPr="007E4D88">
        <w:rPr>
          <w:rFonts w:eastAsia="Times New Roman" w:cs="Arial"/>
          <w:sz w:val="20"/>
          <w:szCs w:val="20"/>
          <w:lang w:eastAsia="es-MX"/>
        </w:rPr>
        <w:t xml:space="preserve">En ese sentido, las Entidades Estatales tienen autonomía para estructurar los requisitos habilitantes en los procesos que adelantan, </w:t>
      </w:r>
      <w:r w:rsidRPr="007E4D88">
        <w:rPr>
          <w:rFonts w:eastAsia="Times New Roman" w:cs="Arial"/>
          <w:i/>
          <w:iCs/>
          <w:sz w:val="20"/>
          <w:szCs w:val="20"/>
          <w:lang w:eastAsia="es-MX"/>
        </w:rPr>
        <w:t>pero tal facultad no puede ejercerse de forma arbitraria, caprichosa y, mucho menos, con el ánimo de direccionar el proceso de contratación</w:t>
      </w:r>
      <w:r w:rsidRPr="007E4D88">
        <w:rPr>
          <w:rFonts w:eastAsia="Times New Roman" w:cs="Arial"/>
          <w:sz w:val="20"/>
          <w:szCs w:val="20"/>
          <w:lang w:eastAsia="es-MX"/>
        </w:rPr>
        <w:t xml:space="preserve"> o favorecer a alguno de los proponentes. Tampoco puede suceder que el ejercicio de dicha atribución se haga con desconocimiento de los límites impuestos por la normativa vigente</w:t>
      </w:r>
      <w:r w:rsidR="00933A01" w:rsidRPr="007E4D88">
        <w:rPr>
          <w:rFonts w:eastAsia="Times New Roman" w:cs="Arial"/>
          <w:sz w:val="20"/>
          <w:szCs w:val="20"/>
          <w:lang w:eastAsia="es-MX"/>
        </w:rPr>
        <w:t xml:space="preserve"> […]</w:t>
      </w:r>
    </w:p>
    <w:p w14:paraId="66F2C72C" w14:textId="77777777" w:rsidR="00056CD6" w:rsidRPr="007E4D88" w:rsidRDefault="00056CD6" w:rsidP="0003633C">
      <w:pPr>
        <w:pStyle w:val="Textoindependiente"/>
        <w:contextualSpacing/>
        <w:jc w:val="both"/>
        <w:rPr>
          <w:b/>
          <w:sz w:val="20"/>
          <w:szCs w:val="20"/>
        </w:rPr>
      </w:pPr>
    </w:p>
    <w:p w14:paraId="60976548" w14:textId="77777777" w:rsidR="000741E8" w:rsidRPr="0003633C" w:rsidRDefault="000741E8" w:rsidP="0003633C">
      <w:pPr>
        <w:spacing w:after="0" w:line="240" w:lineRule="auto"/>
        <w:jc w:val="both"/>
        <w:rPr>
          <w:rFonts w:ascii="Verdana" w:eastAsia="Calibri" w:hAnsi="Verdana" w:cs="Arial"/>
          <w:b/>
          <w:lang w:eastAsia="es-ES_tradnl"/>
        </w:rPr>
      </w:pPr>
      <w:r w:rsidRPr="0003633C">
        <w:rPr>
          <w:rFonts w:ascii="Verdana" w:eastAsia="Calibri" w:hAnsi="Verdana" w:cs="Arial"/>
          <w:b/>
          <w:lang w:eastAsia="es-ES_tradnl"/>
        </w:rPr>
        <w:t xml:space="preserve">CONTRATO DE SEGUROS – Definición – Requisitos habilitantes </w:t>
      </w:r>
    </w:p>
    <w:p w14:paraId="64BAD977" w14:textId="77777777" w:rsidR="00313CC3" w:rsidRPr="007E4D88" w:rsidRDefault="00313CC3" w:rsidP="0003633C">
      <w:pPr>
        <w:spacing w:after="0" w:line="240" w:lineRule="auto"/>
        <w:rPr>
          <w:rFonts w:ascii="Verdana" w:hAnsi="Verdana"/>
          <w:sz w:val="20"/>
          <w:szCs w:val="20"/>
        </w:rPr>
      </w:pPr>
    </w:p>
    <w:p w14:paraId="50C3471E" w14:textId="77777777" w:rsidR="00FD18B2" w:rsidRPr="007E4D88" w:rsidRDefault="00FD18B2" w:rsidP="0003633C">
      <w:pPr>
        <w:spacing w:after="0" w:line="240" w:lineRule="auto"/>
        <w:jc w:val="both"/>
        <w:rPr>
          <w:rFonts w:ascii="Verdana" w:eastAsia="Calibri" w:hAnsi="Verdana"/>
          <w:color w:val="000000" w:themeColor="text1"/>
          <w:sz w:val="20"/>
          <w:szCs w:val="20"/>
          <w:lang w:val="es-ES"/>
        </w:rPr>
      </w:pPr>
      <w:r w:rsidRPr="007E4D88">
        <w:rPr>
          <w:rFonts w:ascii="Verdana" w:eastAsia="Times New Roman" w:hAnsi="Verdana" w:cs="Arial"/>
          <w:color w:val="000000" w:themeColor="text1"/>
          <w:sz w:val="20"/>
          <w:szCs w:val="20"/>
          <w:lang w:eastAsia="es-ES_tradnl"/>
        </w:rPr>
        <w:t xml:space="preserve">Las </w:t>
      </w:r>
      <w:r w:rsidRPr="007E4D88">
        <w:rPr>
          <w:rFonts w:ascii="Verdana" w:eastAsia="Calibri" w:hAnsi="Verdana" w:cs="Arial"/>
          <w:sz w:val="20"/>
          <w:szCs w:val="20"/>
          <w:lang w:eastAsia="es-ES_tradnl"/>
        </w:rPr>
        <w:t xml:space="preserve">entidades estatales regidas por el EGCAP están habilitadas para celebrar los contratos que suelen celebrar los particulares entre sí – como el de seguro al que se refiere en su pregunta – en ejercicio de la autonomía de la voluntad privada. En ese sentido, puede ocurrir que dentro de la gestión ordinaria de sus competencias y funciones las entidades tengan necesidades que deban ser satisfechas a través de contratos como el seguro, en los que además de las disposiciones del EGCAP deberán aplicarse en su mayoría normas de derecho privado, lo que de ninguna manera desvirtúa la calidad de estatal de dichos contratos. </w:t>
      </w:r>
    </w:p>
    <w:p w14:paraId="06EF8D8A" w14:textId="70075622" w:rsidR="007E4D88" w:rsidRPr="007E4D88" w:rsidRDefault="007E4D88" w:rsidP="0003633C">
      <w:pPr>
        <w:spacing w:after="0" w:line="240" w:lineRule="auto"/>
        <w:jc w:val="both"/>
        <w:rPr>
          <w:rFonts w:ascii="Verdana" w:eastAsia="Calibri" w:hAnsi="Verdana"/>
          <w:color w:val="000000" w:themeColor="text1"/>
          <w:sz w:val="20"/>
          <w:szCs w:val="20"/>
        </w:rPr>
      </w:pPr>
      <w:r w:rsidRPr="007E4D88">
        <w:rPr>
          <w:rFonts w:ascii="Verdana" w:eastAsia="Calibri" w:hAnsi="Verdana"/>
          <w:color w:val="000000" w:themeColor="text1"/>
          <w:sz w:val="20"/>
          <w:szCs w:val="20"/>
        </w:rPr>
        <w:t>(…)</w:t>
      </w:r>
    </w:p>
    <w:p w14:paraId="6FA913F8" w14:textId="15FF738A" w:rsidR="007E4D88" w:rsidRPr="007E4D88" w:rsidRDefault="007E4D88" w:rsidP="0003633C">
      <w:pPr>
        <w:spacing w:after="0" w:line="240" w:lineRule="auto"/>
        <w:jc w:val="both"/>
        <w:rPr>
          <w:rFonts w:ascii="Verdana" w:hAnsi="Verdana"/>
          <w:sz w:val="20"/>
          <w:szCs w:val="20"/>
        </w:rPr>
      </w:pPr>
      <w:r w:rsidRPr="007E4D88">
        <w:rPr>
          <w:rFonts w:ascii="Verdana" w:eastAsia="Calibri" w:hAnsi="Verdana"/>
          <w:color w:val="000000" w:themeColor="text1"/>
          <w:sz w:val="20"/>
          <w:szCs w:val="20"/>
        </w:rPr>
        <w:lastRenderedPageBreak/>
        <w:t xml:space="preserve">En este sentido, </w:t>
      </w:r>
      <w:r w:rsidRPr="007E4D88">
        <w:rPr>
          <w:rFonts w:ascii="Verdana" w:hAnsi="Verdana"/>
          <w:sz w:val="20"/>
          <w:szCs w:val="20"/>
        </w:rPr>
        <w:t>la entidad estatal deberá determinar los requisitos habilitantes de la capacidad jurídica, las condiciones de experiencia, la capacidad financiera y de organización y demás requisitos mínimos con base en las condiciones particulares que establezca las normas especiales sobre el sector financiero, asegurador y del mercado de valores. De esta forma, por ejemplo, solo podrán participar en estos procesos los tipos de sociedades señalas en el artículo 36 de la Ley 45 de 1990 que deben contar con el certificado de autorización expedido por la autoridad competente. Además, los artículos 2</w:t>
      </w:r>
      <w:r w:rsidRPr="007E4D88">
        <w:rPr>
          <w:rFonts w:ascii="Verdana" w:hAnsi="Verdana"/>
          <w:bCs/>
          <w:sz w:val="20"/>
          <w:szCs w:val="20"/>
        </w:rPr>
        <w:t>.31.1.2.1</w:t>
      </w:r>
      <w:r w:rsidRPr="007E4D88">
        <w:rPr>
          <w:rFonts w:ascii="Verdana" w:hAnsi="Verdana"/>
          <w:sz w:val="20"/>
          <w:szCs w:val="20"/>
        </w:rPr>
        <w:t>. y 2.31.1.2.5. del Decreto 2555 de 2010, modificado por el Decreto 2954 de 2010,</w:t>
      </w:r>
      <w:r w:rsidRPr="007E4D88">
        <w:rPr>
          <w:rFonts w:ascii="Verdana" w:hAnsi="Verdana"/>
          <w:b/>
          <w:bCs/>
          <w:sz w:val="20"/>
          <w:szCs w:val="20"/>
        </w:rPr>
        <w:t xml:space="preserve"> </w:t>
      </w:r>
      <w:r w:rsidRPr="007E4D88">
        <w:rPr>
          <w:rFonts w:ascii="Verdana" w:hAnsi="Verdana"/>
          <w:sz w:val="20"/>
          <w:szCs w:val="20"/>
        </w:rPr>
        <w:t>establecen que las entidades aseguradoras deben mantener permanentemente y acreditar ante la Superintendencia Financiera de Colombia en la forma y plazos que esta determine, un patrimonio técnico equivalente como mínimo al nivel de patrimonio adecuado</w:t>
      </w:r>
      <w:r w:rsidRPr="007E4D88">
        <w:rPr>
          <w:rFonts w:ascii="Verdana" w:eastAsia="Calibri" w:hAnsi="Verdana" w:cs="Arial"/>
          <w:color w:val="000000"/>
          <w:sz w:val="20"/>
          <w:szCs w:val="20"/>
          <w:lang w:eastAsia="es-ES_tradnl"/>
        </w:rPr>
        <w:t xml:space="preserve">. </w:t>
      </w:r>
    </w:p>
    <w:p w14:paraId="787F1A01" w14:textId="77777777" w:rsidR="00313CC3" w:rsidRDefault="00313CC3" w:rsidP="00313CC3">
      <w:pPr>
        <w:spacing w:after="0" w:line="240" w:lineRule="auto"/>
        <w:rPr>
          <w:rFonts w:ascii="Verdana" w:hAnsi="Verdana"/>
        </w:rPr>
      </w:pPr>
    </w:p>
    <w:p w14:paraId="36A2716E" w14:textId="77777777" w:rsidR="00313CC3" w:rsidRDefault="00313CC3" w:rsidP="00313CC3">
      <w:pPr>
        <w:spacing w:after="0" w:line="240" w:lineRule="auto"/>
        <w:rPr>
          <w:rFonts w:ascii="Verdana" w:hAnsi="Verdana"/>
        </w:rPr>
      </w:pPr>
    </w:p>
    <w:p w14:paraId="1EEDAE47" w14:textId="77777777" w:rsidR="0003633C" w:rsidRDefault="0003633C" w:rsidP="00313CC3">
      <w:pPr>
        <w:spacing w:after="0" w:line="240" w:lineRule="auto"/>
        <w:rPr>
          <w:rFonts w:ascii="Verdana" w:hAnsi="Verdana"/>
        </w:rPr>
      </w:pPr>
    </w:p>
    <w:p w14:paraId="7D0567F1" w14:textId="77777777" w:rsidR="0003633C" w:rsidRDefault="0003633C" w:rsidP="00313CC3">
      <w:pPr>
        <w:spacing w:after="0" w:line="240" w:lineRule="auto"/>
        <w:rPr>
          <w:rFonts w:ascii="Verdana" w:hAnsi="Verdana"/>
        </w:rPr>
      </w:pPr>
    </w:p>
    <w:p w14:paraId="466CDC4A" w14:textId="77777777" w:rsidR="0003633C" w:rsidRDefault="0003633C" w:rsidP="00313CC3">
      <w:pPr>
        <w:spacing w:after="0" w:line="240" w:lineRule="auto"/>
        <w:rPr>
          <w:rFonts w:ascii="Verdana" w:hAnsi="Verdana"/>
        </w:rPr>
      </w:pPr>
    </w:p>
    <w:p w14:paraId="4FA44844" w14:textId="77777777" w:rsidR="0003633C" w:rsidRDefault="0003633C" w:rsidP="00313CC3">
      <w:pPr>
        <w:spacing w:after="0" w:line="240" w:lineRule="auto"/>
        <w:rPr>
          <w:rFonts w:ascii="Verdana" w:hAnsi="Verdana"/>
        </w:rPr>
      </w:pPr>
    </w:p>
    <w:p w14:paraId="66437A20" w14:textId="77777777" w:rsidR="0003633C" w:rsidRDefault="0003633C" w:rsidP="00313CC3">
      <w:pPr>
        <w:spacing w:after="0" w:line="240" w:lineRule="auto"/>
        <w:rPr>
          <w:rFonts w:ascii="Verdana" w:hAnsi="Verdana"/>
        </w:rPr>
      </w:pPr>
    </w:p>
    <w:p w14:paraId="32939093" w14:textId="77777777" w:rsidR="0003633C" w:rsidRDefault="0003633C" w:rsidP="00313CC3">
      <w:pPr>
        <w:spacing w:after="0" w:line="240" w:lineRule="auto"/>
        <w:rPr>
          <w:rFonts w:ascii="Verdana" w:hAnsi="Verdana"/>
        </w:rPr>
      </w:pPr>
    </w:p>
    <w:p w14:paraId="38FE0419" w14:textId="77777777" w:rsidR="0003633C" w:rsidRDefault="0003633C" w:rsidP="00313CC3">
      <w:pPr>
        <w:spacing w:after="0" w:line="240" w:lineRule="auto"/>
        <w:rPr>
          <w:rFonts w:ascii="Verdana" w:hAnsi="Verdana"/>
        </w:rPr>
      </w:pPr>
    </w:p>
    <w:p w14:paraId="275577A3" w14:textId="77777777" w:rsidR="0003633C" w:rsidRDefault="0003633C" w:rsidP="00313CC3">
      <w:pPr>
        <w:spacing w:after="0" w:line="240" w:lineRule="auto"/>
        <w:rPr>
          <w:rFonts w:ascii="Verdana" w:hAnsi="Verdana"/>
        </w:rPr>
      </w:pPr>
    </w:p>
    <w:p w14:paraId="4286B6DD" w14:textId="77777777" w:rsidR="0003633C" w:rsidRDefault="0003633C" w:rsidP="00313CC3">
      <w:pPr>
        <w:spacing w:after="0" w:line="240" w:lineRule="auto"/>
        <w:rPr>
          <w:rFonts w:ascii="Verdana" w:hAnsi="Verdana"/>
        </w:rPr>
      </w:pPr>
    </w:p>
    <w:p w14:paraId="47DFD97C" w14:textId="77777777" w:rsidR="0003633C" w:rsidRDefault="0003633C" w:rsidP="00313CC3">
      <w:pPr>
        <w:spacing w:after="0" w:line="240" w:lineRule="auto"/>
        <w:rPr>
          <w:rFonts w:ascii="Verdana" w:hAnsi="Verdana"/>
        </w:rPr>
      </w:pPr>
    </w:p>
    <w:p w14:paraId="3BAD0D11" w14:textId="77777777" w:rsidR="0003633C" w:rsidRDefault="0003633C" w:rsidP="00313CC3">
      <w:pPr>
        <w:spacing w:after="0" w:line="240" w:lineRule="auto"/>
        <w:rPr>
          <w:rFonts w:ascii="Verdana" w:hAnsi="Verdana"/>
        </w:rPr>
      </w:pPr>
    </w:p>
    <w:p w14:paraId="05875911" w14:textId="77777777" w:rsidR="0003633C" w:rsidRDefault="0003633C" w:rsidP="00313CC3">
      <w:pPr>
        <w:spacing w:after="0" w:line="240" w:lineRule="auto"/>
        <w:rPr>
          <w:rFonts w:ascii="Verdana" w:hAnsi="Verdana"/>
        </w:rPr>
      </w:pPr>
    </w:p>
    <w:p w14:paraId="5C09B31A" w14:textId="77777777" w:rsidR="0003633C" w:rsidRDefault="0003633C" w:rsidP="00313CC3">
      <w:pPr>
        <w:spacing w:after="0" w:line="240" w:lineRule="auto"/>
        <w:rPr>
          <w:rFonts w:ascii="Verdana" w:hAnsi="Verdana"/>
        </w:rPr>
      </w:pPr>
    </w:p>
    <w:p w14:paraId="65B0772C" w14:textId="77777777" w:rsidR="0003633C" w:rsidRDefault="0003633C" w:rsidP="00313CC3">
      <w:pPr>
        <w:spacing w:after="0" w:line="240" w:lineRule="auto"/>
        <w:rPr>
          <w:rFonts w:ascii="Verdana" w:hAnsi="Verdana"/>
        </w:rPr>
      </w:pPr>
    </w:p>
    <w:p w14:paraId="40F43814" w14:textId="77777777" w:rsidR="0003633C" w:rsidRDefault="0003633C" w:rsidP="00313CC3">
      <w:pPr>
        <w:spacing w:after="0" w:line="240" w:lineRule="auto"/>
        <w:rPr>
          <w:rFonts w:ascii="Verdana" w:hAnsi="Verdana"/>
        </w:rPr>
      </w:pPr>
    </w:p>
    <w:p w14:paraId="5CC505A3" w14:textId="77777777" w:rsidR="0003633C" w:rsidRDefault="0003633C" w:rsidP="00313CC3">
      <w:pPr>
        <w:spacing w:after="0" w:line="240" w:lineRule="auto"/>
        <w:rPr>
          <w:rFonts w:ascii="Verdana" w:hAnsi="Verdana"/>
        </w:rPr>
      </w:pPr>
    </w:p>
    <w:p w14:paraId="09AA7E8D" w14:textId="77777777" w:rsidR="0003633C" w:rsidRDefault="0003633C" w:rsidP="00313CC3">
      <w:pPr>
        <w:spacing w:after="0" w:line="240" w:lineRule="auto"/>
        <w:rPr>
          <w:rFonts w:ascii="Verdana" w:hAnsi="Verdana"/>
        </w:rPr>
      </w:pPr>
    </w:p>
    <w:p w14:paraId="73485CA5" w14:textId="77777777" w:rsidR="0003633C" w:rsidRDefault="0003633C" w:rsidP="00313CC3">
      <w:pPr>
        <w:spacing w:after="0" w:line="240" w:lineRule="auto"/>
        <w:rPr>
          <w:rFonts w:ascii="Verdana" w:hAnsi="Verdana"/>
        </w:rPr>
      </w:pPr>
    </w:p>
    <w:p w14:paraId="24B7AFD9" w14:textId="77777777" w:rsidR="0003633C" w:rsidRDefault="0003633C" w:rsidP="00313CC3">
      <w:pPr>
        <w:spacing w:after="0" w:line="240" w:lineRule="auto"/>
        <w:rPr>
          <w:rFonts w:ascii="Verdana" w:hAnsi="Verdana"/>
        </w:rPr>
      </w:pPr>
    </w:p>
    <w:p w14:paraId="327804EA" w14:textId="77777777" w:rsidR="0003633C" w:rsidRDefault="0003633C" w:rsidP="00313CC3">
      <w:pPr>
        <w:spacing w:after="0" w:line="240" w:lineRule="auto"/>
        <w:rPr>
          <w:rFonts w:ascii="Verdana" w:hAnsi="Verdana"/>
        </w:rPr>
      </w:pPr>
    </w:p>
    <w:p w14:paraId="4F32DFFF" w14:textId="77777777" w:rsidR="0003633C" w:rsidRDefault="0003633C" w:rsidP="00313CC3">
      <w:pPr>
        <w:spacing w:after="0" w:line="240" w:lineRule="auto"/>
        <w:rPr>
          <w:rFonts w:ascii="Verdana" w:hAnsi="Verdana"/>
        </w:rPr>
      </w:pPr>
    </w:p>
    <w:p w14:paraId="2EFC285D" w14:textId="77777777" w:rsidR="0003633C" w:rsidRDefault="0003633C" w:rsidP="00313CC3">
      <w:pPr>
        <w:spacing w:after="0" w:line="240" w:lineRule="auto"/>
        <w:rPr>
          <w:rFonts w:ascii="Verdana" w:hAnsi="Verdana"/>
        </w:rPr>
      </w:pPr>
    </w:p>
    <w:p w14:paraId="53DFF14C" w14:textId="77777777" w:rsidR="0003633C" w:rsidRDefault="0003633C" w:rsidP="00313CC3">
      <w:pPr>
        <w:spacing w:after="0" w:line="240" w:lineRule="auto"/>
        <w:rPr>
          <w:rFonts w:ascii="Verdana" w:hAnsi="Verdana"/>
        </w:rPr>
      </w:pPr>
    </w:p>
    <w:p w14:paraId="0956FF7D" w14:textId="77777777" w:rsidR="0003633C" w:rsidRDefault="0003633C" w:rsidP="00313CC3">
      <w:pPr>
        <w:spacing w:after="0" w:line="240" w:lineRule="auto"/>
        <w:rPr>
          <w:rFonts w:ascii="Verdana" w:hAnsi="Verdana"/>
        </w:rPr>
      </w:pPr>
    </w:p>
    <w:p w14:paraId="72452EB3" w14:textId="77777777" w:rsidR="0003633C" w:rsidRDefault="0003633C" w:rsidP="00313CC3">
      <w:pPr>
        <w:spacing w:after="0" w:line="240" w:lineRule="auto"/>
        <w:rPr>
          <w:rFonts w:ascii="Verdana" w:hAnsi="Verdana"/>
        </w:rPr>
      </w:pPr>
    </w:p>
    <w:p w14:paraId="7F3D6D24" w14:textId="77777777" w:rsidR="0003633C" w:rsidRDefault="0003633C" w:rsidP="00313CC3">
      <w:pPr>
        <w:spacing w:after="0" w:line="240" w:lineRule="auto"/>
        <w:rPr>
          <w:rFonts w:ascii="Verdana" w:hAnsi="Verdana"/>
        </w:rPr>
      </w:pPr>
    </w:p>
    <w:p w14:paraId="4140ED6A" w14:textId="77777777" w:rsidR="0003633C" w:rsidRDefault="0003633C" w:rsidP="00313CC3">
      <w:pPr>
        <w:spacing w:after="0" w:line="240" w:lineRule="auto"/>
        <w:rPr>
          <w:rFonts w:ascii="Verdana" w:hAnsi="Verdana"/>
        </w:rPr>
      </w:pPr>
    </w:p>
    <w:p w14:paraId="37F7F6E6" w14:textId="77777777" w:rsidR="0003633C" w:rsidRDefault="0003633C" w:rsidP="00313CC3">
      <w:pPr>
        <w:spacing w:after="0" w:line="240" w:lineRule="auto"/>
        <w:rPr>
          <w:rFonts w:ascii="Verdana" w:hAnsi="Verdana"/>
        </w:rPr>
      </w:pPr>
    </w:p>
    <w:p w14:paraId="0D5B8A78" w14:textId="77777777" w:rsidR="0003633C" w:rsidRDefault="0003633C" w:rsidP="00313CC3">
      <w:pPr>
        <w:spacing w:after="0" w:line="240" w:lineRule="auto"/>
        <w:rPr>
          <w:rFonts w:ascii="Verdana" w:hAnsi="Verdana"/>
        </w:rPr>
      </w:pPr>
    </w:p>
    <w:p w14:paraId="0E320BB6" w14:textId="77777777" w:rsidR="0003633C" w:rsidRDefault="0003633C" w:rsidP="00313CC3">
      <w:pPr>
        <w:spacing w:after="0" w:line="240" w:lineRule="auto"/>
        <w:rPr>
          <w:rFonts w:ascii="Verdana" w:hAnsi="Verdana"/>
        </w:rPr>
      </w:pPr>
    </w:p>
    <w:p w14:paraId="5C86AD5D" w14:textId="30F7F24D" w:rsidR="00313CC3" w:rsidRPr="00A7080B" w:rsidRDefault="00313CC3" w:rsidP="00313CC3">
      <w:pPr>
        <w:spacing w:after="0" w:line="240" w:lineRule="auto"/>
        <w:rPr>
          <w:rFonts w:ascii="Verdana" w:eastAsia="Geomanist Light" w:hAnsi="Verdana" w:cs="Arial"/>
          <w:color w:val="201F1E"/>
          <w:lang w:val="es-MX"/>
        </w:rPr>
      </w:pPr>
      <w:r w:rsidRPr="00A7080B">
        <w:rPr>
          <w:rFonts w:ascii="Verdana" w:hAnsi="Verdana"/>
        </w:rPr>
        <w:lastRenderedPageBreak/>
        <w:t xml:space="preserve">Bogotá D.C., </w:t>
      </w:r>
      <w:r w:rsidR="00DB6BB6">
        <w:rPr>
          <w:rFonts w:ascii="Verdana" w:eastAsia="Geomanist Light" w:hAnsi="Verdana" w:cs="Arial"/>
          <w:color w:val="201F1E"/>
          <w:lang w:val="es-MX"/>
        </w:rPr>
        <w:t>17 de octubre de 2025</w:t>
      </w:r>
    </w:p>
    <w:p w14:paraId="35B5B4AF" w14:textId="59081BEE" w:rsidR="00313CC3" w:rsidRPr="00A7080B" w:rsidRDefault="00313CC3" w:rsidP="00313CC3">
      <w:pPr>
        <w:spacing w:after="0" w:line="240" w:lineRule="auto"/>
        <w:rPr>
          <w:rFonts w:ascii="Verdana" w:hAnsi="Verdana"/>
        </w:rPr>
      </w:pPr>
    </w:p>
    <w:p w14:paraId="16E166A2" w14:textId="27244CA2" w:rsidR="00313CC3" w:rsidRPr="00A7080B" w:rsidRDefault="00AE7AE9" w:rsidP="00DB6BB6">
      <w:pPr>
        <w:spacing w:after="0" w:line="240" w:lineRule="auto"/>
        <w:jc w:val="right"/>
        <w:rPr>
          <w:rFonts w:ascii="Verdana" w:eastAsia="Calibri" w:hAnsi="Verdana" w:cs="Arial"/>
          <w:noProof/>
          <w:color w:val="000000" w:themeColor="text1"/>
          <w:lang w:eastAsia="es-ES"/>
        </w:rPr>
      </w:pPr>
      <w:r w:rsidRPr="00DB6BB6">
        <w:rPr>
          <w:rFonts w:ascii="Verdana" w:eastAsia="Calibri" w:hAnsi="Verdana" w:cs="Arial"/>
          <w:noProof/>
          <w:color w:val="000000" w:themeColor="text1"/>
          <w:lang w:eastAsia="es-ES"/>
        </w:rPr>
        <w:drawing>
          <wp:anchor distT="0" distB="0" distL="114300" distR="114300" simplePos="0" relativeHeight="251658240" behindDoc="0" locked="0" layoutInCell="1" allowOverlap="1" wp14:anchorId="4AFEC929" wp14:editId="49DD42BD">
            <wp:simplePos x="0" y="0"/>
            <wp:positionH relativeFrom="margin">
              <wp:align>right</wp:align>
            </wp:positionH>
            <wp:positionV relativeFrom="paragraph">
              <wp:posOffset>9222</wp:posOffset>
            </wp:positionV>
            <wp:extent cx="2872740" cy="937260"/>
            <wp:effectExtent l="0" t="0" r="3810" b="0"/>
            <wp:wrapSquare wrapText="bothSides"/>
            <wp:docPr id="14651898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2740" cy="937260"/>
                    </a:xfrm>
                    <a:prstGeom prst="rect">
                      <a:avLst/>
                    </a:prstGeom>
                    <a:noFill/>
                    <a:ln>
                      <a:noFill/>
                    </a:ln>
                  </pic:spPr>
                </pic:pic>
              </a:graphicData>
            </a:graphic>
          </wp:anchor>
        </w:drawing>
      </w:r>
    </w:p>
    <w:p w14:paraId="602B0C26" w14:textId="77777777" w:rsidR="00313CC3" w:rsidRPr="00A7080B" w:rsidRDefault="00313CC3" w:rsidP="00313CC3">
      <w:pPr>
        <w:spacing w:after="0" w:line="240" w:lineRule="auto"/>
        <w:jc w:val="both"/>
        <w:rPr>
          <w:rFonts w:ascii="Verdana" w:eastAsia="Calibri" w:hAnsi="Verdana" w:cs="Arial"/>
          <w:color w:val="000000" w:themeColor="text1"/>
          <w:lang w:val="es-ES" w:eastAsia="es-ES"/>
        </w:rPr>
      </w:pPr>
      <w:r w:rsidRPr="00A7080B">
        <w:rPr>
          <w:rFonts w:ascii="Verdana" w:eastAsia="Calibri" w:hAnsi="Verdana" w:cs="Arial"/>
          <w:color w:val="000000" w:themeColor="text1"/>
          <w:lang w:val="es-ES" w:eastAsia="es-ES"/>
        </w:rPr>
        <w:t>Señor</w:t>
      </w:r>
    </w:p>
    <w:p w14:paraId="6E7DE997" w14:textId="77777777" w:rsidR="00313CC3" w:rsidRPr="00A7080B" w:rsidRDefault="00313CC3" w:rsidP="00313CC3">
      <w:pPr>
        <w:spacing w:after="0" w:line="240" w:lineRule="auto"/>
        <w:rPr>
          <w:rFonts w:ascii="Verdana" w:eastAsia="Calibri" w:hAnsi="Verdana" w:cs="Arial"/>
          <w:b/>
          <w:color w:val="000000" w:themeColor="text1"/>
          <w:lang w:eastAsia="es-ES_tradnl"/>
        </w:rPr>
      </w:pPr>
      <w:r w:rsidRPr="00A7080B">
        <w:rPr>
          <w:rFonts w:ascii="Verdana" w:eastAsia="Calibri" w:hAnsi="Verdana" w:cs="Arial"/>
          <w:b/>
          <w:color w:val="000000" w:themeColor="text1"/>
          <w:lang w:eastAsia="es-ES_tradnl"/>
        </w:rPr>
        <w:t xml:space="preserve">Hernán Felipe Pineda </w:t>
      </w:r>
      <w:r>
        <w:rPr>
          <w:rFonts w:ascii="Verdana" w:eastAsia="Calibri" w:hAnsi="Verdana" w:cs="Arial"/>
          <w:b/>
          <w:color w:val="000000" w:themeColor="text1"/>
          <w:lang w:eastAsia="es-ES_tradnl"/>
        </w:rPr>
        <w:t>Medina</w:t>
      </w:r>
    </w:p>
    <w:p w14:paraId="6F773340" w14:textId="77777777" w:rsidR="00313CC3" w:rsidRPr="00A7080B" w:rsidRDefault="00313CC3" w:rsidP="00313CC3">
      <w:pPr>
        <w:spacing w:after="0" w:line="240" w:lineRule="auto"/>
        <w:rPr>
          <w:rFonts w:ascii="Verdana" w:hAnsi="Verdana"/>
        </w:rPr>
      </w:pPr>
      <w:hyperlink r:id="rId12" w:history="1">
        <w:r w:rsidRPr="00A7080B">
          <w:rPr>
            <w:rFonts w:ascii="Verdana" w:hAnsi="Verdana"/>
            <w:color w:val="0000FF"/>
            <w:u w:val="single"/>
          </w:rPr>
          <w:t>hernan.pineda@segurosaurora.com</w:t>
        </w:r>
      </w:hyperlink>
      <w:r w:rsidRPr="00A7080B">
        <w:rPr>
          <w:rFonts w:ascii="Verdana" w:hAnsi="Verdana"/>
        </w:rPr>
        <w:t xml:space="preserve"> </w:t>
      </w:r>
    </w:p>
    <w:p w14:paraId="4AF5FF95" w14:textId="77777777" w:rsidR="00313CC3" w:rsidRPr="00A7080B" w:rsidRDefault="00313CC3" w:rsidP="00313CC3">
      <w:pPr>
        <w:spacing w:after="0" w:line="240" w:lineRule="auto"/>
        <w:rPr>
          <w:rFonts w:ascii="Verdana" w:eastAsia="Calibri" w:hAnsi="Verdana" w:cs="Arial"/>
          <w:bCs/>
          <w:color w:val="000000" w:themeColor="text1"/>
          <w:lang w:eastAsia="es-ES_tradnl"/>
        </w:rPr>
      </w:pPr>
      <w:r w:rsidRPr="00A7080B">
        <w:rPr>
          <w:rFonts w:ascii="Verdana" w:eastAsia="Calibri" w:hAnsi="Verdana" w:cs="Arial"/>
          <w:bCs/>
          <w:color w:val="000000" w:themeColor="text1"/>
          <w:lang w:eastAsia="es-ES_tradnl"/>
        </w:rPr>
        <w:t>Bogotá</w:t>
      </w:r>
    </w:p>
    <w:p w14:paraId="5A5ACF2B" w14:textId="77777777" w:rsidR="00313CC3" w:rsidRPr="00A7080B" w:rsidRDefault="00313CC3" w:rsidP="00313CC3">
      <w:pPr>
        <w:spacing w:after="0" w:line="240" w:lineRule="auto"/>
        <w:rPr>
          <w:rFonts w:ascii="Verdana" w:eastAsia="Calibri" w:hAnsi="Verdana" w:cs="Arial"/>
          <w:b/>
          <w:bCs/>
          <w:color w:val="000000" w:themeColor="text1"/>
          <w:lang w:val="es-ES_tradnl" w:eastAsia="es-ES_tradnl"/>
        </w:rPr>
      </w:pPr>
    </w:p>
    <w:p w14:paraId="68CA8EDE" w14:textId="77777777" w:rsidR="00313CC3" w:rsidRPr="00A7080B" w:rsidRDefault="00313CC3" w:rsidP="00313CC3">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13CC3" w:rsidRPr="00A7080B" w14:paraId="6BDF44D7" w14:textId="77777777" w:rsidTr="009C26D1">
        <w:trPr>
          <w:trHeight w:val="148"/>
        </w:trPr>
        <w:tc>
          <w:tcPr>
            <w:tcW w:w="2689" w:type="dxa"/>
          </w:tcPr>
          <w:p w14:paraId="3DD7CA38" w14:textId="77777777" w:rsidR="00313CC3" w:rsidRPr="00A7080B" w:rsidRDefault="00313CC3" w:rsidP="009C26D1">
            <w:pPr>
              <w:spacing w:after="160" w:line="259" w:lineRule="auto"/>
              <w:ind w:left="720"/>
              <w:contextualSpacing/>
              <w:jc w:val="both"/>
              <w:rPr>
                <w:rFonts w:ascii="Verdana" w:eastAsia="Calibri" w:hAnsi="Verdana" w:cs="Arial"/>
                <w:b/>
                <w:bCs/>
                <w:color w:val="000000" w:themeColor="text1"/>
                <w:lang w:val="es-ES_tradnl" w:eastAsia="es-ES_tradnl"/>
              </w:rPr>
            </w:pPr>
          </w:p>
        </w:tc>
        <w:tc>
          <w:tcPr>
            <w:tcW w:w="6100" w:type="dxa"/>
          </w:tcPr>
          <w:p w14:paraId="1A758B95" w14:textId="77777777" w:rsidR="00313CC3" w:rsidRPr="00A7080B" w:rsidRDefault="00313CC3" w:rsidP="009C26D1">
            <w:pPr>
              <w:spacing w:after="160" w:line="259" w:lineRule="auto"/>
              <w:ind w:left="720"/>
              <w:contextualSpacing/>
              <w:jc w:val="both"/>
              <w:rPr>
                <w:rFonts w:ascii="Verdana" w:eastAsia="Calibri" w:hAnsi="Verdana" w:cs="Arial"/>
                <w:b/>
                <w:bCs/>
                <w:color w:val="000000" w:themeColor="text1"/>
                <w:lang w:val="es-ES" w:eastAsia="es-ES"/>
              </w:rPr>
            </w:pPr>
            <w:r w:rsidRPr="00A7080B">
              <w:rPr>
                <w:rFonts w:ascii="Verdana" w:eastAsia="Calibri" w:hAnsi="Verdana" w:cs="Arial"/>
                <w:b/>
                <w:bCs/>
                <w:color w:val="000000" w:themeColor="text1"/>
                <w:lang w:val="es-ES" w:eastAsia="es-ES"/>
              </w:rPr>
              <w:t>Concepto C- 1297 de 2025</w:t>
            </w:r>
          </w:p>
          <w:p w14:paraId="2A788050" w14:textId="77777777" w:rsidR="00313CC3" w:rsidRPr="00A7080B" w:rsidRDefault="00313CC3" w:rsidP="009C26D1">
            <w:pPr>
              <w:spacing w:after="160" w:line="259" w:lineRule="auto"/>
              <w:ind w:left="720"/>
              <w:contextualSpacing/>
              <w:jc w:val="both"/>
              <w:rPr>
                <w:rFonts w:ascii="Verdana" w:eastAsia="Calibri" w:hAnsi="Verdana" w:cs="Arial"/>
                <w:b/>
                <w:bCs/>
                <w:color w:val="000000" w:themeColor="text1"/>
                <w:lang w:val="es-ES" w:eastAsia="es-ES"/>
              </w:rPr>
            </w:pPr>
          </w:p>
        </w:tc>
      </w:tr>
      <w:tr w:rsidR="00313CC3" w:rsidRPr="00A7080B" w14:paraId="36DFBC32" w14:textId="77777777" w:rsidTr="009C26D1">
        <w:trPr>
          <w:trHeight w:val="884"/>
        </w:trPr>
        <w:tc>
          <w:tcPr>
            <w:tcW w:w="2689" w:type="dxa"/>
          </w:tcPr>
          <w:p w14:paraId="6F60ECC1" w14:textId="77777777" w:rsidR="00313CC3" w:rsidRPr="00A7080B" w:rsidRDefault="00313CC3" w:rsidP="009C26D1">
            <w:pPr>
              <w:spacing w:after="160" w:line="259" w:lineRule="auto"/>
              <w:ind w:left="720"/>
              <w:contextualSpacing/>
              <w:jc w:val="both"/>
              <w:rPr>
                <w:rFonts w:ascii="Verdana" w:eastAsia="Calibri" w:hAnsi="Verdana" w:cs="Arial"/>
                <w:color w:val="000000" w:themeColor="text1"/>
                <w:lang w:val="es-ES_tradnl" w:eastAsia="es-ES_tradnl"/>
              </w:rPr>
            </w:pPr>
            <w:r w:rsidRPr="00A7080B">
              <w:rPr>
                <w:rFonts w:ascii="Verdana" w:eastAsia="Calibri" w:hAnsi="Verdana" w:cs="Arial"/>
                <w:b/>
                <w:color w:val="000000" w:themeColor="text1"/>
                <w:lang w:val="es-ES_tradnl" w:eastAsia="es-ES_tradnl"/>
              </w:rPr>
              <w:t>Temas:</w:t>
            </w:r>
            <w:r w:rsidRPr="00A7080B">
              <w:rPr>
                <w:rFonts w:ascii="Verdana" w:eastAsia="Calibri" w:hAnsi="Verdana" w:cs="Arial"/>
                <w:color w:val="000000" w:themeColor="text1"/>
                <w:lang w:val="es-ES_tradnl" w:eastAsia="es-ES_tradnl"/>
              </w:rPr>
              <w:t xml:space="preserve">                   </w:t>
            </w:r>
          </w:p>
        </w:tc>
        <w:tc>
          <w:tcPr>
            <w:tcW w:w="6100" w:type="dxa"/>
          </w:tcPr>
          <w:p w14:paraId="7467A3AB" w14:textId="77777777" w:rsidR="00313CC3" w:rsidRPr="00A7080B" w:rsidRDefault="00313CC3" w:rsidP="009C26D1">
            <w:pPr>
              <w:spacing w:after="160" w:line="276" w:lineRule="auto"/>
              <w:ind w:left="720"/>
              <w:contextualSpacing/>
              <w:jc w:val="both"/>
              <w:rPr>
                <w:rFonts w:ascii="Verdana" w:eastAsia="Calibri" w:hAnsi="Verdana" w:cs="Arial"/>
                <w:b/>
                <w:lang w:val="es-ES" w:eastAsia="es-ES_tradnl"/>
              </w:rPr>
            </w:pPr>
            <w:r w:rsidRPr="00A7080B">
              <w:rPr>
                <w:rFonts w:ascii="Verdana" w:eastAsia="Calibri" w:hAnsi="Verdana" w:cs="Arial"/>
                <w:bCs/>
                <w:lang w:val="es-ES"/>
              </w:rPr>
              <w:t>SELECCIÓN OBJETIVA ― Noción y factores de escogencia / REQUISITOS HABILITANTES DE LA LEY 1150 DE 2007 ― Carácter enunciativo/</w:t>
            </w:r>
            <w:r w:rsidRPr="00A7080B">
              <w:rPr>
                <w:rFonts w:ascii="Verdana" w:eastAsia="Calibri" w:hAnsi="Verdana" w:cs="Arial"/>
                <w:b/>
                <w:lang w:val="es-ES" w:eastAsia="es-ES_tradnl"/>
              </w:rPr>
              <w:t xml:space="preserve"> </w:t>
            </w:r>
            <w:r w:rsidRPr="00A7080B">
              <w:rPr>
                <w:rFonts w:ascii="Verdana" w:eastAsia="Calibri" w:hAnsi="Verdana" w:cs="Arial"/>
                <w:bCs/>
                <w:lang w:val="es-ES" w:eastAsia="es-ES_tradnl"/>
              </w:rPr>
              <w:t>CONTRATO DE SEGUROS</w:t>
            </w:r>
            <w:r w:rsidRPr="00A7080B">
              <w:rPr>
                <w:rFonts w:ascii="Verdana" w:eastAsia="Calibri" w:hAnsi="Verdana" w:cs="Arial"/>
                <w:lang w:val="es-ES" w:eastAsia="es-ES_tradnl"/>
              </w:rPr>
              <w:t xml:space="preserve"> – Definición – Requisitos habilitantes </w:t>
            </w:r>
          </w:p>
          <w:p w14:paraId="46FEC531" w14:textId="77777777" w:rsidR="00313CC3" w:rsidRPr="00A7080B" w:rsidRDefault="00313CC3" w:rsidP="009C26D1">
            <w:pPr>
              <w:spacing w:after="160" w:line="259" w:lineRule="auto"/>
              <w:ind w:left="720"/>
              <w:contextualSpacing/>
              <w:jc w:val="both"/>
              <w:rPr>
                <w:rFonts w:ascii="Verdana" w:eastAsia="Calibri" w:hAnsi="Verdana" w:cs="Arial"/>
                <w:color w:val="000000" w:themeColor="text1"/>
                <w:lang w:val="es-ES" w:eastAsia="es-ES"/>
              </w:rPr>
            </w:pPr>
          </w:p>
        </w:tc>
      </w:tr>
      <w:tr w:rsidR="00313CC3" w:rsidRPr="00A7080B" w14:paraId="3A25375E" w14:textId="77777777" w:rsidTr="009C26D1">
        <w:tc>
          <w:tcPr>
            <w:tcW w:w="2689" w:type="dxa"/>
          </w:tcPr>
          <w:p w14:paraId="4043AA5F" w14:textId="77777777" w:rsidR="00313CC3" w:rsidRPr="00A7080B" w:rsidRDefault="00313CC3" w:rsidP="009C26D1">
            <w:pPr>
              <w:spacing w:after="160" w:line="259" w:lineRule="auto"/>
              <w:ind w:left="720"/>
              <w:contextualSpacing/>
              <w:jc w:val="both"/>
              <w:rPr>
                <w:rFonts w:ascii="Verdana" w:eastAsia="Calibri" w:hAnsi="Verdana" w:cs="Arial"/>
                <w:b/>
                <w:color w:val="000000" w:themeColor="text1"/>
                <w:lang w:val="es-ES_tradnl" w:eastAsia="es-ES_tradnl"/>
              </w:rPr>
            </w:pPr>
            <w:r w:rsidRPr="00A7080B">
              <w:rPr>
                <w:rFonts w:ascii="Verdana" w:eastAsia="Calibri" w:hAnsi="Verdana" w:cs="Arial"/>
                <w:b/>
                <w:color w:val="000000" w:themeColor="text1"/>
                <w:lang w:val="es-ES_tradnl" w:eastAsia="es-ES_tradnl"/>
              </w:rPr>
              <w:t>Radicación:</w:t>
            </w:r>
            <w:r w:rsidRPr="00A7080B">
              <w:rPr>
                <w:rFonts w:ascii="Verdana" w:eastAsia="Calibri" w:hAnsi="Verdana" w:cs="Arial"/>
                <w:color w:val="000000" w:themeColor="text1"/>
                <w:lang w:val="es-ES_tradnl" w:eastAsia="es-ES_tradnl"/>
              </w:rPr>
              <w:t xml:space="preserve">               </w:t>
            </w:r>
          </w:p>
        </w:tc>
        <w:tc>
          <w:tcPr>
            <w:tcW w:w="6100" w:type="dxa"/>
          </w:tcPr>
          <w:p w14:paraId="7EEBE10A" w14:textId="77777777" w:rsidR="00313CC3" w:rsidRPr="00A7080B" w:rsidRDefault="00313CC3" w:rsidP="009C26D1">
            <w:pPr>
              <w:spacing w:after="160" w:line="259" w:lineRule="auto"/>
              <w:ind w:left="720"/>
              <w:contextualSpacing/>
              <w:jc w:val="both"/>
              <w:rPr>
                <w:rFonts w:ascii="Verdana" w:eastAsia="Calibri" w:hAnsi="Verdana" w:cs="Arial"/>
                <w:color w:val="000000" w:themeColor="text1"/>
                <w:lang w:val="es-ES_tradnl" w:eastAsia="es-ES_tradnl"/>
              </w:rPr>
            </w:pPr>
            <w:r w:rsidRPr="00A7080B">
              <w:rPr>
                <w:rFonts w:ascii="Verdana" w:eastAsia="Calibri" w:hAnsi="Verdana" w:cs="Arial"/>
                <w:color w:val="000000" w:themeColor="text1"/>
                <w:lang w:val="es-ES_tradnl" w:eastAsia="es-ES_tradnl"/>
              </w:rPr>
              <w:t>Respuesta a consulta con radicado No. 1_2025_09_10_009866</w:t>
            </w:r>
          </w:p>
        </w:tc>
      </w:tr>
    </w:tbl>
    <w:p w14:paraId="40C9D901" w14:textId="77777777" w:rsidR="00313CC3" w:rsidRPr="00A7080B" w:rsidRDefault="00313CC3" w:rsidP="00313CC3">
      <w:pPr>
        <w:spacing w:after="0" w:line="240" w:lineRule="auto"/>
        <w:jc w:val="both"/>
        <w:rPr>
          <w:rFonts w:ascii="Verdana" w:eastAsia="Calibri" w:hAnsi="Verdana" w:cs="Arial"/>
          <w:color w:val="000000" w:themeColor="text1"/>
          <w:lang w:val="es-ES_tradnl" w:eastAsia="es-ES_tradnl"/>
        </w:rPr>
      </w:pPr>
    </w:p>
    <w:p w14:paraId="1A96DC9F" w14:textId="77777777" w:rsidR="00313CC3" w:rsidRPr="00A7080B" w:rsidRDefault="00313CC3" w:rsidP="00313CC3">
      <w:pPr>
        <w:spacing w:after="0" w:line="240" w:lineRule="auto"/>
        <w:jc w:val="both"/>
        <w:rPr>
          <w:rFonts w:ascii="Verdana" w:eastAsia="Calibri" w:hAnsi="Verdana" w:cs="Arial"/>
          <w:color w:val="000000" w:themeColor="text1"/>
          <w:lang w:val="es-ES_tradnl" w:eastAsia="es-ES_tradnl"/>
        </w:rPr>
      </w:pPr>
    </w:p>
    <w:p w14:paraId="289A90C3" w14:textId="77777777" w:rsidR="00313CC3" w:rsidRPr="00A7080B" w:rsidRDefault="00313CC3" w:rsidP="00313CC3">
      <w:pPr>
        <w:spacing w:after="0" w:line="276" w:lineRule="auto"/>
        <w:jc w:val="both"/>
        <w:rPr>
          <w:rFonts w:ascii="Verdana" w:eastAsia="Calibri" w:hAnsi="Verdana" w:cs="Arial"/>
          <w:color w:val="000000" w:themeColor="text1"/>
          <w:lang w:val="es-ES" w:eastAsia="es-ES"/>
        </w:rPr>
      </w:pPr>
      <w:r w:rsidRPr="00A7080B">
        <w:rPr>
          <w:rFonts w:ascii="Verdana" w:eastAsia="Calibri" w:hAnsi="Verdana" w:cs="Arial"/>
          <w:color w:val="000000" w:themeColor="text1"/>
          <w:lang w:val="es-ES" w:eastAsia="es-ES"/>
        </w:rPr>
        <w:t xml:space="preserve">Estimado señor Pineda: </w:t>
      </w:r>
    </w:p>
    <w:p w14:paraId="4CB049E1" w14:textId="77777777" w:rsidR="00313CC3" w:rsidRPr="00A7080B" w:rsidRDefault="00313CC3" w:rsidP="00313CC3">
      <w:pPr>
        <w:tabs>
          <w:tab w:val="left" w:pos="3768"/>
        </w:tabs>
        <w:spacing w:after="0" w:line="276" w:lineRule="auto"/>
        <w:jc w:val="both"/>
        <w:rPr>
          <w:rFonts w:ascii="Verdana" w:eastAsia="Calibri" w:hAnsi="Verdana" w:cs="Arial"/>
          <w:color w:val="000000" w:themeColor="text1"/>
          <w:lang w:val="es-ES" w:eastAsia="es-ES"/>
        </w:rPr>
      </w:pPr>
      <w:r w:rsidRPr="00A7080B">
        <w:rPr>
          <w:rFonts w:ascii="Verdana" w:eastAsia="Calibri" w:hAnsi="Verdana" w:cs="Arial"/>
          <w:color w:val="000000" w:themeColor="text1"/>
          <w:lang w:val="es-ES" w:eastAsia="es-ES"/>
        </w:rPr>
        <w:tab/>
      </w:r>
    </w:p>
    <w:p w14:paraId="598B0270" w14:textId="77777777" w:rsidR="000539F5" w:rsidRDefault="00313CC3" w:rsidP="00313CC3">
      <w:pPr>
        <w:spacing w:after="120" w:line="276" w:lineRule="auto"/>
        <w:jc w:val="both"/>
        <w:rPr>
          <w:rFonts w:ascii="Verdana" w:eastAsia="Calibri" w:hAnsi="Verdana" w:cs="Arial"/>
          <w:color w:val="000000" w:themeColor="text1"/>
          <w:lang w:val="es-ES" w:eastAsia="es-ES"/>
        </w:rPr>
      </w:pPr>
      <w:r w:rsidRPr="00A7080B">
        <w:rPr>
          <w:rFonts w:ascii="Verdana" w:eastAsia="Calibri" w:hAnsi="Verdana" w:cs="Arial"/>
          <w:color w:val="000000" w:themeColor="text1"/>
          <w:lang w:val="es-ES" w:eastAsia="es-ES"/>
        </w:rPr>
        <w:t>En ejercicio de la competencia otorgada por los artículos 3, numeral 5º, y 11, numeral 8º, del Decreto Ley 4170 de 2011,</w:t>
      </w:r>
      <w:r w:rsidRPr="00A7080B">
        <w:rPr>
          <w:rFonts w:ascii="Verdana" w:eastAsia="Arial MT" w:hAnsi="Verdana" w:cs="Arial MT"/>
          <w:color w:val="000000" w:themeColor="text1"/>
          <w:lang w:val="es-ES" w:eastAsia="es-ES"/>
        </w:rPr>
        <w:t xml:space="preserve"> </w:t>
      </w:r>
      <w:r w:rsidRPr="00A7080B">
        <w:rPr>
          <w:rFonts w:ascii="Verdana" w:hAnsi="Verdana" w:cs="Arial"/>
          <w:color w:val="000000" w:themeColor="text1"/>
        </w:rPr>
        <w:t>así como lo establecido</w:t>
      </w:r>
      <w:r w:rsidRPr="00A7080B">
        <w:rPr>
          <w:rFonts w:ascii="Verdana" w:hAnsi="Verdana" w:cs="Arial"/>
        </w:rPr>
        <w:t xml:space="preserve"> por la </w:t>
      </w:r>
      <w:r w:rsidRPr="00A7080B">
        <w:rPr>
          <w:rFonts w:ascii="Verdana" w:eastAsia="Calibri" w:hAnsi="Verdana" w:cs="Times New Roman"/>
          <w:bCs/>
        </w:rPr>
        <w:t xml:space="preserve">Resolución 469 de 2025 </w:t>
      </w:r>
      <w:r w:rsidRPr="00A7080B">
        <w:rPr>
          <w:rFonts w:ascii="Verdana" w:hAnsi="Verdana" w:cs="Arial"/>
          <w:color w:val="000000" w:themeColor="text1"/>
        </w:rPr>
        <w:t>expedida por esta Entidad, la Agencia Nacional de Contratación Pública – Colombia Compra Eficiente– responde su solicitud de concepto del 10 de septiembre de 2025, en la cual manifiesta lo siguiente:</w:t>
      </w:r>
      <w:r w:rsidRPr="00A7080B">
        <w:rPr>
          <w:rFonts w:ascii="Verdana" w:eastAsia="Calibri" w:hAnsi="Verdana" w:cs="Arial"/>
          <w:color w:val="000000" w:themeColor="text1"/>
          <w:lang w:val="es-ES" w:eastAsia="es-ES"/>
        </w:rPr>
        <w:t xml:space="preserve"> </w:t>
      </w:r>
    </w:p>
    <w:p w14:paraId="220F09B1" w14:textId="3C1A5711" w:rsidR="00313CC3" w:rsidRPr="00A7080B" w:rsidRDefault="00313CC3" w:rsidP="00313CC3">
      <w:pPr>
        <w:spacing w:after="120" w:line="276" w:lineRule="auto"/>
        <w:jc w:val="both"/>
        <w:rPr>
          <w:rFonts w:ascii="Verdana" w:eastAsia="Calibri" w:hAnsi="Verdana" w:cs="Arial"/>
          <w:color w:val="000000" w:themeColor="text1"/>
          <w:lang w:val="es-ES" w:eastAsia="es-ES"/>
        </w:rPr>
      </w:pPr>
      <w:r w:rsidRPr="00A7080B">
        <w:rPr>
          <w:rFonts w:ascii="Verdana" w:eastAsia="Calibri" w:hAnsi="Verdana" w:cs="Arial"/>
          <w:i/>
          <w:iCs/>
          <w:color w:val="000000" w:themeColor="text1"/>
          <w:lang w:val="es-ES" w:eastAsia="es-ES"/>
        </w:rPr>
        <w:t>“</w:t>
      </w:r>
      <w:r w:rsidRPr="00A7080B">
        <w:rPr>
          <w:rFonts w:ascii="Verdana" w:eastAsia="Calibri" w:hAnsi="Verdana" w:cs="Arial"/>
          <w:i/>
          <w:iCs/>
          <w:color w:val="000000" w:themeColor="text1"/>
          <w:lang w:eastAsia="es-ES"/>
        </w:rPr>
        <w:t xml:space="preserve">Solicito concepto acerca de exigir o requerir oficina, sucursal, dependencia </w:t>
      </w:r>
      <w:proofErr w:type="spellStart"/>
      <w:r w:rsidRPr="00A7080B">
        <w:rPr>
          <w:rFonts w:ascii="Verdana" w:eastAsia="Calibri" w:hAnsi="Verdana" w:cs="Arial"/>
          <w:i/>
          <w:iCs/>
          <w:color w:val="000000" w:themeColor="text1"/>
          <w:lang w:eastAsia="es-ES"/>
        </w:rPr>
        <w:t>etc</w:t>
      </w:r>
      <w:proofErr w:type="spellEnd"/>
      <w:r w:rsidRPr="00A7080B">
        <w:rPr>
          <w:rFonts w:ascii="Verdana" w:eastAsia="Calibri" w:hAnsi="Verdana" w:cs="Arial"/>
          <w:i/>
          <w:iCs/>
          <w:color w:val="000000" w:themeColor="text1"/>
          <w:lang w:eastAsia="es-ES"/>
        </w:rPr>
        <w:t xml:space="preserve"> en procesos de compras públicas dentro del objeto de seguros”:</w:t>
      </w:r>
    </w:p>
    <w:p w14:paraId="35F393AF" w14:textId="77777777" w:rsidR="00313CC3" w:rsidRPr="00A7080B" w:rsidRDefault="00313CC3" w:rsidP="00313CC3">
      <w:pPr>
        <w:spacing w:after="120" w:line="276" w:lineRule="auto"/>
        <w:ind w:firstLine="709"/>
        <w:jc w:val="both"/>
        <w:rPr>
          <w:rFonts w:ascii="Verdana" w:eastAsia="Calibri" w:hAnsi="Verdana" w:cs="Arial"/>
          <w:color w:val="000000" w:themeColor="text1"/>
          <w:szCs w:val="24"/>
          <w:lang w:val="es-ES_tradnl" w:eastAsia="es-ES_tradnl"/>
        </w:rPr>
      </w:pPr>
      <w:r w:rsidRPr="00A7080B">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A7080B">
        <w:rPr>
          <w:rFonts w:ascii="Verdana" w:eastAsia="Calibri" w:hAnsi="Verdana" w:cs="Arial"/>
          <w:color w:val="000000" w:themeColor="text1"/>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Así mismo, se resalta que la Agencia </w:t>
      </w:r>
      <w:r w:rsidRPr="00A7080B">
        <w:rPr>
          <w:rFonts w:ascii="Verdana" w:eastAsiaTheme="minorEastAsia" w:hAnsi="Verdana" w:cs="Arial"/>
          <w:lang w:eastAsia="es-CO"/>
        </w:rPr>
        <w:t>al no ser un órgano</w:t>
      </w:r>
      <w:r w:rsidRPr="00A7080B">
        <w:rPr>
          <w:rFonts w:ascii="Verdana" w:eastAsiaTheme="minorEastAsia" w:hAnsi="Verdana" w:cs="Arial"/>
          <w:spacing w:val="1"/>
          <w:lang w:eastAsia="es-CO"/>
        </w:rPr>
        <w:t xml:space="preserve"> </w:t>
      </w:r>
      <w:r w:rsidRPr="00A7080B">
        <w:rPr>
          <w:rFonts w:ascii="Verdana" w:eastAsiaTheme="minorEastAsia" w:hAnsi="Verdana" w:cs="Arial"/>
          <w:lang w:eastAsia="es-CO"/>
        </w:rPr>
        <w:t>judicial, ni una entidad de vigilancia, inspección o control en materia contractual, carece de la</w:t>
      </w:r>
      <w:r w:rsidRPr="00A7080B">
        <w:rPr>
          <w:rFonts w:ascii="Verdana" w:eastAsiaTheme="minorEastAsia" w:hAnsi="Verdana" w:cs="Arial"/>
          <w:spacing w:val="1"/>
          <w:lang w:eastAsia="es-CO"/>
        </w:rPr>
        <w:t xml:space="preserve"> </w:t>
      </w:r>
      <w:r w:rsidRPr="00A7080B">
        <w:rPr>
          <w:rFonts w:ascii="Verdana" w:eastAsiaTheme="minorEastAsia" w:hAnsi="Verdana" w:cs="Arial"/>
          <w:lang w:eastAsia="es-CO"/>
        </w:rPr>
        <w:t>facultad</w:t>
      </w:r>
      <w:r w:rsidRPr="00A7080B">
        <w:rPr>
          <w:rFonts w:ascii="Verdana" w:eastAsiaTheme="minorEastAsia" w:hAnsi="Verdana" w:cs="Arial"/>
          <w:spacing w:val="-2"/>
          <w:lang w:eastAsia="es-CO"/>
        </w:rPr>
        <w:t xml:space="preserve"> </w:t>
      </w:r>
      <w:r w:rsidRPr="00A7080B">
        <w:rPr>
          <w:rFonts w:ascii="Verdana" w:eastAsiaTheme="minorEastAsia" w:hAnsi="Verdana" w:cs="Arial"/>
          <w:lang w:eastAsia="es-CO"/>
        </w:rPr>
        <w:t>para</w:t>
      </w:r>
      <w:r w:rsidRPr="00A7080B">
        <w:rPr>
          <w:rFonts w:ascii="Verdana" w:eastAsiaTheme="minorEastAsia" w:hAnsi="Verdana" w:cs="Arial"/>
          <w:spacing w:val="-1"/>
          <w:lang w:eastAsia="es-CO"/>
        </w:rPr>
        <w:t xml:space="preserve"> </w:t>
      </w:r>
      <w:r w:rsidRPr="00A7080B">
        <w:rPr>
          <w:rFonts w:ascii="Verdana" w:eastAsiaTheme="minorEastAsia" w:hAnsi="Verdana" w:cs="Arial"/>
          <w:lang w:eastAsia="es-CO"/>
        </w:rPr>
        <w:t>desempeñar</w:t>
      </w:r>
      <w:r w:rsidRPr="00A7080B">
        <w:rPr>
          <w:rFonts w:ascii="Verdana" w:eastAsiaTheme="minorEastAsia" w:hAnsi="Verdana" w:cs="Arial"/>
          <w:spacing w:val="-2"/>
          <w:lang w:eastAsia="es-CO"/>
        </w:rPr>
        <w:t xml:space="preserve"> </w:t>
      </w:r>
      <w:r w:rsidRPr="00A7080B">
        <w:rPr>
          <w:rFonts w:ascii="Verdana" w:eastAsiaTheme="minorEastAsia" w:hAnsi="Verdana" w:cs="Arial"/>
          <w:lang w:eastAsia="es-CO"/>
        </w:rPr>
        <w:t>estas</w:t>
      </w:r>
      <w:r w:rsidRPr="00A7080B">
        <w:rPr>
          <w:rFonts w:ascii="Verdana" w:eastAsiaTheme="minorEastAsia" w:hAnsi="Verdana" w:cs="Arial"/>
          <w:spacing w:val="-1"/>
          <w:lang w:eastAsia="es-CO"/>
        </w:rPr>
        <w:t xml:space="preserve"> </w:t>
      </w:r>
      <w:r w:rsidRPr="00A7080B">
        <w:rPr>
          <w:rFonts w:ascii="Verdana" w:eastAsiaTheme="minorEastAsia" w:hAnsi="Verdana" w:cs="Arial"/>
          <w:lang w:eastAsia="es-CO"/>
        </w:rPr>
        <w:t>funciones.</w:t>
      </w:r>
      <w:r w:rsidRPr="00A7080B">
        <w:rPr>
          <w:rFonts w:ascii="Verdana" w:eastAsia="Calibri" w:hAnsi="Verdana" w:cs="Arial"/>
          <w:color w:val="000000" w:themeColor="text1"/>
          <w:lang w:val="es-ES" w:eastAsia="es-ES"/>
        </w:rPr>
        <w:t xml:space="preserve"> </w:t>
      </w:r>
      <w:r w:rsidRPr="00A7080B">
        <w:rPr>
          <w:rFonts w:ascii="Verdana" w:eastAsia="Calibri" w:hAnsi="Verdana" w:cs="Arial"/>
          <w:color w:val="000000" w:themeColor="text1"/>
          <w:szCs w:val="24"/>
          <w:lang w:val="es-ES_tradnl" w:eastAsia="es-ES_tradnl"/>
        </w:rPr>
        <w:tab/>
      </w:r>
    </w:p>
    <w:p w14:paraId="5C7565E2" w14:textId="77777777" w:rsidR="00313CC3" w:rsidRPr="00A7080B" w:rsidRDefault="00313CC3" w:rsidP="00313CC3">
      <w:pPr>
        <w:spacing w:after="0" w:line="276" w:lineRule="auto"/>
        <w:ind w:firstLine="709"/>
        <w:jc w:val="both"/>
        <w:rPr>
          <w:rFonts w:ascii="Verdana" w:eastAsia="Calibri" w:hAnsi="Verdana" w:cs="Arial"/>
          <w:color w:val="000000" w:themeColor="text1"/>
          <w:lang w:val="es-ES" w:eastAsia="es-ES"/>
        </w:rPr>
      </w:pPr>
      <w:r w:rsidRPr="00A7080B">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1ED2699E" w14:textId="77777777" w:rsidR="00313CC3" w:rsidRPr="00A7080B" w:rsidRDefault="00313CC3" w:rsidP="00313CC3">
      <w:pPr>
        <w:spacing w:after="0" w:line="276" w:lineRule="auto"/>
        <w:ind w:firstLine="709"/>
        <w:jc w:val="both"/>
        <w:rPr>
          <w:rFonts w:ascii="Verdana" w:eastAsia="Calibri" w:hAnsi="Verdana" w:cs="Arial"/>
          <w:color w:val="000000" w:themeColor="text1"/>
          <w:lang w:val="es-ES" w:eastAsia="es-ES"/>
        </w:rPr>
      </w:pPr>
    </w:p>
    <w:p w14:paraId="092A9610" w14:textId="77777777" w:rsidR="00313CC3" w:rsidRPr="00A7080B" w:rsidRDefault="00313CC3" w:rsidP="00313CC3">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A7080B">
        <w:rPr>
          <w:rFonts w:ascii="Verdana" w:eastAsia="Century Gothic" w:hAnsi="Verdana" w:cs="Century Gothic"/>
          <w:b/>
          <w:bCs/>
          <w:color w:val="000000" w:themeColor="text1"/>
          <w:lang w:val="es-ES"/>
        </w:rPr>
        <w:t>Problema planteado:</w:t>
      </w:r>
    </w:p>
    <w:p w14:paraId="41CB981D" w14:textId="77777777" w:rsidR="00313CC3" w:rsidRPr="00A7080B" w:rsidRDefault="00313CC3" w:rsidP="00313CC3">
      <w:pPr>
        <w:tabs>
          <w:tab w:val="left" w:pos="426"/>
        </w:tabs>
        <w:spacing w:after="0" w:line="276" w:lineRule="auto"/>
        <w:jc w:val="both"/>
        <w:rPr>
          <w:rFonts w:ascii="Verdana" w:eastAsia="Century Gothic" w:hAnsi="Verdana" w:cs="Century Gothic"/>
          <w:color w:val="000000" w:themeColor="text1"/>
          <w:lang w:val="es-ES"/>
        </w:rPr>
      </w:pPr>
    </w:p>
    <w:p w14:paraId="3A976222" w14:textId="77777777" w:rsidR="00313CC3" w:rsidRPr="00A7080B" w:rsidRDefault="00313CC3" w:rsidP="00313CC3">
      <w:pPr>
        <w:spacing w:after="0" w:line="276" w:lineRule="auto"/>
        <w:jc w:val="both"/>
        <w:rPr>
          <w:rFonts w:ascii="Verdana" w:hAnsi="Verdana"/>
          <w:i/>
          <w:iCs/>
          <w:lang w:val="es-ES"/>
        </w:rPr>
      </w:pPr>
      <w:r w:rsidRPr="00A7080B">
        <w:rPr>
          <w:rFonts w:ascii="Verdana" w:eastAsia="Century Gothic" w:hAnsi="Verdana" w:cs="Century Gothic"/>
          <w:color w:val="000000" w:themeColor="text1"/>
        </w:rPr>
        <w:t>De acuerdo con el contenido de su solicitud, esta Agencia resolverá el siguiente problema jurídico: ¿puede requerirse como requisito habilitante contar con una oficina, sucursal o dependencia</w:t>
      </w:r>
      <w:r w:rsidRPr="00A7080B">
        <w:rPr>
          <w:rFonts w:ascii="Verdana" w:hAnsi="Verdana"/>
        </w:rPr>
        <w:t xml:space="preserve"> en determinada ubicación geográfica,</w:t>
      </w:r>
      <w:r w:rsidRPr="00A7080B">
        <w:rPr>
          <w:rFonts w:ascii="Verdana" w:eastAsia="Century Gothic" w:hAnsi="Verdana" w:cs="Century Gothic"/>
          <w:color w:val="000000" w:themeColor="text1"/>
        </w:rPr>
        <w:t xml:space="preserve"> en el marco de un proceso para contratar los seguros de la entidad estatal? </w:t>
      </w:r>
    </w:p>
    <w:p w14:paraId="5C9C84C5" w14:textId="77777777" w:rsidR="00313CC3" w:rsidRPr="00A7080B" w:rsidRDefault="00313CC3" w:rsidP="00313CC3">
      <w:pPr>
        <w:spacing w:after="0" w:line="276" w:lineRule="auto"/>
        <w:jc w:val="both"/>
        <w:rPr>
          <w:rFonts w:ascii="Verdana" w:eastAsia="Calibri" w:hAnsi="Verdana" w:cs="Arial"/>
          <w:color w:val="000000" w:themeColor="text1"/>
          <w:lang w:val="es-ES"/>
        </w:rPr>
      </w:pPr>
    </w:p>
    <w:p w14:paraId="7B9E7246" w14:textId="77777777" w:rsidR="00313CC3" w:rsidRPr="00A7080B" w:rsidRDefault="00313CC3" w:rsidP="00313CC3">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A7080B">
        <w:rPr>
          <w:rFonts w:ascii="Verdana" w:eastAsia="Century Gothic" w:hAnsi="Verdana" w:cs="Century Gothic"/>
          <w:b/>
          <w:bCs/>
          <w:color w:val="000000" w:themeColor="text1"/>
          <w:lang w:val="es-ES"/>
        </w:rPr>
        <w:t>Respuesta:</w:t>
      </w:r>
    </w:p>
    <w:p w14:paraId="0892D92D" w14:textId="77777777" w:rsidR="00313CC3" w:rsidRPr="00A7080B" w:rsidRDefault="00313CC3" w:rsidP="00313CC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13CC3" w:rsidRPr="00A7080B" w14:paraId="13B0EF12" w14:textId="77777777" w:rsidTr="009C26D1">
        <w:tc>
          <w:tcPr>
            <w:tcW w:w="8828" w:type="dxa"/>
          </w:tcPr>
          <w:p w14:paraId="04A23CA3" w14:textId="77777777" w:rsidR="00313CC3" w:rsidRPr="00A7080B" w:rsidRDefault="00313CC3" w:rsidP="009C26D1">
            <w:pPr>
              <w:spacing w:before="120" w:after="120" w:line="276" w:lineRule="auto"/>
              <w:contextualSpacing/>
              <w:jc w:val="both"/>
              <w:rPr>
                <w:rFonts w:ascii="Verdana" w:hAnsi="Verdana" w:cs="Arial"/>
                <w:bCs/>
                <w:lang w:val="es-ES" w:eastAsia="es-ES" w:bidi="es-ES"/>
              </w:rPr>
            </w:pPr>
            <w:r w:rsidRPr="00A7080B">
              <w:rPr>
                <w:rFonts w:ascii="Verdana" w:hAnsi="Verdana" w:cs="Arial"/>
                <w:bCs/>
                <w:lang w:val="es-ES" w:eastAsia="es-ES" w:bidi="es-ES"/>
              </w:rPr>
              <w:t xml:space="preserve">Los factores de escogencia y calificación que establezcan las Entidades en los pliegos de condiciones o sus documentos equivalentes deberán tener en cuenta el deber de selección objetiva. En especial, señala la Ley que los criterios habilitantes que determine la Entidad deberán ser </w:t>
            </w:r>
            <w:r w:rsidRPr="00A7080B">
              <w:rPr>
                <w:rFonts w:ascii="Verdana" w:hAnsi="Verdana" w:cs="Arial"/>
                <w:bCs/>
                <w:i/>
                <w:iCs/>
                <w:lang w:val="es-ES" w:eastAsia="es-ES" w:bidi="es-ES"/>
              </w:rPr>
              <w:t>adecuados y proporcionales</w:t>
            </w:r>
            <w:r w:rsidRPr="00A7080B">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5EFCEFE9" w14:textId="77777777" w:rsidR="00313CC3" w:rsidRPr="00A7080B" w:rsidRDefault="00313CC3" w:rsidP="009C26D1">
            <w:pPr>
              <w:tabs>
                <w:tab w:val="left" w:pos="426"/>
              </w:tabs>
              <w:spacing w:before="120" w:after="120" w:line="276" w:lineRule="auto"/>
              <w:ind w:firstLine="709"/>
              <w:contextualSpacing/>
              <w:jc w:val="both"/>
              <w:rPr>
                <w:rFonts w:ascii="Verdana" w:eastAsia="Times New Roman" w:hAnsi="Verdana" w:cs="Arial"/>
                <w:lang w:val="es-ES" w:eastAsia="es-MX"/>
              </w:rPr>
            </w:pPr>
            <w:r w:rsidRPr="00A7080B">
              <w:rPr>
                <w:rFonts w:ascii="Verdana" w:eastAsia="Times New Roman" w:hAnsi="Verdana" w:cs="Arial"/>
                <w:lang w:val="es-ES" w:eastAsia="es-MX"/>
              </w:rPr>
              <w:t>En este sentido, si bien las Entidades Estatales son autónomas para definir los requisitos habilitantes,</w:t>
            </w:r>
            <w:r w:rsidRPr="00A7080B">
              <w:rPr>
                <w:rFonts w:ascii="Verdana" w:eastAsia="Times New Roman" w:hAnsi="Verdana" w:cs="Arial"/>
                <w:i/>
                <w:iCs/>
                <w:lang w:val="es-ES" w:eastAsia="es-MX"/>
              </w:rPr>
              <w:t xml:space="preserve"> tal facultad no puede ejercerse de forma arbitraria</w:t>
            </w:r>
            <w:r w:rsidRPr="00A7080B">
              <w:rPr>
                <w:rFonts w:ascii="Verdana" w:eastAsia="Times New Roman" w:hAnsi="Verdana" w:cs="Arial"/>
                <w:lang w:val="es-ES" w:eastAsia="es-MX"/>
              </w:rPr>
              <w:t xml:space="preserve">, </w:t>
            </w:r>
            <w:r w:rsidRPr="00A7080B">
              <w:rPr>
                <w:rFonts w:ascii="Verdana" w:eastAsia="Times New Roman" w:hAnsi="Verdana" w:cs="Arial"/>
                <w:i/>
                <w:iCs/>
                <w:lang w:val="es-ES" w:eastAsia="es-MX"/>
              </w:rPr>
              <w:t>caprichosa y, mucho menos, con el ánimo de direccionar el proceso de contratación o favorecer a alguno de los proponentes.</w:t>
            </w:r>
            <w:r w:rsidRPr="00A7080B">
              <w:rPr>
                <w:rFonts w:ascii="Verdana" w:eastAsia="Times New Roman" w:hAnsi="Verdana" w:cs="Arial"/>
                <w:lang w:val="es-ES" w:eastAsia="es-MX"/>
              </w:rPr>
              <w:t xml:space="preserve"> Dicha autonomía debe ser ejercida procurando diseñar condiciones habilitantes de manera </w:t>
            </w:r>
            <w:r w:rsidRPr="00A7080B">
              <w:rPr>
                <w:rFonts w:ascii="Verdana" w:eastAsia="Times New Roman" w:hAnsi="Verdana" w:cs="Arial"/>
                <w:lang w:val="es-ES" w:eastAsia="es-MX"/>
              </w:rPr>
              <w:lastRenderedPageBreak/>
              <w:t xml:space="preserve">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a contratar, procurando además ceñirse a la normativa que resulte aplicable. </w:t>
            </w:r>
          </w:p>
          <w:p w14:paraId="288CAE6A" w14:textId="77777777" w:rsidR="00313CC3" w:rsidRPr="00A7080B" w:rsidRDefault="00313CC3" w:rsidP="009C26D1">
            <w:pPr>
              <w:spacing w:after="120" w:line="276" w:lineRule="auto"/>
              <w:ind w:firstLine="708"/>
              <w:contextualSpacing/>
              <w:jc w:val="both"/>
              <w:rPr>
                <w:rFonts w:ascii="Verdana" w:hAnsi="Verdana"/>
                <w:lang w:val="es-ES"/>
              </w:rPr>
            </w:pPr>
            <w:r w:rsidRPr="00A7080B">
              <w:rPr>
                <w:rFonts w:ascii="Verdana" w:eastAsia="Times New Roman" w:hAnsi="Verdana" w:cs="Arial"/>
                <w:lang w:val="es-ES" w:eastAsia="es-MX"/>
              </w:rPr>
              <w:t>Particularmente, frente al proceso contractual que tiene por objeto la contratación del esquema de seguros de la entidad estatal, se precisa que</w:t>
            </w:r>
            <w:r w:rsidRPr="00A7080B">
              <w:rPr>
                <w:rFonts w:ascii="Verdana" w:hAnsi="Verdana"/>
                <w:lang w:val="es-ES"/>
              </w:rPr>
              <w:t xml:space="preserve"> los requisitos habilitantes de la capacidad jurídica, las condiciones de experiencia, la capacidad financiera y de organización y demás requisitos mínimos se deberán determinar teniendo en cuenta las condiciones particulares que establezca las normas especiales sobre el sector financiero, asegurador y del mercado de valores. De esta forma, por ejemplo, solo podrán participar en estos procesos los tipos de sociedades señalas en el artículo 36 de la Ley 45 de 1990 que deben contar con el certificado de autorización expedido por la autoridad competente. Además, los artículos 2</w:t>
            </w:r>
            <w:r w:rsidRPr="00A7080B">
              <w:rPr>
                <w:rFonts w:ascii="Verdana" w:hAnsi="Verdana"/>
                <w:bCs/>
                <w:lang w:val="es-ES"/>
              </w:rPr>
              <w:t>.31.1.2.1</w:t>
            </w:r>
            <w:r w:rsidRPr="00A7080B">
              <w:rPr>
                <w:rFonts w:ascii="Verdana" w:hAnsi="Verdana"/>
                <w:lang w:val="es-ES"/>
              </w:rPr>
              <w:t>. y 2.31.1.2.5. del Decreto 2555 de 2010, modificado por el Decreto 2954 de 2010,</w:t>
            </w:r>
            <w:r w:rsidRPr="00A7080B">
              <w:rPr>
                <w:rFonts w:ascii="Verdana" w:hAnsi="Verdana"/>
                <w:b/>
                <w:bCs/>
                <w:lang w:val="es-ES"/>
              </w:rPr>
              <w:t xml:space="preserve"> </w:t>
            </w:r>
            <w:r w:rsidRPr="00A7080B">
              <w:rPr>
                <w:rFonts w:ascii="Verdana" w:hAnsi="Verdana"/>
                <w:lang w:val="es-ES"/>
              </w:rPr>
              <w:t>establecen que las entidades aseguradoras deben mantener permanentemente y acreditar ante la Superintendencia Financiera de Colombia en la forma y plazos que esta determine, un patrimonio técnico equivalente como mínimo al nivel de patrimonio adecuado</w:t>
            </w:r>
            <w:r w:rsidRPr="00A7080B">
              <w:rPr>
                <w:rFonts w:ascii="Verdana" w:eastAsia="Calibri" w:hAnsi="Verdana" w:cs="Arial"/>
                <w:color w:val="000000"/>
                <w:lang w:val="es-ES" w:eastAsia="es-ES_tradnl"/>
              </w:rPr>
              <w:t xml:space="preserve">. </w:t>
            </w:r>
          </w:p>
          <w:p w14:paraId="380BDA25" w14:textId="77777777" w:rsidR="00313CC3" w:rsidRPr="00A7080B" w:rsidRDefault="00313CC3" w:rsidP="009C26D1">
            <w:pPr>
              <w:spacing w:after="120" w:line="276" w:lineRule="auto"/>
              <w:ind w:firstLine="708"/>
              <w:contextualSpacing/>
              <w:jc w:val="both"/>
              <w:rPr>
                <w:rFonts w:ascii="Verdana" w:hAnsi="Verdana"/>
                <w:lang w:val="es-ES"/>
              </w:rPr>
            </w:pPr>
            <w:r w:rsidRPr="00A7080B">
              <w:rPr>
                <w:rFonts w:ascii="Verdana" w:eastAsia="Calibri" w:hAnsi="Verdana"/>
                <w:color w:val="000000" w:themeColor="text1"/>
                <w:lang w:val="es-ES"/>
              </w:rPr>
              <w:t xml:space="preserve">Sin embargo, </w:t>
            </w:r>
            <w:r w:rsidRPr="00A7080B">
              <w:rPr>
                <w:rFonts w:ascii="Verdana" w:hAnsi="Verdana"/>
                <w:lang w:val="es-ES"/>
              </w:rPr>
              <w:t xml:space="preserve">la exigencia de que los proponentes cuenten con una sucursal, oficina o dependencia en determinada ubicación geográfica, en principio, no se evidencia como un requisito para la prestación del servicio que se derive de las normas señaladas, sin perjuicio del análisis particular que debe realizar la entidad para efectos de establecer las condiciones mínimas en estos procesos. </w:t>
            </w:r>
          </w:p>
          <w:p w14:paraId="39BC9BC7" w14:textId="77777777" w:rsidR="00313CC3" w:rsidRPr="00A7080B" w:rsidRDefault="00313CC3" w:rsidP="009C26D1">
            <w:pPr>
              <w:spacing w:after="120" w:line="276" w:lineRule="auto"/>
              <w:ind w:firstLine="708"/>
              <w:contextualSpacing/>
              <w:jc w:val="both"/>
              <w:rPr>
                <w:rFonts w:ascii="Verdana" w:hAnsi="Verdana"/>
              </w:rPr>
            </w:pPr>
            <w:r w:rsidRPr="00A7080B">
              <w:rPr>
                <w:rFonts w:ascii="Verdana" w:hAnsi="Verdana"/>
                <w:lang w:val="es-ES"/>
              </w:rPr>
              <w:t xml:space="preserve">En consecuencia, aunque no lo es lo recomendable, si la entidad decide, en el ejercicio de su autonomía y discrecionalidad, exigirlo como un requisito habilitante en los procesos de contratación que tengan por objeto adquirir los seguros de la entidad,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de seguros. Así, resulta indispensable que se demuestre que la presencia de una oficina o dependencia física del contratista es determinante para la correcta atención de siniestros y </w:t>
            </w:r>
            <w:r w:rsidRPr="00A7080B">
              <w:rPr>
                <w:rFonts w:ascii="Verdana" w:hAnsi="Verdana"/>
                <w:lang w:val="es-ES"/>
              </w:rPr>
              <w:lastRenderedPageBreak/>
              <w:t xml:space="preserve">el cumplimiento de condiciones técnicas, sin que ello implique convertirse en una barrera de acceso que limita injustificadamente la participación de oferente. </w:t>
            </w:r>
          </w:p>
        </w:tc>
      </w:tr>
    </w:tbl>
    <w:p w14:paraId="05D04DD9" w14:textId="77777777" w:rsidR="00313CC3" w:rsidRPr="00A7080B" w:rsidRDefault="00313CC3" w:rsidP="00313CC3">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23473C2D" w14:textId="77777777" w:rsidR="00313CC3" w:rsidRPr="00A7080B" w:rsidRDefault="00313CC3" w:rsidP="00313CC3">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A7080B">
        <w:rPr>
          <w:rFonts w:ascii="Verdana" w:eastAsia="Century Gothic" w:hAnsi="Verdana" w:cs="Century Gothic"/>
          <w:b/>
          <w:bCs/>
          <w:color w:val="000000" w:themeColor="text1"/>
          <w:lang w:val="es-ES"/>
        </w:rPr>
        <w:t>Razones de la respuesta:</w:t>
      </w:r>
    </w:p>
    <w:p w14:paraId="7EDC429E" w14:textId="77777777" w:rsidR="00313CC3" w:rsidRPr="00A7080B" w:rsidRDefault="00313CC3" w:rsidP="00313CC3">
      <w:pPr>
        <w:spacing w:after="0" w:line="276" w:lineRule="auto"/>
        <w:jc w:val="both"/>
        <w:rPr>
          <w:rFonts w:ascii="Verdana" w:eastAsia="Calibri" w:hAnsi="Verdana" w:cs="Arial"/>
          <w:color w:val="000000" w:themeColor="text1"/>
          <w:lang w:val="es-ES"/>
        </w:rPr>
      </w:pPr>
    </w:p>
    <w:p w14:paraId="62F4910C" w14:textId="77777777" w:rsidR="00313CC3" w:rsidRPr="00A7080B" w:rsidRDefault="00313CC3" w:rsidP="00313CC3">
      <w:pPr>
        <w:spacing w:after="0" w:line="276" w:lineRule="auto"/>
        <w:jc w:val="both"/>
        <w:rPr>
          <w:rFonts w:ascii="Verdana" w:eastAsia="Calibri" w:hAnsi="Verdana" w:cs="Arial"/>
          <w:color w:val="000000" w:themeColor="text1"/>
          <w:lang w:val="es-ES"/>
        </w:rPr>
      </w:pPr>
      <w:r w:rsidRPr="00A7080B">
        <w:rPr>
          <w:rFonts w:ascii="Verdana" w:eastAsia="Calibri" w:hAnsi="Verdana" w:cs="Arial"/>
          <w:color w:val="000000" w:themeColor="text1"/>
          <w:lang w:val="es-ES"/>
        </w:rPr>
        <w:t xml:space="preserve">Lo anterior se sustenta en las siguientes consideraciones: </w:t>
      </w:r>
    </w:p>
    <w:p w14:paraId="5B6D57B1" w14:textId="77777777" w:rsidR="00313CC3" w:rsidRPr="00A7080B" w:rsidRDefault="00313CC3" w:rsidP="00313CC3">
      <w:pPr>
        <w:spacing w:after="0" w:line="276" w:lineRule="auto"/>
        <w:jc w:val="both"/>
        <w:rPr>
          <w:rFonts w:ascii="Verdana" w:eastAsia="Calibri" w:hAnsi="Verdana" w:cs="Arial"/>
          <w:color w:val="000000" w:themeColor="text1"/>
          <w:lang w:val="es-ES"/>
        </w:rPr>
      </w:pPr>
    </w:p>
    <w:p w14:paraId="0CCA1571" w14:textId="77777777" w:rsidR="00313CC3" w:rsidRPr="00A7080B" w:rsidRDefault="00313CC3" w:rsidP="00313CC3">
      <w:pPr>
        <w:spacing w:after="120" w:line="276" w:lineRule="auto"/>
        <w:jc w:val="both"/>
        <w:rPr>
          <w:rFonts w:ascii="Verdana" w:hAnsi="Verdana" w:cs="Arial"/>
          <w:bCs/>
          <w:lang w:val="es-ES_tradnl" w:eastAsia="es-ES" w:bidi="es-ES"/>
        </w:rPr>
      </w:pPr>
      <w:r w:rsidRPr="00A7080B">
        <w:rPr>
          <w:rFonts w:ascii="Verdana" w:hAnsi="Verdana" w:cs="Arial"/>
          <w:bCs/>
          <w:lang w:val="es-ES_tradnl" w:eastAsia="es-ES" w:bidi="es-ES"/>
        </w:rPr>
        <w:t xml:space="preserve">i) Los </w:t>
      </w:r>
      <w:r w:rsidRPr="00A7080B">
        <w:rPr>
          <w:rFonts w:ascii="Verdana" w:hAnsi="Verdana" w:cs="Arial"/>
          <w:bCs/>
          <w:i/>
          <w:iCs/>
          <w:lang w:val="es-ES_tradnl" w:eastAsia="es-ES" w:bidi="es-ES"/>
        </w:rPr>
        <w:t>requisitos habilitantes</w:t>
      </w:r>
      <w:r w:rsidRPr="00A7080B">
        <w:rPr>
          <w:rFonts w:ascii="Verdana" w:hAnsi="Verdana" w:cs="Arial"/>
          <w:bCs/>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A7080B">
        <w:rPr>
          <w:rFonts w:ascii="Verdana" w:hAnsi="Verdana" w:cs="Arial"/>
          <w:bCs/>
          <w:i/>
          <w:iCs/>
          <w:lang w:val="es-ES_tradnl" w:eastAsia="es-ES" w:bidi="es-ES"/>
        </w:rPr>
        <w:t>criterios de evaluación</w:t>
      </w:r>
      <w:r w:rsidRPr="00A7080B">
        <w:rPr>
          <w:rFonts w:ascii="Verdana" w:hAnsi="Verdana" w:cs="Arial"/>
          <w:bCs/>
          <w:lang w:val="es-ES_tradnl" w:eastAsia="es-ES" w:bidi="es-ES"/>
        </w:rPr>
        <w:t xml:space="preserve"> –también conocidos como </w:t>
      </w:r>
      <w:r w:rsidRPr="00A7080B">
        <w:rPr>
          <w:rFonts w:ascii="Verdana" w:hAnsi="Verdana" w:cs="Arial"/>
          <w:bCs/>
          <w:i/>
          <w:iCs/>
          <w:lang w:val="es-ES_tradnl" w:eastAsia="es-ES" w:bidi="es-ES"/>
        </w:rPr>
        <w:t>criterios de calificación</w:t>
      </w:r>
      <w:r w:rsidRPr="00A7080B">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3FA5585B" w14:textId="77777777" w:rsidR="00313CC3" w:rsidRPr="00A7080B" w:rsidRDefault="00313CC3" w:rsidP="00313CC3">
      <w:pPr>
        <w:spacing w:after="120" w:line="276" w:lineRule="auto"/>
        <w:ind w:firstLine="708"/>
        <w:jc w:val="both"/>
        <w:rPr>
          <w:rFonts w:ascii="Verdana" w:eastAsia="Calibri" w:hAnsi="Verdana" w:cs="Arial"/>
          <w:lang w:val="es-ES" w:eastAsia="es-MX"/>
        </w:rPr>
      </w:pPr>
      <w:bookmarkStart w:id="1" w:name="_Hlk191626670"/>
      <w:r w:rsidRPr="00A7080B">
        <w:rPr>
          <w:rFonts w:ascii="Verdana" w:eastAsia="Calibri" w:hAnsi="Verdana" w:cs="Arial"/>
          <w:lang w:val="es-ES" w:eastAsia="es-MX"/>
        </w:rPr>
        <w:t xml:space="preserve">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w:t>
      </w:r>
      <w:bookmarkEnd w:id="1"/>
      <w:r w:rsidRPr="00A7080B">
        <w:rPr>
          <w:rFonts w:ascii="Verdana" w:eastAsia="Calibri" w:hAnsi="Verdana" w:cs="Arial"/>
          <w:lang w:val="es-ES" w:eastAsia="es-MX"/>
        </w:rPr>
        <w:t xml:space="preserve">Esto, sin perjuicio del derecho que tienen los oferentes de subsanar los defectos que se presenten en la prueba de tales requisitos, de conformidad con el </w:t>
      </w:r>
      <w:bookmarkStart w:id="2" w:name="_Hlk191626971"/>
      <w:r w:rsidRPr="00A7080B">
        <w:rPr>
          <w:rFonts w:ascii="Verdana" w:eastAsia="Calibri" w:hAnsi="Verdana" w:cs="Arial"/>
          <w:lang w:val="es-ES" w:eastAsia="es-MX"/>
        </w:rPr>
        <w:t>artículo 5, parágrafos 1º al 4º, de la Ley 1150 de 2007</w:t>
      </w:r>
      <w:bookmarkEnd w:id="2"/>
      <w:r w:rsidRPr="00A7080B">
        <w:rPr>
          <w:rFonts w:ascii="Verdana" w:eastAsia="Calibri" w:hAnsi="Verdana" w:cs="Arial"/>
          <w:lang w:val="es-ES" w:eastAsia="es-MX"/>
        </w:rPr>
        <w:t>.</w:t>
      </w:r>
    </w:p>
    <w:p w14:paraId="453B7FC3" w14:textId="77777777" w:rsidR="00313CC3" w:rsidRPr="00A7080B" w:rsidRDefault="00313CC3" w:rsidP="00313CC3">
      <w:pPr>
        <w:spacing w:after="120" w:line="276" w:lineRule="auto"/>
        <w:ind w:firstLine="708"/>
        <w:jc w:val="both"/>
        <w:rPr>
          <w:rFonts w:ascii="Verdana" w:hAnsi="Verdana" w:cs="Arial"/>
          <w:color w:val="000000" w:themeColor="text1"/>
          <w:lang w:val="es-ES_tradnl"/>
        </w:rPr>
      </w:pPr>
      <w:r w:rsidRPr="00A7080B">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A7080B">
        <w:rPr>
          <w:rFonts w:ascii="Verdana" w:hAnsi="Verdana" w:cs="Arial"/>
          <w:i/>
          <w:iCs/>
          <w:color w:val="000000" w:themeColor="text1"/>
          <w:lang w:val="es-ES_tradnl"/>
        </w:rPr>
        <w:t>.</w:t>
      </w:r>
      <w:r w:rsidRPr="00A7080B">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16A13A7A" w14:textId="77777777" w:rsidR="00313CC3" w:rsidRPr="00A7080B" w:rsidRDefault="00313CC3" w:rsidP="00313CC3">
      <w:pPr>
        <w:spacing w:after="0" w:line="276" w:lineRule="auto"/>
        <w:ind w:firstLine="708"/>
        <w:jc w:val="both"/>
        <w:rPr>
          <w:rFonts w:ascii="Verdana" w:hAnsi="Verdana" w:cs="Arial"/>
          <w:bCs/>
          <w:lang w:val="es-ES" w:eastAsia="es-ES" w:bidi="es-ES"/>
        </w:rPr>
      </w:pPr>
      <w:r w:rsidRPr="00A7080B">
        <w:rPr>
          <w:rFonts w:ascii="Verdana" w:hAnsi="Verdana" w:cs="Arial"/>
          <w:bCs/>
          <w:lang w:val="es-ES" w:eastAsia="es-ES" w:bidi="es-ES"/>
        </w:rPr>
        <w:t xml:space="preserve">Específicamente, el numeral 1º del artículo 5 de la Ley 1150 de 2007 establece que, en los procesos de selección de contratistas, serán objeto de verificación, como requisitos habilitantes, </w:t>
      </w:r>
      <w:r w:rsidRPr="00A7080B">
        <w:rPr>
          <w:rFonts w:ascii="Verdana" w:hAnsi="Verdana" w:cs="Arial"/>
          <w:bCs/>
          <w:i/>
          <w:iCs/>
          <w:lang w:val="es-ES" w:eastAsia="es-ES" w:bidi="es-ES"/>
        </w:rPr>
        <w:t>entre otros</w:t>
      </w:r>
      <w:r w:rsidRPr="00A7080B">
        <w:rPr>
          <w:rFonts w:ascii="Verdana" w:hAnsi="Verdana" w:cs="Arial"/>
          <w:bCs/>
          <w:lang w:val="es-ES" w:eastAsia="es-ES" w:bidi="es-ES"/>
        </w:rPr>
        <w:t xml:space="preserve">, los siguientes: (i) la </w:t>
      </w:r>
      <w:r w:rsidRPr="00A7080B">
        <w:rPr>
          <w:rFonts w:ascii="Verdana" w:hAnsi="Verdana" w:cs="Arial"/>
          <w:bCs/>
          <w:lang w:val="es-ES" w:eastAsia="es-ES" w:bidi="es-ES"/>
        </w:rPr>
        <w:lastRenderedPageBreak/>
        <w:t>capacidad jurídica; (</w:t>
      </w:r>
      <w:proofErr w:type="spellStart"/>
      <w:r w:rsidRPr="00A7080B">
        <w:rPr>
          <w:rFonts w:ascii="Verdana" w:hAnsi="Verdana" w:cs="Arial"/>
          <w:bCs/>
          <w:lang w:val="es-ES" w:eastAsia="es-ES" w:bidi="es-ES"/>
        </w:rPr>
        <w:t>ii</w:t>
      </w:r>
      <w:proofErr w:type="spellEnd"/>
      <w:r w:rsidRPr="00A7080B">
        <w:rPr>
          <w:rFonts w:ascii="Verdana" w:hAnsi="Verdana" w:cs="Arial"/>
          <w:bCs/>
          <w:lang w:val="es-ES" w:eastAsia="es-ES" w:bidi="es-ES"/>
        </w:rPr>
        <w:t>) la experiencia; (</w:t>
      </w:r>
      <w:proofErr w:type="spellStart"/>
      <w:r w:rsidRPr="00A7080B">
        <w:rPr>
          <w:rFonts w:ascii="Verdana" w:hAnsi="Verdana" w:cs="Arial"/>
          <w:bCs/>
          <w:lang w:val="es-ES" w:eastAsia="es-ES" w:bidi="es-ES"/>
        </w:rPr>
        <w:t>iii</w:t>
      </w:r>
      <w:proofErr w:type="spellEnd"/>
      <w:r w:rsidRPr="00A7080B">
        <w:rPr>
          <w:rFonts w:ascii="Verdana" w:hAnsi="Verdana" w:cs="Arial"/>
          <w:bCs/>
          <w:lang w:val="es-ES" w:eastAsia="es-ES" w:bidi="es-ES"/>
        </w:rPr>
        <w:t>) la capacidad financiera y (</w:t>
      </w:r>
      <w:proofErr w:type="spellStart"/>
      <w:r w:rsidRPr="00A7080B">
        <w:rPr>
          <w:rFonts w:ascii="Verdana" w:hAnsi="Verdana" w:cs="Arial"/>
          <w:bCs/>
          <w:lang w:val="es-ES" w:eastAsia="es-ES" w:bidi="es-ES"/>
        </w:rPr>
        <w:t>iv</w:t>
      </w:r>
      <w:proofErr w:type="spellEnd"/>
      <w:r w:rsidRPr="00A7080B">
        <w:rPr>
          <w:rFonts w:ascii="Verdana" w:hAnsi="Verdana" w:cs="Arial"/>
          <w:bCs/>
          <w:lang w:val="es-ES" w:eastAsia="es-ES" w:bidi="es-ES"/>
        </w:rPr>
        <w:t>) la capacidad de organización. En efecto, la normativa citada prescribe:</w:t>
      </w:r>
    </w:p>
    <w:p w14:paraId="424D1D9B" w14:textId="77777777" w:rsidR="00313CC3" w:rsidRPr="00A7080B" w:rsidRDefault="00313CC3" w:rsidP="00313CC3">
      <w:pPr>
        <w:spacing w:after="0" w:line="276" w:lineRule="auto"/>
        <w:ind w:firstLine="708"/>
        <w:jc w:val="both"/>
        <w:rPr>
          <w:rFonts w:ascii="Verdana" w:hAnsi="Verdana" w:cs="Arial"/>
          <w:bCs/>
          <w:lang w:val="es-ES" w:eastAsia="es-ES" w:bidi="es-ES"/>
        </w:rPr>
      </w:pPr>
    </w:p>
    <w:p w14:paraId="2375A17F" w14:textId="77777777" w:rsidR="00313CC3" w:rsidRPr="00A7080B" w:rsidRDefault="00313CC3" w:rsidP="00313CC3">
      <w:pPr>
        <w:spacing w:after="0" w:line="240" w:lineRule="auto"/>
        <w:ind w:left="709" w:right="709"/>
        <w:jc w:val="both"/>
        <w:rPr>
          <w:rFonts w:ascii="Verdana" w:hAnsi="Verdana" w:cs="Arial"/>
          <w:sz w:val="20"/>
          <w:szCs w:val="20"/>
          <w:lang w:val="es-ES_tradnl" w:eastAsia="es-ES" w:bidi="es-ES"/>
        </w:rPr>
      </w:pPr>
      <w:r w:rsidRPr="00A7080B">
        <w:rPr>
          <w:rFonts w:ascii="Verdana" w:hAnsi="Verdana" w:cs="Arial"/>
          <w:i/>
          <w:sz w:val="20"/>
          <w:szCs w:val="20"/>
          <w:lang w:val="es-ES_tradnl" w:eastAsia="es-ES" w:bidi="es-ES"/>
        </w:rPr>
        <w:t>“</w:t>
      </w:r>
      <w:r w:rsidRPr="00A7080B">
        <w:rPr>
          <w:rFonts w:ascii="Verdana" w:hAnsi="Verdana" w:cs="Arial"/>
          <w:sz w:val="20"/>
          <w:szCs w:val="20"/>
          <w:lang w:val="es-ES_tradnl" w:eastAsia="es-ES" w:bidi="es-ES"/>
        </w:rPr>
        <w:t xml:space="preserve">Artículo 5. De la Selección Objetiva. </w:t>
      </w:r>
    </w:p>
    <w:p w14:paraId="72C144F9" w14:textId="77777777" w:rsidR="00313CC3" w:rsidRPr="00A7080B" w:rsidRDefault="00313CC3" w:rsidP="00313CC3">
      <w:pPr>
        <w:spacing w:after="0" w:line="240" w:lineRule="auto"/>
        <w:ind w:left="709" w:right="709"/>
        <w:jc w:val="both"/>
        <w:rPr>
          <w:rFonts w:ascii="Verdana" w:hAnsi="Verdana" w:cs="Arial"/>
          <w:sz w:val="20"/>
          <w:szCs w:val="20"/>
          <w:lang w:val="es-ES_tradnl" w:eastAsia="es-ES" w:bidi="es-ES"/>
        </w:rPr>
      </w:pPr>
      <w:r w:rsidRPr="00A7080B">
        <w:rPr>
          <w:rFonts w:ascii="Verdana" w:hAnsi="Verdana" w:cs="Arial"/>
          <w:sz w:val="20"/>
          <w:szCs w:val="20"/>
          <w:lang w:val="es-ES_tradnl" w:eastAsia="es-ES" w:bidi="es-ES"/>
        </w:rPr>
        <w:t>[…]</w:t>
      </w:r>
    </w:p>
    <w:p w14:paraId="7B7FFB5D" w14:textId="77777777" w:rsidR="00313CC3" w:rsidRPr="00A7080B" w:rsidRDefault="00313CC3" w:rsidP="00313CC3">
      <w:pPr>
        <w:spacing w:after="0" w:line="240" w:lineRule="auto"/>
        <w:ind w:left="709" w:right="709"/>
        <w:jc w:val="both"/>
        <w:rPr>
          <w:rFonts w:ascii="Verdana" w:hAnsi="Verdana" w:cs="Arial"/>
          <w:sz w:val="20"/>
          <w:szCs w:val="20"/>
          <w:lang w:val="es-ES" w:eastAsia="es-ES" w:bidi="es-ES"/>
        </w:rPr>
      </w:pPr>
      <w:r w:rsidRPr="00A7080B">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77DB292D" w14:textId="77777777" w:rsidR="00313CC3" w:rsidRPr="00A7080B" w:rsidRDefault="00313CC3" w:rsidP="00313CC3">
      <w:pPr>
        <w:spacing w:after="0" w:line="276" w:lineRule="auto"/>
        <w:ind w:right="709"/>
        <w:jc w:val="both"/>
        <w:rPr>
          <w:rFonts w:ascii="Verdana" w:hAnsi="Verdana" w:cs="Arial"/>
          <w:lang w:val="es-ES" w:eastAsia="es-ES" w:bidi="es-ES"/>
        </w:rPr>
      </w:pPr>
    </w:p>
    <w:p w14:paraId="2DC79012" w14:textId="77777777" w:rsidR="00313CC3" w:rsidRPr="00A7080B" w:rsidRDefault="00313CC3" w:rsidP="00313CC3">
      <w:pPr>
        <w:spacing w:after="120" w:line="276" w:lineRule="auto"/>
        <w:ind w:firstLine="708"/>
        <w:jc w:val="both"/>
        <w:rPr>
          <w:rFonts w:ascii="Verdana" w:eastAsia="Times New Roman" w:hAnsi="Verdana" w:cs="Arial"/>
          <w:highlight w:val="cyan"/>
          <w:lang w:val="es-ES_tradnl" w:eastAsia="es-MX"/>
        </w:rPr>
      </w:pPr>
      <w:bookmarkStart w:id="3" w:name="_Hlk99547809"/>
      <w:bookmarkStart w:id="4" w:name="_Hlk99546625"/>
      <w:r w:rsidRPr="00A7080B">
        <w:rPr>
          <w:rFonts w:ascii="Verdana" w:eastAsia="Times New Roman" w:hAnsi="Verdana" w:cs="Arial"/>
          <w:lang w:val="es-ES_tradnl" w:eastAsia="es-MX"/>
        </w:rPr>
        <w:t xml:space="preserve">La Agencia Nacional de Contratación Pública – Colombia Compra Eficiente ha defendido el carácter </w:t>
      </w:r>
      <w:bookmarkStart w:id="5" w:name="_Hlk99547799"/>
      <w:r w:rsidRPr="00A7080B">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3"/>
      <w:bookmarkEnd w:id="5"/>
      <w:r w:rsidRPr="00A7080B">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4"/>
      <w:r w:rsidRPr="00A7080B">
        <w:rPr>
          <w:rFonts w:ascii="Verdana" w:eastAsia="Times New Roman" w:hAnsi="Verdana" w:cs="Arial"/>
          <w:vertAlign w:val="superscript"/>
          <w:lang w:val="es-ES_tradnl" w:eastAsia="es-MX"/>
        </w:rPr>
        <w:footnoteReference w:id="2"/>
      </w:r>
      <w:r w:rsidRPr="00A7080B">
        <w:rPr>
          <w:rFonts w:ascii="Verdana" w:eastAsia="Times New Roman" w:hAnsi="Verdana" w:cs="Arial"/>
          <w:lang w:val="es-ES_tradnl" w:eastAsia="es-MX"/>
        </w:rPr>
        <w:t xml:space="preserve">. </w:t>
      </w:r>
    </w:p>
    <w:p w14:paraId="5BEECB98" w14:textId="77777777" w:rsidR="00313CC3" w:rsidRPr="00A7080B" w:rsidRDefault="00313CC3" w:rsidP="00313CC3">
      <w:pPr>
        <w:spacing w:after="120" w:line="276" w:lineRule="auto"/>
        <w:ind w:firstLine="708"/>
        <w:jc w:val="both"/>
        <w:rPr>
          <w:rFonts w:ascii="Verdana" w:hAnsi="Verdana" w:cs="Arial"/>
          <w:bCs/>
          <w:lang w:val="es-ES" w:eastAsia="es-ES" w:bidi="es-ES"/>
        </w:rPr>
      </w:pPr>
      <w:r w:rsidRPr="00A7080B">
        <w:rPr>
          <w:rFonts w:ascii="Verdana" w:eastAsia="Times New Roman" w:hAnsi="Verdana" w:cs="Arial"/>
          <w:lang w:val="es-ES" w:eastAsia="es-MX"/>
        </w:rPr>
        <w:t xml:space="preserve">Por otro lado, </w:t>
      </w:r>
      <w:r w:rsidRPr="00A7080B">
        <w:rPr>
          <w:rFonts w:ascii="Verdana" w:hAnsi="Verdana" w:cs="Arial"/>
          <w:bCs/>
          <w:lang w:val="es-ES" w:eastAsia="es-ES" w:bidi="es-ES"/>
        </w:rPr>
        <w:t xml:space="preserve">el artículo 5 de la Ley 1150 de 2007 dispone que se considera </w:t>
      </w:r>
      <w:r w:rsidRPr="00A7080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A7080B">
        <w:rPr>
          <w:rFonts w:ascii="Verdana" w:hAnsi="Verdana" w:cs="Arial"/>
          <w:bCs/>
          <w:lang w:val="es-ES" w:eastAsia="es-ES" w:bidi="es-ES"/>
        </w:rPr>
        <w:t xml:space="preserve"> En ese contexto, los factores de escogencia y calificación que establezcan las Entidades en los pliegos de condiciones o sus documentos </w:t>
      </w:r>
      <w:r w:rsidRPr="00A7080B">
        <w:rPr>
          <w:rFonts w:ascii="Verdana" w:hAnsi="Verdana" w:cs="Arial"/>
          <w:bCs/>
          <w:lang w:val="es-ES" w:eastAsia="es-ES" w:bidi="es-ES"/>
        </w:rPr>
        <w:lastRenderedPageBreak/>
        <w:t xml:space="preserve">equivalentes deberán tener en cuenta, entre otras cuestiones, el deber de selección objetiva, según los criterios establecidos en dicha disposición. </w:t>
      </w:r>
    </w:p>
    <w:p w14:paraId="730563E0" w14:textId="77777777" w:rsidR="00313CC3" w:rsidRPr="00A7080B" w:rsidRDefault="00313CC3" w:rsidP="00313CC3">
      <w:pPr>
        <w:spacing w:after="120" w:line="276" w:lineRule="auto"/>
        <w:ind w:firstLine="708"/>
        <w:jc w:val="both"/>
        <w:rPr>
          <w:rFonts w:ascii="Verdana" w:hAnsi="Verdana" w:cs="Arial"/>
          <w:bCs/>
          <w:lang w:val="es-ES" w:eastAsia="es-ES" w:bidi="es-ES"/>
        </w:rPr>
      </w:pPr>
      <w:r w:rsidRPr="00A7080B">
        <w:rPr>
          <w:rFonts w:ascii="Verdana" w:hAnsi="Verdana" w:cs="Arial"/>
          <w:bCs/>
          <w:lang w:val="es-ES" w:eastAsia="es-ES" w:bidi="es-ES"/>
        </w:rPr>
        <w:t xml:space="preserve">En especial, señala la Ley que los criterios habilitantes que determine la Entidad deberán ser </w:t>
      </w:r>
      <w:r w:rsidRPr="00A7080B">
        <w:rPr>
          <w:rFonts w:ascii="Verdana" w:hAnsi="Verdana" w:cs="Arial"/>
          <w:bCs/>
          <w:i/>
          <w:iCs/>
          <w:sz w:val="21"/>
          <w:szCs w:val="21"/>
          <w:lang w:val="es-ES" w:eastAsia="es-ES" w:bidi="es-ES"/>
        </w:rPr>
        <w:t>adecuados y proporcionales</w:t>
      </w:r>
      <w:r w:rsidRPr="00A7080B">
        <w:rPr>
          <w:rFonts w:ascii="Verdana" w:hAnsi="Verdana" w:cs="Arial"/>
          <w:bCs/>
          <w:sz w:val="21"/>
          <w:szCs w:val="21"/>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30D58A87" w14:textId="77777777" w:rsidR="00313CC3" w:rsidRPr="00A7080B" w:rsidRDefault="00313CC3" w:rsidP="00313CC3">
      <w:pPr>
        <w:spacing w:after="120" w:line="276" w:lineRule="auto"/>
        <w:ind w:firstLine="708"/>
        <w:jc w:val="both"/>
        <w:rPr>
          <w:rFonts w:ascii="Verdana" w:eastAsia="Times New Roman" w:hAnsi="Verdana" w:cs="Arial"/>
          <w:lang w:val="es-ES" w:eastAsia="es-MX"/>
        </w:rPr>
      </w:pPr>
      <w:r w:rsidRPr="00A7080B">
        <w:rPr>
          <w:rFonts w:ascii="Verdana" w:eastAsia="Times New Roman" w:hAnsi="Verdana" w:cs="Arial"/>
          <w:lang w:val="es-ES" w:eastAsia="es-MX"/>
        </w:rPr>
        <w:t xml:space="preserve">En línea con lo anterior, el </w:t>
      </w:r>
      <w:bookmarkStart w:id="6" w:name="_Hlk191627190"/>
      <w:r w:rsidRPr="00A7080B">
        <w:rPr>
          <w:rFonts w:ascii="Verdana" w:eastAsia="Times New Roman" w:hAnsi="Verdana" w:cs="Arial"/>
          <w:lang w:val="es-ES" w:eastAsia="es-MX"/>
        </w:rPr>
        <w:t>“Manual para determinar y verificar los requisitos habilitantes en los Procesos de Contratación</w:t>
      </w:r>
      <w:bookmarkEnd w:id="6"/>
      <w:r w:rsidRPr="00A7080B">
        <w:rPr>
          <w:rFonts w:ascii="Verdana" w:eastAsia="Times New Roman" w:hAnsi="Verdana" w:cs="Arial"/>
          <w:lang w:val="es-ES" w:eastAsia="es-MX"/>
        </w:rPr>
        <w:t>”</w:t>
      </w:r>
      <w:r w:rsidRPr="00A7080B">
        <w:rPr>
          <w:rFonts w:ascii="Verdana" w:eastAsia="Times New Roman" w:hAnsi="Verdana" w:cs="Arial"/>
          <w:vertAlign w:val="superscript"/>
          <w:lang w:val="es-ES" w:eastAsia="es-MX"/>
        </w:rPr>
        <w:footnoteReference w:id="3"/>
      </w:r>
      <w:r w:rsidRPr="00A7080B">
        <w:rPr>
          <w:rFonts w:ascii="Verdana" w:eastAsia="Calibri" w:hAnsi="Verdana" w:cs="Arial"/>
          <w:lang w:val="es-ES" w:eastAsia="es-MX"/>
        </w:rPr>
        <w:t>,</w:t>
      </w:r>
      <w:r w:rsidRPr="00A7080B">
        <w:rPr>
          <w:rFonts w:ascii="Verdana" w:eastAsia="Times New Roman" w:hAnsi="Verdana" w:cs="Arial"/>
          <w:lang w:val="es-ES" w:eastAsia="es-MX"/>
        </w:rPr>
        <w:t xml:space="preserve"> expedido por la </w:t>
      </w:r>
      <w:r w:rsidRPr="00A7080B">
        <w:rPr>
          <w:rFonts w:ascii="Verdana" w:eastAsia="Calibri" w:hAnsi="Verdana" w:cs="Arial"/>
          <w:lang w:val="es-ES" w:eastAsia="es-MX"/>
        </w:rPr>
        <w:t>Agencia Nacional de Contratación Pública – Colombia Compra Eficiente,</w:t>
      </w:r>
      <w:r w:rsidRPr="00A7080B">
        <w:rPr>
          <w:rFonts w:ascii="Verdana" w:eastAsia="Times New Roman" w:hAnsi="Verdana" w:cs="Arial"/>
          <w:lang w:val="es-ES" w:eastAsia="es-MX"/>
        </w:rPr>
        <w:t xml:space="preserve"> determinó los parámetros para establecer, acreditar y subsanar los requisitos habilitantes. Al respecto, precisa que estos tienen como fin primordial medir “</w:t>
      </w:r>
      <w:bookmarkStart w:id="7" w:name="_Hlk191627260"/>
      <w:r w:rsidRPr="00A7080B">
        <w:rPr>
          <w:rFonts w:ascii="Verdana" w:eastAsia="Times New Roman" w:hAnsi="Verdana" w:cs="Arial"/>
          <w:lang w:val="es-ES" w:eastAsia="es-MX"/>
        </w:rPr>
        <w:t xml:space="preserve">la aptitud del proponente para participar en un Proceso de Contratación como oferente y están referidos a su capacidad jurídica, financiera, organizacional y su experiencia”. </w:t>
      </w:r>
      <w:bookmarkEnd w:id="7"/>
      <w:r w:rsidRPr="00A7080B">
        <w:rPr>
          <w:rFonts w:ascii="Verdana" w:eastAsia="Times New Roman" w:hAnsi="Verdana" w:cs="Arial"/>
          <w:lang w:val="es-ES" w:eastAsia="es-MX"/>
        </w:rPr>
        <w:t xml:space="preserve">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0B302427" w14:textId="77777777" w:rsidR="00313CC3" w:rsidRPr="00A7080B" w:rsidRDefault="00313CC3" w:rsidP="00313CC3">
      <w:pPr>
        <w:spacing w:after="120" w:line="276" w:lineRule="auto"/>
        <w:ind w:firstLine="709"/>
        <w:jc w:val="both"/>
        <w:rPr>
          <w:rFonts w:ascii="Verdana" w:eastAsia="Times New Roman" w:hAnsi="Verdana" w:cs="Arial"/>
          <w:lang w:val="es-ES" w:eastAsia="es-MX"/>
        </w:rPr>
      </w:pPr>
      <w:r w:rsidRPr="00A7080B">
        <w:rPr>
          <w:rFonts w:ascii="Verdana" w:eastAsia="Times New Roman" w:hAnsi="Verdana" w:cs="Arial"/>
          <w:lang w:val="es-ES" w:eastAsia="es-MX"/>
        </w:rPr>
        <w:t xml:space="preserve">Así las cosas, al tratarse de condiciones mínimas, significa que </w:t>
      </w:r>
      <w:bookmarkStart w:id="8" w:name="_Hlk191627287"/>
      <w:r w:rsidRPr="00A7080B">
        <w:rPr>
          <w:rFonts w:ascii="Verdana" w:eastAsia="Times New Roman" w:hAnsi="Verdana" w:cs="Arial"/>
          <w:lang w:val="es-ES" w:eastAsia="es-MX"/>
        </w:rPr>
        <w:t xml:space="preserve">las Entidades podrían establecer otras, según su autonomía de la voluntad, y teniendo en cuenta el objeto del contrato, los riesgos detectados en los estudios previos, el presupuesto oficial, entre otros factores. Sin embargo, esto no implica que las Entidades puedan establecer cualquier tipo de requisitos, pues su exigencia debe en todo caso ser </w:t>
      </w:r>
      <w:r w:rsidRPr="00A7080B">
        <w:rPr>
          <w:rFonts w:ascii="Verdana" w:eastAsia="Times New Roman" w:hAnsi="Verdana" w:cs="Arial"/>
          <w:i/>
          <w:lang w:val="es-ES" w:eastAsia="es-MX"/>
        </w:rPr>
        <w:t>proporcional y adecuada</w:t>
      </w:r>
      <w:r w:rsidRPr="00A7080B">
        <w:rPr>
          <w:rFonts w:ascii="Verdana" w:eastAsia="Times New Roman" w:hAnsi="Verdana" w:cs="Arial"/>
          <w:lang w:val="es-ES" w:eastAsia="es-MX"/>
        </w:rPr>
        <w:t xml:space="preserve"> frente a la naturaleza y el valor del contrato.</w:t>
      </w:r>
    </w:p>
    <w:p w14:paraId="50E7AE1B" w14:textId="77777777" w:rsidR="00313CC3" w:rsidRPr="00A7080B" w:rsidRDefault="00313CC3" w:rsidP="00313CC3">
      <w:pPr>
        <w:tabs>
          <w:tab w:val="left" w:pos="426"/>
        </w:tabs>
        <w:spacing w:after="120" w:line="276" w:lineRule="auto"/>
        <w:ind w:firstLine="709"/>
        <w:jc w:val="both"/>
        <w:rPr>
          <w:rFonts w:ascii="Verdana" w:eastAsia="Times New Roman" w:hAnsi="Verdana" w:cs="Arial"/>
          <w:lang w:val="es-ES_tradnl" w:eastAsia="es-MX"/>
        </w:rPr>
      </w:pPr>
      <w:bookmarkStart w:id="9" w:name="_Hlk99548027"/>
      <w:bookmarkEnd w:id="8"/>
      <w:r w:rsidRPr="00A7080B">
        <w:rPr>
          <w:rFonts w:ascii="Verdana" w:eastAsia="Times New Roman" w:hAnsi="Verdana" w:cs="Arial"/>
          <w:lang w:val="es-ES_tradnl" w:eastAsia="es-MX"/>
        </w:rPr>
        <w:t xml:space="preserve">En ese sentido, </w:t>
      </w:r>
      <w:bookmarkStart w:id="10" w:name="_Hlk191627322"/>
      <w:r w:rsidRPr="00A7080B">
        <w:rPr>
          <w:rFonts w:ascii="Verdana" w:eastAsia="Times New Roman" w:hAnsi="Verdana" w:cs="Arial"/>
          <w:lang w:val="es-ES_tradnl" w:eastAsia="es-MX"/>
        </w:rPr>
        <w:t xml:space="preserve">si bien </w:t>
      </w:r>
      <w:r w:rsidRPr="00A7080B">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A7080B">
        <w:rPr>
          <w:rFonts w:ascii="Verdana" w:eastAsia="Times New Roman" w:hAnsi="Verdana" w:cs="Arial"/>
          <w:lang w:val="es-ES_tradnl" w:eastAsia="es-MX"/>
        </w:rPr>
        <w:t xml:space="preserve">En consecuencia, corresponde a las Entidades Estatales, durante la etapa de planeación del contrato estatal, estudiar y </w:t>
      </w:r>
      <w:r w:rsidRPr="00A7080B">
        <w:rPr>
          <w:rFonts w:ascii="Verdana" w:eastAsia="Times New Roman" w:hAnsi="Verdana" w:cs="Arial"/>
          <w:bCs/>
          <w:iCs/>
          <w:lang w:val="es-ES_tradnl" w:eastAsia="es-MX"/>
        </w:rPr>
        <w:t>determinar</w:t>
      </w:r>
      <w:r w:rsidRPr="00A7080B">
        <w:rPr>
          <w:rFonts w:ascii="Verdana" w:eastAsia="Times New Roman" w:hAnsi="Verdana" w:cs="Arial"/>
          <w:lang w:val="es-ES_tradnl" w:eastAsia="es-MX"/>
        </w:rPr>
        <w:t xml:space="preserve"> los requisitos habilitantes que establecerán en los pliegos de condiciones o documentos </w:t>
      </w:r>
      <w:r w:rsidRPr="00A7080B">
        <w:rPr>
          <w:rFonts w:ascii="Verdana" w:eastAsia="Times New Roman" w:hAnsi="Verdana" w:cs="Arial"/>
          <w:lang w:val="es-ES_tradnl" w:eastAsia="es-MX"/>
        </w:rPr>
        <w:lastRenderedPageBreak/>
        <w:t xml:space="preserve">equivalentes, </w:t>
      </w:r>
      <w:r w:rsidRPr="00A7080B">
        <w:rPr>
          <w:rFonts w:ascii="Verdana" w:eastAsia="Times New Roman" w:hAnsi="Verdana" w:cs="Arial"/>
          <w:i/>
          <w:iCs/>
          <w:lang w:val="es-ES_tradnl" w:eastAsia="es-MX"/>
        </w:rPr>
        <w:t>los cuales deben fijarse de forma adecuada y proporcional</w:t>
      </w:r>
      <w:r w:rsidRPr="00A7080B">
        <w:rPr>
          <w:rFonts w:ascii="Verdana" w:eastAsia="Times New Roman" w:hAnsi="Verdana" w:cs="Arial"/>
          <w:lang w:val="es-ES_tradnl" w:eastAsia="es-MX"/>
        </w:rPr>
        <w:t xml:space="preserve">. </w:t>
      </w:r>
      <w:bookmarkEnd w:id="9"/>
      <w:bookmarkEnd w:id="10"/>
      <w:r w:rsidRPr="00A7080B">
        <w:rPr>
          <w:rFonts w:ascii="Verdana" w:eastAsia="Times New Roman" w:hAnsi="Verdana" w:cs="Arial"/>
          <w:lang w:val="es-ES_tradnl" w:eastAsia="es-MX"/>
        </w:rPr>
        <w:t>Al respecto, en la Sentencia C-004 de 2017, la Corte Constitucional señaló que:</w:t>
      </w:r>
    </w:p>
    <w:p w14:paraId="630F15A7" w14:textId="77777777" w:rsidR="00313CC3" w:rsidRPr="00A7080B" w:rsidRDefault="00313CC3" w:rsidP="00313CC3">
      <w:pPr>
        <w:tabs>
          <w:tab w:val="left" w:pos="426"/>
        </w:tabs>
        <w:spacing w:after="0" w:line="276" w:lineRule="auto"/>
        <w:ind w:firstLine="709"/>
        <w:jc w:val="both"/>
        <w:rPr>
          <w:rFonts w:ascii="Verdana" w:eastAsia="Times New Roman" w:hAnsi="Verdana" w:cs="Arial"/>
          <w:lang w:val="es-ES_tradnl" w:eastAsia="es-MX"/>
        </w:rPr>
      </w:pPr>
    </w:p>
    <w:p w14:paraId="54BE8B52" w14:textId="77777777" w:rsidR="00313CC3" w:rsidRPr="00A7080B" w:rsidRDefault="00313CC3" w:rsidP="00313CC3">
      <w:pPr>
        <w:spacing w:after="0" w:line="240" w:lineRule="auto"/>
        <w:ind w:left="709" w:right="709"/>
        <w:jc w:val="both"/>
        <w:rPr>
          <w:rFonts w:ascii="Verdana" w:hAnsi="Verdana" w:cs="Arial"/>
          <w:sz w:val="20"/>
          <w:szCs w:val="20"/>
          <w:lang w:val="es-ES_tradnl" w:eastAsia="es-ES" w:bidi="es-ES"/>
        </w:rPr>
      </w:pPr>
      <w:r w:rsidRPr="00A7080B">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2CF3B8F5" w14:textId="77777777" w:rsidR="00313CC3" w:rsidRPr="00A7080B" w:rsidRDefault="00313CC3" w:rsidP="00313CC3">
      <w:pPr>
        <w:spacing w:after="0" w:line="276" w:lineRule="auto"/>
        <w:ind w:left="709" w:right="709"/>
        <w:jc w:val="both"/>
        <w:rPr>
          <w:rFonts w:ascii="Verdana" w:hAnsi="Verdana" w:cs="Arial"/>
          <w:bCs/>
          <w:lang w:val="es-ES_tradnl" w:eastAsia="es-ES" w:bidi="es-ES"/>
        </w:rPr>
      </w:pPr>
    </w:p>
    <w:p w14:paraId="1D0B65A0" w14:textId="77777777" w:rsidR="00313CC3" w:rsidRPr="00A7080B" w:rsidRDefault="00313CC3" w:rsidP="00313CC3">
      <w:pPr>
        <w:tabs>
          <w:tab w:val="left" w:pos="426"/>
        </w:tabs>
        <w:spacing w:after="120" w:line="276" w:lineRule="auto"/>
        <w:ind w:firstLine="709"/>
        <w:jc w:val="both"/>
        <w:rPr>
          <w:rFonts w:ascii="Verdana" w:eastAsia="Times New Roman" w:hAnsi="Verdana" w:cs="Arial"/>
          <w:lang w:val="es-ES_tradnl" w:eastAsia="es-MX"/>
        </w:rPr>
      </w:pPr>
      <w:r w:rsidRPr="00A7080B">
        <w:rPr>
          <w:rFonts w:ascii="Verdana" w:eastAsia="Times New Roman" w:hAnsi="Verdana" w:cs="Arial"/>
          <w:lang w:val="es-ES_tradnl" w:eastAsia="es-MX"/>
        </w:rPr>
        <w:t xml:space="preserve">El </w:t>
      </w:r>
      <w:bookmarkStart w:id="11" w:name="_Hlk191627359"/>
      <w:r w:rsidRPr="00A7080B">
        <w:rPr>
          <w:rFonts w:ascii="Verdana" w:eastAsia="Times New Roman" w:hAnsi="Verdana" w:cs="Arial"/>
          <w:lang w:val="es-ES_tradnl" w:eastAsia="es-MX"/>
        </w:rPr>
        <w:t xml:space="preserve">Decreto 1082 de 2015 en su artículo 2.2.1.1.1.6.2. </w:t>
      </w:r>
      <w:bookmarkEnd w:id="11"/>
      <w:r w:rsidRPr="00A7080B">
        <w:rPr>
          <w:rFonts w:ascii="Verdana" w:eastAsia="Times New Roman" w:hAnsi="Verdana" w:cs="Arial"/>
          <w:lang w:val="es-ES_tradnl" w:eastAsia="es-MX"/>
        </w:rPr>
        <w:t>reglamenta los requisitos habilitantes, estableciendo que estos deben ser señalados en los pliegos de condiciones o en la invitación</w:t>
      </w:r>
      <w:r w:rsidRPr="00A7080B">
        <w:rPr>
          <w:rFonts w:ascii="Verdana" w:eastAsia="Times New Roman" w:hAnsi="Verdana" w:cs="Arial"/>
          <w:vertAlign w:val="superscript"/>
          <w:lang w:val="es-ES_tradnl" w:eastAsia="es-MX"/>
        </w:rPr>
        <w:footnoteReference w:id="4"/>
      </w:r>
      <w:r w:rsidRPr="00A7080B">
        <w:rPr>
          <w:rFonts w:ascii="Verdana" w:eastAsia="Times New Roman" w:hAnsi="Verdana" w:cs="Arial"/>
          <w:lang w:val="es-ES_tradnl" w:eastAsia="es-MX"/>
        </w:rPr>
        <w:t xml:space="preserve">, lo cual es concordante con el </w:t>
      </w:r>
      <w:bookmarkStart w:id="12" w:name="_Hlk191627380"/>
      <w:r w:rsidRPr="00A7080B">
        <w:rPr>
          <w:rFonts w:ascii="Verdana" w:eastAsia="Times New Roman" w:hAnsi="Verdana" w:cs="Arial"/>
          <w:lang w:val="es-ES_tradnl" w:eastAsia="es-MX"/>
        </w:rPr>
        <w:t>numeral 5 del artículo 2.2.1.1.2.1.3</w:t>
      </w:r>
      <w:bookmarkEnd w:id="12"/>
      <w:r w:rsidRPr="00A7080B">
        <w:rPr>
          <w:rFonts w:ascii="Verdana" w:eastAsia="Times New Roman" w:hAnsi="Verdana" w:cs="Arial"/>
          <w:lang w:val="es-ES_tradnl" w:eastAsia="es-MX"/>
        </w:rPr>
        <w:t>, en el que se establece como uno de los componentes mínimos de los pliegos de condiciones</w:t>
      </w:r>
      <w:r w:rsidRPr="00A7080B">
        <w:rPr>
          <w:rFonts w:ascii="Verdana" w:hAnsi="Verdana" w:cs="Arial"/>
          <w:color w:val="000000"/>
        </w:rPr>
        <w:t xml:space="preserve"> a las reglas aplicables a la presentación y evaluación de las ofertas, entre las que se inscriben las relativas a la acreditación de las condiciones habilitantes. </w:t>
      </w:r>
      <w:r w:rsidRPr="00A7080B">
        <w:rPr>
          <w:rFonts w:ascii="Verdana" w:eastAsia="Times New Roman" w:hAnsi="Verdana" w:cs="Arial"/>
          <w:lang w:val="es-ES_tradnl" w:eastAsia="es-MX"/>
        </w:rPr>
        <w:t xml:space="preserve">Además, el artículo 2.2.1.1.1.6.2 establece que la determinación de los requisitos habilitantes debe ser realizada en función de criterios </w:t>
      </w:r>
      <w:r w:rsidRPr="00A7080B">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A7080B">
        <w:rPr>
          <w:rFonts w:ascii="Verdana" w:eastAsia="Times New Roman" w:hAnsi="Verdana" w:cs="Arial"/>
          <w:lang w:val="es-ES_tradnl" w:eastAsia="es-MX"/>
        </w:rPr>
        <w:t xml:space="preserve">. </w:t>
      </w:r>
    </w:p>
    <w:p w14:paraId="59465DB3" w14:textId="77777777" w:rsidR="00313CC3" w:rsidRPr="00A7080B" w:rsidRDefault="00313CC3" w:rsidP="00313CC3">
      <w:pPr>
        <w:tabs>
          <w:tab w:val="left" w:pos="426"/>
        </w:tabs>
        <w:spacing w:after="120" w:line="276" w:lineRule="auto"/>
        <w:ind w:firstLine="709"/>
        <w:jc w:val="both"/>
        <w:rPr>
          <w:rFonts w:ascii="Verdana" w:eastAsia="Times New Roman" w:hAnsi="Verdana" w:cs="Arial"/>
          <w:lang w:val="es-ES" w:eastAsia="es-MX"/>
        </w:rPr>
      </w:pPr>
      <w:r w:rsidRPr="00A7080B">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w:t>
      </w:r>
      <w:r w:rsidRPr="00A7080B">
        <w:rPr>
          <w:rFonts w:ascii="Verdana" w:eastAsia="Times New Roman" w:hAnsi="Verdana" w:cs="Arial"/>
          <w:lang w:val="es-ES" w:eastAsia="es-MX"/>
        </w:rPr>
        <w:lastRenderedPageBreak/>
        <w:t xml:space="preserve">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A7080B">
        <w:rPr>
          <w:rFonts w:ascii="Verdana" w:eastAsia="Times New Roman" w:hAnsi="Verdana" w:cs="Arial"/>
          <w:lang w:val="es-ES" w:eastAsia="es-MX"/>
        </w:rPr>
        <w:t>los mismos</w:t>
      </w:r>
      <w:proofErr w:type="gramEnd"/>
      <w:r w:rsidRPr="00A7080B">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A7080B">
        <w:rPr>
          <w:rFonts w:ascii="Verdana" w:eastAsia="Times New Roman" w:hAnsi="Verdana" w:cs="Arial"/>
          <w:vertAlign w:val="superscript"/>
          <w:lang w:val="es-ES" w:eastAsia="es-MX"/>
        </w:rPr>
        <w:footnoteReference w:id="5"/>
      </w:r>
      <w:r w:rsidRPr="00A7080B">
        <w:rPr>
          <w:rFonts w:ascii="Verdana" w:eastAsia="Times New Roman" w:hAnsi="Verdana" w:cs="Arial"/>
          <w:lang w:val="es-ES" w:eastAsia="es-MX"/>
        </w:rPr>
        <w:t xml:space="preserve">. </w:t>
      </w:r>
    </w:p>
    <w:p w14:paraId="7B858D2A" w14:textId="77777777" w:rsidR="00313CC3" w:rsidRPr="00A7080B" w:rsidRDefault="00313CC3" w:rsidP="00313CC3">
      <w:pPr>
        <w:tabs>
          <w:tab w:val="left" w:pos="426"/>
        </w:tabs>
        <w:spacing w:after="120" w:line="276" w:lineRule="auto"/>
        <w:ind w:firstLine="709"/>
        <w:jc w:val="both"/>
        <w:rPr>
          <w:rFonts w:ascii="Verdana" w:eastAsia="Times New Roman" w:hAnsi="Verdana" w:cs="Arial"/>
          <w:lang w:val="es-ES" w:eastAsia="es-MX"/>
        </w:rPr>
      </w:pPr>
      <w:r w:rsidRPr="00A7080B">
        <w:rPr>
          <w:rFonts w:ascii="Verdana" w:eastAsia="Times New Roman" w:hAnsi="Verdana" w:cs="Arial"/>
          <w:lang w:eastAsia="es-MX"/>
        </w:rPr>
        <w:t xml:space="preserve">Que deban ser </w:t>
      </w:r>
      <w:r w:rsidRPr="00A7080B">
        <w:rPr>
          <w:rFonts w:ascii="Verdana" w:eastAsia="Times New Roman" w:hAnsi="Verdana" w:cs="Arial"/>
          <w:i/>
          <w:iCs/>
          <w:lang w:eastAsia="es-MX"/>
        </w:rPr>
        <w:t>adecuados</w:t>
      </w:r>
      <w:r w:rsidRPr="00A7080B">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A7080B">
        <w:rPr>
          <w:rFonts w:ascii="Verdana" w:eastAsia="Times New Roman" w:hAnsi="Verdana" w:cs="Arial"/>
          <w:i/>
          <w:iCs/>
          <w:lang w:eastAsia="es-MX"/>
        </w:rPr>
        <w:t>proporcionales</w:t>
      </w:r>
      <w:r w:rsidRPr="00A7080B">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A7080B">
        <w:rPr>
          <w:rFonts w:ascii="Verdana" w:eastAsia="Times New Roman" w:hAnsi="Verdana" w:cs="Arial"/>
          <w:i/>
          <w:iCs/>
          <w:lang w:eastAsia="es-MX"/>
        </w:rPr>
        <w:t>no limiten la participación o la libre concurrencia</w:t>
      </w:r>
      <w:r w:rsidRPr="00A7080B">
        <w:rPr>
          <w:rFonts w:ascii="Verdana" w:eastAsia="Times New Roman" w:hAnsi="Verdana" w:cs="Arial"/>
          <w:lang w:eastAsia="es-MX"/>
        </w:rPr>
        <w:t xml:space="preserve"> en el proceso de selección significa que los requisitos establecidos no deben crear barreras injustificadas para el </w:t>
      </w:r>
      <w:r w:rsidRPr="00A7080B">
        <w:rPr>
          <w:rFonts w:ascii="Verdana" w:hAnsi="Verdana"/>
        </w:rPr>
        <w:t>acceso a la contratación pública de los oferentes</w:t>
      </w:r>
      <w:r w:rsidRPr="00A7080B">
        <w:rPr>
          <w:rFonts w:ascii="Verdana" w:eastAsia="Times New Roman" w:hAnsi="Verdana" w:cs="Arial"/>
          <w:lang w:val="es-ES" w:eastAsia="es-MX"/>
        </w:rPr>
        <w:t xml:space="preserve"> interesados, promoviendo una mayor competencia. </w:t>
      </w:r>
    </w:p>
    <w:p w14:paraId="4D858F19" w14:textId="77777777" w:rsidR="00313CC3" w:rsidRPr="00A7080B" w:rsidRDefault="00313CC3" w:rsidP="00313CC3">
      <w:pPr>
        <w:tabs>
          <w:tab w:val="left" w:pos="426"/>
        </w:tabs>
        <w:spacing w:after="120" w:line="276" w:lineRule="auto"/>
        <w:ind w:firstLine="709"/>
        <w:jc w:val="both"/>
        <w:rPr>
          <w:rFonts w:ascii="Verdana" w:eastAsia="Times New Roman" w:hAnsi="Verdana" w:cs="Arial"/>
          <w:lang w:val="es-ES" w:eastAsia="es-MX"/>
        </w:rPr>
      </w:pPr>
      <w:r w:rsidRPr="00A7080B">
        <w:rPr>
          <w:rFonts w:ascii="Verdana" w:eastAsia="Times New Roman" w:hAnsi="Verdana" w:cs="Arial"/>
          <w:lang w:val="es-ES" w:eastAsia="es-MX"/>
        </w:rPr>
        <w:t xml:space="preserve">En ese sentido, las Entidades Estatales tienen autonomía para estructurar los requisitos habilitantes en los procesos que adelantan, </w:t>
      </w:r>
      <w:r w:rsidRPr="00A7080B">
        <w:rPr>
          <w:rFonts w:ascii="Verdana" w:eastAsia="Times New Roman" w:hAnsi="Verdana" w:cs="Arial"/>
          <w:i/>
          <w:iCs/>
          <w:lang w:val="es-ES" w:eastAsia="es-MX"/>
        </w:rPr>
        <w:t>pero tal facultad no puede ejercerse de forma arbitraria, caprichosa y, mucho menos, con el ánimo de direccionar el proceso de contratación</w:t>
      </w:r>
      <w:r w:rsidRPr="00A7080B">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17CFA241" w14:textId="77777777" w:rsidR="00313CC3" w:rsidRPr="00A7080B" w:rsidRDefault="00313CC3" w:rsidP="00313CC3">
      <w:pPr>
        <w:spacing w:after="120" w:line="276" w:lineRule="auto"/>
        <w:jc w:val="both"/>
        <w:rPr>
          <w:rFonts w:ascii="Verdana" w:eastAsia="Calibri" w:hAnsi="Verdana"/>
          <w:color w:val="000000" w:themeColor="text1"/>
          <w:lang w:val="es-ES"/>
        </w:rPr>
      </w:pPr>
      <w:proofErr w:type="spellStart"/>
      <w:r w:rsidRPr="00A7080B">
        <w:rPr>
          <w:rFonts w:ascii="Verdana" w:hAnsi="Verdana" w:cs="Arial"/>
        </w:rPr>
        <w:t>ii</w:t>
      </w:r>
      <w:proofErr w:type="spellEnd"/>
      <w:r w:rsidRPr="00A7080B">
        <w:rPr>
          <w:rFonts w:ascii="Verdana" w:hAnsi="Verdana" w:cs="Arial"/>
        </w:rPr>
        <w:t xml:space="preserve">. </w:t>
      </w:r>
      <w:r w:rsidRPr="00A7080B">
        <w:rPr>
          <w:rFonts w:ascii="Verdana" w:eastAsia="Times New Roman" w:hAnsi="Verdana" w:cs="Arial"/>
          <w:color w:val="000000" w:themeColor="text1"/>
          <w:lang w:eastAsia="es-ES_tradnl"/>
        </w:rPr>
        <w:t xml:space="preserve">Las </w:t>
      </w:r>
      <w:r w:rsidRPr="00A7080B">
        <w:rPr>
          <w:rFonts w:ascii="Verdana" w:eastAsia="Calibri" w:hAnsi="Verdana" w:cs="Arial"/>
          <w:lang w:eastAsia="es-ES_tradnl"/>
        </w:rPr>
        <w:t xml:space="preserve">entidades estatales regidas por el EGCAP están habilitadas para celebrar los contratos que suelen celebrar los particulares entre sí – como el de seguro al que se refiere en su pregunta – en ejercicio de la autonomía de la voluntad privada. En ese sentido, puede ocurrir que dentro de la gestión ordinaria de sus competencias y funciones las entidades tengan necesidades que deban ser satisfechas a través de contratos como el seguro, en los que además de las </w:t>
      </w:r>
      <w:r w:rsidRPr="00A7080B">
        <w:rPr>
          <w:rFonts w:ascii="Verdana" w:eastAsia="Calibri" w:hAnsi="Verdana" w:cs="Arial"/>
          <w:lang w:eastAsia="es-ES_tradnl"/>
        </w:rPr>
        <w:lastRenderedPageBreak/>
        <w:t xml:space="preserve">disposiciones del EGCAP deberán aplicarse en su mayoría normas de derecho privado, lo que de ninguna manera desvirtúa la calidad de estatal de dichos contratos. </w:t>
      </w:r>
    </w:p>
    <w:p w14:paraId="139047DF" w14:textId="77777777" w:rsidR="00313CC3" w:rsidRPr="00A7080B" w:rsidRDefault="00313CC3" w:rsidP="00313CC3">
      <w:pPr>
        <w:spacing w:after="120" w:line="276" w:lineRule="auto"/>
        <w:ind w:firstLine="708"/>
        <w:jc w:val="both"/>
        <w:rPr>
          <w:rFonts w:ascii="Verdana" w:eastAsia="Calibri" w:hAnsi="Verdana"/>
          <w:color w:val="000000" w:themeColor="text1"/>
        </w:rPr>
      </w:pPr>
      <w:r w:rsidRPr="00A7080B">
        <w:rPr>
          <w:rFonts w:ascii="Verdana" w:eastAsia="Calibri" w:hAnsi="Verdana"/>
          <w:color w:val="000000" w:themeColor="text1"/>
          <w:lang w:val="es-ES"/>
        </w:rPr>
        <w:t>Teniendo en cuenta la relación entre el derecho público y el derecho privado en la contratación estatal, es necesario entender el contrato de seguro que está definido en el artículo 1036 del Código de Comercio: “</w:t>
      </w:r>
      <w:r w:rsidRPr="00A7080B">
        <w:rPr>
          <w:rFonts w:ascii="Verdana" w:eastAsia="Calibri" w:hAnsi="Verdana"/>
          <w:color w:val="000000" w:themeColor="text1"/>
        </w:rPr>
        <w:t xml:space="preserve">El seguro es un contrato consensual, bilateral, oneroso, aleatorio y de ejecución sucesiva”, cuyas partes son: i) el asegurador, esto es, la persona jurídica que asume los riesgos y que está autorizada para ello: </w:t>
      </w:r>
      <w:proofErr w:type="spellStart"/>
      <w:r w:rsidRPr="00A7080B">
        <w:rPr>
          <w:rFonts w:ascii="Verdana" w:eastAsia="Calibri" w:hAnsi="Verdana"/>
          <w:color w:val="000000" w:themeColor="text1"/>
        </w:rPr>
        <w:t>ii</w:t>
      </w:r>
      <w:proofErr w:type="spellEnd"/>
      <w:r w:rsidRPr="00A7080B">
        <w:rPr>
          <w:rFonts w:ascii="Verdana" w:eastAsia="Calibri" w:hAnsi="Verdana"/>
          <w:color w:val="000000" w:themeColor="text1"/>
        </w:rPr>
        <w:t>) el tomador, esto es, la persona que obrando por cuenta propia o ajena traslada los riesgos, de conformidad con el artículo 1037 del Código de Comercio</w:t>
      </w:r>
      <w:r w:rsidRPr="00A7080B">
        <w:rPr>
          <w:rFonts w:ascii="Verdana" w:eastAsia="Calibri" w:hAnsi="Verdana"/>
          <w:color w:val="000000" w:themeColor="text1"/>
          <w:vertAlign w:val="superscript"/>
        </w:rPr>
        <w:footnoteReference w:id="6"/>
      </w:r>
      <w:r w:rsidRPr="00A7080B">
        <w:rPr>
          <w:rFonts w:ascii="Verdana" w:eastAsia="Calibri" w:hAnsi="Verdana"/>
          <w:color w:val="000000" w:themeColor="text1"/>
        </w:rPr>
        <w:t xml:space="preserve">. </w:t>
      </w:r>
    </w:p>
    <w:p w14:paraId="2121E897" w14:textId="77777777" w:rsidR="00313CC3" w:rsidRPr="00A7080B" w:rsidRDefault="00313CC3" w:rsidP="00313CC3">
      <w:pPr>
        <w:spacing w:after="120" w:line="276" w:lineRule="auto"/>
        <w:ind w:firstLine="708"/>
        <w:jc w:val="both"/>
        <w:rPr>
          <w:rFonts w:ascii="Verdana" w:eastAsia="Calibri" w:hAnsi="Verdana"/>
          <w:color w:val="000000" w:themeColor="text1"/>
        </w:rPr>
      </w:pPr>
      <w:r w:rsidRPr="00A7080B">
        <w:rPr>
          <w:rFonts w:ascii="Verdana" w:eastAsia="Calibri" w:hAnsi="Verdana"/>
          <w:color w:val="000000" w:themeColor="text1"/>
        </w:rPr>
        <w:t xml:space="preserve">En este caso para que el contrato de seguro sea estatal implica que una de las partes sea una entidad pública. En torno al contrato de seguro que tiene la calidad de estatal, el Consejo de Estado ha expresado: </w:t>
      </w:r>
    </w:p>
    <w:p w14:paraId="2CE4B3A3" w14:textId="77777777" w:rsidR="00313CC3" w:rsidRPr="00A7080B" w:rsidRDefault="00313CC3" w:rsidP="00313CC3">
      <w:pPr>
        <w:spacing w:after="0" w:line="276" w:lineRule="auto"/>
        <w:ind w:firstLine="708"/>
        <w:jc w:val="both"/>
        <w:rPr>
          <w:rFonts w:ascii="Verdana" w:eastAsia="Calibri" w:hAnsi="Verdana"/>
          <w:color w:val="000000" w:themeColor="text1"/>
        </w:rPr>
      </w:pPr>
    </w:p>
    <w:p w14:paraId="5CCC3254" w14:textId="77777777" w:rsidR="00313CC3" w:rsidRPr="00A7080B" w:rsidRDefault="00313CC3" w:rsidP="00313CC3">
      <w:pPr>
        <w:spacing w:after="0" w:line="240" w:lineRule="auto"/>
        <w:ind w:left="709" w:right="709"/>
        <w:jc w:val="both"/>
        <w:rPr>
          <w:rFonts w:ascii="Verdana" w:eastAsia="Calibri" w:hAnsi="Verdana" w:cs="Arial"/>
          <w:color w:val="000000"/>
          <w:sz w:val="20"/>
          <w:szCs w:val="20"/>
          <w:lang w:eastAsia="es-ES_tradnl"/>
        </w:rPr>
      </w:pPr>
      <w:r w:rsidRPr="00A7080B">
        <w:rPr>
          <w:rFonts w:ascii="Verdana" w:eastAsia="Calibri" w:hAnsi="Verdana" w:cs="Arial"/>
          <w:color w:val="000000"/>
          <w:sz w:val="20"/>
          <w:szCs w:val="20"/>
          <w:lang w:val="es-ES" w:eastAsia="es-ES_tradnl"/>
        </w:rPr>
        <w:t xml:space="preserve">19. </w:t>
      </w:r>
      <w:r w:rsidRPr="00A7080B">
        <w:rPr>
          <w:rFonts w:ascii="Verdana" w:eastAsia="Calibri" w:hAnsi="Verdana" w:cs="Arial"/>
          <w:color w:val="000000"/>
          <w:sz w:val="20"/>
          <w:szCs w:val="20"/>
          <w:lang w:eastAsia="es-ES_tradnl"/>
        </w:rPr>
        <w:t xml:space="preserve">En relación con el contrato de seguro, se observa que se refieren al mismo (normas de la Ley 80 antes de la reforma de la Ley 1150 de 2007): El artículo 14, para establecer que en él se prescindirá de la utilización de las cláusulas o estipulaciones excepcionales; el literal c, </w:t>
      </w:r>
      <w:proofErr w:type="spellStart"/>
      <w:r w:rsidRPr="00A7080B">
        <w:rPr>
          <w:rFonts w:ascii="Verdana" w:eastAsia="Calibri" w:hAnsi="Verdana" w:cs="Arial"/>
          <w:color w:val="000000"/>
          <w:sz w:val="20"/>
          <w:szCs w:val="20"/>
          <w:lang w:eastAsia="es-ES_tradnl"/>
        </w:rPr>
        <w:t>num</w:t>
      </w:r>
      <w:proofErr w:type="spellEnd"/>
      <w:r w:rsidRPr="00A7080B">
        <w:rPr>
          <w:rFonts w:ascii="Verdana" w:eastAsia="Calibri" w:hAnsi="Verdana" w:cs="Arial"/>
          <w:color w:val="000000"/>
          <w:sz w:val="20"/>
          <w:szCs w:val="20"/>
          <w:lang w:eastAsia="es-ES_tradnl"/>
        </w:rPr>
        <w:t>. 1º del artículo 24, que dispone que no es necesaria la licitación pública en los contratos interadministrativos, salvo en los de seguro y el numeral 19 del artículo 25, de acuerdo con el cual, no son obligatorias las garantías en los contratos de seguro.</w:t>
      </w:r>
    </w:p>
    <w:p w14:paraId="20B3B09C" w14:textId="77777777" w:rsidR="00313CC3" w:rsidRPr="00A7080B" w:rsidRDefault="00313CC3" w:rsidP="00313CC3">
      <w:pPr>
        <w:spacing w:after="0" w:line="240" w:lineRule="auto"/>
        <w:ind w:left="709" w:right="709"/>
        <w:jc w:val="both"/>
        <w:rPr>
          <w:rFonts w:ascii="Verdana" w:eastAsia="Calibri" w:hAnsi="Verdana" w:cs="Arial"/>
          <w:color w:val="000000"/>
          <w:sz w:val="20"/>
          <w:szCs w:val="20"/>
          <w:lang w:eastAsia="es-ES_tradnl"/>
        </w:rPr>
      </w:pPr>
    </w:p>
    <w:p w14:paraId="288B2053" w14:textId="77777777" w:rsidR="00313CC3" w:rsidRPr="00A7080B" w:rsidRDefault="00313CC3" w:rsidP="00313CC3">
      <w:pPr>
        <w:spacing w:after="0" w:line="240" w:lineRule="auto"/>
        <w:ind w:left="709" w:right="709"/>
        <w:jc w:val="both"/>
        <w:rPr>
          <w:rFonts w:ascii="Verdana" w:eastAsia="Calibri" w:hAnsi="Verdana" w:cs="Arial"/>
          <w:color w:val="000000"/>
          <w:sz w:val="20"/>
          <w:szCs w:val="20"/>
          <w:lang w:eastAsia="es-ES_tradnl"/>
        </w:rPr>
      </w:pPr>
      <w:r w:rsidRPr="00A7080B">
        <w:rPr>
          <w:rFonts w:ascii="Verdana" w:eastAsia="Calibri" w:hAnsi="Verdana" w:cs="Arial"/>
          <w:color w:val="000000"/>
          <w:sz w:val="20"/>
          <w:szCs w:val="20"/>
          <w:lang w:eastAsia="es-ES_tradnl"/>
        </w:rPr>
        <w:t>20. Aparte de las anteriores disposiciones, el estatuto de contratación de la administración pública no se refiere de manera específica al contrato de seguros tomado por las entidades estatales para la protección de sus recursos y bienes, lo que significa que resulta aplicable la regulación que de dicho contrato contiene el Código de Comercio.</w:t>
      </w:r>
    </w:p>
    <w:p w14:paraId="7C63C6D9" w14:textId="77777777" w:rsidR="00313CC3" w:rsidRPr="00A7080B" w:rsidRDefault="00313CC3" w:rsidP="00313CC3">
      <w:pPr>
        <w:spacing w:after="0" w:line="240" w:lineRule="auto"/>
        <w:ind w:left="709" w:right="709"/>
        <w:jc w:val="both"/>
        <w:rPr>
          <w:rFonts w:ascii="Verdana" w:eastAsia="Calibri" w:hAnsi="Verdana" w:cs="Arial"/>
          <w:color w:val="000000"/>
          <w:sz w:val="20"/>
          <w:szCs w:val="20"/>
          <w:lang w:eastAsia="es-ES_tradnl"/>
        </w:rPr>
      </w:pPr>
    </w:p>
    <w:p w14:paraId="1AD0639A" w14:textId="77777777" w:rsidR="00313CC3" w:rsidRPr="00A7080B" w:rsidRDefault="00313CC3" w:rsidP="00313CC3">
      <w:pPr>
        <w:spacing w:after="0" w:line="240" w:lineRule="auto"/>
        <w:ind w:left="709" w:right="709"/>
        <w:jc w:val="both"/>
        <w:rPr>
          <w:rFonts w:ascii="Verdana" w:eastAsia="Calibri" w:hAnsi="Verdana" w:cs="Arial"/>
          <w:iCs/>
          <w:color w:val="000000"/>
          <w:sz w:val="20"/>
          <w:szCs w:val="20"/>
          <w:lang w:eastAsia="es-ES_tradnl"/>
        </w:rPr>
      </w:pPr>
      <w:r w:rsidRPr="00A7080B">
        <w:rPr>
          <w:rFonts w:ascii="Verdana" w:eastAsia="Calibri" w:hAnsi="Verdana" w:cs="Arial"/>
          <w:color w:val="000000"/>
          <w:sz w:val="20"/>
          <w:szCs w:val="20"/>
          <w:lang w:eastAsia="es-ES_tradnl"/>
        </w:rPr>
        <w:t xml:space="preserve">21. El artículo 1036 del referido código establece que el contrato de seguro es consensual, bilateral, oneroso, aleatorio y de ejecución sucesiva. En relación con la característica de consensual, se recuerda que anteriormente el contrato de seguro regulado en el Código de Comercio era solemne, en la medida en que su perfeccionamiento sólo se daba mediante la expedición de la respectiva póliza de seguro; no obstante, el </w:t>
      </w:r>
      <w:r w:rsidRPr="00A7080B">
        <w:rPr>
          <w:rFonts w:ascii="Verdana" w:eastAsia="Calibri" w:hAnsi="Verdana" w:cs="Arial"/>
          <w:color w:val="000000"/>
          <w:sz w:val="20"/>
          <w:szCs w:val="20"/>
          <w:lang w:eastAsia="es-ES_tradnl"/>
        </w:rPr>
        <w:lastRenderedPageBreak/>
        <w:t xml:space="preserve">artículo 1º de la Ley 389 de 1997 modificó el artículo 1036 del código, para definir dicho contrato como consensual, lo que significa que, en la actualidad, </w:t>
      </w:r>
      <w:r w:rsidRPr="00A7080B">
        <w:rPr>
          <w:rFonts w:ascii="Verdana" w:eastAsia="Calibri" w:hAnsi="Verdana" w:cs="Arial"/>
          <w:i/>
          <w:iCs/>
          <w:color w:val="000000"/>
          <w:sz w:val="20"/>
          <w:szCs w:val="20"/>
          <w:lang w:eastAsia="es-ES_tradnl"/>
        </w:rPr>
        <w:t>“(…) el contrato se forma con la simple aceptación de la propuesta por parte del destinatario, independientemente de que se expida o no la póliza y que, en</w:t>
      </w:r>
      <w:r w:rsidRPr="00A7080B">
        <w:rPr>
          <w:rFonts w:ascii="Verdana" w:eastAsia="Calibri" w:hAnsi="Verdana" w:cs="Arial"/>
          <w:color w:val="000000"/>
          <w:sz w:val="20"/>
          <w:szCs w:val="20"/>
          <w:lang w:eastAsia="es-ES_tradnl"/>
        </w:rPr>
        <w:t xml:space="preserve"> </w:t>
      </w:r>
      <w:r w:rsidRPr="00A7080B">
        <w:rPr>
          <w:rFonts w:ascii="Verdana" w:eastAsia="Calibri" w:hAnsi="Verdana" w:cs="Arial"/>
          <w:i/>
          <w:iCs/>
          <w:color w:val="000000"/>
          <w:sz w:val="20"/>
          <w:szCs w:val="20"/>
          <w:lang w:eastAsia="es-ES_tradnl"/>
        </w:rPr>
        <w:t>consecuencia, al fijarse la fecha de vigencia de la misma habrá de tenerse en cuenta.</w:t>
      </w:r>
      <w:r w:rsidRPr="00A7080B">
        <w:rPr>
          <w:rFonts w:ascii="Arial" w:hAnsi="Arial" w:cs="Arial"/>
          <w:i/>
          <w:iCs/>
          <w:sz w:val="20"/>
          <w:szCs w:val="20"/>
        </w:rPr>
        <w:t xml:space="preserve"> </w:t>
      </w:r>
      <w:r w:rsidRPr="00A7080B">
        <w:rPr>
          <w:rFonts w:ascii="Verdana" w:eastAsia="Calibri" w:hAnsi="Verdana" w:cs="Arial"/>
          <w:i/>
          <w:iCs/>
          <w:color w:val="000000"/>
          <w:sz w:val="20"/>
          <w:szCs w:val="20"/>
          <w:lang w:eastAsia="es-ES_tradnl"/>
        </w:rPr>
        <w:t xml:space="preserve">como punto de partida de la vigencia, el de la mencionada aceptación de la propuesta, salvo que se pacte otra cosa”, </w:t>
      </w:r>
      <w:r w:rsidRPr="00A7080B">
        <w:rPr>
          <w:rFonts w:ascii="Verdana" w:eastAsia="Calibri" w:hAnsi="Verdana" w:cs="Arial"/>
          <w:iCs/>
          <w:color w:val="000000"/>
          <w:sz w:val="20"/>
          <w:szCs w:val="20"/>
          <w:lang w:eastAsia="es-ES_tradnl"/>
        </w:rPr>
        <w:t>y para la acreditación de la existencia del contrato de seguro, el artículo 1046 del C. de Co. –modificado por el artículo 3 de la Ley 389 de 1997-, establece que el mismo se probará por escrito o por confesión y que con fines exclusivamente probatorios, el asegurador está obligado a entregar en su original, al tomador, dentro de los 15 días siguientes a la fecha de su celebración, el documento contentivo del contrato de seguro, denominado póliza.</w:t>
      </w:r>
    </w:p>
    <w:p w14:paraId="4789CCA8" w14:textId="77777777" w:rsidR="00313CC3" w:rsidRPr="00A7080B" w:rsidRDefault="00313CC3" w:rsidP="00313CC3">
      <w:pPr>
        <w:spacing w:after="0" w:line="240" w:lineRule="auto"/>
        <w:ind w:left="709" w:right="709"/>
        <w:jc w:val="both"/>
        <w:rPr>
          <w:rFonts w:ascii="Verdana" w:eastAsia="Calibri" w:hAnsi="Verdana" w:cs="Arial"/>
          <w:iCs/>
          <w:color w:val="000000"/>
          <w:sz w:val="20"/>
          <w:szCs w:val="20"/>
          <w:lang w:eastAsia="es-ES_tradnl"/>
        </w:rPr>
      </w:pPr>
    </w:p>
    <w:p w14:paraId="0C7D2E56" w14:textId="77777777" w:rsidR="00313CC3" w:rsidRPr="00A7080B" w:rsidRDefault="00313CC3" w:rsidP="00313CC3">
      <w:pPr>
        <w:spacing w:after="0" w:line="240" w:lineRule="auto"/>
        <w:ind w:left="709" w:right="709"/>
        <w:jc w:val="both"/>
        <w:rPr>
          <w:rFonts w:ascii="Verdana" w:eastAsia="Calibri" w:hAnsi="Verdana" w:cs="Arial"/>
          <w:iCs/>
          <w:color w:val="000000"/>
          <w:sz w:val="21"/>
          <w:szCs w:val="21"/>
          <w:lang w:eastAsia="es-ES_tradnl"/>
        </w:rPr>
      </w:pPr>
      <w:r w:rsidRPr="00A7080B">
        <w:rPr>
          <w:rFonts w:ascii="Verdana" w:eastAsia="Calibri" w:hAnsi="Verdana" w:cs="Arial"/>
          <w:iCs/>
          <w:color w:val="000000"/>
          <w:sz w:val="20"/>
          <w:szCs w:val="20"/>
          <w:lang w:eastAsia="es-ES_tradnl"/>
        </w:rPr>
        <w:t xml:space="preserve">22. No obstante lo anterior, debe tenerse en cuenta que, cuando es una entidad pública de las que se someten a las disposiciones de la Ley 80 de 1993 la que celebra un negocio jurídico de esta naturaleza en calidad de tomadora, el mismo corresponde a un contrato estatal, razón por la cual de conformidad con lo dispuesto por sus artículos 39 y 41, debe constar por escrito y esta formalidad constituye un requisito </w:t>
      </w:r>
      <w:r w:rsidRPr="00A7080B">
        <w:rPr>
          <w:rFonts w:ascii="Verdana" w:eastAsia="Calibri" w:hAnsi="Verdana" w:cs="Arial"/>
          <w:i/>
          <w:iCs/>
          <w:color w:val="000000"/>
          <w:sz w:val="20"/>
          <w:szCs w:val="20"/>
          <w:lang w:eastAsia="es-ES_tradnl"/>
        </w:rPr>
        <w:t xml:space="preserve">ad </w:t>
      </w:r>
      <w:proofErr w:type="spellStart"/>
      <w:r w:rsidRPr="00A7080B">
        <w:rPr>
          <w:rFonts w:ascii="Verdana" w:eastAsia="Calibri" w:hAnsi="Verdana" w:cs="Arial"/>
          <w:i/>
          <w:iCs/>
          <w:color w:val="000000"/>
          <w:sz w:val="20"/>
          <w:szCs w:val="20"/>
          <w:lang w:eastAsia="es-ES_tradnl"/>
        </w:rPr>
        <w:t>substantiam</w:t>
      </w:r>
      <w:proofErr w:type="spellEnd"/>
      <w:r w:rsidRPr="00A7080B">
        <w:rPr>
          <w:rFonts w:ascii="Verdana" w:eastAsia="Calibri" w:hAnsi="Verdana" w:cs="Arial"/>
          <w:i/>
          <w:iCs/>
          <w:color w:val="000000"/>
          <w:sz w:val="20"/>
          <w:szCs w:val="20"/>
          <w:lang w:eastAsia="es-ES_tradnl"/>
        </w:rPr>
        <w:t xml:space="preserve"> </w:t>
      </w:r>
      <w:proofErr w:type="spellStart"/>
      <w:r w:rsidRPr="00A7080B">
        <w:rPr>
          <w:rFonts w:ascii="Verdana" w:eastAsia="Calibri" w:hAnsi="Verdana" w:cs="Arial"/>
          <w:i/>
          <w:iCs/>
          <w:color w:val="000000"/>
          <w:sz w:val="20"/>
          <w:szCs w:val="20"/>
          <w:lang w:eastAsia="es-ES_tradnl"/>
        </w:rPr>
        <w:t>actus</w:t>
      </w:r>
      <w:proofErr w:type="spellEnd"/>
      <w:r w:rsidRPr="00A7080B">
        <w:rPr>
          <w:rFonts w:ascii="Verdana" w:eastAsia="Calibri" w:hAnsi="Verdana" w:cs="Arial"/>
          <w:iCs/>
          <w:color w:val="000000"/>
          <w:sz w:val="20"/>
          <w:szCs w:val="20"/>
          <w:lang w:eastAsia="es-ES_tradnl"/>
        </w:rPr>
        <w:t>, puesto que de ella depende el perfeccionamiento del respectivo contrato</w:t>
      </w:r>
      <w:r w:rsidRPr="00A7080B">
        <w:rPr>
          <w:rFonts w:ascii="Verdana" w:eastAsia="Calibri" w:hAnsi="Verdana" w:cs="Arial"/>
          <w:iCs/>
          <w:color w:val="000000"/>
          <w:sz w:val="20"/>
          <w:szCs w:val="20"/>
          <w:vertAlign w:val="superscript"/>
          <w:lang w:eastAsia="es-ES_tradnl"/>
        </w:rPr>
        <w:footnoteReference w:id="7"/>
      </w:r>
      <w:r w:rsidRPr="00A7080B">
        <w:rPr>
          <w:rFonts w:ascii="Verdana" w:eastAsia="Calibri" w:hAnsi="Verdana" w:cs="Arial"/>
          <w:iCs/>
          <w:color w:val="000000"/>
          <w:sz w:val="20"/>
          <w:szCs w:val="20"/>
          <w:lang w:eastAsia="es-ES_tradnl"/>
        </w:rPr>
        <w:t>. (énfasis dentro del texto).</w:t>
      </w:r>
      <w:r w:rsidRPr="00A7080B">
        <w:rPr>
          <w:rFonts w:ascii="Verdana" w:eastAsia="Calibri" w:hAnsi="Verdana" w:cs="Arial"/>
          <w:iCs/>
          <w:color w:val="000000"/>
          <w:sz w:val="21"/>
          <w:szCs w:val="21"/>
          <w:lang w:eastAsia="es-ES_tradnl"/>
        </w:rPr>
        <w:t xml:space="preserve"> </w:t>
      </w:r>
    </w:p>
    <w:p w14:paraId="396762E6" w14:textId="77777777" w:rsidR="00313CC3" w:rsidRPr="00A7080B" w:rsidRDefault="00313CC3" w:rsidP="00313CC3">
      <w:pPr>
        <w:spacing w:after="0" w:line="276" w:lineRule="auto"/>
        <w:ind w:firstLine="708"/>
        <w:jc w:val="both"/>
        <w:rPr>
          <w:rFonts w:ascii="Verdana" w:eastAsia="Calibri" w:hAnsi="Verdana"/>
          <w:color w:val="000000" w:themeColor="text1"/>
        </w:rPr>
      </w:pPr>
    </w:p>
    <w:p w14:paraId="4E49DA3C" w14:textId="77777777" w:rsidR="00313CC3" w:rsidRPr="00A7080B" w:rsidRDefault="00313CC3" w:rsidP="00313CC3">
      <w:pPr>
        <w:spacing w:after="120" w:line="276" w:lineRule="auto"/>
        <w:ind w:firstLine="708"/>
        <w:jc w:val="both"/>
        <w:rPr>
          <w:rFonts w:ascii="Verdana" w:eastAsia="Calibri" w:hAnsi="Verdana"/>
          <w:color w:val="000000" w:themeColor="text1"/>
        </w:rPr>
      </w:pPr>
      <w:r w:rsidRPr="00A7080B">
        <w:rPr>
          <w:rFonts w:ascii="Verdana" w:eastAsia="Calibri" w:hAnsi="Verdana"/>
          <w:color w:val="000000" w:themeColor="text1"/>
        </w:rPr>
        <w:t xml:space="preserve">Por lo general, la entidad pública suscribe contratos de seguro, con la finalidad de proteger a las entidades públicas contra diferentes riesgos que se presentan por actuaciones de sus empleados, así como riesgos por incendios, terremoto, entre otros. En estos términos, se destaca que los contratos de seguros amparan riesgos en daños materiales, automóviles, responsabilidad civil extracontractual, manejo global para entidades oficiales, riesgos financieros, entre otros. </w:t>
      </w:r>
    </w:p>
    <w:p w14:paraId="024610FC" w14:textId="77777777" w:rsidR="00313CC3" w:rsidRPr="00A7080B" w:rsidRDefault="00313CC3" w:rsidP="00313CC3">
      <w:pPr>
        <w:spacing w:after="120" w:line="276" w:lineRule="auto"/>
        <w:ind w:firstLine="708"/>
        <w:jc w:val="both"/>
        <w:rPr>
          <w:rFonts w:ascii="Verdana" w:eastAsia="Calibri" w:hAnsi="Verdana" w:cs="Arial"/>
          <w:color w:val="000000"/>
          <w:lang w:eastAsia="es-ES_tradnl"/>
        </w:rPr>
      </w:pPr>
      <w:r w:rsidRPr="00A7080B">
        <w:rPr>
          <w:rFonts w:ascii="Verdana" w:eastAsia="Calibri" w:hAnsi="Verdana"/>
          <w:color w:val="000000" w:themeColor="text1"/>
        </w:rPr>
        <w:t xml:space="preserve">Así mismo, dichos procesos de contratación por parte de las entidades sometidas por el EGCAP se adelantan, en principio, mediante la modalidad de selección de licitación pública o en su defecto, por selección abreviada de menor cuantía, donde </w:t>
      </w:r>
      <w:r w:rsidRPr="00A7080B">
        <w:rPr>
          <w:rFonts w:ascii="Verdana" w:eastAsia="Calibri" w:hAnsi="Verdana" w:cs="Arial"/>
          <w:color w:val="000000"/>
          <w:lang w:eastAsia="es-ES_tradnl"/>
        </w:rPr>
        <w:t>la entidad deberá tener en consideración las disposiciones previstas en el Estatuto Orgánico del Sistema Financiero, y en especial el artículo 17 de la Ley 795 de 2003 “</w:t>
      </w:r>
      <w:r w:rsidRPr="00A7080B">
        <w:rPr>
          <w:rFonts w:ascii="Verdana" w:eastAsia="Calibri" w:hAnsi="Verdana" w:cs="Arial"/>
          <w:bCs/>
          <w:i/>
          <w:iCs/>
          <w:color w:val="000000"/>
          <w:lang w:eastAsia="es-ES_tradnl"/>
        </w:rPr>
        <w:t>Por la cual se ajustan algunas normas del Estatuto Orgánico del Sistema Financiero y se dictan otras disposiciones”</w:t>
      </w:r>
      <w:r w:rsidRPr="00A7080B">
        <w:rPr>
          <w:rFonts w:ascii="Verdana" w:eastAsia="Calibri" w:hAnsi="Verdana" w:cs="Arial"/>
          <w:color w:val="000000"/>
          <w:lang w:eastAsia="es-ES_tradnl"/>
        </w:rPr>
        <w:t xml:space="preserve">, así como las relacionadas con lo dispuesto en el Decreto 2954 de 2010 </w:t>
      </w:r>
      <w:r w:rsidRPr="00A7080B">
        <w:rPr>
          <w:rFonts w:ascii="Verdana" w:eastAsia="Calibri" w:hAnsi="Verdana" w:cs="Arial"/>
          <w:i/>
          <w:iCs/>
          <w:color w:val="000000"/>
          <w:lang w:eastAsia="es-ES_tradnl"/>
        </w:rPr>
        <w:t>“</w:t>
      </w:r>
      <w:r w:rsidRPr="00A7080B">
        <w:rPr>
          <w:rFonts w:ascii="Verdana" w:eastAsia="Calibri" w:hAnsi="Verdana" w:cs="Arial"/>
          <w:bCs/>
          <w:i/>
          <w:iCs/>
          <w:color w:val="000000"/>
          <w:lang w:eastAsia="es-ES_tradnl"/>
        </w:rPr>
        <w:t xml:space="preserve">por el cual se modifica </w:t>
      </w:r>
      <w:r w:rsidRPr="00A7080B">
        <w:rPr>
          <w:rFonts w:ascii="Verdana" w:eastAsia="Calibri" w:hAnsi="Verdana" w:cs="Arial"/>
          <w:bCs/>
          <w:i/>
          <w:iCs/>
          <w:color w:val="000000"/>
          <w:lang w:eastAsia="es-ES_tradnl"/>
        </w:rPr>
        <w:lastRenderedPageBreak/>
        <w:t>el Decreto 2555 de 2010 y se establece el régimen de patrimonio adecuado de las entidades aseguradoras”</w:t>
      </w:r>
      <w:r w:rsidRPr="00A7080B">
        <w:rPr>
          <w:rFonts w:ascii="Verdana" w:eastAsia="Calibri" w:hAnsi="Verdana" w:cs="Arial"/>
          <w:color w:val="000000"/>
          <w:lang w:eastAsia="es-ES_tradnl"/>
        </w:rPr>
        <w:t xml:space="preserve"> través del cual se reguló el régimen de patrimonio adecuado para las entidades aseguradoras, como indicador integral y específico para evidenciar la efectiva capacidad financiera, del mercado asegurador colombiano.  </w:t>
      </w:r>
    </w:p>
    <w:p w14:paraId="55063736" w14:textId="77777777" w:rsidR="00313CC3" w:rsidRPr="00A7080B" w:rsidRDefault="00313CC3" w:rsidP="00313CC3">
      <w:pPr>
        <w:spacing w:after="120" w:line="276" w:lineRule="auto"/>
        <w:ind w:firstLine="708"/>
        <w:jc w:val="both"/>
        <w:rPr>
          <w:rFonts w:ascii="Verdana" w:eastAsia="Calibri" w:hAnsi="Verdana"/>
          <w:color w:val="000000" w:themeColor="text1"/>
        </w:rPr>
      </w:pPr>
      <w:r w:rsidRPr="00A7080B">
        <w:rPr>
          <w:rFonts w:ascii="Verdana" w:eastAsia="Calibri" w:hAnsi="Verdana" w:cs="Arial"/>
          <w:color w:val="000000"/>
          <w:lang w:eastAsia="es-ES_tradnl"/>
        </w:rPr>
        <w:t xml:space="preserve">De igual forma, es importante tener en cuenta lo dispuesto en la Ley 45 de 1990 que regula la actividad aseguradora y establece las condiciones de acceso a esta actividad. Así, el artículo 30 </w:t>
      </w:r>
      <w:r w:rsidRPr="00A7080B">
        <w:rPr>
          <w:rFonts w:ascii="Verdana" w:eastAsia="Calibri" w:hAnsi="Verdana" w:cs="Arial"/>
          <w:i/>
          <w:iCs/>
          <w:color w:val="000000"/>
          <w:lang w:eastAsia="es-ES_tradnl"/>
        </w:rPr>
        <w:t>ibidem</w:t>
      </w:r>
      <w:r w:rsidRPr="00A7080B">
        <w:rPr>
          <w:rFonts w:ascii="Verdana" w:eastAsia="Calibri" w:hAnsi="Verdana" w:cs="Arial"/>
          <w:color w:val="000000"/>
          <w:lang w:eastAsia="es-ES_tradnl"/>
        </w:rPr>
        <w:t xml:space="preserve"> señala que sólo las personas previamente autorizadas por la Superintendencia Bancaria – Hoy Superintendencia Financiera- se encuentran facultadas para ocuparse de negocios de seguros en Colombia. El artículo 34 indica que las personas que se propongan organizar una de una empresa como compañía y cooperativa de seguros deberán obtener, previamente, el certificado de autorización de la Superintendencia Bancaria, como requisito indispensable para ejercer actividades. Por su parte, los artículos 36 y 37 determina que la actividad aseguradora únicamente puede ser ejercida por empresas que adopten la forma de sociedades anónimas o por los tipos de sociedades cooperativas admitidos legalmente y que su objeto social será la realización de operaciones de seguro, bajo las modalidades y los ramos facultados expresamente, aparte de aquellas previstas en la Ley con carácter especial y podrán realizar operaciones de reaseguro. </w:t>
      </w:r>
    </w:p>
    <w:p w14:paraId="6A80FE24" w14:textId="77777777" w:rsidR="00313CC3" w:rsidRPr="00A7080B" w:rsidRDefault="00313CC3" w:rsidP="00313CC3">
      <w:pPr>
        <w:spacing w:after="120" w:line="276" w:lineRule="auto"/>
        <w:ind w:firstLine="708"/>
        <w:jc w:val="both"/>
        <w:rPr>
          <w:rFonts w:ascii="Verdana" w:hAnsi="Verdana"/>
        </w:rPr>
      </w:pPr>
      <w:r w:rsidRPr="00A7080B">
        <w:rPr>
          <w:rFonts w:ascii="Verdana" w:eastAsia="Calibri" w:hAnsi="Verdana"/>
          <w:color w:val="000000" w:themeColor="text1"/>
        </w:rPr>
        <w:t xml:space="preserve">En este sentido, </w:t>
      </w:r>
      <w:r w:rsidRPr="00A7080B">
        <w:rPr>
          <w:rFonts w:ascii="Verdana" w:hAnsi="Verdana"/>
        </w:rPr>
        <w:t>la entidad estatal deberá determinar los requisitos habilitantes de la capacidad jurídica, las condiciones de experiencia, la capacidad financiera y de organización y demás requisitos mínimos con base en las condiciones particulares que establezca las normas especiales sobre el sector financiero, asegurador y del mercado de valores. De esta forma, por ejemplo, solo podrán participar en estos procesos los tipos de sociedades señalas en el artículo 36 de la Ley 45 de 1990 que deben contar con el certificado de autorización expedido por la autoridad competente. Además, los artículos 2</w:t>
      </w:r>
      <w:r w:rsidRPr="00A7080B">
        <w:rPr>
          <w:rFonts w:ascii="Verdana" w:hAnsi="Verdana"/>
          <w:bCs/>
        </w:rPr>
        <w:t>.31.1.2.1</w:t>
      </w:r>
      <w:r w:rsidRPr="00A7080B">
        <w:rPr>
          <w:rFonts w:ascii="Verdana" w:hAnsi="Verdana"/>
        </w:rPr>
        <w:t>. y 2.31.1.2.5. del Decreto 2555 de 2010, modificado por el Decreto 2954 de 2010,</w:t>
      </w:r>
      <w:r w:rsidRPr="00A7080B">
        <w:rPr>
          <w:rFonts w:ascii="Verdana" w:hAnsi="Verdana"/>
          <w:b/>
          <w:bCs/>
        </w:rPr>
        <w:t xml:space="preserve"> </w:t>
      </w:r>
      <w:r w:rsidRPr="00A7080B">
        <w:rPr>
          <w:rFonts w:ascii="Verdana" w:hAnsi="Verdana"/>
        </w:rPr>
        <w:t xml:space="preserve">establecen que las entidades aseguradoras deben mantener permanentemente y acreditar ante la Superintendencia Financiera de Colombia </w:t>
      </w:r>
      <w:r w:rsidRPr="00A7080B">
        <w:rPr>
          <w:rFonts w:ascii="Verdana" w:hAnsi="Verdana"/>
        </w:rPr>
        <w:lastRenderedPageBreak/>
        <w:t>en la forma y plazos que esta determine, un patrimonio técnico equivalente como mínimo al nivel de patrimonio adecuado</w:t>
      </w:r>
      <w:r w:rsidRPr="00A7080B">
        <w:rPr>
          <w:rFonts w:ascii="Verdana" w:eastAsia="Calibri" w:hAnsi="Verdana" w:cs="Arial"/>
          <w:color w:val="000000"/>
          <w:vertAlign w:val="superscript"/>
          <w:lang w:eastAsia="es-ES_tradnl"/>
        </w:rPr>
        <w:footnoteReference w:id="8"/>
      </w:r>
      <w:r w:rsidRPr="00A7080B">
        <w:rPr>
          <w:rFonts w:ascii="Verdana" w:eastAsia="Calibri" w:hAnsi="Verdana" w:cs="Arial"/>
          <w:color w:val="000000"/>
          <w:lang w:eastAsia="es-ES_tradnl"/>
        </w:rPr>
        <w:t xml:space="preserve">. </w:t>
      </w:r>
    </w:p>
    <w:p w14:paraId="71A28EA8" w14:textId="77777777" w:rsidR="00313CC3" w:rsidRPr="00A7080B" w:rsidRDefault="00313CC3" w:rsidP="00313CC3">
      <w:pPr>
        <w:spacing w:after="120" w:line="276" w:lineRule="auto"/>
        <w:ind w:firstLine="708"/>
        <w:jc w:val="both"/>
        <w:rPr>
          <w:rFonts w:ascii="Verdana" w:hAnsi="Verdana"/>
        </w:rPr>
      </w:pPr>
      <w:r w:rsidRPr="00A7080B">
        <w:rPr>
          <w:rFonts w:ascii="Verdana" w:eastAsia="Calibri" w:hAnsi="Verdana"/>
          <w:color w:val="000000" w:themeColor="text1"/>
        </w:rPr>
        <w:t xml:space="preserve">Ahora bien, </w:t>
      </w:r>
      <w:proofErr w:type="gramStart"/>
      <w:r w:rsidRPr="00A7080B">
        <w:rPr>
          <w:rFonts w:ascii="Verdana" w:eastAsia="Calibri" w:hAnsi="Verdana"/>
          <w:color w:val="000000" w:themeColor="text1"/>
        </w:rPr>
        <w:t>de acuerdo al</w:t>
      </w:r>
      <w:proofErr w:type="gramEnd"/>
      <w:r w:rsidRPr="00A7080B">
        <w:rPr>
          <w:rFonts w:ascii="Verdana" w:eastAsia="Calibri" w:hAnsi="Verdana"/>
          <w:color w:val="000000" w:themeColor="text1"/>
        </w:rPr>
        <w:t xml:space="preserve"> problema jurídico, objeto de consulta, </w:t>
      </w:r>
      <w:r w:rsidRPr="00A7080B">
        <w:rPr>
          <w:rFonts w:ascii="Verdana" w:hAnsi="Verdana"/>
        </w:rPr>
        <w:t xml:space="preserve">la exigencia de que los proponentes cuenten con una sucursal, oficina o dependencia en determinada ubicación geográfica, en principio, no se evidencia como un requisito para la prestación del servicio que se derive de las normas señaladas, sin perjuicio del análisis particular que debe realizar la entidad para efectos de establecer las condiciones mínimas en estos procesos. </w:t>
      </w:r>
    </w:p>
    <w:p w14:paraId="0447AC3C" w14:textId="77777777" w:rsidR="00313CC3" w:rsidRPr="00A7080B" w:rsidRDefault="00313CC3" w:rsidP="00313CC3">
      <w:pPr>
        <w:spacing w:after="120" w:line="276" w:lineRule="auto"/>
        <w:ind w:firstLine="708"/>
        <w:jc w:val="both"/>
        <w:rPr>
          <w:rFonts w:ascii="Verdana" w:hAnsi="Verdana"/>
        </w:rPr>
      </w:pPr>
      <w:r w:rsidRPr="00A7080B">
        <w:rPr>
          <w:rFonts w:ascii="Verdana" w:hAnsi="Verdana"/>
        </w:rPr>
        <w:t>En consecuencia, aunque no lo es lo recomendable, si la entidad decide, en el ejercicio de su autonomía y discrecionalidad, exigirlo como un requisito habilitante en los procesos de contratación que tengan por objeto adquirir los seguros de la entidad, debe estar precedida de una justificación técnica y objetiva por parte de la entidad contratante. Esta exigencia no puede responder a criterios arbitrarios o caprichosos, sino que debe sustentarse en la necesidad concreta de garantizar la adecuada ejecución del objeto contractual, esto es, la prestación eficiente del servicio de seguros. Así, resulta indispensable que se demuestre que la presencia de una oficina o dependencia física del contratista es determinante para la correcta atención de siniestros y el cumplimiento de condiciones técnicas.</w:t>
      </w:r>
    </w:p>
    <w:p w14:paraId="4CA72E2C" w14:textId="77777777" w:rsidR="00313CC3" w:rsidRPr="00A7080B" w:rsidRDefault="00313CC3" w:rsidP="00313CC3">
      <w:pPr>
        <w:widowControl w:val="0"/>
        <w:autoSpaceDE w:val="0"/>
        <w:autoSpaceDN w:val="0"/>
        <w:spacing w:after="120" w:line="276" w:lineRule="auto"/>
        <w:ind w:right="102" w:firstLine="567"/>
        <w:jc w:val="both"/>
        <w:rPr>
          <w:rFonts w:ascii="Verdana" w:hAnsi="Verdana"/>
        </w:rPr>
      </w:pPr>
      <w:r w:rsidRPr="00A7080B">
        <w:rPr>
          <w:rFonts w:ascii="Verdana" w:hAnsi="Verdana"/>
        </w:rPr>
        <w:t xml:space="preserve">Este tipo de requisitos deben ser evaluados cuidadosamente, atendiendo a si su cumplimiento es verdaderamente necesario para garantizar la operatividad del contratista, o si, por el contrario, existen otros medios igualmente eficaces para garantizar la adecuada ejecución del contrato, como canales digitales o atención remota. De lo contrario, la inclusión de este tipo de </w:t>
      </w:r>
      <w:r w:rsidRPr="00A7080B">
        <w:rPr>
          <w:rFonts w:ascii="Verdana" w:hAnsi="Verdana"/>
        </w:rPr>
        <w:lastRenderedPageBreak/>
        <w:t>condiciones podría derivar en restricciones injustificadas que pueden vulnerar los principios de igualdad y libre concurrencia que rigen la contratación pública.</w:t>
      </w:r>
    </w:p>
    <w:p w14:paraId="44A3268D" w14:textId="77777777" w:rsidR="00313CC3" w:rsidRPr="00A7080B" w:rsidRDefault="00313CC3" w:rsidP="00313CC3">
      <w:pPr>
        <w:widowControl w:val="0"/>
        <w:autoSpaceDE w:val="0"/>
        <w:autoSpaceDN w:val="0"/>
        <w:spacing w:after="120" w:line="276" w:lineRule="auto"/>
        <w:ind w:right="102" w:firstLine="567"/>
        <w:jc w:val="both"/>
      </w:pPr>
      <w:r w:rsidRPr="00A7080B">
        <w:rPr>
          <w:rFonts w:ascii="Verdana" w:hAnsi="Verdana"/>
        </w:rPr>
        <w:t>Al respecto, el Consejo de Estado enfatizó que “La Administración no puede establecer requisitos carentes de función legal y al pretender sustentarlos en la posibilidad física de hacerlo (v. gr. abrir una sucursal) no es más que otra evidencia de su mero capricho”. Asimismo, sobre la exigencia de contar con domicilio en el lugar de ejecución del contrato señaló que “resulta en una exigencia infundada, pues dicho atributo no se corresponde con las razones aducidas para su exigencia, no afecta la prestación del servicio por contratar, tampoco concierne a un elemento sin el cual no puede efectuarse la prestación del servicio de transporte escolar; por el contrario, lo que se advierte es que éste configura una regla ajena a la selección objetiva, en tanto que establece un supuesto que limita, sin justificación, la participación de multiplicidad de oferentes al proceso de contratación</w:t>
      </w:r>
      <w:r w:rsidRPr="00A7080B">
        <w:rPr>
          <w:vertAlign w:val="superscript"/>
        </w:rPr>
        <w:footnoteReference w:id="9"/>
      </w:r>
      <w:r w:rsidRPr="00A7080B">
        <w:t>”.</w:t>
      </w:r>
    </w:p>
    <w:p w14:paraId="420ABD86" w14:textId="77777777" w:rsidR="00313CC3" w:rsidRPr="00A7080B" w:rsidRDefault="00313CC3" w:rsidP="00313CC3">
      <w:pPr>
        <w:widowControl w:val="0"/>
        <w:autoSpaceDE w:val="0"/>
        <w:autoSpaceDN w:val="0"/>
        <w:spacing w:after="120" w:line="276" w:lineRule="auto"/>
        <w:ind w:right="102" w:firstLine="567"/>
        <w:jc w:val="both"/>
        <w:rPr>
          <w:rFonts w:ascii="Verdana" w:hAnsi="Verdana"/>
        </w:rPr>
      </w:pPr>
      <w:r w:rsidRPr="00A7080B">
        <w:rPr>
          <w:rFonts w:ascii="Verdana" w:hAnsi="Verdana"/>
        </w:rPr>
        <w:t>En este sentido, exigir la existencia de una sucursal u oficina en determinada ubicación geográfica puede convertirse en una barrera de acceso que limita injustificadamente la participación de oferentes que, si bien no tienen presencia física en determinada región o ciudad, cuentan con las capacidades jurídicas, financieras, técnicas y de experiencia requeridas para ejecutar adecuadamente el contrato. Por ello, tales requisitos deben analizarse bajo el principio de proporcionalidad y de adecuación, conforme se explicó, salvo que exista una norma especial que imponga dicha condición para efectos de la prestación del servicio.</w:t>
      </w:r>
    </w:p>
    <w:p w14:paraId="31159067" w14:textId="77777777" w:rsidR="00313CC3" w:rsidRPr="00A7080B" w:rsidRDefault="00313CC3" w:rsidP="00313CC3">
      <w:pPr>
        <w:widowControl w:val="0"/>
        <w:autoSpaceDE w:val="0"/>
        <w:autoSpaceDN w:val="0"/>
        <w:spacing w:after="120" w:line="276" w:lineRule="auto"/>
        <w:ind w:right="102" w:firstLine="709"/>
        <w:jc w:val="both"/>
        <w:rPr>
          <w:rFonts w:ascii="Verdana" w:hAnsi="Verdana"/>
        </w:rPr>
      </w:pPr>
      <w:r w:rsidRPr="00A7080B">
        <w:rPr>
          <w:rFonts w:ascii="Verdana" w:hAnsi="Verdana"/>
        </w:rPr>
        <w:t xml:space="preserve">Sin perjuicio de lo anterior, se reitera que la estructuración de los requisitos habilitantes corresponde a cada entidad estatal ateniendo a las circunstancias particulares y teniendo en cuenta la naturaleza del objeto a contratar, por lo que en cada caso se deberá realizar un análisis detallado si los requisitos establecidos, particularmente solicitar una sucursal u oficina en una ubicación geográfica especifica, efectivamente configura una restricción a la libre concurrencia y si estos han sido determinados de forma desproporcional y arbitraria. </w:t>
      </w:r>
    </w:p>
    <w:p w14:paraId="23518747" w14:textId="77777777" w:rsidR="00313CC3" w:rsidRPr="00A7080B" w:rsidRDefault="00313CC3" w:rsidP="00313CC3">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A7080B">
        <w:rPr>
          <w:rFonts w:ascii="Verdana" w:hAnsi="Verdana" w:cs="Arial"/>
          <w:lang w:eastAsia="es-ES"/>
        </w:rPr>
        <w:t xml:space="preserve">Al margen de la explicación precedente debe advertirse que, el análisis requerido para resolver problemas específicos en torno a la gestión contractual </w:t>
      </w:r>
      <w:r w:rsidRPr="00A7080B">
        <w:rPr>
          <w:rFonts w:ascii="Verdana" w:hAnsi="Verdana" w:cs="Arial"/>
          <w:lang w:eastAsia="es-ES"/>
        </w:rPr>
        <w:lastRenderedPageBreak/>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9BF69B1" w14:textId="77777777" w:rsidR="00313CC3" w:rsidRPr="00A7080B" w:rsidRDefault="00313CC3" w:rsidP="00313CC3">
      <w:pPr>
        <w:spacing w:after="120" w:line="276" w:lineRule="auto"/>
        <w:ind w:firstLine="709"/>
        <w:jc w:val="both"/>
        <w:rPr>
          <w:rFonts w:ascii="Verdana" w:hAnsi="Verdana" w:cs="Arial"/>
          <w:lang w:eastAsia="es-ES"/>
        </w:rPr>
      </w:pPr>
      <w:r w:rsidRPr="00A7080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F4655F0" w14:textId="77777777" w:rsidR="00313CC3" w:rsidRPr="00A7080B" w:rsidRDefault="00313CC3" w:rsidP="00313CC3">
      <w:pPr>
        <w:widowControl w:val="0"/>
        <w:autoSpaceDE w:val="0"/>
        <w:autoSpaceDN w:val="0"/>
        <w:spacing w:after="0" w:line="276" w:lineRule="auto"/>
        <w:jc w:val="both"/>
        <w:rPr>
          <w:rFonts w:ascii="Verdana" w:eastAsia="Calibri" w:hAnsi="Verdana" w:cs="Arial"/>
          <w:color w:val="000000" w:themeColor="text1"/>
        </w:rPr>
      </w:pPr>
    </w:p>
    <w:p w14:paraId="185B993A" w14:textId="77777777" w:rsidR="00313CC3" w:rsidRPr="00A7080B" w:rsidRDefault="00313CC3" w:rsidP="00313CC3">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A7080B">
        <w:rPr>
          <w:rFonts w:ascii="Verdana" w:eastAsia="Century Gothic" w:hAnsi="Verdana" w:cs="Century Gothic"/>
          <w:b/>
          <w:bCs/>
          <w:color w:val="000000" w:themeColor="text1"/>
          <w:lang w:val="es-ES"/>
        </w:rPr>
        <w:t>Referencias normativas, jurisprudenciales y otras fuentes:</w:t>
      </w:r>
    </w:p>
    <w:p w14:paraId="0D121306"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3CC3" w:rsidRPr="00A7080B" w14:paraId="3E83BC63" w14:textId="77777777" w:rsidTr="009C26D1">
        <w:trPr>
          <w:trHeight w:val="870"/>
        </w:trPr>
        <w:tc>
          <w:tcPr>
            <w:tcW w:w="8647" w:type="dxa"/>
          </w:tcPr>
          <w:p w14:paraId="09709590" w14:textId="77777777" w:rsidR="00313CC3" w:rsidRPr="00A7080B" w:rsidRDefault="00313CC3" w:rsidP="009C26D1">
            <w:pPr>
              <w:numPr>
                <w:ilvl w:val="0"/>
                <w:numId w:val="17"/>
              </w:numPr>
              <w:spacing w:after="160" w:line="276" w:lineRule="auto"/>
              <w:ind w:left="357" w:hanging="357"/>
              <w:contextualSpacing/>
              <w:jc w:val="both"/>
              <w:rPr>
                <w:rFonts w:ascii="Verdana" w:eastAsia="Calibri" w:hAnsi="Verdana" w:cs="Arial"/>
                <w:lang w:val="es-ES" w:eastAsia="es-MX"/>
              </w:rPr>
            </w:pPr>
            <w:r w:rsidRPr="00A7080B">
              <w:rPr>
                <w:rFonts w:ascii="Verdana" w:eastAsia="Calibri" w:hAnsi="Verdana" w:cs="Arial"/>
                <w:lang w:val="es-ES" w:eastAsia="es-MX"/>
              </w:rPr>
              <w:t xml:space="preserve">Ley 1150 de 2007: Artículo 5 y artículo 6. </w:t>
            </w:r>
          </w:p>
          <w:p w14:paraId="3F267A9F" w14:textId="77777777" w:rsidR="00313CC3" w:rsidRPr="00A7080B" w:rsidRDefault="00313CC3" w:rsidP="009C26D1">
            <w:pPr>
              <w:numPr>
                <w:ilvl w:val="0"/>
                <w:numId w:val="17"/>
              </w:numPr>
              <w:spacing w:after="160" w:line="276" w:lineRule="auto"/>
              <w:ind w:left="357" w:hanging="357"/>
              <w:contextualSpacing/>
              <w:jc w:val="both"/>
              <w:rPr>
                <w:rFonts w:ascii="Verdana" w:eastAsia="Calibri" w:hAnsi="Verdana" w:cs="Arial"/>
                <w:lang w:val="es-ES" w:eastAsia="es-MX"/>
              </w:rPr>
            </w:pPr>
            <w:r w:rsidRPr="00A7080B">
              <w:rPr>
                <w:rFonts w:ascii="Verdana" w:eastAsia="Calibri" w:hAnsi="Verdana" w:cs="Arial"/>
                <w:lang w:val="es-ES" w:eastAsia="es-MX"/>
              </w:rPr>
              <w:t xml:space="preserve">Ley 1437 de 2011: Artículo 44. </w:t>
            </w:r>
          </w:p>
          <w:p w14:paraId="423B0046" w14:textId="77777777" w:rsidR="00313CC3" w:rsidRPr="00A7080B" w:rsidRDefault="00313CC3" w:rsidP="009C26D1">
            <w:pPr>
              <w:numPr>
                <w:ilvl w:val="0"/>
                <w:numId w:val="17"/>
              </w:numPr>
              <w:spacing w:after="160" w:line="276" w:lineRule="auto"/>
              <w:ind w:left="357" w:hanging="357"/>
              <w:contextualSpacing/>
              <w:jc w:val="both"/>
              <w:rPr>
                <w:rFonts w:ascii="Verdana" w:eastAsia="Calibri" w:hAnsi="Verdana" w:cs="Arial"/>
                <w:lang w:val="es-ES" w:eastAsia="es-MX"/>
              </w:rPr>
            </w:pPr>
            <w:r w:rsidRPr="00A7080B">
              <w:rPr>
                <w:rFonts w:ascii="Verdana" w:eastAsia="Calibri" w:hAnsi="Verdana" w:cs="Arial"/>
                <w:lang w:val="es-ES" w:eastAsia="es-MX"/>
              </w:rPr>
              <w:t>Código de Comercio: Artículos 515 y 1037.</w:t>
            </w:r>
          </w:p>
          <w:p w14:paraId="6C866773" w14:textId="77777777" w:rsidR="00313CC3" w:rsidRPr="00A7080B" w:rsidRDefault="00313CC3" w:rsidP="009C26D1">
            <w:pPr>
              <w:numPr>
                <w:ilvl w:val="0"/>
                <w:numId w:val="17"/>
              </w:numPr>
              <w:spacing w:after="160" w:line="276" w:lineRule="auto"/>
              <w:ind w:left="357" w:hanging="357"/>
              <w:contextualSpacing/>
              <w:jc w:val="both"/>
              <w:rPr>
                <w:rFonts w:ascii="Verdana" w:eastAsia="Calibri" w:hAnsi="Verdana" w:cs="Arial"/>
                <w:lang w:val="es-ES" w:eastAsia="es-MX"/>
              </w:rPr>
            </w:pPr>
            <w:r w:rsidRPr="00A7080B">
              <w:rPr>
                <w:rFonts w:ascii="Verdana" w:eastAsia="Calibri" w:hAnsi="Verdana" w:cs="Arial"/>
                <w:lang w:val="es-ES" w:eastAsia="es-MX"/>
              </w:rPr>
              <w:t xml:space="preserve">Decreto 1082 de 2015: Artículo 2.2.1.1.1.6.2. </w:t>
            </w:r>
          </w:p>
          <w:p w14:paraId="7B3BA7CD" w14:textId="77777777" w:rsidR="00313CC3" w:rsidRPr="00A7080B" w:rsidRDefault="00313CC3" w:rsidP="009C26D1">
            <w:pPr>
              <w:numPr>
                <w:ilvl w:val="0"/>
                <w:numId w:val="17"/>
              </w:numPr>
              <w:spacing w:after="160" w:line="276" w:lineRule="auto"/>
              <w:ind w:left="357" w:hanging="357"/>
              <w:contextualSpacing/>
              <w:jc w:val="both"/>
              <w:rPr>
                <w:rFonts w:ascii="Verdana" w:eastAsia="Calibri" w:hAnsi="Verdana" w:cs="Arial"/>
                <w:lang w:val="es-ES" w:eastAsia="es-MX"/>
              </w:rPr>
            </w:pPr>
            <w:r w:rsidRPr="00A7080B">
              <w:rPr>
                <w:rFonts w:ascii="Verdana" w:hAnsi="Verdana"/>
                <w:lang w:val="es-ES"/>
              </w:rPr>
              <w:t xml:space="preserve">Consejo de Estado. Sección Tercera. Subsección A. Sentencia del 19 de mayo de 2025. </w:t>
            </w:r>
            <w:proofErr w:type="spellStart"/>
            <w:r w:rsidRPr="00A7080B">
              <w:rPr>
                <w:rFonts w:ascii="Verdana" w:hAnsi="Verdana"/>
                <w:lang w:val="es-ES"/>
              </w:rPr>
              <w:t>Exp</w:t>
            </w:r>
            <w:proofErr w:type="spellEnd"/>
            <w:r w:rsidRPr="00A7080B">
              <w:rPr>
                <w:rFonts w:ascii="Verdana" w:hAnsi="Verdana"/>
                <w:lang w:val="es-ES"/>
              </w:rPr>
              <w:t>. 69503. C.P. José Roberto Sáchica Méndez.</w:t>
            </w:r>
          </w:p>
          <w:p w14:paraId="3AA15B95" w14:textId="77777777" w:rsidR="00313CC3" w:rsidRPr="00A7080B" w:rsidRDefault="00313CC3" w:rsidP="009C26D1">
            <w:pPr>
              <w:numPr>
                <w:ilvl w:val="0"/>
                <w:numId w:val="17"/>
              </w:numPr>
              <w:spacing w:after="160" w:line="276" w:lineRule="auto"/>
              <w:ind w:left="357" w:hanging="357"/>
              <w:contextualSpacing/>
              <w:jc w:val="both"/>
              <w:rPr>
                <w:rFonts w:ascii="Verdana" w:hAnsi="Verdana" w:cs="Arial"/>
                <w:color w:val="000000" w:themeColor="text1"/>
                <w:lang w:val="es-ES"/>
              </w:rPr>
            </w:pPr>
            <w:r w:rsidRPr="00A7080B">
              <w:rPr>
                <w:rFonts w:ascii="Verdana" w:eastAsia="Calibri" w:hAnsi="Verdana" w:cs="Arial"/>
                <w:lang w:val="es-ES" w:eastAsia="es-MX"/>
              </w:rPr>
              <w:t xml:space="preserve">Agencia Nacional de Contratación Pública – Colombia Compra Eficiente. Manual para determinar y verificar los requisitos habilitantes en los Procesos de Contratación. Disponible en: </w:t>
            </w:r>
            <w:hyperlink r:id="rId13" w:history="1">
              <w:r w:rsidRPr="00A7080B">
                <w:rPr>
                  <w:rFonts w:ascii="Verdana" w:eastAsia="Calibri" w:hAnsi="Verdana" w:cs="Arial"/>
                  <w:color w:val="0000FF"/>
                  <w:u w:val="single"/>
                  <w:lang w:val="es-ES" w:eastAsia="es-MX"/>
                </w:rPr>
                <w:t>https://colombiacompra.gov.co/manuales-guias-y-pliegos-tipo/manuales-y-guias</w:t>
              </w:r>
            </w:hyperlink>
            <w:r w:rsidRPr="00A7080B">
              <w:rPr>
                <w:rFonts w:ascii="Verdana" w:eastAsia="Calibri" w:hAnsi="Verdana" w:cs="Arial"/>
                <w:lang w:val="es-ES" w:eastAsia="es-MX"/>
              </w:rPr>
              <w:t xml:space="preserve"> </w:t>
            </w:r>
          </w:p>
          <w:p w14:paraId="5B43438F" w14:textId="77777777" w:rsidR="00313CC3" w:rsidRPr="00A7080B" w:rsidRDefault="00313CC3" w:rsidP="009C26D1">
            <w:pPr>
              <w:spacing w:line="276" w:lineRule="auto"/>
              <w:jc w:val="both"/>
              <w:rPr>
                <w:rFonts w:ascii="Verdana" w:hAnsi="Verdana" w:cs="Arial"/>
                <w:color w:val="000000" w:themeColor="text1"/>
                <w:lang w:val="es-ES"/>
              </w:rPr>
            </w:pPr>
          </w:p>
        </w:tc>
      </w:tr>
    </w:tbl>
    <w:p w14:paraId="5EDEE9F8"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rPr>
      </w:pPr>
    </w:p>
    <w:p w14:paraId="28C2BE4A" w14:textId="77777777" w:rsidR="00313CC3" w:rsidRPr="00A7080B" w:rsidRDefault="00313CC3" w:rsidP="00313CC3">
      <w:pPr>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A7080B">
        <w:rPr>
          <w:rFonts w:ascii="Verdana" w:eastAsia="Century Gothic" w:hAnsi="Verdana" w:cs="Century Gothic"/>
          <w:b/>
          <w:bCs/>
          <w:color w:val="000000" w:themeColor="text1"/>
          <w:lang w:val="es-ES"/>
        </w:rPr>
        <w:t>Doctrina de la Agencia Nacional de Contratación Pública:</w:t>
      </w:r>
    </w:p>
    <w:p w14:paraId="520AE5A3"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rPr>
      </w:pPr>
    </w:p>
    <w:p w14:paraId="0718865E"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shd w:val="clear" w:color="auto" w:fill="FFFFFF"/>
        </w:rPr>
      </w:pPr>
      <w:r w:rsidRPr="00A7080B">
        <w:rPr>
          <w:rFonts w:ascii="Verdana" w:eastAsia="Calibri" w:hAnsi="Verdana" w:cs="Arial"/>
          <w:color w:val="000000" w:themeColor="text1"/>
          <w:lang w:eastAsia="es-ES_tradnl"/>
        </w:rPr>
        <w:t xml:space="preserve">La Agencia Nacional de Contratación Pública – Colombia Compra Eficiente </w:t>
      </w:r>
      <w:r w:rsidRPr="00A7080B">
        <w:rPr>
          <w:rFonts w:ascii="Verdana" w:eastAsia="Arial" w:hAnsi="Verdana" w:cs="Arial"/>
          <w:lang w:val="es-MX" w:eastAsia="es-ES_tradnl"/>
        </w:rPr>
        <w:t xml:space="preserve">se ha </w:t>
      </w:r>
      <w:r w:rsidRPr="00A7080B">
        <w:rPr>
          <w:rFonts w:ascii="Verdana" w:eastAsia="Arial" w:hAnsi="Verdana" w:cs="Arial"/>
          <w:lang w:val="es-MX" w:eastAsia="es-ES_tradnl"/>
        </w:rPr>
        <w:lastRenderedPageBreak/>
        <w:t xml:space="preserve">referido a la determinación de los requisitos habilitantes en los conceptos C-120 del 3 de marzo de 2020, C-204 del 31 de marzo de 2020, C-099 del 6 de abril  de 2020, C-195 del 13 de abril de 2020, C-013 del 17 de abril de 2020, C-330 del 27 de mayo de 2020 y C-396 de 16 de julio </w:t>
      </w:r>
      <w:r w:rsidRPr="00A7080B">
        <w:rPr>
          <w:rFonts w:ascii="Verdana" w:hAnsi="Verdana" w:cs="Arial"/>
          <w:shd w:val="clear" w:color="auto" w:fill="FFFFFF"/>
          <w:lang w:val="es-ES"/>
        </w:rPr>
        <w:t xml:space="preserve">de 2020, C-142 del 30 de marzo de 2022,  C-337 de 18de agosto de 2023,Concepto C-483 del 26 de septiembre de 2024, Concepto C- 662 de 2024 del 29 de enero de 2025, C –043 del 28 </w:t>
      </w:r>
      <w:proofErr w:type="spellStart"/>
      <w:r w:rsidRPr="00A7080B">
        <w:rPr>
          <w:rFonts w:ascii="Verdana" w:hAnsi="Verdana" w:cs="Arial"/>
          <w:shd w:val="clear" w:color="auto" w:fill="FFFFFF"/>
          <w:lang w:val="es-ES"/>
        </w:rPr>
        <w:t>del</w:t>
      </w:r>
      <w:proofErr w:type="spellEnd"/>
      <w:r w:rsidRPr="00A7080B">
        <w:rPr>
          <w:rFonts w:ascii="Verdana" w:hAnsi="Verdana" w:cs="Arial"/>
          <w:shd w:val="clear" w:color="auto" w:fill="FFFFFF"/>
          <w:lang w:val="es-ES"/>
        </w:rPr>
        <w:t xml:space="preserve"> febrero de 2025, Concepto C- 116 del 1 de marzo de 2025, entre otros. Estos se encuentran disponibles para consulta en el Sistema de relatoría de la Agencia, al cual puede accederse a través del siguiente enlace:</w:t>
      </w:r>
      <w:r w:rsidRPr="00A7080B">
        <w:rPr>
          <w:rFonts w:ascii="Verdana" w:hAnsi="Verdana"/>
          <w:lang w:val="es-ES"/>
        </w:rPr>
        <w:t xml:space="preserve"> </w:t>
      </w:r>
      <w:hyperlink r:id="rId14" w:history="1">
        <w:r w:rsidRPr="00A7080B">
          <w:rPr>
            <w:rFonts w:ascii="Verdana" w:hAnsi="Verdana" w:cs="Arial"/>
            <w:color w:val="0000FF"/>
            <w:u w:val="single"/>
            <w:shd w:val="clear" w:color="auto" w:fill="FFFFFF"/>
          </w:rPr>
          <w:t>https://relatoria.colombiacompra.gov.co/busqueda/conceptos</w:t>
        </w:r>
      </w:hyperlink>
      <w:r w:rsidRPr="00A7080B">
        <w:rPr>
          <w:rFonts w:ascii="Verdana" w:hAnsi="Verdana"/>
          <w:color w:val="0000FF"/>
          <w:u w:val="single"/>
        </w:rPr>
        <w:t>.</w:t>
      </w:r>
      <w:r w:rsidRPr="00A7080B">
        <w:rPr>
          <w:rFonts w:ascii="Verdana" w:hAnsi="Verdana" w:cs="Arial"/>
          <w:color w:val="000000" w:themeColor="text1"/>
          <w:shd w:val="clear" w:color="auto" w:fill="FFFFFF"/>
        </w:rPr>
        <w:t xml:space="preserve"> </w:t>
      </w:r>
      <w:r w:rsidRPr="00A7080B">
        <w:rPr>
          <w:rFonts w:ascii="Verdana" w:hAnsi="Verdana" w:cs="Arial"/>
          <w:color w:val="000000" w:themeColor="text1"/>
          <w:shd w:val="clear" w:color="auto" w:fill="FFFFFF"/>
          <w:lang w:val="es-ES"/>
        </w:rPr>
        <w:t xml:space="preserve"> </w:t>
      </w:r>
    </w:p>
    <w:p w14:paraId="52E78A0E"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shd w:val="clear" w:color="auto" w:fill="FFFFFF"/>
        </w:rPr>
      </w:pPr>
    </w:p>
    <w:p w14:paraId="17A826FC"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lang w:val="es-ES_tradnl"/>
        </w:rPr>
      </w:pPr>
      <w:r w:rsidRPr="00A7080B">
        <w:rPr>
          <w:rFonts w:ascii="Verdana" w:hAnsi="Verdana" w:cs="Arial"/>
          <w:color w:val="000000" w:themeColor="text1"/>
        </w:rPr>
        <w:t xml:space="preserve">Este concepto tiene el alcance previsto en el artículo 28 del Código de Procedimiento Administrativo y de lo Contencioso Administrativo </w:t>
      </w:r>
      <w:r w:rsidRPr="00A7080B">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28EC5A9B" w14:textId="77777777" w:rsidR="00313CC3" w:rsidRPr="00A7080B" w:rsidRDefault="00313CC3" w:rsidP="00313CC3">
      <w:pPr>
        <w:widowControl w:val="0"/>
        <w:autoSpaceDE w:val="0"/>
        <w:autoSpaceDN w:val="0"/>
        <w:spacing w:after="0" w:line="276" w:lineRule="auto"/>
        <w:jc w:val="both"/>
        <w:rPr>
          <w:rFonts w:ascii="Verdana" w:hAnsi="Verdana" w:cs="Arial"/>
          <w:color w:val="000000" w:themeColor="text1"/>
        </w:rPr>
      </w:pPr>
    </w:p>
    <w:p w14:paraId="0E5CA39C" w14:textId="77777777" w:rsidR="00313CC3" w:rsidRPr="00A7080B" w:rsidRDefault="00313CC3" w:rsidP="00313CC3">
      <w:pPr>
        <w:spacing w:after="0" w:line="276" w:lineRule="auto"/>
        <w:rPr>
          <w:rFonts w:ascii="Verdana" w:hAnsi="Verdana" w:cs="Arial"/>
          <w:color w:val="000000" w:themeColor="text1"/>
          <w:lang w:eastAsia="es-CO"/>
        </w:rPr>
      </w:pPr>
      <w:r w:rsidRPr="00A7080B">
        <w:rPr>
          <w:rFonts w:ascii="Verdana" w:eastAsia="Times New Roman" w:hAnsi="Verdana" w:cs="Arial"/>
          <w:color w:val="000000" w:themeColor="text1"/>
          <w:lang w:eastAsia="es-CO"/>
        </w:rPr>
        <w:t>Atentamente,</w:t>
      </w:r>
      <w:r w:rsidRPr="00A7080B">
        <w:rPr>
          <w:rFonts w:ascii="Verdana" w:hAnsi="Verdana" w:cs="Arial"/>
          <w:color w:val="000000" w:themeColor="text1"/>
          <w:lang w:eastAsia="es-CO"/>
        </w:rPr>
        <w:t xml:space="preserve"> </w:t>
      </w:r>
    </w:p>
    <w:p w14:paraId="12FD4D19" w14:textId="2AC9A04B" w:rsidR="00313CC3" w:rsidRPr="00545857" w:rsidRDefault="00FD18B2" w:rsidP="00313CC3">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14173537" wp14:editId="59613BE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3CC3" w:rsidRPr="00545857" w14:paraId="3E70D251" w14:textId="77777777" w:rsidTr="009C26D1">
        <w:trPr>
          <w:trHeight w:val="315"/>
        </w:trPr>
        <w:tc>
          <w:tcPr>
            <w:tcW w:w="893" w:type="dxa"/>
            <w:vAlign w:val="center"/>
            <w:hideMark/>
          </w:tcPr>
          <w:p w14:paraId="1A837F1E" w14:textId="77777777" w:rsidR="00313CC3" w:rsidRPr="00545857" w:rsidRDefault="00313CC3" w:rsidP="009C26D1">
            <w:pPr>
              <w:contextualSpacing/>
              <w:rPr>
                <w:rFonts w:ascii="Verdana" w:hAnsi="Verdana" w:cs="Arial"/>
                <w:sz w:val="16"/>
                <w:szCs w:val="16"/>
                <w:lang w:val="es-ES" w:eastAsia="es-ES"/>
              </w:rPr>
            </w:pPr>
            <w:r w:rsidRPr="0054585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1B05CDE" w14:textId="77777777" w:rsidR="00313CC3" w:rsidRPr="00545857" w:rsidRDefault="00313CC3" w:rsidP="009C26D1">
            <w:pPr>
              <w:contextualSpacing/>
              <w:rPr>
                <w:rStyle w:val="normaltextrun"/>
                <w:rFonts w:ascii="Verdana" w:hAnsi="Verdana"/>
                <w:sz w:val="16"/>
                <w:szCs w:val="16"/>
              </w:rPr>
            </w:pPr>
            <w:r w:rsidRPr="00545857">
              <w:rPr>
                <w:rStyle w:val="normaltextrun"/>
                <w:rFonts w:ascii="Verdana" w:hAnsi="Verdana"/>
                <w:sz w:val="16"/>
                <w:szCs w:val="16"/>
              </w:rPr>
              <w:t>Tatiana Baquero Iguarán</w:t>
            </w:r>
          </w:p>
          <w:p w14:paraId="25E7889E" w14:textId="77777777" w:rsidR="00313CC3" w:rsidRPr="00545857" w:rsidRDefault="00313CC3" w:rsidP="009C26D1">
            <w:pPr>
              <w:contextualSpacing/>
              <w:rPr>
                <w:rFonts w:ascii="Verdana" w:eastAsia="Arial" w:hAnsi="Verdana" w:cs="Arial"/>
                <w:sz w:val="16"/>
                <w:szCs w:val="16"/>
              </w:rPr>
            </w:pPr>
            <w:r w:rsidRPr="00545857">
              <w:rPr>
                <w:rStyle w:val="normaltextrun"/>
                <w:rFonts w:ascii="Verdana" w:hAnsi="Verdana"/>
                <w:sz w:val="16"/>
                <w:szCs w:val="16"/>
              </w:rPr>
              <w:t>Contratista de la Subdirección de Gestión Contractual</w:t>
            </w:r>
          </w:p>
        </w:tc>
      </w:tr>
      <w:tr w:rsidR="00313CC3" w:rsidRPr="00545857" w14:paraId="4A646E11" w14:textId="77777777" w:rsidTr="009C26D1">
        <w:trPr>
          <w:trHeight w:val="330"/>
        </w:trPr>
        <w:tc>
          <w:tcPr>
            <w:tcW w:w="893" w:type="dxa"/>
            <w:vAlign w:val="center"/>
            <w:hideMark/>
          </w:tcPr>
          <w:p w14:paraId="09413AC1" w14:textId="77777777" w:rsidR="00313CC3" w:rsidRPr="00545857" w:rsidRDefault="00313CC3" w:rsidP="009C26D1">
            <w:pPr>
              <w:contextualSpacing/>
              <w:rPr>
                <w:rFonts w:ascii="Verdana" w:hAnsi="Verdana" w:cs="Arial"/>
                <w:sz w:val="16"/>
                <w:szCs w:val="16"/>
                <w:lang w:val="es-ES" w:eastAsia="es-ES"/>
              </w:rPr>
            </w:pPr>
            <w:r w:rsidRPr="0054585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77C2F9" w14:textId="77777777" w:rsidR="00313CC3" w:rsidRPr="00545857" w:rsidRDefault="00313CC3" w:rsidP="009C26D1">
            <w:pPr>
              <w:pStyle w:val="paragraph"/>
              <w:spacing w:after="0"/>
              <w:contextualSpacing/>
              <w:textAlignment w:val="baseline"/>
              <w:rPr>
                <w:rStyle w:val="normaltextrun"/>
                <w:rFonts w:ascii="Verdana" w:hAnsi="Verdana" w:cs="Arial"/>
                <w:sz w:val="16"/>
                <w:szCs w:val="16"/>
                <w:lang w:val="es-ES"/>
              </w:rPr>
            </w:pPr>
            <w:r w:rsidRPr="00545857">
              <w:rPr>
                <w:rStyle w:val="normaltextrun"/>
                <w:rFonts w:ascii="Verdana" w:hAnsi="Verdana" w:cs="Arial"/>
                <w:sz w:val="16"/>
                <w:szCs w:val="16"/>
                <w:lang w:val="es-ES"/>
              </w:rPr>
              <w:t>Alejandro Sarmiento Cantillo</w:t>
            </w:r>
          </w:p>
          <w:p w14:paraId="5B7FA186" w14:textId="77777777" w:rsidR="00313CC3" w:rsidRPr="00545857" w:rsidRDefault="00313CC3" w:rsidP="009C26D1">
            <w:pPr>
              <w:pStyle w:val="paragraph"/>
              <w:spacing w:before="0" w:beforeAutospacing="0" w:after="0" w:afterAutospacing="0"/>
              <w:contextualSpacing/>
              <w:textAlignment w:val="baseline"/>
              <w:rPr>
                <w:rFonts w:ascii="Verdana" w:hAnsi="Verdana" w:cs="Segoe UI"/>
                <w:sz w:val="16"/>
                <w:szCs w:val="16"/>
              </w:rPr>
            </w:pPr>
            <w:r w:rsidRPr="00545857">
              <w:rPr>
                <w:rStyle w:val="normaltextrun"/>
                <w:rFonts w:ascii="Verdana" w:hAnsi="Verdana" w:cs="Arial"/>
                <w:sz w:val="16"/>
                <w:szCs w:val="16"/>
                <w:lang w:val="es-ES"/>
              </w:rPr>
              <w:t>Gestor T1 ‒ 15 de la Subdirección de Gestión Contractual</w:t>
            </w:r>
            <w:r w:rsidRPr="00545857">
              <w:rPr>
                <w:rStyle w:val="eop"/>
                <w:rFonts w:ascii="Verdana" w:hAnsi="Verdana" w:cs="Arial"/>
                <w:sz w:val="16"/>
                <w:szCs w:val="16"/>
              </w:rPr>
              <w:t> </w:t>
            </w:r>
          </w:p>
        </w:tc>
      </w:tr>
      <w:tr w:rsidR="00313CC3" w:rsidRPr="00545857" w14:paraId="500F33D3" w14:textId="77777777" w:rsidTr="009C26D1">
        <w:trPr>
          <w:trHeight w:val="300"/>
        </w:trPr>
        <w:tc>
          <w:tcPr>
            <w:tcW w:w="893" w:type="dxa"/>
            <w:vAlign w:val="center"/>
          </w:tcPr>
          <w:p w14:paraId="09DF5A98" w14:textId="77777777" w:rsidR="00313CC3" w:rsidRPr="00545857" w:rsidRDefault="00313CC3" w:rsidP="009C26D1">
            <w:pPr>
              <w:contextualSpacing/>
              <w:rPr>
                <w:rFonts w:ascii="Verdana" w:hAnsi="Verdana" w:cs="Arial"/>
                <w:sz w:val="16"/>
                <w:szCs w:val="16"/>
                <w:lang w:val="es-ES" w:eastAsia="es-ES"/>
              </w:rPr>
            </w:pPr>
            <w:r w:rsidRPr="0054585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A33995" w14:textId="77777777" w:rsidR="00313CC3" w:rsidRPr="00545857" w:rsidRDefault="00313CC3" w:rsidP="009C26D1">
            <w:pPr>
              <w:contextualSpacing/>
              <w:rPr>
                <w:rFonts w:ascii="Verdana" w:eastAsia="Calibri" w:hAnsi="Verdana" w:cs="Arial"/>
                <w:sz w:val="16"/>
                <w:szCs w:val="16"/>
                <w:lang w:val="pt-BR" w:eastAsia="es-ES"/>
              </w:rPr>
            </w:pPr>
            <w:r w:rsidRPr="00545857">
              <w:rPr>
                <w:rFonts w:ascii="Verdana" w:eastAsia="Calibri" w:hAnsi="Verdana" w:cs="Arial"/>
                <w:sz w:val="16"/>
                <w:szCs w:val="16"/>
                <w:lang w:val="pt-BR" w:eastAsia="es-ES"/>
              </w:rPr>
              <w:t xml:space="preserve">Carolina Quintero </w:t>
            </w:r>
            <w:proofErr w:type="spellStart"/>
            <w:r w:rsidRPr="00545857">
              <w:rPr>
                <w:rFonts w:ascii="Verdana" w:eastAsia="Calibri" w:hAnsi="Verdana" w:cs="Arial"/>
                <w:sz w:val="16"/>
                <w:szCs w:val="16"/>
                <w:lang w:val="pt-BR" w:eastAsia="es-ES"/>
              </w:rPr>
              <w:t>Gacharná</w:t>
            </w:r>
            <w:proofErr w:type="spellEnd"/>
          </w:p>
          <w:p w14:paraId="08E4E418" w14:textId="77777777" w:rsidR="00313CC3" w:rsidRPr="00545857" w:rsidRDefault="00313CC3" w:rsidP="009C26D1">
            <w:pPr>
              <w:contextualSpacing/>
              <w:rPr>
                <w:rFonts w:ascii="Verdana" w:eastAsia="Calibri" w:hAnsi="Verdana" w:cs="Arial"/>
                <w:sz w:val="16"/>
                <w:szCs w:val="16"/>
                <w:lang w:val="pt-BR" w:eastAsia="es-ES"/>
              </w:rPr>
            </w:pPr>
            <w:r w:rsidRPr="00545857">
              <w:rPr>
                <w:rFonts w:ascii="Verdana" w:eastAsia="Calibri" w:hAnsi="Verdana" w:cs="Arial"/>
                <w:sz w:val="16"/>
                <w:szCs w:val="16"/>
                <w:lang w:eastAsia="es-ES"/>
              </w:rPr>
              <w:t>Subdirectora</w:t>
            </w:r>
            <w:r w:rsidRPr="00545857">
              <w:rPr>
                <w:rFonts w:ascii="Verdana" w:eastAsia="Calibri" w:hAnsi="Verdana" w:cs="Arial"/>
                <w:sz w:val="16"/>
                <w:szCs w:val="16"/>
                <w:lang w:val="pt-BR" w:eastAsia="es-ES"/>
              </w:rPr>
              <w:t xml:space="preserve"> de Gestión </w:t>
            </w:r>
            <w:proofErr w:type="spellStart"/>
            <w:r w:rsidRPr="00545857">
              <w:rPr>
                <w:rFonts w:ascii="Verdana" w:eastAsia="Calibri" w:hAnsi="Verdana" w:cs="Arial"/>
                <w:sz w:val="16"/>
                <w:szCs w:val="16"/>
                <w:lang w:val="pt-BR" w:eastAsia="es-ES"/>
              </w:rPr>
              <w:t>Contractual</w:t>
            </w:r>
            <w:proofErr w:type="spellEnd"/>
            <w:r w:rsidRPr="00545857">
              <w:rPr>
                <w:rFonts w:ascii="Verdana" w:eastAsia="Calibri" w:hAnsi="Verdana" w:cs="Arial"/>
                <w:sz w:val="16"/>
                <w:szCs w:val="16"/>
                <w:lang w:val="pt-BR" w:eastAsia="es-ES"/>
              </w:rPr>
              <w:t xml:space="preserve"> ANCP – CCE</w:t>
            </w:r>
          </w:p>
        </w:tc>
      </w:tr>
    </w:tbl>
    <w:p w14:paraId="72440DF3" w14:textId="77777777" w:rsidR="00313CC3" w:rsidRPr="00A7080B" w:rsidRDefault="00313CC3" w:rsidP="00313CC3"/>
    <w:p w14:paraId="2CFBCA5B" w14:textId="77777777" w:rsidR="00933A01" w:rsidRDefault="00933A01" w:rsidP="00933A01">
      <w:pPr>
        <w:spacing w:after="0" w:line="240" w:lineRule="auto"/>
        <w:rPr>
          <w:rFonts w:ascii="Verdana" w:hAnsi="Verdana"/>
        </w:rPr>
      </w:pPr>
    </w:p>
    <w:bookmarkEnd w:id="0"/>
    <w:sectPr w:rsidR="00933A01"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56FDF" w14:textId="77777777" w:rsidR="003F738C" w:rsidRDefault="003F738C" w:rsidP="004A1847">
      <w:pPr>
        <w:spacing w:after="0" w:line="240" w:lineRule="auto"/>
      </w:pPr>
      <w:r>
        <w:separator/>
      </w:r>
    </w:p>
  </w:endnote>
  <w:endnote w:type="continuationSeparator" w:id="0">
    <w:p w14:paraId="0D253CDC" w14:textId="77777777" w:rsidR="003F738C" w:rsidRDefault="003F738C" w:rsidP="004A1847">
      <w:pPr>
        <w:spacing w:after="0" w:line="240" w:lineRule="auto"/>
      </w:pPr>
      <w:r>
        <w:continuationSeparator/>
      </w:r>
    </w:p>
  </w:endnote>
  <w:endnote w:type="continuationNotice" w:id="1">
    <w:p w14:paraId="53F3E8DE" w14:textId="77777777" w:rsidR="003F738C" w:rsidRDefault="003F73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FF5FC5" w14:textId="77777777" w:rsidR="003F738C" w:rsidRDefault="003F738C" w:rsidP="004A1847">
      <w:pPr>
        <w:spacing w:after="0" w:line="240" w:lineRule="auto"/>
      </w:pPr>
      <w:r>
        <w:separator/>
      </w:r>
    </w:p>
  </w:footnote>
  <w:footnote w:type="continuationSeparator" w:id="0">
    <w:p w14:paraId="16C71DE8" w14:textId="77777777" w:rsidR="003F738C" w:rsidRDefault="003F738C" w:rsidP="004A1847">
      <w:pPr>
        <w:spacing w:after="0" w:line="240" w:lineRule="auto"/>
      </w:pPr>
      <w:r>
        <w:continuationSeparator/>
      </w:r>
    </w:p>
  </w:footnote>
  <w:footnote w:type="continuationNotice" w:id="1">
    <w:p w14:paraId="1062FB07" w14:textId="77777777" w:rsidR="003F738C" w:rsidRDefault="003F738C">
      <w:pPr>
        <w:spacing w:after="0" w:line="240" w:lineRule="auto"/>
      </w:pPr>
    </w:p>
  </w:footnote>
  <w:footnote w:id="2">
    <w:p w14:paraId="2A810011" w14:textId="77777777" w:rsidR="00313CC3" w:rsidRPr="000418A8" w:rsidRDefault="00313CC3" w:rsidP="00313CC3">
      <w:pPr>
        <w:pStyle w:val="NormalWeb"/>
        <w:snapToGrid w:val="0"/>
        <w:spacing w:before="0" w:beforeAutospacing="0" w:after="0" w:afterAutospacing="0"/>
        <w:ind w:firstLine="709"/>
        <w:contextualSpacing/>
        <w:jc w:val="both"/>
        <w:rPr>
          <w:rFonts w:ascii="Verdana" w:hAnsi="Verdana" w:cs="Arial"/>
          <w:sz w:val="16"/>
          <w:szCs w:val="16"/>
        </w:rPr>
      </w:pPr>
      <w:r w:rsidRPr="000418A8">
        <w:rPr>
          <w:rStyle w:val="Refdenotaalpie"/>
          <w:rFonts w:ascii="Verdana" w:hAnsi="Verdana" w:cs="Arial"/>
          <w:sz w:val="16"/>
          <w:szCs w:val="16"/>
        </w:rPr>
        <w:footnoteRef/>
      </w:r>
      <w:r w:rsidRPr="000418A8">
        <w:rPr>
          <w:rFonts w:ascii="Verdana" w:hAnsi="Verdana" w:cs="Arial"/>
          <w:sz w:val="16"/>
          <w:szCs w:val="16"/>
        </w:rPr>
        <w:t xml:space="preserve"> </w:t>
      </w:r>
      <w:r w:rsidRPr="000418A8">
        <w:rPr>
          <w:rFonts w:ascii="Verdana" w:hAnsi="Verdana" w:cs="Arial"/>
          <w:sz w:val="16"/>
          <w:szCs w:val="16"/>
          <w:lang w:val="es-ES"/>
        </w:rPr>
        <w:t>“</w:t>
      </w:r>
      <w:r w:rsidRPr="000418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31EC5ED3" w14:textId="77777777" w:rsidR="00313CC3" w:rsidRPr="000418A8" w:rsidRDefault="00313CC3" w:rsidP="00313CC3">
      <w:pPr>
        <w:snapToGrid w:val="0"/>
        <w:spacing w:after="0" w:line="240" w:lineRule="auto"/>
        <w:ind w:firstLine="708"/>
        <w:contextualSpacing/>
        <w:jc w:val="both"/>
        <w:rPr>
          <w:rFonts w:ascii="Verdana" w:hAnsi="Verdana" w:cs="Arial"/>
          <w:sz w:val="16"/>
          <w:szCs w:val="16"/>
        </w:rPr>
      </w:pPr>
      <w:r w:rsidRPr="000418A8">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53FE858A" w14:textId="77777777" w:rsidR="00313CC3" w:rsidRPr="000418A8" w:rsidRDefault="00313CC3" w:rsidP="00313CC3">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El </w:t>
      </w:r>
      <w:r w:rsidRPr="000418A8">
        <w:rPr>
          <w:rFonts w:ascii="Verdana" w:eastAsia="Times New Roman" w:hAnsi="Verdana" w:cs="Arial"/>
          <w:sz w:val="16"/>
          <w:szCs w:val="16"/>
          <w:lang w:val="es-ES" w:eastAsia="es-MX"/>
        </w:rPr>
        <w:t>“Manual para determinar y verificar los requisitos habilitantes en los Procesos de Contratación”</w:t>
      </w:r>
      <w:r w:rsidRPr="000418A8">
        <w:rPr>
          <w:rFonts w:ascii="Verdana" w:eastAsia="Calibri" w:hAnsi="Verdana" w:cs="Arial"/>
          <w:sz w:val="16"/>
          <w:szCs w:val="16"/>
          <w:lang w:val="es-ES" w:eastAsia="es-MX"/>
        </w:rPr>
        <w:t>,</w:t>
      </w:r>
      <w:r w:rsidRPr="000418A8">
        <w:rPr>
          <w:rFonts w:ascii="Verdana" w:eastAsia="Times New Roman" w:hAnsi="Verdana" w:cs="Arial"/>
          <w:sz w:val="16"/>
          <w:szCs w:val="16"/>
          <w:lang w:val="es-ES" w:eastAsia="es-MX"/>
        </w:rPr>
        <w:t xml:space="preserve"> expedido por la </w:t>
      </w:r>
      <w:r w:rsidRPr="000418A8">
        <w:rPr>
          <w:rFonts w:ascii="Verdana" w:eastAsia="Calibri" w:hAnsi="Verdana" w:cs="Arial"/>
          <w:sz w:val="16"/>
          <w:szCs w:val="16"/>
          <w:lang w:val="es-ES" w:eastAsia="es-MX"/>
        </w:rPr>
        <w:t xml:space="preserve">Agencia Nacional de Contratación Pública – Colombia Compra Eficiente, puede ser consultado en el siguiente enlace: </w:t>
      </w:r>
      <w:hyperlink r:id="rId1" w:history="1">
        <w:r w:rsidRPr="000418A8">
          <w:rPr>
            <w:rStyle w:val="Hipervnculo"/>
            <w:rFonts w:ascii="Verdana" w:eastAsia="Calibri" w:hAnsi="Verdana" w:cs="Arial"/>
            <w:sz w:val="16"/>
            <w:szCs w:val="16"/>
            <w:lang w:val="es-ES" w:eastAsia="es-MX"/>
          </w:rPr>
          <w:t>https://colombiacompra.gov.co/sites/cce_public/files/cce_documents/cce-eicp-ma-04._manual_requisitos_habilitantes_v3_29-09-2023.pdf</w:t>
        </w:r>
      </w:hyperlink>
      <w:r w:rsidRPr="000418A8">
        <w:rPr>
          <w:rFonts w:ascii="Verdana" w:eastAsia="Calibri" w:hAnsi="Verdana" w:cs="Arial"/>
          <w:sz w:val="16"/>
          <w:szCs w:val="16"/>
          <w:lang w:val="es-ES" w:eastAsia="es-MX"/>
        </w:rPr>
        <w:t xml:space="preserve">  </w:t>
      </w:r>
    </w:p>
  </w:footnote>
  <w:footnote w:id="4">
    <w:p w14:paraId="6655E482" w14:textId="77777777" w:rsidR="00313CC3" w:rsidRPr="000418A8" w:rsidRDefault="00313CC3" w:rsidP="00313CC3">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Style w:val="Refdenotaalpie"/>
          <w:rFonts w:ascii="Verdana" w:hAnsi="Verdana" w:cs="Arial"/>
          <w:sz w:val="16"/>
          <w:szCs w:val="16"/>
        </w:rPr>
        <w:footnoteRef/>
      </w:r>
      <w:r w:rsidRPr="000418A8">
        <w:rPr>
          <w:rStyle w:val="Refdenotaalpie"/>
          <w:rFonts w:ascii="Verdana" w:hAnsi="Verdana" w:cs="Arial"/>
          <w:sz w:val="16"/>
          <w:szCs w:val="16"/>
        </w:rPr>
        <w:t xml:space="preserve"> </w:t>
      </w:r>
      <w:r w:rsidRPr="000418A8">
        <w:rPr>
          <w:rFonts w:ascii="Verdana" w:hAnsi="Verdana" w:cs="Arial"/>
          <w:sz w:val="16"/>
          <w:szCs w:val="16"/>
        </w:rPr>
        <w:t>“</w:t>
      </w:r>
      <w:r w:rsidRPr="000418A8">
        <w:rPr>
          <w:rFonts w:ascii="Verdana" w:hAnsi="Verdana" w:cs="Arial"/>
          <w:sz w:val="16"/>
          <w:szCs w:val="16"/>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82C4637" w14:textId="77777777" w:rsidR="00313CC3" w:rsidRPr="000418A8" w:rsidRDefault="00313CC3" w:rsidP="00313CC3">
      <w:pPr>
        <w:pStyle w:val="NormalWeb"/>
        <w:snapToGrid w:val="0"/>
        <w:spacing w:before="0" w:beforeAutospacing="0" w:after="0" w:afterAutospacing="0"/>
        <w:ind w:firstLine="709"/>
        <w:contextualSpacing/>
        <w:jc w:val="both"/>
        <w:rPr>
          <w:rFonts w:ascii="Verdana" w:hAnsi="Verdana" w:cs="Arial"/>
          <w:sz w:val="16"/>
          <w:szCs w:val="16"/>
          <w:lang w:val="es-ES"/>
        </w:rPr>
      </w:pPr>
      <w:r w:rsidRPr="000418A8">
        <w:rPr>
          <w:rFonts w:ascii="Verdana" w:hAnsi="Verdana" w:cs="Arial"/>
          <w:sz w:val="16"/>
          <w:szCs w:val="16"/>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258E708B" w14:textId="77777777" w:rsidR="00313CC3" w:rsidRPr="000418A8" w:rsidRDefault="00313CC3" w:rsidP="00313CC3">
      <w:pPr>
        <w:pStyle w:val="NormalWeb"/>
        <w:snapToGrid w:val="0"/>
        <w:spacing w:before="0" w:beforeAutospacing="0" w:after="0" w:afterAutospacing="0"/>
        <w:ind w:firstLine="708"/>
        <w:contextualSpacing/>
        <w:jc w:val="both"/>
        <w:rPr>
          <w:rFonts w:ascii="Verdana" w:hAnsi="Verdana" w:cs="Arial"/>
          <w:sz w:val="16"/>
          <w:szCs w:val="16"/>
          <w:lang w:val="es-ES"/>
        </w:rPr>
      </w:pPr>
      <w:r w:rsidRPr="000418A8">
        <w:rPr>
          <w:rFonts w:ascii="Verdana" w:hAnsi="Verdana" w:cs="Arial"/>
          <w:sz w:val="16"/>
          <w:szCs w:val="16"/>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0418A8">
        <w:rPr>
          <w:rFonts w:ascii="Verdana" w:hAnsi="Verdana" w:cs="Verdana"/>
          <w:sz w:val="16"/>
          <w:szCs w:val="16"/>
          <w:lang w:val="es-ES"/>
        </w:rPr>
        <w:t>”</w:t>
      </w:r>
      <w:r w:rsidRPr="000418A8">
        <w:rPr>
          <w:rFonts w:ascii="Verdana" w:hAnsi="Verdana" w:cs="Arial"/>
          <w:sz w:val="16"/>
          <w:szCs w:val="16"/>
          <w:lang w:val="es-ES"/>
        </w:rPr>
        <w:t>.</w:t>
      </w:r>
    </w:p>
    <w:p w14:paraId="64803FB0" w14:textId="77777777" w:rsidR="00313CC3" w:rsidRPr="000418A8" w:rsidRDefault="00313CC3" w:rsidP="00313CC3">
      <w:pPr>
        <w:pStyle w:val="NormalWeb"/>
        <w:snapToGrid w:val="0"/>
        <w:spacing w:before="0" w:beforeAutospacing="0" w:after="0" w:afterAutospacing="0"/>
        <w:ind w:firstLine="708"/>
        <w:contextualSpacing/>
        <w:jc w:val="both"/>
        <w:rPr>
          <w:rStyle w:val="Refdenotaalpie"/>
          <w:rFonts w:ascii="Verdana" w:hAnsi="Verdana"/>
          <w:sz w:val="16"/>
          <w:szCs w:val="16"/>
          <w:vertAlign w:val="baseline"/>
        </w:rPr>
      </w:pPr>
    </w:p>
  </w:footnote>
  <w:footnote w:id="5">
    <w:p w14:paraId="27182FCF" w14:textId="77777777" w:rsidR="00313CC3" w:rsidRPr="000418A8" w:rsidRDefault="00313CC3" w:rsidP="00313CC3">
      <w:pPr>
        <w:pStyle w:val="Textonotapie"/>
        <w:ind w:firstLine="708"/>
        <w:contextualSpacing/>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w:t>
      </w:r>
      <w:bookmarkStart w:id="13" w:name="44"/>
      <w:r w:rsidRPr="000418A8">
        <w:rPr>
          <w:rFonts w:ascii="Verdana" w:hAnsi="Verdana"/>
          <w:sz w:val="16"/>
          <w:szCs w:val="16"/>
        </w:rPr>
        <w:t xml:space="preserve">Sobre el particular el </w:t>
      </w:r>
      <w:r w:rsidRPr="000418A8">
        <w:rPr>
          <w:rFonts w:ascii="Verdana" w:hAnsi="Verdana"/>
          <w:sz w:val="16"/>
          <w:szCs w:val="16"/>
          <w:lang w:val="es-CO"/>
        </w:rPr>
        <w:t>artículo 44 de la Ley 1437 de 2011, dispone: “Decisiones Discrecionales.</w:t>
      </w:r>
      <w:bookmarkEnd w:id="13"/>
      <w:r w:rsidRPr="000418A8">
        <w:rPr>
          <w:rFonts w:ascii="Verdana" w:hAnsi="Verdana"/>
          <w:sz w:val="16"/>
          <w:szCs w:val="16"/>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65EEEF1D" w14:textId="77777777" w:rsidR="00313CC3" w:rsidRPr="000418A8" w:rsidRDefault="00313CC3" w:rsidP="00313CC3">
      <w:pPr>
        <w:spacing w:after="0" w:line="240" w:lineRule="auto"/>
        <w:ind w:firstLine="709"/>
        <w:jc w:val="both"/>
        <w:rPr>
          <w:rFonts w:ascii="Verdana" w:eastAsia="Calibri" w:hAnsi="Verdana"/>
          <w:color w:val="000000" w:themeColor="text1"/>
          <w:sz w:val="16"/>
          <w:szCs w:val="16"/>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eastAsia="Calibri" w:hAnsi="Verdana"/>
          <w:bCs/>
          <w:color w:val="000000" w:themeColor="text1"/>
          <w:sz w:val="16"/>
          <w:szCs w:val="16"/>
        </w:rPr>
        <w:t>Artículo 1037.</w:t>
      </w:r>
      <w:r w:rsidRPr="000418A8">
        <w:rPr>
          <w:rFonts w:ascii="Verdana" w:eastAsia="Calibri" w:hAnsi="Verdana"/>
          <w:color w:val="000000" w:themeColor="text1"/>
          <w:sz w:val="16"/>
          <w:szCs w:val="16"/>
        </w:rPr>
        <w:t> PARTES EN EL CONTRATO DE SEGURO. Son partes del contrato de seguro: </w:t>
      </w:r>
    </w:p>
    <w:p w14:paraId="1A58205A" w14:textId="77777777" w:rsidR="00313CC3" w:rsidRPr="000418A8" w:rsidRDefault="00313CC3" w:rsidP="00313CC3">
      <w:pPr>
        <w:spacing w:after="0" w:line="240" w:lineRule="auto"/>
        <w:ind w:firstLine="709"/>
        <w:jc w:val="both"/>
        <w:rPr>
          <w:rFonts w:ascii="Verdana" w:eastAsia="Calibri" w:hAnsi="Verdana"/>
          <w:color w:val="000000" w:themeColor="text1"/>
          <w:sz w:val="16"/>
          <w:szCs w:val="16"/>
        </w:rPr>
      </w:pPr>
      <w:r w:rsidRPr="000418A8">
        <w:rPr>
          <w:rFonts w:ascii="Verdana" w:eastAsia="Calibri" w:hAnsi="Verdana"/>
          <w:color w:val="000000" w:themeColor="text1"/>
          <w:sz w:val="16"/>
          <w:szCs w:val="16"/>
        </w:rPr>
        <w:t>1) El asegurador, o sea la persona jurídica que asume los riesgos, debidamente autorizada para ello con arreglo a las leyes y reglamentos, y </w:t>
      </w:r>
    </w:p>
    <w:p w14:paraId="41DDD6FD" w14:textId="77777777" w:rsidR="00313CC3" w:rsidRPr="000418A8" w:rsidRDefault="00313CC3" w:rsidP="00313CC3">
      <w:pPr>
        <w:spacing w:after="0" w:line="240" w:lineRule="auto"/>
        <w:ind w:firstLine="709"/>
        <w:jc w:val="both"/>
        <w:rPr>
          <w:rFonts w:ascii="Verdana" w:eastAsia="Calibri" w:hAnsi="Verdana"/>
          <w:color w:val="000000" w:themeColor="text1"/>
          <w:sz w:val="16"/>
          <w:szCs w:val="16"/>
        </w:rPr>
      </w:pPr>
      <w:r w:rsidRPr="000418A8">
        <w:rPr>
          <w:rFonts w:ascii="Verdana" w:eastAsia="Calibri" w:hAnsi="Verdana"/>
          <w:color w:val="000000" w:themeColor="text1"/>
          <w:sz w:val="16"/>
          <w:szCs w:val="16"/>
        </w:rPr>
        <w:t>2) El tomador, o sea la persona que, obrando por cuenta propia o ajena, traslada los riesgos. </w:t>
      </w:r>
    </w:p>
    <w:p w14:paraId="768D8DE2" w14:textId="77777777" w:rsidR="00313CC3" w:rsidRPr="000418A8" w:rsidRDefault="00313CC3" w:rsidP="00313CC3">
      <w:pPr>
        <w:pStyle w:val="Textonotapie"/>
        <w:jc w:val="both"/>
        <w:rPr>
          <w:rFonts w:ascii="Verdana" w:hAnsi="Verdana"/>
          <w:sz w:val="16"/>
          <w:szCs w:val="16"/>
          <w:lang w:val="es-CO"/>
        </w:rPr>
      </w:pPr>
    </w:p>
  </w:footnote>
  <w:footnote w:id="7">
    <w:p w14:paraId="2F891F79" w14:textId="77777777" w:rsidR="00313CC3" w:rsidRPr="000418A8" w:rsidRDefault="00313CC3" w:rsidP="00313CC3">
      <w:pPr>
        <w:pStyle w:val="Textonotapie"/>
        <w:ind w:firstLine="708"/>
        <w:jc w:val="both"/>
        <w:rPr>
          <w:rFonts w:ascii="Verdana" w:hAnsi="Verdana"/>
          <w:sz w:val="16"/>
          <w:szCs w:val="16"/>
        </w:rPr>
      </w:pPr>
      <w:r w:rsidRPr="000418A8">
        <w:rPr>
          <w:rStyle w:val="Refdenotaalpie"/>
          <w:rFonts w:ascii="Verdana" w:hAnsi="Verdana"/>
          <w:sz w:val="16"/>
          <w:szCs w:val="16"/>
        </w:rPr>
        <w:footnoteRef/>
      </w:r>
      <w:r w:rsidRPr="000418A8">
        <w:rPr>
          <w:rFonts w:ascii="Verdana" w:hAnsi="Verdana"/>
          <w:sz w:val="16"/>
          <w:szCs w:val="16"/>
        </w:rPr>
        <w:t xml:space="preserve"> Consejo de Estado. Sección Tercera, Subsección B. Sentencia del 19 de junio de 2013. M.P. Danilo Rojas </w:t>
      </w:r>
      <w:proofErr w:type="spellStart"/>
      <w:r w:rsidRPr="000418A8">
        <w:rPr>
          <w:rFonts w:ascii="Verdana" w:hAnsi="Verdana"/>
          <w:sz w:val="16"/>
          <w:szCs w:val="16"/>
        </w:rPr>
        <w:t>Betancourth</w:t>
      </w:r>
      <w:proofErr w:type="spellEnd"/>
      <w:r w:rsidRPr="000418A8">
        <w:rPr>
          <w:rFonts w:ascii="Verdana" w:hAnsi="Verdana"/>
          <w:sz w:val="16"/>
          <w:szCs w:val="16"/>
        </w:rPr>
        <w:t xml:space="preserve">. </w:t>
      </w:r>
      <w:proofErr w:type="spellStart"/>
      <w:r w:rsidRPr="000418A8">
        <w:rPr>
          <w:rFonts w:ascii="Verdana" w:hAnsi="Verdana"/>
          <w:sz w:val="16"/>
          <w:szCs w:val="16"/>
        </w:rPr>
        <w:t>Exp</w:t>
      </w:r>
      <w:proofErr w:type="spellEnd"/>
      <w:r w:rsidRPr="000418A8">
        <w:rPr>
          <w:rFonts w:ascii="Verdana" w:hAnsi="Verdana"/>
          <w:sz w:val="16"/>
          <w:szCs w:val="16"/>
        </w:rPr>
        <w:t>. 25.472.</w:t>
      </w:r>
    </w:p>
  </w:footnote>
  <w:footnote w:id="8">
    <w:p w14:paraId="3A892EE9" w14:textId="77777777" w:rsidR="00313CC3" w:rsidRPr="000418A8" w:rsidRDefault="00313CC3" w:rsidP="00313CC3">
      <w:pPr>
        <w:pStyle w:val="Textonotapie"/>
        <w:ind w:firstLine="708"/>
        <w:jc w:val="both"/>
        <w:rPr>
          <w:rFonts w:ascii="Verdana" w:hAnsi="Verdana"/>
          <w:sz w:val="16"/>
          <w:szCs w:val="16"/>
          <w:lang w:val="es-CO"/>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hAnsi="Verdana"/>
          <w:sz w:val="16"/>
          <w:szCs w:val="16"/>
          <w:lang w:val="es-CO"/>
        </w:rPr>
        <w:t xml:space="preserve">Al respecto, </w:t>
      </w:r>
      <w:r w:rsidRPr="000418A8">
        <w:rPr>
          <w:rFonts w:ascii="Verdana" w:hAnsi="Verdana"/>
          <w:bCs/>
          <w:sz w:val="16"/>
          <w:szCs w:val="16"/>
          <w:lang w:val="es-CO"/>
        </w:rPr>
        <w:t>los artículos 2.31.1.2.1</w:t>
      </w:r>
      <w:r w:rsidRPr="000418A8">
        <w:rPr>
          <w:rFonts w:ascii="Verdana" w:hAnsi="Verdana"/>
          <w:sz w:val="16"/>
          <w:szCs w:val="16"/>
          <w:lang w:val="es-CO"/>
        </w:rPr>
        <w:t xml:space="preserve">. y 2.31.1.2.5. del Decreto 2555 de 2010 -modificado por el decreto 2954 de 2010-, disponen que “las entidades aseguradoras deben mantener permanentemente y acreditar ante la Superintendencia Financiera de Colombia en la forma y plazos que esta determine, </w:t>
      </w:r>
      <w:r w:rsidRPr="000418A8">
        <w:rPr>
          <w:rFonts w:ascii="Verdana" w:hAnsi="Verdana"/>
          <w:b/>
          <w:bCs/>
          <w:sz w:val="16"/>
          <w:szCs w:val="16"/>
          <w:u w:val="single"/>
          <w:lang w:val="es-CO"/>
        </w:rPr>
        <w:t>un patrimonio técnico equivalente como mínimo al nivel de patrimonio adecuado</w:t>
      </w:r>
      <w:r w:rsidRPr="000418A8">
        <w:rPr>
          <w:rFonts w:ascii="Verdana" w:hAnsi="Verdana"/>
          <w:sz w:val="16"/>
          <w:szCs w:val="16"/>
          <w:lang w:val="es-CO"/>
        </w:rPr>
        <w:t xml:space="preserve">”, el cual, “corresponderá al patrimonio técnico mínimo que deben mantener y acreditar las entidades aseguradoras, el cual estará determinado en función de tres componentes a) el riesgo de suscripción, b) el riesgo de activo y c) el riesgo de mercado” (énfasis fuera de texto). </w:t>
      </w:r>
    </w:p>
    <w:p w14:paraId="3BD98533" w14:textId="77777777" w:rsidR="00313CC3" w:rsidRPr="000418A8" w:rsidRDefault="00313CC3" w:rsidP="00313CC3">
      <w:pPr>
        <w:pStyle w:val="Textonotapie"/>
        <w:ind w:firstLine="708"/>
        <w:jc w:val="both"/>
        <w:rPr>
          <w:rFonts w:ascii="Verdana" w:hAnsi="Verdana"/>
          <w:sz w:val="16"/>
          <w:szCs w:val="16"/>
          <w:lang w:val="es-CO"/>
        </w:rPr>
      </w:pPr>
      <w:r w:rsidRPr="000418A8">
        <w:rPr>
          <w:rFonts w:ascii="Verdana" w:hAnsi="Verdana"/>
          <w:sz w:val="16"/>
          <w:szCs w:val="16"/>
          <w:lang w:val="es-CO"/>
        </w:rPr>
        <w:t xml:space="preserve">El resultado de la regulación definida en la normatividad anterior, en procesos de selección para la adquisición de seguros, la correlación entre el patrimonio técnico y el patrimonio adecuado se configura en un indicador relevante para analizar la capacidad financiera de las empresas aseguradoras. Ahora bien, la definición del indicador y la forma de </w:t>
      </w:r>
      <w:proofErr w:type="gramStart"/>
      <w:r w:rsidRPr="000418A8">
        <w:rPr>
          <w:rFonts w:ascii="Verdana" w:hAnsi="Verdana"/>
          <w:sz w:val="16"/>
          <w:szCs w:val="16"/>
          <w:lang w:val="es-CO"/>
        </w:rPr>
        <w:t>calcularlo,</w:t>
      </w:r>
      <w:proofErr w:type="gramEnd"/>
      <w:r w:rsidRPr="000418A8">
        <w:rPr>
          <w:rFonts w:ascii="Verdana" w:hAnsi="Verdana"/>
          <w:sz w:val="16"/>
          <w:szCs w:val="16"/>
          <w:lang w:val="es-CO"/>
        </w:rPr>
        <w:t xml:space="preserve"> se evidencia que existen diversas formas de configurarlo por parte de las Entidades contratantes, siempre partiendo del criterio establecido normativamente respecto a que el patrimonio técnico deberá ser equivalente como mínimo al nivel de patrimonio adecuado. A continuación, y a modo explicativo, se presentan algunas metodologías utilizadas por Entidades en el ejercicio de cálculo y evaluación del indicador, sin embargo, es importante establecer que estas no corresponden a una regla, por lo que la Entidad determinará como resultado del análisis de sector estructurado […] (énfasis dentro del texto) (Colombia Compra Eficiente. Concepto C-116 de 2025). </w:t>
      </w:r>
    </w:p>
    <w:p w14:paraId="22D7C63A" w14:textId="77777777" w:rsidR="00313CC3" w:rsidRPr="000418A8" w:rsidRDefault="00313CC3" w:rsidP="00313CC3">
      <w:pPr>
        <w:pStyle w:val="Textonotapie"/>
        <w:jc w:val="both"/>
        <w:rPr>
          <w:rFonts w:ascii="Verdana" w:hAnsi="Verdana"/>
          <w:sz w:val="16"/>
          <w:szCs w:val="16"/>
          <w:lang w:val="es-CO"/>
        </w:rPr>
      </w:pPr>
    </w:p>
  </w:footnote>
  <w:footnote w:id="9">
    <w:p w14:paraId="4ADC6A99" w14:textId="77777777" w:rsidR="00313CC3" w:rsidRPr="000418A8" w:rsidRDefault="00313CC3" w:rsidP="00313CC3">
      <w:pPr>
        <w:pStyle w:val="Textonotapie"/>
        <w:ind w:firstLine="709"/>
        <w:jc w:val="both"/>
        <w:rPr>
          <w:rFonts w:ascii="Verdana" w:hAnsi="Verdana"/>
          <w:sz w:val="16"/>
          <w:szCs w:val="16"/>
          <w:lang w:val="es-ES"/>
        </w:rPr>
      </w:pPr>
      <w:r w:rsidRPr="000418A8">
        <w:rPr>
          <w:rStyle w:val="Refdenotaalpie"/>
          <w:rFonts w:ascii="Verdana" w:hAnsi="Verdana"/>
          <w:sz w:val="16"/>
          <w:szCs w:val="16"/>
        </w:rPr>
        <w:footnoteRef/>
      </w:r>
      <w:r w:rsidRPr="000418A8">
        <w:rPr>
          <w:rFonts w:ascii="Verdana" w:hAnsi="Verdana"/>
          <w:sz w:val="16"/>
          <w:szCs w:val="16"/>
        </w:rPr>
        <w:t xml:space="preserve"> </w:t>
      </w:r>
      <w:r w:rsidRPr="000418A8">
        <w:rPr>
          <w:rFonts w:ascii="Verdana" w:hAnsi="Verdana"/>
          <w:sz w:val="16"/>
          <w:szCs w:val="16"/>
          <w:lang w:val="es-ES"/>
        </w:rPr>
        <w:t xml:space="preserve">Consejo de Estado. Sección Tercera. Subsección A. Sentencia del 19 de mayo de 2025. </w:t>
      </w:r>
      <w:proofErr w:type="spellStart"/>
      <w:r w:rsidRPr="000418A8">
        <w:rPr>
          <w:rFonts w:ascii="Verdana" w:hAnsi="Verdana"/>
          <w:sz w:val="16"/>
          <w:szCs w:val="16"/>
          <w:lang w:val="es-ES"/>
        </w:rPr>
        <w:t>Exp</w:t>
      </w:r>
      <w:proofErr w:type="spellEnd"/>
      <w:r w:rsidRPr="000418A8">
        <w:rPr>
          <w:rFonts w:ascii="Verdana" w:hAnsi="Verdana"/>
          <w:sz w:val="16"/>
          <w:szCs w:val="16"/>
          <w:lang w:val="es-ES"/>
        </w:rPr>
        <w:t xml:space="preserve">. 69503. C.P. José Roberto Sáchica Méndez.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194183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239"/>
    <w:rsid w:val="00012844"/>
    <w:rsid w:val="000167E0"/>
    <w:rsid w:val="00016F78"/>
    <w:rsid w:val="000219D2"/>
    <w:rsid w:val="00024023"/>
    <w:rsid w:val="00025605"/>
    <w:rsid w:val="0003002D"/>
    <w:rsid w:val="00032FD1"/>
    <w:rsid w:val="0003633C"/>
    <w:rsid w:val="000418A8"/>
    <w:rsid w:val="00041BB8"/>
    <w:rsid w:val="00046945"/>
    <w:rsid w:val="000539F5"/>
    <w:rsid w:val="00056CD6"/>
    <w:rsid w:val="00060857"/>
    <w:rsid w:val="00061B2A"/>
    <w:rsid w:val="000741E8"/>
    <w:rsid w:val="00082362"/>
    <w:rsid w:val="00091BAF"/>
    <w:rsid w:val="000A3C04"/>
    <w:rsid w:val="000A6078"/>
    <w:rsid w:val="000A683E"/>
    <w:rsid w:val="000A6FA9"/>
    <w:rsid w:val="000B19B9"/>
    <w:rsid w:val="000C195C"/>
    <w:rsid w:val="000C419E"/>
    <w:rsid w:val="000C5D94"/>
    <w:rsid w:val="000C67E3"/>
    <w:rsid w:val="000D0334"/>
    <w:rsid w:val="000E072F"/>
    <w:rsid w:val="000E419A"/>
    <w:rsid w:val="000E5036"/>
    <w:rsid w:val="000F5C94"/>
    <w:rsid w:val="000F6486"/>
    <w:rsid w:val="00101A26"/>
    <w:rsid w:val="001123B3"/>
    <w:rsid w:val="0011371F"/>
    <w:rsid w:val="00113C2F"/>
    <w:rsid w:val="00116FC3"/>
    <w:rsid w:val="00125105"/>
    <w:rsid w:val="00125A2E"/>
    <w:rsid w:val="00127233"/>
    <w:rsid w:val="00145E18"/>
    <w:rsid w:val="001511A0"/>
    <w:rsid w:val="00151772"/>
    <w:rsid w:val="0015388E"/>
    <w:rsid w:val="00167D6C"/>
    <w:rsid w:val="00173644"/>
    <w:rsid w:val="00174E56"/>
    <w:rsid w:val="00176759"/>
    <w:rsid w:val="001804C9"/>
    <w:rsid w:val="00182853"/>
    <w:rsid w:val="00184C6E"/>
    <w:rsid w:val="00193509"/>
    <w:rsid w:val="001A677F"/>
    <w:rsid w:val="001B0E09"/>
    <w:rsid w:val="001B1D95"/>
    <w:rsid w:val="001B69D2"/>
    <w:rsid w:val="001C0476"/>
    <w:rsid w:val="001C5018"/>
    <w:rsid w:val="001D2A35"/>
    <w:rsid w:val="001E02EA"/>
    <w:rsid w:val="001E2EBA"/>
    <w:rsid w:val="001E4177"/>
    <w:rsid w:val="001F5C82"/>
    <w:rsid w:val="001F7DC6"/>
    <w:rsid w:val="00200788"/>
    <w:rsid w:val="00207CF6"/>
    <w:rsid w:val="002106CA"/>
    <w:rsid w:val="0021137E"/>
    <w:rsid w:val="00214112"/>
    <w:rsid w:val="00215704"/>
    <w:rsid w:val="002168E4"/>
    <w:rsid w:val="0022718C"/>
    <w:rsid w:val="002421BB"/>
    <w:rsid w:val="002466F4"/>
    <w:rsid w:val="0025106C"/>
    <w:rsid w:val="0025796E"/>
    <w:rsid w:val="002707A2"/>
    <w:rsid w:val="00285E6B"/>
    <w:rsid w:val="002951A0"/>
    <w:rsid w:val="002962BC"/>
    <w:rsid w:val="002A093D"/>
    <w:rsid w:val="002A0DD0"/>
    <w:rsid w:val="002A19B3"/>
    <w:rsid w:val="002A49AC"/>
    <w:rsid w:val="002A64FD"/>
    <w:rsid w:val="002A6964"/>
    <w:rsid w:val="002B1136"/>
    <w:rsid w:val="002C6B47"/>
    <w:rsid w:val="002C7A84"/>
    <w:rsid w:val="002D5AA4"/>
    <w:rsid w:val="002D7321"/>
    <w:rsid w:val="002E4FD9"/>
    <w:rsid w:val="002E7EE6"/>
    <w:rsid w:val="002F5607"/>
    <w:rsid w:val="0030676B"/>
    <w:rsid w:val="00313CC3"/>
    <w:rsid w:val="0031745A"/>
    <w:rsid w:val="00322A85"/>
    <w:rsid w:val="00324168"/>
    <w:rsid w:val="00326C01"/>
    <w:rsid w:val="003339F8"/>
    <w:rsid w:val="00342010"/>
    <w:rsid w:val="0034482B"/>
    <w:rsid w:val="003448F4"/>
    <w:rsid w:val="00350909"/>
    <w:rsid w:val="00355974"/>
    <w:rsid w:val="00356850"/>
    <w:rsid w:val="00374F5E"/>
    <w:rsid w:val="00377E3E"/>
    <w:rsid w:val="0038136D"/>
    <w:rsid w:val="003855C1"/>
    <w:rsid w:val="00390C6F"/>
    <w:rsid w:val="003A0B0A"/>
    <w:rsid w:val="003A5D30"/>
    <w:rsid w:val="003A779E"/>
    <w:rsid w:val="003B77B5"/>
    <w:rsid w:val="003C7321"/>
    <w:rsid w:val="003D0F4D"/>
    <w:rsid w:val="003D15EB"/>
    <w:rsid w:val="003D1A3E"/>
    <w:rsid w:val="003D4668"/>
    <w:rsid w:val="003D5B0D"/>
    <w:rsid w:val="003E0499"/>
    <w:rsid w:val="003F3941"/>
    <w:rsid w:val="003F738C"/>
    <w:rsid w:val="003F7961"/>
    <w:rsid w:val="00406575"/>
    <w:rsid w:val="00407A6A"/>
    <w:rsid w:val="00407F3F"/>
    <w:rsid w:val="004125D1"/>
    <w:rsid w:val="00414C33"/>
    <w:rsid w:val="00414C74"/>
    <w:rsid w:val="004210DA"/>
    <w:rsid w:val="0042722E"/>
    <w:rsid w:val="00433CCF"/>
    <w:rsid w:val="0044528D"/>
    <w:rsid w:val="00445BFD"/>
    <w:rsid w:val="00466ECF"/>
    <w:rsid w:val="004831B0"/>
    <w:rsid w:val="00484578"/>
    <w:rsid w:val="00484921"/>
    <w:rsid w:val="0048798D"/>
    <w:rsid w:val="004A1847"/>
    <w:rsid w:val="004A305D"/>
    <w:rsid w:val="004A3150"/>
    <w:rsid w:val="004A75F1"/>
    <w:rsid w:val="004B21D2"/>
    <w:rsid w:val="004B237D"/>
    <w:rsid w:val="004B418D"/>
    <w:rsid w:val="004C3018"/>
    <w:rsid w:val="004D1533"/>
    <w:rsid w:val="004D340E"/>
    <w:rsid w:val="004E4D0B"/>
    <w:rsid w:val="004E518F"/>
    <w:rsid w:val="004E599B"/>
    <w:rsid w:val="004F21C4"/>
    <w:rsid w:val="004F2D47"/>
    <w:rsid w:val="004F685F"/>
    <w:rsid w:val="00507DD1"/>
    <w:rsid w:val="005234AA"/>
    <w:rsid w:val="00527CC8"/>
    <w:rsid w:val="0053085D"/>
    <w:rsid w:val="0053786D"/>
    <w:rsid w:val="00541CFA"/>
    <w:rsid w:val="0054270B"/>
    <w:rsid w:val="00547A0E"/>
    <w:rsid w:val="00552F48"/>
    <w:rsid w:val="005566E8"/>
    <w:rsid w:val="0055756B"/>
    <w:rsid w:val="00561CA7"/>
    <w:rsid w:val="00564B06"/>
    <w:rsid w:val="00570EEF"/>
    <w:rsid w:val="0057193B"/>
    <w:rsid w:val="00573707"/>
    <w:rsid w:val="00574183"/>
    <w:rsid w:val="00574867"/>
    <w:rsid w:val="00584FFF"/>
    <w:rsid w:val="00591460"/>
    <w:rsid w:val="00592A39"/>
    <w:rsid w:val="005930B3"/>
    <w:rsid w:val="005A1A34"/>
    <w:rsid w:val="005A53C8"/>
    <w:rsid w:val="005B3816"/>
    <w:rsid w:val="005C3777"/>
    <w:rsid w:val="005C5CDC"/>
    <w:rsid w:val="005D476C"/>
    <w:rsid w:val="005D6611"/>
    <w:rsid w:val="005E1D3B"/>
    <w:rsid w:val="005E55E3"/>
    <w:rsid w:val="005E7844"/>
    <w:rsid w:val="005F4DCA"/>
    <w:rsid w:val="006219F8"/>
    <w:rsid w:val="00627F64"/>
    <w:rsid w:val="00636869"/>
    <w:rsid w:val="006372B5"/>
    <w:rsid w:val="0064083A"/>
    <w:rsid w:val="006503B2"/>
    <w:rsid w:val="0065067D"/>
    <w:rsid w:val="00657635"/>
    <w:rsid w:val="00660B6B"/>
    <w:rsid w:val="00660C2B"/>
    <w:rsid w:val="00660DD6"/>
    <w:rsid w:val="006643DA"/>
    <w:rsid w:val="00665D70"/>
    <w:rsid w:val="00665F97"/>
    <w:rsid w:val="00672367"/>
    <w:rsid w:val="006729AA"/>
    <w:rsid w:val="006900D9"/>
    <w:rsid w:val="00693173"/>
    <w:rsid w:val="006A009E"/>
    <w:rsid w:val="006A4A0F"/>
    <w:rsid w:val="006B6984"/>
    <w:rsid w:val="006C44EC"/>
    <w:rsid w:val="006C5912"/>
    <w:rsid w:val="006D40D2"/>
    <w:rsid w:val="006D54A8"/>
    <w:rsid w:val="006D6344"/>
    <w:rsid w:val="006D6377"/>
    <w:rsid w:val="006D6953"/>
    <w:rsid w:val="006D7EE0"/>
    <w:rsid w:val="006E3B1E"/>
    <w:rsid w:val="006E3BD9"/>
    <w:rsid w:val="006E79DA"/>
    <w:rsid w:val="006F2045"/>
    <w:rsid w:val="007017BD"/>
    <w:rsid w:val="0070466F"/>
    <w:rsid w:val="00706C16"/>
    <w:rsid w:val="00711381"/>
    <w:rsid w:val="007168F1"/>
    <w:rsid w:val="00717F8E"/>
    <w:rsid w:val="0072131C"/>
    <w:rsid w:val="007329A8"/>
    <w:rsid w:val="007329D4"/>
    <w:rsid w:val="00737597"/>
    <w:rsid w:val="00737D94"/>
    <w:rsid w:val="00743680"/>
    <w:rsid w:val="00743778"/>
    <w:rsid w:val="00746055"/>
    <w:rsid w:val="00746473"/>
    <w:rsid w:val="00746D25"/>
    <w:rsid w:val="0075578B"/>
    <w:rsid w:val="007559F1"/>
    <w:rsid w:val="00756841"/>
    <w:rsid w:val="00761FC1"/>
    <w:rsid w:val="007649AB"/>
    <w:rsid w:val="007718BB"/>
    <w:rsid w:val="00771D0C"/>
    <w:rsid w:val="00773726"/>
    <w:rsid w:val="007820EE"/>
    <w:rsid w:val="0078289E"/>
    <w:rsid w:val="007833AC"/>
    <w:rsid w:val="007923F0"/>
    <w:rsid w:val="00797E3A"/>
    <w:rsid w:val="007B268C"/>
    <w:rsid w:val="007B7171"/>
    <w:rsid w:val="007C0C0F"/>
    <w:rsid w:val="007C3DC2"/>
    <w:rsid w:val="007C5DAA"/>
    <w:rsid w:val="007C7A47"/>
    <w:rsid w:val="007D2592"/>
    <w:rsid w:val="007D272C"/>
    <w:rsid w:val="007E4D88"/>
    <w:rsid w:val="007E5497"/>
    <w:rsid w:val="007F150E"/>
    <w:rsid w:val="007F4039"/>
    <w:rsid w:val="00806F5F"/>
    <w:rsid w:val="00810146"/>
    <w:rsid w:val="008160B3"/>
    <w:rsid w:val="00817823"/>
    <w:rsid w:val="00820278"/>
    <w:rsid w:val="00823C61"/>
    <w:rsid w:val="00832D55"/>
    <w:rsid w:val="00840A2F"/>
    <w:rsid w:val="00841858"/>
    <w:rsid w:val="008466A7"/>
    <w:rsid w:val="00847DAF"/>
    <w:rsid w:val="00853ABF"/>
    <w:rsid w:val="00854A68"/>
    <w:rsid w:val="00855674"/>
    <w:rsid w:val="008652F3"/>
    <w:rsid w:val="0086692F"/>
    <w:rsid w:val="00867EB4"/>
    <w:rsid w:val="00867F95"/>
    <w:rsid w:val="00880FC5"/>
    <w:rsid w:val="008843B6"/>
    <w:rsid w:val="00891928"/>
    <w:rsid w:val="008A446D"/>
    <w:rsid w:val="008B1EBC"/>
    <w:rsid w:val="008B52E1"/>
    <w:rsid w:val="008D0529"/>
    <w:rsid w:val="008D180B"/>
    <w:rsid w:val="008D1C52"/>
    <w:rsid w:val="008D758C"/>
    <w:rsid w:val="008E55F0"/>
    <w:rsid w:val="008F0EA7"/>
    <w:rsid w:val="008F57D1"/>
    <w:rsid w:val="008F6BCD"/>
    <w:rsid w:val="00901DE3"/>
    <w:rsid w:val="00903E59"/>
    <w:rsid w:val="009057D2"/>
    <w:rsid w:val="00923EEF"/>
    <w:rsid w:val="00931121"/>
    <w:rsid w:val="00933A01"/>
    <w:rsid w:val="009419F9"/>
    <w:rsid w:val="00952B10"/>
    <w:rsid w:val="0095685E"/>
    <w:rsid w:val="00961B09"/>
    <w:rsid w:val="00965334"/>
    <w:rsid w:val="0097093E"/>
    <w:rsid w:val="00985121"/>
    <w:rsid w:val="00986AC5"/>
    <w:rsid w:val="0099726E"/>
    <w:rsid w:val="009A0DFA"/>
    <w:rsid w:val="009B2D26"/>
    <w:rsid w:val="009C71FA"/>
    <w:rsid w:val="009C72E7"/>
    <w:rsid w:val="009D3058"/>
    <w:rsid w:val="009E4BFA"/>
    <w:rsid w:val="009E6386"/>
    <w:rsid w:val="009E7A76"/>
    <w:rsid w:val="009F3A13"/>
    <w:rsid w:val="00A056F0"/>
    <w:rsid w:val="00A122D3"/>
    <w:rsid w:val="00A17F13"/>
    <w:rsid w:val="00A20739"/>
    <w:rsid w:val="00A24624"/>
    <w:rsid w:val="00A3311D"/>
    <w:rsid w:val="00A33C78"/>
    <w:rsid w:val="00A656A8"/>
    <w:rsid w:val="00A73A19"/>
    <w:rsid w:val="00A74E45"/>
    <w:rsid w:val="00A81D2B"/>
    <w:rsid w:val="00A85B8D"/>
    <w:rsid w:val="00A87F35"/>
    <w:rsid w:val="00A92639"/>
    <w:rsid w:val="00A93A59"/>
    <w:rsid w:val="00A95AE3"/>
    <w:rsid w:val="00AA0F31"/>
    <w:rsid w:val="00AA34AA"/>
    <w:rsid w:val="00AB0ADB"/>
    <w:rsid w:val="00AB1158"/>
    <w:rsid w:val="00AD5C9E"/>
    <w:rsid w:val="00AD6025"/>
    <w:rsid w:val="00AD6771"/>
    <w:rsid w:val="00AE7AE9"/>
    <w:rsid w:val="00B01B1A"/>
    <w:rsid w:val="00B03F1F"/>
    <w:rsid w:val="00B05B94"/>
    <w:rsid w:val="00B076AE"/>
    <w:rsid w:val="00B11AE0"/>
    <w:rsid w:val="00B13C50"/>
    <w:rsid w:val="00B24079"/>
    <w:rsid w:val="00B25385"/>
    <w:rsid w:val="00B26497"/>
    <w:rsid w:val="00B3254C"/>
    <w:rsid w:val="00B4184D"/>
    <w:rsid w:val="00B614A0"/>
    <w:rsid w:val="00B66319"/>
    <w:rsid w:val="00B708CE"/>
    <w:rsid w:val="00B72CD3"/>
    <w:rsid w:val="00B72FFF"/>
    <w:rsid w:val="00B82DF7"/>
    <w:rsid w:val="00B90126"/>
    <w:rsid w:val="00B94312"/>
    <w:rsid w:val="00BA61CF"/>
    <w:rsid w:val="00BA77FE"/>
    <w:rsid w:val="00BB3468"/>
    <w:rsid w:val="00BC3D36"/>
    <w:rsid w:val="00BD0B02"/>
    <w:rsid w:val="00BD4E8E"/>
    <w:rsid w:val="00BD7F72"/>
    <w:rsid w:val="00BE1DFC"/>
    <w:rsid w:val="00BE795A"/>
    <w:rsid w:val="00BF18AA"/>
    <w:rsid w:val="00BF353C"/>
    <w:rsid w:val="00BF7993"/>
    <w:rsid w:val="00C0085E"/>
    <w:rsid w:val="00C04FB3"/>
    <w:rsid w:val="00C06968"/>
    <w:rsid w:val="00C1769F"/>
    <w:rsid w:val="00C20424"/>
    <w:rsid w:val="00C27423"/>
    <w:rsid w:val="00C330EB"/>
    <w:rsid w:val="00C348CA"/>
    <w:rsid w:val="00C35D2A"/>
    <w:rsid w:val="00C41061"/>
    <w:rsid w:val="00C462DC"/>
    <w:rsid w:val="00C52C2E"/>
    <w:rsid w:val="00C5752E"/>
    <w:rsid w:val="00C666AE"/>
    <w:rsid w:val="00C754BE"/>
    <w:rsid w:val="00C76B1C"/>
    <w:rsid w:val="00C81E53"/>
    <w:rsid w:val="00C8681D"/>
    <w:rsid w:val="00C90411"/>
    <w:rsid w:val="00C90949"/>
    <w:rsid w:val="00C93C36"/>
    <w:rsid w:val="00C94107"/>
    <w:rsid w:val="00CA4D97"/>
    <w:rsid w:val="00CB5E49"/>
    <w:rsid w:val="00CB6357"/>
    <w:rsid w:val="00CC1B26"/>
    <w:rsid w:val="00CC7430"/>
    <w:rsid w:val="00CD03B2"/>
    <w:rsid w:val="00CE4DD9"/>
    <w:rsid w:val="00CE52A0"/>
    <w:rsid w:val="00CF1486"/>
    <w:rsid w:val="00CF24E4"/>
    <w:rsid w:val="00CF5C7C"/>
    <w:rsid w:val="00CF62BB"/>
    <w:rsid w:val="00D115C9"/>
    <w:rsid w:val="00D1283E"/>
    <w:rsid w:val="00D21C32"/>
    <w:rsid w:val="00D23FE5"/>
    <w:rsid w:val="00D3496C"/>
    <w:rsid w:val="00D34D20"/>
    <w:rsid w:val="00D35FBD"/>
    <w:rsid w:val="00D423A2"/>
    <w:rsid w:val="00D45F4C"/>
    <w:rsid w:val="00D51944"/>
    <w:rsid w:val="00D520D8"/>
    <w:rsid w:val="00D53A22"/>
    <w:rsid w:val="00D5525C"/>
    <w:rsid w:val="00D6036E"/>
    <w:rsid w:val="00D627B7"/>
    <w:rsid w:val="00D63AC2"/>
    <w:rsid w:val="00D712A5"/>
    <w:rsid w:val="00D7383B"/>
    <w:rsid w:val="00D81FD7"/>
    <w:rsid w:val="00DA231B"/>
    <w:rsid w:val="00DA4911"/>
    <w:rsid w:val="00DB6BB6"/>
    <w:rsid w:val="00DC0698"/>
    <w:rsid w:val="00DC0E2B"/>
    <w:rsid w:val="00DC1482"/>
    <w:rsid w:val="00DC39FC"/>
    <w:rsid w:val="00DD084F"/>
    <w:rsid w:val="00DE28C8"/>
    <w:rsid w:val="00DE5E77"/>
    <w:rsid w:val="00DF5254"/>
    <w:rsid w:val="00DF78F0"/>
    <w:rsid w:val="00E02B1F"/>
    <w:rsid w:val="00E031B3"/>
    <w:rsid w:val="00E038B3"/>
    <w:rsid w:val="00E05BE6"/>
    <w:rsid w:val="00E11DB1"/>
    <w:rsid w:val="00E148A0"/>
    <w:rsid w:val="00E14C34"/>
    <w:rsid w:val="00E16408"/>
    <w:rsid w:val="00E17C50"/>
    <w:rsid w:val="00E20894"/>
    <w:rsid w:val="00E245AB"/>
    <w:rsid w:val="00E2764C"/>
    <w:rsid w:val="00E27F2E"/>
    <w:rsid w:val="00E3251E"/>
    <w:rsid w:val="00E41138"/>
    <w:rsid w:val="00E50AFE"/>
    <w:rsid w:val="00E555C4"/>
    <w:rsid w:val="00E62051"/>
    <w:rsid w:val="00E65021"/>
    <w:rsid w:val="00E75C92"/>
    <w:rsid w:val="00E771DC"/>
    <w:rsid w:val="00E77BE8"/>
    <w:rsid w:val="00E8269A"/>
    <w:rsid w:val="00E83EFA"/>
    <w:rsid w:val="00E843DE"/>
    <w:rsid w:val="00E871AC"/>
    <w:rsid w:val="00E8772A"/>
    <w:rsid w:val="00E9066C"/>
    <w:rsid w:val="00E90F6B"/>
    <w:rsid w:val="00E92C27"/>
    <w:rsid w:val="00E97198"/>
    <w:rsid w:val="00EA0107"/>
    <w:rsid w:val="00EA0E3D"/>
    <w:rsid w:val="00EA5C1D"/>
    <w:rsid w:val="00EC38A7"/>
    <w:rsid w:val="00ED3B2C"/>
    <w:rsid w:val="00ED3C60"/>
    <w:rsid w:val="00ED7384"/>
    <w:rsid w:val="00EE103C"/>
    <w:rsid w:val="00EE1AA8"/>
    <w:rsid w:val="00EE35FA"/>
    <w:rsid w:val="00F025C4"/>
    <w:rsid w:val="00F14AA7"/>
    <w:rsid w:val="00F156FE"/>
    <w:rsid w:val="00F23067"/>
    <w:rsid w:val="00F25777"/>
    <w:rsid w:val="00F31776"/>
    <w:rsid w:val="00F31EDC"/>
    <w:rsid w:val="00F44D4F"/>
    <w:rsid w:val="00F462B3"/>
    <w:rsid w:val="00F516DE"/>
    <w:rsid w:val="00F5664F"/>
    <w:rsid w:val="00F6533E"/>
    <w:rsid w:val="00F666C4"/>
    <w:rsid w:val="00F7496D"/>
    <w:rsid w:val="00F76AFC"/>
    <w:rsid w:val="00F86632"/>
    <w:rsid w:val="00F87530"/>
    <w:rsid w:val="00F920CD"/>
    <w:rsid w:val="00F94004"/>
    <w:rsid w:val="00FA3260"/>
    <w:rsid w:val="00FA47C0"/>
    <w:rsid w:val="00FB11A6"/>
    <w:rsid w:val="00FB5DD1"/>
    <w:rsid w:val="00FC2B5D"/>
    <w:rsid w:val="00FC3922"/>
    <w:rsid w:val="00FC49B6"/>
    <w:rsid w:val="00FD18B2"/>
    <w:rsid w:val="00FD5799"/>
    <w:rsid w:val="00FD5BAB"/>
    <w:rsid w:val="00FF1449"/>
    <w:rsid w:val="00FF5A0A"/>
    <w:rsid w:val="2DA72DF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E638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E6386"/>
    <w:rPr>
      <w:rFonts w:ascii="Geomanist Light" w:hAnsi="Geomanist Light"/>
      <w:lang w:val="es-ES"/>
    </w:rPr>
  </w:style>
  <w:style w:type="character" w:customStyle="1" w:styleId="NormalWebCar">
    <w:name w:val="Normal (Web) Car"/>
    <w:link w:val="NormalWeb"/>
    <w:uiPriority w:val="99"/>
    <w:locked/>
    <w:rsid w:val="009E6386"/>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0A6078"/>
    <w:pPr>
      <w:spacing w:after="0" w:line="240" w:lineRule="auto"/>
    </w:pPr>
    <w:rPr>
      <w:sz w:val="20"/>
      <w:szCs w:val="20"/>
      <w:lang w:val="es-MX"/>
    </w:rPr>
  </w:style>
  <w:style w:type="paragraph" w:styleId="Textoindependiente">
    <w:name w:val="Body Text"/>
    <w:basedOn w:val="Normal"/>
    <w:link w:val="TextoindependienteCar"/>
    <w:uiPriority w:val="1"/>
    <w:qFormat/>
    <w:rsid w:val="00056C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56CD6"/>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manuales-guias-y-pliegos-tipo/manuales-y-guia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rnan.pineda@segurosaurora.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CEB0E2-40B9-9F46-8507-DF12AE4D2983}">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schemas.microsoft.com/office/2006/metadata/properties"/>
    <ds:schemaRef ds:uri="http://purl.org/dc/elements/1.1/"/>
    <ds:schemaRef ds:uri="http://schemas.microsoft.com/office/infopath/2007/PartnerControls"/>
    <ds:schemaRef ds:uri="9d85dbaf-23eb-4e57-a637-93dcacc8b1a1"/>
    <ds:schemaRef ds:uri="http://schemas.openxmlformats.org/package/2006/metadata/core-properties"/>
    <ds:schemaRef ds:uri="a6cb9e4b-f1d1-4245-83ec-6cad768d538a"/>
    <ds:schemaRef ds:uri="http://www.w3.org/XML/1998/namespace"/>
    <ds:schemaRef ds:uri="http://purl.org/dc/dcmitype/"/>
  </ds:schemaRefs>
</ds:datastoreItem>
</file>

<file path=customXml/itemProps4.xml><?xml version="1.0" encoding="utf-8"?>
<ds:datastoreItem xmlns:ds="http://schemas.openxmlformats.org/officeDocument/2006/customXml" ds:itemID="{ABC66C49-7C17-4EC6-B33A-542142F0E8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5621</Words>
  <Characters>30808</Characters>
  <Application>Microsoft Office Word</Application>
  <DocSecurity>0</DocSecurity>
  <Lines>604</Lines>
  <Paragraphs>108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36321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2025-10-20T16:51:00Z</dcterms:created>
  <dcterms:modified xsi:type="dcterms:W3CDTF">2025-10-20T16:51:00Z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