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FC026" w14:textId="77777777" w:rsidR="00F13670" w:rsidRPr="00B60BC4" w:rsidRDefault="00F13670" w:rsidP="00F13670">
      <w:pPr>
        <w:spacing w:line="276" w:lineRule="auto"/>
        <w:jc w:val="both"/>
        <w:rPr>
          <w:rFonts w:ascii="Verdana" w:eastAsia="Calibri" w:hAnsi="Verdana" w:cs="Arial"/>
          <w:b/>
          <w:bCs/>
          <w:color w:val="000000" w:themeColor="text1"/>
          <w:lang w:eastAsia="es-ES"/>
        </w:rPr>
      </w:pPr>
      <w:bookmarkStart w:id="0" w:name="_Hlk181166130"/>
      <w:bookmarkStart w:id="1" w:name="_Hlk209714638"/>
      <w:r w:rsidRPr="00B60BC4">
        <w:rPr>
          <w:rFonts w:ascii="Verdana" w:eastAsia="Calibri" w:hAnsi="Verdana" w:cs="Arial"/>
          <w:b/>
          <w:bCs/>
          <w:color w:val="000000" w:themeColor="text1"/>
          <w:lang w:eastAsia="es-ES"/>
        </w:rPr>
        <w:t xml:space="preserve">LEY 1474 DE 2011 – </w:t>
      </w:r>
      <w:r w:rsidRPr="00B60BC4">
        <w:rPr>
          <w:rFonts w:ascii="Verdana" w:eastAsia="Calibri" w:hAnsi="Verdana" w:cs="Arial"/>
          <w:b/>
          <w:bCs/>
          <w:color w:val="000000" w:themeColor="text1"/>
          <w:lang w:val="es-ES" w:eastAsia="es-ES"/>
        </w:rPr>
        <w:t>Supervisión</w:t>
      </w:r>
      <w:r w:rsidRPr="00B60BC4">
        <w:rPr>
          <w:rFonts w:ascii="Verdana" w:eastAsia="Calibri" w:hAnsi="Verdana" w:cs="Arial"/>
          <w:b/>
          <w:bCs/>
          <w:color w:val="000000" w:themeColor="text1"/>
          <w:lang w:eastAsia="es-ES"/>
        </w:rPr>
        <w:t xml:space="preserve"> e interventoría contractual</w:t>
      </w:r>
    </w:p>
    <w:p w14:paraId="33EB4128" w14:textId="77777777" w:rsidR="00F13670" w:rsidRPr="00B60BC4" w:rsidRDefault="00F13670" w:rsidP="00F13670">
      <w:pPr>
        <w:spacing w:after="0" w:line="240" w:lineRule="auto"/>
        <w:jc w:val="both"/>
      </w:pPr>
      <w:r w:rsidRPr="00B60BC4">
        <w:rPr>
          <w:rFonts w:ascii="Verdana" w:eastAsia="Geomanist Light" w:hAnsi="Verdana" w:cs="Arial"/>
          <w:color w:val="000000" w:themeColor="text1"/>
          <w:sz w:val="20"/>
          <w:szCs w:val="20"/>
        </w:rPr>
        <w:t>[…]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Pr="00B60BC4">
        <w:t xml:space="preserve"> </w:t>
      </w:r>
    </w:p>
    <w:p w14:paraId="632F5CB8" w14:textId="77777777" w:rsidR="00F13670" w:rsidRPr="00B60BC4" w:rsidRDefault="00F13670" w:rsidP="00F13670">
      <w:pPr>
        <w:spacing w:after="0" w:line="240" w:lineRule="auto"/>
        <w:jc w:val="both"/>
      </w:pPr>
    </w:p>
    <w:p w14:paraId="2B04D9BC" w14:textId="77777777" w:rsidR="00F13670" w:rsidRPr="00B60BC4" w:rsidRDefault="00F13670" w:rsidP="00F13670">
      <w:pPr>
        <w:spacing w:after="0" w:line="240" w:lineRule="auto"/>
        <w:jc w:val="both"/>
        <w:rPr>
          <w:rFonts w:ascii="Verdana" w:eastAsia="Geomanist Light" w:hAnsi="Verdana" w:cs="Arial"/>
          <w:b/>
          <w:bCs/>
          <w:color w:val="000000" w:themeColor="text1"/>
        </w:rPr>
      </w:pPr>
      <w:r w:rsidRPr="00B60BC4">
        <w:rPr>
          <w:rFonts w:ascii="Verdana" w:eastAsia="Geomanist Light" w:hAnsi="Verdana" w:cs="Arial"/>
          <w:b/>
          <w:bCs/>
          <w:color w:val="000000" w:themeColor="text1"/>
        </w:rPr>
        <w:t xml:space="preserve">SUPERVISIÓN DEL CONTRATO </w:t>
      </w:r>
      <w:r w:rsidRPr="00B60BC4">
        <w:rPr>
          <w:rFonts w:ascii="Verdana" w:eastAsia="Calibri" w:hAnsi="Verdana" w:cs="Arial"/>
          <w:b/>
          <w:bCs/>
          <w:color w:val="000000" w:themeColor="text1"/>
          <w:lang w:val="es-ES" w:eastAsia="es-ES"/>
        </w:rPr>
        <w:t xml:space="preserve">– Características – Apoyo a la supervisión </w:t>
      </w:r>
    </w:p>
    <w:p w14:paraId="7421C16F" w14:textId="77777777" w:rsidR="00F13670" w:rsidRPr="00B60BC4" w:rsidRDefault="00F13670" w:rsidP="00F13670">
      <w:pPr>
        <w:spacing w:after="0" w:line="240" w:lineRule="auto"/>
        <w:jc w:val="both"/>
        <w:rPr>
          <w:rFonts w:ascii="Verdana" w:eastAsia="Geomanist Light" w:hAnsi="Verdana" w:cs="Arial"/>
          <w:color w:val="000000" w:themeColor="text1"/>
        </w:rPr>
      </w:pPr>
      <w:r w:rsidRPr="00B60BC4">
        <w:rPr>
          <w:rFonts w:ascii="Verdana" w:eastAsia="Geomanist Light" w:hAnsi="Verdana" w:cs="Arial"/>
          <w:b/>
          <w:bCs/>
          <w:color w:val="000000" w:themeColor="text1"/>
        </w:rPr>
        <w:t> </w:t>
      </w:r>
    </w:p>
    <w:p w14:paraId="4E06ABBF" w14:textId="77777777" w:rsidR="00F13670" w:rsidRPr="00B60BC4" w:rsidRDefault="00F13670" w:rsidP="00F13670">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70F791EE" w14:textId="77777777" w:rsidR="00F13670" w:rsidRPr="00B60BC4" w:rsidRDefault="00F13670" w:rsidP="00F13670">
      <w:pPr>
        <w:spacing w:after="0" w:line="240" w:lineRule="auto"/>
        <w:jc w:val="both"/>
      </w:pPr>
    </w:p>
    <w:p w14:paraId="64A6459B" w14:textId="77777777" w:rsidR="00F13670" w:rsidRPr="00B60BC4" w:rsidRDefault="00F13670" w:rsidP="00F13670">
      <w:pPr>
        <w:spacing w:after="0" w:line="240" w:lineRule="auto"/>
        <w:jc w:val="both"/>
      </w:pPr>
      <w:r w:rsidRPr="00B60BC4">
        <w:rPr>
          <w:rFonts w:ascii="Verdana" w:eastAsia="Geomanist Light" w:hAnsi="Verdana" w:cs="Arial"/>
          <w:b/>
          <w:bCs/>
          <w:color w:val="000000" w:themeColor="text1"/>
        </w:rPr>
        <w:t>SUPERVISIÓN DEL CONTRATO – Definición</w:t>
      </w:r>
      <w:r w:rsidRPr="00B60BC4">
        <w:rPr>
          <w:rFonts w:ascii="Verdana" w:eastAsia="Calibri" w:hAnsi="Verdana" w:cs="Arial"/>
          <w:b/>
          <w:bCs/>
          <w:color w:val="000000" w:themeColor="text1"/>
          <w:lang w:val="es-ES" w:eastAsia="es-ES"/>
        </w:rPr>
        <w:t xml:space="preserve"> – Límites</w:t>
      </w:r>
    </w:p>
    <w:p w14:paraId="59C925BF" w14:textId="77777777" w:rsidR="00F13670" w:rsidRPr="00B60BC4" w:rsidRDefault="00F13670" w:rsidP="00F13670">
      <w:pPr>
        <w:spacing w:after="0" w:line="240" w:lineRule="auto"/>
        <w:jc w:val="both"/>
      </w:pPr>
    </w:p>
    <w:p w14:paraId="14B9F372" w14:textId="77777777" w:rsidR="00F13670" w:rsidRPr="00B60BC4" w:rsidRDefault="00F13670" w:rsidP="00F13670">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De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En efecto, el segundo inciso de dicha norma establece:</w:t>
      </w:r>
    </w:p>
    <w:p w14:paraId="3CBD14D6" w14:textId="77777777" w:rsidR="00F13670" w:rsidRPr="00B60BC4" w:rsidRDefault="00F13670" w:rsidP="00F13670">
      <w:pPr>
        <w:spacing w:after="0" w:line="240" w:lineRule="auto"/>
        <w:jc w:val="both"/>
        <w:rPr>
          <w:rFonts w:ascii="Verdana" w:eastAsia="Geomanist Light" w:hAnsi="Verdana" w:cs="Arial"/>
          <w:color w:val="000000" w:themeColor="text1"/>
          <w:sz w:val="20"/>
          <w:szCs w:val="20"/>
        </w:rPr>
      </w:pPr>
    </w:p>
    <w:p w14:paraId="3CD526F7" w14:textId="77777777" w:rsidR="00F13670" w:rsidRPr="00B60BC4" w:rsidRDefault="00F13670" w:rsidP="00F13670">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5844A7AC" w14:textId="77777777" w:rsidR="00F13670" w:rsidRPr="00B60BC4" w:rsidRDefault="00F13670" w:rsidP="00F13670">
      <w:pPr>
        <w:spacing w:after="0" w:line="240" w:lineRule="auto"/>
        <w:jc w:val="both"/>
        <w:rPr>
          <w:rFonts w:ascii="Verdana" w:eastAsia="Geomanist Light" w:hAnsi="Verdana" w:cs="Arial"/>
          <w:color w:val="000000" w:themeColor="text1"/>
          <w:sz w:val="20"/>
          <w:szCs w:val="20"/>
        </w:rPr>
      </w:pPr>
    </w:p>
    <w:p w14:paraId="5CE1586F" w14:textId="77777777" w:rsidR="00F13670" w:rsidRPr="00B60BC4" w:rsidRDefault="00F13670" w:rsidP="00F13670">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 xml:space="preserve">En ese sentido, la entidad contratante a través del ordenador del gasto es quien designa la supervisión, y puede designarla a cualquier servidor público ya que esa función es inherente a esta calidad, sin que exista límite a la designación siempre que la persona designada sea la adecuada para hacer el correcto seguimiento técnico, administrativo, financiero, contable, y jurídico del contrato, pudiendo tener personal de apoyo como lo indica la norma, en temas que no sean de su experticia; o cuando se requieran conocimientos especializados se puede recurrir a la figura de la interventoría. Además la Guía para el ejercicio de las funciones de Supervisión e Interventoría de los contratos del Estado de Colombia Compra Eficiente dispone un deber de la entidad contratante y es “realizar un análisis de la carga operativa de quien va a ser designado supervisor, </w:t>
      </w:r>
      <w:r w:rsidRPr="00B60BC4">
        <w:rPr>
          <w:rFonts w:ascii="Verdana" w:eastAsia="Geomanist Light" w:hAnsi="Verdana" w:cs="Arial"/>
          <w:color w:val="000000" w:themeColor="text1"/>
          <w:sz w:val="20"/>
          <w:szCs w:val="20"/>
        </w:rPr>
        <w:lastRenderedPageBreak/>
        <w:t>para no incurrir en los riesgos derivados de una supervisión inadecuada por falta de tiempo”.</w:t>
      </w:r>
    </w:p>
    <w:p w14:paraId="4C0A8A31" w14:textId="77777777" w:rsidR="00F13670" w:rsidRPr="00B60BC4" w:rsidRDefault="00F13670" w:rsidP="00F13670">
      <w:pPr>
        <w:spacing w:after="0" w:line="240" w:lineRule="auto"/>
        <w:jc w:val="both"/>
        <w:rPr>
          <w:rFonts w:ascii="Verdana" w:eastAsia="Geomanist Light" w:hAnsi="Verdana" w:cs="Arial"/>
          <w:color w:val="000000" w:themeColor="text1"/>
          <w:sz w:val="20"/>
          <w:szCs w:val="20"/>
        </w:rPr>
      </w:pPr>
    </w:p>
    <w:p w14:paraId="4B645AE8" w14:textId="77777777" w:rsidR="00F13670" w:rsidRPr="00B60BC4" w:rsidRDefault="00F13670" w:rsidP="00F13670">
      <w:pPr>
        <w:spacing w:after="0" w:line="240" w:lineRule="auto"/>
        <w:jc w:val="both"/>
      </w:pPr>
      <w:r w:rsidRPr="00B60BC4">
        <w:rPr>
          <w:rFonts w:ascii="Verdana" w:eastAsia="Geomanist Light" w:hAnsi="Verdana" w:cs="Arial"/>
          <w:b/>
          <w:bCs/>
          <w:color w:val="000000" w:themeColor="text1"/>
        </w:rPr>
        <w:t>SUPERVISIÓN DEL CONTRATO – Perfil</w:t>
      </w:r>
      <w:r w:rsidRPr="00B60BC4">
        <w:rPr>
          <w:rFonts w:ascii="Verdana" w:eastAsia="Calibri" w:hAnsi="Verdana" w:cs="Arial"/>
          <w:b/>
          <w:bCs/>
          <w:color w:val="000000" w:themeColor="text1"/>
          <w:lang w:val="es-ES" w:eastAsia="es-ES"/>
        </w:rPr>
        <w:t xml:space="preserve"> – Designación</w:t>
      </w:r>
    </w:p>
    <w:p w14:paraId="64005FB4" w14:textId="77777777" w:rsidR="00F13670" w:rsidRPr="00B60BC4" w:rsidRDefault="00F13670" w:rsidP="00F13670">
      <w:pPr>
        <w:spacing w:after="0" w:line="240" w:lineRule="auto"/>
        <w:jc w:val="both"/>
        <w:rPr>
          <w:rFonts w:ascii="Verdana" w:eastAsia="Geomanist Light" w:hAnsi="Verdana" w:cs="Arial"/>
          <w:color w:val="000000" w:themeColor="text1"/>
          <w:sz w:val="20"/>
          <w:szCs w:val="20"/>
        </w:rPr>
      </w:pPr>
    </w:p>
    <w:p w14:paraId="7D646C08" w14:textId="77777777" w:rsidR="00F13670" w:rsidRPr="00B60BC4" w:rsidRDefault="00F13670" w:rsidP="00F13670">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De acuerdo con lo anterior, cualquier servidor público puede ser supervisor del contrato, sin que se requiera un perfil específico, pero la Guía para el ejercicio de las funciones de Supervisión e Interventoría de los contratos del Estado de Colombia Compra Eficiente señala que “El supervisor no requiere un perfil predeterminado, pero es recomendable que el supervisor pueda actuar como par del contratista supervisado”. En todo caso, al ser una decisión autónoma del ordenador del gasto se recomienda que la persona designada sea adecuada para hacer el correcto seguimiento técnico, administrativo, financiero, contable, y jurídico del contrato, lo cual debe ser determinado por la entidad contratante en su ejercicio contractual. Sobre el momento para designar al supervisor del contrato, la Guía para el ejercicio de las funciones de Supervisión e Interventoría de los contratos del Estado de Colombia Compra Eficiente dispone que “La Entidad Estatal puede designar el supervisor en cualquier momento del Proceso de Contratación una vez iniciada la etapa de planeación”.</w:t>
      </w:r>
    </w:p>
    <w:p w14:paraId="1091617A" w14:textId="77777777" w:rsidR="00F13670" w:rsidRDefault="00F13670" w:rsidP="00F13670">
      <w:pPr>
        <w:spacing w:after="0" w:line="240" w:lineRule="auto"/>
        <w:rPr>
          <w:rFonts w:ascii="Verdana" w:hAnsi="Verdana"/>
        </w:rPr>
      </w:pPr>
    </w:p>
    <w:p w14:paraId="34552E75" w14:textId="77777777" w:rsidR="00F13670" w:rsidRDefault="00F13670" w:rsidP="00F13670">
      <w:pPr>
        <w:spacing w:after="0" w:line="240" w:lineRule="auto"/>
        <w:rPr>
          <w:rFonts w:ascii="Verdana" w:hAnsi="Verdana"/>
        </w:rPr>
      </w:pPr>
    </w:p>
    <w:p w14:paraId="42E40DA1" w14:textId="77777777" w:rsidR="00F13670" w:rsidRDefault="00F13670" w:rsidP="00F13670">
      <w:pPr>
        <w:spacing w:after="0" w:line="240" w:lineRule="auto"/>
        <w:rPr>
          <w:rFonts w:ascii="Verdana" w:hAnsi="Verdana"/>
        </w:rPr>
      </w:pPr>
    </w:p>
    <w:p w14:paraId="41EBAC22" w14:textId="77777777" w:rsidR="00F13670" w:rsidRDefault="00F13670" w:rsidP="00F13670">
      <w:pPr>
        <w:spacing w:after="0" w:line="240" w:lineRule="auto"/>
        <w:rPr>
          <w:rFonts w:ascii="Verdana" w:hAnsi="Verdana"/>
        </w:rPr>
      </w:pPr>
    </w:p>
    <w:p w14:paraId="09377B9B" w14:textId="77777777" w:rsidR="00F13670" w:rsidRDefault="00F13670" w:rsidP="00F13670">
      <w:pPr>
        <w:spacing w:after="0" w:line="240" w:lineRule="auto"/>
        <w:rPr>
          <w:rFonts w:ascii="Verdana" w:hAnsi="Verdana"/>
        </w:rPr>
      </w:pPr>
    </w:p>
    <w:p w14:paraId="308DA853" w14:textId="77777777" w:rsidR="00F13670" w:rsidRDefault="00F13670" w:rsidP="00F13670">
      <w:pPr>
        <w:spacing w:after="0" w:line="240" w:lineRule="auto"/>
        <w:rPr>
          <w:rFonts w:ascii="Verdana" w:hAnsi="Verdana"/>
        </w:rPr>
      </w:pPr>
    </w:p>
    <w:p w14:paraId="457F48C6" w14:textId="77777777" w:rsidR="00F13670" w:rsidRDefault="00F13670" w:rsidP="00F13670">
      <w:pPr>
        <w:spacing w:after="0" w:line="240" w:lineRule="auto"/>
        <w:rPr>
          <w:rFonts w:ascii="Verdana" w:hAnsi="Verdana"/>
        </w:rPr>
      </w:pPr>
    </w:p>
    <w:p w14:paraId="3F17BEDA" w14:textId="77777777" w:rsidR="00F13670" w:rsidRDefault="00F13670" w:rsidP="00F13670">
      <w:pPr>
        <w:spacing w:after="0" w:line="240" w:lineRule="auto"/>
        <w:rPr>
          <w:rFonts w:ascii="Verdana" w:hAnsi="Verdana"/>
        </w:rPr>
      </w:pPr>
    </w:p>
    <w:p w14:paraId="0D0192C1" w14:textId="77777777" w:rsidR="00F13670" w:rsidRDefault="00F13670" w:rsidP="00F13670">
      <w:pPr>
        <w:spacing w:after="0" w:line="240" w:lineRule="auto"/>
        <w:rPr>
          <w:rFonts w:ascii="Verdana" w:hAnsi="Verdana"/>
        </w:rPr>
      </w:pPr>
    </w:p>
    <w:p w14:paraId="1067BCA0" w14:textId="77777777" w:rsidR="00F13670" w:rsidRDefault="00F13670" w:rsidP="00F13670">
      <w:pPr>
        <w:spacing w:after="0" w:line="240" w:lineRule="auto"/>
        <w:rPr>
          <w:rFonts w:ascii="Verdana" w:hAnsi="Verdana"/>
        </w:rPr>
      </w:pPr>
    </w:p>
    <w:p w14:paraId="76BBF6AD" w14:textId="77777777" w:rsidR="00F13670" w:rsidRDefault="00F13670" w:rsidP="00F13670">
      <w:pPr>
        <w:spacing w:after="0" w:line="240" w:lineRule="auto"/>
        <w:rPr>
          <w:rFonts w:ascii="Verdana" w:hAnsi="Verdana"/>
        </w:rPr>
      </w:pPr>
    </w:p>
    <w:p w14:paraId="23F33FAA" w14:textId="77777777" w:rsidR="00F13670" w:rsidRDefault="00F13670" w:rsidP="00F13670">
      <w:pPr>
        <w:spacing w:after="0" w:line="240" w:lineRule="auto"/>
        <w:rPr>
          <w:rFonts w:ascii="Verdana" w:hAnsi="Verdana"/>
        </w:rPr>
      </w:pPr>
    </w:p>
    <w:p w14:paraId="45DE1720" w14:textId="77777777" w:rsidR="00F13670" w:rsidRDefault="00F13670" w:rsidP="00F13670">
      <w:pPr>
        <w:spacing w:after="0" w:line="240" w:lineRule="auto"/>
        <w:rPr>
          <w:rFonts w:ascii="Verdana" w:hAnsi="Verdana"/>
        </w:rPr>
      </w:pPr>
    </w:p>
    <w:p w14:paraId="742A1391" w14:textId="77777777" w:rsidR="00F13670" w:rsidRDefault="00F13670" w:rsidP="00F13670">
      <w:pPr>
        <w:spacing w:after="0" w:line="240" w:lineRule="auto"/>
        <w:rPr>
          <w:rFonts w:ascii="Verdana" w:hAnsi="Verdana"/>
        </w:rPr>
      </w:pPr>
    </w:p>
    <w:p w14:paraId="0D3DA5ED" w14:textId="77777777" w:rsidR="00F13670" w:rsidRDefault="00F13670" w:rsidP="00F13670">
      <w:pPr>
        <w:spacing w:after="0" w:line="240" w:lineRule="auto"/>
        <w:rPr>
          <w:rFonts w:ascii="Verdana" w:hAnsi="Verdana"/>
        </w:rPr>
      </w:pPr>
    </w:p>
    <w:p w14:paraId="11133F81" w14:textId="77777777" w:rsidR="00F13670" w:rsidRDefault="00F13670" w:rsidP="00F13670">
      <w:pPr>
        <w:spacing w:after="0" w:line="240" w:lineRule="auto"/>
        <w:rPr>
          <w:rFonts w:ascii="Verdana" w:hAnsi="Verdana"/>
        </w:rPr>
      </w:pPr>
    </w:p>
    <w:p w14:paraId="2A77F981" w14:textId="77777777" w:rsidR="00F13670" w:rsidRDefault="00F13670" w:rsidP="00F13670">
      <w:pPr>
        <w:spacing w:after="0" w:line="240" w:lineRule="auto"/>
        <w:rPr>
          <w:rFonts w:ascii="Verdana" w:hAnsi="Verdana"/>
        </w:rPr>
      </w:pPr>
    </w:p>
    <w:p w14:paraId="57AB81D5" w14:textId="77777777" w:rsidR="00F13670" w:rsidRDefault="00F13670" w:rsidP="00F13670">
      <w:pPr>
        <w:spacing w:after="0" w:line="240" w:lineRule="auto"/>
        <w:rPr>
          <w:rFonts w:ascii="Verdana" w:hAnsi="Verdana"/>
        </w:rPr>
      </w:pPr>
    </w:p>
    <w:p w14:paraId="69A0BC84" w14:textId="77777777" w:rsidR="00F13670" w:rsidRDefault="00F13670" w:rsidP="00F13670">
      <w:pPr>
        <w:spacing w:after="0" w:line="240" w:lineRule="auto"/>
        <w:rPr>
          <w:rFonts w:ascii="Verdana" w:hAnsi="Verdana"/>
        </w:rPr>
      </w:pPr>
    </w:p>
    <w:p w14:paraId="566D029F" w14:textId="77777777" w:rsidR="00F13670" w:rsidRDefault="00F13670" w:rsidP="00F13670">
      <w:pPr>
        <w:spacing w:after="0" w:line="240" w:lineRule="auto"/>
        <w:rPr>
          <w:rFonts w:ascii="Verdana" w:hAnsi="Verdana"/>
        </w:rPr>
      </w:pPr>
    </w:p>
    <w:p w14:paraId="2F0A7277" w14:textId="77777777" w:rsidR="00F13670" w:rsidRDefault="00F13670" w:rsidP="00F13670">
      <w:pPr>
        <w:spacing w:after="0" w:line="240" w:lineRule="auto"/>
        <w:rPr>
          <w:rFonts w:ascii="Verdana" w:hAnsi="Verdana"/>
        </w:rPr>
      </w:pPr>
    </w:p>
    <w:p w14:paraId="3ED61DDE" w14:textId="77777777" w:rsidR="00F13670" w:rsidRDefault="00F13670" w:rsidP="00F13670">
      <w:pPr>
        <w:spacing w:after="0" w:line="240" w:lineRule="auto"/>
        <w:rPr>
          <w:rFonts w:ascii="Verdana" w:hAnsi="Verdana"/>
        </w:rPr>
      </w:pPr>
    </w:p>
    <w:p w14:paraId="374490EF" w14:textId="77777777" w:rsidR="00F13670" w:rsidRDefault="00F13670" w:rsidP="00F13670">
      <w:pPr>
        <w:spacing w:after="0" w:line="240" w:lineRule="auto"/>
        <w:rPr>
          <w:rFonts w:ascii="Verdana" w:hAnsi="Verdana"/>
        </w:rPr>
      </w:pPr>
    </w:p>
    <w:p w14:paraId="5C78FF02" w14:textId="77777777" w:rsidR="00F13670" w:rsidRDefault="00F13670" w:rsidP="00F13670">
      <w:pPr>
        <w:spacing w:after="0" w:line="240" w:lineRule="auto"/>
        <w:rPr>
          <w:rFonts w:ascii="Verdana" w:hAnsi="Verdana"/>
        </w:rPr>
      </w:pPr>
    </w:p>
    <w:p w14:paraId="28DBD5EE" w14:textId="77777777" w:rsidR="00F13670" w:rsidRDefault="00F13670" w:rsidP="00F13670">
      <w:pPr>
        <w:spacing w:after="0" w:line="240" w:lineRule="auto"/>
        <w:rPr>
          <w:rFonts w:ascii="Verdana" w:hAnsi="Verdana"/>
        </w:rPr>
      </w:pPr>
    </w:p>
    <w:p w14:paraId="14AADC03" w14:textId="77777777" w:rsidR="00F13670" w:rsidRDefault="00F13670" w:rsidP="00F13670">
      <w:pPr>
        <w:spacing w:after="0" w:line="240" w:lineRule="auto"/>
        <w:rPr>
          <w:rFonts w:ascii="Verdana" w:hAnsi="Verdana"/>
        </w:rPr>
      </w:pPr>
    </w:p>
    <w:p w14:paraId="440ACAC8" w14:textId="2DD702BA" w:rsidR="00F13670" w:rsidRDefault="00F13670" w:rsidP="00F13670">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1C1635">
        <w:rPr>
          <w:rFonts w:ascii="Verdana" w:hAnsi="Verdana"/>
        </w:rPr>
        <w:t>17</w:t>
      </w:r>
      <w:r>
        <w:rPr>
          <w:rFonts w:ascii="Verdana" w:hAnsi="Verdana"/>
        </w:rPr>
        <w:t xml:space="preserve"> de </w:t>
      </w:r>
      <w:r w:rsidR="001C1635">
        <w:rPr>
          <w:rFonts w:ascii="Verdana" w:hAnsi="Verdana"/>
        </w:rPr>
        <w:t>octubre</w:t>
      </w:r>
      <w:r>
        <w:rPr>
          <w:rFonts w:ascii="Verdana" w:hAnsi="Verdana"/>
        </w:rPr>
        <w:t xml:space="preserve"> de 2025.</w:t>
      </w:r>
    </w:p>
    <w:bookmarkEnd w:id="0"/>
    <w:p w14:paraId="6D1239D0" w14:textId="77777777" w:rsidR="00F13670" w:rsidRDefault="00F13670" w:rsidP="00F13670">
      <w:pPr>
        <w:spacing w:after="0" w:line="240" w:lineRule="auto"/>
        <w:rPr>
          <w:rFonts w:ascii="Verdana" w:hAnsi="Verdana"/>
        </w:rPr>
      </w:pPr>
    </w:p>
    <w:p w14:paraId="41373F10" w14:textId="37AA10B4" w:rsidR="001C1635" w:rsidRDefault="001C1635" w:rsidP="001C1635">
      <w:pPr>
        <w:spacing w:after="0" w:line="240" w:lineRule="auto"/>
        <w:jc w:val="right"/>
        <w:rPr>
          <w:rFonts w:ascii="Verdana" w:hAnsi="Verdana"/>
        </w:rPr>
      </w:pPr>
      <w:r>
        <w:rPr>
          <w:rFonts w:ascii="Verdana" w:hAnsi="Verdana"/>
          <w:noProof/>
        </w:rPr>
        <w:drawing>
          <wp:inline distT="0" distB="0" distL="0" distR="0" wp14:anchorId="4A47B00F" wp14:editId="448B8640">
            <wp:extent cx="2838450" cy="666750"/>
            <wp:effectExtent l="0" t="0" r="0" b="0"/>
            <wp:docPr id="13722755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38450" cy="666750"/>
                    </a:xfrm>
                    <a:prstGeom prst="rect">
                      <a:avLst/>
                    </a:prstGeom>
                    <a:noFill/>
                    <a:ln>
                      <a:noFill/>
                    </a:ln>
                  </pic:spPr>
                </pic:pic>
              </a:graphicData>
            </a:graphic>
          </wp:inline>
        </w:drawing>
      </w:r>
    </w:p>
    <w:p w14:paraId="307A6306" w14:textId="77777777" w:rsidR="001C1635" w:rsidRDefault="001C1635" w:rsidP="00F13670">
      <w:pPr>
        <w:spacing w:after="0" w:line="240" w:lineRule="auto"/>
        <w:rPr>
          <w:rFonts w:ascii="Verdana" w:hAnsi="Verdana"/>
        </w:rPr>
      </w:pPr>
    </w:p>
    <w:p w14:paraId="6F40D4A0" w14:textId="77777777" w:rsidR="00F13670" w:rsidRDefault="00F13670" w:rsidP="00F13670">
      <w:pPr>
        <w:spacing w:after="0" w:line="240" w:lineRule="auto"/>
        <w:jc w:val="right"/>
        <w:rPr>
          <w:rFonts w:ascii="Verdana" w:hAnsi="Verdana"/>
        </w:rPr>
      </w:pPr>
    </w:p>
    <w:p w14:paraId="2529E5E7" w14:textId="77777777" w:rsidR="00F13670" w:rsidRPr="00631045" w:rsidRDefault="00F13670" w:rsidP="00F13670">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5365986C" w14:textId="77777777" w:rsidR="00F13670" w:rsidRPr="00ED46C7" w:rsidRDefault="00F13670" w:rsidP="00F13670">
      <w:pPr>
        <w:spacing w:after="0" w:line="240" w:lineRule="auto"/>
        <w:rPr>
          <w:rFonts w:ascii="Verdana" w:eastAsia="Calibri" w:hAnsi="Verdana" w:cs="Arial"/>
          <w:b/>
          <w:bCs/>
          <w:lang w:eastAsia="es-ES"/>
        </w:rPr>
      </w:pPr>
      <w:r w:rsidRPr="00ED46C7">
        <w:rPr>
          <w:rFonts w:ascii="Verdana" w:eastAsia="Calibri" w:hAnsi="Verdana" w:cs="Arial"/>
          <w:b/>
          <w:bCs/>
          <w:lang w:eastAsia="es-ES"/>
        </w:rPr>
        <w:t>D</w:t>
      </w:r>
      <w:r>
        <w:rPr>
          <w:rFonts w:ascii="Verdana" w:eastAsia="Calibri" w:hAnsi="Verdana" w:cs="Arial"/>
          <w:b/>
          <w:bCs/>
          <w:lang w:eastAsia="es-ES"/>
        </w:rPr>
        <w:t xml:space="preserve">IEGO ANDRES CHAVEZ CAMACHO </w:t>
      </w:r>
    </w:p>
    <w:p w14:paraId="7B954857" w14:textId="77777777" w:rsidR="00F13670" w:rsidRPr="001773DA" w:rsidRDefault="00F13670" w:rsidP="00F13670">
      <w:pPr>
        <w:spacing w:after="0" w:line="240" w:lineRule="auto"/>
        <w:rPr>
          <w:rFonts w:ascii="Verdana" w:hAnsi="Verdana"/>
        </w:rPr>
      </w:pPr>
      <w:hyperlink r:id="rId11" w:history="1">
        <w:r w:rsidRPr="001773DA">
          <w:rPr>
            <w:rStyle w:val="Hipervnculo"/>
            <w:rFonts w:ascii="Verdana" w:hAnsi="Verdana"/>
          </w:rPr>
          <w:t>diegoa.chavesc@uspec.gov.co</w:t>
        </w:r>
      </w:hyperlink>
      <w:r w:rsidRPr="001773DA">
        <w:rPr>
          <w:rFonts w:ascii="Verdana" w:hAnsi="Verdana"/>
        </w:rPr>
        <w:t xml:space="preserve">      </w:t>
      </w:r>
    </w:p>
    <w:p w14:paraId="29051B08" w14:textId="77777777" w:rsidR="00F13670" w:rsidRDefault="00F13670" w:rsidP="00F13670">
      <w:pPr>
        <w:spacing w:after="0" w:line="240" w:lineRule="auto"/>
        <w:rPr>
          <w:rFonts w:ascii="Verdana" w:hAnsi="Verdana"/>
        </w:rPr>
      </w:pPr>
      <w:r>
        <w:rPr>
          <w:rFonts w:ascii="Verdana" w:hAnsi="Verdana"/>
        </w:rPr>
        <w:t>Bogotá D.C.</w:t>
      </w:r>
      <w:r w:rsidRPr="00ED46C7">
        <w:rPr>
          <w:rFonts w:ascii="Verdana" w:hAnsi="Verdana"/>
        </w:rPr>
        <w:t xml:space="preserve"> </w:t>
      </w:r>
    </w:p>
    <w:p w14:paraId="43EACB43" w14:textId="77777777" w:rsidR="00F13670" w:rsidRPr="00FE3DEC" w:rsidRDefault="00F13670" w:rsidP="00F13670">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F13670" w:rsidRPr="00593A5F" w14:paraId="1EA27974" w14:textId="77777777" w:rsidTr="007A6CA6">
        <w:trPr>
          <w:trHeight w:val="273"/>
        </w:trPr>
        <w:tc>
          <w:tcPr>
            <w:tcW w:w="2295" w:type="dxa"/>
          </w:tcPr>
          <w:p w14:paraId="21849C83" w14:textId="77777777" w:rsidR="00F13670" w:rsidRPr="00E5644F" w:rsidRDefault="00F13670" w:rsidP="007A6CA6">
            <w:pPr>
              <w:jc w:val="both"/>
              <w:rPr>
                <w:rFonts w:ascii="Verdana" w:eastAsia="Calibri" w:hAnsi="Verdana" w:cs="Arial"/>
                <w:b/>
                <w:bCs/>
                <w:color w:val="7030A0"/>
                <w:lang w:val="es-ES_tradnl" w:eastAsia="es-ES_tradnl"/>
              </w:rPr>
            </w:pPr>
          </w:p>
        </w:tc>
        <w:tc>
          <w:tcPr>
            <w:tcW w:w="6481" w:type="dxa"/>
            <w:gridSpan w:val="2"/>
          </w:tcPr>
          <w:p w14:paraId="777518E4" w14:textId="77777777" w:rsidR="00F13670" w:rsidRPr="001773DA" w:rsidRDefault="00F13670" w:rsidP="007A6CA6">
            <w:pPr>
              <w:jc w:val="both"/>
              <w:rPr>
                <w:rFonts w:ascii="Verdana" w:eastAsia="Calibri" w:hAnsi="Verdana" w:cs="Arial"/>
                <w:b/>
                <w:bCs/>
                <w:lang w:val="es-ES" w:eastAsia="es-ES"/>
              </w:rPr>
            </w:pPr>
            <w:r w:rsidRPr="001773DA">
              <w:rPr>
                <w:rFonts w:ascii="Verdana" w:eastAsia="Calibri" w:hAnsi="Verdana" w:cs="Arial"/>
                <w:b/>
                <w:bCs/>
                <w:lang w:val="es-ES" w:eastAsia="es-ES"/>
              </w:rPr>
              <w:t>Concepto C- 1298 de 2025</w:t>
            </w:r>
          </w:p>
          <w:p w14:paraId="6248D1B8" w14:textId="77777777" w:rsidR="00F13670" w:rsidRPr="001773DA" w:rsidRDefault="00F13670" w:rsidP="007A6CA6">
            <w:pPr>
              <w:jc w:val="both"/>
              <w:rPr>
                <w:rFonts w:ascii="Verdana" w:eastAsia="Calibri" w:hAnsi="Verdana" w:cs="Arial"/>
                <w:b/>
                <w:bCs/>
                <w:color w:val="7030A0"/>
                <w:lang w:val="es-ES" w:eastAsia="es-ES"/>
              </w:rPr>
            </w:pPr>
          </w:p>
        </w:tc>
      </w:tr>
      <w:tr w:rsidR="00F13670" w:rsidRPr="00280D79" w14:paraId="64B9A405" w14:textId="77777777" w:rsidTr="007A6CA6">
        <w:trPr>
          <w:trHeight w:val="1583"/>
        </w:trPr>
        <w:tc>
          <w:tcPr>
            <w:tcW w:w="2295" w:type="dxa"/>
          </w:tcPr>
          <w:p w14:paraId="5A1A2969" w14:textId="77777777" w:rsidR="00F13670" w:rsidRPr="00593A5F" w:rsidRDefault="00F13670" w:rsidP="007A6CA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8B38BEB" w14:textId="77777777" w:rsidR="00F13670" w:rsidRDefault="00F13670" w:rsidP="007A6CA6">
            <w:pPr>
              <w:jc w:val="both"/>
              <w:rPr>
                <w:rFonts w:ascii="Verdana" w:eastAsia="Calibri" w:hAnsi="Verdana" w:cs="Arial"/>
                <w:lang w:val="es-ES" w:eastAsia="es-ES"/>
              </w:rPr>
            </w:pPr>
            <w:r w:rsidRPr="00B60BC4">
              <w:rPr>
                <w:rFonts w:ascii="Verdana" w:eastAsia="Calibri" w:hAnsi="Verdana" w:cs="Arial"/>
                <w:lang w:val="es-ES" w:eastAsia="es-ES"/>
              </w:rPr>
              <w:t>LEY 1474 DE 2011 – Supervisión e interventoría contractual / SUPERVISIÓN DEL CONTRATO – Características – Apoyo a la supervisión / SUPERVISIÓN DEL CONTRATO – Definición – Límites / SUPERVISIÓN DEL CONTRATO – Perfil – Designación</w:t>
            </w:r>
          </w:p>
          <w:p w14:paraId="5B0B89FD" w14:textId="77777777" w:rsidR="00F13670" w:rsidRPr="001773DA" w:rsidRDefault="00F13670" w:rsidP="007A6CA6">
            <w:pPr>
              <w:jc w:val="both"/>
              <w:rPr>
                <w:rFonts w:ascii="Verdana" w:eastAsia="Calibri" w:hAnsi="Verdana" w:cs="Arial"/>
                <w:b/>
                <w:lang w:val="es-ES" w:eastAsia="es-ES"/>
              </w:rPr>
            </w:pPr>
          </w:p>
        </w:tc>
      </w:tr>
      <w:tr w:rsidR="00F13670" w:rsidRPr="00593A5F" w14:paraId="2764F129" w14:textId="77777777" w:rsidTr="007A6CA6">
        <w:trPr>
          <w:trHeight w:val="545"/>
        </w:trPr>
        <w:tc>
          <w:tcPr>
            <w:tcW w:w="2295" w:type="dxa"/>
          </w:tcPr>
          <w:p w14:paraId="40D65059" w14:textId="77777777" w:rsidR="00F13670" w:rsidRPr="006730E9" w:rsidRDefault="00F13670" w:rsidP="007A6CA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8D53BD2" w14:textId="77777777" w:rsidR="00F13670" w:rsidRPr="006730E9" w:rsidRDefault="00F13670" w:rsidP="007A6CA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1773DA">
              <w:rPr>
                <w:rFonts w:ascii="Verdana" w:eastAsia="Calibri" w:hAnsi="Verdana" w:cs="Arial"/>
                <w:lang w:val="es-ES_tradnl" w:eastAsia="es-ES_tradnl"/>
              </w:rPr>
              <w:t>1_2025_09_10_009896</w:t>
            </w:r>
          </w:p>
        </w:tc>
      </w:tr>
      <w:tr w:rsidR="00F13670" w:rsidRPr="00DB23D2" w14:paraId="0173B0B4" w14:textId="77777777" w:rsidTr="007A6CA6">
        <w:trPr>
          <w:gridAfter w:val="1"/>
          <w:wAfter w:w="319" w:type="dxa"/>
          <w:trHeight w:val="242"/>
        </w:trPr>
        <w:tc>
          <w:tcPr>
            <w:tcW w:w="8457" w:type="dxa"/>
            <w:gridSpan w:val="2"/>
          </w:tcPr>
          <w:p w14:paraId="66846DC3" w14:textId="77777777" w:rsidR="00F13670" w:rsidRPr="00DB23D2" w:rsidRDefault="00F13670" w:rsidP="007A6CA6">
            <w:pPr>
              <w:spacing w:line="276" w:lineRule="auto"/>
              <w:jc w:val="both"/>
              <w:rPr>
                <w:rFonts w:ascii="Verdana" w:eastAsia="Calibri" w:hAnsi="Verdana" w:cs="Arial"/>
                <w:lang w:val="es-ES_tradnl" w:eastAsia="es-ES"/>
              </w:rPr>
            </w:pPr>
          </w:p>
        </w:tc>
      </w:tr>
    </w:tbl>
    <w:p w14:paraId="4E4E9B38" w14:textId="77777777" w:rsidR="00F13670" w:rsidRPr="006730E9" w:rsidRDefault="00F13670" w:rsidP="00F1367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o señor Chávez;</w:t>
      </w:r>
    </w:p>
    <w:p w14:paraId="38A5852B" w14:textId="77777777" w:rsidR="00F13670" w:rsidRDefault="00F13670" w:rsidP="00F1367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0F28F0C" w14:textId="77777777" w:rsidR="00F13670" w:rsidRPr="006730E9" w:rsidRDefault="00F13670" w:rsidP="00F1367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02 </w:t>
      </w:r>
      <w:r w:rsidRPr="00E5644F">
        <w:rPr>
          <w:rFonts w:ascii="Verdana" w:eastAsia="Calibri" w:hAnsi="Verdana" w:cs="Arial"/>
          <w:lang w:val="es-ES" w:eastAsia="es-ES"/>
        </w:rPr>
        <w:t xml:space="preserve">de </w:t>
      </w:r>
      <w:r>
        <w:rPr>
          <w:rFonts w:ascii="Verdana" w:eastAsia="Calibri" w:hAnsi="Verdana" w:cs="Arial"/>
          <w:lang w:val="es-ES" w:eastAsia="es-ES"/>
        </w:rPr>
        <w:t>septiembre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3466A3B0" w14:textId="77777777" w:rsidR="00F13670" w:rsidRPr="001773DA" w:rsidRDefault="00F13670" w:rsidP="00F13670">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60A27918" w14:textId="77777777" w:rsidR="00F13670" w:rsidRPr="001773DA"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540C659C" w14:textId="77777777" w:rsidR="00F13670" w:rsidRPr="001773DA"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 </w:t>
      </w:r>
    </w:p>
    <w:p w14:paraId="7AA2EDFB" w14:textId="77777777" w:rsidR="00F13670" w:rsidRPr="001773DA"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De manera atenta me permito elevar la siguiente consulta en relación con la </w:t>
      </w:r>
      <w:r w:rsidRPr="001773DA">
        <w:rPr>
          <w:rFonts w:ascii="Verdana" w:eastAsia="Century Gothic" w:hAnsi="Verdana" w:cs="Century Gothic"/>
          <w:b/>
          <w:bCs/>
          <w:i/>
          <w:iCs/>
          <w:sz w:val="20"/>
          <w:szCs w:val="20"/>
        </w:rPr>
        <w:t>delegación</w:t>
      </w:r>
      <w:r>
        <w:rPr>
          <w:rFonts w:ascii="Verdana" w:eastAsia="Century Gothic" w:hAnsi="Verdana" w:cs="Century Gothic"/>
          <w:b/>
          <w:bCs/>
          <w:i/>
          <w:iCs/>
          <w:sz w:val="20"/>
          <w:szCs w:val="20"/>
        </w:rPr>
        <w:t xml:space="preserve"> </w:t>
      </w:r>
      <w:r w:rsidRPr="001773DA">
        <w:rPr>
          <w:rFonts w:ascii="Verdana" w:eastAsia="Century Gothic" w:hAnsi="Verdana" w:cs="Century Gothic"/>
          <w:b/>
          <w:bCs/>
          <w:i/>
          <w:iCs/>
          <w:sz w:val="20"/>
          <w:szCs w:val="20"/>
        </w:rPr>
        <w:t>de funciones de supervisión de contratos a los servidores públicos</w:t>
      </w:r>
      <w:r w:rsidRPr="001773DA">
        <w:rPr>
          <w:rFonts w:ascii="Verdana" w:eastAsia="Century Gothic" w:hAnsi="Verdana" w:cs="Century Gothic"/>
          <w:i/>
          <w:iCs/>
          <w:sz w:val="20"/>
          <w:szCs w:val="20"/>
        </w:rPr>
        <w:t>. Puntualmente,</w:t>
      </w:r>
      <w:r>
        <w:rPr>
          <w:rFonts w:ascii="Verdana" w:eastAsia="Century Gothic" w:hAnsi="Verdana" w:cs="Century Gothic"/>
          <w:i/>
          <w:iCs/>
          <w:sz w:val="20"/>
          <w:szCs w:val="20"/>
        </w:rPr>
        <w:t xml:space="preserve">  </w:t>
      </w:r>
      <w:r w:rsidRPr="001773DA">
        <w:rPr>
          <w:rFonts w:ascii="Verdana" w:eastAsia="Century Gothic" w:hAnsi="Verdana" w:cs="Century Gothic"/>
          <w:i/>
          <w:iCs/>
          <w:sz w:val="20"/>
          <w:szCs w:val="20"/>
        </w:rPr>
        <w:t xml:space="preserve">quisiera aclarar: </w:t>
      </w:r>
    </w:p>
    <w:p w14:paraId="5790ADFE" w14:textId="77777777" w:rsidR="00F13670" w:rsidRPr="001773DA"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46FD432" w14:textId="77777777" w:rsidR="00F13670" w:rsidRPr="001773DA"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1.</w:t>
      </w:r>
      <w:r w:rsidRPr="001773DA">
        <w:rPr>
          <w:rFonts w:ascii="Verdana" w:eastAsia="Century Gothic" w:hAnsi="Verdana" w:cs="Century Gothic"/>
          <w:i/>
          <w:iCs/>
          <w:sz w:val="20"/>
          <w:szCs w:val="20"/>
        </w:rPr>
        <w:t xml:space="preserve">¿Cuál es la </w:t>
      </w:r>
      <w:r w:rsidRPr="001773DA">
        <w:rPr>
          <w:rFonts w:ascii="Verdana" w:eastAsia="Century Gothic" w:hAnsi="Verdana" w:cs="Century Gothic"/>
          <w:b/>
          <w:bCs/>
          <w:i/>
          <w:iCs/>
          <w:sz w:val="20"/>
          <w:szCs w:val="20"/>
        </w:rPr>
        <w:t xml:space="preserve">capacidad técnica requerida </w:t>
      </w:r>
      <w:r w:rsidRPr="001773DA">
        <w:rPr>
          <w:rFonts w:ascii="Verdana" w:eastAsia="Century Gothic" w:hAnsi="Verdana" w:cs="Century Gothic"/>
          <w:i/>
          <w:iCs/>
          <w:sz w:val="20"/>
          <w:szCs w:val="20"/>
        </w:rPr>
        <w:t>que debe acreditar el funcionario</w:t>
      </w:r>
      <w:r>
        <w:rPr>
          <w:rFonts w:ascii="Verdana" w:eastAsia="Century Gothic" w:hAnsi="Verdana" w:cs="Century Gothic"/>
          <w:i/>
          <w:iCs/>
          <w:sz w:val="20"/>
          <w:szCs w:val="20"/>
        </w:rPr>
        <w:t xml:space="preserve"> </w:t>
      </w:r>
      <w:r w:rsidRPr="001773DA">
        <w:rPr>
          <w:rFonts w:ascii="Verdana" w:eastAsia="Century Gothic" w:hAnsi="Verdana" w:cs="Century Gothic"/>
          <w:i/>
          <w:iCs/>
          <w:sz w:val="20"/>
          <w:szCs w:val="20"/>
        </w:rPr>
        <w:t xml:space="preserve">designado como supervisor? </w:t>
      </w:r>
    </w:p>
    <w:p w14:paraId="312C63B9" w14:textId="77777777" w:rsidR="00F13670" w:rsidRPr="001773DA"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EFA76B8" w14:textId="77777777" w:rsidR="00F13670" w:rsidRPr="001773DA"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lastRenderedPageBreak/>
        <w:t>2.</w:t>
      </w:r>
      <w:r w:rsidRPr="001773DA">
        <w:rPr>
          <w:rFonts w:ascii="Verdana" w:eastAsia="Century Gothic" w:hAnsi="Verdana" w:cs="Century Gothic"/>
          <w:i/>
          <w:iCs/>
          <w:sz w:val="20"/>
          <w:szCs w:val="20"/>
        </w:rPr>
        <w:t xml:space="preserve">¿Existe algún </w:t>
      </w:r>
      <w:r w:rsidRPr="001773DA">
        <w:rPr>
          <w:rFonts w:ascii="Verdana" w:eastAsia="Century Gothic" w:hAnsi="Verdana" w:cs="Century Gothic"/>
          <w:b/>
          <w:bCs/>
          <w:i/>
          <w:iCs/>
          <w:sz w:val="20"/>
          <w:szCs w:val="20"/>
        </w:rPr>
        <w:t xml:space="preserve">tope en el valor del contrato </w:t>
      </w:r>
      <w:r w:rsidRPr="001773DA">
        <w:rPr>
          <w:rFonts w:ascii="Verdana" w:eastAsia="Century Gothic" w:hAnsi="Verdana" w:cs="Century Gothic"/>
          <w:i/>
          <w:iCs/>
          <w:sz w:val="20"/>
          <w:szCs w:val="20"/>
        </w:rPr>
        <w:t>en función del grado del funcionario,</w:t>
      </w:r>
      <w:r>
        <w:rPr>
          <w:rFonts w:ascii="Verdana" w:eastAsia="Century Gothic" w:hAnsi="Verdana" w:cs="Century Gothic"/>
          <w:i/>
          <w:iCs/>
          <w:sz w:val="20"/>
          <w:szCs w:val="20"/>
        </w:rPr>
        <w:t xml:space="preserve"> </w:t>
      </w:r>
      <w:r w:rsidRPr="001773DA">
        <w:rPr>
          <w:rFonts w:ascii="Verdana" w:eastAsia="Century Gothic" w:hAnsi="Verdana" w:cs="Century Gothic"/>
          <w:i/>
          <w:iCs/>
          <w:sz w:val="20"/>
          <w:szCs w:val="20"/>
        </w:rPr>
        <w:t>o todos los niveles pueden ejercer la supervisión, aun cuando el cargo contemple</w:t>
      </w:r>
      <w:r>
        <w:rPr>
          <w:rFonts w:ascii="Verdana" w:eastAsia="Century Gothic" w:hAnsi="Verdana" w:cs="Century Gothic"/>
          <w:i/>
          <w:iCs/>
          <w:sz w:val="20"/>
          <w:szCs w:val="20"/>
        </w:rPr>
        <w:t xml:space="preserve"> </w:t>
      </w:r>
      <w:r w:rsidRPr="001773DA">
        <w:rPr>
          <w:rFonts w:ascii="Verdana" w:eastAsia="Century Gothic" w:hAnsi="Verdana" w:cs="Century Gothic"/>
          <w:i/>
          <w:iCs/>
          <w:sz w:val="20"/>
          <w:szCs w:val="20"/>
        </w:rPr>
        <w:t xml:space="preserve">una experiencia profesional baja o incluso sin experiencia? </w:t>
      </w:r>
    </w:p>
    <w:p w14:paraId="39A92166" w14:textId="77777777" w:rsidR="00F13670" w:rsidRPr="001773DA"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8731482" w14:textId="77777777" w:rsidR="00F13670" w:rsidRPr="001773DA"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3.</w:t>
      </w:r>
      <w:r w:rsidRPr="001773DA">
        <w:rPr>
          <w:rFonts w:ascii="Verdana" w:eastAsia="Century Gothic" w:hAnsi="Verdana" w:cs="Century Gothic"/>
          <w:i/>
          <w:iCs/>
          <w:sz w:val="20"/>
          <w:szCs w:val="20"/>
        </w:rPr>
        <w:t>¿La delegación de la supervisión aplica de manera exclusiva a los contratos de</w:t>
      </w:r>
      <w:r>
        <w:rPr>
          <w:rFonts w:ascii="Verdana" w:eastAsia="Century Gothic" w:hAnsi="Verdana" w:cs="Century Gothic"/>
          <w:i/>
          <w:iCs/>
          <w:sz w:val="20"/>
          <w:szCs w:val="20"/>
        </w:rPr>
        <w:t xml:space="preserve"> </w:t>
      </w:r>
      <w:r w:rsidRPr="001773DA">
        <w:rPr>
          <w:rFonts w:ascii="Verdana" w:eastAsia="Century Gothic" w:hAnsi="Verdana" w:cs="Century Gothic"/>
          <w:i/>
          <w:iCs/>
          <w:sz w:val="20"/>
          <w:szCs w:val="20"/>
        </w:rPr>
        <w:t>interventoría, o también se extiende a la supervisión de contratos de obra y otros</w:t>
      </w:r>
      <w:r>
        <w:rPr>
          <w:rFonts w:ascii="Verdana" w:eastAsia="Century Gothic" w:hAnsi="Verdana" w:cs="Century Gothic"/>
          <w:i/>
          <w:iCs/>
          <w:sz w:val="20"/>
          <w:szCs w:val="20"/>
        </w:rPr>
        <w:t xml:space="preserve"> </w:t>
      </w:r>
      <w:r w:rsidRPr="001773DA">
        <w:rPr>
          <w:rFonts w:ascii="Verdana" w:eastAsia="Century Gothic" w:hAnsi="Verdana" w:cs="Century Gothic"/>
          <w:i/>
          <w:iCs/>
          <w:sz w:val="20"/>
          <w:szCs w:val="20"/>
        </w:rPr>
        <w:t xml:space="preserve">tipos contractuales? </w:t>
      </w:r>
    </w:p>
    <w:p w14:paraId="61E67985" w14:textId="77777777" w:rsidR="00F13670" w:rsidRPr="00B350FE" w:rsidRDefault="00F13670" w:rsidP="00F13670">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61D0C94B" w14:textId="77777777" w:rsidR="00F13670" w:rsidRDefault="00F13670" w:rsidP="00F13670">
      <w:pPr>
        <w:spacing w:after="0" w:line="276" w:lineRule="auto"/>
        <w:ind w:firstLine="709"/>
        <w:jc w:val="both"/>
        <w:rPr>
          <w:rFonts w:ascii="Verdana" w:eastAsia="Calibri" w:hAnsi="Verdana" w:cs="Arial"/>
          <w:lang w:val="es-ES" w:eastAsia="es-ES"/>
        </w:rPr>
      </w:pPr>
    </w:p>
    <w:p w14:paraId="21C72441" w14:textId="77777777" w:rsidR="00F13670" w:rsidRPr="00AA3B9F" w:rsidRDefault="00F13670" w:rsidP="00F13670">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FC69B91" w14:textId="77777777" w:rsidR="00F13670" w:rsidRPr="00AA3B9F" w:rsidRDefault="00F13670" w:rsidP="00F13670">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314AEE3B" w14:textId="77777777" w:rsidR="00F13670" w:rsidRDefault="00F13670" w:rsidP="00F13670">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22A21E49" w14:textId="77777777" w:rsidR="00F13670" w:rsidRDefault="00F13670" w:rsidP="00F1367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4070899F" w14:textId="77777777" w:rsidR="00F13670" w:rsidRDefault="00F13670" w:rsidP="00F13670">
      <w:pPr>
        <w:pStyle w:val="Prrafodelista"/>
        <w:tabs>
          <w:tab w:val="left" w:pos="142"/>
          <w:tab w:val="left" w:pos="284"/>
        </w:tabs>
        <w:spacing w:after="0" w:line="276" w:lineRule="auto"/>
        <w:ind w:left="0"/>
        <w:jc w:val="both"/>
        <w:rPr>
          <w:rFonts w:ascii="Verdana" w:eastAsia="Century Gothic" w:hAnsi="Verdana" w:cs="Century Gothic"/>
          <w:b/>
          <w:bCs/>
        </w:rPr>
      </w:pPr>
    </w:p>
    <w:p w14:paraId="385C6DF5" w14:textId="77777777" w:rsidR="00F13670" w:rsidRDefault="00F13670" w:rsidP="00F13670">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problemas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entury Gothic" w:hAnsi="Verdana" w:cs="Century Gothic"/>
        </w:rPr>
        <w:t xml:space="preserve"> </w:t>
      </w:r>
    </w:p>
    <w:p w14:paraId="4CF317A3" w14:textId="77777777" w:rsidR="00F13670" w:rsidRDefault="00F13670" w:rsidP="00F13670">
      <w:pPr>
        <w:spacing w:after="0" w:line="276" w:lineRule="auto"/>
        <w:jc w:val="both"/>
        <w:rPr>
          <w:rFonts w:ascii="Verdana" w:eastAsia="Century Gothic" w:hAnsi="Verdana" w:cs="Century Gothic"/>
        </w:rPr>
      </w:pPr>
    </w:p>
    <w:p w14:paraId="24DE9492" w14:textId="77777777" w:rsidR="00F13670" w:rsidRDefault="00F13670" w:rsidP="00F13670">
      <w:pPr>
        <w:spacing w:after="0" w:line="276" w:lineRule="auto"/>
        <w:jc w:val="both"/>
        <w:rPr>
          <w:rFonts w:ascii="Verdana" w:eastAsia="Century Gothic" w:hAnsi="Verdana" w:cs="Century Gothic"/>
        </w:rPr>
      </w:pPr>
      <w:r>
        <w:rPr>
          <w:rFonts w:ascii="Verdana" w:eastAsia="Century Gothic" w:hAnsi="Verdana" w:cs="Century Gothic"/>
        </w:rPr>
        <w:t xml:space="preserve">i. </w:t>
      </w:r>
      <w:r w:rsidRPr="001773DA">
        <w:rPr>
          <w:rFonts w:ascii="Verdana" w:eastAsia="Century Gothic" w:hAnsi="Verdana" w:cs="Century Gothic"/>
        </w:rPr>
        <w:t>¿</w:t>
      </w:r>
      <w:r w:rsidRPr="00B60BC4">
        <w:rPr>
          <w:rFonts w:ascii="Verdana" w:eastAsia="Century Gothic" w:hAnsi="Verdana" w:cs="Century Gothic"/>
        </w:rPr>
        <w:t>Qué perfil debe tener el supervisor</w:t>
      </w:r>
      <w:r>
        <w:rPr>
          <w:rFonts w:ascii="Verdana" w:eastAsia="Century Gothic" w:hAnsi="Verdana" w:cs="Century Gothic"/>
        </w:rPr>
        <w:t xml:space="preserve"> de un contrato estatal</w:t>
      </w:r>
      <w:r w:rsidRPr="001773DA">
        <w:rPr>
          <w:rFonts w:ascii="Verdana" w:eastAsia="Century Gothic" w:hAnsi="Verdana" w:cs="Century Gothic"/>
        </w:rPr>
        <w:t>?</w:t>
      </w:r>
    </w:p>
    <w:p w14:paraId="09F65C0A" w14:textId="77777777" w:rsidR="00F13670" w:rsidRDefault="00F13670" w:rsidP="00F13670">
      <w:pPr>
        <w:spacing w:after="0" w:line="276" w:lineRule="auto"/>
        <w:jc w:val="both"/>
        <w:rPr>
          <w:rFonts w:ascii="Verdana" w:eastAsia="Century Gothic" w:hAnsi="Verdana" w:cs="Century Gothic"/>
        </w:rPr>
      </w:pPr>
      <w:r w:rsidRPr="3759870A">
        <w:rPr>
          <w:rFonts w:ascii="Verdana" w:eastAsia="Century Gothic" w:hAnsi="Verdana" w:cs="Century Gothic"/>
        </w:rPr>
        <w:t>ii. ¿La delegación de funciones de supervisión se aplica únicamente a contratos de interventoría o también alcanza otros tipos contractuales?</w:t>
      </w:r>
    </w:p>
    <w:p w14:paraId="4B35AB8C" w14:textId="127CA484" w:rsidR="00F13670" w:rsidRPr="001773DA" w:rsidRDefault="00F13670" w:rsidP="00F13670">
      <w:pPr>
        <w:spacing w:after="0" w:line="276" w:lineRule="auto"/>
        <w:jc w:val="both"/>
        <w:rPr>
          <w:rFonts w:ascii="Verdana" w:eastAsia="Century Gothic" w:hAnsi="Verdana" w:cs="Century Gothic"/>
        </w:rPr>
      </w:pPr>
    </w:p>
    <w:bookmarkEnd w:id="3"/>
    <w:p w14:paraId="6502F160" w14:textId="77777777" w:rsidR="00F13670" w:rsidRDefault="00F13670" w:rsidP="00F136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Respuesta:</w:t>
      </w:r>
    </w:p>
    <w:p w14:paraId="3CF2CFB5" w14:textId="77777777" w:rsidR="00F13670" w:rsidRPr="00593A5F" w:rsidRDefault="00F13670" w:rsidP="00F1367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13670" w:rsidRPr="00593A5F" w14:paraId="09B3F7FF" w14:textId="77777777" w:rsidTr="3759870A">
        <w:tc>
          <w:tcPr>
            <w:tcW w:w="8828" w:type="dxa"/>
          </w:tcPr>
          <w:p w14:paraId="4A1738CE" w14:textId="0C418572" w:rsidR="00F13670" w:rsidRPr="00B60BC4" w:rsidRDefault="00F13670" w:rsidP="3759870A">
            <w:pPr>
              <w:spacing w:before="120" w:line="276" w:lineRule="auto"/>
              <w:jc w:val="both"/>
              <w:rPr>
                <w:rFonts w:ascii="Verdana" w:eastAsia="Calibri" w:hAnsi="Verdana" w:cs="Arial"/>
                <w:lang w:val="es-ES" w:eastAsia="es-ES"/>
              </w:rPr>
            </w:pPr>
            <w:r w:rsidRPr="3759870A">
              <w:rPr>
                <w:rFonts w:ascii="Verdana" w:eastAsia="Calibri" w:hAnsi="Verdana" w:cs="Arial"/>
                <w:lang w:val="es-ES" w:eastAsia="es-ES"/>
              </w:rPr>
              <w:t xml:space="preserve">      i. De acuerdo con el artículo 83 de la Ley 1474 de 2011, la supervisión es una actividad que debe realizar la</w:t>
            </w:r>
            <w:r w:rsidR="338D869F" w:rsidRPr="3759870A">
              <w:rPr>
                <w:rFonts w:ascii="Verdana" w:eastAsia="Calibri" w:hAnsi="Verdana" w:cs="Arial"/>
                <w:lang w:val="es-ES" w:eastAsia="es-ES"/>
              </w:rPr>
              <w:t xml:space="preserve"> misma</w:t>
            </w:r>
            <w:r w:rsidRPr="3759870A">
              <w:rPr>
                <w:rFonts w:ascii="Verdana" w:eastAsia="Calibri" w:hAnsi="Verdana" w:cs="Arial"/>
                <w:lang w:val="es-ES" w:eastAsia="es-ES"/>
              </w:rPr>
              <w:t xml:space="preserve"> entidad estatal, sin perjuicio de que pueda contratar el apoyo a esta labor mediante la celebración de contratos de prestación de servicios. En efecto, el segundo inciso de dicha norma establece:</w:t>
            </w:r>
          </w:p>
          <w:p w14:paraId="77EB1FCF" w14:textId="77777777" w:rsidR="00F13670" w:rsidRPr="00B60BC4" w:rsidRDefault="00F13670" w:rsidP="007A6CA6">
            <w:pPr>
              <w:ind w:left="709" w:right="709"/>
              <w:jc w:val="both"/>
              <w:rPr>
                <w:rFonts w:ascii="Verdana" w:eastAsia="Times New Roman" w:hAnsi="Verdana" w:cs="Arial"/>
                <w:i/>
                <w:lang w:val="es-ES_tradnl" w:eastAsia="es-ES_tradnl"/>
              </w:rPr>
            </w:pPr>
          </w:p>
          <w:p w14:paraId="12303466" w14:textId="77777777" w:rsidR="00F13670" w:rsidRPr="006D0235" w:rsidRDefault="00F13670" w:rsidP="007A6CA6">
            <w:pPr>
              <w:ind w:left="709" w:right="709"/>
              <w:jc w:val="both"/>
              <w:rPr>
                <w:rFonts w:ascii="Verdana" w:eastAsia="Times New Roman" w:hAnsi="Verdana" w:cs="Arial"/>
                <w:i/>
                <w:sz w:val="20"/>
                <w:szCs w:val="20"/>
                <w:lang w:val="es-ES" w:eastAsia="es-ES"/>
              </w:rPr>
            </w:pPr>
            <w:r w:rsidRPr="006D0235">
              <w:rPr>
                <w:rFonts w:ascii="Verdana" w:eastAsia="Times New Roman" w:hAnsi="Verdana" w:cs="Arial"/>
                <w:i/>
                <w:sz w:val="20"/>
                <w:szCs w:val="20"/>
                <w:lang w:val="es-ES" w:eastAsia="es-ES"/>
              </w:rPr>
              <w:t>“La supervisión consistirá en el seguimiento técnico, administrativo, financiero, contable, y jurídico que sobre el cumplimiento del objeto del contrato, es ejercida por la misma entidad estatal cuando no requieren conocimientos</w:t>
            </w:r>
            <w:r w:rsidRPr="006D0235">
              <w:rPr>
                <w:rFonts w:ascii="Verdana" w:eastAsia="Calibri" w:hAnsi="Verdana" w:cs="Arial"/>
                <w:sz w:val="20"/>
                <w:szCs w:val="20"/>
                <w:lang w:val="es-ES" w:eastAsia="es-ES"/>
              </w:rPr>
              <w:t xml:space="preserve"> </w:t>
            </w:r>
            <w:r w:rsidRPr="006D0235">
              <w:rPr>
                <w:rFonts w:ascii="Verdana" w:eastAsia="Times New Roman" w:hAnsi="Verdana" w:cs="Arial"/>
                <w:i/>
                <w:sz w:val="20"/>
                <w:szCs w:val="20"/>
                <w:lang w:val="es-ES" w:eastAsia="es-ES"/>
              </w:rPr>
              <w:t>especializados. Para la supervisión, la Entidad estatal podrá contratar personal de apoyo, a través de los contratos de prestación de servicios que sean requeridos</w:t>
            </w:r>
            <w:r w:rsidRPr="006D0235">
              <w:rPr>
                <w:rFonts w:ascii="Verdana" w:eastAsia="Times New Roman" w:hAnsi="Verdana" w:cs="Arial"/>
                <w:sz w:val="20"/>
                <w:szCs w:val="20"/>
                <w:lang w:val="es-ES" w:eastAsia="es-ES"/>
              </w:rPr>
              <w:t>”</w:t>
            </w:r>
            <w:r w:rsidRPr="006D0235">
              <w:rPr>
                <w:rFonts w:ascii="Verdana" w:eastAsia="Times New Roman" w:hAnsi="Verdana" w:cs="Arial"/>
                <w:i/>
                <w:sz w:val="20"/>
                <w:szCs w:val="20"/>
                <w:lang w:val="es-ES" w:eastAsia="es-ES"/>
              </w:rPr>
              <w:t>.</w:t>
            </w:r>
          </w:p>
          <w:p w14:paraId="5E56EB9E" w14:textId="77777777" w:rsidR="00F13670" w:rsidRPr="00B60BC4" w:rsidRDefault="00F13670" w:rsidP="007A6CA6">
            <w:pPr>
              <w:spacing w:line="276" w:lineRule="auto"/>
              <w:ind w:firstLine="709"/>
              <w:jc w:val="both"/>
              <w:rPr>
                <w:rFonts w:ascii="Verdana" w:eastAsia="Calibri" w:hAnsi="Verdana" w:cs="Arial"/>
                <w:lang w:val="es-ES_tradnl" w:eastAsia="es-ES"/>
              </w:rPr>
            </w:pPr>
          </w:p>
          <w:p w14:paraId="4799FFF0" w14:textId="34ED1367" w:rsidR="00F13670" w:rsidRDefault="00F13670" w:rsidP="3759870A">
            <w:pPr>
              <w:spacing w:after="120" w:line="276" w:lineRule="auto"/>
              <w:jc w:val="both"/>
              <w:rPr>
                <w:rFonts w:ascii="Verdana" w:eastAsia="Calibri" w:hAnsi="Verdana" w:cs="Arial"/>
                <w:lang w:val="es-ES" w:eastAsia="es-ES"/>
              </w:rPr>
            </w:pPr>
            <w:r w:rsidRPr="3759870A">
              <w:rPr>
                <w:rFonts w:ascii="Verdana" w:eastAsia="Calibri" w:hAnsi="Verdana" w:cs="Arial"/>
                <w:lang w:eastAsia="es-ES"/>
              </w:rPr>
              <w:t xml:space="preserve">      En ese sentido, corresponde a la entidad contratante, a través del ordenador del gasto, designar al supervisor del contrato. Dicha designación puede recaer en cualquier servidor público, por cuanto la función de supervisión es inherente a esta condición. No existe un límite legal que restrinja tal designación por razón del nivel jerárquico o grado del funcionario</w:t>
            </w:r>
            <w:r w:rsidR="2FF11E97" w:rsidRPr="156FA5E9">
              <w:rPr>
                <w:rFonts w:ascii="Verdana" w:eastAsia="Calibri" w:hAnsi="Verdana" w:cs="Arial"/>
                <w:lang w:eastAsia="es-ES"/>
              </w:rPr>
              <w:t>.</w:t>
            </w:r>
            <w:r w:rsidRPr="3759870A">
              <w:rPr>
                <w:rFonts w:ascii="Verdana" w:eastAsia="Calibri" w:hAnsi="Verdana" w:cs="Arial"/>
                <w:lang w:eastAsia="es-ES"/>
              </w:rPr>
              <w:t xml:space="preserve"> Asimismo, </w:t>
            </w:r>
            <w:r w:rsidR="007B70FC">
              <w:rPr>
                <w:rFonts w:ascii="Verdana" w:eastAsia="Calibri" w:hAnsi="Verdana" w:cs="Arial"/>
                <w:lang w:eastAsia="es-ES"/>
              </w:rPr>
              <w:t xml:space="preserve">con fundamento en lo previsto en el </w:t>
            </w:r>
            <w:r w:rsidR="00A604EC">
              <w:rPr>
                <w:rFonts w:ascii="Verdana" w:eastAsia="Calibri" w:hAnsi="Verdana" w:cs="Arial"/>
                <w:lang w:eastAsia="es-ES"/>
              </w:rPr>
              <w:t xml:space="preserve">referido </w:t>
            </w:r>
            <w:r w:rsidR="007B70FC">
              <w:rPr>
                <w:rFonts w:ascii="Verdana" w:eastAsia="Calibri" w:hAnsi="Verdana" w:cs="Arial"/>
                <w:lang w:eastAsia="es-ES"/>
              </w:rPr>
              <w:t>artículo</w:t>
            </w:r>
            <w:r w:rsidR="006C013B">
              <w:rPr>
                <w:rFonts w:ascii="Verdana" w:eastAsia="Calibri" w:hAnsi="Verdana" w:cs="Arial"/>
                <w:lang w:eastAsia="es-ES"/>
              </w:rPr>
              <w:t xml:space="preserve"> 83</w:t>
            </w:r>
            <w:r w:rsidR="007B70FC">
              <w:rPr>
                <w:rFonts w:ascii="Verdana" w:eastAsia="Calibri" w:hAnsi="Verdana" w:cs="Arial"/>
                <w:lang w:eastAsia="es-ES"/>
              </w:rPr>
              <w:t xml:space="preserve"> </w:t>
            </w:r>
            <w:r w:rsidRPr="3759870A">
              <w:rPr>
                <w:rFonts w:ascii="Verdana" w:eastAsia="Calibri" w:hAnsi="Verdana" w:cs="Arial"/>
                <w:lang w:eastAsia="es-ES"/>
              </w:rPr>
              <w:t xml:space="preserve">el supervisor puede apoyarse en personal de la entidad </w:t>
            </w:r>
            <w:r w:rsidR="00A26284">
              <w:rPr>
                <w:rFonts w:ascii="Verdana" w:eastAsia="Calibri" w:hAnsi="Verdana" w:cs="Arial"/>
                <w:lang w:eastAsia="es-ES"/>
              </w:rPr>
              <w:t>vinculado a través de contratos de prestación de servicios</w:t>
            </w:r>
            <w:r w:rsidRPr="156FA5E9">
              <w:rPr>
                <w:rFonts w:ascii="Verdana" w:eastAsia="Calibri" w:hAnsi="Verdana" w:cs="Arial"/>
                <w:lang w:eastAsia="es-ES"/>
              </w:rPr>
              <w:t>.</w:t>
            </w:r>
            <w:r w:rsidRPr="3759870A">
              <w:rPr>
                <w:rFonts w:ascii="Verdana" w:eastAsia="Calibri" w:hAnsi="Verdana" w:cs="Arial"/>
                <w:lang w:eastAsia="es-ES"/>
              </w:rPr>
              <w:t xml:space="preserve"> Cuando la naturaleza del contrato exija conocimientos especializados que excedan las capacidades internas de la entidad, deberá acudirse a la figura de la interventoría.</w:t>
            </w:r>
            <w:r w:rsidRPr="3759870A">
              <w:rPr>
                <w:rFonts w:ascii="Verdana" w:eastAsia="Calibri" w:hAnsi="Verdana" w:cs="Arial"/>
                <w:lang w:val="es-ES" w:eastAsia="es-ES"/>
              </w:rPr>
              <w:t xml:space="preserve"> </w:t>
            </w:r>
          </w:p>
          <w:p w14:paraId="79FC7778" w14:textId="254E9521" w:rsidR="00F13670" w:rsidRPr="00B60BC4" w:rsidRDefault="18BE9B13" w:rsidP="007A6CA6">
            <w:pPr>
              <w:spacing w:line="276" w:lineRule="auto"/>
              <w:ind w:firstLine="709"/>
              <w:jc w:val="both"/>
              <w:rPr>
                <w:rFonts w:ascii="Verdana" w:eastAsia="Calibri" w:hAnsi="Verdana" w:cs="Arial"/>
                <w:lang w:val="es-ES" w:eastAsia="es-ES"/>
              </w:rPr>
            </w:pPr>
            <w:r w:rsidRPr="156FA5E9">
              <w:rPr>
                <w:rFonts w:ascii="Verdana" w:eastAsia="Calibri" w:hAnsi="Verdana" w:cs="Arial"/>
                <w:lang w:val="es-ES" w:eastAsia="es-ES"/>
              </w:rPr>
              <w:t>L</w:t>
            </w:r>
            <w:r w:rsidR="00F13670" w:rsidRPr="156FA5E9">
              <w:rPr>
                <w:rFonts w:ascii="Verdana" w:eastAsia="Calibri" w:hAnsi="Verdana" w:cs="Arial"/>
                <w:lang w:val="es-ES" w:eastAsia="es-ES"/>
              </w:rPr>
              <w:t>a Guía para el ejercicio de las funciones de Supervisión e Interventoría de los contratos del Estado de Colombia Compra Eficiente dispone un deber de la entidad contratante y es “realizar un análisis de la carga operativa de quien va a ser designado supervisor, para no incurrir en los riesgos derivados de una supervisión inadecuada por falta de tiempo”.</w:t>
            </w:r>
          </w:p>
          <w:p w14:paraId="65803C44" w14:textId="77777777" w:rsidR="00F13670" w:rsidRPr="00B60BC4" w:rsidRDefault="00F13670" w:rsidP="007A6CA6">
            <w:pPr>
              <w:spacing w:line="276" w:lineRule="auto"/>
              <w:jc w:val="both"/>
              <w:rPr>
                <w:rFonts w:ascii="Verdana" w:eastAsia="Calibri" w:hAnsi="Verdana" w:cs="Arial"/>
                <w:lang w:val="es-ES_tradnl" w:eastAsia="es-ES"/>
              </w:rPr>
            </w:pPr>
          </w:p>
          <w:p w14:paraId="72237F10" w14:textId="52BBCD5B" w:rsidR="00F13670" w:rsidRPr="00B60BC4" w:rsidRDefault="00F13670" w:rsidP="3759870A">
            <w:pPr>
              <w:spacing w:line="276" w:lineRule="auto"/>
              <w:jc w:val="both"/>
              <w:rPr>
                <w:rFonts w:ascii="Verdana" w:eastAsia="Calibri" w:hAnsi="Verdana" w:cs="Arial"/>
                <w:lang w:val="es-ES" w:eastAsia="es-ES"/>
              </w:rPr>
            </w:pPr>
            <w:r w:rsidRPr="3759870A">
              <w:rPr>
                <w:rFonts w:ascii="Verdana" w:eastAsia="Calibri" w:hAnsi="Verdana" w:cs="Arial"/>
                <w:lang w:val="es-ES" w:eastAsia="es-ES"/>
              </w:rPr>
              <w:t xml:space="preserve">        De acuerdo con lo anterior, cualquier servidor público puede ser supervisor del contrato, sin que se requiera un perfil específico,  la Guía para el ejercicio de las funciones de Supervisión e Interventoría de los contratos del Estado de Colombia Compra Eficiente señala que “El supervisor no requiere un perfil predeterminado, pero es recomendable que el supervisor pueda actuar como par del contratista supervisado”. En todo caso, al ser una decisión autónoma del ordenador del gasto se recomienda que la persona designada sea </w:t>
            </w:r>
            <w:r w:rsidR="2B107C2A" w:rsidRPr="3759870A">
              <w:rPr>
                <w:rFonts w:ascii="Verdana" w:eastAsia="Calibri" w:hAnsi="Verdana" w:cs="Arial"/>
                <w:lang w:val="es-ES" w:eastAsia="es-ES"/>
              </w:rPr>
              <w:t xml:space="preserve">la </w:t>
            </w:r>
            <w:r w:rsidRPr="3759870A">
              <w:rPr>
                <w:rFonts w:ascii="Verdana" w:eastAsia="Calibri" w:hAnsi="Verdana" w:cs="Arial"/>
                <w:lang w:val="es-ES" w:eastAsia="es-ES"/>
              </w:rPr>
              <w:t>adecuada para</w:t>
            </w:r>
            <w:r w:rsidRPr="3759870A" w:rsidDel="00F13670">
              <w:rPr>
                <w:rFonts w:ascii="Verdana" w:eastAsia="Calibri" w:hAnsi="Verdana" w:cs="Arial"/>
                <w:lang w:val="es-ES" w:eastAsia="es-ES"/>
              </w:rPr>
              <w:t xml:space="preserve"> </w:t>
            </w:r>
            <w:r w:rsidR="7E9256DF" w:rsidRPr="3759870A">
              <w:rPr>
                <w:rFonts w:ascii="Verdana" w:eastAsia="Calibri" w:hAnsi="Verdana" w:cs="Arial"/>
                <w:lang w:val="es-ES" w:eastAsia="es-ES"/>
              </w:rPr>
              <w:t xml:space="preserve">ejercer </w:t>
            </w:r>
            <w:r w:rsidRPr="3759870A">
              <w:rPr>
                <w:rFonts w:ascii="Verdana" w:eastAsia="Calibri" w:hAnsi="Verdana" w:cs="Arial"/>
                <w:lang w:val="es-ES" w:eastAsia="es-ES"/>
              </w:rPr>
              <w:t>el</w:t>
            </w:r>
            <w:r w:rsidRPr="3759870A" w:rsidDel="00F13670">
              <w:rPr>
                <w:rFonts w:ascii="Verdana" w:eastAsia="Calibri" w:hAnsi="Verdana" w:cs="Arial"/>
                <w:lang w:val="es-ES" w:eastAsia="es-ES"/>
              </w:rPr>
              <w:t xml:space="preserve"> </w:t>
            </w:r>
            <w:r w:rsidRPr="3759870A">
              <w:rPr>
                <w:rFonts w:ascii="Verdana" w:eastAsia="Calibri" w:hAnsi="Verdana" w:cs="Arial"/>
                <w:lang w:val="es-ES" w:eastAsia="es-ES"/>
              </w:rPr>
              <w:t xml:space="preserve">seguimiento técnico, administrativo, </w:t>
            </w:r>
            <w:r w:rsidRPr="3759870A">
              <w:rPr>
                <w:rFonts w:ascii="Verdana" w:eastAsia="Calibri" w:hAnsi="Verdana" w:cs="Arial"/>
                <w:lang w:val="es-ES" w:eastAsia="es-ES"/>
              </w:rPr>
              <w:lastRenderedPageBreak/>
              <w:t xml:space="preserve">financiero, contable, y jurídico del contrato, lo cual debe ser determinado por la entidad contratante en su ejercicio contractual. </w:t>
            </w:r>
          </w:p>
          <w:p w14:paraId="0394D858" w14:textId="7A6747D2" w:rsidR="00F13670" w:rsidRPr="00B60BC4" w:rsidRDefault="2B408395" w:rsidP="007A6CA6">
            <w:pPr>
              <w:spacing w:line="276" w:lineRule="auto"/>
              <w:jc w:val="both"/>
              <w:rPr>
                <w:rFonts w:ascii="Verdana" w:eastAsia="Calibri" w:hAnsi="Verdana" w:cs="Arial"/>
                <w:lang w:val="es-ES" w:eastAsia="es-ES"/>
              </w:rPr>
            </w:pPr>
            <w:r w:rsidRPr="3759870A">
              <w:rPr>
                <w:rFonts w:ascii="Verdana" w:eastAsia="Calibri" w:hAnsi="Verdana" w:cs="Arial"/>
                <w:lang w:val="es-ES" w:eastAsia="es-ES"/>
              </w:rPr>
              <w:t xml:space="preserve">      </w:t>
            </w:r>
            <w:r w:rsidR="00F13670" w:rsidRPr="3759870A">
              <w:rPr>
                <w:rFonts w:ascii="Verdana" w:eastAsia="Calibri" w:hAnsi="Verdana" w:cs="Arial"/>
                <w:lang w:val="es-ES" w:eastAsia="es-ES"/>
              </w:rPr>
              <w:t>Sobre el momento para designar al supervisor del contrato, la Guía para el ejercicio de las funciones de Supervisión e Interventoría de los contratos del Estado de Colombia Compra Eficiente dispone que “La Entidad Estatal puede designar el supervisor en cualquier momento del Proceso de Contratación una vez iniciada la etapa de planeación”.</w:t>
            </w:r>
          </w:p>
          <w:p w14:paraId="003C6111" w14:textId="77777777" w:rsidR="00F13670" w:rsidRDefault="00F13670" w:rsidP="007A6CA6">
            <w:pPr>
              <w:spacing w:line="276" w:lineRule="auto"/>
              <w:jc w:val="both"/>
              <w:rPr>
                <w:rFonts w:ascii="Verdana" w:eastAsia="Calibri" w:hAnsi="Verdana" w:cs="Arial"/>
                <w:lang w:val="es-ES_tradnl" w:eastAsia="es-ES"/>
              </w:rPr>
            </w:pPr>
            <w:r w:rsidRPr="00B87FBD">
              <w:rPr>
                <w:rFonts w:ascii="Verdana" w:hAnsi="Verdana" w:cs="Arial"/>
              </w:rPr>
              <w:t xml:space="preserve"> </w:t>
            </w:r>
            <w:r>
              <w:rPr>
                <w:rFonts w:ascii="Verdana" w:eastAsia="Calibri" w:hAnsi="Verdana" w:cs="Arial"/>
                <w:lang w:val="es-ES_tradnl" w:eastAsia="es-ES"/>
              </w:rPr>
              <w:t xml:space="preserve">    </w:t>
            </w:r>
          </w:p>
          <w:p w14:paraId="27648C63" w14:textId="06300F11" w:rsidR="00F13670" w:rsidRDefault="00F13670" w:rsidP="007A6CA6">
            <w:pPr>
              <w:spacing w:line="276" w:lineRule="auto"/>
              <w:jc w:val="both"/>
              <w:rPr>
                <w:rFonts w:ascii="Verdana" w:hAnsi="Verdana" w:cs="Arial"/>
              </w:rPr>
            </w:pPr>
            <w:r w:rsidRPr="3759870A">
              <w:rPr>
                <w:rFonts w:ascii="Verdana" w:hAnsi="Verdana" w:cs="Arial"/>
              </w:rPr>
              <w:t xml:space="preserve">       ii.</w:t>
            </w:r>
            <w:r>
              <w:t xml:space="preserve"> </w:t>
            </w:r>
            <w:r w:rsidRPr="3759870A">
              <w:rPr>
                <w:rFonts w:ascii="Verdana" w:hAnsi="Verdana" w:cs="Arial"/>
              </w:rPr>
              <w:t>La asignación de funciones de supervisión se aplica a todos los tipos de contratos estatales (obra, suministro, prestación de servicios, interventoría, etc.) respecto de su seguimiento técnico, administrativo, financiero, contable y jurídico. La designación de un servidor público para esta función es un acto de "asignación de funciones" o "deber legal", y no una "delegación" en el sentido estricto. La supervisión es un deber permanente e indelegable de vigilancia y control que la Entidad ejerce sobre todos sus contratos, incluido el contrato de interventoría, el cual también debe ser supervisado por un funcionario de la Entidad.</w:t>
            </w:r>
            <w:r w:rsidR="00E8739F">
              <w:rPr>
                <w:rFonts w:ascii="Verdana" w:hAnsi="Verdana" w:cs="Arial"/>
              </w:rPr>
              <w:t xml:space="preserve"> </w:t>
            </w:r>
            <w:r w:rsidR="00AB3413">
              <w:rPr>
                <w:rFonts w:ascii="Verdana" w:hAnsi="Verdana" w:cs="Arial"/>
              </w:rPr>
              <w:t xml:space="preserve">De otra parte es preciso resaltar </w:t>
            </w:r>
            <w:r w:rsidR="00E8739F">
              <w:rPr>
                <w:rFonts w:ascii="Verdana" w:hAnsi="Verdana" w:cs="Arial"/>
              </w:rPr>
              <w:t xml:space="preserve">lo previsto en el inciso cuarto del artículo 83 </w:t>
            </w:r>
            <w:r w:rsidR="00784FA6">
              <w:rPr>
                <w:rFonts w:ascii="Verdana" w:hAnsi="Verdana" w:cs="Arial"/>
              </w:rPr>
              <w:t>de la Ley 1474 de 2011</w:t>
            </w:r>
            <w:r w:rsidR="00AB3413">
              <w:rPr>
                <w:rFonts w:ascii="Verdana" w:hAnsi="Verdana" w:cs="Arial"/>
              </w:rPr>
              <w:t>, que prevé</w:t>
            </w:r>
            <w:r w:rsidR="00BD3E0B">
              <w:rPr>
                <w:rFonts w:ascii="Verdana" w:hAnsi="Verdana" w:cs="Arial"/>
              </w:rPr>
              <w:t xml:space="preserve"> </w:t>
            </w:r>
            <w:r w:rsidR="00AB3413">
              <w:rPr>
                <w:rFonts w:ascii="Verdana" w:hAnsi="Verdana" w:cs="Arial"/>
              </w:rPr>
              <w:t>“</w:t>
            </w:r>
            <w:r w:rsidR="00BD3E0B" w:rsidRPr="00BD3E0B">
              <w:rPr>
                <w:rFonts w:ascii="Verdana" w:hAnsi="Verdana" w:cs="Arial"/>
              </w:rPr>
              <w:t>Por regla general, no serán concurrentes en relación con un mismo contrato, las funciones de supervisión e interventoría. Sin embargo, la entidad puede dividir la vigilancia del contrato principal, caso en el cual en el contrato respectivo de interventoría, se deberán indicar las actividades técnicas a cargo del interventor y las demás quedarán a cargo de la Entidad a través del supervisor.</w:t>
            </w:r>
            <w:r w:rsidR="00CC06EE">
              <w:rPr>
                <w:rFonts w:ascii="Verdana" w:hAnsi="Verdana" w:cs="Arial"/>
              </w:rPr>
              <w:t>”</w:t>
            </w:r>
          </w:p>
          <w:p w14:paraId="576A892F" w14:textId="77777777" w:rsidR="00F13670" w:rsidRDefault="00F13670" w:rsidP="007A6CA6">
            <w:pPr>
              <w:spacing w:line="276" w:lineRule="auto"/>
              <w:jc w:val="both"/>
              <w:rPr>
                <w:rFonts w:ascii="Verdana" w:hAnsi="Verdana" w:cs="Arial"/>
              </w:rPr>
            </w:pPr>
          </w:p>
          <w:p w14:paraId="2D1DA26C" w14:textId="77777777" w:rsidR="00F13670" w:rsidRDefault="00F13670" w:rsidP="007A6CA6">
            <w:pPr>
              <w:spacing w:line="276" w:lineRule="auto"/>
              <w:jc w:val="both"/>
              <w:rPr>
                <w:rFonts w:ascii="Verdana" w:hAnsi="Verdana" w:cs="Arial"/>
              </w:rPr>
            </w:pPr>
            <w:r>
              <w:rPr>
                <w:rFonts w:ascii="Verdana" w:hAnsi="Verdana" w:cs="Arial"/>
              </w:rPr>
              <w:t xml:space="preserve">        De igual manera</w:t>
            </w:r>
            <w:r w:rsidRPr="000F0F17">
              <w:rPr>
                <w:rFonts w:ascii="Verdana" w:hAnsi="Verdana" w:cs="Arial"/>
              </w:rPr>
              <w:t>, se recomienda consultar la Guía para el ejercicio de las funciones de Supervisión e Interventoría de los contratos del Estado, elaborada por Colombia Compra Eficiente</w:t>
            </w:r>
            <w:r>
              <w:rPr>
                <w:rStyle w:val="Refdenotaalpie"/>
                <w:rFonts w:ascii="Verdana" w:hAnsi="Verdana" w:cs="Arial"/>
              </w:rPr>
              <w:footnoteReference w:id="1"/>
            </w:r>
            <w:r w:rsidRPr="000F0F17">
              <w:rPr>
                <w:rFonts w:ascii="Verdana" w:hAnsi="Verdana" w:cs="Arial"/>
              </w:rPr>
              <w:t>, la cual constituye el principal referente técnico y jurídico en la materia. Este documento ofrece orientaciones detalladas sobre los perfiles, responsabilidades, límites y buenas prácticas de la supervisión e interventoría, así como herramientas para su planeación, ejecución y control. Su adopción permite fortalecer la gestión contractual, garantizar la adecuada vigilancia sobre la ejecución de los contratos y asegurar el cumplimiento de los principios de transparencia, eficiencia y responsabilidad que rigen la contratación pública</w:t>
            </w:r>
          </w:p>
          <w:p w14:paraId="64ECD49C" w14:textId="77777777" w:rsidR="00F13670" w:rsidRPr="00B87FBD" w:rsidRDefault="00F13670" w:rsidP="007A6CA6">
            <w:pPr>
              <w:spacing w:line="276" w:lineRule="auto"/>
              <w:jc w:val="both"/>
              <w:rPr>
                <w:rFonts w:ascii="Verdana" w:hAnsi="Verdana" w:cs="Arial"/>
              </w:rPr>
            </w:pPr>
          </w:p>
          <w:p w14:paraId="6CA55A88" w14:textId="77777777" w:rsidR="00F13670" w:rsidRPr="00C71956" w:rsidRDefault="00F13670" w:rsidP="007A6CA6">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E8F08E5" w14:textId="77777777" w:rsidR="00F13670" w:rsidRDefault="00F13670" w:rsidP="007A6CA6">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70550BD6" w14:textId="77777777" w:rsidR="00F13670" w:rsidRPr="00E529C2" w:rsidRDefault="00F13670" w:rsidP="007A6CA6">
            <w:pPr>
              <w:spacing w:line="276" w:lineRule="auto"/>
              <w:jc w:val="both"/>
              <w:rPr>
                <w:rFonts w:ascii="Verdana" w:eastAsia="Calibri" w:hAnsi="Verdana" w:cs="Times New Roman"/>
                <w:lang w:val="es-ES"/>
              </w:rPr>
            </w:pPr>
          </w:p>
        </w:tc>
      </w:tr>
      <w:tr w:rsidR="00F13670" w:rsidRPr="00593A5F" w14:paraId="51B48708" w14:textId="77777777" w:rsidTr="3759870A">
        <w:tc>
          <w:tcPr>
            <w:tcW w:w="8828" w:type="dxa"/>
          </w:tcPr>
          <w:p w14:paraId="583DB0CD" w14:textId="77777777" w:rsidR="00F13670" w:rsidRDefault="00F13670" w:rsidP="007A6CA6">
            <w:pPr>
              <w:spacing w:after="120" w:line="276" w:lineRule="auto"/>
              <w:jc w:val="both"/>
              <w:rPr>
                <w:rFonts w:ascii="Verdana" w:eastAsia="Calibri" w:hAnsi="Verdana" w:cs="Arial"/>
                <w:bCs/>
                <w:lang w:eastAsia="es-ES_tradnl"/>
              </w:rPr>
            </w:pPr>
          </w:p>
        </w:tc>
      </w:tr>
    </w:tbl>
    <w:p w14:paraId="15AD2097" w14:textId="77777777" w:rsidR="00F13670" w:rsidRDefault="00F13670" w:rsidP="00F13670">
      <w:pPr>
        <w:tabs>
          <w:tab w:val="left" w:pos="142"/>
          <w:tab w:val="left" w:pos="284"/>
        </w:tabs>
        <w:spacing w:after="0" w:line="276" w:lineRule="auto"/>
        <w:jc w:val="both"/>
        <w:rPr>
          <w:rFonts w:ascii="Verdana" w:eastAsia="Century Gothic" w:hAnsi="Verdana" w:cs="Century Gothic"/>
          <w:b/>
          <w:bCs/>
          <w:lang w:val="es-ES"/>
        </w:rPr>
      </w:pPr>
    </w:p>
    <w:p w14:paraId="2DC7FCCD" w14:textId="77777777" w:rsidR="00F13670" w:rsidRPr="00593A5F" w:rsidRDefault="00F13670" w:rsidP="00F136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C3A03EF" w14:textId="77777777" w:rsidR="00F13670" w:rsidRDefault="00F13670" w:rsidP="00F13670">
      <w:pPr>
        <w:spacing w:after="0" w:line="276" w:lineRule="auto"/>
        <w:ind w:firstLine="708"/>
        <w:jc w:val="both"/>
        <w:rPr>
          <w:rFonts w:ascii="Verdana" w:eastAsia="Calibri" w:hAnsi="Verdana" w:cs="Arial"/>
          <w:color w:val="000000" w:themeColor="text1"/>
        </w:rPr>
      </w:pPr>
    </w:p>
    <w:p w14:paraId="08B5E243" w14:textId="77777777" w:rsidR="00F13670" w:rsidRPr="00F13A99" w:rsidRDefault="00F13670" w:rsidP="00F13670">
      <w:pPr>
        <w:spacing w:after="120" w:line="276" w:lineRule="auto"/>
        <w:jc w:val="both"/>
        <w:rPr>
          <w:rFonts w:ascii="Verdana" w:hAnsi="Verdana" w:cs="Arial"/>
          <w:color w:val="000000" w:themeColor="text1"/>
          <w:lang w:val="es-ES_tradnl"/>
        </w:rPr>
      </w:pPr>
      <w:bookmarkStart w:id="4" w:name="_Hlk108519028"/>
      <w:r>
        <w:rPr>
          <w:rFonts w:ascii="Verdana" w:eastAsia="Calibri" w:hAnsi="Verdana" w:cs="Arial"/>
          <w:color w:val="000000" w:themeColor="text1"/>
        </w:rPr>
        <w:t xml:space="preserve">        </w:t>
      </w:r>
      <w:r>
        <w:rPr>
          <w:rFonts w:ascii="Verdana" w:eastAsia="Calibri" w:hAnsi="Verdana" w:cs="Arial"/>
          <w:bCs/>
          <w:lang w:eastAsia="es-MX"/>
        </w:rPr>
        <w:t xml:space="preserve">  </w:t>
      </w:r>
      <w:r w:rsidRPr="00B60BC4">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44B5D053" w14:textId="77777777" w:rsidR="00F13670" w:rsidRPr="00B60BC4" w:rsidRDefault="00F13670" w:rsidP="00F13670">
      <w:pPr>
        <w:spacing w:after="12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 xml:space="preserve">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w:t>
      </w:r>
      <w:r w:rsidRPr="00B60BC4">
        <w:rPr>
          <w:rFonts w:ascii="Verdana" w:eastAsia="Times New Roman" w:hAnsi="Verdana" w:cs="Arial"/>
          <w:lang w:val="es-ES" w:eastAsia="es-MX"/>
        </w:rPr>
        <w:lastRenderedPageBreak/>
        <w:t>del control y vigilancia de la ejecución contractual</w:t>
      </w:r>
      <w:r w:rsidRPr="00B60BC4">
        <w:rPr>
          <w:rFonts w:ascii="Verdana" w:eastAsia="Times New Roman" w:hAnsi="Verdana" w:cs="Arial"/>
          <w:vertAlign w:val="superscript"/>
          <w:lang w:val="es-ES" w:eastAsia="es-MX"/>
        </w:rPr>
        <w:footnoteReference w:id="2"/>
      </w:r>
      <w:r w:rsidRPr="00B60BC4">
        <w:rPr>
          <w:rFonts w:ascii="Verdana" w:eastAsia="Times New Roman" w:hAnsi="Verdana" w:cs="Arial"/>
          <w:lang w:val="es-ES" w:eastAsia="es-MX"/>
        </w:rPr>
        <w:t>. También se establecen los límites de la responsabilidad del representante legal ante la delegación de sus funciones en materia contractual</w:t>
      </w:r>
      <w:r w:rsidRPr="00B60BC4">
        <w:rPr>
          <w:rFonts w:ascii="Verdana" w:eastAsia="Times New Roman" w:hAnsi="Verdana" w:cs="Arial"/>
          <w:vertAlign w:val="superscript"/>
          <w:lang w:val="es-ES" w:eastAsia="es-MX"/>
        </w:rPr>
        <w:footnoteReference w:id="3"/>
      </w:r>
      <w:r w:rsidRPr="00B60BC4">
        <w:rPr>
          <w:rFonts w:ascii="Verdana" w:eastAsia="Times New Roman" w:hAnsi="Verdana" w:cs="Arial"/>
          <w:lang w:val="es-ES" w:eastAsia="es-MX"/>
        </w:rPr>
        <w:t xml:space="preserve"> y se regula la supervisión y la interventoría de los contratos estatales</w:t>
      </w:r>
      <w:r w:rsidRPr="00B60BC4">
        <w:rPr>
          <w:rFonts w:ascii="Verdana" w:eastAsia="Times New Roman" w:hAnsi="Verdana" w:cs="Arial"/>
          <w:vertAlign w:val="superscript"/>
          <w:lang w:val="es-ES" w:eastAsia="es-MX"/>
        </w:rPr>
        <w:footnoteReference w:id="4"/>
      </w:r>
      <w:r w:rsidRPr="00B60BC4">
        <w:rPr>
          <w:rFonts w:ascii="Verdana" w:eastAsia="Times New Roman" w:hAnsi="Verdana" w:cs="Arial"/>
          <w:lang w:val="es-ES" w:eastAsia="es-MX"/>
        </w:rPr>
        <w:t>.</w:t>
      </w:r>
    </w:p>
    <w:p w14:paraId="0E05CB89" w14:textId="77777777" w:rsidR="00F13670" w:rsidRPr="00B60BC4" w:rsidRDefault="00F13670" w:rsidP="00F13670">
      <w:pPr>
        <w:spacing w:after="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0F5DEFE9" w14:textId="77777777" w:rsidR="00F13670" w:rsidRPr="00B60BC4" w:rsidRDefault="00F13670" w:rsidP="00F13670">
      <w:pPr>
        <w:spacing w:after="0"/>
        <w:ind w:left="709"/>
        <w:contextualSpacing/>
        <w:jc w:val="both"/>
        <w:rPr>
          <w:rFonts w:ascii="Verdana" w:eastAsia="Times New Roman" w:hAnsi="Verdana" w:cs="Arial"/>
          <w:lang w:val="es-ES_tradnl" w:eastAsia="es-MX"/>
        </w:rPr>
      </w:pPr>
    </w:p>
    <w:p w14:paraId="21C96668" w14:textId="77777777" w:rsidR="00F13670" w:rsidRPr="00F13A99" w:rsidRDefault="00F13670" w:rsidP="00F13670">
      <w:pPr>
        <w:spacing w:after="0" w:line="240" w:lineRule="auto"/>
        <w:ind w:left="709" w:right="709"/>
        <w:contextualSpacing/>
        <w:jc w:val="both"/>
        <w:rPr>
          <w:rFonts w:ascii="Verdana" w:eastAsia="Times New Roman" w:hAnsi="Verdana" w:cs="Arial"/>
          <w:sz w:val="20"/>
          <w:szCs w:val="20"/>
          <w:lang w:val="es-ES_tradnl" w:eastAsia="es-MX"/>
        </w:rPr>
      </w:pPr>
      <w:bookmarkStart w:id="5" w:name="_Hlk178671999"/>
      <w:r w:rsidRPr="00F13A99">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5"/>
      <w:r w:rsidRPr="00F13A99">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F13A99">
        <w:rPr>
          <w:rFonts w:ascii="Verdana" w:eastAsia="Times New Roman" w:hAnsi="Verdana" w:cs="Arial"/>
          <w:sz w:val="20"/>
          <w:szCs w:val="20"/>
          <w:vertAlign w:val="superscript"/>
          <w:lang w:val="es-ES_tradnl" w:eastAsia="es-MX"/>
        </w:rPr>
        <w:footnoteReference w:id="5"/>
      </w:r>
      <w:r w:rsidRPr="00F13A99">
        <w:rPr>
          <w:rFonts w:ascii="Verdana" w:eastAsia="Times New Roman" w:hAnsi="Verdana" w:cs="Arial"/>
          <w:sz w:val="20"/>
          <w:szCs w:val="20"/>
          <w:lang w:val="es-ES_tradnl" w:eastAsia="es-MX"/>
        </w:rPr>
        <w:t>.</w:t>
      </w:r>
    </w:p>
    <w:p w14:paraId="466A766D" w14:textId="77777777" w:rsidR="00F13670" w:rsidRPr="00B60BC4" w:rsidRDefault="00F13670" w:rsidP="00F13670">
      <w:pPr>
        <w:snapToGrid w:val="0"/>
        <w:spacing w:after="0"/>
        <w:ind w:left="720"/>
        <w:rPr>
          <w:rFonts w:ascii="Verdana" w:eastAsia="Times New Roman" w:hAnsi="Verdana" w:cs="Arial"/>
          <w:lang w:val="es-ES_tradnl" w:eastAsia="es-MX"/>
        </w:rPr>
      </w:pPr>
    </w:p>
    <w:p w14:paraId="7D4E1AD8" w14:textId="77777777" w:rsidR="00F13670" w:rsidRPr="00B60BC4" w:rsidRDefault="00F13670" w:rsidP="00F13670">
      <w:pPr>
        <w:spacing w:after="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3868DC36" w14:textId="77777777" w:rsidR="00F13670" w:rsidRPr="00B60BC4" w:rsidRDefault="00F13670" w:rsidP="00F13670">
      <w:pPr>
        <w:spacing w:after="0" w:line="276" w:lineRule="auto"/>
        <w:ind w:left="720"/>
        <w:contextualSpacing/>
        <w:jc w:val="both"/>
        <w:textAlignment w:val="baseline"/>
        <w:rPr>
          <w:rFonts w:ascii="Verdana" w:eastAsia="Times New Roman" w:hAnsi="Verdana" w:cs="Arial"/>
          <w:lang w:val="es-ES_tradnl" w:eastAsia="es-MX"/>
        </w:rPr>
      </w:pPr>
    </w:p>
    <w:p w14:paraId="29D4D451" w14:textId="77777777" w:rsidR="00F13670" w:rsidRPr="00F13A99" w:rsidRDefault="00F13670" w:rsidP="00F13670">
      <w:pPr>
        <w:spacing w:after="0" w:line="240" w:lineRule="auto"/>
        <w:ind w:left="709" w:right="709"/>
        <w:jc w:val="both"/>
        <w:textAlignment w:val="baseline"/>
        <w:rPr>
          <w:rFonts w:ascii="Verdana" w:eastAsia="Times New Roman" w:hAnsi="Verdana" w:cs="Arial"/>
          <w:sz w:val="20"/>
          <w:szCs w:val="20"/>
          <w:lang w:val="es-ES" w:eastAsia="es-MX"/>
        </w:rPr>
      </w:pPr>
      <w:r w:rsidRPr="00F13A99">
        <w:rPr>
          <w:rFonts w:ascii="Verdana" w:eastAsia="Times New Roman" w:hAnsi="Verdana" w:cs="Arial"/>
          <w:sz w:val="20"/>
          <w:szCs w:val="20"/>
          <w:lang w:val="es-ES" w:eastAsia="es-MX"/>
        </w:rPr>
        <w:t xml:space="preserve">“La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w:t>
      </w:r>
      <w:r w:rsidRPr="00F13A99">
        <w:rPr>
          <w:rFonts w:ascii="Verdana" w:eastAsia="Times New Roman" w:hAnsi="Verdana" w:cs="Arial"/>
          <w:sz w:val="20"/>
          <w:szCs w:val="20"/>
          <w:lang w:val="es-ES" w:eastAsia="es-MX"/>
        </w:rPr>
        <w:lastRenderedPageBreak/>
        <w:t>contratar personal de apoyo, a través de los contratos de prestación de servicio que sean requeridos.</w:t>
      </w:r>
    </w:p>
    <w:p w14:paraId="64E1F2F4" w14:textId="77777777" w:rsidR="00F13670" w:rsidRPr="00F13A99" w:rsidRDefault="00F13670" w:rsidP="00F13670">
      <w:pPr>
        <w:spacing w:before="120" w:after="0" w:line="240" w:lineRule="auto"/>
        <w:ind w:left="709" w:right="709"/>
        <w:jc w:val="both"/>
        <w:textAlignment w:val="baseline"/>
        <w:rPr>
          <w:rFonts w:ascii="Verdana" w:eastAsia="Times New Roman" w:hAnsi="Verdana" w:cs="Arial"/>
          <w:sz w:val="20"/>
          <w:szCs w:val="20"/>
          <w:lang w:val="es-ES" w:eastAsia="es-MX"/>
        </w:rPr>
      </w:pPr>
      <w:r w:rsidRPr="00F13A99">
        <w:rPr>
          <w:rFonts w:ascii="Verdana" w:eastAsia="Times New Roman"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F13A99">
        <w:rPr>
          <w:rFonts w:ascii="Verdana" w:eastAsia="Times New Roman" w:hAnsi="Verdana" w:cs="Arial"/>
          <w:sz w:val="20"/>
          <w:szCs w:val="20"/>
          <w:vertAlign w:val="superscript"/>
          <w:lang w:val="es-ES" w:eastAsia="es-MX"/>
        </w:rPr>
        <w:footnoteReference w:id="6"/>
      </w:r>
      <w:r w:rsidRPr="00F13A99">
        <w:rPr>
          <w:rFonts w:ascii="Verdana" w:eastAsia="Times New Roman" w:hAnsi="Verdana" w:cs="Arial"/>
          <w:sz w:val="20"/>
          <w:szCs w:val="20"/>
          <w:lang w:val="es-ES" w:eastAsia="es-MX"/>
        </w:rPr>
        <w:t>.</w:t>
      </w:r>
    </w:p>
    <w:p w14:paraId="4B325813" w14:textId="77777777" w:rsidR="00F13670" w:rsidRPr="00F13A99" w:rsidRDefault="00F13670" w:rsidP="00F13670">
      <w:pPr>
        <w:spacing w:after="0" w:line="276" w:lineRule="auto"/>
        <w:ind w:left="720"/>
        <w:contextualSpacing/>
        <w:jc w:val="both"/>
        <w:textAlignment w:val="baseline"/>
        <w:rPr>
          <w:rFonts w:ascii="Verdana" w:eastAsia="Times New Roman" w:hAnsi="Verdana" w:cs="Arial"/>
          <w:sz w:val="20"/>
          <w:szCs w:val="20"/>
          <w:lang w:val="es-ES" w:eastAsia="es-MX"/>
        </w:rPr>
      </w:pPr>
    </w:p>
    <w:p w14:paraId="6569BE25" w14:textId="77777777" w:rsidR="00F13670" w:rsidRPr="00B60BC4" w:rsidRDefault="00F13670" w:rsidP="00F13670">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B60BC4">
        <w:rPr>
          <w:rFonts w:ascii="Verdana" w:eastAsia="Times New Roman" w:hAnsi="Verdana" w:cs="Arial"/>
          <w:bCs/>
          <w:vertAlign w:val="superscript"/>
          <w:lang w:val="es-ES"/>
        </w:rPr>
        <w:footnoteReference w:id="7"/>
      </w:r>
      <w:r w:rsidRPr="00B60BC4">
        <w:rPr>
          <w:rFonts w:ascii="Verdana" w:eastAsia="Times New Roman" w:hAnsi="Verdana" w:cs="Arial"/>
          <w:bCs/>
          <w:lang w:val="es-ES"/>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24B08B34" w14:textId="77777777" w:rsidR="00F13670" w:rsidRPr="00B60BC4" w:rsidRDefault="00F13670" w:rsidP="00F13670">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 xml:space="preserve">Por otro lado, es pertinente señalar que esta Agencia ha considerado que del texto del artículo 83 de la Ley 1474 es posible inferir que la ley dispuso que la supervisión debe ser ejercida por la misma Entidad Estatal en cumplimiento de su deber de vigilancia de la ejecución idónea y oportuna del objeto contratado y puede llevarse a cabo con el apoyo de contratistas, pero no prevé que dicha actividad sea realizada directamente por el contratista, y que sea este último el único responsable del seguimiento contractual. </w:t>
      </w:r>
    </w:p>
    <w:p w14:paraId="23D903BD" w14:textId="77777777" w:rsidR="00F13670" w:rsidRPr="00B60BC4" w:rsidRDefault="00F13670" w:rsidP="00F13670">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 xml:space="preserve">Lo anterior postura se soporta en el trámite del proyecto de ley que se convirtió en la Ley 1474 de 2011, que inicialmente establecía que “la supervisión </w:t>
      </w:r>
      <w:r w:rsidRPr="00B60BC4">
        <w:rPr>
          <w:rFonts w:ascii="Verdana" w:eastAsia="Times New Roman" w:hAnsi="Verdana" w:cs="Arial"/>
          <w:bCs/>
          <w:lang w:val="es-ES"/>
        </w:rPr>
        <w:lastRenderedPageBreak/>
        <w:t>de los contratos sería ejercida por un funcionario de la misma entidad estatal, o por un contratista de prestación de servicios profesionales […]”</w:t>
      </w:r>
      <w:r w:rsidRPr="00B60BC4">
        <w:rPr>
          <w:rFonts w:ascii="Verdana" w:eastAsia="Times New Roman" w:hAnsi="Verdana" w:cs="Arial"/>
          <w:vertAlign w:val="superscript"/>
          <w:lang w:val="es-ES"/>
        </w:rPr>
        <w:footnoteReference w:id="8"/>
      </w:r>
      <w:r w:rsidRPr="00B60BC4">
        <w:rPr>
          <w:rFonts w:ascii="Verdana" w:eastAsia="Times New Roman" w:hAnsi="Verdana" w:cs="Arial"/>
          <w:bCs/>
          <w:lang w:val="es-ES"/>
        </w:rPr>
        <w:t>. Sin embargo, también lo es que esa postura fue modificada para el segundo debate legislativo</w:t>
      </w:r>
      <w:r w:rsidRPr="00B60BC4">
        <w:rPr>
          <w:rFonts w:ascii="Verdana" w:eastAsia="Times New Roman" w:hAnsi="Verdana" w:cs="Arial"/>
          <w:vertAlign w:val="superscript"/>
          <w:lang w:val="es-ES"/>
        </w:rPr>
        <w:footnoteReference w:id="9"/>
      </w:r>
      <w:r w:rsidRPr="00B60BC4">
        <w:rPr>
          <w:rFonts w:ascii="Verdana" w:eastAsia="Times New Roman" w:hAnsi="Verdana" w:cs="Arial"/>
          <w:bCs/>
          <w:lang w:val="es-ES"/>
        </w:rPr>
        <w:t xml:space="preserve"> y en la ponencia registrada para tercer debate</w:t>
      </w:r>
      <w:r w:rsidRPr="00B60BC4">
        <w:rPr>
          <w:rFonts w:ascii="Verdana" w:eastAsia="Times New Roman" w:hAnsi="Verdana" w:cs="Arial"/>
          <w:vertAlign w:val="superscript"/>
          <w:lang w:val="es-ES"/>
        </w:rPr>
        <w:footnoteReference w:id="10"/>
      </w:r>
      <w:r w:rsidRPr="00B60BC4">
        <w:rPr>
          <w:rFonts w:ascii="Verdana" w:eastAsia="Times New Roman" w:hAnsi="Verdana" w:cs="Arial"/>
          <w:bCs/>
          <w:lang w:val="es-ES"/>
        </w:rPr>
        <w:t>, en donde se estableció que “la supervisión de los contratos ser[ía] ejercida por un funcionario de la misma entidad estatal”. Incluso, la versión que finalmente se aprobó en cuarto debate</w:t>
      </w:r>
      <w:r w:rsidRPr="00B60BC4">
        <w:rPr>
          <w:rFonts w:ascii="Verdana" w:eastAsia="Times New Roman" w:hAnsi="Verdana" w:cs="Arial"/>
          <w:vertAlign w:val="superscript"/>
          <w:lang w:val="es-ES"/>
        </w:rPr>
        <w:footnoteReference w:id="11"/>
      </w:r>
      <w:r w:rsidRPr="00B60BC4">
        <w:rPr>
          <w:rFonts w:ascii="Verdana" w:eastAsia="Times New Roman" w:hAnsi="Verdana" w:cs="Arial"/>
          <w:bCs/>
          <w:lang w:val="es-ES"/>
        </w:rPr>
        <w:t>, que fue acogida por ambas cámaras legislativas</w:t>
      </w:r>
      <w:r w:rsidRPr="00B60BC4">
        <w:rPr>
          <w:rFonts w:ascii="Verdana" w:eastAsia="Times New Roman" w:hAnsi="Verdana" w:cs="Arial"/>
          <w:vertAlign w:val="superscript"/>
          <w:lang w:val="es-ES"/>
        </w:rPr>
        <w:footnoteReference w:id="12"/>
      </w:r>
      <w:r w:rsidRPr="00B60BC4">
        <w:rPr>
          <w:rFonts w:ascii="Verdana" w:eastAsia="Times New Roman" w:hAnsi="Verdana" w:cs="Arial"/>
          <w:bCs/>
          <w:lang w:val="es-ES"/>
        </w:rPr>
        <w:t xml:space="preserve"> luego del correspondiente trámite de conciliación</w:t>
      </w:r>
      <w:r w:rsidRPr="00B60BC4">
        <w:rPr>
          <w:rFonts w:ascii="Verdana" w:eastAsia="Times New Roman" w:hAnsi="Verdana" w:cs="Arial"/>
          <w:vertAlign w:val="superscript"/>
          <w:lang w:val="es-ES"/>
        </w:rPr>
        <w:footnoteReference w:id="13"/>
      </w:r>
      <w:r w:rsidRPr="00B60BC4">
        <w:rPr>
          <w:rFonts w:ascii="Verdana" w:eastAsia="Times New Roman" w:hAnsi="Verdana" w:cs="Arial"/>
          <w:bCs/>
          <w:lang w:val="es-ES"/>
        </w:rPr>
        <w:t>, era del siguiente tenor: “la supervisión consistirá en el seguimiento administrativo, técnico, financiero, contable, y jurídico que sobre el cumplimiento del objeto del contrato es ejercida por la misma entidad estatal […]”. Nótese que el legislador acogió, finalmente, la noción “entidad estatal”, sin hacer referencia a los funcionarios de la entidad o a los contratistas.</w:t>
      </w:r>
    </w:p>
    <w:p w14:paraId="577125D4" w14:textId="77777777" w:rsidR="00F13670" w:rsidRPr="00B60BC4" w:rsidRDefault="00F13670" w:rsidP="00F13670">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La expresión “entidad estatal” podría dar a entender que la supervisión puede ser ejercida por funcionarios y contratistas, como inicialmente se presentó en la iniciativa legislativa, en el entendido de que las entidades, por regla general, se apoyan en los unos y los otros para el cumplimiento de sus funciones. Sin embargo, la Sección Tercera del Consejo de Estado</w:t>
      </w:r>
      <w:r w:rsidRPr="00B60BC4">
        <w:rPr>
          <w:rFonts w:ascii="Verdana" w:eastAsia="Times New Roman" w:hAnsi="Verdana" w:cs="Arial"/>
          <w:bCs/>
          <w:vertAlign w:val="superscript"/>
          <w:lang w:val="es-ES"/>
        </w:rPr>
        <w:footnoteReference w:id="14"/>
      </w:r>
      <w:r w:rsidRPr="00B60BC4">
        <w:rPr>
          <w:rFonts w:ascii="Verdana" w:eastAsia="Times New Roman" w:hAnsi="Verdana" w:cs="Arial"/>
          <w:bCs/>
          <w:lang w:val="es-ES"/>
        </w:rPr>
        <w:t>, en providencia del 12 de diciembre de 2014, consideró que la calidad de supervisor la tienen los funcionarios de la entidad estatal y no los contratistas. Esto, en los siguientes términos:</w:t>
      </w:r>
    </w:p>
    <w:p w14:paraId="2AC50A63" w14:textId="77777777" w:rsidR="00F13670" w:rsidRPr="00B60BC4" w:rsidRDefault="00F13670" w:rsidP="00F13670">
      <w:pPr>
        <w:spacing w:after="0" w:line="240" w:lineRule="auto"/>
        <w:ind w:left="709" w:right="709"/>
        <w:jc w:val="both"/>
        <w:textAlignment w:val="baseline"/>
        <w:rPr>
          <w:rFonts w:ascii="Verdana" w:eastAsia="Times New Roman" w:hAnsi="Verdana" w:cs="Arial"/>
          <w:sz w:val="21"/>
          <w:szCs w:val="21"/>
          <w:lang w:val="es-ES" w:eastAsia="es-MX"/>
        </w:rPr>
      </w:pPr>
      <w:r w:rsidRPr="00B60BC4">
        <w:rPr>
          <w:rFonts w:ascii="Verdana" w:eastAsia="Times New Roman" w:hAnsi="Verdana" w:cs="Arial"/>
          <w:color w:val="000000"/>
          <w:sz w:val="21"/>
          <w:szCs w:val="21"/>
          <w:lang w:val="es-MX"/>
        </w:rPr>
        <w:t>“</w:t>
      </w:r>
      <w:r w:rsidRPr="00B60BC4">
        <w:rPr>
          <w:rFonts w:ascii="Verdana" w:eastAsia="Times New Roman" w:hAnsi="Verdana" w:cs="Arial"/>
          <w:sz w:val="21"/>
          <w:szCs w:val="21"/>
          <w:lang w:val="es-ES" w:eastAsia="es-MX"/>
        </w:rPr>
        <w:t xml:space="preserve">De entrada, debe advertirse que la supervisión de los contratos es un deber de las entidades públicas (artículo 4 de la Ley 80 de 1993), que bien pueden realizarla a través de supervisores o interventores para que verifiquen la ejecución y cumplimiento de los trabajos y actividades del contratista de la entidad pública. Esa labor es principalmente de intermediación entre la entidad contratante y el contratista, dirigida a cumplir el control y vigilancia de la correcta </w:t>
      </w:r>
      <w:r w:rsidRPr="00B60BC4">
        <w:rPr>
          <w:rFonts w:ascii="Verdana" w:eastAsia="Times New Roman" w:hAnsi="Verdana" w:cs="Arial"/>
          <w:sz w:val="21"/>
          <w:szCs w:val="21"/>
          <w:lang w:val="es-ES" w:eastAsia="es-MX"/>
        </w:rPr>
        <w:lastRenderedPageBreak/>
        <w:t xml:space="preserve">ejecución de las obligaciones surgidas del contrato y no la de sustituir o reemplazar a la entidad en la toma de las decisiones, quien conserva dicha potestad y la ejerce a través de su propio representante legal, que adelanta las actuaciones que le corresponden en virtud de su posición de parte dentro de la relación negocial. </w:t>
      </w:r>
    </w:p>
    <w:p w14:paraId="642C3FAB" w14:textId="77777777" w:rsidR="00F13670" w:rsidRPr="00B60BC4" w:rsidRDefault="00F13670" w:rsidP="00F13670">
      <w:pPr>
        <w:spacing w:after="0" w:line="240" w:lineRule="auto"/>
        <w:ind w:left="709" w:right="709"/>
        <w:jc w:val="both"/>
        <w:textAlignment w:val="baseline"/>
        <w:rPr>
          <w:rFonts w:ascii="Verdana" w:eastAsia="Times New Roman" w:hAnsi="Verdana" w:cs="Arial"/>
          <w:sz w:val="21"/>
          <w:szCs w:val="21"/>
          <w:lang w:val="es-ES" w:eastAsia="es-MX"/>
        </w:rPr>
      </w:pPr>
      <w:r w:rsidRPr="00B60BC4">
        <w:rPr>
          <w:rFonts w:ascii="Verdana" w:eastAsia="Times New Roman" w:hAnsi="Verdana" w:cs="Arial"/>
          <w:sz w:val="21"/>
          <w:szCs w:val="21"/>
          <w:lang w:val="es-ES" w:eastAsia="es-MX"/>
        </w:rPr>
        <w:t>[…]</w:t>
      </w:r>
    </w:p>
    <w:p w14:paraId="10937CCF" w14:textId="77777777" w:rsidR="00F13670" w:rsidRPr="00B60BC4" w:rsidRDefault="00F13670" w:rsidP="00F13670">
      <w:pPr>
        <w:spacing w:after="0" w:line="240" w:lineRule="auto"/>
        <w:ind w:left="709" w:right="709"/>
        <w:jc w:val="both"/>
        <w:textAlignment w:val="baseline"/>
        <w:rPr>
          <w:rFonts w:ascii="Verdana" w:eastAsia="Times New Roman" w:hAnsi="Verdana" w:cs="Arial"/>
          <w:sz w:val="21"/>
          <w:szCs w:val="21"/>
          <w:lang w:val="es-ES" w:eastAsia="es-MX"/>
        </w:rPr>
      </w:pPr>
      <w:r w:rsidRPr="00B60BC4">
        <w:rPr>
          <w:rFonts w:ascii="Verdana" w:eastAsia="Times New Roman" w:hAnsi="Verdana" w:cs="Arial"/>
          <w:sz w:val="21"/>
          <w:szCs w:val="21"/>
          <w:lang w:val="es-ES" w:eastAsia="es-MX"/>
        </w:rPr>
        <w:t>El ordenamiento jurídico admite que este tipo de funciones puedan ser encargadas a los funcionarios públicos de la entidad demandada, sin que se enmarquen en el régimen de inhabilidades e incompatibilidades. Efectivamente, de vieja data, el artículo 120 del Decreto Ley 222 de 198312, al definir las calidades del interventor, señaló que las entidades públicas verificarían la ejecución y cumplimiento de los trabajos y actividades de sus contratistas por medio de un interventor. Este podía ser funcionario suyo o ser contratado externamente. Lo anterior significaba que en vigencia del mencionado decreto la denominación de interventor se utilizaba indistintamente de la vinculación que este tuviera con la entidad pública. Actualmente, la cuestión se mantiene en similares condiciones, sólo que se considera supervisor al funcionario de la entidad pública que desarrolle la vigilancia de los contratos de esta última, sin perjuicio de que esa labor se pueda apoyar a través de contratos de prestación de servicios, pero no para asumir la supervisión, so pena de variar de una consultoría a otra tipología diferente y, por consiguiente, de eludir procesos de selección. Por su parte, se hablará de interventor cuando se trate de una vigilancia externa o contratada</w:t>
      </w:r>
      <w:r w:rsidRPr="00B60BC4">
        <w:rPr>
          <w:rFonts w:ascii="Verdana" w:eastAsia="Times New Roman" w:hAnsi="Verdana" w:cs="Arial"/>
          <w:sz w:val="21"/>
          <w:szCs w:val="21"/>
          <w:vertAlign w:val="superscript"/>
          <w:lang w:val="es-ES" w:eastAsia="es-MX"/>
        </w:rPr>
        <w:footnoteReference w:id="15"/>
      </w:r>
      <w:r w:rsidRPr="00B60BC4">
        <w:rPr>
          <w:rFonts w:ascii="Verdana" w:eastAsia="Times New Roman" w:hAnsi="Verdana" w:cs="Arial"/>
          <w:sz w:val="21"/>
          <w:szCs w:val="21"/>
          <w:lang w:val="es-ES" w:eastAsia="es-MX"/>
        </w:rPr>
        <w:t>.”</w:t>
      </w:r>
    </w:p>
    <w:p w14:paraId="0527C414" w14:textId="77777777" w:rsidR="00F13670" w:rsidRPr="00B60BC4" w:rsidRDefault="00F13670" w:rsidP="00F13670">
      <w:pPr>
        <w:spacing w:after="0" w:line="240" w:lineRule="auto"/>
        <w:ind w:left="1417" w:right="709"/>
        <w:jc w:val="both"/>
        <w:textAlignment w:val="baseline"/>
        <w:rPr>
          <w:rFonts w:ascii="Verdana" w:eastAsia="Times New Roman" w:hAnsi="Verdana" w:cs="Arial"/>
          <w:sz w:val="20"/>
          <w:szCs w:val="20"/>
          <w:lang w:val="es-ES" w:eastAsia="es-MX"/>
        </w:rPr>
      </w:pPr>
    </w:p>
    <w:p w14:paraId="6199F38D" w14:textId="6882C737" w:rsidR="00F13670" w:rsidRPr="00B60BC4" w:rsidRDefault="00F13670" w:rsidP="00F13670">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 xml:space="preserve">En ese mismo sentido, como se expuso previamente, la “Guía para el ejercicio de las funciones de supervisión e interventoría de los contratos suscritos por las Entidades Estatales” de Colombia Compra Eficiente consagró que la </w:t>
      </w:r>
      <w:r w:rsidRPr="00B60BC4">
        <w:rPr>
          <w:rFonts w:ascii="Verdana" w:eastAsia="Times New Roman" w:hAnsi="Verdana" w:cs="Arial"/>
          <w:shd w:val="clear" w:color="auto" w:fill="FFFFFF"/>
          <w:lang w:val="es-ES"/>
        </w:rPr>
        <w:lastRenderedPageBreak/>
        <w:t xml:space="preserve">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 Así, por ejemplo, el contratista de prestación de servicios podrá </w:t>
      </w:r>
      <w:r w:rsidR="1EDCC1E8" w:rsidRPr="00B60BC4">
        <w:rPr>
          <w:rFonts w:ascii="Verdana" w:eastAsia="Times New Roman" w:hAnsi="Verdana" w:cs="Arial"/>
          <w:shd w:val="clear" w:color="auto" w:fill="FFFFFF"/>
          <w:lang w:val="es-ES"/>
        </w:rPr>
        <w:t xml:space="preserve">apoyar en la tarea de revisión </w:t>
      </w:r>
      <w:r w:rsidR="6766C5AD" w:rsidRPr="00B60BC4">
        <w:rPr>
          <w:rFonts w:ascii="Verdana" w:eastAsia="Times New Roman" w:hAnsi="Verdana" w:cs="Arial"/>
          <w:shd w:val="clear" w:color="auto" w:fill="FFFFFF"/>
          <w:lang w:val="es-ES"/>
        </w:rPr>
        <w:t>de</w:t>
      </w:r>
      <w:r w:rsidRPr="00B60BC4">
        <w:rPr>
          <w:rFonts w:ascii="Verdana" w:eastAsia="Times New Roman" w:hAnsi="Verdana" w:cs="Arial"/>
          <w:shd w:val="clear" w:color="auto" w:fill="FFFFFF"/>
          <w:lang w:val="es-ES"/>
        </w:rPr>
        <w:t xml:space="preserve"> los entregables, productos, en general, los requisitos para el pago y darle su concepto al supervisor. De todos modos, quien autorizará el pago ante la Entidad Estatal será el funcionario sobre quien recae la supervisión y el respectivo ordenador del gasto de la entidad. Además, la mencionada guía señala que tanto supervisores e interventores tienen la función general de ejercer el control y vigilancia sobre la ejecución contractual de los contratos respecto de los cuales ejercen sus correspondientes obligaciones. Dicha labor debe </w:t>
      </w:r>
      <w:r w:rsidR="3B2C73E4" w:rsidRPr="00B60BC4">
        <w:rPr>
          <w:rFonts w:ascii="Verdana" w:eastAsia="Times New Roman" w:hAnsi="Verdana" w:cs="Arial"/>
          <w:shd w:val="clear" w:color="auto" w:fill="FFFFFF"/>
          <w:lang w:val="es-ES"/>
        </w:rPr>
        <w:t>estar</w:t>
      </w:r>
      <w:r w:rsidRPr="00B60BC4">
        <w:rPr>
          <w:rFonts w:ascii="Verdana" w:eastAsia="Times New Roman" w:hAnsi="Verdana" w:cs="Arial"/>
          <w:shd w:val="clear" w:color="auto" w:fill="FFFFFF"/>
          <w:lang w:val="es-ES"/>
        </w:rPr>
        <w:t xml:space="preserve">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w:t>
      </w:r>
    </w:p>
    <w:p w14:paraId="6A216294" w14:textId="77777777" w:rsidR="00F13670" w:rsidRPr="00B60BC4" w:rsidRDefault="00F13670" w:rsidP="00F13670">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Por tanto, 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Tales actividades propias de la custodia a la debida ejecución de los contratos estatales también implican el deber de supervisores e interventores de concurrir a la suscripción de documentos como actas parciales de avance, actas parciales de recibo y actas de recibo final.</w:t>
      </w:r>
    </w:p>
    <w:p w14:paraId="1DCFB95C" w14:textId="446C4FAF" w:rsidR="00F13670" w:rsidRPr="00B60BC4" w:rsidRDefault="00F13670" w:rsidP="00F13670">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 xml:space="preserve">En ese sentido, puede colegirse que la supervisión es uno de los medios para que las entidades ejerzan la dirección, control y vigilancia de sus contratos, con el fin de lograr el objeto contractual. Por consiguiente, el supervisor, de acuerdo con lo señalado en la Ley 80 de 1993, tiene la obligación de desarrollar </w:t>
      </w:r>
      <w:r w:rsidRPr="00B60BC4">
        <w:rPr>
          <w:rFonts w:ascii="Verdana" w:eastAsia="Times New Roman" w:hAnsi="Verdana" w:cs="Arial"/>
          <w:shd w:val="clear" w:color="auto" w:fill="FFFFFF"/>
          <w:lang w:val="es-ES"/>
        </w:rPr>
        <w:lastRenderedPageBreak/>
        <w:t>las actividades que impliquen la vigilancia y seguimiento del cumplimiento de los contratos, función que puede ser asignada a un empleado público.</w:t>
      </w:r>
    </w:p>
    <w:p w14:paraId="4506BFFC" w14:textId="77777777" w:rsidR="00F13670" w:rsidRPr="00B60BC4" w:rsidRDefault="00F13670" w:rsidP="00F13670">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color w:val="000000"/>
          <w:lang w:val="es-ES_tradnl" w:eastAsia="es-ES_tradnl"/>
        </w:rPr>
        <w:t>Adicionalmente, debe precisarse que esta Agencia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que se encuentra disponible para su consulta en el siguiente enlace:</w:t>
      </w:r>
      <w:r w:rsidRPr="00B60BC4">
        <w:rPr>
          <w:rFonts w:ascii="Verdana" w:eastAsia="Times New Roman" w:hAnsi="Verdana" w:cs="Arial"/>
          <w:shd w:val="clear" w:color="auto" w:fill="FFFFFF"/>
          <w:lang w:val="es-ES"/>
        </w:rPr>
        <w:t xml:space="preserve"> </w:t>
      </w:r>
      <w:hyperlink r:id="rId12" w:history="1">
        <w:r w:rsidRPr="00B60BC4">
          <w:rPr>
            <w:rFonts w:ascii="Verdana" w:eastAsia="Times New Roman" w:hAnsi="Verdana" w:cs="Arial"/>
            <w:color w:val="0563C1" w:themeColor="hyperlink"/>
            <w:u w:val="single"/>
            <w:lang w:val="es-ES_tradnl" w:eastAsia="es-ES_tradnl"/>
          </w:rPr>
          <w:t>https://www.colombiacompra.gov.co/sites/cce_public/files/cce_documents/cce_guia_para_el_ejercicio_de_las_funciones_de_supervision_e_interventoria_de_los_contratos_del_estado.pdf</w:t>
        </w:r>
      </w:hyperlink>
      <w:r w:rsidRPr="00B60BC4">
        <w:rPr>
          <w:rFonts w:ascii="Verdana" w:eastAsia="Times New Roman" w:hAnsi="Verdana" w:cs="Arial"/>
          <w:color w:val="000000"/>
          <w:lang w:val="es-ES_tradnl" w:eastAsia="es-ES_tradnl"/>
        </w:rPr>
        <w:t xml:space="preserve"> </w:t>
      </w:r>
    </w:p>
    <w:p w14:paraId="2EFFFDEA" w14:textId="77777777" w:rsidR="00F13670" w:rsidRPr="00B60BC4" w:rsidRDefault="00F13670" w:rsidP="00F13670">
      <w:pPr>
        <w:spacing w:after="120" w:line="276" w:lineRule="auto"/>
        <w:ind w:firstLine="709"/>
        <w:jc w:val="both"/>
        <w:rPr>
          <w:rFonts w:ascii="Verdana" w:hAnsi="Verdana" w:cs="Arial"/>
          <w:color w:val="000000"/>
        </w:rPr>
      </w:pPr>
      <w:r w:rsidRPr="00B60BC4">
        <w:rPr>
          <w:rFonts w:ascii="Verdana" w:hAnsi="Verdana" w:cs="Arial"/>
          <w:color w:val="000000"/>
        </w:rPr>
        <w:t>Con sustento en lo anterior, es importante precisar que, la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p>
    <w:bookmarkEnd w:id="4"/>
    <w:p w14:paraId="2DBCCBE8" w14:textId="77777777" w:rsidR="00F13670" w:rsidRPr="004F7B86" w:rsidRDefault="00F13670" w:rsidP="00F1367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EE74B36" w14:textId="77777777" w:rsidR="00F13670" w:rsidRDefault="00F13670" w:rsidP="00F13670">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A3D3ED8" w14:textId="77777777" w:rsidR="00F13670" w:rsidRPr="008E2432" w:rsidRDefault="00F13670" w:rsidP="00F13670">
      <w:pPr>
        <w:spacing w:after="0" w:line="276" w:lineRule="auto"/>
        <w:ind w:firstLine="708"/>
        <w:jc w:val="both"/>
        <w:rPr>
          <w:rFonts w:ascii="Verdana" w:eastAsia="Calibri" w:hAnsi="Verdana" w:cs="Times New Roman"/>
          <w:lang w:val="es-ES"/>
        </w:rPr>
      </w:pPr>
    </w:p>
    <w:p w14:paraId="2AA0B159" w14:textId="77777777" w:rsidR="00F13670" w:rsidRPr="0060676F" w:rsidRDefault="00F13670" w:rsidP="00F1367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1C064BE" w14:textId="77777777" w:rsidR="00F13670" w:rsidRPr="00593A5F" w:rsidRDefault="00F13670" w:rsidP="00F1367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13670" w:rsidRPr="00593A5F" w14:paraId="02B4DE52" w14:textId="77777777" w:rsidTr="007A6CA6">
        <w:trPr>
          <w:trHeight w:val="870"/>
        </w:trPr>
        <w:tc>
          <w:tcPr>
            <w:tcW w:w="8647" w:type="dxa"/>
          </w:tcPr>
          <w:p w14:paraId="7CE5BCD0" w14:textId="77777777" w:rsidR="00F13670" w:rsidRPr="00B60BC4" w:rsidRDefault="00F13670" w:rsidP="007A6CA6">
            <w:pPr>
              <w:widowControl w:val="0"/>
              <w:numPr>
                <w:ilvl w:val="0"/>
                <w:numId w:val="17"/>
              </w:numPr>
              <w:autoSpaceDE w:val="0"/>
              <w:autoSpaceDN w:val="0"/>
              <w:spacing w:after="120" w:line="276" w:lineRule="auto"/>
              <w:contextualSpacing/>
              <w:jc w:val="both"/>
              <w:rPr>
                <w:rFonts w:ascii="Verdana" w:hAnsi="Verdana" w:cs="Arial"/>
                <w:color w:val="000000" w:themeColor="text1"/>
              </w:rPr>
            </w:pPr>
            <w:r w:rsidRPr="00B60BC4">
              <w:rPr>
                <w:rFonts w:ascii="Verdana" w:hAnsi="Verdana" w:cs="Arial"/>
                <w:color w:val="000000" w:themeColor="text1"/>
              </w:rPr>
              <w:t>Ley 80 de 1993. Artículos 4, 5, 12, 14 y 26</w:t>
            </w:r>
          </w:p>
          <w:p w14:paraId="14897811" w14:textId="77777777" w:rsidR="00F13670" w:rsidRPr="00B60BC4" w:rsidRDefault="00F13670" w:rsidP="007A6CA6">
            <w:pPr>
              <w:widowControl w:val="0"/>
              <w:numPr>
                <w:ilvl w:val="0"/>
                <w:numId w:val="17"/>
              </w:numPr>
              <w:autoSpaceDE w:val="0"/>
              <w:autoSpaceDN w:val="0"/>
              <w:spacing w:after="120" w:line="276" w:lineRule="auto"/>
              <w:contextualSpacing/>
              <w:jc w:val="both"/>
              <w:rPr>
                <w:rFonts w:ascii="Verdana" w:hAnsi="Verdana" w:cs="Arial"/>
                <w:color w:val="000000" w:themeColor="text1"/>
              </w:rPr>
            </w:pPr>
            <w:r w:rsidRPr="00B60BC4">
              <w:rPr>
                <w:rFonts w:ascii="Verdana" w:hAnsi="Verdana" w:cs="Arial"/>
                <w:color w:val="000000" w:themeColor="text1"/>
              </w:rPr>
              <w:t>Ley 1150 de 2007. Artículos 17 y 21</w:t>
            </w:r>
          </w:p>
          <w:p w14:paraId="78CFEB6E" w14:textId="77777777" w:rsidR="00F13670" w:rsidRPr="00B60BC4" w:rsidRDefault="00F13670" w:rsidP="007A6CA6">
            <w:pPr>
              <w:widowControl w:val="0"/>
              <w:numPr>
                <w:ilvl w:val="0"/>
                <w:numId w:val="17"/>
              </w:numPr>
              <w:autoSpaceDE w:val="0"/>
              <w:autoSpaceDN w:val="0"/>
              <w:spacing w:after="120" w:line="276" w:lineRule="auto"/>
              <w:contextualSpacing/>
              <w:jc w:val="both"/>
              <w:rPr>
                <w:rFonts w:ascii="Verdana" w:hAnsi="Verdana" w:cs="Arial"/>
                <w:color w:val="000000" w:themeColor="text1"/>
              </w:rPr>
            </w:pPr>
            <w:r w:rsidRPr="00B60BC4">
              <w:rPr>
                <w:rFonts w:ascii="Verdana" w:hAnsi="Verdana" w:cs="Arial"/>
                <w:color w:val="000000" w:themeColor="text1"/>
              </w:rPr>
              <w:t>Ley 1474 de 2011. Artículos 83</w:t>
            </w:r>
          </w:p>
          <w:p w14:paraId="5B87D132" w14:textId="77777777" w:rsidR="00F13670" w:rsidRPr="00B60BC4" w:rsidRDefault="00F13670" w:rsidP="007A6CA6">
            <w:pPr>
              <w:widowControl w:val="0"/>
              <w:numPr>
                <w:ilvl w:val="0"/>
                <w:numId w:val="17"/>
              </w:numPr>
              <w:autoSpaceDE w:val="0"/>
              <w:autoSpaceDN w:val="0"/>
              <w:spacing w:line="276" w:lineRule="auto"/>
              <w:contextualSpacing/>
              <w:jc w:val="both"/>
              <w:rPr>
                <w:rFonts w:ascii="Verdana" w:hAnsi="Verdana" w:cs="Arial"/>
                <w:color w:val="000000" w:themeColor="text1"/>
              </w:rPr>
            </w:pPr>
            <w:r w:rsidRPr="00B60BC4">
              <w:rPr>
                <w:rFonts w:ascii="Verdana" w:hAnsi="Verdana" w:cs="Arial"/>
                <w:color w:val="000000" w:themeColor="text1"/>
              </w:rPr>
              <w:t xml:space="preserve">Colombia Compra Eficiente, Guía para el ejercicio de las funciones de Supervisión e Interventoría de los contratos del Estado, disponible </w:t>
            </w:r>
            <w:hyperlink r:id="rId13" w:history="1">
              <w:r w:rsidRPr="00B60BC4">
                <w:rPr>
                  <w:rFonts w:ascii="Verdana" w:hAnsi="Verdana" w:cs="Arial"/>
                  <w:color w:val="0563C1" w:themeColor="hyperlink"/>
                  <w:u w:val="single"/>
                </w:rPr>
                <w:t>aquí</w:t>
              </w:r>
            </w:hyperlink>
          </w:p>
          <w:p w14:paraId="04715D49" w14:textId="77777777" w:rsidR="00F13670" w:rsidRPr="00B60BC4" w:rsidRDefault="00F13670" w:rsidP="007A6CA6">
            <w:pPr>
              <w:widowControl w:val="0"/>
              <w:numPr>
                <w:ilvl w:val="0"/>
                <w:numId w:val="17"/>
              </w:numPr>
              <w:autoSpaceDE w:val="0"/>
              <w:autoSpaceDN w:val="0"/>
              <w:spacing w:after="120" w:line="276" w:lineRule="auto"/>
              <w:jc w:val="both"/>
              <w:rPr>
                <w:rFonts w:ascii="Verdana" w:hAnsi="Verdana" w:cs="Arial"/>
                <w:color w:val="000000" w:themeColor="text1"/>
              </w:rPr>
            </w:pPr>
            <w:r w:rsidRPr="00B60BC4">
              <w:rPr>
                <w:rFonts w:ascii="Verdana" w:hAnsi="Verdana" w:cs="Arial"/>
                <w:color w:val="000000" w:themeColor="text1"/>
              </w:rPr>
              <w:t>Consejo de Estado, Sección Tercera, Subsección C. Sentencia de unificación jurisprudencial de 2 de diciembre de 2013. Radicado No. 41719. C.P. Jaime Orlando Santofimio Gamboa.</w:t>
            </w:r>
          </w:p>
          <w:p w14:paraId="0C145F23" w14:textId="77777777" w:rsidR="00F13670" w:rsidRPr="00B60BC4" w:rsidRDefault="00F13670" w:rsidP="007A6CA6">
            <w:pPr>
              <w:widowControl w:val="0"/>
              <w:numPr>
                <w:ilvl w:val="0"/>
                <w:numId w:val="17"/>
              </w:numPr>
              <w:autoSpaceDE w:val="0"/>
              <w:autoSpaceDN w:val="0"/>
              <w:spacing w:after="120" w:line="276" w:lineRule="auto"/>
              <w:jc w:val="both"/>
              <w:rPr>
                <w:rFonts w:ascii="Verdana" w:hAnsi="Verdana" w:cs="Arial"/>
                <w:color w:val="000000" w:themeColor="text1"/>
              </w:rPr>
            </w:pPr>
            <w:r w:rsidRPr="00B60BC4">
              <w:rPr>
                <w:rFonts w:ascii="Verdana" w:hAnsi="Verdana" w:cs="Arial"/>
                <w:color w:val="000000" w:themeColor="text1"/>
              </w:rPr>
              <w:t>Consejo de Estado. Sección 3ª. Sentencia del 27 de noviembre de 2017. M.P. Jaime Orlando Santofimio. Exp. 51.802.</w:t>
            </w:r>
          </w:p>
          <w:p w14:paraId="04927C3D" w14:textId="77777777" w:rsidR="00F13670" w:rsidRPr="00332677" w:rsidRDefault="00F13670" w:rsidP="007A6CA6">
            <w:pPr>
              <w:pStyle w:val="Prrafodelista"/>
              <w:widowControl w:val="0"/>
              <w:autoSpaceDE w:val="0"/>
              <w:autoSpaceDN w:val="0"/>
              <w:jc w:val="both"/>
              <w:rPr>
                <w:rFonts w:ascii="Verdana" w:hAnsi="Verdana" w:cs="Arial"/>
              </w:rPr>
            </w:pPr>
            <w:r w:rsidRPr="00B60BC4">
              <w:rPr>
                <w:rFonts w:ascii="Verdana" w:hAnsi="Verdana" w:cs="Arial"/>
                <w:color w:val="000000" w:themeColor="text1"/>
              </w:rPr>
              <w:t>Consejo de Estado. Sección 1ª. Sentencia del 31 de julio de 2014. M.P. Guillermo Vargas Ayala. Radicación número: 25000-23-41-000-2012-00338-01.</w:t>
            </w:r>
          </w:p>
        </w:tc>
      </w:tr>
    </w:tbl>
    <w:p w14:paraId="6FC19F11" w14:textId="77777777" w:rsidR="00F13670" w:rsidRDefault="00F13670" w:rsidP="00F1367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200409E" w14:textId="77777777" w:rsidR="00F13670" w:rsidRDefault="00F13670" w:rsidP="00F13670">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EBBDE78" w14:textId="77777777" w:rsidR="00F13670" w:rsidRPr="00593A5F" w:rsidRDefault="00F13670" w:rsidP="00F1367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85258D1" w14:textId="77777777" w:rsidR="00F13670" w:rsidRPr="002A22D8" w:rsidRDefault="00F13670" w:rsidP="00F13670">
      <w:pPr>
        <w:widowControl w:val="0"/>
        <w:autoSpaceDE w:val="0"/>
        <w:autoSpaceDN w:val="0"/>
        <w:spacing w:after="0" w:line="276" w:lineRule="auto"/>
        <w:jc w:val="both"/>
        <w:rPr>
          <w:rFonts w:ascii="Verdana" w:hAnsi="Verdana" w:cs="Arial"/>
          <w:bCs/>
          <w:shd w:val="clear" w:color="auto" w:fill="FFFFFF"/>
        </w:rPr>
      </w:pPr>
      <w:r w:rsidRPr="00B60BC4">
        <w:rPr>
          <w:rFonts w:ascii="Verdana" w:eastAsia="Calibri" w:hAnsi="Verdana" w:cs="Arial"/>
          <w:lang w:val="es-ES_tradnl" w:eastAsia="es-ES_tradnl"/>
        </w:rPr>
        <w:t>Sobre la obligación de controlar y vigilar la ejecución de los contratos estatales, esta Subdirección se ha referido en los Conceptos 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2024,C-600 del 7 de octubre de 2024, C-972 de 22 de enero de 2025</w:t>
      </w:r>
      <w:r>
        <w:rPr>
          <w:rFonts w:ascii="Verdana" w:eastAsia="Calibri" w:hAnsi="Verdana" w:cs="Arial"/>
          <w:lang w:val="es-ES_tradnl" w:eastAsia="es-ES_tradnl"/>
        </w:rPr>
        <w:t>,</w:t>
      </w:r>
      <w:r w:rsidRPr="00B60BC4">
        <w:rPr>
          <w:rFonts w:ascii="Verdana" w:eastAsia="Calibri" w:hAnsi="Verdana" w:cs="Arial"/>
          <w:lang w:val="es-ES_tradnl" w:eastAsia="es-ES_tradnl"/>
        </w:rPr>
        <w:t xml:space="preserve"> C-091 del 13 de febrero de 2025</w:t>
      </w:r>
      <w:r>
        <w:rPr>
          <w:rFonts w:ascii="Verdana" w:eastAsia="Calibri" w:hAnsi="Verdana" w:cs="Arial"/>
          <w:lang w:val="es-ES_tradnl" w:eastAsia="es-ES_tradnl"/>
        </w:rPr>
        <w:t xml:space="preserve"> y C-359 del 30 de abril de 2025</w:t>
      </w:r>
      <w:r w:rsidRPr="00B60BC4">
        <w:rPr>
          <w:rFonts w:ascii="Verdana" w:eastAsia="Calibri" w:hAnsi="Verdana" w:cs="Arial"/>
          <w:lang w:val="es-ES_tradnl" w:eastAsia="es-ES_tradnl"/>
        </w:rPr>
        <w:t>, 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A261EBE" w14:textId="77777777" w:rsidR="00F13670" w:rsidRPr="0065720B" w:rsidRDefault="00F13670" w:rsidP="00F13670">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5376508A" w14:textId="77777777" w:rsidR="00F13670" w:rsidRPr="00505CD6" w:rsidRDefault="00F13670" w:rsidP="00F13670">
      <w:pPr>
        <w:widowControl w:val="0"/>
        <w:autoSpaceDE w:val="0"/>
        <w:autoSpaceDN w:val="0"/>
        <w:spacing w:after="0" w:line="276" w:lineRule="auto"/>
        <w:jc w:val="both"/>
        <w:rPr>
          <w:rFonts w:ascii="Verdana" w:hAnsi="Verdana" w:cs="Arial"/>
          <w:color w:val="000000" w:themeColor="text1"/>
          <w:shd w:val="clear" w:color="auto" w:fill="FFFFFF"/>
        </w:rPr>
      </w:pPr>
    </w:p>
    <w:p w14:paraId="7CFC9F16" w14:textId="77777777" w:rsidR="00F13670" w:rsidRPr="00103B90" w:rsidRDefault="00F13670" w:rsidP="00F13670">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027010D9" w14:textId="77777777" w:rsidR="00F13670" w:rsidRPr="00103B90" w:rsidRDefault="00F13670" w:rsidP="00F13670">
      <w:pPr>
        <w:widowControl w:val="0"/>
        <w:autoSpaceDE w:val="0"/>
        <w:autoSpaceDN w:val="0"/>
        <w:spacing w:after="0" w:line="276" w:lineRule="auto"/>
        <w:jc w:val="both"/>
        <w:rPr>
          <w:rFonts w:ascii="Verdana" w:hAnsi="Verdana"/>
        </w:rPr>
      </w:pPr>
    </w:p>
    <w:p w14:paraId="20430011" w14:textId="77777777" w:rsidR="00F13670" w:rsidRPr="00505CD6" w:rsidRDefault="00F13670" w:rsidP="00F13670">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5665E99" w14:textId="77777777" w:rsidR="00F13670" w:rsidRPr="00505CD6" w:rsidRDefault="00F13670" w:rsidP="00F13670">
      <w:pPr>
        <w:widowControl w:val="0"/>
        <w:autoSpaceDE w:val="0"/>
        <w:autoSpaceDN w:val="0"/>
        <w:spacing w:after="0" w:line="276" w:lineRule="auto"/>
        <w:jc w:val="both"/>
        <w:rPr>
          <w:rFonts w:ascii="Verdana" w:hAnsi="Verdana" w:cs="Arial"/>
        </w:rPr>
      </w:pPr>
    </w:p>
    <w:p w14:paraId="0347FCEF" w14:textId="77777777" w:rsidR="00F13670" w:rsidRDefault="00F13670" w:rsidP="00F13670">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BBF1F22" w14:textId="2C9069F8" w:rsidR="00F13670" w:rsidRDefault="00F13670" w:rsidP="00F13670">
      <w:pPr>
        <w:spacing w:line="276" w:lineRule="auto"/>
        <w:jc w:val="center"/>
        <w:rPr>
          <w:noProof/>
        </w:rPr>
      </w:pPr>
    </w:p>
    <w:p w14:paraId="5A229117" w14:textId="77777777" w:rsidR="001C1635" w:rsidRDefault="001C1635" w:rsidP="00F13670">
      <w:pPr>
        <w:spacing w:line="276" w:lineRule="auto"/>
        <w:jc w:val="center"/>
        <w:rPr>
          <w:noProof/>
        </w:rPr>
      </w:pPr>
    </w:p>
    <w:p w14:paraId="422E29ED" w14:textId="117E59F8" w:rsidR="001C1635" w:rsidRDefault="001C1635" w:rsidP="00F13670">
      <w:pPr>
        <w:spacing w:line="276" w:lineRule="auto"/>
        <w:jc w:val="center"/>
        <w:rPr>
          <w:noProof/>
        </w:rPr>
      </w:pPr>
      <w:r>
        <w:rPr>
          <w:noProof/>
        </w:rPr>
        <w:drawing>
          <wp:inline distT="0" distB="0" distL="0" distR="0" wp14:anchorId="47B2923E" wp14:editId="4AF32572">
            <wp:extent cx="3364230" cy="1444206"/>
            <wp:effectExtent l="0" t="0" r="7620" b="3810"/>
            <wp:docPr id="15500853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71681" cy="1447404"/>
                    </a:xfrm>
                    <a:prstGeom prst="rect">
                      <a:avLst/>
                    </a:prstGeom>
                    <a:noFill/>
                    <a:ln>
                      <a:noFill/>
                    </a:ln>
                  </pic:spPr>
                </pic:pic>
              </a:graphicData>
            </a:graphic>
          </wp:inline>
        </w:drawing>
      </w:r>
    </w:p>
    <w:p w14:paraId="4BAEFBE0" w14:textId="77777777" w:rsidR="001C1635" w:rsidRDefault="001C1635" w:rsidP="00F13670">
      <w:pPr>
        <w:spacing w:line="276" w:lineRule="auto"/>
        <w:jc w:val="center"/>
        <w:rPr>
          <w:noProof/>
        </w:rPr>
      </w:pPr>
    </w:p>
    <w:p w14:paraId="6E1A520A" w14:textId="77777777" w:rsidR="00F13670" w:rsidRDefault="00F13670" w:rsidP="00F13670">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13670" w:rsidRPr="00593A5F" w14:paraId="43BB571C" w14:textId="77777777" w:rsidTr="3759870A">
        <w:trPr>
          <w:trHeight w:val="315"/>
        </w:trPr>
        <w:tc>
          <w:tcPr>
            <w:tcW w:w="893" w:type="dxa"/>
            <w:vAlign w:val="center"/>
            <w:hideMark/>
          </w:tcPr>
          <w:p w14:paraId="02CA2FC4" w14:textId="77777777" w:rsidR="00F13670" w:rsidRPr="003751C7" w:rsidRDefault="00F13670" w:rsidP="007A6CA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197157F" w14:textId="77777777" w:rsidR="00F13670" w:rsidRPr="007911EE" w:rsidRDefault="00F13670" w:rsidP="007A6CA6">
            <w:pPr>
              <w:contextualSpacing/>
              <w:rPr>
                <w:rFonts w:ascii="Verdana" w:hAnsi="Verdana"/>
                <w:sz w:val="16"/>
                <w:szCs w:val="16"/>
              </w:rPr>
            </w:pPr>
            <w:r w:rsidRPr="007911EE">
              <w:rPr>
                <w:rFonts w:ascii="Verdana" w:hAnsi="Verdana"/>
                <w:sz w:val="16"/>
                <w:szCs w:val="16"/>
              </w:rPr>
              <w:t xml:space="preserve">Nicolas Andrés Guzmán </w:t>
            </w:r>
          </w:p>
          <w:p w14:paraId="3C2071D2" w14:textId="77777777" w:rsidR="00F13670" w:rsidRPr="007911EE" w:rsidRDefault="00F13670" w:rsidP="007A6CA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F13670" w:rsidRPr="00593A5F" w14:paraId="16F93B29" w14:textId="77777777" w:rsidTr="3759870A">
        <w:trPr>
          <w:trHeight w:val="330"/>
        </w:trPr>
        <w:tc>
          <w:tcPr>
            <w:tcW w:w="893" w:type="dxa"/>
            <w:vAlign w:val="center"/>
            <w:hideMark/>
          </w:tcPr>
          <w:p w14:paraId="0509B480" w14:textId="77777777" w:rsidR="00F13670" w:rsidRPr="003751C7" w:rsidRDefault="00F13670" w:rsidP="007A6CA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5E587B" w14:textId="09EC240C" w:rsidR="00F13670" w:rsidRDefault="00F13670" w:rsidP="007A6CA6">
            <w:pPr>
              <w:spacing w:line="276" w:lineRule="auto"/>
              <w:contextualSpacing/>
              <w:jc w:val="both"/>
              <w:rPr>
                <w:rFonts w:ascii="Verdana" w:hAnsi="Verdana"/>
                <w:sz w:val="16"/>
                <w:szCs w:val="16"/>
              </w:rPr>
            </w:pPr>
            <w:r w:rsidRPr="3759870A">
              <w:rPr>
                <w:rFonts w:ascii="Verdana" w:hAnsi="Verdana"/>
                <w:sz w:val="16"/>
                <w:szCs w:val="16"/>
              </w:rPr>
              <w:t>Juan Carlos González</w:t>
            </w:r>
            <w:r w:rsidR="2DBAF5B0" w:rsidRPr="3759870A">
              <w:rPr>
                <w:rFonts w:ascii="Verdana" w:hAnsi="Verdana"/>
                <w:sz w:val="16"/>
                <w:szCs w:val="16"/>
              </w:rPr>
              <w:t xml:space="preserve"> Vásquez</w:t>
            </w:r>
          </w:p>
          <w:p w14:paraId="1E75598D" w14:textId="77777777" w:rsidR="00F13670" w:rsidRPr="007911EE" w:rsidRDefault="00F13670" w:rsidP="007A6CA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F13670" w:rsidRPr="00593A5F" w14:paraId="01D0238E" w14:textId="77777777" w:rsidTr="3759870A">
        <w:trPr>
          <w:trHeight w:val="330"/>
        </w:trPr>
        <w:tc>
          <w:tcPr>
            <w:tcW w:w="893" w:type="dxa"/>
            <w:vAlign w:val="center"/>
          </w:tcPr>
          <w:p w14:paraId="725F4B90" w14:textId="77777777" w:rsidR="00F13670" w:rsidRPr="003751C7" w:rsidRDefault="00F13670" w:rsidP="007A6CA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CE2D1F1" w14:textId="77777777" w:rsidR="00F13670" w:rsidRDefault="00F13670" w:rsidP="007A6CA6">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349CE37E" w14:textId="77777777" w:rsidR="00F13670" w:rsidRDefault="00F13670" w:rsidP="007A6CA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8F0BCB4" w14:textId="77777777" w:rsidR="00F13670" w:rsidRPr="00F30C63" w:rsidRDefault="00F13670" w:rsidP="00F13670"/>
    <w:p w14:paraId="0F293BF4" w14:textId="108EA096" w:rsidR="00127233" w:rsidRPr="006B4EE5" w:rsidRDefault="00127233" w:rsidP="006B4EE5"/>
    <w:sectPr w:rsidR="00127233" w:rsidRPr="006B4EE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DA8820" w14:textId="77777777" w:rsidR="00834B93" w:rsidRDefault="00834B93" w:rsidP="004A1847">
      <w:pPr>
        <w:spacing w:after="0" w:line="240" w:lineRule="auto"/>
      </w:pPr>
      <w:r>
        <w:separator/>
      </w:r>
    </w:p>
  </w:endnote>
  <w:endnote w:type="continuationSeparator" w:id="0">
    <w:p w14:paraId="700364F6" w14:textId="77777777" w:rsidR="00834B93" w:rsidRDefault="00834B9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2B806" w14:textId="77777777" w:rsidR="00834B93" w:rsidRDefault="00834B93" w:rsidP="004A1847">
      <w:pPr>
        <w:spacing w:after="0" w:line="240" w:lineRule="auto"/>
      </w:pPr>
      <w:r>
        <w:separator/>
      </w:r>
    </w:p>
  </w:footnote>
  <w:footnote w:type="continuationSeparator" w:id="0">
    <w:p w14:paraId="5F905334" w14:textId="77777777" w:rsidR="00834B93" w:rsidRDefault="00834B93" w:rsidP="004A1847">
      <w:pPr>
        <w:spacing w:after="0" w:line="240" w:lineRule="auto"/>
      </w:pPr>
      <w:r>
        <w:continuationSeparator/>
      </w:r>
    </w:p>
  </w:footnote>
  <w:footnote w:id="1">
    <w:p w14:paraId="08F42B02" w14:textId="77777777" w:rsidR="00F13670" w:rsidRPr="00F13A99" w:rsidRDefault="00F13670" w:rsidP="00F13670">
      <w:pPr>
        <w:pStyle w:val="Textonotapie"/>
        <w:jc w:val="both"/>
        <w:rPr>
          <w:rFonts w:ascii="Verdana" w:hAnsi="Verdana"/>
          <w:sz w:val="16"/>
          <w:szCs w:val="16"/>
          <w:lang w:val="es-ES"/>
        </w:rPr>
      </w:pPr>
      <w:r w:rsidRPr="00F13A99">
        <w:rPr>
          <w:rStyle w:val="Refdenotaalpie"/>
          <w:rFonts w:ascii="Verdana" w:hAnsi="Verdana"/>
          <w:sz w:val="16"/>
          <w:szCs w:val="16"/>
        </w:rPr>
        <w:footnoteRef/>
      </w:r>
      <w:r w:rsidRPr="00F13A99">
        <w:rPr>
          <w:rFonts w:ascii="Verdana" w:hAnsi="Verdana"/>
          <w:sz w:val="16"/>
          <w:szCs w:val="16"/>
        </w:rPr>
        <w:t>https://www.colombiacompra.gov.co/archivos/manual/guia-para-el-ejercicio-de-las-funciones-de-supervision-e-interventoria-de-los-contratos-suscritos-por-las-entidades-estatales</w:t>
      </w:r>
    </w:p>
  </w:footnote>
  <w:footnote w:id="2">
    <w:p w14:paraId="1A229099" w14:textId="77777777" w:rsidR="00F13670" w:rsidRPr="00A42A2D" w:rsidRDefault="00F13670" w:rsidP="00F13670">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Artículo 17 de la Ley 1150 de 2007.</w:t>
      </w:r>
    </w:p>
    <w:p w14:paraId="3B11EFC6" w14:textId="77777777" w:rsidR="00F13670" w:rsidRPr="00A42A2D" w:rsidRDefault="00F13670" w:rsidP="00F13670">
      <w:pPr>
        <w:pStyle w:val="Textonotapie"/>
        <w:ind w:firstLine="709"/>
        <w:jc w:val="both"/>
        <w:rPr>
          <w:rFonts w:ascii="Verdana" w:hAnsi="Verdana"/>
          <w:sz w:val="16"/>
          <w:szCs w:val="16"/>
        </w:rPr>
      </w:pPr>
    </w:p>
  </w:footnote>
  <w:footnote w:id="3">
    <w:p w14:paraId="3A286459" w14:textId="77777777" w:rsidR="00F13670" w:rsidRPr="00A42A2D" w:rsidRDefault="00F13670" w:rsidP="00F13670">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Artículo 21 de la Ley 1150 de 2007.</w:t>
      </w:r>
    </w:p>
    <w:p w14:paraId="3A9E6B38" w14:textId="77777777" w:rsidR="00F13670" w:rsidRPr="00A42A2D" w:rsidRDefault="00F13670" w:rsidP="00F13670">
      <w:pPr>
        <w:pStyle w:val="Textonotapie"/>
        <w:ind w:firstLine="709"/>
        <w:jc w:val="both"/>
        <w:rPr>
          <w:rFonts w:ascii="Verdana" w:hAnsi="Verdana"/>
          <w:sz w:val="16"/>
          <w:szCs w:val="16"/>
        </w:rPr>
      </w:pPr>
    </w:p>
  </w:footnote>
  <w:footnote w:id="4">
    <w:p w14:paraId="6A8428B8" w14:textId="77777777" w:rsidR="00F13670" w:rsidRPr="00A42A2D" w:rsidRDefault="00F13670" w:rsidP="00F13670">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Artículos 83 a 86 de la Ley 1474 de 2011.</w:t>
      </w:r>
    </w:p>
    <w:p w14:paraId="6B1B11D4" w14:textId="77777777" w:rsidR="00F13670" w:rsidRPr="00A42A2D" w:rsidRDefault="00F13670" w:rsidP="00F13670">
      <w:pPr>
        <w:pStyle w:val="Textonotapie"/>
        <w:ind w:firstLine="709"/>
        <w:jc w:val="both"/>
        <w:rPr>
          <w:rFonts w:ascii="Verdana" w:hAnsi="Verdana"/>
          <w:sz w:val="16"/>
          <w:szCs w:val="16"/>
        </w:rPr>
      </w:pPr>
    </w:p>
  </w:footnote>
  <w:footnote w:id="5">
    <w:p w14:paraId="0887DCF1" w14:textId="77777777" w:rsidR="00F13670" w:rsidRDefault="00F13670" w:rsidP="00F13670">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Consejo de Estado. Sección 3ª. Sentencia del 27 de noviembre de 2017. M.P. Jaime Orlando Santofimio. Exp. 51.802</w:t>
      </w:r>
      <w:r>
        <w:rPr>
          <w:rFonts w:ascii="Verdana" w:hAnsi="Verdana"/>
          <w:sz w:val="16"/>
          <w:szCs w:val="16"/>
        </w:rPr>
        <w:t>.</w:t>
      </w:r>
    </w:p>
    <w:p w14:paraId="5F33C4D1" w14:textId="77777777" w:rsidR="00F13670" w:rsidRPr="00A42A2D" w:rsidRDefault="00F13670" w:rsidP="00F13670">
      <w:pPr>
        <w:pStyle w:val="Textonotapie"/>
        <w:ind w:firstLine="709"/>
        <w:jc w:val="both"/>
        <w:rPr>
          <w:rFonts w:ascii="Verdana" w:hAnsi="Verdana"/>
          <w:sz w:val="16"/>
          <w:szCs w:val="16"/>
        </w:rPr>
      </w:pPr>
    </w:p>
  </w:footnote>
  <w:footnote w:id="6">
    <w:p w14:paraId="601279C3" w14:textId="77777777" w:rsidR="00F13670" w:rsidRDefault="00F13670" w:rsidP="00F13670">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Artículo 83 de la Ley 1474 de 2011</w:t>
      </w:r>
      <w:r>
        <w:rPr>
          <w:rFonts w:ascii="Verdana" w:hAnsi="Verdana"/>
          <w:sz w:val="16"/>
          <w:szCs w:val="16"/>
        </w:rPr>
        <w:t>.</w:t>
      </w:r>
    </w:p>
    <w:p w14:paraId="3FD62700" w14:textId="77777777" w:rsidR="00F13670" w:rsidRPr="00A42A2D" w:rsidRDefault="00F13670" w:rsidP="00F13670">
      <w:pPr>
        <w:pStyle w:val="Textonotapie"/>
        <w:ind w:firstLine="709"/>
        <w:jc w:val="both"/>
        <w:rPr>
          <w:rFonts w:ascii="Verdana" w:hAnsi="Verdana"/>
          <w:sz w:val="16"/>
          <w:szCs w:val="16"/>
        </w:rPr>
      </w:pPr>
    </w:p>
  </w:footnote>
  <w:footnote w:id="7">
    <w:p w14:paraId="15A2F9D4" w14:textId="77777777" w:rsidR="00F13670" w:rsidRDefault="00F13670" w:rsidP="00F13670">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 excepción de la interventoría del contrato de obra adjudicado por licitación pública que es obligatoria según el numeral 1° del artículo 32 de la Ley 80 de 1993.</w:t>
      </w:r>
    </w:p>
    <w:p w14:paraId="2856F0CA" w14:textId="77777777" w:rsidR="00F13670" w:rsidRPr="00A42A2D" w:rsidRDefault="00F13670" w:rsidP="00F13670">
      <w:pPr>
        <w:pStyle w:val="Textonotapie"/>
        <w:ind w:firstLine="709"/>
        <w:jc w:val="both"/>
        <w:rPr>
          <w:rFonts w:ascii="Verdana" w:hAnsi="Verdana"/>
          <w:sz w:val="16"/>
          <w:szCs w:val="16"/>
        </w:rPr>
      </w:pPr>
    </w:p>
  </w:footnote>
  <w:footnote w:id="8">
    <w:p w14:paraId="2A6046C2" w14:textId="77777777" w:rsidR="00F13670" w:rsidRDefault="00F13670" w:rsidP="00F13670">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En las Gacetas Nos. 607 y 784 de 2010, en las páginas 12 y 24, respectivamente, se da cuenta de esto.</w:t>
      </w:r>
    </w:p>
    <w:p w14:paraId="4A873DFE" w14:textId="77777777" w:rsidR="00F13670" w:rsidRPr="00A42A2D" w:rsidRDefault="00F13670" w:rsidP="00F13670">
      <w:pPr>
        <w:pStyle w:val="Textonotapie"/>
        <w:ind w:firstLine="709"/>
        <w:jc w:val="both"/>
        <w:rPr>
          <w:rFonts w:ascii="Verdana" w:hAnsi="Verdana" w:cs="Arial"/>
          <w:color w:val="000000"/>
          <w:sz w:val="16"/>
          <w:szCs w:val="16"/>
        </w:rPr>
      </w:pPr>
    </w:p>
  </w:footnote>
  <w:footnote w:id="9">
    <w:p w14:paraId="416217FC" w14:textId="77777777" w:rsidR="00F13670" w:rsidRPr="00A42A2D" w:rsidRDefault="00F13670" w:rsidP="00F13670">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las Gacetas Nos. 1002 y 1117 de 2010, en las páginas 44 y 13, respectivamente.</w:t>
      </w:r>
    </w:p>
  </w:footnote>
  <w:footnote w:id="10">
    <w:p w14:paraId="6B3EE8CC" w14:textId="77777777" w:rsidR="00F13670" w:rsidRDefault="00F13670" w:rsidP="00F13670">
      <w:pPr>
        <w:pStyle w:val="Textonotapie"/>
        <w:ind w:firstLine="709"/>
        <w:jc w:val="both"/>
        <w:rPr>
          <w:rFonts w:ascii="Verdana" w:hAnsi="Verdana" w:cs="Arial"/>
          <w:color w:val="000000"/>
          <w:sz w:val="16"/>
          <w:szCs w:val="16"/>
        </w:rPr>
      </w:pPr>
    </w:p>
    <w:p w14:paraId="6775DA89" w14:textId="77777777" w:rsidR="00F13670" w:rsidRPr="00A42A2D" w:rsidRDefault="00F13670" w:rsidP="00F13670">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 Gaceta No. 019 de 2011, en la página 17.</w:t>
      </w:r>
    </w:p>
  </w:footnote>
  <w:footnote w:id="11">
    <w:p w14:paraId="2F4DA07F" w14:textId="77777777" w:rsidR="00F13670" w:rsidRDefault="00F13670" w:rsidP="00F13670">
      <w:pPr>
        <w:pStyle w:val="Textonotapie"/>
        <w:ind w:firstLine="709"/>
        <w:jc w:val="both"/>
        <w:rPr>
          <w:rFonts w:ascii="Verdana" w:hAnsi="Verdana" w:cs="Arial"/>
          <w:color w:val="000000"/>
          <w:sz w:val="16"/>
          <w:szCs w:val="16"/>
        </w:rPr>
      </w:pPr>
    </w:p>
    <w:p w14:paraId="50130319" w14:textId="77777777" w:rsidR="00F13670" w:rsidRPr="00A42A2D" w:rsidRDefault="00F13670" w:rsidP="00F13670">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 Gaceta No. 128 de 2011, en la página 20.</w:t>
      </w:r>
    </w:p>
  </w:footnote>
  <w:footnote w:id="12">
    <w:p w14:paraId="046AC38E" w14:textId="77777777" w:rsidR="00F13670" w:rsidRDefault="00F13670" w:rsidP="00F13670">
      <w:pPr>
        <w:pStyle w:val="Textonotapie"/>
        <w:ind w:firstLine="709"/>
        <w:jc w:val="both"/>
        <w:rPr>
          <w:rFonts w:ascii="Verdana" w:hAnsi="Verdana" w:cs="Arial"/>
          <w:color w:val="000000"/>
          <w:sz w:val="16"/>
          <w:szCs w:val="16"/>
        </w:rPr>
      </w:pPr>
    </w:p>
    <w:p w14:paraId="0EDCE087" w14:textId="77777777" w:rsidR="00F13670" w:rsidRPr="00A42A2D" w:rsidRDefault="00F13670" w:rsidP="00F13670">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 Gaceta No. 258 de 2011, en la página 16.</w:t>
      </w:r>
    </w:p>
  </w:footnote>
  <w:footnote w:id="13">
    <w:p w14:paraId="4A9E4886" w14:textId="77777777" w:rsidR="00F13670" w:rsidRDefault="00F13670" w:rsidP="00F13670">
      <w:pPr>
        <w:pStyle w:val="Textonotapie"/>
        <w:ind w:firstLine="709"/>
        <w:jc w:val="both"/>
        <w:rPr>
          <w:rFonts w:ascii="Verdana" w:hAnsi="Verdana" w:cs="Arial"/>
          <w:color w:val="000000"/>
          <w:sz w:val="16"/>
          <w:szCs w:val="16"/>
        </w:rPr>
      </w:pPr>
    </w:p>
    <w:p w14:paraId="35512056" w14:textId="77777777" w:rsidR="00F13670" w:rsidRDefault="00F13670" w:rsidP="00F13670">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las Gacetas Nos. 1002 y 1117 de 2010.</w:t>
      </w:r>
    </w:p>
    <w:p w14:paraId="04524D0D" w14:textId="77777777" w:rsidR="00F13670" w:rsidRPr="00A42A2D" w:rsidRDefault="00F13670" w:rsidP="00F13670">
      <w:pPr>
        <w:pStyle w:val="Textonotapie"/>
        <w:ind w:firstLine="709"/>
        <w:jc w:val="both"/>
        <w:rPr>
          <w:rFonts w:ascii="Verdana" w:hAnsi="Verdana" w:cs="Arial"/>
          <w:color w:val="000000"/>
          <w:sz w:val="16"/>
          <w:szCs w:val="16"/>
        </w:rPr>
      </w:pPr>
    </w:p>
  </w:footnote>
  <w:footnote w:id="14">
    <w:p w14:paraId="64629BF9" w14:textId="77777777" w:rsidR="00F13670" w:rsidRPr="00A42A2D" w:rsidRDefault="00F13670" w:rsidP="00F13670">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Consejo de Estado, Sección Tercera, Subsección A. Radicado No. 27426. C.P. Ramiro Pazos Guerrero.</w:t>
      </w:r>
    </w:p>
  </w:footnote>
  <w:footnote w:id="15">
    <w:p w14:paraId="36069EC3" w14:textId="77777777" w:rsidR="00F13670" w:rsidRPr="00A42A2D" w:rsidRDefault="00F13670" w:rsidP="00F13670">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Cita tomada del texto original: “Efectivamente, el artículo 83 de la Ley 1474 de 2011 prescribió: “Supervisión e interventoría contractual.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 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 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 // Por regla general, no serán concurrentes en relación con un mismo contrato, las funciones de supervisión e interventoría. Sin embargo, la entidad puede dividir la vigilancia del contrato principal, caso en el cual en el contrato respectivo de interventoría, se deberán indicar las actividades técnicas a cargo del interventor y las demás quedarán a cargo de la Entidad a través del supervisor. // El contrato de Interventoría será supervisado directamente por la entidad estatal”.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6918023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469BA"/>
    <w:rsid w:val="0016779A"/>
    <w:rsid w:val="001A4F0D"/>
    <w:rsid w:val="001C1635"/>
    <w:rsid w:val="001D4A06"/>
    <w:rsid w:val="001E4177"/>
    <w:rsid w:val="001F7DC6"/>
    <w:rsid w:val="00231850"/>
    <w:rsid w:val="002421BB"/>
    <w:rsid w:val="0025796E"/>
    <w:rsid w:val="002707A2"/>
    <w:rsid w:val="00281476"/>
    <w:rsid w:val="002951A0"/>
    <w:rsid w:val="002962BC"/>
    <w:rsid w:val="002A093D"/>
    <w:rsid w:val="002A0DD0"/>
    <w:rsid w:val="002A49AC"/>
    <w:rsid w:val="002A64FD"/>
    <w:rsid w:val="002C7A84"/>
    <w:rsid w:val="002E4FD9"/>
    <w:rsid w:val="00322A85"/>
    <w:rsid w:val="00324168"/>
    <w:rsid w:val="003448F4"/>
    <w:rsid w:val="00344FFF"/>
    <w:rsid w:val="00374F5E"/>
    <w:rsid w:val="00377E3E"/>
    <w:rsid w:val="003A779E"/>
    <w:rsid w:val="003D0F4D"/>
    <w:rsid w:val="003D5AF6"/>
    <w:rsid w:val="003D5B0D"/>
    <w:rsid w:val="003E0499"/>
    <w:rsid w:val="003F3941"/>
    <w:rsid w:val="00406575"/>
    <w:rsid w:val="00414C74"/>
    <w:rsid w:val="0042722E"/>
    <w:rsid w:val="0044528D"/>
    <w:rsid w:val="004A1847"/>
    <w:rsid w:val="004A305D"/>
    <w:rsid w:val="004C476A"/>
    <w:rsid w:val="004F21C4"/>
    <w:rsid w:val="004F685F"/>
    <w:rsid w:val="005566E8"/>
    <w:rsid w:val="00574867"/>
    <w:rsid w:val="00591460"/>
    <w:rsid w:val="005C3777"/>
    <w:rsid w:val="005C5CDC"/>
    <w:rsid w:val="005D476C"/>
    <w:rsid w:val="006219F8"/>
    <w:rsid w:val="006302F7"/>
    <w:rsid w:val="00665D70"/>
    <w:rsid w:val="006900D9"/>
    <w:rsid w:val="006A760C"/>
    <w:rsid w:val="006B4EE5"/>
    <w:rsid w:val="006C013B"/>
    <w:rsid w:val="006F7767"/>
    <w:rsid w:val="00706C16"/>
    <w:rsid w:val="00756841"/>
    <w:rsid w:val="007649AB"/>
    <w:rsid w:val="00771D0C"/>
    <w:rsid w:val="007833AC"/>
    <w:rsid w:val="00784FA6"/>
    <w:rsid w:val="00794A30"/>
    <w:rsid w:val="007B268C"/>
    <w:rsid w:val="007B70FC"/>
    <w:rsid w:val="007B7171"/>
    <w:rsid w:val="007C0C0F"/>
    <w:rsid w:val="007C3DC2"/>
    <w:rsid w:val="007E5497"/>
    <w:rsid w:val="00806F5F"/>
    <w:rsid w:val="00820278"/>
    <w:rsid w:val="00834B93"/>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3A10"/>
    <w:rsid w:val="00A17F13"/>
    <w:rsid w:val="00A20739"/>
    <w:rsid w:val="00A26284"/>
    <w:rsid w:val="00A33C78"/>
    <w:rsid w:val="00A604EC"/>
    <w:rsid w:val="00AB0ADB"/>
    <w:rsid w:val="00AB3413"/>
    <w:rsid w:val="00B00C0E"/>
    <w:rsid w:val="00B01B1A"/>
    <w:rsid w:val="00B44A47"/>
    <w:rsid w:val="00B72CD3"/>
    <w:rsid w:val="00B72FFF"/>
    <w:rsid w:val="00BC3D36"/>
    <w:rsid w:val="00BD3E0B"/>
    <w:rsid w:val="00BD7F72"/>
    <w:rsid w:val="00C04FB3"/>
    <w:rsid w:val="00C24E4C"/>
    <w:rsid w:val="00C330EB"/>
    <w:rsid w:val="00C754BE"/>
    <w:rsid w:val="00C76B1C"/>
    <w:rsid w:val="00CB11ED"/>
    <w:rsid w:val="00CB6357"/>
    <w:rsid w:val="00CC06EE"/>
    <w:rsid w:val="00CC1B26"/>
    <w:rsid w:val="00D4019D"/>
    <w:rsid w:val="00D423A2"/>
    <w:rsid w:val="00D520D8"/>
    <w:rsid w:val="00D63AC2"/>
    <w:rsid w:val="00D7383B"/>
    <w:rsid w:val="00DA231B"/>
    <w:rsid w:val="00DC39FC"/>
    <w:rsid w:val="00DF5254"/>
    <w:rsid w:val="00E16408"/>
    <w:rsid w:val="00E20894"/>
    <w:rsid w:val="00E23751"/>
    <w:rsid w:val="00E245AB"/>
    <w:rsid w:val="00E2764C"/>
    <w:rsid w:val="00E27F2E"/>
    <w:rsid w:val="00E50AFE"/>
    <w:rsid w:val="00E75C92"/>
    <w:rsid w:val="00E771DC"/>
    <w:rsid w:val="00E83860"/>
    <w:rsid w:val="00E8739F"/>
    <w:rsid w:val="00E8772A"/>
    <w:rsid w:val="00E90F6B"/>
    <w:rsid w:val="00E92C27"/>
    <w:rsid w:val="00EA0E3D"/>
    <w:rsid w:val="00EC38A7"/>
    <w:rsid w:val="00EE1AA8"/>
    <w:rsid w:val="00F13670"/>
    <w:rsid w:val="00F31EDC"/>
    <w:rsid w:val="00F462B3"/>
    <w:rsid w:val="00F5664F"/>
    <w:rsid w:val="00F666C4"/>
    <w:rsid w:val="00F76AFC"/>
    <w:rsid w:val="00F9754D"/>
    <w:rsid w:val="00FA3DCC"/>
    <w:rsid w:val="00FA47C0"/>
    <w:rsid w:val="00FB5DD1"/>
    <w:rsid w:val="00FC1CF3"/>
    <w:rsid w:val="00FC2B5D"/>
    <w:rsid w:val="00FF1449"/>
    <w:rsid w:val="067E521B"/>
    <w:rsid w:val="08E732FC"/>
    <w:rsid w:val="09BFC309"/>
    <w:rsid w:val="0E7AFF09"/>
    <w:rsid w:val="156FA5E9"/>
    <w:rsid w:val="1611420E"/>
    <w:rsid w:val="18BE9B13"/>
    <w:rsid w:val="1EDCC1E8"/>
    <w:rsid w:val="1F5C439A"/>
    <w:rsid w:val="2B107C2A"/>
    <w:rsid w:val="2B408395"/>
    <w:rsid w:val="2DBAF5B0"/>
    <w:rsid w:val="2FF11E97"/>
    <w:rsid w:val="338D869F"/>
    <w:rsid w:val="3759870A"/>
    <w:rsid w:val="39ADBB91"/>
    <w:rsid w:val="3A665439"/>
    <w:rsid w:val="3B2C73E4"/>
    <w:rsid w:val="4056C474"/>
    <w:rsid w:val="4746DFDA"/>
    <w:rsid w:val="4F618EC2"/>
    <w:rsid w:val="621C4177"/>
    <w:rsid w:val="63D583D8"/>
    <w:rsid w:val="6766C5AD"/>
    <w:rsid w:val="682A7554"/>
    <w:rsid w:val="6F5D29D3"/>
    <w:rsid w:val="7190B3CB"/>
    <w:rsid w:val="71D22A4A"/>
    <w:rsid w:val="740793D9"/>
    <w:rsid w:val="7A40C43B"/>
    <w:rsid w:val="7B7C4057"/>
    <w:rsid w:val="7C5FB950"/>
    <w:rsid w:val="7DC94B6D"/>
    <w:rsid w:val="7E9256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13670"/>
    <w:rPr>
      <w:rFonts w:ascii="Geomanist Light" w:hAnsi="Geomanist Light"/>
      <w:lang w:val="es-ES"/>
    </w:rPr>
  </w:style>
  <w:style w:type="paragraph" w:customStyle="1" w:styleId="Appelnotedebasde">
    <w:name w:val="Appel note de bas de..."/>
    <w:basedOn w:val="Normal"/>
    <w:link w:val="Refdenotaalpie"/>
    <w:uiPriority w:val="99"/>
    <w:rsid w:val="00F13670"/>
    <w:pPr>
      <w:spacing w:line="240" w:lineRule="exact"/>
    </w:pPr>
    <w:rPr>
      <w:vertAlign w:val="superscript"/>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794A30"/>
    <w:rPr>
      <w:b/>
      <w:bCs/>
    </w:rPr>
  </w:style>
  <w:style w:type="character" w:customStyle="1" w:styleId="AsuntodelcomentarioCar">
    <w:name w:val="Asunto del comentario Car"/>
    <w:basedOn w:val="TextocomentarioCar"/>
    <w:link w:val="Asuntodelcomentario"/>
    <w:uiPriority w:val="99"/>
    <w:semiHidden/>
    <w:rsid w:val="00794A3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egoa.chavesc@uspec.gov.c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E2E0383A-97CF-468C-B63A-510E4276517A}"/>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5057</Words>
  <Characters>27968</Characters>
  <Application>Microsoft Office Word</Application>
  <DocSecurity>0</DocSecurity>
  <Lines>570</Lines>
  <Paragraphs>111</Paragraphs>
  <ScaleCrop>false</ScaleCrop>
  <Company/>
  <LinksUpToDate>false</LinksUpToDate>
  <CharactersWithSpaces>32914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4</cp:revision>
  <cp:lastPrinted>2023-01-10T21:18:00Z</cp:lastPrinted>
  <dcterms:created xsi:type="dcterms:W3CDTF">2025-10-18T15:17:00Z</dcterms:created>
  <dcterms:modified xsi:type="dcterms:W3CDTF">2025-10-18T15:22:00Z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