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C163E" w14:textId="77777777" w:rsidR="008D6547" w:rsidRPr="004E7E1E" w:rsidRDefault="008D6547" w:rsidP="008D6547">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PRECIOS ARTIFICIALMENTE BAJOS – Noción –</w:t>
      </w:r>
      <w:r>
        <w:rPr>
          <w:rFonts w:ascii="Verdana" w:eastAsia="Arial MT" w:hAnsi="Verdana" w:cs="Arial MT"/>
          <w:b/>
          <w:bCs/>
          <w:lang w:val="es-ES_tradnl"/>
        </w:rPr>
        <w:t xml:space="preserve"> </w:t>
      </w:r>
      <w:r w:rsidRPr="004E7E1E">
        <w:rPr>
          <w:rFonts w:ascii="Verdana" w:eastAsia="Arial MT" w:hAnsi="Verdana" w:cs="Arial MT"/>
          <w:b/>
          <w:bCs/>
          <w:lang w:val="es-ES_tradnl"/>
        </w:rPr>
        <w:t xml:space="preserve">Deber de las entidades estatales </w:t>
      </w:r>
    </w:p>
    <w:p w14:paraId="0A4E096A" w14:textId="77777777" w:rsidR="008D6547" w:rsidRPr="004E7E1E" w:rsidRDefault="008D6547" w:rsidP="008D6547">
      <w:pPr>
        <w:spacing w:after="0" w:line="240" w:lineRule="auto"/>
        <w:jc w:val="both"/>
        <w:rPr>
          <w:rFonts w:ascii="Verdana" w:eastAsia="Arial MT" w:hAnsi="Verdana" w:cs="Arial MT"/>
          <w:b/>
          <w:bCs/>
          <w:sz w:val="20"/>
          <w:szCs w:val="20"/>
          <w:lang w:val="es-ES_tradnl"/>
        </w:rPr>
      </w:pPr>
    </w:p>
    <w:p w14:paraId="6ECBE685" w14:textId="77777777" w:rsidR="008D6547" w:rsidRPr="004E7E1E" w:rsidRDefault="008D6547" w:rsidP="008D6547">
      <w:pPr>
        <w:spacing w:after="0" w:line="240" w:lineRule="auto"/>
        <w:jc w:val="both"/>
        <w:rPr>
          <w:rFonts w:ascii="Verdana" w:eastAsia="Arial" w:hAnsi="Verdana" w:cs="Arial"/>
          <w:sz w:val="20"/>
          <w:szCs w:val="20"/>
          <w:lang w:val="es-ES" w:eastAsia="es-ES" w:bidi="es-ES"/>
        </w:rPr>
      </w:pPr>
      <w:r w:rsidRPr="004E7E1E">
        <w:rPr>
          <w:rFonts w:ascii="Verdana" w:eastAsia="Arial" w:hAnsi="Verdana" w:cs="Arial"/>
          <w:sz w:val="20"/>
          <w:szCs w:val="20"/>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p>
    <w:p w14:paraId="1F57734E" w14:textId="77777777" w:rsidR="008D6547" w:rsidRPr="004E7E1E" w:rsidRDefault="008D6547" w:rsidP="008D6547">
      <w:pPr>
        <w:spacing w:after="0" w:line="240" w:lineRule="auto"/>
        <w:jc w:val="both"/>
        <w:rPr>
          <w:rFonts w:ascii="Verdana" w:eastAsia="Arial MT" w:hAnsi="Verdana" w:cs="Arial MT"/>
          <w:bCs/>
          <w:sz w:val="20"/>
          <w:szCs w:val="20"/>
          <w:lang w:val="es-ES"/>
        </w:rPr>
      </w:pPr>
      <w:r w:rsidRPr="004E7E1E">
        <w:rPr>
          <w:rFonts w:ascii="Verdana" w:eastAsia="Arial MT" w:hAnsi="Verdana" w:cs="Arial MT"/>
          <w:bCs/>
          <w:sz w:val="20"/>
          <w:szCs w:val="20"/>
          <w:lang w:val="es-ES"/>
        </w:rPr>
        <w:t>[…]</w:t>
      </w:r>
    </w:p>
    <w:p w14:paraId="78EF3BE4" w14:textId="77777777" w:rsidR="008D6547" w:rsidRPr="004E7E1E" w:rsidRDefault="008D6547" w:rsidP="008D6547">
      <w:pPr>
        <w:spacing w:after="0" w:line="240" w:lineRule="auto"/>
        <w:jc w:val="both"/>
        <w:rPr>
          <w:rFonts w:ascii="Verdana" w:eastAsia="Calibri" w:hAnsi="Verdana" w:cs="Arial"/>
          <w:sz w:val="20"/>
          <w:szCs w:val="20"/>
          <w:lang w:val="es-ES"/>
        </w:rPr>
      </w:pPr>
      <w:r w:rsidRPr="004E7E1E">
        <w:rPr>
          <w:rFonts w:ascii="Verdana" w:eastAsia="Calibri" w:hAnsi="Verdana" w:cs="Arial"/>
          <w:sz w:val="20"/>
          <w:szCs w:val="20"/>
          <w:lang w:val="es-MX"/>
        </w:rPr>
        <w:t xml:space="preserve">Así pues, el artículo 2.2.1.1.2.2.4 ibidem, establece lo que debe hacer la entidad cuando el precio de una oferta parece artificialmente bajo, esto es: i) solicitar explicación al oferente, </w:t>
      </w:r>
      <w:proofErr w:type="spellStart"/>
      <w:r w:rsidRPr="004E7E1E">
        <w:rPr>
          <w:rFonts w:ascii="Verdana" w:eastAsia="Calibri" w:hAnsi="Verdana" w:cs="Arial"/>
          <w:sz w:val="20"/>
          <w:szCs w:val="20"/>
          <w:lang w:val="es-MX"/>
        </w:rPr>
        <w:t>ii</w:t>
      </w:r>
      <w:proofErr w:type="spellEnd"/>
      <w:r w:rsidRPr="004E7E1E">
        <w:rPr>
          <w:rFonts w:ascii="Verdana" w:eastAsia="Calibri" w:hAnsi="Verdana" w:cs="Arial"/>
          <w:sz w:val="20"/>
          <w:szCs w:val="20"/>
          <w:lang w:val="es-MX"/>
        </w:rPr>
        <w:t xml:space="preserve">) analizar las explicaciones del oferente, </w:t>
      </w:r>
      <w:proofErr w:type="spellStart"/>
      <w:r w:rsidRPr="004E7E1E">
        <w:rPr>
          <w:rFonts w:ascii="Verdana" w:eastAsia="Calibri" w:hAnsi="Verdana" w:cs="Arial"/>
          <w:sz w:val="20"/>
          <w:szCs w:val="20"/>
          <w:lang w:val="es-MX"/>
        </w:rPr>
        <w:t>iii</w:t>
      </w:r>
      <w:proofErr w:type="spellEnd"/>
      <w:r w:rsidRPr="004E7E1E">
        <w:rPr>
          <w:rFonts w:ascii="Verdana" w:eastAsia="Calibri" w:hAnsi="Verdana" w:cs="Arial"/>
          <w:sz w:val="20"/>
          <w:szCs w:val="20"/>
          <w:lang w:val="es-MX"/>
        </w:rPr>
        <w:t xml:space="preserve">) el responsable de la evaluación de las ofertas debe recomendar rechazar o continuar la evaluación de la oferta, y </w:t>
      </w:r>
      <w:proofErr w:type="spellStart"/>
      <w:r w:rsidRPr="004E7E1E">
        <w:rPr>
          <w:rFonts w:ascii="Verdana" w:eastAsia="Calibri" w:hAnsi="Verdana" w:cs="Arial"/>
          <w:sz w:val="20"/>
          <w:szCs w:val="20"/>
          <w:lang w:val="es-MX"/>
        </w:rPr>
        <w:t>iv</w:t>
      </w:r>
      <w:proofErr w:type="spellEnd"/>
      <w:r w:rsidRPr="004E7E1E">
        <w:rPr>
          <w:rFonts w:ascii="Verdana" w:eastAsia="Calibri" w:hAnsi="Verdana" w:cs="Arial"/>
          <w:sz w:val="20"/>
          <w:szCs w:val="20"/>
          <w:lang w:val="es-MX"/>
        </w:rPr>
        <w:t>) para la subasta inversa, lo anterior se debe hacer al finalizar el evento.</w:t>
      </w:r>
    </w:p>
    <w:p w14:paraId="0CD9A1C0" w14:textId="77777777" w:rsidR="008D6547" w:rsidRPr="004E7E1E" w:rsidRDefault="008D6547" w:rsidP="008D6547">
      <w:pPr>
        <w:spacing w:after="0" w:line="240" w:lineRule="auto"/>
        <w:jc w:val="both"/>
        <w:rPr>
          <w:rFonts w:ascii="Verdana" w:eastAsia="Arial MT" w:hAnsi="Verdana" w:cs="Arial MT"/>
          <w:b/>
          <w:bCs/>
          <w:lang w:val="es-ES"/>
        </w:rPr>
      </w:pPr>
    </w:p>
    <w:p w14:paraId="141F0969" w14:textId="77777777" w:rsidR="008D6547" w:rsidRPr="004E7E1E" w:rsidRDefault="008D6547" w:rsidP="008D6547">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EVALUACIÓN DE LAS OFERTAS – Finalidad – Oportunidad </w:t>
      </w:r>
    </w:p>
    <w:p w14:paraId="05B8BFA3" w14:textId="77777777" w:rsidR="008D6547" w:rsidRDefault="008D6547" w:rsidP="008D6547">
      <w:pPr>
        <w:spacing w:after="0" w:line="240" w:lineRule="auto"/>
        <w:jc w:val="both"/>
        <w:rPr>
          <w:rFonts w:ascii="Verdana" w:eastAsia="Calibri" w:hAnsi="Verdana" w:cs="Arial"/>
          <w:lang w:val="es-ES"/>
        </w:rPr>
      </w:pPr>
    </w:p>
    <w:p w14:paraId="1B9C966D" w14:textId="77777777" w:rsidR="008D6547" w:rsidRPr="004E7E1E" w:rsidRDefault="008D6547" w:rsidP="008D6547">
      <w:pPr>
        <w:spacing w:after="0" w:line="240" w:lineRule="auto"/>
        <w:jc w:val="both"/>
        <w:rPr>
          <w:rFonts w:ascii="Verdana" w:eastAsia="Arial MT" w:hAnsi="Verdana" w:cs="Arial MT"/>
          <w:bCs/>
          <w:sz w:val="20"/>
          <w:lang w:val="es-MX"/>
        </w:rPr>
      </w:pPr>
      <w:r w:rsidRPr="004E7E1E">
        <w:rPr>
          <w:rFonts w:ascii="Verdana" w:eastAsia="Arial MT" w:hAnsi="Verdana" w:cs="Arial MT"/>
          <w:bCs/>
          <w:sz w:val="20"/>
          <w:lang w:val="es-ES"/>
        </w:rPr>
        <w:t>Sin embargo, debe precisarse que el análisis de los precios de una oferta se hace en la fase de evaluación del procedimiento de selección, que es la oportunidad para verificar, a través del comité evaluador</w:t>
      </w:r>
      <w:r w:rsidRPr="004E7E1E">
        <w:rPr>
          <w:rFonts w:ascii="Verdana" w:eastAsia="Arial MT" w:hAnsi="Verdana" w:cs="Arial MT"/>
          <w:bCs/>
          <w:sz w:val="20"/>
          <w:lang w:val="es-MX"/>
        </w:rPr>
        <w:t xml:space="preserve"> si se cumplen o no las reglas de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61438EA4" w14:textId="77777777" w:rsidR="008D6547" w:rsidRPr="004E7E1E" w:rsidRDefault="008D6547" w:rsidP="008D6547">
      <w:pPr>
        <w:spacing w:after="0" w:line="240" w:lineRule="auto"/>
        <w:jc w:val="both"/>
        <w:rPr>
          <w:rFonts w:ascii="Verdana" w:eastAsia="Arial MT" w:hAnsi="Verdana" w:cs="Arial MT"/>
          <w:bCs/>
          <w:sz w:val="20"/>
        </w:rPr>
      </w:pPr>
    </w:p>
    <w:p w14:paraId="77C40882" w14:textId="77777777" w:rsidR="008D6547" w:rsidRPr="004E7E1E" w:rsidRDefault="008D6547" w:rsidP="008D6547">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En ese sentido, en la evaluación que se realiza antes de la adjudicación del contrato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 </w:t>
      </w:r>
    </w:p>
    <w:p w14:paraId="368768C0" w14:textId="77777777" w:rsidR="008D6547" w:rsidRPr="004E7E1E" w:rsidRDefault="008D6547" w:rsidP="008D6547">
      <w:pPr>
        <w:spacing w:after="0" w:line="240" w:lineRule="auto"/>
        <w:jc w:val="both"/>
        <w:rPr>
          <w:rFonts w:ascii="Verdana" w:eastAsia="Arial MT" w:hAnsi="Verdana" w:cs="Arial MT"/>
          <w:b/>
          <w:bCs/>
          <w:lang w:val="es-ES"/>
        </w:rPr>
      </w:pPr>
    </w:p>
    <w:p w14:paraId="03CA5B9B" w14:textId="77777777" w:rsidR="008D6547" w:rsidRPr="004E7E1E" w:rsidRDefault="008D6547" w:rsidP="008D6547">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GUÍA DE OFERTAS ARTIFICIALMENTE BAJAS – Manejo </w:t>
      </w:r>
    </w:p>
    <w:p w14:paraId="0528F239" w14:textId="77777777" w:rsidR="008D6547" w:rsidRPr="004E7E1E" w:rsidRDefault="008D6547" w:rsidP="008D6547">
      <w:pPr>
        <w:spacing w:after="0" w:line="240" w:lineRule="auto"/>
        <w:jc w:val="both"/>
        <w:rPr>
          <w:rFonts w:ascii="Verdana" w:eastAsia="Arial MT" w:hAnsi="Verdana" w:cs="Arial MT"/>
          <w:bCs/>
          <w:sz w:val="20"/>
          <w:lang w:val="es-ES_tradnl"/>
        </w:rPr>
      </w:pPr>
    </w:p>
    <w:p w14:paraId="0EE12EEE" w14:textId="77777777" w:rsidR="008D6547" w:rsidRDefault="008D6547" w:rsidP="008D6547">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w:t>
      </w:r>
      <w:proofErr w:type="spellStart"/>
      <w:r w:rsidRPr="004E7E1E">
        <w:rPr>
          <w:rFonts w:ascii="Verdana" w:eastAsia="Arial MT" w:hAnsi="Verdana" w:cs="Arial MT"/>
          <w:bCs/>
          <w:sz w:val="20"/>
          <w:lang w:val="es-ES"/>
        </w:rPr>
        <w:t>ii</w:t>
      </w:r>
      <w:proofErr w:type="spellEnd"/>
      <w:r w:rsidRPr="004E7E1E">
        <w:rPr>
          <w:rFonts w:ascii="Verdana" w:eastAsia="Arial MT" w:hAnsi="Verdana" w:cs="Arial MT"/>
          <w:bCs/>
          <w:sz w:val="20"/>
          <w:lang w:val="es-ES"/>
        </w:rPr>
        <w:t xml:space="preserve">) la comparación relativa. </w:t>
      </w:r>
    </w:p>
    <w:p w14:paraId="6FD2191B" w14:textId="77777777" w:rsidR="008D6547" w:rsidRPr="004E7E1E" w:rsidRDefault="008D6547" w:rsidP="008D6547">
      <w:pPr>
        <w:spacing w:after="0" w:line="240" w:lineRule="auto"/>
        <w:jc w:val="both"/>
        <w:rPr>
          <w:rFonts w:ascii="Verdana" w:eastAsia="Arial MT" w:hAnsi="Verdana" w:cs="Arial MT"/>
          <w:bCs/>
          <w:sz w:val="20"/>
          <w:lang w:val="es-ES"/>
        </w:rPr>
      </w:pPr>
    </w:p>
    <w:p w14:paraId="6A1A06EF" w14:textId="77777777" w:rsidR="008D6547" w:rsidRDefault="008D6547" w:rsidP="008D6547">
      <w:pPr>
        <w:spacing w:after="0" w:line="240" w:lineRule="auto"/>
        <w:jc w:val="both"/>
        <w:rPr>
          <w:rFonts w:ascii="Verdana" w:eastAsia="Arial MT" w:hAnsi="Verdana" w:cs="Arial MT"/>
          <w:bCs/>
          <w:sz w:val="20"/>
        </w:rPr>
      </w:pPr>
      <w:r w:rsidRPr="004E7E1E">
        <w:rPr>
          <w:rFonts w:ascii="Verdana" w:eastAsia="Arial MT" w:hAnsi="Verdana" w:cs="Arial MT"/>
          <w:bCs/>
          <w:sz w:val="20"/>
          <w:lang w:val="es-ES"/>
        </w:rPr>
        <w:t xml:space="preserve">Es importante precisar que dentro de la Guía para el manejo de ofertas artificialmente bajas en Procesos de Contratación” efectúa un análisis especial en torno a la subasta inversa, la cual puede ser </w:t>
      </w:r>
      <w:r w:rsidRPr="004E7E1E">
        <w:rPr>
          <w:rFonts w:ascii="Verdana" w:eastAsia="Arial MT" w:hAnsi="Verdana" w:cs="Arial MT"/>
          <w:bCs/>
          <w:sz w:val="20"/>
        </w:rPr>
        <w:t xml:space="preserve">ordinaria y a la inversa. La primera consiste en que los </w:t>
      </w:r>
      <w:r w:rsidRPr="004E7E1E">
        <w:rPr>
          <w:rFonts w:ascii="Verdana" w:eastAsia="Arial MT" w:hAnsi="Verdana" w:cs="Arial MT"/>
          <w:bCs/>
          <w:sz w:val="20"/>
        </w:rPr>
        <w:lastRenderedPageBreak/>
        <w:t xml:space="preserve">compradores compiten para obtener un bien o servicio, ofreciendo precios cada vez más altos, mediante lances, como es el caso de los procesos de contratación de enajenación directa a través de subasta pública mediante la modalidad de selección abreviada, </w:t>
      </w:r>
      <w:proofErr w:type="gramStart"/>
      <w:r w:rsidRPr="004E7E1E">
        <w:rPr>
          <w:rFonts w:ascii="Verdana" w:eastAsia="Arial MT" w:hAnsi="Verdana" w:cs="Arial MT"/>
          <w:bCs/>
          <w:sz w:val="20"/>
        </w:rPr>
        <w:t>de acuerdo a</w:t>
      </w:r>
      <w:proofErr w:type="gramEnd"/>
      <w:r w:rsidRPr="004E7E1E">
        <w:rPr>
          <w:rFonts w:ascii="Verdana" w:eastAsia="Arial MT" w:hAnsi="Verdana" w:cs="Arial MT"/>
          <w:bCs/>
          <w:sz w:val="20"/>
        </w:rPr>
        <w:t xml:space="preserve"> lo prescrito en el artículo 2.2.1.2.2.2.2 del Decreto 1082 de 1025. El segundo, es la subasta inversa que consiste en que los vendedores compiten para obtener un negocio del comprador, y para ello, los lances realizados sobre la oferta económica tienen como objetivo disminuir los precios de los bienes y servicios que se están ofertando.</w:t>
      </w:r>
    </w:p>
    <w:p w14:paraId="0388EED9" w14:textId="77777777" w:rsidR="008D6547" w:rsidRPr="004E7E1E" w:rsidRDefault="008D6547" w:rsidP="008D6547">
      <w:pPr>
        <w:spacing w:after="0" w:line="240" w:lineRule="auto"/>
        <w:jc w:val="both"/>
        <w:rPr>
          <w:rFonts w:ascii="Verdana" w:eastAsia="Arial MT" w:hAnsi="Verdana" w:cs="Arial MT"/>
          <w:bCs/>
          <w:sz w:val="20"/>
          <w:lang w:val="es-ES_tradnl"/>
        </w:rPr>
      </w:pPr>
    </w:p>
    <w:p w14:paraId="373F9D26" w14:textId="77777777" w:rsidR="008D6547" w:rsidRPr="004E7E1E" w:rsidRDefault="008D6547" w:rsidP="008D6547">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PRECIOS ARTIFICIALMENTE BAJOS – Guía – Procesos de </w:t>
      </w:r>
      <w:r>
        <w:rPr>
          <w:rFonts w:ascii="Verdana" w:eastAsia="Arial MT" w:hAnsi="Verdana" w:cs="Arial MT"/>
          <w:b/>
          <w:bCs/>
          <w:lang w:val="es-ES_tradnl"/>
        </w:rPr>
        <w:t>s</w:t>
      </w:r>
      <w:r w:rsidRPr="004E7E1E">
        <w:rPr>
          <w:rFonts w:ascii="Verdana" w:eastAsia="Arial MT" w:hAnsi="Verdana" w:cs="Arial MT"/>
          <w:b/>
          <w:bCs/>
          <w:lang w:val="es-ES_tradnl"/>
        </w:rPr>
        <w:t xml:space="preserve">ubasta – Subasta </w:t>
      </w:r>
      <w:r>
        <w:rPr>
          <w:rFonts w:ascii="Verdana" w:eastAsia="Arial MT" w:hAnsi="Verdana" w:cs="Arial MT"/>
          <w:b/>
          <w:bCs/>
          <w:lang w:val="es-ES_tradnl"/>
        </w:rPr>
        <w:t>i</w:t>
      </w:r>
      <w:r w:rsidRPr="004E7E1E">
        <w:rPr>
          <w:rFonts w:ascii="Verdana" w:eastAsia="Arial MT" w:hAnsi="Verdana" w:cs="Arial MT"/>
          <w:b/>
          <w:bCs/>
          <w:lang w:val="es-ES_tradnl"/>
        </w:rPr>
        <w:t>nversa</w:t>
      </w:r>
    </w:p>
    <w:p w14:paraId="1E7C9BFD" w14:textId="77777777" w:rsidR="008D6547" w:rsidRDefault="008D6547" w:rsidP="008D6547">
      <w:pPr>
        <w:spacing w:after="0" w:line="240" w:lineRule="auto"/>
        <w:jc w:val="both"/>
        <w:rPr>
          <w:rFonts w:ascii="Verdana" w:eastAsia="Arial MT" w:hAnsi="Verdana" w:cs="Arial MT"/>
          <w:b/>
          <w:bCs/>
          <w:lang w:val="es-ES_tradnl"/>
        </w:rPr>
      </w:pPr>
    </w:p>
    <w:p w14:paraId="2D7902F1" w14:textId="77777777" w:rsidR="008D6547" w:rsidRPr="005C2082" w:rsidRDefault="008D6547" w:rsidP="008D6547">
      <w:pPr>
        <w:spacing w:after="0" w:line="240" w:lineRule="auto"/>
        <w:jc w:val="both"/>
        <w:rPr>
          <w:rFonts w:ascii="Verdana" w:eastAsia="Arial MT" w:hAnsi="Verdana" w:cs="Arial MT"/>
          <w:bCs/>
          <w:sz w:val="20"/>
          <w:szCs w:val="20"/>
        </w:rPr>
      </w:pPr>
      <w:r w:rsidRPr="005C2082">
        <w:rPr>
          <w:rFonts w:ascii="Verdana" w:eastAsia="Arial MT" w:hAnsi="Verdana" w:cs="Arial MT"/>
          <w:bCs/>
          <w:sz w:val="20"/>
          <w:szCs w:val="20"/>
        </w:rPr>
        <w:t xml:space="preserve">Ahora bien, en el evento en que los lances presentados en la audiencia del proceso de subasta inversa se evidencian que son precios artificialmente bajos, debe tener en cuenta lo siguiente: i) requerir al oferente con relación a los precios ofertados que parecen bajos, con el fin de que sustente las razones o motivos del valor; </w:t>
      </w:r>
      <w:proofErr w:type="spellStart"/>
      <w:r w:rsidRPr="005C2082">
        <w:rPr>
          <w:rFonts w:ascii="Verdana" w:eastAsia="Arial MT" w:hAnsi="Verdana" w:cs="Arial MT"/>
          <w:bCs/>
          <w:sz w:val="20"/>
          <w:szCs w:val="20"/>
        </w:rPr>
        <w:t>ii</w:t>
      </w:r>
      <w:proofErr w:type="spellEnd"/>
      <w:r w:rsidRPr="005C2082">
        <w:rPr>
          <w:rFonts w:ascii="Verdana" w:eastAsia="Arial MT" w:hAnsi="Verdana" w:cs="Arial MT"/>
          <w:bCs/>
          <w:sz w:val="20"/>
          <w:szCs w:val="20"/>
        </w:rPr>
        <w:t xml:space="preserve">) analizar las explicaciones del oferente, para verificar si están sustentados en los valores ofrecidos y si son suficientes para ejecutar el contrato; </w:t>
      </w:r>
      <w:proofErr w:type="spellStart"/>
      <w:r w:rsidRPr="005C2082">
        <w:rPr>
          <w:rFonts w:ascii="Verdana" w:eastAsia="Arial MT" w:hAnsi="Verdana" w:cs="Arial MT"/>
          <w:bCs/>
          <w:sz w:val="20"/>
          <w:szCs w:val="20"/>
        </w:rPr>
        <w:t>iii</w:t>
      </w:r>
      <w:proofErr w:type="spellEnd"/>
      <w:r w:rsidRPr="005C2082">
        <w:rPr>
          <w:rFonts w:ascii="Verdana" w:eastAsia="Arial MT" w:hAnsi="Verdana" w:cs="Arial MT"/>
          <w:bCs/>
          <w:sz w:val="20"/>
          <w:szCs w:val="20"/>
        </w:rPr>
        <w:t xml:space="preserve">) definir si continúa con la evaluación de la oferta, en el sentido de que la explicación demuestra la capacidad del proponente para cumplir adecuadamente con el contrato con los precios ofertados o, si por el contrario, rechaza la oferta porque no fue sustentada. Esto debe realizarse al finalizar el evento de subasta, de acuerdo con el precio ofrecido al final de esta. </w:t>
      </w:r>
    </w:p>
    <w:p w14:paraId="16729CB6" w14:textId="77777777" w:rsidR="008D6547" w:rsidRPr="005C2082" w:rsidRDefault="008D6547" w:rsidP="008D6547">
      <w:pPr>
        <w:spacing w:after="0" w:line="240" w:lineRule="auto"/>
        <w:jc w:val="both"/>
        <w:rPr>
          <w:rFonts w:ascii="Verdana" w:eastAsia="Arial MT" w:hAnsi="Verdana" w:cs="Arial MT"/>
          <w:bCs/>
          <w:sz w:val="20"/>
          <w:szCs w:val="20"/>
        </w:rPr>
      </w:pPr>
      <w:r w:rsidRPr="005C2082">
        <w:rPr>
          <w:rFonts w:ascii="Verdana" w:eastAsia="Arial MT" w:hAnsi="Verdana" w:cs="Arial MT"/>
          <w:bCs/>
          <w:sz w:val="20"/>
          <w:szCs w:val="20"/>
        </w:rPr>
        <w:t>[…]</w:t>
      </w:r>
    </w:p>
    <w:p w14:paraId="45F2BEB2" w14:textId="77777777" w:rsidR="008D6547" w:rsidRPr="005C2082" w:rsidRDefault="008D6547" w:rsidP="008D6547">
      <w:pPr>
        <w:spacing w:after="0" w:line="240" w:lineRule="auto"/>
        <w:jc w:val="both"/>
        <w:rPr>
          <w:rFonts w:ascii="Verdana" w:eastAsia="Arial MT" w:hAnsi="Verdana" w:cs="Arial MT"/>
          <w:bCs/>
          <w:sz w:val="20"/>
          <w:szCs w:val="20"/>
        </w:rPr>
      </w:pPr>
      <w:r w:rsidRPr="005C2082">
        <w:rPr>
          <w:rFonts w:ascii="Verdana" w:eastAsia="Arial MT" w:hAnsi="Verdana" w:cs="Arial MT"/>
          <w:bCs/>
          <w:sz w:val="20"/>
          <w:szCs w:val="20"/>
        </w:rPr>
        <w:t xml:space="preserve">En este escenario, dentro de la Guía expresa: “[…] la entidad en el marco de su autonomía puede evaluar la procedencia de volver a realizar el evento de subasta, retirando al proponente si está contemplado inicialmente en los pliegos; esto, con el fin de evitar que un participante de la subasta beneficie a otro a través de la presentación de una oferta artificialmente baja”. De igual modo, dichos eventos deben ponerse al conocimiento de la Superintendencia de Industria y Comercio. </w:t>
      </w:r>
    </w:p>
    <w:p w14:paraId="0C8A7E92" w14:textId="77777777" w:rsidR="008D6547" w:rsidRPr="004E7E1E" w:rsidRDefault="008D6547" w:rsidP="008D6547">
      <w:pPr>
        <w:spacing w:after="0" w:line="240" w:lineRule="auto"/>
        <w:jc w:val="both"/>
        <w:rPr>
          <w:rFonts w:ascii="Verdana" w:eastAsia="Arial MT" w:hAnsi="Verdana" w:cs="Arial MT"/>
          <w:b/>
          <w:bCs/>
        </w:rPr>
      </w:pPr>
    </w:p>
    <w:p w14:paraId="4AB8D0A5" w14:textId="77777777" w:rsidR="00200D48" w:rsidRDefault="00200D48" w:rsidP="00200D48">
      <w:pPr>
        <w:spacing w:before="1" w:after="0" w:line="240" w:lineRule="auto"/>
        <w:jc w:val="both"/>
        <w:rPr>
          <w:rFonts w:ascii="Verdana" w:hAnsi="Verdana" w:cs="Arial"/>
          <w:sz w:val="20"/>
          <w:szCs w:val="20"/>
          <w:lang w:val="es-ES"/>
        </w:rPr>
      </w:pPr>
    </w:p>
    <w:p w14:paraId="142B5808" w14:textId="77777777" w:rsidR="008D6547" w:rsidRDefault="008D6547" w:rsidP="00200D48">
      <w:pPr>
        <w:spacing w:before="1" w:after="0" w:line="240" w:lineRule="auto"/>
        <w:jc w:val="both"/>
        <w:rPr>
          <w:rFonts w:ascii="Verdana" w:hAnsi="Verdana" w:cs="Arial"/>
          <w:sz w:val="20"/>
          <w:szCs w:val="20"/>
          <w:lang w:val="es-ES"/>
        </w:rPr>
      </w:pPr>
    </w:p>
    <w:p w14:paraId="7D54C6E2" w14:textId="77777777" w:rsidR="008D6547" w:rsidRDefault="008D6547" w:rsidP="00200D48">
      <w:pPr>
        <w:spacing w:before="1" w:after="0" w:line="240" w:lineRule="auto"/>
        <w:jc w:val="both"/>
        <w:rPr>
          <w:rFonts w:ascii="Verdana" w:hAnsi="Verdana" w:cs="Arial"/>
          <w:sz w:val="20"/>
          <w:szCs w:val="20"/>
          <w:lang w:val="es-ES"/>
        </w:rPr>
      </w:pPr>
    </w:p>
    <w:p w14:paraId="25E51420" w14:textId="77777777" w:rsidR="008D6547" w:rsidRDefault="008D6547" w:rsidP="00200D48">
      <w:pPr>
        <w:spacing w:before="1" w:after="0" w:line="240" w:lineRule="auto"/>
        <w:jc w:val="both"/>
        <w:rPr>
          <w:rFonts w:ascii="Verdana" w:hAnsi="Verdana" w:cs="Arial"/>
          <w:sz w:val="20"/>
          <w:szCs w:val="20"/>
          <w:lang w:val="es-ES"/>
        </w:rPr>
      </w:pPr>
    </w:p>
    <w:p w14:paraId="57F49673" w14:textId="77777777" w:rsidR="008D6547" w:rsidRDefault="008D6547" w:rsidP="00200D48">
      <w:pPr>
        <w:spacing w:before="1" w:after="0" w:line="240" w:lineRule="auto"/>
        <w:jc w:val="both"/>
        <w:rPr>
          <w:rFonts w:ascii="Verdana" w:hAnsi="Verdana" w:cs="Arial"/>
          <w:sz w:val="20"/>
          <w:szCs w:val="20"/>
          <w:lang w:val="es-ES"/>
        </w:rPr>
      </w:pPr>
    </w:p>
    <w:p w14:paraId="79DDB036" w14:textId="77777777" w:rsidR="008D6547" w:rsidRDefault="008D6547" w:rsidP="00200D48">
      <w:pPr>
        <w:spacing w:before="1" w:after="0" w:line="240" w:lineRule="auto"/>
        <w:jc w:val="both"/>
        <w:rPr>
          <w:rFonts w:ascii="Verdana" w:hAnsi="Verdana" w:cs="Arial"/>
          <w:sz w:val="20"/>
          <w:szCs w:val="20"/>
          <w:lang w:val="es-ES"/>
        </w:rPr>
      </w:pPr>
    </w:p>
    <w:p w14:paraId="3C4A801B" w14:textId="77777777" w:rsidR="008D6547" w:rsidRDefault="008D6547" w:rsidP="00200D48">
      <w:pPr>
        <w:spacing w:before="1" w:after="0" w:line="240" w:lineRule="auto"/>
        <w:jc w:val="both"/>
        <w:rPr>
          <w:rFonts w:ascii="Verdana" w:hAnsi="Verdana" w:cs="Arial"/>
          <w:sz w:val="20"/>
          <w:szCs w:val="20"/>
          <w:lang w:val="es-ES"/>
        </w:rPr>
      </w:pPr>
    </w:p>
    <w:p w14:paraId="464BA53F" w14:textId="77777777" w:rsidR="008D6547" w:rsidRDefault="008D6547" w:rsidP="00200D48">
      <w:pPr>
        <w:spacing w:before="1" w:after="0" w:line="240" w:lineRule="auto"/>
        <w:jc w:val="both"/>
        <w:rPr>
          <w:rFonts w:ascii="Verdana" w:hAnsi="Verdana" w:cs="Arial"/>
          <w:sz w:val="20"/>
          <w:szCs w:val="20"/>
          <w:lang w:val="es-ES"/>
        </w:rPr>
      </w:pPr>
    </w:p>
    <w:p w14:paraId="6910E21B" w14:textId="77777777" w:rsidR="008D6547" w:rsidRDefault="008D6547" w:rsidP="00200D48">
      <w:pPr>
        <w:spacing w:before="1" w:after="0" w:line="240" w:lineRule="auto"/>
        <w:jc w:val="both"/>
        <w:rPr>
          <w:rFonts w:ascii="Verdana" w:hAnsi="Verdana" w:cs="Arial"/>
          <w:sz w:val="20"/>
          <w:szCs w:val="20"/>
          <w:lang w:val="es-ES"/>
        </w:rPr>
      </w:pPr>
    </w:p>
    <w:p w14:paraId="0AE5B57B" w14:textId="77777777" w:rsidR="008D6547" w:rsidRDefault="008D6547" w:rsidP="00200D48">
      <w:pPr>
        <w:spacing w:before="1" w:after="0" w:line="240" w:lineRule="auto"/>
        <w:jc w:val="both"/>
        <w:rPr>
          <w:rFonts w:ascii="Verdana" w:hAnsi="Verdana" w:cs="Arial"/>
          <w:sz w:val="20"/>
          <w:szCs w:val="20"/>
          <w:lang w:val="es-ES"/>
        </w:rPr>
      </w:pPr>
    </w:p>
    <w:p w14:paraId="45D1BD67" w14:textId="77777777" w:rsidR="008D6547" w:rsidRDefault="008D6547" w:rsidP="00200D48">
      <w:pPr>
        <w:spacing w:before="1" w:after="0" w:line="240" w:lineRule="auto"/>
        <w:jc w:val="both"/>
        <w:rPr>
          <w:rFonts w:ascii="Verdana" w:hAnsi="Verdana" w:cs="Arial"/>
          <w:sz w:val="20"/>
          <w:szCs w:val="20"/>
          <w:lang w:val="es-ES"/>
        </w:rPr>
      </w:pPr>
    </w:p>
    <w:p w14:paraId="51E2DCBF" w14:textId="77777777" w:rsidR="008D6547" w:rsidRDefault="008D6547" w:rsidP="00200D48">
      <w:pPr>
        <w:spacing w:before="1" w:after="0" w:line="240" w:lineRule="auto"/>
        <w:jc w:val="both"/>
        <w:rPr>
          <w:rFonts w:ascii="Verdana" w:hAnsi="Verdana" w:cs="Arial"/>
          <w:sz w:val="20"/>
          <w:szCs w:val="20"/>
          <w:lang w:val="es-ES"/>
        </w:rPr>
      </w:pPr>
    </w:p>
    <w:p w14:paraId="0D900945" w14:textId="77777777" w:rsidR="008D6547" w:rsidRDefault="008D6547" w:rsidP="00200D48">
      <w:pPr>
        <w:spacing w:before="1" w:after="0" w:line="240" w:lineRule="auto"/>
        <w:jc w:val="both"/>
        <w:rPr>
          <w:rFonts w:ascii="Verdana" w:hAnsi="Verdana" w:cs="Arial"/>
          <w:sz w:val="20"/>
          <w:szCs w:val="20"/>
          <w:lang w:val="es-ES"/>
        </w:rPr>
      </w:pPr>
    </w:p>
    <w:p w14:paraId="135EE629" w14:textId="77777777" w:rsidR="008D6547" w:rsidRDefault="008D6547" w:rsidP="00200D48">
      <w:pPr>
        <w:spacing w:before="1" w:after="0" w:line="240" w:lineRule="auto"/>
        <w:jc w:val="both"/>
        <w:rPr>
          <w:rFonts w:ascii="Verdana" w:hAnsi="Verdana" w:cs="Arial"/>
          <w:sz w:val="20"/>
          <w:szCs w:val="20"/>
          <w:lang w:val="es-ES"/>
        </w:rPr>
      </w:pPr>
    </w:p>
    <w:p w14:paraId="1D766F20" w14:textId="77777777" w:rsidR="008D6547" w:rsidRDefault="008D6547" w:rsidP="00200D48">
      <w:pPr>
        <w:spacing w:before="1" w:after="0" w:line="240" w:lineRule="auto"/>
        <w:jc w:val="both"/>
        <w:rPr>
          <w:rFonts w:ascii="Verdana" w:hAnsi="Verdana" w:cs="Arial"/>
          <w:sz w:val="20"/>
          <w:szCs w:val="20"/>
          <w:lang w:val="es-ES"/>
        </w:rPr>
      </w:pPr>
    </w:p>
    <w:p w14:paraId="442AE21E" w14:textId="77777777" w:rsidR="00200D48" w:rsidRPr="00F123F9" w:rsidRDefault="00200D48" w:rsidP="00200D48">
      <w:pPr>
        <w:spacing w:before="1" w:after="0" w:line="240" w:lineRule="auto"/>
        <w:jc w:val="both"/>
        <w:rPr>
          <w:rFonts w:ascii="Verdana" w:hAnsi="Verdana" w:cs="Arial"/>
          <w:sz w:val="20"/>
          <w:szCs w:val="20"/>
          <w:lang w:val="es-ES"/>
        </w:rPr>
      </w:pPr>
    </w:p>
    <w:p w14:paraId="68AE2FA6" w14:textId="77777777" w:rsidR="002A54D8" w:rsidRDefault="002A54D8" w:rsidP="00200D48">
      <w:pPr>
        <w:rPr>
          <w:rFonts w:ascii="Verdana" w:eastAsia="Geomanist Light" w:hAnsi="Verdana" w:cs="Arial"/>
        </w:rPr>
      </w:pPr>
    </w:p>
    <w:p w14:paraId="0291D718" w14:textId="7D66DF6C" w:rsidR="00200D48" w:rsidRPr="00960F72" w:rsidRDefault="00200D48" w:rsidP="00200D48">
      <w:pPr>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2FF5762E" w14:textId="565C442A" w:rsidR="00200D48" w:rsidRPr="00960F72" w:rsidRDefault="00200D48" w:rsidP="00200D48">
      <w:pPr>
        <w:spacing w:after="0" w:line="240" w:lineRule="auto"/>
        <w:jc w:val="both"/>
        <w:rPr>
          <w:rFonts w:ascii="Verdana" w:eastAsia="Calibri" w:hAnsi="Verdana" w:cs="Arial"/>
        </w:rPr>
      </w:pPr>
    </w:p>
    <w:p w14:paraId="76C3A0F8" w14:textId="2CAFE529" w:rsidR="00200D48" w:rsidRDefault="005B14AD" w:rsidP="00200D48">
      <w:pPr>
        <w:spacing w:after="0" w:line="240" w:lineRule="auto"/>
        <w:jc w:val="both"/>
        <w:rPr>
          <w:rFonts w:ascii="Verdana" w:eastAsia="Calibri" w:hAnsi="Verdana" w:cs="Arial"/>
          <w:lang w:eastAsia="es-ES"/>
        </w:rPr>
      </w:pPr>
      <w:r w:rsidRPr="002A54D8">
        <w:rPr>
          <w:rFonts w:ascii="Verdana" w:eastAsia="Calibri" w:hAnsi="Verdana" w:cs="Arial"/>
          <w:noProof/>
          <w:lang w:eastAsia="es-ES"/>
        </w:rPr>
        <w:drawing>
          <wp:anchor distT="0" distB="0" distL="114300" distR="114300" simplePos="0" relativeHeight="251658240" behindDoc="1" locked="0" layoutInCell="1" allowOverlap="1" wp14:anchorId="35DC8501" wp14:editId="72F730EE">
            <wp:simplePos x="0" y="0"/>
            <wp:positionH relativeFrom="margin">
              <wp:align>right</wp:align>
            </wp:positionH>
            <wp:positionV relativeFrom="paragraph">
              <wp:posOffset>6019</wp:posOffset>
            </wp:positionV>
            <wp:extent cx="2540000" cy="781050"/>
            <wp:effectExtent l="0" t="0" r="0" b="0"/>
            <wp:wrapTight wrapText="bothSides">
              <wp:wrapPolygon edited="0">
                <wp:start x="0" y="0"/>
                <wp:lineTo x="0" y="21073"/>
                <wp:lineTo x="21384" y="21073"/>
                <wp:lineTo x="21384" y="0"/>
                <wp:lineTo x="0" y="0"/>
              </wp:wrapPolygon>
            </wp:wrapTight>
            <wp:docPr id="3129415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941530" name=""/>
                    <pic:cNvPicPr/>
                  </pic:nvPicPr>
                  <pic:blipFill>
                    <a:blip r:embed="rId10">
                      <a:extLst>
                        <a:ext uri="{28A0092B-C50C-407E-A947-70E740481C1C}">
                          <a14:useLocalDpi xmlns:a14="http://schemas.microsoft.com/office/drawing/2010/main" val="0"/>
                        </a:ext>
                      </a:extLst>
                    </a:blip>
                    <a:stretch>
                      <a:fillRect/>
                    </a:stretch>
                  </pic:blipFill>
                  <pic:spPr>
                    <a:xfrm>
                      <a:off x="0" y="0"/>
                      <a:ext cx="2540000" cy="781050"/>
                    </a:xfrm>
                    <a:prstGeom prst="rect">
                      <a:avLst/>
                    </a:prstGeom>
                  </pic:spPr>
                </pic:pic>
              </a:graphicData>
            </a:graphic>
            <wp14:sizeRelH relativeFrom="page">
              <wp14:pctWidth>0</wp14:pctWidth>
            </wp14:sizeRelH>
            <wp14:sizeRelV relativeFrom="page">
              <wp14:pctHeight>0</wp14:pctHeight>
            </wp14:sizeRelV>
          </wp:anchor>
        </w:drawing>
      </w:r>
      <w:r w:rsidR="00200D48" w:rsidRPr="00960F72">
        <w:rPr>
          <w:rFonts w:ascii="Verdana" w:eastAsia="Calibri" w:hAnsi="Verdana" w:cs="Arial"/>
          <w:lang w:eastAsia="es-ES"/>
        </w:rPr>
        <w:t>Señor</w:t>
      </w:r>
    </w:p>
    <w:p w14:paraId="4A034E44" w14:textId="2806D795" w:rsidR="00200D48" w:rsidRDefault="00FB5481" w:rsidP="00200D48">
      <w:pPr>
        <w:spacing w:after="0" w:line="240" w:lineRule="auto"/>
        <w:jc w:val="both"/>
        <w:rPr>
          <w:rFonts w:ascii="Verdana" w:eastAsia="Calibri" w:hAnsi="Verdana" w:cs="Arial"/>
          <w:b/>
          <w:bCs/>
          <w:lang w:eastAsia="es-ES"/>
        </w:rPr>
      </w:pPr>
      <w:r>
        <w:rPr>
          <w:rFonts w:ascii="Verdana" w:eastAsia="Calibri" w:hAnsi="Verdana" w:cs="Arial"/>
          <w:b/>
          <w:bCs/>
          <w:lang w:eastAsia="es-ES"/>
        </w:rPr>
        <w:t>Juan Sebastián Olaya Perdomo</w:t>
      </w:r>
    </w:p>
    <w:p w14:paraId="7BDE706C" w14:textId="60F1B115" w:rsidR="00200D48" w:rsidRPr="0003244D" w:rsidRDefault="00FB5481" w:rsidP="00200D48">
      <w:pPr>
        <w:spacing w:after="0" w:line="240" w:lineRule="auto"/>
        <w:jc w:val="both"/>
        <w:rPr>
          <w:rFonts w:ascii="Verdana" w:eastAsia="Calibri" w:hAnsi="Verdana" w:cs="Arial"/>
          <w:lang w:eastAsia="es-ES"/>
        </w:rPr>
      </w:pPr>
      <w:r>
        <w:rPr>
          <w:rFonts w:ascii="Verdana" w:eastAsia="Calibri" w:hAnsi="Verdana" w:cs="Arial"/>
          <w:lang w:eastAsia="es-ES"/>
        </w:rPr>
        <w:t>juanseolaya</w:t>
      </w:r>
      <w:r w:rsidR="00200D48">
        <w:rPr>
          <w:rFonts w:ascii="Verdana" w:eastAsia="Calibri" w:hAnsi="Verdana" w:cs="Arial"/>
          <w:lang w:eastAsia="es-ES"/>
        </w:rPr>
        <w:t>@</w:t>
      </w:r>
      <w:r>
        <w:rPr>
          <w:rFonts w:ascii="Verdana" w:eastAsia="Calibri" w:hAnsi="Verdana" w:cs="Arial"/>
          <w:lang w:eastAsia="es-ES"/>
        </w:rPr>
        <w:t>gmail</w:t>
      </w:r>
      <w:r w:rsidR="00200D48">
        <w:rPr>
          <w:rFonts w:ascii="Verdana" w:eastAsia="Calibri" w:hAnsi="Verdana" w:cs="Arial"/>
          <w:lang w:eastAsia="es-ES"/>
        </w:rPr>
        <w:t>.com</w:t>
      </w:r>
    </w:p>
    <w:p w14:paraId="1F8BEAC1" w14:textId="35BBBCD8" w:rsidR="00200D48" w:rsidRPr="00960F72" w:rsidRDefault="00FB5481" w:rsidP="00200D48">
      <w:pPr>
        <w:spacing w:after="0" w:line="240" w:lineRule="auto"/>
        <w:rPr>
          <w:rFonts w:ascii="Verdana" w:eastAsia="Calibri" w:hAnsi="Verdana" w:cs="Arial"/>
          <w:b/>
          <w:bCs/>
          <w:lang w:eastAsia="es-ES"/>
        </w:rPr>
      </w:pPr>
      <w:proofErr w:type="spellStart"/>
      <w:r>
        <w:rPr>
          <w:rFonts w:ascii="Verdana" w:eastAsia="Calibri" w:hAnsi="Verdana" w:cs="Arial"/>
          <w:lang w:eastAsia="es-ES"/>
        </w:rPr>
        <w:t>Calí</w:t>
      </w:r>
      <w:proofErr w:type="spellEnd"/>
      <w:r>
        <w:rPr>
          <w:rFonts w:ascii="Verdana" w:eastAsia="Calibri" w:hAnsi="Verdana" w:cs="Arial"/>
          <w:lang w:eastAsia="es-ES"/>
        </w:rPr>
        <w:t>, Valle del Cauca</w:t>
      </w:r>
    </w:p>
    <w:p w14:paraId="55B9A9FB" w14:textId="77777777" w:rsidR="00200D48" w:rsidRPr="00960F72" w:rsidRDefault="00200D48" w:rsidP="00200D48">
      <w:pPr>
        <w:spacing w:after="0" w:line="240" w:lineRule="auto"/>
        <w:rPr>
          <w:rFonts w:ascii="Verdana" w:eastAsia="Calibri" w:hAnsi="Verdana" w:cs="Arial"/>
          <w:b/>
          <w:bCs/>
          <w:lang w:eastAsia="es-ES_tradnl"/>
        </w:rPr>
      </w:pPr>
    </w:p>
    <w:p w14:paraId="4EBAE10B" w14:textId="77777777" w:rsidR="00200D48" w:rsidRPr="00960F72" w:rsidRDefault="00200D48" w:rsidP="00200D48">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00D48" w:rsidRPr="00960F72" w14:paraId="6540B751" w14:textId="77777777" w:rsidTr="008326D5">
        <w:trPr>
          <w:trHeight w:val="190"/>
        </w:trPr>
        <w:tc>
          <w:tcPr>
            <w:tcW w:w="2689" w:type="dxa"/>
          </w:tcPr>
          <w:p w14:paraId="72583B2F" w14:textId="77777777" w:rsidR="00200D48" w:rsidRPr="00960F72" w:rsidRDefault="00200D48" w:rsidP="008326D5">
            <w:pPr>
              <w:jc w:val="both"/>
              <w:rPr>
                <w:rFonts w:ascii="Verdana" w:eastAsia="Calibri" w:hAnsi="Verdana" w:cs="Arial"/>
                <w:b/>
                <w:bCs/>
                <w:lang w:eastAsia="es-ES_tradnl"/>
              </w:rPr>
            </w:pPr>
          </w:p>
        </w:tc>
        <w:tc>
          <w:tcPr>
            <w:tcW w:w="6100" w:type="dxa"/>
          </w:tcPr>
          <w:p w14:paraId="3DE37242" w14:textId="32EC56C3" w:rsidR="00200D48" w:rsidRPr="00960F72" w:rsidRDefault="00200D48" w:rsidP="008326D5">
            <w:pPr>
              <w:jc w:val="both"/>
              <w:rPr>
                <w:rFonts w:ascii="Verdana" w:eastAsia="Calibri" w:hAnsi="Verdana" w:cs="Arial"/>
                <w:b/>
                <w:bCs/>
                <w:lang w:eastAsia="es-ES"/>
              </w:rPr>
            </w:pPr>
            <w:r w:rsidRPr="00960F72">
              <w:rPr>
                <w:rFonts w:ascii="Verdana" w:eastAsia="Calibri" w:hAnsi="Verdana" w:cs="Arial"/>
                <w:b/>
                <w:bCs/>
                <w:lang w:eastAsia="es-ES"/>
              </w:rPr>
              <w:t>Concepto C- 1</w:t>
            </w:r>
            <w:r w:rsidR="00FB5481">
              <w:rPr>
                <w:rFonts w:ascii="Verdana" w:eastAsia="Calibri" w:hAnsi="Verdana" w:cs="Arial"/>
                <w:b/>
                <w:bCs/>
                <w:lang w:eastAsia="es-ES"/>
              </w:rPr>
              <w:t>299</w:t>
            </w:r>
            <w:r w:rsidRPr="00960F72">
              <w:rPr>
                <w:rFonts w:ascii="Verdana" w:eastAsia="Calibri" w:hAnsi="Verdana" w:cs="Arial"/>
                <w:b/>
                <w:bCs/>
                <w:lang w:eastAsia="es-ES"/>
              </w:rPr>
              <w:t xml:space="preserve"> de 2025</w:t>
            </w:r>
          </w:p>
          <w:p w14:paraId="59A3354D" w14:textId="77777777" w:rsidR="00200D48" w:rsidRPr="00960F72" w:rsidRDefault="00200D48" w:rsidP="008326D5">
            <w:pPr>
              <w:jc w:val="both"/>
              <w:rPr>
                <w:rFonts w:ascii="Verdana" w:eastAsia="Calibri" w:hAnsi="Verdana" w:cs="Arial"/>
                <w:b/>
                <w:bCs/>
                <w:lang w:eastAsia="es-ES"/>
              </w:rPr>
            </w:pPr>
          </w:p>
        </w:tc>
      </w:tr>
      <w:tr w:rsidR="00200D48" w:rsidRPr="00960F72" w14:paraId="339A58BA" w14:textId="77777777" w:rsidTr="008326D5">
        <w:trPr>
          <w:trHeight w:val="884"/>
        </w:trPr>
        <w:tc>
          <w:tcPr>
            <w:tcW w:w="2689" w:type="dxa"/>
          </w:tcPr>
          <w:p w14:paraId="7EC5914A" w14:textId="77777777" w:rsidR="00200D48" w:rsidRPr="00960F72" w:rsidRDefault="00200D48" w:rsidP="008326D5">
            <w:pPr>
              <w:jc w:val="both"/>
              <w:rPr>
                <w:rFonts w:ascii="Verdana" w:eastAsia="Calibri" w:hAnsi="Verdana" w:cs="Arial"/>
                <w:lang w:eastAsia="es-ES_tradnl"/>
              </w:rPr>
            </w:pPr>
            <w:r w:rsidRPr="00960F72">
              <w:rPr>
                <w:rFonts w:ascii="Verdana" w:eastAsia="Calibri" w:hAnsi="Verdana" w:cs="Arial"/>
                <w:b/>
                <w:lang w:eastAsia="es-ES_tradnl"/>
              </w:rPr>
              <w:t>Temas:</w:t>
            </w:r>
            <w:r w:rsidRPr="00960F72">
              <w:rPr>
                <w:rFonts w:ascii="Verdana" w:eastAsia="Calibri" w:hAnsi="Verdana" w:cs="Arial"/>
                <w:lang w:eastAsia="es-ES_tradnl"/>
              </w:rPr>
              <w:t xml:space="preserve">                   </w:t>
            </w:r>
          </w:p>
        </w:tc>
        <w:tc>
          <w:tcPr>
            <w:tcW w:w="6100" w:type="dxa"/>
          </w:tcPr>
          <w:p w14:paraId="04815318" w14:textId="77777777" w:rsidR="00200D48" w:rsidRDefault="00FB5481" w:rsidP="008326D5">
            <w:pPr>
              <w:jc w:val="both"/>
              <w:rPr>
                <w:rFonts w:ascii="Verdana" w:eastAsia="Arial MT" w:hAnsi="Verdana" w:cs="Arial MT"/>
                <w:bCs/>
                <w:lang w:val="es-ES_tradnl"/>
              </w:rPr>
            </w:pPr>
            <w:r w:rsidRPr="00FF383E">
              <w:rPr>
                <w:rFonts w:ascii="Verdana" w:eastAsia="Arial MT" w:hAnsi="Verdana" w:cs="Arial MT"/>
                <w:bCs/>
                <w:lang w:val="es-ES_tradnl"/>
              </w:rPr>
              <w:t>PRECIOS ARTIFICIALMENTE BAJOS – Noción – Deber de las entidades estatales / EVALUACIÓN DE LAS OFERTAS – Finalidad – Oportunidad / GUÍA DE OFERTAS ARTIFICIALMENTE BAJAS – Manejo / PRECIOS ARTIFICIALMENTE BAJOS – Guía – Procesos de subasta – Subasta inversa</w:t>
            </w:r>
          </w:p>
          <w:p w14:paraId="174455C0" w14:textId="5CCE4C75" w:rsidR="00FB5481" w:rsidRPr="00960F72" w:rsidRDefault="00FB5481" w:rsidP="008326D5">
            <w:pPr>
              <w:jc w:val="both"/>
              <w:rPr>
                <w:rFonts w:ascii="Verdana" w:eastAsia="Calibri" w:hAnsi="Verdana" w:cs="Arial"/>
                <w:lang w:eastAsia="es-ES"/>
              </w:rPr>
            </w:pPr>
          </w:p>
        </w:tc>
      </w:tr>
      <w:tr w:rsidR="00200D48" w:rsidRPr="00960F72" w14:paraId="42860AAE" w14:textId="77777777" w:rsidTr="008326D5">
        <w:tc>
          <w:tcPr>
            <w:tcW w:w="2689" w:type="dxa"/>
          </w:tcPr>
          <w:p w14:paraId="434AB754" w14:textId="77777777" w:rsidR="00200D48" w:rsidRPr="00960F72" w:rsidRDefault="00200D48" w:rsidP="008326D5">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2467F09A" w14:textId="744AEA5C" w:rsidR="00200D48" w:rsidRPr="00960F72" w:rsidRDefault="00200D48" w:rsidP="008326D5">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00FB5481" w:rsidRPr="00FB5481">
              <w:rPr>
                <w:rFonts w:ascii="Verdana" w:eastAsia="Calibri" w:hAnsi="Verdana" w:cs="Arial"/>
                <w:lang w:eastAsia="es-ES_tradnl"/>
              </w:rPr>
              <w:t>1_2025_09_10_009903</w:t>
            </w:r>
          </w:p>
        </w:tc>
      </w:tr>
    </w:tbl>
    <w:p w14:paraId="2B547AAC" w14:textId="77777777" w:rsidR="00200D48" w:rsidRPr="00960F72" w:rsidRDefault="00200D48" w:rsidP="00200D48">
      <w:pPr>
        <w:spacing w:after="0" w:line="240" w:lineRule="auto"/>
        <w:jc w:val="both"/>
        <w:rPr>
          <w:rFonts w:ascii="Verdana" w:eastAsia="Calibri" w:hAnsi="Verdana" w:cs="Arial"/>
          <w:lang w:eastAsia="es-ES_tradnl"/>
        </w:rPr>
      </w:pPr>
    </w:p>
    <w:p w14:paraId="62F2DA92" w14:textId="77777777" w:rsidR="00200D48" w:rsidRPr="00960F72" w:rsidRDefault="00200D48" w:rsidP="00200D48">
      <w:pPr>
        <w:spacing w:after="0" w:line="240" w:lineRule="auto"/>
        <w:jc w:val="both"/>
        <w:rPr>
          <w:rFonts w:ascii="Verdana" w:eastAsia="Calibri" w:hAnsi="Verdana" w:cs="Arial"/>
          <w:lang w:eastAsia="es-ES_tradnl"/>
        </w:rPr>
      </w:pPr>
    </w:p>
    <w:p w14:paraId="19B7F4D3" w14:textId="141F49D5" w:rsidR="00200D48" w:rsidRPr="00960F72" w:rsidRDefault="00200D48" w:rsidP="00200D48">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sidR="00FB5481">
        <w:rPr>
          <w:rFonts w:ascii="Verdana" w:eastAsia="Calibri" w:hAnsi="Verdana" w:cs="Arial"/>
          <w:lang w:eastAsia="es-ES"/>
        </w:rPr>
        <w:t>o</w:t>
      </w:r>
      <w:r w:rsidRPr="00960F72">
        <w:rPr>
          <w:rFonts w:ascii="Verdana" w:eastAsia="Calibri" w:hAnsi="Verdana" w:cs="Arial"/>
          <w:lang w:eastAsia="es-ES"/>
        </w:rPr>
        <w:t xml:space="preserve"> señor</w:t>
      </w:r>
      <w:r>
        <w:rPr>
          <w:rFonts w:ascii="Verdana" w:eastAsia="Calibri" w:hAnsi="Verdana" w:cs="Arial"/>
          <w:lang w:eastAsia="es-ES"/>
        </w:rPr>
        <w:t xml:space="preserve"> </w:t>
      </w:r>
      <w:r w:rsidR="00FB5481">
        <w:rPr>
          <w:rFonts w:ascii="Verdana" w:eastAsia="Calibri" w:hAnsi="Verdana" w:cs="Arial"/>
          <w:lang w:eastAsia="es-ES"/>
        </w:rPr>
        <w:t>Olaya</w:t>
      </w:r>
      <w:r w:rsidRPr="00960F72">
        <w:rPr>
          <w:rFonts w:ascii="Verdana" w:eastAsia="Calibri" w:hAnsi="Verdana" w:cs="Arial"/>
          <w:lang w:eastAsia="es-ES"/>
        </w:rPr>
        <w:t xml:space="preserve">: </w:t>
      </w:r>
    </w:p>
    <w:p w14:paraId="4137F7B4" w14:textId="77777777" w:rsidR="00200D48" w:rsidRPr="00960F72" w:rsidRDefault="00200D48" w:rsidP="00200D48">
      <w:pPr>
        <w:tabs>
          <w:tab w:val="left" w:pos="3768"/>
        </w:tabs>
        <w:spacing w:after="0" w:line="276" w:lineRule="auto"/>
        <w:jc w:val="both"/>
        <w:rPr>
          <w:rFonts w:ascii="Verdana" w:eastAsia="Calibri" w:hAnsi="Verdana" w:cs="Arial"/>
          <w:lang w:eastAsia="es-ES"/>
        </w:rPr>
      </w:pPr>
    </w:p>
    <w:p w14:paraId="1B267EF2" w14:textId="325139B2" w:rsidR="00200D48" w:rsidRPr="00960F72" w:rsidRDefault="00200D48" w:rsidP="00200D48">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sidR="00FB5481">
        <w:rPr>
          <w:rFonts w:ascii="Verdana" w:eastAsia="Calibri" w:hAnsi="Verdana" w:cs="Arial"/>
          <w:lang w:eastAsia="es-ES"/>
        </w:rPr>
        <w:t>10</w:t>
      </w:r>
      <w:r w:rsidRPr="00960F72">
        <w:rPr>
          <w:rFonts w:ascii="Verdana" w:eastAsia="Calibri" w:hAnsi="Verdana" w:cs="Arial"/>
          <w:lang w:eastAsia="es-ES"/>
        </w:rPr>
        <w:t xml:space="preserve"> de </w:t>
      </w:r>
      <w:r>
        <w:rPr>
          <w:rFonts w:ascii="Verdana" w:eastAsia="Calibri" w:hAnsi="Verdana" w:cs="Arial"/>
          <w:lang w:eastAsia="es-ES"/>
        </w:rPr>
        <w:t>septiembre</w:t>
      </w:r>
      <w:r w:rsidRPr="00960F72">
        <w:rPr>
          <w:rFonts w:ascii="Verdana" w:eastAsia="Calibri" w:hAnsi="Verdana" w:cs="Arial"/>
          <w:lang w:eastAsia="es-ES"/>
        </w:rPr>
        <w:t xml:space="preserve"> de 2025, en la cual manifiesta lo siguiente: </w:t>
      </w:r>
    </w:p>
    <w:p w14:paraId="2EE0D97D" w14:textId="77777777" w:rsidR="00200D48" w:rsidRPr="00960F72" w:rsidRDefault="00200D48" w:rsidP="00200D48">
      <w:pPr>
        <w:spacing w:after="0" w:line="276" w:lineRule="auto"/>
        <w:jc w:val="both"/>
        <w:rPr>
          <w:rFonts w:ascii="Verdana" w:eastAsia="Calibri" w:hAnsi="Verdana" w:cs="Arial"/>
          <w:lang w:eastAsia="es-ES"/>
        </w:rPr>
      </w:pPr>
    </w:p>
    <w:p w14:paraId="03046682" w14:textId="782485B0" w:rsidR="00200D48" w:rsidRDefault="00200D48" w:rsidP="00200D48">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00FB5481" w:rsidRPr="00FB5481">
        <w:rPr>
          <w:rFonts w:ascii="Verdana" w:eastAsia="Calibri" w:hAnsi="Verdana" w:cs="Arial"/>
          <w:sz w:val="20"/>
          <w:szCs w:val="20"/>
          <w:lang w:eastAsia="es-ES"/>
        </w:rPr>
        <w:t xml:space="preserve">Solicito amablemente me den un concepto sobre la manera que recomiendan se debe reportar ante las entidades competentes los casos en los cuales los que </w:t>
      </w:r>
      <w:proofErr w:type="gramStart"/>
      <w:r w:rsidR="00FB5481" w:rsidRPr="00FB5481">
        <w:rPr>
          <w:rFonts w:ascii="Verdana" w:eastAsia="Calibri" w:hAnsi="Verdana" w:cs="Arial"/>
          <w:sz w:val="20"/>
          <w:szCs w:val="20"/>
          <w:lang w:eastAsia="es-ES"/>
        </w:rPr>
        <w:t>los proponentes no responda</w:t>
      </w:r>
      <w:proofErr w:type="gramEnd"/>
      <w:r w:rsidR="00FB5481" w:rsidRPr="00FB5481">
        <w:rPr>
          <w:rFonts w:ascii="Verdana" w:eastAsia="Calibri" w:hAnsi="Verdana" w:cs="Arial"/>
          <w:sz w:val="20"/>
          <w:szCs w:val="20"/>
          <w:lang w:eastAsia="es-ES"/>
        </w:rPr>
        <w:t xml:space="preserve"> a la solicitud del lance </w:t>
      </w:r>
      <w:proofErr w:type="spellStart"/>
      <w:r w:rsidR="00FB5481" w:rsidRPr="00FB5481">
        <w:rPr>
          <w:rFonts w:ascii="Verdana" w:eastAsia="Calibri" w:hAnsi="Verdana" w:cs="Arial"/>
          <w:sz w:val="20"/>
          <w:szCs w:val="20"/>
          <w:lang w:eastAsia="es-ES"/>
        </w:rPr>
        <w:t>mas</w:t>
      </w:r>
      <w:proofErr w:type="spellEnd"/>
      <w:r w:rsidR="00FB5481" w:rsidRPr="00FB5481">
        <w:rPr>
          <w:rFonts w:ascii="Verdana" w:eastAsia="Calibri" w:hAnsi="Verdana" w:cs="Arial"/>
          <w:sz w:val="20"/>
          <w:szCs w:val="20"/>
          <w:lang w:eastAsia="es-ES"/>
        </w:rPr>
        <w:t xml:space="preserve"> bajos ante </w:t>
      </w:r>
      <w:proofErr w:type="gramStart"/>
      <w:r w:rsidR="00FB5481" w:rsidRPr="00FB5481">
        <w:rPr>
          <w:rFonts w:ascii="Verdana" w:eastAsia="Calibri" w:hAnsi="Verdana" w:cs="Arial"/>
          <w:sz w:val="20"/>
          <w:szCs w:val="20"/>
          <w:lang w:eastAsia="es-ES"/>
        </w:rPr>
        <w:t>un posibles precios artificialmente bajos después</w:t>
      </w:r>
      <w:proofErr w:type="gramEnd"/>
      <w:r w:rsidR="00FB5481" w:rsidRPr="00FB5481">
        <w:rPr>
          <w:rFonts w:ascii="Verdana" w:eastAsia="Calibri" w:hAnsi="Verdana" w:cs="Arial"/>
          <w:sz w:val="20"/>
          <w:szCs w:val="20"/>
          <w:lang w:eastAsia="es-ES"/>
        </w:rPr>
        <w:t xml:space="preserve"> de realizada la subasta inversa electrónica, con el objetivo de crear un </w:t>
      </w:r>
      <w:proofErr w:type="gramStart"/>
      <w:r w:rsidR="00FB5481" w:rsidRPr="00FB5481">
        <w:rPr>
          <w:rFonts w:ascii="Verdana" w:eastAsia="Calibri" w:hAnsi="Verdana" w:cs="Arial"/>
          <w:sz w:val="20"/>
          <w:szCs w:val="20"/>
          <w:lang w:eastAsia="es-ES"/>
        </w:rPr>
        <w:t xml:space="preserve">antecedente </w:t>
      </w:r>
      <w:r w:rsidR="00FB5481">
        <w:rPr>
          <w:rFonts w:ascii="Verdana" w:eastAsia="Calibri" w:hAnsi="Verdana" w:cs="Arial"/>
          <w:sz w:val="20"/>
          <w:szCs w:val="20"/>
          <w:lang w:eastAsia="es-ES"/>
        </w:rPr>
        <w:t xml:space="preserve"> </w:t>
      </w:r>
      <w:r w:rsidR="00FB5481" w:rsidRPr="00FB5481">
        <w:rPr>
          <w:rFonts w:ascii="Verdana" w:eastAsia="Calibri" w:hAnsi="Verdana" w:cs="Arial"/>
          <w:sz w:val="20"/>
          <w:szCs w:val="20"/>
          <w:lang w:eastAsia="es-ES"/>
        </w:rPr>
        <w:t>y</w:t>
      </w:r>
      <w:proofErr w:type="gramEnd"/>
      <w:r w:rsidR="00FB5481" w:rsidRPr="00FB5481">
        <w:rPr>
          <w:rFonts w:ascii="Verdana" w:eastAsia="Calibri" w:hAnsi="Verdana" w:cs="Arial"/>
          <w:sz w:val="20"/>
          <w:szCs w:val="20"/>
          <w:lang w:eastAsia="es-ES"/>
        </w:rPr>
        <w:t xml:space="preserve"> evitar colusión. Que herramientas o medios puede utilizar la entidad con el objetivo de que </w:t>
      </w:r>
      <w:proofErr w:type="gramStart"/>
      <w:r w:rsidR="00FB5481" w:rsidRPr="00FB5481">
        <w:rPr>
          <w:rFonts w:ascii="Verdana" w:eastAsia="Calibri" w:hAnsi="Verdana" w:cs="Arial"/>
          <w:sz w:val="20"/>
          <w:szCs w:val="20"/>
          <w:lang w:eastAsia="es-ES"/>
        </w:rPr>
        <w:t>dichos proponentes de alguna manera en su historial quede</w:t>
      </w:r>
      <w:proofErr w:type="gramEnd"/>
      <w:r w:rsidR="00FB5481" w:rsidRPr="00FB5481">
        <w:rPr>
          <w:rFonts w:ascii="Verdana" w:eastAsia="Calibri" w:hAnsi="Verdana" w:cs="Arial"/>
          <w:sz w:val="20"/>
          <w:szCs w:val="20"/>
          <w:lang w:eastAsia="es-ES"/>
        </w:rPr>
        <w:t xml:space="preserve"> dicha situación y evitar que ocurra reiteradamente. Ya que eso hace la finalidad de la subasta se pierda y evita que otros oferentes realicen lances partiendo del hecho de su lance es muy bajo y los otros proponentes .no realizan lances porque dicho lance </w:t>
      </w:r>
      <w:proofErr w:type="spellStart"/>
      <w:r w:rsidR="00FB5481" w:rsidRPr="00FB5481">
        <w:rPr>
          <w:rFonts w:ascii="Verdana" w:eastAsia="Calibri" w:hAnsi="Verdana" w:cs="Arial"/>
          <w:sz w:val="20"/>
          <w:szCs w:val="20"/>
          <w:lang w:eastAsia="es-ES"/>
        </w:rPr>
        <w:t>esta</w:t>
      </w:r>
      <w:proofErr w:type="spellEnd"/>
      <w:r w:rsidR="00FB5481" w:rsidRPr="00FB5481">
        <w:rPr>
          <w:rFonts w:ascii="Verdana" w:eastAsia="Calibri" w:hAnsi="Verdana" w:cs="Arial"/>
          <w:sz w:val="20"/>
          <w:szCs w:val="20"/>
          <w:lang w:eastAsia="es-ES"/>
        </w:rPr>
        <w:t xml:space="preserve"> muy por debajo de </w:t>
      </w:r>
      <w:proofErr w:type="spellStart"/>
      <w:r w:rsidR="00FB5481" w:rsidRPr="00FB5481">
        <w:rPr>
          <w:rFonts w:ascii="Verdana" w:eastAsia="Calibri" w:hAnsi="Verdana" w:cs="Arial"/>
          <w:sz w:val="20"/>
          <w:szCs w:val="20"/>
          <w:lang w:eastAsia="es-ES"/>
        </w:rPr>
        <w:t>ppto</w:t>
      </w:r>
      <w:proofErr w:type="spellEnd"/>
      <w:r w:rsidR="00FB5481" w:rsidRPr="00FB5481">
        <w:rPr>
          <w:rFonts w:ascii="Verdana" w:eastAsia="Calibri" w:hAnsi="Verdana" w:cs="Arial"/>
          <w:sz w:val="20"/>
          <w:szCs w:val="20"/>
          <w:lang w:eastAsia="es-ES"/>
        </w:rPr>
        <w:t xml:space="preserve"> oficial</w:t>
      </w:r>
      <w:r>
        <w:rPr>
          <w:rFonts w:ascii="Verdana" w:eastAsia="Calibri" w:hAnsi="Verdana" w:cs="Arial"/>
          <w:sz w:val="20"/>
          <w:szCs w:val="20"/>
          <w:lang w:eastAsia="es-ES"/>
        </w:rPr>
        <w:t>”</w:t>
      </w:r>
    </w:p>
    <w:p w14:paraId="4B7EEDFB" w14:textId="77777777" w:rsidR="00200D48" w:rsidRPr="00F9138A" w:rsidRDefault="00200D48" w:rsidP="00200D48">
      <w:pPr>
        <w:spacing w:after="0" w:line="240" w:lineRule="auto"/>
        <w:ind w:left="709" w:right="709"/>
        <w:jc w:val="both"/>
        <w:rPr>
          <w:rFonts w:ascii="Verdana" w:eastAsia="Calibri" w:hAnsi="Verdana" w:cs="Arial"/>
          <w:sz w:val="20"/>
          <w:szCs w:val="20"/>
          <w:lang w:eastAsia="es-ES"/>
        </w:rPr>
      </w:pPr>
    </w:p>
    <w:p w14:paraId="5ADD3163" w14:textId="77777777" w:rsidR="00200D48" w:rsidRPr="00960F72" w:rsidRDefault="00200D48" w:rsidP="00200D48">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72BC8A97" w14:textId="77777777" w:rsidR="00200D48" w:rsidRPr="00960F72" w:rsidRDefault="00200D48" w:rsidP="00200D48">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61DBBB7" w14:textId="77777777" w:rsidR="00200D48" w:rsidRPr="00960F72" w:rsidRDefault="00200D48" w:rsidP="00200D48">
      <w:pPr>
        <w:spacing w:after="0" w:line="276" w:lineRule="auto"/>
        <w:ind w:firstLine="709"/>
        <w:jc w:val="both"/>
        <w:rPr>
          <w:rFonts w:ascii="Verdana" w:eastAsia="Calibri" w:hAnsi="Verdana" w:cs="Arial"/>
          <w:lang w:eastAsia="es-ES"/>
        </w:rPr>
      </w:pPr>
    </w:p>
    <w:p w14:paraId="7DB734DE" w14:textId="77777777" w:rsidR="00200D48" w:rsidRPr="00960F72"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8741D3C" w14:textId="77777777" w:rsidR="00200D48" w:rsidRPr="00960F72" w:rsidRDefault="00200D48" w:rsidP="00200D48">
      <w:pPr>
        <w:tabs>
          <w:tab w:val="left" w:pos="426"/>
        </w:tabs>
        <w:spacing w:after="0" w:line="276" w:lineRule="auto"/>
        <w:jc w:val="both"/>
        <w:rPr>
          <w:rFonts w:ascii="Verdana" w:eastAsia="Century Gothic" w:hAnsi="Verdana" w:cs="Century Gothic"/>
        </w:rPr>
      </w:pPr>
    </w:p>
    <w:p w14:paraId="199278EA" w14:textId="16017E09" w:rsidR="00200D48" w:rsidRPr="004F28FC" w:rsidRDefault="00200D48" w:rsidP="00200D48">
      <w:pPr>
        <w:spacing w:after="0" w:line="276" w:lineRule="auto"/>
        <w:jc w:val="both"/>
        <w:rPr>
          <w:rFonts w:ascii="Verdana" w:eastAsia="Calibri" w:hAnsi="Verdana" w:cs="Times New Roman"/>
          <w:bCs/>
        </w:rPr>
      </w:pPr>
      <w:r w:rsidRPr="00960F72">
        <w:rPr>
          <w:rFonts w:ascii="Verdana" w:eastAsia="Century Gothic" w:hAnsi="Verdana" w:cs="Century Gothic"/>
        </w:rPr>
        <w:t>De acuerdo con el contenido de su solicitud, esta Agencia resolverá el siguiente problema jurídico:</w:t>
      </w:r>
      <w:r w:rsidR="004F28FC">
        <w:rPr>
          <w:rFonts w:ascii="Verdana" w:eastAsia="Century Gothic" w:hAnsi="Verdana" w:cs="Century Gothic"/>
        </w:rPr>
        <w:t xml:space="preserve"> </w:t>
      </w:r>
      <w:r w:rsidR="004F28FC" w:rsidRPr="00231995">
        <w:rPr>
          <w:rFonts w:ascii="Verdana" w:eastAsia="Calibri" w:hAnsi="Verdana" w:cs="Times New Roman"/>
        </w:rPr>
        <w:t>¿Es jurídicamente procedente que una entidad estatal registre y reporte el comportamiento de los proponentes que presenten ofertas presuntamente artificialmente bajas, como medida de gestión del riesgo contractual y prevención de conductas anticompetitivas en los procesos de contratación pública?</w:t>
      </w:r>
    </w:p>
    <w:p w14:paraId="23357510" w14:textId="77777777" w:rsidR="00200D48" w:rsidRPr="00960F72" w:rsidRDefault="00200D48" w:rsidP="00200D48">
      <w:pPr>
        <w:spacing w:after="0" w:line="276" w:lineRule="auto"/>
        <w:jc w:val="both"/>
        <w:rPr>
          <w:rFonts w:ascii="Verdana" w:eastAsia="Century Gothic" w:hAnsi="Verdana" w:cs="Century Gothic"/>
        </w:rPr>
      </w:pPr>
    </w:p>
    <w:p w14:paraId="54D8A84D" w14:textId="77777777" w:rsidR="00200D48" w:rsidRPr="00960F72"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16BD6260" w14:textId="77777777" w:rsidR="00200D48" w:rsidRPr="00960F72" w:rsidRDefault="00200D48" w:rsidP="00200D4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00D48" w:rsidRPr="00960F72" w14:paraId="7406952B" w14:textId="77777777" w:rsidTr="008326D5">
        <w:tc>
          <w:tcPr>
            <w:tcW w:w="8828" w:type="dxa"/>
          </w:tcPr>
          <w:p w14:paraId="51FFC854" w14:textId="3F956EF6" w:rsidR="004F28FC" w:rsidRDefault="004F28FC" w:rsidP="004F28FC">
            <w:pPr>
              <w:spacing w:before="120"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E</w:t>
            </w:r>
            <w:r w:rsidRPr="00C7680D">
              <w:rPr>
                <w:rFonts w:ascii="Verdana" w:eastAsia="Calibri" w:hAnsi="Verdana" w:cs="Arial"/>
                <w:bCs/>
                <w:color w:val="000000" w:themeColor="text1"/>
              </w:rPr>
              <w:t>n</w:t>
            </w:r>
            <w:r>
              <w:rPr>
                <w:rFonts w:ascii="Verdana" w:eastAsia="Calibri" w:hAnsi="Verdana" w:cs="Arial"/>
                <w:bCs/>
                <w:color w:val="000000" w:themeColor="text1"/>
              </w:rPr>
              <w:t xml:space="preserve"> procesos de</w:t>
            </w:r>
            <w:r w:rsidRPr="00C7680D">
              <w:rPr>
                <w:rFonts w:ascii="Verdana" w:eastAsia="Calibri" w:hAnsi="Verdana" w:cs="Arial"/>
                <w:bCs/>
                <w:color w:val="000000" w:themeColor="text1"/>
              </w:rPr>
              <w:t xml:space="preserve"> subasta inversa, la verificación de un </w:t>
            </w:r>
            <w:proofErr w:type="gramStart"/>
            <w:r w:rsidRPr="00C7680D">
              <w:rPr>
                <w:rFonts w:ascii="Verdana" w:eastAsia="Calibri" w:hAnsi="Verdana" w:cs="Arial"/>
                <w:bCs/>
                <w:color w:val="000000" w:themeColor="text1"/>
              </w:rPr>
              <w:t>precio  artificialmente</w:t>
            </w:r>
            <w:proofErr w:type="gramEnd"/>
            <w:r w:rsidRPr="00C7680D">
              <w:rPr>
                <w:rFonts w:ascii="Verdana" w:eastAsia="Calibri" w:hAnsi="Verdana" w:cs="Arial"/>
                <w:bCs/>
                <w:color w:val="000000" w:themeColor="text1"/>
              </w:rPr>
              <w:t xml:space="preserve"> bajo se hace al finalizar el evento, con el precio final ofertado, y la entidad debe (i) requerir </w:t>
            </w:r>
            <w:r>
              <w:rPr>
                <w:rFonts w:ascii="Verdana" w:eastAsia="Calibri" w:hAnsi="Verdana" w:cs="Arial"/>
                <w:bCs/>
                <w:color w:val="000000" w:themeColor="text1"/>
              </w:rPr>
              <w:t>justificación</w:t>
            </w:r>
            <w:r w:rsidRPr="00C7680D">
              <w:rPr>
                <w:rFonts w:ascii="Verdana" w:eastAsia="Calibri" w:hAnsi="Verdana" w:cs="Arial"/>
                <w:bCs/>
                <w:color w:val="000000" w:themeColor="text1"/>
              </w:rPr>
              <w:t xml:space="preserve"> al oferente, (</w:t>
            </w:r>
            <w:proofErr w:type="spellStart"/>
            <w:r w:rsidRPr="00C7680D">
              <w:rPr>
                <w:rFonts w:ascii="Verdana" w:eastAsia="Calibri" w:hAnsi="Verdana" w:cs="Arial"/>
                <w:bCs/>
                <w:color w:val="000000" w:themeColor="text1"/>
              </w:rPr>
              <w:t>ii</w:t>
            </w:r>
            <w:proofErr w:type="spellEnd"/>
            <w:r w:rsidRPr="00C7680D">
              <w:rPr>
                <w:rFonts w:ascii="Verdana" w:eastAsia="Calibri" w:hAnsi="Verdana" w:cs="Arial"/>
                <w:bCs/>
                <w:color w:val="000000" w:themeColor="text1"/>
              </w:rPr>
              <w:t>) analizarlas y (</w:t>
            </w:r>
            <w:proofErr w:type="spellStart"/>
            <w:r w:rsidRPr="00C7680D">
              <w:rPr>
                <w:rFonts w:ascii="Verdana" w:eastAsia="Calibri" w:hAnsi="Verdana" w:cs="Arial"/>
                <w:bCs/>
                <w:color w:val="000000" w:themeColor="text1"/>
              </w:rPr>
              <w:t>iii</w:t>
            </w:r>
            <w:proofErr w:type="spellEnd"/>
            <w:r w:rsidRPr="00C7680D">
              <w:rPr>
                <w:rFonts w:ascii="Verdana" w:eastAsia="Calibri" w:hAnsi="Verdana" w:cs="Arial"/>
                <w:bCs/>
                <w:color w:val="000000" w:themeColor="text1"/>
              </w:rPr>
              <w:t>) decidir motivadamente si continúa con la evaluación o rechaza la oferta por insuficiencia, todo conforme al art. 2.2.1.1.2.2.4 del Decreto 1082 de 2015.</w:t>
            </w:r>
          </w:p>
          <w:p w14:paraId="5CB52C82" w14:textId="77777777" w:rsidR="004F28FC" w:rsidRPr="00C7680D" w:rsidRDefault="004F28FC" w:rsidP="004F28FC">
            <w:pPr>
              <w:spacing w:before="120" w:after="120" w:line="276" w:lineRule="auto"/>
              <w:ind w:firstLine="708"/>
              <w:jc w:val="both"/>
              <w:rPr>
                <w:rFonts w:ascii="Verdana" w:eastAsia="Calibri" w:hAnsi="Verdana" w:cs="Arial"/>
                <w:bCs/>
                <w:color w:val="000000" w:themeColor="text1"/>
              </w:rPr>
            </w:pPr>
            <w:r w:rsidRPr="00C7680D">
              <w:rPr>
                <w:rFonts w:ascii="Verdana" w:eastAsia="Calibri" w:hAnsi="Verdana" w:cs="Arial"/>
                <w:bCs/>
                <w:color w:val="000000" w:themeColor="text1"/>
              </w:rPr>
              <w:lastRenderedPageBreak/>
              <w:t>De acuerdo</w:t>
            </w:r>
            <w:r>
              <w:rPr>
                <w:rFonts w:ascii="Verdana" w:eastAsia="Calibri" w:hAnsi="Verdana" w:cs="Arial"/>
                <w:bCs/>
                <w:color w:val="000000" w:themeColor="text1"/>
              </w:rPr>
              <w:t xml:space="preserve"> con</w:t>
            </w:r>
            <w:r w:rsidRPr="00C7680D">
              <w:rPr>
                <w:rFonts w:ascii="Verdana" w:eastAsia="Calibri" w:hAnsi="Verdana" w:cs="Arial"/>
                <w:bCs/>
                <w:color w:val="000000" w:themeColor="text1"/>
              </w:rPr>
              <w:t xml:space="preserve"> la Guía para el Manejo de Ofertas Artificialmente Bajas emitida por la Agencia Nacional de Contratación Pública – Colombia Compra Eficiente (2024)., una oferta puede ser calificada como presuntamente artificialmente baja cuando, con base en la metodología de comparación definida por la entidad en los pliegos, su precio resulta significativamente inferior al del mercado o no guarda relación con el objeto contractual proyectado. En estos casos, el artículo 2.2.1.1.2.2.4 del Decreto 1082 de 2015 obliga a la entidad a requerir al oferente para que justifique el valor presentado. La Guía es clara en señalar que, </w:t>
            </w:r>
            <w:r>
              <w:rPr>
                <w:rFonts w:ascii="Verdana" w:eastAsia="Calibri" w:hAnsi="Verdana" w:cs="Arial"/>
                <w:bCs/>
                <w:color w:val="000000" w:themeColor="text1"/>
              </w:rPr>
              <w:t>“</w:t>
            </w:r>
            <w:r w:rsidRPr="00C7680D">
              <w:rPr>
                <w:rFonts w:ascii="Verdana" w:eastAsia="Calibri" w:hAnsi="Verdana" w:cs="Arial"/>
                <w:bCs/>
                <w:i/>
                <w:iCs/>
                <w:color w:val="000000" w:themeColor="text1"/>
              </w:rPr>
              <w:t>si el oferente no responde o su explicación resulta insuficiente, la entidad debe rechazar la oferta</w:t>
            </w:r>
            <w:r>
              <w:rPr>
                <w:rFonts w:ascii="Verdana" w:eastAsia="Calibri" w:hAnsi="Verdana" w:cs="Arial"/>
                <w:bCs/>
                <w:i/>
                <w:iCs/>
                <w:color w:val="000000" w:themeColor="text1"/>
              </w:rPr>
              <w:t>”</w:t>
            </w:r>
            <w:r w:rsidRPr="00C7680D">
              <w:rPr>
                <w:rFonts w:ascii="Verdana" w:eastAsia="Calibri" w:hAnsi="Verdana" w:cs="Arial"/>
                <w:bCs/>
                <w:color w:val="000000" w:themeColor="text1"/>
              </w:rPr>
              <w:t xml:space="preserve">, pues no se acredita su viabilidad técnica, económica o </w:t>
            </w:r>
            <w:proofErr w:type="gramStart"/>
            <w:r w:rsidRPr="00C7680D">
              <w:rPr>
                <w:rFonts w:ascii="Verdana" w:eastAsia="Calibri" w:hAnsi="Verdana" w:cs="Arial"/>
                <w:bCs/>
                <w:color w:val="000000" w:themeColor="text1"/>
              </w:rPr>
              <w:t>jurídica .</w:t>
            </w:r>
            <w:proofErr w:type="gramEnd"/>
            <w:r w:rsidRPr="00C7680D">
              <w:rPr>
                <w:rFonts w:ascii="Verdana" w:eastAsia="Calibri" w:hAnsi="Verdana" w:cs="Arial"/>
                <w:bCs/>
                <w:color w:val="000000" w:themeColor="text1"/>
              </w:rPr>
              <w:t xml:space="preserve"> Asimismo, cuando el comportamiento del oferente evidencia un posible patrón destinado a distorsionar la competencia</w:t>
            </w:r>
            <w:r>
              <w:rPr>
                <w:rFonts w:ascii="Verdana" w:eastAsia="Calibri" w:hAnsi="Verdana" w:cs="Arial"/>
                <w:bCs/>
                <w:color w:val="000000" w:themeColor="text1"/>
              </w:rPr>
              <w:t xml:space="preserve">, </w:t>
            </w:r>
            <w:r w:rsidRPr="00C7680D">
              <w:rPr>
                <w:rFonts w:ascii="Verdana" w:eastAsia="Calibri" w:hAnsi="Verdana" w:cs="Arial"/>
                <w:bCs/>
                <w:color w:val="000000" w:themeColor="text1"/>
              </w:rPr>
              <w:t xml:space="preserve">como presentar lances artificialmente bajos para afectar el resultado de una subasta inversa </w:t>
            </w:r>
            <w:proofErr w:type="gramStart"/>
            <w:r w:rsidRPr="00C7680D">
              <w:rPr>
                <w:rFonts w:ascii="Verdana" w:eastAsia="Calibri" w:hAnsi="Verdana" w:cs="Arial"/>
                <w:bCs/>
                <w:color w:val="000000" w:themeColor="text1"/>
              </w:rPr>
              <w:t>electrónica</w:t>
            </w:r>
            <w:r>
              <w:rPr>
                <w:rFonts w:ascii="Verdana" w:eastAsia="Calibri" w:hAnsi="Verdana" w:cs="Arial"/>
                <w:bCs/>
                <w:color w:val="000000" w:themeColor="text1"/>
              </w:rPr>
              <w:t xml:space="preserve">, </w:t>
            </w:r>
            <w:r w:rsidRPr="00C7680D">
              <w:rPr>
                <w:rFonts w:ascii="Verdana" w:eastAsia="Calibri" w:hAnsi="Verdana" w:cs="Arial"/>
                <w:bCs/>
                <w:color w:val="000000" w:themeColor="text1"/>
              </w:rPr>
              <w:t xml:space="preserve"> la</w:t>
            </w:r>
            <w:proofErr w:type="gramEnd"/>
            <w:r w:rsidRPr="00C7680D">
              <w:rPr>
                <w:rFonts w:ascii="Verdana" w:eastAsia="Calibri" w:hAnsi="Verdana" w:cs="Arial"/>
                <w:bCs/>
                <w:color w:val="000000" w:themeColor="text1"/>
              </w:rPr>
              <w:t xml:space="preserve"> Guía dispone que la entidad debe </w:t>
            </w:r>
            <w:r w:rsidRPr="00C7680D">
              <w:rPr>
                <w:rFonts w:ascii="Verdana" w:eastAsia="Calibri" w:hAnsi="Verdana" w:cs="Arial"/>
                <w:color w:val="000000" w:themeColor="text1"/>
              </w:rPr>
              <w:t>reportar el caso a la Superintendencia de Industria y Comercio (SIC)</w:t>
            </w:r>
            <w:r w:rsidRPr="00C7680D">
              <w:rPr>
                <w:rFonts w:ascii="Verdana" w:eastAsia="Calibri" w:hAnsi="Verdana" w:cs="Arial"/>
                <w:bCs/>
                <w:color w:val="000000" w:themeColor="text1"/>
              </w:rPr>
              <w:t>, por un posible escenario de colusión o práctica restrictiva de la competencia, dado que esta autoridad es la competente para investigar y sancionar dichas conductas.</w:t>
            </w:r>
          </w:p>
          <w:p w14:paraId="57946C2B" w14:textId="2D7969F1" w:rsidR="00200D48" w:rsidRPr="00960F72" w:rsidRDefault="004F28FC" w:rsidP="004F28FC">
            <w:pPr>
              <w:spacing w:line="276" w:lineRule="auto"/>
              <w:ind w:firstLine="709"/>
              <w:jc w:val="both"/>
              <w:rPr>
                <w:rFonts w:ascii="Verdana" w:eastAsia="Calibri" w:hAnsi="Verdana" w:cs="Arial"/>
              </w:rPr>
            </w:pPr>
            <w:r w:rsidRPr="00C7680D">
              <w:rPr>
                <w:rFonts w:ascii="Verdana" w:eastAsia="Calibri" w:hAnsi="Verdana" w:cs="Arial"/>
                <w:bCs/>
                <w:color w:val="000000" w:themeColor="text1"/>
              </w:rPr>
              <w:t xml:space="preserve">Ahora bien, la entidad sí está habilitada para </w:t>
            </w:r>
            <w:r w:rsidRPr="00C7680D">
              <w:rPr>
                <w:rFonts w:ascii="Verdana" w:eastAsia="Calibri" w:hAnsi="Verdana" w:cs="Arial"/>
                <w:color w:val="000000" w:themeColor="text1"/>
              </w:rPr>
              <w:t>dejar trazabilidad documental</w:t>
            </w:r>
            <w:r w:rsidRPr="00C7680D">
              <w:rPr>
                <w:rFonts w:ascii="Verdana" w:eastAsia="Calibri" w:hAnsi="Verdana" w:cs="Arial"/>
                <w:bCs/>
                <w:color w:val="000000" w:themeColor="text1"/>
              </w:rPr>
              <w:t xml:space="preserve"> de estas actuaciones en el expediente contractual o en las observaciones del proceso en el SECOP, lo cual no constituye una sanción sino un registro objetivo derivado del desarrollo del proceso de selección. Dicho registro es legítimo en tanto esté sustentado en hechos verificables y no derive en restricciones indebidas a la participación futura del oferente, pues las inhabilidades o sanciones solo pueden originarse en decisión administrativa previa y en los supuestos expresamente previstos en la ley.</w:t>
            </w:r>
          </w:p>
        </w:tc>
      </w:tr>
    </w:tbl>
    <w:p w14:paraId="3B9593DF" w14:textId="77777777" w:rsidR="00200D48" w:rsidRPr="00960F72" w:rsidRDefault="00200D48" w:rsidP="00200D48">
      <w:pPr>
        <w:tabs>
          <w:tab w:val="left" w:pos="142"/>
          <w:tab w:val="left" w:pos="284"/>
        </w:tabs>
        <w:spacing w:after="0" w:line="276" w:lineRule="auto"/>
        <w:jc w:val="both"/>
        <w:rPr>
          <w:rFonts w:ascii="Verdana" w:eastAsia="Century Gothic" w:hAnsi="Verdana" w:cs="Century Gothic"/>
          <w:b/>
          <w:bCs/>
        </w:rPr>
      </w:pPr>
    </w:p>
    <w:p w14:paraId="7456B896" w14:textId="77777777" w:rsidR="00200D48" w:rsidRDefault="00200D4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0FB5569E" w14:textId="77777777" w:rsidR="002A54D8" w:rsidRPr="00960F72" w:rsidRDefault="002A54D8" w:rsidP="00200D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p>
    <w:p w14:paraId="11FF0C58" w14:textId="77777777" w:rsidR="004F28FC" w:rsidRPr="00161B60" w:rsidRDefault="004F28FC" w:rsidP="004F28FC">
      <w:pPr>
        <w:widowControl w:val="0"/>
        <w:autoSpaceDE w:val="0"/>
        <w:autoSpaceDN w:val="0"/>
        <w:snapToGrid w:val="0"/>
        <w:spacing w:after="0" w:line="276" w:lineRule="auto"/>
        <w:jc w:val="both"/>
        <w:rPr>
          <w:rFonts w:ascii="Verdana" w:eastAsia="Calibri" w:hAnsi="Verdana" w:cs="Arial"/>
          <w:bCs/>
          <w:lang w:val="es-ES_tradnl"/>
        </w:rPr>
      </w:pPr>
      <w:r w:rsidRPr="00910028">
        <w:rPr>
          <w:rFonts w:ascii="Verdana" w:eastAsia="Arial" w:hAnsi="Verdana" w:cs="Arial"/>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r w:rsidRPr="00910028">
        <w:rPr>
          <w:rFonts w:ascii="Verdana" w:eastAsia="Arial" w:hAnsi="Verdana" w:cs="Arial"/>
          <w:vertAlign w:val="superscript"/>
          <w:lang w:val="es-ES" w:eastAsia="es-ES" w:bidi="es-ES"/>
        </w:rPr>
        <w:footnoteReference w:id="1"/>
      </w:r>
      <w:r w:rsidRPr="00910028">
        <w:rPr>
          <w:rFonts w:ascii="Verdana" w:eastAsia="Arial" w:hAnsi="Verdana" w:cs="Arial"/>
          <w:lang w:val="es-ES" w:eastAsia="es-ES" w:bidi="es-ES"/>
        </w:rPr>
        <w:t>.</w:t>
      </w:r>
      <w:r>
        <w:rPr>
          <w:rFonts w:ascii="Verdana" w:eastAsia="Arial" w:hAnsi="Verdana" w:cs="Arial"/>
          <w:lang w:val="es-ES" w:eastAsia="es-ES" w:bidi="es-ES"/>
        </w:rPr>
        <w:t xml:space="preserve"> Al respecto, e</w:t>
      </w:r>
      <w:r w:rsidRPr="00910028">
        <w:rPr>
          <w:rFonts w:ascii="Verdana" w:eastAsia="Arial" w:hAnsi="Verdana" w:cs="Arial"/>
          <w:lang w:val="es-ES" w:eastAsia="es-ES" w:bidi="es-ES"/>
        </w:rPr>
        <w:t xml:space="preserve">l Consejo de Estado, Sección Tercera, sentencia 4 de </w:t>
      </w:r>
      <w:r w:rsidRPr="00910028">
        <w:rPr>
          <w:rFonts w:ascii="Verdana" w:eastAsia="Arial" w:hAnsi="Verdana" w:cs="Arial"/>
          <w:lang w:val="es-ES" w:eastAsia="es-ES" w:bidi="es-ES"/>
        </w:rPr>
        <w:lastRenderedPageBreak/>
        <w:t>junio de 2008, radicado No. 17.783, M.P. Myriam Guerrero de Escobar, define el precio artificialmente bajo como aquel que no tiene sustento o fundamento en su</w:t>
      </w:r>
      <w:r w:rsidRPr="00910028">
        <w:rPr>
          <w:rFonts w:ascii="Verdana" w:eastAsia="Arial" w:hAnsi="Verdana" w:cs="Arial"/>
          <w:spacing w:val="-45"/>
          <w:lang w:val="es-ES" w:eastAsia="es-ES" w:bidi="es-ES"/>
        </w:rPr>
        <w:t xml:space="preserve"> </w:t>
      </w:r>
      <w:r w:rsidRPr="00910028">
        <w:rPr>
          <w:rFonts w:ascii="Verdana" w:eastAsia="Arial" w:hAnsi="Verdana" w:cs="Arial"/>
          <w:lang w:val="es-ES" w:eastAsia="es-ES" w:bidi="es-ES"/>
        </w:rPr>
        <w:t>estructuración dentro del tráfico comercial:</w:t>
      </w:r>
    </w:p>
    <w:p w14:paraId="008946F2" w14:textId="77777777" w:rsidR="004F28FC" w:rsidRPr="00910028" w:rsidRDefault="004F28FC" w:rsidP="004F28FC">
      <w:pPr>
        <w:widowControl w:val="0"/>
        <w:autoSpaceDE w:val="0"/>
        <w:autoSpaceDN w:val="0"/>
        <w:spacing w:after="0" w:line="276" w:lineRule="auto"/>
        <w:ind w:left="720"/>
        <w:rPr>
          <w:rFonts w:ascii="Verdana" w:eastAsia="Arial" w:hAnsi="Verdana" w:cs="Arial"/>
          <w:lang w:val="es-ES" w:eastAsia="es-ES" w:bidi="es-ES"/>
        </w:rPr>
      </w:pPr>
    </w:p>
    <w:p w14:paraId="2D735428" w14:textId="77777777" w:rsidR="004F28FC" w:rsidRPr="00666BAC" w:rsidRDefault="004F28FC" w:rsidP="004F28FC">
      <w:pPr>
        <w:spacing w:after="0" w:line="240" w:lineRule="auto"/>
        <w:ind w:left="709" w:right="709"/>
        <w:jc w:val="both"/>
        <w:rPr>
          <w:rFonts w:ascii="Verdana" w:eastAsia="Aptos" w:hAnsi="Verdana" w:cs="Times New Roman"/>
          <w:kern w:val="2"/>
          <w:sz w:val="20"/>
          <w:szCs w:val="20"/>
          <w14:ligatures w14:val="standardContextual"/>
        </w:rPr>
      </w:pPr>
      <w:r w:rsidRPr="00666BAC">
        <w:rPr>
          <w:rFonts w:ascii="Verdana" w:eastAsia="Aptos" w:hAnsi="Verdana" w:cs="Times New Roman"/>
          <w:kern w:val="2"/>
          <w:sz w:val="20"/>
          <w:szCs w:val="20"/>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666BAC">
        <w:rPr>
          <w:rFonts w:ascii="Verdana" w:eastAsia="Aptos" w:hAnsi="Verdana" w:cs="Times New Roman"/>
          <w:spacing w:val="-8"/>
          <w:kern w:val="2"/>
          <w:sz w:val="20"/>
          <w:szCs w:val="20"/>
          <w14:ligatures w14:val="standardContextual"/>
        </w:rPr>
        <w:t xml:space="preserve"> </w:t>
      </w:r>
      <w:r w:rsidRPr="00666BAC">
        <w:rPr>
          <w:rFonts w:ascii="Verdana" w:eastAsia="Aptos" w:hAnsi="Verdana" w:cs="Times New Roman"/>
          <w:kern w:val="2"/>
          <w:sz w:val="20"/>
          <w:szCs w:val="20"/>
          <w14:ligatures w14:val="standardContextual"/>
        </w:rPr>
        <w:t>[…]”.</w:t>
      </w:r>
    </w:p>
    <w:p w14:paraId="3C705CBF" w14:textId="77777777" w:rsidR="004F28FC" w:rsidRPr="00910028" w:rsidRDefault="004F28FC" w:rsidP="004F28FC">
      <w:pPr>
        <w:widowControl w:val="0"/>
        <w:autoSpaceDE w:val="0"/>
        <w:autoSpaceDN w:val="0"/>
        <w:spacing w:after="0" w:line="276" w:lineRule="auto"/>
        <w:ind w:left="720"/>
        <w:jc w:val="both"/>
        <w:rPr>
          <w:rFonts w:ascii="Verdana" w:eastAsia="Arial" w:hAnsi="Verdana" w:cs="Arial"/>
          <w:lang w:val="es-ES" w:eastAsia="es-ES" w:bidi="es-ES"/>
        </w:rPr>
      </w:pPr>
    </w:p>
    <w:p w14:paraId="3DA2E50A" w14:textId="77777777" w:rsidR="004F28FC" w:rsidRDefault="004F28FC" w:rsidP="004F28FC">
      <w:pPr>
        <w:widowControl w:val="0"/>
        <w:autoSpaceDE w:val="0"/>
        <w:autoSpaceDN w:val="0"/>
        <w:spacing w:after="0" w:line="276" w:lineRule="auto"/>
        <w:ind w:firstLine="709"/>
        <w:jc w:val="both"/>
        <w:rPr>
          <w:rFonts w:ascii="Verdana" w:eastAsia="Arial" w:hAnsi="Verdana" w:cs="Arial"/>
          <w:lang w:val="es-ES" w:eastAsia="es-ES" w:bidi="es-ES"/>
        </w:rPr>
      </w:pPr>
      <w:r w:rsidRPr="00910028">
        <w:rPr>
          <w:rFonts w:ascii="Verdana" w:eastAsia="Arial" w:hAnsi="Verdana" w:cs="Arial"/>
          <w:lang w:val="es-ES" w:eastAsia="es-ES" w:bidi="es-ES"/>
        </w:rPr>
        <w:t xml:space="preserve">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w:t>
      </w:r>
      <w:r>
        <w:rPr>
          <w:rFonts w:ascii="Verdana" w:eastAsia="Arial" w:hAnsi="Verdana" w:cs="Arial"/>
          <w:lang w:val="es-ES" w:eastAsia="es-ES" w:bidi="es-ES"/>
        </w:rPr>
        <w:t>analizarlas y recomendar si d</w:t>
      </w:r>
      <w:r w:rsidRPr="00910028">
        <w:rPr>
          <w:rFonts w:ascii="Verdana" w:eastAsia="Arial" w:hAnsi="Verdana" w:cs="Arial"/>
          <w:lang w:val="es-ES" w:eastAsia="es-ES" w:bidi="es-ES"/>
        </w:rPr>
        <w:t>ebe rechazar la oferta o continuar con el análisis de la oferta durante la evaluación de las ofertas</w:t>
      </w:r>
      <w:r>
        <w:rPr>
          <w:rFonts w:ascii="Verdana" w:eastAsia="Arial" w:hAnsi="Verdana" w:cs="Arial"/>
          <w:lang w:val="es-ES" w:eastAsia="es-ES" w:bidi="es-ES"/>
        </w:rPr>
        <w:t>:</w:t>
      </w:r>
    </w:p>
    <w:p w14:paraId="2D39841B" w14:textId="77777777" w:rsidR="004F28FC" w:rsidRPr="001F4545" w:rsidRDefault="004F28FC" w:rsidP="004F28FC">
      <w:pPr>
        <w:spacing w:after="0" w:line="240" w:lineRule="auto"/>
        <w:ind w:left="708" w:right="616" w:firstLine="1"/>
        <w:jc w:val="both"/>
        <w:rPr>
          <w:rFonts w:ascii="Verdana" w:hAnsi="Verdana"/>
          <w:sz w:val="21"/>
          <w:szCs w:val="21"/>
        </w:rPr>
      </w:pPr>
    </w:p>
    <w:p w14:paraId="128DC0A0" w14:textId="77777777" w:rsidR="004F28FC" w:rsidRPr="00666BAC" w:rsidRDefault="004F28FC" w:rsidP="004F28FC">
      <w:pPr>
        <w:spacing w:after="0" w:line="240" w:lineRule="auto"/>
        <w:ind w:left="708" w:right="616" w:firstLine="1"/>
        <w:jc w:val="both"/>
        <w:rPr>
          <w:rFonts w:ascii="Verdana" w:hAnsi="Verdana"/>
          <w:sz w:val="20"/>
          <w:szCs w:val="20"/>
        </w:rPr>
      </w:pPr>
      <w:r w:rsidRPr="00666BAC">
        <w:rPr>
          <w:rFonts w:ascii="Verdana" w:hAnsi="Verdana"/>
          <w:bCs/>
          <w:sz w:val="20"/>
          <w:szCs w:val="20"/>
        </w:rPr>
        <w:t>“Artículo 2.2.1.1.2.2.4. </w:t>
      </w:r>
      <w:r w:rsidRPr="00666BAC">
        <w:rPr>
          <w:rFonts w:ascii="Verdana" w:hAnsi="Verdana"/>
          <w:bCs/>
          <w:i/>
          <w:iCs/>
          <w:sz w:val="20"/>
          <w:szCs w:val="20"/>
        </w:rPr>
        <w:t>Oferta con valor artificialmente bajo.</w:t>
      </w:r>
      <w:r w:rsidRPr="00666BAC">
        <w:rPr>
          <w:rFonts w:ascii="Verdana" w:hAnsi="Verdana"/>
          <w:i/>
          <w:iCs/>
          <w:sz w:val="20"/>
          <w:szCs w:val="20"/>
        </w:rPr>
        <w:t> </w:t>
      </w:r>
      <w:r w:rsidRPr="00666BAC">
        <w:rPr>
          <w:rFonts w:ascii="Verdana" w:hAnsi="Verdana"/>
          <w:sz w:val="20"/>
          <w:szCs w:val="20"/>
        </w:rPr>
        <w:t xml:space="preserve">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w:t>
      </w:r>
      <w:proofErr w:type="gramStart"/>
      <w:r w:rsidRPr="00666BAC">
        <w:rPr>
          <w:rFonts w:ascii="Verdana" w:hAnsi="Verdana"/>
          <w:sz w:val="20"/>
          <w:szCs w:val="20"/>
        </w:rPr>
        <w:t>la misma</w:t>
      </w:r>
      <w:proofErr w:type="gramEnd"/>
      <w:r w:rsidRPr="00666BAC">
        <w:rPr>
          <w:rFonts w:ascii="Verdana" w:hAnsi="Verdana"/>
          <w:sz w:val="20"/>
          <w:szCs w:val="20"/>
        </w:rPr>
        <w:t xml:space="preserve"> en la evaluación de las ofertas.</w:t>
      </w:r>
    </w:p>
    <w:p w14:paraId="6323722B" w14:textId="77777777" w:rsidR="004F28FC" w:rsidRDefault="004F28FC" w:rsidP="004F28FC">
      <w:pPr>
        <w:spacing w:after="0" w:line="240" w:lineRule="auto"/>
        <w:ind w:left="708" w:right="616" w:firstLine="1"/>
        <w:jc w:val="both"/>
        <w:rPr>
          <w:rFonts w:ascii="Verdana" w:hAnsi="Verdana"/>
          <w:sz w:val="20"/>
          <w:szCs w:val="20"/>
        </w:rPr>
      </w:pPr>
    </w:p>
    <w:p w14:paraId="61DFD6BA" w14:textId="77777777" w:rsidR="004F28FC" w:rsidRPr="00666BAC" w:rsidRDefault="004F28FC" w:rsidP="004F28FC">
      <w:pPr>
        <w:spacing w:after="0" w:line="240" w:lineRule="auto"/>
        <w:ind w:left="708" w:right="616" w:firstLine="1"/>
        <w:jc w:val="both"/>
        <w:rPr>
          <w:rFonts w:ascii="Verdana" w:hAnsi="Verdana"/>
          <w:sz w:val="20"/>
          <w:szCs w:val="20"/>
        </w:rPr>
      </w:pPr>
      <w:r w:rsidRPr="00666BAC">
        <w:rPr>
          <w:rFonts w:ascii="Verdana" w:hAnsi="Verdana"/>
          <w:sz w:val="20"/>
          <w:szCs w:val="20"/>
        </w:rPr>
        <w:t xml:space="preserve">Cuando el valor de la oferta sobre la cual la Entidad Estatal tuvo dudas sobre su </w:t>
      </w:r>
      <w:proofErr w:type="gramStart"/>
      <w:r w:rsidRPr="00666BAC">
        <w:rPr>
          <w:rFonts w:ascii="Verdana" w:hAnsi="Verdana"/>
          <w:sz w:val="20"/>
          <w:szCs w:val="20"/>
        </w:rPr>
        <w:t>valor,</w:t>
      </w:r>
      <w:proofErr w:type="gramEnd"/>
      <w:r w:rsidRPr="00666BAC">
        <w:rPr>
          <w:rFonts w:ascii="Verdana" w:hAnsi="Verdana"/>
          <w:sz w:val="20"/>
          <w:szCs w:val="20"/>
        </w:rPr>
        <w:t xml:space="preserve"> responde a circunstancias objetivas del oferente y de su oferta que no ponen en riesgo el cumplimiento del contrato si este es adjudicado a tal oferta, la Entidad Estatal debe continuar con su análisis en el proceso de evaluación de ofertas.</w:t>
      </w:r>
    </w:p>
    <w:p w14:paraId="633D881E" w14:textId="77777777" w:rsidR="004F28FC" w:rsidRPr="00666BAC" w:rsidRDefault="004F28FC" w:rsidP="004F28FC">
      <w:pPr>
        <w:spacing w:after="0" w:line="240" w:lineRule="auto"/>
        <w:ind w:left="708" w:right="616" w:firstLine="1"/>
        <w:jc w:val="both"/>
        <w:rPr>
          <w:rFonts w:ascii="Verdana" w:hAnsi="Verdana"/>
          <w:sz w:val="20"/>
          <w:szCs w:val="20"/>
        </w:rPr>
      </w:pPr>
      <w:r w:rsidRPr="00666BAC">
        <w:rPr>
          <w:rFonts w:ascii="Verdana" w:hAnsi="Verdana"/>
          <w:sz w:val="20"/>
          <w:szCs w:val="20"/>
        </w:rPr>
        <w:t xml:space="preserve">En la subasta inversa esta disposición es aplicable sobre el precio obtenido al final de </w:t>
      </w:r>
      <w:proofErr w:type="gramStart"/>
      <w:r w:rsidRPr="00666BAC">
        <w:rPr>
          <w:rFonts w:ascii="Verdana" w:hAnsi="Verdana"/>
          <w:sz w:val="20"/>
          <w:szCs w:val="20"/>
        </w:rPr>
        <w:t>la misma</w:t>
      </w:r>
      <w:proofErr w:type="gramEnd"/>
      <w:r w:rsidRPr="00666BAC">
        <w:rPr>
          <w:rFonts w:ascii="Verdana" w:hAnsi="Verdana"/>
          <w:sz w:val="20"/>
          <w:szCs w:val="20"/>
        </w:rPr>
        <w:t>”.</w:t>
      </w:r>
    </w:p>
    <w:p w14:paraId="4A9BCBFA" w14:textId="77777777" w:rsidR="004F28FC" w:rsidRPr="00C71D70" w:rsidRDefault="004F28FC" w:rsidP="004F28FC">
      <w:pPr>
        <w:spacing w:after="0" w:line="240" w:lineRule="auto"/>
        <w:ind w:left="708" w:right="616" w:firstLine="1"/>
        <w:jc w:val="both"/>
        <w:rPr>
          <w:rFonts w:ascii="Verdana" w:hAnsi="Verdana"/>
          <w:sz w:val="21"/>
          <w:szCs w:val="21"/>
        </w:rPr>
      </w:pPr>
    </w:p>
    <w:p w14:paraId="55ED10EF" w14:textId="77777777" w:rsidR="004F28FC" w:rsidRPr="00AC1339" w:rsidRDefault="004F28FC" w:rsidP="004F28FC">
      <w:pPr>
        <w:spacing w:after="120" w:line="276" w:lineRule="auto"/>
        <w:ind w:firstLine="708"/>
        <w:jc w:val="both"/>
        <w:rPr>
          <w:rFonts w:ascii="Verdana" w:eastAsia="Calibri" w:hAnsi="Verdana" w:cs="Arial"/>
          <w:lang w:val="es-ES"/>
        </w:rPr>
      </w:pPr>
      <w:r w:rsidRPr="00AC1339">
        <w:rPr>
          <w:rFonts w:ascii="Verdana" w:eastAsia="Calibri" w:hAnsi="Verdana" w:cs="Arial"/>
          <w:lang w:val="es-MX"/>
        </w:rPr>
        <w:t xml:space="preserve">Así pues, el artículo 2.2.1.1.2.2.4 ibidem, establece lo que debe hacer la entidad cuando el precio de una oferta parece artificialmente bajo, esto es: i) </w:t>
      </w:r>
      <w:r w:rsidRPr="00AC1339">
        <w:rPr>
          <w:rFonts w:ascii="Verdana" w:eastAsia="Calibri" w:hAnsi="Verdana" w:cs="Arial"/>
          <w:lang w:val="es-MX"/>
        </w:rPr>
        <w:lastRenderedPageBreak/>
        <w:t xml:space="preserve">solicitar explicación al oferente, </w:t>
      </w:r>
      <w:proofErr w:type="spellStart"/>
      <w:r w:rsidRPr="00AC1339">
        <w:rPr>
          <w:rFonts w:ascii="Verdana" w:eastAsia="Calibri" w:hAnsi="Verdana" w:cs="Arial"/>
          <w:lang w:val="es-MX"/>
        </w:rPr>
        <w:t>ii</w:t>
      </w:r>
      <w:proofErr w:type="spellEnd"/>
      <w:r w:rsidRPr="00AC1339">
        <w:rPr>
          <w:rFonts w:ascii="Verdana" w:eastAsia="Calibri" w:hAnsi="Verdana" w:cs="Arial"/>
          <w:lang w:val="es-MX"/>
        </w:rPr>
        <w:t xml:space="preserve">) analizar las explicaciones del oferente, </w:t>
      </w:r>
      <w:proofErr w:type="spellStart"/>
      <w:r w:rsidRPr="00AC1339">
        <w:rPr>
          <w:rFonts w:ascii="Verdana" w:eastAsia="Calibri" w:hAnsi="Verdana" w:cs="Arial"/>
          <w:lang w:val="es-MX"/>
        </w:rPr>
        <w:t>iii</w:t>
      </w:r>
      <w:proofErr w:type="spellEnd"/>
      <w:r w:rsidRPr="00AC1339">
        <w:rPr>
          <w:rFonts w:ascii="Verdana" w:eastAsia="Calibri" w:hAnsi="Verdana" w:cs="Arial"/>
          <w:lang w:val="es-MX"/>
        </w:rPr>
        <w:t xml:space="preserve">) el responsable de la evaluación de las ofertas debe recomendar rechazar o continuar la evaluación de la oferta, y </w:t>
      </w:r>
      <w:proofErr w:type="spellStart"/>
      <w:r w:rsidRPr="00AC1339">
        <w:rPr>
          <w:rFonts w:ascii="Verdana" w:eastAsia="Calibri" w:hAnsi="Verdana" w:cs="Arial"/>
          <w:lang w:val="es-MX"/>
        </w:rPr>
        <w:t>iv</w:t>
      </w:r>
      <w:proofErr w:type="spellEnd"/>
      <w:r w:rsidRPr="00AC1339">
        <w:rPr>
          <w:rFonts w:ascii="Verdana" w:eastAsia="Calibri" w:hAnsi="Verdana" w:cs="Arial"/>
          <w:lang w:val="es-MX"/>
        </w:rPr>
        <w:t>) para la subasta inversa, lo anterior se debe hacer al finalizar el evento.</w:t>
      </w:r>
    </w:p>
    <w:p w14:paraId="02AF75DF" w14:textId="77777777" w:rsidR="004F28FC" w:rsidRPr="00AC1339" w:rsidRDefault="004F28FC" w:rsidP="004F28FC">
      <w:pPr>
        <w:spacing w:before="120" w:line="276" w:lineRule="auto"/>
        <w:ind w:firstLine="708"/>
        <w:jc w:val="both"/>
        <w:rPr>
          <w:rFonts w:ascii="Verdana" w:eastAsia="Calibri" w:hAnsi="Verdana" w:cs="Arial"/>
        </w:rPr>
      </w:pPr>
      <w:r w:rsidRPr="00AC1339">
        <w:rPr>
          <w:rFonts w:ascii="Verdana" w:eastAsia="Calibri" w:hAnsi="Verdana" w:cs="Arial"/>
          <w:lang w:val="es-ES"/>
        </w:rPr>
        <w:t>Sin embargo, debe precisarse que el análisis de los precios de una oferta se hace en la fase de evaluación del procedimiento</w:t>
      </w:r>
      <w:r>
        <w:rPr>
          <w:rFonts w:ascii="Verdana" w:eastAsia="Calibri" w:hAnsi="Verdana" w:cs="Arial"/>
          <w:lang w:val="es-ES"/>
        </w:rPr>
        <w:t xml:space="preserve"> de selección</w:t>
      </w:r>
      <w:r w:rsidRPr="00AC1339">
        <w:rPr>
          <w:rFonts w:ascii="Verdana" w:eastAsia="Calibri" w:hAnsi="Verdana" w:cs="Arial"/>
          <w:lang w:val="es-ES"/>
        </w:rPr>
        <w:t>, que es la oportunidad para verificar, a través del comité evaluador</w:t>
      </w:r>
      <w:r w:rsidRPr="00AC1339">
        <w:rPr>
          <w:rFonts w:ascii="Verdana" w:eastAsia="Aptos" w:hAnsi="Verdana" w:cs="Times New Roman"/>
          <w:kern w:val="2"/>
          <w:vertAlign w:val="superscript"/>
          <w:lang w:val="es-MX"/>
          <w14:ligatures w14:val="standardContextual"/>
        </w:rPr>
        <w:footnoteReference w:id="2"/>
      </w:r>
      <w:r>
        <w:rPr>
          <w:rFonts w:ascii="Verdana" w:eastAsia="Calibri" w:hAnsi="Verdana" w:cs="Arial"/>
          <w:lang w:val="es-MX"/>
        </w:rPr>
        <w:t xml:space="preserve"> si se cumplen o no</w:t>
      </w:r>
      <w:r w:rsidRPr="00AC1339">
        <w:rPr>
          <w:rFonts w:ascii="Verdana" w:eastAsia="Calibri" w:hAnsi="Verdana" w:cs="Arial"/>
          <w:lang w:val="es-MX"/>
        </w:rPr>
        <w:t xml:space="preserve"> las reglas </w:t>
      </w:r>
      <w:r>
        <w:rPr>
          <w:rFonts w:ascii="Verdana" w:eastAsia="Calibri" w:hAnsi="Verdana" w:cs="Arial"/>
          <w:lang w:val="es-MX"/>
        </w:rPr>
        <w:t>de</w:t>
      </w:r>
      <w:r w:rsidRPr="00AC1339">
        <w:rPr>
          <w:rFonts w:ascii="Verdana" w:eastAsia="Calibri" w:hAnsi="Verdana" w:cs="Arial"/>
          <w:lang w:val="es-MX"/>
        </w:rPr>
        <w:t xml:space="preserv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2049A5B5" w14:textId="77777777" w:rsidR="004F28FC" w:rsidRPr="00AC1339" w:rsidRDefault="004F28FC" w:rsidP="004F28FC">
      <w:pPr>
        <w:spacing w:after="120" w:line="276" w:lineRule="auto"/>
        <w:ind w:firstLine="708"/>
        <w:jc w:val="both"/>
        <w:rPr>
          <w:rFonts w:ascii="Verdana" w:eastAsia="Calibri" w:hAnsi="Verdana" w:cs="Arial"/>
          <w:highlight w:val="yellow"/>
          <w:lang w:val="es-ES"/>
        </w:rPr>
      </w:pPr>
      <w:r w:rsidRPr="00AC1339">
        <w:rPr>
          <w:rFonts w:ascii="Verdana" w:eastAsia="Calibri" w:hAnsi="Verdana" w:cs="Arial"/>
          <w:lang w:val="es-ES"/>
        </w:rPr>
        <w:t>En ese sentid</w:t>
      </w:r>
      <w:r>
        <w:rPr>
          <w:rFonts w:ascii="Verdana" w:eastAsia="Calibri" w:hAnsi="Verdana" w:cs="Arial"/>
          <w:lang w:val="es-ES"/>
        </w:rPr>
        <w:t xml:space="preserve">o, </w:t>
      </w:r>
      <w:r w:rsidRPr="00AC1339">
        <w:rPr>
          <w:rFonts w:ascii="Verdana" w:eastAsia="Calibri" w:hAnsi="Verdana" w:cs="Arial"/>
          <w:lang w:val="es-ES"/>
        </w:rPr>
        <w:t>en la evaluación</w:t>
      </w:r>
      <w:r>
        <w:rPr>
          <w:rFonts w:ascii="Verdana" w:eastAsia="Calibri" w:hAnsi="Verdana" w:cs="Arial"/>
          <w:lang w:val="es-ES"/>
        </w:rPr>
        <w:t xml:space="preserve"> que se realiza antes de la adjudicación del contrato</w:t>
      </w:r>
      <w:r w:rsidRPr="00AC1339">
        <w:rPr>
          <w:rFonts w:ascii="Verdana" w:eastAsia="Calibri" w:hAnsi="Verdana" w:cs="Arial"/>
          <w:lang w:val="es-ES"/>
        </w:rPr>
        <w:t xml:space="preserve">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w:t>
      </w:r>
      <w:r>
        <w:rPr>
          <w:rFonts w:ascii="Verdana" w:eastAsia="Calibri" w:hAnsi="Verdana" w:cs="Arial"/>
          <w:lang w:val="es-ES"/>
        </w:rPr>
        <w:t xml:space="preserve">el bien, obra o servicio que </w:t>
      </w:r>
      <w:r w:rsidRPr="00AC1339">
        <w:rPr>
          <w:rFonts w:ascii="Verdana" w:eastAsia="Calibri" w:hAnsi="Verdana" w:cs="Arial"/>
          <w:lang w:val="es-ES"/>
        </w:rPr>
        <w:t>pretende contratar</w:t>
      </w:r>
      <w:r>
        <w:rPr>
          <w:rFonts w:ascii="Verdana" w:eastAsia="Calibri" w:hAnsi="Verdana" w:cs="Arial"/>
          <w:lang w:val="es-ES"/>
        </w:rPr>
        <w:t>se</w:t>
      </w:r>
      <w:r w:rsidRPr="00AC1339">
        <w:rPr>
          <w:rFonts w:ascii="Verdana" w:eastAsia="Calibri" w:hAnsi="Verdana" w:cs="Arial"/>
          <w:lang w:val="es-ES"/>
        </w:rPr>
        <w:t>. En ese caso, la entidad podrá identificar las ofertas con precios que parecen artificialmente bajos, y seguir el procedimiento del Decreto 1082 de 2015. Concluido dicho análisis, es posible que a partir de las explicaciones ofrecidas por el proponente se determine que el valor responde a circunstancias objetivas que le permiten cumplir el contrato, sin que con ello termine la evaluación, porque el Decreto 1082 de 2015 señala que la entidad puede continuar el análisis en esta fase de evaluación.</w:t>
      </w:r>
    </w:p>
    <w:p w14:paraId="4466E55A" w14:textId="77777777" w:rsidR="004F28FC" w:rsidRDefault="004F28FC" w:rsidP="004F28FC">
      <w:pPr>
        <w:spacing w:after="120" w:line="276" w:lineRule="auto"/>
        <w:ind w:firstLine="708"/>
        <w:jc w:val="both"/>
        <w:rPr>
          <w:rFonts w:ascii="Verdana" w:eastAsia="Times New Roman" w:hAnsi="Verdana" w:cs="Arial"/>
          <w:lang w:val="es-ES"/>
        </w:rPr>
      </w:pPr>
      <w:r w:rsidRPr="00AC1339">
        <w:rPr>
          <w:rFonts w:ascii="Verdana" w:eastAsia="Times New Roman" w:hAnsi="Verdana" w:cs="Arial"/>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w:t>
      </w:r>
      <w:r w:rsidRPr="00AC1339">
        <w:rPr>
          <w:rFonts w:ascii="Verdana" w:eastAsia="Times New Roman" w:hAnsi="Verdana" w:cs="Arial"/>
          <w:lang w:val="es-ES"/>
        </w:rPr>
        <w:lastRenderedPageBreak/>
        <w:t xml:space="preserve">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w:t>
      </w:r>
      <w:proofErr w:type="spellStart"/>
      <w:r w:rsidRPr="00AC1339">
        <w:rPr>
          <w:rFonts w:ascii="Verdana" w:eastAsia="Times New Roman" w:hAnsi="Verdana" w:cs="Arial"/>
          <w:lang w:val="es-ES"/>
        </w:rPr>
        <w:t>ii</w:t>
      </w:r>
      <w:proofErr w:type="spellEnd"/>
      <w:r w:rsidRPr="00AC1339">
        <w:rPr>
          <w:rFonts w:ascii="Verdana" w:eastAsia="Times New Roman" w:hAnsi="Verdana" w:cs="Arial"/>
          <w:lang w:val="es-ES"/>
        </w:rPr>
        <w:t>) la comparación relativa.</w:t>
      </w:r>
      <w:r>
        <w:rPr>
          <w:rFonts w:ascii="Verdana" w:eastAsia="Times New Roman" w:hAnsi="Verdana" w:cs="Arial"/>
          <w:lang w:val="es-ES"/>
        </w:rPr>
        <w:t xml:space="preserve"> </w:t>
      </w:r>
    </w:p>
    <w:p w14:paraId="3A797AF2" w14:textId="77777777" w:rsidR="004F28FC" w:rsidRPr="00D40E49" w:rsidRDefault="004F28FC" w:rsidP="004F28FC">
      <w:pPr>
        <w:spacing w:after="120" w:line="276" w:lineRule="auto"/>
        <w:ind w:firstLine="708"/>
        <w:jc w:val="both"/>
        <w:rPr>
          <w:rFonts w:ascii="Verdana" w:eastAsia="Times New Roman" w:hAnsi="Verdana" w:cs="Arial"/>
          <w:lang w:val="es-ES"/>
        </w:rPr>
      </w:pPr>
      <w:r>
        <w:rPr>
          <w:rFonts w:ascii="Verdana" w:eastAsia="Times New Roman" w:hAnsi="Verdana" w:cs="Arial"/>
          <w:lang w:val="es-ES"/>
        </w:rPr>
        <w:t xml:space="preserve">Es importante precisar que dentro de la Guía para el manejo de ofertas artificialmente bajas en Procesos de Contratación” efectúa un análisis especial en torno a la subasta inversa, la cual puede ser </w:t>
      </w:r>
      <w:r w:rsidRPr="001E5EA5">
        <w:rPr>
          <w:rFonts w:ascii="Verdana" w:eastAsia="Times New Roman" w:hAnsi="Verdana" w:cs="Arial"/>
        </w:rPr>
        <w:t>ordinaria y a la inversa.</w:t>
      </w:r>
      <w:r>
        <w:rPr>
          <w:rFonts w:ascii="Verdana" w:eastAsia="Times New Roman" w:hAnsi="Verdana" w:cs="Arial"/>
        </w:rPr>
        <w:t xml:space="preserve"> La primera consiste en que </w:t>
      </w:r>
      <w:r w:rsidRPr="001E5EA5">
        <w:rPr>
          <w:rFonts w:ascii="Verdana" w:eastAsia="Times New Roman" w:hAnsi="Verdana" w:cs="Arial"/>
        </w:rPr>
        <w:t>los compradores compiten para obtener un bien o servicio, ofreciend</w:t>
      </w:r>
      <w:r>
        <w:rPr>
          <w:rFonts w:ascii="Verdana" w:eastAsia="Times New Roman" w:hAnsi="Verdana" w:cs="Arial"/>
        </w:rPr>
        <w:t xml:space="preserve">o precios cada vez más altos, mediante </w:t>
      </w:r>
      <w:r w:rsidRPr="001E5EA5">
        <w:rPr>
          <w:rFonts w:ascii="Verdana" w:eastAsia="Times New Roman" w:hAnsi="Verdana" w:cs="Arial"/>
        </w:rPr>
        <w:t xml:space="preserve">lances, </w:t>
      </w:r>
      <w:r>
        <w:rPr>
          <w:rFonts w:ascii="Verdana" w:eastAsia="Times New Roman" w:hAnsi="Verdana" w:cs="Arial"/>
        </w:rPr>
        <w:t xml:space="preserve">como es el caso de los procesos de contratación de enajenación </w:t>
      </w:r>
      <w:r w:rsidRPr="001E5EA5">
        <w:rPr>
          <w:rFonts w:ascii="Verdana" w:eastAsia="Times New Roman" w:hAnsi="Verdana" w:cs="Arial"/>
        </w:rPr>
        <w:t>directa a través de subasta pública mediante la modalidad de selecció</w:t>
      </w:r>
      <w:r>
        <w:rPr>
          <w:rFonts w:ascii="Verdana" w:eastAsia="Times New Roman" w:hAnsi="Verdana" w:cs="Arial"/>
        </w:rPr>
        <w:t xml:space="preserve">n abreviada, de acuerdo con lo prescrito en el artículo </w:t>
      </w:r>
      <w:r w:rsidRPr="001E5EA5">
        <w:rPr>
          <w:rFonts w:ascii="Verdana" w:eastAsia="Times New Roman" w:hAnsi="Verdana" w:cs="Arial"/>
        </w:rPr>
        <w:t xml:space="preserve">2.2.1.2.2.2.2 del Decreto 1082 </w:t>
      </w:r>
      <w:r>
        <w:rPr>
          <w:rFonts w:ascii="Verdana" w:eastAsia="Times New Roman" w:hAnsi="Verdana" w:cs="Arial"/>
        </w:rPr>
        <w:t>de 1025</w:t>
      </w:r>
      <w:r>
        <w:rPr>
          <w:rStyle w:val="Refdenotaalpie"/>
          <w:rFonts w:ascii="Verdana" w:eastAsia="Times New Roman" w:hAnsi="Verdana" w:cs="Arial"/>
        </w:rPr>
        <w:footnoteReference w:id="3"/>
      </w:r>
      <w:r>
        <w:rPr>
          <w:rFonts w:ascii="Verdana" w:eastAsia="Times New Roman" w:hAnsi="Verdana" w:cs="Arial"/>
        </w:rPr>
        <w:t xml:space="preserve">. El segundo, es la subasta inversa que consiste en que los vendedores compiten para obtener </w:t>
      </w:r>
      <w:r w:rsidRPr="001E5EA5">
        <w:rPr>
          <w:rFonts w:ascii="Verdana" w:eastAsia="Times New Roman" w:hAnsi="Verdana" w:cs="Arial"/>
        </w:rPr>
        <w:t>un negocio del comprador, y para ello, los lances realizados sobre la oferta económica tienen como objetivo disminuir los precios</w:t>
      </w:r>
      <w:r>
        <w:rPr>
          <w:rFonts w:ascii="Verdana" w:eastAsia="Times New Roman" w:hAnsi="Verdana" w:cs="Arial"/>
        </w:rPr>
        <w:t xml:space="preserve"> de los bienes y servicios que se están ofertando</w:t>
      </w:r>
      <w:r w:rsidRPr="001E5EA5">
        <w:rPr>
          <w:rFonts w:ascii="Verdana" w:eastAsia="Times New Roman" w:hAnsi="Verdana" w:cs="Arial"/>
        </w:rPr>
        <w:t>. E</w:t>
      </w:r>
      <w:r>
        <w:rPr>
          <w:rFonts w:ascii="Verdana" w:eastAsia="Times New Roman" w:hAnsi="Verdana" w:cs="Arial"/>
        </w:rPr>
        <w:t xml:space="preserve">jemplo de este escenario, es el procedimiento de la selección abreviada mediante subasta inversa, en la que se busca </w:t>
      </w:r>
      <w:r w:rsidRPr="001E5EA5">
        <w:rPr>
          <w:rFonts w:ascii="Verdana" w:eastAsia="Times New Roman" w:hAnsi="Verdana" w:cs="Arial"/>
        </w:rPr>
        <w:t>la adquisición o s</w:t>
      </w:r>
      <w:r>
        <w:rPr>
          <w:rFonts w:ascii="Verdana" w:eastAsia="Times New Roman" w:hAnsi="Verdana" w:cs="Arial"/>
        </w:rPr>
        <w:t xml:space="preserve">uministro de bienes y servicios </w:t>
      </w:r>
      <w:r w:rsidRPr="001E5EA5">
        <w:rPr>
          <w:rFonts w:ascii="Verdana" w:eastAsia="Times New Roman" w:hAnsi="Verdana" w:cs="Arial"/>
        </w:rPr>
        <w:t xml:space="preserve">de características técnicas uniformes y de común utilización por parte de las Entidades Estatales, </w:t>
      </w:r>
      <w:r>
        <w:rPr>
          <w:rFonts w:ascii="Verdana" w:eastAsia="Times New Roman" w:hAnsi="Verdana" w:cs="Arial"/>
        </w:rPr>
        <w:t xml:space="preserve">que está regulada en el artículo </w:t>
      </w:r>
      <w:r w:rsidRPr="001E5EA5">
        <w:rPr>
          <w:rFonts w:ascii="Verdana" w:eastAsia="Times New Roman" w:hAnsi="Verdana" w:cs="Arial"/>
        </w:rPr>
        <w:t>2</w:t>
      </w:r>
      <w:r>
        <w:rPr>
          <w:rFonts w:ascii="Verdana" w:eastAsia="Times New Roman" w:hAnsi="Verdana" w:cs="Arial"/>
        </w:rPr>
        <w:t>, numeral 2, literal a)</w:t>
      </w:r>
      <w:r w:rsidRPr="001E5EA5">
        <w:rPr>
          <w:rFonts w:ascii="Verdana" w:eastAsia="Times New Roman" w:hAnsi="Verdana" w:cs="Arial"/>
        </w:rPr>
        <w:t xml:space="preserve"> de la Ley 1150 de 2007, y el artículo 2.2.1.2.1.2.2 del Decreto 1082 de 2015</w:t>
      </w:r>
      <w:r>
        <w:rPr>
          <w:rStyle w:val="Refdenotaalpie"/>
          <w:rFonts w:ascii="Verdana" w:eastAsia="Times New Roman" w:hAnsi="Verdana" w:cs="Arial"/>
        </w:rPr>
        <w:footnoteReference w:id="4"/>
      </w:r>
      <w:r w:rsidRPr="001E5EA5">
        <w:rPr>
          <w:rFonts w:ascii="Verdana" w:eastAsia="Times New Roman" w:hAnsi="Verdana" w:cs="Arial"/>
        </w:rPr>
        <w:t>.</w:t>
      </w:r>
    </w:p>
    <w:p w14:paraId="616E7A2B" w14:textId="77777777" w:rsidR="004F28FC" w:rsidRDefault="004F28FC" w:rsidP="004F28FC">
      <w:pPr>
        <w:spacing w:after="0" w:line="276" w:lineRule="auto"/>
        <w:ind w:firstLine="709"/>
        <w:jc w:val="both"/>
        <w:rPr>
          <w:rFonts w:ascii="Verdana" w:eastAsia="Times New Roman" w:hAnsi="Verdana" w:cs="Arial"/>
        </w:rPr>
      </w:pPr>
      <w:r>
        <w:rPr>
          <w:rFonts w:ascii="Verdana" w:eastAsia="Times New Roman" w:hAnsi="Verdana" w:cs="Arial"/>
          <w:lang w:val="es-ES"/>
        </w:rPr>
        <w:t xml:space="preserve">Dentro de la subasta inversa </w:t>
      </w:r>
      <w:r w:rsidRPr="001E5EA5">
        <w:rPr>
          <w:rFonts w:ascii="Verdana" w:eastAsia="Times New Roman" w:hAnsi="Verdana" w:cs="Arial"/>
        </w:rPr>
        <w:t xml:space="preserve">el único criterio de selección es el precio, </w:t>
      </w:r>
      <w:r>
        <w:rPr>
          <w:rFonts w:ascii="Verdana" w:eastAsia="Times New Roman" w:hAnsi="Verdana" w:cs="Arial"/>
        </w:rPr>
        <w:t>que se origina de los lances que son manifestación de pujas competitivas, en las que los procesos terminen en pre</w:t>
      </w:r>
      <w:r w:rsidRPr="001E5EA5">
        <w:rPr>
          <w:rFonts w:ascii="Verdana" w:eastAsia="Times New Roman" w:hAnsi="Verdana" w:cs="Arial"/>
        </w:rPr>
        <w:t xml:space="preserve">cios u ofertas bajas. </w:t>
      </w:r>
      <w:r>
        <w:rPr>
          <w:rFonts w:ascii="Verdana" w:eastAsia="Times New Roman" w:hAnsi="Verdana" w:cs="Arial"/>
        </w:rPr>
        <w:t xml:space="preserve">No obstante, dichas ofertas dentro de la audiencia de subasta </w:t>
      </w:r>
      <w:r w:rsidRPr="001E5EA5">
        <w:rPr>
          <w:rFonts w:ascii="Verdana" w:eastAsia="Times New Roman" w:hAnsi="Verdana" w:cs="Arial"/>
        </w:rPr>
        <w:t xml:space="preserve">no siempre deben </w:t>
      </w:r>
      <w:r>
        <w:rPr>
          <w:rFonts w:ascii="Verdana" w:eastAsia="Times New Roman" w:hAnsi="Verdana" w:cs="Arial"/>
        </w:rPr>
        <w:t xml:space="preserve">interpretarse como artificialmente bajas. En torno a este proceso de contratación, la Guía recomienda: </w:t>
      </w:r>
    </w:p>
    <w:p w14:paraId="66519ECF" w14:textId="77777777" w:rsidR="004F28FC" w:rsidRDefault="004F28FC" w:rsidP="004F28FC">
      <w:pPr>
        <w:spacing w:after="120" w:line="240" w:lineRule="auto"/>
        <w:jc w:val="both"/>
        <w:rPr>
          <w:rFonts w:ascii="Verdana" w:eastAsia="Times New Roman" w:hAnsi="Verdana" w:cs="Arial"/>
        </w:rPr>
      </w:pPr>
    </w:p>
    <w:p w14:paraId="64464736" w14:textId="77777777" w:rsidR="004F28FC" w:rsidRPr="009653FC" w:rsidRDefault="004F28FC" w:rsidP="004F28FC">
      <w:pPr>
        <w:pStyle w:val="Prrafodelista"/>
        <w:numPr>
          <w:ilvl w:val="0"/>
          <w:numId w:val="19"/>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rPr>
        <w:t xml:space="preserve">Verificar la oferta y su componente económico, para así determinar si los precios tienen un componente extraño que no fue posible determinar al momento de realizar el Estudio del sector, en relación </w:t>
      </w:r>
      <w:r w:rsidRPr="009653FC">
        <w:rPr>
          <w:rFonts w:ascii="Verdana" w:eastAsia="Times New Roman" w:hAnsi="Verdana" w:cs="Arial"/>
          <w:sz w:val="21"/>
          <w:szCs w:val="21"/>
        </w:rPr>
        <w:lastRenderedPageBreak/>
        <w:t xml:space="preserve">con los proveedores del bien, obra o servicio que se pretende contratar. </w:t>
      </w:r>
    </w:p>
    <w:p w14:paraId="7726BE8D" w14:textId="77777777" w:rsidR="004F28FC" w:rsidRDefault="004F28FC" w:rsidP="004F28FC">
      <w:pPr>
        <w:pStyle w:val="Prrafodelista"/>
        <w:numPr>
          <w:ilvl w:val="0"/>
          <w:numId w:val="19"/>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rPr>
        <w:t xml:space="preserve">Comparar el valor de cada oferta con el costo estimado de la provisión del bien o servicio de acuerdo con el Estudio del Sector. La verificación de ofertas artificialmente bajas puede sustentarse en información adicional a la utilizada en el Estudio del Sector, como precios de fabricantes y otros factores económicos relevantes. </w:t>
      </w:r>
    </w:p>
    <w:p w14:paraId="2469228F" w14:textId="77777777" w:rsidR="004F28FC" w:rsidRPr="009653FC" w:rsidRDefault="004F28FC" w:rsidP="004F28FC">
      <w:pPr>
        <w:pStyle w:val="Prrafodelista"/>
        <w:numPr>
          <w:ilvl w:val="0"/>
          <w:numId w:val="19"/>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lang w:val="es-CO"/>
        </w:rPr>
        <w:t xml:space="preserve">Solicitar explicaciones a los </w:t>
      </w:r>
      <w:proofErr w:type="spellStart"/>
      <w:r w:rsidRPr="009653FC">
        <w:rPr>
          <w:rFonts w:ascii="Verdana" w:eastAsia="Times New Roman" w:hAnsi="Verdana" w:cs="Arial"/>
          <w:sz w:val="21"/>
          <w:szCs w:val="21"/>
          <w:lang w:val="es-CO"/>
        </w:rPr>
        <w:t>pr</w:t>
      </w:r>
      <w:proofErr w:type="spellEnd"/>
      <w:r w:rsidRPr="009653FC">
        <w:rPr>
          <w:rFonts w:ascii="Verdana" w:eastAsia="Times New Roman" w:hAnsi="Verdana" w:cs="Arial"/>
          <w:sz w:val="21"/>
          <w:szCs w:val="21"/>
        </w:rPr>
        <w:t>oponentes cuyas ofertas sean me</w:t>
      </w:r>
      <w:proofErr w:type="spellStart"/>
      <w:r w:rsidRPr="009653FC">
        <w:rPr>
          <w:rFonts w:ascii="Verdana" w:eastAsia="Times New Roman" w:hAnsi="Verdana" w:cs="Arial"/>
          <w:sz w:val="21"/>
          <w:szCs w:val="21"/>
          <w:lang w:val="es-CO"/>
        </w:rPr>
        <w:t>nores</w:t>
      </w:r>
      <w:proofErr w:type="spellEnd"/>
      <w:r w:rsidRPr="009653FC">
        <w:rPr>
          <w:rFonts w:ascii="Verdana" w:eastAsia="Times New Roman" w:hAnsi="Verdana" w:cs="Arial"/>
          <w:sz w:val="21"/>
          <w:szCs w:val="21"/>
          <w:lang w:val="es-CO"/>
        </w:rPr>
        <w:t xml:space="preserve"> en un 20%, o un mayor porcentaje, al costo total estimado por la Entidad Estatal (comparación absoluta, ver numeral 2.1.1). </w:t>
      </w:r>
    </w:p>
    <w:p w14:paraId="705F7AD3" w14:textId="77777777" w:rsidR="004F28FC" w:rsidRPr="009653FC" w:rsidRDefault="004F28FC" w:rsidP="004F28FC">
      <w:pPr>
        <w:pStyle w:val="Prrafodelista"/>
        <w:numPr>
          <w:ilvl w:val="0"/>
          <w:numId w:val="19"/>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lang w:val="es-CO"/>
        </w:rPr>
        <w:t>Analizar la información remitida por el proponente y considerar el rechazo de las ofertas que cumplan con alguna de las condiciones establecidas en el numeral 4.2 de la presente Guía</w:t>
      </w:r>
      <w:r>
        <w:rPr>
          <w:rStyle w:val="Refdenotaalpie"/>
          <w:rFonts w:ascii="Verdana" w:eastAsia="Times New Roman" w:hAnsi="Verdana" w:cs="Arial"/>
          <w:sz w:val="21"/>
          <w:szCs w:val="21"/>
          <w:lang w:val="es-CO"/>
        </w:rPr>
        <w:footnoteReference w:id="5"/>
      </w:r>
      <w:r w:rsidRPr="009653FC">
        <w:rPr>
          <w:rFonts w:ascii="Verdana" w:eastAsia="Times New Roman" w:hAnsi="Verdana" w:cs="Arial"/>
          <w:sz w:val="21"/>
          <w:szCs w:val="21"/>
          <w:lang w:val="es-CO"/>
        </w:rPr>
        <w:t xml:space="preserve">. </w:t>
      </w:r>
    </w:p>
    <w:p w14:paraId="19F7D74F" w14:textId="77777777" w:rsidR="004F28FC" w:rsidRPr="001E5EA5" w:rsidRDefault="004F28FC" w:rsidP="004F28FC">
      <w:pPr>
        <w:spacing w:after="120" w:line="240" w:lineRule="auto"/>
        <w:ind w:firstLine="708"/>
        <w:jc w:val="both"/>
        <w:rPr>
          <w:rFonts w:ascii="Verdana" w:eastAsia="Times New Roman" w:hAnsi="Verdana" w:cs="Arial"/>
        </w:rPr>
      </w:pPr>
    </w:p>
    <w:p w14:paraId="540B9F7B" w14:textId="77777777" w:rsidR="004F28FC" w:rsidRPr="00527F01" w:rsidRDefault="004F28FC" w:rsidP="004F28FC">
      <w:pPr>
        <w:spacing w:after="120" w:line="276" w:lineRule="auto"/>
        <w:ind w:firstLine="708"/>
        <w:jc w:val="both"/>
        <w:rPr>
          <w:rFonts w:ascii="Verdana" w:hAnsi="Verdana"/>
        </w:rPr>
      </w:pPr>
      <w:r w:rsidRPr="00527F01">
        <w:rPr>
          <w:rFonts w:ascii="Verdana" w:eastAsia="Times New Roman" w:hAnsi="Verdana" w:cs="Arial"/>
        </w:rPr>
        <w:t>En este aspecto, también se destaca la importancia de hacer un análisis cuidadoso de la sostenibilidad de las ofertas</w:t>
      </w:r>
      <w:r>
        <w:rPr>
          <w:rFonts w:ascii="Verdana" w:eastAsia="Times New Roman" w:hAnsi="Verdana" w:cs="Arial"/>
        </w:rPr>
        <w:t xml:space="preserve"> en dichos procesos de contratación</w:t>
      </w:r>
      <w:r w:rsidRPr="00527F01">
        <w:rPr>
          <w:rFonts w:ascii="Verdana" w:eastAsia="Times New Roman" w:hAnsi="Verdana" w:cs="Arial"/>
        </w:rPr>
        <w:t xml:space="preserve">. Ahora bien, en el evento en que los lances presentados en la audiencia del proceso de subasta inversa se evidencian que son precios artificialmente bajos, debe tener en cuenta lo siguiente: i) requerir al oferente con relación a los precios ofertados que parecen bajos, con el fin de que sustente las razones o motivos del valor; </w:t>
      </w:r>
      <w:proofErr w:type="spellStart"/>
      <w:r w:rsidRPr="00527F01">
        <w:rPr>
          <w:rFonts w:ascii="Verdana" w:eastAsia="Times New Roman" w:hAnsi="Verdana" w:cs="Arial"/>
        </w:rPr>
        <w:t>ii</w:t>
      </w:r>
      <w:proofErr w:type="spellEnd"/>
      <w:r w:rsidRPr="00527F01">
        <w:rPr>
          <w:rFonts w:ascii="Verdana" w:eastAsia="Times New Roman" w:hAnsi="Verdana" w:cs="Arial"/>
        </w:rPr>
        <w:t>) a</w:t>
      </w:r>
      <w:r w:rsidRPr="00527F01">
        <w:rPr>
          <w:rFonts w:ascii="Verdana" w:hAnsi="Verdana"/>
        </w:rPr>
        <w:t xml:space="preserve">nalizar las explicaciones del oferente, para verificar si están sustentados en los valores ofrecidos y si son suficientes para ejecutar el contrato; </w:t>
      </w:r>
      <w:proofErr w:type="spellStart"/>
      <w:r w:rsidRPr="00527F01">
        <w:rPr>
          <w:rFonts w:ascii="Verdana" w:hAnsi="Verdana"/>
        </w:rPr>
        <w:t>iii</w:t>
      </w:r>
      <w:proofErr w:type="spellEnd"/>
      <w:r w:rsidRPr="00527F01">
        <w:rPr>
          <w:rFonts w:ascii="Verdana" w:hAnsi="Verdana"/>
        </w:rPr>
        <w:t>) definir si continúa con la evaluación de la oferta, en el sentido de que la explicación demuestra la capacidad del proponente para cumplir adecuadamente con el contrato con los precios ofertados o, si por el contrario, rechaza la oferta porque no fue sustentada</w:t>
      </w:r>
      <w:r>
        <w:rPr>
          <w:rStyle w:val="Refdenotaalpie"/>
          <w:rFonts w:ascii="Verdana" w:hAnsi="Verdana"/>
        </w:rPr>
        <w:footnoteReference w:id="6"/>
      </w:r>
      <w:r w:rsidRPr="00527F01">
        <w:rPr>
          <w:rFonts w:ascii="Verdana" w:hAnsi="Verdana"/>
        </w:rPr>
        <w:t xml:space="preserve">. Esto debe realizarse al finalizar el evento de subasta, de acuerdo con el precio ofrecido al final de esta. </w:t>
      </w:r>
    </w:p>
    <w:p w14:paraId="5CF20AD9" w14:textId="77777777" w:rsidR="004F28FC" w:rsidRPr="00527F01" w:rsidRDefault="004F28FC" w:rsidP="004F28FC">
      <w:pPr>
        <w:spacing w:after="120" w:line="276" w:lineRule="auto"/>
        <w:ind w:firstLine="708"/>
        <w:jc w:val="both"/>
        <w:rPr>
          <w:rFonts w:ascii="Verdana" w:eastAsia="Calibri" w:hAnsi="Verdana" w:cs="Arial"/>
        </w:rPr>
      </w:pPr>
      <w:r w:rsidRPr="00527F01">
        <w:rPr>
          <w:rFonts w:ascii="Verdana" w:eastAsia="Calibri" w:hAnsi="Verdana" w:cs="Arial"/>
        </w:rPr>
        <w:t xml:space="preserve">Finalmente, debe advertirse que el análisis requerido para resolver problemas específicos en torno a la verificación de ofertas que puedan resultar artificialmente bajas debe ser realizado por las Entidades.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4C970684" w14:textId="77777777" w:rsidR="004F28FC" w:rsidRPr="00E61635" w:rsidRDefault="004F28FC" w:rsidP="004F28FC">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xml:space="preserve">, en ejercicio </w:t>
      </w:r>
      <w:r w:rsidRPr="00E61635">
        <w:rPr>
          <w:rFonts w:ascii="Verdana" w:hAnsi="Verdana"/>
        </w:rPr>
        <w:lastRenderedPageBreak/>
        <w:t>de su competencia y previa valoración de los elementos fácticos y jurídicos, así como de las disposiciones legales mencionadas,</w:t>
      </w:r>
      <w:r>
        <w:rPr>
          <w:rFonts w:ascii="Verdana" w:hAnsi="Verdana"/>
        </w:rPr>
        <w:t xml:space="preserve"> en la fase de evaluación analizar los precios de las ofertas recibidas.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8E1CE11" w14:textId="77777777" w:rsidR="004F28FC" w:rsidRDefault="004F28FC" w:rsidP="004F28FC">
      <w:pPr>
        <w:spacing w:after="120" w:line="276" w:lineRule="auto"/>
        <w:jc w:val="both"/>
        <w:rPr>
          <w:rFonts w:ascii="Verdana" w:eastAsia="Calibri" w:hAnsi="Verdana" w:cs="Arial"/>
          <w:bCs/>
          <w:lang w:val="es-ES_tradnl"/>
        </w:rPr>
      </w:pPr>
    </w:p>
    <w:p w14:paraId="69AB5364" w14:textId="6219457C" w:rsidR="004F28FC" w:rsidRDefault="002A54D8" w:rsidP="002A54D8">
      <w:pPr>
        <w:pStyle w:val="Prrafodelista"/>
        <w:spacing w:after="120" w:line="276" w:lineRule="auto"/>
        <w:ind w:left="1080"/>
        <w:jc w:val="both"/>
        <w:rPr>
          <w:rFonts w:ascii="Verdana" w:eastAsia="Century Gothic" w:hAnsi="Verdana" w:cs="Century Gothic"/>
          <w:b/>
          <w:bCs/>
        </w:rPr>
      </w:pPr>
      <w:r>
        <w:rPr>
          <w:rFonts w:ascii="Verdana" w:eastAsia="Century Gothic" w:hAnsi="Verdana" w:cs="Century Gothic"/>
          <w:b/>
          <w:bCs/>
        </w:rPr>
        <w:t xml:space="preserve">4. </w:t>
      </w:r>
      <w:r w:rsidR="004F28FC" w:rsidRPr="006B4516">
        <w:rPr>
          <w:rFonts w:ascii="Verdana" w:eastAsia="Century Gothic" w:hAnsi="Verdana" w:cs="Century Gothic"/>
          <w:b/>
          <w:bCs/>
        </w:rPr>
        <w:t>Referencias normativas, jurisprudenciales y otras fuentes:</w:t>
      </w:r>
    </w:p>
    <w:p w14:paraId="4CC0CA94" w14:textId="77777777" w:rsidR="002A54D8" w:rsidRPr="006B4516" w:rsidRDefault="002A54D8" w:rsidP="002A54D8">
      <w:pPr>
        <w:pStyle w:val="Prrafodelista"/>
        <w:spacing w:after="120" w:line="276" w:lineRule="auto"/>
        <w:ind w:left="1080"/>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F28FC" w:rsidRPr="0094448B" w14:paraId="37020E4A" w14:textId="77777777" w:rsidTr="005B79F0">
        <w:trPr>
          <w:trHeight w:val="501"/>
          <w:jc w:val="center"/>
        </w:trPr>
        <w:tc>
          <w:tcPr>
            <w:tcW w:w="8647" w:type="dxa"/>
          </w:tcPr>
          <w:p w14:paraId="6CAB0EC6" w14:textId="77777777" w:rsidR="004F28FC"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80 de 1993. Artículo 26</w:t>
            </w:r>
          </w:p>
          <w:p w14:paraId="7962ADE6" w14:textId="77777777" w:rsidR="004F28FC" w:rsidRPr="005E5B81"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1150 de 2007, artículo</w:t>
            </w:r>
            <w:r>
              <w:rPr>
                <w:rFonts w:ascii="Verdana" w:hAnsi="Verdana"/>
              </w:rPr>
              <w:t>s</w:t>
            </w:r>
            <w:r w:rsidRPr="005E5B81">
              <w:rPr>
                <w:rFonts w:ascii="Verdana" w:hAnsi="Verdana"/>
              </w:rPr>
              <w:t xml:space="preserve"> 4,</w:t>
            </w:r>
            <w:r>
              <w:rPr>
                <w:rFonts w:ascii="Verdana" w:hAnsi="Verdana"/>
              </w:rPr>
              <w:t xml:space="preserve"> 5 y 7. </w:t>
            </w:r>
          </w:p>
          <w:p w14:paraId="59B64704" w14:textId="77777777" w:rsidR="004F28FC" w:rsidRPr="00156132"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Decreto 1082 de 2015, artículo 2.2.1.1.2.1.3. numeral 8 y 9 artículo 2.2.1.2.3.1.6 y 2.2.1.2.3.1.9., 2.2.1.2.3.1.13., 2.2.1.2.3.1.14</w:t>
            </w:r>
            <w:r>
              <w:rPr>
                <w:rFonts w:ascii="Verdana" w:hAnsi="Verdana"/>
              </w:rPr>
              <w:t xml:space="preserve"> 2.2.1.2.3.2.8. y 2.2.1.2.1.5.5, </w:t>
            </w:r>
            <w:r w:rsidRPr="00156132">
              <w:rPr>
                <w:rFonts w:ascii="Verdana" w:hAnsi="Verdana"/>
                <w:lang w:val="es-ES"/>
              </w:rPr>
              <w:t>2.2.1.1.1.6.1</w:t>
            </w:r>
            <w:r>
              <w:rPr>
                <w:rFonts w:ascii="Verdana" w:hAnsi="Verdana"/>
                <w:lang w:val="es-ES"/>
              </w:rPr>
              <w:t xml:space="preserve">, 2.2.1.1.2.2.3 y 2.2.1.1.2.2.4. </w:t>
            </w:r>
          </w:p>
          <w:p w14:paraId="40CF4509" w14:textId="77777777" w:rsidR="004F28FC" w:rsidRPr="005E5B81"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Código de Comercio, artículos 846, 847 y 1068 </w:t>
            </w:r>
          </w:p>
          <w:p w14:paraId="6A984947" w14:textId="77777777" w:rsidR="004F28FC" w:rsidRPr="005E5B81"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CORTE CONSTITUCIONAL. Sentencia C-452 de 1999. M.P. Eduardo Cifuentes Muñoz.</w:t>
            </w:r>
          </w:p>
          <w:p w14:paraId="6F400EEB" w14:textId="77777777" w:rsidR="004F28FC" w:rsidRPr="005E5B81"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CONSEJO DE ESTADO. Sección Tercera. Sentencia del 4 de junio de 2008. </w:t>
            </w:r>
            <w:proofErr w:type="spellStart"/>
            <w:r w:rsidRPr="005E5B81">
              <w:rPr>
                <w:rFonts w:ascii="Verdana" w:hAnsi="Verdana"/>
              </w:rPr>
              <w:t>Exp</w:t>
            </w:r>
            <w:proofErr w:type="spellEnd"/>
            <w:r w:rsidRPr="005E5B81">
              <w:rPr>
                <w:rFonts w:ascii="Verdana" w:hAnsi="Verdana"/>
              </w:rPr>
              <w:t>. No. 17.783. C.P. Myriam Guerrero de Escobar.</w:t>
            </w:r>
          </w:p>
          <w:p w14:paraId="07893D51" w14:textId="77777777" w:rsidR="004F28FC" w:rsidRPr="005E5B81" w:rsidRDefault="004F28FC" w:rsidP="004F28FC">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156132">
              <w:rPr>
                <w:rFonts w:ascii="Verdana" w:hAnsi="Verdana"/>
              </w:rPr>
              <w:t xml:space="preserve">AGENCIA NACIONAL DE CONTRATACIÓN PÚBLICA –COLOMBIA COMPRA EFICIENTE. Guía para el manejo de ofertas artificialmente bajas en procesos de contratación. Disponible en línea: </w:t>
            </w:r>
            <w:hyperlink r:id="rId11" w:history="1">
              <w:r w:rsidRPr="00156132">
                <w:rPr>
                  <w:rStyle w:val="Hipervnculo"/>
                  <w:rFonts w:ascii="Verdana" w:hAnsi="Verdana"/>
                </w:rPr>
                <w:t>https://www.colombiacompra.gov.co/archivos/manual/guia-para-el-manejo-de-ofertas-artificialmente-bajas-en-procesos-de-contratacion-2</w:t>
              </w:r>
            </w:hyperlink>
            <w:r w:rsidRPr="00156132">
              <w:rPr>
                <w:rFonts w:ascii="Verdana" w:hAnsi="Verdana"/>
              </w:rPr>
              <w:t xml:space="preserve">. </w:t>
            </w:r>
            <w:r>
              <w:rPr>
                <w:rFonts w:ascii="Verdana" w:hAnsi="Verdana"/>
              </w:rPr>
              <w:t>2024.</w:t>
            </w:r>
          </w:p>
        </w:tc>
      </w:tr>
    </w:tbl>
    <w:p w14:paraId="64EAF9C2" w14:textId="77777777" w:rsidR="004F28FC" w:rsidRPr="0094448B" w:rsidRDefault="004F28FC" w:rsidP="004F28FC">
      <w:pPr>
        <w:spacing w:after="0" w:line="276" w:lineRule="auto"/>
        <w:ind w:right="709"/>
        <w:jc w:val="both"/>
        <w:rPr>
          <w:rFonts w:ascii="Verdana" w:hAnsi="Verdana" w:cs="Arial"/>
          <w:color w:val="000000" w:themeColor="text1"/>
        </w:rPr>
      </w:pPr>
    </w:p>
    <w:p w14:paraId="257C6F41" w14:textId="5530B27F" w:rsidR="004F28FC" w:rsidRPr="002A54D8" w:rsidRDefault="002A54D8" w:rsidP="002A54D8">
      <w:pPr>
        <w:spacing w:after="0" w:line="256" w:lineRule="auto"/>
        <w:rPr>
          <w:rFonts w:ascii="Verdana" w:eastAsia="Calibri" w:hAnsi="Verdana" w:cs="Times New Roman"/>
          <w:b/>
          <w:bCs/>
        </w:rPr>
      </w:pPr>
      <w:r>
        <w:rPr>
          <w:rFonts w:ascii="Verdana" w:eastAsia="Calibri" w:hAnsi="Verdana" w:cs="Times New Roman"/>
          <w:b/>
          <w:bCs/>
        </w:rPr>
        <w:t xml:space="preserve">5. </w:t>
      </w:r>
      <w:r w:rsidR="004F28FC" w:rsidRPr="002A54D8">
        <w:rPr>
          <w:rFonts w:ascii="Verdana" w:eastAsia="Calibri" w:hAnsi="Verdana" w:cs="Times New Roman"/>
          <w:b/>
          <w:bCs/>
        </w:rPr>
        <w:t>Doctrina de la Agencia Nacional de Contratación Pública:</w:t>
      </w:r>
    </w:p>
    <w:p w14:paraId="31C4DA0B" w14:textId="77777777" w:rsidR="004F28FC" w:rsidRPr="0094448B" w:rsidRDefault="004F28FC" w:rsidP="004F28FC">
      <w:pPr>
        <w:widowControl w:val="0"/>
        <w:autoSpaceDE w:val="0"/>
        <w:autoSpaceDN w:val="0"/>
        <w:spacing w:after="0" w:line="276" w:lineRule="auto"/>
        <w:jc w:val="both"/>
        <w:rPr>
          <w:rFonts w:ascii="Verdana" w:hAnsi="Verdana" w:cs="Arial"/>
          <w:bCs/>
          <w:shd w:val="clear" w:color="auto" w:fill="FFFFFF"/>
        </w:rPr>
      </w:pPr>
    </w:p>
    <w:p w14:paraId="67EDB222" w14:textId="77777777" w:rsidR="004F28FC" w:rsidRPr="005E5B81" w:rsidRDefault="004F28FC" w:rsidP="004F28FC">
      <w:pPr>
        <w:widowControl w:val="0"/>
        <w:autoSpaceDE w:val="0"/>
        <w:autoSpaceDN w:val="0"/>
        <w:spacing w:after="0" w:line="276" w:lineRule="auto"/>
        <w:jc w:val="both"/>
        <w:rPr>
          <w:rFonts w:ascii="Verdana" w:hAnsi="Verdana" w:cs="Arial"/>
          <w:bCs/>
          <w:shd w:val="clear" w:color="auto" w:fill="FFFFFF"/>
        </w:rPr>
      </w:pPr>
      <w:r w:rsidRPr="0094448B">
        <w:rPr>
          <w:rFonts w:ascii="Verdana" w:hAnsi="Verdana" w:cs="Arial"/>
          <w:bCs/>
          <w:shd w:val="clear" w:color="auto" w:fill="FFFFFF"/>
        </w:rPr>
        <w:lastRenderedPageBreak/>
        <w:t>La Agencia Nacional de Contratación Pública – Colombia Compra Eficiente ha expedido los siguientes conceptos</w:t>
      </w:r>
      <w:r>
        <w:rPr>
          <w:rFonts w:ascii="Verdana" w:hAnsi="Verdana" w:cs="Arial"/>
          <w:bCs/>
          <w:shd w:val="clear" w:color="auto" w:fill="FFFFFF"/>
        </w:rPr>
        <w:t xml:space="preserve"> sobre precios artificialmente bajos en subasta inversa:</w:t>
      </w:r>
      <w:r w:rsidRPr="0094448B">
        <w:rPr>
          <w:rFonts w:ascii="Verdana" w:hAnsi="Verdana" w:cs="Arial"/>
          <w:bCs/>
          <w:shd w:val="clear" w:color="auto" w:fill="FFFFFF"/>
        </w:rPr>
        <w:t xml:space="preserve"> </w:t>
      </w:r>
      <w:r w:rsidRPr="005E5B81">
        <w:rPr>
          <w:rFonts w:ascii="Verdana" w:hAnsi="Verdana" w:cs="Arial"/>
          <w:bCs/>
          <w:shd w:val="clear" w:color="auto" w:fill="FFFFFF"/>
          <w:lang w:val="es-ES"/>
        </w:rPr>
        <w:t xml:space="preserve">C–163 del 31 de marzo de 2020, C–200 del 14 de abril de 2020, C–767 del 7 de enero de 2021, C-205 del 7 de mayo de 2021, C-299 del 14 de mayo de 2022, C-484 de 2022, C-952 del 20 de enero de 2023, C-860 del 27 de diciembre de 2024, C-329 del 25 de abril de 2025, C-573 del 16 de junio de 2025, C-769 de 25 de julio de 2025, </w:t>
      </w:r>
      <w:r>
        <w:rPr>
          <w:rFonts w:ascii="Verdana" w:hAnsi="Verdana" w:cs="Arial"/>
          <w:bCs/>
          <w:shd w:val="clear" w:color="auto" w:fill="FFFFFF"/>
          <w:lang w:val="es-ES"/>
        </w:rPr>
        <w:t xml:space="preserve">C-1042 del 5 de septiembre de 2025, C-1069 del 12 de septiembre de 2025 y 1237 de 2025, </w:t>
      </w:r>
      <w:r w:rsidRPr="005E5B81">
        <w:rPr>
          <w:rFonts w:ascii="Verdana" w:hAnsi="Verdana" w:cs="Arial"/>
          <w:bCs/>
          <w:shd w:val="clear" w:color="auto" w:fill="FFFFFF"/>
          <w:lang w:val="es-ES"/>
        </w:rPr>
        <w:t>entre otros</w:t>
      </w:r>
      <w:r>
        <w:rPr>
          <w:rFonts w:ascii="Verdana" w:hAnsi="Verdana" w:cs="Arial"/>
          <w:bCs/>
          <w:shd w:val="clear" w:color="auto" w:fill="FFFFFF"/>
          <w:lang w:val="es-ES"/>
        </w:rPr>
        <w:t xml:space="preserve">. </w:t>
      </w:r>
      <w:r w:rsidRPr="0094448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4D7AFE6" w14:textId="77777777" w:rsidR="004F28FC" w:rsidRPr="0094448B" w:rsidRDefault="004F28FC" w:rsidP="004F28FC">
      <w:pPr>
        <w:spacing w:after="0" w:line="256" w:lineRule="auto"/>
        <w:jc w:val="both"/>
        <w:rPr>
          <w:rFonts w:ascii="Verdana" w:eastAsia="Calibri" w:hAnsi="Verdana" w:cs="Times New Roman"/>
        </w:rPr>
      </w:pPr>
      <w:hyperlink r:id="rId12" w:history="1">
        <w:r w:rsidRPr="0094448B">
          <w:rPr>
            <w:rFonts w:ascii="Verdana" w:eastAsia="Calibri" w:hAnsi="Verdana" w:cs="Times New Roman"/>
            <w:color w:val="0000FF"/>
            <w:u w:val="single"/>
            <w:lang w:val="es-ES"/>
          </w:rPr>
          <w:t>https://relatoria.colombiacompra.gov.co/busqueda/conceptos</w:t>
        </w:r>
      </w:hyperlink>
      <w:r w:rsidRPr="0094448B">
        <w:rPr>
          <w:rFonts w:ascii="Verdana" w:eastAsia="Calibri" w:hAnsi="Verdana" w:cs="Times New Roman"/>
        </w:rPr>
        <w:t xml:space="preserve">. </w:t>
      </w:r>
    </w:p>
    <w:p w14:paraId="0183D377" w14:textId="77777777" w:rsidR="004F28FC" w:rsidRPr="0094448B" w:rsidRDefault="004F28FC" w:rsidP="004F28FC">
      <w:pPr>
        <w:spacing w:after="0" w:line="256" w:lineRule="auto"/>
        <w:jc w:val="both"/>
        <w:rPr>
          <w:rFonts w:ascii="Verdana" w:eastAsia="Calibri" w:hAnsi="Verdana" w:cs="Times New Roman"/>
        </w:rPr>
      </w:pPr>
    </w:p>
    <w:p w14:paraId="39542597" w14:textId="77777777" w:rsidR="004F28FC" w:rsidRPr="00067BB4" w:rsidRDefault="004F28FC" w:rsidP="004F28FC">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67BB4">
        <w:rPr>
          <w:rFonts w:ascii="Verdana" w:hAnsi="Verdana"/>
        </w:rPr>
        <w:t>Wayúu</w:t>
      </w:r>
      <w:proofErr w:type="spellEnd"/>
      <w:r w:rsidRPr="00067BB4">
        <w:rPr>
          <w:rFonts w:ascii="Verdana" w:hAnsi="Verdana"/>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6C32F5E2" w14:textId="77777777" w:rsidR="004F28FC" w:rsidRPr="00CC5C68" w:rsidRDefault="004F28FC" w:rsidP="004F28FC">
      <w:pPr>
        <w:spacing w:after="0" w:line="240" w:lineRule="auto"/>
        <w:jc w:val="both"/>
        <w:rPr>
          <w:rFonts w:ascii="Verdana" w:hAnsi="Verdana"/>
        </w:rPr>
      </w:pPr>
    </w:p>
    <w:p w14:paraId="7A0FD735" w14:textId="77777777" w:rsidR="004F28FC" w:rsidRPr="00CC5C68" w:rsidRDefault="004F28FC" w:rsidP="004F28FC">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4CC0130D" w14:textId="77777777" w:rsidR="004F28FC" w:rsidRPr="00CC5C68" w:rsidRDefault="004F28FC" w:rsidP="004F28FC">
      <w:pPr>
        <w:spacing w:after="0" w:line="240" w:lineRule="auto"/>
        <w:jc w:val="both"/>
        <w:rPr>
          <w:rFonts w:ascii="Verdana" w:hAnsi="Verdana"/>
        </w:rPr>
      </w:pPr>
    </w:p>
    <w:p w14:paraId="7FA7AADE" w14:textId="77777777" w:rsidR="004F28FC" w:rsidRPr="00CC5C68" w:rsidRDefault="004F28FC" w:rsidP="004F28FC">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5E52FBFC" w14:textId="77777777" w:rsidR="004F28FC" w:rsidRPr="00CC5C68" w:rsidRDefault="004F28FC" w:rsidP="004F28FC">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3099DDC5" w14:textId="77777777" w:rsidR="004F28FC" w:rsidRPr="00CC5C68" w:rsidRDefault="004F28FC" w:rsidP="004F28FC">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19DDA5A3" w14:textId="77777777" w:rsidR="004F28FC" w:rsidRPr="0044528D" w:rsidRDefault="004F28FC" w:rsidP="004F28FC">
      <w:pPr>
        <w:widowControl w:val="0"/>
        <w:autoSpaceDE w:val="0"/>
        <w:autoSpaceDN w:val="0"/>
        <w:spacing w:after="0" w:line="276" w:lineRule="auto"/>
        <w:jc w:val="both"/>
        <w:rPr>
          <w:rFonts w:ascii="Verdana" w:hAnsi="Verdana"/>
        </w:rPr>
      </w:pPr>
    </w:p>
    <w:p w14:paraId="6728143C" w14:textId="77777777" w:rsidR="004F28FC" w:rsidRPr="00CC5C68" w:rsidRDefault="004F28FC" w:rsidP="004F28FC">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 xml:space="preserve">y las expresiones aquí utilizadas con mayúscula inicial deben ser entendidas con el </w:t>
      </w:r>
      <w:r w:rsidRPr="00CC5C68">
        <w:rPr>
          <w:rFonts w:ascii="Verdana" w:hAnsi="Verdana" w:cs="Arial"/>
          <w:lang w:val="es-ES_tradnl"/>
        </w:rPr>
        <w:lastRenderedPageBreak/>
        <w:t>significado que les otorga el artículo 2.2.1.1.1.3.1. del Decreto 1082 de 2015.</w:t>
      </w:r>
    </w:p>
    <w:p w14:paraId="079D4094" w14:textId="77777777" w:rsidR="004F28FC" w:rsidRPr="00CC5C68" w:rsidRDefault="004F28FC" w:rsidP="004F28FC">
      <w:pPr>
        <w:spacing w:after="0" w:line="276" w:lineRule="auto"/>
        <w:ind w:firstLine="709"/>
        <w:jc w:val="both"/>
        <w:rPr>
          <w:rFonts w:ascii="Verdana" w:eastAsia="Times New Roman" w:hAnsi="Verdana" w:cs="Arial"/>
          <w:szCs w:val="24"/>
          <w:lang w:val="es-ES_tradnl" w:eastAsia="es-ES_tradnl"/>
        </w:rPr>
      </w:pPr>
    </w:p>
    <w:p w14:paraId="36C32E21" w14:textId="77777777" w:rsidR="004F28FC" w:rsidRPr="00CC5C68" w:rsidRDefault="004F28FC" w:rsidP="004F28FC">
      <w:pPr>
        <w:spacing w:after="0" w:line="276" w:lineRule="auto"/>
        <w:jc w:val="both"/>
        <w:rPr>
          <w:rFonts w:ascii="Verdana" w:eastAsia="Times New Roman" w:hAnsi="Verdana" w:cs="Arial"/>
          <w:lang w:val="es-ES_tradnl" w:eastAsia="es-CO"/>
        </w:rPr>
      </w:pPr>
      <w:bookmarkStart w:id="0" w:name="_Hlk117695077"/>
      <w:r w:rsidRPr="00CC5C68">
        <w:rPr>
          <w:rFonts w:ascii="Verdana" w:eastAsia="Times New Roman" w:hAnsi="Verdana" w:cs="Arial"/>
          <w:lang w:val="es-ES_tradnl" w:eastAsia="es-CO"/>
        </w:rPr>
        <w:t>Atentamente,</w:t>
      </w:r>
    </w:p>
    <w:bookmarkEnd w:id="0"/>
    <w:p w14:paraId="46F30165" w14:textId="6069ABD7" w:rsidR="00200D48" w:rsidRPr="00960F72" w:rsidRDefault="002A54D8" w:rsidP="00200D48">
      <w:pPr>
        <w:spacing w:line="276" w:lineRule="auto"/>
        <w:jc w:val="center"/>
        <w:rPr>
          <w:rFonts w:ascii="Verdana" w:hAnsi="Verdana"/>
        </w:rPr>
      </w:pPr>
      <w:r>
        <w:rPr>
          <w:rFonts w:ascii="Verdana" w:hAnsi="Verdana"/>
          <w:noProof/>
        </w:rPr>
        <w:drawing>
          <wp:inline distT="0" distB="0" distL="0" distR="0" wp14:anchorId="50F24D6B" wp14:editId="67CE6567">
            <wp:extent cx="3639058" cy="1343212"/>
            <wp:effectExtent l="114300" t="457200" r="114300" b="466725"/>
            <wp:docPr id="70128286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282868"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rot="900000">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00D48" w:rsidRPr="00960F72" w14:paraId="789279F7" w14:textId="77777777" w:rsidTr="008326D5">
        <w:trPr>
          <w:trHeight w:val="315"/>
        </w:trPr>
        <w:tc>
          <w:tcPr>
            <w:tcW w:w="893" w:type="dxa"/>
            <w:vAlign w:val="center"/>
            <w:hideMark/>
          </w:tcPr>
          <w:p w14:paraId="73895329" w14:textId="77777777" w:rsidR="00200D48" w:rsidRPr="00960F72" w:rsidRDefault="00200D48" w:rsidP="008326D5">
            <w:pPr>
              <w:contextualSpacing/>
              <w:rPr>
                <w:rFonts w:ascii="Verdana" w:hAnsi="Verdana" w:cs="Arial"/>
                <w:sz w:val="16"/>
                <w:szCs w:val="16"/>
                <w:lang w:eastAsia="es-ES"/>
              </w:rPr>
            </w:pPr>
            <w:bookmarkStart w:id="1" w:name="_Hlk210670112"/>
            <w:r w:rsidRPr="00960F72">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6483311" w14:textId="77777777" w:rsidR="00200D48" w:rsidRPr="00960F72" w:rsidRDefault="00200D48" w:rsidP="008326D5">
            <w:pPr>
              <w:contextualSpacing/>
              <w:rPr>
                <w:rFonts w:ascii="Verdana" w:hAnsi="Verdana"/>
                <w:sz w:val="16"/>
                <w:szCs w:val="16"/>
              </w:rPr>
            </w:pPr>
            <w:r w:rsidRPr="00960F72">
              <w:rPr>
                <w:rFonts w:ascii="Verdana" w:hAnsi="Verdana"/>
                <w:sz w:val="16"/>
                <w:szCs w:val="16"/>
              </w:rPr>
              <w:t>Gloria Elizabeth Arango Builes</w:t>
            </w:r>
          </w:p>
          <w:p w14:paraId="4ADC1806" w14:textId="77777777" w:rsidR="00200D48" w:rsidRPr="00960F72" w:rsidRDefault="00200D48" w:rsidP="008326D5">
            <w:pPr>
              <w:contextualSpacing/>
              <w:rPr>
                <w:rFonts w:ascii="Verdana" w:eastAsia="Arial" w:hAnsi="Verdana" w:cs="Arial"/>
                <w:sz w:val="16"/>
                <w:szCs w:val="16"/>
              </w:rPr>
            </w:pPr>
            <w:r w:rsidRPr="00960F72">
              <w:rPr>
                <w:rFonts w:ascii="Verdana" w:hAnsi="Verdana"/>
                <w:sz w:val="16"/>
                <w:szCs w:val="16"/>
              </w:rPr>
              <w:t>Contratista de la Subdirección de Gestión Contractual</w:t>
            </w:r>
          </w:p>
        </w:tc>
      </w:tr>
      <w:tr w:rsidR="00200D48" w:rsidRPr="00960F72" w14:paraId="25A82D87" w14:textId="77777777" w:rsidTr="008326D5">
        <w:trPr>
          <w:trHeight w:val="330"/>
        </w:trPr>
        <w:tc>
          <w:tcPr>
            <w:tcW w:w="893" w:type="dxa"/>
            <w:vAlign w:val="center"/>
            <w:hideMark/>
          </w:tcPr>
          <w:p w14:paraId="265DE621" w14:textId="77777777" w:rsidR="00200D48" w:rsidRPr="00960F72" w:rsidRDefault="00200D48" w:rsidP="008326D5">
            <w:pPr>
              <w:contextualSpacing/>
              <w:rPr>
                <w:rFonts w:ascii="Verdana" w:hAnsi="Verdana" w:cs="Arial"/>
                <w:sz w:val="16"/>
                <w:szCs w:val="16"/>
                <w:lang w:eastAsia="es-ES"/>
              </w:rPr>
            </w:pPr>
            <w:r w:rsidRPr="00960F7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B523AF4" w14:textId="77777777" w:rsidR="00200D48" w:rsidRPr="00960F72" w:rsidRDefault="00200D48" w:rsidP="008326D5">
            <w:pPr>
              <w:spacing w:line="276" w:lineRule="auto"/>
              <w:contextualSpacing/>
              <w:jc w:val="both"/>
              <w:rPr>
                <w:rFonts w:ascii="Verdana" w:hAnsi="Verdana"/>
                <w:sz w:val="16"/>
                <w:szCs w:val="16"/>
              </w:rPr>
            </w:pPr>
            <w:r w:rsidRPr="00960F72">
              <w:rPr>
                <w:rFonts w:ascii="Verdana" w:hAnsi="Verdana"/>
                <w:sz w:val="16"/>
                <w:szCs w:val="16"/>
              </w:rPr>
              <w:t>Diana Lucía Saavedra Castañeda</w:t>
            </w:r>
          </w:p>
          <w:p w14:paraId="1CACA0F9" w14:textId="77777777" w:rsidR="00200D48" w:rsidRPr="00960F72" w:rsidRDefault="00200D48" w:rsidP="008326D5">
            <w:pPr>
              <w:spacing w:line="276" w:lineRule="auto"/>
              <w:contextualSpacing/>
              <w:jc w:val="both"/>
              <w:rPr>
                <w:rFonts w:ascii="Verdana" w:hAnsi="Verdana" w:cstheme="minorHAnsi"/>
                <w:sz w:val="16"/>
                <w:szCs w:val="16"/>
              </w:rPr>
            </w:pPr>
            <w:r w:rsidRPr="00960F72">
              <w:rPr>
                <w:rStyle w:val="normaltextrun"/>
                <w:rFonts w:ascii="Verdana" w:eastAsia="Arial" w:hAnsi="Verdana"/>
                <w:sz w:val="16"/>
                <w:szCs w:val="16"/>
              </w:rPr>
              <w:t>Contratita de la</w:t>
            </w:r>
            <w:r w:rsidRPr="00960F72">
              <w:rPr>
                <w:rStyle w:val="normaltextrun"/>
                <w:rFonts w:ascii="Verdana" w:eastAsia="Arial" w:hAnsi="Verdana" w:cs="Arial"/>
                <w:sz w:val="16"/>
                <w:szCs w:val="16"/>
              </w:rPr>
              <w:t xml:space="preserve"> Subdirección de Gestión Contractual</w:t>
            </w:r>
          </w:p>
        </w:tc>
      </w:tr>
      <w:tr w:rsidR="00200D48" w:rsidRPr="00960F72" w14:paraId="32DA7D0D" w14:textId="77777777" w:rsidTr="008326D5">
        <w:trPr>
          <w:trHeight w:val="330"/>
        </w:trPr>
        <w:tc>
          <w:tcPr>
            <w:tcW w:w="893" w:type="dxa"/>
            <w:vAlign w:val="center"/>
          </w:tcPr>
          <w:p w14:paraId="3FE748F1" w14:textId="77777777" w:rsidR="00200D48" w:rsidRPr="00960F72" w:rsidRDefault="00200D48" w:rsidP="008326D5">
            <w:pPr>
              <w:contextualSpacing/>
              <w:rPr>
                <w:rFonts w:ascii="Verdana" w:hAnsi="Verdana" w:cs="Arial"/>
                <w:sz w:val="16"/>
                <w:szCs w:val="16"/>
                <w:lang w:eastAsia="es-ES"/>
              </w:rPr>
            </w:pPr>
            <w:r w:rsidRPr="00960F7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6E62888" w14:textId="77777777" w:rsidR="00200D48" w:rsidRPr="00960F72" w:rsidRDefault="00200D48" w:rsidP="008326D5">
            <w:pPr>
              <w:contextualSpacing/>
              <w:rPr>
                <w:rFonts w:ascii="Verdana" w:eastAsia="Calibri" w:hAnsi="Verdana" w:cs="Arial"/>
                <w:sz w:val="16"/>
                <w:szCs w:val="16"/>
                <w:lang w:eastAsia="es-ES"/>
              </w:rPr>
            </w:pPr>
            <w:r w:rsidRPr="00960F72">
              <w:rPr>
                <w:rFonts w:ascii="Verdana" w:eastAsia="Calibri" w:hAnsi="Verdana" w:cs="Arial"/>
                <w:sz w:val="16"/>
                <w:szCs w:val="16"/>
                <w:lang w:eastAsia="es-ES"/>
              </w:rPr>
              <w:t xml:space="preserve">Carolina Quintero </w:t>
            </w:r>
            <w:proofErr w:type="spellStart"/>
            <w:r w:rsidRPr="00960F72">
              <w:rPr>
                <w:rFonts w:ascii="Verdana" w:eastAsia="Calibri" w:hAnsi="Verdana" w:cs="Arial"/>
                <w:sz w:val="16"/>
                <w:szCs w:val="16"/>
                <w:lang w:eastAsia="es-ES"/>
              </w:rPr>
              <w:t>Gacharná</w:t>
            </w:r>
            <w:proofErr w:type="spellEnd"/>
          </w:p>
          <w:p w14:paraId="66ADC138" w14:textId="77777777" w:rsidR="00200D48" w:rsidRPr="00960F72" w:rsidRDefault="00200D48" w:rsidP="008326D5">
            <w:pPr>
              <w:spacing w:line="276" w:lineRule="auto"/>
              <w:contextualSpacing/>
              <w:jc w:val="both"/>
              <w:rPr>
                <w:rFonts w:ascii="Verdana" w:hAnsi="Verdana"/>
                <w:sz w:val="16"/>
                <w:szCs w:val="16"/>
              </w:rPr>
            </w:pPr>
            <w:r w:rsidRPr="00960F72">
              <w:rPr>
                <w:rFonts w:ascii="Verdana" w:eastAsia="Calibri" w:hAnsi="Verdana" w:cs="Arial"/>
                <w:sz w:val="16"/>
                <w:szCs w:val="16"/>
                <w:lang w:eastAsia="es-ES"/>
              </w:rPr>
              <w:t xml:space="preserve">Subdirectora de Gestión </w:t>
            </w:r>
            <w:proofErr w:type="spellStart"/>
            <w:r w:rsidRPr="00960F72">
              <w:rPr>
                <w:rFonts w:ascii="Verdana" w:eastAsia="Calibri" w:hAnsi="Verdana" w:cs="Arial"/>
                <w:sz w:val="16"/>
                <w:szCs w:val="16"/>
                <w:lang w:eastAsia="es-ES"/>
              </w:rPr>
              <w:t>Contratual</w:t>
            </w:r>
            <w:proofErr w:type="spellEnd"/>
            <w:r w:rsidRPr="00960F72">
              <w:rPr>
                <w:rFonts w:ascii="Verdana" w:eastAsia="Calibri" w:hAnsi="Verdana" w:cs="Arial"/>
                <w:sz w:val="16"/>
                <w:szCs w:val="16"/>
                <w:lang w:eastAsia="es-ES"/>
              </w:rPr>
              <w:t xml:space="preserve"> - ANCP – CCE</w:t>
            </w:r>
          </w:p>
        </w:tc>
      </w:tr>
      <w:bookmarkEnd w:id="1"/>
    </w:tbl>
    <w:p w14:paraId="02FC314B" w14:textId="77777777" w:rsidR="00200D48" w:rsidRPr="00960F72" w:rsidRDefault="00200D48" w:rsidP="00200D48"/>
    <w:p w14:paraId="1FFBCE5C" w14:textId="77777777" w:rsidR="00200D48" w:rsidRPr="00960F72" w:rsidRDefault="00200D48" w:rsidP="00200D48"/>
    <w:p w14:paraId="1A28572C" w14:textId="77777777" w:rsidR="00200D48" w:rsidRPr="00960F72" w:rsidRDefault="00200D48" w:rsidP="00200D48"/>
    <w:p w14:paraId="18A502DC" w14:textId="77777777" w:rsidR="00200D48" w:rsidRPr="00960F72" w:rsidRDefault="00200D48" w:rsidP="00200D48"/>
    <w:p w14:paraId="0D6B7D87" w14:textId="77777777" w:rsidR="00200D48" w:rsidRPr="00960F72" w:rsidRDefault="00200D48" w:rsidP="00200D48"/>
    <w:p w14:paraId="6FBB6215" w14:textId="77777777" w:rsidR="00200D48" w:rsidRPr="003B6CA8" w:rsidRDefault="00200D48" w:rsidP="00200D48"/>
    <w:p w14:paraId="02AEA8C2" w14:textId="77777777" w:rsidR="00200D48" w:rsidRPr="00B2454C" w:rsidRDefault="00200D48" w:rsidP="00200D48"/>
    <w:p w14:paraId="018CC7F6" w14:textId="77777777" w:rsidR="00200D48" w:rsidRPr="00E4193C" w:rsidRDefault="00200D48" w:rsidP="00200D48"/>
    <w:p w14:paraId="0F293BF4" w14:textId="3960AE23" w:rsidR="00127233" w:rsidRPr="00200D48" w:rsidRDefault="00127233" w:rsidP="00200D48"/>
    <w:sectPr w:rsidR="00127233" w:rsidRPr="00200D4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EEC80" w14:textId="77777777" w:rsidR="00AA2ECF" w:rsidRDefault="00AA2ECF" w:rsidP="004A1847">
      <w:pPr>
        <w:spacing w:after="0" w:line="240" w:lineRule="auto"/>
      </w:pPr>
      <w:r>
        <w:separator/>
      </w:r>
    </w:p>
  </w:endnote>
  <w:endnote w:type="continuationSeparator" w:id="0">
    <w:p w14:paraId="6C87F231" w14:textId="77777777" w:rsidR="00AA2ECF" w:rsidRDefault="00AA2EC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E76CB" w14:textId="77777777" w:rsidR="00AA2ECF" w:rsidRDefault="00AA2ECF" w:rsidP="004A1847">
      <w:pPr>
        <w:spacing w:after="0" w:line="240" w:lineRule="auto"/>
      </w:pPr>
      <w:r>
        <w:separator/>
      </w:r>
    </w:p>
  </w:footnote>
  <w:footnote w:type="continuationSeparator" w:id="0">
    <w:p w14:paraId="0CF62683" w14:textId="77777777" w:rsidR="00AA2ECF" w:rsidRDefault="00AA2ECF" w:rsidP="004A1847">
      <w:pPr>
        <w:spacing w:after="0" w:line="240" w:lineRule="auto"/>
      </w:pPr>
      <w:r>
        <w:continuationSeparator/>
      </w:r>
    </w:p>
  </w:footnote>
  <w:footnote w:id="1">
    <w:p w14:paraId="78CD82F3" w14:textId="77777777" w:rsidR="004F28FC" w:rsidRPr="00666BAC" w:rsidRDefault="004F28FC" w:rsidP="004F28FC">
      <w:pPr>
        <w:spacing w:after="0" w:line="240" w:lineRule="auto"/>
        <w:ind w:firstLine="709"/>
        <w:jc w:val="both"/>
        <w:rPr>
          <w:rFonts w:ascii="Verdana" w:hAnsi="Verdana"/>
          <w:sz w:val="16"/>
          <w:szCs w:val="16"/>
        </w:rPr>
      </w:pPr>
      <w:r w:rsidRPr="00666BAC">
        <w:rPr>
          <w:rStyle w:val="Refdenotaalpie"/>
          <w:rFonts w:ascii="Verdana" w:hAnsi="Verdana"/>
          <w:sz w:val="16"/>
          <w:szCs w:val="16"/>
        </w:rPr>
        <w:footnoteRef/>
      </w:r>
      <w:r w:rsidRPr="00666BAC">
        <w:rPr>
          <w:rFonts w:ascii="Verdana" w:hAnsi="Verdana"/>
          <w:sz w:val="16"/>
          <w:szCs w:val="16"/>
        </w:rPr>
        <w:t xml:space="preserve"> Ley 80 de 1993: “Artículo 26. Del Principio de Responsabilidad. En virtud de este principio:</w:t>
      </w:r>
    </w:p>
    <w:p w14:paraId="7F2591BE" w14:textId="77777777" w:rsidR="004F28FC" w:rsidRPr="00666BAC" w:rsidRDefault="004F28FC" w:rsidP="004F28FC">
      <w:pPr>
        <w:spacing w:after="0" w:line="240" w:lineRule="auto"/>
        <w:ind w:firstLine="709"/>
        <w:jc w:val="both"/>
        <w:rPr>
          <w:rFonts w:ascii="Verdana" w:hAnsi="Verdana"/>
          <w:sz w:val="16"/>
          <w:szCs w:val="16"/>
        </w:rPr>
      </w:pPr>
      <w:r w:rsidRPr="00666BAC">
        <w:rPr>
          <w:rFonts w:ascii="Verdana" w:hAnsi="Verdana"/>
          <w:sz w:val="16"/>
          <w:szCs w:val="16"/>
        </w:rPr>
        <w:t>[…]</w:t>
      </w:r>
    </w:p>
    <w:p w14:paraId="5F5534C3" w14:textId="77777777" w:rsidR="004F28FC" w:rsidRPr="00666BAC" w:rsidRDefault="004F28FC" w:rsidP="004F28FC">
      <w:pPr>
        <w:spacing w:after="0" w:line="240" w:lineRule="auto"/>
        <w:ind w:firstLine="709"/>
        <w:jc w:val="both"/>
        <w:rPr>
          <w:rFonts w:ascii="Verdana" w:hAnsi="Verdana"/>
          <w:sz w:val="16"/>
          <w:szCs w:val="16"/>
        </w:rPr>
      </w:pPr>
      <w:r w:rsidRPr="00666BAC">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footnote>
  <w:footnote w:id="2">
    <w:p w14:paraId="62D5F7BA" w14:textId="77777777" w:rsidR="004F28FC" w:rsidRPr="00666BAC" w:rsidRDefault="004F28FC" w:rsidP="004F28FC">
      <w:pPr>
        <w:pStyle w:val="Textonotapie"/>
        <w:ind w:firstLine="709"/>
        <w:jc w:val="both"/>
        <w:rPr>
          <w:rFonts w:ascii="Verdana" w:hAnsi="Verdana" w:cs="Arial"/>
          <w:sz w:val="16"/>
          <w:szCs w:val="16"/>
        </w:rPr>
      </w:pPr>
      <w:r w:rsidRPr="00666BAC">
        <w:rPr>
          <w:rStyle w:val="Refdenotaalpie"/>
          <w:rFonts w:ascii="Verdana" w:hAnsi="Verdana" w:cs="Arial"/>
          <w:sz w:val="16"/>
          <w:szCs w:val="16"/>
        </w:rPr>
        <w:footnoteRef/>
      </w:r>
      <w:r w:rsidRPr="00666BAC">
        <w:rPr>
          <w:rFonts w:ascii="Verdana" w:hAnsi="Verdana" w:cs="Arial"/>
          <w:sz w:val="16"/>
          <w:szCs w:val="16"/>
        </w:rPr>
        <w:t xml:space="preserve"> Decreto 1082 de 2015: </w:t>
      </w:r>
      <w:r w:rsidRPr="00666BAC">
        <w:rPr>
          <w:rFonts w:ascii="Verdana" w:eastAsia="Times New Roman" w:hAnsi="Verdana" w:cs="Arial"/>
          <w:sz w:val="16"/>
          <w:szCs w:val="16"/>
          <w:lang w:val="es-CO"/>
        </w:rPr>
        <w:t>“</w:t>
      </w:r>
      <w:r w:rsidRPr="00666BAC">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458D8112" w14:textId="77777777" w:rsidR="004F28FC" w:rsidRPr="00666BAC" w:rsidRDefault="004F28FC" w:rsidP="004F28FC">
      <w:pPr>
        <w:pStyle w:val="Textonotapie"/>
        <w:ind w:firstLine="709"/>
        <w:jc w:val="both"/>
        <w:rPr>
          <w:rFonts w:ascii="Verdana" w:hAnsi="Verdana" w:cs="Arial"/>
          <w:sz w:val="16"/>
          <w:szCs w:val="16"/>
        </w:rPr>
      </w:pPr>
      <w:r w:rsidRPr="00666BAC">
        <w:rPr>
          <w:rFonts w:ascii="Verdana" w:hAnsi="Verdana" w:cs="Arial"/>
          <w:sz w:val="16"/>
          <w:szCs w:val="16"/>
        </w:rPr>
        <w:t>Los miembros del comité evaluador están sujetos al régimen de inhabilidades e incompatibilidades y conflicto de interés previstos en la Constitución y la ley.</w:t>
      </w:r>
    </w:p>
    <w:p w14:paraId="609D7BF5" w14:textId="77777777" w:rsidR="004F28FC" w:rsidRPr="00666BAC" w:rsidRDefault="004F28FC" w:rsidP="004F28FC">
      <w:pPr>
        <w:pStyle w:val="Textonotapie"/>
        <w:ind w:firstLine="709"/>
        <w:jc w:val="both"/>
        <w:rPr>
          <w:rFonts w:ascii="Verdana" w:hAnsi="Verdana" w:cs="Arial"/>
          <w:sz w:val="16"/>
          <w:szCs w:val="16"/>
          <w:lang w:val="es-ES"/>
        </w:rPr>
      </w:pPr>
      <w:r w:rsidRPr="00666BAC">
        <w:rPr>
          <w:rFonts w:ascii="Verdana" w:hAnsi="Verdana" w:cs="Arial"/>
          <w:sz w:val="16"/>
          <w:szCs w:val="16"/>
        </w:rPr>
        <w:t>La verificación y la evaluación de las ofertas para la mínima cuantía será adelantada por quien sea designado por el ordenador del gasto sin que se requiera un comité plural”.</w:t>
      </w:r>
    </w:p>
  </w:footnote>
  <w:footnote w:id="3">
    <w:p w14:paraId="14A95FD7" w14:textId="77777777" w:rsidR="004F28FC" w:rsidRPr="00666BAC" w:rsidRDefault="004F28FC" w:rsidP="004F28FC">
      <w:pPr>
        <w:pStyle w:val="Textonotapie"/>
        <w:ind w:firstLine="708"/>
        <w:jc w:val="both"/>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AGENCIA NACIONAL DE CONTRATACIÓN PÚBLICA –COLOMBIA COMPRA EFICIENTE. Guía para el manejo de ofertas artificialmente bajas en procesos de contratación. Disponible en línea: </w:t>
      </w:r>
      <w:hyperlink r:id="rId1" w:history="1">
        <w:r w:rsidRPr="00666BAC">
          <w:rPr>
            <w:rStyle w:val="Hipervnculo"/>
            <w:rFonts w:ascii="Verdana" w:hAnsi="Verdana"/>
            <w:sz w:val="16"/>
            <w:szCs w:val="16"/>
          </w:rPr>
          <w:t>https://www.colombiacompra.gov.co/archivos/manual/guia-para-el-manejo-de-ofertas-artificialmente-bajas-en-procesos-de-contratacion-2</w:t>
        </w:r>
      </w:hyperlink>
      <w:r w:rsidRPr="00666BAC">
        <w:rPr>
          <w:rFonts w:ascii="Verdana" w:hAnsi="Verdana"/>
          <w:sz w:val="16"/>
          <w:szCs w:val="16"/>
        </w:rPr>
        <w:t xml:space="preserve">. 2024. p.14. </w:t>
      </w:r>
    </w:p>
  </w:footnote>
  <w:footnote w:id="4">
    <w:p w14:paraId="40CE7BEB" w14:textId="77777777" w:rsidR="004F28FC" w:rsidRPr="00666BAC" w:rsidRDefault="004F28FC" w:rsidP="004F28FC">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14. </w:t>
      </w:r>
    </w:p>
  </w:footnote>
  <w:footnote w:id="5">
    <w:p w14:paraId="4C74C4C8" w14:textId="77777777" w:rsidR="004F28FC" w:rsidRPr="00666BAC" w:rsidRDefault="004F28FC" w:rsidP="004F28FC">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15. </w:t>
      </w:r>
    </w:p>
  </w:footnote>
  <w:footnote w:id="6">
    <w:p w14:paraId="36AE0167" w14:textId="77777777" w:rsidR="004F28FC" w:rsidRPr="00666BAC" w:rsidRDefault="004F28FC" w:rsidP="004F28FC">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Ibidem., p. 16.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5C0276A9"/>
    <w:multiLevelType w:val="hybridMultilevel"/>
    <w:tmpl w:val="6484BC98"/>
    <w:lvl w:ilvl="0" w:tplc="0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228268696">
    <w:abstractNumId w:val="10"/>
  </w:num>
  <w:num w:numId="18" w16cid:durableId="685055289">
    <w:abstractNumId w:val="4"/>
  </w:num>
  <w:num w:numId="19" w16cid:durableId="2881235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00D48"/>
    <w:rsid w:val="00222330"/>
    <w:rsid w:val="002421BB"/>
    <w:rsid w:val="0025796E"/>
    <w:rsid w:val="002707A2"/>
    <w:rsid w:val="002951A0"/>
    <w:rsid w:val="002962BC"/>
    <w:rsid w:val="002A093D"/>
    <w:rsid w:val="002A0DD0"/>
    <w:rsid w:val="002A49AC"/>
    <w:rsid w:val="002A54D8"/>
    <w:rsid w:val="002A64FD"/>
    <w:rsid w:val="002C7A84"/>
    <w:rsid w:val="002E4FD9"/>
    <w:rsid w:val="00322A85"/>
    <w:rsid w:val="00324168"/>
    <w:rsid w:val="003448F4"/>
    <w:rsid w:val="00374F5E"/>
    <w:rsid w:val="00377E3E"/>
    <w:rsid w:val="003A779E"/>
    <w:rsid w:val="003D0F4D"/>
    <w:rsid w:val="003D5B0D"/>
    <w:rsid w:val="003E0499"/>
    <w:rsid w:val="003E50C7"/>
    <w:rsid w:val="003F3941"/>
    <w:rsid w:val="00406575"/>
    <w:rsid w:val="00414C74"/>
    <w:rsid w:val="0042722E"/>
    <w:rsid w:val="0044528D"/>
    <w:rsid w:val="004639F3"/>
    <w:rsid w:val="004A1847"/>
    <w:rsid w:val="004A305D"/>
    <w:rsid w:val="004F21C4"/>
    <w:rsid w:val="004F28FC"/>
    <w:rsid w:val="004F685F"/>
    <w:rsid w:val="0052338F"/>
    <w:rsid w:val="005566E8"/>
    <w:rsid w:val="00574867"/>
    <w:rsid w:val="00591460"/>
    <w:rsid w:val="005A7895"/>
    <w:rsid w:val="005B14AD"/>
    <w:rsid w:val="005C3777"/>
    <w:rsid w:val="005C5CDC"/>
    <w:rsid w:val="005D476C"/>
    <w:rsid w:val="006219F8"/>
    <w:rsid w:val="006302F7"/>
    <w:rsid w:val="00665D70"/>
    <w:rsid w:val="006900D9"/>
    <w:rsid w:val="006A760C"/>
    <w:rsid w:val="006D19BB"/>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D6547"/>
    <w:rsid w:val="008F0EA7"/>
    <w:rsid w:val="00902E9A"/>
    <w:rsid w:val="00923EEF"/>
    <w:rsid w:val="009419F9"/>
    <w:rsid w:val="0095685E"/>
    <w:rsid w:val="00961B09"/>
    <w:rsid w:val="00965334"/>
    <w:rsid w:val="0097093E"/>
    <w:rsid w:val="009A0DFA"/>
    <w:rsid w:val="009B25A8"/>
    <w:rsid w:val="009B2D26"/>
    <w:rsid w:val="009C71FA"/>
    <w:rsid w:val="009C72E7"/>
    <w:rsid w:val="009D3058"/>
    <w:rsid w:val="009F3A13"/>
    <w:rsid w:val="00A0491A"/>
    <w:rsid w:val="00A122D3"/>
    <w:rsid w:val="00A17F13"/>
    <w:rsid w:val="00A20739"/>
    <w:rsid w:val="00A33C78"/>
    <w:rsid w:val="00AA2ECF"/>
    <w:rsid w:val="00AB0ADB"/>
    <w:rsid w:val="00B00C0E"/>
    <w:rsid w:val="00B01B1A"/>
    <w:rsid w:val="00B44A47"/>
    <w:rsid w:val="00B72CD3"/>
    <w:rsid w:val="00B72FFF"/>
    <w:rsid w:val="00BB37EB"/>
    <w:rsid w:val="00BC3D36"/>
    <w:rsid w:val="00BD7F72"/>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07AB"/>
    <w:rsid w:val="00E75C92"/>
    <w:rsid w:val="00E771DC"/>
    <w:rsid w:val="00E8772A"/>
    <w:rsid w:val="00E90F6B"/>
    <w:rsid w:val="00E92C27"/>
    <w:rsid w:val="00EA0E3D"/>
    <w:rsid w:val="00EC38A7"/>
    <w:rsid w:val="00EE1AA8"/>
    <w:rsid w:val="00F11C60"/>
    <w:rsid w:val="00F31EDC"/>
    <w:rsid w:val="00F462B3"/>
    <w:rsid w:val="00F5664F"/>
    <w:rsid w:val="00F666C4"/>
    <w:rsid w:val="00F76AFC"/>
    <w:rsid w:val="00FA47C0"/>
    <w:rsid w:val="00FB5481"/>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200D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00D48"/>
    <w:rPr>
      <w:rFonts w:ascii="Geomanist Light" w:hAnsi="Geomanist Light"/>
      <w:lang w:val="es-ES"/>
    </w:rPr>
  </w:style>
  <w:style w:type="paragraph" w:styleId="Textoindependiente">
    <w:name w:val="Body Text"/>
    <w:basedOn w:val="Normal"/>
    <w:link w:val="TextoindependienteCar"/>
    <w:uiPriority w:val="1"/>
    <w:qFormat/>
    <w:rsid w:val="00200D48"/>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200D48"/>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archivos/manual/guia-para-el-manejo-de-ofertas-artificialmente-bajas-en-procesos-de-contratacion-2"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el-manejo-de-ofertas-artificialmente-bajas-en-procesos-de-contratacion-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D95EB3-9528-40A5-81FA-42BDE2F3AA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2006/metadata/properties"/>
    <ds:schemaRef ds:uri="http://purl.org/dc/elements/1.1/"/>
    <ds:schemaRef ds:uri="9d85dbaf-23eb-4e57-a637-93dcacc8b1a1"/>
    <ds:schemaRef ds:uri="http://schemas.openxmlformats.org/package/2006/metadata/core-properties"/>
    <ds:schemaRef ds:uri="http://purl.org/dc/terms/"/>
    <ds:schemaRef ds:uri="http://schemas.microsoft.com/office/infopath/2007/PartnerControls"/>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12</Pages>
  <Words>4021</Words>
  <Characters>21838</Characters>
  <Application>Microsoft Office Word</Application>
  <DocSecurity>0</DocSecurity>
  <Lines>464</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2025-10-21T00:02:00Z</dcterms:created>
  <dcterms:modified xsi:type="dcterms:W3CDTF">2025-10-21T00:02:00Z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