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53EE49" w14:textId="77777777" w:rsidR="0096113C" w:rsidRPr="0096113C" w:rsidRDefault="0096113C" w:rsidP="0096113C">
      <w:pPr>
        <w:snapToGrid w:val="0"/>
        <w:spacing w:after="0" w:line="240" w:lineRule="auto"/>
        <w:contextualSpacing/>
        <w:jc w:val="both"/>
        <w:rPr>
          <w:rFonts w:ascii="Verdana" w:eastAsia="Calibri" w:hAnsi="Verdana" w:cs="Arial"/>
          <w:b/>
          <w:bCs/>
          <w:lang w:val="es-ES" w:eastAsia="es-ES"/>
        </w:rPr>
      </w:pPr>
      <w:bookmarkStart w:id="0" w:name="_Hlk143780582"/>
      <w:r w:rsidRPr="0096113C">
        <w:rPr>
          <w:rFonts w:ascii="Verdana" w:eastAsia="Calibri" w:hAnsi="Verdana" w:cs="Arial"/>
          <w:b/>
          <w:bCs/>
          <w:lang w:val="es-ES" w:eastAsia="es-ES"/>
        </w:rPr>
        <w:t>GARANTÍA DE CUMPLIMIENTO – Amparos – Finalidad</w:t>
      </w:r>
    </w:p>
    <w:p w14:paraId="201F653E" w14:textId="77777777" w:rsidR="0096113C" w:rsidRDefault="0096113C" w:rsidP="0096113C">
      <w:pPr>
        <w:snapToGrid w:val="0"/>
        <w:spacing w:after="0" w:line="240" w:lineRule="auto"/>
        <w:contextualSpacing/>
        <w:jc w:val="both"/>
        <w:rPr>
          <w:rFonts w:ascii="Verdana" w:hAnsi="Verdana" w:cs="Arial"/>
          <w:color w:val="000000"/>
          <w:sz w:val="20"/>
          <w:szCs w:val="20"/>
          <w:shd w:val="clear" w:color="auto" w:fill="FFFFFF"/>
        </w:rPr>
      </w:pPr>
    </w:p>
    <w:p w14:paraId="4D8FECC3" w14:textId="4E96B54A" w:rsidR="0096113C" w:rsidRPr="0096113C" w:rsidRDefault="0096113C" w:rsidP="0096113C">
      <w:pPr>
        <w:snapToGrid w:val="0"/>
        <w:spacing w:after="0" w:line="240" w:lineRule="auto"/>
        <w:contextualSpacing/>
        <w:jc w:val="both"/>
        <w:rPr>
          <w:rFonts w:ascii="Verdana" w:eastAsia="Calibri" w:hAnsi="Verdana" w:cs="Arial"/>
          <w:color w:val="000000" w:themeColor="text1"/>
          <w:sz w:val="20"/>
          <w:szCs w:val="20"/>
          <w:lang w:val="es-ES"/>
        </w:rPr>
      </w:pPr>
      <w:r w:rsidRPr="0096113C">
        <w:rPr>
          <w:rFonts w:ascii="Verdana" w:hAnsi="Verdana" w:cs="Arial"/>
          <w:color w:val="000000"/>
          <w:sz w:val="20"/>
          <w:szCs w:val="20"/>
          <w:shd w:val="clear" w:color="auto" w:fill="FFFFFF"/>
        </w:rPr>
        <w:t>M</w:t>
      </w:r>
      <w:proofErr w:type="spellStart"/>
      <w:r w:rsidRPr="0096113C">
        <w:rPr>
          <w:rFonts w:ascii="Verdana" w:eastAsia="Calibri" w:hAnsi="Verdana" w:cs="Arial"/>
          <w:color w:val="000000" w:themeColor="text1"/>
          <w:sz w:val="20"/>
          <w:szCs w:val="20"/>
          <w:lang w:val="es-ES"/>
        </w:rPr>
        <w:t>ediante</w:t>
      </w:r>
      <w:proofErr w:type="spellEnd"/>
      <w:r w:rsidRPr="0096113C">
        <w:rPr>
          <w:rFonts w:ascii="Verdana" w:eastAsia="Calibri" w:hAnsi="Verdana" w:cs="Arial"/>
          <w:color w:val="000000" w:themeColor="text1"/>
          <w:sz w:val="20"/>
          <w:szCs w:val="20"/>
          <w:lang w:val="es-ES"/>
        </w:rPr>
        <w:t xml:space="preserve"> la </w:t>
      </w:r>
      <w:r w:rsidRPr="0096113C">
        <w:rPr>
          <w:rFonts w:ascii="Verdana" w:eastAsia="Calibri" w:hAnsi="Verdana" w:cs="Arial"/>
          <w:i/>
          <w:iCs/>
          <w:color w:val="000000" w:themeColor="text1"/>
          <w:sz w:val="20"/>
          <w:szCs w:val="20"/>
          <w:lang w:val="es-ES"/>
        </w:rPr>
        <w:t>garantía de única de cumplimiento</w:t>
      </w:r>
      <w:r w:rsidRPr="0096113C">
        <w:rPr>
          <w:rFonts w:ascii="Verdana" w:eastAsia="Calibri" w:hAnsi="Verdana" w:cs="Arial"/>
          <w:color w:val="000000" w:themeColor="text1"/>
          <w:sz w:val="20"/>
          <w:szCs w:val="20"/>
          <w:lang w:val="es-ES"/>
        </w:rPr>
        <w:t xml:space="preserve">, el contratista ampara los perjuicios que le pueda generar a la entidad el incumplimiento de las obligaciones derivadas del contrato. En esta medida, tienen como objetivo reparar los perjuicios causados por conductas atribuibles al contratista, por lo que estos últimos son un presupuesto necesario para el pago que cubre la garantía. </w:t>
      </w:r>
      <w:r w:rsidRPr="0096113C">
        <w:rPr>
          <w:rFonts w:ascii="Verdana" w:hAnsi="Verdana" w:cs="Arial"/>
          <w:color w:val="000000" w:themeColor="text1"/>
          <w:sz w:val="20"/>
          <w:szCs w:val="20"/>
          <w:lang w:val="es-ES_tradnl"/>
        </w:rPr>
        <w:t xml:space="preserve">Para estos efectos es única, ya que “[…] La prioridad […] es que no haya garantías separadas para los diferentes riesgos, aunque existan varias garantías para diferentes proporciones del interés asegurado […]”.    </w:t>
      </w:r>
    </w:p>
    <w:p w14:paraId="03365A78" w14:textId="77777777" w:rsidR="0096113C" w:rsidRDefault="0096113C" w:rsidP="0096113C">
      <w:pPr>
        <w:snapToGrid w:val="0"/>
        <w:spacing w:after="0" w:line="240" w:lineRule="auto"/>
        <w:contextualSpacing/>
        <w:jc w:val="both"/>
        <w:rPr>
          <w:rFonts w:ascii="Verdana" w:hAnsi="Verdana" w:cs="Arial"/>
          <w:color w:val="000000" w:themeColor="text1"/>
          <w:sz w:val="20"/>
          <w:szCs w:val="20"/>
        </w:rPr>
      </w:pPr>
    </w:p>
    <w:p w14:paraId="373EFA2E" w14:textId="59F21A13" w:rsidR="0096113C" w:rsidRPr="0096113C" w:rsidRDefault="0096113C" w:rsidP="0096113C">
      <w:pPr>
        <w:snapToGrid w:val="0"/>
        <w:spacing w:after="0" w:line="240" w:lineRule="auto"/>
        <w:contextualSpacing/>
        <w:jc w:val="both"/>
        <w:rPr>
          <w:rFonts w:ascii="Verdana" w:eastAsia="Times New Roman" w:hAnsi="Verdana" w:cs="Arial"/>
          <w:color w:val="000000" w:themeColor="text1"/>
          <w:sz w:val="20"/>
          <w:szCs w:val="20"/>
          <w:lang w:eastAsia="es-CO"/>
        </w:rPr>
      </w:pPr>
      <w:r w:rsidRPr="0096113C">
        <w:rPr>
          <w:rFonts w:ascii="Verdana" w:hAnsi="Verdana" w:cs="Arial"/>
          <w:color w:val="000000" w:themeColor="text1"/>
          <w:sz w:val="20"/>
          <w:szCs w:val="20"/>
        </w:rPr>
        <w:t xml:space="preserve">[…] el artículo 2.2.1.3.1.7 prescribe que la garantía de cumplimiento debe cubrir: i) el buen manejo y correcta inversión del anticipo; </w:t>
      </w:r>
      <w:proofErr w:type="spellStart"/>
      <w:r w:rsidRPr="0096113C">
        <w:rPr>
          <w:rFonts w:ascii="Verdana" w:hAnsi="Verdana" w:cs="Arial"/>
          <w:color w:val="000000" w:themeColor="text1"/>
          <w:sz w:val="20"/>
          <w:szCs w:val="20"/>
        </w:rPr>
        <w:t>ii</w:t>
      </w:r>
      <w:proofErr w:type="spellEnd"/>
      <w:r w:rsidRPr="0096113C">
        <w:rPr>
          <w:rFonts w:ascii="Verdana" w:hAnsi="Verdana" w:cs="Arial"/>
          <w:color w:val="000000" w:themeColor="text1"/>
          <w:sz w:val="20"/>
          <w:szCs w:val="20"/>
        </w:rPr>
        <w:t xml:space="preserve">) la devolución del pago anticipado; </w:t>
      </w:r>
      <w:proofErr w:type="spellStart"/>
      <w:r w:rsidRPr="0096113C">
        <w:rPr>
          <w:rFonts w:ascii="Verdana" w:hAnsi="Verdana" w:cs="Arial"/>
          <w:color w:val="000000" w:themeColor="text1"/>
          <w:sz w:val="20"/>
          <w:szCs w:val="20"/>
        </w:rPr>
        <w:t>iii</w:t>
      </w:r>
      <w:proofErr w:type="spellEnd"/>
      <w:r w:rsidRPr="0096113C">
        <w:rPr>
          <w:rFonts w:ascii="Verdana" w:hAnsi="Verdana" w:cs="Arial"/>
          <w:color w:val="000000" w:themeColor="text1"/>
          <w:sz w:val="20"/>
          <w:szCs w:val="20"/>
        </w:rPr>
        <w:t xml:space="preserve">) el cumplimiento del contrato; </w:t>
      </w:r>
      <w:proofErr w:type="spellStart"/>
      <w:r w:rsidRPr="0096113C">
        <w:rPr>
          <w:rFonts w:ascii="Verdana" w:hAnsi="Verdana" w:cs="Arial"/>
          <w:color w:val="000000" w:themeColor="text1"/>
          <w:sz w:val="20"/>
          <w:szCs w:val="20"/>
        </w:rPr>
        <w:t>iv</w:t>
      </w:r>
      <w:proofErr w:type="spellEnd"/>
      <w:r w:rsidRPr="0096113C">
        <w:rPr>
          <w:rFonts w:ascii="Verdana" w:hAnsi="Verdana" w:cs="Arial"/>
          <w:color w:val="000000" w:themeColor="text1"/>
          <w:sz w:val="20"/>
          <w:szCs w:val="20"/>
        </w:rPr>
        <w:t xml:space="preserve">) el pago de salarios, prestaciones sociales legales e indemnizaciones laborales; v)  la estabilidad y calidad de la obra; vi) la </w:t>
      </w:r>
      <w:r w:rsidRPr="0096113C">
        <w:rPr>
          <w:rFonts w:ascii="Verdana" w:eastAsia="Times New Roman" w:hAnsi="Verdana" w:cs="Arial"/>
          <w:color w:val="000000" w:themeColor="text1"/>
          <w:sz w:val="20"/>
          <w:szCs w:val="20"/>
          <w:lang w:eastAsia="es-CO"/>
        </w:rPr>
        <w:t xml:space="preserve">calidad del servicio; </w:t>
      </w:r>
      <w:proofErr w:type="spellStart"/>
      <w:r w:rsidRPr="0096113C">
        <w:rPr>
          <w:rFonts w:ascii="Verdana" w:eastAsia="Times New Roman" w:hAnsi="Verdana" w:cs="Arial"/>
          <w:color w:val="000000" w:themeColor="text1"/>
          <w:sz w:val="20"/>
          <w:szCs w:val="20"/>
          <w:lang w:eastAsia="es-CO"/>
        </w:rPr>
        <w:t>vii</w:t>
      </w:r>
      <w:proofErr w:type="spellEnd"/>
      <w:r w:rsidRPr="0096113C">
        <w:rPr>
          <w:rFonts w:ascii="Verdana" w:eastAsia="Times New Roman" w:hAnsi="Verdana" w:cs="Arial"/>
          <w:color w:val="000000" w:themeColor="text1"/>
          <w:sz w:val="20"/>
          <w:szCs w:val="20"/>
          <w:lang w:eastAsia="es-CO"/>
        </w:rPr>
        <w:t xml:space="preserve">) la calidad y correcto funcionamiento de los bienes; y </w:t>
      </w:r>
      <w:proofErr w:type="spellStart"/>
      <w:r w:rsidRPr="0096113C">
        <w:rPr>
          <w:rFonts w:ascii="Verdana" w:eastAsia="Times New Roman" w:hAnsi="Verdana" w:cs="Arial"/>
          <w:color w:val="000000" w:themeColor="text1"/>
          <w:sz w:val="20"/>
          <w:szCs w:val="20"/>
          <w:lang w:eastAsia="es-CO"/>
        </w:rPr>
        <w:t>viii</w:t>
      </w:r>
      <w:proofErr w:type="spellEnd"/>
      <w:r w:rsidRPr="0096113C">
        <w:rPr>
          <w:rFonts w:ascii="Verdana" w:eastAsia="Times New Roman" w:hAnsi="Verdana" w:cs="Arial"/>
          <w:color w:val="000000" w:themeColor="text1"/>
          <w:sz w:val="20"/>
          <w:szCs w:val="20"/>
          <w:lang w:eastAsia="es-CO"/>
        </w:rPr>
        <w:t xml:space="preserve">) los demás incumplimientos de las obligaciones que la entidad estatal considere deben ser amparados. </w:t>
      </w:r>
    </w:p>
    <w:p w14:paraId="57DF9409" w14:textId="77777777" w:rsidR="0096113C" w:rsidRPr="0096113C" w:rsidRDefault="0096113C" w:rsidP="0096113C">
      <w:pPr>
        <w:snapToGrid w:val="0"/>
        <w:spacing w:after="0" w:line="240" w:lineRule="auto"/>
        <w:contextualSpacing/>
        <w:jc w:val="both"/>
        <w:rPr>
          <w:rFonts w:ascii="Verdana" w:eastAsia="Calibri" w:hAnsi="Verdana" w:cs="Arial"/>
          <w:sz w:val="20"/>
          <w:szCs w:val="20"/>
          <w:lang w:val="es-ES" w:eastAsia="es-ES"/>
        </w:rPr>
      </w:pPr>
    </w:p>
    <w:p w14:paraId="022BCF51" w14:textId="77777777" w:rsidR="0096113C" w:rsidRPr="0096113C" w:rsidRDefault="0096113C" w:rsidP="0096113C">
      <w:pPr>
        <w:snapToGrid w:val="0"/>
        <w:spacing w:after="0" w:line="240" w:lineRule="auto"/>
        <w:contextualSpacing/>
        <w:jc w:val="both"/>
        <w:rPr>
          <w:rFonts w:ascii="Verdana" w:eastAsia="Calibri" w:hAnsi="Verdana" w:cs="Arial"/>
          <w:b/>
          <w:bCs/>
          <w:lang w:val="es-ES" w:eastAsia="es-ES"/>
        </w:rPr>
      </w:pPr>
      <w:r w:rsidRPr="0096113C">
        <w:rPr>
          <w:rFonts w:ascii="Verdana" w:eastAsia="Calibri" w:hAnsi="Verdana" w:cs="Arial"/>
          <w:b/>
          <w:bCs/>
          <w:lang w:val="es-ES" w:eastAsia="es-ES"/>
        </w:rPr>
        <w:t xml:space="preserve">GARANTÍA DE RESPONSABILIDAD CIVIL EXTRACONTRACTUAL – Alcance – Suficiencia                 </w:t>
      </w:r>
    </w:p>
    <w:p w14:paraId="05320A8C" w14:textId="77777777" w:rsidR="0096113C" w:rsidRDefault="0096113C" w:rsidP="0096113C">
      <w:pPr>
        <w:snapToGrid w:val="0"/>
        <w:spacing w:after="0" w:line="240" w:lineRule="auto"/>
        <w:contextualSpacing/>
        <w:jc w:val="both"/>
        <w:rPr>
          <w:rFonts w:ascii="Verdana" w:hAnsi="Verdana" w:cs="Arial"/>
          <w:color w:val="000000" w:themeColor="text1"/>
          <w:sz w:val="20"/>
          <w:szCs w:val="20"/>
        </w:rPr>
      </w:pPr>
    </w:p>
    <w:p w14:paraId="65BD051B" w14:textId="22572BA5" w:rsidR="0096113C" w:rsidRDefault="0096113C" w:rsidP="0096113C">
      <w:pPr>
        <w:snapToGrid w:val="0"/>
        <w:spacing w:after="0" w:line="240" w:lineRule="auto"/>
        <w:contextualSpacing/>
        <w:jc w:val="both"/>
        <w:rPr>
          <w:rFonts w:ascii="Verdana" w:hAnsi="Verdana" w:cs="Arial"/>
          <w:color w:val="000000" w:themeColor="text1"/>
          <w:sz w:val="20"/>
          <w:szCs w:val="20"/>
        </w:rPr>
      </w:pPr>
      <w:r w:rsidRPr="0096113C">
        <w:rPr>
          <w:rFonts w:ascii="Verdana" w:hAnsi="Verdana" w:cs="Arial"/>
          <w:color w:val="000000" w:themeColor="text1"/>
          <w:sz w:val="20"/>
          <w:szCs w:val="20"/>
        </w:rPr>
        <w:t xml:space="preserve">En el marco de lo expuesto, los riesgos que cubren las garantías tienen como finalidad garantizar el cumplimiento de las obligaciones adquiridas por los oferentes y/o contratistas a favor de la entidad estatal o de terceros. Además, en relación con ciertos riesgos que pueden surgir durante la </w:t>
      </w:r>
      <w:r w:rsidRPr="0096113C">
        <w:rPr>
          <w:rFonts w:ascii="Verdana" w:hAnsi="Verdana" w:cs="Arial"/>
          <w:i/>
          <w:iCs/>
          <w:color w:val="000000" w:themeColor="text1"/>
          <w:sz w:val="20"/>
          <w:szCs w:val="20"/>
        </w:rPr>
        <w:t>ejecución</w:t>
      </w:r>
      <w:r w:rsidRPr="0096113C">
        <w:rPr>
          <w:rFonts w:ascii="Verdana" w:hAnsi="Verdana" w:cs="Arial"/>
          <w:color w:val="000000" w:themeColor="text1"/>
          <w:sz w:val="20"/>
          <w:szCs w:val="20"/>
        </w:rPr>
        <w:t xml:space="preserve"> del contrato, el EGCAP determinó un amparo relacionado con la responsabilidad extracontractual que pueda surgir por las actuaciones, hechos u omisiones de los contratistas y subcontratistas. </w:t>
      </w:r>
    </w:p>
    <w:p w14:paraId="2FA4B471" w14:textId="77777777" w:rsidR="0096113C" w:rsidRPr="0096113C" w:rsidRDefault="0096113C" w:rsidP="0096113C">
      <w:pPr>
        <w:snapToGrid w:val="0"/>
        <w:spacing w:after="0" w:line="240" w:lineRule="auto"/>
        <w:contextualSpacing/>
        <w:jc w:val="both"/>
        <w:rPr>
          <w:rFonts w:ascii="Verdana" w:hAnsi="Verdana" w:cs="Arial"/>
          <w:color w:val="000000" w:themeColor="text1"/>
          <w:sz w:val="20"/>
          <w:szCs w:val="20"/>
        </w:rPr>
      </w:pPr>
    </w:p>
    <w:p w14:paraId="18EF12C6" w14:textId="2C22ACCE" w:rsidR="0096113C" w:rsidRPr="0096113C" w:rsidRDefault="0096113C" w:rsidP="0096113C">
      <w:pPr>
        <w:snapToGrid w:val="0"/>
        <w:spacing w:after="0" w:line="240" w:lineRule="auto"/>
        <w:contextualSpacing/>
        <w:jc w:val="both"/>
        <w:rPr>
          <w:rFonts w:ascii="Verdana" w:hAnsi="Verdana" w:cs="Arial"/>
          <w:sz w:val="20"/>
          <w:szCs w:val="20"/>
          <w:lang w:eastAsia="es-ES"/>
        </w:rPr>
      </w:pPr>
      <w:r w:rsidRPr="0096113C">
        <w:rPr>
          <w:rFonts w:ascii="Verdana" w:eastAsia="Calibri" w:hAnsi="Verdana" w:cs="Arial"/>
          <w:color w:val="000000" w:themeColor="text1"/>
          <w:sz w:val="20"/>
          <w:szCs w:val="20"/>
          <w:lang w:val="es-ES"/>
        </w:rPr>
        <w:t>E</w:t>
      </w:r>
      <w:r w:rsidRPr="0096113C">
        <w:rPr>
          <w:rFonts w:ascii="Verdana" w:eastAsia="Times New Roman" w:hAnsi="Verdana" w:cs="Arial"/>
          <w:color w:val="000000" w:themeColor="text1"/>
          <w:sz w:val="20"/>
          <w:szCs w:val="20"/>
          <w:lang w:eastAsia="es-CO"/>
        </w:rPr>
        <w:t>l artículo</w:t>
      </w:r>
      <w:r w:rsidRPr="0096113C">
        <w:rPr>
          <w:rFonts w:ascii="Verdana" w:eastAsia="Times New Roman" w:hAnsi="Verdana" w:cs="Arial"/>
          <w:b/>
          <w:bCs/>
          <w:color w:val="000000" w:themeColor="text1"/>
          <w:sz w:val="20"/>
          <w:szCs w:val="20"/>
          <w:lang w:eastAsia="es-CO"/>
        </w:rPr>
        <w:t> </w:t>
      </w:r>
      <w:r w:rsidRPr="0096113C">
        <w:rPr>
          <w:rFonts w:ascii="Verdana" w:eastAsia="Times New Roman" w:hAnsi="Verdana" w:cs="Arial"/>
          <w:color w:val="000000" w:themeColor="text1"/>
          <w:sz w:val="20"/>
          <w:szCs w:val="20"/>
          <w:lang w:eastAsia="es-CO"/>
        </w:rPr>
        <w:t xml:space="preserve">2.2.1.2.3.1.8. del Decreto 1082 de 2015 señala que las entidades tienen la obligación de exigir el otorgamiento de una póliza de responsabilidad civil extracontractual. </w:t>
      </w:r>
      <w:r w:rsidRPr="0096113C">
        <w:rPr>
          <w:rFonts w:ascii="Verdana" w:eastAsia="Calibri" w:hAnsi="Verdana" w:cs="Arial"/>
          <w:sz w:val="20"/>
          <w:szCs w:val="20"/>
          <w:lang w:val="es-ES"/>
        </w:rPr>
        <w:t xml:space="preserve">Por su parte, el artículo 2.2.1.2.3.1.5 establece, respecto de la cobertura, que la responsabilidad civil extracontractual proveniente de hechos, acciones u omisiones del contratista o </w:t>
      </w:r>
      <w:proofErr w:type="gramStart"/>
      <w:r w:rsidRPr="0096113C">
        <w:rPr>
          <w:rFonts w:ascii="Verdana" w:eastAsia="Calibri" w:hAnsi="Verdana" w:cs="Arial"/>
          <w:sz w:val="20"/>
          <w:szCs w:val="20"/>
          <w:lang w:val="es-ES"/>
        </w:rPr>
        <w:t>subcontratista,</w:t>
      </w:r>
      <w:proofErr w:type="gramEnd"/>
      <w:r w:rsidRPr="0096113C">
        <w:rPr>
          <w:rFonts w:ascii="Verdana" w:eastAsia="Calibri" w:hAnsi="Verdana" w:cs="Arial"/>
          <w:sz w:val="20"/>
          <w:szCs w:val="20"/>
          <w:lang w:val="es-ES"/>
        </w:rPr>
        <w:t xml:space="preserve"> únicamente puede ser amparada mediante un contrato de seguro</w:t>
      </w:r>
      <w:r w:rsidRPr="0096113C">
        <w:rPr>
          <w:rFonts w:ascii="Verdana" w:hAnsi="Verdana" w:cs="Arial"/>
          <w:sz w:val="20"/>
          <w:szCs w:val="20"/>
          <w:lang w:eastAsia="es-ES"/>
        </w:rPr>
        <w:t>. Este seguro es obligatorio para los contratos de obra pública. En los demás contratos, la Entidad Estatal debe establecer si en su ejecución existe el riesgo de que el contratista pueda generarle daños a terceros; según el objeto y naturaleza del contrato, la entidad deberá también exigir dicho seguro.</w:t>
      </w:r>
    </w:p>
    <w:p w14:paraId="3B45E9D7" w14:textId="77777777" w:rsidR="0096113C" w:rsidRDefault="0096113C" w:rsidP="0096113C">
      <w:pPr>
        <w:snapToGrid w:val="0"/>
        <w:spacing w:after="0" w:line="240" w:lineRule="auto"/>
        <w:contextualSpacing/>
        <w:jc w:val="both"/>
        <w:rPr>
          <w:rFonts w:ascii="Verdana" w:eastAsia="Calibri" w:hAnsi="Verdana" w:cs="Arial"/>
          <w:color w:val="000000"/>
          <w:sz w:val="20"/>
          <w:szCs w:val="20"/>
          <w:lang w:val="es-ES"/>
        </w:rPr>
      </w:pPr>
    </w:p>
    <w:p w14:paraId="05B39CF8" w14:textId="77777777" w:rsidR="003B3FCC" w:rsidRDefault="0096113C" w:rsidP="003B3FCC">
      <w:pPr>
        <w:snapToGrid w:val="0"/>
        <w:spacing w:after="0" w:line="240" w:lineRule="auto"/>
        <w:contextualSpacing/>
        <w:jc w:val="both"/>
        <w:rPr>
          <w:rFonts w:ascii="Verdana" w:hAnsi="Verdana" w:cs="Arial"/>
          <w:color w:val="000000" w:themeColor="text1"/>
          <w:sz w:val="20"/>
          <w:szCs w:val="20"/>
        </w:rPr>
      </w:pPr>
      <w:r w:rsidRPr="0096113C">
        <w:rPr>
          <w:rFonts w:ascii="Verdana" w:eastAsia="Calibri" w:hAnsi="Verdana" w:cs="Arial"/>
          <w:color w:val="000000"/>
          <w:sz w:val="20"/>
          <w:szCs w:val="20"/>
          <w:lang w:val="es-ES"/>
        </w:rPr>
        <w:t>Por otra parte, el artículo 2.2.1.2.3.1.17 determina el monto que debe ser asegurado con el contrato de seguro, teniendo en cuenta el valor en salarios mínimos mensuales legales vigentes del contrato. E</w:t>
      </w:r>
      <w:r w:rsidRPr="0096113C">
        <w:rPr>
          <w:rFonts w:ascii="Verdana" w:hAnsi="Verdana" w:cs="Arial"/>
          <w:sz w:val="20"/>
          <w:szCs w:val="20"/>
          <w:lang w:eastAsia="es-ES"/>
        </w:rPr>
        <w:t xml:space="preserve">l artículo referido no estableció distinción alguna frente a los supuestos en que es aplicable la </w:t>
      </w:r>
      <w:r w:rsidRPr="0096113C">
        <w:rPr>
          <w:rFonts w:ascii="Verdana" w:eastAsia="Calibri" w:hAnsi="Verdana" w:cs="Arial"/>
          <w:color w:val="000000"/>
          <w:sz w:val="20"/>
          <w:szCs w:val="20"/>
          <w:lang w:val="es-ES"/>
        </w:rPr>
        <w:t>suficiencia del seguro de responsabilidad civil extracontractual, sino que determinó que el valor asegurado, de manera general, no podrá ser inferior al allí dispuesto. En consecuencia, tanto en los contratos de obra, como en aquellos en los que por su objeto o naturaleza la entidad requiera el seguro de responsabilidad civil extracontractual, las entidades deberán cumplir con la suficiencia establecida en el artículo 2.2.1.2.3.1.17. del Decreto 1082 de 2015.</w:t>
      </w:r>
    </w:p>
    <w:p w14:paraId="4F500A4E" w14:textId="70A85AE3" w:rsidR="00D11F21" w:rsidRPr="003B3FCC" w:rsidRDefault="00D11F21" w:rsidP="003B3FCC">
      <w:pPr>
        <w:snapToGrid w:val="0"/>
        <w:spacing w:after="0" w:line="240" w:lineRule="auto"/>
        <w:contextualSpacing/>
        <w:jc w:val="both"/>
        <w:rPr>
          <w:rFonts w:ascii="Verdana" w:hAnsi="Verdana" w:cs="Arial"/>
          <w:color w:val="000000" w:themeColor="text1"/>
          <w:sz w:val="20"/>
          <w:szCs w:val="20"/>
        </w:rPr>
      </w:pPr>
      <w:r w:rsidRPr="00B547DE">
        <w:rPr>
          <w:rFonts w:ascii="Verdana" w:eastAsia="Geomanist Light" w:hAnsi="Verdana" w:cs="Arial"/>
          <w:color w:val="000000" w:themeColor="text1"/>
          <w:lang w:val="es-ES"/>
        </w:rPr>
        <w:lastRenderedPageBreak/>
        <w:t>Bogotá D.C., </w:t>
      </w:r>
      <w:r w:rsidR="00F34AD5">
        <w:rPr>
          <w:rFonts w:ascii="Verdana" w:eastAsia="Geomanist Light" w:hAnsi="Verdana" w:cs="Arial"/>
          <w:color w:val="000000" w:themeColor="text1"/>
          <w:lang w:val="es-ES"/>
        </w:rPr>
        <w:t xml:space="preserve">17 </w:t>
      </w:r>
      <w:r w:rsidR="00860AEE">
        <w:rPr>
          <w:rFonts w:ascii="Verdana" w:eastAsia="Geomanist Light" w:hAnsi="Verdana" w:cs="Arial"/>
          <w:color w:val="000000" w:themeColor="text1"/>
          <w:lang w:val="es-ES"/>
        </w:rPr>
        <w:t xml:space="preserve">de </w:t>
      </w:r>
      <w:r w:rsidR="00B213E1">
        <w:rPr>
          <w:rFonts w:ascii="Verdana" w:eastAsia="Geomanist Light" w:hAnsi="Verdana" w:cs="Arial"/>
          <w:color w:val="000000" w:themeColor="text1"/>
          <w:lang w:val="es-ES"/>
        </w:rPr>
        <w:t>octubre de 2025</w:t>
      </w:r>
    </w:p>
    <w:p w14:paraId="4CA83B16" w14:textId="4A49DB01" w:rsidR="00D11F21" w:rsidRPr="00B547DE" w:rsidRDefault="00D11F21" w:rsidP="00D11F21">
      <w:pPr>
        <w:spacing w:after="0" w:line="240" w:lineRule="auto"/>
        <w:rPr>
          <w:rFonts w:ascii="Verdana" w:eastAsia="Calibri" w:hAnsi="Verdana" w:cs="Arial"/>
          <w:color w:val="000000" w:themeColor="text1"/>
          <w:lang w:val="es-ES" w:eastAsia="es-ES"/>
        </w:rPr>
      </w:pPr>
    </w:p>
    <w:p w14:paraId="6CEF9DBF" w14:textId="3CD1D154" w:rsidR="00D11F21" w:rsidRPr="00B547DE" w:rsidRDefault="00860AEE" w:rsidP="00D11F21">
      <w:pPr>
        <w:spacing w:after="0" w:line="240" w:lineRule="auto"/>
        <w:rPr>
          <w:rFonts w:ascii="Verdana" w:hAnsi="Verdana"/>
          <w:lang w:val="es-ES"/>
        </w:rPr>
      </w:pPr>
      <w:r>
        <w:rPr>
          <w:rFonts w:ascii="Verdana" w:eastAsia="Calibri" w:hAnsi="Verdana" w:cs="Arial"/>
          <w:b/>
          <w:noProof/>
          <w:color w:val="000000" w:themeColor="text1"/>
          <w:lang w:eastAsia="es-ES"/>
        </w:rPr>
        <w:drawing>
          <wp:anchor distT="0" distB="0" distL="114300" distR="114300" simplePos="0" relativeHeight="251659264" behindDoc="0" locked="0" layoutInCell="1" allowOverlap="1" wp14:anchorId="2E48D83C" wp14:editId="591CAEB1">
            <wp:simplePos x="0" y="0"/>
            <wp:positionH relativeFrom="column">
              <wp:posOffset>3150958</wp:posOffset>
            </wp:positionH>
            <wp:positionV relativeFrom="page">
              <wp:posOffset>1761490</wp:posOffset>
            </wp:positionV>
            <wp:extent cx="2047240" cy="560070"/>
            <wp:effectExtent l="0" t="0" r="0" b="0"/>
            <wp:wrapSquare wrapText="bothSides"/>
            <wp:docPr id="14975835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583534" name="Picture 149758353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47240" cy="560070"/>
                    </a:xfrm>
                    <a:prstGeom prst="rect">
                      <a:avLst/>
                    </a:prstGeom>
                  </pic:spPr>
                </pic:pic>
              </a:graphicData>
            </a:graphic>
            <wp14:sizeRelH relativeFrom="page">
              <wp14:pctWidth>0</wp14:pctWidth>
            </wp14:sizeRelH>
            <wp14:sizeRelV relativeFrom="page">
              <wp14:pctHeight>0</wp14:pctHeight>
            </wp14:sizeRelV>
          </wp:anchor>
        </w:drawing>
      </w:r>
      <w:r w:rsidR="00D11F21" w:rsidRPr="00B547DE">
        <w:rPr>
          <w:rFonts w:ascii="Verdana" w:eastAsia="Calibri" w:hAnsi="Verdana" w:cs="Arial"/>
          <w:color w:val="000000" w:themeColor="text1"/>
          <w:lang w:val="es-ES" w:eastAsia="es-ES"/>
        </w:rPr>
        <w:t>Señor</w:t>
      </w:r>
      <w:r w:rsidR="00D11F21">
        <w:rPr>
          <w:rFonts w:ascii="Verdana" w:eastAsia="Calibri" w:hAnsi="Verdana" w:cs="Arial"/>
          <w:color w:val="000000" w:themeColor="text1"/>
          <w:lang w:val="es-ES" w:eastAsia="es-ES"/>
        </w:rPr>
        <w:t>a</w:t>
      </w:r>
    </w:p>
    <w:p w14:paraId="3F8391A9" w14:textId="6E4088ED" w:rsidR="00D11F21" w:rsidRPr="003B4697" w:rsidRDefault="00D11F21" w:rsidP="00D11F21">
      <w:pPr>
        <w:spacing w:after="0" w:line="240" w:lineRule="auto"/>
        <w:rPr>
          <w:rFonts w:ascii="Verdana" w:eastAsia="Calibri" w:hAnsi="Verdana" w:cs="Arial"/>
          <w:b/>
          <w:color w:val="000000" w:themeColor="text1"/>
          <w:lang w:eastAsia="es-ES"/>
        </w:rPr>
      </w:pPr>
      <w:r w:rsidRPr="003B4697">
        <w:rPr>
          <w:rFonts w:ascii="Verdana" w:eastAsia="Calibri" w:hAnsi="Verdana" w:cs="Arial"/>
          <w:b/>
          <w:color w:val="000000" w:themeColor="text1"/>
          <w:lang w:eastAsia="es-ES"/>
        </w:rPr>
        <w:t xml:space="preserve">Mireya Uribe Motta </w:t>
      </w:r>
    </w:p>
    <w:p w14:paraId="3577E22D" w14:textId="77777777" w:rsidR="00D11F21" w:rsidRDefault="00D11F21" w:rsidP="00D11F21">
      <w:pPr>
        <w:spacing w:after="0" w:line="240" w:lineRule="auto"/>
        <w:rPr>
          <w:rFonts w:ascii="Verdana" w:eastAsia="Calibri" w:hAnsi="Verdana" w:cs="Arial"/>
          <w:color w:val="000000" w:themeColor="text1"/>
          <w:lang w:val="es-ES" w:eastAsia="es-ES"/>
        </w:rPr>
      </w:pPr>
      <w:hyperlink r:id="rId11" w:history="1">
        <w:r w:rsidRPr="003B4697">
          <w:rPr>
            <w:rStyle w:val="Hipervnculo"/>
            <w:rFonts w:ascii="Verdana" w:eastAsia="Calibri" w:hAnsi="Verdana" w:cs="Arial"/>
            <w:lang w:eastAsia="es-ES"/>
          </w:rPr>
          <w:t>yeyita201527@gmail.com</w:t>
        </w:r>
      </w:hyperlink>
    </w:p>
    <w:p w14:paraId="532CB3C2" w14:textId="06323A2A" w:rsidR="00D11F21" w:rsidRPr="00B547DE" w:rsidRDefault="00D11F21" w:rsidP="00D11F21">
      <w:pPr>
        <w:spacing w:after="0" w:line="240" w:lineRule="auto"/>
        <w:rPr>
          <w:rFonts w:ascii="Verdana" w:eastAsia="Calibri" w:hAnsi="Verdana" w:cs="Arial"/>
          <w:color w:val="000000" w:themeColor="text1"/>
          <w:lang w:val="es-ES" w:eastAsia="es-ES"/>
        </w:rPr>
      </w:pPr>
      <w:r w:rsidRPr="00B547DE">
        <w:rPr>
          <w:rFonts w:ascii="Verdana" w:eastAsia="Calibri" w:hAnsi="Verdana" w:cs="Arial"/>
          <w:color w:val="000000" w:themeColor="text1"/>
          <w:lang w:val="es-ES" w:eastAsia="es-ES"/>
        </w:rPr>
        <w:t>Bogotá D.C.</w:t>
      </w:r>
    </w:p>
    <w:p w14:paraId="11109445" w14:textId="77777777" w:rsidR="00D11F21" w:rsidRPr="00B547DE" w:rsidRDefault="00D11F21" w:rsidP="0092184B">
      <w:pPr>
        <w:spacing w:after="0" w:line="240" w:lineRule="auto"/>
        <w:rPr>
          <w:rFonts w:ascii="Verdana" w:eastAsia="Calibri" w:hAnsi="Verdana" w:cs="Arial"/>
          <w:b/>
          <w:color w:val="000000" w:themeColor="text1"/>
          <w:lang w:val="es-ES" w:eastAsia="es-ES"/>
        </w:rPr>
      </w:pPr>
    </w:p>
    <w:p w14:paraId="4414CAF2" w14:textId="77777777" w:rsidR="00D11F21" w:rsidRPr="00B547DE" w:rsidRDefault="00D11F21" w:rsidP="00D11F21">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D11F21" w:rsidRPr="00B547DE" w14:paraId="75255956" w14:textId="77777777" w:rsidTr="00413F5F">
        <w:trPr>
          <w:trHeight w:val="300"/>
        </w:trPr>
        <w:tc>
          <w:tcPr>
            <w:tcW w:w="2410" w:type="dxa"/>
          </w:tcPr>
          <w:p w14:paraId="6CBA8260" w14:textId="77777777" w:rsidR="00D11F21" w:rsidRPr="00B547DE" w:rsidRDefault="00D11F21" w:rsidP="00413F5F">
            <w:pPr>
              <w:ind w:left="-142"/>
              <w:jc w:val="both"/>
              <w:rPr>
                <w:rFonts w:ascii="Verdana" w:eastAsia="Calibri" w:hAnsi="Verdana" w:cs="Arial"/>
                <w:b/>
                <w:bCs/>
                <w:color w:val="000000" w:themeColor="text1"/>
                <w:lang w:val="es-ES" w:eastAsia="es-ES_tradnl"/>
              </w:rPr>
            </w:pPr>
          </w:p>
        </w:tc>
        <w:tc>
          <w:tcPr>
            <w:tcW w:w="6100" w:type="dxa"/>
          </w:tcPr>
          <w:p w14:paraId="4A287C42" w14:textId="403E8DB6" w:rsidR="00D11F21" w:rsidRPr="00B547DE" w:rsidRDefault="00D11F21" w:rsidP="0092184B">
            <w:pPr>
              <w:ind w:left="3" w:firstLine="279"/>
              <w:jc w:val="both"/>
              <w:rPr>
                <w:rFonts w:ascii="Verdana" w:eastAsia="Calibri" w:hAnsi="Verdana" w:cs="Arial"/>
                <w:b/>
                <w:bCs/>
                <w:color w:val="000000" w:themeColor="text1"/>
                <w:lang w:val="es-ES" w:eastAsia="es-ES"/>
              </w:rPr>
            </w:pPr>
            <w:r w:rsidRPr="00B547DE">
              <w:rPr>
                <w:rFonts w:ascii="Verdana" w:eastAsia="Calibri" w:hAnsi="Verdana" w:cs="Arial"/>
                <w:b/>
                <w:bCs/>
                <w:color w:val="000000" w:themeColor="text1"/>
                <w:lang w:val="es-ES" w:eastAsia="es-ES"/>
              </w:rPr>
              <w:t>Concepto C-</w:t>
            </w:r>
            <w:r w:rsidR="00FD4C63">
              <w:rPr>
                <w:rFonts w:ascii="Verdana" w:eastAsia="Calibri" w:hAnsi="Verdana" w:cs="Arial"/>
                <w:b/>
                <w:bCs/>
                <w:color w:val="000000" w:themeColor="text1"/>
                <w:lang w:val="es-ES" w:eastAsia="es-ES"/>
              </w:rPr>
              <w:t>1301</w:t>
            </w:r>
            <w:r w:rsidRPr="00B547DE">
              <w:rPr>
                <w:rFonts w:ascii="Verdana" w:eastAsia="Calibri" w:hAnsi="Verdana" w:cs="Arial"/>
                <w:b/>
                <w:bCs/>
                <w:color w:val="000000" w:themeColor="text1"/>
                <w:lang w:val="es-ES" w:eastAsia="es-ES"/>
              </w:rPr>
              <w:t xml:space="preserve"> de 2025</w:t>
            </w:r>
          </w:p>
          <w:p w14:paraId="0E33D2A9" w14:textId="77777777" w:rsidR="00D11F21" w:rsidRPr="00B547DE" w:rsidRDefault="00D11F21" w:rsidP="00413F5F">
            <w:pPr>
              <w:ind w:left="3"/>
              <w:jc w:val="both"/>
              <w:rPr>
                <w:rFonts w:ascii="Verdana" w:eastAsia="Calibri" w:hAnsi="Verdana" w:cs="Arial"/>
                <w:b/>
                <w:bCs/>
                <w:color w:val="000000" w:themeColor="text1"/>
                <w:lang w:val="es-ES" w:eastAsia="es-ES"/>
              </w:rPr>
            </w:pPr>
          </w:p>
        </w:tc>
      </w:tr>
      <w:tr w:rsidR="00D11F21" w:rsidRPr="00B547DE" w14:paraId="15FA8859" w14:textId="77777777" w:rsidTr="00413F5F">
        <w:trPr>
          <w:trHeight w:val="300"/>
        </w:trPr>
        <w:tc>
          <w:tcPr>
            <w:tcW w:w="2410" w:type="dxa"/>
          </w:tcPr>
          <w:p w14:paraId="34E11E12" w14:textId="77777777" w:rsidR="00D11F21" w:rsidRPr="00B547DE" w:rsidRDefault="00D11F21" w:rsidP="00413F5F">
            <w:pPr>
              <w:ind w:left="424" w:firstLine="142"/>
              <w:jc w:val="both"/>
              <w:rPr>
                <w:rFonts w:ascii="Verdana" w:eastAsia="Calibri" w:hAnsi="Verdana" w:cs="Arial"/>
                <w:color w:val="000000" w:themeColor="text1"/>
                <w:lang w:val="es-ES" w:eastAsia="es-ES_tradnl"/>
              </w:rPr>
            </w:pPr>
            <w:r w:rsidRPr="00B547DE">
              <w:rPr>
                <w:rFonts w:ascii="Verdana" w:eastAsia="Calibri" w:hAnsi="Verdana" w:cs="Arial"/>
                <w:b/>
                <w:color w:val="000000" w:themeColor="text1"/>
                <w:lang w:val="es-ES" w:eastAsia="es-ES_tradnl"/>
              </w:rPr>
              <w:t>Temas:</w:t>
            </w:r>
            <w:r w:rsidRPr="00B547DE">
              <w:rPr>
                <w:rFonts w:ascii="Verdana" w:eastAsia="Calibri" w:hAnsi="Verdana" w:cs="Arial"/>
                <w:color w:val="000000" w:themeColor="text1"/>
                <w:lang w:val="es-ES" w:eastAsia="es-ES_tradnl"/>
              </w:rPr>
              <w:t xml:space="preserve">                  </w:t>
            </w:r>
          </w:p>
        </w:tc>
        <w:tc>
          <w:tcPr>
            <w:tcW w:w="6100" w:type="dxa"/>
          </w:tcPr>
          <w:p w14:paraId="3B4B6CAF" w14:textId="39910EAC" w:rsidR="00D11F21" w:rsidRPr="00787B0D" w:rsidRDefault="0073785A" w:rsidP="00787B0D">
            <w:pPr>
              <w:spacing w:line="276" w:lineRule="auto"/>
              <w:ind w:left="282"/>
              <w:jc w:val="both"/>
              <w:rPr>
                <w:rFonts w:ascii="Verdana" w:eastAsia="Calibri" w:hAnsi="Verdana" w:cs="Arial"/>
                <w:lang w:val="es-ES" w:eastAsia="es-ES"/>
              </w:rPr>
            </w:pPr>
            <w:r w:rsidRPr="009C5E8B">
              <w:rPr>
                <w:rFonts w:ascii="Verdana" w:eastAsia="Calibri" w:hAnsi="Verdana" w:cs="Arial"/>
                <w:lang w:val="es-ES" w:eastAsia="es-ES"/>
              </w:rPr>
              <w:t>GARANTÍA DE CUMPLIMIENTO – Amparos – Finalidad</w:t>
            </w:r>
            <w:r>
              <w:rPr>
                <w:rFonts w:ascii="Verdana" w:eastAsia="Calibri" w:hAnsi="Verdana" w:cs="Arial"/>
                <w:lang w:val="es-ES" w:eastAsia="es-ES"/>
              </w:rPr>
              <w:t xml:space="preserve"> / </w:t>
            </w:r>
            <w:r w:rsidRPr="009C5E8B">
              <w:rPr>
                <w:rFonts w:ascii="Verdana" w:eastAsia="Calibri" w:hAnsi="Verdana" w:cs="Arial"/>
                <w:lang w:val="es-ES" w:eastAsia="es-ES"/>
              </w:rPr>
              <w:t>GARANTÍA DE RESPONSABILIDAD CIVIL</w:t>
            </w:r>
            <w:r>
              <w:rPr>
                <w:rFonts w:ascii="Verdana" w:eastAsia="Calibri" w:hAnsi="Verdana" w:cs="Arial"/>
                <w:lang w:val="es-ES" w:eastAsia="es-ES"/>
              </w:rPr>
              <w:t xml:space="preserve"> / </w:t>
            </w:r>
            <w:r w:rsidRPr="009C5E8B">
              <w:rPr>
                <w:rFonts w:ascii="Verdana" w:eastAsia="Calibri" w:hAnsi="Verdana" w:cs="Arial"/>
                <w:lang w:val="es-ES" w:eastAsia="es-ES"/>
              </w:rPr>
              <w:t>EXTRACONTRACTUAL –</w:t>
            </w:r>
            <w:r w:rsidR="00787B0D">
              <w:rPr>
                <w:rFonts w:ascii="Verdana" w:eastAsia="Calibri" w:hAnsi="Verdana" w:cs="Arial"/>
                <w:lang w:val="es-ES" w:eastAsia="es-ES"/>
              </w:rPr>
              <w:t xml:space="preserve"> Alcance </w:t>
            </w:r>
            <w:r w:rsidRPr="009C5E8B">
              <w:rPr>
                <w:rFonts w:ascii="Verdana" w:eastAsia="Calibri" w:hAnsi="Verdana" w:cs="Arial"/>
                <w:lang w:val="es-ES" w:eastAsia="es-ES"/>
              </w:rPr>
              <w:t xml:space="preserve">– </w:t>
            </w:r>
            <w:r w:rsidR="00787B0D">
              <w:rPr>
                <w:rFonts w:ascii="Verdana" w:eastAsia="Calibri" w:hAnsi="Verdana" w:cs="Arial"/>
                <w:lang w:val="es-ES" w:eastAsia="es-ES"/>
              </w:rPr>
              <w:t>Suficiencia</w:t>
            </w:r>
            <w:r w:rsidRPr="009C5E8B">
              <w:rPr>
                <w:rFonts w:ascii="Verdana" w:eastAsia="Calibri" w:hAnsi="Verdana" w:cs="Arial"/>
                <w:lang w:val="es-ES" w:eastAsia="es-ES"/>
              </w:rPr>
              <w:t xml:space="preserve"> </w:t>
            </w: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57954EBD" w14:textId="77777777" w:rsidR="00D11F21" w:rsidRPr="00B547DE" w:rsidRDefault="00D11F21" w:rsidP="00555B8E">
            <w:pPr>
              <w:spacing w:line="276" w:lineRule="auto"/>
              <w:ind w:left="282"/>
              <w:jc w:val="both"/>
              <w:rPr>
                <w:rFonts w:ascii="Verdana" w:eastAsia="Calibri" w:hAnsi="Verdana" w:cs="Arial"/>
                <w:color w:val="000000" w:themeColor="text1"/>
                <w:lang w:val="es-ES" w:eastAsia="es-ES"/>
              </w:rPr>
            </w:pPr>
          </w:p>
        </w:tc>
      </w:tr>
      <w:tr w:rsidR="00D11F21" w:rsidRPr="00B547DE" w14:paraId="0AC637EB" w14:textId="77777777" w:rsidTr="00413F5F">
        <w:tc>
          <w:tcPr>
            <w:tcW w:w="2410" w:type="dxa"/>
          </w:tcPr>
          <w:p w14:paraId="474D7016" w14:textId="77777777" w:rsidR="00D11F21" w:rsidRPr="00B547DE" w:rsidRDefault="00D11F21" w:rsidP="00413F5F">
            <w:pPr>
              <w:ind w:left="561"/>
              <w:jc w:val="both"/>
              <w:rPr>
                <w:rFonts w:ascii="Verdana" w:eastAsia="Calibri" w:hAnsi="Verdana" w:cs="Arial"/>
                <w:b/>
                <w:color w:val="000000" w:themeColor="text1"/>
                <w:lang w:val="es-ES" w:eastAsia="es-ES_tradnl"/>
              </w:rPr>
            </w:pPr>
            <w:r w:rsidRPr="00B547DE">
              <w:rPr>
                <w:rFonts w:ascii="Verdana" w:eastAsia="Calibri" w:hAnsi="Verdana" w:cs="Arial"/>
                <w:b/>
                <w:color w:val="000000" w:themeColor="text1"/>
                <w:lang w:val="es-ES" w:eastAsia="es-ES_tradnl"/>
              </w:rPr>
              <w:t>Radicación:</w:t>
            </w:r>
            <w:r w:rsidRPr="00B547DE">
              <w:rPr>
                <w:rFonts w:ascii="Verdana" w:eastAsia="Calibri" w:hAnsi="Verdana" w:cs="Arial"/>
                <w:color w:val="000000" w:themeColor="text1"/>
                <w:lang w:val="es-ES" w:eastAsia="es-ES_tradnl"/>
              </w:rPr>
              <w:t xml:space="preserve">              </w:t>
            </w:r>
          </w:p>
        </w:tc>
        <w:tc>
          <w:tcPr>
            <w:tcW w:w="6100" w:type="dxa"/>
          </w:tcPr>
          <w:p w14:paraId="00D1C6DA" w14:textId="77777777" w:rsidR="00D11F21" w:rsidRPr="00B547DE" w:rsidRDefault="00D11F21" w:rsidP="00555B8E">
            <w:pPr>
              <w:ind w:left="282"/>
              <w:jc w:val="both"/>
              <w:rPr>
                <w:rFonts w:ascii="Verdana" w:hAnsi="Verdana"/>
                <w:color w:val="000000"/>
                <w:lang w:val="es-ES"/>
              </w:rPr>
            </w:pPr>
            <w:r w:rsidRPr="00B547DE">
              <w:rPr>
                <w:rFonts w:ascii="Verdana" w:eastAsia="Calibri" w:hAnsi="Verdana" w:cs="Arial"/>
                <w:color w:val="000000" w:themeColor="text1"/>
                <w:lang w:val="es-ES" w:eastAsia="es-ES"/>
              </w:rPr>
              <w:t>Respuesta a consulta con radicado No.</w:t>
            </w:r>
            <w:r w:rsidRPr="003B4697">
              <w:rPr>
                <w:rFonts w:ascii="Verdana" w:eastAsia="Calibri" w:hAnsi="Verdana" w:cs="Arial"/>
                <w:color w:val="000000" w:themeColor="text1"/>
                <w:lang w:val="es-ES" w:eastAsia="es-ES"/>
              </w:rPr>
              <w:t xml:space="preserve"> 1_2025_09_10_009906</w:t>
            </w:r>
          </w:p>
        </w:tc>
      </w:tr>
    </w:tbl>
    <w:p w14:paraId="715BF7FA" w14:textId="77777777" w:rsidR="00D11F21" w:rsidRPr="00B547DE" w:rsidRDefault="00D11F21" w:rsidP="00D11F21">
      <w:pPr>
        <w:spacing w:after="0" w:line="276" w:lineRule="auto"/>
        <w:jc w:val="both"/>
        <w:rPr>
          <w:rFonts w:ascii="Verdana" w:eastAsia="Calibri" w:hAnsi="Verdana" w:cs="Arial"/>
          <w:color w:val="000000" w:themeColor="text1"/>
          <w:lang w:val="es-ES" w:eastAsia="es-ES"/>
        </w:rPr>
      </w:pPr>
    </w:p>
    <w:p w14:paraId="704533B5" w14:textId="77777777" w:rsidR="00D11F21" w:rsidRPr="00B547DE" w:rsidRDefault="00D11F21" w:rsidP="00D11F21">
      <w:pPr>
        <w:spacing w:after="0" w:line="276" w:lineRule="auto"/>
        <w:jc w:val="both"/>
        <w:rPr>
          <w:rFonts w:ascii="Verdana" w:eastAsia="Calibri" w:hAnsi="Verdana" w:cs="Arial"/>
          <w:color w:val="000000" w:themeColor="text1"/>
          <w:lang w:val="es-ES" w:eastAsia="es-ES"/>
        </w:rPr>
      </w:pPr>
    </w:p>
    <w:p w14:paraId="29DD8EFB" w14:textId="77777777" w:rsidR="00D11F21" w:rsidRPr="00B547DE" w:rsidRDefault="00D11F21" w:rsidP="00D11F21">
      <w:pPr>
        <w:spacing w:after="0" w:line="276" w:lineRule="auto"/>
        <w:jc w:val="both"/>
        <w:rPr>
          <w:rFonts w:ascii="Verdana" w:eastAsia="Calibri" w:hAnsi="Verdana" w:cs="Arial"/>
          <w:color w:val="000000" w:themeColor="text1"/>
          <w:lang w:val="es-ES" w:eastAsia="es-ES"/>
        </w:rPr>
      </w:pPr>
      <w:r w:rsidRPr="00B547DE">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B547DE">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 xml:space="preserve">a </w:t>
      </w:r>
      <w:r w:rsidRPr="003B4697">
        <w:rPr>
          <w:rFonts w:ascii="Verdana" w:eastAsia="Calibri" w:hAnsi="Verdana" w:cs="Arial"/>
          <w:color w:val="000000" w:themeColor="text1"/>
          <w:lang w:eastAsia="es-ES"/>
        </w:rPr>
        <w:t>Uribe</w:t>
      </w:r>
      <w:r w:rsidRPr="00B547DE">
        <w:rPr>
          <w:rFonts w:ascii="Verdana" w:eastAsia="Calibri" w:hAnsi="Verdana" w:cs="Arial"/>
          <w:color w:val="000000" w:themeColor="text1"/>
          <w:lang w:val="es-ES" w:eastAsia="es-ES"/>
        </w:rPr>
        <w:t xml:space="preserve">: </w:t>
      </w:r>
    </w:p>
    <w:p w14:paraId="33C30023" w14:textId="77777777" w:rsidR="00D11F21" w:rsidRPr="00B547DE" w:rsidRDefault="00D11F21" w:rsidP="00D11F21">
      <w:pPr>
        <w:tabs>
          <w:tab w:val="left" w:pos="3768"/>
        </w:tabs>
        <w:spacing w:after="0" w:line="276" w:lineRule="auto"/>
        <w:jc w:val="both"/>
        <w:rPr>
          <w:rFonts w:ascii="Verdana" w:eastAsia="Calibri" w:hAnsi="Verdana" w:cs="Arial"/>
          <w:color w:val="000000" w:themeColor="text1"/>
          <w:lang w:val="es-ES" w:eastAsia="es-ES"/>
        </w:rPr>
      </w:pPr>
      <w:r w:rsidRPr="00B547DE">
        <w:rPr>
          <w:rFonts w:ascii="Verdana" w:eastAsia="Calibri" w:hAnsi="Verdana" w:cs="Arial"/>
          <w:color w:val="000000" w:themeColor="text1"/>
          <w:lang w:val="es-ES" w:eastAsia="es-ES"/>
        </w:rPr>
        <w:tab/>
      </w:r>
    </w:p>
    <w:p w14:paraId="5AE90718" w14:textId="77777777" w:rsidR="00D11F21" w:rsidRPr="00B547DE" w:rsidRDefault="00D11F21" w:rsidP="00D11F21">
      <w:pPr>
        <w:spacing w:after="0" w:line="276" w:lineRule="auto"/>
        <w:jc w:val="both"/>
        <w:rPr>
          <w:rFonts w:ascii="Verdana" w:eastAsia="Calibri" w:hAnsi="Verdana" w:cs="Arial"/>
          <w:color w:val="000000" w:themeColor="text1"/>
          <w:lang w:val="es-ES" w:eastAsia="es-ES"/>
        </w:rPr>
      </w:pPr>
      <w:r w:rsidRPr="00B547DE">
        <w:rPr>
          <w:rFonts w:ascii="Verdana" w:eastAsia="Calibri" w:hAnsi="Verdana" w:cs="Arial"/>
          <w:color w:val="000000" w:themeColor="text1"/>
          <w:lang w:val="es-ES" w:eastAsia="es-ES"/>
        </w:rPr>
        <w:t>En ejercicio de la competencia otorgada por los artículos 3, numeral 5º, y 11, numeral 8º, del Decreto Ley 4170 de 2011,</w:t>
      </w:r>
      <w:r w:rsidRPr="00B547DE">
        <w:rPr>
          <w:rFonts w:ascii="Verdana" w:eastAsia="Arial MT" w:hAnsi="Verdana" w:cs="Arial MT"/>
          <w:color w:val="000000" w:themeColor="text1"/>
          <w:lang w:val="es-ES" w:eastAsia="es-ES"/>
        </w:rPr>
        <w:t xml:space="preserve"> </w:t>
      </w:r>
      <w:r w:rsidRPr="00B547DE">
        <w:rPr>
          <w:rFonts w:ascii="Verdana" w:hAnsi="Verdana" w:cs="Arial"/>
          <w:color w:val="000000" w:themeColor="text1"/>
          <w:lang w:val="es-ES"/>
        </w:rPr>
        <w:t xml:space="preserve">así como lo establecido en el artículo 4 de la Resolución 1707 de 2018 expedida por esta Entidad, </w:t>
      </w:r>
      <w:r w:rsidRPr="00B547DE">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10</w:t>
      </w:r>
      <w:r w:rsidRPr="00B547DE">
        <w:rPr>
          <w:rFonts w:ascii="Verdana" w:eastAsia="Calibri" w:hAnsi="Verdana" w:cs="Arial"/>
          <w:color w:val="000000" w:themeColor="text1"/>
          <w:lang w:val="es-ES" w:eastAsia="es-ES"/>
        </w:rPr>
        <w:t xml:space="preserve"> de septiembre de 2025, en la cual manifiesta lo siguiente: </w:t>
      </w:r>
    </w:p>
    <w:p w14:paraId="38C20F64" w14:textId="77777777" w:rsidR="00D11F21" w:rsidRPr="00B547DE" w:rsidRDefault="00D11F21" w:rsidP="00D11F21">
      <w:p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p>
    <w:p w14:paraId="07D549D8" w14:textId="77777777" w:rsidR="00D11F21" w:rsidRPr="00602694" w:rsidRDefault="00D11F21" w:rsidP="00D11F21">
      <w:pPr>
        <w:spacing w:after="0"/>
        <w:ind w:left="709" w:right="709"/>
        <w:jc w:val="both"/>
        <w:rPr>
          <w:rFonts w:ascii="Verdana" w:eastAsia="Century Gothic" w:hAnsi="Verdana" w:cs="Century Gothic"/>
          <w:i/>
          <w:iCs/>
          <w:color w:val="000000" w:themeColor="text1"/>
          <w:sz w:val="20"/>
          <w:szCs w:val="20"/>
        </w:rPr>
      </w:pPr>
      <w:bookmarkStart w:id="1" w:name="_Hlk95313578"/>
      <w:r w:rsidRPr="00602694">
        <w:rPr>
          <w:rFonts w:ascii="Verdana" w:eastAsia="Century Gothic" w:hAnsi="Verdana" w:cs="Century Gothic"/>
          <w:i/>
          <w:iCs/>
          <w:color w:val="000000" w:themeColor="text1"/>
          <w:sz w:val="20"/>
          <w:szCs w:val="20"/>
          <w:lang w:val="es-ES"/>
        </w:rPr>
        <w:t>“</w:t>
      </w:r>
      <w:bookmarkEnd w:id="1"/>
      <w:r w:rsidRPr="00602694">
        <w:rPr>
          <w:rFonts w:ascii="Verdana" w:eastAsia="Century Gothic" w:hAnsi="Verdana" w:cs="Century Gothic"/>
          <w:i/>
          <w:iCs/>
          <w:color w:val="000000" w:themeColor="text1"/>
          <w:sz w:val="20"/>
          <w:szCs w:val="20"/>
        </w:rPr>
        <w:t>Agradezco el pronunciamiento de la ANCPCCE, en relación con el seguro de RCE: 1. Conforme el artículo 2.2.1.2.3.1.8 del Decreto 1082 de 2015, ¿el seguro de RCE solo es obligatorio en los contratos de obra?</w:t>
      </w:r>
      <w:r w:rsidRPr="00602694">
        <w:rPr>
          <w:rFonts w:ascii="Verdana" w:eastAsia="Century Gothic" w:hAnsi="Verdana" w:cs="Century Gothic"/>
          <w:i/>
          <w:iCs/>
          <w:color w:val="000000" w:themeColor="text1"/>
          <w:sz w:val="20"/>
          <w:szCs w:val="20"/>
        </w:rPr>
        <w:br/>
        <w:t xml:space="preserve">2. La suficiencia del seguro de RCE establecida en el artículo 2.2.1.2.3.1.17 del Decreto 1082 de 2015, solo aplica para contratos de obra? </w:t>
      </w:r>
    </w:p>
    <w:p w14:paraId="1C7EA722" w14:textId="77777777" w:rsidR="00D11F21" w:rsidRPr="00602694" w:rsidRDefault="00D11F21" w:rsidP="00D11F21">
      <w:pPr>
        <w:spacing w:after="0"/>
        <w:ind w:left="709" w:right="709"/>
        <w:jc w:val="both"/>
        <w:rPr>
          <w:rFonts w:ascii="Verdana" w:eastAsia="Century Gothic" w:hAnsi="Verdana" w:cs="Century Gothic"/>
          <w:i/>
          <w:iCs/>
          <w:color w:val="000000" w:themeColor="text1"/>
          <w:sz w:val="20"/>
          <w:szCs w:val="20"/>
        </w:rPr>
      </w:pPr>
      <w:r w:rsidRPr="00602694">
        <w:rPr>
          <w:rFonts w:ascii="Verdana" w:eastAsia="Century Gothic" w:hAnsi="Verdana" w:cs="Century Gothic"/>
          <w:i/>
          <w:iCs/>
          <w:color w:val="000000" w:themeColor="text1"/>
          <w:sz w:val="20"/>
          <w:szCs w:val="20"/>
        </w:rPr>
        <w:t xml:space="preserve">3. Tratándose de contratos diferentes al contrato de obra, por ejemplo, contratos de consultoría para estudios y diseños, o de consultoría para interventoría, cuando según el análisis del sector y estudio previo se determina la procedencia de exigir la constitución del seguro de RCE, ¿la entidad pública está obligada a aplicar los criterios del artículo 2.2.1.2.3.1.17 del Decreto 1082 de 2015 para determinar la suficiencia del seguro de RCE? </w:t>
      </w:r>
    </w:p>
    <w:p w14:paraId="41DE77A7" w14:textId="77777777" w:rsidR="00D11F21" w:rsidRPr="00602694" w:rsidRDefault="00D11F21" w:rsidP="00D11F21">
      <w:pPr>
        <w:spacing w:after="0"/>
        <w:ind w:left="709" w:right="709"/>
        <w:jc w:val="both"/>
        <w:rPr>
          <w:rFonts w:ascii="Verdana" w:eastAsia="Century Gothic" w:hAnsi="Verdana" w:cs="Century Gothic"/>
          <w:i/>
          <w:iCs/>
          <w:color w:val="000000" w:themeColor="text1"/>
          <w:sz w:val="20"/>
          <w:szCs w:val="20"/>
          <w:lang w:val="es-ES"/>
        </w:rPr>
      </w:pPr>
      <w:r w:rsidRPr="00602694">
        <w:rPr>
          <w:rFonts w:ascii="Verdana" w:eastAsia="Century Gothic" w:hAnsi="Verdana" w:cs="Century Gothic"/>
          <w:i/>
          <w:iCs/>
          <w:color w:val="000000" w:themeColor="text1"/>
          <w:sz w:val="20"/>
          <w:szCs w:val="20"/>
        </w:rPr>
        <w:lastRenderedPageBreak/>
        <w:t>4. Considerando que no es obligatoria en estos contratos la exigencia de RCE, ¿la entidad está autorizada a establecer otra suficiencia conforme su análisis específico de riesgos del contrato?</w:t>
      </w:r>
      <w:r w:rsidRPr="00602694">
        <w:rPr>
          <w:rFonts w:ascii="Verdana" w:eastAsia="Century Gothic" w:hAnsi="Verdana" w:cs="Century Gothic"/>
          <w:i/>
          <w:iCs/>
          <w:color w:val="000000" w:themeColor="text1"/>
          <w:sz w:val="20"/>
          <w:szCs w:val="20"/>
          <w:lang w:val="es-ES"/>
        </w:rPr>
        <w:t xml:space="preserve">”. </w:t>
      </w:r>
    </w:p>
    <w:p w14:paraId="6A385834" w14:textId="77777777" w:rsidR="00602694" w:rsidRPr="003B4697" w:rsidRDefault="00602694" w:rsidP="00D11F21">
      <w:pPr>
        <w:spacing w:after="0"/>
        <w:ind w:left="709" w:right="709"/>
        <w:jc w:val="both"/>
        <w:rPr>
          <w:rFonts w:ascii="Verdana" w:eastAsia="Century Gothic" w:hAnsi="Verdana" w:cs="Century Gothic"/>
          <w:color w:val="000000" w:themeColor="text1"/>
          <w:sz w:val="20"/>
          <w:szCs w:val="20"/>
        </w:rPr>
      </w:pPr>
    </w:p>
    <w:p w14:paraId="0EA11345" w14:textId="77777777" w:rsidR="00D11F21" w:rsidRPr="00B547DE" w:rsidRDefault="00D11F21" w:rsidP="00D11F21">
      <w:pPr>
        <w:spacing w:after="120" w:line="276" w:lineRule="auto"/>
        <w:ind w:firstLine="708"/>
        <w:jc w:val="both"/>
        <w:rPr>
          <w:rFonts w:ascii="Verdana" w:eastAsia="Calibri" w:hAnsi="Verdana" w:cs="Arial"/>
          <w:color w:val="000000" w:themeColor="text1"/>
          <w:lang w:val="es-ES" w:eastAsia="es-ES"/>
        </w:rPr>
      </w:pPr>
      <w:r w:rsidRPr="00B547DE">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547DE">
        <w:rPr>
          <w:lang w:val="es-ES"/>
        </w:rPr>
        <w:tab/>
      </w:r>
    </w:p>
    <w:p w14:paraId="546CEA20" w14:textId="77777777" w:rsidR="00D11F21" w:rsidRPr="00B547DE" w:rsidRDefault="00D11F21" w:rsidP="00D11F21">
      <w:pPr>
        <w:spacing w:after="0" w:line="276" w:lineRule="auto"/>
        <w:ind w:firstLine="709"/>
        <w:jc w:val="both"/>
        <w:rPr>
          <w:rFonts w:ascii="Verdana" w:eastAsia="Calibri" w:hAnsi="Verdana" w:cs="Arial"/>
          <w:color w:val="000000" w:themeColor="text1"/>
          <w:lang w:val="es-ES" w:eastAsia="es-ES"/>
        </w:rPr>
      </w:pPr>
      <w:r w:rsidRPr="00B547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15E9FF8" w14:textId="77777777" w:rsidR="00D11F21" w:rsidRPr="00B547DE" w:rsidRDefault="00D11F21" w:rsidP="00D11F21">
      <w:pPr>
        <w:spacing w:after="0" w:line="276" w:lineRule="auto"/>
        <w:ind w:firstLine="709"/>
        <w:jc w:val="both"/>
        <w:rPr>
          <w:rFonts w:ascii="Verdana" w:eastAsia="Calibri" w:hAnsi="Verdana" w:cs="Arial"/>
          <w:color w:val="000000" w:themeColor="text1"/>
          <w:lang w:val="es-ES" w:eastAsia="es-ES"/>
        </w:rPr>
      </w:pPr>
    </w:p>
    <w:p w14:paraId="562BDED5" w14:textId="77777777" w:rsidR="00D11F21" w:rsidRPr="00B547DE" w:rsidRDefault="00D11F21" w:rsidP="00D11F21">
      <w:pPr>
        <w:tabs>
          <w:tab w:val="left" w:pos="142"/>
          <w:tab w:val="left" w:pos="284"/>
        </w:tabs>
        <w:spacing w:after="0" w:line="276" w:lineRule="auto"/>
        <w:contextualSpacing/>
        <w:jc w:val="both"/>
        <w:rPr>
          <w:rFonts w:ascii="Verdana" w:eastAsia="Century Gothic" w:hAnsi="Verdana" w:cs="Century Gothic"/>
          <w:b/>
          <w:color w:val="000000" w:themeColor="text1"/>
          <w:lang w:val="es-ES"/>
        </w:rPr>
      </w:pPr>
      <w:r w:rsidRPr="00B547DE">
        <w:rPr>
          <w:rFonts w:ascii="Verdana" w:eastAsia="Century Gothic" w:hAnsi="Verdana" w:cs="Century Gothic"/>
          <w:b/>
          <w:color w:val="000000" w:themeColor="text1"/>
          <w:lang w:val="es-ES"/>
        </w:rPr>
        <w:t>1.Problema planteado:</w:t>
      </w:r>
    </w:p>
    <w:p w14:paraId="6C108763" w14:textId="77777777" w:rsidR="00D11F21" w:rsidRPr="00B547DE" w:rsidRDefault="00D11F21" w:rsidP="00D11F21">
      <w:pPr>
        <w:tabs>
          <w:tab w:val="left" w:pos="426"/>
        </w:tabs>
        <w:spacing w:after="0" w:line="276" w:lineRule="auto"/>
        <w:jc w:val="both"/>
        <w:rPr>
          <w:rFonts w:ascii="Verdana" w:eastAsia="Century Gothic" w:hAnsi="Verdana" w:cs="Century Gothic"/>
          <w:color w:val="000000" w:themeColor="text1"/>
          <w:lang w:val="es-ES"/>
        </w:rPr>
      </w:pPr>
    </w:p>
    <w:p w14:paraId="5126E463" w14:textId="77777777" w:rsidR="00D11F21" w:rsidRPr="00B547DE" w:rsidRDefault="00D11F21" w:rsidP="00D11F21">
      <w:pPr>
        <w:spacing w:after="0" w:line="276" w:lineRule="auto"/>
        <w:jc w:val="both"/>
        <w:rPr>
          <w:rFonts w:ascii="Verdana" w:eastAsia="Century Gothic" w:hAnsi="Verdana" w:cs="Century Gothic"/>
          <w:color w:val="000000" w:themeColor="text1"/>
          <w:lang w:val="es-ES"/>
        </w:rPr>
      </w:pPr>
      <w:r w:rsidRPr="00B547DE">
        <w:rPr>
          <w:rFonts w:ascii="Verdana" w:eastAsia="Century Gothic" w:hAnsi="Verdana" w:cs="Century Gothic"/>
          <w:color w:val="000000" w:themeColor="text1"/>
          <w:lang w:val="es-ES"/>
        </w:rPr>
        <w:t>De acuerdo con el contenido de su solicitud, esta Agencia resolverá el siguiente problema jurídico: ¿</w:t>
      </w:r>
      <w:r>
        <w:rPr>
          <w:rFonts w:ascii="Verdana" w:eastAsia="Century Gothic" w:hAnsi="Verdana" w:cs="Century Gothic"/>
          <w:color w:val="000000" w:themeColor="text1"/>
          <w:lang w:val="es-ES"/>
        </w:rPr>
        <w:t>Cuál es alcance y suficiencia de la garantía de responsabilidad civil extracontractual</w:t>
      </w:r>
      <w:r w:rsidRPr="00B547DE">
        <w:rPr>
          <w:rFonts w:ascii="Verdana" w:eastAsia="Century Gothic" w:hAnsi="Verdana" w:cs="Century Gothic"/>
          <w:color w:val="000000" w:themeColor="text1"/>
          <w:lang w:val="es-ES"/>
        </w:rPr>
        <w:t>?</w:t>
      </w:r>
    </w:p>
    <w:p w14:paraId="5C149AE1" w14:textId="77777777" w:rsidR="00D11F21" w:rsidRPr="00B547DE" w:rsidRDefault="00D11F21" w:rsidP="00D11F21">
      <w:pPr>
        <w:spacing w:after="0" w:line="276" w:lineRule="auto"/>
        <w:jc w:val="both"/>
        <w:rPr>
          <w:rFonts w:ascii="Verdana" w:eastAsia="Calibri" w:hAnsi="Verdana" w:cs="Arial"/>
          <w:color w:val="000000" w:themeColor="text1"/>
          <w:lang w:val="es-ES"/>
        </w:rPr>
      </w:pPr>
    </w:p>
    <w:p w14:paraId="1D869FAE" w14:textId="77777777" w:rsidR="00D11F21" w:rsidRPr="00B547DE" w:rsidRDefault="00D11F21" w:rsidP="00D11F21">
      <w:pPr>
        <w:tabs>
          <w:tab w:val="left" w:pos="142"/>
          <w:tab w:val="left" w:pos="284"/>
        </w:tabs>
        <w:spacing w:after="0" w:line="276" w:lineRule="auto"/>
        <w:jc w:val="both"/>
        <w:rPr>
          <w:rFonts w:ascii="Verdana" w:eastAsia="Century Gothic" w:hAnsi="Verdana" w:cs="Century Gothic"/>
          <w:b/>
          <w:color w:val="000000" w:themeColor="text1"/>
          <w:lang w:val="es-ES"/>
        </w:rPr>
      </w:pPr>
      <w:r w:rsidRPr="00B547DE">
        <w:rPr>
          <w:rFonts w:ascii="Verdana" w:eastAsia="Century Gothic" w:hAnsi="Verdana" w:cs="Century Gothic"/>
          <w:b/>
          <w:color w:val="000000" w:themeColor="text1"/>
          <w:lang w:val="es-ES"/>
        </w:rPr>
        <w:t>2.Respuesta:</w:t>
      </w:r>
    </w:p>
    <w:p w14:paraId="50A885F1" w14:textId="77777777" w:rsidR="00D11F21" w:rsidRPr="00B547DE" w:rsidRDefault="00D11F21" w:rsidP="00D11F21">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11F21" w:rsidRPr="00B547DE" w14:paraId="2C31C1FA" w14:textId="77777777" w:rsidTr="00413F5F">
        <w:tc>
          <w:tcPr>
            <w:tcW w:w="8828" w:type="dxa"/>
          </w:tcPr>
          <w:p w14:paraId="6C273D13" w14:textId="3ACF5210" w:rsidR="00D11F21" w:rsidRDefault="00D11F21" w:rsidP="0053744B">
            <w:pPr>
              <w:spacing w:before="120" w:after="120" w:line="276" w:lineRule="auto"/>
              <w:jc w:val="both"/>
              <w:rPr>
                <w:rFonts w:ascii="Verdana" w:hAnsi="Verdana" w:cs="Arial"/>
                <w:lang w:eastAsia="es-ES"/>
              </w:rPr>
            </w:pPr>
            <w:r>
              <w:rPr>
                <w:rFonts w:ascii="Verdana" w:eastAsia="Calibri" w:hAnsi="Verdana" w:cs="Arial"/>
                <w:color w:val="000000" w:themeColor="text1"/>
                <w:lang w:val="es-ES"/>
              </w:rPr>
              <w:t>E</w:t>
            </w:r>
            <w:r>
              <w:rPr>
                <w:rFonts w:ascii="Verdana" w:eastAsia="Times New Roman" w:hAnsi="Verdana" w:cs="Arial"/>
                <w:color w:val="000000" w:themeColor="text1"/>
                <w:lang w:eastAsia="es-CO"/>
              </w:rPr>
              <w:t>l artículo</w:t>
            </w:r>
            <w:r w:rsidRPr="00A965E5">
              <w:rPr>
                <w:rFonts w:ascii="Verdana" w:eastAsia="Times New Roman" w:hAnsi="Verdana" w:cs="Arial"/>
                <w:b/>
                <w:bCs/>
                <w:color w:val="000000" w:themeColor="text1"/>
                <w:lang w:eastAsia="es-CO"/>
              </w:rPr>
              <w:t> </w:t>
            </w:r>
            <w:r w:rsidRPr="00A965E5">
              <w:rPr>
                <w:rFonts w:ascii="Verdana" w:eastAsia="Times New Roman" w:hAnsi="Verdana" w:cs="Arial"/>
                <w:color w:val="000000" w:themeColor="text1"/>
                <w:lang w:eastAsia="es-CO"/>
              </w:rPr>
              <w:t xml:space="preserve">2.2.1.2.3.1.8. </w:t>
            </w:r>
            <w:r>
              <w:rPr>
                <w:rFonts w:ascii="Verdana" w:eastAsia="Times New Roman" w:hAnsi="Verdana" w:cs="Arial"/>
                <w:color w:val="000000" w:themeColor="text1"/>
                <w:lang w:eastAsia="es-CO"/>
              </w:rPr>
              <w:t>del Decreto 1082 de 2015 señala que las entidades tienen la obligación de exigir el o</w:t>
            </w:r>
            <w:r w:rsidRPr="00F5504B">
              <w:rPr>
                <w:rFonts w:ascii="Verdana" w:eastAsia="Times New Roman" w:hAnsi="Verdana" w:cs="Arial"/>
                <w:color w:val="000000" w:themeColor="text1"/>
                <w:lang w:eastAsia="es-CO"/>
              </w:rPr>
              <w:t>torgamiento de una póliza de responsabilidad civil extracontractual</w:t>
            </w:r>
            <w:r w:rsidRPr="00D36066">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w:t>
            </w:r>
            <w:r>
              <w:rPr>
                <w:rFonts w:ascii="Verdana" w:eastAsia="Calibri" w:hAnsi="Verdana" w:cs="Arial"/>
                <w:lang w:val="es-ES"/>
              </w:rPr>
              <w:t>Por su parte</w:t>
            </w:r>
            <w:r w:rsidRPr="00D36066">
              <w:rPr>
                <w:rFonts w:ascii="Verdana" w:eastAsia="Calibri" w:hAnsi="Verdana" w:cs="Arial"/>
                <w:lang w:val="es-ES"/>
              </w:rPr>
              <w:t>, el artículo 2.2.1.2.3.1.5</w:t>
            </w:r>
            <w:r w:rsidRPr="00D36066">
              <w:rPr>
                <w:rStyle w:val="Refdenotaalpie"/>
                <w:rFonts w:ascii="Verdana" w:eastAsia="Calibri" w:hAnsi="Verdana" w:cs="Arial"/>
                <w:lang w:val="es-ES"/>
              </w:rPr>
              <w:footnoteReference w:id="2"/>
            </w:r>
            <w:r w:rsidRPr="00D36066">
              <w:rPr>
                <w:rFonts w:ascii="Verdana" w:eastAsia="Calibri" w:hAnsi="Verdana" w:cs="Arial"/>
                <w:lang w:val="es-ES"/>
              </w:rPr>
              <w:t xml:space="preserve"> establece, respecto de la cobertura, que la responsabilidad civil extracontractual </w:t>
            </w:r>
            <w:r w:rsidRPr="00D36066">
              <w:rPr>
                <w:rFonts w:ascii="Verdana" w:eastAsia="Calibri" w:hAnsi="Verdana" w:cs="Arial"/>
                <w:lang w:val="es-ES"/>
              </w:rPr>
              <w:lastRenderedPageBreak/>
              <w:t>proveniente de hechos, acciones u omisiones</w:t>
            </w:r>
            <w:r w:rsidRPr="00D36066">
              <w:rPr>
                <w:rStyle w:val="Refdenotaalpie"/>
                <w:rFonts w:ascii="Verdana" w:eastAsia="Calibri" w:hAnsi="Verdana" w:cs="Arial"/>
                <w:lang w:val="es-ES"/>
              </w:rPr>
              <w:footnoteReference w:id="3"/>
            </w:r>
            <w:r w:rsidRPr="00D36066">
              <w:rPr>
                <w:rFonts w:ascii="Verdana" w:eastAsia="Calibri" w:hAnsi="Verdana" w:cs="Arial"/>
                <w:lang w:val="es-ES"/>
              </w:rPr>
              <w:t xml:space="preserve"> del contratista o subcontratista, únicamente puede ser amparada mediante un contrato de seguro</w:t>
            </w:r>
            <w:r w:rsidRPr="00266192">
              <w:rPr>
                <w:rFonts w:ascii="Verdana" w:hAnsi="Verdana" w:cs="Arial"/>
                <w:lang w:eastAsia="es-ES"/>
              </w:rPr>
              <w:t xml:space="preserve">. Este seguro es </w:t>
            </w:r>
            <w:r w:rsidRPr="00EE2B0A">
              <w:rPr>
                <w:rFonts w:ascii="Verdana" w:hAnsi="Verdana" w:cs="Arial"/>
                <w:lang w:eastAsia="es-ES"/>
              </w:rPr>
              <w:t>obligatorio</w:t>
            </w:r>
            <w:r w:rsidRPr="00266192">
              <w:rPr>
                <w:rFonts w:ascii="Verdana" w:hAnsi="Verdana" w:cs="Arial"/>
                <w:lang w:eastAsia="es-ES"/>
              </w:rPr>
              <w:t xml:space="preserve"> para los contratos de obra pública. En los demás contratos</w:t>
            </w:r>
            <w:r>
              <w:rPr>
                <w:rFonts w:ascii="Verdana" w:hAnsi="Verdana" w:cs="Arial"/>
                <w:lang w:eastAsia="es-ES"/>
              </w:rPr>
              <w:t>,</w:t>
            </w:r>
            <w:r w:rsidRPr="00266192">
              <w:rPr>
                <w:rFonts w:ascii="Verdana" w:hAnsi="Verdana" w:cs="Arial"/>
                <w:lang w:eastAsia="es-ES"/>
              </w:rPr>
              <w:t xml:space="preserve"> la Entidad Estatal debe establecer si en su ejecución existe el </w:t>
            </w:r>
            <w:r>
              <w:rPr>
                <w:rFonts w:ascii="Verdana" w:hAnsi="Verdana" w:cs="Arial"/>
                <w:lang w:eastAsia="es-ES"/>
              </w:rPr>
              <w:t>r</w:t>
            </w:r>
            <w:r w:rsidRPr="00266192">
              <w:rPr>
                <w:rFonts w:ascii="Verdana" w:hAnsi="Verdana" w:cs="Arial"/>
                <w:lang w:eastAsia="es-ES"/>
              </w:rPr>
              <w:t>iesgo de que el contratista pueda generarle daños a terceros</w:t>
            </w:r>
            <w:r>
              <w:rPr>
                <w:rFonts w:ascii="Verdana" w:hAnsi="Verdana" w:cs="Arial"/>
                <w:lang w:eastAsia="es-ES"/>
              </w:rPr>
              <w:t>;</w:t>
            </w:r>
            <w:r w:rsidRPr="00266192">
              <w:rPr>
                <w:rFonts w:ascii="Verdana" w:hAnsi="Verdana" w:cs="Arial"/>
                <w:lang w:eastAsia="es-ES"/>
              </w:rPr>
              <w:t xml:space="preserve"> </w:t>
            </w:r>
            <w:r>
              <w:rPr>
                <w:rFonts w:ascii="Verdana" w:hAnsi="Verdana" w:cs="Arial"/>
                <w:lang w:eastAsia="es-ES"/>
              </w:rPr>
              <w:t>según el objeto y naturaleza del contrato, la entidad deberá también exigir dicho seguro.</w:t>
            </w:r>
          </w:p>
          <w:p w14:paraId="385EE987" w14:textId="181A7333" w:rsidR="00D11F21" w:rsidRPr="00EE2B0A" w:rsidRDefault="007C4C52" w:rsidP="007C4C52">
            <w:pPr>
              <w:snapToGrid w:val="0"/>
              <w:spacing w:after="120" w:line="276" w:lineRule="auto"/>
              <w:ind w:firstLine="735"/>
              <w:jc w:val="both"/>
              <w:rPr>
                <w:rFonts w:ascii="Verdana" w:eastAsia="Calibri" w:hAnsi="Verdana" w:cs="Arial"/>
                <w:color w:val="000000"/>
                <w:lang w:val="es-ES"/>
              </w:rPr>
            </w:pPr>
            <w:r>
              <w:rPr>
                <w:rFonts w:ascii="Verdana" w:eastAsia="Calibri" w:hAnsi="Verdana" w:cs="Arial"/>
                <w:color w:val="000000"/>
                <w:lang w:val="es-ES"/>
              </w:rPr>
              <w:t>Por otra parte</w:t>
            </w:r>
            <w:r w:rsidR="00D11F21" w:rsidRPr="00635D9B">
              <w:rPr>
                <w:rFonts w:ascii="Verdana" w:eastAsia="Calibri" w:hAnsi="Verdana" w:cs="Arial"/>
                <w:color w:val="000000"/>
                <w:lang w:val="es-ES"/>
              </w:rPr>
              <w:t xml:space="preserve">, el artículo 2.2.1.2.3.1.17 determina el </w:t>
            </w:r>
            <w:r>
              <w:rPr>
                <w:rFonts w:ascii="Verdana" w:eastAsia="Calibri" w:hAnsi="Verdana" w:cs="Arial"/>
                <w:color w:val="000000"/>
                <w:lang w:val="es-ES"/>
              </w:rPr>
              <w:t xml:space="preserve">monto </w:t>
            </w:r>
            <w:r w:rsidR="00D11F21" w:rsidRPr="00635D9B">
              <w:rPr>
                <w:rFonts w:ascii="Verdana" w:eastAsia="Calibri" w:hAnsi="Verdana" w:cs="Arial"/>
                <w:color w:val="000000"/>
                <w:lang w:val="es-ES"/>
              </w:rPr>
              <w:t xml:space="preserve">que debe ser asegurado con el contrato de seguro, teniendo en cuenta </w:t>
            </w:r>
            <w:r>
              <w:rPr>
                <w:rFonts w:ascii="Verdana" w:eastAsia="Calibri" w:hAnsi="Verdana" w:cs="Arial"/>
                <w:color w:val="000000"/>
                <w:lang w:val="es-ES"/>
              </w:rPr>
              <w:t xml:space="preserve">el valor en </w:t>
            </w:r>
            <w:r w:rsidR="00D11F21" w:rsidRPr="00635D9B">
              <w:rPr>
                <w:rFonts w:ascii="Verdana" w:eastAsia="Calibri" w:hAnsi="Verdana" w:cs="Arial"/>
                <w:color w:val="000000"/>
                <w:lang w:val="es-ES"/>
              </w:rPr>
              <w:t>salarios mínimos mensuales legales vigentes del contrato</w:t>
            </w:r>
            <w:r w:rsidR="00D11F21">
              <w:rPr>
                <w:rFonts w:ascii="Verdana" w:eastAsia="Calibri" w:hAnsi="Verdana" w:cs="Arial"/>
                <w:color w:val="000000"/>
                <w:lang w:val="es-ES"/>
              </w:rPr>
              <w:t>. E</w:t>
            </w:r>
            <w:r w:rsidR="00D11F21" w:rsidRPr="007D1C5C">
              <w:rPr>
                <w:rFonts w:ascii="Verdana" w:hAnsi="Verdana" w:cs="Arial"/>
                <w:lang w:eastAsia="es-ES"/>
              </w:rPr>
              <w:t>l artículo referido no estableció distinción alguna frente a</w:t>
            </w:r>
            <w:r w:rsidR="00D11F21">
              <w:rPr>
                <w:rFonts w:ascii="Verdana" w:hAnsi="Verdana" w:cs="Arial"/>
                <w:lang w:eastAsia="es-ES"/>
              </w:rPr>
              <w:t xml:space="preserve"> los supuestos en que es aplicable</w:t>
            </w:r>
            <w:r w:rsidR="00D11F21" w:rsidRPr="007D1C5C">
              <w:rPr>
                <w:rFonts w:ascii="Verdana" w:hAnsi="Verdana" w:cs="Arial"/>
                <w:lang w:eastAsia="es-ES"/>
              </w:rPr>
              <w:t xml:space="preserve"> la </w:t>
            </w:r>
            <w:r w:rsidR="00D11F21" w:rsidRPr="007D1C5C">
              <w:rPr>
                <w:rFonts w:ascii="Verdana" w:eastAsia="Calibri" w:hAnsi="Verdana" w:cs="Arial"/>
                <w:color w:val="000000"/>
                <w:lang w:val="es-ES"/>
              </w:rPr>
              <w:t>suficiencia del seguro de responsabilidad civil extracontractual</w:t>
            </w:r>
            <w:r w:rsidR="00D11F21">
              <w:rPr>
                <w:rFonts w:ascii="Verdana" w:eastAsia="Calibri" w:hAnsi="Verdana" w:cs="Arial"/>
                <w:color w:val="000000"/>
                <w:lang w:val="es-ES"/>
              </w:rPr>
              <w:t xml:space="preserve">, sino que determinó que el valor asegurado, de manera general, no podrá ser inferior al allí dispuesto. En consecuencia, tanto en los contratos de obra, como en aquellos en los que por su objeto o naturaleza la entidad requiera el seguro de responsabilidad civil extracontractual, las entidades deberán cumplir con la suficiencia establecida en el artículo </w:t>
            </w:r>
            <w:r w:rsidR="00D11F21" w:rsidRPr="0015618D">
              <w:rPr>
                <w:rFonts w:ascii="Verdana" w:eastAsia="Calibri" w:hAnsi="Verdana" w:cs="Arial"/>
                <w:color w:val="000000"/>
                <w:lang w:val="es-ES"/>
              </w:rPr>
              <w:t>2.2.1.2.3.1.17. del Decreto 1082 de 2015.</w:t>
            </w:r>
            <w:r w:rsidR="00D11F21">
              <w:rPr>
                <w:rFonts w:ascii="Verdana" w:eastAsia="Calibri" w:hAnsi="Verdana" w:cs="Arial"/>
                <w:color w:val="000000"/>
                <w:sz w:val="20"/>
                <w:szCs w:val="20"/>
                <w:lang w:val="es-ES"/>
              </w:rPr>
              <w:t xml:space="preserve"> </w:t>
            </w:r>
          </w:p>
        </w:tc>
      </w:tr>
    </w:tbl>
    <w:p w14:paraId="0BEB56CF" w14:textId="77777777" w:rsidR="00D11F21" w:rsidRPr="00B547DE" w:rsidRDefault="00D11F21" w:rsidP="00D11F21">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E6E0582" w14:textId="77777777" w:rsidR="00D11F21" w:rsidRPr="00B547DE" w:rsidRDefault="00D11F21" w:rsidP="00D11F21">
      <w:pPr>
        <w:tabs>
          <w:tab w:val="left" w:pos="142"/>
          <w:tab w:val="left" w:pos="284"/>
        </w:tabs>
        <w:spacing w:after="0" w:line="276" w:lineRule="auto"/>
        <w:jc w:val="both"/>
        <w:rPr>
          <w:rFonts w:ascii="Verdana" w:eastAsia="Century Gothic" w:hAnsi="Verdana" w:cs="Century Gothic"/>
          <w:b/>
          <w:color w:val="000000" w:themeColor="text1"/>
          <w:lang w:val="es-ES"/>
        </w:rPr>
      </w:pPr>
      <w:r w:rsidRPr="00B547DE">
        <w:rPr>
          <w:rFonts w:ascii="Verdana" w:eastAsia="Century Gothic" w:hAnsi="Verdana" w:cs="Century Gothic"/>
          <w:b/>
          <w:color w:val="000000" w:themeColor="text1"/>
          <w:lang w:val="es-ES"/>
        </w:rPr>
        <w:t>3.Razones de la respuesta:</w:t>
      </w:r>
    </w:p>
    <w:p w14:paraId="3DD642EA" w14:textId="77777777" w:rsidR="00D11F21" w:rsidRPr="00B547DE" w:rsidRDefault="00D11F21" w:rsidP="00D11F21">
      <w:pPr>
        <w:spacing w:after="0" w:line="276" w:lineRule="auto"/>
        <w:jc w:val="both"/>
        <w:rPr>
          <w:rFonts w:ascii="Verdana" w:hAnsi="Verdana" w:cs="Arial"/>
          <w:lang w:val="es-ES"/>
        </w:rPr>
      </w:pPr>
      <w:bookmarkStart w:id="2" w:name="_Hlk41238857"/>
      <w:bookmarkStart w:id="3" w:name="_Hlk102983874"/>
      <w:bookmarkStart w:id="4" w:name="_Hlk102388095"/>
    </w:p>
    <w:p w14:paraId="5FD1DA0E" w14:textId="77777777" w:rsidR="00D11F21" w:rsidRPr="00B547DE" w:rsidRDefault="00D11F21" w:rsidP="00D11F21">
      <w:pPr>
        <w:spacing w:after="0" w:line="276" w:lineRule="auto"/>
        <w:jc w:val="both"/>
        <w:rPr>
          <w:rFonts w:ascii="Verdana" w:eastAsia="Calibri" w:hAnsi="Verdana" w:cs="Arial"/>
          <w:color w:val="000000" w:themeColor="text1"/>
          <w:lang w:val="es-ES"/>
        </w:rPr>
      </w:pPr>
      <w:r w:rsidRPr="00B547DE">
        <w:rPr>
          <w:rFonts w:ascii="Verdana" w:eastAsia="Calibri" w:hAnsi="Verdana" w:cs="Arial"/>
          <w:color w:val="000000" w:themeColor="text1"/>
          <w:lang w:val="es-ES"/>
        </w:rPr>
        <w:t xml:space="preserve">Lo anterior se sustenta en las siguientes consideraciones: </w:t>
      </w:r>
    </w:p>
    <w:p w14:paraId="10A73D21" w14:textId="77777777" w:rsidR="00D11F21" w:rsidRPr="00B547DE" w:rsidRDefault="00D11F21" w:rsidP="00D11F21">
      <w:pPr>
        <w:spacing w:after="0"/>
        <w:jc w:val="both"/>
        <w:rPr>
          <w:rFonts w:ascii="Verdana" w:hAnsi="Verdana" w:cs="Arial"/>
          <w:lang w:val="es-ES"/>
        </w:rPr>
      </w:pPr>
    </w:p>
    <w:bookmarkEnd w:id="2"/>
    <w:p w14:paraId="7AE0DFFE" w14:textId="77777777" w:rsidR="00D11F21" w:rsidRPr="00CA6FDA" w:rsidRDefault="00D11F21" w:rsidP="00D11F21">
      <w:pPr>
        <w:spacing w:after="120" w:line="276" w:lineRule="auto"/>
        <w:jc w:val="both"/>
        <w:rPr>
          <w:rFonts w:ascii="Verdana" w:eastAsia="Calibri" w:hAnsi="Verdana" w:cs="Arial"/>
          <w:color w:val="000000" w:themeColor="text1"/>
          <w:lang w:val="es-ES"/>
        </w:rPr>
      </w:pPr>
      <w:r>
        <w:rPr>
          <w:rFonts w:ascii="Verdana" w:hAnsi="Verdana" w:cs="Arial"/>
          <w:color w:val="000000"/>
          <w:shd w:val="clear" w:color="auto" w:fill="FFFFFF"/>
        </w:rPr>
        <w:t>M</w:t>
      </w:r>
      <w:proofErr w:type="spellStart"/>
      <w:r w:rsidRPr="00CA6FDA">
        <w:rPr>
          <w:rFonts w:ascii="Verdana" w:eastAsia="Calibri" w:hAnsi="Verdana" w:cs="Arial"/>
          <w:color w:val="000000" w:themeColor="text1"/>
          <w:lang w:val="es-ES"/>
        </w:rPr>
        <w:t>ediante</w:t>
      </w:r>
      <w:proofErr w:type="spellEnd"/>
      <w:r w:rsidRPr="00CA6FDA">
        <w:rPr>
          <w:rFonts w:ascii="Verdana" w:eastAsia="Calibri" w:hAnsi="Verdana" w:cs="Arial"/>
          <w:color w:val="000000" w:themeColor="text1"/>
          <w:lang w:val="es-ES"/>
        </w:rPr>
        <w:t xml:space="preserve"> la </w:t>
      </w:r>
      <w:r w:rsidRPr="00CA6FDA">
        <w:rPr>
          <w:rFonts w:ascii="Verdana" w:eastAsia="Calibri" w:hAnsi="Verdana" w:cs="Arial"/>
          <w:i/>
          <w:iCs/>
          <w:color w:val="000000" w:themeColor="text1"/>
          <w:lang w:val="es-ES"/>
        </w:rPr>
        <w:t>garantía de única de cumplimiento</w:t>
      </w:r>
      <w:r w:rsidRPr="00CA6FDA">
        <w:rPr>
          <w:rFonts w:ascii="Verdana" w:eastAsia="Calibri" w:hAnsi="Verdana" w:cs="Arial"/>
          <w:color w:val="000000" w:themeColor="text1"/>
          <w:lang w:val="es-ES"/>
        </w:rPr>
        <w:t>, el contratista ampara los perjuicios que le pueda generar a la entidad el incumplimiento de las obligaciones derivadas del contrato</w:t>
      </w:r>
      <w:r w:rsidRPr="00CA6FDA">
        <w:rPr>
          <w:rStyle w:val="Refdenotaalpie"/>
          <w:rFonts w:ascii="Verdana" w:eastAsia="Calibri" w:hAnsi="Verdana" w:cs="Arial"/>
          <w:color w:val="000000" w:themeColor="text1"/>
        </w:rPr>
        <w:footnoteReference w:id="4"/>
      </w:r>
      <w:r w:rsidRPr="00CA6FDA">
        <w:rPr>
          <w:rFonts w:ascii="Verdana" w:eastAsia="Calibri" w:hAnsi="Verdana" w:cs="Arial"/>
          <w:color w:val="000000" w:themeColor="text1"/>
          <w:lang w:val="es-ES"/>
        </w:rPr>
        <w:t xml:space="preserve">. En esta medida, tienen como objetivo reparar los perjuicios causados por conductas atribuibles al contratista, por lo </w:t>
      </w:r>
      <w:r w:rsidRPr="00CA6FDA">
        <w:rPr>
          <w:rFonts w:ascii="Verdana" w:eastAsia="Calibri" w:hAnsi="Verdana" w:cs="Arial"/>
          <w:color w:val="000000" w:themeColor="text1"/>
          <w:lang w:val="es-ES"/>
        </w:rPr>
        <w:lastRenderedPageBreak/>
        <w:t xml:space="preserve">que estos últimos son un presupuesto necesario para el pago que cubre la garantía. </w:t>
      </w:r>
      <w:r w:rsidRPr="00CA6FDA">
        <w:rPr>
          <w:rFonts w:ascii="Verdana" w:hAnsi="Verdana" w:cs="Arial"/>
          <w:color w:val="000000" w:themeColor="text1"/>
          <w:lang w:val="es-ES_tradnl"/>
        </w:rPr>
        <w:t>Para estos efectos es única, ya que “[…] La prioridad […] es que no haya garantías separadas para los diferentes riesgos, aunque existan varias garantías para diferentes proporciones del interés asegurado […]”</w:t>
      </w:r>
      <w:r w:rsidRPr="00CA6FDA">
        <w:rPr>
          <w:rStyle w:val="Refdenotaalpie"/>
          <w:rFonts w:ascii="Verdana" w:hAnsi="Verdana" w:cs="Arial"/>
          <w:color w:val="000000" w:themeColor="text1"/>
          <w:lang w:val="es-ES_tradnl"/>
        </w:rPr>
        <w:footnoteReference w:id="5"/>
      </w:r>
      <w:r w:rsidRPr="00CA6FDA">
        <w:rPr>
          <w:rFonts w:ascii="Verdana" w:hAnsi="Verdana" w:cs="Arial"/>
          <w:color w:val="000000" w:themeColor="text1"/>
          <w:lang w:val="es-ES_tradnl"/>
        </w:rPr>
        <w:t xml:space="preserve">.    </w:t>
      </w:r>
    </w:p>
    <w:p w14:paraId="1FFE1EA4" w14:textId="77777777" w:rsidR="00D11F21" w:rsidRPr="00CA6FDA" w:rsidRDefault="00D11F21" w:rsidP="00D11F21">
      <w:pPr>
        <w:spacing w:after="120" w:line="276" w:lineRule="auto"/>
        <w:ind w:firstLine="708"/>
        <w:jc w:val="both"/>
        <w:rPr>
          <w:rFonts w:ascii="Verdana" w:hAnsi="Verdana" w:cs="Arial"/>
          <w:color w:val="000000" w:themeColor="text1"/>
          <w:lang w:val="es-ES"/>
        </w:rPr>
      </w:pPr>
      <w:r w:rsidRPr="7B4F50DD">
        <w:rPr>
          <w:rFonts w:ascii="Verdana" w:hAnsi="Verdana" w:cs="Arial"/>
          <w:color w:val="000000" w:themeColor="text1"/>
          <w:lang w:val="es-ES"/>
        </w:rPr>
        <w:t xml:space="preserve">Desde esta perspectiva, constituye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7B4F50DD">
        <w:rPr>
          <w:rFonts w:ascii="Verdana" w:hAnsi="Verdana" w:cs="Arial"/>
          <w:color w:val="000000" w:themeColor="text1"/>
          <w:lang w:val="es-ES"/>
        </w:rPr>
        <w:t>ii</w:t>
      </w:r>
      <w:proofErr w:type="spellEnd"/>
      <w:r w:rsidRPr="7B4F50DD">
        <w:rPr>
          <w:rFonts w:ascii="Verdana" w:hAnsi="Verdana" w:cs="Arial"/>
          <w:color w:val="000000" w:themeColor="text1"/>
          <w:lang w:val="es-ES"/>
        </w:rPr>
        <w:t xml:space="preserve">) garantías bancarias o </w:t>
      </w:r>
      <w:proofErr w:type="spellStart"/>
      <w:r w:rsidRPr="7B4F50DD">
        <w:rPr>
          <w:rFonts w:ascii="Verdana" w:hAnsi="Verdana" w:cs="Arial"/>
          <w:color w:val="000000" w:themeColor="text1"/>
          <w:lang w:val="es-ES"/>
        </w:rPr>
        <w:t>iii</w:t>
      </w:r>
      <w:proofErr w:type="spellEnd"/>
      <w:r w:rsidRPr="7B4F50DD">
        <w:rPr>
          <w:rFonts w:ascii="Verdana" w:hAnsi="Verdana" w:cs="Arial"/>
          <w:color w:val="000000" w:themeColor="text1"/>
          <w:lang w:val="es-ES"/>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w:t>
      </w:r>
      <w:r w:rsidRPr="7B4F50DD">
        <w:rPr>
          <w:rStyle w:val="Refdenotaalpie"/>
          <w:rFonts w:ascii="Verdana" w:hAnsi="Verdana" w:cs="Arial"/>
          <w:color w:val="000000" w:themeColor="text1"/>
          <w:lang w:val="es-ES"/>
        </w:rPr>
        <w:footnoteReference w:id="6"/>
      </w:r>
      <w:r w:rsidRPr="7B4F50DD">
        <w:rPr>
          <w:rFonts w:ascii="Verdana" w:hAnsi="Verdana" w:cs="Arial"/>
          <w:color w:val="000000" w:themeColor="text1"/>
          <w:lang w:val="es-ES"/>
        </w:rPr>
        <w:t>. De esta manera, las garantías previstas en la ley tienen como objetivo asegurar la solvencia del garante</w:t>
      </w:r>
      <w:r w:rsidRPr="7B4F50DD">
        <w:rPr>
          <w:rStyle w:val="Refdenotaalpie"/>
          <w:rFonts w:ascii="Verdana" w:hAnsi="Verdana" w:cs="Arial"/>
          <w:color w:val="000000" w:themeColor="text1"/>
          <w:lang w:val="es-ES"/>
        </w:rPr>
        <w:footnoteReference w:id="7"/>
      </w:r>
      <w:r w:rsidRPr="7B4F50DD">
        <w:rPr>
          <w:rFonts w:ascii="Verdana" w:hAnsi="Verdana" w:cs="Arial"/>
          <w:color w:val="000000" w:themeColor="text1"/>
          <w:lang w:val="es-ES"/>
        </w:rPr>
        <w:t>.</w:t>
      </w:r>
    </w:p>
    <w:p w14:paraId="72EA4DB8" w14:textId="77777777" w:rsidR="00D11F21" w:rsidRPr="00CA6FDA" w:rsidRDefault="00D11F21" w:rsidP="00D11F21">
      <w:pPr>
        <w:spacing w:after="120" w:line="276" w:lineRule="auto"/>
        <w:ind w:firstLine="708"/>
        <w:jc w:val="both"/>
        <w:rPr>
          <w:rFonts w:ascii="Verdana" w:hAnsi="Verdana" w:cs="Arial"/>
          <w:color w:val="000000" w:themeColor="text1"/>
        </w:rPr>
      </w:pPr>
      <w:r w:rsidRPr="00CA6FDA">
        <w:rPr>
          <w:rFonts w:ascii="Verdana" w:hAnsi="Verdana" w:cs="Arial"/>
          <w:color w:val="000000" w:themeColor="text1"/>
        </w:rPr>
        <w:t xml:space="preserve">El Decreto 1082 de 2015 reglamenta las condiciones en que debe cumplirse esta obligación. Los artículos 2.2.1.2.3.1.1 a 2.2.1.2.3.1.19 del Decreto Único Reglamentario del sector Administrativo de Planeación Nacional regulan asuntos como las clases de garantías permitidas, la indivisibilidad de </w:t>
      </w:r>
      <w:proofErr w:type="gramStart"/>
      <w:r w:rsidRPr="00CA6FDA">
        <w:rPr>
          <w:rFonts w:ascii="Verdana" w:hAnsi="Verdana" w:cs="Arial"/>
          <w:color w:val="000000" w:themeColor="text1"/>
        </w:rPr>
        <w:t>las mismas</w:t>
      </w:r>
      <w:proofErr w:type="gramEnd"/>
      <w:r w:rsidRPr="00CA6FDA">
        <w:rPr>
          <w:rFonts w:ascii="Verdana" w:hAnsi="Verdana" w:cs="Arial"/>
          <w:color w:val="000000" w:themeColor="text1"/>
        </w:rPr>
        <w:t xml:space="preserve">, los diferentes riesgos que deben ser objeto de garantía, la vigencia y valores mínimos que deben cubrir los amparos, entre otros aspectos. </w:t>
      </w:r>
    </w:p>
    <w:p w14:paraId="21B48B60" w14:textId="77777777" w:rsidR="00D11F21" w:rsidRDefault="00D11F21" w:rsidP="00D11F21">
      <w:pPr>
        <w:spacing w:before="120" w:after="0" w:line="276" w:lineRule="auto"/>
        <w:ind w:firstLine="708"/>
        <w:jc w:val="both"/>
        <w:rPr>
          <w:rFonts w:ascii="Verdana" w:eastAsia="Times New Roman" w:hAnsi="Verdana" w:cs="Arial"/>
          <w:color w:val="000000" w:themeColor="text1"/>
          <w:lang w:eastAsia="es-CO"/>
        </w:rPr>
      </w:pPr>
      <w:r w:rsidRPr="00CA6FDA">
        <w:rPr>
          <w:rFonts w:ascii="Verdana" w:hAnsi="Verdana" w:cs="Arial"/>
          <w:color w:val="000000" w:themeColor="text1"/>
        </w:rPr>
        <w:t xml:space="preserve">El artículo 2.2.1.2.3.1.3, por ejemplo, establece que la “garantía de cobertura del Riesgo es indivisible”, además de la obligación de los contratantes de establecer en los pliegos de condiciones las garantías exigidas para cada </w:t>
      </w:r>
      <w:r w:rsidRPr="00CA6FDA">
        <w:rPr>
          <w:rFonts w:ascii="Verdana" w:hAnsi="Verdana" w:cs="Arial"/>
          <w:color w:val="000000" w:themeColor="text1"/>
        </w:rPr>
        <w:lastRenderedPageBreak/>
        <w:t>periodo contractual</w:t>
      </w:r>
      <w:r w:rsidRPr="00CA6FDA">
        <w:rPr>
          <w:rStyle w:val="Refdenotaalpie"/>
          <w:rFonts w:ascii="Verdana" w:hAnsi="Verdana" w:cs="Arial"/>
          <w:color w:val="000000" w:themeColor="text1"/>
        </w:rPr>
        <w:footnoteReference w:id="8"/>
      </w:r>
      <w:r w:rsidRPr="00CA6FDA">
        <w:rPr>
          <w:rFonts w:ascii="Verdana" w:hAnsi="Verdana" w:cs="Arial"/>
          <w:color w:val="000000" w:themeColor="text1"/>
        </w:rPr>
        <w:t xml:space="preserve">. Por su parte, el artículo 2.2.1.3.1.7 prescribe que la garantía de cumplimiento debe cubrir: i) el buen manejo y correcta inversión del anticipo; </w:t>
      </w:r>
      <w:proofErr w:type="spellStart"/>
      <w:r w:rsidRPr="00CA6FDA">
        <w:rPr>
          <w:rFonts w:ascii="Verdana" w:hAnsi="Verdana" w:cs="Arial"/>
          <w:color w:val="000000" w:themeColor="text1"/>
        </w:rPr>
        <w:t>ii</w:t>
      </w:r>
      <w:proofErr w:type="spellEnd"/>
      <w:r w:rsidRPr="00CA6FDA">
        <w:rPr>
          <w:rFonts w:ascii="Verdana" w:hAnsi="Verdana" w:cs="Arial"/>
          <w:color w:val="000000" w:themeColor="text1"/>
        </w:rPr>
        <w:t xml:space="preserve">) la devolución del pago anticipado; </w:t>
      </w:r>
      <w:proofErr w:type="spellStart"/>
      <w:r w:rsidRPr="00CA6FDA">
        <w:rPr>
          <w:rFonts w:ascii="Verdana" w:hAnsi="Verdana" w:cs="Arial"/>
          <w:color w:val="000000" w:themeColor="text1"/>
        </w:rPr>
        <w:t>iii</w:t>
      </w:r>
      <w:proofErr w:type="spellEnd"/>
      <w:r w:rsidRPr="00CA6FDA">
        <w:rPr>
          <w:rFonts w:ascii="Verdana" w:hAnsi="Verdana" w:cs="Arial"/>
          <w:color w:val="000000" w:themeColor="text1"/>
        </w:rPr>
        <w:t xml:space="preserve">) el cumplimiento del contrato; </w:t>
      </w:r>
      <w:proofErr w:type="spellStart"/>
      <w:r w:rsidRPr="00CA6FDA">
        <w:rPr>
          <w:rFonts w:ascii="Verdana" w:hAnsi="Verdana" w:cs="Arial"/>
          <w:color w:val="000000" w:themeColor="text1"/>
        </w:rPr>
        <w:t>iv</w:t>
      </w:r>
      <w:proofErr w:type="spellEnd"/>
      <w:r w:rsidRPr="00CA6FDA">
        <w:rPr>
          <w:rFonts w:ascii="Verdana" w:hAnsi="Verdana" w:cs="Arial"/>
          <w:color w:val="000000" w:themeColor="text1"/>
        </w:rPr>
        <w:t xml:space="preserve">) el pago de salarios, prestaciones sociales legales e indemnizaciones laborales; v)  la estabilidad y calidad de la obra; vi) la </w:t>
      </w:r>
      <w:r w:rsidRPr="00CA6FDA">
        <w:rPr>
          <w:rFonts w:ascii="Verdana" w:eastAsia="Times New Roman" w:hAnsi="Verdana" w:cs="Arial"/>
          <w:color w:val="000000" w:themeColor="text1"/>
          <w:lang w:eastAsia="es-CO"/>
        </w:rPr>
        <w:t xml:space="preserve">calidad del servicio; </w:t>
      </w:r>
      <w:proofErr w:type="spellStart"/>
      <w:r w:rsidRPr="00CA6FDA">
        <w:rPr>
          <w:rFonts w:ascii="Verdana" w:eastAsia="Times New Roman" w:hAnsi="Verdana" w:cs="Arial"/>
          <w:color w:val="000000" w:themeColor="text1"/>
          <w:lang w:eastAsia="es-CO"/>
        </w:rPr>
        <w:t>vii</w:t>
      </w:r>
      <w:proofErr w:type="spellEnd"/>
      <w:r w:rsidRPr="00CA6FDA">
        <w:rPr>
          <w:rFonts w:ascii="Verdana" w:eastAsia="Times New Roman" w:hAnsi="Verdana" w:cs="Arial"/>
          <w:color w:val="000000" w:themeColor="text1"/>
          <w:lang w:eastAsia="es-CO"/>
        </w:rPr>
        <w:t xml:space="preserve">) la calidad y correcto funcionamiento de los bienes; y </w:t>
      </w:r>
      <w:proofErr w:type="spellStart"/>
      <w:r w:rsidRPr="00CA6FDA">
        <w:rPr>
          <w:rFonts w:ascii="Verdana" w:eastAsia="Times New Roman" w:hAnsi="Verdana" w:cs="Arial"/>
          <w:color w:val="000000" w:themeColor="text1"/>
          <w:lang w:eastAsia="es-CO"/>
        </w:rPr>
        <w:t>viii</w:t>
      </w:r>
      <w:proofErr w:type="spellEnd"/>
      <w:r w:rsidRPr="00CA6FDA">
        <w:rPr>
          <w:rFonts w:ascii="Verdana" w:eastAsia="Times New Roman" w:hAnsi="Verdana" w:cs="Arial"/>
          <w:color w:val="000000" w:themeColor="text1"/>
          <w:lang w:eastAsia="es-CO"/>
        </w:rPr>
        <w:t>) los demás incumplimientos de las obligaciones que la entidad estatal considere deben ser amparados</w:t>
      </w:r>
      <w:r w:rsidRPr="00CA6FDA">
        <w:rPr>
          <w:rStyle w:val="Refdenotaalpie"/>
          <w:rFonts w:ascii="Verdana" w:eastAsia="Times New Roman" w:hAnsi="Verdana" w:cs="Arial"/>
          <w:color w:val="000000" w:themeColor="text1"/>
          <w:lang w:eastAsia="es-CO"/>
        </w:rPr>
        <w:footnoteReference w:id="9"/>
      </w:r>
      <w:r w:rsidRPr="00CA6FDA">
        <w:rPr>
          <w:rFonts w:ascii="Verdana" w:eastAsia="Times New Roman" w:hAnsi="Verdana" w:cs="Arial"/>
          <w:color w:val="000000" w:themeColor="text1"/>
          <w:lang w:eastAsia="es-CO"/>
        </w:rPr>
        <w:t xml:space="preserve">. </w:t>
      </w:r>
    </w:p>
    <w:p w14:paraId="0E936D86" w14:textId="77777777" w:rsidR="0096113C" w:rsidRDefault="0096113C" w:rsidP="0096113C">
      <w:pPr>
        <w:spacing w:after="0" w:line="276" w:lineRule="auto"/>
        <w:ind w:firstLine="708"/>
        <w:jc w:val="both"/>
        <w:rPr>
          <w:rFonts w:ascii="Verdana" w:eastAsia="Times New Roman" w:hAnsi="Verdana" w:cs="Arial"/>
          <w:color w:val="000000" w:themeColor="text1"/>
          <w:lang w:eastAsia="es-CO"/>
        </w:rPr>
      </w:pPr>
    </w:p>
    <w:p w14:paraId="26539B59" w14:textId="77777777" w:rsidR="00D11F21" w:rsidRDefault="00D11F21" w:rsidP="00D11F21">
      <w:pPr>
        <w:spacing w:after="120" w:line="276" w:lineRule="auto"/>
        <w:ind w:firstLine="708"/>
        <w:jc w:val="both"/>
        <w:rPr>
          <w:rFonts w:ascii="Verdana" w:hAnsi="Verdana" w:cs="Arial"/>
          <w:color w:val="000000" w:themeColor="text1"/>
        </w:rPr>
      </w:pPr>
      <w:r w:rsidRPr="00D36066">
        <w:rPr>
          <w:rFonts w:ascii="Verdana" w:hAnsi="Verdana" w:cs="Arial"/>
          <w:color w:val="000000" w:themeColor="text1"/>
        </w:rPr>
        <w:lastRenderedPageBreak/>
        <w:t xml:space="preserve">En el marco de lo expuesto, los riesgos que cubren las garantías tienen como finalidad garantizar el cumplimiento de las obligaciones adquiridas por los oferentes y/o contratistas a favor de la entidad estatal o de terceros. Además, en relación con ciertos riesgos que pueden surgir durante la </w:t>
      </w:r>
      <w:r w:rsidRPr="00D36066">
        <w:rPr>
          <w:rFonts w:ascii="Verdana" w:hAnsi="Verdana" w:cs="Arial"/>
          <w:i/>
          <w:iCs/>
          <w:color w:val="000000" w:themeColor="text1"/>
        </w:rPr>
        <w:t>ejecución</w:t>
      </w:r>
      <w:r w:rsidRPr="00D36066">
        <w:rPr>
          <w:rFonts w:ascii="Verdana" w:hAnsi="Verdana" w:cs="Arial"/>
          <w:color w:val="000000" w:themeColor="text1"/>
        </w:rPr>
        <w:t xml:space="preserve"> del contrato,</w:t>
      </w:r>
      <w:r>
        <w:rPr>
          <w:rFonts w:ascii="Verdana" w:hAnsi="Verdana" w:cs="Arial"/>
          <w:color w:val="000000" w:themeColor="text1"/>
        </w:rPr>
        <w:t xml:space="preserve"> el EGCAP determinó </w:t>
      </w:r>
      <w:r w:rsidRPr="00D36066">
        <w:rPr>
          <w:rFonts w:ascii="Verdana" w:hAnsi="Verdana" w:cs="Arial"/>
          <w:color w:val="000000" w:themeColor="text1"/>
        </w:rPr>
        <w:t xml:space="preserve">un amparo relacionado con la responsabilidad extracontractual que pueda surgir por las actuaciones, hechos u omisiones de los contratistas y subcontratistas. </w:t>
      </w:r>
    </w:p>
    <w:p w14:paraId="707B6505" w14:textId="77777777" w:rsidR="00D11F21" w:rsidRPr="00D36066" w:rsidRDefault="00D11F21" w:rsidP="00D11F21">
      <w:pPr>
        <w:spacing w:after="120" w:line="276" w:lineRule="auto"/>
        <w:ind w:firstLine="708"/>
        <w:jc w:val="both"/>
        <w:rPr>
          <w:rFonts w:ascii="Verdana" w:eastAsia="Calibri" w:hAnsi="Verdana" w:cs="Arial"/>
          <w:lang w:val="es-ES"/>
        </w:rPr>
      </w:pPr>
      <w:r>
        <w:rPr>
          <w:rFonts w:ascii="Verdana" w:hAnsi="Verdana" w:cs="Arial"/>
          <w:color w:val="000000" w:themeColor="text1"/>
        </w:rPr>
        <w:t>Sobre este</w:t>
      </w:r>
      <w:r>
        <w:rPr>
          <w:rFonts w:ascii="Verdana" w:eastAsia="Times New Roman" w:hAnsi="Verdana" w:cs="Arial"/>
          <w:color w:val="000000" w:themeColor="text1"/>
          <w:lang w:eastAsia="es-CO"/>
        </w:rPr>
        <w:t>, el artículo</w:t>
      </w:r>
      <w:r w:rsidRPr="00A965E5">
        <w:rPr>
          <w:rFonts w:ascii="Verdana" w:eastAsia="Times New Roman" w:hAnsi="Verdana" w:cs="Arial"/>
          <w:b/>
          <w:bCs/>
          <w:color w:val="000000" w:themeColor="text1"/>
          <w:lang w:eastAsia="es-CO"/>
        </w:rPr>
        <w:t> </w:t>
      </w:r>
      <w:r w:rsidRPr="00A965E5">
        <w:rPr>
          <w:rFonts w:ascii="Verdana" w:eastAsia="Times New Roman" w:hAnsi="Verdana" w:cs="Arial"/>
          <w:color w:val="000000" w:themeColor="text1"/>
          <w:lang w:eastAsia="es-CO"/>
        </w:rPr>
        <w:t xml:space="preserve">2.2.1.2.3.1.8. </w:t>
      </w:r>
      <w:r>
        <w:rPr>
          <w:rFonts w:ascii="Verdana" w:eastAsia="Times New Roman" w:hAnsi="Verdana" w:cs="Arial"/>
          <w:color w:val="000000" w:themeColor="text1"/>
          <w:lang w:eastAsia="es-CO"/>
        </w:rPr>
        <w:t>del Decreto 1082 de 2015 señala que las entidades tienen la obligación de exigir el o</w:t>
      </w:r>
      <w:r w:rsidRPr="00F5504B">
        <w:rPr>
          <w:rFonts w:ascii="Verdana" w:eastAsia="Times New Roman" w:hAnsi="Verdana" w:cs="Arial"/>
          <w:color w:val="000000" w:themeColor="text1"/>
          <w:lang w:eastAsia="es-CO"/>
        </w:rPr>
        <w:t>torgamiento de una póliza de responsabilidad civil extracontractual</w:t>
      </w:r>
      <w:r w:rsidRPr="00D36066">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w:t>
      </w:r>
      <w:r>
        <w:rPr>
          <w:rFonts w:ascii="Verdana" w:eastAsia="Calibri" w:hAnsi="Verdana" w:cs="Arial"/>
          <w:lang w:val="es-ES"/>
        </w:rPr>
        <w:t>Por su parte</w:t>
      </w:r>
      <w:r w:rsidRPr="00D36066">
        <w:rPr>
          <w:rFonts w:ascii="Verdana" w:eastAsia="Calibri" w:hAnsi="Verdana" w:cs="Arial"/>
          <w:lang w:val="es-ES"/>
        </w:rPr>
        <w:t>, el artículo 2.2.1.2.3.1.5</w:t>
      </w:r>
      <w:r w:rsidRPr="00D36066">
        <w:rPr>
          <w:rStyle w:val="Refdenotaalpie"/>
          <w:rFonts w:ascii="Verdana" w:eastAsia="Calibri" w:hAnsi="Verdana" w:cs="Arial"/>
          <w:lang w:val="es-ES"/>
        </w:rPr>
        <w:footnoteReference w:id="10"/>
      </w:r>
      <w:r w:rsidRPr="00D36066">
        <w:rPr>
          <w:rFonts w:ascii="Verdana" w:eastAsia="Calibri" w:hAnsi="Verdana" w:cs="Arial"/>
          <w:lang w:val="es-ES"/>
        </w:rPr>
        <w:t xml:space="preserve"> establece, respecto de la cobertura, que la responsabilidad civil extracontractual proveniente de hechos, acciones u omisiones</w:t>
      </w:r>
      <w:r w:rsidRPr="00D36066">
        <w:rPr>
          <w:rStyle w:val="Refdenotaalpie"/>
          <w:rFonts w:ascii="Verdana" w:eastAsia="Calibri" w:hAnsi="Verdana" w:cs="Arial"/>
          <w:lang w:val="es-ES"/>
        </w:rPr>
        <w:footnoteReference w:id="11"/>
      </w:r>
      <w:r w:rsidRPr="00D36066">
        <w:rPr>
          <w:rFonts w:ascii="Verdana" w:eastAsia="Calibri" w:hAnsi="Verdana" w:cs="Arial"/>
          <w:lang w:val="es-ES"/>
        </w:rPr>
        <w:t xml:space="preserve"> del contratista o subcontratista, únicamente puede ser amparada mediante un contrato de seguro</w:t>
      </w:r>
      <w:r w:rsidRPr="00266192">
        <w:rPr>
          <w:rFonts w:ascii="Verdana" w:hAnsi="Verdana" w:cs="Arial"/>
          <w:lang w:eastAsia="es-ES"/>
        </w:rPr>
        <w:t xml:space="preserve">. Este seguro es </w:t>
      </w:r>
      <w:r w:rsidRPr="00EE2B0A">
        <w:rPr>
          <w:rFonts w:ascii="Verdana" w:hAnsi="Verdana" w:cs="Arial"/>
          <w:lang w:eastAsia="es-ES"/>
        </w:rPr>
        <w:t>obligatorio</w:t>
      </w:r>
      <w:r w:rsidRPr="00266192">
        <w:rPr>
          <w:rFonts w:ascii="Verdana" w:hAnsi="Verdana" w:cs="Arial"/>
          <w:lang w:eastAsia="es-ES"/>
        </w:rPr>
        <w:t xml:space="preserve"> para los contratos de obra pública. En los demás contratos</w:t>
      </w:r>
      <w:r>
        <w:rPr>
          <w:rFonts w:ascii="Verdana" w:hAnsi="Verdana" w:cs="Arial"/>
          <w:lang w:eastAsia="es-ES"/>
        </w:rPr>
        <w:t>,</w:t>
      </w:r>
      <w:r w:rsidRPr="00266192">
        <w:rPr>
          <w:rFonts w:ascii="Verdana" w:hAnsi="Verdana" w:cs="Arial"/>
          <w:lang w:eastAsia="es-ES"/>
        </w:rPr>
        <w:t xml:space="preserve"> la Entidad Estatal debe establecer si en su ejecución existe el </w:t>
      </w:r>
      <w:r>
        <w:rPr>
          <w:rFonts w:ascii="Verdana" w:hAnsi="Verdana" w:cs="Arial"/>
          <w:lang w:eastAsia="es-ES"/>
        </w:rPr>
        <w:t>r</w:t>
      </w:r>
      <w:r w:rsidRPr="00266192">
        <w:rPr>
          <w:rFonts w:ascii="Verdana" w:hAnsi="Verdana" w:cs="Arial"/>
          <w:lang w:eastAsia="es-ES"/>
        </w:rPr>
        <w:t>iesgo de que el contratista pueda generarle daños a terceros</w:t>
      </w:r>
      <w:r>
        <w:rPr>
          <w:rFonts w:ascii="Verdana" w:hAnsi="Verdana" w:cs="Arial"/>
          <w:lang w:eastAsia="es-ES"/>
        </w:rPr>
        <w:t>;</w:t>
      </w:r>
      <w:r w:rsidRPr="00266192">
        <w:rPr>
          <w:rFonts w:ascii="Verdana" w:hAnsi="Verdana" w:cs="Arial"/>
          <w:lang w:eastAsia="es-ES"/>
        </w:rPr>
        <w:t xml:space="preserve"> </w:t>
      </w:r>
      <w:r>
        <w:rPr>
          <w:rFonts w:ascii="Verdana" w:hAnsi="Verdana" w:cs="Arial"/>
          <w:lang w:eastAsia="es-ES"/>
        </w:rPr>
        <w:t>según el objeto y naturaleza del contrato, la entidad deberá también exigir dicho seguro.</w:t>
      </w:r>
    </w:p>
    <w:p w14:paraId="48DF59CA" w14:textId="77777777" w:rsidR="00D11F21" w:rsidRDefault="00D11F21" w:rsidP="00D11F21">
      <w:pPr>
        <w:spacing w:before="120" w:after="120" w:line="276" w:lineRule="auto"/>
        <w:ind w:firstLine="709"/>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D</w:t>
      </w:r>
      <w:r w:rsidRPr="00CA6FDA">
        <w:rPr>
          <w:rFonts w:ascii="Verdana" w:eastAsia="Times New Roman" w:hAnsi="Verdana" w:cs="Arial"/>
          <w:color w:val="000000" w:themeColor="text1"/>
          <w:lang w:eastAsia="es-CO"/>
        </w:rPr>
        <w:t xml:space="preserve">e acuerdo con el </w:t>
      </w:r>
      <w:r>
        <w:rPr>
          <w:rFonts w:ascii="Verdana" w:eastAsia="Times New Roman" w:hAnsi="Verdana" w:cs="Arial"/>
          <w:color w:val="000000" w:themeColor="text1"/>
          <w:lang w:eastAsia="es-CO"/>
        </w:rPr>
        <w:t xml:space="preserve">inciso segundo del </w:t>
      </w:r>
      <w:r w:rsidRPr="00CA6FDA">
        <w:rPr>
          <w:rFonts w:ascii="Verdana" w:eastAsia="Times New Roman" w:hAnsi="Verdana" w:cs="Arial"/>
          <w:color w:val="000000" w:themeColor="text1"/>
          <w:lang w:eastAsia="es-CO"/>
        </w:rPr>
        <w:t xml:space="preserve">artículo </w:t>
      </w:r>
      <w:r w:rsidRPr="00CA6FDA">
        <w:rPr>
          <w:rFonts w:ascii="Verdana" w:eastAsia="Times New Roman" w:hAnsi="Verdana" w:cs="Arial"/>
          <w:i/>
          <w:iCs/>
          <w:color w:val="000000" w:themeColor="text1"/>
          <w:lang w:eastAsia="es-CO"/>
        </w:rPr>
        <w:t>ibidem</w:t>
      </w:r>
      <w:r>
        <w:rPr>
          <w:rFonts w:ascii="Verdana" w:eastAsia="Times New Roman" w:hAnsi="Verdana" w:cs="Arial"/>
          <w:color w:val="000000" w:themeColor="text1"/>
          <w:lang w:eastAsia="es-CO"/>
        </w:rPr>
        <w:t>, l</w:t>
      </w:r>
      <w:r w:rsidRPr="00EC3E69">
        <w:rPr>
          <w:rFonts w:ascii="Verdana" w:eastAsia="Times New Roman" w:hAnsi="Verdana" w:cs="Arial"/>
          <w:color w:val="000000" w:themeColor="text1"/>
          <w:lang w:eastAsia="es-CO"/>
        </w:rPr>
        <w:t xml:space="preserve">a Entidad Estatal </w:t>
      </w:r>
      <w:r>
        <w:rPr>
          <w:rFonts w:ascii="Verdana" w:eastAsia="Times New Roman" w:hAnsi="Verdana" w:cs="Arial"/>
          <w:color w:val="000000" w:themeColor="text1"/>
          <w:lang w:eastAsia="es-CO"/>
        </w:rPr>
        <w:t>“</w:t>
      </w:r>
      <w:r w:rsidRPr="00EC3E69">
        <w:rPr>
          <w:rFonts w:ascii="Verdana" w:eastAsia="Times New Roman" w:hAnsi="Verdana" w:cs="Arial"/>
          <w:color w:val="000000" w:themeColor="text1"/>
          <w:lang w:eastAsia="es-CO"/>
        </w:rPr>
        <w:t>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r>
        <w:rPr>
          <w:rFonts w:ascii="Verdana" w:eastAsia="Times New Roman" w:hAnsi="Verdana" w:cs="Arial"/>
          <w:color w:val="000000" w:themeColor="text1"/>
          <w:lang w:eastAsia="es-CO"/>
        </w:rPr>
        <w:t>”</w:t>
      </w:r>
      <w:r w:rsidRPr="00EC3E69">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w:t>
      </w:r>
      <w:r>
        <w:rPr>
          <w:rFonts w:ascii="Verdana" w:hAnsi="Verdana" w:cs="Arial"/>
          <w:lang w:eastAsia="es-ES"/>
        </w:rPr>
        <w:t>De esta manera, e</w:t>
      </w:r>
      <w:r w:rsidRPr="00266192">
        <w:rPr>
          <w:rFonts w:ascii="Verdana" w:hAnsi="Verdana" w:cs="Arial"/>
          <w:lang w:eastAsia="es-ES"/>
        </w:rPr>
        <w:t xml:space="preserve">l seguro de responsabilidad civil extracontractual transfiere el Riesgo a la aseguradora de reparar a la víctima (tercero) por </w:t>
      </w:r>
      <w:r>
        <w:rPr>
          <w:rFonts w:ascii="Verdana" w:hAnsi="Verdana" w:cs="Arial"/>
          <w:lang w:eastAsia="es-ES"/>
        </w:rPr>
        <w:t>el</w:t>
      </w:r>
      <w:r w:rsidRPr="00266192">
        <w:rPr>
          <w:rFonts w:ascii="Verdana" w:hAnsi="Verdana" w:cs="Arial"/>
          <w:lang w:eastAsia="es-ES"/>
        </w:rPr>
        <w:t xml:space="preserve"> actuar que genere responsabilidad civil en cabeza del asegurado. </w:t>
      </w:r>
      <w:r>
        <w:rPr>
          <w:rFonts w:ascii="Verdana" w:hAnsi="Verdana" w:cs="Arial"/>
          <w:lang w:eastAsia="es-ES"/>
        </w:rPr>
        <w:lastRenderedPageBreak/>
        <w:t xml:space="preserve">Con esto, </w:t>
      </w:r>
      <w:r w:rsidRPr="00266192">
        <w:rPr>
          <w:rFonts w:ascii="Verdana" w:hAnsi="Verdana" w:cs="Arial"/>
          <w:lang w:eastAsia="es-ES"/>
        </w:rPr>
        <w:t>el asegurado protege su patrimonio pues no tendrá que asumir el pago de estos perjuicios que serán indemnizados por la compañía de seguros.</w:t>
      </w:r>
    </w:p>
    <w:p w14:paraId="3B8486A8" w14:textId="77777777" w:rsidR="00D11F21" w:rsidRDefault="00D11F21" w:rsidP="00D11F21">
      <w:pPr>
        <w:spacing w:before="120" w:after="120" w:line="276" w:lineRule="auto"/>
        <w:ind w:firstLine="709"/>
        <w:jc w:val="both"/>
        <w:rPr>
          <w:rFonts w:ascii="Verdana" w:hAnsi="Verdana" w:cs="Arial"/>
          <w:lang w:eastAsia="es-ES"/>
        </w:rPr>
      </w:pPr>
      <w:r w:rsidRPr="00266192">
        <w:rPr>
          <w:rFonts w:ascii="Verdana" w:hAnsi="Verdana" w:cs="Arial"/>
          <w:lang w:eastAsia="es-ES"/>
        </w:rPr>
        <w:t xml:space="preserve">El Decreto 1082 de 2015 exige una serie de requisitos que deben reunir los seguros de responsabilidad civil extracontractual a favor de Entidades Estatales: </w:t>
      </w:r>
      <w:r>
        <w:rPr>
          <w:rFonts w:ascii="Verdana" w:hAnsi="Verdana" w:cs="Arial"/>
          <w:lang w:eastAsia="es-ES"/>
        </w:rPr>
        <w:t>1) c</w:t>
      </w:r>
      <w:r w:rsidRPr="00266192">
        <w:rPr>
          <w:rFonts w:ascii="Verdana" w:hAnsi="Verdana" w:cs="Arial"/>
          <w:lang w:eastAsia="es-ES"/>
        </w:rPr>
        <w:t>obertura básica de predios, labores y operaciones</w:t>
      </w:r>
      <w:r>
        <w:rPr>
          <w:rFonts w:ascii="Verdana" w:hAnsi="Verdana" w:cs="Arial"/>
          <w:lang w:eastAsia="es-ES"/>
        </w:rPr>
        <w:t>;</w:t>
      </w:r>
      <w:r w:rsidRPr="00266192">
        <w:rPr>
          <w:rFonts w:ascii="Verdana" w:hAnsi="Verdana" w:cs="Arial"/>
          <w:lang w:eastAsia="es-ES"/>
        </w:rPr>
        <w:t xml:space="preserve"> </w:t>
      </w:r>
      <w:r>
        <w:rPr>
          <w:rFonts w:ascii="Verdana" w:hAnsi="Verdana" w:cs="Arial"/>
          <w:lang w:eastAsia="es-ES"/>
        </w:rPr>
        <w:t>2) el d</w:t>
      </w:r>
      <w:r w:rsidRPr="00266192">
        <w:rPr>
          <w:rFonts w:ascii="Verdana" w:hAnsi="Verdana" w:cs="Arial"/>
          <w:lang w:eastAsia="es-ES"/>
        </w:rPr>
        <w:t>año emergente y el lucro cesante</w:t>
      </w:r>
      <w:r>
        <w:rPr>
          <w:rFonts w:ascii="Verdana" w:hAnsi="Verdana" w:cs="Arial"/>
          <w:lang w:eastAsia="es-ES"/>
        </w:rPr>
        <w:t>; 3) los p</w:t>
      </w:r>
      <w:r w:rsidRPr="00266192">
        <w:rPr>
          <w:rFonts w:ascii="Verdana" w:hAnsi="Verdana" w:cs="Arial"/>
          <w:lang w:eastAsia="es-ES"/>
        </w:rPr>
        <w:t>erjuicios extrapatrimoniales</w:t>
      </w:r>
      <w:r>
        <w:rPr>
          <w:rFonts w:ascii="Verdana" w:hAnsi="Verdana" w:cs="Arial"/>
          <w:lang w:eastAsia="es-ES"/>
        </w:rPr>
        <w:t>; 3)</w:t>
      </w:r>
      <w:r w:rsidRPr="00266192">
        <w:t xml:space="preserve"> </w:t>
      </w:r>
      <w:r>
        <w:rPr>
          <w:rFonts w:ascii="Verdana" w:hAnsi="Verdana" w:cs="Arial"/>
          <w:lang w:eastAsia="es-ES"/>
        </w:rPr>
        <w:t>r</w:t>
      </w:r>
      <w:r w:rsidRPr="00266192">
        <w:rPr>
          <w:rFonts w:ascii="Verdana" w:hAnsi="Verdana" w:cs="Arial"/>
          <w:lang w:eastAsia="es-ES"/>
        </w:rPr>
        <w:t>esponsabilidad surgida por actos de contratistas y subcontratistas, salvo que el subcontratista tenga su propio seguro de responsabilidad civil extracontractual, con los mismos amparos</w:t>
      </w:r>
      <w:r>
        <w:rPr>
          <w:rFonts w:ascii="Verdana" w:hAnsi="Verdana" w:cs="Arial"/>
          <w:lang w:eastAsia="es-ES"/>
        </w:rPr>
        <w:t>; 4) c</w:t>
      </w:r>
      <w:r w:rsidRPr="00266192">
        <w:rPr>
          <w:rFonts w:ascii="Verdana" w:hAnsi="Verdana" w:cs="Arial"/>
          <w:lang w:eastAsia="es-ES"/>
        </w:rPr>
        <w:t xml:space="preserve">obertura expresa de amparo patronal, que cubre los perjuicios causados por accidentes de trabajo </w:t>
      </w:r>
      <w:r>
        <w:rPr>
          <w:rFonts w:ascii="Verdana" w:hAnsi="Verdana" w:cs="Arial"/>
          <w:lang w:eastAsia="es-ES"/>
        </w:rPr>
        <w:t xml:space="preserve">de </w:t>
      </w:r>
      <w:r w:rsidRPr="00266192">
        <w:rPr>
          <w:rFonts w:ascii="Verdana" w:hAnsi="Verdana" w:cs="Arial"/>
          <w:lang w:eastAsia="es-ES"/>
        </w:rPr>
        <w:t>los empleados al servicio del contratista</w:t>
      </w:r>
      <w:r>
        <w:rPr>
          <w:rFonts w:ascii="Verdana" w:hAnsi="Verdana" w:cs="Arial"/>
          <w:lang w:eastAsia="es-ES"/>
        </w:rPr>
        <w:t>; 5) la c</w:t>
      </w:r>
      <w:r w:rsidRPr="00266192">
        <w:rPr>
          <w:rFonts w:ascii="Verdana" w:hAnsi="Verdana" w:cs="Arial"/>
          <w:lang w:eastAsia="es-ES"/>
        </w:rPr>
        <w:t>obertura expresa de vehículos propios y no propios, que cubre daños materiales, las lesiones personales y/o la muerte que se ocasionen a terceros con vehículos que estén al servicio de la entidad asegurada en el giro normal de sus actividades</w:t>
      </w:r>
      <w:r>
        <w:rPr>
          <w:rStyle w:val="Refdenotaalpie"/>
          <w:rFonts w:ascii="Verdana" w:hAnsi="Verdana" w:cs="Arial"/>
          <w:lang w:eastAsia="es-ES"/>
        </w:rPr>
        <w:footnoteReference w:id="12"/>
      </w:r>
      <w:r w:rsidRPr="00266192">
        <w:rPr>
          <w:rFonts w:ascii="Verdana" w:hAnsi="Verdana" w:cs="Arial"/>
          <w:lang w:eastAsia="es-ES"/>
        </w:rPr>
        <w:t>.</w:t>
      </w:r>
    </w:p>
    <w:p w14:paraId="662EA090" w14:textId="77777777" w:rsidR="00D11F21" w:rsidRPr="00635D9B" w:rsidRDefault="00D11F21" w:rsidP="00D11F21">
      <w:pPr>
        <w:snapToGrid w:val="0"/>
        <w:spacing w:after="0" w:line="276" w:lineRule="auto"/>
        <w:ind w:firstLine="708"/>
        <w:jc w:val="both"/>
        <w:rPr>
          <w:rFonts w:ascii="Verdana" w:eastAsia="Calibri" w:hAnsi="Verdana" w:cs="Arial"/>
          <w:color w:val="000000"/>
          <w:lang w:val="es-ES"/>
        </w:rPr>
      </w:pPr>
      <w:r w:rsidRPr="00635D9B">
        <w:rPr>
          <w:rFonts w:ascii="Verdana" w:eastAsia="Calibri" w:hAnsi="Verdana" w:cs="Arial"/>
          <w:color w:val="000000"/>
          <w:lang w:val="es-ES"/>
        </w:rPr>
        <w:t xml:space="preserve">Así mismo, el artículo </w:t>
      </w:r>
      <w:bookmarkStart w:id="10" w:name="2.2.1.2.3.1.17"/>
      <w:bookmarkEnd w:id="10"/>
      <w:r w:rsidRPr="00635D9B">
        <w:rPr>
          <w:rFonts w:ascii="Verdana" w:eastAsia="Calibri" w:hAnsi="Verdana" w:cs="Arial"/>
          <w:color w:val="000000"/>
          <w:lang w:val="es-ES"/>
        </w:rPr>
        <w:t xml:space="preserve">2.2.1.2.3.1.17 determina el valor que debe ser asegurado con el contrato de seguro, teniendo en cuenta el valor en salarios mínimos mensuales legales vigentes del contrato, tal como se cita a continuación:  </w:t>
      </w:r>
    </w:p>
    <w:p w14:paraId="25D2A3BC" w14:textId="77777777" w:rsidR="00D11F21" w:rsidRDefault="00D11F21" w:rsidP="00D11F21">
      <w:pPr>
        <w:snapToGrid w:val="0"/>
        <w:spacing w:after="0" w:line="276" w:lineRule="auto"/>
        <w:ind w:left="709" w:right="709"/>
        <w:jc w:val="both"/>
        <w:rPr>
          <w:rFonts w:ascii="Verdana" w:eastAsia="Calibri" w:hAnsi="Verdana" w:cs="Arial"/>
          <w:color w:val="000000"/>
          <w:lang w:val="es-ES"/>
        </w:rPr>
      </w:pPr>
    </w:p>
    <w:p w14:paraId="1CE01A99" w14:textId="77777777" w:rsidR="00D11F21" w:rsidRPr="006C156F" w:rsidRDefault="00D11F21" w:rsidP="00D11F21">
      <w:pPr>
        <w:snapToGrid w:val="0"/>
        <w:spacing w:after="0" w:line="240" w:lineRule="auto"/>
        <w:ind w:left="709" w:right="709"/>
        <w:jc w:val="both"/>
        <w:rPr>
          <w:rFonts w:ascii="Verdana" w:eastAsia="Calibri" w:hAnsi="Verdana" w:cs="Arial"/>
          <w:color w:val="000000"/>
          <w:sz w:val="20"/>
          <w:szCs w:val="20"/>
          <w:lang w:val="es-ES"/>
        </w:rPr>
      </w:pPr>
      <w:r w:rsidRPr="006C156F">
        <w:rPr>
          <w:rFonts w:ascii="Verdana" w:eastAsia="Calibri" w:hAnsi="Verdana" w:cs="Arial"/>
          <w:color w:val="000000"/>
          <w:sz w:val="20"/>
          <w:szCs w:val="20"/>
          <w:lang w:val="es-ES"/>
        </w:rPr>
        <w:t>“Artículo 2.2.1.2.3.1.17. Suficiencia del seguro de responsabilidad civil extracontractual. El valor asegurado por los contratos de seguro que amparan la responsabilidad civil extracontractual no debe ser inferior a:</w:t>
      </w:r>
    </w:p>
    <w:p w14:paraId="5C691501" w14:textId="77777777" w:rsidR="00D11F21" w:rsidRPr="006C156F" w:rsidRDefault="00D11F21" w:rsidP="00D11F21">
      <w:pPr>
        <w:shd w:val="clear" w:color="auto" w:fill="FFFFFF"/>
        <w:snapToGrid w:val="0"/>
        <w:spacing w:after="0" w:line="240" w:lineRule="auto"/>
        <w:ind w:left="709" w:right="709"/>
        <w:jc w:val="both"/>
        <w:rPr>
          <w:rFonts w:ascii="Verdana" w:eastAsia="Calibri" w:hAnsi="Verdana" w:cs="Arial"/>
          <w:color w:val="000000"/>
          <w:sz w:val="20"/>
          <w:szCs w:val="20"/>
          <w:lang w:val="es-ES"/>
        </w:rPr>
      </w:pPr>
      <w:bookmarkStart w:id="11" w:name="2.2.1.2.3.1.17.1"/>
      <w:bookmarkEnd w:id="11"/>
      <w:r w:rsidRPr="006C156F">
        <w:rPr>
          <w:rFonts w:ascii="Verdana" w:eastAsia="Calibri" w:hAnsi="Verdana" w:cs="Arial"/>
          <w:color w:val="000000"/>
          <w:sz w:val="20"/>
          <w:szCs w:val="20"/>
          <w:lang w:val="es-ES"/>
        </w:rPr>
        <w:t>1. Doscientos (200) SMMLV para contratos cuyo valor sea inferior o igual a mil quinientos (1.500) SMMLV.</w:t>
      </w:r>
    </w:p>
    <w:p w14:paraId="4657B4C2" w14:textId="77777777" w:rsidR="00D11F21" w:rsidRPr="006C156F" w:rsidRDefault="00D11F21" w:rsidP="00D11F21">
      <w:pPr>
        <w:shd w:val="clear" w:color="auto" w:fill="FFFFFF"/>
        <w:snapToGrid w:val="0"/>
        <w:spacing w:after="0" w:line="240" w:lineRule="auto"/>
        <w:ind w:left="709" w:right="709"/>
        <w:jc w:val="both"/>
        <w:rPr>
          <w:rFonts w:ascii="Verdana" w:eastAsia="Calibri" w:hAnsi="Verdana" w:cs="Arial"/>
          <w:color w:val="000000"/>
          <w:sz w:val="20"/>
          <w:szCs w:val="20"/>
          <w:lang w:val="es-ES"/>
        </w:rPr>
      </w:pPr>
      <w:bookmarkStart w:id="12" w:name="2.2.1.2.3.1.17.2"/>
      <w:bookmarkEnd w:id="12"/>
      <w:r w:rsidRPr="006C156F">
        <w:rPr>
          <w:rFonts w:ascii="Verdana" w:eastAsia="Calibri" w:hAnsi="Verdana" w:cs="Arial"/>
          <w:color w:val="000000"/>
          <w:sz w:val="20"/>
          <w:szCs w:val="20"/>
          <w:lang w:val="es-ES"/>
        </w:rPr>
        <w:t>2. Trescientos (300) SMMLV para contratos cuyo valor sea superior a mil quinientos (1.500) SMMLV e inferior o igual a dos mil quinientos (2.500) SMMLV.</w:t>
      </w:r>
    </w:p>
    <w:p w14:paraId="2DBE57CF" w14:textId="77777777" w:rsidR="00D11F21" w:rsidRPr="006C156F" w:rsidRDefault="00D11F21" w:rsidP="00D11F21">
      <w:pPr>
        <w:shd w:val="clear" w:color="auto" w:fill="FFFFFF"/>
        <w:snapToGrid w:val="0"/>
        <w:spacing w:after="0" w:line="240" w:lineRule="auto"/>
        <w:ind w:left="709" w:right="709"/>
        <w:jc w:val="both"/>
        <w:rPr>
          <w:rFonts w:ascii="Verdana" w:eastAsia="Calibri" w:hAnsi="Verdana" w:cs="Arial"/>
          <w:color w:val="000000"/>
          <w:sz w:val="20"/>
          <w:szCs w:val="20"/>
          <w:lang w:val="es-ES"/>
        </w:rPr>
      </w:pPr>
      <w:bookmarkStart w:id="13" w:name="2.2.1.2.3.1.17.3"/>
      <w:bookmarkEnd w:id="13"/>
      <w:r w:rsidRPr="006C156F">
        <w:rPr>
          <w:rFonts w:ascii="Verdana" w:eastAsia="Calibri" w:hAnsi="Verdana" w:cs="Arial"/>
          <w:color w:val="000000"/>
          <w:sz w:val="20"/>
          <w:szCs w:val="20"/>
          <w:lang w:val="es-ES"/>
        </w:rPr>
        <w:t>3. Cuatrocientos (400) SMMLV para contratos cuyo valor sea superior a dos mil quinientos (2.500) SMMLV e inferior o igual a cinco mil (5.000) SMMLV.</w:t>
      </w:r>
    </w:p>
    <w:p w14:paraId="7A3B7829" w14:textId="77777777" w:rsidR="00D11F21" w:rsidRPr="006C156F" w:rsidRDefault="00D11F21" w:rsidP="00D11F21">
      <w:pPr>
        <w:shd w:val="clear" w:color="auto" w:fill="FFFFFF"/>
        <w:snapToGrid w:val="0"/>
        <w:spacing w:after="0" w:line="240" w:lineRule="auto"/>
        <w:ind w:left="709" w:right="709"/>
        <w:jc w:val="both"/>
        <w:rPr>
          <w:rFonts w:ascii="Verdana" w:eastAsia="Calibri" w:hAnsi="Verdana" w:cs="Arial"/>
          <w:color w:val="000000"/>
          <w:sz w:val="20"/>
          <w:szCs w:val="20"/>
          <w:lang w:val="es-ES"/>
        </w:rPr>
      </w:pPr>
      <w:bookmarkStart w:id="14" w:name="2.2.1.2.3.1.17.4"/>
      <w:bookmarkEnd w:id="14"/>
      <w:r w:rsidRPr="006C156F">
        <w:rPr>
          <w:rFonts w:ascii="Verdana" w:eastAsia="Calibri" w:hAnsi="Verdana" w:cs="Arial"/>
          <w:color w:val="000000"/>
          <w:sz w:val="20"/>
          <w:szCs w:val="20"/>
          <w:lang w:val="es-ES"/>
        </w:rPr>
        <w:t>4. Quinientos (500) SMMLV para contratos cuyo valor sea superior a cinco mil (5.000) SMMLV e inferior o igual a diez mil (10.000) SMMLV.</w:t>
      </w:r>
      <w:bookmarkStart w:id="15" w:name="2.2.1.2.3.1.17.5"/>
      <w:bookmarkEnd w:id="15"/>
    </w:p>
    <w:p w14:paraId="567DC689" w14:textId="77777777" w:rsidR="00D11F21" w:rsidRPr="006C156F" w:rsidRDefault="00D11F21" w:rsidP="00D11F21">
      <w:pPr>
        <w:shd w:val="clear" w:color="auto" w:fill="FFFFFF"/>
        <w:snapToGrid w:val="0"/>
        <w:spacing w:after="0" w:line="240" w:lineRule="auto"/>
        <w:ind w:left="709" w:right="709"/>
        <w:jc w:val="both"/>
        <w:rPr>
          <w:rFonts w:ascii="Verdana" w:eastAsia="Calibri" w:hAnsi="Verdana" w:cs="Arial"/>
          <w:color w:val="000000"/>
          <w:sz w:val="20"/>
          <w:szCs w:val="20"/>
          <w:lang w:val="es-ES"/>
        </w:rPr>
      </w:pPr>
      <w:r w:rsidRPr="006C156F">
        <w:rPr>
          <w:rFonts w:ascii="Verdana" w:eastAsia="Calibri" w:hAnsi="Verdana" w:cs="Arial"/>
          <w:color w:val="000000"/>
          <w:sz w:val="20"/>
          <w:szCs w:val="20"/>
          <w:lang w:val="es-ES"/>
        </w:rPr>
        <w:t>5. El cinco por ciento (5%) del valor del contrato cuando este sea superior a diez mil (10.000) SMMLV, caso en el cual el valor asegurado debe ser máximo setenta y cinco mil (75.000) SMMLV.</w:t>
      </w:r>
    </w:p>
    <w:p w14:paraId="32366989" w14:textId="77777777" w:rsidR="00D11F21" w:rsidRPr="006C156F" w:rsidRDefault="00D11F21" w:rsidP="00D11F21">
      <w:pPr>
        <w:shd w:val="clear" w:color="auto" w:fill="FFFFFF"/>
        <w:snapToGrid w:val="0"/>
        <w:spacing w:after="0" w:line="240" w:lineRule="auto"/>
        <w:ind w:left="709" w:right="709"/>
        <w:jc w:val="both"/>
        <w:rPr>
          <w:rFonts w:ascii="Verdana" w:eastAsia="Calibri" w:hAnsi="Verdana" w:cs="Arial"/>
          <w:color w:val="000000"/>
          <w:sz w:val="20"/>
          <w:szCs w:val="20"/>
          <w:lang w:val="es-ES"/>
        </w:rPr>
      </w:pPr>
      <w:r w:rsidRPr="006C156F">
        <w:rPr>
          <w:rFonts w:ascii="Verdana" w:eastAsia="Calibri" w:hAnsi="Verdana" w:cs="Arial"/>
          <w:color w:val="000000"/>
          <w:sz w:val="20"/>
          <w:szCs w:val="20"/>
          <w:lang w:val="es-ES"/>
        </w:rPr>
        <w:t>La vigencia de esta garantía deberá ser igual al período de ejecución del contrato”.</w:t>
      </w:r>
    </w:p>
    <w:p w14:paraId="6C7B7898" w14:textId="77777777" w:rsidR="00D11F21" w:rsidRDefault="00D11F21" w:rsidP="00D11F21">
      <w:pPr>
        <w:widowControl w:val="0"/>
        <w:autoSpaceDE w:val="0"/>
        <w:autoSpaceDN w:val="0"/>
        <w:spacing w:after="0" w:line="276" w:lineRule="auto"/>
        <w:ind w:right="98"/>
        <w:jc w:val="both"/>
        <w:rPr>
          <w:rFonts w:ascii="Verdana" w:hAnsi="Verdana" w:cs="Arial"/>
          <w:lang w:eastAsia="es-ES"/>
        </w:rPr>
      </w:pPr>
    </w:p>
    <w:p w14:paraId="57CE5887" w14:textId="77777777" w:rsidR="00D11F21" w:rsidRPr="0015618D" w:rsidRDefault="00D11F21" w:rsidP="00D11F21">
      <w:pPr>
        <w:widowControl w:val="0"/>
        <w:autoSpaceDE w:val="0"/>
        <w:autoSpaceDN w:val="0"/>
        <w:snapToGrid w:val="0"/>
        <w:spacing w:after="0" w:line="276" w:lineRule="auto"/>
        <w:ind w:right="98" w:firstLine="708"/>
        <w:jc w:val="both"/>
        <w:rPr>
          <w:rFonts w:ascii="Verdana" w:eastAsia="Calibri" w:hAnsi="Verdana" w:cs="Arial"/>
          <w:color w:val="000000"/>
          <w:lang w:val="es-ES"/>
        </w:rPr>
      </w:pPr>
      <w:r>
        <w:rPr>
          <w:rFonts w:ascii="Verdana" w:hAnsi="Verdana" w:cs="Arial"/>
          <w:lang w:eastAsia="es-ES"/>
        </w:rPr>
        <w:t xml:space="preserve">Nótese que </w:t>
      </w:r>
      <w:r w:rsidRPr="007D1C5C">
        <w:rPr>
          <w:rFonts w:ascii="Verdana" w:hAnsi="Verdana" w:cs="Arial"/>
          <w:lang w:eastAsia="es-ES"/>
        </w:rPr>
        <w:t xml:space="preserve">el artículo referido no estableció distinción alguna frente a </w:t>
      </w:r>
      <w:r>
        <w:rPr>
          <w:rFonts w:ascii="Verdana" w:hAnsi="Verdana" w:cs="Arial"/>
          <w:lang w:eastAsia="es-ES"/>
        </w:rPr>
        <w:t xml:space="preserve">los supuestos en los que es aplicable </w:t>
      </w:r>
      <w:r w:rsidRPr="007D1C5C">
        <w:rPr>
          <w:rFonts w:ascii="Verdana" w:hAnsi="Verdana" w:cs="Arial"/>
          <w:lang w:eastAsia="es-ES"/>
        </w:rPr>
        <w:t xml:space="preserve">la </w:t>
      </w:r>
      <w:r w:rsidRPr="007D1C5C">
        <w:rPr>
          <w:rFonts w:ascii="Verdana" w:eastAsia="Calibri" w:hAnsi="Verdana" w:cs="Arial"/>
          <w:color w:val="000000"/>
          <w:lang w:val="es-ES"/>
        </w:rPr>
        <w:t>suficiencia del seguro de responsabilidad civil extracontractual</w:t>
      </w:r>
      <w:r>
        <w:rPr>
          <w:rFonts w:ascii="Verdana" w:eastAsia="Calibri" w:hAnsi="Verdana" w:cs="Arial"/>
          <w:color w:val="000000"/>
          <w:lang w:val="es-ES"/>
        </w:rPr>
        <w:t xml:space="preserve">, sino que determinó que el valor asegurado, de manera general, no podrá ser inferior al allí dispuesto. En consecuencia, tanto en los contratos de obra, como en aquellos en los que por su objeto o naturaleza la entidad requiera el seguro de responsabilidad civil extracontractual, las entidades deberán cumplir con la suficiencia establecida en el artículo </w:t>
      </w:r>
      <w:r w:rsidRPr="0015618D">
        <w:rPr>
          <w:rFonts w:ascii="Verdana" w:eastAsia="Calibri" w:hAnsi="Verdana" w:cs="Arial"/>
          <w:color w:val="000000"/>
          <w:lang w:val="es-ES"/>
        </w:rPr>
        <w:t>2.2.1.2.3.1.17. del Decreto 1082 de 2015.</w:t>
      </w:r>
      <w:r>
        <w:rPr>
          <w:rFonts w:ascii="Verdana" w:eastAsia="Calibri" w:hAnsi="Verdana" w:cs="Arial"/>
          <w:color w:val="000000"/>
          <w:sz w:val="20"/>
          <w:szCs w:val="20"/>
          <w:lang w:val="es-ES"/>
        </w:rPr>
        <w:t xml:space="preserve"> </w:t>
      </w:r>
      <w:r w:rsidRPr="0015618D">
        <w:rPr>
          <w:rFonts w:ascii="Verdana" w:eastAsia="Calibri" w:hAnsi="Verdana" w:cs="Arial"/>
          <w:color w:val="000000"/>
          <w:lang w:val="es-ES"/>
        </w:rPr>
        <w:t xml:space="preserve">Adicionalmente, </w:t>
      </w:r>
      <w:r w:rsidRPr="0015618D">
        <w:rPr>
          <w:rFonts w:ascii="Verdana" w:hAnsi="Verdana" w:cs="Arial"/>
          <w:lang w:eastAsia="es-ES"/>
        </w:rPr>
        <w:t>la</w:t>
      </w:r>
      <w:r w:rsidRPr="00266192">
        <w:rPr>
          <w:rFonts w:ascii="Verdana" w:hAnsi="Verdana" w:cs="Arial"/>
          <w:lang w:eastAsia="es-ES"/>
        </w:rPr>
        <w:t xml:space="preserve"> vigencia de este seguro deberá ser igual al período de ejecución del </w:t>
      </w:r>
      <w:r w:rsidRPr="0015618D">
        <w:rPr>
          <w:rFonts w:ascii="Verdana" w:hAnsi="Verdana" w:cs="Arial"/>
          <w:lang w:eastAsia="es-ES"/>
        </w:rPr>
        <w:t xml:space="preserve">contrato, pues no tiene sentido prolongar la vigencia después de este periodo dado que para ese momento el contratista no estará realizando actividades o labores susceptibles de causar daños a terceros y, por lo tanto, no habrá </w:t>
      </w:r>
      <w:r>
        <w:rPr>
          <w:rFonts w:ascii="Verdana" w:hAnsi="Verdana" w:cs="Arial"/>
          <w:lang w:eastAsia="es-ES"/>
        </w:rPr>
        <w:t>r</w:t>
      </w:r>
      <w:r w:rsidRPr="0015618D">
        <w:rPr>
          <w:rFonts w:ascii="Verdana" w:hAnsi="Verdana" w:cs="Arial"/>
          <w:lang w:eastAsia="es-ES"/>
        </w:rPr>
        <w:t xml:space="preserve">iesgo que cubrir a través de esta póliza. </w:t>
      </w:r>
    </w:p>
    <w:p w14:paraId="22270FE2" w14:textId="77777777" w:rsidR="00D11F21" w:rsidRDefault="00D11F21" w:rsidP="00D11F21">
      <w:pPr>
        <w:widowControl w:val="0"/>
        <w:autoSpaceDE w:val="0"/>
        <w:autoSpaceDN w:val="0"/>
        <w:snapToGrid w:val="0"/>
        <w:spacing w:before="120" w:after="0" w:line="276" w:lineRule="auto"/>
        <w:ind w:right="98" w:firstLine="708"/>
        <w:jc w:val="both"/>
        <w:rPr>
          <w:rFonts w:ascii="Verdana" w:eastAsia="Calibri" w:hAnsi="Verdana" w:cs="Arial"/>
          <w:color w:val="000000"/>
          <w:lang w:val="es-ES"/>
        </w:rPr>
      </w:pPr>
      <w:r w:rsidRPr="0015618D">
        <w:rPr>
          <w:rFonts w:ascii="Verdana" w:eastAsia="Calibri" w:hAnsi="Verdana" w:cs="Arial"/>
          <w:color w:val="000000"/>
          <w:lang w:val="es-ES"/>
        </w:rPr>
        <w:t xml:space="preserve">Finalmente, el artículo </w:t>
      </w:r>
      <w:bookmarkStart w:id="16" w:name="2.2.1.2.3.2.9"/>
      <w:bookmarkEnd w:id="16"/>
      <w:r w:rsidRPr="0015618D">
        <w:rPr>
          <w:rFonts w:ascii="Verdana" w:eastAsia="Calibri" w:hAnsi="Verdana" w:cs="Arial"/>
          <w:color w:val="000000"/>
          <w:lang w:val="es-ES"/>
        </w:rPr>
        <w:t xml:space="preserve">2.2.1.2.3.2.9. establece los requisitos del seguro de responsabilidad civil extracontractual, los cuales, al ser esenciales deben estar presentes en todo contrato de seguro contenido en una póliza que cubra lo relativo a la responsabilidad civil extracontractual. Los requisitos se transcriben a continuación: </w:t>
      </w:r>
    </w:p>
    <w:p w14:paraId="4F99069A" w14:textId="77777777" w:rsidR="00D11F21" w:rsidRPr="0015618D" w:rsidRDefault="00D11F21" w:rsidP="00D11F21">
      <w:pPr>
        <w:widowControl w:val="0"/>
        <w:autoSpaceDE w:val="0"/>
        <w:autoSpaceDN w:val="0"/>
        <w:snapToGrid w:val="0"/>
        <w:spacing w:after="0" w:line="276" w:lineRule="auto"/>
        <w:ind w:right="98" w:firstLine="708"/>
        <w:jc w:val="both"/>
        <w:rPr>
          <w:rFonts w:ascii="Verdana" w:eastAsia="Calibri" w:hAnsi="Verdana" w:cs="Arial"/>
          <w:color w:val="000000"/>
          <w:lang w:val="es-ES"/>
        </w:rPr>
      </w:pPr>
    </w:p>
    <w:p w14:paraId="3C9F0FF2" w14:textId="77777777" w:rsidR="00D11F21" w:rsidRPr="006C156F" w:rsidRDefault="00D11F21" w:rsidP="00D11F21">
      <w:pPr>
        <w:shd w:val="clear" w:color="auto" w:fill="FFFFFF"/>
        <w:snapToGrid w:val="0"/>
        <w:spacing w:after="0" w:line="240" w:lineRule="auto"/>
        <w:ind w:left="709" w:rightChars="256" w:right="563"/>
        <w:contextualSpacing/>
        <w:jc w:val="both"/>
        <w:rPr>
          <w:rFonts w:ascii="Verdana" w:eastAsia="Calibri" w:hAnsi="Verdana" w:cs="Arial"/>
          <w:color w:val="000000"/>
          <w:sz w:val="20"/>
          <w:szCs w:val="20"/>
          <w:lang w:val="es-ES"/>
        </w:rPr>
      </w:pPr>
      <w:bookmarkStart w:id="17" w:name="2.2.1.2.3.2.9.1"/>
      <w:bookmarkEnd w:id="17"/>
      <w:r w:rsidRPr="006C156F">
        <w:rPr>
          <w:rFonts w:ascii="Verdana" w:eastAsia="Calibri" w:hAnsi="Verdana" w:cs="Arial"/>
          <w:color w:val="000000"/>
          <w:sz w:val="20"/>
          <w:szCs w:val="20"/>
          <w:lang w:val="es-ES"/>
        </w:rPr>
        <w:t>“1. Modalidad de ocurrencia. La compañía de seguros debe expedir el amparo en la modalidad de ocurrencia. En consecuencia, el contrato de seguro no puede establecer términos para presentar la reclamación, inferiores a los términos de prescripción previstos en la ley para la acción de responsabilidad correspondiente.</w:t>
      </w:r>
    </w:p>
    <w:p w14:paraId="3D339420" w14:textId="77777777" w:rsidR="00D11F21" w:rsidRPr="006C156F" w:rsidRDefault="00D11F21" w:rsidP="00D11F21">
      <w:pPr>
        <w:shd w:val="clear" w:color="auto" w:fill="FFFFFF"/>
        <w:snapToGrid w:val="0"/>
        <w:spacing w:after="0" w:line="240" w:lineRule="auto"/>
        <w:ind w:left="709" w:rightChars="256" w:right="563"/>
        <w:contextualSpacing/>
        <w:jc w:val="both"/>
        <w:rPr>
          <w:rFonts w:ascii="Verdana" w:eastAsia="Calibri" w:hAnsi="Verdana" w:cs="Arial"/>
          <w:color w:val="000000"/>
          <w:sz w:val="20"/>
          <w:szCs w:val="20"/>
          <w:lang w:val="es-ES"/>
        </w:rPr>
      </w:pPr>
      <w:bookmarkStart w:id="18" w:name="2.2.1.2.3.2.9.2"/>
      <w:bookmarkEnd w:id="18"/>
      <w:r w:rsidRPr="006C156F">
        <w:rPr>
          <w:rFonts w:ascii="Verdana" w:eastAsia="Calibri" w:hAnsi="Verdana" w:cs="Arial"/>
          <w:color w:val="000000"/>
          <w:sz w:val="20"/>
          <w:szCs w:val="20"/>
          <w:lang w:val="es-ES"/>
        </w:rPr>
        <w:t>2. Intervinientes. La Entidad Estatal y el contratista deben tener la calidad de asegurado respecto de los daños producidos por el contratista con ocasión de la ejecución del contrato amparado, y serán beneficiarios tanto la Entidad Estatal como los terceros que puedan resultar afectados por la responsabilidad del contratista o sus subcontratistas.</w:t>
      </w:r>
    </w:p>
    <w:p w14:paraId="7EC667F6" w14:textId="77777777" w:rsidR="00D11F21" w:rsidRPr="006C156F" w:rsidRDefault="00D11F21" w:rsidP="00D11F21">
      <w:pPr>
        <w:shd w:val="clear" w:color="auto" w:fill="FFFFFF"/>
        <w:snapToGrid w:val="0"/>
        <w:spacing w:after="0" w:line="240" w:lineRule="auto"/>
        <w:ind w:left="709" w:rightChars="256" w:right="563"/>
        <w:contextualSpacing/>
        <w:jc w:val="both"/>
        <w:rPr>
          <w:rFonts w:ascii="Verdana" w:eastAsia="Calibri" w:hAnsi="Verdana" w:cs="Arial"/>
          <w:color w:val="000000"/>
          <w:sz w:val="20"/>
          <w:szCs w:val="20"/>
          <w:lang w:val="es-ES"/>
        </w:rPr>
      </w:pPr>
      <w:bookmarkStart w:id="19" w:name="2.2.1.2.3.2.9.3"/>
      <w:bookmarkEnd w:id="19"/>
      <w:r w:rsidRPr="006C156F">
        <w:rPr>
          <w:rFonts w:ascii="Verdana" w:eastAsia="Calibri" w:hAnsi="Verdana" w:cs="Arial"/>
          <w:color w:val="000000"/>
          <w:sz w:val="20"/>
          <w:szCs w:val="20"/>
          <w:lang w:val="es-ES"/>
        </w:rPr>
        <w:t>3. Amparos. El amparo de responsabilidad civil extracontractual debe contener además de la cobertura básica de predios, labores y operaciones, mínimo los siguientes amparos:</w:t>
      </w:r>
    </w:p>
    <w:p w14:paraId="1C8F4E7E" w14:textId="77777777" w:rsidR="00D11F21" w:rsidRPr="006C156F" w:rsidRDefault="00D11F21" w:rsidP="00D11F21">
      <w:pPr>
        <w:shd w:val="clear" w:color="auto" w:fill="FFFFFF"/>
        <w:snapToGrid w:val="0"/>
        <w:spacing w:after="0" w:line="240" w:lineRule="auto"/>
        <w:ind w:left="709" w:rightChars="256" w:right="563"/>
        <w:contextualSpacing/>
        <w:jc w:val="both"/>
        <w:rPr>
          <w:rFonts w:ascii="Verdana" w:eastAsia="Calibri" w:hAnsi="Verdana" w:cs="Arial"/>
          <w:color w:val="000000"/>
          <w:sz w:val="20"/>
          <w:szCs w:val="20"/>
          <w:lang w:val="es-ES"/>
        </w:rPr>
      </w:pPr>
      <w:bookmarkStart w:id="20" w:name="2.2.1.2.3.2.9.3.1"/>
      <w:bookmarkEnd w:id="20"/>
      <w:r w:rsidRPr="006C156F">
        <w:rPr>
          <w:rFonts w:ascii="Verdana" w:eastAsia="Calibri" w:hAnsi="Verdana" w:cs="Arial"/>
          <w:color w:val="000000"/>
          <w:sz w:val="20"/>
          <w:szCs w:val="20"/>
          <w:lang w:val="es-ES"/>
        </w:rPr>
        <w:t>3.1. Cobertura expresa de perjuicios por daño emergente y lucro cesante.</w:t>
      </w:r>
    </w:p>
    <w:p w14:paraId="40C2F0A5" w14:textId="77777777" w:rsidR="00D11F21" w:rsidRPr="006C156F" w:rsidRDefault="00D11F21" w:rsidP="00D11F21">
      <w:pPr>
        <w:shd w:val="clear" w:color="auto" w:fill="FFFFFF"/>
        <w:snapToGrid w:val="0"/>
        <w:spacing w:after="0" w:line="240" w:lineRule="auto"/>
        <w:ind w:left="709" w:rightChars="256" w:right="563"/>
        <w:contextualSpacing/>
        <w:jc w:val="both"/>
        <w:rPr>
          <w:rFonts w:ascii="Verdana" w:eastAsia="Calibri" w:hAnsi="Verdana" w:cs="Arial"/>
          <w:color w:val="000000"/>
          <w:sz w:val="20"/>
          <w:szCs w:val="20"/>
          <w:lang w:val="es-ES"/>
        </w:rPr>
      </w:pPr>
      <w:bookmarkStart w:id="21" w:name="2.2.1.2.3.2.9.3.2"/>
      <w:bookmarkEnd w:id="21"/>
      <w:r w:rsidRPr="006C156F">
        <w:rPr>
          <w:rFonts w:ascii="Verdana" w:eastAsia="Calibri" w:hAnsi="Verdana" w:cs="Arial"/>
          <w:color w:val="000000"/>
          <w:sz w:val="20"/>
          <w:szCs w:val="20"/>
          <w:lang w:val="es-ES"/>
        </w:rPr>
        <w:t>3.2. Cobertura expresa de perjuicios extrapatrimoniales.</w:t>
      </w:r>
    </w:p>
    <w:p w14:paraId="1196BE9D" w14:textId="77777777" w:rsidR="00D11F21" w:rsidRPr="006C156F" w:rsidRDefault="00D11F21" w:rsidP="00D11F21">
      <w:pPr>
        <w:shd w:val="clear" w:color="auto" w:fill="FFFFFF"/>
        <w:snapToGrid w:val="0"/>
        <w:spacing w:after="0" w:line="240" w:lineRule="auto"/>
        <w:ind w:left="709" w:rightChars="256" w:right="563"/>
        <w:contextualSpacing/>
        <w:jc w:val="both"/>
        <w:rPr>
          <w:rFonts w:ascii="Verdana" w:eastAsia="Calibri" w:hAnsi="Verdana" w:cs="Arial"/>
          <w:color w:val="000000"/>
          <w:sz w:val="20"/>
          <w:szCs w:val="20"/>
          <w:lang w:val="es-ES"/>
        </w:rPr>
      </w:pPr>
      <w:bookmarkStart w:id="22" w:name="2.2.1.2.3.2.9.3.3"/>
      <w:bookmarkEnd w:id="22"/>
      <w:r w:rsidRPr="006C156F">
        <w:rPr>
          <w:rFonts w:ascii="Verdana" w:eastAsia="Calibri" w:hAnsi="Verdana" w:cs="Arial"/>
          <w:color w:val="000000"/>
          <w:sz w:val="20"/>
          <w:szCs w:val="20"/>
          <w:lang w:val="es-ES"/>
        </w:rPr>
        <w:t xml:space="preserve">3.3. Cobertura expresa de la responsabilidad surgida por actos de contratistas y subcontratistas, salvo que el subcontratista tenga su propio </w:t>
      </w:r>
      <w:r w:rsidRPr="006C156F">
        <w:rPr>
          <w:rFonts w:ascii="Verdana" w:eastAsia="Calibri" w:hAnsi="Verdana" w:cs="Arial"/>
          <w:color w:val="000000"/>
          <w:sz w:val="20"/>
          <w:szCs w:val="20"/>
          <w:lang w:val="es-ES"/>
        </w:rPr>
        <w:lastRenderedPageBreak/>
        <w:t>seguro de responsabilidad extracontractual, con los mismos amparos aquí requeridos</w:t>
      </w:r>
      <w:r w:rsidRPr="006C156F">
        <w:rPr>
          <w:rStyle w:val="Refdenotaalpie"/>
          <w:rFonts w:ascii="Verdana" w:eastAsia="Calibri" w:hAnsi="Verdana" w:cs="Arial"/>
          <w:color w:val="000000"/>
          <w:sz w:val="20"/>
          <w:szCs w:val="20"/>
          <w:lang w:val="es-ES"/>
        </w:rPr>
        <w:footnoteReference w:id="13"/>
      </w:r>
      <w:r w:rsidRPr="006C156F">
        <w:rPr>
          <w:rFonts w:ascii="Verdana" w:eastAsia="Calibri" w:hAnsi="Verdana" w:cs="Arial"/>
          <w:color w:val="000000"/>
          <w:sz w:val="20"/>
          <w:szCs w:val="20"/>
          <w:lang w:val="es-ES"/>
        </w:rPr>
        <w:t>.</w:t>
      </w:r>
    </w:p>
    <w:p w14:paraId="5F1B4A40" w14:textId="77777777" w:rsidR="00D11F21" w:rsidRPr="006C156F" w:rsidRDefault="00D11F21" w:rsidP="00D11F21">
      <w:pPr>
        <w:shd w:val="clear" w:color="auto" w:fill="FFFFFF"/>
        <w:snapToGrid w:val="0"/>
        <w:spacing w:after="0" w:line="240" w:lineRule="auto"/>
        <w:ind w:left="709" w:rightChars="256" w:right="563"/>
        <w:contextualSpacing/>
        <w:jc w:val="both"/>
        <w:rPr>
          <w:rFonts w:ascii="Verdana" w:eastAsia="Calibri" w:hAnsi="Verdana" w:cs="Arial"/>
          <w:color w:val="000000"/>
          <w:sz w:val="20"/>
          <w:szCs w:val="20"/>
          <w:lang w:val="es-ES"/>
        </w:rPr>
      </w:pPr>
      <w:bookmarkStart w:id="23" w:name="2.2.1.2.3.2.9.3.4"/>
      <w:bookmarkEnd w:id="23"/>
      <w:r w:rsidRPr="006C156F">
        <w:rPr>
          <w:rFonts w:ascii="Verdana" w:eastAsia="Calibri" w:hAnsi="Verdana" w:cs="Arial"/>
          <w:color w:val="000000"/>
          <w:sz w:val="20"/>
          <w:szCs w:val="20"/>
          <w:lang w:val="es-ES"/>
        </w:rPr>
        <w:t>3.4. Cobertura expresa de amparo patronal.</w:t>
      </w:r>
    </w:p>
    <w:p w14:paraId="34FC6273" w14:textId="77777777" w:rsidR="00D11F21" w:rsidRPr="006C156F" w:rsidRDefault="00D11F21" w:rsidP="00D11F21">
      <w:pPr>
        <w:shd w:val="clear" w:color="auto" w:fill="FFFFFF"/>
        <w:snapToGrid w:val="0"/>
        <w:spacing w:after="0" w:line="240" w:lineRule="auto"/>
        <w:ind w:left="709" w:rightChars="256" w:right="563"/>
        <w:contextualSpacing/>
        <w:jc w:val="both"/>
        <w:rPr>
          <w:rFonts w:ascii="Verdana" w:eastAsia="Calibri" w:hAnsi="Verdana" w:cs="Arial"/>
          <w:color w:val="000000"/>
          <w:sz w:val="20"/>
          <w:szCs w:val="20"/>
          <w:lang w:val="es-ES"/>
        </w:rPr>
      </w:pPr>
      <w:bookmarkStart w:id="24" w:name="2.2.1.2.3.2.9.3.5"/>
      <w:bookmarkEnd w:id="24"/>
      <w:r w:rsidRPr="006C156F">
        <w:rPr>
          <w:rFonts w:ascii="Verdana" w:eastAsia="Calibri" w:hAnsi="Verdana" w:cs="Arial"/>
          <w:color w:val="000000"/>
          <w:sz w:val="20"/>
          <w:szCs w:val="20"/>
          <w:lang w:val="es-ES"/>
        </w:rPr>
        <w:t>3.5. Cobertura expresa de vehículos propios y no propios”.</w:t>
      </w:r>
    </w:p>
    <w:p w14:paraId="5159B084" w14:textId="77777777" w:rsidR="00D11F21" w:rsidRPr="00901487" w:rsidRDefault="00D11F21" w:rsidP="00D11F21">
      <w:pPr>
        <w:shd w:val="clear" w:color="auto" w:fill="FFFFFF"/>
        <w:snapToGrid w:val="0"/>
        <w:spacing w:after="0" w:line="240" w:lineRule="auto"/>
        <w:ind w:left="709" w:rightChars="256" w:right="563"/>
        <w:contextualSpacing/>
        <w:jc w:val="both"/>
        <w:rPr>
          <w:rFonts w:ascii="Verdana" w:eastAsia="Calibri" w:hAnsi="Verdana" w:cs="Arial"/>
          <w:color w:val="000000"/>
          <w:sz w:val="21"/>
          <w:szCs w:val="21"/>
          <w:lang w:val="es-ES"/>
        </w:rPr>
      </w:pPr>
    </w:p>
    <w:p w14:paraId="78D59084" w14:textId="77777777" w:rsidR="00D11F21" w:rsidRPr="000A669C" w:rsidRDefault="00D11F21" w:rsidP="00D11F21">
      <w:pPr>
        <w:spacing w:after="120" w:line="276" w:lineRule="auto"/>
        <w:ind w:firstLine="708"/>
        <w:jc w:val="both"/>
        <w:rPr>
          <w:rFonts w:ascii="Verdana" w:eastAsia="Calibri" w:hAnsi="Verdana" w:cs="Arial"/>
          <w:color w:val="000000"/>
          <w:lang w:val="es-ES"/>
        </w:rPr>
      </w:pPr>
      <w:r w:rsidRPr="000A669C">
        <w:rPr>
          <w:rFonts w:ascii="Verdana" w:eastAsia="Calibri" w:hAnsi="Verdana" w:cs="Arial"/>
          <w:color w:val="000000"/>
          <w:lang w:val="es-ES"/>
        </w:rPr>
        <w:t xml:space="preserve">Ahora, sin perjuicio de que en todo caso se deba verificar en cada caso concreto el cumplimiento de todas las condiciones establecidas en la norma transcrita, es importante resaltar el requisito contenido en el numeral 2, que exige que la entidad estatal contratante tenga la calidad de asegurado y beneficiario. En ese sentido, en la póliza deberá relacionarse la entidad correspondiente y el contrato objeto de amparo, de allí, </w:t>
      </w:r>
      <w:proofErr w:type="gramStart"/>
      <w:r w:rsidRPr="000A669C">
        <w:rPr>
          <w:rFonts w:ascii="Verdana" w:eastAsia="Calibri" w:hAnsi="Verdana" w:cs="Arial"/>
          <w:color w:val="000000"/>
          <w:lang w:val="es-ES"/>
        </w:rPr>
        <w:t>que</w:t>
      </w:r>
      <w:proofErr w:type="gramEnd"/>
      <w:r w:rsidRPr="000A669C">
        <w:rPr>
          <w:rFonts w:ascii="Verdana" w:eastAsia="Calibri" w:hAnsi="Verdana" w:cs="Arial"/>
          <w:color w:val="000000"/>
          <w:lang w:val="es-ES"/>
        </w:rPr>
        <w:t xml:space="preserve"> en un análisis particular y concreto de la póliza presentada por el contratista, en todo caso, debe ser posible verificar que su alcance cumpla, especialmente, con este criterio, además de los demás prescritos en la normativa referida. En cualquier </w:t>
      </w:r>
      <w:proofErr w:type="gramStart"/>
      <w:r w:rsidRPr="000A669C">
        <w:rPr>
          <w:rFonts w:ascii="Verdana" w:eastAsia="Calibri" w:hAnsi="Verdana" w:cs="Arial"/>
          <w:color w:val="000000"/>
          <w:lang w:val="es-ES"/>
        </w:rPr>
        <w:t>caso</w:t>
      </w:r>
      <w:proofErr w:type="gramEnd"/>
      <w:r w:rsidRPr="000A669C">
        <w:rPr>
          <w:rFonts w:ascii="Verdana" w:eastAsia="Calibri" w:hAnsi="Verdana" w:cs="Arial"/>
          <w:color w:val="000000"/>
          <w:lang w:val="es-ES"/>
        </w:rPr>
        <w:t xml:space="preserve"> son las entidades estatales las que, en cada caso particular, deberán analizar el cumplimiento estricto de los requisitos contemplados en el artículo 2.2.1.2.3.2.9., de forma tal que la póliza presentada resulte acorde con las exigencias que impone el reglamento. </w:t>
      </w:r>
    </w:p>
    <w:p w14:paraId="34160C9E" w14:textId="77777777" w:rsidR="00D11F21" w:rsidRPr="00B547DE" w:rsidRDefault="00D11F21" w:rsidP="00D11F21">
      <w:pPr>
        <w:spacing w:after="0" w:line="276" w:lineRule="auto"/>
        <w:ind w:firstLine="708"/>
        <w:jc w:val="both"/>
        <w:rPr>
          <w:rFonts w:ascii="Verdana" w:eastAsia="Calibri" w:hAnsi="Verdana" w:cs="Arial"/>
          <w:lang w:val="es-ES"/>
        </w:rPr>
      </w:pPr>
    </w:p>
    <w:bookmarkEnd w:id="3"/>
    <w:bookmarkEnd w:id="4"/>
    <w:p w14:paraId="4CEEDC32" w14:textId="77777777" w:rsidR="00D11F21" w:rsidRPr="00B547DE" w:rsidRDefault="00D11F21" w:rsidP="00D11F21">
      <w:pPr>
        <w:tabs>
          <w:tab w:val="left" w:pos="142"/>
          <w:tab w:val="left" w:pos="284"/>
        </w:tabs>
        <w:spacing w:after="0" w:line="276" w:lineRule="auto"/>
        <w:jc w:val="both"/>
        <w:rPr>
          <w:rFonts w:ascii="Verdana" w:eastAsia="Century Gothic" w:hAnsi="Verdana" w:cs="Century Gothic"/>
          <w:b/>
          <w:color w:val="000000" w:themeColor="text1"/>
          <w:lang w:val="es-ES"/>
        </w:rPr>
      </w:pPr>
      <w:r w:rsidRPr="00B547DE">
        <w:rPr>
          <w:rFonts w:ascii="Verdana" w:eastAsia="Century Gothic" w:hAnsi="Verdana" w:cs="Century Gothic"/>
          <w:b/>
          <w:color w:val="000000" w:themeColor="text1"/>
          <w:lang w:val="es-ES"/>
        </w:rPr>
        <w:t>4.Referencias normativas, jurisprudenciales y otras fuentes:</w:t>
      </w:r>
    </w:p>
    <w:p w14:paraId="028238FE" w14:textId="77777777" w:rsidR="00D11F21" w:rsidRPr="00B547DE" w:rsidRDefault="00D11F21" w:rsidP="00D11F21">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11F21" w:rsidRPr="00B547DE" w14:paraId="5BDA60D1" w14:textId="77777777" w:rsidTr="00413F5F">
        <w:trPr>
          <w:trHeight w:val="870"/>
        </w:trPr>
        <w:tc>
          <w:tcPr>
            <w:tcW w:w="8647" w:type="dxa"/>
          </w:tcPr>
          <w:p w14:paraId="58D11F0B" w14:textId="77777777" w:rsidR="00D11F21" w:rsidRPr="001B4669" w:rsidRDefault="00D11F21" w:rsidP="00D11F21">
            <w:pPr>
              <w:pStyle w:val="Prrafodelista"/>
              <w:numPr>
                <w:ilvl w:val="0"/>
                <w:numId w:val="16"/>
              </w:numPr>
              <w:spacing w:before="120" w:after="120" w:line="276" w:lineRule="auto"/>
              <w:ind w:left="714" w:hanging="357"/>
              <w:contextualSpacing w:val="0"/>
              <w:jc w:val="both"/>
              <w:rPr>
                <w:rFonts w:ascii="Verdana" w:hAnsi="Verdana" w:cs="Arial"/>
              </w:rPr>
            </w:pPr>
            <w:r>
              <w:rPr>
                <w:rFonts w:ascii="Verdana" w:eastAsia="Arial MT" w:hAnsi="Verdana" w:cs="Arial"/>
              </w:rPr>
              <w:t>Ley 1150 de 2007, artículo 7.</w:t>
            </w:r>
          </w:p>
          <w:p w14:paraId="69A0E0BB" w14:textId="77777777" w:rsidR="00D11F21" w:rsidRPr="001B4669" w:rsidRDefault="00D11F21" w:rsidP="00D11F21">
            <w:pPr>
              <w:pStyle w:val="Prrafodelista"/>
              <w:numPr>
                <w:ilvl w:val="0"/>
                <w:numId w:val="16"/>
              </w:numPr>
              <w:spacing w:before="120" w:after="120" w:line="276" w:lineRule="auto"/>
              <w:ind w:left="714" w:hanging="357"/>
              <w:contextualSpacing w:val="0"/>
              <w:jc w:val="both"/>
              <w:rPr>
                <w:rFonts w:ascii="Verdana" w:hAnsi="Verdana" w:cs="Arial"/>
              </w:rPr>
            </w:pPr>
            <w:r w:rsidRPr="0015618D">
              <w:rPr>
                <w:rFonts w:ascii="Verdana" w:eastAsia="Calibri" w:hAnsi="Verdana" w:cs="Arial"/>
                <w:color w:val="000000"/>
              </w:rPr>
              <w:t>Decreto 1082 de 2015</w:t>
            </w:r>
            <w:r>
              <w:rPr>
                <w:rFonts w:ascii="Verdana" w:eastAsia="Calibri" w:hAnsi="Verdana" w:cs="Arial"/>
                <w:color w:val="000000"/>
              </w:rPr>
              <w:t xml:space="preserve">, artículos </w:t>
            </w:r>
            <w:r w:rsidRPr="00CA6FDA">
              <w:rPr>
                <w:rFonts w:ascii="Verdana" w:hAnsi="Verdana" w:cs="Arial"/>
                <w:color w:val="000000" w:themeColor="text1"/>
              </w:rPr>
              <w:t>2.2.1.2.3.1.1 a 2.2.1.2.3.1.19</w:t>
            </w:r>
            <w:r>
              <w:rPr>
                <w:rFonts w:ascii="Verdana" w:hAnsi="Verdana" w:cs="Arial"/>
                <w:color w:val="000000" w:themeColor="text1"/>
              </w:rPr>
              <w:t>.</w:t>
            </w:r>
          </w:p>
        </w:tc>
      </w:tr>
    </w:tbl>
    <w:p w14:paraId="63C10791" w14:textId="77777777" w:rsidR="00D11F21" w:rsidRPr="00B547DE" w:rsidRDefault="00D11F21" w:rsidP="00D11F21">
      <w:pPr>
        <w:widowControl w:val="0"/>
        <w:autoSpaceDE w:val="0"/>
        <w:autoSpaceDN w:val="0"/>
        <w:spacing w:after="0" w:line="276" w:lineRule="auto"/>
        <w:jc w:val="both"/>
        <w:rPr>
          <w:rFonts w:ascii="Verdana" w:hAnsi="Verdana" w:cs="Arial"/>
          <w:color w:val="000000" w:themeColor="text1"/>
          <w:lang w:val="es-ES"/>
        </w:rPr>
      </w:pPr>
    </w:p>
    <w:p w14:paraId="7F4C371D" w14:textId="77777777" w:rsidR="00D11F21" w:rsidRPr="00B547DE" w:rsidRDefault="00D11F21" w:rsidP="00D11F21">
      <w:pPr>
        <w:tabs>
          <w:tab w:val="left" w:pos="142"/>
          <w:tab w:val="left" w:pos="284"/>
        </w:tabs>
        <w:spacing w:after="0" w:line="276" w:lineRule="auto"/>
        <w:jc w:val="both"/>
        <w:rPr>
          <w:rFonts w:ascii="Verdana" w:eastAsia="Century Gothic" w:hAnsi="Verdana" w:cs="Century Gothic"/>
          <w:b/>
          <w:color w:val="000000" w:themeColor="text1"/>
          <w:lang w:val="es-ES"/>
        </w:rPr>
      </w:pPr>
      <w:r w:rsidRPr="00B547DE">
        <w:rPr>
          <w:rFonts w:ascii="Verdana" w:eastAsia="Century Gothic" w:hAnsi="Verdana" w:cs="Century Gothic"/>
          <w:b/>
          <w:color w:val="000000" w:themeColor="text1"/>
          <w:lang w:val="es-ES"/>
        </w:rPr>
        <w:t>5.Doctrina de la Agencia Nacional de Contratación Pública:</w:t>
      </w:r>
    </w:p>
    <w:p w14:paraId="29EB53E4" w14:textId="77777777" w:rsidR="00D11F21" w:rsidRPr="00B547DE" w:rsidRDefault="00D11F21" w:rsidP="00D11F21">
      <w:pPr>
        <w:widowControl w:val="0"/>
        <w:autoSpaceDE w:val="0"/>
        <w:autoSpaceDN w:val="0"/>
        <w:spacing w:after="0" w:line="276" w:lineRule="auto"/>
        <w:jc w:val="both"/>
        <w:rPr>
          <w:rFonts w:ascii="Verdana" w:hAnsi="Verdana" w:cs="Arial"/>
          <w:color w:val="000000" w:themeColor="text1"/>
          <w:lang w:val="es-ES"/>
        </w:rPr>
      </w:pPr>
    </w:p>
    <w:p w14:paraId="43FE0B26" w14:textId="77777777" w:rsidR="00D11F21" w:rsidRPr="00B92002" w:rsidRDefault="00D11F21" w:rsidP="00D11F21">
      <w:pPr>
        <w:spacing w:after="0" w:line="276" w:lineRule="auto"/>
        <w:contextualSpacing/>
        <w:jc w:val="both"/>
        <w:rPr>
          <w:rFonts w:ascii="Verdana" w:eastAsia="Calibri" w:hAnsi="Verdana" w:cs="Arial"/>
        </w:rPr>
      </w:pPr>
      <w:r w:rsidRPr="00B547DE">
        <w:rPr>
          <w:rFonts w:ascii="Verdana" w:eastAsia="Calibri" w:hAnsi="Verdana" w:cs="Arial"/>
          <w:lang w:val="es-ES"/>
        </w:rPr>
        <w:t>La Agencia Nacional de Contratación Pública – Colombia Compra Eficiente se ha</w:t>
      </w:r>
      <w:r>
        <w:rPr>
          <w:rFonts w:ascii="Verdana" w:eastAsia="Calibri" w:hAnsi="Verdana" w:cs="Arial"/>
          <w:lang w:val="es-ES"/>
        </w:rPr>
        <w:t xml:space="preserve"> pronunciado </w:t>
      </w:r>
      <w:r w:rsidRPr="00106FA6">
        <w:rPr>
          <w:rFonts w:ascii="Verdana" w:eastAsia="Calibri" w:hAnsi="Verdana" w:cs="Arial"/>
          <w:shd w:val="clear" w:color="auto" w:fill="FFFFFF"/>
        </w:rPr>
        <w:t xml:space="preserve">sobre el régimen de garantías en los Conceptos 2201913000009075 del 9 de diciembre de 2019, C-080 del 8 de abril de 2021, C-525 del 27 de septiembre de 2021, C-567 del 08 de octubre del 2021, C-036 del 28 de febrero del 2022, C-126 de 25 de marzo de 2022, C-583 del 19 de octubre de 2022, C-584 del 26 de septiembre de 2022, C-712 del 13 de octubre </w:t>
      </w:r>
      <w:r w:rsidRPr="00106FA6">
        <w:rPr>
          <w:rFonts w:ascii="Verdana" w:eastAsia="Calibri" w:hAnsi="Verdana" w:cs="Arial"/>
          <w:shd w:val="clear" w:color="auto" w:fill="FFFFFF"/>
        </w:rPr>
        <w:lastRenderedPageBreak/>
        <w:t>de 2022 y C-845 del 7 de diciembre de 2022, C-036 del 31 de marzo de 2023, C-386 del 31 de enero de 2024</w:t>
      </w:r>
      <w:r>
        <w:rPr>
          <w:rFonts w:ascii="Verdana" w:eastAsia="Calibri" w:hAnsi="Verdana" w:cs="Arial"/>
          <w:shd w:val="clear" w:color="auto" w:fill="FFFFFF"/>
        </w:rPr>
        <w:t>,</w:t>
      </w:r>
      <w:r w:rsidRPr="00106FA6">
        <w:rPr>
          <w:rFonts w:ascii="Verdana" w:eastAsia="Calibri" w:hAnsi="Verdana" w:cs="Arial"/>
          <w:shd w:val="clear" w:color="auto" w:fill="FFFFFF"/>
        </w:rPr>
        <w:t xml:space="preserve"> C-306 del 12 de agosto de 2024</w:t>
      </w:r>
      <w:r>
        <w:rPr>
          <w:rFonts w:ascii="Verdana" w:eastAsia="Calibri" w:hAnsi="Verdana" w:cs="Arial"/>
          <w:shd w:val="clear" w:color="auto" w:fill="FFFFFF"/>
        </w:rPr>
        <w:t xml:space="preserve"> y C-099 del 21 de febrero de 2025. Sobre </w:t>
      </w:r>
      <w:r>
        <w:rPr>
          <w:rFonts w:ascii="Verdana" w:eastAsia="Calibri" w:hAnsi="Verdana" w:cs="Arial"/>
          <w:lang w:val="es-ES"/>
        </w:rPr>
        <w:t xml:space="preserve">el seguro de responsabilidad civil extracontractual se ha referido en los conceptos </w:t>
      </w:r>
      <w:r w:rsidRPr="00B92002">
        <w:rPr>
          <w:rFonts w:ascii="Verdana" w:eastAsia="Calibri" w:hAnsi="Verdana" w:cs="Arial"/>
          <w:lang w:val="es-ES"/>
        </w:rPr>
        <w:t>C-099 del 21 de febrero de 2025, C-124 del</w:t>
      </w:r>
      <w:r>
        <w:rPr>
          <w:rFonts w:ascii="Verdana" w:eastAsia="Calibri" w:hAnsi="Verdana" w:cs="Arial"/>
        </w:rPr>
        <w:t xml:space="preserve"> 10 de marzo de</w:t>
      </w:r>
      <w:r w:rsidRPr="00B92002">
        <w:rPr>
          <w:rFonts w:ascii="Verdana" w:eastAsia="Calibri" w:hAnsi="Verdana" w:cs="Arial"/>
        </w:rPr>
        <w:t xml:space="preserve"> 2025</w:t>
      </w:r>
      <w:r>
        <w:rPr>
          <w:rFonts w:ascii="Verdana" w:eastAsia="Calibri" w:hAnsi="Verdana" w:cs="Arial"/>
        </w:rPr>
        <w:t>,</w:t>
      </w:r>
      <w:r w:rsidRPr="00B92002">
        <w:rPr>
          <w:rFonts w:ascii="Verdana" w:eastAsia="Calibri" w:hAnsi="Verdana" w:cs="Arial"/>
          <w:b/>
          <w:bCs/>
          <w:lang w:val="es-ES" w:eastAsia="es-ES"/>
        </w:rPr>
        <w:t xml:space="preserve"> </w:t>
      </w:r>
      <w:r w:rsidRPr="00B92002">
        <w:rPr>
          <w:rFonts w:ascii="Verdana" w:eastAsia="Calibri" w:hAnsi="Verdana" w:cs="Arial"/>
          <w:lang w:val="es-ES" w:eastAsia="es-ES"/>
        </w:rPr>
        <w:t>C-452 del 15 de mayo de 2025</w:t>
      </w:r>
      <w:r w:rsidRPr="008D776B">
        <w:rPr>
          <w:rFonts w:ascii="Verdana" w:eastAsia="Calibri" w:hAnsi="Verdana" w:cs="Arial"/>
          <w:lang w:val="es-ES" w:eastAsia="es-ES"/>
        </w:rPr>
        <w:t>,</w:t>
      </w:r>
      <w:r w:rsidRPr="005F0612">
        <w:rPr>
          <w:rFonts w:ascii="Verdana" w:eastAsia="Aptos" w:hAnsi="Verdana" w:cs="Arial"/>
          <w:shd w:val="clear" w:color="auto" w:fill="FFFFFF"/>
          <w:lang w:val="es-ES"/>
        </w:rPr>
        <w:t xml:space="preserve"> </w:t>
      </w:r>
      <w:r w:rsidRPr="007A24AF">
        <w:rPr>
          <w:rFonts w:ascii="Verdana" w:eastAsia="Calibri" w:hAnsi="Verdana" w:cs="Arial"/>
          <w:lang w:val="es-ES" w:eastAsia="es-ES"/>
        </w:rPr>
        <w:t>C–1260 del 25 de septiembre de 2025, entre otros</w:t>
      </w:r>
      <w:r w:rsidRPr="00B547DE">
        <w:rPr>
          <w:rFonts w:ascii="Verdana" w:eastAsia="Calibri" w:hAnsi="Verdana" w:cs="Arial"/>
          <w:lang w:val="es-ES" w:eastAsia="es-ES"/>
        </w:rPr>
        <w:t>.</w:t>
      </w:r>
      <w:r w:rsidRPr="00B547DE">
        <w:rPr>
          <w:rFonts w:ascii="Verdana" w:hAnsi="Verdana" w:cs="Arial"/>
          <w:shd w:val="clear" w:color="auto" w:fill="FFFFFF"/>
          <w:lang w:val="es-ES"/>
        </w:rPr>
        <w:t xml:space="preserve"> Estos</w:t>
      </w:r>
      <w:r w:rsidRPr="00B547DE">
        <w:rPr>
          <w:rFonts w:ascii="Verdana" w:hAnsi="Verdana"/>
          <w:lang w:val="es-ES"/>
        </w:rPr>
        <w:t xml:space="preserve"> y otros conceptos se encuentran disponibles para consulta en el Sistema de relatoría de la Agencia, al cual se puede acceder a través del siguiente enlace:</w:t>
      </w:r>
      <w:r w:rsidRPr="00B547DE">
        <w:rPr>
          <w:rFonts w:ascii="Verdana" w:hAnsi="Verdana" w:cs="Arial"/>
          <w:shd w:val="clear" w:color="auto" w:fill="FFFFFF"/>
          <w:lang w:val="es-ES"/>
        </w:rPr>
        <w:t xml:space="preserve"> </w:t>
      </w:r>
      <w:hyperlink r:id="rId12" w:history="1">
        <w:r w:rsidRPr="00B547DE">
          <w:rPr>
            <w:rFonts w:ascii="Verdana" w:hAnsi="Verdana" w:cs="Arial"/>
            <w:color w:val="0000FF"/>
            <w:u w:val="single"/>
            <w:shd w:val="clear" w:color="auto" w:fill="FFFFFF"/>
            <w:lang w:val="es-ES"/>
          </w:rPr>
          <w:t>https://relatoria.colombiacompra.gov.co/busqueda/concept os</w:t>
        </w:r>
      </w:hyperlink>
      <w:r w:rsidRPr="00B547DE">
        <w:rPr>
          <w:rFonts w:ascii="Verdana" w:hAnsi="Verdana" w:cs="Arial"/>
          <w:shd w:val="clear" w:color="auto" w:fill="FFFFFF"/>
          <w:lang w:val="es-ES"/>
        </w:rPr>
        <w:t>.</w:t>
      </w:r>
      <w:r w:rsidRPr="00B547DE">
        <w:rPr>
          <w:rFonts w:ascii="Verdana" w:hAnsi="Verdana" w:cs="Arial"/>
          <w:color w:val="FF0000"/>
          <w:shd w:val="clear" w:color="auto" w:fill="FFFFFF"/>
          <w:lang w:val="es-ES"/>
        </w:rPr>
        <w:t xml:space="preserve"> </w:t>
      </w:r>
      <w:r w:rsidRPr="00B547DE">
        <w:rPr>
          <w:rFonts w:ascii="Verdana" w:hAnsi="Verdana" w:cs="Arial"/>
          <w:color w:val="000000" w:themeColor="text1"/>
          <w:shd w:val="clear" w:color="auto" w:fill="FFFFFF"/>
          <w:lang w:val="es-ES"/>
        </w:rPr>
        <w:t>  </w:t>
      </w:r>
    </w:p>
    <w:p w14:paraId="03FE88ED" w14:textId="77777777" w:rsidR="00D11F21" w:rsidRPr="00B547DE" w:rsidRDefault="00D11F21" w:rsidP="00D11F21">
      <w:pPr>
        <w:widowControl w:val="0"/>
        <w:autoSpaceDE w:val="0"/>
        <w:autoSpaceDN w:val="0"/>
        <w:spacing w:after="0" w:line="276" w:lineRule="auto"/>
        <w:jc w:val="both"/>
        <w:rPr>
          <w:rFonts w:ascii="Verdana" w:hAnsi="Verdana"/>
          <w:lang w:val="es-ES"/>
        </w:rPr>
      </w:pPr>
    </w:p>
    <w:p w14:paraId="56D79096" w14:textId="77777777" w:rsidR="00D11F21" w:rsidRPr="00B547DE" w:rsidRDefault="00D11F21" w:rsidP="00D11F21">
      <w:pPr>
        <w:widowControl w:val="0"/>
        <w:autoSpaceDE w:val="0"/>
        <w:autoSpaceDN w:val="0"/>
        <w:spacing w:after="0" w:line="276" w:lineRule="auto"/>
        <w:jc w:val="both"/>
        <w:rPr>
          <w:rFonts w:ascii="Verdana" w:hAnsi="Verdana" w:cs="Arial"/>
          <w:lang w:val="es-ES"/>
        </w:rPr>
      </w:pPr>
      <w:r w:rsidRPr="00B547D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6D2B5F1" w14:textId="77777777" w:rsidR="00D11F21" w:rsidRPr="00B547DE" w:rsidRDefault="00D11F21" w:rsidP="00D11F21">
      <w:pPr>
        <w:widowControl w:val="0"/>
        <w:autoSpaceDE w:val="0"/>
        <w:autoSpaceDN w:val="0"/>
        <w:spacing w:after="0" w:line="276" w:lineRule="auto"/>
        <w:jc w:val="both"/>
        <w:rPr>
          <w:rFonts w:ascii="Verdana" w:hAnsi="Verdana" w:cs="Arial"/>
          <w:lang w:val="es-ES"/>
        </w:rPr>
      </w:pPr>
    </w:p>
    <w:p w14:paraId="7C9AA428" w14:textId="77777777" w:rsidR="00D11F21" w:rsidRPr="00B547DE" w:rsidRDefault="00D11F21" w:rsidP="00D11F21">
      <w:pPr>
        <w:spacing w:after="0" w:line="276" w:lineRule="auto"/>
        <w:rPr>
          <w:rFonts w:ascii="Verdana" w:hAnsi="Verdana" w:cs="Arial"/>
          <w:color w:val="000000" w:themeColor="text1"/>
          <w:lang w:val="es-ES" w:eastAsia="es-CO"/>
        </w:rPr>
      </w:pPr>
      <w:r w:rsidRPr="00B547DE">
        <w:rPr>
          <w:rFonts w:ascii="Verdana" w:eastAsia="Times New Roman" w:hAnsi="Verdana" w:cs="Arial"/>
          <w:color w:val="000000" w:themeColor="text1"/>
          <w:lang w:val="es-ES" w:eastAsia="es-CO"/>
        </w:rPr>
        <w:t>Atentamente,</w:t>
      </w:r>
      <w:r w:rsidRPr="00B547DE">
        <w:rPr>
          <w:rFonts w:ascii="Verdana" w:hAnsi="Verdana" w:cs="Arial"/>
          <w:color w:val="000000" w:themeColor="text1"/>
          <w:lang w:val="es-ES" w:eastAsia="es-CO"/>
        </w:rPr>
        <w:t xml:space="preserve"> </w:t>
      </w:r>
    </w:p>
    <w:p w14:paraId="539888EB" w14:textId="74AD1C7C" w:rsidR="00D11F21" w:rsidRPr="00B547DE" w:rsidRDefault="00602694" w:rsidP="00D11F21">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1312" behindDoc="0" locked="0" layoutInCell="1" allowOverlap="1" wp14:anchorId="302AB20A" wp14:editId="1C8DB8E6">
            <wp:simplePos x="0" y="0"/>
            <wp:positionH relativeFrom="column">
              <wp:posOffset>1141332</wp:posOffset>
            </wp:positionH>
            <wp:positionV relativeFrom="page">
              <wp:posOffset>4489311</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p w14:paraId="1DC978EA" w14:textId="77777777" w:rsidR="00D11F21" w:rsidRPr="00B547DE" w:rsidRDefault="00D11F21" w:rsidP="00D11F21">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11F21" w:rsidRPr="00205E4E" w14:paraId="38D1A04F" w14:textId="77777777" w:rsidTr="00413F5F">
        <w:trPr>
          <w:trHeight w:val="315"/>
        </w:trPr>
        <w:tc>
          <w:tcPr>
            <w:tcW w:w="893" w:type="dxa"/>
            <w:vAlign w:val="center"/>
            <w:hideMark/>
          </w:tcPr>
          <w:p w14:paraId="55305ECE" w14:textId="77777777" w:rsidR="00D11F21" w:rsidRPr="00205E4E" w:rsidRDefault="00D11F21" w:rsidP="00413F5F">
            <w:pPr>
              <w:contextualSpacing/>
              <w:rPr>
                <w:rFonts w:ascii="Verdana" w:hAnsi="Verdana" w:cs="Arial"/>
                <w:sz w:val="15"/>
                <w:szCs w:val="15"/>
                <w:lang w:val="es-ES" w:eastAsia="es-ES"/>
              </w:rPr>
            </w:pPr>
            <w:r w:rsidRPr="00205E4E">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3BB1EEB6" w14:textId="77777777" w:rsidR="00D11F21" w:rsidRPr="00205E4E" w:rsidRDefault="00D11F21" w:rsidP="00413F5F">
            <w:pPr>
              <w:contextualSpacing/>
              <w:rPr>
                <w:rFonts w:ascii="Verdana" w:eastAsia="Arial" w:hAnsi="Verdana" w:cs="Arial"/>
                <w:color w:val="000000" w:themeColor="text1"/>
                <w:sz w:val="15"/>
                <w:szCs w:val="15"/>
                <w:lang w:val="es-ES"/>
              </w:rPr>
            </w:pPr>
            <w:r w:rsidRPr="00205E4E">
              <w:rPr>
                <w:rFonts w:ascii="Verdana" w:eastAsia="Arial" w:hAnsi="Verdana" w:cs="Arial"/>
                <w:color w:val="000000" w:themeColor="text1"/>
                <w:sz w:val="15"/>
                <w:szCs w:val="15"/>
                <w:lang w:val="es-ES"/>
              </w:rPr>
              <w:t>Anamaría Bonilla Prieto</w:t>
            </w:r>
          </w:p>
          <w:p w14:paraId="341F88D8" w14:textId="77777777" w:rsidR="00D11F21" w:rsidRPr="00205E4E" w:rsidRDefault="00D11F21" w:rsidP="00413F5F">
            <w:pPr>
              <w:contextualSpacing/>
              <w:rPr>
                <w:rFonts w:ascii="Verdana" w:eastAsia="Arial" w:hAnsi="Verdana" w:cs="Arial"/>
                <w:sz w:val="15"/>
                <w:szCs w:val="15"/>
                <w:lang w:val="es-ES"/>
              </w:rPr>
            </w:pPr>
            <w:r w:rsidRPr="00205E4E">
              <w:rPr>
                <w:rStyle w:val="normaltextrun"/>
                <w:rFonts w:ascii="Verdana" w:eastAsia="Arial" w:hAnsi="Verdana" w:cs="Arial"/>
                <w:color w:val="000000" w:themeColor="text1"/>
                <w:sz w:val="15"/>
                <w:szCs w:val="15"/>
                <w:lang w:val="es-ES"/>
              </w:rPr>
              <w:t xml:space="preserve">Contratista de la Subdirección </w:t>
            </w:r>
            <w:r w:rsidRPr="00205E4E">
              <w:rPr>
                <w:rStyle w:val="normaltextrun"/>
                <w:rFonts w:ascii="Verdana" w:eastAsia="Arial" w:hAnsi="Verdana" w:cs="Arial"/>
                <w:sz w:val="15"/>
                <w:szCs w:val="15"/>
                <w:lang w:val="es-ES"/>
              </w:rPr>
              <w:t>de Gestión Contractual</w:t>
            </w:r>
          </w:p>
        </w:tc>
      </w:tr>
      <w:tr w:rsidR="00D11F21" w:rsidRPr="00205E4E" w14:paraId="7457F831" w14:textId="77777777" w:rsidTr="00413F5F">
        <w:trPr>
          <w:trHeight w:val="330"/>
        </w:trPr>
        <w:tc>
          <w:tcPr>
            <w:tcW w:w="893" w:type="dxa"/>
            <w:vAlign w:val="center"/>
            <w:hideMark/>
          </w:tcPr>
          <w:p w14:paraId="5CFFC85F" w14:textId="77777777" w:rsidR="00D11F21" w:rsidRPr="00205E4E" w:rsidRDefault="00D11F21" w:rsidP="00413F5F">
            <w:pPr>
              <w:contextualSpacing/>
              <w:rPr>
                <w:rFonts w:ascii="Verdana" w:hAnsi="Verdana" w:cs="Arial"/>
                <w:sz w:val="15"/>
                <w:szCs w:val="15"/>
                <w:lang w:val="es-ES" w:eastAsia="es-ES"/>
              </w:rPr>
            </w:pPr>
            <w:r w:rsidRPr="00205E4E">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BB6BDE6" w14:textId="77777777" w:rsidR="00D11F21" w:rsidRPr="00205E4E" w:rsidRDefault="00D11F21" w:rsidP="00413F5F">
            <w:pPr>
              <w:spacing w:line="276" w:lineRule="auto"/>
              <w:contextualSpacing/>
              <w:textAlignment w:val="baseline"/>
              <w:rPr>
                <w:rFonts w:ascii="Verdana" w:eastAsia="Times New Roman" w:hAnsi="Verdana" w:cs="Arial"/>
                <w:sz w:val="15"/>
                <w:szCs w:val="15"/>
                <w:lang w:val="es-ES" w:eastAsia="es-ES_tradnl"/>
              </w:rPr>
            </w:pPr>
            <w:r w:rsidRPr="00205E4E">
              <w:rPr>
                <w:rFonts w:ascii="Verdana" w:eastAsia="Times New Roman" w:hAnsi="Verdana" w:cs="Arial"/>
                <w:sz w:val="15"/>
                <w:szCs w:val="15"/>
                <w:lang w:val="es-ES" w:eastAsia="es-ES_tradnl"/>
              </w:rPr>
              <w:t>Alejandro Sarmiento Cantillo</w:t>
            </w:r>
          </w:p>
          <w:p w14:paraId="0CA01526" w14:textId="77777777" w:rsidR="00D11F21" w:rsidRPr="00205E4E" w:rsidRDefault="00D11F21" w:rsidP="00413F5F">
            <w:pPr>
              <w:pStyle w:val="paragraph"/>
              <w:spacing w:before="0" w:beforeAutospacing="0" w:after="0" w:afterAutospacing="0"/>
              <w:contextualSpacing/>
              <w:textAlignment w:val="baseline"/>
              <w:rPr>
                <w:rFonts w:ascii="Verdana" w:hAnsi="Verdana" w:cs="Segoe UI"/>
                <w:sz w:val="15"/>
                <w:szCs w:val="15"/>
                <w:lang w:val="es-ES"/>
              </w:rPr>
            </w:pPr>
            <w:r w:rsidRPr="00205E4E">
              <w:rPr>
                <w:rFonts w:ascii="Verdana" w:hAnsi="Verdana" w:cs="Arial"/>
                <w:sz w:val="15"/>
                <w:szCs w:val="15"/>
                <w:lang w:val="es-ES"/>
              </w:rPr>
              <w:t xml:space="preserve">Gestor T1 – 15 </w:t>
            </w:r>
            <w:r w:rsidRPr="00205E4E">
              <w:rPr>
                <w:rStyle w:val="normaltextrun"/>
                <w:rFonts w:ascii="Verdana" w:hAnsi="Verdana" w:cs="Arial"/>
                <w:sz w:val="15"/>
                <w:szCs w:val="15"/>
                <w:lang w:val="es-ES"/>
              </w:rPr>
              <w:t>de la Subdirección de Gestión Contractual</w:t>
            </w:r>
            <w:r w:rsidRPr="00205E4E">
              <w:rPr>
                <w:rStyle w:val="eop"/>
                <w:rFonts w:ascii="Verdana" w:hAnsi="Verdana" w:cs="Arial"/>
                <w:sz w:val="15"/>
                <w:szCs w:val="15"/>
                <w:lang w:val="es-ES"/>
              </w:rPr>
              <w:t> </w:t>
            </w:r>
          </w:p>
        </w:tc>
      </w:tr>
      <w:tr w:rsidR="00D11F21" w:rsidRPr="00205E4E" w14:paraId="3229F1C3" w14:textId="77777777" w:rsidTr="00413F5F">
        <w:trPr>
          <w:trHeight w:val="300"/>
        </w:trPr>
        <w:tc>
          <w:tcPr>
            <w:tcW w:w="893" w:type="dxa"/>
            <w:vAlign w:val="center"/>
          </w:tcPr>
          <w:p w14:paraId="6DD96224" w14:textId="77777777" w:rsidR="00D11F21" w:rsidRPr="00205E4E" w:rsidRDefault="00D11F21" w:rsidP="00413F5F">
            <w:pPr>
              <w:contextualSpacing/>
              <w:rPr>
                <w:rFonts w:ascii="Verdana" w:hAnsi="Verdana" w:cs="Arial"/>
                <w:sz w:val="15"/>
                <w:szCs w:val="15"/>
                <w:lang w:val="es-ES" w:eastAsia="es-ES"/>
              </w:rPr>
            </w:pPr>
            <w:r w:rsidRPr="00205E4E">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796E01C" w14:textId="77777777" w:rsidR="00D11F21" w:rsidRPr="00205E4E" w:rsidRDefault="00D11F21" w:rsidP="00413F5F">
            <w:pPr>
              <w:contextualSpacing/>
              <w:rPr>
                <w:rFonts w:ascii="Verdana" w:eastAsia="Calibri" w:hAnsi="Verdana" w:cs="Arial"/>
                <w:sz w:val="15"/>
                <w:szCs w:val="15"/>
                <w:lang w:val="es-ES" w:eastAsia="es-ES"/>
              </w:rPr>
            </w:pPr>
            <w:r w:rsidRPr="00205E4E">
              <w:rPr>
                <w:rFonts w:ascii="Verdana" w:eastAsia="Calibri" w:hAnsi="Verdana" w:cs="Arial"/>
                <w:sz w:val="15"/>
                <w:szCs w:val="15"/>
                <w:lang w:val="es-ES" w:eastAsia="es-ES"/>
              </w:rPr>
              <w:t>Carolina Quintero Gacharná</w:t>
            </w:r>
          </w:p>
          <w:p w14:paraId="022074B5" w14:textId="77777777" w:rsidR="00D11F21" w:rsidRPr="00205E4E" w:rsidRDefault="00D11F21" w:rsidP="00413F5F">
            <w:pPr>
              <w:contextualSpacing/>
              <w:rPr>
                <w:rFonts w:ascii="Verdana" w:eastAsia="Calibri" w:hAnsi="Verdana" w:cs="Arial"/>
                <w:sz w:val="15"/>
                <w:szCs w:val="15"/>
                <w:lang w:val="es-ES" w:eastAsia="es-ES"/>
              </w:rPr>
            </w:pPr>
            <w:r w:rsidRPr="00205E4E">
              <w:rPr>
                <w:rFonts w:ascii="Verdana" w:eastAsia="Calibri" w:hAnsi="Verdana" w:cs="Arial"/>
                <w:sz w:val="15"/>
                <w:szCs w:val="15"/>
                <w:lang w:val="es-ES" w:eastAsia="es-ES"/>
              </w:rPr>
              <w:t>Subdirectora de Gestión Contractual ANCP – CCE</w:t>
            </w:r>
          </w:p>
        </w:tc>
      </w:tr>
    </w:tbl>
    <w:p w14:paraId="0E2C8D8D" w14:textId="77777777" w:rsidR="00D11F21" w:rsidRPr="00B547DE" w:rsidRDefault="00D11F21" w:rsidP="00D11F21">
      <w:pPr>
        <w:spacing w:after="0" w:line="276" w:lineRule="auto"/>
        <w:jc w:val="center"/>
        <w:rPr>
          <w:lang w:val="es-ES"/>
        </w:rPr>
      </w:pPr>
    </w:p>
    <w:bookmarkEnd w:id="0"/>
    <w:p w14:paraId="5E3F1E2E" w14:textId="77777777" w:rsidR="00D11F21" w:rsidRPr="00B547DE" w:rsidRDefault="00D11F21" w:rsidP="00D11F21">
      <w:pPr>
        <w:spacing w:after="0" w:line="240" w:lineRule="auto"/>
        <w:textAlignment w:val="baseline"/>
        <w:rPr>
          <w:rFonts w:ascii="Verdana" w:eastAsia="Times New Roman" w:hAnsi="Verdana" w:cs="Segoe UI"/>
          <w:b/>
          <w:bCs/>
          <w:color w:val="46589C"/>
          <w:lang w:val="es-ES" w:eastAsia="es-CO"/>
        </w:rPr>
      </w:pPr>
    </w:p>
    <w:p w14:paraId="0F293BF4" w14:textId="6476A5E0" w:rsidR="00127233" w:rsidRPr="00E455DD" w:rsidRDefault="00127233" w:rsidP="00E455DD"/>
    <w:sectPr w:rsidR="00127233" w:rsidRPr="00E455D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AD2289" w14:textId="77777777" w:rsidR="00640983" w:rsidRDefault="00640983" w:rsidP="004A1847">
      <w:pPr>
        <w:spacing w:after="0" w:line="240" w:lineRule="auto"/>
      </w:pPr>
      <w:r>
        <w:separator/>
      </w:r>
    </w:p>
  </w:endnote>
  <w:endnote w:type="continuationSeparator" w:id="0">
    <w:p w14:paraId="2C35FE0E" w14:textId="77777777" w:rsidR="00640983" w:rsidRDefault="00640983" w:rsidP="004A1847">
      <w:pPr>
        <w:spacing w:after="0" w:line="240" w:lineRule="auto"/>
      </w:pPr>
      <w:r>
        <w:continuationSeparator/>
      </w:r>
    </w:p>
  </w:endnote>
  <w:endnote w:type="continuationNotice" w:id="1">
    <w:p w14:paraId="3B8338A2" w14:textId="77777777" w:rsidR="00640983" w:rsidRDefault="006409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D48685" w14:textId="77777777" w:rsidR="00640983" w:rsidRDefault="00640983" w:rsidP="004A1847">
      <w:pPr>
        <w:spacing w:after="0" w:line="240" w:lineRule="auto"/>
      </w:pPr>
      <w:r>
        <w:separator/>
      </w:r>
    </w:p>
  </w:footnote>
  <w:footnote w:type="continuationSeparator" w:id="0">
    <w:p w14:paraId="1AF68498" w14:textId="77777777" w:rsidR="00640983" w:rsidRDefault="00640983" w:rsidP="004A1847">
      <w:pPr>
        <w:spacing w:after="0" w:line="240" w:lineRule="auto"/>
      </w:pPr>
      <w:r>
        <w:continuationSeparator/>
      </w:r>
    </w:p>
  </w:footnote>
  <w:footnote w:type="continuationNotice" w:id="1">
    <w:p w14:paraId="667282EE" w14:textId="77777777" w:rsidR="00640983" w:rsidRDefault="00640983">
      <w:pPr>
        <w:spacing w:after="0" w:line="240" w:lineRule="auto"/>
      </w:pPr>
    </w:p>
  </w:footnote>
  <w:footnote w:id="2">
    <w:p w14:paraId="743A44B4" w14:textId="77777777" w:rsidR="00D11F21" w:rsidRPr="00D36066" w:rsidRDefault="00D11F21" w:rsidP="00D11F21">
      <w:pPr>
        <w:snapToGrid w:val="0"/>
        <w:spacing w:after="0" w:line="240" w:lineRule="auto"/>
        <w:ind w:firstLine="709"/>
        <w:contextualSpacing/>
        <w:jc w:val="both"/>
        <w:rPr>
          <w:rFonts w:ascii="Verdana" w:hAnsi="Verdana" w:cs="Arial"/>
          <w:color w:val="000000" w:themeColor="text1"/>
          <w:sz w:val="15"/>
          <w:szCs w:val="15"/>
          <w:shd w:val="clear" w:color="auto" w:fill="FFFFFF"/>
        </w:rPr>
      </w:pPr>
      <w:r w:rsidRPr="00D36066">
        <w:rPr>
          <w:rStyle w:val="Refdenotaalpie"/>
          <w:rFonts w:ascii="Verdana" w:hAnsi="Verdana" w:cs="Arial"/>
          <w:color w:val="000000" w:themeColor="text1"/>
          <w:sz w:val="15"/>
          <w:szCs w:val="15"/>
        </w:rPr>
        <w:footnoteRef/>
      </w:r>
      <w:r w:rsidRPr="00D36066">
        <w:rPr>
          <w:rFonts w:ascii="Verdana" w:hAnsi="Verdana" w:cs="Arial"/>
          <w:color w:val="000000" w:themeColor="text1"/>
          <w:sz w:val="15"/>
          <w:szCs w:val="15"/>
        </w:rPr>
        <w:t xml:space="preserve"> Decreto 1082 de 2015: </w:t>
      </w:r>
      <w:r>
        <w:rPr>
          <w:rFonts w:ascii="Verdana" w:hAnsi="Verdana" w:cs="Arial"/>
          <w:color w:val="000000" w:themeColor="text1"/>
          <w:sz w:val="15"/>
          <w:szCs w:val="15"/>
        </w:rPr>
        <w:t>“</w:t>
      </w:r>
      <w:r w:rsidRPr="00D36066">
        <w:rPr>
          <w:rFonts w:ascii="Verdana" w:hAnsi="Verdana" w:cs="Arial"/>
          <w:color w:val="000000" w:themeColor="text1"/>
          <w:sz w:val="15"/>
          <w:szCs w:val="15"/>
        </w:rPr>
        <w:t>Artículo</w:t>
      </w:r>
      <w:r w:rsidRPr="00D36066">
        <w:rPr>
          <w:rFonts w:ascii="Verdana" w:hAnsi="Verdana" w:cs="Arial"/>
          <w:b/>
          <w:bCs/>
          <w:color w:val="000000" w:themeColor="text1"/>
          <w:sz w:val="15"/>
          <w:szCs w:val="15"/>
          <w:shd w:val="clear" w:color="auto" w:fill="FFFFFF"/>
        </w:rPr>
        <w:t> </w:t>
      </w:r>
      <w:r w:rsidRPr="00D36066">
        <w:rPr>
          <w:rFonts w:ascii="Verdana" w:hAnsi="Verdana" w:cs="Arial"/>
          <w:color w:val="000000" w:themeColor="text1"/>
          <w:sz w:val="15"/>
          <w:szCs w:val="15"/>
          <w:shd w:val="clear" w:color="auto" w:fill="FFFFFF"/>
        </w:rPr>
        <w:t>2.2.1.2.3.1.5. </w:t>
      </w:r>
      <w:r w:rsidRPr="00D36066">
        <w:rPr>
          <w:rFonts w:ascii="Verdana" w:hAnsi="Verdana" w:cs="Arial"/>
          <w:i/>
          <w:iCs/>
          <w:color w:val="000000" w:themeColor="text1"/>
          <w:sz w:val="15"/>
          <w:szCs w:val="15"/>
          <w:shd w:val="clear" w:color="auto" w:fill="FFFFFF"/>
        </w:rPr>
        <w:t>Cobertura del Riesgo de responsabilidad civil extracontractual. </w:t>
      </w:r>
      <w:r w:rsidRPr="00D36066">
        <w:rPr>
          <w:rFonts w:ascii="Verdana" w:hAnsi="Verdana" w:cs="Arial"/>
          <w:color w:val="000000" w:themeColor="text1"/>
          <w:sz w:val="15"/>
          <w:szCs w:val="15"/>
          <w:shd w:val="clear" w:color="auto" w:fill="FFFFFF"/>
        </w:rPr>
        <w:t>La responsabilidad extracontractual de la administración derivada de las actuaciones, hechos u omisiones de sus contratistas o subcontratistas solamente puede ser amparada con un contrato de seguro</w:t>
      </w:r>
      <w:r>
        <w:rPr>
          <w:rFonts w:ascii="Verdana" w:hAnsi="Verdana" w:cs="Arial"/>
          <w:color w:val="000000" w:themeColor="text1"/>
          <w:sz w:val="15"/>
          <w:szCs w:val="15"/>
          <w:shd w:val="clear" w:color="auto" w:fill="FFFFFF"/>
        </w:rPr>
        <w:t>”</w:t>
      </w:r>
      <w:r w:rsidRPr="00D36066">
        <w:rPr>
          <w:rFonts w:ascii="Verdana" w:hAnsi="Verdana" w:cs="Arial"/>
          <w:color w:val="000000" w:themeColor="text1"/>
          <w:sz w:val="15"/>
          <w:szCs w:val="15"/>
          <w:shd w:val="clear" w:color="auto" w:fill="FFFFFF"/>
        </w:rPr>
        <w:t>.</w:t>
      </w:r>
    </w:p>
  </w:footnote>
  <w:footnote w:id="3">
    <w:p w14:paraId="7A6A9803" w14:textId="77777777" w:rsidR="00D11F21" w:rsidRPr="00D36066" w:rsidRDefault="00D11F21" w:rsidP="00D11F21">
      <w:pPr>
        <w:shd w:val="clear" w:color="auto" w:fill="FFFFFF"/>
        <w:snapToGrid w:val="0"/>
        <w:spacing w:after="0" w:line="240" w:lineRule="auto"/>
        <w:ind w:firstLine="709"/>
        <w:contextualSpacing/>
        <w:jc w:val="both"/>
        <w:rPr>
          <w:rFonts w:ascii="Verdana" w:eastAsia="Times New Roman" w:hAnsi="Verdana" w:cs="Arial"/>
          <w:color w:val="000000" w:themeColor="text1"/>
          <w:sz w:val="15"/>
          <w:szCs w:val="15"/>
          <w:lang w:eastAsia="es-CO"/>
        </w:rPr>
      </w:pPr>
      <w:r w:rsidRPr="00D36066">
        <w:rPr>
          <w:rStyle w:val="Refdenotaalpie"/>
          <w:rFonts w:ascii="Verdana" w:hAnsi="Verdana" w:cs="Arial"/>
          <w:color w:val="000000" w:themeColor="text1"/>
          <w:sz w:val="15"/>
          <w:szCs w:val="15"/>
        </w:rPr>
        <w:footnoteRef/>
      </w:r>
      <w:r w:rsidRPr="00D36066">
        <w:rPr>
          <w:rFonts w:ascii="Verdana" w:hAnsi="Verdana" w:cs="Arial"/>
          <w:color w:val="000000" w:themeColor="text1"/>
          <w:sz w:val="15"/>
          <w:szCs w:val="15"/>
        </w:rPr>
        <w:t xml:space="preserve"> Decreto 1082 de 2015: </w:t>
      </w:r>
      <w:r>
        <w:rPr>
          <w:rFonts w:ascii="Verdana" w:hAnsi="Verdana" w:cs="Arial"/>
          <w:color w:val="000000" w:themeColor="text1"/>
          <w:sz w:val="15"/>
          <w:szCs w:val="15"/>
        </w:rPr>
        <w:t>“</w:t>
      </w:r>
      <w:r w:rsidRPr="00D36066">
        <w:rPr>
          <w:rFonts w:ascii="Verdana" w:hAnsi="Verdana" w:cs="Arial"/>
          <w:color w:val="000000" w:themeColor="text1"/>
          <w:sz w:val="15"/>
          <w:szCs w:val="15"/>
        </w:rPr>
        <w:t>Artículo</w:t>
      </w:r>
      <w:r w:rsidRPr="00D36066">
        <w:rPr>
          <w:rFonts w:ascii="Verdana" w:eastAsia="Times New Roman" w:hAnsi="Verdana" w:cs="Arial"/>
          <w:b/>
          <w:bCs/>
          <w:color w:val="000000" w:themeColor="text1"/>
          <w:sz w:val="15"/>
          <w:szCs w:val="15"/>
          <w:lang w:eastAsia="es-CO"/>
        </w:rPr>
        <w:t> </w:t>
      </w:r>
      <w:r w:rsidRPr="00D36066">
        <w:rPr>
          <w:rFonts w:ascii="Verdana" w:eastAsia="Times New Roman" w:hAnsi="Verdana" w:cs="Arial"/>
          <w:color w:val="000000" w:themeColor="text1"/>
          <w:sz w:val="15"/>
          <w:szCs w:val="15"/>
          <w:lang w:eastAsia="es-CO"/>
        </w:rPr>
        <w:t>2.2.1.2.3.1.8.</w:t>
      </w:r>
      <w:r w:rsidRPr="00D36066">
        <w:rPr>
          <w:rFonts w:ascii="Verdana" w:eastAsia="Times New Roman" w:hAnsi="Verdana" w:cs="Arial"/>
          <w:i/>
          <w:iCs/>
          <w:color w:val="000000" w:themeColor="text1"/>
          <w:sz w:val="15"/>
          <w:szCs w:val="15"/>
          <w:lang w:eastAsia="es-CO"/>
        </w:rPr>
        <w:t> Cubrimiento de la responsabilidad civil extracontractual.</w:t>
      </w:r>
      <w:r w:rsidRPr="00D36066">
        <w:rPr>
          <w:rFonts w:ascii="Verdana" w:eastAsia="Times New Roman" w:hAnsi="Verdana" w:cs="Arial"/>
          <w:color w:val="000000" w:themeColor="text1"/>
          <w:sz w:val="15"/>
          <w:szCs w:val="15"/>
          <w:lang w:eastAsia="es-CO"/>
        </w:rPr>
        <w:t> La Entidad Estatal debe exigir en los contratos de obra, y en aquellos en que por su objeto o naturaleza lo considere necesario con ocasión de los Riesgos del contrato, el otorgamiento de una póliza de responsabilidad civil extracontractual que la proteja de eventuales reclamaciones de terceros derivadas de la responsabilidad extracontractual que surja de las actuaciones, hechos u omisiones de su contratista.</w:t>
      </w:r>
    </w:p>
    <w:p w14:paraId="66569736" w14:textId="77777777" w:rsidR="00D11F21" w:rsidRPr="00D36066" w:rsidRDefault="00D11F21" w:rsidP="00D11F21">
      <w:pPr>
        <w:shd w:val="clear" w:color="auto" w:fill="FFFFFF"/>
        <w:snapToGrid w:val="0"/>
        <w:spacing w:after="0" w:line="240" w:lineRule="auto"/>
        <w:ind w:firstLine="709"/>
        <w:contextualSpacing/>
        <w:jc w:val="both"/>
        <w:rPr>
          <w:rFonts w:ascii="Verdana" w:eastAsia="Times New Roman" w:hAnsi="Verdana" w:cs="Arial"/>
          <w:color w:val="000000" w:themeColor="text1"/>
          <w:sz w:val="15"/>
          <w:szCs w:val="15"/>
          <w:lang w:eastAsia="es-CO"/>
        </w:rPr>
      </w:pPr>
      <w:r w:rsidRPr="00D36066">
        <w:rPr>
          <w:rFonts w:ascii="Verdana" w:eastAsia="Times New Roman" w:hAnsi="Verdana" w:cs="Arial"/>
          <w:color w:val="000000" w:themeColor="text1"/>
          <w:sz w:val="15"/>
          <w:szCs w:val="15"/>
          <w:lang w:eastAsia="es-CO"/>
        </w:rPr>
        <w:t>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r>
        <w:rPr>
          <w:rFonts w:ascii="Verdana" w:eastAsia="Times New Roman" w:hAnsi="Verdana" w:cs="Arial"/>
          <w:color w:val="000000" w:themeColor="text1"/>
          <w:sz w:val="15"/>
          <w:szCs w:val="15"/>
          <w:lang w:eastAsia="es-CO"/>
        </w:rPr>
        <w:t>”</w:t>
      </w:r>
      <w:r w:rsidRPr="00D36066">
        <w:rPr>
          <w:rFonts w:ascii="Verdana" w:eastAsia="Times New Roman" w:hAnsi="Verdana" w:cs="Arial"/>
          <w:color w:val="000000" w:themeColor="text1"/>
          <w:sz w:val="15"/>
          <w:szCs w:val="15"/>
          <w:lang w:eastAsia="es-CO"/>
        </w:rPr>
        <w:t>.</w:t>
      </w:r>
    </w:p>
    <w:p w14:paraId="22F3D0A7" w14:textId="77777777" w:rsidR="00D11F21" w:rsidRPr="00D36066" w:rsidRDefault="00D11F21" w:rsidP="00D11F21">
      <w:pPr>
        <w:pStyle w:val="Textonotapie"/>
        <w:jc w:val="both"/>
        <w:rPr>
          <w:rFonts w:ascii="Verdana" w:hAnsi="Verdana" w:cs="Arial"/>
          <w:color w:val="000000" w:themeColor="text1"/>
          <w:sz w:val="15"/>
          <w:szCs w:val="15"/>
          <w:lang w:val="es-ES"/>
        </w:rPr>
      </w:pPr>
    </w:p>
  </w:footnote>
  <w:footnote w:id="4">
    <w:p w14:paraId="7E986EEE" w14:textId="77777777" w:rsidR="00D11F21" w:rsidRPr="00D36066" w:rsidRDefault="00D11F21" w:rsidP="00D11F21">
      <w:pPr>
        <w:pStyle w:val="Textonotapie"/>
        <w:ind w:firstLine="708"/>
        <w:jc w:val="both"/>
        <w:rPr>
          <w:rFonts w:ascii="Verdana" w:hAnsi="Verdana" w:cs="Arial"/>
          <w:sz w:val="15"/>
          <w:szCs w:val="15"/>
        </w:rPr>
      </w:pPr>
      <w:r w:rsidRPr="00D36066">
        <w:rPr>
          <w:rStyle w:val="Refdenotaalpie"/>
          <w:rFonts w:ascii="Verdana" w:hAnsi="Verdana" w:cs="Arial"/>
          <w:sz w:val="15"/>
          <w:szCs w:val="15"/>
        </w:rPr>
        <w:footnoteRef/>
      </w:r>
      <w:r w:rsidRPr="00D36066">
        <w:rPr>
          <w:rFonts w:ascii="Verdana" w:hAnsi="Verdana" w:cs="Arial"/>
          <w:sz w:val="15"/>
          <w:szCs w:val="15"/>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5">
    <w:p w14:paraId="38E49F9D" w14:textId="77777777" w:rsidR="00D11F21" w:rsidRPr="00D36066" w:rsidRDefault="00D11F21" w:rsidP="00D11F21">
      <w:pPr>
        <w:pStyle w:val="Textonotapie"/>
        <w:ind w:firstLine="709"/>
        <w:jc w:val="both"/>
        <w:rPr>
          <w:rFonts w:ascii="Verdana" w:hAnsi="Verdana" w:cs="Arial"/>
          <w:color w:val="000000" w:themeColor="text1"/>
          <w:sz w:val="15"/>
          <w:szCs w:val="15"/>
        </w:rPr>
      </w:pPr>
      <w:r w:rsidRPr="00D36066">
        <w:rPr>
          <w:rStyle w:val="Refdenotaalpie"/>
          <w:rFonts w:ascii="Verdana" w:hAnsi="Verdana" w:cs="Arial"/>
          <w:color w:val="000000" w:themeColor="text1"/>
          <w:sz w:val="15"/>
          <w:szCs w:val="15"/>
        </w:rPr>
        <w:footnoteRef/>
      </w:r>
      <w:r w:rsidRPr="00D36066">
        <w:rPr>
          <w:rFonts w:ascii="Verdana" w:hAnsi="Verdana" w:cs="Arial"/>
          <w:color w:val="000000" w:themeColor="text1"/>
          <w:sz w:val="15"/>
          <w:szCs w:val="15"/>
        </w:rPr>
        <w:t xml:space="preserve"> ORDÓÑEZ ORDÓÑEZ, Andrés E. Seguro de cumplimiento de los contratos estatales en Colombia. Bogotá: Universidad Externado de Colombia, 2011. p. 44.</w:t>
      </w:r>
    </w:p>
  </w:footnote>
  <w:footnote w:id="6">
    <w:p w14:paraId="35CC2D51" w14:textId="77777777" w:rsidR="00D11F21" w:rsidRPr="00D36066" w:rsidRDefault="00D11F21" w:rsidP="00D11F21">
      <w:pPr>
        <w:pStyle w:val="Textonotapie"/>
        <w:ind w:firstLine="709"/>
        <w:jc w:val="both"/>
        <w:rPr>
          <w:rFonts w:ascii="Verdana" w:hAnsi="Verdana" w:cs="Arial"/>
          <w:color w:val="000000" w:themeColor="text1"/>
          <w:sz w:val="15"/>
          <w:szCs w:val="15"/>
          <w:lang w:val="es-ES"/>
        </w:rPr>
      </w:pPr>
      <w:r w:rsidRPr="00D36066">
        <w:rPr>
          <w:rStyle w:val="Refdenotaalpie"/>
          <w:rFonts w:ascii="Verdana" w:hAnsi="Verdana" w:cs="Arial"/>
          <w:color w:val="000000" w:themeColor="text1"/>
          <w:sz w:val="15"/>
          <w:szCs w:val="15"/>
        </w:rPr>
        <w:footnoteRef/>
      </w:r>
      <w:r w:rsidRPr="00D36066">
        <w:rPr>
          <w:rFonts w:ascii="Verdana" w:hAnsi="Verdana" w:cs="Arial"/>
          <w:color w:val="000000" w:themeColor="text1"/>
          <w:sz w:val="15"/>
          <w:szCs w:val="15"/>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D36066">
        <w:rPr>
          <w:rFonts w:ascii="Verdana" w:hAnsi="Verdana" w:cs="Arial"/>
          <w:color w:val="000000" w:themeColor="text1"/>
          <w:sz w:val="15"/>
          <w:szCs w:val="15"/>
          <w:lang w:val="es-ES"/>
        </w:rPr>
        <w:t xml:space="preserve">Igualmente, el inciso primero del artículo 1071 </w:t>
      </w:r>
      <w:r w:rsidRPr="00D36066">
        <w:rPr>
          <w:rFonts w:ascii="Verdana" w:hAnsi="Verdana" w:cs="Arial"/>
          <w:i/>
          <w:iCs/>
          <w:color w:val="000000" w:themeColor="text1"/>
          <w:sz w:val="15"/>
          <w:szCs w:val="15"/>
          <w:lang w:val="es-ES"/>
        </w:rPr>
        <w:t>ibidem</w:t>
      </w:r>
      <w:r w:rsidRPr="00D36066">
        <w:rPr>
          <w:rFonts w:ascii="Verdana" w:hAnsi="Verdana" w:cs="Arial"/>
          <w:color w:val="000000" w:themeColor="text1"/>
          <w:sz w:val="15"/>
          <w:szCs w:val="15"/>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7">
    <w:p w14:paraId="74F349C0" w14:textId="77777777" w:rsidR="00D11F21" w:rsidRPr="00D36066" w:rsidRDefault="00D11F21" w:rsidP="00D11F21">
      <w:pPr>
        <w:pStyle w:val="Textonotapie"/>
        <w:ind w:firstLine="709"/>
        <w:jc w:val="both"/>
        <w:rPr>
          <w:rFonts w:ascii="Verdana" w:hAnsi="Verdana" w:cs="Arial"/>
          <w:color w:val="000000" w:themeColor="text1"/>
          <w:sz w:val="15"/>
          <w:szCs w:val="15"/>
        </w:rPr>
      </w:pPr>
      <w:r w:rsidRPr="00D36066">
        <w:rPr>
          <w:rStyle w:val="Refdenotaalpie"/>
          <w:rFonts w:ascii="Verdana" w:hAnsi="Verdana" w:cs="Arial"/>
          <w:color w:val="000000" w:themeColor="text1"/>
          <w:sz w:val="15"/>
          <w:szCs w:val="15"/>
        </w:rPr>
        <w:footnoteRef/>
      </w:r>
      <w:r w:rsidRPr="00D36066">
        <w:rPr>
          <w:rFonts w:ascii="Verdana" w:hAnsi="Verdana" w:cs="Arial"/>
          <w:color w:val="000000" w:themeColor="text1"/>
          <w:sz w:val="15"/>
          <w:szCs w:val="15"/>
        </w:rPr>
        <w:t xml:space="preserve"> ESCOBAR GIL, Rodrigo. Teoría general de los contratos de la Administración pública. Bogotá: Legis, 2000. p. 247. Respecto a las pólizas, la doctrina explica que “En rigor, el seguro no elimina el daño sino que tolera que sus consecuencias resulten transferidas (trasladadas) por el sujeto amenazado por un evento económicamente desfavorable, a otro (asegurador) que, a esos fines, ha constituido una mutualidad especialmente ‘preparada para absorber el riesgo de indemnización’“ (Cfr. STIGLITZ, Rubén S. Derecho de seguros. Tomo I. Tercera Edición. Buenos Aires: Abeledo – Perrot, 2001. p. 21).</w:t>
      </w:r>
    </w:p>
  </w:footnote>
  <w:footnote w:id="8">
    <w:p w14:paraId="346135F9" w14:textId="77777777" w:rsidR="00D11F21" w:rsidRPr="00D36066" w:rsidRDefault="00D11F21" w:rsidP="00D11F21">
      <w:pPr>
        <w:pStyle w:val="Textonotapie"/>
        <w:ind w:firstLine="708"/>
        <w:jc w:val="both"/>
        <w:rPr>
          <w:rFonts w:ascii="Verdana" w:hAnsi="Verdana" w:cs="Arial"/>
          <w:color w:val="000000" w:themeColor="text1"/>
          <w:sz w:val="15"/>
          <w:szCs w:val="15"/>
          <w:lang w:val="es-CO"/>
        </w:rPr>
      </w:pPr>
      <w:r w:rsidRPr="00D36066">
        <w:rPr>
          <w:rStyle w:val="Refdenotaalpie"/>
          <w:rFonts w:ascii="Verdana" w:hAnsi="Verdana" w:cs="Arial"/>
          <w:color w:val="000000" w:themeColor="text1"/>
          <w:sz w:val="15"/>
          <w:szCs w:val="15"/>
        </w:rPr>
        <w:footnoteRef/>
      </w:r>
      <w:r w:rsidRPr="00D36066">
        <w:rPr>
          <w:rFonts w:ascii="Verdana" w:hAnsi="Verdana" w:cs="Arial"/>
          <w:color w:val="000000" w:themeColor="text1"/>
          <w:sz w:val="15"/>
          <w:szCs w:val="15"/>
        </w:rPr>
        <w:t xml:space="preserve"> </w:t>
      </w:r>
      <w:r w:rsidRPr="00D36066">
        <w:rPr>
          <w:rFonts w:ascii="Verdana" w:hAnsi="Verdana" w:cs="Arial"/>
          <w:color w:val="000000" w:themeColor="text1"/>
          <w:sz w:val="15"/>
          <w:szCs w:val="15"/>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1060689A" w14:textId="77777777" w:rsidR="00D11F21" w:rsidRPr="00D36066" w:rsidRDefault="00D11F21" w:rsidP="00D11F21">
      <w:pPr>
        <w:pStyle w:val="Textonotapie"/>
        <w:ind w:firstLine="708"/>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 xml:space="preserve">En consecuencia, la Entidad Estatal en los pliegos de condiciones para la Contratación debe indicar las garantías que exige en cada Etapa del Contrato o cada Periodo Contractual así: </w:t>
      </w:r>
    </w:p>
    <w:p w14:paraId="5D9998EF" w14:textId="77777777" w:rsidR="00D11F21" w:rsidRPr="00D36066" w:rsidRDefault="00D11F21" w:rsidP="00D11F21">
      <w:pPr>
        <w:pStyle w:val="Textonotapie"/>
        <w:ind w:firstLine="708"/>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 xml:space="preserve">1. La Entidad Estatal debe exigir una garantía independiente para cada Etapa del Contrato o cada Periodo Contractual o cada unidad funcional en el caso de las Asociaciones Público Privadas, cuya vigencia debe ser por lo menos la misma establecida para la Etapa del Contrato o Periodo Contractual respectivo. </w:t>
      </w:r>
    </w:p>
    <w:p w14:paraId="688D037B" w14:textId="77777777" w:rsidR="00D11F21" w:rsidRPr="00D36066" w:rsidRDefault="00D11F21" w:rsidP="00D11F21">
      <w:pPr>
        <w:pStyle w:val="Textonotapie"/>
        <w:ind w:firstLine="708"/>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04CB6CCA" w14:textId="77777777" w:rsidR="00D11F21" w:rsidRPr="00D36066" w:rsidRDefault="00D11F21" w:rsidP="00D11F21">
      <w:pPr>
        <w:pStyle w:val="Textonotapie"/>
        <w:ind w:firstLine="708"/>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0B193277" w14:textId="77777777" w:rsidR="00D11F21" w:rsidRPr="00D36066" w:rsidRDefault="00D11F21" w:rsidP="00D11F21">
      <w:pPr>
        <w:pStyle w:val="Textonotapie"/>
        <w:ind w:firstLine="708"/>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9">
    <w:p w14:paraId="60B1B1BB" w14:textId="77777777" w:rsidR="00D11F21" w:rsidRPr="00D36066" w:rsidRDefault="00D11F21" w:rsidP="00D11F21">
      <w:pPr>
        <w:pStyle w:val="Textonotapie"/>
        <w:ind w:firstLine="708"/>
        <w:jc w:val="both"/>
        <w:rPr>
          <w:rFonts w:ascii="Verdana" w:hAnsi="Verdana" w:cs="Arial"/>
          <w:color w:val="000000" w:themeColor="text1"/>
          <w:sz w:val="15"/>
          <w:szCs w:val="15"/>
          <w:lang w:val="es-CO"/>
        </w:rPr>
      </w:pPr>
      <w:r w:rsidRPr="00D36066">
        <w:rPr>
          <w:rStyle w:val="Refdenotaalpie"/>
          <w:rFonts w:ascii="Verdana" w:hAnsi="Verdana" w:cs="Arial"/>
          <w:color w:val="000000" w:themeColor="text1"/>
          <w:sz w:val="15"/>
          <w:szCs w:val="15"/>
        </w:rPr>
        <w:footnoteRef/>
      </w:r>
      <w:r w:rsidRPr="00D36066">
        <w:rPr>
          <w:rFonts w:ascii="Verdana" w:hAnsi="Verdana" w:cs="Arial"/>
          <w:color w:val="000000" w:themeColor="text1"/>
          <w:sz w:val="15"/>
          <w:szCs w:val="15"/>
        </w:rPr>
        <w:t xml:space="preserve"> </w:t>
      </w:r>
      <w:r w:rsidRPr="00D36066">
        <w:rPr>
          <w:rFonts w:ascii="Verdana" w:hAnsi="Verdana" w:cs="Arial"/>
          <w:color w:val="000000" w:themeColor="text1"/>
          <w:sz w:val="15"/>
          <w:szCs w:val="15"/>
          <w:lang w:val="es-CO"/>
        </w:rPr>
        <w:t xml:space="preserve">“Artículo </w:t>
      </w:r>
      <w:bookmarkStart w:id="5" w:name="_Hlk67919994"/>
      <w:r w:rsidRPr="00D36066">
        <w:rPr>
          <w:rFonts w:ascii="Verdana" w:hAnsi="Verdana" w:cs="Arial"/>
          <w:color w:val="000000" w:themeColor="text1"/>
          <w:sz w:val="15"/>
          <w:szCs w:val="15"/>
          <w:lang w:val="es-CO"/>
        </w:rPr>
        <w:t>2.2.1.2.3.1.7</w:t>
      </w:r>
      <w:bookmarkEnd w:id="5"/>
      <w:r w:rsidRPr="00D36066">
        <w:rPr>
          <w:rFonts w:ascii="Verdana" w:hAnsi="Verdana" w:cs="Arial"/>
          <w:color w:val="000000" w:themeColor="text1"/>
          <w:sz w:val="15"/>
          <w:szCs w:val="15"/>
          <w:lang w:val="es-CO"/>
        </w:rPr>
        <w:t xml:space="preserve">. Garantía de cumplimiento. La garantía de cumplimiento del contrato debe cubrir: </w:t>
      </w:r>
    </w:p>
    <w:p w14:paraId="1BFC3D1C" w14:textId="77777777" w:rsidR="00D11F21" w:rsidRPr="00D36066" w:rsidRDefault="00D11F21" w:rsidP="00D11F21">
      <w:pPr>
        <w:pStyle w:val="Textonotapie"/>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 xml:space="preserve">  </w:t>
      </w:r>
      <w:r w:rsidRPr="00D36066">
        <w:rPr>
          <w:rFonts w:ascii="Verdana" w:hAnsi="Verdana" w:cs="Arial"/>
          <w:color w:val="000000" w:themeColor="text1"/>
          <w:sz w:val="15"/>
          <w:szCs w:val="15"/>
          <w:lang w:val="es-CO"/>
        </w:rPr>
        <w:tab/>
        <w:t>1. Buen manejo y correcta inversión del anticipo. Este amparo cubre los perjuicios sufridos por la Entidad Estatal con ocasión de: (i) la no inversión del anticipo; (</w:t>
      </w:r>
      <w:proofErr w:type="spellStart"/>
      <w:r w:rsidRPr="00D36066">
        <w:rPr>
          <w:rFonts w:ascii="Verdana" w:hAnsi="Verdana" w:cs="Arial"/>
          <w:color w:val="000000" w:themeColor="text1"/>
          <w:sz w:val="15"/>
          <w:szCs w:val="15"/>
          <w:lang w:val="es-CO"/>
        </w:rPr>
        <w:t>ii</w:t>
      </w:r>
      <w:proofErr w:type="spellEnd"/>
      <w:r w:rsidRPr="00D36066">
        <w:rPr>
          <w:rFonts w:ascii="Verdana" w:hAnsi="Verdana" w:cs="Arial"/>
          <w:color w:val="000000" w:themeColor="text1"/>
          <w:sz w:val="15"/>
          <w:szCs w:val="15"/>
          <w:lang w:val="es-CO"/>
        </w:rPr>
        <w:t>) el uso indebido del anticipo; y (</w:t>
      </w:r>
      <w:proofErr w:type="spellStart"/>
      <w:r w:rsidRPr="00D36066">
        <w:rPr>
          <w:rFonts w:ascii="Verdana" w:hAnsi="Verdana" w:cs="Arial"/>
          <w:color w:val="000000" w:themeColor="text1"/>
          <w:sz w:val="15"/>
          <w:szCs w:val="15"/>
          <w:lang w:val="es-CO"/>
        </w:rPr>
        <w:t>iii</w:t>
      </w:r>
      <w:proofErr w:type="spellEnd"/>
      <w:r w:rsidRPr="00D36066">
        <w:rPr>
          <w:rFonts w:ascii="Verdana" w:hAnsi="Verdana" w:cs="Arial"/>
          <w:color w:val="000000" w:themeColor="text1"/>
          <w:sz w:val="15"/>
          <w:szCs w:val="15"/>
          <w:lang w:val="es-CO"/>
        </w:rPr>
        <w:t>) la apropiación indebida de los recursos recibidos en calidad de anticipo</w:t>
      </w:r>
    </w:p>
    <w:p w14:paraId="36C11D69" w14:textId="77777777" w:rsidR="00D11F21" w:rsidRPr="00D36066" w:rsidRDefault="00D11F21" w:rsidP="00D11F21">
      <w:pPr>
        <w:pStyle w:val="Textonotapie"/>
        <w:ind w:firstLine="708"/>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29920E80" w14:textId="77777777" w:rsidR="00D11F21" w:rsidRPr="00D36066" w:rsidRDefault="00D11F21" w:rsidP="00D11F21">
      <w:pPr>
        <w:pStyle w:val="Textonotapie"/>
        <w:ind w:firstLine="708"/>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 xml:space="preserve">3. Cumplimiento del contrato. Este amparo cubre a la Entidad Estatal de los perjuicios derivados de: </w:t>
      </w:r>
    </w:p>
    <w:p w14:paraId="634317AB" w14:textId="77777777" w:rsidR="00D11F21" w:rsidRPr="00D36066" w:rsidRDefault="00D11F21" w:rsidP="00D11F21">
      <w:pPr>
        <w:pStyle w:val="Textonotapie"/>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 xml:space="preserve">  </w:t>
      </w:r>
      <w:r w:rsidRPr="00D36066">
        <w:rPr>
          <w:rFonts w:ascii="Verdana" w:hAnsi="Verdana" w:cs="Arial"/>
          <w:color w:val="000000" w:themeColor="text1"/>
          <w:sz w:val="15"/>
          <w:szCs w:val="15"/>
          <w:lang w:val="es-CO"/>
        </w:rPr>
        <w:tab/>
        <w:t xml:space="preserve">3.1. </w:t>
      </w:r>
      <w:bookmarkStart w:id="6" w:name="_Hlk67920056"/>
      <w:r w:rsidRPr="00D36066">
        <w:rPr>
          <w:rFonts w:ascii="Verdana" w:hAnsi="Verdana" w:cs="Arial"/>
          <w:color w:val="000000" w:themeColor="text1"/>
          <w:sz w:val="15"/>
          <w:szCs w:val="15"/>
          <w:lang w:val="es-CO"/>
        </w:rPr>
        <w:t xml:space="preserve">El incumplimiento total o parcial del contrato, cuando el incumplimiento es imputable al contratista; </w:t>
      </w:r>
    </w:p>
    <w:p w14:paraId="1FEFECCA" w14:textId="77777777" w:rsidR="00D11F21" w:rsidRPr="00D36066" w:rsidRDefault="00D11F21" w:rsidP="00D11F21">
      <w:pPr>
        <w:pStyle w:val="Textonotapie"/>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 xml:space="preserve">  </w:t>
      </w:r>
      <w:r w:rsidRPr="00D36066">
        <w:rPr>
          <w:rFonts w:ascii="Verdana" w:hAnsi="Verdana" w:cs="Arial"/>
          <w:color w:val="000000" w:themeColor="text1"/>
          <w:sz w:val="15"/>
          <w:szCs w:val="15"/>
          <w:lang w:val="es-CO"/>
        </w:rPr>
        <w:tab/>
        <w:t xml:space="preserve">3.2. El cumplimiento tardío o defectuoso del contrato, cuando el incumplimiento es imputable al contratista; </w:t>
      </w:r>
    </w:p>
    <w:p w14:paraId="525BC9EA" w14:textId="77777777" w:rsidR="00D11F21" w:rsidRPr="00D36066" w:rsidRDefault="00D11F21" w:rsidP="00D11F21">
      <w:pPr>
        <w:pStyle w:val="Textonotapie"/>
        <w:ind w:firstLine="708"/>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 xml:space="preserve">3.3. Los daños imputables al contratista por entregas parciales de la obra, cuando el contrato no prevé entregas parciales; y </w:t>
      </w:r>
    </w:p>
    <w:bookmarkEnd w:id="6"/>
    <w:p w14:paraId="265DE941" w14:textId="77777777" w:rsidR="00D11F21" w:rsidRPr="00D36066" w:rsidRDefault="00D11F21" w:rsidP="00D11F21">
      <w:pPr>
        <w:pStyle w:val="Textonotapie"/>
        <w:ind w:firstLine="708"/>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 xml:space="preserve">3.4. El pago del valor de las multas y de la cláusula penal pecuniaria. </w:t>
      </w:r>
    </w:p>
    <w:p w14:paraId="7BCA34E2" w14:textId="77777777" w:rsidR="00D11F21" w:rsidRPr="00D36066" w:rsidRDefault="00D11F21" w:rsidP="00D11F21">
      <w:pPr>
        <w:pStyle w:val="Textonotapie"/>
        <w:ind w:firstLine="708"/>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175BACE1" w14:textId="77777777" w:rsidR="00D11F21" w:rsidRPr="00D36066" w:rsidRDefault="00D11F21" w:rsidP="00D11F21">
      <w:pPr>
        <w:pStyle w:val="Textonotapie"/>
        <w:ind w:firstLine="708"/>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 xml:space="preserve">La Entidad Estatal no debe exigir una garantía para cubrir este Riesgo en los contratos que se ejecuten fuera del territorio nacional con personal contratado bajo un régimen jurídico distinto al colombiano. </w:t>
      </w:r>
    </w:p>
    <w:p w14:paraId="3303E112" w14:textId="77777777" w:rsidR="00D11F21" w:rsidRPr="00D36066" w:rsidRDefault="00D11F21" w:rsidP="00D11F21">
      <w:pPr>
        <w:pStyle w:val="Textonotapie"/>
        <w:snapToGrid w:val="0"/>
        <w:ind w:firstLine="709"/>
        <w:contextualSpacing/>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 xml:space="preserve">5. Estabilidad y calidad de la obra. Este amparo cubre a la Entidad Estatal de los perjuicios ocasionados por cualquier tipo de daño o deterioro, imputable al contratista, sufrido por la obra entregada a satisfacción. </w:t>
      </w:r>
    </w:p>
    <w:p w14:paraId="36DE4542" w14:textId="77777777" w:rsidR="00D11F21" w:rsidRPr="00D36066" w:rsidRDefault="00D11F21" w:rsidP="00D11F21">
      <w:pPr>
        <w:pStyle w:val="Textonotapie"/>
        <w:snapToGrid w:val="0"/>
        <w:ind w:firstLine="709"/>
        <w:contextualSpacing/>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 xml:space="preserve">6. Calidad del servicio. Este amparo cubre a la Entidad Estatal por los perjuicios derivados de la deficiente calidad del servicio prestado. </w:t>
      </w:r>
    </w:p>
    <w:p w14:paraId="0813C707" w14:textId="77777777" w:rsidR="00D11F21" w:rsidRPr="00D36066" w:rsidRDefault="00D11F21" w:rsidP="00D11F21">
      <w:pPr>
        <w:pStyle w:val="Textonotapie"/>
        <w:snapToGrid w:val="0"/>
        <w:ind w:firstLine="709"/>
        <w:contextualSpacing/>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 xml:space="preserve">7. Calidad y correcto funcionamiento de los bienes. Este amparo debe cubrir la calidad y el correcto funcionamiento de los bienes que recibe la Entidad Estatal en cumplimiento de un contrato. </w:t>
      </w:r>
    </w:p>
    <w:p w14:paraId="79C7070B" w14:textId="77777777" w:rsidR="00D11F21" w:rsidRPr="00D36066" w:rsidRDefault="00D11F21" w:rsidP="00D11F21">
      <w:pPr>
        <w:pStyle w:val="Textonotapie"/>
        <w:snapToGrid w:val="0"/>
        <w:ind w:firstLine="709"/>
        <w:contextualSpacing/>
        <w:jc w:val="both"/>
        <w:rPr>
          <w:rFonts w:ascii="Verdana" w:hAnsi="Verdana" w:cs="Arial"/>
          <w:color w:val="000000" w:themeColor="text1"/>
          <w:sz w:val="15"/>
          <w:szCs w:val="15"/>
          <w:lang w:val="es-CO"/>
        </w:rPr>
      </w:pPr>
      <w:r w:rsidRPr="00D36066">
        <w:rPr>
          <w:rFonts w:ascii="Verdana" w:hAnsi="Verdana" w:cs="Arial"/>
          <w:color w:val="000000" w:themeColor="text1"/>
          <w:sz w:val="15"/>
          <w:szCs w:val="15"/>
          <w:lang w:val="es-CO"/>
        </w:rPr>
        <w:t xml:space="preserve">8. </w:t>
      </w:r>
      <w:bookmarkStart w:id="7" w:name="_Hlk143267015"/>
      <w:r w:rsidRPr="00D36066">
        <w:rPr>
          <w:rFonts w:ascii="Verdana" w:hAnsi="Verdana" w:cs="Arial"/>
          <w:color w:val="000000" w:themeColor="text1"/>
          <w:sz w:val="15"/>
          <w:szCs w:val="15"/>
          <w:lang w:val="es-CO"/>
        </w:rPr>
        <w:t>Los demás incumplimientos de obligaciones que la Entidad Estatal considere deben ser amparados de manera proporcional y acorde a la naturaleza del contrato</w:t>
      </w:r>
      <w:bookmarkEnd w:id="7"/>
      <w:r w:rsidRPr="00D36066">
        <w:rPr>
          <w:rFonts w:ascii="Verdana" w:hAnsi="Verdana" w:cs="Arial"/>
          <w:color w:val="000000" w:themeColor="text1"/>
          <w:sz w:val="15"/>
          <w:szCs w:val="15"/>
          <w:lang w:val="es-CO"/>
        </w:rPr>
        <w:t>”.</w:t>
      </w:r>
    </w:p>
  </w:footnote>
  <w:footnote w:id="10">
    <w:p w14:paraId="63663757" w14:textId="77777777" w:rsidR="00D11F21" w:rsidRPr="00D36066" w:rsidRDefault="00D11F21" w:rsidP="00D11F21">
      <w:pPr>
        <w:snapToGrid w:val="0"/>
        <w:spacing w:after="0" w:line="240" w:lineRule="auto"/>
        <w:ind w:firstLine="709"/>
        <w:contextualSpacing/>
        <w:jc w:val="both"/>
        <w:rPr>
          <w:rFonts w:ascii="Verdana" w:hAnsi="Verdana" w:cs="Arial"/>
          <w:color w:val="000000" w:themeColor="text1"/>
          <w:sz w:val="15"/>
          <w:szCs w:val="15"/>
          <w:shd w:val="clear" w:color="auto" w:fill="FFFFFF"/>
        </w:rPr>
      </w:pPr>
      <w:r w:rsidRPr="00D36066">
        <w:rPr>
          <w:rStyle w:val="Refdenotaalpie"/>
          <w:rFonts w:ascii="Verdana" w:hAnsi="Verdana" w:cs="Arial"/>
          <w:color w:val="000000" w:themeColor="text1"/>
          <w:sz w:val="15"/>
          <w:szCs w:val="15"/>
        </w:rPr>
        <w:footnoteRef/>
      </w:r>
      <w:r w:rsidRPr="00D36066">
        <w:rPr>
          <w:rFonts w:ascii="Verdana" w:hAnsi="Verdana" w:cs="Arial"/>
          <w:color w:val="000000" w:themeColor="text1"/>
          <w:sz w:val="15"/>
          <w:szCs w:val="15"/>
        </w:rPr>
        <w:t xml:space="preserve"> Decreto 1082 de 2015: </w:t>
      </w:r>
      <w:r>
        <w:rPr>
          <w:rFonts w:ascii="Verdana" w:hAnsi="Verdana" w:cs="Arial"/>
          <w:color w:val="000000" w:themeColor="text1"/>
          <w:sz w:val="15"/>
          <w:szCs w:val="15"/>
        </w:rPr>
        <w:t>“</w:t>
      </w:r>
      <w:r w:rsidRPr="00D36066">
        <w:rPr>
          <w:rFonts w:ascii="Verdana" w:hAnsi="Verdana" w:cs="Arial"/>
          <w:color w:val="000000" w:themeColor="text1"/>
          <w:sz w:val="15"/>
          <w:szCs w:val="15"/>
        </w:rPr>
        <w:t>Artículo</w:t>
      </w:r>
      <w:r w:rsidRPr="00D36066">
        <w:rPr>
          <w:rFonts w:ascii="Verdana" w:hAnsi="Verdana" w:cs="Arial"/>
          <w:b/>
          <w:bCs/>
          <w:color w:val="000000" w:themeColor="text1"/>
          <w:sz w:val="15"/>
          <w:szCs w:val="15"/>
          <w:shd w:val="clear" w:color="auto" w:fill="FFFFFF"/>
        </w:rPr>
        <w:t> </w:t>
      </w:r>
      <w:bookmarkStart w:id="8" w:name="2.2.1.2.3.1.5"/>
      <w:bookmarkEnd w:id="8"/>
      <w:r w:rsidRPr="00D36066">
        <w:rPr>
          <w:rFonts w:ascii="Verdana" w:hAnsi="Verdana" w:cs="Arial"/>
          <w:color w:val="000000" w:themeColor="text1"/>
          <w:sz w:val="15"/>
          <w:szCs w:val="15"/>
          <w:shd w:val="clear" w:color="auto" w:fill="FFFFFF"/>
        </w:rPr>
        <w:t>2.2.1.2.3.1.5. </w:t>
      </w:r>
      <w:r w:rsidRPr="00D36066">
        <w:rPr>
          <w:rFonts w:ascii="Verdana" w:hAnsi="Verdana" w:cs="Arial"/>
          <w:i/>
          <w:iCs/>
          <w:color w:val="000000" w:themeColor="text1"/>
          <w:sz w:val="15"/>
          <w:szCs w:val="15"/>
          <w:shd w:val="clear" w:color="auto" w:fill="FFFFFF"/>
        </w:rPr>
        <w:t>Cobertura del Riesgo de responsabilidad civil extracontractual. </w:t>
      </w:r>
      <w:r w:rsidRPr="00D36066">
        <w:rPr>
          <w:rFonts w:ascii="Verdana" w:hAnsi="Verdana" w:cs="Arial"/>
          <w:color w:val="000000" w:themeColor="text1"/>
          <w:sz w:val="15"/>
          <w:szCs w:val="15"/>
          <w:shd w:val="clear" w:color="auto" w:fill="FFFFFF"/>
        </w:rPr>
        <w:t>La responsabilidad extracontractual de la administración derivada de las actuaciones, hechos u omisiones de sus contratistas o subcontratistas solamente puede ser amparada con un contrato de seguro</w:t>
      </w:r>
      <w:r>
        <w:rPr>
          <w:rFonts w:ascii="Verdana" w:hAnsi="Verdana" w:cs="Arial"/>
          <w:color w:val="000000" w:themeColor="text1"/>
          <w:sz w:val="15"/>
          <w:szCs w:val="15"/>
          <w:shd w:val="clear" w:color="auto" w:fill="FFFFFF"/>
        </w:rPr>
        <w:t>”</w:t>
      </w:r>
      <w:r w:rsidRPr="00D36066">
        <w:rPr>
          <w:rFonts w:ascii="Verdana" w:hAnsi="Verdana" w:cs="Arial"/>
          <w:color w:val="000000" w:themeColor="text1"/>
          <w:sz w:val="15"/>
          <w:szCs w:val="15"/>
          <w:shd w:val="clear" w:color="auto" w:fill="FFFFFF"/>
        </w:rPr>
        <w:t>.</w:t>
      </w:r>
    </w:p>
  </w:footnote>
  <w:footnote w:id="11">
    <w:p w14:paraId="6365F8AB" w14:textId="77777777" w:rsidR="00D11F21" w:rsidRPr="00D36066" w:rsidRDefault="00D11F21" w:rsidP="00D11F21">
      <w:pPr>
        <w:shd w:val="clear" w:color="auto" w:fill="FFFFFF"/>
        <w:snapToGrid w:val="0"/>
        <w:spacing w:after="0" w:line="240" w:lineRule="auto"/>
        <w:ind w:firstLine="709"/>
        <w:contextualSpacing/>
        <w:jc w:val="both"/>
        <w:rPr>
          <w:rFonts w:ascii="Verdana" w:eastAsia="Times New Roman" w:hAnsi="Verdana" w:cs="Arial"/>
          <w:color w:val="000000" w:themeColor="text1"/>
          <w:sz w:val="15"/>
          <w:szCs w:val="15"/>
          <w:lang w:eastAsia="es-CO"/>
        </w:rPr>
      </w:pPr>
      <w:r w:rsidRPr="00D36066">
        <w:rPr>
          <w:rStyle w:val="Refdenotaalpie"/>
          <w:rFonts w:ascii="Verdana" w:hAnsi="Verdana" w:cs="Arial"/>
          <w:color w:val="000000" w:themeColor="text1"/>
          <w:sz w:val="15"/>
          <w:szCs w:val="15"/>
        </w:rPr>
        <w:footnoteRef/>
      </w:r>
      <w:r w:rsidRPr="00D36066">
        <w:rPr>
          <w:rFonts w:ascii="Verdana" w:hAnsi="Verdana" w:cs="Arial"/>
          <w:color w:val="000000" w:themeColor="text1"/>
          <w:sz w:val="15"/>
          <w:szCs w:val="15"/>
        </w:rPr>
        <w:t xml:space="preserve"> Decreto 1082 de 2015: </w:t>
      </w:r>
      <w:r>
        <w:rPr>
          <w:rFonts w:ascii="Verdana" w:hAnsi="Verdana" w:cs="Arial"/>
          <w:color w:val="000000" w:themeColor="text1"/>
          <w:sz w:val="15"/>
          <w:szCs w:val="15"/>
        </w:rPr>
        <w:t>“</w:t>
      </w:r>
      <w:r w:rsidRPr="00D36066">
        <w:rPr>
          <w:rFonts w:ascii="Verdana" w:hAnsi="Verdana" w:cs="Arial"/>
          <w:color w:val="000000" w:themeColor="text1"/>
          <w:sz w:val="15"/>
          <w:szCs w:val="15"/>
        </w:rPr>
        <w:t>Artículo</w:t>
      </w:r>
      <w:r w:rsidRPr="00D36066">
        <w:rPr>
          <w:rFonts w:ascii="Verdana" w:eastAsia="Times New Roman" w:hAnsi="Verdana" w:cs="Arial"/>
          <w:b/>
          <w:bCs/>
          <w:color w:val="000000" w:themeColor="text1"/>
          <w:sz w:val="15"/>
          <w:szCs w:val="15"/>
          <w:lang w:eastAsia="es-CO"/>
        </w:rPr>
        <w:t> </w:t>
      </w:r>
      <w:bookmarkStart w:id="9" w:name="2.2.1.2.3.1.8"/>
      <w:bookmarkEnd w:id="9"/>
      <w:r w:rsidRPr="00D36066">
        <w:rPr>
          <w:rFonts w:ascii="Verdana" w:eastAsia="Times New Roman" w:hAnsi="Verdana" w:cs="Arial"/>
          <w:color w:val="000000" w:themeColor="text1"/>
          <w:sz w:val="15"/>
          <w:szCs w:val="15"/>
          <w:lang w:eastAsia="es-CO"/>
        </w:rPr>
        <w:t>2.2.1.2.3.1.8.</w:t>
      </w:r>
      <w:r w:rsidRPr="00D36066">
        <w:rPr>
          <w:rFonts w:ascii="Verdana" w:eastAsia="Times New Roman" w:hAnsi="Verdana" w:cs="Arial"/>
          <w:i/>
          <w:iCs/>
          <w:color w:val="000000" w:themeColor="text1"/>
          <w:sz w:val="15"/>
          <w:szCs w:val="15"/>
          <w:lang w:eastAsia="es-CO"/>
        </w:rPr>
        <w:t> Cubrimiento de la responsabilidad civil extracontractual.</w:t>
      </w:r>
      <w:r w:rsidRPr="00D36066">
        <w:rPr>
          <w:rFonts w:ascii="Verdana" w:eastAsia="Times New Roman" w:hAnsi="Verdana" w:cs="Arial"/>
          <w:color w:val="000000" w:themeColor="text1"/>
          <w:sz w:val="15"/>
          <w:szCs w:val="15"/>
          <w:lang w:eastAsia="es-CO"/>
        </w:rPr>
        <w:t> La Entidad Estatal debe exigir en los contratos de obra, y en aquellos en que por su objeto o naturaleza lo considere necesario con ocasión de los Riesgos del contrato, el otorgamiento de una póliza de responsabilidad civil extracontractual que la proteja de eventuales reclamaciones de terceros derivadas de la responsabilidad extracontractual que surja de las actuaciones, hechos u omisiones de su contratista.</w:t>
      </w:r>
    </w:p>
    <w:p w14:paraId="5A019FD2" w14:textId="77777777" w:rsidR="00D11F21" w:rsidRPr="00D36066" w:rsidRDefault="00D11F21" w:rsidP="00D11F21">
      <w:pPr>
        <w:shd w:val="clear" w:color="auto" w:fill="FFFFFF"/>
        <w:snapToGrid w:val="0"/>
        <w:spacing w:after="0" w:line="240" w:lineRule="auto"/>
        <w:ind w:firstLine="709"/>
        <w:contextualSpacing/>
        <w:jc w:val="both"/>
        <w:rPr>
          <w:rFonts w:ascii="Verdana" w:eastAsia="Times New Roman" w:hAnsi="Verdana" w:cs="Arial"/>
          <w:color w:val="000000" w:themeColor="text1"/>
          <w:sz w:val="15"/>
          <w:szCs w:val="15"/>
          <w:lang w:eastAsia="es-CO"/>
        </w:rPr>
      </w:pPr>
      <w:r w:rsidRPr="00D36066">
        <w:rPr>
          <w:rFonts w:ascii="Verdana" w:eastAsia="Times New Roman" w:hAnsi="Verdana" w:cs="Arial"/>
          <w:color w:val="000000" w:themeColor="text1"/>
          <w:sz w:val="15"/>
          <w:szCs w:val="15"/>
          <w:lang w:eastAsia="es-CO"/>
        </w:rPr>
        <w:t>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r>
        <w:rPr>
          <w:rFonts w:ascii="Verdana" w:eastAsia="Times New Roman" w:hAnsi="Verdana" w:cs="Arial"/>
          <w:color w:val="000000" w:themeColor="text1"/>
          <w:sz w:val="15"/>
          <w:szCs w:val="15"/>
          <w:lang w:eastAsia="es-CO"/>
        </w:rPr>
        <w:t>”</w:t>
      </w:r>
      <w:r w:rsidRPr="00D36066">
        <w:rPr>
          <w:rFonts w:ascii="Verdana" w:eastAsia="Times New Roman" w:hAnsi="Verdana" w:cs="Arial"/>
          <w:color w:val="000000" w:themeColor="text1"/>
          <w:sz w:val="15"/>
          <w:szCs w:val="15"/>
          <w:lang w:eastAsia="es-CO"/>
        </w:rPr>
        <w:t>.</w:t>
      </w:r>
    </w:p>
    <w:p w14:paraId="0B5D241E" w14:textId="77777777" w:rsidR="00D11F21" w:rsidRPr="00D36066" w:rsidRDefault="00D11F21" w:rsidP="00D11F21">
      <w:pPr>
        <w:pStyle w:val="Textonotapie"/>
        <w:jc w:val="both"/>
        <w:rPr>
          <w:rFonts w:ascii="Verdana" w:hAnsi="Verdana" w:cs="Arial"/>
          <w:color w:val="000000" w:themeColor="text1"/>
          <w:sz w:val="15"/>
          <w:szCs w:val="15"/>
          <w:lang w:val="es-ES"/>
        </w:rPr>
      </w:pPr>
    </w:p>
  </w:footnote>
  <w:footnote w:id="12">
    <w:p w14:paraId="0F3F4ACC" w14:textId="77777777" w:rsidR="00D11F21" w:rsidRPr="00D36066" w:rsidRDefault="00D11F21" w:rsidP="00D11F21">
      <w:pPr>
        <w:pStyle w:val="Textonotapie"/>
        <w:ind w:firstLine="708"/>
        <w:jc w:val="both"/>
        <w:rPr>
          <w:rFonts w:ascii="Verdana" w:hAnsi="Verdana"/>
          <w:sz w:val="15"/>
          <w:szCs w:val="15"/>
          <w:lang w:val="es-ES"/>
        </w:rPr>
      </w:pPr>
      <w:r w:rsidRPr="00D36066">
        <w:rPr>
          <w:rStyle w:val="Refdenotaalpie"/>
          <w:rFonts w:ascii="Verdana" w:hAnsi="Verdana"/>
          <w:sz w:val="15"/>
          <w:szCs w:val="15"/>
        </w:rPr>
        <w:footnoteRef/>
      </w:r>
      <w:r w:rsidRPr="00D36066">
        <w:rPr>
          <w:rFonts w:ascii="Verdana" w:hAnsi="Verdana"/>
          <w:sz w:val="15"/>
          <w:szCs w:val="15"/>
        </w:rPr>
        <w:t xml:space="preserve"> </w:t>
      </w:r>
      <w:r w:rsidRPr="00D36066">
        <w:rPr>
          <w:rFonts w:ascii="Verdana" w:hAnsi="Verdana"/>
          <w:sz w:val="15"/>
          <w:szCs w:val="15"/>
          <w:lang w:val="es-ES"/>
        </w:rPr>
        <w:t xml:space="preserve">Agencia Nacional de Contratación Pública. </w:t>
      </w:r>
      <w:r w:rsidRPr="00D36066">
        <w:rPr>
          <w:rFonts w:ascii="Verdana" w:hAnsi="Verdana"/>
          <w:sz w:val="15"/>
          <w:szCs w:val="15"/>
          <w:lang w:val="es-CO"/>
        </w:rPr>
        <w:t>Guía de garantías en Procesos de Contratación. Disponible en: https://www.colombiacompra.gov.co/wp-content/uploads/2024/08/2016-Guia-de-garantias-en-Procesos-de-Contratacion-G-GPC-01.pdf</w:t>
      </w:r>
    </w:p>
  </w:footnote>
  <w:footnote w:id="13">
    <w:p w14:paraId="0A253AEC" w14:textId="77777777" w:rsidR="00D11F21" w:rsidRPr="00D36066" w:rsidRDefault="00D11F21" w:rsidP="00D11F21">
      <w:pPr>
        <w:spacing w:line="240" w:lineRule="auto"/>
        <w:ind w:firstLine="708"/>
        <w:jc w:val="both"/>
        <w:rPr>
          <w:rFonts w:ascii="Verdana" w:hAnsi="Verdana" w:cs="Arial"/>
          <w:sz w:val="15"/>
          <w:szCs w:val="15"/>
        </w:rPr>
      </w:pPr>
      <w:r w:rsidRPr="00D36066">
        <w:rPr>
          <w:rStyle w:val="Refdenotaalpie"/>
          <w:rFonts w:ascii="Verdana" w:hAnsi="Verdana" w:cs="Arial"/>
          <w:sz w:val="15"/>
          <w:szCs w:val="15"/>
        </w:rPr>
        <w:footnoteRef/>
      </w:r>
      <w:r w:rsidRPr="00D36066">
        <w:rPr>
          <w:rFonts w:ascii="Verdana" w:hAnsi="Verdana" w:cs="Arial"/>
          <w:sz w:val="15"/>
          <w:szCs w:val="15"/>
        </w:rPr>
        <w:t xml:space="preserve"> En relación con esta exigencia, el inciso segundo del artículo 2.2.1.2.3.1.8. establece que: «La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5pt;height:1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E4177"/>
    <w:rsid w:val="001F7DC6"/>
    <w:rsid w:val="00205E4E"/>
    <w:rsid w:val="002421BB"/>
    <w:rsid w:val="0025796E"/>
    <w:rsid w:val="002707A2"/>
    <w:rsid w:val="00283F8C"/>
    <w:rsid w:val="002951A0"/>
    <w:rsid w:val="002962BC"/>
    <w:rsid w:val="002A093D"/>
    <w:rsid w:val="002A0DD0"/>
    <w:rsid w:val="002A49AC"/>
    <w:rsid w:val="002A4B67"/>
    <w:rsid w:val="002A64FD"/>
    <w:rsid w:val="002C7A84"/>
    <w:rsid w:val="002E4FD9"/>
    <w:rsid w:val="00322A85"/>
    <w:rsid w:val="00324168"/>
    <w:rsid w:val="003448F4"/>
    <w:rsid w:val="00374F5E"/>
    <w:rsid w:val="00377E3E"/>
    <w:rsid w:val="003A779E"/>
    <w:rsid w:val="003B3FCC"/>
    <w:rsid w:val="003D0F4D"/>
    <w:rsid w:val="003D5B0D"/>
    <w:rsid w:val="003E0499"/>
    <w:rsid w:val="003F3941"/>
    <w:rsid w:val="00406575"/>
    <w:rsid w:val="00414C74"/>
    <w:rsid w:val="0042722E"/>
    <w:rsid w:val="0044528D"/>
    <w:rsid w:val="004A1847"/>
    <w:rsid w:val="004A305D"/>
    <w:rsid w:val="004D0741"/>
    <w:rsid w:val="004F21C4"/>
    <w:rsid w:val="004F685F"/>
    <w:rsid w:val="0053744B"/>
    <w:rsid w:val="00555B8E"/>
    <w:rsid w:val="005566E8"/>
    <w:rsid w:val="00574867"/>
    <w:rsid w:val="00591460"/>
    <w:rsid w:val="005C3777"/>
    <w:rsid w:val="005C5CDC"/>
    <w:rsid w:val="005D476C"/>
    <w:rsid w:val="00602694"/>
    <w:rsid w:val="006219F8"/>
    <w:rsid w:val="006302F7"/>
    <w:rsid w:val="00640983"/>
    <w:rsid w:val="00665D70"/>
    <w:rsid w:val="006900D9"/>
    <w:rsid w:val="006A760C"/>
    <w:rsid w:val="006C156F"/>
    <w:rsid w:val="00706C16"/>
    <w:rsid w:val="0070719C"/>
    <w:rsid w:val="0073785A"/>
    <w:rsid w:val="00756841"/>
    <w:rsid w:val="007649AB"/>
    <w:rsid w:val="00771D0C"/>
    <w:rsid w:val="007833AC"/>
    <w:rsid w:val="00787B0D"/>
    <w:rsid w:val="007B268C"/>
    <w:rsid w:val="007B7171"/>
    <w:rsid w:val="007C0C0F"/>
    <w:rsid w:val="007C3DC2"/>
    <w:rsid w:val="007C4C52"/>
    <w:rsid w:val="007E5497"/>
    <w:rsid w:val="00806F5F"/>
    <w:rsid w:val="00820278"/>
    <w:rsid w:val="00860AEE"/>
    <w:rsid w:val="00864705"/>
    <w:rsid w:val="00867F95"/>
    <w:rsid w:val="008843B6"/>
    <w:rsid w:val="00891928"/>
    <w:rsid w:val="00897A3A"/>
    <w:rsid w:val="008A446D"/>
    <w:rsid w:val="008C25D7"/>
    <w:rsid w:val="008D180B"/>
    <w:rsid w:val="008F0EA7"/>
    <w:rsid w:val="0092184B"/>
    <w:rsid w:val="00923EEF"/>
    <w:rsid w:val="009419F9"/>
    <w:rsid w:val="0095685E"/>
    <w:rsid w:val="0096113C"/>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AE7C1A"/>
    <w:rsid w:val="00B00C0E"/>
    <w:rsid w:val="00B01B1A"/>
    <w:rsid w:val="00B213E1"/>
    <w:rsid w:val="00B44A47"/>
    <w:rsid w:val="00B72CD3"/>
    <w:rsid w:val="00B72FFF"/>
    <w:rsid w:val="00BA0309"/>
    <w:rsid w:val="00BC3D36"/>
    <w:rsid w:val="00BD7F72"/>
    <w:rsid w:val="00C04FB3"/>
    <w:rsid w:val="00C330EB"/>
    <w:rsid w:val="00C754BE"/>
    <w:rsid w:val="00C76B1C"/>
    <w:rsid w:val="00CB6357"/>
    <w:rsid w:val="00CC1B26"/>
    <w:rsid w:val="00CE2334"/>
    <w:rsid w:val="00D11F21"/>
    <w:rsid w:val="00D379F9"/>
    <w:rsid w:val="00D423A2"/>
    <w:rsid w:val="00D520D8"/>
    <w:rsid w:val="00D62755"/>
    <w:rsid w:val="00D63AC2"/>
    <w:rsid w:val="00D7383B"/>
    <w:rsid w:val="00DA231B"/>
    <w:rsid w:val="00DA3D34"/>
    <w:rsid w:val="00DC39FC"/>
    <w:rsid w:val="00DF5254"/>
    <w:rsid w:val="00E16408"/>
    <w:rsid w:val="00E20894"/>
    <w:rsid w:val="00E245AB"/>
    <w:rsid w:val="00E2764C"/>
    <w:rsid w:val="00E27F2E"/>
    <w:rsid w:val="00E455DD"/>
    <w:rsid w:val="00E50AFE"/>
    <w:rsid w:val="00E75C92"/>
    <w:rsid w:val="00E771DC"/>
    <w:rsid w:val="00E875AB"/>
    <w:rsid w:val="00E8772A"/>
    <w:rsid w:val="00E90F6B"/>
    <w:rsid w:val="00E92C27"/>
    <w:rsid w:val="00EA0E3D"/>
    <w:rsid w:val="00EC38A7"/>
    <w:rsid w:val="00EE1AA8"/>
    <w:rsid w:val="00F31EDC"/>
    <w:rsid w:val="00F34AD5"/>
    <w:rsid w:val="00F462B3"/>
    <w:rsid w:val="00F5664F"/>
    <w:rsid w:val="00F666C4"/>
    <w:rsid w:val="00F76AFC"/>
    <w:rsid w:val="00FA47C0"/>
    <w:rsid w:val="00FB5DD1"/>
    <w:rsid w:val="00FC2B5D"/>
    <w:rsid w:val="00FD4C63"/>
    <w:rsid w:val="00FD6F78"/>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11F21"/>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eyita201527@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purl.org/dc/dcmitype/"/>
    <ds:schemaRef ds:uri="http://schemas.microsoft.com/office/infopath/2007/PartnerControls"/>
    <ds:schemaRef ds:uri="http://purl.org/dc/terms/"/>
    <ds:schemaRef ds:uri="9d85dbaf-23eb-4e57-a637-93dcacc8b1a1"/>
    <ds:schemaRef ds:uri="a6cb9e4b-f1d1-4245-83ec-6cad768d538a"/>
    <ds:schemaRef ds:uri="http://purl.org/dc/elements/1.1/"/>
    <ds:schemaRef ds:uri="http://schemas.microsoft.com/office/2006/documentManagement/type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A7D4466-BE03-40A7-9F67-9205B6DD18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11</Pages>
  <Words>3192</Words>
  <Characters>17560</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2025-10-21T15:13:00Z</dcterms:created>
  <dcterms:modified xsi:type="dcterms:W3CDTF">2025-10-21T15:13:00Z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