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E987" w14:textId="1999A0EF" w:rsidR="009F7B50" w:rsidRDefault="009F7B50" w:rsidP="00AF77BC">
      <w:pPr>
        <w:rPr>
          <w:rFonts w:ascii="Verdana" w:hAnsi="Verdana" w:cs="Arial"/>
          <w:b/>
          <w:color w:val="000000" w:themeColor="text1"/>
          <w:lang w:val="es-ES_tradnl"/>
        </w:rPr>
      </w:pPr>
      <w:bookmarkStart w:id="0" w:name="_Hlk143780582"/>
      <w:r w:rsidRPr="009F7B50">
        <w:rPr>
          <w:rFonts w:ascii="Verdana" w:hAnsi="Verdana" w:cs="Arial"/>
          <w:b/>
          <w:color w:val="000000" w:themeColor="text1"/>
          <w:lang w:val="es-ES_tradnl"/>
        </w:rPr>
        <w:t>LEY DE GARANTÍAS ELECTORALES ‒ Finalidad</w:t>
      </w:r>
    </w:p>
    <w:p w14:paraId="234F9BA0" w14:textId="77B4E000" w:rsidR="009F7B50" w:rsidRDefault="009F7B50" w:rsidP="009F7B50">
      <w:pPr>
        <w:jc w:val="both"/>
        <w:rPr>
          <w:rFonts w:ascii="Verdana" w:hAnsi="Verdana" w:cs="Arial"/>
          <w:b/>
          <w:color w:val="000000" w:themeColor="text1"/>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p>
    <w:p w14:paraId="0FE3284B" w14:textId="216A7F11" w:rsidR="009F7B50" w:rsidRDefault="009F7B50" w:rsidP="009F7B50">
      <w:pPr>
        <w:jc w:val="both"/>
        <w:rPr>
          <w:rFonts w:ascii="Verdana" w:hAnsi="Verdana" w:cs="Arial"/>
          <w:b/>
          <w:color w:val="000000" w:themeColor="text1"/>
          <w:lang w:val="es-ES_tradnl"/>
        </w:rPr>
      </w:pPr>
      <w:r w:rsidRPr="009F7B50">
        <w:rPr>
          <w:rFonts w:ascii="Verdana" w:hAnsi="Verdana" w:cs="Arial"/>
          <w:b/>
          <w:color w:val="000000" w:themeColor="text1"/>
          <w:lang w:val="es-ES_tradnl"/>
        </w:rPr>
        <w:t xml:space="preserve">LEY DE GARANTÍAS ELECTORALES ‒ Tipos de restricciones – Articulo 38 – Contrato de Prestación de Servicios </w:t>
      </w:r>
      <w:r>
        <w:rPr>
          <w:rFonts w:ascii="Verdana" w:hAnsi="Verdana" w:cs="Arial"/>
          <w:b/>
          <w:color w:val="000000" w:themeColor="text1"/>
          <w:lang w:val="es-ES_tradnl"/>
        </w:rPr>
        <w:t>–</w:t>
      </w:r>
      <w:r w:rsidRPr="009F7B50">
        <w:rPr>
          <w:rFonts w:ascii="Verdana" w:hAnsi="Verdana" w:cs="Arial"/>
          <w:b/>
          <w:color w:val="000000" w:themeColor="text1"/>
          <w:lang w:val="es-ES_tradnl"/>
        </w:rPr>
        <w:t xml:space="preserve"> Aplicación</w:t>
      </w:r>
    </w:p>
    <w:p w14:paraId="0D996F3E" w14:textId="77777777" w:rsidR="009F7B50" w:rsidRPr="009F7B50" w:rsidRDefault="009F7B50" w:rsidP="009F7B50">
      <w:pPr>
        <w:widowControl w:val="0"/>
        <w:autoSpaceDE w:val="0"/>
        <w:autoSpaceDN w:val="0"/>
        <w:spacing w:line="276" w:lineRule="auto"/>
        <w:ind w:right="176"/>
        <w:jc w:val="both"/>
        <w:rPr>
          <w:rFonts w:ascii="Verdana" w:hAnsi="Verdana"/>
        </w:rPr>
      </w:pPr>
      <w:r w:rsidRPr="009F7B50">
        <w:rPr>
          <w:rFonts w:ascii="Verdana" w:hAnsi="Verdana"/>
        </w:rPr>
        <w:t>El parágrafo del artículo 38 de la Ley 996 de 2005 establece de manera expresa y taxativa que, durante los cuatro (4) meses anteriores a las elecciones, los gobernadores, alcaldes municipales o distritales, secretarios, gerentes y directores de entidades descentralizadas del orden municipal, departamental o distrital, tienen prohibido celebrar convenios y contratos interadministrativos para la ejecución de recursos públicos.</w:t>
      </w:r>
    </w:p>
    <w:p w14:paraId="524D5C9D" w14:textId="77777777" w:rsidR="009F7B50" w:rsidRPr="009F7B50" w:rsidRDefault="009F7B50" w:rsidP="009F7B50">
      <w:pPr>
        <w:widowControl w:val="0"/>
        <w:autoSpaceDE w:val="0"/>
        <w:autoSpaceDN w:val="0"/>
        <w:spacing w:line="276" w:lineRule="auto"/>
        <w:ind w:right="176"/>
        <w:jc w:val="both"/>
        <w:rPr>
          <w:rFonts w:ascii="Verdana" w:hAnsi="Verdana"/>
        </w:rPr>
      </w:pPr>
      <w:r w:rsidRPr="009F7B50">
        <w:rPr>
          <w:rFonts w:ascii="Verdana" w:hAnsi="Verdana"/>
        </w:rPr>
        <w:t>Dado el carácter restrictivo y excepcional de esta limitación, conforme al principio de interpretación estricta de las normas que establecen prohibiciones o limitaciones al ejercicio de funciones administrativas, su alcance debe ceñirse exclusivamente a la tipología contractual expresamente señalada en la norma. En consecuencia, la prohibición contenida en el artículo 38 no se extiende a otros tipos contractuales, incluso si estos se celebren bajo la modalidad de selección directa, como sucede con los contratos de prestación de servicios, de suministro u otros, siempre que no configuren convenios interadministrativos.</w:t>
      </w:r>
    </w:p>
    <w:p w14:paraId="239F34DF" w14:textId="77777777" w:rsidR="009F7B50" w:rsidRPr="009F7B50" w:rsidRDefault="009F7B50" w:rsidP="009F7B50">
      <w:pPr>
        <w:jc w:val="both"/>
        <w:rPr>
          <w:rFonts w:ascii="Verdana" w:hAnsi="Verdana" w:cs="Arial"/>
          <w:b/>
          <w:color w:val="000000" w:themeColor="text1"/>
        </w:rPr>
      </w:pPr>
    </w:p>
    <w:p w14:paraId="15C99BBB" w14:textId="77777777" w:rsidR="009F7B50" w:rsidRPr="009F7B50" w:rsidRDefault="009F7B50" w:rsidP="00AF77BC">
      <w:pPr>
        <w:rPr>
          <w:rFonts w:ascii="Verdana" w:eastAsia="Times New Roman" w:hAnsi="Verdana" w:cs="Arial"/>
          <w:b/>
          <w:lang w:eastAsia="es-ES_tradnl"/>
        </w:rPr>
      </w:pPr>
    </w:p>
    <w:p w14:paraId="15A2F661" w14:textId="77777777" w:rsidR="009F7B50" w:rsidRDefault="009F7B50" w:rsidP="00AF77BC">
      <w:pPr>
        <w:rPr>
          <w:rFonts w:ascii="Verdana" w:eastAsia="Times New Roman" w:hAnsi="Verdana" w:cs="Arial"/>
          <w:lang w:eastAsia="es-ES_tradnl"/>
        </w:rPr>
      </w:pPr>
    </w:p>
    <w:p w14:paraId="57ED547A" w14:textId="77777777" w:rsidR="009F7B50" w:rsidRDefault="009F7B50" w:rsidP="00AF77BC">
      <w:pPr>
        <w:rPr>
          <w:rFonts w:ascii="Verdana" w:eastAsia="Times New Roman" w:hAnsi="Verdana" w:cs="Arial"/>
          <w:lang w:eastAsia="es-ES_tradnl"/>
        </w:rPr>
      </w:pPr>
    </w:p>
    <w:p w14:paraId="5D9258C6" w14:textId="77777777" w:rsidR="009F7B50" w:rsidRDefault="009F7B50" w:rsidP="00AF77BC">
      <w:pPr>
        <w:rPr>
          <w:rFonts w:ascii="Verdana" w:eastAsia="Times New Roman" w:hAnsi="Verdana" w:cs="Arial"/>
          <w:lang w:eastAsia="es-ES_tradnl"/>
        </w:rPr>
      </w:pPr>
    </w:p>
    <w:p w14:paraId="6EB7A2D2" w14:textId="77777777" w:rsidR="007F5CB2" w:rsidRDefault="007F5CB2" w:rsidP="00AF77BC">
      <w:pPr>
        <w:rPr>
          <w:rFonts w:ascii="Verdana" w:eastAsia="Times New Roman" w:hAnsi="Verdana" w:cs="Arial"/>
          <w:lang w:eastAsia="es-ES_tradnl"/>
        </w:rPr>
      </w:pPr>
    </w:p>
    <w:p w14:paraId="322B77EC" w14:textId="11362B7A" w:rsidR="00AF77BC" w:rsidRPr="006F44C3" w:rsidRDefault="00AF77BC" w:rsidP="00AF77BC">
      <w:pPr>
        <w:rPr>
          <w:rFonts w:ascii="Verdana" w:eastAsia="Times New Roman" w:hAnsi="Verdana" w:cs="Times New Roman"/>
          <w:lang w:eastAsia="es-ES"/>
        </w:rPr>
      </w:pPr>
      <w:r w:rsidRPr="00093B55">
        <w:rPr>
          <w:rFonts w:ascii="Verdana" w:eastAsia="Times New Roman" w:hAnsi="Verdana" w:cs="Arial"/>
          <w:lang w:eastAsia="es-ES_tradnl"/>
        </w:rPr>
        <w:t>Bogotá D.C., </w:t>
      </w:r>
      <w:r w:rsidR="009F7B50">
        <w:rPr>
          <w:rFonts w:ascii="Verdana" w:eastAsia="Times New Roman" w:hAnsi="Verdana" w:cs="Arial"/>
          <w:lang w:eastAsia="es-ES_tradnl"/>
        </w:rPr>
        <w:t>09</w:t>
      </w:r>
      <w:r w:rsidRPr="00093B55">
        <w:rPr>
          <w:rFonts w:ascii="Verdana" w:eastAsia="Times New Roman" w:hAnsi="Verdana" w:cs="Arial"/>
          <w:lang w:eastAsia="es-ES_tradnl"/>
        </w:rPr>
        <w:t xml:space="preserve"> de</w:t>
      </w:r>
      <w:r w:rsidR="009F7B50">
        <w:rPr>
          <w:rFonts w:ascii="Verdana" w:eastAsia="Times New Roman" w:hAnsi="Verdana" w:cs="Arial"/>
          <w:lang w:eastAsia="es-ES_tradnl"/>
        </w:rPr>
        <w:t xml:space="preserve"> octubre</w:t>
      </w:r>
      <w:r w:rsidRPr="00093B55">
        <w:rPr>
          <w:rFonts w:ascii="Verdana" w:eastAsia="Times New Roman" w:hAnsi="Verdana" w:cs="Arial"/>
          <w:lang w:eastAsia="es-ES_tradnl"/>
        </w:rPr>
        <w:t xml:space="preserve"> de </w:t>
      </w:r>
      <w:r w:rsidR="009F7B50">
        <w:rPr>
          <w:rFonts w:ascii="Verdana" w:eastAsia="Times New Roman" w:hAnsi="Verdana" w:cs="Arial"/>
          <w:lang w:eastAsia="es-ES_tradnl"/>
        </w:rPr>
        <w:t>2025</w:t>
      </w:r>
    </w:p>
    <w:p w14:paraId="13A95B44" w14:textId="77777777" w:rsidR="003A014F" w:rsidRPr="0044528D" w:rsidRDefault="003A014F" w:rsidP="003A014F">
      <w:pPr>
        <w:spacing w:after="0"/>
        <w:rPr>
          <w:rFonts w:ascii="Verdana" w:hAnsi="Verdana"/>
        </w:rPr>
      </w:pPr>
    </w:p>
    <w:p w14:paraId="631EFB0B" w14:textId="0C61D32A" w:rsidR="003A014F" w:rsidRPr="00031D15" w:rsidRDefault="00031D15" w:rsidP="003A014F">
      <w:pPr>
        <w:spacing w:after="0" w:line="240" w:lineRule="auto"/>
        <w:jc w:val="both"/>
        <w:rPr>
          <w:rFonts w:ascii="Verdana" w:eastAsia="Calibri" w:hAnsi="Verdana" w:cs="Arial"/>
          <w:lang w:eastAsia="es-ES"/>
        </w:rPr>
      </w:pPr>
      <w:r w:rsidRPr="00031D15">
        <w:rPr>
          <w:rFonts w:ascii="Verdana" w:eastAsia="Calibri" w:hAnsi="Verdana" w:cs="Arial"/>
          <w:lang w:eastAsia="es-ES"/>
        </w:rPr>
        <w:t>Doctora</w:t>
      </w:r>
    </w:p>
    <w:p w14:paraId="3691CFCE" w14:textId="05F99EE6" w:rsidR="003A014F" w:rsidRPr="009F7B50" w:rsidRDefault="00031D15" w:rsidP="003A014F">
      <w:pPr>
        <w:spacing w:after="0" w:line="240" w:lineRule="auto"/>
        <w:rPr>
          <w:rFonts w:ascii="Verdana" w:eastAsia="Calibri" w:hAnsi="Verdana" w:cs="Arial"/>
          <w:b/>
          <w:bCs/>
          <w:lang w:eastAsia="es-ES"/>
        </w:rPr>
      </w:pPr>
      <w:r w:rsidRPr="009F7B50">
        <w:rPr>
          <w:rFonts w:ascii="Verdana" w:eastAsia="Calibri" w:hAnsi="Verdana" w:cs="Arial"/>
          <w:b/>
          <w:bCs/>
          <w:lang w:eastAsia="es-ES"/>
        </w:rPr>
        <w:t>LUCERO LOPEZ MEDINA</w:t>
      </w:r>
    </w:p>
    <w:p w14:paraId="12DDE084" w14:textId="1888B3F4" w:rsidR="003A014F" w:rsidRPr="00AF77BC" w:rsidRDefault="00031D15" w:rsidP="003A014F">
      <w:pPr>
        <w:spacing w:after="0" w:line="240" w:lineRule="auto"/>
        <w:rPr>
          <w:rFonts w:ascii="Verdana" w:eastAsia="Calibri" w:hAnsi="Verdana" w:cs="Arial"/>
          <w:lang w:eastAsia="es-ES"/>
        </w:rPr>
      </w:pPr>
      <w:hyperlink r:id="rId10" w:history="1">
        <w:r w:rsidRPr="00AF77BC">
          <w:rPr>
            <w:rStyle w:val="Hipervnculo"/>
            <w:rFonts w:ascii="Verdana" w:hAnsi="Verdana"/>
          </w:rPr>
          <w:t>secretariasalud@guania.gov.co</w:t>
        </w:r>
      </w:hyperlink>
      <w:r w:rsidRPr="00AF77BC">
        <w:rPr>
          <w:rFonts w:ascii="Verdana" w:hAnsi="Verdana"/>
        </w:rPr>
        <w:t xml:space="preserve">; y </w:t>
      </w:r>
      <w:hyperlink r:id="rId11" w:history="1">
        <w:r w:rsidRPr="00AF77BC">
          <w:rPr>
            <w:rStyle w:val="Hipervnculo"/>
            <w:rFonts w:ascii="Verdana" w:hAnsi="Verdana"/>
          </w:rPr>
          <w:t>jurídica.salud@guania.gov.co</w:t>
        </w:r>
      </w:hyperlink>
      <w:r w:rsidRPr="00AF77BC">
        <w:rPr>
          <w:rFonts w:ascii="Verdana" w:hAnsi="Verdana"/>
        </w:rPr>
        <w:t xml:space="preserve">; </w:t>
      </w:r>
    </w:p>
    <w:p w14:paraId="64FAD0CA" w14:textId="404434ED" w:rsidR="003A014F" w:rsidRPr="00031D15" w:rsidRDefault="00031D15" w:rsidP="003A014F">
      <w:pPr>
        <w:spacing w:after="0" w:line="240" w:lineRule="auto"/>
        <w:rPr>
          <w:rFonts w:ascii="Verdana" w:hAnsi="Verdana" w:cs="ArialMT"/>
          <w:lang w:val="pt-PT"/>
        </w:rPr>
      </w:pPr>
      <w:r>
        <w:rPr>
          <w:rFonts w:ascii="Verdana" w:eastAsia="Calibri" w:hAnsi="Verdana" w:cs="Arial"/>
          <w:lang w:val="pt-PT" w:eastAsia="es-ES"/>
        </w:rPr>
        <w:t xml:space="preserve">Departamento de Guanía. </w:t>
      </w:r>
    </w:p>
    <w:p w14:paraId="0528AF00" w14:textId="77777777" w:rsidR="003A014F" w:rsidRPr="00031D15" w:rsidRDefault="003A014F" w:rsidP="003A014F">
      <w:pPr>
        <w:spacing w:after="0" w:line="240" w:lineRule="auto"/>
        <w:rPr>
          <w:rFonts w:ascii="Verdana" w:eastAsia="Calibri" w:hAnsi="Verdana" w:cs="Arial"/>
          <w:b/>
          <w:bCs/>
          <w:color w:val="000000"/>
          <w:lang w:val="pt-PT" w:eastAsia="es-ES_tradnl"/>
        </w:rPr>
      </w:pPr>
    </w:p>
    <w:p w14:paraId="04CE4FC5" w14:textId="54CCAA0F" w:rsidR="003A014F" w:rsidRPr="00031D15" w:rsidRDefault="009F7B50" w:rsidP="009F7B50">
      <w:pPr>
        <w:spacing w:after="0" w:line="240" w:lineRule="auto"/>
        <w:ind w:left="4956"/>
        <w:rPr>
          <w:rFonts w:ascii="Verdana" w:eastAsia="Calibri" w:hAnsi="Verdana" w:cs="Arial"/>
          <w:b/>
          <w:bCs/>
          <w:color w:val="000000"/>
          <w:lang w:val="pt-PT" w:eastAsia="es-ES_tradnl"/>
        </w:rPr>
      </w:pPr>
      <w:r w:rsidRPr="009F7B50">
        <w:rPr>
          <w:rFonts w:ascii="Verdana" w:eastAsia="Calibri" w:hAnsi="Verdana" w:cs="Arial"/>
          <w:b/>
          <w:bCs/>
          <w:noProof/>
          <w:color w:val="000000"/>
          <w:lang w:val="pt-PT" w:eastAsia="es-ES_tradnl"/>
        </w:rPr>
        <w:drawing>
          <wp:inline distT="0" distB="0" distL="0" distR="0" wp14:anchorId="4AA4D6CB" wp14:editId="30D0FF51">
            <wp:extent cx="2514951" cy="724001"/>
            <wp:effectExtent l="0" t="0" r="0" b="0"/>
            <wp:docPr id="6614807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480762" name=""/>
                    <pic:cNvPicPr/>
                  </pic:nvPicPr>
                  <pic:blipFill>
                    <a:blip r:embed="rId12"/>
                    <a:stretch>
                      <a:fillRect/>
                    </a:stretch>
                  </pic:blipFill>
                  <pic:spPr>
                    <a:xfrm>
                      <a:off x="0" y="0"/>
                      <a:ext cx="2514951" cy="724001"/>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3A014F" w:rsidRPr="00C53B42" w14:paraId="2CCF9E3E" w14:textId="77777777" w:rsidTr="00303129">
        <w:trPr>
          <w:trHeight w:val="218"/>
        </w:trPr>
        <w:tc>
          <w:tcPr>
            <w:tcW w:w="2175" w:type="dxa"/>
          </w:tcPr>
          <w:p w14:paraId="79D6F7F4" w14:textId="77777777" w:rsidR="003A014F" w:rsidRPr="00031D15" w:rsidRDefault="003A014F" w:rsidP="00303129">
            <w:pPr>
              <w:jc w:val="both"/>
              <w:rPr>
                <w:rFonts w:ascii="Verdana" w:eastAsia="Calibri" w:hAnsi="Verdana" w:cs="Arial"/>
                <w:b/>
                <w:bCs/>
                <w:color w:val="7030A0"/>
                <w:lang w:val="pt-PT" w:eastAsia="es-ES_tradnl"/>
              </w:rPr>
            </w:pPr>
          </w:p>
        </w:tc>
        <w:tc>
          <w:tcPr>
            <w:tcW w:w="6614" w:type="dxa"/>
            <w:hideMark/>
          </w:tcPr>
          <w:p w14:paraId="6174A8FD" w14:textId="77777777" w:rsidR="009F7B50" w:rsidRDefault="009F7B50" w:rsidP="00303129">
            <w:pPr>
              <w:jc w:val="both"/>
              <w:rPr>
                <w:rFonts w:ascii="Verdana" w:eastAsia="Calibri" w:hAnsi="Verdana" w:cs="Arial"/>
                <w:b/>
                <w:bCs/>
                <w:lang w:val="es-ES" w:eastAsia="es-ES"/>
              </w:rPr>
            </w:pPr>
          </w:p>
          <w:p w14:paraId="1A66477B" w14:textId="77777777" w:rsidR="009F7B50" w:rsidRDefault="009F7B50" w:rsidP="00303129">
            <w:pPr>
              <w:jc w:val="both"/>
              <w:rPr>
                <w:rFonts w:ascii="Verdana" w:eastAsia="Calibri" w:hAnsi="Verdana" w:cs="Arial"/>
                <w:b/>
                <w:bCs/>
                <w:lang w:val="es-ES" w:eastAsia="es-ES"/>
              </w:rPr>
            </w:pPr>
          </w:p>
          <w:p w14:paraId="46F33F1B" w14:textId="7EF393A9" w:rsidR="003A014F" w:rsidRPr="00C53B42" w:rsidRDefault="003A014F" w:rsidP="00303129">
            <w:pPr>
              <w:jc w:val="both"/>
              <w:rPr>
                <w:rFonts w:ascii="Verdana" w:eastAsia="Calibri" w:hAnsi="Verdana" w:cs="Arial"/>
                <w:b/>
                <w:bCs/>
                <w:lang w:val="es-ES" w:eastAsia="es-ES"/>
              </w:rPr>
            </w:pPr>
            <w:r w:rsidRPr="00AF77BC">
              <w:rPr>
                <w:rFonts w:ascii="Verdana" w:eastAsia="Calibri" w:hAnsi="Verdana" w:cs="Arial"/>
                <w:b/>
                <w:bCs/>
                <w:lang w:val="es-ES" w:eastAsia="es-ES"/>
              </w:rPr>
              <w:t>Concepto C- 1</w:t>
            </w:r>
            <w:r w:rsidR="00AF77BC" w:rsidRPr="00AF77BC">
              <w:rPr>
                <w:rFonts w:ascii="Verdana" w:eastAsia="Calibri" w:hAnsi="Verdana" w:cs="Arial"/>
                <w:b/>
                <w:bCs/>
                <w:lang w:val="es-ES" w:eastAsia="es-ES"/>
              </w:rPr>
              <w:t>302</w:t>
            </w:r>
            <w:r w:rsidRPr="00AF77BC">
              <w:rPr>
                <w:rFonts w:ascii="Verdana" w:eastAsia="Calibri" w:hAnsi="Verdana" w:cs="Arial"/>
                <w:b/>
                <w:bCs/>
                <w:lang w:val="es-ES" w:eastAsia="es-ES"/>
              </w:rPr>
              <w:t xml:space="preserve"> de 2025</w:t>
            </w:r>
          </w:p>
          <w:p w14:paraId="7CC8C533" w14:textId="77777777" w:rsidR="003A014F" w:rsidRPr="00C53B42" w:rsidRDefault="003A014F" w:rsidP="00303129">
            <w:pPr>
              <w:jc w:val="both"/>
              <w:rPr>
                <w:rFonts w:ascii="Verdana" w:eastAsia="Calibri" w:hAnsi="Verdana" w:cs="Arial"/>
                <w:b/>
                <w:bCs/>
                <w:lang w:val="es-ES" w:eastAsia="es-ES"/>
              </w:rPr>
            </w:pPr>
          </w:p>
          <w:p w14:paraId="3D421FED" w14:textId="77777777" w:rsidR="003A014F" w:rsidRPr="00C53B42" w:rsidRDefault="003A014F" w:rsidP="00303129">
            <w:pPr>
              <w:jc w:val="both"/>
              <w:rPr>
                <w:rFonts w:ascii="Verdana" w:eastAsia="Calibri" w:hAnsi="Verdana" w:cs="Arial"/>
                <w:b/>
                <w:bCs/>
                <w:lang w:val="es-ES" w:eastAsia="es-ES"/>
              </w:rPr>
            </w:pPr>
          </w:p>
        </w:tc>
      </w:tr>
      <w:tr w:rsidR="003A014F" w:rsidRPr="00C53B42" w14:paraId="7882CA8F" w14:textId="77777777" w:rsidTr="00303129">
        <w:trPr>
          <w:trHeight w:val="884"/>
        </w:trPr>
        <w:tc>
          <w:tcPr>
            <w:tcW w:w="2175" w:type="dxa"/>
            <w:hideMark/>
          </w:tcPr>
          <w:p w14:paraId="33F66D84" w14:textId="77777777" w:rsidR="003A014F" w:rsidRPr="00C53B42" w:rsidRDefault="003A014F" w:rsidP="00303129">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0FD43540" w14:textId="24955C1B" w:rsidR="003A014F" w:rsidRDefault="003A014F" w:rsidP="00303129">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sidR="004A2E18">
              <w:rPr>
                <w:rFonts w:ascii="Verdana" w:hAnsi="Verdana" w:cs="Arial"/>
                <w:bCs/>
                <w:color w:val="000000" w:themeColor="text1"/>
                <w:lang w:val="es-ES_tradnl"/>
              </w:rPr>
              <w:t>– Articulo 38 – Contrato de Prestación de Servicios - Aplicación</w:t>
            </w:r>
          </w:p>
          <w:p w14:paraId="5B0B98FD" w14:textId="77777777" w:rsidR="003A014F" w:rsidRDefault="003A014F" w:rsidP="00303129">
            <w:pPr>
              <w:jc w:val="both"/>
              <w:rPr>
                <w:rFonts w:ascii="Verdana" w:hAnsi="Verdana" w:cs="Arial"/>
                <w:bCs/>
                <w:color w:val="000000" w:themeColor="text1"/>
                <w:lang w:val="es-ES_tradnl"/>
              </w:rPr>
            </w:pPr>
          </w:p>
          <w:p w14:paraId="66F8F959" w14:textId="77777777" w:rsidR="003A014F" w:rsidRPr="00C53B42" w:rsidRDefault="003A014F" w:rsidP="00303129">
            <w:pPr>
              <w:jc w:val="both"/>
              <w:rPr>
                <w:rFonts w:ascii="Verdana" w:eastAsia="Calibri" w:hAnsi="Verdana" w:cs="Arial"/>
                <w:lang w:val="es-ES" w:eastAsia="es-ES"/>
              </w:rPr>
            </w:pPr>
          </w:p>
        </w:tc>
      </w:tr>
      <w:tr w:rsidR="003A014F" w14:paraId="48BC12A4" w14:textId="77777777" w:rsidTr="00303129">
        <w:tc>
          <w:tcPr>
            <w:tcW w:w="2175" w:type="dxa"/>
            <w:hideMark/>
          </w:tcPr>
          <w:p w14:paraId="4CA1BA1F" w14:textId="77777777" w:rsidR="003A014F" w:rsidRPr="004A2E18" w:rsidRDefault="003A014F" w:rsidP="00303129">
            <w:pPr>
              <w:jc w:val="both"/>
              <w:rPr>
                <w:rFonts w:ascii="Verdana" w:eastAsia="Calibri" w:hAnsi="Verdana" w:cs="Arial"/>
                <w:b/>
                <w:color w:val="7030A0"/>
                <w:lang w:val="es-ES_tradnl" w:eastAsia="es-ES_tradnl"/>
              </w:rPr>
            </w:pPr>
            <w:r w:rsidRPr="004A2E18">
              <w:rPr>
                <w:rFonts w:ascii="Verdana" w:eastAsia="Calibri" w:hAnsi="Verdana" w:cs="Arial"/>
                <w:b/>
                <w:lang w:val="es-ES_tradnl" w:eastAsia="es-ES_tradnl"/>
              </w:rPr>
              <w:t>Radicación:</w:t>
            </w:r>
            <w:r w:rsidRPr="004A2E18">
              <w:rPr>
                <w:rFonts w:ascii="Verdana" w:eastAsia="Calibri" w:hAnsi="Verdana" w:cs="Arial"/>
                <w:lang w:val="es-ES_tradnl" w:eastAsia="es-ES_tradnl"/>
              </w:rPr>
              <w:t xml:space="preserve">               </w:t>
            </w:r>
          </w:p>
        </w:tc>
        <w:tc>
          <w:tcPr>
            <w:tcW w:w="6614" w:type="dxa"/>
          </w:tcPr>
          <w:p w14:paraId="770817E6" w14:textId="77777777" w:rsidR="003A014F" w:rsidRPr="004A2E18" w:rsidRDefault="003A014F" w:rsidP="00303129">
            <w:pPr>
              <w:jc w:val="both"/>
              <w:rPr>
                <w:rFonts w:ascii="Verdana" w:eastAsia="Calibri" w:hAnsi="Verdana" w:cs="Arial"/>
                <w:lang w:val="es-ES_tradnl" w:eastAsia="es-ES_tradnl"/>
              </w:rPr>
            </w:pPr>
            <w:r w:rsidRPr="004A2E18">
              <w:rPr>
                <w:rFonts w:ascii="Verdana" w:eastAsia="Calibri" w:hAnsi="Verdana" w:cs="Arial"/>
                <w:lang w:val="es-ES_tradnl" w:eastAsia="es-ES_tradnl"/>
              </w:rPr>
              <w:t xml:space="preserve">Respuesta a consulta con radicado </w:t>
            </w:r>
            <w:proofErr w:type="gramStart"/>
            <w:r w:rsidRPr="004A2E18">
              <w:rPr>
                <w:rFonts w:ascii="Verdana" w:eastAsia="Calibri" w:hAnsi="Verdana" w:cs="Arial"/>
                <w:lang w:val="es-ES_tradnl" w:eastAsia="es-ES_tradnl"/>
              </w:rPr>
              <w:t xml:space="preserve">No.  </w:t>
            </w:r>
            <w:r w:rsidR="004A2E18" w:rsidRPr="004A2E18">
              <w:rPr>
                <w:rFonts w:ascii="Verdana" w:eastAsia="Calibri" w:hAnsi="Verdana" w:cs="Arial"/>
                <w:lang w:val="es-ES_tradnl" w:eastAsia="es-ES_tradnl"/>
              </w:rPr>
              <w:t>1</w:t>
            </w:r>
            <w:proofErr w:type="gramEnd"/>
            <w:r w:rsidR="004A2E18" w:rsidRPr="004A2E18">
              <w:rPr>
                <w:rFonts w:ascii="Verdana" w:eastAsia="Calibri" w:hAnsi="Verdana" w:cs="Arial"/>
                <w:lang w:val="es-ES_tradnl" w:eastAsia="es-ES_tradnl"/>
              </w:rPr>
              <w:t>_2025_09_11_009940</w:t>
            </w:r>
          </w:p>
          <w:p w14:paraId="62CC0A82" w14:textId="58BCB5F9" w:rsidR="004A2E18" w:rsidRPr="004A2E18" w:rsidRDefault="004A2E18" w:rsidP="00303129">
            <w:pPr>
              <w:jc w:val="both"/>
              <w:rPr>
                <w:rFonts w:ascii="Verdana" w:eastAsia="Calibri" w:hAnsi="Verdana" w:cs="Arial"/>
                <w:lang w:val="es-ES_tradnl" w:eastAsia="es-ES_tradnl"/>
              </w:rPr>
            </w:pPr>
          </w:p>
        </w:tc>
      </w:tr>
    </w:tbl>
    <w:p w14:paraId="7223E941" w14:textId="5ABA78CD" w:rsidR="003A014F" w:rsidRDefault="003A014F" w:rsidP="003A014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Estimada </w:t>
      </w:r>
      <w:r w:rsidR="004A2E18">
        <w:rPr>
          <w:rFonts w:ascii="Verdana" w:eastAsia="Calibri" w:hAnsi="Verdana" w:cs="Arial"/>
          <w:color w:val="000000" w:themeColor="text1"/>
          <w:lang w:val="es-ES" w:eastAsia="es-ES"/>
        </w:rPr>
        <w:t>doctora</w:t>
      </w:r>
      <w:r>
        <w:rPr>
          <w:rFonts w:ascii="Verdana" w:eastAsia="Calibri" w:hAnsi="Verdana" w:cs="Arial"/>
          <w:color w:val="000000" w:themeColor="text1"/>
          <w:lang w:val="es-ES" w:eastAsia="es-ES"/>
        </w:rPr>
        <w:t xml:space="preserve"> </w:t>
      </w:r>
      <w:r w:rsidR="004A2E18">
        <w:rPr>
          <w:rFonts w:ascii="Verdana" w:eastAsia="Calibri" w:hAnsi="Verdana" w:cs="Arial"/>
          <w:color w:val="000000" w:themeColor="text1"/>
          <w:lang w:val="es-ES" w:eastAsia="es-ES"/>
        </w:rPr>
        <w:t>López Medina</w:t>
      </w:r>
      <w:r>
        <w:rPr>
          <w:rFonts w:ascii="Verdana" w:eastAsia="Calibri" w:hAnsi="Verdana" w:cs="Arial"/>
          <w:color w:val="000000" w:themeColor="text1"/>
          <w:lang w:val="es-ES" w:eastAsia="es-ES"/>
        </w:rPr>
        <w:t>,</w:t>
      </w:r>
    </w:p>
    <w:p w14:paraId="66B84DFC" w14:textId="77777777" w:rsidR="003A014F" w:rsidRDefault="003A014F" w:rsidP="003A01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94A1A0" w14:textId="429225FD" w:rsidR="003A014F" w:rsidRDefault="003A014F" w:rsidP="003A014F">
      <w:pPr>
        <w:spacing w:after="0" w:line="276" w:lineRule="auto"/>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w:t>
      </w:r>
      <w:r w:rsidR="004A2E18">
        <w:rPr>
          <w:rFonts w:ascii="Verdana" w:eastAsia="Calibri" w:hAnsi="Verdana" w:cs="Arial"/>
          <w:lang w:val="es-ES" w:eastAsia="es-ES"/>
        </w:rPr>
        <w:t>11</w:t>
      </w:r>
      <w:r>
        <w:rPr>
          <w:rFonts w:ascii="Verdana" w:eastAsia="Calibri" w:hAnsi="Verdana" w:cs="Arial"/>
          <w:lang w:val="es-ES" w:eastAsia="es-ES"/>
        </w:rPr>
        <w:t xml:space="preserve"> de </w:t>
      </w:r>
      <w:r w:rsidR="004A2E18">
        <w:rPr>
          <w:rFonts w:ascii="Verdana" w:eastAsia="Calibri" w:hAnsi="Verdana" w:cs="Arial"/>
          <w:lang w:val="es-ES" w:eastAsia="es-ES"/>
        </w:rPr>
        <w:t>septiembre</w:t>
      </w:r>
      <w:r>
        <w:rPr>
          <w:rFonts w:ascii="Verdana" w:eastAsia="Calibri" w:hAnsi="Verdana" w:cs="Arial"/>
          <w:lang w:val="es-ES" w:eastAsia="es-ES"/>
        </w:rPr>
        <w:t xml:space="preserve"> de 2025, en la cual manifiesta lo siguiente: </w:t>
      </w:r>
    </w:p>
    <w:p w14:paraId="7229B1F2" w14:textId="77777777" w:rsidR="004A2E18" w:rsidRPr="004A2E18" w:rsidRDefault="004A2E18" w:rsidP="003A014F">
      <w:pPr>
        <w:spacing w:after="0" w:line="276" w:lineRule="auto"/>
        <w:jc w:val="both"/>
        <w:rPr>
          <w:rFonts w:ascii="Verdana" w:eastAsia="Calibri" w:hAnsi="Verdana" w:cs="Arial"/>
          <w:i/>
          <w:iCs/>
          <w:sz w:val="21"/>
          <w:szCs w:val="21"/>
          <w:lang w:val="es-ES" w:eastAsia="es-ES"/>
        </w:rPr>
      </w:pPr>
    </w:p>
    <w:p w14:paraId="62E8C97A" w14:textId="1A746EFD" w:rsidR="004A2E18" w:rsidRPr="004A2E18" w:rsidRDefault="004A2E18" w:rsidP="004A2E18">
      <w:pPr>
        <w:pStyle w:val="Prrafodelista"/>
        <w:numPr>
          <w:ilvl w:val="0"/>
          <w:numId w:val="20"/>
        </w:numPr>
        <w:spacing w:after="0" w:line="276" w:lineRule="auto"/>
        <w:jc w:val="both"/>
        <w:rPr>
          <w:rFonts w:ascii="Verdana" w:eastAsia="Calibri" w:hAnsi="Verdana" w:cs="Arial"/>
          <w:i/>
          <w:iCs/>
          <w:color w:val="000000" w:themeColor="text1"/>
          <w:sz w:val="21"/>
          <w:szCs w:val="21"/>
          <w:lang w:eastAsia="es-ES"/>
        </w:rPr>
      </w:pPr>
      <w:r w:rsidRPr="004A2E18">
        <w:rPr>
          <w:rFonts w:ascii="Verdana" w:eastAsia="Calibri" w:hAnsi="Verdana" w:cs="Arial"/>
          <w:i/>
          <w:iCs/>
          <w:color w:val="000000" w:themeColor="text1"/>
          <w:sz w:val="21"/>
          <w:szCs w:val="21"/>
          <w:lang w:eastAsia="es-ES"/>
        </w:rPr>
        <w:t>¿Los contratos de prestación de servicios están incluidos dentro de la restricción establecida en el parágrafo del articulo 38 de la ley 906 de 2005?</w:t>
      </w:r>
    </w:p>
    <w:p w14:paraId="4C954CD3" w14:textId="273CCEFE" w:rsidR="004A2E18" w:rsidRPr="004A2E18" w:rsidRDefault="004A2E18" w:rsidP="004A2E18">
      <w:pPr>
        <w:pStyle w:val="Prrafodelista"/>
        <w:numPr>
          <w:ilvl w:val="0"/>
          <w:numId w:val="20"/>
        </w:numPr>
        <w:spacing w:after="0" w:line="276" w:lineRule="auto"/>
        <w:jc w:val="both"/>
        <w:rPr>
          <w:rFonts w:ascii="Verdana" w:eastAsia="Calibri" w:hAnsi="Verdana" w:cs="Arial"/>
          <w:i/>
          <w:iCs/>
          <w:color w:val="000000" w:themeColor="text1"/>
          <w:sz w:val="21"/>
          <w:szCs w:val="21"/>
          <w:lang w:eastAsia="es-ES"/>
        </w:rPr>
      </w:pPr>
      <w:r w:rsidRPr="004A2E18">
        <w:rPr>
          <w:rFonts w:ascii="Verdana" w:eastAsia="Calibri" w:hAnsi="Verdana" w:cs="Arial"/>
          <w:i/>
          <w:iCs/>
          <w:color w:val="000000" w:themeColor="text1"/>
          <w:sz w:val="21"/>
          <w:szCs w:val="21"/>
          <w:lang w:eastAsia="es-ES"/>
        </w:rPr>
        <w:t>O, por el contrario, ¿dicha restricción, deberá ser aplicada únicamente en los términos establecidos en el articulo 33 de la ley 906 de 2005?</w:t>
      </w:r>
    </w:p>
    <w:p w14:paraId="5262DDB3" w14:textId="77777777" w:rsidR="003A014F" w:rsidRPr="00924340" w:rsidRDefault="003A014F" w:rsidP="004A2E18">
      <w:pPr>
        <w:autoSpaceDE w:val="0"/>
        <w:autoSpaceDN w:val="0"/>
        <w:adjustRightInd w:val="0"/>
        <w:spacing w:after="0" w:line="276" w:lineRule="auto"/>
        <w:ind w:right="616"/>
        <w:jc w:val="both"/>
        <w:rPr>
          <w:rFonts w:ascii="Verdana" w:eastAsia="Century Gothic" w:hAnsi="Verdana" w:cs="Century Gothic"/>
          <w:b/>
        </w:rPr>
      </w:pPr>
    </w:p>
    <w:p w14:paraId="35DFECE0" w14:textId="77777777" w:rsidR="003A014F" w:rsidRDefault="003A014F" w:rsidP="003A014F">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A8F26D6" w14:textId="77777777" w:rsidR="003A014F" w:rsidRDefault="003A014F" w:rsidP="003A014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0D1DB4D" w14:textId="77777777" w:rsidR="003A014F" w:rsidRDefault="003A014F" w:rsidP="003A014F">
      <w:pPr>
        <w:spacing w:after="0" w:line="276" w:lineRule="auto"/>
        <w:ind w:firstLine="709"/>
        <w:jc w:val="both"/>
        <w:rPr>
          <w:rFonts w:ascii="Verdana" w:eastAsia="Calibri" w:hAnsi="Verdana" w:cs="Arial"/>
          <w:color w:val="000000"/>
          <w:lang w:val="es-ES" w:eastAsia="es-ES"/>
        </w:rPr>
      </w:pPr>
    </w:p>
    <w:p w14:paraId="49091B57" w14:textId="77777777" w:rsidR="00346F48" w:rsidRDefault="00346F48" w:rsidP="00346F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7D6AA1F5" w14:textId="77777777" w:rsidR="00346F48" w:rsidRDefault="00346F48" w:rsidP="00346F48">
      <w:pPr>
        <w:tabs>
          <w:tab w:val="left" w:pos="426"/>
        </w:tabs>
        <w:spacing w:after="0" w:line="276" w:lineRule="auto"/>
        <w:jc w:val="both"/>
        <w:rPr>
          <w:rFonts w:ascii="Verdana" w:eastAsia="Century Gothic" w:hAnsi="Verdana" w:cs="Century Gothic"/>
          <w:lang w:val="es-ES"/>
        </w:rPr>
      </w:pPr>
    </w:p>
    <w:p w14:paraId="7ED42D89" w14:textId="2B050F68" w:rsidR="00346F48" w:rsidRPr="008B4B83" w:rsidRDefault="00346F48" w:rsidP="00346F48">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w:t>
      </w:r>
      <w:r w:rsidR="000159F4">
        <w:rPr>
          <w:rFonts w:ascii="Verdana" w:eastAsia="Century Gothic" w:hAnsi="Verdana" w:cs="Century Gothic"/>
        </w:rPr>
        <w:t>los</w:t>
      </w:r>
      <w:r>
        <w:rPr>
          <w:rFonts w:ascii="Verdana" w:eastAsia="Century Gothic" w:hAnsi="Verdana" w:cs="Century Gothic"/>
        </w:rPr>
        <w:t xml:space="preserve"> siguiente</w:t>
      </w:r>
      <w:r w:rsidR="000159F4">
        <w:rPr>
          <w:rFonts w:ascii="Verdana" w:eastAsia="Century Gothic" w:hAnsi="Verdana" w:cs="Century Gothic"/>
        </w:rPr>
        <w:t>s</w:t>
      </w:r>
      <w:r>
        <w:rPr>
          <w:rFonts w:ascii="Verdana" w:eastAsia="Century Gothic" w:hAnsi="Verdana" w:cs="Century Gothic"/>
        </w:rPr>
        <w:t xml:space="preserve"> problema</w:t>
      </w:r>
      <w:r w:rsidR="000159F4">
        <w:rPr>
          <w:rFonts w:ascii="Verdana" w:eastAsia="Century Gothic" w:hAnsi="Verdana" w:cs="Century Gothic"/>
        </w:rPr>
        <w:t>s</w:t>
      </w:r>
      <w:r>
        <w:rPr>
          <w:rFonts w:ascii="Verdana" w:eastAsia="Century Gothic" w:hAnsi="Verdana" w:cs="Century Gothic"/>
        </w:rPr>
        <w:t xml:space="preserve"> jurídico</w:t>
      </w:r>
      <w:r w:rsidR="000159F4">
        <w:rPr>
          <w:rFonts w:ascii="Verdana" w:eastAsia="Century Gothic" w:hAnsi="Verdana" w:cs="Century Gothic"/>
        </w:rPr>
        <w:t>s</w:t>
      </w:r>
      <w:r>
        <w:rPr>
          <w:rFonts w:ascii="Verdana" w:eastAsia="Century Gothic" w:hAnsi="Verdana" w:cs="Century Gothic"/>
        </w:rPr>
        <w:t xml:space="preserve">: </w:t>
      </w:r>
      <w:r w:rsidRPr="008B4B83">
        <w:rPr>
          <w:rFonts w:ascii="Verdana" w:eastAsia="Century Gothic" w:hAnsi="Verdana" w:cs="Century Gothic"/>
        </w:rPr>
        <w:t>En el marco de las próximas elecciones 1. ¿cuáles son las restricciones de la Ley de Garantías Electorales en materia de contratación para las Entidades Estatales</w:t>
      </w:r>
      <w:r w:rsidR="000159F4">
        <w:rPr>
          <w:rFonts w:ascii="Verdana" w:eastAsia="Century Gothic" w:hAnsi="Verdana" w:cs="Century Gothic"/>
        </w:rPr>
        <w:t xml:space="preserve"> 2. </w:t>
      </w:r>
      <w:r w:rsidR="000159F4" w:rsidRPr="000159F4">
        <w:rPr>
          <w:rFonts w:ascii="Verdana" w:eastAsia="Century Gothic" w:hAnsi="Verdana" w:cs="Century Gothic"/>
        </w:rPr>
        <w:t>¿Cuál es el calendario electoral aplicable para los comicios de 2026 en Colombia, en el cual debe operar la Ley de Garantías Electorales</w:t>
      </w:r>
      <w:r w:rsidR="00031D15">
        <w:rPr>
          <w:rFonts w:ascii="Verdana" w:eastAsia="Century Gothic" w:hAnsi="Verdana" w:cs="Century Gothic"/>
        </w:rPr>
        <w:t xml:space="preserve">. </w:t>
      </w:r>
      <w:r w:rsidR="00473324">
        <w:rPr>
          <w:rFonts w:ascii="Verdana" w:eastAsia="Century Gothic" w:hAnsi="Verdana" w:cs="Century Gothic"/>
        </w:rPr>
        <w:t xml:space="preserve">3. </w:t>
      </w:r>
      <w:r w:rsidR="00031D15">
        <w:rPr>
          <w:rFonts w:ascii="Verdana" w:eastAsia="Century Gothic" w:hAnsi="Verdana" w:cs="Century Gothic"/>
        </w:rPr>
        <w:t>¿Las restricciones contenidas en el articulo 38 aplica para los contratos de prestación de servicios?</w:t>
      </w:r>
    </w:p>
    <w:p w14:paraId="59125864" w14:textId="77777777" w:rsidR="003A014F" w:rsidRDefault="003A014F" w:rsidP="003A014F">
      <w:pPr>
        <w:spacing w:after="0" w:line="276" w:lineRule="auto"/>
        <w:jc w:val="both"/>
        <w:rPr>
          <w:rFonts w:ascii="Verdana" w:eastAsia="Calibri" w:hAnsi="Verdana" w:cs="Arial"/>
          <w:color w:val="7030A0"/>
          <w:lang w:val="es-ES"/>
        </w:rPr>
      </w:pPr>
    </w:p>
    <w:p w14:paraId="27DA828F" w14:textId="77777777" w:rsidR="006849EF" w:rsidRDefault="006849EF" w:rsidP="006849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4CF6206" w14:textId="77777777" w:rsidR="006849EF" w:rsidRDefault="006849EF" w:rsidP="006849E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49EF" w:rsidRPr="00DE5508" w14:paraId="78B5CED4" w14:textId="77777777" w:rsidTr="009B2445">
        <w:tc>
          <w:tcPr>
            <w:tcW w:w="8828" w:type="dxa"/>
            <w:tcBorders>
              <w:top w:val="dotted" w:sz="4" w:space="0" w:color="auto"/>
              <w:left w:val="dotted" w:sz="4" w:space="0" w:color="auto"/>
              <w:bottom w:val="dotted" w:sz="4" w:space="0" w:color="auto"/>
              <w:right w:val="dotted" w:sz="4" w:space="0" w:color="auto"/>
            </w:tcBorders>
          </w:tcPr>
          <w:p w14:paraId="22F02AE4" w14:textId="77777777" w:rsidR="006849EF" w:rsidRDefault="006849EF" w:rsidP="009B2445">
            <w:pPr>
              <w:pStyle w:val="Prrafodelista"/>
              <w:numPr>
                <w:ilvl w:val="0"/>
                <w:numId w:val="19"/>
              </w:numPr>
              <w:spacing w:after="120" w:line="276" w:lineRule="auto"/>
              <w:jc w:val="both"/>
              <w:rPr>
                <w:rFonts w:ascii="Verdana" w:eastAsia="Times New Roman" w:hAnsi="Verdana" w:cs="Open Sans"/>
                <w:lang w:eastAsia="es-CO"/>
              </w:rPr>
            </w:pPr>
            <w:r w:rsidRPr="00682045">
              <w:rPr>
                <w:rFonts w:ascii="Verdana" w:eastAsia="Times New Roman" w:hAnsi="Verdana" w:cs="Open Sans"/>
                <w:lang w:eastAsia="es-CO"/>
              </w:rPr>
              <w:t xml:space="preserve">Dando respuesta al problema jurídico, es menester precisar que el artículo 33 de la Ley 996 de 2005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w:t>
            </w:r>
            <w:r w:rsidRPr="00682045">
              <w:rPr>
                <w:rFonts w:ascii="Verdana" w:eastAsia="Times New Roman" w:hAnsi="Verdana" w:cs="Open Sans"/>
                <w:lang w:eastAsia="es-CO"/>
              </w:rPr>
              <w:lastRenderedPageBreak/>
              <w:t xml:space="preserve">convocatoria pública en alguna de sus etapas, ni permita la participación de una pluralidad de oferentes. </w:t>
            </w:r>
          </w:p>
          <w:p w14:paraId="6ABAE025" w14:textId="77777777" w:rsidR="0097239E" w:rsidRDefault="0097239E" w:rsidP="0097239E">
            <w:pPr>
              <w:pStyle w:val="Prrafodelista"/>
              <w:spacing w:after="120" w:line="276" w:lineRule="auto"/>
              <w:jc w:val="both"/>
              <w:rPr>
                <w:rFonts w:ascii="Verdana" w:eastAsia="Times New Roman" w:hAnsi="Verdana" w:cs="Open Sans"/>
                <w:lang w:eastAsia="es-CO"/>
              </w:rPr>
            </w:pPr>
          </w:p>
          <w:p w14:paraId="72AA34D5" w14:textId="5944027D" w:rsidR="006849EF" w:rsidRDefault="0097239E" w:rsidP="00473324">
            <w:pPr>
              <w:pStyle w:val="Prrafodelista"/>
              <w:spacing w:after="120" w:line="276" w:lineRule="auto"/>
              <w:jc w:val="both"/>
              <w:rPr>
                <w:rFonts w:ascii="Verdana" w:hAnsi="Verdana" w:cs="BCDHEE+Verdana"/>
              </w:rPr>
            </w:pPr>
            <w:r>
              <w:rPr>
                <w:rFonts w:ascii="Verdana" w:hAnsi="Verdana" w:cs="BCDHEE+Verdana"/>
              </w:rPr>
              <w:t xml:space="preserve">Ahora, </w:t>
            </w:r>
            <w:r w:rsidRPr="00987A47">
              <w:rPr>
                <w:rFonts w:ascii="Verdana" w:hAnsi="Verdana" w:cs="BCDHEE+Verdana"/>
              </w:rPr>
              <w:t>de acuerdo con el artículo 38 de la Ley 996 de 2005,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181456B" w14:textId="77777777" w:rsidR="00473324" w:rsidRPr="00473324" w:rsidRDefault="00473324" w:rsidP="00473324">
            <w:pPr>
              <w:pStyle w:val="Prrafodelista"/>
              <w:spacing w:after="120" w:line="276" w:lineRule="auto"/>
              <w:jc w:val="both"/>
              <w:rPr>
                <w:rFonts w:ascii="Verdana" w:eastAsia="Times New Roman" w:hAnsi="Verdana" w:cs="Open Sans"/>
                <w:lang w:eastAsia="es-CO"/>
              </w:rPr>
            </w:pPr>
          </w:p>
          <w:p w14:paraId="61BE59FB" w14:textId="77777777" w:rsidR="00473324" w:rsidRDefault="00473324" w:rsidP="00473324">
            <w:pPr>
              <w:pStyle w:val="Prrafodelista"/>
              <w:numPr>
                <w:ilvl w:val="0"/>
                <w:numId w:val="19"/>
              </w:numPr>
              <w:spacing w:line="276" w:lineRule="auto"/>
              <w:jc w:val="both"/>
              <w:rPr>
                <w:rFonts w:ascii="Verdana" w:hAnsi="Verdana" w:cs="BCDHEE+Verdana"/>
              </w:rPr>
            </w:pPr>
            <w:r w:rsidRPr="00473324">
              <w:rPr>
                <w:rFonts w:ascii="Verdana" w:hAnsi="Verdana" w:cs="BCDHEE+Verdana"/>
              </w:rPr>
              <w:t>Para las elecciones presidenciales del año 2026, el Consejo Nacional Electoral, mediante la Resolución No. 2580 del 5 de marzo de 2025, estableció que la primera vuelta se llevará a cabo el 31 de mayo de 2026. En consecuencia, conforme al artículo 33 de la Ley 996 de 2005, se activa el régimen de Ley de Garantías Electorales, el cual prohíbe la contratación directa por parte de todas las entidades del Estado durante los cuatro (4) meses previos a la fecha de elección. Por tanto, las restricciones estarán vigentes desde el 31 de enero de 2026 hasta la fecha de la primera vuelta presidencial, o hasta la segunda vuelta en caso de que esta se realice.</w:t>
            </w:r>
          </w:p>
          <w:p w14:paraId="49574B35" w14:textId="77777777" w:rsidR="00473324" w:rsidRPr="00473324" w:rsidRDefault="00473324" w:rsidP="00473324">
            <w:pPr>
              <w:pStyle w:val="Prrafodelista"/>
              <w:spacing w:line="276" w:lineRule="auto"/>
              <w:jc w:val="both"/>
              <w:rPr>
                <w:rFonts w:ascii="Verdana" w:hAnsi="Verdana" w:cs="BCDHEE+Verdana"/>
              </w:rPr>
            </w:pPr>
          </w:p>
          <w:p w14:paraId="5E8ED89C" w14:textId="77777777" w:rsidR="00473324" w:rsidRPr="00473324" w:rsidRDefault="00473324" w:rsidP="00473324">
            <w:pPr>
              <w:pStyle w:val="Prrafodelista"/>
              <w:spacing w:line="276" w:lineRule="auto"/>
              <w:jc w:val="both"/>
              <w:rPr>
                <w:rFonts w:ascii="Verdana" w:hAnsi="Verdana" w:cs="BCDHEE+Verdana"/>
              </w:rPr>
            </w:pPr>
            <w:r w:rsidRPr="00473324">
              <w:rPr>
                <w:rFonts w:ascii="Verdana" w:hAnsi="Verdana" w:cs="BCDHEE+Verdana"/>
              </w:rPr>
              <w:t>Respecto a las elecciones al Congreso de la República, programadas para el 8 de marzo de 2026, según lo dispuesto en la Resolución No. 2581 del 5 de marzo de 2025 del Consejo Nacional Electoral, las restricciones aplicables corresponden al artículo 38 de la Ley 996 de 2005. Esta norma prohíbe a los gobernadores, alcaldes, secretarios, gerentes y directores de entidades descentralizadas del orden municipal, departamental o distrital:</w:t>
            </w:r>
          </w:p>
          <w:p w14:paraId="6CB69EFC" w14:textId="77777777" w:rsidR="00473324" w:rsidRPr="00473324" w:rsidRDefault="00473324" w:rsidP="00473324">
            <w:pPr>
              <w:pStyle w:val="Prrafodelista"/>
              <w:spacing w:line="276" w:lineRule="auto"/>
              <w:jc w:val="both"/>
              <w:rPr>
                <w:rFonts w:ascii="Verdana" w:hAnsi="Verdana" w:cs="BCDHEE+Verdana"/>
              </w:rPr>
            </w:pPr>
          </w:p>
          <w:p w14:paraId="2918BE20" w14:textId="79210C70" w:rsidR="00473324" w:rsidRPr="00473324" w:rsidRDefault="00473324" w:rsidP="00473324">
            <w:pPr>
              <w:pStyle w:val="Prrafodelista"/>
              <w:numPr>
                <w:ilvl w:val="0"/>
                <w:numId w:val="22"/>
              </w:numPr>
              <w:spacing w:line="276" w:lineRule="auto"/>
              <w:jc w:val="both"/>
              <w:rPr>
                <w:rFonts w:ascii="Verdana" w:hAnsi="Verdana" w:cs="BCDHEE+Verdana"/>
              </w:rPr>
            </w:pPr>
            <w:r w:rsidRPr="00473324">
              <w:rPr>
                <w:rFonts w:ascii="Verdana" w:hAnsi="Verdana" w:cs="BCDHEE+Verdana"/>
              </w:rPr>
              <w:t>Celebrar convenios interadministrativos para la ejecución de recursos públicos.</w:t>
            </w:r>
          </w:p>
          <w:p w14:paraId="3542A938" w14:textId="2DFF372E" w:rsidR="00473324" w:rsidRDefault="00473324" w:rsidP="00473324">
            <w:pPr>
              <w:pStyle w:val="Prrafodelista"/>
              <w:numPr>
                <w:ilvl w:val="0"/>
                <w:numId w:val="22"/>
              </w:numPr>
              <w:spacing w:line="276" w:lineRule="auto"/>
              <w:jc w:val="both"/>
              <w:rPr>
                <w:rFonts w:ascii="Verdana" w:hAnsi="Verdana" w:cs="BCDHEE+Verdana"/>
              </w:rPr>
            </w:pPr>
            <w:r w:rsidRPr="00473324">
              <w:rPr>
                <w:rFonts w:ascii="Verdana" w:hAnsi="Verdana" w:cs="BCDHEE+Verdana"/>
              </w:rPr>
              <w:t>Participar, promover o destinar recursos públicos para actividades proselitistas, directa o indirectamente, incluyendo aquellas realizadas por entidades en cuyas juntas directivas participen.</w:t>
            </w:r>
          </w:p>
          <w:p w14:paraId="14248D0E" w14:textId="77777777" w:rsidR="00473324" w:rsidRPr="00473324" w:rsidRDefault="00473324" w:rsidP="00473324">
            <w:pPr>
              <w:pStyle w:val="Prrafodelista"/>
              <w:spacing w:line="276" w:lineRule="auto"/>
              <w:ind w:left="1080"/>
              <w:jc w:val="both"/>
              <w:rPr>
                <w:rFonts w:ascii="Verdana" w:hAnsi="Verdana" w:cs="BCDHEE+Verdana"/>
              </w:rPr>
            </w:pPr>
          </w:p>
          <w:p w14:paraId="596289C8" w14:textId="77777777" w:rsidR="00473324" w:rsidRPr="00473324" w:rsidRDefault="00473324" w:rsidP="00473324">
            <w:pPr>
              <w:pStyle w:val="Prrafodelista"/>
              <w:spacing w:line="276" w:lineRule="auto"/>
              <w:jc w:val="both"/>
              <w:rPr>
                <w:rFonts w:ascii="Verdana" w:hAnsi="Verdana" w:cs="BCDHEE+Verdana"/>
              </w:rPr>
            </w:pPr>
            <w:r w:rsidRPr="00473324">
              <w:rPr>
                <w:rFonts w:ascii="Verdana" w:hAnsi="Verdana" w:cs="BCDHEE+Verdana"/>
              </w:rPr>
              <w:t>Estas restricciones comenzarán a regir a partir del 8 de noviembre de 2025, es decir, cuatro (4) meses antes de las elecciones legislativas.</w:t>
            </w:r>
          </w:p>
          <w:p w14:paraId="491E937B" w14:textId="77777777" w:rsidR="006849EF" w:rsidRPr="00473324" w:rsidRDefault="006849EF" w:rsidP="009B2445">
            <w:pPr>
              <w:autoSpaceDE w:val="0"/>
              <w:autoSpaceDN w:val="0"/>
              <w:adjustRightInd w:val="0"/>
              <w:spacing w:line="276" w:lineRule="auto"/>
              <w:ind w:left="742"/>
              <w:jc w:val="both"/>
              <w:rPr>
                <w:rFonts w:ascii="Verdana" w:hAnsi="Verdana" w:cs="BCDHEE+Verdana"/>
                <w:b/>
                <w:bCs/>
                <w:lang w:val="es-ES"/>
              </w:rPr>
            </w:pPr>
          </w:p>
          <w:p w14:paraId="350CC195" w14:textId="77777777" w:rsidR="006849EF" w:rsidRDefault="006849EF" w:rsidP="009B2445">
            <w:pPr>
              <w:widowControl w:val="0"/>
              <w:autoSpaceDE w:val="0"/>
              <w:autoSpaceDN w:val="0"/>
              <w:spacing w:line="276" w:lineRule="auto"/>
              <w:ind w:left="742" w:right="176"/>
              <w:jc w:val="both"/>
              <w:rPr>
                <w:rFonts w:ascii="Verdana" w:hAnsi="Verdana"/>
              </w:rPr>
            </w:pPr>
            <w:r>
              <w:rPr>
                <w:rFonts w:ascii="Verdana" w:hAnsi="Verdana"/>
              </w:rPr>
              <w:t xml:space="preserve">        </w:t>
            </w:r>
            <w:r w:rsidRPr="00987A47">
              <w:rPr>
                <w:rFonts w:ascii="Verdana" w:hAnsi="Verdana"/>
              </w:rPr>
              <w:t>Dentro de este marco, corresponde a cada entidad pública, en ejercicio de su competencia y previa valoración de los elementos fácticos</w:t>
            </w:r>
            <w:r w:rsidRPr="4DAAA740">
              <w:rPr>
                <w:rFonts w:ascii="Verdana" w:hAnsi="Verdana"/>
              </w:rPr>
              <w:t>, presupuestales de anualidad</w:t>
            </w:r>
            <w:r w:rsidRPr="00987A47">
              <w:rPr>
                <w:rFonts w:ascii="Verdana" w:hAnsi="Verdana"/>
              </w:rPr>
              <w:t xml:space="preserve"> y jurídicos, así como de las disposiciones legales mencionadas, determinar </w:t>
            </w:r>
            <w:r w:rsidRPr="4DAAA740">
              <w:rPr>
                <w:rFonts w:ascii="Verdana" w:hAnsi="Verdana"/>
              </w:rPr>
              <w:t xml:space="preserve">y planear oportunamente acorde con su plan anual de adquisiciones </w:t>
            </w:r>
            <w:r w:rsidRPr="00987A47">
              <w:rPr>
                <w:rFonts w:ascii="Verdana" w:hAnsi="Verdana"/>
              </w:rPr>
              <w:t xml:space="preserve">su gestión contractual </w:t>
            </w:r>
            <w:r w:rsidRPr="4DAAA740">
              <w:rPr>
                <w:rFonts w:ascii="Verdana" w:hAnsi="Verdana"/>
              </w:rPr>
              <w:t xml:space="preserve">previamente a la </w:t>
            </w:r>
            <w:proofErr w:type="gramStart"/>
            <w:r w:rsidRPr="4DAAA740">
              <w:rPr>
                <w:rFonts w:ascii="Verdana" w:hAnsi="Verdana"/>
              </w:rPr>
              <w:t>entrada en vigencia</w:t>
            </w:r>
            <w:proofErr w:type="gramEnd"/>
            <w:r w:rsidRPr="00987A47">
              <w:rPr>
                <w:rFonts w:ascii="Verdana" w:hAnsi="Verdana"/>
              </w:rPr>
              <w:t xml:space="preserve"> de las restricciones de la Ley de Garantías Electorales. </w:t>
            </w:r>
          </w:p>
          <w:p w14:paraId="2481B68F" w14:textId="77777777" w:rsidR="00F861C6" w:rsidRDefault="00F861C6" w:rsidP="009B2445">
            <w:pPr>
              <w:widowControl w:val="0"/>
              <w:autoSpaceDE w:val="0"/>
              <w:autoSpaceDN w:val="0"/>
              <w:spacing w:line="276" w:lineRule="auto"/>
              <w:ind w:left="742" w:right="176"/>
              <w:jc w:val="both"/>
              <w:rPr>
                <w:rFonts w:ascii="Verdana" w:hAnsi="Verdana"/>
              </w:rPr>
            </w:pPr>
          </w:p>
          <w:p w14:paraId="16F23E06" w14:textId="77777777" w:rsidR="00F861C6" w:rsidRPr="00F861C6" w:rsidRDefault="00F861C6" w:rsidP="00F861C6">
            <w:pPr>
              <w:pStyle w:val="Prrafodelista"/>
              <w:widowControl w:val="0"/>
              <w:numPr>
                <w:ilvl w:val="0"/>
                <w:numId w:val="19"/>
              </w:numPr>
              <w:autoSpaceDE w:val="0"/>
              <w:autoSpaceDN w:val="0"/>
              <w:spacing w:line="276" w:lineRule="auto"/>
              <w:ind w:right="176"/>
              <w:jc w:val="both"/>
              <w:rPr>
                <w:rFonts w:ascii="Verdana" w:hAnsi="Verdana"/>
                <w:lang w:val="es-CO"/>
              </w:rPr>
            </w:pPr>
            <w:r w:rsidRPr="00F861C6">
              <w:rPr>
                <w:rFonts w:ascii="Verdana" w:hAnsi="Verdana"/>
                <w:lang w:val="es-CO"/>
              </w:rPr>
              <w:t>El parágrafo del artículo 38 de la Ley 996 de 2005 establece de manera expresa y taxativa que, durante los cuatro (4) meses anteriores a las elecciones, los gobernadores, alcaldes municipales o distritales, secretarios, gerentes y directores de entidades descentralizadas del orden municipal, departamental o distrital, tienen prohibido celebrar convenios y contratos interadministrativos para la ejecución de recursos públicos.</w:t>
            </w:r>
          </w:p>
          <w:p w14:paraId="66422606" w14:textId="77777777" w:rsidR="00F861C6" w:rsidRPr="00F861C6" w:rsidRDefault="00F861C6" w:rsidP="00F861C6">
            <w:pPr>
              <w:pStyle w:val="Prrafodelista"/>
              <w:widowControl w:val="0"/>
              <w:autoSpaceDE w:val="0"/>
              <w:autoSpaceDN w:val="0"/>
              <w:spacing w:line="276" w:lineRule="auto"/>
              <w:ind w:right="176"/>
              <w:jc w:val="both"/>
              <w:rPr>
                <w:rFonts w:ascii="Verdana" w:hAnsi="Verdana"/>
                <w:lang w:val="es-CO"/>
              </w:rPr>
            </w:pPr>
            <w:r w:rsidRPr="00F861C6">
              <w:rPr>
                <w:rFonts w:ascii="Verdana" w:hAnsi="Verdana"/>
                <w:lang w:val="es-CO"/>
              </w:rPr>
              <w:t>Dado el carácter restrictivo y excepcional de esta limitación, conforme al principio de interpretación estricta de las normas que establecen prohibiciones o limitaciones al ejercicio de funciones administrativas, su alcance debe ceñirse exclusivamente a la tipología contractual expresamente señalada en la norma. En consecuencia, la prohibición contenida en el artículo 38 no se extiende a otros tipos contractuales, incluso si estos se celebren bajo la modalidad de selección directa, como sucede con los contratos de prestación de servicios, de suministro u otros, siempre que no configuren convenios interadministrativos.</w:t>
            </w:r>
          </w:p>
          <w:p w14:paraId="1E492FA7" w14:textId="34ED0406" w:rsidR="006849EF" w:rsidRPr="00987A47" w:rsidRDefault="006849EF" w:rsidP="009B2445">
            <w:pPr>
              <w:widowControl w:val="0"/>
              <w:autoSpaceDE w:val="0"/>
              <w:autoSpaceDN w:val="0"/>
              <w:spacing w:line="276" w:lineRule="auto"/>
              <w:ind w:right="176"/>
              <w:jc w:val="both"/>
              <w:rPr>
                <w:rFonts w:ascii="Verdana" w:hAnsi="Verdana"/>
              </w:rPr>
            </w:pPr>
          </w:p>
        </w:tc>
      </w:tr>
    </w:tbl>
    <w:p w14:paraId="127C6471" w14:textId="77777777" w:rsidR="003A014F" w:rsidRDefault="003A014F" w:rsidP="003A01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Razones de la respuesta:</w:t>
      </w:r>
    </w:p>
    <w:p w14:paraId="4925F002" w14:textId="77777777" w:rsidR="003A014F" w:rsidRDefault="003A014F" w:rsidP="003A014F">
      <w:pPr>
        <w:spacing w:after="0" w:line="276" w:lineRule="auto"/>
        <w:jc w:val="both"/>
        <w:rPr>
          <w:rFonts w:ascii="Verdana" w:eastAsia="Calibri" w:hAnsi="Verdana" w:cs="Arial"/>
          <w:color w:val="7030A0"/>
          <w:lang w:val="es-ES"/>
        </w:rPr>
      </w:pPr>
    </w:p>
    <w:p w14:paraId="3D221554" w14:textId="77777777" w:rsidR="0076434A" w:rsidRDefault="0076434A" w:rsidP="0076434A">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5F990477" w14:textId="77777777" w:rsidR="0076434A" w:rsidRDefault="0076434A" w:rsidP="0076434A">
      <w:pPr>
        <w:widowControl w:val="0"/>
        <w:autoSpaceDE w:val="0"/>
        <w:autoSpaceDN w:val="0"/>
        <w:spacing w:after="0" w:line="276" w:lineRule="auto"/>
        <w:ind w:right="176"/>
        <w:jc w:val="both"/>
        <w:rPr>
          <w:rFonts w:ascii="Verdana" w:eastAsia="Calibri" w:hAnsi="Verdana" w:cs="Arial"/>
          <w:lang w:val="es-ES"/>
        </w:rPr>
      </w:pPr>
    </w:p>
    <w:p w14:paraId="0C4D37FA" w14:textId="77777777" w:rsidR="0076434A" w:rsidRDefault="0076434A" w:rsidP="0076434A">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 xml:space="preserve">a Ley 996 de 2005, conocida como “Ley de Garantías Electorales”, se suma al andamiaje de orden constitucional y legal que se ha ocupado de evitar la injerencia inadecuada de intereses particulares en el ejercicio de la función </w:t>
      </w:r>
      <w:r w:rsidRPr="00E2397D">
        <w:rPr>
          <w:rFonts w:ascii="Verdana" w:eastAsia="Times New Roman" w:hAnsi="Verdana" w:cs="Arial"/>
          <w:lang w:val="es-MX" w:eastAsia="es-CO"/>
        </w:rPr>
        <w:lastRenderedPageBreak/>
        <w:t>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09693722" w14:textId="77777777" w:rsidR="0076434A" w:rsidRPr="006B14B5" w:rsidRDefault="0076434A" w:rsidP="0076434A">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474C781" w14:textId="77777777" w:rsidR="0076434A" w:rsidRPr="00E2397D" w:rsidRDefault="0076434A" w:rsidP="0076434A">
      <w:pPr>
        <w:spacing w:after="0" w:line="276" w:lineRule="auto"/>
        <w:ind w:right="709"/>
        <w:contextualSpacing/>
        <w:jc w:val="both"/>
        <w:rPr>
          <w:rFonts w:ascii="Verdana" w:eastAsia="Times New Roman" w:hAnsi="Verdana" w:cs="Arial"/>
          <w:lang w:val="es-ES" w:eastAsia="es-CO"/>
        </w:rPr>
      </w:pPr>
    </w:p>
    <w:p w14:paraId="2F166386" w14:textId="77777777" w:rsidR="0076434A" w:rsidRPr="00E2397D" w:rsidRDefault="0076434A" w:rsidP="0076434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8F4E659" w14:textId="77777777" w:rsidR="0076434A" w:rsidRPr="00E2397D" w:rsidRDefault="0076434A" w:rsidP="0076434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6358F91" w14:textId="77777777" w:rsidR="0076434A" w:rsidRPr="00E2397D" w:rsidRDefault="0076434A" w:rsidP="0076434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3FD18019" w14:textId="77777777" w:rsidR="0076434A" w:rsidRPr="00E2397D" w:rsidRDefault="0076434A" w:rsidP="0076434A">
      <w:pPr>
        <w:spacing w:after="0" w:line="276" w:lineRule="auto"/>
        <w:ind w:firstLine="709"/>
        <w:jc w:val="both"/>
        <w:rPr>
          <w:rFonts w:ascii="Verdana" w:eastAsia="Times New Roman" w:hAnsi="Verdana" w:cs="Arial"/>
          <w:lang w:val="es-MX" w:eastAsia="es-CO"/>
        </w:rPr>
      </w:pPr>
    </w:p>
    <w:p w14:paraId="632C116D" w14:textId="77777777" w:rsidR="0076434A" w:rsidRPr="00E2397D" w:rsidRDefault="0076434A" w:rsidP="0076434A">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CA57457" w14:textId="77777777" w:rsidR="0076434A" w:rsidRPr="00886C02" w:rsidRDefault="0076434A" w:rsidP="0076434A">
      <w:pPr>
        <w:spacing w:after="0" w:line="276" w:lineRule="auto"/>
        <w:ind w:firstLine="709"/>
        <w:jc w:val="both"/>
        <w:rPr>
          <w:rFonts w:ascii="Verdana" w:eastAsia="Times New Roman" w:hAnsi="Verdana" w:cs="Arial"/>
          <w:lang w:val="es-MX" w:eastAsia="es-CO"/>
        </w:rPr>
      </w:pPr>
    </w:p>
    <w:p w14:paraId="626CFD1A" w14:textId="77777777" w:rsidR="0076434A" w:rsidRPr="00E2397D" w:rsidRDefault="0076434A" w:rsidP="0076434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w:t>
      </w:r>
      <w:r w:rsidRPr="00E2397D">
        <w:rPr>
          <w:rFonts w:ascii="Verdana" w:eastAsia="Times New Roman" w:hAnsi="Verdana" w:cs="Arial"/>
          <w:sz w:val="20"/>
          <w:szCs w:val="20"/>
          <w:lang w:val="es-MX" w:eastAsia="es-CO"/>
        </w:rPr>
        <w:lastRenderedPageBreak/>
        <w:t xml:space="preserve">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A36C3F0" w14:textId="77777777" w:rsidR="0076434A" w:rsidRPr="00E2397D" w:rsidRDefault="0076434A" w:rsidP="0076434A">
      <w:pPr>
        <w:spacing w:after="0" w:line="240" w:lineRule="auto"/>
        <w:ind w:right="709"/>
        <w:contextualSpacing/>
        <w:jc w:val="both"/>
        <w:rPr>
          <w:rFonts w:ascii="Verdana" w:eastAsia="Times New Roman" w:hAnsi="Verdana" w:cs="Arial"/>
          <w:lang w:val="es-MX" w:eastAsia="es-CO"/>
        </w:rPr>
      </w:pPr>
    </w:p>
    <w:p w14:paraId="72077A78" w14:textId="77777777" w:rsidR="0076434A" w:rsidRPr="00E2397D" w:rsidRDefault="0076434A" w:rsidP="0076434A">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23F234D9" w14:textId="77777777" w:rsidR="0076434A" w:rsidRPr="00E2397D" w:rsidRDefault="0076434A" w:rsidP="0076434A">
      <w:pPr>
        <w:spacing w:after="0" w:line="276" w:lineRule="auto"/>
        <w:jc w:val="both"/>
        <w:rPr>
          <w:rFonts w:ascii="Verdana" w:eastAsia="Calibri" w:hAnsi="Verdana" w:cs="Arial"/>
          <w:bCs/>
          <w:lang w:val="es-ES_tradnl"/>
        </w:rPr>
      </w:pPr>
    </w:p>
    <w:p w14:paraId="1DE22800" w14:textId="77777777" w:rsidR="0076434A" w:rsidRPr="00B3605D" w:rsidRDefault="0076434A" w:rsidP="0076434A">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8254033" w14:textId="77777777" w:rsidR="0076434A" w:rsidRDefault="0076434A" w:rsidP="0076434A">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81CA0D9" w14:textId="77777777" w:rsidR="0076434A" w:rsidRDefault="0076434A" w:rsidP="0076434A">
      <w:pPr>
        <w:spacing w:after="0" w:line="276" w:lineRule="auto"/>
        <w:ind w:firstLine="709"/>
        <w:jc w:val="both"/>
        <w:rPr>
          <w:rFonts w:ascii="Verdana" w:eastAsia="Arial" w:hAnsi="Verdana" w:cs="Arial"/>
          <w:lang w:val="es-ES" w:eastAsia="es-ES" w:bidi="es-ES"/>
        </w:rPr>
      </w:pPr>
    </w:p>
    <w:p w14:paraId="1D5360C7" w14:textId="77777777" w:rsidR="0076434A" w:rsidRPr="00A545DE" w:rsidRDefault="0076434A" w:rsidP="0076434A">
      <w:pPr>
        <w:pStyle w:val="Prrafodelista"/>
        <w:numPr>
          <w:ilvl w:val="0"/>
          <w:numId w:val="18"/>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22B471C2" w14:textId="77777777" w:rsidR="0076434A" w:rsidRPr="00A545DE" w:rsidRDefault="0076434A" w:rsidP="0076434A">
      <w:pPr>
        <w:pStyle w:val="Prrafodelista"/>
        <w:spacing w:after="0" w:line="276" w:lineRule="auto"/>
        <w:ind w:left="1080"/>
        <w:jc w:val="both"/>
        <w:rPr>
          <w:rFonts w:ascii="Verdana" w:eastAsia="Arial" w:hAnsi="Verdana" w:cs="Arial"/>
          <w:lang w:eastAsia="es-ES" w:bidi="es-ES"/>
        </w:rPr>
      </w:pPr>
    </w:p>
    <w:p w14:paraId="7F7CF38B" w14:textId="77777777" w:rsidR="0076434A" w:rsidRPr="00FC54ED" w:rsidRDefault="0076434A" w:rsidP="0076434A">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lastRenderedPageBreak/>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798140D" w14:textId="77777777" w:rsidR="0076434A" w:rsidRPr="00FC54ED" w:rsidRDefault="0076434A" w:rsidP="0076434A">
      <w:pPr>
        <w:spacing w:after="0" w:line="240" w:lineRule="auto"/>
        <w:ind w:left="708" w:right="703"/>
        <w:jc w:val="both"/>
        <w:rPr>
          <w:rFonts w:ascii="Verdana" w:eastAsia="Times New Roman" w:hAnsi="Verdana" w:cs="Open Sans"/>
          <w:sz w:val="20"/>
          <w:szCs w:val="20"/>
          <w:lang w:eastAsia="es-CO"/>
        </w:rPr>
      </w:pPr>
    </w:p>
    <w:p w14:paraId="204640F8" w14:textId="77777777" w:rsidR="0076434A" w:rsidRPr="00B3605D" w:rsidRDefault="0076434A" w:rsidP="0076434A">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2372284" w14:textId="77777777" w:rsidR="0076434A" w:rsidRDefault="0076434A" w:rsidP="0076434A">
      <w:pPr>
        <w:spacing w:after="0" w:line="276" w:lineRule="auto"/>
        <w:ind w:right="618" w:firstLine="708"/>
        <w:jc w:val="both"/>
        <w:rPr>
          <w:rFonts w:ascii="Verdana" w:eastAsia="Times New Roman" w:hAnsi="Verdana" w:cs="Open Sans"/>
          <w:lang w:eastAsia="es-CO"/>
        </w:rPr>
      </w:pPr>
    </w:p>
    <w:p w14:paraId="5833F32D" w14:textId="77777777" w:rsidR="0076434A" w:rsidRDefault="0076434A" w:rsidP="0076434A">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2005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7"/>
      </w:r>
      <w:r>
        <w:rPr>
          <w:rFonts w:ascii="Verdana" w:eastAsia="Times New Roman" w:hAnsi="Verdana" w:cs="Open Sans"/>
          <w:lang w:eastAsia="es-CO"/>
        </w:rPr>
        <w:t>.</w:t>
      </w:r>
    </w:p>
    <w:p w14:paraId="5C04DB4A" w14:textId="368FF90B" w:rsidR="0076434A" w:rsidRDefault="0076434A" w:rsidP="0076434A">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15D8CD6" w14:textId="77777777" w:rsidR="0076434A" w:rsidRDefault="0076434A" w:rsidP="0076434A">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 xml:space="preserve">sin que exista un proceso abierto y competitivo. Por tanto, </w:t>
      </w:r>
      <w:r w:rsidRPr="006A640E">
        <w:rPr>
          <w:rFonts w:ascii="Verdana" w:eastAsia="Times New Roman" w:hAnsi="Verdana" w:cs="Open Sans"/>
          <w:lang w:eastAsia="es-CO"/>
        </w:rPr>
        <w:lastRenderedPageBreak/>
        <w:t>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CF0B73F" w14:textId="77777777" w:rsidR="0076434A" w:rsidRDefault="0076434A" w:rsidP="0076434A">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9B2CCFE" w14:textId="77777777" w:rsidR="0076434A" w:rsidRDefault="0076434A" w:rsidP="0076434A">
      <w:pPr>
        <w:spacing w:after="0" w:line="276" w:lineRule="auto"/>
        <w:ind w:firstLine="708"/>
        <w:jc w:val="both"/>
        <w:rPr>
          <w:rFonts w:ascii="Verdana" w:hAnsi="Verdana"/>
        </w:rPr>
      </w:pPr>
    </w:p>
    <w:p w14:paraId="5B6F15B2" w14:textId="77777777" w:rsidR="0076434A" w:rsidRPr="00A545DE" w:rsidRDefault="0076434A" w:rsidP="0076434A">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4FA03D62" w14:textId="77777777" w:rsidR="0076434A" w:rsidRDefault="0076434A" w:rsidP="0076434A">
      <w:pPr>
        <w:spacing w:after="0" w:line="270" w:lineRule="atLeast"/>
        <w:jc w:val="both"/>
        <w:rPr>
          <w:rFonts w:ascii="Verdana" w:eastAsia="Times New Roman" w:hAnsi="Verdana" w:cs="Open Sans"/>
          <w:lang w:eastAsia="es-CO"/>
        </w:rPr>
      </w:pPr>
    </w:p>
    <w:p w14:paraId="515FABC5" w14:textId="77777777" w:rsidR="0076434A" w:rsidRPr="00D61E29" w:rsidRDefault="0076434A" w:rsidP="0076434A">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5E4D963B" w14:textId="77777777" w:rsidR="0076434A" w:rsidRDefault="0076434A" w:rsidP="0076434A">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61894453" w14:textId="77777777" w:rsidR="0076434A" w:rsidRPr="00D61E29" w:rsidRDefault="0076434A" w:rsidP="0076434A">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A0F1DC2" w14:textId="77777777" w:rsidR="0076434A" w:rsidRPr="00D61E29" w:rsidRDefault="0076434A" w:rsidP="0076434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60F5941C" w14:textId="77777777" w:rsidR="0076434A" w:rsidRPr="00D61E29" w:rsidRDefault="0076434A" w:rsidP="0076434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lastRenderedPageBreak/>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483FE0F2" w14:textId="77777777" w:rsidR="0076434A" w:rsidRPr="00D61E29" w:rsidRDefault="0076434A" w:rsidP="0076434A">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55A57788" w14:textId="77777777" w:rsidR="0076434A" w:rsidRDefault="0076434A" w:rsidP="0076434A">
      <w:pPr>
        <w:widowControl w:val="0"/>
        <w:autoSpaceDE w:val="0"/>
        <w:autoSpaceDN w:val="0"/>
        <w:spacing w:after="0" w:line="276" w:lineRule="auto"/>
        <w:ind w:right="113"/>
        <w:contextualSpacing/>
        <w:jc w:val="both"/>
      </w:pPr>
    </w:p>
    <w:p w14:paraId="47E79185" w14:textId="77777777" w:rsidR="0076434A" w:rsidRPr="00775AB1" w:rsidRDefault="0076434A" w:rsidP="0076434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19C6717D" w14:textId="77777777" w:rsidR="0076434A" w:rsidRPr="00D61E29" w:rsidRDefault="0076434A" w:rsidP="0076434A">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CFC778A" w14:textId="77777777" w:rsidR="0076434A" w:rsidRPr="00D61E29" w:rsidRDefault="0076434A" w:rsidP="0076434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C82CCA4" w14:textId="77777777" w:rsidR="0076434A" w:rsidRPr="00D61E29" w:rsidRDefault="0076434A" w:rsidP="0076434A">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w:t>
      </w:r>
      <w:r w:rsidRPr="00D61E29">
        <w:rPr>
          <w:rFonts w:ascii="Verdana" w:eastAsia="Arial" w:hAnsi="Verdana" w:cs="Arial"/>
          <w:sz w:val="20"/>
          <w:szCs w:val="20"/>
          <w:lang w:eastAsia="es-ES" w:bidi="es-ES"/>
        </w:rPr>
        <w:lastRenderedPageBreak/>
        <w:t>contenidas en el parágrafo del artículo 38”.</w:t>
      </w:r>
      <w:r w:rsidRPr="00D61E29">
        <w:rPr>
          <w:rFonts w:ascii="Verdana" w:eastAsia="Arial" w:hAnsi="Verdana" w:cs="Arial"/>
          <w:sz w:val="20"/>
          <w:szCs w:val="20"/>
          <w:vertAlign w:val="superscript"/>
          <w:lang w:eastAsia="es-ES" w:bidi="es-ES"/>
        </w:rPr>
        <w:footnoteReference w:id="8"/>
      </w:r>
    </w:p>
    <w:p w14:paraId="30F16B72" w14:textId="77777777" w:rsidR="0076434A" w:rsidRPr="00D61E29" w:rsidRDefault="0076434A" w:rsidP="0076434A">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772A4704" w14:textId="77777777" w:rsidR="0076434A" w:rsidRDefault="0076434A" w:rsidP="0076434A">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BF34975" w14:textId="77777777" w:rsidR="0076434A" w:rsidRPr="00947721" w:rsidRDefault="0076434A" w:rsidP="0076434A">
      <w:pPr>
        <w:autoSpaceDE w:val="0"/>
        <w:autoSpaceDN w:val="0"/>
        <w:adjustRightInd w:val="0"/>
        <w:spacing w:after="0" w:line="240" w:lineRule="auto"/>
        <w:ind w:firstLine="708"/>
        <w:jc w:val="both"/>
        <w:rPr>
          <w:rFonts w:ascii="Verdana" w:hAnsi="Verdana" w:cs="BCDHEE+Verdana"/>
          <w:color w:val="000000"/>
        </w:rPr>
      </w:pPr>
    </w:p>
    <w:p w14:paraId="0CBE7679" w14:textId="7DE7C9F5" w:rsidR="0076434A" w:rsidRDefault="0076434A" w:rsidP="00F861C6">
      <w:pPr>
        <w:spacing w:after="120" w:line="276" w:lineRule="auto"/>
        <w:ind w:firstLine="708"/>
        <w:jc w:val="both"/>
        <w:rPr>
          <w:rFonts w:ascii="BCDHEE+Verdana" w:hAnsi="BCDHEE+Verdana" w:cs="BCDHEE+Verdana"/>
          <w:color w:val="000000"/>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3277B0E9" w14:textId="642E1D43" w:rsidR="0076434A" w:rsidRDefault="00AF77BC" w:rsidP="0076434A">
      <w:pPr>
        <w:widowControl w:val="0"/>
        <w:autoSpaceDE w:val="0"/>
        <w:autoSpaceDN w:val="0"/>
        <w:spacing w:line="276" w:lineRule="auto"/>
        <w:ind w:right="176"/>
        <w:jc w:val="both"/>
        <w:rPr>
          <w:rFonts w:ascii="Verdana" w:hAnsi="Verdana"/>
        </w:rPr>
      </w:pPr>
      <w:r>
        <w:rPr>
          <w:rFonts w:ascii="Verdana" w:hAnsi="Verdana"/>
        </w:rPr>
        <w:t>Ahora bien, del interrogante sobre la aplicación de la restricción del artículo 38 de la norma citada para la celebración de contratos de prestación de servicios, d</w:t>
      </w:r>
      <w:r w:rsidRPr="00AF77BC">
        <w:rPr>
          <w:rFonts w:ascii="Verdana" w:hAnsi="Verdana"/>
        </w:rPr>
        <w:t xml:space="preserve">esde el punto de vista jurídico, la interpretación del parágrafo del artículo 38 de la Ley 996 de 2005 debe realizarse conforme al principio de legalidad administrativa, según el cual las </w:t>
      </w:r>
      <w:proofErr w:type="gramStart"/>
      <w:r w:rsidRPr="00AF77BC">
        <w:rPr>
          <w:rFonts w:ascii="Verdana" w:hAnsi="Verdana"/>
        </w:rPr>
        <w:t>autoridades públicas</w:t>
      </w:r>
      <w:proofErr w:type="gramEnd"/>
      <w:r w:rsidRPr="00AF77BC">
        <w:rPr>
          <w:rFonts w:ascii="Verdana" w:hAnsi="Verdana"/>
        </w:rPr>
        <w:t xml:space="preserve"> sólo pueden hacer aquello que les está expresamente permitido por la ley. En esa medida, al tratarse de una norma que impone una prohibición, su alcance debe ser objeto de una interpretación estricta y restrictiva, como lo ha sostenido reiteradamente la jurisprudencia del Consejo de Estado. La norma en cuestión prohíbe de forma específica la celebración de convenios y contratos interadministrativos por parte de determinadas autoridades territoriales durante los cuatro meses previos a las elecciones, sin hacer mención alguna a otros tipos contractuales. Por tanto, no puede extenderse dicha restricción a </w:t>
      </w:r>
      <w:r w:rsidRPr="00AF77BC">
        <w:rPr>
          <w:rFonts w:ascii="Verdana" w:hAnsi="Verdana"/>
        </w:rPr>
        <w:lastRenderedPageBreak/>
        <w:t>contratos distintos —como los de prestación de servicios, suministros, entre otros— aun cuando se celebren por la modalidad de contratación directa, ya que ello equivaldría a una interpretación extensiva en perjuicio de la función administrativa. Adicionalmente, los contratos interadministrativos, por su naturaleza, suponen relaciones entre entidades estatales y una ejecución conjunta de recursos públicos, lo que justifica su especial regulación en contexto electoral. Así, la limitación contenida en el artículo 38 debe entenderse aplicable exclusivamente a la figura contractual expresamente señalada, sin que proceda su extensión a otros contratos que no comparten la misma finalidad ni estructura jurídica.</w:t>
      </w:r>
    </w:p>
    <w:p w14:paraId="4ED3E904" w14:textId="77777777" w:rsidR="0076434A" w:rsidRDefault="0076434A" w:rsidP="0076434A">
      <w:pPr>
        <w:widowControl w:val="0"/>
        <w:autoSpaceDE w:val="0"/>
        <w:autoSpaceDN w:val="0"/>
        <w:spacing w:after="0" w:line="276" w:lineRule="auto"/>
        <w:jc w:val="both"/>
        <w:rPr>
          <w:rFonts w:ascii="Verdana" w:hAnsi="Verdana" w:cs="Arial"/>
        </w:rPr>
      </w:pPr>
    </w:p>
    <w:p w14:paraId="329F0F9A" w14:textId="77777777" w:rsidR="0076434A" w:rsidRDefault="0076434A" w:rsidP="007643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B2655EC" w14:textId="77777777" w:rsidR="0076434A" w:rsidRDefault="0076434A" w:rsidP="0076434A">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6434A" w14:paraId="7EA945A6" w14:textId="77777777" w:rsidTr="009B2445">
        <w:trPr>
          <w:trHeight w:val="870"/>
        </w:trPr>
        <w:tc>
          <w:tcPr>
            <w:tcW w:w="8647" w:type="dxa"/>
            <w:tcBorders>
              <w:top w:val="dotted" w:sz="4" w:space="0" w:color="auto"/>
              <w:left w:val="dotted" w:sz="4" w:space="0" w:color="auto"/>
              <w:bottom w:val="dotted" w:sz="4" w:space="0" w:color="auto"/>
              <w:right w:val="dotted" w:sz="4" w:space="0" w:color="auto"/>
            </w:tcBorders>
            <w:hideMark/>
          </w:tcPr>
          <w:p w14:paraId="28BB0372" w14:textId="77777777" w:rsidR="0076434A" w:rsidRPr="00B3605D" w:rsidRDefault="0076434A" w:rsidP="009B244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297FF58C" w14:textId="77777777" w:rsidR="0076434A" w:rsidRPr="00274DBA" w:rsidRDefault="0076434A" w:rsidP="009B2445">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2CFBBA20" w14:textId="77777777" w:rsidR="0076434A" w:rsidRDefault="0076434A" w:rsidP="009B244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5020354A" w14:textId="77777777" w:rsidR="0076434A" w:rsidRPr="006A640E" w:rsidRDefault="0076434A" w:rsidP="009B2445">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3EE1F57B" w14:textId="77777777" w:rsidR="0076434A" w:rsidRDefault="0076434A" w:rsidP="0076434A">
      <w:pPr>
        <w:widowControl w:val="0"/>
        <w:autoSpaceDE w:val="0"/>
        <w:autoSpaceDN w:val="0"/>
        <w:spacing w:after="0" w:line="276" w:lineRule="auto"/>
        <w:jc w:val="both"/>
        <w:rPr>
          <w:rFonts w:ascii="Verdana" w:hAnsi="Verdana" w:cs="Arial"/>
        </w:rPr>
      </w:pPr>
    </w:p>
    <w:p w14:paraId="7D93330A" w14:textId="77777777" w:rsidR="0076434A" w:rsidRDefault="0076434A" w:rsidP="0076434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31A1227" w14:textId="77777777" w:rsidR="0076434A" w:rsidRDefault="0076434A" w:rsidP="0076434A">
      <w:pPr>
        <w:widowControl w:val="0"/>
        <w:autoSpaceDE w:val="0"/>
        <w:autoSpaceDN w:val="0"/>
        <w:spacing w:after="0" w:line="276" w:lineRule="auto"/>
        <w:jc w:val="both"/>
        <w:rPr>
          <w:rFonts w:ascii="Verdana" w:hAnsi="Verdana" w:cs="Arial"/>
        </w:rPr>
      </w:pPr>
    </w:p>
    <w:p w14:paraId="6A371E09" w14:textId="77777777" w:rsidR="0076434A" w:rsidRPr="00FE3C84" w:rsidRDefault="0076434A" w:rsidP="0076434A">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3"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5F881E21" w14:textId="77777777" w:rsidR="0076434A" w:rsidRDefault="0076434A" w:rsidP="0076434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3F8B02F" w14:textId="77777777" w:rsidR="0076434A" w:rsidRDefault="0076434A" w:rsidP="0076434A">
      <w:pPr>
        <w:spacing w:after="0" w:line="276" w:lineRule="auto"/>
        <w:jc w:val="both"/>
        <w:rPr>
          <w:rFonts w:ascii="Verdana" w:hAnsi="Verdana"/>
        </w:rPr>
      </w:pPr>
    </w:p>
    <w:p w14:paraId="768BA688" w14:textId="77777777" w:rsidR="0076434A" w:rsidRDefault="0076434A" w:rsidP="0076434A">
      <w:pPr>
        <w:spacing w:after="0" w:line="276" w:lineRule="auto"/>
        <w:jc w:val="both"/>
        <w:rPr>
          <w:rFonts w:ascii="Verdana" w:hAnsi="Verdana"/>
        </w:rPr>
      </w:pPr>
      <w:r>
        <w:rPr>
          <w:rFonts w:ascii="Verdana" w:hAnsi="Verdana"/>
        </w:rPr>
        <w:lastRenderedPageBreak/>
        <w:t xml:space="preserve">Por último, lo invitamos a seguirnos en las redes sociales en las cuales se difunde información institucional: </w:t>
      </w:r>
    </w:p>
    <w:p w14:paraId="668096BB" w14:textId="77777777" w:rsidR="0076434A" w:rsidRDefault="0076434A" w:rsidP="0076434A">
      <w:pPr>
        <w:spacing w:after="0" w:line="276" w:lineRule="auto"/>
        <w:jc w:val="both"/>
        <w:rPr>
          <w:rFonts w:ascii="Verdana" w:hAnsi="Verdana"/>
        </w:rPr>
      </w:pPr>
    </w:p>
    <w:p w14:paraId="6E23705A" w14:textId="77777777" w:rsidR="0076434A" w:rsidRDefault="0076434A" w:rsidP="0076434A">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09A2687" w14:textId="77777777" w:rsidR="0076434A" w:rsidRDefault="0076434A" w:rsidP="0076434A">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14C4F05F" w14:textId="77777777" w:rsidR="0076434A" w:rsidRDefault="0076434A" w:rsidP="0076434A">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6246327E" w14:textId="77777777" w:rsidR="0076434A" w:rsidRDefault="0076434A" w:rsidP="0076434A">
      <w:pPr>
        <w:widowControl w:val="0"/>
        <w:autoSpaceDE w:val="0"/>
        <w:autoSpaceDN w:val="0"/>
        <w:spacing w:after="0" w:line="276" w:lineRule="auto"/>
        <w:jc w:val="both"/>
        <w:rPr>
          <w:rFonts w:ascii="Verdana" w:hAnsi="Verdana" w:cs="Arial"/>
        </w:rPr>
      </w:pPr>
    </w:p>
    <w:p w14:paraId="3A0BFEA4" w14:textId="77777777" w:rsidR="0076434A" w:rsidRDefault="0076434A" w:rsidP="0076434A">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79349E82" w14:textId="77777777" w:rsidR="0076434A" w:rsidRDefault="0076434A" w:rsidP="0076434A">
      <w:pPr>
        <w:widowControl w:val="0"/>
        <w:autoSpaceDE w:val="0"/>
        <w:autoSpaceDN w:val="0"/>
        <w:spacing w:after="0" w:line="276" w:lineRule="auto"/>
        <w:jc w:val="both"/>
        <w:rPr>
          <w:rFonts w:ascii="Verdana" w:hAnsi="Verdana" w:cs="Arial"/>
        </w:rPr>
      </w:pPr>
    </w:p>
    <w:p w14:paraId="780D9BE2" w14:textId="72B1E59F" w:rsidR="0076434A" w:rsidRDefault="0076434A" w:rsidP="0076434A">
      <w:pPr>
        <w:spacing w:after="0" w:line="276" w:lineRule="auto"/>
        <w:jc w:val="both"/>
        <w:rPr>
          <w:rFonts w:ascii="Verdana" w:eastAsia="Calibri" w:hAnsi="Verdana" w:cs="Arial"/>
          <w:color w:val="7030A0"/>
          <w:lang w:val="es-ES"/>
        </w:rPr>
      </w:pPr>
      <w:r>
        <w:rPr>
          <w:rFonts w:ascii="Verdana" w:eastAsia="Times New Roman" w:hAnsi="Verdana" w:cs="Arial"/>
          <w:lang w:eastAsia="es-CO"/>
        </w:rPr>
        <w:t>Atentamente,</w:t>
      </w:r>
    </w:p>
    <w:p w14:paraId="3A57E2B3" w14:textId="58257C77" w:rsidR="003A014F" w:rsidRDefault="003A014F" w:rsidP="003A014F">
      <w:pPr>
        <w:spacing w:after="0" w:line="276" w:lineRule="auto"/>
        <w:jc w:val="center"/>
        <w:rPr>
          <w:rFonts w:ascii="Verdana" w:hAnsi="Verdana"/>
          <w:lang w:val="es-ES_tradnl"/>
        </w:rPr>
      </w:pPr>
    </w:p>
    <w:p w14:paraId="58A0C8F7" w14:textId="252C3614" w:rsidR="003A014F" w:rsidRDefault="009F7B50" w:rsidP="003A014F">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2C2353BD" wp14:editId="6250558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2B4A80B3" w14:textId="77777777" w:rsidR="003A014F" w:rsidRPr="00D53651" w:rsidRDefault="003A014F" w:rsidP="003A014F">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A014F" w14:paraId="705269E8" w14:textId="77777777" w:rsidTr="00303129">
        <w:trPr>
          <w:trHeight w:val="315"/>
        </w:trPr>
        <w:tc>
          <w:tcPr>
            <w:tcW w:w="893" w:type="dxa"/>
            <w:vAlign w:val="center"/>
            <w:hideMark/>
          </w:tcPr>
          <w:p w14:paraId="64382C1D" w14:textId="77777777" w:rsidR="003A014F" w:rsidRDefault="003A014F" w:rsidP="00303129">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A01539D" w14:textId="5150C252" w:rsidR="003A014F" w:rsidRPr="00D53651" w:rsidRDefault="00AF77BC" w:rsidP="00303129">
            <w:pPr>
              <w:spacing w:line="276" w:lineRule="auto"/>
              <w:jc w:val="both"/>
              <w:rPr>
                <w:rFonts w:ascii="Verdana" w:hAnsi="Verdana"/>
                <w:sz w:val="16"/>
                <w:szCs w:val="16"/>
              </w:rPr>
            </w:pPr>
            <w:r>
              <w:rPr>
                <w:rFonts w:ascii="Verdana" w:hAnsi="Verdana"/>
                <w:sz w:val="16"/>
                <w:szCs w:val="16"/>
              </w:rPr>
              <w:t>Richard Andrés Montenegro Siefken</w:t>
            </w:r>
          </w:p>
          <w:p w14:paraId="7FF18A45" w14:textId="77777777" w:rsidR="003A014F" w:rsidRDefault="003A014F" w:rsidP="00303129">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3A014F" w14:paraId="6BA6A6D4" w14:textId="77777777" w:rsidTr="00303129">
        <w:trPr>
          <w:trHeight w:val="330"/>
        </w:trPr>
        <w:tc>
          <w:tcPr>
            <w:tcW w:w="893" w:type="dxa"/>
            <w:vAlign w:val="center"/>
            <w:hideMark/>
          </w:tcPr>
          <w:p w14:paraId="24B5D867" w14:textId="77777777" w:rsidR="003A014F" w:rsidRDefault="003A014F" w:rsidP="00303129">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3BA947" w14:textId="1A9F3A81" w:rsidR="003A014F" w:rsidRDefault="00AF77BC" w:rsidP="00303129">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5ED9FC08" w14:textId="77777777" w:rsidR="003A014F" w:rsidRDefault="003A014F" w:rsidP="00303129">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3A014F" w14:paraId="24D9B8A8" w14:textId="77777777" w:rsidTr="00303129">
        <w:trPr>
          <w:trHeight w:val="300"/>
        </w:trPr>
        <w:tc>
          <w:tcPr>
            <w:tcW w:w="893" w:type="dxa"/>
            <w:vAlign w:val="center"/>
            <w:hideMark/>
          </w:tcPr>
          <w:p w14:paraId="735B10BE" w14:textId="77777777" w:rsidR="003A014F" w:rsidRDefault="003A014F" w:rsidP="00303129">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9E4170" w14:textId="77777777" w:rsidR="003A014F" w:rsidRDefault="003A014F" w:rsidP="00303129">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5D411544" w14:textId="77777777" w:rsidR="003A014F" w:rsidRDefault="003A014F" w:rsidP="00303129">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4F8DCE89" w14:textId="77777777" w:rsidR="003A014F" w:rsidRPr="001249F1" w:rsidRDefault="003A014F" w:rsidP="003A014F"/>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05631" w14:textId="77777777" w:rsidR="009935EC" w:rsidRDefault="009935EC" w:rsidP="004A1847">
      <w:pPr>
        <w:spacing w:after="0" w:line="240" w:lineRule="auto"/>
      </w:pPr>
      <w:r>
        <w:separator/>
      </w:r>
    </w:p>
  </w:endnote>
  <w:endnote w:type="continuationSeparator" w:id="0">
    <w:p w14:paraId="02FD9600" w14:textId="77777777" w:rsidR="009935EC" w:rsidRDefault="009935E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CDHEE+Verdana">
    <w:altName w:val="Verdana"/>
    <w:panose1 w:val="00000000000000000000"/>
    <w:charset w:val="00"/>
    <w:family w:val="swiss"/>
    <w:notTrueType/>
    <w:pitch w:val="default"/>
    <w:sig w:usb0="00000003" w:usb1="00000000" w:usb2="00000000" w:usb3="00000000" w:csb0="00000001"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F827A" w14:textId="77777777" w:rsidR="009935EC" w:rsidRDefault="009935EC" w:rsidP="004A1847">
      <w:pPr>
        <w:spacing w:after="0" w:line="240" w:lineRule="auto"/>
      </w:pPr>
      <w:r>
        <w:separator/>
      </w:r>
    </w:p>
  </w:footnote>
  <w:footnote w:type="continuationSeparator" w:id="0">
    <w:p w14:paraId="5E6861A5" w14:textId="77777777" w:rsidR="009935EC" w:rsidRDefault="009935EC" w:rsidP="004A1847">
      <w:pPr>
        <w:spacing w:after="0" w:line="240" w:lineRule="auto"/>
      </w:pPr>
      <w:r>
        <w:continuationSeparator/>
      </w:r>
    </w:p>
  </w:footnote>
  <w:footnote w:id="1">
    <w:p w14:paraId="29BAA0BB" w14:textId="77777777" w:rsidR="009F7B50" w:rsidRPr="00C05384" w:rsidRDefault="009F7B50" w:rsidP="009F7B50">
      <w:pPr>
        <w:pStyle w:val="Textonotapie"/>
        <w:ind w:firstLine="709"/>
        <w:jc w:val="both"/>
        <w:rPr>
          <w:rFonts w:ascii="Verdana" w:hAnsi="Verdana" w:cs="Arial"/>
          <w:sz w:val="16"/>
          <w:szCs w:val="16"/>
        </w:rPr>
      </w:pPr>
    </w:p>
  </w:footnote>
  <w:footnote w:id="2">
    <w:p w14:paraId="2DC30378" w14:textId="77777777" w:rsidR="0076434A" w:rsidRPr="00C05384" w:rsidRDefault="0076434A" w:rsidP="0076434A">
      <w:pPr>
        <w:pStyle w:val="Textonotapie"/>
        <w:ind w:firstLine="709"/>
        <w:jc w:val="both"/>
        <w:rPr>
          <w:rFonts w:ascii="Verdana" w:hAnsi="Verdana" w:cs="Arial"/>
          <w:sz w:val="16"/>
          <w:szCs w:val="16"/>
        </w:rPr>
      </w:pPr>
    </w:p>
    <w:p w14:paraId="2D68CC11" w14:textId="77777777" w:rsidR="0076434A" w:rsidRPr="00C05384" w:rsidRDefault="0076434A" w:rsidP="0076434A">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286967DE" w14:textId="77777777" w:rsidR="0076434A" w:rsidRPr="00C05384" w:rsidRDefault="0076434A" w:rsidP="0076434A">
      <w:pPr>
        <w:pStyle w:val="Textonotapie"/>
        <w:ind w:firstLine="709"/>
        <w:jc w:val="both"/>
        <w:rPr>
          <w:rFonts w:ascii="Verdana" w:hAnsi="Verdana" w:cs="Arial"/>
          <w:sz w:val="16"/>
          <w:szCs w:val="16"/>
        </w:rPr>
      </w:pPr>
    </w:p>
  </w:footnote>
  <w:footnote w:id="3">
    <w:p w14:paraId="6EC27242" w14:textId="77777777" w:rsidR="0076434A" w:rsidRPr="00C05384" w:rsidRDefault="0076434A" w:rsidP="0076434A">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4">
    <w:p w14:paraId="34A63A2D" w14:textId="77777777" w:rsidR="0076434A" w:rsidRPr="00C05384" w:rsidRDefault="0076434A" w:rsidP="0076434A">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5">
    <w:p w14:paraId="68128EE9" w14:textId="77777777" w:rsidR="0076434A" w:rsidRPr="00C05384" w:rsidRDefault="0076434A" w:rsidP="0076434A">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B017430" w14:textId="77777777" w:rsidR="0076434A" w:rsidRPr="00C05384" w:rsidRDefault="0076434A" w:rsidP="0076434A">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w:t>
      </w:r>
      <w:proofErr w:type="spellStart"/>
      <w:r w:rsidRPr="00C05384">
        <w:rPr>
          <w:rFonts w:ascii="Verdana" w:hAnsi="Verdana" w:cs="Arial"/>
          <w:sz w:val="16"/>
          <w:szCs w:val="16"/>
        </w:rPr>
        <w:t>Namén</w:t>
      </w:r>
      <w:proofErr w:type="spellEnd"/>
      <w:r w:rsidRPr="00C05384">
        <w:rPr>
          <w:rFonts w:ascii="Verdana" w:hAnsi="Verdana" w:cs="Arial"/>
          <w:sz w:val="16"/>
          <w:szCs w:val="16"/>
        </w:rPr>
        <w:t xml:space="preserve"> Vargas.  </w:t>
      </w:r>
    </w:p>
  </w:footnote>
  <w:footnote w:id="7">
    <w:p w14:paraId="71D30C5B" w14:textId="77777777" w:rsidR="0076434A" w:rsidRPr="00C05384" w:rsidRDefault="0076434A" w:rsidP="0076434A">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w:t>
      </w:r>
      <w:proofErr w:type="spellStart"/>
      <w:r w:rsidRPr="00C05384">
        <w:rPr>
          <w:rFonts w:ascii="Verdana" w:hAnsi="Verdana"/>
          <w:sz w:val="16"/>
          <w:szCs w:val="16"/>
        </w:rPr>
        <w:t>Exp</w:t>
      </w:r>
      <w:proofErr w:type="spellEnd"/>
      <w:r w:rsidRPr="00C05384">
        <w:rPr>
          <w:rFonts w:ascii="Verdana" w:hAnsi="Verdana"/>
          <w:sz w:val="16"/>
          <w:szCs w:val="16"/>
        </w:rPr>
        <w:t xml:space="preserve">. 2.382. C.P. Álvaro </w:t>
      </w:r>
      <w:proofErr w:type="spellStart"/>
      <w:r w:rsidRPr="00C05384">
        <w:rPr>
          <w:rFonts w:ascii="Verdana" w:hAnsi="Verdana"/>
          <w:sz w:val="16"/>
          <w:szCs w:val="16"/>
        </w:rPr>
        <w:t>Namén</w:t>
      </w:r>
      <w:proofErr w:type="spellEnd"/>
      <w:r w:rsidRPr="00C05384">
        <w:rPr>
          <w:rFonts w:ascii="Verdana" w:hAnsi="Verdana"/>
          <w:sz w:val="16"/>
          <w:szCs w:val="16"/>
        </w:rPr>
        <w:t xml:space="preserve"> Vargas.</w:t>
      </w:r>
    </w:p>
  </w:footnote>
  <w:footnote w:id="8">
    <w:p w14:paraId="488E04BB" w14:textId="77777777" w:rsidR="0076434A" w:rsidRPr="00C05384" w:rsidRDefault="0076434A" w:rsidP="0076434A">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8646723"/>
    <w:multiLevelType w:val="hybridMultilevel"/>
    <w:tmpl w:val="9FDEB43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B9F4E64"/>
    <w:multiLevelType w:val="multilevel"/>
    <w:tmpl w:val="4DE252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474DF6"/>
    <w:multiLevelType w:val="hybridMultilevel"/>
    <w:tmpl w:val="ABC2A66A"/>
    <w:lvl w:ilvl="0" w:tplc="240A000F">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4440F7"/>
    <w:multiLevelType w:val="hybridMultilevel"/>
    <w:tmpl w:val="A8762E0C"/>
    <w:lvl w:ilvl="0" w:tplc="2F8C5B94">
      <w:start w:val="2"/>
      <w:numFmt w:val="bullet"/>
      <w:lvlText w:val="-"/>
      <w:lvlJc w:val="left"/>
      <w:pPr>
        <w:ind w:left="1080" w:hanging="360"/>
      </w:pPr>
      <w:rPr>
        <w:rFonts w:ascii="Verdana" w:eastAsiaTheme="minorHAnsi" w:hAnsi="Verdana" w:cs="BCDHEE+Verdana"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6A103B2"/>
    <w:multiLevelType w:val="multilevel"/>
    <w:tmpl w:val="FC3AC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9"/>
  </w:num>
  <w:num w:numId="8" w16cid:durableId="152644682">
    <w:abstractNumId w:val="18"/>
  </w:num>
  <w:num w:numId="9" w16cid:durableId="1317221377">
    <w:abstractNumId w:val="11"/>
  </w:num>
  <w:num w:numId="10" w16cid:durableId="1471245386">
    <w:abstractNumId w:val="17"/>
  </w:num>
  <w:num w:numId="11" w16cid:durableId="289172385">
    <w:abstractNumId w:val="12"/>
  </w:num>
  <w:num w:numId="12" w16cid:durableId="1470781324">
    <w:abstractNumId w:val="1"/>
  </w:num>
  <w:num w:numId="13" w16cid:durableId="1512908409">
    <w:abstractNumId w:val="6"/>
  </w:num>
  <w:num w:numId="14" w16cid:durableId="895897244">
    <w:abstractNumId w:val="20"/>
  </w:num>
  <w:num w:numId="15" w16cid:durableId="390349800">
    <w:abstractNumId w:val="15"/>
  </w:num>
  <w:num w:numId="16" w16cid:durableId="141881836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07091978">
    <w:abstractNumId w:val="3"/>
  </w:num>
  <w:num w:numId="18" w16cid:durableId="1777402482">
    <w:abstractNumId w:val="14"/>
  </w:num>
  <w:num w:numId="19" w16cid:durableId="1511872799">
    <w:abstractNumId w:val="4"/>
  </w:num>
  <w:num w:numId="20" w16cid:durableId="2002344437">
    <w:abstractNumId w:val="7"/>
  </w:num>
  <w:num w:numId="21" w16cid:durableId="1783916240">
    <w:abstractNumId w:val="16"/>
  </w:num>
  <w:num w:numId="22" w16cid:durableId="2016495197">
    <w:abstractNumId w:val="13"/>
  </w:num>
  <w:num w:numId="23" w16cid:durableId="9021078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075"/>
    <w:rsid w:val="000159F4"/>
    <w:rsid w:val="00016F78"/>
    <w:rsid w:val="00031D15"/>
    <w:rsid w:val="00046945"/>
    <w:rsid w:val="00061B2A"/>
    <w:rsid w:val="00082362"/>
    <w:rsid w:val="000A683E"/>
    <w:rsid w:val="000B19B9"/>
    <w:rsid w:val="000D0334"/>
    <w:rsid w:val="000F6486"/>
    <w:rsid w:val="00125105"/>
    <w:rsid w:val="00127233"/>
    <w:rsid w:val="001E4177"/>
    <w:rsid w:val="001F7DC6"/>
    <w:rsid w:val="0020342C"/>
    <w:rsid w:val="002421BB"/>
    <w:rsid w:val="0025796E"/>
    <w:rsid w:val="002707A2"/>
    <w:rsid w:val="002951A0"/>
    <w:rsid w:val="002962BC"/>
    <w:rsid w:val="002A093D"/>
    <w:rsid w:val="002A0DD0"/>
    <w:rsid w:val="002A49AC"/>
    <w:rsid w:val="002A64FD"/>
    <w:rsid w:val="002B52DC"/>
    <w:rsid w:val="002B70D5"/>
    <w:rsid w:val="002C7A84"/>
    <w:rsid w:val="002E4FD9"/>
    <w:rsid w:val="0031690E"/>
    <w:rsid w:val="00322A85"/>
    <w:rsid w:val="00324168"/>
    <w:rsid w:val="003448F4"/>
    <w:rsid w:val="00346F48"/>
    <w:rsid w:val="00374F5E"/>
    <w:rsid w:val="00377E3E"/>
    <w:rsid w:val="003A014F"/>
    <w:rsid w:val="003A779E"/>
    <w:rsid w:val="003B3075"/>
    <w:rsid w:val="003D0F4D"/>
    <w:rsid w:val="003D5B0D"/>
    <w:rsid w:val="003D6DCF"/>
    <w:rsid w:val="003E0499"/>
    <w:rsid w:val="003F3941"/>
    <w:rsid w:val="00406575"/>
    <w:rsid w:val="00414C74"/>
    <w:rsid w:val="0042722E"/>
    <w:rsid w:val="0044528D"/>
    <w:rsid w:val="00473324"/>
    <w:rsid w:val="004A1847"/>
    <w:rsid w:val="004A2E18"/>
    <w:rsid w:val="004A305D"/>
    <w:rsid w:val="004C31C2"/>
    <w:rsid w:val="004F21C4"/>
    <w:rsid w:val="004F685F"/>
    <w:rsid w:val="005566E8"/>
    <w:rsid w:val="00574867"/>
    <w:rsid w:val="00591460"/>
    <w:rsid w:val="005C3777"/>
    <w:rsid w:val="005C5CDC"/>
    <w:rsid w:val="005D476C"/>
    <w:rsid w:val="006219F8"/>
    <w:rsid w:val="006302F7"/>
    <w:rsid w:val="0065263E"/>
    <w:rsid w:val="00652B9F"/>
    <w:rsid w:val="006578F5"/>
    <w:rsid w:val="00665D70"/>
    <w:rsid w:val="006849EF"/>
    <w:rsid w:val="006900D9"/>
    <w:rsid w:val="006A760C"/>
    <w:rsid w:val="00706C16"/>
    <w:rsid w:val="00756841"/>
    <w:rsid w:val="0076434A"/>
    <w:rsid w:val="007649AB"/>
    <w:rsid w:val="00771D0C"/>
    <w:rsid w:val="007833AC"/>
    <w:rsid w:val="00796666"/>
    <w:rsid w:val="007B268C"/>
    <w:rsid w:val="007B7171"/>
    <w:rsid w:val="007B761A"/>
    <w:rsid w:val="007C0C0F"/>
    <w:rsid w:val="007C3132"/>
    <w:rsid w:val="007C3DC2"/>
    <w:rsid w:val="007E5497"/>
    <w:rsid w:val="007F5CB2"/>
    <w:rsid w:val="00806F5F"/>
    <w:rsid w:val="00820278"/>
    <w:rsid w:val="00867F95"/>
    <w:rsid w:val="008843B6"/>
    <w:rsid w:val="00891928"/>
    <w:rsid w:val="00897A3A"/>
    <w:rsid w:val="008A31B4"/>
    <w:rsid w:val="008A446D"/>
    <w:rsid w:val="008B4B83"/>
    <w:rsid w:val="008D180B"/>
    <w:rsid w:val="008F0EA7"/>
    <w:rsid w:val="00923EEF"/>
    <w:rsid w:val="009419F9"/>
    <w:rsid w:val="0095685E"/>
    <w:rsid w:val="00961B09"/>
    <w:rsid w:val="00965334"/>
    <w:rsid w:val="0097093E"/>
    <w:rsid w:val="0097239E"/>
    <w:rsid w:val="009935EC"/>
    <w:rsid w:val="009A0DFA"/>
    <w:rsid w:val="009B114A"/>
    <w:rsid w:val="009B25A8"/>
    <w:rsid w:val="009B2D26"/>
    <w:rsid w:val="009C71FA"/>
    <w:rsid w:val="009C72E7"/>
    <w:rsid w:val="009D3058"/>
    <w:rsid w:val="009F3A13"/>
    <w:rsid w:val="009F7B50"/>
    <w:rsid w:val="00A122D3"/>
    <w:rsid w:val="00A17F13"/>
    <w:rsid w:val="00A20739"/>
    <w:rsid w:val="00A33C78"/>
    <w:rsid w:val="00AA773D"/>
    <w:rsid w:val="00AB0ADB"/>
    <w:rsid w:val="00AF0D58"/>
    <w:rsid w:val="00AF77BC"/>
    <w:rsid w:val="00B00C0E"/>
    <w:rsid w:val="00B01B1A"/>
    <w:rsid w:val="00B05624"/>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D04D8"/>
    <w:rsid w:val="00DF5254"/>
    <w:rsid w:val="00E16408"/>
    <w:rsid w:val="00E20894"/>
    <w:rsid w:val="00E245AB"/>
    <w:rsid w:val="00E2764C"/>
    <w:rsid w:val="00E27F2E"/>
    <w:rsid w:val="00E50AFE"/>
    <w:rsid w:val="00E75C92"/>
    <w:rsid w:val="00E771DC"/>
    <w:rsid w:val="00E8772A"/>
    <w:rsid w:val="00E90F6B"/>
    <w:rsid w:val="00E92C27"/>
    <w:rsid w:val="00E93DC0"/>
    <w:rsid w:val="00EA0E3D"/>
    <w:rsid w:val="00EB56FB"/>
    <w:rsid w:val="00EC33FF"/>
    <w:rsid w:val="00EC38A7"/>
    <w:rsid w:val="00ED154E"/>
    <w:rsid w:val="00EE1AA8"/>
    <w:rsid w:val="00F31EDC"/>
    <w:rsid w:val="00F462B3"/>
    <w:rsid w:val="00F5664F"/>
    <w:rsid w:val="00F666C4"/>
    <w:rsid w:val="00F76AFC"/>
    <w:rsid w:val="00F861C6"/>
    <w:rsid w:val="00FA47C0"/>
    <w:rsid w:val="00FB5DD1"/>
    <w:rsid w:val="00FC2B5D"/>
    <w:rsid w:val="00FF1449"/>
    <w:rsid w:val="048D4585"/>
    <w:rsid w:val="0DAB6658"/>
    <w:rsid w:val="10FBA60D"/>
    <w:rsid w:val="21A9664B"/>
    <w:rsid w:val="22395D8C"/>
    <w:rsid w:val="27B3F284"/>
    <w:rsid w:val="29C008CA"/>
    <w:rsid w:val="3C3AFDBA"/>
    <w:rsid w:val="3E9B0F1A"/>
    <w:rsid w:val="401F9E4E"/>
    <w:rsid w:val="4CB9FB27"/>
    <w:rsid w:val="4DAAA740"/>
    <w:rsid w:val="64F8FBDD"/>
    <w:rsid w:val="77EA2D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A014F"/>
    <w:rPr>
      <w:rFonts w:ascii="Geomanist Light" w:hAnsi="Geomanist Light"/>
      <w:lang w:val="es-ES"/>
    </w:rPr>
  </w:style>
  <w:style w:type="paragraph" w:customStyle="1" w:styleId="Appelnotedebasde">
    <w:name w:val="Appel note de bas de..."/>
    <w:basedOn w:val="Normal"/>
    <w:link w:val="Refdenotaalpie"/>
    <w:uiPriority w:val="99"/>
    <w:rsid w:val="003A014F"/>
    <w:pPr>
      <w:spacing w:line="240" w:lineRule="exact"/>
    </w:pPr>
    <w:rPr>
      <w:vertAlign w:val="superscript"/>
    </w:rPr>
  </w:style>
  <w:style w:type="character" w:customStyle="1" w:styleId="baj">
    <w:name w:val="b_aj"/>
    <w:basedOn w:val="Fuentedeprrafopredeter"/>
    <w:rsid w:val="003A014F"/>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237;dica.salud@guani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secretariasalud@guania.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9d85dbaf-23eb-4e57-a637-93dcacc8b1a1"/>
    <ds:schemaRef ds:uri="http://www.w3.org/XML/1998/namespace"/>
    <ds:schemaRef ds:uri="http://purl.org/dc/dcmitype/"/>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a6cb9e4b-f1d1-4245-83ec-6cad768d538a"/>
  </ds:schemaRefs>
</ds:datastoreItem>
</file>

<file path=customXml/itemProps3.xml><?xml version="1.0" encoding="utf-8"?>
<ds:datastoreItem xmlns:ds="http://schemas.openxmlformats.org/officeDocument/2006/customXml" ds:itemID="{6A83C334-F5E2-43BA-BBCE-A880313AF6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4173</Words>
  <Characters>22952</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2025-10-15T21:37:00Z</dcterms:created>
  <dcterms:modified xsi:type="dcterms:W3CDTF">2025-10-15T21:37:00Z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