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07455" w14:textId="77777777" w:rsidR="00547648" w:rsidRPr="00547648" w:rsidRDefault="00547648" w:rsidP="00547648">
      <w:pPr>
        <w:snapToGrid w:val="0"/>
        <w:contextualSpacing/>
        <w:jc w:val="both"/>
        <w:rPr>
          <w:rFonts w:ascii="Verdana" w:eastAsia="Calibri" w:hAnsi="Verdana" w:cs="Arial"/>
          <w:b/>
          <w:bCs/>
          <w:lang w:val="es-ES" w:eastAsia="es-ES_tradnl"/>
        </w:rPr>
      </w:pPr>
      <w:r w:rsidRPr="00547648">
        <w:rPr>
          <w:rFonts w:ascii="Verdana" w:eastAsia="Calibri" w:hAnsi="Verdana" w:cs="Arial"/>
          <w:b/>
          <w:bCs/>
          <w:lang w:val="es-ES" w:eastAsia="es-ES_tradnl"/>
        </w:rPr>
        <w:t>ASAMBLEAS DEPARTAMENTALES – Autorización contratos – Facultad Gobernador</w:t>
      </w:r>
    </w:p>
    <w:p w14:paraId="737043E3" w14:textId="77777777" w:rsidR="00547648" w:rsidRDefault="00547648" w:rsidP="00547648">
      <w:pPr>
        <w:snapToGrid w:val="0"/>
        <w:spacing w:after="0" w:line="240" w:lineRule="auto"/>
        <w:contextualSpacing/>
        <w:jc w:val="both"/>
        <w:rPr>
          <w:rFonts w:ascii="Verdana" w:eastAsia="Calibri" w:hAnsi="Verdana" w:cs="Arial"/>
          <w:lang w:val="es-ES" w:eastAsia="es-ES_tradnl"/>
        </w:rPr>
      </w:pPr>
    </w:p>
    <w:p w14:paraId="69243435" w14:textId="77777777" w:rsidR="00547648" w:rsidRDefault="00547648" w:rsidP="00547648">
      <w:pPr>
        <w:snapToGrid w:val="0"/>
        <w:contextualSpacing/>
        <w:jc w:val="both"/>
        <w:rPr>
          <w:rFonts w:ascii="Verdana" w:hAnsi="Verdana"/>
          <w:sz w:val="20"/>
          <w:szCs w:val="20"/>
          <w:lang w:val="es-ES"/>
        </w:rPr>
      </w:pPr>
      <w:r w:rsidRPr="00547648">
        <w:rPr>
          <w:rFonts w:ascii="Verdana" w:eastAsia="Calibri" w:hAnsi="Verdana" w:cs="Arial"/>
          <w:color w:val="000000" w:themeColor="text1"/>
          <w:sz w:val="20"/>
          <w:szCs w:val="20"/>
          <w:lang w:val="es-ES"/>
        </w:rPr>
        <w:t xml:space="preserve">El numeral 9 del artículo </w:t>
      </w:r>
      <w:r w:rsidRPr="00547648">
        <w:rPr>
          <w:rFonts w:ascii="Verdana" w:hAnsi="Verdana"/>
          <w:sz w:val="20"/>
          <w:szCs w:val="20"/>
          <w:lang w:val="es-ES"/>
        </w:rPr>
        <w:t>300 de la Constitución Nacional no exige que las Asambleas Departamentales autoricen de manera previa todos los contratos que suscriban los gobernadores. Lo anterior, porque el artículo superior no puede interpretarse de manera aislada a las competencias que también han sido asignadas por la ley a los gobernadores para celebrar contratos y ejecutar el presupuesto con el fin de asegurar una prestación eficiente y oportuna de los servicios que tienen a cargo los departamentos. Con respecto a estas competencias, el artículo 305 constitucional señala que el gobernador es la autoridad que dirige la acción administrativa y contractual del ente territorial. En efecto, el gobernador ejercita esta función y coordinación de la acción administrativa en el plano contractual en virtud de lo establecido en el artículo 11 de la Ley 80 de 1993, que autoriza de manera general a los gobernadores, y no a las asambleas, para celebrar contratos en nombre de los departamentos.</w:t>
      </w:r>
    </w:p>
    <w:p w14:paraId="6C691611" w14:textId="77777777" w:rsidR="00547648" w:rsidRPr="00547648" w:rsidRDefault="00547648" w:rsidP="00547648">
      <w:pPr>
        <w:snapToGrid w:val="0"/>
        <w:spacing w:after="0" w:line="240" w:lineRule="auto"/>
        <w:contextualSpacing/>
        <w:jc w:val="both"/>
        <w:rPr>
          <w:rFonts w:ascii="Verdana" w:hAnsi="Verdana"/>
          <w:sz w:val="20"/>
          <w:szCs w:val="20"/>
          <w:lang w:val="es-ES"/>
        </w:rPr>
      </w:pPr>
    </w:p>
    <w:p w14:paraId="20CABC16" w14:textId="2CF3C5CC" w:rsidR="00547648" w:rsidRPr="00547648" w:rsidRDefault="00547648" w:rsidP="00547648">
      <w:pPr>
        <w:snapToGrid w:val="0"/>
        <w:spacing w:after="0" w:line="240" w:lineRule="auto"/>
        <w:contextualSpacing/>
        <w:jc w:val="both"/>
        <w:rPr>
          <w:rFonts w:ascii="Verdana" w:eastAsia="Calibri" w:hAnsi="Verdana" w:cs="Arial"/>
          <w:sz w:val="20"/>
          <w:szCs w:val="20"/>
          <w:lang w:val="es-ES" w:eastAsia="es-ES_tradnl"/>
        </w:rPr>
      </w:pPr>
      <w:r w:rsidRPr="00547648">
        <w:rPr>
          <w:rFonts w:ascii="Verdana" w:hAnsi="Verdana"/>
          <w:sz w:val="20"/>
          <w:szCs w:val="20"/>
          <w:lang w:val="es-ES"/>
        </w:rPr>
        <w:t xml:space="preserve">En consecuencia, la Ley 80 de 1993 concedió una autorización general a los gobernadores para celebrar contratos estatales, de modo que la competencia a la cual se refiere el numeral 9 del artículo 300 de la Constitución Nacional tiene un carácter </w:t>
      </w:r>
      <w:r w:rsidRPr="00547648">
        <w:rPr>
          <w:rFonts w:ascii="Verdana" w:hAnsi="Verdana"/>
          <w:i/>
          <w:iCs/>
          <w:sz w:val="20"/>
          <w:szCs w:val="20"/>
          <w:lang w:val="es-ES"/>
        </w:rPr>
        <w:t xml:space="preserve">excepcional </w:t>
      </w:r>
      <w:r w:rsidRPr="00547648">
        <w:rPr>
          <w:rFonts w:ascii="Verdana" w:hAnsi="Verdana"/>
          <w:sz w:val="20"/>
          <w:szCs w:val="20"/>
          <w:lang w:val="es-ES"/>
        </w:rPr>
        <w:t xml:space="preserve">y es aplicable en los casos que la ley lo exija de manera expresa. De esta forma, la autorización de las asambleas será procedente frente a los contratos que no estén cobijados por la autorización general que la Ley 80 de 1993 otorgó a los gobernadores, o cuando la misma constitución o la ley establezcan supuestos específicos en los que el órgano de representación popular deba conceder la autorización previa.  </w:t>
      </w:r>
    </w:p>
    <w:p w14:paraId="235D6174" w14:textId="77777777" w:rsidR="00547648" w:rsidRPr="00547648" w:rsidRDefault="00547648" w:rsidP="00310ED6">
      <w:pPr>
        <w:spacing w:after="0"/>
        <w:rPr>
          <w:rFonts w:ascii="Verdana" w:hAnsi="Verdana"/>
          <w:sz w:val="20"/>
          <w:szCs w:val="20"/>
          <w:lang w:val="es-ES"/>
        </w:rPr>
      </w:pPr>
    </w:p>
    <w:p w14:paraId="2A30E9EC" w14:textId="77777777" w:rsidR="00547648" w:rsidRDefault="00547648" w:rsidP="00310ED6">
      <w:pPr>
        <w:spacing w:after="0"/>
        <w:rPr>
          <w:rFonts w:ascii="Verdana" w:hAnsi="Verdana"/>
          <w:lang w:val="es-ES"/>
        </w:rPr>
      </w:pPr>
    </w:p>
    <w:p w14:paraId="363730D8" w14:textId="77777777" w:rsidR="00547648" w:rsidRDefault="00547648" w:rsidP="00310ED6">
      <w:pPr>
        <w:spacing w:after="0"/>
        <w:rPr>
          <w:rFonts w:ascii="Verdana" w:hAnsi="Verdana"/>
          <w:lang w:val="es-ES"/>
        </w:rPr>
      </w:pPr>
    </w:p>
    <w:p w14:paraId="4F3EE005" w14:textId="77777777" w:rsidR="00547648" w:rsidRDefault="00547648" w:rsidP="00310ED6">
      <w:pPr>
        <w:spacing w:after="0"/>
        <w:rPr>
          <w:rFonts w:ascii="Verdana" w:hAnsi="Verdana"/>
          <w:lang w:val="es-ES"/>
        </w:rPr>
      </w:pPr>
    </w:p>
    <w:p w14:paraId="3779347B" w14:textId="77777777" w:rsidR="00547648" w:rsidRDefault="00547648" w:rsidP="00310ED6">
      <w:pPr>
        <w:spacing w:after="0"/>
        <w:rPr>
          <w:rFonts w:ascii="Verdana" w:hAnsi="Verdana"/>
          <w:lang w:val="es-ES"/>
        </w:rPr>
      </w:pPr>
    </w:p>
    <w:p w14:paraId="6D9F7AAA" w14:textId="77777777" w:rsidR="00547648" w:rsidRDefault="00547648" w:rsidP="00310ED6">
      <w:pPr>
        <w:spacing w:after="0"/>
        <w:rPr>
          <w:rFonts w:ascii="Verdana" w:hAnsi="Verdana"/>
          <w:lang w:val="es-ES"/>
        </w:rPr>
      </w:pPr>
    </w:p>
    <w:p w14:paraId="7EB8E42B" w14:textId="77777777" w:rsidR="00547648" w:rsidRDefault="00547648" w:rsidP="00310ED6">
      <w:pPr>
        <w:spacing w:after="0"/>
        <w:rPr>
          <w:rFonts w:ascii="Verdana" w:hAnsi="Verdana"/>
          <w:lang w:val="es-ES"/>
        </w:rPr>
      </w:pPr>
    </w:p>
    <w:p w14:paraId="6FEBDC89" w14:textId="77777777" w:rsidR="00547648" w:rsidRDefault="00547648" w:rsidP="00310ED6">
      <w:pPr>
        <w:spacing w:after="0"/>
        <w:rPr>
          <w:rFonts w:ascii="Verdana" w:hAnsi="Verdana"/>
          <w:lang w:val="es-ES"/>
        </w:rPr>
      </w:pPr>
    </w:p>
    <w:p w14:paraId="161A0860" w14:textId="77777777" w:rsidR="00547648" w:rsidRDefault="00547648" w:rsidP="00310ED6">
      <w:pPr>
        <w:spacing w:after="0"/>
        <w:rPr>
          <w:rFonts w:ascii="Verdana" w:hAnsi="Verdana"/>
          <w:lang w:val="es-ES"/>
        </w:rPr>
      </w:pPr>
    </w:p>
    <w:p w14:paraId="07000CAB" w14:textId="77777777" w:rsidR="00547648" w:rsidRDefault="00547648" w:rsidP="00310ED6">
      <w:pPr>
        <w:spacing w:after="0"/>
        <w:rPr>
          <w:rFonts w:ascii="Verdana" w:hAnsi="Verdana"/>
          <w:lang w:val="es-ES"/>
        </w:rPr>
      </w:pPr>
    </w:p>
    <w:p w14:paraId="2458917B" w14:textId="77777777" w:rsidR="00547648" w:rsidRDefault="00547648" w:rsidP="00310ED6">
      <w:pPr>
        <w:spacing w:after="0"/>
        <w:rPr>
          <w:rFonts w:ascii="Verdana" w:hAnsi="Verdana"/>
          <w:lang w:val="es-ES"/>
        </w:rPr>
      </w:pPr>
    </w:p>
    <w:p w14:paraId="31FF12CE" w14:textId="77777777" w:rsidR="00547648" w:rsidRDefault="00547648" w:rsidP="00310ED6">
      <w:pPr>
        <w:spacing w:after="0"/>
        <w:rPr>
          <w:rFonts w:ascii="Verdana" w:hAnsi="Verdana"/>
          <w:lang w:val="es-ES"/>
        </w:rPr>
      </w:pPr>
    </w:p>
    <w:p w14:paraId="776632D3" w14:textId="77777777" w:rsidR="00547648" w:rsidRDefault="00547648" w:rsidP="00310ED6">
      <w:pPr>
        <w:spacing w:after="0"/>
        <w:rPr>
          <w:rFonts w:ascii="Verdana" w:hAnsi="Verdana"/>
          <w:lang w:val="es-ES"/>
        </w:rPr>
      </w:pPr>
    </w:p>
    <w:p w14:paraId="1B7F79FA" w14:textId="77777777" w:rsidR="00547648" w:rsidRDefault="00547648" w:rsidP="00310ED6">
      <w:pPr>
        <w:spacing w:after="0"/>
        <w:rPr>
          <w:rFonts w:ascii="Verdana" w:hAnsi="Verdana"/>
          <w:lang w:val="es-ES"/>
        </w:rPr>
      </w:pPr>
    </w:p>
    <w:p w14:paraId="6D6DA4F0" w14:textId="77777777" w:rsidR="00547648" w:rsidRDefault="00547648" w:rsidP="00310ED6">
      <w:pPr>
        <w:spacing w:after="0"/>
        <w:rPr>
          <w:rFonts w:ascii="Verdana" w:hAnsi="Verdana"/>
          <w:lang w:val="es-ES"/>
        </w:rPr>
      </w:pPr>
    </w:p>
    <w:p w14:paraId="75F098BB" w14:textId="77777777" w:rsidR="00547648" w:rsidRDefault="00547648" w:rsidP="00310ED6">
      <w:pPr>
        <w:spacing w:after="0"/>
        <w:rPr>
          <w:rFonts w:ascii="Verdana" w:hAnsi="Verdana"/>
          <w:lang w:val="es-ES"/>
        </w:rPr>
      </w:pPr>
    </w:p>
    <w:p w14:paraId="2F6A5427" w14:textId="77777777" w:rsidR="00547648" w:rsidRDefault="00547648" w:rsidP="00310ED6">
      <w:pPr>
        <w:spacing w:after="0"/>
        <w:rPr>
          <w:rFonts w:ascii="Verdana" w:hAnsi="Verdana"/>
          <w:lang w:val="es-ES"/>
        </w:rPr>
      </w:pPr>
    </w:p>
    <w:p w14:paraId="1D7BDFA2" w14:textId="77777777" w:rsidR="00547648" w:rsidRDefault="00547648" w:rsidP="00310ED6">
      <w:pPr>
        <w:spacing w:after="0"/>
        <w:rPr>
          <w:rFonts w:ascii="Verdana" w:hAnsi="Verdana"/>
          <w:lang w:val="es-ES"/>
        </w:rPr>
      </w:pPr>
    </w:p>
    <w:p w14:paraId="73690491" w14:textId="77777777" w:rsidR="00547648" w:rsidRDefault="00547648" w:rsidP="00310ED6">
      <w:pPr>
        <w:spacing w:after="0"/>
        <w:rPr>
          <w:rFonts w:ascii="Verdana" w:hAnsi="Verdana"/>
          <w:lang w:val="es-ES"/>
        </w:rPr>
      </w:pPr>
    </w:p>
    <w:p w14:paraId="168F5E1B" w14:textId="343F172E" w:rsidR="00310ED6" w:rsidRPr="00A374BE" w:rsidRDefault="00310ED6" w:rsidP="00310ED6">
      <w:pPr>
        <w:spacing w:after="0"/>
        <w:rPr>
          <w:rFonts w:ascii="Verdana" w:hAnsi="Verdana"/>
          <w:lang w:val="es-ES"/>
        </w:rPr>
      </w:pPr>
      <w:r w:rsidRPr="00A374BE">
        <w:rPr>
          <w:rFonts w:ascii="Verdana" w:hAnsi="Verdana"/>
          <w:lang w:val="es-ES"/>
        </w:rPr>
        <w:t xml:space="preserve">Bogotá D.C., </w:t>
      </w:r>
      <w:r w:rsidR="002A005D">
        <w:rPr>
          <w:rFonts w:ascii="Verdana" w:hAnsi="Verdana"/>
          <w:lang w:val="es-ES"/>
        </w:rPr>
        <w:t>20 de octubre de 2025</w:t>
      </w:r>
    </w:p>
    <w:p w14:paraId="1519EBBB" w14:textId="5BBF489C" w:rsidR="00310ED6" w:rsidRPr="00A374BE" w:rsidRDefault="00EF686B" w:rsidP="00310ED6">
      <w:pPr>
        <w:spacing w:after="0" w:line="240" w:lineRule="auto"/>
        <w:jc w:val="both"/>
        <w:rPr>
          <w:rFonts w:ascii="Verdana" w:eastAsia="Calibri" w:hAnsi="Verdana" w:cs="Arial"/>
          <w:lang w:val="es-ES" w:eastAsia="es-ES"/>
        </w:rPr>
      </w:pPr>
      <w:r>
        <w:rPr>
          <w:rFonts w:ascii="Verdana" w:eastAsia="Calibri" w:hAnsi="Verdana" w:cs="Arial"/>
          <w:b/>
          <w:bCs/>
          <w:noProof/>
          <w:lang w:val="es-ES" w:eastAsia="es-ES"/>
        </w:rPr>
        <w:drawing>
          <wp:anchor distT="0" distB="0" distL="114300" distR="114300" simplePos="0" relativeHeight="251659264" behindDoc="0" locked="0" layoutInCell="1" allowOverlap="1" wp14:anchorId="1162B8A4" wp14:editId="12EA5DA4">
            <wp:simplePos x="0" y="0"/>
            <wp:positionH relativeFrom="column">
              <wp:posOffset>2997065</wp:posOffset>
            </wp:positionH>
            <wp:positionV relativeFrom="page">
              <wp:posOffset>1654810</wp:posOffset>
            </wp:positionV>
            <wp:extent cx="2482850" cy="673100"/>
            <wp:effectExtent l="0" t="0" r="6350" b="0"/>
            <wp:wrapSquare wrapText="bothSides"/>
            <wp:docPr id="13171428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142814" name="Picture 131714281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82850" cy="673100"/>
                    </a:xfrm>
                    <a:prstGeom prst="rect">
                      <a:avLst/>
                    </a:prstGeom>
                  </pic:spPr>
                </pic:pic>
              </a:graphicData>
            </a:graphic>
            <wp14:sizeRelH relativeFrom="page">
              <wp14:pctWidth>0</wp14:pctWidth>
            </wp14:sizeRelH>
            <wp14:sizeRelV relativeFrom="page">
              <wp14:pctHeight>0</wp14:pctHeight>
            </wp14:sizeRelV>
          </wp:anchor>
        </w:drawing>
      </w:r>
    </w:p>
    <w:p w14:paraId="1E752812" w14:textId="079C69BD" w:rsidR="00310ED6" w:rsidRPr="00A374BE" w:rsidRDefault="00310ED6" w:rsidP="00310ED6">
      <w:pPr>
        <w:spacing w:after="0" w:line="240" w:lineRule="auto"/>
        <w:jc w:val="both"/>
        <w:rPr>
          <w:rFonts w:ascii="Verdana" w:eastAsia="Calibri" w:hAnsi="Verdana" w:cs="Arial"/>
          <w:lang w:val="es-ES" w:eastAsia="es-ES"/>
        </w:rPr>
      </w:pPr>
      <w:r w:rsidRPr="00A374BE">
        <w:rPr>
          <w:rFonts w:ascii="Verdana" w:eastAsia="Calibri" w:hAnsi="Verdana" w:cs="Arial"/>
          <w:lang w:val="es-ES" w:eastAsia="es-ES"/>
        </w:rPr>
        <w:t>Señor</w:t>
      </w:r>
    </w:p>
    <w:p w14:paraId="0F8F0ACA" w14:textId="3C8BD6E1" w:rsidR="00310ED6" w:rsidRPr="00A374BE" w:rsidRDefault="00310ED6" w:rsidP="00310ED6">
      <w:pPr>
        <w:spacing w:after="0" w:line="240" w:lineRule="auto"/>
        <w:jc w:val="both"/>
        <w:rPr>
          <w:rFonts w:ascii="Verdana" w:eastAsia="Calibri" w:hAnsi="Verdana" w:cs="Arial"/>
          <w:b/>
          <w:bCs/>
          <w:lang w:val="es-ES" w:eastAsia="es-ES"/>
        </w:rPr>
      </w:pPr>
      <w:r w:rsidRPr="00A374BE">
        <w:rPr>
          <w:rFonts w:ascii="Verdana" w:eastAsia="Calibri" w:hAnsi="Verdana" w:cs="Arial"/>
          <w:b/>
          <w:bCs/>
          <w:lang w:val="es-ES" w:eastAsia="es-ES"/>
        </w:rPr>
        <w:t>Ciudadano anónimo</w:t>
      </w:r>
    </w:p>
    <w:p w14:paraId="7D9DAF76" w14:textId="77777777" w:rsidR="00310ED6" w:rsidRPr="00A374BE" w:rsidRDefault="00310ED6" w:rsidP="00310ED6">
      <w:pPr>
        <w:spacing w:after="0" w:line="240" w:lineRule="auto"/>
        <w:rPr>
          <w:rFonts w:ascii="Verdana" w:eastAsia="Calibri" w:hAnsi="Verdana" w:cs="Arial"/>
          <w:bCs/>
          <w:lang w:val="es-ES" w:eastAsia="es-ES_tradnl"/>
        </w:rPr>
      </w:pPr>
      <w:r w:rsidRPr="00A374BE">
        <w:rPr>
          <w:rFonts w:ascii="Verdana" w:eastAsia="Calibri" w:hAnsi="Verdana" w:cs="Arial"/>
          <w:bCs/>
          <w:lang w:val="es-ES" w:eastAsia="es-ES_tradnl"/>
        </w:rPr>
        <w:t>Bogotá D.C.</w:t>
      </w:r>
    </w:p>
    <w:p w14:paraId="25613808" w14:textId="77777777" w:rsidR="00310ED6" w:rsidRPr="00A374BE" w:rsidRDefault="00310ED6" w:rsidP="00310ED6">
      <w:pPr>
        <w:spacing w:after="0" w:line="240" w:lineRule="auto"/>
        <w:rPr>
          <w:rFonts w:ascii="Verdana" w:eastAsia="Calibri" w:hAnsi="Verdana" w:cs="Arial"/>
          <w:b/>
          <w:bCs/>
          <w:color w:val="000000"/>
          <w:lang w:val="es-E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10ED6" w:rsidRPr="00A374BE" w14:paraId="0DDC04AD" w14:textId="77777777" w:rsidTr="00413F5F">
        <w:trPr>
          <w:trHeight w:val="575"/>
        </w:trPr>
        <w:tc>
          <w:tcPr>
            <w:tcW w:w="2689" w:type="dxa"/>
          </w:tcPr>
          <w:p w14:paraId="50A1D43F" w14:textId="77777777" w:rsidR="00310ED6" w:rsidRDefault="00310ED6" w:rsidP="00413F5F">
            <w:pPr>
              <w:jc w:val="both"/>
              <w:rPr>
                <w:rFonts w:ascii="Verdana" w:eastAsia="Calibri" w:hAnsi="Verdana" w:cs="Arial"/>
                <w:b/>
                <w:bCs/>
                <w:color w:val="7030A0"/>
                <w:lang w:val="es-ES" w:eastAsia="es-ES_tradnl"/>
              </w:rPr>
            </w:pPr>
          </w:p>
          <w:p w14:paraId="1DAF4F9E" w14:textId="77777777" w:rsidR="00EF686B" w:rsidRPr="00A374BE" w:rsidRDefault="00EF686B" w:rsidP="00413F5F">
            <w:pPr>
              <w:jc w:val="both"/>
              <w:rPr>
                <w:rFonts w:ascii="Verdana" w:eastAsia="Calibri" w:hAnsi="Verdana" w:cs="Arial"/>
                <w:b/>
                <w:bCs/>
                <w:color w:val="7030A0"/>
                <w:lang w:val="es-ES" w:eastAsia="es-ES_tradnl"/>
              </w:rPr>
            </w:pPr>
          </w:p>
        </w:tc>
        <w:tc>
          <w:tcPr>
            <w:tcW w:w="6100" w:type="dxa"/>
          </w:tcPr>
          <w:p w14:paraId="4FCDD5B6" w14:textId="77777777" w:rsidR="00EF686B" w:rsidRDefault="00EF686B" w:rsidP="00413F5F">
            <w:pPr>
              <w:jc w:val="both"/>
              <w:rPr>
                <w:rFonts w:ascii="Verdana" w:eastAsia="Calibri" w:hAnsi="Verdana" w:cs="Arial"/>
                <w:b/>
                <w:bCs/>
                <w:lang w:val="es-ES" w:eastAsia="es-ES"/>
              </w:rPr>
            </w:pPr>
          </w:p>
          <w:p w14:paraId="698E2987" w14:textId="000B627C" w:rsidR="00310ED6" w:rsidRPr="00A374BE" w:rsidRDefault="00310ED6" w:rsidP="00413F5F">
            <w:pPr>
              <w:jc w:val="both"/>
              <w:rPr>
                <w:rFonts w:ascii="Verdana" w:eastAsia="Calibri" w:hAnsi="Verdana" w:cs="Arial"/>
                <w:b/>
                <w:bCs/>
                <w:color w:val="7030A0"/>
                <w:lang w:val="es-ES" w:eastAsia="es-ES"/>
              </w:rPr>
            </w:pPr>
            <w:r w:rsidRPr="00A374BE">
              <w:rPr>
                <w:rFonts w:ascii="Verdana" w:eastAsia="Calibri" w:hAnsi="Verdana" w:cs="Arial"/>
                <w:b/>
                <w:bCs/>
                <w:lang w:val="es-ES" w:eastAsia="es-ES"/>
              </w:rPr>
              <w:t>Concepto C–</w:t>
            </w:r>
            <w:r w:rsidR="003F16B7">
              <w:rPr>
                <w:rFonts w:ascii="Verdana" w:eastAsia="Calibri" w:hAnsi="Verdana" w:cs="Arial"/>
                <w:b/>
                <w:bCs/>
                <w:lang w:val="es-ES" w:eastAsia="es-ES"/>
              </w:rPr>
              <w:t>1305</w:t>
            </w:r>
            <w:r w:rsidRPr="00A374BE">
              <w:rPr>
                <w:rFonts w:ascii="Verdana" w:eastAsia="Calibri" w:hAnsi="Verdana" w:cs="Arial"/>
                <w:b/>
                <w:bCs/>
                <w:lang w:val="es-ES" w:eastAsia="es-ES"/>
              </w:rPr>
              <w:t xml:space="preserve"> de 2025</w:t>
            </w:r>
          </w:p>
        </w:tc>
      </w:tr>
      <w:tr w:rsidR="00310ED6" w:rsidRPr="00A374BE" w14:paraId="0A2E6359" w14:textId="77777777" w:rsidTr="00413F5F">
        <w:trPr>
          <w:trHeight w:val="884"/>
        </w:trPr>
        <w:tc>
          <w:tcPr>
            <w:tcW w:w="2689" w:type="dxa"/>
          </w:tcPr>
          <w:p w14:paraId="39ED942D" w14:textId="77777777" w:rsidR="00EF686B" w:rsidRDefault="00EF686B" w:rsidP="00413F5F">
            <w:pPr>
              <w:jc w:val="both"/>
              <w:rPr>
                <w:rFonts w:ascii="Verdana" w:eastAsia="Calibri" w:hAnsi="Verdana" w:cs="Arial"/>
                <w:b/>
                <w:color w:val="000000"/>
                <w:lang w:val="es-ES" w:eastAsia="es-ES_tradnl"/>
              </w:rPr>
            </w:pPr>
          </w:p>
          <w:p w14:paraId="4CAC1226" w14:textId="08AEEE03" w:rsidR="00310ED6" w:rsidRPr="00A374BE" w:rsidRDefault="00310ED6" w:rsidP="00413F5F">
            <w:pPr>
              <w:jc w:val="both"/>
              <w:rPr>
                <w:rFonts w:ascii="Verdana" w:eastAsia="Calibri" w:hAnsi="Verdana" w:cs="Arial"/>
                <w:color w:val="000000"/>
                <w:lang w:val="es-ES" w:eastAsia="es-ES_tradnl"/>
              </w:rPr>
            </w:pPr>
            <w:r w:rsidRPr="00A374BE">
              <w:rPr>
                <w:rFonts w:ascii="Verdana" w:eastAsia="Calibri" w:hAnsi="Verdana" w:cs="Arial"/>
                <w:b/>
                <w:color w:val="000000"/>
                <w:lang w:val="es-ES" w:eastAsia="es-ES_tradnl"/>
              </w:rPr>
              <w:t>Temas:</w:t>
            </w:r>
            <w:r w:rsidRPr="00A374BE">
              <w:rPr>
                <w:rFonts w:ascii="Verdana" w:eastAsia="Calibri" w:hAnsi="Verdana" w:cs="Arial"/>
                <w:color w:val="000000"/>
                <w:lang w:val="es-ES" w:eastAsia="es-ES_tradnl"/>
              </w:rPr>
              <w:t xml:space="preserve">                   </w:t>
            </w:r>
          </w:p>
        </w:tc>
        <w:tc>
          <w:tcPr>
            <w:tcW w:w="6100" w:type="dxa"/>
          </w:tcPr>
          <w:p w14:paraId="75A9A86A" w14:textId="77777777" w:rsidR="00EF686B" w:rsidRDefault="00EF686B" w:rsidP="00413F5F">
            <w:pPr>
              <w:jc w:val="both"/>
              <w:rPr>
                <w:rFonts w:ascii="Verdana" w:eastAsia="Calibri" w:hAnsi="Verdana" w:cs="Arial"/>
                <w:lang w:val="es-ES" w:eastAsia="es-ES_tradnl"/>
              </w:rPr>
            </w:pPr>
          </w:p>
          <w:p w14:paraId="00412994" w14:textId="268C7678" w:rsidR="00310ED6" w:rsidRPr="006F3C3C" w:rsidRDefault="00310ED6" w:rsidP="00413F5F">
            <w:pPr>
              <w:jc w:val="both"/>
              <w:rPr>
                <w:rFonts w:ascii="Verdana" w:eastAsia="Calibri" w:hAnsi="Verdana" w:cs="Arial"/>
                <w:lang w:val="es-ES" w:eastAsia="es-ES_tradnl"/>
              </w:rPr>
            </w:pPr>
            <w:r w:rsidRPr="006F3C3C">
              <w:rPr>
                <w:rFonts w:ascii="Verdana" w:eastAsia="Calibri" w:hAnsi="Verdana" w:cs="Arial"/>
                <w:lang w:val="es-ES" w:eastAsia="es-ES_tradnl"/>
              </w:rPr>
              <w:t>ASAMBLEAS DEPARTAMENTALES – Autorización contratos – Facultad Gobernador</w:t>
            </w:r>
          </w:p>
          <w:p w14:paraId="5EE4CA36" w14:textId="77777777" w:rsidR="00310ED6" w:rsidRPr="00A374BE" w:rsidRDefault="00310ED6" w:rsidP="00413F5F">
            <w:pPr>
              <w:spacing w:line="276" w:lineRule="auto"/>
              <w:jc w:val="both"/>
              <w:rPr>
                <w:rFonts w:ascii="Verdana" w:eastAsia="Calibri" w:hAnsi="Verdana" w:cs="Arial"/>
                <w:lang w:val="es-ES" w:eastAsia="es-ES"/>
              </w:rPr>
            </w:pPr>
            <w:r w:rsidRPr="00A374BE">
              <w:rPr>
                <w:rFonts w:ascii="Verdana" w:eastAsia="Calibri" w:hAnsi="Verdana" w:cs="Arial"/>
                <w:lang w:val="es-ES" w:eastAsia="es-ES"/>
              </w:rPr>
              <w:t xml:space="preserve">  </w:t>
            </w:r>
          </w:p>
        </w:tc>
      </w:tr>
      <w:tr w:rsidR="00310ED6" w:rsidRPr="00A374BE" w14:paraId="6FB91AE0" w14:textId="77777777" w:rsidTr="00413F5F">
        <w:tc>
          <w:tcPr>
            <w:tcW w:w="2689" w:type="dxa"/>
          </w:tcPr>
          <w:p w14:paraId="30A5F425" w14:textId="77777777" w:rsidR="00310ED6" w:rsidRPr="00A374BE" w:rsidRDefault="00310ED6" w:rsidP="00413F5F">
            <w:pPr>
              <w:jc w:val="both"/>
              <w:rPr>
                <w:rFonts w:ascii="Verdana" w:eastAsia="Calibri" w:hAnsi="Verdana" w:cs="Arial"/>
                <w:b/>
                <w:lang w:val="es-ES" w:eastAsia="es-ES_tradnl"/>
              </w:rPr>
            </w:pPr>
            <w:r w:rsidRPr="00A374BE">
              <w:rPr>
                <w:rFonts w:ascii="Verdana" w:eastAsia="Calibri" w:hAnsi="Verdana" w:cs="Arial"/>
                <w:b/>
                <w:lang w:val="es-ES" w:eastAsia="es-ES_tradnl"/>
              </w:rPr>
              <w:t>Radicación:</w:t>
            </w:r>
            <w:r w:rsidRPr="00A374BE">
              <w:rPr>
                <w:rFonts w:ascii="Verdana" w:eastAsia="Calibri" w:hAnsi="Verdana" w:cs="Arial"/>
                <w:lang w:val="es-ES" w:eastAsia="es-ES_tradnl"/>
              </w:rPr>
              <w:t xml:space="preserve">               </w:t>
            </w:r>
          </w:p>
        </w:tc>
        <w:tc>
          <w:tcPr>
            <w:tcW w:w="6100" w:type="dxa"/>
          </w:tcPr>
          <w:p w14:paraId="69940CBA" w14:textId="77777777" w:rsidR="00310ED6" w:rsidRPr="00A374BE" w:rsidRDefault="00310ED6" w:rsidP="00413F5F">
            <w:pPr>
              <w:spacing w:line="276" w:lineRule="auto"/>
              <w:jc w:val="both"/>
              <w:rPr>
                <w:rFonts w:ascii="Verdana" w:eastAsia="Calibri" w:hAnsi="Verdana" w:cs="Arial"/>
                <w:lang w:val="es-ES" w:eastAsia="es-ES_tradnl"/>
              </w:rPr>
            </w:pPr>
            <w:r w:rsidRPr="00A374BE">
              <w:rPr>
                <w:rFonts w:ascii="Verdana" w:eastAsia="Calibri" w:hAnsi="Verdana" w:cs="Arial"/>
                <w:lang w:val="es-ES" w:eastAsia="es-ES_tradnl"/>
              </w:rPr>
              <w:t xml:space="preserve">Respuesta a la consulta con radicado </w:t>
            </w:r>
            <w:proofErr w:type="gramStart"/>
            <w:r w:rsidRPr="00A374BE">
              <w:rPr>
                <w:rFonts w:ascii="Verdana" w:eastAsia="Calibri" w:hAnsi="Verdana" w:cs="Arial"/>
                <w:lang w:val="es-ES" w:eastAsia="es-ES_tradnl"/>
              </w:rPr>
              <w:t>No.  1</w:t>
            </w:r>
            <w:proofErr w:type="gramEnd"/>
            <w:r w:rsidRPr="00A374BE">
              <w:rPr>
                <w:rFonts w:ascii="Verdana" w:eastAsia="Calibri" w:hAnsi="Verdana" w:cs="Arial"/>
                <w:lang w:val="es-ES" w:eastAsia="es-ES_tradnl"/>
              </w:rPr>
              <w:t>_2025_09_11_009950</w:t>
            </w:r>
          </w:p>
        </w:tc>
      </w:tr>
    </w:tbl>
    <w:p w14:paraId="2B490561" w14:textId="77777777" w:rsidR="00310ED6" w:rsidRPr="00A374BE" w:rsidRDefault="00310ED6" w:rsidP="00310ED6">
      <w:pPr>
        <w:spacing w:after="0" w:line="240" w:lineRule="auto"/>
        <w:jc w:val="both"/>
        <w:rPr>
          <w:rFonts w:ascii="Verdana" w:eastAsia="Calibri" w:hAnsi="Verdana" w:cs="Arial"/>
          <w:color w:val="000000"/>
          <w:lang w:val="es-ES" w:eastAsia="es-ES_tradnl"/>
        </w:rPr>
      </w:pPr>
    </w:p>
    <w:p w14:paraId="2B601369" w14:textId="77777777" w:rsidR="00310ED6" w:rsidRPr="00A374BE" w:rsidRDefault="00310ED6" w:rsidP="00310ED6">
      <w:pPr>
        <w:spacing w:after="0" w:line="276" w:lineRule="auto"/>
        <w:jc w:val="both"/>
        <w:rPr>
          <w:rFonts w:ascii="Verdana" w:eastAsia="Calibri" w:hAnsi="Verdana" w:cs="Arial"/>
          <w:lang w:val="es-ES" w:eastAsia="es-ES"/>
        </w:rPr>
      </w:pPr>
      <w:r w:rsidRPr="00A374BE">
        <w:rPr>
          <w:rFonts w:ascii="Verdana" w:eastAsia="Calibri" w:hAnsi="Verdana" w:cs="Arial"/>
          <w:lang w:val="es-ES" w:eastAsia="es-ES"/>
        </w:rPr>
        <w:t xml:space="preserve">Estimado ciudadano: </w:t>
      </w:r>
    </w:p>
    <w:p w14:paraId="1FD56D53" w14:textId="77777777" w:rsidR="00310ED6" w:rsidRPr="00A374BE" w:rsidRDefault="00310ED6" w:rsidP="00310ED6">
      <w:pPr>
        <w:tabs>
          <w:tab w:val="left" w:pos="3768"/>
        </w:tabs>
        <w:spacing w:after="0" w:line="276" w:lineRule="auto"/>
        <w:jc w:val="both"/>
        <w:rPr>
          <w:rFonts w:ascii="Verdana" w:eastAsia="Calibri" w:hAnsi="Verdana" w:cs="Arial"/>
          <w:color w:val="000000" w:themeColor="text1"/>
          <w:lang w:val="es-ES" w:eastAsia="es-ES"/>
        </w:rPr>
      </w:pPr>
      <w:r w:rsidRPr="00A374BE">
        <w:rPr>
          <w:rFonts w:ascii="Verdana" w:eastAsia="Calibri" w:hAnsi="Verdana" w:cs="Arial"/>
          <w:color w:val="000000" w:themeColor="text1"/>
          <w:lang w:val="es-ES" w:eastAsia="es-ES"/>
        </w:rPr>
        <w:tab/>
      </w:r>
    </w:p>
    <w:p w14:paraId="59CFDC3F" w14:textId="77777777" w:rsidR="00310ED6" w:rsidRPr="00A374BE" w:rsidRDefault="00310ED6" w:rsidP="00310ED6">
      <w:pPr>
        <w:spacing w:after="0" w:line="276" w:lineRule="auto"/>
        <w:jc w:val="both"/>
        <w:rPr>
          <w:rFonts w:ascii="Verdana" w:eastAsia="Calibri" w:hAnsi="Verdana" w:cs="Arial"/>
          <w:lang w:val="es-ES" w:eastAsia="es-ES"/>
        </w:rPr>
      </w:pPr>
      <w:r w:rsidRPr="00A374BE">
        <w:rPr>
          <w:rFonts w:ascii="Verdana" w:eastAsia="Calibri" w:hAnsi="Verdana" w:cs="Arial"/>
          <w:color w:val="000000" w:themeColor="text1"/>
          <w:lang w:val="es-ES" w:eastAsia="es-ES"/>
        </w:rPr>
        <w:t>En ejercicio de la competencia otorgada por los artículos 3, numeral 5º, y 11, numeral 8º, del Decreto Ley 4170 de 2011,</w:t>
      </w:r>
      <w:r w:rsidRPr="00A374BE">
        <w:rPr>
          <w:rFonts w:ascii="Verdana" w:eastAsia="Arial MT" w:hAnsi="Verdana" w:cs="Arial MT"/>
          <w:lang w:val="es-ES" w:eastAsia="es-ES"/>
        </w:rPr>
        <w:t xml:space="preserve"> </w:t>
      </w:r>
      <w:r w:rsidRPr="00A374BE">
        <w:rPr>
          <w:rFonts w:ascii="Verdana" w:hAnsi="Verdana" w:cs="Arial"/>
          <w:lang w:val="es-ES"/>
        </w:rPr>
        <w:t xml:space="preserve">así como lo establecido en el artículo 4 de la Resolución 1707 de 2018 expedida por esta Entidad, </w:t>
      </w:r>
      <w:r w:rsidRPr="00A374BE">
        <w:rPr>
          <w:rFonts w:ascii="Verdana" w:eastAsia="Calibri" w:hAnsi="Verdana" w:cs="Arial"/>
          <w:color w:val="000000" w:themeColor="text1"/>
          <w:lang w:val="es-ES" w:eastAsia="es-ES"/>
        </w:rPr>
        <w:t xml:space="preserve">la Agencia Nacional de Contratación Pública – Colombia Compra Eficiente responde su solicitud de consulta remitida por la Agencia de Defensa Jurídica del Estado el </w:t>
      </w:r>
      <w:r w:rsidRPr="00A374BE">
        <w:rPr>
          <w:rFonts w:ascii="Verdana" w:eastAsia="Calibri" w:hAnsi="Verdana" w:cs="Arial"/>
          <w:lang w:val="es-ES" w:eastAsia="es-ES"/>
        </w:rPr>
        <w:t>11 de septiembre de 2025, en la que pregunta lo siguiente:</w:t>
      </w:r>
    </w:p>
    <w:p w14:paraId="16414796" w14:textId="77777777" w:rsidR="00310ED6" w:rsidRPr="00A374BE" w:rsidRDefault="00310ED6" w:rsidP="00A45B0E">
      <w:pPr>
        <w:spacing w:after="0" w:line="240" w:lineRule="auto"/>
        <w:jc w:val="both"/>
        <w:rPr>
          <w:rFonts w:ascii="Verdana" w:eastAsia="Calibri" w:hAnsi="Verdana" w:cs="Arial"/>
          <w:color w:val="7030A0"/>
          <w:lang w:val="es-ES" w:eastAsia="es-ES"/>
        </w:rPr>
      </w:pPr>
      <w:r w:rsidRPr="00A374BE">
        <w:rPr>
          <w:rFonts w:ascii="Verdana" w:eastAsia="Calibri" w:hAnsi="Verdana" w:cs="Arial"/>
          <w:lang w:val="es-ES" w:eastAsia="es-ES"/>
        </w:rPr>
        <w:t xml:space="preserve"> </w:t>
      </w:r>
    </w:p>
    <w:p w14:paraId="61641224" w14:textId="77777777" w:rsidR="00310ED6" w:rsidRPr="00A374BE" w:rsidRDefault="00310ED6" w:rsidP="00310ED6">
      <w:pPr>
        <w:spacing w:after="0" w:line="240" w:lineRule="auto"/>
        <w:ind w:left="709" w:right="709"/>
        <w:jc w:val="both"/>
        <w:rPr>
          <w:rFonts w:ascii="Verdana" w:eastAsia="Century Gothic" w:hAnsi="Verdana" w:cs="Century Gothic"/>
          <w:sz w:val="20"/>
          <w:szCs w:val="20"/>
          <w:lang w:val="es-ES"/>
        </w:rPr>
      </w:pPr>
      <w:r w:rsidRPr="00A374BE">
        <w:rPr>
          <w:rFonts w:ascii="Verdana" w:eastAsia="Century Gothic" w:hAnsi="Verdana" w:cs="Century Gothic"/>
          <w:sz w:val="20"/>
          <w:szCs w:val="20"/>
          <w:lang w:val="es-ES"/>
        </w:rPr>
        <w:t>“</w:t>
      </w:r>
      <w:r w:rsidRPr="00C63157">
        <w:rPr>
          <w:rFonts w:ascii="Verdana" w:eastAsia="Century Gothic" w:hAnsi="Verdana" w:cs="Century Gothic"/>
          <w:sz w:val="20"/>
          <w:szCs w:val="20"/>
          <w:lang w:val="es-ES"/>
        </w:rPr>
        <w:t xml:space="preserve">Solicito se me EMEITA CONCEPTO sobre si un Gobernador debe solicitarle a la Asamblea departamental facultades para suscribir convenios y contratos; De ser positiva la respuesta indicarme cual es el fundamento legal y para </w:t>
      </w:r>
      <w:proofErr w:type="spellStart"/>
      <w:r w:rsidRPr="00C63157">
        <w:rPr>
          <w:rFonts w:ascii="Verdana" w:eastAsia="Century Gothic" w:hAnsi="Verdana" w:cs="Century Gothic"/>
          <w:sz w:val="20"/>
          <w:szCs w:val="20"/>
          <w:lang w:val="es-ES"/>
        </w:rPr>
        <w:t>que</w:t>
      </w:r>
      <w:proofErr w:type="spellEnd"/>
      <w:r w:rsidRPr="00C63157">
        <w:rPr>
          <w:rFonts w:ascii="Verdana" w:eastAsia="Century Gothic" w:hAnsi="Verdana" w:cs="Century Gothic"/>
          <w:sz w:val="20"/>
          <w:szCs w:val="20"/>
          <w:lang w:val="es-ES"/>
        </w:rPr>
        <w:t xml:space="preserve"> tipo de contratos y convenios requiere facultades, Igualmente solicito se me explique si en caso de que la asamblea departamental le otorgue facultades a un gobernador, estas deben ser especificas o se le puede otorgar de forma general</w:t>
      </w:r>
      <w:r w:rsidRPr="00A374BE">
        <w:rPr>
          <w:rFonts w:ascii="Verdana" w:eastAsia="Century Gothic" w:hAnsi="Verdana" w:cs="Century Gothic"/>
          <w:sz w:val="20"/>
          <w:szCs w:val="20"/>
          <w:lang w:val="es-ES"/>
        </w:rPr>
        <w:t>” (SIC).</w:t>
      </w:r>
    </w:p>
    <w:p w14:paraId="5718E850" w14:textId="77777777" w:rsidR="00310ED6" w:rsidRPr="00A374BE" w:rsidRDefault="00310ED6" w:rsidP="00310ED6">
      <w:pPr>
        <w:pStyle w:val="Prrafodelista"/>
        <w:tabs>
          <w:tab w:val="left" w:pos="142"/>
          <w:tab w:val="left" w:pos="284"/>
        </w:tabs>
        <w:spacing w:after="0" w:line="276" w:lineRule="auto"/>
        <w:ind w:left="0"/>
        <w:jc w:val="both"/>
        <w:rPr>
          <w:rFonts w:ascii="Verdana" w:eastAsia="Century Gothic" w:hAnsi="Verdana" w:cs="Century Gothic"/>
          <w:b/>
        </w:rPr>
      </w:pPr>
    </w:p>
    <w:p w14:paraId="71951ADA" w14:textId="77777777" w:rsidR="00310ED6" w:rsidRPr="00A374BE" w:rsidRDefault="00310ED6" w:rsidP="00310ED6">
      <w:pPr>
        <w:spacing w:after="120" w:line="276" w:lineRule="auto"/>
        <w:ind w:firstLine="709"/>
        <w:jc w:val="both"/>
        <w:rPr>
          <w:rFonts w:ascii="Verdana" w:eastAsia="Calibri" w:hAnsi="Verdana" w:cs="Arial"/>
          <w:color w:val="000000"/>
          <w:lang w:val="es-ES" w:eastAsia="es-ES"/>
        </w:rPr>
      </w:pPr>
      <w:r w:rsidRPr="00A374BE">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w:t>
      </w:r>
      <w:r w:rsidRPr="00A374BE">
        <w:rPr>
          <w:rFonts w:ascii="Verdana" w:eastAsia="Calibri" w:hAnsi="Verdana" w:cs="Arial"/>
          <w:color w:val="000000"/>
          <w:lang w:val="es-ES" w:eastAsia="es-ES"/>
        </w:rPr>
        <w:lastRenderedPageBreak/>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374BE">
        <w:rPr>
          <w:rFonts w:ascii="Verdana" w:eastAsia="Calibri" w:hAnsi="Verdana" w:cs="Arial"/>
          <w:color w:val="000000"/>
          <w:szCs w:val="24"/>
          <w:lang w:val="es-ES" w:eastAsia="es-ES_tradnl"/>
        </w:rPr>
        <w:tab/>
      </w:r>
    </w:p>
    <w:p w14:paraId="00341C94" w14:textId="77777777" w:rsidR="00310ED6" w:rsidRPr="00A374BE" w:rsidRDefault="00310ED6" w:rsidP="00310ED6">
      <w:pPr>
        <w:spacing w:after="0" w:line="276" w:lineRule="auto"/>
        <w:ind w:firstLine="709"/>
        <w:jc w:val="both"/>
        <w:rPr>
          <w:rFonts w:ascii="Verdana" w:eastAsia="Calibri" w:hAnsi="Verdana" w:cs="Arial"/>
          <w:color w:val="000000"/>
          <w:lang w:val="es-ES" w:eastAsia="es-ES"/>
        </w:rPr>
      </w:pPr>
      <w:r w:rsidRPr="00A374BE">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w:t>
      </w:r>
      <w:r w:rsidRPr="00A374BE">
        <w:rPr>
          <w:rFonts w:ascii="Verdana" w:eastAsia="Calibri" w:hAnsi="Verdana" w:cs="Arial"/>
          <w:color w:val="7030A0"/>
          <w:lang w:val="es-ES" w:eastAsia="es-ES"/>
        </w:rPr>
        <w:t xml:space="preserve"> </w:t>
      </w:r>
      <w:r w:rsidRPr="00A374BE">
        <w:rPr>
          <w:rFonts w:ascii="Verdana" w:eastAsia="Calibri" w:hAnsi="Verdana" w:cs="Arial"/>
          <w:color w:val="000000"/>
          <w:lang w:val="es-ES" w:eastAsia="es-ES"/>
        </w:rPr>
        <w:t>problema</w:t>
      </w:r>
      <w:r w:rsidRPr="00A374BE">
        <w:rPr>
          <w:rFonts w:ascii="Verdana" w:eastAsia="Calibri" w:hAnsi="Verdana" w:cs="Arial"/>
          <w:color w:val="7030A0"/>
          <w:lang w:val="es-ES" w:eastAsia="es-ES"/>
        </w:rPr>
        <w:t xml:space="preserve"> </w:t>
      </w:r>
      <w:r w:rsidRPr="00A374BE">
        <w:rPr>
          <w:rFonts w:ascii="Verdana" w:eastAsia="Calibri" w:hAnsi="Verdana" w:cs="Arial"/>
          <w:color w:val="000000"/>
          <w:lang w:val="es-ES" w:eastAsia="es-ES"/>
        </w:rPr>
        <w:t>jurídico</w:t>
      </w:r>
      <w:r w:rsidRPr="00A374BE">
        <w:rPr>
          <w:rFonts w:ascii="Verdana" w:eastAsia="Calibri" w:hAnsi="Verdana" w:cs="Arial"/>
          <w:color w:val="7030A0"/>
          <w:lang w:val="es-ES" w:eastAsia="es-ES"/>
        </w:rPr>
        <w:t xml:space="preserve"> </w:t>
      </w:r>
      <w:r w:rsidRPr="00A374BE">
        <w:rPr>
          <w:rFonts w:ascii="Verdana" w:eastAsia="Calibri" w:hAnsi="Verdana" w:cs="Arial"/>
          <w:color w:val="000000"/>
          <w:lang w:val="es-ES" w:eastAsia="es-ES"/>
        </w:rPr>
        <w:t xml:space="preserve">de su consulta.  </w:t>
      </w:r>
    </w:p>
    <w:p w14:paraId="6A390526" w14:textId="77777777" w:rsidR="00310ED6" w:rsidRPr="00A374BE" w:rsidRDefault="00310ED6" w:rsidP="00310ED6">
      <w:pPr>
        <w:spacing w:after="0" w:line="276" w:lineRule="auto"/>
        <w:ind w:firstLine="709"/>
        <w:jc w:val="both"/>
        <w:rPr>
          <w:rFonts w:ascii="Verdana" w:eastAsia="Calibri" w:hAnsi="Verdana" w:cs="Arial"/>
          <w:color w:val="000000"/>
          <w:lang w:val="es-ES" w:eastAsia="es-ES"/>
        </w:rPr>
      </w:pPr>
    </w:p>
    <w:p w14:paraId="2887632A" w14:textId="77777777" w:rsidR="00310ED6" w:rsidRPr="00A374BE" w:rsidRDefault="00310ED6" w:rsidP="00310ED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A374BE">
        <w:rPr>
          <w:rFonts w:ascii="Verdana" w:eastAsia="Century Gothic" w:hAnsi="Verdana" w:cs="Century Gothic"/>
          <w:b/>
          <w:bCs/>
        </w:rPr>
        <w:t>Problema planteado:</w:t>
      </w:r>
    </w:p>
    <w:p w14:paraId="6CF41ABF" w14:textId="77777777" w:rsidR="00310ED6" w:rsidRPr="00A374BE" w:rsidRDefault="00310ED6" w:rsidP="00310ED6">
      <w:pPr>
        <w:tabs>
          <w:tab w:val="left" w:pos="426"/>
        </w:tabs>
        <w:spacing w:after="0" w:line="276" w:lineRule="auto"/>
        <w:jc w:val="both"/>
        <w:rPr>
          <w:rFonts w:ascii="Verdana" w:eastAsia="Century Gothic" w:hAnsi="Verdana" w:cs="Century Gothic"/>
          <w:lang w:val="es-ES"/>
        </w:rPr>
      </w:pPr>
    </w:p>
    <w:p w14:paraId="6BB2FF14" w14:textId="77777777" w:rsidR="00310ED6" w:rsidRPr="00A374BE" w:rsidRDefault="00310ED6" w:rsidP="00310ED6">
      <w:pPr>
        <w:spacing w:after="0" w:line="276" w:lineRule="auto"/>
        <w:jc w:val="both"/>
        <w:rPr>
          <w:rFonts w:ascii="Verdana" w:eastAsia="Century Gothic" w:hAnsi="Verdana" w:cs="Century Gothic"/>
          <w:lang w:val="es-ES"/>
        </w:rPr>
      </w:pPr>
      <w:r w:rsidRPr="00A374BE">
        <w:rPr>
          <w:rFonts w:ascii="Verdana" w:eastAsia="Century Gothic" w:hAnsi="Verdana" w:cs="Century Gothic"/>
          <w:lang w:val="es-ES"/>
        </w:rPr>
        <w:t>De acuerdo con el contenido de su solicitud, esta Agencia resolverá el siguiente problema jurídico: ¿Deben las Asambleas Departamentales autorizar todas las contrataciones que realice la Gobernación?</w:t>
      </w:r>
    </w:p>
    <w:p w14:paraId="4CF09F78" w14:textId="77777777" w:rsidR="00310ED6" w:rsidRPr="00A374BE" w:rsidRDefault="00310ED6" w:rsidP="00310ED6">
      <w:pPr>
        <w:spacing w:after="0" w:line="276" w:lineRule="auto"/>
        <w:jc w:val="both"/>
        <w:rPr>
          <w:rFonts w:ascii="Verdana" w:eastAsia="Calibri" w:hAnsi="Verdana" w:cs="Arial"/>
          <w:color w:val="7030A0"/>
          <w:lang w:val="es-ES"/>
        </w:rPr>
      </w:pPr>
    </w:p>
    <w:p w14:paraId="4622AC83" w14:textId="77777777" w:rsidR="00310ED6" w:rsidRPr="00A374BE" w:rsidRDefault="00310ED6" w:rsidP="00310E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374BE">
        <w:rPr>
          <w:rFonts w:ascii="Verdana" w:eastAsia="Century Gothic" w:hAnsi="Verdana" w:cs="Century Gothic"/>
          <w:b/>
          <w:bCs/>
        </w:rPr>
        <w:t>Respuesta:</w:t>
      </w:r>
    </w:p>
    <w:p w14:paraId="3B410956" w14:textId="77777777" w:rsidR="00310ED6" w:rsidRPr="00A374BE" w:rsidRDefault="00310ED6" w:rsidP="00310ED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10ED6" w:rsidRPr="00A374BE" w14:paraId="6BA8E135" w14:textId="77777777" w:rsidTr="00413F5F">
        <w:trPr>
          <w:jc w:val="center"/>
        </w:trPr>
        <w:tc>
          <w:tcPr>
            <w:tcW w:w="8828" w:type="dxa"/>
          </w:tcPr>
          <w:p w14:paraId="491009B9" w14:textId="520A366F" w:rsidR="00310ED6" w:rsidRPr="00A374BE" w:rsidRDefault="00310ED6" w:rsidP="00A45B0E">
            <w:pPr>
              <w:snapToGrid w:val="0"/>
              <w:spacing w:before="120" w:after="120" w:line="276" w:lineRule="auto"/>
              <w:jc w:val="both"/>
              <w:rPr>
                <w:rFonts w:ascii="Verdana" w:hAnsi="Verdana"/>
                <w:lang w:val="es-ES"/>
              </w:rPr>
            </w:pPr>
            <w:bookmarkStart w:id="0" w:name="_Hlk171694685"/>
            <w:r>
              <w:rPr>
                <w:rFonts w:ascii="Verdana" w:eastAsia="Calibri" w:hAnsi="Verdana" w:cs="Arial"/>
                <w:color w:val="000000" w:themeColor="text1"/>
                <w:lang w:val="es-ES"/>
              </w:rPr>
              <w:t xml:space="preserve">El numeral 9 del artículo </w:t>
            </w:r>
            <w:r w:rsidRPr="00A374BE">
              <w:rPr>
                <w:rFonts w:ascii="Verdana" w:hAnsi="Verdana"/>
                <w:lang w:val="es-ES"/>
              </w:rPr>
              <w:t>300 de la Constitución</w:t>
            </w:r>
            <w:r>
              <w:rPr>
                <w:rFonts w:ascii="Verdana" w:hAnsi="Verdana"/>
                <w:lang w:val="es-ES"/>
              </w:rPr>
              <w:t xml:space="preserve"> Nacional</w:t>
            </w:r>
            <w:r w:rsidRPr="00A374BE">
              <w:rPr>
                <w:rFonts w:ascii="Verdana" w:hAnsi="Verdana"/>
                <w:lang w:val="es-ES"/>
              </w:rPr>
              <w:t xml:space="preserve"> no exige que las Asambleas </w:t>
            </w:r>
            <w:r>
              <w:rPr>
                <w:rFonts w:ascii="Verdana" w:hAnsi="Verdana"/>
                <w:lang w:val="es-ES"/>
              </w:rPr>
              <w:t>D</w:t>
            </w:r>
            <w:r w:rsidRPr="00A374BE">
              <w:rPr>
                <w:rFonts w:ascii="Verdana" w:hAnsi="Verdana"/>
                <w:lang w:val="es-ES"/>
              </w:rPr>
              <w:t>epartamentales autoricen de manera previa todos los contratos que suscriban los gobernadores. Lo anterior, porque el artículo superior no puede interpretarse de manera aislada a las competencias que también han sido asignadas por la ley a los gobernadores para celebrar contratos y ejecutar el presupuesto con el fin de asegurar una prestación eficiente y oportuna de los servicios que tiene</w:t>
            </w:r>
            <w:r>
              <w:rPr>
                <w:rFonts w:ascii="Verdana" w:hAnsi="Verdana"/>
                <w:lang w:val="es-ES"/>
              </w:rPr>
              <w:t>n</w:t>
            </w:r>
            <w:r w:rsidRPr="00A374BE">
              <w:rPr>
                <w:rFonts w:ascii="Verdana" w:hAnsi="Verdana"/>
                <w:lang w:val="es-ES"/>
              </w:rPr>
              <w:t xml:space="preserve"> a cargo</w:t>
            </w:r>
            <w:r>
              <w:rPr>
                <w:rFonts w:ascii="Verdana" w:hAnsi="Verdana"/>
                <w:lang w:val="es-ES"/>
              </w:rPr>
              <w:t xml:space="preserve"> los departamentos</w:t>
            </w:r>
            <w:r w:rsidRPr="00A374BE">
              <w:rPr>
                <w:rFonts w:ascii="Verdana" w:hAnsi="Verdana"/>
                <w:lang w:val="es-ES"/>
              </w:rPr>
              <w:t xml:space="preserve">. Con respecto a estas competencias, el artículo 305 constitucional señala que el </w:t>
            </w:r>
            <w:r>
              <w:rPr>
                <w:rFonts w:ascii="Verdana" w:hAnsi="Verdana"/>
                <w:lang w:val="es-ES"/>
              </w:rPr>
              <w:t>g</w:t>
            </w:r>
            <w:r w:rsidRPr="00A374BE">
              <w:rPr>
                <w:rFonts w:ascii="Verdana" w:hAnsi="Verdana"/>
                <w:lang w:val="es-ES"/>
              </w:rPr>
              <w:t>obernador es la autoridad que dirige la acción administrativa y contractual</w:t>
            </w:r>
            <w:r>
              <w:rPr>
                <w:rFonts w:ascii="Verdana" w:hAnsi="Verdana"/>
                <w:lang w:val="es-ES"/>
              </w:rPr>
              <w:t xml:space="preserve"> del ente territorial</w:t>
            </w:r>
            <w:r w:rsidRPr="00A374BE">
              <w:rPr>
                <w:rFonts w:ascii="Verdana" w:hAnsi="Verdana"/>
                <w:lang w:val="es-ES"/>
              </w:rPr>
              <w:t xml:space="preserve">. </w:t>
            </w:r>
            <w:r>
              <w:rPr>
                <w:rFonts w:ascii="Verdana" w:hAnsi="Verdana"/>
                <w:lang w:val="es-ES"/>
              </w:rPr>
              <w:t>En efecto, e</w:t>
            </w:r>
            <w:r w:rsidRPr="00A374BE">
              <w:rPr>
                <w:rFonts w:ascii="Verdana" w:hAnsi="Verdana"/>
                <w:lang w:val="es-ES"/>
              </w:rPr>
              <w:t>l gobernador ejercit</w:t>
            </w:r>
            <w:r>
              <w:rPr>
                <w:rFonts w:ascii="Verdana" w:hAnsi="Verdana"/>
                <w:lang w:val="es-ES"/>
              </w:rPr>
              <w:t>a</w:t>
            </w:r>
            <w:r w:rsidRPr="00A374BE">
              <w:rPr>
                <w:rFonts w:ascii="Verdana" w:hAnsi="Verdana"/>
                <w:lang w:val="es-ES"/>
              </w:rPr>
              <w:t xml:space="preserve"> esta función y coordinación de la acción administrativa en el plano contractual en virtud de lo establecido en el artículo 11 de la Ley 80 de 1993, que autoriza de manera general</w:t>
            </w:r>
            <w:r>
              <w:rPr>
                <w:rFonts w:ascii="Verdana" w:hAnsi="Verdana"/>
                <w:lang w:val="es-ES"/>
              </w:rPr>
              <w:t xml:space="preserve"> a los gobernadores</w:t>
            </w:r>
            <w:r w:rsidRPr="00A374BE">
              <w:rPr>
                <w:rFonts w:ascii="Verdana" w:hAnsi="Verdana"/>
                <w:lang w:val="es-ES"/>
              </w:rPr>
              <w:t>, y no a las asambleas, para celebrar contratos en nombre de los departamentos.</w:t>
            </w:r>
          </w:p>
          <w:p w14:paraId="0751E41D" w14:textId="77777777" w:rsidR="00310ED6" w:rsidRPr="00A374BE" w:rsidRDefault="00310ED6" w:rsidP="00413F5F">
            <w:pPr>
              <w:snapToGrid w:val="0"/>
              <w:spacing w:before="120" w:after="120" w:line="276" w:lineRule="auto"/>
              <w:ind w:firstLine="709"/>
              <w:jc w:val="both"/>
              <w:rPr>
                <w:rFonts w:ascii="Verdana" w:hAnsi="Verdana"/>
                <w:lang w:val="es-ES"/>
              </w:rPr>
            </w:pPr>
            <w:r w:rsidRPr="00A374BE">
              <w:rPr>
                <w:rFonts w:ascii="Verdana" w:hAnsi="Verdana"/>
                <w:lang w:val="es-ES"/>
              </w:rPr>
              <w:t>En</w:t>
            </w:r>
            <w:r>
              <w:rPr>
                <w:rFonts w:ascii="Verdana" w:hAnsi="Verdana"/>
                <w:lang w:val="es-ES"/>
              </w:rPr>
              <w:t xml:space="preserve"> consecuencia</w:t>
            </w:r>
            <w:r w:rsidRPr="00A374BE">
              <w:rPr>
                <w:rFonts w:ascii="Verdana" w:hAnsi="Verdana"/>
                <w:lang w:val="es-ES"/>
              </w:rPr>
              <w:t>, la Ley 80 de 1993 concedió un</w:t>
            </w:r>
            <w:r>
              <w:rPr>
                <w:rFonts w:ascii="Verdana" w:hAnsi="Verdana"/>
                <w:lang w:val="es-ES"/>
              </w:rPr>
              <w:t>a</w:t>
            </w:r>
            <w:r w:rsidRPr="00A374BE">
              <w:rPr>
                <w:rFonts w:ascii="Verdana" w:hAnsi="Verdana"/>
                <w:lang w:val="es-ES"/>
              </w:rPr>
              <w:t xml:space="preserve"> autorización general a los gobernadores para celebrar contratos estatales, de modo que la </w:t>
            </w:r>
            <w:r>
              <w:rPr>
                <w:rFonts w:ascii="Verdana" w:hAnsi="Verdana"/>
                <w:lang w:val="es-ES"/>
              </w:rPr>
              <w:t xml:space="preserve">competencia </w:t>
            </w:r>
            <w:r w:rsidRPr="00A374BE">
              <w:rPr>
                <w:rFonts w:ascii="Verdana" w:hAnsi="Verdana"/>
                <w:lang w:val="es-ES"/>
              </w:rPr>
              <w:t>a la cual se refiere el numeral 9 del artículo 300 de la Constitución</w:t>
            </w:r>
            <w:r>
              <w:rPr>
                <w:rFonts w:ascii="Verdana" w:hAnsi="Verdana"/>
                <w:lang w:val="es-ES"/>
              </w:rPr>
              <w:t xml:space="preserve"> </w:t>
            </w:r>
            <w:r>
              <w:rPr>
                <w:rFonts w:ascii="Verdana" w:hAnsi="Verdana"/>
                <w:lang w:val="es-ES"/>
              </w:rPr>
              <w:lastRenderedPageBreak/>
              <w:t>Nacional</w:t>
            </w:r>
            <w:r w:rsidRPr="00A374BE">
              <w:rPr>
                <w:rFonts w:ascii="Verdana" w:hAnsi="Verdana"/>
                <w:lang w:val="es-ES"/>
              </w:rPr>
              <w:t xml:space="preserve"> tiene un carácter </w:t>
            </w:r>
            <w:r w:rsidRPr="00A374BE">
              <w:rPr>
                <w:rFonts w:ascii="Verdana" w:hAnsi="Verdana"/>
                <w:i/>
                <w:iCs/>
                <w:lang w:val="es-ES"/>
              </w:rPr>
              <w:t xml:space="preserve">excepcional </w:t>
            </w:r>
            <w:r w:rsidRPr="00A374BE">
              <w:rPr>
                <w:rFonts w:ascii="Verdana" w:hAnsi="Verdana"/>
                <w:lang w:val="es-ES"/>
              </w:rPr>
              <w:t xml:space="preserve">y es aplicable en los casos que la ley lo exija de manera expresa. De esta forma, la autorización de las asambleas será procedente frente a los contratos que no estén cobijados por la autorización general que la Ley 80 de 1993 otorgó a los gobernadores, o cuando la misma constitución o la ley establezcan supuestos específicos en los que el órgano de representación popular deba conceder la autorización previa.  </w:t>
            </w:r>
          </w:p>
        </w:tc>
      </w:tr>
    </w:tbl>
    <w:p w14:paraId="48D4A2B1" w14:textId="77777777" w:rsidR="00310ED6" w:rsidRPr="00A374BE" w:rsidRDefault="00310ED6" w:rsidP="00310ED6">
      <w:pPr>
        <w:tabs>
          <w:tab w:val="left" w:pos="142"/>
          <w:tab w:val="left" w:pos="284"/>
        </w:tabs>
        <w:spacing w:after="0" w:line="276" w:lineRule="auto"/>
        <w:jc w:val="both"/>
        <w:rPr>
          <w:rFonts w:ascii="Verdana" w:eastAsia="Century Gothic" w:hAnsi="Verdana" w:cs="Century Gothic"/>
          <w:b/>
          <w:bCs/>
          <w:lang w:val="es-ES"/>
        </w:rPr>
      </w:pPr>
    </w:p>
    <w:bookmarkEnd w:id="0"/>
    <w:p w14:paraId="207244A2" w14:textId="77777777" w:rsidR="00310ED6" w:rsidRPr="00A374BE" w:rsidRDefault="00310ED6" w:rsidP="00310E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374BE">
        <w:rPr>
          <w:rFonts w:ascii="Verdana" w:eastAsia="Century Gothic" w:hAnsi="Verdana" w:cs="Century Gothic"/>
          <w:b/>
          <w:bCs/>
        </w:rPr>
        <w:t>Razones de la respuesta:</w:t>
      </w:r>
    </w:p>
    <w:p w14:paraId="5ABFB6A5" w14:textId="77777777" w:rsidR="00310ED6" w:rsidRPr="00A374BE" w:rsidRDefault="00310ED6" w:rsidP="00310ED6">
      <w:pPr>
        <w:spacing w:after="0" w:line="276" w:lineRule="auto"/>
        <w:jc w:val="both"/>
        <w:rPr>
          <w:rFonts w:ascii="Verdana" w:eastAsia="Calibri" w:hAnsi="Verdana" w:cs="Arial"/>
          <w:color w:val="7030A0"/>
          <w:lang w:val="es-ES"/>
        </w:rPr>
      </w:pPr>
    </w:p>
    <w:p w14:paraId="07CEAFD6" w14:textId="77777777" w:rsidR="00310ED6" w:rsidRPr="00A374BE" w:rsidRDefault="00310ED6" w:rsidP="00310ED6">
      <w:pPr>
        <w:snapToGrid w:val="0"/>
        <w:spacing w:before="120" w:after="0" w:line="276" w:lineRule="auto"/>
        <w:jc w:val="both"/>
        <w:rPr>
          <w:rFonts w:ascii="Verdana" w:eastAsia="Calibri" w:hAnsi="Verdana" w:cs="Arial"/>
          <w:lang w:val="es-ES"/>
        </w:rPr>
      </w:pPr>
      <w:r w:rsidRPr="00A374BE">
        <w:rPr>
          <w:rFonts w:ascii="Verdana" w:eastAsia="Calibri" w:hAnsi="Verdana" w:cs="Arial"/>
          <w:lang w:val="es-ES"/>
        </w:rPr>
        <w:t>Lo anterior se sustenta en las siguientes consideraciones:</w:t>
      </w:r>
    </w:p>
    <w:p w14:paraId="1F3C5AB1" w14:textId="77777777" w:rsidR="00310ED6" w:rsidRPr="00A374BE" w:rsidRDefault="00310ED6" w:rsidP="00310ED6">
      <w:pPr>
        <w:snapToGrid w:val="0"/>
        <w:spacing w:after="0" w:line="276" w:lineRule="auto"/>
        <w:jc w:val="both"/>
        <w:rPr>
          <w:rFonts w:ascii="Verdana" w:eastAsia="Calibri" w:hAnsi="Verdana" w:cs="Arial"/>
          <w:lang w:val="es-ES"/>
        </w:rPr>
      </w:pPr>
    </w:p>
    <w:p w14:paraId="697009BF" w14:textId="77777777" w:rsidR="00310ED6" w:rsidRPr="00A374BE" w:rsidRDefault="00310ED6" w:rsidP="00310ED6">
      <w:pPr>
        <w:snapToGrid w:val="0"/>
        <w:spacing w:after="120" w:line="276" w:lineRule="auto"/>
        <w:jc w:val="both"/>
        <w:rPr>
          <w:rFonts w:ascii="Verdana" w:eastAsia="Calibri" w:hAnsi="Verdana" w:cs="Arial"/>
          <w:lang w:val="es-ES"/>
        </w:rPr>
      </w:pPr>
      <w:r w:rsidRPr="00A374BE">
        <w:rPr>
          <w:rFonts w:ascii="Verdana" w:eastAsia="Calibri" w:hAnsi="Verdana" w:cs="Arial"/>
          <w:lang w:val="es-ES"/>
        </w:rPr>
        <w:t>El numeral 9 del artículo 300 de la Constitución Política de 1991 dispone que “Corresponde a las Asambleas Departamentales, por medio de ordenanzas: […] 9. Autorizar al Gobernador del Departamento para celebrar contratos, negociar empréstitos, enajenar bienes y ejercer, pro tempore, precisas funciones de las que corresponden a las Asambleas Departamentales”.</w:t>
      </w:r>
    </w:p>
    <w:p w14:paraId="0A32CF3D" w14:textId="77777777" w:rsidR="00310ED6" w:rsidRPr="00A374BE" w:rsidRDefault="00310ED6" w:rsidP="00310ED6">
      <w:pPr>
        <w:snapToGrid w:val="0"/>
        <w:spacing w:before="120" w:after="120" w:line="276" w:lineRule="auto"/>
        <w:ind w:firstLine="709"/>
        <w:jc w:val="both"/>
        <w:rPr>
          <w:rFonts w:ascii="Verdana" w:eastAsia="Calibri" w:hAnsi="Verdana" w:cs="Arial"/>
          <w:lang w:val="es-ES"/>
        </w:rPr>
      </w:pPr>
      <w:r w:rsidRPr="00A374BE">
        <w:rPr>
          <w:rFonts w:ascii="Verdana" w:eastAsia="Calibri" w:hAnsi="Verdana" w:cs="Arial"/>
          <w:lang w:val="es-ES"/>
        </w:rPr>
        <w:t xml:space="preserve">Similar previsión normativa se encontraba en el numeral 10 del artículo 60 del Decreto Ley 1222 de 1986, “Por el cual se expide el Código de Régimen Departamental”, el cual señala que: “Corresponde a las Asambleas, por medio de ordenanzas: “[…] 10. Autorizar al Gobernador para celebrar contratos, negociar empréstitos, enajenar bienes departamentales y ejercer, </w:t>
      </w:r>
      <w:proofErr w:type="gramStart"/>
      <w:r w:rsidRPr="00A374BE">
        <w:rPr>
          <w:rFonts w:ascii="Verdana" w:eastAsia="Calibri" w:hAnsi="Verdana" w:cs="Arial"/>
          <w:lang w:val="es-ES"/>
        </w:rPr>
        <w:t>pro témpore</w:t>
      </w:r>
      <w:proofErr w:type="gramEnd"/>
      <w:r w:rsidRPr="00A374BE">
        <w:rPr>
          <w:rFonts w:ascii="Verdana" w:eastAsia="Calibri" w:hAnsi="Verdana" w:cs="Arial"/>
          <w:lang w:val="es-ES"/>
        </w:rPr>
        <w:t xml:space="preserve">, precisas funciones de las que corresponden a las Asambleas”. Esta disposición fue derogada por el artículo 154 de la Ley 2200 de 2022, para en su lugar establecer en el numeral 31 del artículo 19 </w:t>
      </w:r>
      <w:r w:rsidRPr="00A374BE">
        <w:rPr>
          <w:rFonts w:ascii="Verdana" w:eastAsia="Calibri" w:hAnsi="Verdana" w:cs="Arial"/>
          <w:i/>
          <w:iCs/>
          <w:lang w:val="es-ES"/>
        </w:rPr>
        <w:t xml:space="preserve">ibidem </w:t>
      </w:r>
      <w:r w:rsidRPr="00A374BE">
        <w:rPr>
          <w:rFonts w:ascii="Verdana" w:eastAsia="Calibri" w:hAnsi="Verdana" w:cs="Arial"/>
          <w:lang w:val="es-ES"/>
        </w:rPr>
        <w:t>que le corresponde a las Asambleas Departamentales “</w:t>
      </w:r>
      <w:r w:rsidRPr="00A374BE">
        <w:rPr>
          <w:rFonts w:ascii="Verdana" w:hAnsi="Verdana" w:cs="Open Sans"/>
          <w:lang w:val="es-ES"/>
        </w:rPr>
        <w:t>31. Autorizar al Gobernador del Departamento para comprometer vigencias futuras, negociar empréstitos, enajenar bienes, activos, acciones y cuotas partes, así como ejercer, pro tempore, precisas funciones de las que corresponden a las Asambleas Departamentales”.</w:t>
      </w:r>
      <w:r w:rsidRPr="00A374BE">
        <w:rPr>
          <w:rFonts w:ascii="Verdana" w:eastAsia="Calibri" w:hAnsi="Verdana" w:cs="Arial"/>
          <w:lang w:val="es-ES"/>
        </w:rPr>
        <w:t xml:space="preserve"> Nótese que la nueva redacción de la norma no habla de aprobación de contratos. </w:t>
      </w:r>
    </w:p>
    <w:p w14:paraId="5A450B62" w14:textId="77777777" w:rsidR="00310ED6" w:rsidRPr="00A374BE" w:rsidRDefault="00310ED6" w:rsidP="00310ED6">
      <w:pPr>
        <w:snapToGrid w:val="0"/>
        <w:spacing w:before="120" w:after="120" w:line="276" w:lineRule="auto"/>
        <w:ind w:firstLine="709"/>
        <w:jc w:val="both"/>
        <w:rPr>
          <w:rFonts w:ascii="Verdana" w:eastAsia="Calibri" w:hAnsi="Verdana" w:cs="Arial"/>
          <w:color w:val="000000" w:themeColor="text1"/>
          <w:lang w:val="es-ES"/>
        </w:rPr>
      </w:pPr>
      <w:r w:rsidRPr="00A374BE">
        <w:rPr>
          <w:rFonts w:ascii="Verdana" w:eastAsia="Calibri" w:hAnsi="Verdana" w:cs="Arial"/>
          <w:color w:val="000000" w:themeColor="text1"/>
          <w:lang w:val="es-ES"/>
        </w:rPr>
        <w:t>Por otro lado, el numeral 2 del artículo 305 constitucional consagra dentro de las atribuciones del gobernador la de: “[…] 2. Dirigir</w:t>
      </w:r>
      <w:r w:rsidRPr="00A374BE">
        <w:rPr>
          <w:rFonts w:ascii="Verdana" w:hAnsi="Verdana"/>
          <w:lang w:val="es-ES"/>
        </w:rPr>
        <w:t xml:space="preserve"> y coordinar la acción administrativa del departamento y actuar en su nombre como gestor y promotor del desarrollo integral de su territorio, de conformidad con la Constitución y las leyes […]</w:t>
      </w:r>
      <w:r w:rsidRPr="00A374BE">
        <w:rPr>
          <w:rFonts w:ascii="Verdana" w:eastAsia="Calibri" w:hAnsi="Verdana" w:cs="Arial"/>
          <w:color w:val="000000" w:themeColor="text1"/>
          <w:lang w:val="es-ES"/>
        </w:rPr>
        <w:t xml:space="preserve">”. Así mismo, el literal b) del numeral 3 del artículo 11 de la Ley 80 de 1993 dispone que son competentes para celebrar contratos a nombre de la entidad respectiva “[…] </w:t>
      </w:r>
      <w:r w:rsidRPr="00A374BE">
        <w:rPr>
          <w:rFonts w:ascii="Verdana" w:hAnsi="Verdana"/>
          <w:lang w:val="es-ES"/>
        </w:rPr>
        <w:t xml:space="preserve">b) A nivel territorial, los </w:t>
      </w:r>
      <w:r w:rsidRPr="00A374BE">
        <w:rPr>
          <w:rFonts w:ascii="Verdana" w:hAnsi="Verdana"/>
          <w:i/>
          <w:iCs/>
          <w:lang w:val="es-ES"/>
        </w:rPr>
        <w:t xml:space="preserve">gobernadores de los </w:t>
      </w:r>
      <w:r w:rsidRPr="00A374BE">
        <w:rPr>
          <w:rFonts w:ascii="Verdana" w:hAnsi="Verdana"/>
          <w:i/>
          <w:iCs/>
          <w:lang w:val="es-ES"/>
        </w:rPr>
        <w:lastRenderedPageBreak/>
        <w:t>departamentos</w:t>
      </w:r>
      <w:r w:rsidRPr="00A374BE">
        <w:rPr>
          <w:rFonts w:ascii="Verdana" w:hAnsi="Verdana"/>
          <w:lang w:val="es-ES"/>
        </w:rPr>
        <w:t>,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w:t>
      </w:r>
    </w:p>
    <w:p w14:paraId="25D29F98" w14:textId="77777777" w:rsidR="00310ED6" w:rsidRPr="00A374BE" w:rsidRDefault="00310ED6" w:rsidP="00310ED6">
      <w:pPr>
        <w:snapToGrid w:val="0"/>
        <w:spacing w:before="120" w:after="120" w:line="276" w:lineRule="auto"/>
        <w:ind w:firstLine="709"/>
        <w:jc w:val="both"/>
        <w:rPr>
          <w:rFonts w:ascii="Verdana" w:hAnsi="Verdana"/>
          <w:lang w:val="es-ES"/>
        </w:rPr>
      </w:pPr>
      <w:r w:rsidRPr="00A374BE">
        <w:rPr>
          <w:rFonts w:ascii="Verdana" w:hAnsi="Verdana"/>
          <w:lang w:val="es-ES"/>
        </w:rPr>
        <w:t xml:space="preserve">De conformidad con las disposiciones citadas, corresponde a las Asambleas Departamentales autorizar a los gobernadores por medio de ordenanzas para celebrar contratos, y estos últimos tienen la función de dirigir y coordinar la acción administrativa del departamento, junto con la suscripción de contratos en nombre del ente territorial, en calidad de representante legal. No obstante lo anterior, la atribución que la Constitución Nacional concedió a las Asambleas para autorizar la contratación que realicen los Gobernadores no es absoluta, sino que se debe armonizar con las competencias generales de contratación que la Ley 80 de 1993 otorgó a dichos mandatarios, pues de lo contrario se estaría aceptando que las corporaciones de elección popular pueden codirigir o intervenir en este tipo de procesos contractuales, eludiendo la expresa prohibición que sobre este aspecto prevé el numeral 11 del artículo 25 del EGCAP. </w:t>
      </w:r>
      <w:r w:rsidRPr="00A374BE">
        <w:rPr>
          <w:rFonts w:ascii="Verdana" w:eastAsia="Calibri" w:hAnsi="Verdana" w:cs="Arial"/>
          <w:color w:val="000000" w:themeColor="text1"/>
          <w:lang w:val="es-ES"/>
        </w:rPr>
        <w:t xml:space="preserve"> </w:t>
      </w:r>
    </w:p>
    <w:p w14:paraId="1C4160C3" w14:textId="77777777" w:rsidR="00310ED6" w:rsidRPr="00A374BE" w:rsidRDefault="00310ED6" w:rsidP="00310ED6">
      <w:pPr>
        <w:snapToGrid w:val="0"/>
        <w:spacing w:before="120" w:after="120" w:line="276" w:lineRule="auto"/>
        <w:ind w:firstLine="709"/>
        <w:jc w:val="both"/>
        <w:rPr>
          <w:rFonts w:ascii="Verdana" w:hAnsi="Verdana"/>
          <w:lang w:val="es-ES"/>
        </w:rPr>
      </w:pPr>
      <w:r w:rsidRPr="00A374BE">
        <w:rPr>
          <w:rFonts w:ascii="Verdana" w:hAnsi="Verdana"/>
          <w:lang w:val="es-ES"/>
        </w:rPr>
        <w:t xml:space="preserve">El Consejo de Estado ha señalado que la expresión utilizada por el artículo 300 de la Constitución no exige que las Asambleas </w:t>
      </w:r>
      <w:r>
        <w:rPr>
          <w:rFonts w:ascii="Verdana" w:hAnsi="Verdana"/>
          <w:lang w:val="es-ES"/>
        </w:rPr>
        <w:t>D</w:t>
      </w:r>
      <w:r w:rsidRPr="00A374BE">
        <w:rPr>
          <w:rFonts w:ascii="Verdana" w:hAnsi="Verdana"/>
          <w:lang w:val="es-ES"/>
        </w:rPr>
        <w:t xml:space="preserve">epartamentales autoricen de manera previa todos los contratos que suscriban los gobernadores. Lo anterior, porque el artículo superior no puede interpretarse de manera </w:t>
      </w:r>
      <w:proofErr w:type="gramStart"/>
      <w:r w:rsidRPr="00A374BE">
        <w:rPr>
          <w:rFonts w:ascii="Verdana" w:hAnsi="Verdana"/>
          <w:lang w:val="es-ES"/>
        </w:rPr>
        <w:t>aislada  a</w:t>
      </w:r>
      <w:proofErr w:type="gramEnd"/>
      <w:r w:rsidRPr="00A374BE">
        <w:rPr>
          <w:rFonts w:ascii="Verdana" w:hAnsi="Verdana"/>
          <w:lang w:val="es-ES"/>
        </w:rPr>
        <w:t xml:space="preserve"> las competencias que también han sido asignadas por la ley a los gobernadores para celebrar contratos y ejecutar el presupuesto con el fin de asegurar una prestación eficiente y oportuna de los servicios que tiene</w:t>
      </w:r>
      <w:r>
        <w:rPr>
          <w:rFonts w:ascii="Verdana" w:hAnsi="Verdana"/>
          <w:lang w:val="es-ES"/>
        </w:rPr>
        <w:t>n</w:t>
      </w:r>
      <w:r w:rsidRPr="00A374BE">
        <w:rPr>
          <w:rFonts w:ascii="Verdana" w:hAnsi="Verdana"/>
          <w:lang w:val="es-ES"/>
        </w:rPr>
        <w:t xml:space="preserve"> a cargo</w:t>
      </w:r>
      <w:r>
        <w:rPr>
          <w:rFonts w:ascii="Verdana" w:hAnsi="Verdana"/>
          <w:lang w:val="es-ES"/>
        </w:rPr>
        <w:t xml:space="preserve"> los departamentos</w:t>
      </w:r>
      <w:r w:rsidRPr="00A374BE">
        <w:rPr>
          <w:rFonts w:ascii="Verdana" w:hAnsi="Verdana"/>
          <w:lang w:val="es-ES"/>
        </w:rPr>
        <w:t xml:space="preserve">. Con respecto a estas competencias, el artículo 305 constitucional señala que el </w:t>
      </w:r>
      <w:r>
        <w:rPr>
          <w:rFonts w:ascii="Verdana" w:hAnsi="Verdana"/>
          <w:lang w:val="es-ES"/>
        </w:rPr>
        <w:t>g</w:t>
      </w:r>
      <w:r w:rsidRPr="00A374BE">
        <w:rPr>
          <w:rFonts w:ascii="Verdana" w:hAnsi="Verdana"/>
          <w:lang w:val="es-ES"/>
        </w:rPr>
        <w:t>obernador es la autoridad que dirige la acción administrativa y contractual</w:t>
      </w:r>
      <w:r>
        <w:rPr>
          <w:rFonts w:ascii="Verdana" w:hAnsi="Verdana"/>
          <w:lang w:val="es-ES"/>
        </w:rPr>
        <w:t xml:space="preserve"> del ente territorial</w:t>
      </w:r>
      <w:r w:rsidRPr="00A374BE">
        <w:rPr>
          <w:rFonts w:ascii="Verdana" w:hAnsi="Verdana"/>
          <w:lang w:val="es-ES"/>
        </w:rPr>
        <w:t>. El gobernador ejercit</w:t>
      </w:r>
      <w:r>
        <w:rPr>
          <w:rFonts w:ascii="Verdana" w:hAnsi="Verdana"/>
          <w:lang w:val="es-ES"/>
        </w:rPr>
        <w:t>a</w:t>
      </w:r>
      <w:r w:rsidRPr="00A374BE">
        <w:rPr>
          <w:rFonts w:ascii="Verdana" w:hAnsi="Verdana"/>
          <w:lang w:val="es-ES"/>
        </w:rPr>
        <w:t xml:space="preserve"> esta función y coordinación de la acción administrativa en el plano contractual en virtud de lo establecido en el artículo 11 de la Ley 80 de 1993, que autoriza de manera general</w:t>
      </w:r>
      <w:r>
        <w:rPr>
          <w:rFonts w:ascii="Verdana" w:hAnsi="Verdana"/>
          <w:lang w:val="es-ES"/>
        </w:rPr>
        <w:t xml:space="preserve"> a los gobernadores</w:t>
      </w:r>
      <w:r w:rsidRPr="00A374BE">
        <w:rPr>
          <w:rFonts w:ascii="Verdana" w:hAnsi="Verdana"/>
          <w:lang w:val="es-ES"/>
        </w:rPr>
        <w:t>, y no a las asambleas, para celebrar contratos en nombre de los departamentos.</w:t>
      </w:r>
      <w:r w:rsidRPr="00A374BE">
        <w:rPr>
          <w:rStyle w:val="Refdenotaalpie"/>
          <w:rFonts w:ascii="Verdana" w:hAnsi="Verdana"/>
          <w:lang w:val="es-ES"/>
        </w:rPr>
        <w:footnoteReference w:id="2"/>
      </w:r>
    </w:p>
    <w:p w14:paraId="1329EAD1" w14:textId="77777777" w:rsidR="00310ED6" w:rsidRPr="00A374BE" w:rsidRDefault="00310ED6" w:rsidP="00310ED6">
      <w:pPr>
        <w:snapToGrid w:val="0"/>
        <w:spacing w:before="120" w:after="120" w:line="276" w:lineRule="auto"/>
        <w:ind w:firstLine="709"/>
        <w:jc w:val="both"/>
        <w:rPr>
          <w:rFonts w:ascii="Verdana" w:hAnsi="Verdana"/>
          <w:lang w:val="es-ES"/>
        </w:rPr>
      </w:pPr>
      <w:r w:rsidRPr="00A374BE">
        <w:rPr>
          <w:rFonts w:ascii="Verdana" w:hAnsi="Verdana"/>
          <w:lang w:val="es-ES"/>
        </w:rPr>
        <w:lastRenderedPageBreak/>
        <w:t>En efecto, la Ley 80 de 1993 concedió un</w:t>
      </w:r>
      <w:r>
        <w:rPr>
          <w:rFonts w:ascii="Verdana" w:hAnsi="Verdana"/>
          <w:lang w:val="es-ES"/>
        </w:rPr>
        <w:t>a</w:t>
      </w:r>
      <w:r w:rsidRPr="00A374BE">
        <w:rPr>
          <w:rFonts w:ascii="Verdana" w:hAnsi="Verdana"/>
          <w:lang w:val="es-ES"/>
        </w:rPr>
        <w:t xml:space="preserve"> autorización general a los gobernadores para celebrar contratos estatales, de modo que la </w:t>
      </w:r>
      <w:r>
        <w:rPr>
          <w:rFonts w:ascii="Verdana" w:hAnsi="Verdana"/>
          <w:lang w:val="es-ES"/>
        </w:rPr>
        <w:t xml:space="preserve">competencia </w:t>
      </w:r>
      <w:r w:rsidRPr="00A374BE">
        <w:rPr>
          <w:rFonts w:ascii="Verdana" w:hAnsi="Verdana"/>
          <w:lang w:val="es-ES"/>
        </w:rPr>
        <w:t>a la cual se refiere el numeral 9 del artículo 300 de la Constitución</w:t>
      </w:r>
      <w:r>
        <w:rPr>
          <w:rFonts w:ascii="Verdana" w:hAnsi="Verdana"/>
          <w:lang w:val="es-ES"/>
        </w:rPr>
        <w:t xml:space="preserve"> Nacional</w:t>
      </w:r>
      <w:r w:rsidRPr="00A374BE">
        <w:rPr>
          <w:rFonts w:ascii="Verdana" w:hAnsi="Verdana"/>
          <w:lang w:val="es-ES"/>
        </w:rPr>
        <w:t xml:space="preserve"> tiene un carácter </w:t>
      </w:r>
      <w:r w:rsidRPr="00A374BE">
        <w:rPr>
          <w:rFonts w:ascii="Verdana" w:hAnsi="Verdana"/>
          <w:i/>
          <w:iCs/>
          <w:lang w:val="es-ES"/>
        </w:rPr>
        <w:t xml:space="preserve">excepcional </w:t>
      </w:r>
      <w:r w:rsidRPr="00A374BE">
        <w:rPr>
          <w:rFonts w:ascii="Verdana" w:hAnsi="Verdana"/>
          <w:lang w:val="es-ES"/>
        </w:rPr>
        <w:t xml:space="preserve">y es aplicable en los casos que la ley lo exija de manera expresa. De esta forma, la autorización de las asambleas será procedente frente a los contratos que no estén cobijados por la autorización general que la Ley 80 de 1993 otorgó a los gobernadores, o cuando la misma constitución o la ley establezcan supuestos específicos en los que el órgano de representación popular deba conceder la autorización previa.  </w:t>
      </w:r>
    </w:p>
    <w:p w14:paraId="4A21FC76" w14:textId="77777777" w:rsidR="00310ED6" w:rsidRPr="00A374BE" w:rsidRDefault="00310ED6" w:rsidP="00310ED6">
      <w:pPr>
        <w:snapToGrid w:val="0"/>
        <w:spacing w:before="120" w:after="120" w:line="276" w:lineRule="auto"/>
        <w:ind w:firstLine="709"/>
        <w:jc w:val="both"/>
        <w:rPr>
          <w:rFonts w:ascii="Verdana" w:hAnsi="Verdana"/>
          <w:lang w:val="es-ES"/>
        </w:rPr>
      </w:pPr>
      <w:r w:rsidRPr="00A374BE">
        <w:rPr>
          <w:rFonts w:ascii="Verdana" w:hAnsi="Verdana"/>
          <w:lang w:val="es-ES"/>
        </w:rPr>
        <w:t>Esta postura es congruente con la prohibición categórica establecida en el artículo 25 de la Ley 80 de 1993, según la cual, en virtud del principio de economía, las corporaciones de elección popular “</w:t>
      </w:r>
      <w:r w:rsidRPr="00A374BE">
        <w:rPr>
          <w:rFonts w:ascii="Verdana" w:hAnsi="Verdana" w:cs="Arial"/>
          <w:bCs/>
          <w:iCs/>
          <w:lang w:val="es-ES"/>
        </w:rPr>
        <w:t>no intervendrán en los procesos de contratación, salvo en lo relacionado con la solicitud de audiencia pública para la adjudicación en caso de licitación</w:t>
      </w:r>
      <w:r w:rsidRPr="00A374BE">
        <w:rPr>
          <w:rFonts w:ascii="Verdana" w:hAnsi="Verdana" w:cs="Arial"/>
          <w:iCs/>
          <w:lang w:val="es-ES"/>
        </w:rPr>
        <w:t>”.</w:t>
      </w:r>
      <w:r w:rsidRPr="00A374BE">
        <w:rPr>
          <w:rFonts w:ascii="Verdana" w:hAnsi="Verdana" w:cs="Arial"/>
          <w:i/>
          <w:lang w:val="es-ES"/>
        </w:rPr>
        <w:t xml:space="preserve"> </w:t>
      </w:r>
      <w:r w:rsidRPr="00A374BE">
        <w:rPr>
          <w:rFonts w:ascii="Verdana" w:hAnsi="Verdana"/>
          <w:lang w:val="es-ES"/>
        </w:rPr>
        <w:t xml:space="preserve">La alta corporación ha sostenido esta interpretación también respecto de los </w:t>
      </w:r>
      <w:r>
        <w:rPr>
          <w:rFonts w:ascii="Verdana" w:hAnsi="Verdana"/>
          <w:lang w:val="es-ES"/>
        </w:rPr>
        <w:t>C</w:t>
      </w:r>
      <w:r w:rsidRPr="00A374BE">
        <w:rPr>
          <w:rFonts w:ascii="Verdana" w:hAnsi="Verdana"/>
          <w:lang w:val="es-ES"/>
        </w:rPr>
        <w:t xml:space="preserve">oncejos </w:t>
      </w:r>
      <w:proofErr w:type="gramStart"/>
      <w:r>
        <w:rPr>
          <w:rFonts w:ascii="Verdana" w:hAnsi="Verdana"/>
          <w:lang w:val="es-ES"/>
        </w:rPr>
        <w:t>M</w:t>
      </w:r>
      <w:r w:rsidRPr="00A374BE">
        <w:rPr>
          <w:rFonts w:ascii="Verdana" w:hAnsi="Verdana"/>
          <w:lang w:val="es-ES"/>
        </w:rPr>
        <w:t>unicipales,  resaltando</w:t>
      </w:r>
      <w:proofErr w:type="gramEnd"/>
      <w:r w:rsidRPr="00A374BE">
        <w:rPr>
          <w:rFonts w:ascii="Verdana" w:hAnsi="Verdana"/>
          <w:lang w:val="es-ES"/>
        </w:rPr>
        <w:t xml:space="preserve"> </w:t>
      </w:r>
      <w:proofErr w:type="gramStart"/>
      <w:r w:rsidRPr="00A374BE">
        <w:rPr>
          <w:rFonts w:ascii="Verdana" w:hAnsi="Verdana"/>
          <w:lang w:val="es-ES"/>
        </w:rPr>
        <w:t>que</w:t>
      </w:r>
      <w:proofErr w:type="gramEnd"/>
      <w:r w:rsidRPr="00A374BE">
        <w:rPr>
          <w:rFonts w:ascii="Verdana" w:hAnsi="Verdana"/>
          <w:lang w:val="es-ES"/>
        </w:rPr>
        <w:t xml:space="preserve"> al tratarse de autorizaciones iguales, la atribución otorgada a las </w:t>
      </w:r>
      <w:r>
        <w:rPr>
          <w:rFonts w:ascii="Verdana" w:hAnsi="Verdana"/>
          <w:lang w:val="es-ES"/>
        </w:rPr>
        <w:t>A</w:t>
      </w:r>
      <w:r w:rsidRPr="00A374BE">
        <w:rPr>
          <w:rFonts w:ascii="Verdana" w:hAnsi="Verdana"/>
          <w:lang w:val="es-ES"/>
        </w:rPr>
        <w:t xml:space="preserve">sambleas </w:t>
      </w:r>
      <w:r>
        <w:rPr>
          <w:rFonts w:ascii="Verdana" w:hAnsi="Verdana"/>
          <w:lang w:val="es-ES"/>
        </w:rPr>
        <w:t>D</w:t>
      </w:r>
      <w:r w:rsidRPr="00A374BE">
        <w:rPr>
          <w:rFonts w:ascii="Verdana" w:hAnsi="Verdana"/>
          <w:lang w:val="es-ES"/>
        </w:rPr>
        <w:t xml:space="preserve">epartamentales tampoco puede interpretarse en el sentido de que sean una instancia permanente de la contratación de la entidad territorial. Tanto en el caso de los </w:t>
      </w:r>
      <w:r>
        <w:rPr>
          <w:rFonts w:ascii="Verdana" w:hAnsi="Verdana"/>
          <w:lang w:val="es-ES"/>
        </w:rPr>
        <w:t>C</w:t>
      </w:r>
      <w:r w:rsidRPr="00A374BE">
        <w:rPr>
          <w:rFonts w:ascii="Verdana" w:hAnsi="Verdana"/>
          <w:lang w:val="es-ES"/>
        </w:rPr>
        <w:t xml:space="preserve">oncejos </w:t>
      </w:r>
      <w:r>
        <w:rPr>
          <w:rFonts w:ascii="Verdana" w:hAnsi="Verdana"/>
          <w:lang w:val="es-ES"/>
        </w:rPr>
        <w:t>M</w:t>
      </w:r>
      <w:r w:rsidRPr="00A374BE">
        <w:rPr>
          <w:rFonts w:ascii="Verdana" w:hAnsi="Verdana"/>
          <w:lang w:val="es-ES"/>
        </w:rPr>
        <w:t xml:space="preserve">unicipales como de las </w:t>
      </w:r>
      <w:r>
        <w:rPr>
          <w:rFonts w:ascii="Verdana" w:hAnsi="Verdana"/>
          <w:lang w:val="es-ES"/>
        </w:rPr>
        <w:t>A</w:t>
      </w:r>
      <w:r w:rsidRPr="00A374BE">
        <w:rPr>
          <w:rFonts w:ascii="Verdana" w:hAnsi="Verdana"/>
          <w:lang w:val="es-ES"/>
        </w:rPr>
        <w:t xml:space="preserve">sambleas </w:t>
      </w:r>
      <w:r>
        <w:rPr>
          <w:rFonts w:ascii="Verdana" w:hAnsi="Verdana"/>
          <w:lang w:val="es-ES"/>
        </w:rPr>
        <w:t>T</w:t>
      </w:r>
      <w:r w:rsidRPr="00A374BE">
        <w:rPr>
          <w:rFonts w:ascii="Verdana" w:hAnsi="Verdana"/>
          <w:lang w:val="es-ES"/>
        </w:rPr>
        <w:t>erritoriales, no es procedente interpretar que todos los contratos del ente territorial deban ser revisados y aprobados por dichas corporaciones, pues esto implicaría una especie de intervención permanente que se encuentra vetada en el Estatuto General de Contratación de la Administración Pública.</w:t>
      </w:r>
    </w:p>
    <w:p w14:paraId="14DF1EF9" w14:textId="77777777" w:rsidR="00310ED6" w:rsidRPr="00A374BE" w:rsidRDefault="00310ED6" w:rsidP="00310ED6">
      <w:pPr>
        <w:snapToGrid w:val="0"/>
        <w:spacing w:before="120" w:after="120" w:line="276" w:lineRule="auto"/>
        <w:ind w:firstLine="709"/>
        <w:jc w:val="both"/>
        <w:rPr>
          <w:rFonts w:ascii="Verdana" w:eastAsia="Arial Unicode MS" w:hAnsi="Verdana" w:cs="Arial"/>
          <w:i/>
          <w:lang w:val="es-ES"/>
        </w:rPr>
      </w:pPr>
      <w:r w:rsidRPr="00A374BE">
        <w:rPr>
          <w:rFonts w:ascii="Verdana" w:hAnsi="Verdana"/>
          <w:lang w:val="es-ES"/>
        </w:rPr>
        <w:t xml:space="preserve">Esta postura también fue sostenida por la </w:t>
      </w:r>
      <w:r w:rsidRPr="00A374BE">
        <w:rPr>
          <w:rFonts w:ascii="Verdana" w:eastAsia="Arial Unicode MS" w:hAnsi="Verdana" w:cs="Arial"/>
          <w:iCs/>
          <w:lang w:val="es-ES"/>
        </w:rPr>
        <w:t>Corte Constitucional en la Sentencia C-086 de 1995, en los siguientes términos</w:t>
      </w:r>
      <w:r w:rsidRPr="00A374BE">
        <w:rPr>
          <w:rFonts w:ascii="Verdana" w:eastAsia="Arial Unicode MS" w:hAnsi="Verdana" w:cs="Arial"/>
          <w:i/>
          <w:lang w:val="es-ES"/>
        </w:rPr>
        <w:t>:</w:t>
      </w:r>
    </w:p>
    <w:p w14:paraId="4EB403B5" w14:textId="77777777" w:rsidR="00310ED6" w:rsidRPr="00A374BE" w:rsidRDefault="00310ED6" w:rsidP="00310ED6">
      <w:pPr>
        <w:snapToGrid w:val="0"/>
        <w:spacing w:before="120" w:after="0" w:line="240" w:lineRule="auto"/>
        <w:ind w:left="709" w:right="709"/>
        <w:jc w:val="both"/>
        <w:rPr>
          <w:rFonts w:ascii="Verdana" w:hAnsi="Verdana" w:cs="Arial"/>
          <w:i/>
          <w:sz w:val="20"/>
          <w:szCs w:val="20"/>
          <w:lang w:val="es-ES"/>
        </w:rPr>
      </w:pPr>
      <w:r w:rsidRPr="00A374BE">
        <w:rPr>
          <w:rFonts w:ascii="Arial" w:eastAsia="Arial Unicode MS" w:hAnsi="Arial" w:cs="Arial"/>
          <w:iCs/>
          <w:lang w:val="es-ES"/>
        </w:rPr>
        <w:t>“</w:t>
      </w:r>
      <w:r w:rsidRPr="00A374BE">
        <w:rPr>
          <w:rFonts w:ascii="Verdana" w:eastAsia="Times New Roman" w:hAnsi="Verdana" w:cs="Arial"/>
          <w:iCs/>
          <w:sz w:val="20"/>
          <w:szCs w:val="20"/>
          <w:lang w:val="es-ES"/>
        </w:rPr>
        <w:t>la autorización general para contratar por parte de las entidades públicas estatales, que se encuentra en la Ley 80 de 1993, permite que no sea necesario contar con una norma especial expedida por una corporación pública cada vez que se pretenda celebrar un contrato por parte de alguna de las entidades u organismos a que hace referencia la citada ley</w:t>
      </w:r>
      <w:r w:rsidRPr="00A374BE">
        <w:rPr>
          <w:rFonts w:ascii="Verdana" w:hAnsi="Verdana" w:cs="Arial"/>
          <w:iCs/>
          <w:sz w:val="20"/>
          <w:szCs w:val="20"/>
          <w:lang w:val="es-ES"/>
        </w:rPr>
        <w:t>”</w:t>
      </w:r>
      <w:r w:rsidRPr="00A374BE">
        <w:rPr>
          <w:rFonts w:ascii="Verdana" w:hAnsi="Verdana" w:cs="Arial"/>
          <w:iCs/>
          <w:sz w:val="20"/>
          <w:szCs w:val="20"/>
          <w:vertAlign w:val="superscript"/>
          <w:lang w:val="es-ES"/>
        </w:rPr>
        <w:footnoteReference w:id="3"/>
      </w:r>
      <w:r w:rsidRPr="00A374BE">
        <w:rPr>
          <w:rFonts w:ascii="Verdana" w:hAnsi="Verdana" w:cs="Arial"/>
          <w:iCs/>
          <w:sz w:val="20"/>
          <w:szCs w:val="20"/>
          <w:lang w:val="es-ES"/>
        </w:rPr>
        <w:t>.</w:t>
      </w:r>
    </w:p>
    <w:p w14:paraId="6AFF1B01" w14:textId="77777777" w:rsidR="00310ED6" w:rsidRPr="00A374BE" w:rsidRDefault="00310ED6" w:rsidP="00310ED6">
      <w:pPr>
        <w:snapToGrid w:val="0"/>
        <w:spacing w:after="0" w:line="276" w:lineRule="auto"/>
        <w:ind w:right="709" w:firstLine="708"/>
        <w:jc w:val="both"/>
        <w:rPr>
          <w:rFonts w:ascii="Verdana" w:hAnsi="Verdana" w:cs="Arial"/>
          <w:iCs/>
          <w:lang w:val="es-ES"/>
        </w:rPr>
      </w:pPr>
    </w:p>
    <w:p w14:paraId="57BBF6EA" w14:textId="77777777" w:rsidR="00310ED6" w:rsidRPr="00A374BE" w:rsidRDefault="00310ED6" w:rsidP="00310ED6">
      <w:pPr>
        <w:snapToGrid w:val="0"/>
        <w:spacing w:after="120" w:line="276" w:lineRule="auto"/>
        <w:ind w:firstLine="708"/>
        <w:jc w:val="both"/>
        <w:rPr>
          <w:rFonts w:ascii="Verdana" w:hAnsi="Verdana" w:cs="Arial"/>
          <w:iCs/>
          <w:lang w:val="es-ES"/>
        </w:rPr>
      </w:pPr>
      <w:r w:rsidRPr="00A374BE">
        <w:rPr>
          <w:rFonts w:ascii="Verdana" w:hAnsi="Verdana" w:cs="Arial"/>
          <w:iCs/>
          <w:lang w:val="es-ES"/>
        </w:rPr>
        <w:t xml:space="preserve">Según </w:t>
      </w:r>
      <w:r>
        <w:rPr>
          <w:rFonts w:ascii="Verdana" w:hAnsi="Verdana" w:cs="Arial"/>
          <w:iCs/>
          <w:lang w:val="es-ES"/>
        </w:rPr>
        <w:t xml:space="preserve">lo </w:t>
      </w:r>
      <w:r w:rsidRPr="00A374BE">
        <w:rPr>
          <w:rFonts w:ascii="Verdana" w:hAnsi="Verdana" w:cs="Arial"/>
          <w:iCs/>
          <w:lang w:val="es-ES"/>
        </w:rPr>
        <w:t>expuest</w:t>
      </w:r>
      <w:r>
        <w:rPr>
          <w:rFonts w:ascii="Verdana" w:hAnsi="Verdana" w:cs="Arial"/>
          <w:iCs/>
          <w:lang w:val="es-ES"/>
        </w:rPr>
        <w:t>o</w:t>
      </w:r>
      <w:r w:rsidRPr="00A374BE">
        <w:rPr>
          <w:rFonts w:ascii="Verdana" w:hAnsi="Verdana" w:cs="Arial"/>
          <w:iCs/>
          <w:lang w:val="es-ES"/>
        </w:rPr>
        <w:t xml:space="preserve">, no será constitucionalmente admisible la interpretación según la cual la autorización referida en el artículo 300 de la Constitución supedita </w:t>
      </w:r>
      <w:r w:rsidRPr="006F3C3C">
        <w:rPr>
          <w:rFonts w:ascii="Verdana" w:hAnsi="Verdana" w:cs="Arial"/>
          <w:i/>
          <w:lang w:val="es-ES"/>
        </w:rPr>
        <w:t>totalmente</w:t>
      </w:r>
      <w:r w:rsidRPr="00A374BE">
        <w:rPr>
          <w:rFonts w:ascii="Verdana" w:hAnsi="Verdana" w:cs="Arial"/>
          <w:iCs/>
          <w:lang w:val="es-ES"/>
        </w:rPr>
        <w:t xml:space="preserve"> la actividad contractual del departamento a las </w:t>
      </w:r>
      <w:r w:rsidRPr="00A374BE">
        <w:rPr>
          <w:rFonts w:ascii="Verdana" w:hAnsi="Verdana" w:cs="Arial"/>
          <w:iCs/>
          <w:lang w:val="es-ES"/>
        </w:rPr>
        <w:lastRenderedPageBreak/>
        <w:t xml:space="preserve">autorizaciones emitidas por la </w:t>
      </w:r>
      <w:r>
        <w:rPr>
          <w:rFonts w:ascii="Verdana" w:hAnsi="Verdana" w:cs="Arial"/>
          <w:iCs/>
          <w:lang w:val="es-ES"/>
        </w:rPr>
        <w:t>A</w:t>
      </w:r>
      <w:r w:rsidRPr="00A374BE">
        <w:rPr>
          <w:rFonts w:ascii="Verdana" w:hAnsi="Verdana" w:cs="Arial"/>
          <w:iCs/>
          <w:lang w:val="es-ES"/>
        </w:rPr>
        <w:t>samblea, de modo que deje sin efecto las facultades que la ley ya concedió en materia contractual a los gobernadores.</w:t>
      </w:r>
    </w:p>
    <w:p w14:paraId="60FC4B18" w14:textId="77777777" w:rsidR="00310ED6" w:rsidRPr="00A374BE" w:rsidRDefault="00310ED6" w:rsidP="00310ED6">
      <w:pPr>
        <w:snapToGrid w:val="0"/>
        <w:spacing w:after="120" w:line="276" w:lineRule="auto"/>
        <w:ind w:firstLine="708"/>
        <w:jc w:val="both"/>
        <w:rPr>
          <w:rFonts w:ascii="Verdana" w:hAnsi="Verdana" w:cs="Arial"/>
          <w:iCs/>
          <w:lang w:val="es-ES"/>
        </w:rPr>
      </w:pPr>
      <w:r w:rsidRPr="00A374BE">
        <w:rPr>
          <w:rFonts w:ascii="Verdana" w:hAnsi="Verdana" w:cs="Arial"/>
          <w:iCs/>
          <w:lang w:val="es-ES"/>
        </w:rPr>
        <w:t xml:space="preserve">En línea con lo anterior, es importante aclarar que la potestad reglamentaria otorgada a las </w:t>
      </w:r>
      <w:r>
        <w:rPr>
          <w:rFonts w:ascii="Verdana" w:hAnsi="Verdana" w:cs="Arial"/>
          <w:iCs/>
          <w:lang w:val="es-ES"/>
        </w:rPr>
        <w:t>A</w:t>
      </w:r>
      <w:r w:rsidRPr="00A374BE">
        <w:rPr>
          <w:rFonts w:ascii="Verdana" w:hAnsi="Verdana" w:cs="Arial"/>
          <w:iCs/>
          <w:lang w:val="es-ES"/>
        </w:rPr>
        <w:t xml:space="preserve">sambleas </w:t>
      </w:r>
      <w:r>
        <w:rPr>
          <w:rFonts w:ascii="Verdana" w:hAnsi="Verdana" w:cs="Arial"/>
          <w:iCs/>
          <w:lang w:val="es-ES"/>
        </w:rPr>
        <w:t>D</w:t>
      </w:r>
      <w:r w:rsidRPr="00A374BE">
        <w:rPr>
          <w:rFonts w:ascii="Verdana" w:hAnsi="Verdana" w:cs="Arial"/>
          <w:iCs/>
          <w:lang w:val="es-ES"/>
        </w:rPr>
        <w:t xml:space="preserve">epartamentales no implica que puedan determinar los casos en los que será procedente requerir su autorización para que el gobernador adelante procesos contractuales. Dicha potestad en solo les permite regular el trámite interno de la autorización dentro de la misma corporación para los casos en que la ley o la constitución la haya exigido. De esta manera, las </w:t>
      </w:r>
      <w:r>
        <w:rPr>
          <w:rFonts w:ascii="Verdana" w:hAnsi="Verdana" w:cs="Arial"/>
          <w:iCs/>
          <w:lang w:val="es-ES"/>
        </w:rPr>
        <w:t>A</w:t>
      </w:r>
      <w:r w:rsidRPr="00A374BE">
        <w:rPr>
          <w:rFonts w:ascii="Verdana" w:hAnsi="Verdana" w:cs="Arial"/>
          <w:iCs/>
          <w:lang w:val="es-ES"/>
        </w:rPr>
        <w:t>sambleas no podrán ejercer la potestad reglamentaria para modificar o derogar las competencias ya otorgadas por la Ley 80 de 1993 o el Estatuto Orgánico de Presupuesto</w:t>
      </w:r>
      <w:r>
        <w:rPr>
          <w:rFonts w:ascii="Verdana" w:hAnsi="Verdana" w:cs="Arial"/>
          <w:iCs/>
          <w:lang w:val="es-ES"/>
        </w:rPr>
        <w:t>.</w:t>
      </w:r>
    </w:p>
    <w:p w14:paraId="49D9BAA0" w14:textId="77777777" w:rsidR="00310ED6" w:rsidRPr="00A374BE" w:rsidRDefault="00310ED6" w:rsidP="00310ED6">
      <w:pPr>
        <w:snapToGrid w:val="0"/>
        <w:spacing w:after="120" w:line="276" w:lineRule="auto"/>
        <w:ind w:firstLine="708"/>
        <w:jc w:val="both"/>
        <w:rPr>
          <w:rFonts w:ascii="Verdana" w:hAnsi="Verdana" w:cs="Arial"/>
          <w:iCs/>
          <w:lang w:val="es-ES"/>
        </w:rPr>
      </w:pPr>
      <w:r w:rsidRPr="00A374BE">
        <w:rPr>
          <w:rFonts w:ascii="Verdana" w:hAnsi="Verdana" w:cs="Arial"/>
          <w:iCs/>
          <w:lang w:val="es-ES"/>
        </w:rPr>
        <w:t>En los supuestos en que una norma especial exija al gobernador requerir una autorización previa por parte de la asamblea para celebrar</w:t>
      </w:r>
      <w:r>
        <w:rPr>
          <w:rFonts w:ascii="Verdana" w:hAnsi="Verdana" w:cs="Arial"/>
          <w:iCs/>
          <w:lang w:val="es-ES"/>
        </w:rPr>
        <w:t xml:space="preserve"> </w:t>
      </w:r>
      <w:r w:rsidRPr="00A374BE">
        <w:rPr>
          <w:rFonts w:ascii="Verdana" w:hAnsi="Verdana" w:cs="Arial"/>
          <w:iCs/>
          <w:lang w:val="es-ES"/>
        </w:rPr>
        <w:t xml:space="preserve">un contrato, la reglamentación que expida la </w:t>
      </w:r>
      <w:r>
        <w:rPr>
          <w:rFonts w:ascii="Verdana" w:hAnsi="Verdana" w:cs="Arial"/>
          <w:iCs/>
          <w:lang w:val="es-ES"/>
        </w:rPr>
        <w:t>A</w:t>
      </w:r>
      <w:r w:rsidRPr="00A374BE">
        <w:rPr>
          <w:rFonts w:ascii="Verdana" w:hAnsi="Verdana" w:cs="Arial"/>
          <w:iCs/>
          <w:lang w:val="es-ES"/>
        </w:rPr>
        <w:t xml:space="preserve">samblea para ello deberá respetar </w:t>
      </w:r>
      <w:r w:rsidRPr="00A374BE">
        <w:rPr>
          <w:rFonts w:ascii="Verdana" w:hAnsi="Verdana" w:cs="Arial"/>
          <w:lang w:val="es-ES"/>
        </w:rPr>
        <w:t>los principios de proporcionalidad y razonabilidad, pues el mandatario departamental es quien ejerce la función de director de la actividad contractual del ente territorial y “so pretexto de reglamentar el trámite de las autorizaciones excepcionales, las corporaciones de elección popular departamentales no pueden interferir en los procesos de contratación o coartar las competencias constitucionales y legales que tienen los gobernadores en esa materia”</w:t>
      </w:r>
      <w:r w:rsidRPr="00A374BE">
        <w:rPr>
          <w:rStyle w:val="Refdenotaalpie"/>
          <w:rFonts w:ascii="Verdana" w:hAnsi="Verdana" w:cs="Arial"/>
          <w:lang w:val="es-ES"/>
        </w:rPr>
        <w:footnoteReference w:id="4"/>
      </w:r>
      <w:r w:rsidRPr="00A374BE">
        <w:rPr>
          <w:rFonts w:ascii="Verdana" w:hAnsi="Verdana" w:cs="Arial"/>
          <w:lang w:val="es-ES"/>
        </w:rPr>
        <w:t xml:space="preserve">.   </w:t>
      </w:r>
    </w:p>
    <w:p w14:paraId="40D95CF9" w14:textId="77777777" w:rsidR="00310ED6" w:rsidRPr="006F3C3C" w:rsidRDefault="00310ED6" w:rsidP="00310ED6">
      <w:pPr>
        <w:snapToGrid w:val="0"/>
        <w:spacing w:after="120" w:line="276" w:lineRule="auto"/>
        <w:ind w:firstLine="708"/>
        <w:jc w:val="both"/>
        <w:rPr>
          <w:rFonts w:ascii="Verdana" w:hAnsi="Verdana" w:cs="Arial"/>
          <w:iCs/>
          <w:lang w:val="es-ES"/>
        </w:rPr>
      </w:pPr>
      <w:r w:rsidRPr="00A374BE">
        <w:rPr>
          <w:rFonts w:ascii="Verdana" w:hAnsi="Verdana" w:cs="Arial"/>
          <w:iCs/>
          <w:lang w:val="es-ES"/>
        </w:rPr>
        <w:t xml:space="preserve">En suma, </w:t>
      </w:r>
      <w:r w:rsidRPr="00A374BE">
        <w:rPr>
          <w:rFonts w:ascii="Verdana" w:hAnsi="Verdana"/>
          <w:lang w:val="es-ES"/>
        </w:rPr>
        <w:t xml:space="preserve">no es procedente que las </w:t>
      </w:r>
      <w:r>
        <w:rPr>
          <w:rFonts w:ascii="Verdana" w:hAnsi="Verdana"/>
          <w:lang w:val="es-ES"/>
        </w:rPr>
        <w:t>A</w:t>
      </w:r>
      <w:r w:rsidRPr="00A374BE">
        <w:rPr>
          <w:rFonts w:ascii="Verdana" w:hAnsi="Verdana"/>
          <w:lang w:val="es-ES"/>
        </w:rPr>
        <w:t>sambleas</w:t>
      </w:r>
      <w:r>
        <w:rPr>
          <w:rFonts w:ascii="Verdana" w:hAnsi="Verdana"/>
          <w:lang w:val="es-ES"/>
        </w:rPr>
        <w:t xml:space="preserve"> Departamentales</w:t>
      </w:r>
      <w:r w:rsidRPr="00A374BE">
        <w:rPr>
          <w:rFonts w:ascii="Verdana" w:hAnsi="Verdana"/>
          <w:lang w:val="es-ES"/>
        </w:rPr>
        <w:t xml:space="preserve"> exijan a los gobernadores contar con una autorización previa para celebrar todos y cada uno de los contratos que suscriba la administración departamental, sino que dicha atribución debe estar claramente restringida para casos concretos, los cuales se entienden fuera de la competencia general atribuida directamente a dichos mandatarios por la Ley 80 de 1993.</w:t>
      </w:r>
      <w:r>
        <w:rPr>
          <w:rFonts w:ascii="Verdana" w:hAnsi="Verdana" w:cs="Arial"/>
          <w:iCs/>
          <w:lang w:val="es-ES"/>
        </w:rPr>
        <w:t xml:space="preserve"> </w:t>
      </w:r>
      <w:r w:rsidRPr="00A374BE">
        <w:rPr>
          <w:rFonts w:ascii="Verdana" w:hAnsi="Verdana"/>
          <w:lang w:val="es-ES"/>
        </w:rPr>
        <w:t>De esta manera, es claro que los gobernadores no requieren una autorización general para contratar por parte de las asambleas, teniendo en cuenta que la misma fue otorgada directamente por el artículo 11 la Ley 80 de 1993. La atribución a la que se refiere el numeral 9 del artículo 300 de la Constitución Política, únicamente se restringe a ciertos casos de contratos frente a los cuales una norma especial exige una autorización previa de la asamblea.</w:t>
      </w:r>
    </w:p>
    <w:p w14:paraId="6DD095EB" w14:textId="77777777" w:rsidR="00310ED6" w:rsidRPr="00A374BE" w:rsidRDefault="00310ED6" w:rsidP="00310ED6">
      <w:pPr>
        <w:snapToGrid w:val="0"/>
        <w:spacing w:before="120" w:after="120" w:line="276" w:lineRule="auto"/>
        <w:ind w:firstLine="709"/>
        <w:jc w:val="both"/>
        <w:rPr>
          <w:rFonts w:ascii="Verdana" w:hAnsi="Verdana"/>
          <w:lang w:val="es-ES"/>
        </w:rPr>
      </w:pPr>
      <w:r w:rsidRPr="00A374BE">
        <w:rPr>
          <w:rFonts w:ascii="Verdana" w:hAnsi="Verdana"/>
          <w:lang w:val="es-ES"/>
        </w:rPr>
        <w:lastRenderedPageBreak/>
        <w:t xml:space="preserve">Teniendo en cuenta la consulta planteada, </w:t>
      </w:r>
      <w:proofErr w:type="gramStart"/>
      <w:r w:rsidRPr="00A374BE">
        <w:rPr>
          <w:rFonts w:ascii="Verdana" w:hAnsi="Verdana"/>
          <w:lang w:val="es-ES"/>
        </w:rPr>
        <w:t>de acuerdo a</w:t>
      </w:r>
      <w:proofErr w:type="gramEnd"/>
      <w:r w:rsidRPr="00A374BE">
        <w:rPr>
          <w:rFonts w:ascii="Verdana" w:hAnsi="Verdana"/>
          <w:lang w:val="es-ES"/>
        </w:rPr>
        <w:t xml:space="preserve"> la interpretación sistemática de las disposiciones analizadas y los pronunciamientos jurisprudenciales sobre el artículo 300, numeral 9, constitucional, se concluye que en cada caso deberá revisarse si existe o no norma especial que ex</w:t>
      </w:r>
      <w:r>
        <w:rPr>
          <w:rFonts w:ascii="Verdana" w:hAnsi="Verdana"/>
          <w:lang w:val="es-ES"/>
        </w:rPr>
        <w:t>ij</w:t>
      </w:r>
      <w:r w:rsidRPr="00A374BE">
        <w:rPr>
          <w:rFonts w:ascii="Verdana" w:hAnsi="Verdana"/>
          <w:lang w:val="es-ES"/>
        </w:rPr>
        <w:t xml:space="preserve">a una autorización previa de la Asamblea Departamental dirigida al gobernador para suscribir contratos estatales. </w:t>
      </w:r>
    </w:p>
    <w:p w14:paraId="761453ED" w14:textId="77777777" w:rsidR="00310ED6" w:rsidRPr="00A374BE" w:rsidRDefault="00310ED6" w:rsidP="00310ED6">
      <w:pPr>
        <w:tabs>
          <w:tab w:val="left" w:pos="709"/>
        </w:tabs>
        <w:spacing w:after="0" w:line="276" w:lineRule="auto"/>
        <w:jc w:val="both"/>
        <w:rPr>
          <w:rFonts w:ascii="Verdana" w:eastAsia="Calibri" w:hAnsi="Verdana" w:cs="Arial"/>
          <w:color w:val="000000" w:themeColor="text1"/>
          <w:lang w:val="es-ES"/>
        </w:rPr>
      </w:pPr>
    </w:p>
    <w:p w14:paraId="04E4992C" w14:textId="77777777" w:rsidR="00310ED6" w:rsidRPr="00A374BE" w:rsidRDefault="00310ED6" w:rsidP="00310E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374BE">
        <w:rPr>
          <w:rFonts w:ascii="Verdana" w:eastAsia="Century Gothic" w:hAnsi="Verdana" w:cs="Century Gothic"/>
          <w:b/>
          <w:bCs/>
        </w:rPr>
        <w:t>Referencias normativas:</w:t>
      </w:r>
    </w:p>
    <w:p w14:paraId="50D4DA04" w14:textId="77777777" w:rsidR="00310ED6" w:rsidRPr="00A374BE" w:rsidRDefault="00310ED6" w:rsidP="00310ED6">
      <w:pPr>
        <w:widowControl w:val="0"/>
        <w:autoSpaceDE w:val="0"/>
        <w:autoSpaceDN w:val="0"/>
        <w:spacing w:after="0" w:line="276" w:lineRule="auto"/>
        <w:jc w:val="both"/>
        <w:rPr>
          <w:rFonts w:ascii="Verdana" w:hAnsi="Verdana" w:cs="Arial"/>
          <w:lang w:val="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10ED6" w:rsidRPr="00A374BE" w14:paraId="5352467C" w14:textId="77777777" w:rsidTr="00413F5F">
        <w:trPr>
          <w:trHeight w:val="870"/>
          <w:jc w:val="center"/>
        </w:trPr>
        <w:tc>
          <w:tcPr>
            <w:tcW w:w="8647" w:type="dxa"/>
          </w:tcPr>
          <w:p w14:paraId="10BCABAA" w14:textId="77777777" w:rsidR="00310ED6" w:rsidRDefault="00310ED6" w:rsidP="00413F5F">
            <w:pPr>
              <w:pStyle w:val="Prrafodelista"/>
              <w:widowControl w:val="0"/>
              <w:numPr>
                <w:ilvl w:val="0"/>
                <w:numId w:val="17"/>
              </w:numPr>
              <w:autoSpaceDE w:val="0"/>
              <w:autoSpaceDN w:val="0"/>
              <w:snapToGrid w:val="0"/>
              <w:spacing w:before="120" w:after="120" w:line="276" w:lineRule="auto"/>
              <w:ind w:left="714" w:hanging="357"/>
              <w:contextualSpacing w:val="0"/>
              <w:jc w:val="both"/>
              <w:rPr>
                <w:rFonts w:ascii="Verdana" w:hAnsi="Verdana" w:cs="Arial"/>
              </w:rPr>
            </w:pPr>
            <w:r>
              <w:rPr>
                <w:rFonts w:ascii="Verdana" w:hAnsi="Verdana" w:cs="Arial"/>
              </w:rPr>
              <w:t xml:space="preserve">Constitución Política de 1991. Artículo 300. </w:t>
            </w:r>
          </w:p>
          <w:p w14:paraId="311254ED" w14:textId="77777777" w:rsidR="00310ED6" w:rsidRPr="00A374BE" w:rsidRDefault="00310ED6" w:rsidP="00413F5F">
            <w:pPr>
              <w:pStyle w:val="Prrafodelista"/>
              <w:widowControl w:val="0"/>
              <w:numPr>
                <w:ilvl w:val="0"/>
                <w:numId w:val="17"/>
              </w:numPr>
              <w:autoSpaceDE w:val="0"/>
              <w:autoSpaceDN w:val="0"/>
              <w:snapToGrid w:val="0"/>
              <w:spacing w:before="120" w:after="120" w:line="276" w:lineRule="auto"/>
              <w:ind w:left="714" w:hanging="357"/>
              <w:contextualSpacing w:val="0"/>
              <w:jc w:val="both"/>
              <w:rPr>
                <w:rFonts w:ascii="Verdana" w:hAnsi="Verdana" w:cs="Arial"/>
              </w:rPr>
            </w:pPr>
            <w:r>
              <w:rPr>
                <w:rFonts w:ascii="Verdana" w:hAnsi="Verdana" w:cs="Arial"/>
              </w:rPr>
              <w:t>Ley 80 de 1993, artículo 11.</w:t>
            </w:r>
          </w:p>
          <w:p w14:paraId="2750DC78" w14:textId="77777777" w:rsidR="00310ED6" w:rsidRPr="006F3C3C" w:rsidRDefault="00310ED6" w:rsidP="00413F5F">
            <w:pPr>
              <w:pStyle w:val="Prrafodelista"/>
              <w:widowControl w:val="0"/>
              <w:numPr>
                <w:ilvl w:val="0"/>
                <w:numId w:val="17"/>
              </w:numPr>
              <w:autoSpaceDE w:val="0"/>
              <w:autoSpaceDN w:val="0"/>
              <w:snapToGrid w:val="0"/>
              <w:spacing w:before="120" w:after="120" w:line="276" w:lineRule="auto"/>
              <w:ind w:left="714" w:hanging="357"/>
              <w:contextualSpacing w:val="0"/>
              <w:jc w:val="both"/>
              <w:rPr>
                <w:rFonts w:ascii="Verdana" w:hAnsi="Verdana" w:cs="Arial"/>
              </w:rPr>
            </w:pPr>
            <w:r w:rsidRPr="006F3C3C">
              <w:rPr>
                <w:rFonts w:ascii="Verdana" w:hAnsi="Verdana" w:cs="Arial"/>
              </w:rPr>
              <w:t>Consejo de Estado. Sección Primera. Sentencia del treinta (30) de enero de dos mil veinte (2020). Radicación número: 50001-23-33-000-2017-00266-01. Consejera ponente: Nubia Margoth Peña Garzón</w:t>
            </w:r>
          </w:p>
          <w:p w14:paraId="6426AF4C" w14:textId="77777777" w:rsidR="00310ED6" w:rsidRPr="006F3C3C" w:rsidRDefault="00310ED6" w:rsidP="00413F5F">
            <w:pPr>
              <w:pStyle w:val="Prrafodelista"/>
              <w:widowControl w:val="0"/>
              <w:numPr>
                <w:ilvl w:val="0"/>
                <w:numId w:val="17"/>
              </w:numPr>
              <w:autoSpaceDE w:val="0"/>
              <w:autoSpaceDN w:val="0"/>
              <w:snapToGrid w:val="0"/>
              <w:spacing w:before="120" w:after="120" w:line="276" w:lineRule="auto"/>
              <w:ind w:left="714" w:hanging="357"/>
              <w:contextualSpacing w:val="0"/>
              <w:jc w:val="both"/>
              <w:rPr>
                <w:rFonts w:ascii="Verdana" w:hAnsi="Verdana" w:cs="Arial"/>
              </w:rPr>
            </w:pPr>
            <w:r w:rsidRPr="006F3C3C">
              <w:rPr>
                <w:rFonts w:ascii="Verdana" w:hAnsi="Verdana" w:cs="Arial"/>
              </w:rPr>
              <w:t>Consejo de Estado. Sala de Consulta y Servicio Civil. Concepto de 18 de mayo de 2016. Rad. 2284 C.P: Álvaro Namén Vargas.</w:t>
            </w:r>
          </w:p>
          <w:p w14:paraId="3B1FF04B" w14:textId="77777777" w:rsidR="00310ED6" w:rsidRPr="006F3C3C" w:rsidRDefault="00310ED6" w:rsidP="00413F5F">
            <w:pPr>
              <w:widowControl w:val="0"/>
              <w:numPr>
                <w:ilvl w:val="0"/>
                <w:numId w:val="17"/>
              </w:numPr>
              <w:autoSpaceDE w:val="0"/>
              <w:autoSpaceDN w:val="0"/>
              <w:snapToGrid w:val="0"/>
              <w:spacing w:before="120" w:after="120" w:line="276" w:lineRule="auto"/>
              <w:ind w:left="714" w:hanging="357"/>
              <w:jc w:val="both"/>
              <w:rPr>
                <w:rFonts w:ascii="Verdana" w:hAnsi="Verdana" w:cs="Arial"/>
                <w:lang w:val="es-ES"/>
              </w:rPr>
            </w:pPr>
            <w:r w:rsidRPr="006F3C3C">
              <w:rPr>
                <w:rFonts w:ascii="Verdana" w:hAnsi="Verdana" w:cs="Arial"/>
                <w:lang w:val="es-ES"/>
              </w:rPr>
              <w:t>Corte Constitucional. C-086 de 1995. M.P. Vladimiro Naranjo Mesa.</w:t>
            </w:r>
          </w:p>
        </w:tc>
      </w:tr>
    </w:tbl>
    <w:p w14:paraId="1666E9B4" w14:textId="77777777" w:rsidR="00310ED6" w:rsidRPr="00A374BE" w:rsidRDefault="00310ED6" w:rsidP="00310ED6">
      <w:pPr>
        <w:widowControl w:val="0"/>
        <w:autoSpaceDE w:val="0"/>
        <w:autoSpaceDN w:val="0"/>
        <w:spacing w:after="0" w:line="276" w:lineRule="auto"/>
        <w:jc w:val="both"/>
        <w:rPr>
          <w:rFonts w:ascii="Verdana" w:hAnsi="Verdana" w:cs="Arial"/>
          <w:lang w:val="es-ES"/>
        </w:rPr>
      </w:pPr>
    </w:p>
    <w:p w14:paraId="05204C07" w14:textId="77777777" w:rsidR="00310ED6" w:rsidRPr="00A374BE" w:rsidRDefault="00310ED6" w:rsidP="00310E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374BE">
        <w:rPr>
          <w:rFonts w:ascii="Verdana" w:eastAsia="Century Gothic" w:hAnsi="Verdana" w:cs="Century Gothic"/>
          <w:b/>
          <w:bCs/>
        </w:rPr>
        <w:t>Doctrina de la Agencia Nacional de Contratación Pública:</w:t>
      </w:r>
    </w:p>
    <w:p w14:paraId="43114D68" w14:textId="77777777" w:rsidR="00310ED6" w:rsidRPr="00A374BE" w:rsidRDefault="00310ED6" w:rsidP="00310ED6">
      <w:pPr>
        <w:widowControl w:val="0"/>
        <w:autoSpaceDE w:val="0"/>
        <w:autoSpaceDN w:val="0"/>
        <w:spacing w:after="0" w:line="276" w:lineRule="auto"/>
        <w:jc w:val="both"/>
        <w:rPr>
          <w:rFonts w:ascii="Verdana" w:hAnsi="Verdana" w:cs="Arial"/>
          <w:lang w:val="es-ES"/>
        </w:rPr>
      </w:pPr>
    </w:p>
    <w:p w14:paraId="09D376B6" w14:textId="77777777" w:rsidR="00310ED6" w:rsidRPr="00A374BE" w:rsidRDefault="00310ED6" w:rsidP="00310ED6">
      <w:pPr>
        <w:widowControl w:val="0"/>
        <w:autoSpaceDE w:val="0"/>
        <w:autoSpaceDN w:val="0"/>
        <w:spacing w:after="0" w:line="276" w:lineRule="auto"/>
        <w:jc w:val="both"/>
        <w:rPr>
          <w:rStyle w:val="normaltextrun"/>
          <w:rFonts w:ascii="Verdana" w:hAnsi="Verdana" w:cs="Arial"/>
          <w:shd w:val="clear" w:color="auto" w:fill="FFFFFF"/>
          <w:lang w:val="es-ES"/>
        </w:rPr>
      </w:pPr>
      <w:r w:rsidRPr="00A374BE">
        <w:rPr>
          <w:rFonts w:ascii="Verdana" w:eastAsia="Calibri" w:hAnsi="Verdana" w:cs="Arial"/>
          <w:lang w:val="es-ES"/>
        </w:rPr>
        <w:t xml:space="preserve">La Agencia Nacional de Contratación Pública – Colombia Compra Eficiente se </w:t>
      </w:r>
      <w:r w:rsidRPr="00A374BE">
        <w:rPr>
          <w:rStyle w:val="normaltextrun"/>
          <w:rFonts w:ascii="Verdana" w:hAnsi="Verdana" w:cs="Arial"/>
          <w:color w:val="000000" w:themeColor="text1"/>
          <w:shd w:val="clear" w:color="auto" w:fill="FFFFFF"/>
          <w:lang w:val="es-ES"/>
        </w:rPr>
        <w:t>pronunci</w:t>
      </w:r>
      <w:r>
        <w:rPr>
          <w:rStyle w:val="normaltextrun"/>
          <w:rFonts w:ascii="Verdana" w:hAnsi="Verdana" w:cs="Arial"/>
          <w:color w:val="000000" w:themeColor="text1"/>
          <w:shd w:val="clear" w:color="auto" w:fill="FFFFFF"/>
          <w:lang w:val="es-ES"/>
        </w:rPr>
        <w:t>ó</w:t>
      </w:r>
      <w:r w:rsidRPr="00A374BE">
        <w:rPr>
          <w:rStyle w:val="normaltextrun"/>
          <w:rFonts w:ascii="Verdana" w:hAnsi="Verdana" w:cs="Arial"/>
          <w:color w:val="000000" w:themeColor="text1"/>
          <w:shd w:val="clear" w:color="auto" w:fill="FFFFFF"/>
          <w:lang w:val="es-ES"/>
        </w:rPr>
        <w:t xml:space="preserve"> sobre la autorización para contratar concedida por las </w:t>
      </w:r>
      <w:r>
        <w:rPr>
          <w:rStyle w:val="normaltextrun"/>
          <w:rFonts w:ascii="Verdana" w:hAnsi="Verdana" w:cs="Arial"/>
          <w:color w:val="000000" w:themeColor="text1"/>
          <w:shd w:val="clear" w:color="auto" w:fill="FFFFFF"/>
          <w:lang w:val="es-ES"/>
        </w:rPr>
        <w:t>A</w:t>
      </w:r>
      <w:r w:rsidRPr="00A374BE">
        <w:rPr>
          <w:rStyle w:val="normaltextrun"/>
          <w:rFonts w:ascii="Verdana" w:hAnsi="Verdana" w:cs="Arial"/>
          <w:color w:val="000000" w:themeColor="text1"/>
          <w:shd w:val="clear" w:color="auto" w:fill="FFFFFF"/>
          <w:lang w:val="es-ES"/>
        </w:rPr>
        <w:t xml:space="preserve">sambleas </w:t>
      </w:r>
      <w:r>
        <w:rPr>
          <w:rStyle w:val="normaltextrun"/>
          <w:rFonts w:ascii="Verdana" w:hAnsi="Verdana" w:cs="Arial"/>
          <w:color w:val="000000" w:themeColor="text1"/>
          <w:shd w:val="clear" w:color="auto" w:fill="FFFFFF"/>
          <w:lang w:val="es-ES"/>
        </w:rPr>
        <w:t>D</w:t>
      </w:r>
      <w:r w:rsidRPr="00A374BE">
        <w:rPr>
          <w:rStyle w:val="normaltextrun"/>
          <w:rFonts w:ascii="Verdana" w:hAnsi="Verdana" w:cs="Arial"/>
          <w:color w:val="000000" w:themeColor="text1"/>
          <w:shd w:val="clear" w:color="auto" w:fill="FFFFFF"/>
          <w:lang w:val="es-ES"/>
        </w:rPr>
        <w:t>epartamentales en el concepto C-071 del 28 de mayo de 2024</w:t>
      </w:r>
      <w:r w:rsidRPr="00A374BE">
        <w:rPr>
          <w:rStyle w:val="normaltextrun"/>
          <w:rFonts w:ascii="Verdana" w:hAnsi="Verdana" w:cs="Arial"/>
          <w:shd w:val="clear" w:color="auto" w:fill="FFFFFF"/>
          <w:lang w:val="es-ES"/>
        </w:rPr>
        <w:t xml:space="preserve">. </w:t>
      </w:r>
      <w:r w:rsidRPr="00A374BE">
        <w:rPr>
          <w:rFonts w:ascii="Verdana" w:hAnsi="Verdana" w:cs="Arial"/>
          <w:shd w:val="clear" w:color="auto" w:fill="FFFFFF"/>
          <w:lang w:val="es-ES"/>
        </w:rPr>
        <w:t>Est</w:t>
      </w:r>
      <w:r>
        <w:rPr>
          <w:rFonts w:ascii="Verdana" w:hAnsi="Verdana" w:cs="Arial"/>
          <w:shd w:val="clear" w:color="auto" w:fill="FFFFFF"/>
          <w:lang w:val="es-ES"/>
        </w:rPr>
        <w:t>e</w:t>
      </w:r>
      <w:r w:rsidRPr="00A374BE">
        <w:rPr>
          <w:rFonts w:ascii="Verdana" w:hAnsi="Verdana" w:cs="Arial"/>
          <w:shd w:val="clear" w:color="auto" w:fill="FFFFFF"/>
          <w:lang w:val="es-ES"/>
        </w:rPr>
        <w:t xml:space="preserve"> y otros </w:t>
      </w:r>
      <w:r w:rsidRPr="00A374BE">
        <w:rPr>
          <w:rStyle w:val="normaltextrun"/>
          <w:rFonts w:ascii="Verdana" w:hAnsi="Verdana" w:cs="Arial"/>
          <w:shd w:val="clear" w:color="auto" w:fill="FFFFFF"/>
          <w:lang w:val="es-ES"/>
        </w:rPr>
        <w:t xml:space="preserve">se encuentran disponibles para consulta en el Sistema de relatoría de la Agencia, al cual puede accederse a través del siguiente enlace: </w:t>
      </w:r>
      <w:hyperlink r:id="rId11" w:history="1">
        <w:r w:rsidRPr="00A374BE">
          <w:rPr>
            <w:rStyle w:val="Hipervnculo"/>
            <w:rFonts w:ascii="Verdana" w:hAnsi="Verdana" w:cs="Arial"/>
            <w:shd w:val="clear" w:color="auto" w:fill="FFFFFF"/>
            <w:lang w:val="es-ES"/>
          </w:rPr>
          <w:t>https://relatoria.colombiacompra.gov.co/busqueda/conceptos</w:t>
        </w:r>
      </w:hyperlink>
      <w:r w:rsidRPr="00A374BE">
        <w:rPr>
          <w:rStyle w:val="normaltextrun"/>
          <w:rFonts w:ascii="Verdana" w:hAnsi="Verdana" w:cs="Arial"/>
          <w:shd w:val="clear" w:color="auto" w:fill="FFFFFF"/>
          <w:lang w:val="es-ES"/>
        </w:rPr>
        <w:t xml:space="preserve">. </w:t>
      </w:r>
      <w:r w:rsidRPr="00A374BE">
        <w:rPr>
          <w:rStyle w:val="normaltextrun"/>
          <w:rFonts w:ascii="Verdana" w:hAnsi="Verdana" w:cs="Arial"/>
          <w:color w:val="FF0000"/>
          <w:shd w:val="clear" w:color="auto" w:fill="FFFFFF"/>
          <w:lang w:val="es-ES"/>
        </w:rPr>
        <w:t xml:space="preserve"> </w:t>
      </w:r>
    </w:p>
    <w:p w14:paraId="107DD520" w14:textId="77777777" w:rsidR="00310ED6" w:rsidRPr="00A374BE" w:rsidRDefault="00310ED6" w:rsidP="00310ED6">
      <w:pPr>
        <w:widowControl w:val="0"/>
        <w:autoSpaceDE w:val="0"/>
        <w:autoSpaceDN w:val="0"/>
        <w:spacing w:after="0" w:line="276" w:lineRule="auto"/>
        <w:jc w:val="both"/>
        <w:rPr>
          <w:rFonts w:ascii="Verdana" w:hAnsi="Verdana" w:cs="Arial"/>
          <w:color w:val="000000" w:themeColor="text1"/>
          <w:shd w:val="clear" w:color="auto" w:fill="FFFFFF"/>
          <w:lang w:val="es-ES"/>
        </w:rPr>
      </w:pPr>
    </w:p>
    <w:p w14:paraId="4665D829" w14:textId="77777777" w:rsidR="00310ED6" w:rsidRPr="00A374BE" w:rsidRDefault="00310ED6" w:rsidP="00310ED6">
      <w:pPr>
        <w:shd w:val="clear" w:color="auto" w:fill="FFFFFF"/>
        <w:spacing w:after="0" w:line="276" w:lineRule="auto"/>
        <w:jc w:val="both"/>
        <w:rPr>
          <w:rFonts w:ascii="Verdana" w:hAnsi="Verdana"/>
          <w:color w:val="467886"/>
          <w:u w:val="single"/>
          <w:lang w:val="es-ES"/>
        </w:rPr>
      </w:pPr>
      <w:r w:rsidRPr="00A374BE">
        <w:rPr>
          <w:rFonts w:ascii="Verdana" w:hAnsi="Verdana"/>
          <w:color w:val="000000"/>
          <w:lang w:val="es-ES"/>
        </w:rPr>
        <w:t>Además, informamos que ya se encuentra disponible la </w:t>
      </w:r>
      <w:r w:rsidRPr="00A374BE">
        <w:rPr>
          <w:rFonts w:ascii="Verdana" w:hAnsi="Verdana"/>
          <w:b/>
          <w:bCs/>
          <w:color w:val="000000"/>
          <w:lang w:val="es-ES"/>
        </w:rPr>
        <w:t>Guía de lineamientos de transparencia y selección objetiva para el departamento de La Guajira – Objetivo sexto constitucional de la Sentencia T-302 del 2017. </w:t>
      </w:r>
      <w:r w:rsidRPr="00A374BE">
        <w:rPr>
          <w:rFonts w:ascii="Verdana" w:hAnsi="Verdana"/>
          <w:color w:val="000000"/>
          <w:lang w:val="es-ES"/>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w:t>
      </w:r>
      <w:r w:rsidRPr="00A374BE">
        <w:rPr>
          <w:rFonts w:ascii="Verdana" w:hAnsi="Verdana"/>
          <w:color w:val="000000"/>
          <w:lang w:val="es-ES"/>
        </w:rPr>
        <w:lastRenderedPageBreak/>
        <w:t xml:space="preserve">de los derechos fundamentales de los niños y de las niñas del Pueblo </w:t>
      </w:r>
      <w:proofErr w:type="spellStart"/>
      <w:r w:rsidRPr="00A374BE">
        <w:rPr>
          <w:rFonts w:ascii="Verdana" w:hAnsi="Verdana"/>
          <w:color w:val="000000"/>
          <w:lang w:val="es-ES"/>
        </w:rPr>
        <w:t>Wayúu</w:t>
      </w:r>
      <w:proofErr w:type="spellEnd"/>
      <w:r w:rsidRPr="00A374BE">
        <w:rPr>
          <w:rFonts w:ascii="Verdana" w:hAnsi="Verdana"/>
          <w:color w:val="000000"/>
          <w:lang w:val="es-ES"/>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A374BE">
          <w:rPr>
            <w:rStyle w:val="Hipervnculo"/>
            <w:rFonts w:ascii="Verdana" w:hAnsi="Verdana"/>
            <w:lang w:val="es-ES"/>
          </w:rPr>
          <w:t>Guía de lineamientos de transparencia y selección objetiva para el departamento de La Guajira – Objetivo sexto constitucional de la Sentencia T-302 del 2017</w:t>
        </w:r>
      </w:hyperlink>
      <w:r w:rsidRPr="00A374BE">
        <w:rPr>
          <w:rFonts w:ascii="Verdana" w:hAnsi="Verdana"/>
          <w:color w:val="000000"/>
          <w:u w:val="single"/>
          <w:lang w:val="es-ES"/>
        </w:rPr>
        <w:t>.</w:t>
      </w:r>
    </w:p>
    <w:p w14:paraId="4C2264D3" w14:textId="77777777" w:rsidR="00310ED6" w:rsidRPr="00A374BE" w:rsidRDefault="00310ED6" w:rsidP="00310ED6">
      <w:pPr>
        <w:widowControl w:val="0"/>
        <w:autoSpaceDE w:val="0"/>
        <w:autoSpaceDN w:val="0"/>
        <w:spacing w:after="0" w:line="276" w:lineRule="auto"/>
        <w:jc w:val="both"/>
        <w:rPr>
          <w:rFonts w:ascii="Verdana" w:hAnsi="Verdana" w:cs="Arial"/>
          <w:color w:val="FF0000"/>
          <w:shd w:val="clear" w:color="auto" w:fill="FFFFFF"/>
          <w:lang w:val="es-ES"/>
        </w:rPr>
      </w:pPr>
      <w:r w:rsidRPr="00A374BE">
        <w:rPr>
          <w:rFonts w:ascii="Verdana" w:hAnsi="Verdana" w:cs="Arial"/>
          <w:color w:val="000000" w:themeColor="text1"/>
          <w:shd w:val="clear" w:color="auto" w:fill="FFFFFF"/>
          <w:lang w:val="es-ES"/>
        </w:rPr>
        <w:t xml:space="preserve"> </w:t>
      </w:r>
      <w:r w:rsidRPr="00A374BE">
        <w:rPr>
          <w:rStyle w:val="normaltextrun"/>
          <w:rFonts w:ascii="Verdana" w:hAnsi="Verdana" w:cs="Arial"/>
          <w:color w:val="FF0000"/>
          <w:shd w:val="clear" w:color="auto" w:fill="FFFFFF"/>
          <w:lang w:val="es-ES"/>
        </w:rPr>
        <w:t xml:space="preserve">        </w:t>
      </w:r>
    </w:p>
    <w:p w14:paraId="5E82DAE0" w14:textId="77777777" w:rsidR="00310ED6" w:rsidRPr="00A374BE" w:rsidRDefault="00310ED6" w:rsidP="00310ED6">
      <w:pPr>
        <w:spacing w:after="0" w:line="240" w:lineRule="auto"/>
        <w:jc w:val="both"/>
        <w:rPr>
          <w:rFonts w:ascii="Verdana" w:hAnsi="Verdana"/>
          <w:lang w:val="es-ES"/>
        </w:rPr>
      </w:pPr>
      <w:r w:rsidRPr="00A374BE">
        <w:rPr>
          <w:rFonts w:ascii="Verdana" w:hAnsi="Verdana"/>
          <w:lang w:val="es-ES"/>
        </w:rPr>
        <w:t xml:space="preserve">Por último, lo invitamos a seguirnos en las redes sociales en las cuales se difunde información institucional: </w:t>
      </w:r>
    </w:p>
    <w:p w14:paraId="5D13B69D" w14:textId="77777777" w:rsidR="00310ED6" w:rsidRPr="00A374BE" w:rsidRDefault="00310ED6" w:rsidP="00310ED6">
      <w:pPr>
        <w:spacing w:after="0" w:line="240" w:lineRule="auto"/>
        <w:jc w:val="both"/>
        <w:rPr>
          <w:rFonts w:ascii="Verdana" w:hAnsi="Verdana"/>
          <w:lang w:val="es-ES"/>
        </w:rPr>
      </w:pPr>
    </w:p>
    <w:p w14:paraId="58518CCF" w14:textId="77777777" w:rsidR="00310ED6" w:rsidRPr="00A374BE" w:rsidRDefault="00310ED6" w:rsidP="00310ED6">
      <w:pPr>
        <w:spacing w:after="0" w:line="240" w:lineRule="auto"/>
        <w:jc w:val="both"/>
        <w:rPr>
          <w:rFonts w:ascii="Verdana" w:hAnsi="Verdana"/>
          <w:lang w:val="es-ES"/>
        </w:rPr>
      </w:pPr>
      <w:r w:rsidRPr="00A374BE">
        <w:rPr>
          <w:rFonts w:ascii="Verdana" w:hAnsi="Verdana"/>
          <w:lang w:val="es-ES"/>
        </w:rPr>
        <w:t xml:space="preserve">Twitter: </w:t>
      </w:r>
      <w:r w:rsidRPr="00A374BE">
        <w:rPr>
          <w:rStyle w:val="Hipervnculo"/>
          <w:rFonts w:ascii="Verdana" w:hAnsi="Verdana" w:cs="Arial"/>
          <w:shd w:val="clear" w:color="auto" w:fill="FFFFFF"/>
          <w:lang w:val="es-ES"/>
        </w:rPr>
        <w:t>@colombiacompra</w:t>
      </w:r>
      <w:r w:rsidRPr="00A374BE">
        <w:rPr>
          <w:rFonts w:ascii="Verdana" w:hAnsi="Verdana"/>
          <w:color w:val="4472C4" w:themeColor="accent1"/>
          <w:lang w:val="es-ES"/>
        </w:rPr>
        <w:t xml:space="preserve"> </w:t>
      </w:r>
    </w:p>
    <w:p w14:paraId="4B93D0FE" w14:textId="77777777" w:rsidR="00310ED6" w:rsidRPr="00A374BE" w:rsidRDefault="00310ED6" w:rsidP="00310ED6">
      <w:pPr>
        <w:spacing w:after="0" w:line="240" w:lineRule="auto"/>
        <w:jc w:val="both"/>
        <w:rPr>
          <w:rFonts w:ascii="Verdana" w:hAnsi="Verdana"/>
          <w:lang w:val="es-ES"/>
        </w:rPr>
      </w:pPr>
      <w:r w:rsidRPr="00A374BE">
        <w:rPr>
          <w:rFonts w:ascii="Verdana" w:hAnsi="Verdana"/>
          <w:lang w:val="es-ES"/>
        </w:rPr>
        <w:t xml:space="preserve">Facebook: </w:t>
      </w:r>
      <w:proofErr w:type="spellStart"/>
      <w:r w:rsidRPr="00A374BE">
        <w:rPr>
          <w:rStyle w:val="Hipervnculo"/>
          <w:rFonts w:ascii="Verdana" w:hAnsi="Verdana" w:cs="Arial"/>
          <w:shd w:val="clear" w:color="auto" w:fill="FFFFFF"/>
          <w:lang w:val="es-ES"/>
        </w:rPr>
        <w:t>ColombiaCompraEficiente</w:t>
      </w:r>
      <w:proofErr w:type="spellEnd"/>
    </w:p>
    <w:p w14:paraId="00C57A6B" w14:textId="77777777" w:rsidR="00310ED6" w:rsidRPr="00A374BE" w:rsidRDefault="00310ED6" w:rsidP="00310ED6">
      <w:pPr>
        <w:spacing w:after="0" w:line="240" w:lineRule="auto"/>
        <w:jc w:val="both"/>
        <w:rPr>
          <w:rFonts w:ascii="Verdana" w:hAnsi="Verdana"/>
          <w:lang w:val="es-ES"/>
        </w:rPr>
      </w:pPr>
      <w:r w:rsidRPr="00A374BE">
        <w:rPr>
          <w:rFonts w:ascii="Verdana" w:hAnsi="Verdana"/>
          <w:lang w:val="es-ES"/>
        </w:rPr>
        <w:t xml:space="preserve">LinkedIn: </w:t>
      </w:r>
      <w:r w:rsidRPr="00A374BE">
        <w:rPr>
          <w:rStyle w:val="Hipervnculo"/>
          <w:rFonts w:ascii="Verdana" w:hAnsi="Verdana" w:cs="Arial"/>
          <w:shd w:val="clear" w:color="auto" w:fill="FFFFFF"/>
          <w:lang w:val="es-ES"/>
        </w:rPr>
        <w:t>Agencia Nacional de Contratación Pública - Colombia Compra Eficiente</w:t>
      </w:r>
      <w:r w:rsidRPr="00A374BE">
        <w:rPr>
          <w:rStyle w:val="Hipervnculo"/>
          <w:rFonts w:cs="Arial"/>
          <w:shd w:val="clear" w:color="auto" w:fill="FFFFFF"/>
          <w:lang w:val="es-ES"/>
        </w:rPr>
        <w:t xml:space="preserve"> </w:t>
      </w:r>
      <w:r w:rsidRPr="00A374BE">
        <w:rPr>
          <w:rFonts w:ascii="Verdana" w:hAnsi="Verdana"/>
          <w:lang w:val="es-ES"/>
        </w:rPr>
        <w:t xml:space="preserve">Instagram: </w:t>
      </w:r>
      <w:r w:rsidRPr="00A374BE">
        <w:rPr>
          <w:rStyle w:val="Hipervnculo"/>
          <w:rFonts w:ascii="Verdana" w:hAnsi="Verdana" w:cs="Arial"/>
          <w:shd w:val="clear" w:color="auto" w:fill="FFFFFF"/>
          <w:lang w:val="es-ES"/>
        </w:rPr>
        <w:t>@colombiacompraeficiente_cce</w:t>
      </w:r>
    </w:p>
    <w:p w14:paraId="32F5FBB1" w14:textId="77777777" w:rsidR="00310ED6" w:rsidRPr="00A374BE" w:rsidRDefault="00310ED6" w:rsidP="00310ED6">
      <w:pPr>
        <w:widowControl w:val="0"/>
        <w:autoSpaceDE w:val="0"/>
        <w:autoSpaceDN w:val="0"/>
        <w:spacing w:after="0" w:line="276" w:lineRule="auto"/>
        <w:jc w:val="both"/>
        <w:rPr>
          <w:rFonts w:ascii="Verdana" w:hAnsi="Verdana" w:cs="Arial"/>
          <w:lang w:val="es-ES"/>
        </w:rPr>
      </w:pPr>
    </w:p>
    <w:p w14:paraId="21C57E36" w14:textId="77777777" w:rsidR="00310ED6" w:rsidRPr="00A374BE" w:rsidRDefault="00310ED6" w:rsidP="00310ED6">
      <w:pPr>
        <w:widowControl w:val="0"/>
        <w:autoSpaceDE w:val="0"/>
        <w:autoSpaceDN w:val="0"/>
        <w:spacing w:after="0" w:line="276" w:lineRule="auto"/>
        <w:jc w:val="both"/>
        <w:rPr>
          <w:rFonts w:ascii="Verdana" w:hAnsi="Verdana" w:cs="Arial"/>
          <w:lang w:val="es-ES"/>
        </w:rPr>
      </w:pPr>
      <w:r w:rsidRPr="00A374BE">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087927B" w14:textId="77777777" w:rsidR="00310ED6" w:rsidRPr="00A374BE" w:rsidRDefault="00310ED6" w:rsidP="00310ED6">
      <w:pPr>
        <w:widowControl w:val="0"/>
        <w:autoSpaceDE w:val="0"/>
        <w:autoSpaceDN w:val="0"/>
        <w:spacing w:after="0" w:line="276" w:lineRule="auto"/>
        <w:jc w:val="both"/>
        <w:rPr>
          <w:rFonts w:ascii="Verdana" w:hAnsi="Verdana" w:cs="Arial"/>
          <w:lang w:val="es-ES"/>
        </w:rPr>
      </w:pPr>
    </w:p>
    <w:p w14:paraId="5C0B44FF" w14:textId="1A91544A" w:rsidR="00310ED6" w:rsidRPr="00A374BE" w:rsidRDefault="00310ED6" w:rsidP="00310ED6">
      <w:pPr>
        <w:spacing w:after="0" w:line="240" w:lineRule="auto"/>
        <w:rPr>
          <w:rFonts w:ascii="Verdana" w:hAnsi="Verdana" w:cs="Arial"/>
          <w:lang w:val="es-ES" w:eastAsia="es-CO"/>
        </w:rPr>
      </w:pPr>
      <w:r w:rsidRPr="00A374BE">
        <w:rPr>
          <w:rFonts w:ascii="Verdana" w:eastAsia="Times New Roman" w:hAnsi="Verdana" w:cs="Arial"/>
          <w:lang w:val="es-ES" w:eastAsia="es-CO"/>
        </w:rPr>
        <w:t>Atentamente,</w:t>
      </w:r>
      <w:r w:rsidRPr="00A374BE">
        <w:rPr>
          <w:rFonts w:ascii="Verdana" w:hAnsi="Verdana" w:cs="Arial"/>
          <w:lang w:val="es-ES" w:eastAsia="es-CO"/>
        </w:rPr>
        <w:t xml:space="preserve"> </w:t>
      </w:r>
    </w:p>
    <w:p w14:paraId="3762D7B2" w14:textId="0C58269A" w:rsidR="00310ED6" w:rsidRPr="00A374BE" w:rsidRDefault="00EF686B" w:rsidP="00310ED6">
      <w:pPr>
        <w:spacing w:after="0" w:line="240" w:lineRule="auto"/>
        <w:rPr>
          <w:rFonts w:ascii="Verdana" w:hAnsi="Verdana" w:cs="Arial"/>
          <w:lang w:val="es-ES" w:eastAsia="es-CO"/>
        </w:rPr>
      </w:pPr>
      <w:r w:rsidRPr="002C3AD6">
        <w:rPr>
          <w:rFonts w:ascii="Century Gothic" w:hAnsi="Century Gothic"/>
          <w:noProof/>
        </w:rPr>
        <w:drawing>
          <wp:anchor distT="0" distB="0" distL="114300" distR="114300" simplePos="0" relativeHeight="251661312" behindDoc="0" locked="0" layoutInCell="1" allowOverlap="1" wp14:anchorId="68B1E87E" wp14:editId="423A7CD0">
            <wp:simplePos x="0" y="0"/>
            <wp:positionH relativeFrom="column">
              <wp:posOffset>1127983</wp:posOffset>
            </wp:positionH>
            <wp:positionV relativeFrom="page">
              <wp:posOffset>4947387</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p w14:paraId="65F99CC8" w14:textId="3568B0EC" w:rsidR="00310ED6" w:rsidRPr="00A374BE" w:rsidRDefault="00310ED6" w:rsidP="00310ED6">
      <w:pPr>
        <w:spacing w:after="0" w:line="240" w:lineRule="auto"/>
        <w:rPr>
          <w:rFonts w:ascii="Verdana" w:hAnsi="Verdana" w:cs="Arial"/>
          <w:lang w:val="es-ES" w:eastAsia="es-CO"/>
        </w:rPr>
      </w:pPr>
    </w:p>
    <w:p w14:paraId="34008BAF" w14:textId="77777777" w:rsidR="00310ED6" w:rsidRPr="00A374BE" w:rsidRDefault="00310ED6" w:rsidP="00310ED6">
      <w:pPr>
        <w:spacing w:after="0" w:line="240" w:lineRule="auto"/>
        <w:rPr>
          <w:rFonts w:ascii="Verdana" w:hAnsi="Verdana" w:cs="Arial"/>
          <w:lang w:val="es-ES" w:eastAsia="es-CO"/>
        </w:rPr>
      </w:pPr>
    </w:p>
    <w:p w14:paraId="13FB890D" w14:textId="77777777" w:rsidR="00310ED6" w:rsidRPr="00A374BE" w:rsidRDefault="00310ED6" w:rsidP="00310ED6">
      <w:pPr>
        <w:spacing w:after="0" w:line="240" w:lineRule="auto"/>
        <w:rPr>
          <w:rFonts w:ascii="Verdana" w:hAnsi="Verdana" w:cs="Arial"/>
          <w:lang w:val="es-ES" w:eastAsia="es-CO"/>
        </w:rPr>
      </w:pPr>
    </w:p>
    <w:p w14:paraId="33C56E59" w14:textId="77777777" w:rsidR="00310ED6" w:rsidRPr="00A374BE" w:rsidRDefault="00310ED6" w:rsidP="00310ED6">
      <w:pPr>
        <w:spacing w:after="0" w:line="240"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10ED6" w:rsidRPr="00A374BE" w14:paraId="30E5ADD5" w14:textId="77777777" w:rsidTr="00413F5F">
        <w:trPr>
          <w:trHeight w:val="315"/>
        </w:trPr>
        <w:tc>
          <w:tcPr>
            <w:tcW w:w="893" w:type="dxa"/>
            <w:vAlign w:val="center"/>
            <w:hideMark/>
          </w:tcPr>
          <w:p w14:paraId="38270FC5" w14:textId="77777777" w:rsidR="00310ED6" w:rsidRPr="00A374BE" w:rsidRDefault="00310ED6" w:rsidP="00413F5F">
            <w:pPr>
              <w:contextualSpacing/>
              <w:rPr>
                <w:rFonts w:ascii="Verdana" w:hAnsi="Verdana" w:cs="Arial"/>
                <w:sz w:val="15"/>
                <w:szCs w:val="15"/>
                <w:lang w:val="es-ES" w:eastAsia="es-ES"/>
              </w:rPr>
            </w:pPr>
            <w:r w:rsidRPr="00A374BE">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4D94BE53" w14:textId="77777777" w:rsidR="00310ED6" w:rsidRPr="00A374BE" w:rsidRDefault="00310ED6" w:rsidP="00413F5F">
            <w:pPr>
              <w:contextualSpacing/>
              <w:rPr>
                <w:rFonts w:ascii="Verdana" w:eastAsia="Arial" w:hAnsi="Verdana" w:cs="Arial"/>
                <w:color w:val="000000" w:themeColor="text1"/>
                <w:sz w:val="15"/>
                <w:szCs w:val="15"/>
                <w:lang w:val="es-ES"/>
              </w:rPr>
            </w:pPr>
            <w:r w:rsidRPr="00A374BE">
              <w:rPr>
                <w:rFonts w:ascii="Verdana" w:eastAsia="Arial" w:hAnsi="Verdana" w:cs="Arial"/>
                <w:color w:val="000000" w:themeColor="text1"/>
                <w:sz w:val="15"/>
                <w:szCs w:val="15"/>
                <w:lang w:val="es-ES"/>
              </w:rPr>
              <w:t>Anamaría Bonilla Prieto</w:t>
            </w:r>
          </w:p>
          <w:p w14:paraId="5E56541C" w14:textId="77777777" w:rsidR="00310ED6" w:rsidRPr="00A374BE" w:rsidRDefault="00310ED6" w:rsidP="00413F5F">
            <w:pPr>
              <w:contextualSpacing/>
              <w:rPr>
                <w:rFonts w:ascii="Verdana" w:eastAsia="Arial" w:hAnsi="Verdana" w:cs="Arial"/>
                <w:sz w:val="15"/>
                <w:szCs w:val="15"/>
                <w:lang w:val="es-ES"/>
              </w:rPr>
            </w:pPr>
            <w:r w:rsidRPr="00A374BE">
              <w:rPr>
                <w:rStyle w:val="normaltextrun"/>
                <w:rFonts w:ascii="Verdana" w:eastAsia="Arial" w:hAnsi="Verdana" w:cs="Arial"/>
                <w:color w:val="000000" w:themeColor="text1"/>
                <w:sz w:val="15"/>
                <w:szCs w:val="15"/>
                <w:lang w:val="es-ES"/>
              </w:rPr>
              <w:t xml:space="preserve">Contratista de la Subdirección </w:t>
            </w:r>
            <w:r w:rsidRPr="00A374BE">
              <w:rPr>
                <w:rStyle w:val="normaltextrun"/>
                <w:rFonts w:ascii="Verdana" w:eastAsia="Arial" w:hAnsi="Verdana" w:cs="Arial"/>
                <w:sz w:val="15"/>
                <w:szCs w:val="15"/>
                <w:lang w:val="es-ES"/>
              </w:rPr>
              <w:t>de Gestión Contractual</w:t>
            </w:r>
          </w:p>
        </w:tc>
      </w:tr>
      <w:tr w:rsidR="00310ED6" w:rsidRPr="00A374BE" w14:paraId="00A1CAE2" w14:textId="77777777" w:rsidTr="00413F5F">
        <w:trPr>
          <w:trHeight w:val="330"/>
        </w:trPr>
        <w:tc>
          <w:tcPr>
            <w:tcW w:w="893" w:type="dxa"/>
            <w:vAlign w:val="center"/>
            <w:hideMark/>
          </w:tcPr>
          <w:p w14:paraId="764AA149" w14:textId="77777777" w:rsidR="00310ED6" w:rsidRPr="00A374BE" w:rsidRDefault="00310ED6" w:rsidP="00413F5F">
            <w:pPr>
              <w:contextualSpacing/>
              <w:rPr>
                <w:rFonts w:ascii="Verdana" w:hAnsi="Verdana" w:cs="Arial"/>
                <w:sz w:val="15"/>
                <w:szCs w:val="15"/>
                <w:lang w:val="es-ES" w:eastAsia="es-ES"/>
              </w:rPr>
            </w:pPr>
            <w:r w:rsidRPr="00A374BE">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81A76B7" w14:textId="77777777" w:rsidR="00310ED6" w:rsidRPr="00A374BE" w:rsidRDefault="00310ED6" w:rsidP="00413F5F">
            <w:pPr>
              <w:spacing w:line="276" w:lineRule="auto"/>
              <w:contextualSpacing/>
              <w:textAlignment w:val="baseline"/>
              <w:rPr>
                <w:rFonts w:ascii="Verdana" w:eastAsia="Times New Roman" w:hAnsi="Verdana" w:cs="Arial"/>
                <w:sz w:val="15"/>
                <w:szCs w:val="15"/>
                <w:lang w:val="es-ES" w:eastAsia="es-ES_tradnl"/>
              </w:rPr>
            </w:pPr>
            <w:r w:rsidRPr="00A374BE">
              <w:rPr>
                <w:rFonts w:ascii="Verdana" w:eastAsia="Times New Roman" w:hAnsi="Verdana" w:cs="Arial"/>
                <w:sz w:val="15"/>
                <w:szCs w:val="15"/>
                <w:lang w:val="es-ES" w:eastAsia="es-ES_tradnl"/>
              </w:rPr>
              <w:t>Alejandro Sarmiento Cantillo</w:t>
            </w:r>
          </w:p>
          <w:p w14:paraId="1A491470" w14:textId="77777777" w:rsidR="00310ED6" w:rsidRPr="00A374BE" w:rsidRDefault="00310ED6" w:rsidP="00413F5F">
            <w:pPr>
              <w:pStyle w:val="paragraph"/>
              <w:spacing w:before="0" w:beforeAutospacing="0" w:after="0" w:afterAutospacing="0"/>
              <w:contextualSpacing/>
              <w:textAlignment w:val="baseline"/>
              <w:rPr>
                <w:rFonts w:ascii="Verdana" w:hAnsi="Verdana" w:cs="Segoe UI"/>
                <w:sz w:val="15"/>
                <w:szCs w:val="15"/>
                <w:lang w:val="es-ES"/>
              </w:rPr>
            </w:pPr>
            <w:r w:rsidRPr="00A374BE">
              <w:rPr>
                <w:rFonts w:ascii="Verdana" w:hAnsi="Verdana" w:cs="Arial"/>
                <w:sz w:val="15"/>
                <w:szCs w:val="15"/>
                <w:lang w:val="es-ES"/>
              </w:rPr>
              <w:t xml:space="preserve">Gestor T1 – 15 </w:t>
            </w:r>
            <w:r w:rsidRPr="00A374BE">
              <w:rPr>
                <w:rStyle w:val="normaltextrun"/>
                <w:rFonts w:ascii="Verdana" w:hAnsi="Verdana" w:cs="Arial"/>
                <w:sz w:val="15"/>
                <w:szCs w:val="15"/>
                <w:lang w:val="es-ES"/>
              </w:rPr>
              <w:t>de la Subdirección de Gestión Contractual</w:t>
            </w:r>
            <w:r w:rsidRPr="00A374BE">
              <w:rPr>
                <w:rStyle w:val="eop"/>
                <w:rFonts w:ascii="Verdana" w:hAnsi="Verdana" w:cs="Arial"/>
                <w:sz w:val="15"/>
                <w:szCs w:val="15"/>
                <w:lang w:val="es-ES"/>
              </w:rPr>
              <w:t> </w:t>
            </w:r>
          </w:p>
        </w:tc>
      </w:tr>
      <w:tr w:rsidR="00310ED6" w:rsidRPr="00A374BE" w14:paraId="788330F7" w14:textId="77777777" w:rsidTr="00413F5F">
        <w:trPr>
          <w:trHeight w:val="300"/>
        </w:trPr>
        <w:tc>
          <w:tcPr>
            <w:tcW w:w="893" w:type="dxa"/>
            <w:vAlign w:val="center"/>
          </w:tcPr>
          <w:p w14:paraId="59F0EA6F" w14:textId="77777777" w:rsidR="00310ED6" w:rsidRPr="00A374BE" w:rsidRDefault="00310ED6" w:rsidP="00413F5F">
            <w:pPr>
              <w:contextualSpacing/>
              <w:rPr>
                <w:rFonts w:ascii="Verdana" w:hAnsi="Verdana" w:cs="Arial"/>
                <w:sz w:val="15"/>
                <w:szCs w:val="15"/>
                <w:lang w:val="es-ES" w:eastAsia="es-ES"/>
              </w:rPr>
            </w:pPr>
            <w:r w:rsidRPr="00A374BE">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A5E9638" w14:textId="77777777" w:rsidR="00310ED6" w:rsidRPr="00A374BE" w:rsidRDefault="00310ED6" w:rsidP="00413F5F">
            <w:pPr>
              <w:contextualSpacing/>
              <w:rPr>
                <w:rFonts w:ascii="Verdana" w:eastAsia="Calibri" w:hAnsi="Verdana" w:cs="Arial"/>
                <w:sz w:val="15"/>
                <w:szCs w:val="15"/>
                <w:lang w:val="es-ES" w:eastAsia="es-ES"/>
              </w:rPr>
            </w:pPr>
            <w:r w:rsidRPr="00A374BE">
              <w:rPr>
                <w:rFonts w:ascii="Verdana" w:eastAsia="Calibri" w:hAnsi="Verdana" w:cs="Arial"/>
                <w:sz w:val="15"/>
                <w:szCs w:val="15"/>
                <w:lang w:val="es-ES" w:eastAsia="es-ES"/>
              </w:rPr>
              <w:t>Carolina Quintero Gacharná</w:t>
            </w:r>
          </w:p>
          <w:p w14:paraId="69B5A4E1" w14:textId="77777777" w:rsidR="00310ED6" w:rsidRPr="00A374BE" w:rsidRDefault="00310ED6" w:rsidP="00413F5F">
            <w:pPr>
              <w:contextualSpacing/>
              <w:rPr>
                <w:rFonts w:ascii="Verdana" w:eastAsia="Calibri" w:hAnsi="Verdana" w:cs="Arial"/>
                <w:sz w:val="15"/>
                <w:szCs w:val="15"/>
                <w:lang w:val="es-ES" w:eastAsia="es-ES"/>
              </w:rPr>
            </w:pPr>
            <w:r w:rsidRPr="00A374BE">
              <w:rPr>
                <w:rFonts w:ascii="Verdana" w:eastAsia="Calibri" w:hAnsi="Verdana" w:cs="Arial"/>
                <w:sz w:val="15"/>
                <w:szCs w:val="15"/>
                <w:lang w:val="es-ES" w:eastAsia="es-ES"/>
              </w:rPr>
              <w:t>Subdirectora de Gestión Contractual ANCP – CCE</w:t>
            </w:r>
          </w:p>
        </w:tc>
      </w:tr>
    </w:tbl>
    <w:p w14:paraId="5BFA5CC7" w14:textId="77777777" w:rsidR="00310ED6" w:rsidRPr="00A374BE" w:rsidRDefault="00310ED6" w:rsidP="00310ED6">
      <w:pPr>
        <w:rPr>
          <w:lang w:val="es-ES"/>
        </w:rPr>
      </w:pPr>
    </w:p>
    <w:p w14:paraId="0F293BF4" w14:textId="2617EA48" w:rsidR="00127233" w:rsidRPr="008B19A1" w:rsidRDefault="00127233" w:rsidP="008B19A1"/>
    <w:sectPr w:rsidR="00127233" w:rsidRPr="008B19A1"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801959" w14:textId="77777777" w:rsidR="0043125C" w:rsidRDefault="0043125C" w:rsidP="004A1847">
      <w:pPr>
        <w:spacing w:after="0" w:line="240" w:lineRule="auto"/>
      </w:pPr>
      <w:r>
        <w:separator/>
      </w:r>
    </w:p>
  </w:endnote>
  <w:endnote w:type="continuationSeparator" w:id="0">
    <w:p w14:paraId="7E73E477" w14:textId="77777777" w:rsidR="0043125C" w:rsidRDefault="0043125C" w:rsidP="004A1847">
      <w:pPr>
        <w:spacing w:after="0" w:line="240" w:lineRule="auto"/>
      </w:pPr>
      <w:r>
        <w:continuationSeparator/>
      </w:r>
    </w:p>
  </w:endnote>
  <w:endnote w:type="continuationNotice" w:id="1">
    <w:p w14:paraId="7D213A6A" w14:textId="77777777" w:rsidR="0043125C" w:rsidRDefault="0043125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B14D6E" w14:textId="77777777" w:rsidR="0043125C" w:rsidRDefault="0043125C" w:rsidP="004A1847">
      <w:pPr>
        <w:spacing w:after="0" w:line="240" w:lineRule="auto"/>
      </w:pPr>
      <w:r>
        <w:separator/>
      </w:r>
    </w:p>
  </w:footnote>
  <w:footnote w:type="continuationSeparator" w:id="0">
    <w:p w14:paraId="15A4398E" w14:textId="77777777" w:rsidR="0043125C" w:rsidRDefault="0043125C" w:rsidP="004A1847">
      <w:pPr>
        <w:spacing w:after="0" w:line="240" w:lineRule="auto"/>
      </w:pPr>
      <w:r>
        <w:continuationSeparator/>
      </w:r>
    </w:p>
  </w:footnote>
  <w:footnote w:type="continuationNotice" w:id="1">
    <w:p w14:paraId="4816204C" w14:textId="77777777" w:rsidR="0043125C" w:rsidRDefault="0043125C">
      <w:pPr>
        <w:spacing w:after="0" w:line="240" w:lineRule="auto"/>
      </w:pPr>
    </w:p>
  </w:footnote>
  <w:footnote w:id="2">
    <w:p w14:paraId="70113C64" w14:textId="77777777" w:rsidR="00310ED6" w:rsidRPr="00A374BE" w:rsidRDefault="00310ED6" w:rsidP="00310ED6">
      <w:pPr>
        <w:pStyle w:val="Textonotapie"/>
        <w:ind w:firstLine="708"/>
        <w:jc w:val="both"/>
        <w:rPr>
          <w:rFonts w:ascii="Verdana" w:hAnsi="Verdana"/>
          <w:sz w:val="16"/>
          <w:szCs w:val="16"/>
          <w:lang w:val="es-ES"/>
        </w:rPr>
      </w:pPr>
      <w:r w:rsidRPr="00A374BE">
        <w:rPr>
          <w:rStyle w:val="Refdenotaalpie"/>
          <w:rFonts w:ascii="Verdana" w:hAnsi="Verdana"/>
          <w:sz w:val="16"/>
          <w:szCs w:val="16"/>
        </w:rPr>
        <w:footnoteRef/>
      </w:r>
      <w:r w:rsidRPr="00A374BE">
        <w:rPr>
          <w:rFonts w:ascii="Verdana" w:hAnsi="Verdana"/>
          <w:sz w:val="16"/>
          <w:szCs w:val="16"/>
        </w:rPr>
        <w:t xml:space="preserve"> Postura sostenida en: </w:t>
      </w:r>
      <w:r w:rsidRPr="00A374BE">
        <w:rPr>
          <w:rFonts w:ascii="Verdana" w:hAnsi="Verdana"/>
          <w:sz w:val="16"/>
          <w:szCs w:val="16"/>
          <w:lang w:val="es-CO"/>
        </w:rPr>
        <w:t>Consejo de Estado</w:t>
      </w:r>
      <w:r w:rsidRPr="00A374BE">
        <w:rPr>
          <w:rFonts w:ascii="Verdana" w:hAnsi="Verdana" w:cs="Arial"/>
          <w:sz w:val="16"/>
          <w:szCs w:val="16"/>
        </w:rPr>
        <w:t xml:space="preserve">. </w:t>
      </w:r>
      <w:r w:rsidRPr="00A374BE">
        <w:rPr>
          <w:rFonts w:ascii="Verdana" w:hAnsi="Verdana"/>
          <w:sz w:val="16"/>
          <w:szCs w:val="16"/>
          <w:lang w:val="es-CO"/>
        </w:rPr>
        <w:t>Sección Primera</w:t>
      </w:r>
      <w:r w:rsidRPr="00A374BE">
        <w:rPr>
          <w:rFonts w:ascii="Verdana" w:hAnsi="Verdana" w:cs="Arial"/>
          <w:sz w:val="16"/>
          <w:szCs w:val="16"/>
        </w:rPr>
        <w:t xml:space="preserve">. </w:t>
      </w:r>
      <w:r w:rsidRPr="00A374BE">
        <w:rPr>
          <w:rFonts w:ascii="Verdana" w:hAnsi="Verdana"/>
          <w:sz w:val="16"/>
          <w:szCs w:val="16"/>
        </w:rPr>
        <w:t xml:space="preserve">Sentencia </w:t>
      </w:r>
      <w:r w:rsidRPr="00A374BE">
        <w:rPr>
          <w:rFonts w:ascii="Verdana" w:hAnsi="Verdana"/>
          <w:sz w:val="16"/>
          <w:szCs w:val="16"/>
          <w:lang w:val="es-CO"/>
        </w:rPr>
        <w:t xml:space="preserve">del treinta (30) de enero de dos mil veinte (2020). Radicación número: 50001-23-33-000-2017-00266-01. C.P: Nubia Margoth Peña Garzón; y Consejo de Estado. Sala de Consulta y Servicio Civil. Concepto de 18 de mayo de 2016. Rad. 2284 C.P: Álvaro Namén Vargas. </w:t>
      </w:r>
    </w:p>
  </w:footnote>
  <w:footnote w:id="3">
    <w:p w14:paraId="6046C934" w14:textId="77777777" w:rsidR="00310ED6" w:rsidRPr="00A374BE" w:rsidRDefault="00310ED6" w:rsidP="00310ED6">
      <w:pPr>
        <w:pStyle w:val="Textonotapie"/>
        <w:ind w:firstLine="708"/>
        <w:jc w:val="both"/>
        <w:rPr>
          <w:rFonts w:ascii="Verdana" w:hAnsi="Verdana" w:cs="Arial"/>
          <w:sz w:val="16"/>
          <w:szCs w:val="16"/>
        </w:rPr>
      </w:pPr>
      <w:r w:rsidRPr="00A374BE">
        <w:rPr>
          <w:rStyle w:val="Refdenotaalpie"/>
          <w:rFonts w:ascii="Verdana" w:hAnsi="Verdana" w:cs="Arial"/>
          <w:sz w:val="16"/>
          <w:szCs w:val="16"/>
        </w:rPr>
        <w:footnoteRef/>
      </w:r>
      <w:r w:rsidRPr="00A374BE">
        <w:rPr>
          <w:rFonts w:ascii="Verdana" w:hAnsi="Verdana" w:cs="Arial"/>
          <w:sz w:val="16"/>
          <w:szCs w:val="16"/>
        </w:rPr>
        <w:t xml:space="preserve"> Corte Constitucional. C-086 de 1995. </w:t>
      </w:r>
      <w:r w:rsidRPr="00A374BE">
        <w:rPr>
          <w:rFonts w:ascii="Verdana" w:hAnsi="Verdana" w:cs="Arial"/>
          <w:sz w:val="16"/>
          <w:szCs w:val="16"/>
          <w:lang w:val="es-CO"/>
        </w:rPr>
        <w:t>M.P. Vladimiro Naranjo Mesa.</w:t>
      </w:r>
    </w:p>
  </w:footnote>
  <w:footnote w:id="4">
    <w:p w14:paraId="16A1B9EB" w14:textId="77777777" w:rsidR="00310ED6" w:rsidRPr="00A374BE" w:rsidRDefault="00310ED6" w:rsidP="00310ED6">
      <w:pPr>
        <w:pStyle w:val="p2"/>
        <w:ind w:firstLine="708"/>
        <w:jc w:val="both"/>
        <w:rPr>
          <w:rFonts w:ascii="Verdana" w:hAnsi="Verdana"/>
          <w:sz w:val="16"/>
          <w:szCs w:val="16"/>
          <w:lang w:val="es-CO"/>
        </w:rPr>
      </w:pPr>
      <w:r w:rsidRPr="00A374BE">
        <w:rPr>
          <w:rStyle w:val="Refdenotaalpie"/>
          <w:rFonts w:ascii="Verdana" w:hAnsi="Verdana"/>
          <w:sz w:val="16"/>
          <w:szCs w:val="16"/>
        </w:rPr>
        <w:footnoteRef/>
      </w:r>
      <w:r w:rsidRPr="00A374BE">
        <w:rPr>
          <w:rFonts w:ascii="Verdana" w:hAnsi="Verdana"/>
          <w:sz w:val="16"/>
          <w:szCs w:val="16"/>
        </w:rPr>
        <w:t xml:space="preserve"> </w:t>
      </w:r>
      <w:r w:rsidRPr="00A374BE">
        <w:rPr>
          <w:rFonts w:ascii="Verdana" w:hAnsi="Verdana"/>
          <w:sz w:val="16"/>
          <w:szCs w:val="16"/>
          <w:lang w:val="es-CO"/>
        </w:rPr>
        <w:t>Consejo de Estado</w:t>
      </w:r>
      <w:r w:rsidRPr="00A374BE">
        <w:rPr>
          <w:rFonts w:ascii="Verdana" w:hAnsi="Verdana"/>
          <w:sz w:val="16"/>
          <w:szCs w:val="16"/>
        </w:rPr>
        <w:t xml:space="preserve">. </w:t>
      </w:r>
      <w:r w:rsidRPr="00A374BE">
        <w:rPr>
          <w:rFonts w:ascii="Verdana" w:hAnsi="Verdana"/>
          <w:sz w:val="16"/>
          <w:szCs w:val="16"/>
          <w:lang w:val="es-CO"/>
        </w:rPr>
        <w:t>Sección Primera</w:t>
      </w:r>
      <w:r w:rsidRPr="00A374BE">
        <w:rPr>
          <w:rFonts w:ascii="Verdana" w:hAnsi="Verdana"/>
          <w:sz w:val="16"/>
          <w:szCs w:val="16"/>
        </w:rPr>
        <w:t xml:space="preserve">. Sentencia del </w:t>
      </w:r>
      <w:r w:rsidRPr="00A374BE">
        <w:rPr>
          <w:rFonts w:ascii="Verdana" w:hAnsi="Verdana"/>
          <w:sz w:val="16"/>
          <w:szCs w:val="16"/>
          <w:lang w:val="es-CO"/>
        </w:rPr>
        <w:t>treinta (30) de enero de dos mil veinte (2020). Radicación número: 50001-23-33-000-2017-00266-01. Consejera ponente: Nubia Margoth Peña Garzón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5pt;height:15pt" o:bullet="t">
        <v:imagedata r:id="rId1" o:title="mso1B13"/>
      </v:shape>
    </w:pict>
  </w:numPicBullet>
  <w:abstractNum w:abstractNumId="0" w15:restartNumberingAfterBreak="0">
    <w:nsid w:val="01C06310"/>
    <w:multiLevelType w:val="multilevel"/>
    <w:tmpl w:val="B3DA6A4A"/>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56858"/>
    <w:rsid w:val="001E4177"/>
    <w:rsid w:val="001F7DC6"/>
    <w:rsid w:val="002421BB"/>
    <w:rsid w:val="0025796E"/>
    <w:rsid w:val="002707A2"/>
    <w:rsid w:val="00283F8C"/>
    <w:rsid w:val="002951A0"/>
    <w:rsid w:val="002962BC"/>
    <w:rsid w:val="002A005D"/>
    <w:rsid w:val="002A093D"/>
    <w:rsid w:val="002A0DD0"/>
    <w:rsid w:val="002A49AC"/>
    <w:rsid w:val="002A64FD"/>
    <w:rsid w:val="002C7A84"/>
    <w:rsid w:val="002E4FD9"/>
    <w:rsid w:val="00310ED6"/>
    <w:rsid w:val="00322A85"/>
    <w:rsid w:val="00324168"/>
    <w:rsid w:val="003448F4"/>
    <w:rsid w:val="003701DD"/>
    <w:rsid w:val="00374F5E"/>
    <w:rsid w:val="00377E3E"/>
    <w:rsid w:val="003832BD"/>
    <w:rsid w:val="003A779E"/>
    <w:rsid w:val="003D0F4D"/>
    <w:rsid w:val="003D5B0D"/>
    <w:rsid w:val="003E0499"/>
    <w:rsid w:val="003F16B7"/>
    <w:rsid w:val="003F3941"/>
    <w:rsid w:val="00406575"/>
    <w:rsid w:val="00414C74"/>
    <w:rsid w:val="0042722E"/>
    <w:rsid w:val="0043125C"/>
    <w:rsid w:val="0044528D"/>
    <w:rsid w:val="004A1847"/>
    <w:rsid w:val="004A305D"/>
    <w:rsid w:val="004F21C4"/>
    <w:rsid w:val="004F685F"/>
    <w:rsid w:val="00547648"/>
    <w:rsid w:val="005566E8"/>
    <w:rsid w:val="00574867"/>
    <w:rsid w:val="00591460"/>
    <w:rsid w:val="005B481A"/>
    <w:rsid w:val="005C3777"/>
    <w:rsid w:val="005C5CDC"/>
    <w:rsid w:val="005D476C"/>
    <w:rsid w:val="006219F8"/>
    <w:rsid w:val="006302F7"/>
    <w:rsid w:val="00665D70"/>
    <w:rsid w:val="00674E05"/>
    <w:rsid w:val="006900D9"/>
    <w:rsid w:val="006A760C"/>
    <w:rsid w:val="00702D57"/>
    <w:rsid w:val="00706C16"/>
    <w:rsid w:val="007136CB"/>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B19A1"/>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45B0E"/>
    <w:rsid w:val="00A91315"/>
    <w:rsid w:val="00AB0ADB"/>
    <w:rsid w:val="00AC5A7D"/>
    <w:rsid w:val="00AD10D2"/>
    <w:rsid w:val="00B00C0E"/>
    <w:rsid w:val="00B01B1A"/>
    <w:rsid w:val="00B21AE0"/>
    <w:rsid w:val="00B35600"/>
    <w:rsid w:val="00B44A47"/>
    <w:rsid w:val="00B450BA"/>
    <w:rsid w:val="00B72CD3"/>
    <w:rsid w:val="00B72FFF"/>
    <w:rsid w:val="00BC3D36"/>
    <w:rsid w:val="00BD7F72"/>
    <w:rsid w:val="00C04FB3"/>
    <w:rsid w:val="00C07826"/>
    <w:rsid w:val="00C330EB"/>
    <w:rsid w:val="00C754BE"/>
    <w:rsid w:val="00C76B1C"/>
    <w:rsid w:val="00C8788A"/>
    <w:rsid w:val="00CB6357"/>
    <w:rsid w:val="00CC1B26"/>
    <w:rsid w:val="00D423A2"/>
    <w:rsid w:val="00D520D8"/>
    <w:rsid w:val="00D63AC2"/>
    <w:rsid w:val="00D7383B"/>
    <w:rsid w:val="00DA231B"/>
    <w:rsid w:val="00DA3D34"/>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2D20"/>
    <w:rsid w:val="00EE1AA8"/>
    <w:rsid w:val="00EF686B"/>
    <w:rsid w:val="00F31EDC"/>
    <w:rsid w:val="00F462B3"/>
    <w:rsid w:val="00F47CD5"/>
    <w:rsid w:val="00F5664F"/>
    <w:rsid w:val="00F666C4"/>
    <w:rsid w:val="00F76AFC"/>
    <w:rsid w:val="00FA47C0"/>
    <w:rsid w:val="00FB5DD1"/>
    <w:rsid w:val="00FC2B5D"/>
    <w:rsid w:val="00FD6F78"/>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310ED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10ED6"/>
    <w:rPr>
      <w:rFonts w:ascii="Geomanist Light" w:hAnsi="Geomanist Light"/>
      <w:lang w:val="es-ES"/>
    </w:rPr>
  </w:style>
  <w:style w:type="paragraph" w:customStyle="1" w:styleId="p2">
    <w:name w:val="p2"/>
    <w:basedOn w:val="Normal"/>
    <w:rsid w:val="00310ED6"/>
    <w:pPr>
      <w:spacing w:after="0" w:line="240" w:lineRule="auto"/>
    </w:pPr>
    <w:rPr>
      <w:rFonts w:ascii="Arial" w:eastAsia="Calibri" w:hAnsi="Arial" w:cs="Arial"/>
      <w:sz w:val="17"/>
      <w:szCs w:val="17"/>
      <w:lang w:val="es-ES_tradnl"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www.w3.org/XML/1998/namespace"/>
    <ds:schemaRef ds:uri="http://schemas.microsoft.com/office/2006/metadata/properties"/>
    <ds:schemaRef ds:uri="http://schemas.openxmlformats.org/package/2006/metadata/core-properties"/>
    <ds:schemaRef ds:uri="http://purl.org/dc/dcmitype/"/>
    <ds:schemaRef ds:uri="http://schemas.microsoft.com/office/2006/documentManagement/types"/>
    <ds:schemaRef ds:uri="http://purl.org/dc/terms/"/>
    <ds:schemaRef ds:uri="http://purl.org/dc/elements/1.1/"/>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3FAAA0C5-FFBB-4332-8621-DD38D6B37F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9</Pages>
  <Words>2954</Words>
  <Characters>16247</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19163</CharactersWithSpaces>
  <SharedDoc>false</SharedDoc>
  <HLinks>
    <vt:vector size="12" baseType="variant">
      <vt:variant>
        <vt:i4>7995518</vt:i4>
      </vt:variant>
      <vt:variant>
        <vt:i4>3</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0</vt:i4>
      </vt:variant>
      <vt:variant>
        <vt:i4>0</vt:i4>
      </vt:variant>
      <vt:variant>
        <vt:i4>5</vt:i4>
      </vt:variant>
      <vt:variant>
        <vt:lpwstr>https://relatoria.colombiacompra.gov.co/busqueda/conceptos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2025-10-21T15:14:00Z</dcterms:created>
  <dcterms:modified xsi:type="dcterms:W3CDTF">2025-10-21T15:14:00Z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