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F4473" w14:textId="77777777" w:rsidR="00EF76DD" w:rsidRPr="00EF76DD" w:rsidRDefault="001E764F" w:rsidP="00EF76DD">
      <w:pPr>
        <w:jc w:val="both"/>
        <w:rPr>
          <w:rFonts w:ascii="Verdana" w:eastAsia="Calibri" w:hAnsi="Verdana" w:cs="Arial"/>
          <w:b/>
          <w:bCs/>
          <w:lang w:val="es-ES" w:eastAsia="es-ES"/>
        </w:rPr>
      </w:pPr>
      <w:bookmarkStart w:id="0" w:name="_Hlk143780582"/>
      <w:r w:rsidRPr="00EF76DD">
        <w:rPr>
          <w:rFonts w:ascii="Verdana" w:eastAsia="Calibri" w:hAnsi="Verdana" w:cs="Arial"/>
          <w:b/>
          <w:bCs/>
          <w:lang w:val="es-ES" w:eastAsia="es-ES"/>
        </w:rPr>
        <w:t xml:space="preserve">PRINCIPIO DE PUBLICIDAD – SECOP – Documentos del proceso – Deber de publicación </w:t>
      </w:r>
    </w:p>
    <w:p w14:paraId="133DC147" w14:textId="32FE8489" w:rsidR="00EF76DD" w:rsidRPr="00EF76DD" w:rsidRDefault="00EF76DD" w:rsidP="00EF76DD">
      <w:pPr>
        <w:jc w:val="both"/>
        <w:rPr>
          <w:rFonts w:ascii="Verdana" w:eastAsia="Calibri" w:hAnsi="Verdana" w:cs="Arial"/>
          <w:lang w:val="es-ES" w:eastAsia="es-ES"/>
        </w:rPr>
      </w:pPr>
      <w:r w:rsidRPr="00F16D2E">
        <w:rPr>
          <w:rFonts w:ascii="Verdana" w:hAnsi="Verdana" w:cs="Arial"/>
          <w:lang w:val="es-ES"/>
        </w:rPr>
        <w:t>las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w:t>
      </w:r>
      <w:r>
        <w:rPr>
          <w:rFonts w:ascii="Verdana" w:hAnsi="Verdana" w:cs="Arial"/>
          <w:lang w:val="es-ES"/>
        </w:rPr>
        <w:t>.</w:t>
      </w:r>
      <w:r w:rsidRPr="00F16D2E">
        <w:rPr>
          <w:rFonts w:ascii="Verdana" w:hAnsi="Verdana" w:cs="Arial"/>
          <w:lang w:val="es-ES"/>
        </w:rPr>
        <w:t xml:space="preserve">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Pr="00783E6B">
        <w:rPr>
          <w:rFonts w:ascii="Verdana" w:eastAsia="Arial" w:hAnsi="Verdana" w:cs="Arial"/>
          <w:lang w:val="es-ES"/>
        </w:rPr>
        <w:t xml:space="preserve"> </w:t>
      </w:r>
    </w:p>
    <w:p w14:paraId="2DD30399" w14:textId="612DABD4" w:rsidR="00EF76DD" w:rsidRDefault="00EF76DD" w:rsidP="00EF76DD">
      <w:pPr>
        <w:jc w:val="both"/>
        <w:rPr>
          <w:rFonts w:ascii="Verdana" w:eastAsia="Calibri" w:hAnsi="Verdana" w:cs="Arial"/>
          <w:lang w:val="es-ES" w:eastAsia="es-ES"/>
        </w:rPr>
      </w:pPr>
      <w:r w:rsidRPr="00F16D2E">
        <w:rPr>
          <w:rFonts w:ascii="Verdana" w:eastAsia="Arial" w:hAnsi="Verdana" w:cs="Arial"/>
          <w:lang w:val="es-ES"/>
        </w:rPr>
        <w:t>No obstante, para identificar los documentos que deben publicarse, es necesario realizar una interpretación sistemática de las disposiciones del Decreto 1082 del 2015, comoquiera que el anterior no es un listado taxativo, sino enunciativo.</w:t>
      </w:r>
      <w:r>
        <w:rPr>
          <w:rFonts w:ascii="Verdana" w:eastAsia="Arial" w:hAnsi="Verdana" w:cs="Arial"/>
          <w:lang w:val="es-ES"/>
        </w:rPr>
        <w:t xml:space="preserve"> […]</w:t>
      </w:r>
    </w:p>
    <w:p w14:paraId="742A2887" w14:textId="3025D8FB" w:rsidR="001E764F" w:rsidRDefault="001E764F" w:rsidP="001E764F">
      <w:pPr>
        <w:jc w:val="both"/>
        <w:rPr>
          <w:rFonts w:ascii="Verdana" w:eastAsia="Calibri" w:hAnsi="Verdana" w:cs="Arial"/>
          <w:b/>
          <w:bCs/>
          <w:lang w:val="es-ES" w:eastAsia="es-ES"/>
        </w:rPr>
      </w:pPr>
      <w:r w:rsidRPr="00EF76DD">
        <w:rPr>
          <w:rFonts w:ascii="Verdana" w:eastAsia="Calibri" w:hAnsi="Verdana" w:cs="Arial"/>
          <w:b/>
          <w:bCs/>
          <w:lang w:val="es-ES" w:eastAsia="es-ES"/>
        </w:rPr>
        <w:t xml:space="preserve">PRINCIPIO DE PUBLICIDAD -Reserva legal – Excepción – Divulgación parcial de la información – SECOP    </w:t>
      </w:r>
    </w:p>
    <w:p w14:paraId="3701DD6A" w14:textId="433C3FDD" w:rsidR="00EF76DD" w:rsidRPr="00EF76DD" w:rsidRDefault="00EF76DD" w:rsidP="001E764F">
      <w:pPr>
        <w:jc w:val="both"/>
        <w:rPr>
          <w:rFonts w:ascii="Verdana" w:eastAsia="Calibri" w:hAnsi="Verdana" w:cs="Arial"/>
          <w:b/>
          <w:bCs/>
          <w:lang w:val="es-ES" w:eastAsia="es-ES"/>
        </w:rPr>
      </w:pPr>
      <w:r w:rsidRPr="00EF76DD">
        <w:rPr>
          <w:rFonts w:ascii="Verdana" w:eastAsia="Calibri" w:hAnsi="Verdana" w:cs="Arial"/>
          <w:lang w:val="es-ES" w:eastAsia="es-ES"/>
        </w:rPr>
        <w:t xml:space="preserve">[…] </w:t>
      </w:r>
      <w:r w:rsidRPr="00AD6B46">
        <w:rPr>
          <w:rFonts w:ascii="Verdana" w:eastAsia="Calibri" w:hAnsi="Verdana" w:cs="Arial"/>
          <w:color w:val="000000"/>
        </w:rPr>
        <w:t>el principio o regla general consiste en la máxima publicidad de la información pública y lo excepcional es la</w:t>
      </w:r>
      <w:r>
        <w:rPr>
          <w:rFonts w:ascii="Verdana" w:eastAsia="Calibri" w:hAnsi="Verdana" w:cs="Arial"/>
          <w:color w:val="000000"/>
        </w:rPr>
        <w:t xml:space="preserve"> reserva</w:t>
      </w:r>
      <w:r w:rsidRPr="46576C03">
        <w:rPr>
          <w:rFonts w:ascii="Verdana" w:eastAsia="Calibri" w:hAnsi="Verdana" w:cs="Arial"/>
          <w:color w:val="000000"/>
          <w:lang w:val="es-ES" w:eastAsia="en-GB"/>
        </w:rPr>
        <w:t>,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establece que la reserva de acceso a la información opera respecto al contenido de un documento público, pero no respecto de su existencia</w:t>
      </w:r>
      <w:r>
        <w:rPr>
          <w:rFonts w:ascii="Verdana" w:eastAsia="Calibri" w:hAnsi="Verdana" w:cs="Arial"/>
          <w:color w:val="000000"/>
          <w:lang w:val="es-ES" w:eastAsia="en-GB"/>
        </w:rPr>
        <w:t xml:space="preserve"> […]</w:t>
      </w:r>
    </w:p>
    <w:p w14:paraId="551F8260" w14:textId="77777777" w:rsidR="001E764F" w:rsidRDefault="001E764F" w:rsidP="00E245AB">
      <w:pPr>
        <w:spacing w:after="0"/>
        <w:rPr>
          <w:rFonts w:ascii="Verdana" w:hAnsi="Verdana"/>
        </w:rPr>
      </w:pPr>
    </w:p>
    <w:p w14:paraId="16D70EB5" w14:textId="77777777" w:rsidR="001E764F" w:rsidRDefault="001E764F" w:rsidP="00E245AB">
      <w:pPr>
        <w:spacing w:after="0"/>
        <w:rPr>
          <w:rFonts w:ascii="Verdana" w:hAnsi="Verdana"/>
        </w:rPr>
      </w:pPr>
    </w:p>
    <w:p w14:paraId="07011A44" w14:textId="77777777" w:rsidR="001E764F" w:rsidRDefault="001E764F" w:rsidP="00E245AB">
      <w:pPr>
        <w:spacing w:after="0"/>
        <w:rPr>
          <w:rFonts w:ascii="Verdana" w:hAnsi="Verdana"/>
        </w:rPr>
      </w:pPr>
    </w:p>
    <w:p w14:paraId="0ECA6EB2" w14:textId="77777777" w:rsidR="001E764F" w:rsidRDefault="001E764F" w:rsidP="00E245AB">
      <w:pPr>
        <w:spacing w:after="0"/>
        <w:rPr>
          <w:rFonts w:ascii="Verdana" w:hAnsi="Verdana"/>
        </w:rPr>
      </w:pPr>
    </w:p>
    <w:p w14:paraId="7447A36B" w14:textId="77777777" w:rsidR="001E764F" w:rsidRDefault="001E764F" w:rsidP="00E245AB">
      <w:pPr>
        <w:spacing w:after="0"/>
        <w:rPr>
          <w:rFonts w:ascii="Verdana" w:hAnsi="Verdana"/>
        </w:rPr>
      </w:pPr>
    </w:p>
    <w:p w14:paraId="0E32058D" w14:textId="77777777" w:rsidR="001E764F" w:rsidRDefault="001E764F" w:rsidP="00E245AB">
      <w:pPr>
        <w:spacing w:after="0"/>
        <w:rPr>
          <w:rFonts w:ascii="Verdana" w:hAnsi="Verdana"/>
        </w:rPr>
      </w:pPr>
    </w:p>
    <w:p w14:paraId="4CD7738F" w14:textId="77777777" w:rsidR="001E764F" w:rsidRDefault="001E764F" w:rsidP="00E245AB">
      <w:pPr>
        <w:spacing w:after="0"/>
        <w:rPr>
          <w:rFonts w:ascii="Verdana" w:hAnsi="Verdana"/>
        </w:rPr>
      </w:pPr>
    </w:p>
    <w:p w14:paraId="3D1705A1" w14:textId="77777777" w:rsidR="001E764F" w:rsidRDefault="001E764F" w:rsidP="00E245AB">
      <w:pPr>
        <w:spacing w:after="0"/>
        <w:rPr>
          <w:rFonts w:ascii="Verdana" w:hAnsi="Verdana"/>
        </w:rPr>
      </w:pPr>
    </w:p>
    <w:p w14:paraId="21F2DA7C" w14:textId="77777777" w:rsidR="001E764F" w:rsidRDefault="001E764F" w:rsidP="00E245AB">
      <w:pPr>
        <w:spacing w:after="0"/>
        <w:rPr>
          <w:rFonts w:ascii="Verdana" w:hAnsi="Verdana"/>
        </w:rPr>
      </w:pPr>
    </w:p>
    <w:p w14:paraId="37C69F10" w14:textId="77777777" w:rsidR="001E764F" w:rsidRDefault="001E764F" w:rsidP="00E245AB">
      <w:pPr>
        <w:spacing w:after="0"/>
        <w:rPr>
          <w:rFonts w:ascii="Verdana" w:hAnsi="Verdana"/>
        </w:rPr>
      </w:pPr>
    </w:p>
    <w:p w14:paraId="3EEFF9EA" w14:textId="77777777" w:rsidR="001E764F" w:rsidRDefault="001E764F" w:rsidP="00E245AB">
      <w:pPr>
        <w:spacing w:after="0"/>
        <w:rPr>
          <w:rFonts w:ascii="Verdana" w:hAnsi="Verdana"/>
        </w:rPr>
      </w:pPr>
    </w:p>
    <w:p w14:paraId="73C1E2D0" w14:textId="77777777" w:rsidR="001E764F" w:rsidRDefault="001E764F" w:rsidP="00E245AB">
      <w:pPr>
        <w:spacing w:after="0"/>
        <w:rPr>
          <w:rFonts w:ascii="Verdana" w:hAnsi="Verdana"/>
        </w:rPr>
      </w:pPr>
    </w:p>
    <w:p w14:paraId="2C141451" w14:textId="77777777" w:rsidR="001E764F" w:rsidRDefault="001E764F" w:rsidP="00E245AB">
      <w:pPr>
        <w:spacing w:after="0"/>
        <w:rPr>
          <w:rFonts w:ascii="Verdana" w:hAnsi="Verdana"/>
        </w:rPr>
      </w:pPr>
    </w:p>
    <w:p w14:paraId="7FF38565" w14:textId="77777777" w:rsidR="001E764F" w:rsidRDefault="001E764F" w:rsidP="00E245AB">
      <w:pPr>
        <w:spacing w:after="0"/>
        <w:rPr>
          <w:rFonts w:ascii="Verdana" w:hAnsi="Verdana"/>
        </w:rPr>
      </w:pPr>
    </w:p>
    <w:p w14:paraId="3FE2184B" w14:textId="71DC25B5" w:rsidR="00E245AB" w:rsidRPr="0044528D" w:rsidRDefault="001E764F" w:rsidP="00E245AB">
      <w:pPr>
        <w:spacing w:after="0"/>
        <w:rPr>
          <w:rFonts w:ascii="Verdana" w:hAnsi="Verdana"/>
        </w:rPr>
      </w:pPr>
      <w:r>
        <w:rPr>
          <w:rFonts w:ascii="Verdana" w:hAnsi="Verdana"/>
          <w:noProof/>
        </w:rPr>
        <w:drawing>
          <wp:anchor distT="0" distB="0" distL="114300" distR="114300" simplePos="0" relativeHeight="251658240" behindDoc="0" locked="0" layoutInCell="1" allowOverlap="1" wp14:anchorId="68E556B6" wp14:editId="2B580071">
            <wp:simplePos x="0" y="0"/>
            <wp:positionH relativeFrom="column">
              <wp:posOffset>3098460</wp:posOffset>
            </wp:positionH>
            <wp:positionV relativeFrom="paragraph">
              <wp:posOffset>2245</wp:posOffset>
            </wp:positionV>
            <wp:extent cx="2570734" cy="741197"/>
            <wp:effectExtent l="0" t="0" r="1270" b="190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584149" cy="745065"/>
                    </a:xfrm>
                    <a:prstGeom prst="rect">
                      <a:avLst/>
                    </a:prstGeom>
                  </pic:spPr>
                </pic:pic>
              </a:graphicData>
            </a:graphic>
            <wp14:sizeRelH relativeFrom="page">
              <wp14:pctWidth>0</wp14:pctWidth>
            </wp14:sizeRelH>
            <wp14:sizeRelV relativeFrom="page">
              <wp14:pctHeight>0</wp14:pctHeight>
            </wp14:sizeRelV>
          </wp:anchor>
        </w:drawing>
      </w:r>
      <w:r w:rsidR="00897A3A" w:rsidRPr="0044528D">
        <w:rPr>
          <w:rFonts w:ascii="Verdana" w:hAnsi="Verdana"/>
        </w:rPr>
        <w:t xml:space="preserve">Bogotá D.C., </w:t>
      </w:r>
      <w:r>
        <w:rPr>
          <w:rFonts w:ascii="Verdana" w:hAnsi="Verdana"/>
        </w:rPr>
        <w:t xml:space="preserve">20 </w:t>
      </w:r>
      <w:proofErr w:type="gramStart"/>
      <w:r>
        <w:rPr>
          <w:rFonts w:ascii="Verdana" w:hAnsi="Verdana"/>
        </w:rPr>
        <w:t>Octubre</w:t>
      </w:r>
      <w:proofErr w:type="gramEnd"/>
      <w:r>
        <w:rPr>
          <w:rFonts w:ascii="Verdana" w:hAnsi="Verdana"/>
        </w:rPr>
        <w:t xml:space="preserve"> 2025</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bookmarkEnd w:id="0"/>
    <w:p w14:paraId="019FDC17" w14:textId="77777777" w:rsidR="00CA783F" w:rsidRPr="004C713C" w:rsidRDefault="00CA783F" w:rsidP="00CA783F">
      <w:pPr>
        <w:spacing w:after="0" w:line="240" w:lineRule="auto"/>
        <w:jc w:val="both"/>
        <w:rPr>
          <w:rFonts w:ascii="Verdana" w:eastAsia="Calibri" w:hAnsi="Verdana" w:cs="Arial"/>
          <w:lang w:val="es-ES" w:eastAsia="es-ES"/>
        </w:rPr>
      </w:pPr>
      <w:r w:rsidRPr="004C713C">
        <w:rPr>
          <w:rFonts w:ascii="Verdana" w:eastAsia="Calibri" w:hAnsi="Verdana" w:cs="Arial"/>
          <w:lang w:val="es-ES" w:eastAsia="es-ES"/>
        </w:rPr>
        <w:t>Señor</w:t>
      </w:r>
    </w:p>
    <w:p w14:paraId="6CCB0C49" w14:textId="77777777" w:rsidR="00CA783F" w:rsidRPr="004C713C" w:rsidRDefault="00CA783F" w:rsidP="00CA783F">
      <w:pPr>
        <w:spacing w:after="0" w:line="240" w:lineRule="auto"/>
        <w:rPr>
          <w:rFonts w:ascii="Verdana" w:eastAsia="Calibri" w:hAnsi="Verdana" w:cs="Arial"/>
          <w:b/>
          <w:lang w:val="es-ES" w:eastAsia="es-ES"/>
        </w:rPr>
      </w:pPr>
      <w:r>
        <w:rPr>
          <w:rFonts w:ascii="Verdana" w:eastAsia="Calibri" w:hAnsi="Verdana" w:cs="Arial"/>
          <w:b/>
          <w:lang w:val="es-ES" w:eastAsia="es-ES"/>
        </w:rPr>
        <w:t>Francisco Hernando Muñoz Atuesta</w:t>
      </w:r>
    </w:p>
    <w:p w14:paraId="44A3339F" w14:textId="77777777" w:rsidR="00CA783F" w:rsidRPr="004C713C" w:rsidRDefault="00CA783F" w:rsidP="00CA783F">
      <w:pPr>
        <w:spacing w:after="0" w:line="240" w:lineRule="auto"/>
        <w:rPr>
          <w:rFonts w:ascii="Verdana" w:hAnsi="Verdana" w:cs="ArialMT"/>
        </w:rPr>
      </w:pPr>
      <w:hyperlink r:id="rId11" w:history="1">
        <w:r w:rsidRPr="00C1411F">
          <w:rPr>
            <w:rStyle w:val="Hipervnculo"/>
            <w:rFonts w:ascii="Verdana" w:hAnsi="Verdana" w:cs="ArialMT"/>
          </w:rPr>
          <w:t>franciscomunoz7@gmail.com</w:t>
        </w:r>
      </w:hyperlink>
      <w:r w:rsidRPr="004C713C">
        <w:rPr>
          <w:rFonts w:ascii="Verdana" w:hAnsi="Verdana" w:cs="ArialMT"/>
        </w:rPr>
        <w:t xml:space="preserve">  </w:t>
      </w:r>
    </w:p>
    <w:p w14:paraId="44003DBE" w14:textId="77777777" w:rsidR="00CA783F" w:rsidRPr="004C713C" w:rsidRDefault="00CA783F" w:rsidP="00CA783F">
      <w:pPr>
        <w:spacing w:after="0" w:line="240" w:lineRule="auto"/>
        <w:rPr>
          <w:rFonts w:ascii="Verdana" w:hAnsi="Verdana" w:cs="ArialMT"/>
        </w:rPr>
      </w:pPr>
      <w:r w:rsidRPr="004C713C">
        <w:rPr>
          <w:rFonts w:ascii="Verdana" w:eastAsia="Calibri" w:hAnsi="Verdana" w:cs="Arial"/>
          <w:lang w:val="es-ES" w:eastAsia="es-ES"/>
        </w:rPr>
        <w:t>Bogotá D.C.</w:t>
      </w:r>
    </w:p>
    <w:p w14:paraId="584D79D7" w14:textId="77777777" w:rsidR="00CA783F" w:rsidRPr="006A2651" w:rsidRDefault="00CA783F" w:rsidP="00CA783F">
      <w:pPr>
        <w:spacing w:after="0" w:line="240" w:lineRule="auto"/>
        <w:rPr>
          <w:rFonts w:ascii="Verdana" w:eastAsia="Calibri" w:hAnsi="Verdana" w:cs="Arial"/>
          <w:b/>
          <w:bCs/>
          <w:color w:val="000000"/>
          <w:highlight w:val="yellow"/>
          <w:lang w:val="es-ES_tradnl" w:eastAsia="es-ES_tradnl"/>
        </w:rPr>
      </w:pPr>
    </w:p>
    <w:p w14:paraId="2F480273" w14:textId="77777777" w:rsidR="00CA783F" w:rsidRPr="006A2651" w:rsidRDefault="00CA783F" w:rsidP="00CA783F">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A783F" w:rsidRPr="006A2651" w14:paraId="28EED68D" w14:textId="77777777" w:rsidTr="00F51750">
        <w:trPr>
          <w:trHeight w:val="218"/>
        </w:trPr>
        <w:tc>
          <w:tcPr>
            <w:tcW w:w="2689" w:type="dxa"/>
          </w:tcPr>
          <w:p w14:paraId="7892CB58" w14:textId="77777777" w:rsidR="00CA783F" w:rsidRPr="006A2651" w:rsidRDefault="00CA783F" w:rsidP="00F51750">
            <w:pPr>
              <w:jc w:val="both"/>
              <w:rPr>
                <w:rFonts w:ascii="Verdana" w:eastAsia="Calibri" w:hAnsi="Verdana" w:cs="Arial"/>
                <w:b/>
                <w:bCs/>
                <w:color w:val="7030A0"/>
                <w:highlight w:val="yellow"/>
                <w:lang w:val="es-ES_tradnl" w:eastAsia="es-ES_tradnl"/>
              </w:rPr>
            </w:pPr>
          </w:p>
        </w:tc>
        <w:tc>
          <w:tcPr>
            <w:tcW w:w="6100" w:type="dxa"/>
            <w:hideMark/>
          </w:tcPr>
          <w:p w14:paraId="328FD971" w14:textId="77777777" w:rsidR="00CA783F" w:rsidRPr="004C713C" w:rsidRDefault="00CA783F" w:rsidP="00F51750">
            <w:pPr>
              <w:jc w:val="both"/>
              <w:rPr>
                <w:rFonts w:ascii="Verdana" w:eastAsia="Calibri" w:hAnsi="Verdana" w:cs="Arial"/>
                <w:b/>
                <w:bCs/>
                <w:lang w:val="es-ES" w:eastAsia="es-ES"/>
              </w:rPr>
            </w:pPr>
            <w:r w:rsidRPr="004C713C">
              <w:rPr>
                <w:rFonts w:ascii="Verdana" w:eastAsia="Calibri" w:hAnsi="Verdana" w:cs="Arial"/>
                <w:b/>
                <w:bCs/>
                <w:lang w:val="es-ES" w:eastAsia="es-ES"/>
              </w:rPr>
              <w:t>Concepto C-1</w:t>
            </w:r>
            <w:r>
              <w:rPr>
                <w:rFonts w:ascii="Verdana" w:eastAsia="Calibri" w:hAnsi="Verdana" w:cs="Arial"/>
                <w:b/>
                <w:bCs/>
                <w:lang w:val="es-ES" w:eastAsia="es-ES"/>
              </w:rPr>
              <w:t>306</w:t>
            </w:r>
            <w:r w:rsidRPr="004C713C">
              <w:rPr>
                <w:rFonts w:ascii="Verdana" w:eastAsia="Calibri" w:hAnsi="Verdana" w:cs="Arial"/>
                <w:b/>
                <w:bCs/>
                <w:lang w:val="es-ES" w:eastAsia="es-ES"/>
              </w:rPr>
              <w:t xml:space="preserve"> de 2025</w:t>
            </w:r>
          </w:p>
          <w:p w14:paraId="5395A23C" w14:textId="77777777" w:rsidR="00CA783F" w:rsidRPr="006A2651" w:rsidRDefault="00CA783F" w:rsidP="00F51750">
            <w:pPr>
              <w:jc w:val="both"/>
              <w:rPr>
                <w:rFonts w:ascii="Verdana" w:eastAsia="Calibri" w:hAnsi="Verdana" w:cs="Arial"/>
                <w:b/>
                <w:bCs/>
                <w:highlight w:val="yellow"/>
                <w:lang w:val="es-ES" w:eastAsia="es-ES"/>
              </w:rPr>
            </w:pPr>
          </w:p>
          <w:p w14:paraId="2E7DBE00" w14:textId="77777777" w:rsidR="00CA783F" w:rsidRPr="006A2651" w:rsidRDefault="00CA783F" w:rsidP="00F51750">
            <w:pPr>
              <w:jc w:val="both"/>
              <w:rPr>
                <w:rFonts w:ascii="Verdana" w:eastAsia="Calibri" w:hAnsi="Verdana" w:cs="Arial"/>
                <w:b/>
                <w:bCs/>
                <w:highlight w:val="yellow"/>
                <w:lang w:val="es-ES" w:eastAsia="es-ES"/>
              </w:rPr>
            </w:pPr>
          </w:p>
        </w:tc>
      </w:tr>
      <w:tr w:rsidR="00CA783F" w:rsidRPr="006A2651" w14:paraId="3AF5B9BB" w14:textId="77777777" w:rsidTr="00F51750">
        <w:trPr>
          <w:trHeight w:val="884"/>
        </w:trPr>
        <w:tc>
          <w:tcPr>
            <w:tcW w:w="2689" w:type="dxa"/>
            <w:hideMark/>
          </w:tcPr>
          <w:p w14:paraId="6DA99CD0" w14:textId="77777777" w:rsidR="00CA783F" w:rsidRPr="004C713C" w:rsidRDefault="00CA783F" w:rsidP="00F51750">
            <w:pPr>
              <w:jc w:val="both"/>
              <w:rPr>
                <w:rFonts w:ascii="Verdana" w:eastAsia="Calibri" w:hAnsi="Verdana" w:cs="Arial"/>
                <w:color w:val="000000"/>
                <w:lang w:val="es-ES_tradnl" w:eastAsia="es-ES_tradnl"/>
              </w:rPr>
            </w:pPr>
            <w:r w:rsidRPr="004C713C">
              <w:rPr>
                <w:rFonts w:ascii="Verdana" w:eastAsia="Calibri" w:hAnsi="Verdana" w:cs="Arial"/>
                <w:b/>
                <w:color w:val="000000"/>
                <w:lang w:val="es-ES_tradnl" w:eastAsia="es-ES_tradnl"/>
              </w:rPr>
              <w:t>Temas:</w:t>
            </w:r>
            <w:r w:rsidRPr="004C713C">
              <w:rPr>
                <w:rFonts w:ascii="Verdana" w:eastAsia="Calibri" w:hAnsi="Verdana" w:cs="Arial"/>
                <w:color w:val="000000"/>
                <w:lang w:val="es-ES_tradnl" w:eastAsia="es-ES_tradnl"/>
              </w:rPr>
              <w:t xml:space="preserve">                   </w:t>
            </w:r>
          </w:p>
        </w:tc>
        <w:tc>
          <w:tcPr>
            <w:tcW w:w="6100" w:type="dxa"/>
            <w:hideMark/>
          </w:tcPr>
          <w:p w14:paraId="40C9FF97" w14:textId="77777777" w:rsidR="00667584" w:rsidRDefault="00CA783F" w:rsidP="00F51750">
            <w:pPr>
              <w:jc w:val="both"/>
              <w:rPr>
                <w:rFonts w:ascii="Verdana" w:eastAsia="Calibri" w:hAnsi="Verdana" w:cs="Arial"/>
                <w:lang w:val="es-ES" w:eastAsia="es-ES"/>
              </w:rPr>
            </w:pPr>
            <w:r w:rsidRPr="0047115F">
              <w:rPr>
                <w:rFonts w:ascii="Verdana" w:eastAsia="Calibri" w:hAnsi="Verdana" w:cs="Arial"/>
                <w:lang w:val="es-ES" w:eastAsia="es-ES"/>
              </w:rPr>
              <w:t xml:space="preserve">PRINCIPIO DE PUBLICIDAD – SECOP – Documentos del proceso – Deber de publicación </w:t>
            </w:r>
            <w:r>
              <w:rPr>
                <w:rFonts w:ascii="Verdana" w:eastAsia="Calibri" w:hAnsi="Verdana" w:cs="Arial"/>
                <w:lang w:val="es-ES" w:eastAsia="es-ES"/>
              </w:rPr>
              <w:t>/</w:t>
            </w:r>
            <w:r w:rsidRPr="0047115F">
              <w:rPr>
                <w:rFonts w:ascii="Verdana" w:eastAsia="Calibri" w:hAnsi="Verdana" w:cs="Arial"/>
                <w:lang w:val="es-ES" w:eastAsia="es-ES"/>
              </w:rPr>
              <w:t xml:space="preserve"> PRINCIPIO DE PUBLICIDAD -Reserva legal – Excepción – Divulgación parcial de la información</w:t>
            </w:r>
            <w:r>
              <w:rPr>
                <w:rFonts w:ascii="Verdana" w:eastAsia="Calibri" w:hAnsi="Verdana" w:cs="Arial"/>
                <w:lang w:val="es-ES" w:eastAsia="es-ES"/>
              </w:rPr>
              <w:t xml:space="preserve"> –</w:t>
            </w:r>
            <w:r w:rsidRPr="0047115F">
              <w:rPr>
                <w:rFonts w:ascii="Verdana" w:eastAsia="Calibri" w:hAnsi="Verdana" w:cs="Arial"/>
                <w:lang w:val="es-ES" w:eastAsia="es-ES"/>
              </w:rPr>
              <w:t xml:space="preserve"> SECOP</w:t>
            </w:r>
            <w:r>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p>
          <w:p w14:paraId="1EF1BD3E" w14:textId="745D77CE" w:rsidR="00CA783F" w:rsidRPr="004C713C" w:rsidRDefault="00CA783F" w:rsidP="00F51750">
            <w:pPr>
              <w:jc w:val="both"/>
              <w:rPr>
                <w:rFonts w:ascii="Verdana" w:eastAsia="Calibri" w:hAnsi="Verdana" w:cs="Arial"/>
                <w:lang w:val="es-ES" w:eastAsia="es-ES"/>
              </w:rPr>
            </w:pP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tc>
      </w:tr>
      <w:tr w:rsidR="00CA783F" w14:paraId="44F7D15E" w14:textId="77777777" w:rsidTr="00F51750">
        <w:tc>
          <w:tcPr>
            <w:tcW w:w="2689" w:type="dxa"/>
            <w:hideMark/>
          </w:tcPr>
          <w:p w14:paraId="7FE31C56" w14:textId="77777777" w:rsidR="00CA783F" w:rsidRPr="004C713C" w:rsidRDefault="00CA783F" w:rsidP="00F51750">
            <w:pPr>
              <w:jc w:val="both"/>
              <w:rPr>
                <w:rFonts w:ascii="Verdana" w:eastAsia="Calibri" w:hAnsi="Verdana" w:cs="Arial"/>
                <w:b/>
                <w:color w:val="7030A0"/>
                <w:lang w:val="es-ES_tradnl" w:eastAsia="es-ES_tradnl"/>
              </w:rPr>
            </w:pPr>
            <w:r w:rsidRPr="004C713C">
              <w:rPr>
                <w:rFonts w:ascii="Verdana" w:eastAsia="Calibri" w:hAnsi="Verdana" w:cs="Arial"/>
                <w:b/>
                <w:lang w:val="es-ES_tradnl" w:eastAsia="es-ES_tradnl"/>
              </w:rPr>
              <w:t>Radicación:</w:t>
            </w:r>
            <w:r w:rsidRPr="004C713C">
              <w:rPr>
                <w:rFonts w:ascii="Verdana" w:eastAsia="Calibri" w:hAnsi="Verdana" w:cs="Arial"/>
                <w:lang w:val="es-ES_tradnl" w:eastAsia="es-ES_tradnl"/>
              </w:rPr>
              <w:t xml:space="preserve">               </w:t>
            </w:r>
          </w:p>
        </w:tc>
        <w:tc>
          <w:tcPr>
            <w:tcW w:w="6100" w:type="dxa"/>
          </w:tcPr>
          <w:p w14:paraId="46C3148A" w14:textId="77777777" w:rsidR="00CA783F" w:rsidRPr="004C713C" w:rsidRDefault="00CA783F" w:rsidP="00F51750">
            <w:pPr>
              <w:jc w:val="both"/>
              <w:rPr>
                <w:rFonts w:ascii="Verdana" w:eastAsia="Calibri" w:hAnsi="Verdana" w:cs="Arial"/>
                <w:lang w:val="es-ES_tradnl" w:eastAsia="es-ES_tradnl"/>
              </w:rPr>
            </w:pPr>
            <w:r w:rsidRPr="004C713C">
              <w:rPr>
                <w:rFonts w:ascii="Verdana" w:eastAsia="Calibri" w:hAnsi="Verdana" w:cs="Arial"/>
                <w:lang w:val="es-ES_tradnl" w:eastAsia="es-ES_tradnl"/>
              </w:rPr>
              <w:t xml:space="preserve">Respuesta a consulta con radicado No. </w:t>
            </w:r>
            <w:r w:rsidRPr="007F3FEC">
              <w:rPr>
                <w:rFonts w:ascii="Verdana" w:eastAsia="Calibri" w:hAnsi="Verdana" w:cs="Arial"/>
                <w:lang w:val="es-ES_tradnl" w:eastAsia="es-ES_tradnl"/>
              </w:rPr>
              <w:t>1_2025_09_11_009967</w:t>
            </w:r>
          </w:p>
        </w:tc>
      </w:tr>
    </w:tbl>
    <w:p w14:paraId="7227D7D1" w14:textId="77777777" w:rsidR="00CA783F" w:rsidRDefault="00CA783F" w:rsidP="00CA783F">
      <w:pPr>
        <w:spacing w:after="0" w:line="240" w:lineRule="auto"/>
        <w:jc w:val="both"/>
        <w:rPr>
          <w:rFonts w:ascii="Verdana" w:eastAsia="Calibri" w:hAnsi="Verdana" w:cs="Arial"/>
          <w:color w:val="000000"/>
          <w:lang w:val="es-ES_tradnl" w:eastAsia="es-ES_tradnl"/>
        </w:rPr>
      </w:pPr>
    </w:p>
    <w:p w14:paraId="7D8F5081" w14:textId="77777777" w:rsidR="00CA783F" w:rsidRDefault="00CA783F" w:rsidP="00CA783F">
      <w:pPr>
        <w:spacing w:after="0" w:line="240" w:lineRule="auto"/>
        <w:jc w:val="both"/>
        <w:rPr>
          <w:rFonts w:ascii="Verdana" w:eastAsia="Calibri" w:hAnsi="Verdana" w:cs="Arial"/>
          <w:color w:val="000000"/>
          <w:lang w:val="es-ES_tradnl" w:eastAsia="es-ES_tradnl"/>
        </w:rPr>
      </w:pPr>
    </w:p>
    <w:p w14:paraId="7E104E22" w14:textId="77777777" w:rsidR="00CA783F" w:rsidRDefault="00CA783F" w:rsidP="00CA783F">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Muñoz,</w:t>
      </w:r>
    </w:p>
    <w:p w14:paraId="5292767F" w14:textId="77777777" w:rsidR="00CA783F" w:rsidRDefault="00CA783F" w:rsidP="00CA783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7D8C19F" w14:textId="77777777" w:rsidR="00CA783F" w:rsidRDefault="00CA783F" w:rsidP="00CA783F">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11 de </w:t>
      </w:r>
      <w:r w:rsidRPr="7D664DA9">
        <w:rPr>
          <w:rFonts w:ascii="Verdana" w:eastAsia="Calibri" w:hAnsi="Verdana" w:cs="Arial"/>
          <w:lang w:val="es-ES" w:eastAsia="es-ES"/>
        </w:rPr>
        <w:t>septiembre</w:t>
      </w:r>
      <w:r>
        <w:rPr>
          <w:rFonts w:ascii="Verdana" w:eastAsia="Calibri" w:hAnsi="Verdana" w:cs="Arial"/>
          <w:lang w:val="es-ES" w:eastAsia="es-ES"/>
        </w:rPr>
        <w:t xml:space="preserve"> de 2025, en la cual manifiesta lo siguiente: </w:t>
      </w:r>
    </w:p>
    <w:p w14:paraId="3188E8A6" w14:textId="77777777" w:rsidR="00CA783F" w:rsidRDefault="00CA783F" w:rsidP="00CA783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C51F3C1" w14:textId="77777777" w:rsidR="00CA783F" w:rsidRDefault="00CA783F" w:rsidP="00CA783F">
      <w:pPr>
        <w:autoSpaceDE w:val="0"/>
        <w:autoSpaceDN w:val="0"/>
        <w:adjustRightInd w:val="0"/>
        <w:spacing w:after="0" w:line="240" w:lineRule="auto"/>
        <w:ind w:left="709" w:right="709"/>
        <w:jc w:val="both"/>
        <w:rPr>
          <w:rFonts w:ascii="Verdana" w:hAnsi="Verdana" w:cs="ArialMT"/>
          <w:sz w:val="20"/>
          <w:szCs w:val="20"/>
        </w:rPr>
      </w:pPr>
      <w:bookmarkStart w:id="1" w:name="_Hlk95313578"/>
      <w:r w:rsidRPr="005E4943">
        <w:rPr>
          <w:rFonts w:ascii="Verdana" w:eastAsia="Century Gothic" w:hAnsi="Verdana" w:cs="Century Gothic"/>
          <w:sz w:val="20"/>
          <w:szCs w:val="20"/>
          <w:lang w:val="es-ES"/>
        </w:rPr>
        <w:t>“</w:t>
      </w:r>
      <w:bookmarkEnd w:id="1"/>
      <w:r w:rsidRPr="007F3FEC">
        <w:rPr>
          <w:rFonts w:ascii="Verdana" w:hAnsi="Verdana"/>
          <w:sz w:val="20"/>
          <w:szCs w:val="20"/>
        </w:rPr>
        <w:t xml:space="preserve">¿Las entidades de gobierno están obligadas a publicar los contratos, facturas y demás soportes contables que genere cualquier contrato. </w:t>
      </w:r>
      <w:proofErr w:type="gramStart"/>
      <w:r w:rsidRPr="007F3FEC">
        <w:rPr>
          <w:rFonts w:ascii="Verdana" w:hAnsi="Verdana"/>
          <w:sz w:val="20"/>
          <w:szCs w:val="20"/>
        </w:rPr>
        <w:t>O pueden presentar simples "informes" sin ninguna clase de soporte??</w:t>
      </w:r>
      <w:proofErr w:type="gramEnd"/>
      <w:r>
        <w:rPr>
          <w:rFonts w:ascii="Verdana" w:hAnsi="Verdana"/>
          <w:sz w:val="20"/>
          <w:szCs w:val="20"/>
        </w:rPr>
        <w:t>”</w:t>
      </w:r>
    </w:p>
    <w:p w14:paraId="1F012FF2" w14:textId="77777777" w:rsidR="00CA783F" w:rsidRPr="00924340" w:rsidRDefault="00CA783F" w:rsidP="00CA783F">
      <w:pPr>
        <w:autoSpaceDE w:val="0"/>
        <w:autoSpaceDN w:val="0"/>
        <w:adjustRightInd w:val="0"/>
        <w:spacing w:after="0" w:line="276" w:lineRule="auto"/>
        <w:ind w:left="851" w:right="616"/>
        <w:jc w:val="both"/>
        <w:rPr>
          <w:rFonts w:ascii="Verdana" w:eastAsia="Century Gothic" w:hAnsi="Verdana" w:cs="Century Gothic"/>
          <w:b/>
        </w:rPr>
      </w:pPr>
    </w:p>
    <w:p w14:paraId="0B992212" w14:textId="77777777" w:rsidR="00CA783F" w:rsidRDefault="00CA783F" w:rsidP="00CA783F">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Pr>
          <w:rFonts w:ascii="Verdana" w:eastAsia="Calibri" w:hAnsi="Verdana" w:cs="Arial"/>
          <w:color w:val="000000"/>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CBCC723" w14:textId="77777777" w:rsidR="00CA783F" w:rsidRDefault="00CA783F" w:rsidP="00CA783F">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41303ED7" w14:textId="77777777" w:rsidR="00CA783F" w:rsidRDefault="00CA783F" w:rsidP="00CA783F">
      <w:pPr>
        <w:spacing w:after="0" w:line="276" w:lineRule="auto"/>
        <w:ind w:firstLine="709"/>
        <w:jc w:val="both"/>
        <w:rPr>
          <w:rFonts w:ascii="Verdana" w:eastAsia="Calibri" w:hAnsi="Verdana" w:cs="Arial"/>
          <w:color w:val="000000"/>
          <w:lang w:val="es-ES" w:eastAsia="es-ES"/>
        </w:rPr>
      </w:pPr>
    </w:p>
    <w:p w14:paraId="72E78FA0" w14:textId="77777777" w:rsidR="00CA783F" w:rsidRDefault="00CA783F" w:rsidP="00CA78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387DDEF1" w14:textId="77777777" w:rsidR="00CA783F" w:rsidRDefault="00CA783F" w:rsidP="00CA783F">
      <w:pPr>
        <w:tabs>
          <w:tab w:val="left" w:pos="426"/>
        </w:tabs>
        <w:spacing w:after="0" w:line="276" w:lineRule="auto"/>
        <w:jc w:val="both"/>
        <w:rPr>
          <w:rFonts w:ascii="Verdana" w:eastAsia="Century Gothic" w:hAnsi="Verdana" w:cs="Century Gothic"/>
          <w:lang w:val="es-ES"/>
        </w:rPr>
      </w:pPr>
    </w:p>
    <w:p w14:paraId="4FDE9A18" w14:textId="77777777" w:rsidR="00CA783F" w:rsidRDefault="00CA783F" w:rsidP="00CA783F">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 jurídico: ¿</w:t>
      </w:r>
      <w:r w:rsidRPr="007F3378">
        <w:rPr>
          <w:rFonts w:ascii="Verdana" w:eastAsia="Century Gothic" w:hAnsi="Verdana" w:cs="Century Gothic"/>
        </w:rPr>
        <w:t xml:space="preserve">Es obligatoria la publicación relativa a la información sobre la ejecución </w:t>
      </w:r>
      <w:r>
        <w:rPr>
          <w:rFonts w:ascii="Verdana" w:eastAsia="Century Gothic" w:hAnsi="Verdana" w:cs="Century Gothic"/>
        </w:rPr>
        <w:t>contractual</w:t>
      </w:r>
      <w:r w:rsidRPr="007F3378">
        <w:rPr>
          <w:rFonts w:ascii="Verdana" w:eastAsia="Century Gothic" w:hAnsi="Verdana" w:cs="Century Gothic"/>
        </w:rPr>
        <w:t xml:space="preserve"> en SECOP?</w:t>
      </w:r>
    </w:p>
    <w:p w14:paraId="29CA5CB1" w14:textId="77777777" w:rsidR="00CA783F" w:rsidRDefault="00CA783F" w:rsidP="00CA783F">
      <w:pPr>
        <w:spacing w:after="0" w:line="276" w:lineRule="auto"/>
        <w:jc w:val="both"/>
        <w:rPr>
          <w:rFonts w:ascii="Verdana" w:eastAsia="Calibri" w:hAnsi="Verdana" w:cs="Arial"/>
          <w:color w:val="7030A0"/>
          <w:lang w:val="es-ES"/>
        </w:rPr>
      </w:pPr>
    </w:p>
    <w:p w14:paraId="5352C133" w14:textId="77777777" w:rsidR="00CA783F" w:rsidRDefault="00CA783F" w:rsidP="00CA78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28CAA5A2" w14:textId="77777777" w:rsidR="00CA783F" w:rsidRDefault="00CA783F" w:rsidP="00CA783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A783F" w14:paraId="1980679C" w14:textId="77777777" w:rsidTr="00F51750">
        <w:tc>
          <w:tcPr>
            <w:tcW w:w="8828" w:type="dxa"/>
            <w:tcBorders>
              <w:top w:val="dotted" w:sz="4" w:space="0" w:color="auto"/>
              <w:left w:val="dotted" w:sz="4" w:space="0" w:color="auto"/>
              <w:bottom w:val="dotted" w:sz="4" w:space="0" w:color="auto"/>
              <w:right w:val="dotted" w:sz="4" w:space="0" w:color="auto"/>
            </w:tcBorders>
          </w:tcPr>
          <w:p w14:paraId="0141051B" w14:textId="77777777" w:rsidR="00CA783F" w:rsidRPr="00F16D2E" w:rsidRDefault="00CA783F" w:rsidP="00F51750">
            <w:pPr>
              <w:widowControl w:val="0"/>
              <w:tabs>
                <w:tab w:val="left" w:pos="728"/>
              </w:tabs>
              <w:autoSpaceDE w:val="0"/>
              <w:autoSpaceDN w:val="0"/>
              <w:spacing w:after="120" w:line="276" w:lineRule="auto"/>
              <w:jc w:val="both"/>
              <w:rPr>
                <w:rFonts w:ascii="Verdana" w:hAnsi="Verdana" w:cs="Arial"/>
                <w:lang w:val="es-ES"/>
              </w:rPr>
            </w:pPr>
            <w:r>
              <w:rPr>
                <w:rFonts w:ascii="Verdana" w:hAnsi="Verdana" w:cs="Arial"/>
                <w:lang w:val="es-ES"/>
              </w:rPr>
              <w:t>Sí, e</w:t>
            </w:r>
            <w:r w:rsidRPr="00F16D2E">
              <w:rPr>
                <w:rFonts w:ascii="Verdana" w:hAnsi="Verdana" w:cs="Arial"/>
                <w:lang w:val="es-ES"/>
              </w:rPr>
              <w:t>l deber de publicidad que se desprende del artículo 3 de la Ley 1150 de 2007 está reglamentado por el artículo 2.2.1.1.1.7.1 del Decreto 1082 de 2015, el cual dispone los documentos que deben publicarse y al SECOP como medio de publicación</w:t>
            </w:r>
            <w:r w:rsidRPr="00F16D2E">
              <w:rPr>
                <w:rFonts w:ascii="Verdana" w:hAnsi="Verdana" w:cs="Arial"/>
                <w:vertAlign w:val="superscript"/>
                <w:lang w:val="es-ES"/>
              </w:rPr>
              <w:footnoteReference w:id="2"/>
            </w:r>
            <w:r w:rsidRPr="00F16D2E">
              <w:rPr>
                <w:rFonts w:ascii="Verdana" w:hAnsi="Verdana" w:cs="Arial"/>
                <w:lang w:val="es-ES"/>
              </w:rPr>
              <w:t>.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14:paraId="366D9AB3" w14:textId="77777777" w:rsidR="00CA783F" w:rsidRPr="00F16D2E" w:rsidRDefault="00CA783F" w:rsidP="00F51750">
            <w:pPr>
              <w:widowControl w:val="0"/>
              <w:autoSpaceDE w:val="0"/>
              <w:autoSpaceDN w:val="0"/>
              <w:spacing w:after="120" w:line="276" w:lineRule="auto"/>
              <w:ind w:firstLine="726"/>
              <w:jc w:val="both"/>
              <w:rPr>
                <w:rFonts w:ascii="Verdana" w:eastAsia="Arial" w:hAnsi="Verdana" w:cs="Arial"/>
                <w:lang w:val="es-ES"/>
              </w:rPr>
            </w:pPr>
            <w:r>
              <w:rPr>
                <w:rFonts w:ascii="Verdana" w:eastAsia="Arial" w:hAnsi="Verdana" w:cs="Arial"/>
                <w:lang w:val="es-ES"/>
              </w:rPr>
              <w:t>En virtud de las normas mencionadas anteriormente,</w:t>
            </w:r>
            <w:r w:rsidRPr="00F16D2E">
              <w:rPr>
                <w:rFonts w:ascii="Verdana" w:eastAsia="Arial" w:hAnsi="Verdana" w:cs="Arial"/>
                <w:lang w:val="es-ES"/>
              </w:rPr>
              <w:t xml:space="preserve"> las entidades están obligadas a publicar en el SECOP todos los documentos relacionados con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expedidos durante las etapas precontractual, de ejecución y </w:t>
            </w:r>
            <w:proofErr w:type="spellStart"/>
            <w:r w:rsidRPr="00F16D2E">
              <w:rPr>
                <w:rFonts w:ascii="Verdana" w:eastAsia="Arial" w:hAnsi="Verdana" w:cs="Arial"/>
                <w:lang w:val="es-ES"/>
              </w:rPr>
              <w:t>postcontractual</w:t>
            </w:r>
            <w:proofErr w:type="spellEnd"/>
            <w:r w:rsidRPr="00F16D2E">
              <w:rPr>
                <w:rFonts w:ascii="Verdana" w:eastAsia="Arial" w:hAnsi="Verdana" w:cs="Arial"/>
                <w:lang w:val="es-ES"/>
              </w:rPr>
              <w:t xml:space="preserve">. Este deber aplica a todas las modalidades de selección y entidades regidas por el Estatuto General de Contratación de la </w:t>
            </w:r>
            <w:r w:rsidRPr="00F16D2E">
              <w:rPr>
                <w:rFonts w:ascii="Verdana" w:eastAsia="Arial" w:hAnsi="Verdana" w:cs="Arial"/>
                <w:lang w:val="es-ES"/>
              </w:rPr>
              <w:lastRenderedPageBreak/>
              <w:t>Administración Pública,</w:t>
            </w:r>
            <w:r>
              <w:rPr>
                <w:rFonts w:ascii="Verdana" w:eastAsia="Arial" w:hAnsi="Verdana" w:cs="Arial"/>
                <w:lang w:val="es-ES"/>
              </w:rPr>
              <w:t xml:space="preserve"> así como las exceptuadas de este,</w:t>
            </w:r>
            <w:r w:rsidRPr="00F16D2E">
              <w:rPr>
                <w:rFonts w:ascii="Verdana" w:eastAsia="Arial" w:hAnsi="Verdana" w:cs="Arial"/>
                <w:lang w:val="es-ES"/>
              </w:rPr>
              <w:t xml:space="preserve"> y solo se encuentran excluidas las ofertas perdedoras y los documentos expedidos en el marco de operaciones de bolsa de productos. </w:t>
            </w:r>
          </w:p>
          <w:p w14:paraId="25D4A038" w14:textId="77777777" w:rsidR="00CA783F" w:rsidRDefault="00CA783F" w:rsidP="00F51750">
            <w:pPr>
              <w:spacing w:before="120" w:after="120" w:line="276" w:lineRule="auto"/>
              <w:ind w:firstLine="726"/>
              <w:jc w:val="both"/>
              <w:rPr>
                <w:rFonts w:ascii="Verdana" w:eastAsia="Arial" w:hAnsi="Verdana" w:cs="Arial"/>
                <w:lang w:val="es-ES"/>
              </w:rPr>
            </w:pPr>
            <w:r w:rsidRPr="00F16D2E">
              <w:rPr>
                <w:rFonts w:ascii="Verdana" w:eastAsia="Calibri" w:hAnsi="Verdana" w:cs="Arial"/>
                <w:lang w:val="es-ES"/>
              </w:rPr>
              <w:t xml:space="preserve">Adicionalmente, el deber de publicar la actividad contractual de las entidades estatales no solo está regulado en el artículo 3 de la Ley 1150 de 2007 y en el </w:t>
            </w:r>
            <w:r w:rsidRPr="00F16D2E">
              <w:rPr>
                <w:rFonts w:ascii="Verdana" w:eastAsia="Arial" w:hAnsi="Verdana"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F16D2E">
              <w:rPr>
                <w:rFonts w:ascii="Verdana" w:eastAsia="Arial" w:hAnsi="Verdana" w:cs="Arial"/>
                <w:i/>
                <w:iCs/>
                <w:lang w:val="es-ES"/>
              </w:rPr>
              <w:t xml:space="preserve">Documentos del Proceso </w:t>
            </w:r>
            <w:r w:rsidRPr="00F16D2E">
              <w:rPr>
                <w:rFonts w:ascii="Verdana" w:eastAsia="Arial" w:hAnsi="Verdana" w:cs="Arial"/>
                <w:lang w:val="es-ES"/>
              </w:rPr>
              <w:t xml:space="preserve">expedidos por la “entidad estatal”. </w:t>
            </w:r>
          </w:p>
          <w:p w14:paraId="69134574" w14:textId="226603FD" w:rsidR="00CA783F" w:rsidRPr="0083350F" w:rsidRDefault="00CA783F" w:rsidP="00F51750">
            <w:pPr>
              <w:spacing w:before="120" w:after="120" w:line="276" w:lineRule="auto"/>
              <w:ind w:firstLine="726"/>
              <w:jc w:val="both"/>
              <w:rPr>
                <w:rFonts w:ascii="Verdana" w:eastAsia="Arial" w:hAnsi="Verdana" w:cs="Arial"/>
                <w:lang w:val="es-ES"/>
              </w:rPr>
            </w:pPr>
            <w:r w:rsidRPr="00AD6B46">
              <w:rPr>
                <w:rFonts w:ascii="Verdana" w:eastAsia="Calibri" w:hAnsi="Verdana" w:cs="Arial"/>
                <w:color w:val="000000"/>
              </w:rPr>
              <w:t xml:space="preserve">Debe precisarse que, en virtud del principio de transparencia, específicamente por cuenta de lo dispuesto en el numeral 4 del artículo 24 de la </w:t>
            </w:r>
            <w:r w:rsidR="00431376">
              <w:rPr>
                <w:rFonts w:ascii="Verdana" w:eastAsia="Calibri" w:hAnsi="Verdana" w:cs="Arial"/>
                <w:color w:val="000000"/>
              </w:rPr>
              <w:t>L</w:t>
            </w:r>
            <w:r w:rsidRPr="00AD6B46">
              <w:rPr>
                <w:rFonts w:ascii="Verdana" w:eastAsia="Calibri" w:hAnsi="Verdana" w:cs="Arial"/>
                <w:color w:val="000000"/>
              </w:rPr>
              <w:t>ey 80 de 1993</w:t>
            </w:r>
            <w:r w:rsidRPr="00AD6B46">
              <w:rPr>
                <w:rFonts w:ascii="Verdana" w:eastAsia="Calibri" w:hAnsi="Verdana" w:cs="Arial"/>
                <w:color w:val="000000"/>
                <w:vertAlign w:val="superscript"/>
              </w:rPr>
              <w:footnoteReference w:id="3"/>
            </w:r>
            <w:r w:rsidRPr="00AD6B46">
              <w:rPr>
                <w:rFonts w:ascii="Verdana" w:eastAsia="Calibri" w:hAnsi="Verdana" w:cs="Arial"/>
                <w:color w:val="000000"/>
              </w:rPr>
              <w:t>, así como por el principio de máxima publicidad establecido en el artículo 2 de la Ley 1712 de 2014</w:t>
            </w:r>
            <w:r w:rsidRPr="00AD6B46">
              <w:rPr>
                <w:rFonts w:ascii="Verdana" w:eastAsia="Calibri" w:hAnsi="Verdana" w:cs="Arial"/>
                <w:color w:val="000000"/>
                <w:vertAlign w:val="superscript"/>
              </w:rPr>
              <w:footnoteReference w:id="4"/>
            </w:r>
            <w:r w:rsidRPr="00AD6B46">
              <w:rPr>
                <w:rFonts w:ascii="Verdana" w:eastAsia="Calibri" w:hAnsi="Verdana" w:cs="Arial"/>
                <w:color w:val="000000"/>
              </w:rPr>
              <w:t>, el contenido del expediente en el que reposa la actuación es información pública, independientemente de si se trata de documentos que deban publicarse en SECOP. Por lo anterior, el contenido del expediente puede ser objeto de solicitud de copias, en ejercicio del derecho de petición, en cualquier momento del proceso de selección, en la medida en que las normas señaladas no imponen ningún condicionamiento, así que podrá solicitarlas cualquier persona, en desarrollo de la vigilancia de la contratación pública, cuestión que podría interesar a cualquier ciudadano</w:t>
            </w:r>
            <w:r w:rsidRPr="00AD6B46">
              <w:rPr>
                <w:rFonts w:ascii="Verdana" w:eastAsia="Calibri" w:hAnsi="Verdana" w:cs="Arial"/>
                <w:color w:val="000000"/>
                <w:vertAlign w:val="superscript"/>
              </w:rPr>
              <w:footnoteReference w:id="5"/>
            </w:r>
            <w:r w:rsidRPr="00AD6B46">
              <w:rPr>
                <w:rFonts w:ascii="Verdana" w:eastAsia="Calibri" w:hAnsi="Verdana" w:cs="Arial"/>
                <w:color w:val="000000"/>
              </w:rPr>
              <w:t>. Esta posibilidad solo se encuentra limitada</w:t>
            </w:r>
            <w:r w:rsidRPr="00AD6B46">
              <w:rPr>
                <w:rFonts w:ascii="Calibri" w:eastAsia="Calibri" w:hAnsi="Calibri" w:cs="Times New Roman"/>
              </w:rPr>
              <w:t xml:space="preserve"> </w:t>
            </w:r>
            <w:r w:rsidRPr="00AD6B46">
              <w:rPr>
                <w:rFonts w:ascii="Verdana" w:eastAsia="Calibri" w:hAnsi="Verdana" w:cs="Arial"/>
                <w:color w:val="000000"/>
              </w:rPr>
              <w:t>respecto de la documentación que tenga la calidad de reservada, que deberá someterse al tratamiento establecido en el artículo 36 del CPACA, en lo relativo a la formación de cuadernos separados</w:t>
            </w:r>
            <w:r w:rsidRPr="00AD6B46">
              <w:rPr>
                <w:rFonts w:ascii="Verdana" w:eastAsia="Calibri" w:hAnsi="Verdana" w:cs="Arial"/>
                <w:color w:val="000000"/>
                <w:vertAlign w:val="superscript"/>
              </w:rPr>
              <w:footnoteReference w:id="6"/>
            </w:r>
            <w:r w:rsidRPr="00AD6B46">
              <w:rPr>
                <w:rFonts w:ascii="Verdana" w:eastAsia="Calibri" w:hAnsi="Verdana" w:cs="Arial"/>
                <w:color w:val="000000"/>
              </w:rPr>
              <w:t>.</w:t>
            </w:r>
          </w:p>
          <w:p w14:paraId="235C6D6D" w14:textId="77777777" w:rsidR="00CA783F" w:rsidRDefault="00CA783F" w:rsidP="00F51750">
            <w:pPr>
              <w:spacing w:before="120" w:after="120" w:line="276" w:lineRule="auto"/>
              <w:ind w:firstLine="726"/>
              <w:jc w:val="both"/>
              <w:rPr>
                <w:rFonts w:ascii="Verdana" w:eastAsia="Arial" w:hAnsi="Verdana" w:cs="Arial"/>
                <w:lang w:val="es-ES"/>
              </w:rPr>
            </w:pPr>
            <w:r w:rsidRPr="00AD6B46">
              <w:rPr>
                <w:rFonts w:ascii="Verdana" w:eastAsia="Calibri" w:hAnsi="Verdana" w:cs="Arial"/>
                <w:color w:val="000000"/>
              </w:rPr>
              <w:lastRenderedPageBreak/>
              <w:t>En efecto, el principio o regla general consiste en la máxima publicidad de la información pública y lo excepcional es la</w:t>
            </w:r>
            <w:r>
              <w:rPr>
                <w:rFonts w:ascii="Verdana" w:eastAsia="Calibri" w:hAnsi="Verdana" w:cs="Arial"/>
                <w:color w:val="000000"/>
              </w:rPr>
              <w:t xml:space="preserve"> reserva</w:t>
            </w:r>
            <w:r w:rsidRPr="46576C03">
              <w:rPr>
                <w:rFonts w:ascii="Verdana" w:eastAsia="Calibri" w:hAnsi="Verdana" w:cs="Arial"/>
                <w:color w:val="000000"/>
                <w:lang w:val="es-ES" w:eastAsia="en-GB"/>
              </w:rPr>
              <w:t>, razón por la cual el artículo 21 de la Ley 1712 de 2014 incluso exige la divulgación parcial de la información contenida en un documento, cuando este contenga parte de información sometida a reserva, pero también incluya información que no esté afectada por la reserva.</w:t>
            </w:r>
          </w:p>
          <w:p w14:paraId="2BDEB2DC" w14:textId="77777777" w:rsidR="00CA783F" w:rsidRPr="0083350F" w:rsidRDefault="00CA783F" w:rsidP="00F51750">
            <w:pPr>
              <w:pStyle w:val="Sinespaciado"/>
              <w:spacing w:line="276" w:lineRule="auto"/>
              <w:ind w:firstLine="708"/>
              <w:jc w:val="both"/>
              <w:rPr>
                <w:rFonts w:ascii="Verdana" w:hAnsi="Verdana"/>
              </w:rPr>
            </w:pPr>
            <w:r w:rsidRPr="004C713C">
              <w:rPr>
                <w:rFonts w:ascii="Verdana" w:hAnsi="Verdana"/>
              </w:rPr>
              <w:t xml:space="preserve">Dentro de este marco, corresponde a cada entidad pública, en ejercicio de su competencia y previa valoración de los elementos fácticos y jurídicos, así como de las disposiciones legales mencionadas, </w:t>
            </w:r>
            <w:r>
              <w:rPr>
                <w:rFonts w:ascii="Verdana" w:hAnsi="Verdana"/>
              </w:rPr>
              <w:t>determinar la publicación de los documentos que hacen parte de su gestión contractual.</w:t>
            </w:r>
            <w:r w:rsidRPr="004C713C">
              <w:rPr>
                <w:rFonts w:ascii="Verdana" w:hAnsi="Verdana"/>
              </w:rPr>
              <w:t xml:space="preserve"> Al tratarse de un análisis que debe realizarse en el procedimiento contractual específico, la Agencia no puede definir un criterio universal y absoluto por vía consultiva, sino que brinda elementos de carácter general para que</w:t>
            </w:r>
            <w:r w:rsidRPr="00E61635">
              <w:rPr>
                <w:rFonts w:ascii="Verdana" w:hAnsi="Verdana"/>
              </w:rPr>
              <w:t xml:space="preserv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E137C4C" w14:textId="77777777" w:rsidR="00CA783F" w:rsidRDefault="00CA783F" w:rsidP="00CA783F">
      <w:pPr>
        <w:tabs>
          <w:tab w:val="left" w:pos="142"/>
          <w:tab w:val="left" w:pos="284"/>
        </w:tabs>
        <w:spacing w:after="0" w:line="276" w:lineRule="auto"/>
        <w:jc w:val="both"/>
        <w:rPr>
          <w:rFonts w:ascii="Verdana" w:eastAsia="Century Gothic" w:hAnsi="Verdana" w:cs="Century Gothic"/>
          <w:b/>
          <w:bCs/>
          <w:lang w:val="es-ES"/>
        </w:rPr>
      </w:pPr>
    </w:p>
    <w:p w14:paraId="7C946B63" w14:textId="77777777" w:rsidR="00CA783F" w:rsidRDefault="00CA783F" w:rsidP="00CA78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64E8B7DD" w14:textId="77777777" w:rsidR="00CA783F" w:rsidRDefault="00CA783F" w:rsidP="00CA783F">
      <w:pPr>
        <w:spacing w:after="0" w:line="276" w:lineRule="auto"/>
        <w:jc w:val="both"/>
        <w:rPr>
          <w:rFonts w:ascii="Verdana" w:eastAsia="Calibri" w:hAnsi="Verdana" w:cs="Arial"/>
          <w:color w:val="7030A0"/>
          <w:lang w:val="es-ES"/>
        </w:rPr>
      </w:pPr>
    </w:p>
    <w:p w14:paraId="4EE27FB6" w14:textId="77777777" w:rsidR="00CA783F" w:rsidRDefault="00CA783F" w:rsidP="00CA783F">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624A4E91" w14:textId="77777777" w:rsidR="00CA783F" w:rsidRDefault="00CA783F" w:rsidP="00CA783F">
      <w:pPr>
        <w:spacing w:after="0" w:line="276" w:lineRule="auto"/>
        <w:jc w:val="both"/>
        <w:rPr>
          <w:rFonts w:ascii="Verdana" w:eastAsia="Calibri" w:hAnsi="Verdana" w:cs="Arial"/>
          <w:lang w:val="es-ES"/>
        </w:rPr>
      </w:pPr>
    </w:p>
    <w:p w14:paraId="57B50EA1" w14:textId="77777777" w:rsidR="00CA783F" w:rsidRDefault="00CA783F" w:rsidP="00CA783F">
      <w:pPr>
        <w:spacing w:before="120" w:after="120" w:line="276" w:lineRule="auto"/>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Para empezar, e</w:t>
      </w:r>
      <w:r w:rsidRPr="005817C0">
        <w:rPr>
          <w:rFonts w:ascii="Verdana" w:eastAsia="Times New Roman" w:hAnsi="Verdana" w:cs="Arial"/>
          <w:lang w:val="es-ES_tradnl" w:eastAsia="es-ES_tradnl"/>
          <w14:ligatures w14:val="standardContextual"/>
        </w:rPr>
        <w:t xml:space="preserv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w:t>
      </w:r>
      <w:r w:rsidRPr="00330EF6">
        <w:rPr>
          <w:rFonts w:ascii="Verdana" w:eastAsia="Times New Roman" w:hAnsi="Verdana" w:cs="Arial"/>
          <w:lang w:val="es-ES_tradnl" w:eastAsia="es-ES_tradnl"/>
          <w14:ligatures w14:val="standardContextual"/>
        </w:rPr>
        <w:t>información oficial de la contratación realizada con dineros públicos, para lo cual establecerá los patrones a que haya lugar y se encargará de su difusión a través de canales electrónicos”</w:t>
      </w:r>
      <w:r w:rsidRPr="00330EF6">
        <w:rPr>
          <w:rFonts w:ascii="Verdana" w:eastAsia="Times New Roman" w:hAnsi="Verdana" w:cs="Arial"/>
          <w:vertAlign w:val="superscript"/>
          <w:lang w:val="es-ES_tradnl" w:eastAsia="es-ES_tradnl"/>
          <w14:ligatures w14:val="standardContextual"/>
        </w:rPr>
        <w:footnoteReference w:id="7"/>
      </w:r>
      <w:r w:rsidRPr="00330EF6">
        <w:rPr>
          <w:rFonts w:ascii="Verdana" w:eastAsia="Times New Roman" w:hAnsi="Verdana" w:cs="Arial"/>
          <w:lang w:val="es-ES_tradnl" w:eastAsia="es-ES_tradnl"/>
          <w14:ligatures w14:val="standardContextual"/>
        </w:rPr>
        <w:t>.</w:t>
      </w:r>
    </w:p>
    <w:p w14:paraId="57FF1D4A" w14:textId="77777777" w:rsidR="00CA783F" w:rsidRDefault="00CA783F" w:rsidP="00CA783F">
      <w:pPr>
        <w:spacing w:before="120" w:after="120" w:line="276" w:lineRule="auto"/>
        <w:ind w:firstLine="709"/>
        <w:jc w:val="both"/>
        <w:rPr>
          <w:rFonts w:ascii="Verdana" w:eastAsia="Calibri" w:hAnsi="Verdana" w:cs="Arial"/>
          <w:color w:val="000000"/>
          <w:lang w:val="es-ES_tradnl"/>
        </w:rPr>
      </w:pPr>
      <w:r w:rsidRPr="00642EA6">
        <w:rPr>
          <w:rFonts w:ascii="Verdana" w:eastAsia="Calibri" w:hAnsi="Verdana" w:cs="Arial"/>
          <w:shd w:val="clear" w:color="auto" w:fill="FFFFFF"/>
        </w:rPr>
        <w:lastRenderedPageBreak/>
        <w:t>En ese sentido, la Ley 1712 de 2014 –ley estatutaria que regula la transparencia y el derecho de acceso a la información y a los documentos públicos–; identifica como principios que orientan el derecho de acceso a la información pública, el</w:t>
      </w:r>
      <w:r w:rsidRPr="00642EA6">
        <w:rPr>
          <w:rFonts w:ascii="Verdana" w:eastAsia="Calibri" w:hAnsi="Verdana" w:cs="Arial"/>
          <w:color w:val="000000"/>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642EA6">
        <w:rPr>
          <w:rFonts w:ascii="Aptos" w:eastAsia="Aptos" w:hAnsi="Aptos" w:cs="Times New Roman"/>
          <w:color w:val="000000"/>
          <w:vertAlign w:val="superscript"/>
          <w:lang w:val="es-ES_tradnl"/>
        </w:rPr>
        <w:footnoteReference w:id="8"/>
      </w:r>
      <w:r w:rsidRPr="00642EA6">
        <w:rPr>
          <w:rFonts w:ascii="Verdana" w:eastAsia="Calibri" w:hAnsi="Verdana" w:cs="Arial"/>
          <w:color w:val="000000"/>
          <w:lang w:val="es-ES_tradnl"/>
        </w:rPr>
        <w:t xml:space="preserve">. El principio de transparencia en la información alude al deber de los sujetos de proporcionar y facilitar el acceso a la misma en los términos más amplios posibles, y a través de los medios y procedimientos legales. </w:t>
      </w:r>
    </w:p>
    <w:p w14:paraId="711381D0" w14:textId="77777777" w:rsidR="00CA783F" w:rsidRPr="00642EA6" w:rsidRDefault="00CA783F" w:rsidP="00CA783F">
      <w:pPr>
        <w:spacing w:before="120" w:after="120" w:line="276" w:lineRule="auto"/>
        <w:ind w:firstLine="709"/>
        <w:jc w:val="both"/>
        <w:rPr>
          <w:rFonts w:ascii="Verdana" w:eastAsia="Calibri" w:hAnsi="Verdana" w:cs="Arial"/>
          <w:color w:val="000000"/>
          <w:lang w:val="es-ES_tradnl"/>
        </w:rPr>
      </w:pPr>
      <w:r w:rsidRPr="00642EA6">
        <w:rPr>
          <w:rFonts w:ascii="Verdana" w:eastAsia="Calibri" w:hAnsi="Verdana" w:cs="Arial"/>
          <w:color w:val="000000"/>
          <w:lang w:val="es-ES_tradnl"/>
        </w:rPr>
        <w:t xml:space="preserve">La Ley estatutaria citada establece, en el literal </w:t>
      </w:r>
      <w:r>
        <w:rPr>
          <w:rFonts w:ascii="Verdana" w:eastAsia="Calibri" w:hAnsi="Verdana" w:cs="Arial"/>
          <w:color w:val="000000"/>
          <w:lang w:val="es-ES_tradnl"/>
        </w:rPr>
        <w:t>a</w:t>
      </w:r>
      <w:r w:rsidRPr="00642EA6">
        <w:rPr>
          <w:rFonts w:ascii="Verdana" w:eastAsia="Calibri" w:hAnsi="Verdana" w:cs="Arial"/>
          <w:color w:val="000000"/>
          <w:lang w:val="es-ES_tradnl"/>
        </w:rPr>
        <w:t xml:space="preserve">) del artículo </w:t>
      </w:r>
      <w:r>
        <w:rPr>
          <w:rFonts w:ascii="Verdana" w:eastAsia="Calibri" w:hAnsi="Verdana" w:cs="Arial"/>
          <w:color w:val="000000"/>
          <w:lang w:val="es-ES_tradnl"/>
        </w:rPr>
        <w:t>5</w:t>
      </w:r>
      <w:r w:rsidRPr="00642EA6">
        <w:rPr>
          <w:rFonts w:ascii="Verdana" w:eastAsia="Calibri" w:hAnsi="Verdana" w:cs="Arial"/>
          <w:color w:val="000000"/>
          <w:lang w:val="es-ES_tradnl"/>
        </w:rPr>
        <w:t>, que los sujetos obligados, que son todas las entidades públicas</w:t>
      </w:r>
      <w:r w:rsidRPr="00642EA6">
        <w:rPr>
          <w:rFonts w:ascii="Aptos" w:eastAsia="Aptos" w:hAnsi="Aptos" w:cs="Times New Roman"/>
          <w:color w:val="000000"/>
          <w:vertAlign w:val="superscript"/>
          <w:lang w:val="es-ES_tradnl"/>
        </w:rPr>
        <w:footnoteReference w:id="9"/>
      </w:r>
      <w:r w:rsidRPr="00642EA6">
        <w:rPr>
          <w:rFonts w:ascii="Verdana" w:eastAsia="Calibri" w:hAnsi="Verdana" w:cs="Arial"/>
          <w:color w:val="000000"/>
          <w:lang w:val="es-ES_tradnl"/>
        </w:rPr>
        <w:t xml:space="preserve">, deben publicar la información relativa a su contratación. Esta obligación fue desarrollada </w:t>
      </w:r>
      <w:r w:rsidRPr="00056E4C">
        <w:rPr>
          <w:rFonts w:ascii="Verdana" w:eastAsia="Arial" w:hAnsi="Verdana" w:cs="Arial"/>
          <w:lang w:val="es-ES"/>
        </w:rPr>
        <w:t>por el Decreto 103 de 2015, compilado en el Decreto 1081 de 2015</w:t>
      </w:r>
      <w:r w:rsidRPr="00642EA6">
        <w:rPr>
          <w:rFonts w:ascii="Aptos" w:eastAsia="Aptos" w:hAnsi="Aptos" w:cs="Times New Roman"/>
          <w:color w:val="000000"/>
          <w:vertAlign w:val="superscript"/>
          <w:lang w:val="es-ES_tradnl"/>
        </w:rPr>
        <w:footnoteReference w:id="10"/>
      </w:r>
      <w:r w:rsidRPr="00642EA6">
        <w:rPr>
          <w:rFonts w:ascii="Verdana" w:eastAsia="Calibri" w:hAnsi="Verdana" w:cs="Arial"/>
          <w:color w:val="000000"/>
          <w:lang w:val="es-ES_tradnl"/>
        </w:rPr>
        <w:t xml:space="preserve">, el cual dispuso que la publicación de la información contractual de los sujetos obligados, que contratan con cargo a recursos públicos, debe hacerse en el </w:t>
      </w:r>
      <w:r w:rsidRPr="00056E4C">
        <w:rPr>
          <w:rFonts w:ascii="Verdana" w:eastAsia="Arial" w:hAnsi="Verdana" w:cs="Arial"/>
          <w:lang w:val="es-ES"/>
        </w:rPr>
        <w:t>Sistema Electrónico de Contratación Pública –SECOP–</w:t>
      </w:r>
      <w:r w:rsidRPr="00642EA6">
        <w:rPr>
          <w:rFonts w:ascii="Verdana" w:eastAsia="Calibri" w:hAnsi="Verdana" w:cs="Arial"/>
          <w:color w:val="000000"/>
          <w:lang w:val="es-ES_tradnl"/>
        </w:rPr>
        <w:t>.</w:t>
      </w:r>
    </w:p>
    <w:p w14:paraId="1467F1EA" w14:textId="77777777" w:rsidR="00CA783F" w:rsidRDefault="00CA783F" w:rsidP="00CA783F">
      <w:pPr>
        <w:spacing w:before="120" w:after="0" w:line="276" w:lineRule="auto"/>
        <w:ind w:firstLine="708"/>
        <w:contextualSpacing/>
        <w:jc w:val="both"/>
        <w:rPr>
          <w:rFonts w:ascii="Verdana" w:eastAsia="Calibri" w:hAnsi="Verdana" w:cs="Arial"/>
          <w:color w:val="000000"/>
          <w:szCs w:val="24"/>
          <w:lang w:val="es-ES_tradnl" w:eastAsia="es-ES_tradnl"/>
        </w:rPr>
      </w:pPr>
      <w:r w:rsidRPr="00642EA6">
        <w:rPr>
          <w:rFonts w:ascii="Verdana" w:eastAsia="Times New Roman" w:hAnsi="Verdana" w:cs="Arial"/>
          <w:color w:val="000000"/>
          <w:szCs w:val="24"/>
          <w:lang w:val="es-ES_tradnl" w:eastAsia="es-ES_tradnl"/>
        </w:rPr>
        <w:lastRenderedPageBreak/>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72B86077" w14:textId="77777777" w:rsidR="00CA783F" w:rsidRPr="00F16D2E" w:rsidRDefault="00CA783F" w:rsidP="00CA783F">
      <w:pPr>
        <w:widowControl w:val="0"/>
        <w:tabs>
          <w:tab w:val="left" w:pos="728"/>
        </w:tabs>
        <w:autoSpaceDE w:val="0"/>
        <w:autoSpaceDN w:val="0"/>
        <w:spacing w:after="120" w:line="276" w:lineRule="auto"/>
        <w:ind w:firstLine="726"/>
        <w:jc w:val="both"/>
        <w:rPr>
          <w:rFonts w:ascii="Verdana" w:hAnsi="Verdana" w:cs="Arial"/>
          <w:lang w:val="es-ES"/>
        </w:rPr>
      </w:pPr>
      <w:r w:rsidRPr="00F16D2E">
        <w:rPr>
          <w:rFonts w:ascii="Verdana" w:eastAsia="Arial" w:hAnsi="Verdana" w:cs="Arial"/>
          <w:lang w:val="es-ES"/>
        </w:rPr>
        <w:tab/>
      </w:r>
      <w:r w:rsidRPr="00F16D2E">
        <w:rPr>
          <w:rFonts w:ascii="Verdana" w:hAnsi="Verdana" w:cs="Arial"/>
          <w:lang w:val="es-ES"/>
        </w:rPr>
        <w:t>El deber de publicidad que se desprende del artículo 3 de la Ley 1150 de 2007 está reglamentado por el artículo 2.2.1.1.1.7.1 del Decreto 1082 de 2015, el cual dispone los documentos que deben publicarse y al SECOP como medio de publicación</w:t>
      </w:r>
      <w:r w:rsidRPr="00F16D2E">
        <w:rPr>
          <w:rFonts w:ascii="Verdana" w:hAnsi="Verdana" w:cs="Arial"/>
          <w:vertAlign w:val="superscript"/>
          <w:lang w:val="es-ES"/>
        </w:rPr>
        <w:footnoteReference w:id="11"/>
      </w:r>
      <w:r w:rsidRPr="00F16D2E">
        <w:rPr>
          <w:rFonts w:ascii="Verdana" w:hAnsi="Verdana" w:cs="Arial"/>
          <w:lang w:val="es-ES"/>
        </w:rPr>
        <w:t>.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14:paraId="2659B9DB" w14:textId="77777777" w:rsidR="00CA783F" w:rsidRDefault="00CA783F" w:rsidP="00CA783F">
      <w:pPr>
        <w:widowControl w:val="0"/>
        <w:autoSpaceDE w:val="0"/>
        <w:autoSpaceDN w:val="0"/>
        <w:spacing w:after="120" w:line="276" w:lineRule="auto"/>
        <w:ind w:firstLine="726"/>
        <w:jc w:val="both"/>
        <w:rPr>
          <w:rFonts w:ascii="Verdana" w:eastAsia="Arial" w:hAnsi="Verdana" w:cs="Arial"/>
          <w:lang w:val="es-ES"/>
        </w:rPr>
      </w:pPr>
      <w:r w:rsidRPr="00F16D2E">
        <w:rPr>
          <w:rFonts w:ascii="Verdana" w:hAnsi="Verdana" w:cs="Arial"/>
          <w:lang w:val="es-ES"/>
        </w:rPr>
        <w:t>Ahora bien, las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w:t>
      </w:r>
      <w:r>
        <w:rPr>
          <w:rFonts w:ascii="Verdana" w:hAnsi="Verdana" w:cs="Arial"/>
          <w:lang w:val="es-ES"/>
        </w:rPr>
        <w:t>.</w:t>
      </w:r>
      <w:r w:rsidRPr="00F16D2E">
        <w:rPr>
          <w:rFonts w:ascii="Verdana" w:hAnsi="Verdana" w:cs="Arial"/>
          <w:lang w:val="es-ES"/>
        </w:rPr>
        <w:t xml:space="preserve">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Pr="00783E6B">
        <w:rPr>
          <w:rFonts w:ascii="Verdana" w:eastAsia="Arial" w:hAnsi="Verdana" w:cs="Arial"/>
          <w:lang w:val="es-ES"/>
        </w:rPr>
        <w:t xml:space="preserve"> </w:t>
      </w:r>
    </w:p>
    <w:p w14:paraId="5B3BCD84" w14:textId="77777777" w:rsidR="00CA783F" w:rsidRDefault="00CA783F" w:rsidP="00CA783F">
      <w:pPr>
        <w:widowControl w:val="0"/>
        <w:autoSpaceDE w:val="0"/>
        <w:autoSpaceDN w:val="0"/>
        <w:spacing w:after="120" w:line="276" w:lineRule="auto"/>
        <w:ind w:firstLine="726"/>
        <w:jc w:val="both"/>
        <w:rPr>
          <w:rFonts w:ascii="Verdana" w:eastAsia="Arial" w:hAnsi="Verdana" w:cs="Arial"/>
          <w:lang w:val="es-ES"/>
        </w:rPr>
      </w:pPr>
      <w:r w:rsidRPr="00F16D2E">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proofErr w:type="spellStart"/>
      <w:r w:rsidRPr="00F16D2E">
        <w:rPr>
          <w:rFonts w:ascii="Verdana" w:eastAsia="Arial" w:hAnsi="Verdana" w:cs="Arial"/>
          <w:i/>
          <w:iCs/>
          <w:lang w:val="es-ES"/>
        </w:rPr>
        <w:t>Ibídem</w:t>
      </w:r>
      <w:proofErr w:type="spellEnd"/>
      <w:r w:rsidRPr="00F16D2E">
        <w:rPr>
          <w:rFonts w:ascii="Verdana" w:eastAsia="Arial" w:hAnsi="Verdana" w:cs="Arial"/>
          <w:lang w:val="es-ES"/>
        </w:rPr>
        <w:t xml:space="preserve"> recoge en la noción de </w:t>
      </w:r>
      <w:r w:rsidRPr="00F16D2E">
        <w:rPr>
          <w:rFonts w:ascii="Verdana" w:eastAsia="Arial" w:hAnsi="Verdana" w:cs="Arial"/>
          <w:i/>
          <w:iCs/>
          <w:lang w:val="es-ES"/>
        </w:rPr>
        <w:t>Documentos del Proceso</w:t>
      </w:r>
      <w:r w:rsidRPr="00F16D2E">
        <w:rPr>
          <w:rFonts w:ascii="Verdana" w:eastAsia="Arial" w:hAnsi="Verdana" w:cs="Arial"/>
          <w:lang w:val="es-ES"/>
        </w:rPr>
        <w:t xml:space="preserve"> “cualquier otro documento expedido por la Entidad Estatal durante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Este mismo artículo define la expresión </w:t>
      </w:r>
      <w:r w:rsidRPr="00F16D2E">
        <w:rPr>
          <w:rFonts w:ascii="Verdana" w:eastAsia="Arial" w:hAnsi="Verdana" w:cs="Arial"/>
          <w:i/>
          <w:iCs/>
          <w:lang w:val="es-ES"/>
        </w:rPr>
        <w:t>Proceso de Contratación</w:t>
      </w:r>
      <w:r w:rsidRPr="00F16D2E">
        <w:rPr>
          <w:rFonts w:ascii="Verdana" w:eastAsia="Arial" w:hAnsi="Verdana" w:cs="Arial"/>
          <w:lang w:val="es-ES"/>
        </w:rPr>
        <w:t xml:space="preserve"> </w:t>
      </w:r>
      <w:r w:rsidRPr="00F16D2E">
        <w:rPr>
          <w:rFonts w:ascii="Verdana" w:eastAsia="Arial" w:hAnsi="Verdana" w:cs="Arial"/>
          <w:lang w:val="es-ES"/>
        </w:rPr>
        <w:lastRenderedPageBreak/>
        <w:t>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20481B52" w14:textId="77777777" w:rsidR="00CA783F" w:rsidRPr="00056E4C" w:rsidRDefault="00CA783F" w:rsidP="00CA783F">
      <w:pPr>
        <w:widowControl w:val="0"/>
        <w:autoSpaceDE w:val="0"/>
        <w:autoSpaceDN w:val="0"/>
        <w:spacing w:after="120" w:line="276" w:lineRule="auto"/>
        <w:ind w:firstLine="708"/>
        <w:jc w:val="both"/>
        <w:rPr>
          <w:rFonts w:ascii="Verdana" w:eastAsia="Arial" w:hAnsi="Verdana" w:cs="Arial"/>
          <w:lang w:val="es-ES"/>
        </w:rPr>
      </w:pPr>
      <w:r w:rsidRPr="00056E4C">
        <w:rPr>
          <w:rFonts w:ascii="Verdana" w:eastAsia="Arial" w:hAnsi="Verdana" w:cs="Arial"/>
          <w:lang w:val="es-ES"/>
        </w:rPr>
        <w:t xml:space="preserve">En todo caso, de conformidad con la segunda parte del inciso primero del artículo 2.2.1.1.1.7.1 </w:t>
      </w:r>
      <w:r w:rsidRPr="00056E4C">
        <w:rPr>
          <w:rFonts w:ascii="Verdana" w:eastAsia="Arial" w:hAnsi="Verdana" w:cs="Arial"/>
          <w:i/>
          <w:iCs/>
          <w:lang w:val="es-ES"/>
        </w:rPr>
        <w:t>Ibidem</w:t>
      </w:r>
      <w:r w:rsidRPr="00056E4C">
        <w:rPr>
          <w:rFonts w:ascii="Verdana" w:eastAsia="Arial" w:hAnsi="Verdana" w:cs="Arial"/>
          <w:lang w:val="es-ES"/>
        </w:rPr>
        <w:t xml:space="preserve">, el deber de publicar las actuaciones realizadas en el marco del proceso de contratación, en lo referente a las ofertas presentadas, solo se predica de la propuesta del adjudicatario, así que no es necesario publicar las demás. </w:t>
      </w:r>
      <w:r w:rsidRPr="00056E4C">
        <w:rPr>
          <w:rFonts w:ascii="Verdana" w:eastAsia="Arial" w:hAnsi="Verdana" w:cs="Arial"/>
          <w:i/>
          <w:iCs/>
          <w:lang w:val="es-ES"/>
        </w:rPr>
        <w:t xml:space="preserve"> </w:t>
      </w:r>
      <w:r w:rsidRPr="00056E4C">
        <w:rPr>
          <w:rFonts w:ascii="Verdana" w:eastAsia="Arial" w:hAnsi="Verdana" w:cs="Arial"/>
          <w:lang w:val="es-ES"/>
        </w:rPr>
        <w:t>Del deber de publicidad, de conformidad con la tercera parte del inciso primero de la referida norma, también se encuentran exentos los documentos de las operaciones que se realicen en bolsa de productos.</w:t>
      </w:r>
    </w:p>
    <w:p w14:paraId="094CCE84" w14:textId="77777777" w:rsidR="00CA783F" w:rsidRPr="00F16D2E" w:rsidRDefault="00CA783F" w:rsidP="00CA783F">
      <w:pPr>
        <w:widowControl w:val="0"/>
        <w:autoSpaceDE w:val="0"/>
        <w:autoSpaceDN w:val="0"/>
        <w:spacing w:after="120" w:line="276" w:lineRule="auto"/>
        <w:ind w:firstLine="726"/>
        <w:jc w:val="both"/>
        <w:rPr>
          <w:rFonts w:ascii="Verdana" w:eastAsia="Arial" w:hAnsi="Verdana" w:cs="Arial"/>
          <w:lang w:val="es-ES"/>
        </w:rPr>
      </w:pPr>
      <w:r w:rsidRPr="00F16D2E">
        <w:rPr>
          <w:rFonts w:ascii="Verdana" w:eastAsia="Arial" w:hAnsi="Verdana" w:cs="Arial"/>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expedidos durante las etapas precontractual, de ejecución y </w:t>
      </w:r>
      <w:proofErr w:type="spellStart"/>
      <w:r w:rsidRPr="00F16D2E">
        <w:rPr>
          <w:rFonts w:ascii="Verdana" w:eastAsia="Arial" w:hAnsi="Verdana" w:cs="Arial"/>
          <w:lang w:val="es-ES"/>
        </w:rPr>
        <w:t>postcontractual</w:t>
      </w:r>
      <w:proofErr w:type="spellEnd"/>
      <w:r w:rsidRPr="00F16D2E">
        <w:rPr>
          <w:rFonts w:ascii="Verdana" w:eastAsia="Arial" w:hAnsi="Verdana" w:cs="Arial"/>
          <w:lang w:val="es-ES"/>
        </w:rPr>
        <w:t>. Este deber aplica a todas las modalidades de selección y entidades regidas por el Estatuto General de Contratación de la Administración Pública,</w:t>
      </w:r>
      <w:r>
        <w:rPr>
          <w:rFonts w:ascii="Verdana" w:eastAsia="Arial" w:hAnsi="Verdana" w:cs="Arial"/>
          <w:lang w:val="es-ES"/>
        </w:rPr>
        <w:t xml:space="preserve"> así como las exceptuadas de este,</w:t>
      </w:r>
      <w:r w:rsidRPr="00F16D2E">
        <w:rPr>
          <w:rFonts w:ascii="Verdana" w:eastAsia="Arial" w:hAnsi="Verdana" w:cs="Arial"/>
          <w:lang w:val="es-ES"/>
        </w:rPr>
        <w:t xml:space="preserve"> y solo se encuentran excluidas las ofertas perdedoras y los documentos expedidos en el marco de operaciones de bolsa de productos. </w:t>
      </w:r>
    </w:p>
    <w:p w14:paraId="629B5A7E" w14:textId="77777777" w:rsidR="00CA783F" w:rsidRDefault="00CA783F" w:rsidP="00CA783F">
      <w:pPr>
        <w:spacing w:before="120" w:after="120" w:line="276" w:lineRule="auto"/>
        <w:ind w:firstLine="726"/>
        <w:jc w:val="both"/>
        <w:rPr>
          <w:rFonts w:ascii="Verdana" w:eastAsia="Arial" w:hAnsi="Verdana" w:cs="Arial"/>
          <w:lang w:val="es-ES"/>
        </w:rPr>
      </w:pPr>
      <w:r w:rsidRPr="00F16D2E">
        <w:rPr>
          <w:rFonts w:ascii="Verdana" w:eastAsia="Calibri" w:hAnsi="Verdana" w:cs="Arial"/>
          <w:lang w:val="es-ES"/>
        </w:rPr>
        <w:t xml:space="preserve">Adicionalmente, el deber de publicar la actividad contractual de las entidades estatales no solo está regulado en el artículo 3 de la Ley 1150 de 2007 y en el </w:t>
      </w:r>
      <w:r w:rsidRPr="00F16D2E">
        <w:rPr>
          <w:rFonts w:ascii="Verdana" w:eastAsia="Arial" w:hAnsi="Verdana"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F16D2E">
        <w:rPr>
          <w:rFonts w:ascii="Verdana" w:eastAsia="Arial" w:hAnsi="Verdana" w:cs="Arial"/>
          <w:i/>
          <w:iCs/>
          <w:lang w:val="es-ES"/>
        </w:rPr>
        <w:t xml:space="preserve">Documentos del Proceso </w:t>
      </w:r>
      <w:r w:rsidRPr="00F16D2E">
        <w:rPr>
          <w:rFonts w:ascii="Verdana" w:eastAsia="Arial" w:hAnsi="Verdana" w:cs="Arial"/>
          <w:lang w:val="es-ES"/>
        </w:rPr>
        <w:t xml:space="preserve">expedidos por la “entidad estatal”. </w:t>
      </w:r>
    </w:p>
    <w:p w14:paraId="7CEB8AFB" w14:textId="77777777" w:rsidR="00CA783F" w:rsidRPr="00AD6B46" w:rsidRDefault="00CA783F" w:rsidP="00CA783F">
      <w:pPr>
        <w:spacing w:after="120" w:line="276" w:lineRule="auto"/>
        <w:jc w:val="both"/>
        <w:rPr>
          <w:rFonts w:ascii="Verdana" w:eastAsia="Calibri" w:hAnsi="Verdana" w:cs="Arial"/>
          <w:color w:val="000000"/>
        </w:rPr>
      </w:pPr>
      <w:r>
        <w:rPr>
          <w:rFonts w:ascii="Verdana" w:hAnsi="Verdana" w:cs="Arial"/>
          <w:lang w:val="es-ES"/>
        </w:rPr>
        <w:tab/>
      </w:r>
      <w:r w:rsidRPr="00AD6B46">
        <w:rPr>
          <w:rFonts w:ascii="Verdana" w:eastAsia="Calibri" w:hAnsi="Verdana" w:cs="Arial"/>
          <w:color w:val="000000"/>
        </w:rPr>
        <w:t>Debe precisarse que, en virtud del principio de transparencia, específicamente por cuenta de lo dispuesto en el numeral 4 del artículo 24 de la ley 80 de 1993</w:t>
      </w:r>
      <w:r w:rsidRPr="00AD6B46">
        <w:rPr>
          <w:rFonts w:ascii="Verdana" w:eastAsia="Calibri" w:hAnsi="Verdana" w:cs="Arial"/>
          <w:color w:val="000000"/>
          <w:vertAlign w:val="superscript"/>
        </w:rPr>
        <w:footnoteReference w:id="12"/>
      </w:r>
      <w:r w:rsidRPr="00AD6B46">
        <w:rPr>
          <w:rFonts w:ascii="Verdana" w:eastAsia="Calibri" w:hAnsi="Verdana" w:cs="Arial"/>
          <w:color w:val="000000"/>
        </w:rPr>
        <w:t xml:space="preserve">, así como por el principio de máxima publicidad establecido en </w:t>
      </w:r>
      <w:r w:rsidRPr="00AD6B46">
        <w:rPr>
          <w:rFonts w:ascii="Verdana" w:eastAsia="Calibri" w:hAnsi="Verdana" w:cs="Arial"/>
          <w:color w:val="000000"/>
        </w:rPr>
        <w:lastRenderedPageBreak/>
        <w:t>el artículo 2 de la Ley 1712 de 2014</w:t>
      </w:r>
      <w:r w:rsidRPr="00AD6B46">
        <w:rPr>
          <w:rFonts w:ascii="Verdana" w:eastAsia="Calibri" w:hAnsi="Verdana" w:cs="Arial"/>
          <w:color w:val="000000"/>
          <w:vertAlign w:val="superscript"/>
        </w:rPr>
        <w:footnoteReference w:id="13"/>
      </w:r>
      <w:r w:rsidRPr="00AD6B46">
        <w:rPr>
          <w:rFonts w:ascii="Verdana" w:eastAsia="Calibri" w:hAnsi="Verdana" w:cs="Arial"/>
          <w:color w:val="000000"/>
        </w:rPr>
        <w:t>, el contenido del expediente en el que reposa la actuación es información pública, independientemente de si se trata de documentos que deban publicarse en SECOP. Por lo anterior, el contenido del expediente puede ser objeto de solicitud de copias, en ejercicio del derecho de petición, en cualquier momento del proceso de selección, en la medida en que las normas señaladas no imponen ningún condicionamiento, así que podrá solicitarlas cualquier persona, en desarrollo de la vigilancia de la contratación pública, cuestión que podría interesar a cualquier ciudadano</w:t>
      </w:r>
      <w:r w:rsidRPr="00AD6B46">
        <w:rPr>
          <w:rFonts w:ascii="Verdana" w:eastAsia="Calibri" w:hAnsi="Verdana" w:cs="Arial"/>
          <w:color w:val="000000"/>
          <w:vertAlign w:val="superscript"/>
        </w:rPr>
        <w:footnoteReference w:id="14"/>
      </w:r>
      <w:r w:rsidRPr="00AD6B46">
        <w:rPr>
          <w:rFonts w:ascii="Verdana" w:eastAsia="Calibri" w:hAnsi="Verdana" w:cs="Arial"/>
          <w:color w:val="000000"/>
        </w:rPr>
        <w:t>. Esta posibilidad solo se encuentra limitada</w:t>
      </w:r>
      <w:r w:rsidRPr="00AD6B46">
        <w:rPr>
          <w:rFonts w:ascii="Calibri" w:eastAsia="Calibri" w:hAnsi="Calibri" w:cs="Times New Roman"/>
        </w:rPr>
        <w:t xml:space="preserve"> </w:t>
      </w:r>
      <w:r w:rsidRPr="00AD6B46">
        <w:rPr>
          <w:rFonts w:ascii="Verdana" w:eastAsia="Calibri" w:hAnsi="Verdana" w:cs="Arial"/>
          <w:color w:val="000000"/>
        </w:rPr>
        <w:t>respecto de la documentación que tenga la calidad de reservada, que deberá someterse al tratamiento establecido en el artículo 36 del CPACA, en lo relativo a la formación de cuadernos separados</w:t>
      </w:r>
      <w:r w:rsidRPr="00AD6B46">
        <w:rPr>
          <w:rFonts w:ascii="Verdana" w:eastAsia="Calibri" w:hAnsi="Verdana" w:cs="Arial"/>
          <w:color w:val="000000"/>
          <w:vertAlign w:val="superscript"/>
        </w:rPr>
        <w:footnoteReference w:id="15"/>
      </w:r>
      <w:r w:rsidRPr="00AD6B46">
        <w:rPr>
          <w:rFonts w:ascii="Verdana" w:eastAsia="Calibri" w:hAnsi="Verdana" w:cs="Arial"/>
          <w:color w:val="000000"/>
        </w:rPr>
        <w:t>.</w:t>
      </w:r>
    </w:p>
    <w:p w14:paraId="733FBF02" w14:textId="77777777" w:rsidR="00CA783F" w:rsidRPr="00A9405A" w:rsidRDefault="00CA783F" w:rsidP="00CA783F">
      <w:pPr>
        <w:spacing w:after="0" w:line="276" w:lineRule="auto"/>
        <w:jc w:val="both"/>
        <w:rPr>
          <w:rFonts w:ascii="Verdana" w:eastAsia="Calibri" w:hAnsi="Verdana" w:cs="Arial"/>
          <w:color w:val="000000"/>
          <w:lang w:val="es-ES" w:eastAsia="en-GB"/>
        </w:rPr>
      </w:pPr>
      <w:r w:rsidRPr="00AD6B46">
        <w:rPr>
          <w:rFonts w:ascii="Verdana" w:eastAsia="Calibri" w:hAnsi="Verdana" w:cs="Arial"/>
          <w:color w:val="000000"/>
        </w:rPr>
        <w:tab/>
        <w:t>En efecto, el principio o regla general consiste en la máxima publicidad de la información pública y lo excepcional es la</w:t>
      </w:r>
      <w:r>
        <w:rPr>
          <w:rFonts w:ascii="Verdana" w:eastAsia="Calibri" w:hAnsi="Verdana" w:cs="Arial"/>
          <w:color w:val="000000"/>
        </w:rPr>
        <w:t xml:space="preserve"> reserva</w:t>
      </w:r>
      <w:r w:rsidRPr="46576C03">
        <w:rPr>
          <w:rFonts w:ascii="Verdana" w:eastAsia="Calibri" w:hAnsi="Verdana" w:cs="Arial"/>
          <w:color w:val="000000"/>
          <w:lang w:val="es-ES" w:eastAsia="en-GB"/>
        </w:rPr>
        <w:t>,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establece que la reserva de acceso a la información opera respecto al contenido de un documento público, pero no respecto de su existencia</w:t>
      </w:r>
      <w:r w:rsidRPr="46576C03">
        <w:rPr>
          <w:rFonts w:ascii="Verdana" w:eastAsia="Calibri" w:hAnsi="Verdana" w:cs="Arial"/>
          <w:color w:val="000000"/>
          <w:vertAlign w:val="superscript"/>
          <w:lang w:val="es-ES" w:eastAsia="en-GB"/>
        </w:rPr>
        <w:footnoteReference w:id="16"/>
      </w:r>
      <w:r w:rsidRPr="46576C03">
        <w:rPr>
          <w:rFonts w:ascii="Verdana" w:eastAsia="Calibri" w:hAnsi="Verdana" w:cs="Arial"/>
          <w:color w:val="000000"/>
          <w:lang w:val="es-ES" w:eastAsia="en-GB"/>
        </w:rPr>
        <w:t xml:space="preserve">. Sin perjuicio de lo anterior, es posible que el contenido de todo el documento o expediente no deba ser objeto de publicidad </w:t>
      </w:r>
      <w:r w:rsidRPr="46576C03">
        <w:rPr>
          <w:rFonts w:ascii="Verdana" w:eastAsia="Calibri" w:hAnsi="Verdana" w:cs="Arial"/>
          <w:color w:val="000000"/>
          <w:lang w:val="es-ES" w:eastAsia="en-GB"/>
        </w:rPr>
        <w:lastRenderedPageBreak/>
        <w:t>por estar amparado de forma íntegra por la reserva, dada su conexión con las causales establecidas en la Constitución o la ley.</w:t>
      </w:r>
    </w:p>
    <w:p w14:paraId="6F8FAB6E" w14:textId="77777777" w:rsidR="00CA783F" w:rsidRPr="00A9405A" w:rsidRDefault="00CA783F" w:rsidP="00CA783F">
      <w:pPr>
        <w:tabs>
          <w:tab w:val="left" w:pos="426"/>
        </w:tabs>
        <w:spacing w:after="120" w:line="276" w:lineRule="auto"/>
        <w:ind w:firstLine="709"/>
        <w:jc w:val="both"/>
        <w:rPr>
          <w:rFonts w:ascii="Verdana" w:eastAsia="Calibri" w:hAnsi="Verdana" w:cs="Arial"/>
          <w:color w:val="000000"/>
          <w:lang w:val="es-ES_tradnl" w:eastAsia="en-GB"/>
        </w:rPr>
      </w:pPr>
      <w:r w:rsidRPr="00A9405A">
        <w:rPr>
          <w:rFonts w:ascii="Verdana" w:eastAsia="Calibri" w:hAnsi="Verdana" w:cs="Arial"/>
          <w:color w:val="000000"/>
          <w:lang w:val="es-ES_tradnl" w:eastAsia="en-GB"/>
        </w:rPr>
        <w:t>Por ello, el artículo 74 de la Constitución, en armonía con los artículos 18 y 19 de la Ley 1712 de 2014 y los artículos 24 y 25 de la Ley 1437 de 2011 –de acuerdo con la modificación realizada por la Ley 1755 de 2015–, establecen que el derecho de acceso a la información o documentación pública no es absoluto, sino que puede exceptuarse cuando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w:t>
      </w:r>
      <w:r>
        <w:rPr>
          <w:rFonts w:ascii="Verdana" w:eastAsia="Calibri" w:hAnsi="Verdana" w:cs="Arial"/>
          <w:color w:val="000000"/>
          <w:lang w:val="es-ES_tradnl" w:eastAsia="en-GB"/>
        </w:rPr>
        <w:t>.</w:t>
      </w:r>
    </w:p>
    <w:p w14:paraId="75B096F7" w14:textId="77777777" w:rsidR="00CA783F" w:rsidRDefault="00CA783F" w:rsidP="00CA783F">
      <w:pPr>
        <w:spacing w:after="0" w:line="276" w:lineRule="auto"/>
        <w:ind w:firstLine="708"/>
        <w:jc w:val="both"/>
        <w:rPr>
          <w:rFonts w:ascii="Verdana" w:eastAsia="Calibri" w:hAnsi="Verdana" w:cs="Arial"/>
          <w:color w:val="000000" w:themeColor="text1"/>
          <w:lang w:val="es-ES" w:eastAsia="en-GB"/>
        </w:rPr>
      </w:pPr>
      <w:r w:rsidRPr="47D3DCCE">
        <w:rPr>
          <w:rFonts w:ascii="Verdana" w:eastAsia="Calibri" w:hAnsi="Verdana" w:cs="Arial"/>
          <w:color w:val="000000" w:themeColor="text1"/>
          <w:lang w:val="es-ES" w:eastAsia="en-GB"/>
        </w:rPr>
        <w:t xml:space="preserve">Cuando el documento contractual tenga información sensible, clasificada o reservada, para proteger la reserva de información, las autoridades deben abstenerse de publicar en el SECOP la información que tiene protección especial o está sometida a reserva. Sin embargo, de acuerdo con el segundo inciso del artículo 25 de la Ley 1437 de 2011 “La restricción por reserva legal no se extenderá a otras piezas del respectivo expediente o actuación que no estén cubiertas por ella”. Por ello, la entidad estatal puede dejar de publicar algún documento del proceso o aparte del mismo que contenga datos sensibles, clasificados o reservados, para no divulgarla, pero debe publicar los demás documentos o los apartados de estos, en caso de que estos no gocen de reserva. </w:t>
      </w:r>
    </w:p>
    <w:p w14:paraId="129C7340" w14:textId="77777777" w:rsidR="00CA783F" w:rsidRPr="00056E4C" w:rsidRDefault="00CA783F" w:rsidP="00CA783F">
      <w:pPr>
        <w:spacing w:after="120" w:line="276" w:lineRule="auto"/>
        <w:ind w:firstLine="708"/>
        <w:jc w:val="both"/>
        <w:rPr>
          <w:rFonts w:ascii="Verdana" w:eastAsia="Calibri" w:hAnsi="Verdana" w:cs="Arial"/>
          <w:lang w:val="es-ES_tradnl"/>
        </w:rPr>
      </w:pPr>
      <w:r>
        <w:rPr>
          <w:rFonts w:ascii="Verdana" w:eastAsia="Calibri" w:hAnsi="Verdana" w:cs="Arial"/>
          <w:color w:val="000000" w:themeColor="text1"/>
          <w:lang w:val="es-ES" w:eastAsia="en-GB"/>
        </w:rPr>
        <w:t xml:space="preserve">En relación con el medio de publicación, </w:t>
      </w:r>
      <w:r w:rsidRPr="00056E4C">
        <w:rPr>
          <w:rFonts w:ascii="Verdana" w:eastAsia="Calibri" w:hAnsi="Verdana" w:cs="Arial"/>
          <w:lang w:val="es-ES_tradnl"/>
        </w:rPr>
        <w:t xml:space="preserve">el artículo 3 de la Ley 1150 de 2007 crea el Sistema Electrónico para la Contratación Pública, el cual –de conformidad con el artículo 3.8 del Decreto 4170 de 2011– es administrado por esta Agencia. Esta plataforma no solo es un canal de publicidad de la gestión contractual de las entidades públicas, pues también es un medio transaccional para la suscripción de contratos electrónicos. A estas dos (2) facetas del SECOP se refiere la ley citada cuando dispone, respectivamente, que “De conformidad con lo dispuesto en la Ley 527 de 1999, […] la expedición de los […] contratos y en general los actos derivados de la actividad precontractual y contractual, podrán tener lugar por medios electrónicos” y que “Contará con la información oficial de la contratación realizada con dineros públicos, para lo cual establecerá los patrones a que haya lugar y se encargará de su difusión a través de canales electrónicos”. </w:t>
      </w:r>
    </w:p>
    <w:p w14:paraId="16FE18EC" w14:textId="77777777" w:rsidR="00CA783F" w:rsidRPr="00056E4C" w:rsidRDefault="00CA783F" w:rsidP="00CA783F">
      <w:pPr>
        <w:spacing w:before="120" w:after="120" w:line="276" w:lineRule="auto"/>
        <w:jc w:val="both"/>
        <w:rPr>
          <w:rFonts w:ascii="Verdana" w:eastAsia="Calibri" w:hAnsi="Verdana" w:cs="Arial"/>
          <w:bCs/>
          <w:color w:val="000000" w:themeColor="text1"/>
          <w:lang w:val="es-ES_tradnl"/>
        </w:rPr>
      </w:pPr>
      <w:r w:rsidRPr="00056E4C">
        <w:rPr>
          <w:rFonts w:ascii="Verdana" w:eastAsia="Calibri" w:hAnsi="Verdana" w:cs="Arial"/>
          <w:lang w:val="es-ES_tradnl"/>
        </w:rPr>
        <w:lastRenderedPageBreak/>
        <w:tab/>
        <w:t xml:space="preserve">El numeral 1.2 </w:t>
      </w:r>
      <w:r w:rsidRPr="00056E4C">
        <w:rPr>
          <w:rFonts w:ascii="Verdana" w:eastAsia="Calibri" w:hAnsi="Verdana" w:cs="Arial"/>
        </w:rPr>
        <w:t>de la Circular Externa Única de la Agencia Nacional de Contratación Pública – Colombia Compra Eficiente dispone que el Sistema Electrónico para la Contratación Pública</w:t>
      </w:r>
      <w:r w:rsidRPr="00056E4C">
        <w:rPr>
          <w:rFonts w:ascii="Verdana" w:eastAsia="Calibri" w:hAnsi="Verdana" w:cs="Arial"/>
          <w:lang w:val="es-ES_tradnl"/>
        </w:rPr>
        <w:t xml:space="preserve"> está compuesto por el SECOP I, el SECOP II y la Tienda Virtual del Estado Colombiano. Conforme a lo explicado en el párrafo precedente</w:t>
      </w:r>
      <w:r w:rsidRPr="00056E4C">
        <w:rPr>
          <w:rFonts w:ascii="Verdana" w:eastAsia="Calibri" w:hAnsi="Verdana" w:cs="Arial"/>
          <w:bCs/>
          <w:color w:val="000000" w:themeColor="text1"/>
          <w:lang w:val="es-ES_tradnl"/>
        </w:rPr>
        <w:t xml:space="preserve">, el SECOP I solo funciona como medio de publicidad, es decir, no tiene carácter transaccional. Esto significa que el procedimiento contractual se adelanta fuera de la plataforma a través de un expediente físico. No obstante, las actuaciones y los documentos se convierten en electrónicos para cargarse posteriormente a la plataforma por quien tenga la función dentro de la entidad. </w:t>
      </w:r>
    </w:p>
    <w:p w14:paraId="2D0ED1D4" w14:textId="77777777" w:rsidR="00CA783F" w:rsidRPr="00056E4C" w:rsidRDefault="00CA783F" w:rsidP="00CA783F">
      <w:pPr>
        <w:spacing w:after="120" w:line="276" w:lineRule="auto"/>
        <w:ind w:firstLine="708"/>
        <w:jc w:val="both"/>
        <w:rPr>
          <w:rFonts w:ascii="Verdana" w:eastAsia="Calibri" w:hAnsi="Verdana" w:cs="Arial"/>
          <w:color w:val="000000" w:themeColor="text1"/>
          <w:lang w:val="es-ES"/>
        </w:rPr>
      </w:pPr>
      <w:r w:rsidRPr="00056E4C">
        <w:rPr>
          <w:rFonts w:ascii="Verdana" w:eastAsia="Calibri" w:hAnsi="Verdana" w:cs="Arial"/>
          <w:color w:val="000000" w:themeColor="text1"/>
          <w:lang w:val="es-ES"/>
        </w:rPr>
        <w:t>En contraste, el SECOP II permite generar contratos en línea y realizar la firma electrónica de los mismos. Tiene funciones que permiten al proveedor presentar garantías y facturas; y a la entidad estatal, realizar la revisión y aprobación de ambos tipos de documentos en línea.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p>
    <w:p w14:paraId="2C947F6B" w14:textId="77777777" w:rsidR="00CA783F" w:rsidRPr="007E4562" w:rsidRDefault="00CA783F" w:rsidP="00CA783F">
      <w:pPr>
        <w:spacing w:after="0" w:line="276" w:lineRule="auto"/>
        <w:ind w:firstLine="708"/>
        <w:jc w:val="both"/>
        <w:rPr>
          <w:rFonts w:ascii="Verdana" w:eastAsia="Calibri" w:hAnsi="Verdana" w:cs="Arial"/>
          <w:bCs/>
          <w:color w:val="000000" w:themeColor="text1"/>
          <w:lang w:val="es-ES_tradnl"/>
        </w:rPr>
      </w:pPr>
      <w:r w:rsidRPr="00056E4C">
        <w:rPr>
          <w:rFonts w:ascii="Verdana" w:eastAsia="Calibri" w:hAnsi="Verdana" w:cs="Arial"/>
          <w:bCs/>
          <w:color w:val="000000" w:themeColor="text1"/>
          <w:lang w:val="es-ES_tradnl"/>
        </w:rPr>
        <w:t xml:space="preserve">Para estos efectos, la Circular Externa Única dispone que “[…] Toda la etapa de gestión contractual está contenida en la plataforma, lo que significa que la Entidad y el Proveedor deben incluir en el SECOP II la información correspondiente que no se genere en línea (garantías, facturas, informes de supervisión, modificaciones, etc.)”. Esto significa que, a diferencia de SECOP I, en SECOP II no es necesario un expediente físico paralelo con la gestión contractual de los procesos adelantados. No obstante, el numeral 2 de la Circular precisa que “[…] En los casos en que el documento original haya sido producido en formato físico, la Entidad Estatal debe conservar su original por el tiempo que indiquen las Tablas de Retención Documental - TRD, e incorporar una copia </w:t>
      </w:r>
      <w:r w:rsidRPr="00056E4C">
        <w:rPr>
          <w:rFonts w:ascii="Verdana" w:eastAsia="Calibri" w:hAnsi="Verdana" w:cs="Arial"/>
          <w:bCs/>
          <w:color w:val="000000" w:themeColor="text1"/>
          <w:lang w:val="es-ES_tradnl"/>
        </w:rPr>
        <w:lastRenderedPageBreak/>
        <w:t xml:space="preserve">digitalizada dentro del proceso de contratación en el SECOP II en cumplimiento de la obligación de publicidad”.  </w:t>
      </w:r>
    </w:p>
    <w:p w14:paraId="57E8F7B3" w14:textId="77777777" w:rsidR="00CA783F" w:rsidRPr="00E61635" w:rsidRDefault="00CA783F" w:rsidP="00CA783F">
      <w:pPr>
        <w:pStyle w:val="Sinespaciado"/>
        <w:spacing w:line="276" w:lineRule="auto"/>
        <w:ind w:firstLine="708"/>
        <w:jc w:val="both"/>
        <w:rPr>
          <w:rFonts w:ascii="Verdana" w:hAnsi="Verdana"/>
        </w:rPr>
      </w:pPr>
      <w:r w:rsidRPr="004C713C">
        <w:rPr>
          <w:rFonts w:ascii="Verdana" w:hAnsi="Verdana"/>
        </w:rPr>
        <w:t xml:space="preserve">Dentro de este marco, corresponde a cada entidad pública, en ejercicio de su competencia y previa valoración de los elementos fácticos y jurídicos, así como de las disposiciones legales mencionadas, </w:t>
      </w:r>
      <w:r>
        <w:rPr>
          <w:rFonts w:ascii="Verdana" w:hAnsi="Verdana"/>
        </w:rPr>
        <w:t>determinar la publicación de los documentos que hacen parte de su gestión contractual.</w:t>
      </w:r>
      <w:r w:rsidRPr="004C713C">
        <w:rPr>
          <w:rFonts w:ascii="Verdana" w:hAnsi="Verdana"/>
        </w:rPr>
        <w:t xml:space="preserve"> Al tratarse de un análisis que debe realizarse en el procedimiento contractual específico, la Agencia no puede definir un criterio universal y absoluto por vía consultiva, sino que brinda elementos de carácter general para que</w:t>
      </w:r>
      <w:r w:rsidRPr="00E61635">
        <w:rPr>
          <w:rFonts w:ascii="Verdana" w:hAnsi="Verdana"/>
        </w:rPr>
        <w:t xml:space="preserv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F7360FA" w14:textId="77777777" w:rsidR="00CA783F" w:rsidRDefault="00CA783F" w:rsidP="00CA783F">
      <w:pPr>
        <w:widowControl w:val="0"/>
        <w:autoSpaceDE w:val="0"/>
        <w:autoSpaceDN w:val="0"/>
        <w:spacing w:after="0" w:line="276" w:lineRule="auto"/>
        <w:jc w:val="both"/>
        <w:rPr>
          <w:rFonts w:ascii="Verdana" w:hAnsi="Verdana" w:cs="Arial"/>
        </w:rPr>
      </w:pPr>
    </w:p>
    <w:p w14:paraId="285C0D38" w14:textId="77777777" w:rsidR="00CA783F" w:rsidRDefault="00CA783F" w:rsidP="00CA78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6E73F23C" w14:textId="77777777" w:rsidR="00CA783F" w:rsidRDefault="00CA783F" w:rsidP="00CA783F">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A783F" w14:paraId="5E52E53B" w14:textId="77777777" w:rsidTr="00F51750">
        <w:trPr>
          <w:trHeight w:val="870"/>
        </w:trPr>
        <w:tc>
          <w:tcPr>
            <w:tcW w:w="8647" w:type="dxa"/>
            <w:tcBorders>
              <w:top w:val="dotted" w:sz="4" w:space="0" w:color="auto"/>
              <w:left w:val="dotted" w:sz="4" w:space="0" w:color="auto"/>
              <w:bottom w:val="dotted" w:sz="4" w:space="0" w:color="auto"/>
              <w:right w:val="dotted" w:sz="4" w:space="0" w:color="auto"/>
            </w:tcBorders>
            <w:hideMark/>
          </w:tcPr>
          <w:p w14:paraId="7120E047" w14:textId="77777777" w:rsidR="00CA783F" w:rsidRDefault="00CA783F" w:rsidP="00F51750">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Constitución Política de 1991, artículos 74 y 209.</w:t>
            </w:r>
          </w:p>
          <w:p w14:paraId="154906FF" w14:textId="77777777" w:rsidR="00CA783F" w:rsidRPr="00EB1756" w:rsidRDefault="00CA783F" w:rsidP="00F51750">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 xml:space="preserve">Ley 80 de </w:t>
            </w:r>
            <w:r w:rsidRPr="00EB1756">
              <w:rPr>
                <w:rFonts w:ascii="Verdana" w:hAnsi="Verdana" w:cs="Arial"/>
              </w:rPr>
              <w:t>1993, artículo 24.</w:t>
            </w:r>
          </w:p>
          <w:p w14:paraId="2D9E1A36" w14:textId="77777777" w:rsidR="00CA783F" w:rsidRPr="00EB1756" w:rsidRDefault="00CA783F" w:rsidP="00F5175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B1756">
              <w:rPr>
                <w:rFonts w:ascii="Verdana" w:hAnsi="Verdana" w:cs="Arial"/>
              </w:rPr>
              <w:t>Ley 1150 de 2007, artículo 3.</w:t>
            </w:r>
          </w:p>
          <w:p w14:paraId="25605E96" w14:textId="77777777" w:rsidR="00CA783F" w:rsidRPr="00EB1756" w:rsidRDefault="00CA783F" w:rsidP="00F5175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B1756">
              <w:rPr>
                <w:rFonts w:ascii="Verdana" w:hAnsi="Verdana" w:cs="Arial"/>
              </w:rPr>
              <w:t>Ley 1437 de 2011, artículos 24, 25 y 36.</w:t>
            </w:r>
          </w:p>
          <w:p w14:paraId="7D197994" w14:textId="77777777" w:rsidR="00CA783F" w:rsidRPr="00EB1756" w:rsidRDefault="00CA783F" w:rsidP="00F5175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B1756">
              <w:rPr>
                <w:rFonts w:ascii="Verdana" w:hAnsi="Verdana" w:cs="Arial"/>
              </w:rPr>
              <w:t>Ley 1712 de 2014, artículos 2, 5, 21, 6, 11, 21, 18 y 19.</w:t>
            </w:r>
          </w:p>
          <w:p w14:paraId="555A21D8" w14:textId="77777777" w:rsidR="00CA783F" w:rsidRPr="002D6629" w:rsidRDefault="00CA783F" w:rsidP="00F51750">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 xml:space="preserve">Decreto 1081 de 2015, </w:t>
            </w:r>
            <w:r w:rsidRPr="00EB1756">
              <w:rPr>
                <w:rFonts w:ascii="Verdana" w:hAnsi="Verdana" w:cs="Arial"/>
              </w:rPr>
              <w:t>Artículo 2.1.1.2.1.7.</w:t>
            </w:r>
          </w:p>
          <w:p w14:paraId="7DD137B4" w14:textId="77777777" w:rsidR="00CA783F" w:rsidRPr="00924340" w:rsidRDefault="00CA783F" w:rsidP="00F51750">
            <w:pPr>
              <w:pStyle w:val="Prrafodelista"/>
              <w:numPr>
                <w:ilvl w:val="0"/>
                <w:numId w:val="17"/>
              </w:numPr>
              <w:spacing w:line="276" w:lineRule="auto"/>
              <w:contextualSpacing w:val="0"/>
              <w:jc w:val="both"/>
              <w:rPr>
                <w:rFonts w:ascii="Verdana" w:hAnsi="Verdana" w:cs="Arial"/>
              </w:rPr>
            </w:pPr>
            <w:r>
              <w:rPr>
                <w:rFonts w:ascii="Verdana" w:hAnsi="Verdana" w:cs="Arial"/>
              </w:rPr>
              <w:t xml:space="preserve">Decreto 1082 de 2015, artículos </w:t>
            </w:r>
            <w:r w:rsidRPr="002D6629">
              <w:rPr>
                <w:rFonts w:ascii="Verdana" w:hAnsi="Verdana" w:cs="Arial"/>
              </w:rPr>
              <w:t>2.2.1.1.1.3.1</w:t>
            </w:r>
            <w:r>
              <w:rPr>
                <w:rFonts w:ascii="Verdana" w:hAnsi="Verdana" w:cs="Arial"/>
              </w:rPr>
              <w:t xml:space="preserve"> y </w:t>
            </w:r>
            <w:r w:rsidRPr="00F16D2E">
              <w:rPr>
                <w:rFonts w:ascii="Verdana" w:hAnsi="Verdana" w:cs="Arial"/>
              </w:rPr>
              <w:t>2.2.1.1.1.7.1</w:t>
            </w:r>
            <w:r>
              <w:rPr>
                <w:rFonts w:ascii="Verdana" w:hAnsi="Verdana" w:cs="Arial"/>
              </w:rPr>
              <w:t>.</w:t>
            </w:r>
          </w:p>
        </w:tc>
      </w:tr>
    </w:tbl>
    <w:p w14:paraId="2D30F78E" w14:textId="77777777" w:rsidR="00CA783F" w:rsidRDefault="00CA783F" w:rsidP="00CA783F">
      <w:pPr>
        <w:widowControl w:val="0"/>
        <w:autoSpaceDE w:val="0"/>
        <w:autoSpaceDN w:val="0"/>
        <w:spacing w:after="0" w:line="276" w:lineRule="auto"/>
        <w:jc w:val="both"/>
        <w:rPr>
          <w:rFonts w:ascii="Verdana" w:hAnsi="Verdana" w:cs="Arial"/>
        </w:rPr>
      </w:pPr>
    </w:p>
    <w:p w14:paraId="4A95C45F" w14:textId="77777777" w:rsidR="00CA783F" w:rsidRDefault="00CA783F" w:rsidP="00CA78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6E9B5CC8" w14:textId="77777777" w:rsidR="00CA783F" w:rsidRDefault="00CA783F" w:rsidP="00CA783F">
      <w:pPr>
        <w:widowControl w:val="0"/>
        <w:autoSpaceDE w:val="0"/>
        <w:autoSpaceDN w:val="0"/>
        <w:spacing w:after="0" w:line="276" w:lineRule="auto"/>
        <w:jc w:val="both"/>
        <w:rPr>
          <w:rFonts w:ascii="Verdana" w:hAnsi="Verdana" w:cs="Arial"/>
        </w:rPr>
      </w:pPr>
    </w:p>
    <w:p w14:paraId="5943508D" w14:textId="77777777" w:rsidR="00CA783F" w:rsidRDefault="00CA783F" w:rsidP="00CA783F">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 xml:space="preserve">Sobre </w:t>
      </w:r>
      <w:r>
        <w:rPr>
          <w:rFonts w:ascii="Verdana" w:eastAsia="Aptos" w:hAnsi="Verdana" w:cs="Arial"/>
          <w:shd w:val="clear" w:color="auto" w:fill="FFFFFF"/>
          <w:lang w:val="es-ES"/>
        </w:rPr>
        <w:t>el principio de publicación</w:t>
      </w:r>
      <w:r w:rsidRPr="00286FF3">
        <w:rPr>
          <w:rFonts w:ascii="Verdana" w:eastAsia="Aptos" w:hAnsi="Verdana" w:cs="Arial"/>
          <w:shd w:val="clear" w:color="auto" w:fill="FFFFFF"/>
          <w:lang w:val="es-ES"/>
        </w:rPr>
        <w:t>,</w:t>
      </w:r>
      <w:r>
        <w:rPr>
          <w:rFonts w:ascii="Verdana" w:eastAsia="Aptos" w:hAnsi="Verdana" w:cs="Arial"/>
          <w:shd w:val="clear" w:color="auto" w:fill="FFFFFF"/>
          <w:lang w:val="es-ES"/>
        </w:rPr>
        <w:t xml:space="preserve"> la obligatoriedad de publicación en la plataforma SECOP II</w:t>
      </w:r>
      <w:r w:rsidRPr="00286FF3">
        <w:rPr>
          <w:rFonts w:ascii="Verdana" w:eastAsia="Aptos" w:hAnsi="Verdana" w:cs="Arial"/>
          <w:shd w:val="clear" w:color="auto" w:fill="FFFFFF"/>
          <w:lang w:val="es-ES"/>
        </w:rPr>
        <w:t xml:space="preserve"> esta Subdirección se ha pronunciado en los conceptos</w:t>
      </w:r>
      <w:r>
        <w:rPr>
          <w:rFonts w:ascii="Verdana" w:eastAsia="Aptos" w:hAnsi="Verdana" w:cs="Arial"/>
          <w:shd w:val="clear" w:color="auto" w:fill="FFFFFF"/>
          <w:lang w:val="es-ES"/>
        </w:rPr>
        <w:t xml:space="preserve"> </w:t>
      </w:r>
      <w:r w:rsidRPr="00615FF2">
        <w:rPr>
          <w:rFonts w:ascii="Verdana" w:hAnsi="Verdana"/>
        </w:rPr>
        <w:t xml:space="preserve">CU-367 del 23 de julio de 2020, C-049 del 7 de marzo de 2022, C-120 del 22 </w:t>
      </w:r>
      <w:r w:rsidRPr="00B23D9E">
        <w:rPr>
          <w:rFonts w:ascii="Verdana" w:hAnsi="Verdana"/>
        </w:rPr>
        <w:t>de marzo de 2022, C-124 del 22 de marzo de 2022, C-132 del 28 de marzo de 2022,</w:t>
      </w:r>
      <w:r w:rsidRPr="00B23D9E">
        <w:rPr>
          <w:rStyle w:val="normaltextrun"/>
          <w:rFonts w:ascii="Verdana" w:hAnsi="Verdana" w:cs="Arial"/>
          <w:shd w:val="clear" w:color="auto" w:fill="FFFFFF"/>
          <w:lang w:val="es-ES"/>
        </w:rPr>
        <w:t xml:space="preserve"> C-872 de 2024, C-941-2024, C-009 de 2025, C-073 de 2025, C-139 de 2025, C-402 de 2025,</w:t>
      </w:r>
      <w:r>
        <w:rPr>
          <w:rStyle w:val="normaltextrun"/>
          <w:rFonts w:ascii="Verdana" w:hAnsi="Verdana" w:cs="Arial"/>
          <w:shd w:val="clear" w:color="auto" w:fill="FFFFFF"/>
          <w:lang w:val="es-ES"/>
        </w:rPr>
        <w:t xml:space="preserve"> C-479 de 2025,</w:t>
      </w:r>
      <w:r>
        <w:rPr>
          <w:rFonts w:ascii="Verdana" w:eastAsia="Aptos" w:hAnsi="Verdana" w:cs="Arial"/>
          <w:shd w:val="clear" w:color="auto" w:fill="FFFFFF"/>
          <w:lang w:val="es-ES"/>
        </w:rPr>
        <w:t xml:space="preserve"> C-774 del 30 de julio de 2025, </w:t>
      </w:r>
      <w:r w:rsidRPr="00286FF3">
        <w:rPr>
          <w:rFonts w:ascii="Verdana" w:eastAsia="Aptos" w:hAnsi="Verdana" w:cs="Arial"/>
          <w:shd w:val="clear" w:color="auto" w:fill="FFFFFF"/>
          <w:lang w:val="es-ES"/>
        </w:rPr>
        <w:t xml:space="preserve"> </w:t>
      </w:r>
      <w:r>
        <w:rPr>
          <w:rFonts w:ascii="Verdana" w:eastAsia="Aptos" w:hAnsi="Verdana" w:cs="Arial"/>
          <w:shd w:val="clear" w:color="auto" w:fill="FFFFFF"/>
          <w:lang w:val="es-ES"/>
        </w:rPr>
        <w:t>C-1041 del 4 de septiembre de 2025, C-1381 del 16 de octubre de 2025,</w:t>
      </w:r>
      <w:r w:rsidRPr="001A1DD4">
        <w:rPr>
          <w:rStyle w:val="normaltextrun"/>
          <w:rFonts w:ascii="Verdana" w:hAnsi="Verdana" w:cs="Arial"/>
          <w:shd w:val="clear" w:color="auto" w:fill="FFFFFF"/>
          <w:lang w:val="es-ES"/>
        </w:rPr>
        <w:t xml:space="preserve"> entre otros. Es</w:t>
      </w:r>
      <w:r w:rsidRPr="001A1DD4">
        <w:rPr>
          <w:rFonts w:ascii="Verdana" w:hAnsi="Verdana"/>
        </w:rPr>
        <w:t>tos y otros conceptos</w:t>
      </w:r>
      <w:r>
        <w:rPr>
          <w:rFonts w:ascii="Verdana" w:hAnsi="Verdana"/>
        </w:rPr>
        <w:t xml:space="preserve">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785440">
          <w:rPr>
            <w:rStyle w:val="Hipervnculo"/>
            <w:rFonts w:ascii="Verdana" w:hAnsi="Verdana" w:cs="Arial"/>
            <w:shd w:val="clear" w:color="auto" w:fill="FFFFFF"/>
            <w:lang w:val="es-ES"/>
          </w:rPr>
          <w:t>https://relatoria.colombiacompra.gov.co/busqueda/conceptos</w:t>
        </w:r>
      </w:hyperlink>
      <w:r w:rsidRPr="00785440">
        <w:rPr>
          <w:rStyle w:val="normaltextrun"/>
          <w:rFonts w:ascii="Verdana" w:hAnsi="Verdana" w:cs="Arial"/>
          <w:color w:val="FF0000"/>
          <w:shd w:val="clear" w:color="auto" w:fill="FFFFFF"/>
          <w:lang w:val="es-ES"/>
        </w:rPr>
        <w:t xml:space="preserve">. </w:t>
      </w:r>
    </w:p>
    <w:p w14:paraId="067620A5" w14:textId="77777777" w:rsidR="00CA783F" w:rsidRDefault="00CA783F" w:rsidP="00CA783F">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CCF113C" w14:textId="77777777" w:rsidR="00CA783F" w:rsidRPr="001205D1" w:rsidRDefault="00CA783F" w:rsidP="00CA783F">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2ED52CF3" w14:textId="77777777" w:rsidR="00CA783F" w:rsidRDefault="00CA783F" w:rsidP="00CA783F">
      <w:pPr>
        <w:spacing w:after="0" w:line="276" w:lineRule="auto"/>
        <w:jc w:val="both"/>
        <w:rPr>
          <w:rFonts w:ascii="Verdana" w:hAnsi="Verdana"/>
        </w:rPr>
      </w:pPr>
    </w:p>
    <w:p w14:paraId="432A2D62" w14:textId="77777777" w:rsidR="00CA783F" w:rsidRDefault="00CA783F" w:rsidP="00CA783F">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441BF0E7" w14:textId="77777777" w:rsidR="00CA783F" w:rsidRDefault="00CA783F" w:rsidP="00CA783F">
      <w:pPr>
        <w:spacing w:after="0" w:line="276" w:lineRule="auto"/>
        <w:jc w:val="both"/>
        <w:rPr>
          <w:rFonts w:ascii="Verdana" w:hAnsi="Verdana"/>
        </w:rPr>
      </w:pPr>
    </w:p>
    <w:p w14:paraId="7EF5A1C2" w14:textId="77777777" w:rsidR="00CA783F" w:rsidRDefault="00CA783F" w:rsidP="00CA783F">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304B997F" w14:textId="77777777" w:rsidR="00CA783F" w:rsidRDefault="00CA783F" w:rsidP="00CA783F">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5F4C6717" w14:textId="77777777" w:rsidR="00CA783F" w:rsidRDefault="00CA783F" w:rsidP="00CA783F">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111BC1EA" w14:textId="77777777" w:rsidR="00CA783F" w:rsidRDefault="00CA783F" w:rsidP="00CA783F">
      <w:pPr>
        <w:widowControl w:val="0"/>
        <w:autoSpaceDE w:val="0"/>
        <w:autoSpaceDN w:val="0"/>
        <w:spacing w:after="0" w:line="276" w:lineRule="auto"/>
        <w:jc w:val="both"/>
        <w:rPr>
          <w:rFonts w:ascii="Verdana" w:hAnsi="Verdana" w:cs="Arial"/>
        </w:rPr>
      </w:pPr>
    </w:p>
    <w:p w14:paraId="70EAD857" w14:textId="77777777" w:rsidR="00CA783F" w:rsidRDefault="00CA783F" w:rsidP="00CA783F">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7C7A737E" w14:textId="77777777" w:rsidR="00CA783F" w:rsidRDefault="00CA783F" w:rsidP="00CA783F">
      <w:pPr>
        <w:widowControl w:val="0"/>
        <w:autoSpaceDE w:val="0"/>
        <w:autoSpaceDN w:val="0"/>
        <w:spacing w:after="0" w:line="276" w:lineRule="auto"/>
        <w:jc w:val="both"/>
        <w:rPr>
          <w:rFonts w:ascii="Verdana" w:hAnsi="Verdana" w:cs="Arial"/>
        </w:rPr>
      </w:pPr>
    </w:p>
    <w:p w14:paraId="00ADAC94" w14:textId="77777777" w:rsidR="00CA783F" w:rsidRDefault="00CA783F" w:rsidP="00CA783F">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21C24A5D" w14:textId="6D0880C3" w:rsidR="00CA783F" w:rsidRDefault="001E764F" w:rsidP="00CA783F">
      <w:pPr>
        <w:spacing w:line="276" w:lineRule="auto"/>
        <w:jc w:val="center"/>
        <w:rPr>
          <w:rFonts w:ascii="Verdana" w:hAnsi="Verdana" w:cs="Arial"/>
          <w:color w:val="000000"/>
          <w:lang w:val="es-ES_tradnl" w:eastAsia="es-CO"/>
        </w:rPr>
      </w:pPr>
      <w:r>
        <w:rPr>
          <w:noProof/>
        </w:rPr>
        <w:drawing>
          <wp:inline distT="0" distB="0" distL="0" distR="0" wp14:anchorId="7A40BD16" wp14:editId="20A2E5C3">
            <wp:extent cx="3768725" cy="1399540"/>
            <wp:effectExtent l="0" t="0" r="3175" b="0"/>
            <wp:docPr id="5" name="Imagen 5"/>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A783F" w14:paraId="132C4D7C" w14:textId="77777777" w:rsidTr="00F51750">
        <w:trPr>
          <w:trHeight w:val="315"/>
        </w:trPr>
        <w:tc>
          <w:tcPr>
            <w:tcW w:w="893" w:type="dxa"/>
            <w:vAlign w:val="center"/>
            <w:hideMark/>
          </w:tcPr>
          <w:p w14:paraId="35AB85CA" w14:textId="77777777" w:rsidR="00CA783F" w:rsidRDefault="00CA783F" w:rsidP="00F51750">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038579C" w14:textId="77777777" w:rsidR="00CA783F" w:rsidRDefault="00CA783F" w:rsidP="00F51750">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5C85C6E6" w14:textId="77777777" w:rsidR="00CA783F" w:rsidRDefault="00CA783F" w:rsidP="00F51750">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CA783F" w14:paraId="0A33DC88" w14:textId="77777777" w:rsidTr="00F51750">
        <w:trPr>
          <w:trHeight w:val="330"/>
        </w:trPr>
        <w:tc>
          <w:tcPr>
            <w:tcW w:w="893" w:type="dxa"/>
            <w:vAlign w:val="center"/>
            <w:hideMark/>
          </w:tcPr>
          <w:p w14:paraId="25A53F0D" w14:textId="77777777" w:rsidR="00CA783F" w:rsidRDefault="00CA783F" w:rsidP="00F51750">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F70A79E" w14:textId="77777777" w:rsidR="00CA783F" w:rsidRDefault="00CA783F" w:rsidP="00F51750">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2FDB46B2" w14:textId="77777777" w:rsidR="00CA783F" w:rsidRDefault="00CA783F" w:rsidP="00F51750">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CA783F" w14:paraId="7BB1B3EF" w14:textId="77777777" w:rsidTr="00F51750">
        <w:trPr>
          <w:trHeight w:val="300"/>
        </w:trPr>
        <w:tc>
          <w:tcPr>
            <w:tcW w:w="893" w:type="dxa"/>
            <w:vAlign w:val="center"/>
            <w:hideMark/>
          </w:tcPr>
          <w:p w14:paraId="029FF3EC" w14:textId="77777777" w:rsidR="00CA783F" w:rsidRDefault="00CA783F" w:rsidP="00F51750">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D5D6625" w14:textId="77777777" w:rsidR="00CA783F" w:rsidRDefault="00CA783F" w:rsidP="00F51750">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1324893D" w14:textId="77777777" w:rsidR="00CA783F" w:rsidRDefault="00CA783F" w:rsidP="00F51750">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6B50E2AA" w14:textId="77777777" w:rsidR="00CA783F" w:rsidRPr="0044528D" w:rsidRDefault="00CA783F" w:rsidP="00CA783F">
      <w:pPr>
        <w:spacing w:after="0"/>
        <w:rPr>
          <w:rFonts w:ascii="Verdana" w:hAnsi="Verdana"/>
        </w:rPr>
      </w:pPr>
    </w:p>
    <w:p w14:paraId="0F293BF4" w14:textId="5D19FAEF" w:rsidR="00127233" w:rsidRPr="00046945" w:rsidRDefault="00127233" w:rsidP="00CA783F">
      <w:pPr>
        <w:spacing w:after="0"/>
        <w:rPr>
          <w:rFonts w:ascii="Verdana" w:eastAsia="Times New Roman" w:hAnsi="Verdana" w:cs="Segoe UI"/>
          <w:sz w:val="18"/>
          <w:szCs w:val="18"/>
          <w:lang w:eastAsia="es-CO"/>
        </w:rPr>
      </w:pPr>
    </w:p>
    <w:sectPr w:rsidR="00127233" w:rsidRPr="0004694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0E4CE" w14:textId="77777777" w:rsidR="00A80D17" w:rsidRDefault="00A80D17" w:rsidP="004A1847">
      <w:pPr>
        <w:spacing w:after="0" w:line="240" w:lineRule="auto"/>
      </w:pPr>
      <w:r>
        <w:separator/>
      </w:r>
    </w:p>
  </w:endnote>
  <w:endnote w:type="continuationSeparator" w:id="0">
    <w:p w14:paraId="34F8DDC6" w14:textId="77777777" w:rsidR="00A80D17" w:rsidRDefault="00A80D17" w:rsidP="004A1847">
      <w:pPr>
        <w:spacing w:after="0" w:line="240" w:lineRule="auto"/>
      </w:pPr>
      <w:r>
        <w:continuationSeparator/>
      </w:r>
    </w:p>
  </w:endnote>
  <w:endnote w:type="continuationNotice" w:id="1">
    <w:p w14:paraId="7BBE91B4" w14:textId="77777777" w:rsidR="00A80D17" w:rsidRDefault="00A80D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Klee One"/>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9853DF" w14:textId="77777777" w:rsidR="00A80D17" w:rsidRDefault="00A80D17" w:rsidP="004A1847">
      <w:pPr>
        <w:spacing w:after="0" w:line="240" w:lineRule="auto"/>
      </w:pPr>
      <w:r>
        <w:separator/>
      </w:r>
    </w:p>
  </w:footnote>
  <w:footnote w:type="continuationSeparator" w:id="0">
    <w:p w14:paraId="0175B60D" w14:textId="77777777" w:rsidR="00A80D17" w:rsidRDefault="00A80D17" w:rsidP="004A1847">
      <w:pPr>
        <w:spacing w:after="0" w:line="240" w:lineRule="auto"/>
      </w:pPr>
      <w:r>
        <w:continuationSeparator/>
      </w:r>
    </w:p>
  </w:footnote>
  <w:footnote w:type="continuationNotice" w:id="1">
    <w:p w14:paraId="73B7BFFB" w14:textId="77777777" w:rsidR="00A80D17" w:rsidRDefault="00A80D17">
      <w:pPr>
        <w:spacing w:after="0" w:line="240" w:lineRule="auto"/>
      </w:pPr>
    </w:p>
  </w:footnote>
  <w:footnote w:id="2">
    <w:p w14:paraId="3BE9B24B" w14:textId="77777777" w:rsidR="00CA783F" w:rsidRPr="005F2788" w:rsidRDefault="00CA783F" w:rsidP="00CA783F">
      <w:pPr>
        <w:pStyle w:val="Textonotapie"/>
        <w:ind w:right="49" w:firstLine="708"/>
        <w:contextualSpacing/>
        <w:jc w:val="both"/>
        <w:rPr>
          <w:rFonts w:ascii="Verdana" w:hAnsi="Verdana" w:cs="Arial"/>
          <w:color w:val="000000" w:themeColor="text1"/>
          <w:sz w:val="14"/>
          <w:szCs w:val="14"/>
        </w:rPr>
      </w:pPr>
      <w:r w:rsidRPr="005F2788">
        <w:rPr>
          <w:rStyle w:val="Refdenotaalpie"/>
          <w:rFonts w:ascii="Verdana" w:hAnsi="Verdana" w:cs="Arial"/>
          <w:color w:val="000000" w:themeColor="text1"/>
          <w:sz w:val="14"/>
          <w:szCs w:val="14"/>
        </w:rPr>
        <w:footnoteRef/>
      </w:r>
      <w:r w:rsidRPr="005F2788">
        <w:rPr>
          <w:rFonts w:ascii="Verdana" w:hAnsi="Verdana" w:cs="Arial"/>
          <w:color w:val="000000" w:themeColor="text1"/>
          <w:sz w:val="14"/>
          <w:szCs w:val="14"/>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14:paraId="0F69ADE8" w14:textId="77777777" w:rsidR="00CA783F" w:rsidRDefault="00CA783F" w:rsidP="00CA783F">
      <w:pPr>
        <w:pStyle w:val="Textonotapie"/>
        <w:ind w:right="49" w:firstLine="708"/>
        <w:contextualSpacing/>
        <w:jc w:val="both"/>
        <w:rPr>
          <w:rFonts w:ascii="Verdana" w:hAnsi="Verdana" w:cs="Arial"/>
          <w:color w:val="000000" w:themeColor="text1"/>
          <w:sz w:val="14"/>
          <w:szCs w:val="14"/>
        </w:rPr>
      </w:pPr>
      <w:r w:rsidRPr="005F2788">
        <w:rPr>
          <w:rFonts w:ascii="Verdana" w:hAnsi="Verdana" w:cs="Arial"/>
          <w:color w:val="000000" w:themeColor="text1"/>
          <w:sz w:val="14"/>
          <w:szCs w:val="14"/>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p w14:paraId="64415BC5" w14:textId="77777777" w:rsidR="00CA783F" w:rsidRPr="005F2788" w:rsidRDefault="00CA783F" w:rsidP="00CA783F">
      <w:pPr>
        <w:pStyle w:val="Textonotapie"/>
        <w:ind w:right="49" w:firstLine="708"/>
        <w:contextualSpacing/>
        <w:jc w:val="both"/>
        <w:rPr>
          <w:rFonts w:ascii="Verdana" w:hAnsi="Verdana" w:cs="Arial"/>
          <w:color w:val="000000" w:themeColor="text1"/>
          <w:sz w:val="14"/>
          <w:szCs w:val="14"/>
          <w:lang w:val="es-ES"/>
        </w:rPr>
      </w:pPr>
    </w:p>
  </w:footnote>
  <w:footnote w:id="3">
    <w:p w14:paraId="3A6A8123" w14:textId="77777777" w:rsidR="00CA783F" w:rsidRPr="002A1671" w:rsidRDefault="00CA783F" w:rsidP="00CA783F">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Ley 80 de 1993 “Artículo 24. Del principio de transparencia. En virtud de este principio: […] 4o. Las autoridades expedirán a costa de aquellas personas que demuestren interés legítimo, copias de las actuaciones y propuestas recibidas, respetando la reserva de que gocen legalmente las patentes, procedimientos y privilegios”.</w:t>
      </w:r>
    </w:p>
  </w:footnote>
  <w:footnote w:id="4">
    <w:p w14:paraId="22E8FD20" w14:textId="77777777" w:rsidR="00CA783F" w:rsidRPr="002A1671" w:rsidRDefault="00CA783F" w:rsidP="00CA783F">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Ley 1712 de 2014 “Artículo 2°. Principio de máxima publicidad para titular universal. Toda información en posesión, bajo control o custodia de un sujeto obligado es pública y no podrá ser reservada o limitada sino por disposición constitucional o legal, de conformidad con la presente ley”.</w:t>
      </w:r>
    </w:p>
  </w:footnote>
  <w:footnote w:id="5">
    <w:p w14:paraId="5F436D32" w14:textId="77777777" w:rsidR="00CA783F" w:rsidRPr="002A1671" w:rsidRDefault="00CA783F" w:rsidP="00CA783F">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 xml:space="preserve">MATALLANA CAMACHO Ernesto. Manual de Contratación de la Administración Pública. Reforma a la Ley 80 de 1993. Universidad Externado de Colombia, Cuarta edición, 2015, </w:t>
      </w:r>
      <w:proofErr w:type="spellStart"/>
      <w:r w:rsidRPr="002A1671">
        <w:rPr>
          <w:rFonts w:ascii="Verdana" w:hAnsi="Verdana"/>
          <w:sz w:val="15"/>
          <w:szCs w:val="15"/>
          <w:lang w:val="es-CO"/>
        </w:rPr>
        <w:t>pp</w:t>
      </w:r>
      <w:proofErr w:type="spellEnd"/>
      <w:r w:rsidRPr="002A1671">
        <w:rPr>
          <w:rFonts w:ascii="Verdana" w:hAnsi="Verdana"/>
          <w:sz w:val="15"/>
          <w:szCs w:val="15"/>
          <w:lang w:val="es-CO"/>
        </w:rPr>
        <w:t xml:space="preserve"> 139.</w:t>
      </w:r>
    </w:p>
  </w:footnote>
  <w:footnote w:id="6">
    <w:p w14:paraId="38C0F653" w14:textId="77777777" w:rsidR="00CA783F" w:rsidRPr="002A1671" w:rsidRDefault="00CA783F" w:rsidP="00CA783F">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Resultan relevantes las consideraciones expuestas en el concepto C- 322 del 16 de junio de 2020 –radicado No. 2202013000005088–, sobre la aplicación del artículo 36 del CPACA en torno al manejo de información reservada en cuadernos separados: “tratándose de información sometida a reserva, considera esta Agencia que el tratamiento que corresponde a esta información es el procedente a partir de lo dispuesto en el artículo 36 del CPACA sobre la formación y examen de expedientes, en el que se establece que los documentos sometidos a reserva deberán insertarse en un cuaderno separado del expediente principal, el cual no podrá ser consultado por la ciudadanía o interesados en general. El manejo de estos documentos conforme lo indica esta norma, permite guardar la reserva a la que están sometidos dichos documentos en el marco de procesos de contratación, sin que se vean lesionados los intereses de los titulares de la información o contrariadas las normas del régimen de protección de datos personales”.</w:t>
      </w:r>
    </w:p>
  </w:footnote>
  <w:footnote w:id="7">
    <w:p w14:paraId="5DB69BDA" w14:textId="77777777" w:rsidR="00CA783F" w:rsidRPr="00C92145" w:rsidRDefault="00CA783F" w:rsidP="00CA783F">
      <w:pPr>
        <w:pStyle w:val="Textonotapie"/>
        <w:ind w:firstLine="709"/>
        <w:jc w:val="both"/>
        <w:rPr>
          <w:rFonts w:ascii="Verdana" w:hAnsi="Verdana" w:cs="Arial"/>
          <w:color w:val="000000" w:themeColor="text1"/>
          <w:sz w:val="14"/>
          <w:szCs w:val="14"/>
        </w:rPr>
      </w:pPr>
      <w:r w:rsidRPr="00C92145">
        <w:rPr>
          <w:rStyle w:val="Refdenotaalpie"/>
          <w:rFonts w:ascii="Verdana" w:hAnsi="Verdana" w:cs="Arial"/>
          <w:color w:val="000000" w:themeColor="text1"/>
          <w:sz w:val="14"/>
          <w:szCs w:val="14"/>
        </w:rPr>
        <w:footnoteRef/>
      </w:r>
      <w:r w:rsidRPr="00C92145">
        <w:rPr>
          <w:rFonts w:ascii="Verdana" w:hAnsi="Verdana" w:cs="Arial"/>
          <w:color w:val="000000" w:themeColor="text1"/>
          <w:sz w:val="14"/>
          <w:szCs w:val="14"/>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4185E1E5" w14:textId="77777777" w:rsidR="00CA783F" w:rsidRPr="00C92145" w:rsidRDefault="00CA783F" w:rsidP="00CA783F">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Lo anterior, sin perjuicio de las publicaciones previstas en el numeral 3 del artículo 30 de la Ley 80 de 1993.</w:t>
      </w:r>
    </w:p>
    <w:p w14:paraId="4837F704" w14:textId="77777777" w:rsidR="00CA783F" w:rsidRPr="00C92145" w:rsidRDefault="00CA783F" w:rsidP="00CA783F">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 xml:space="preserve">Con el fin de materializar los objetivos a que se refiere el inciso anterior, el Gobierno Nacional desarrollará el Sistema Electrónico para la Contratación Pública, </w:t>
      </w:r>
      <w:proofErr w:type="spellStart"/>
      <w:r w:rsidRPr="00C92145">
        <w:rPr>
          <w:rFonts w:ascii="Verdana" w:hAnsi="Verdana" w:cs="Arial"/>
          <w:color w:val="000000" w:themeColor="text1"/>
          <w:sz w:val="14"/>
          <w:szCs w:val="14"/>
        </w:rPr>
        <w:t>Secop</w:t>
      </w:r>
      <w:proofErr w:type="spellEnd"/>
      <w:r w:rsidRPr="00C92145">
        <w:rPr>
          <w:rFonts w:ascii="Verdana" w:hAnsi="Verdana" w:cs="Arial"/>
          <w:color w:val="000000" w:themeColor="text1"/>
          <w:sz w:val="14"/>
          <w:szCs w:val="14"/>
        </w:rPr>
        <w:t xml:space="preserve">, el cual: </w:t>
      </w:r>
    </w:p>
    <w:p w14:paraId="260C32B7" w14:textId="77777777" w:rsidR="00CA783F" w:rsidRPr="00C92145" w:rsidRDefault="00CA783F" w:rsidP="00CA783F">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w:t>
      </w:r>
    </w:p>
    <w:p w14:paraId="3D025D4A" w14:textId="77777777" w:rsidR="00CA783F" w:rsidRPr="00C92145" w:rsidRDefault="00CA783F" w:rsidP="00CA783F">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 xml:space="preserve">c) Contará con la información oficial de la contratación realizada con dineros públicos, para lo cual establecerá los patrones a que haya lugar y se encargará de su difusión a través de canales electrónico”. </w:t>
      </w:r>
    </w:p>
    <w:p w14:paraId="1EC1AC50" w14:textId="77777777" w:rsidR="00CA783F" w:rsidRPr="00C92145" w:rsidRDefault="00CA783F" w:rsidP="00CA783F">
      <w:pPr>
        <w:pStyle w:val="Textonotapie"/>
        <w:ind w:firstLine="709"/>
        <w:jc w:val="both"/>
        <w:rPr>
          <w:rFonts w:ascii="Verdana" w:hAnsi="Verdana" w:cs="Arial"/>
          <w:color w:val="000000" w:themeColor="text1"/>
          <w:sz w:val="14"/>
          <w:szCs w:val="14"/>
          <w:lang w:val="es-CO"/>
        </w:rPr>
      </w:pPr>
    </w:p>
  </w:footnote>
  <w:footnote w:id="8">
    <w:p w14:paraId="06FC3708" w14:textId="77777777" w:rsidR="00CA783F" w:rsidRPr="005C10BE" w:rsidRDefault="00CA783F" w:rsidP="00CA783F">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14D7E9B4" w14:textId="77777777" w:rsidR="00CA783F" w:rsidRPr="005C10BE" w:rsidRDefault="00CA783F" w:rsidP="00CA783F">
      <w:pPr>
        <w:pStyle w:val="Textonotapie"/>
        <w:ind w:firstLine="709"/>
        <w:jc w:val="both"/>
        <w:rPr>
          <w:rFonts w:ascii="Verdana" w:hAnsi="Verdana" w:cs="Arial"/>
          <w:color w:val="000000"/>
          <w:sz w:val="16"/>
          <w:szCs w:val="16"/>
          <w:lang w:val="es-CO"/>
        </w:rPr>
      </w:pPr>
    </w:p>
  </w:footnote>
  <w:footnote w:id="9">
    <w:p w14:paraId="3A2D4FEB" w14:textId="77777777" w:rsidR="00CA783F" w:rsidRPr="005C10BE" w:rsidRDefault="00CA783F" w:rsidP="00CA783F">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Ley 1712 de 2014: “Artículo 5. Ámbito de aplicación. Las disposiciones de esta ley serán aplicables a las siguientes personas en calidad de sujetos obligados: </w:t>
      </w:r>
    </w:p>
    <w:p w14:paraId="775FC6AE" w14:textId="77777777" w:rsidR="00CA783F" w:rsidRPr="005C10BE" w:rsidRDefault="00CA783F" w:rsidP="00CA783F">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3055F906" w14:textId="77777777" w:rsidR="00CA783F" w:rsidRPr="005C10BE" w:rsidRDefault="00CA783F" w:rsidP="00CA783F">
      <w:pPr>
        <w:pStyle w:val="Textonotapie"/>
        <w:ind w:firstLine="709"/>
        <w:jc w:val="both"/>
        <w:rPr>
          <w:rFonts w:ascii="Verdana" w:hAnsi="Verdana" w:cs="Arial"/>
          <w:color w:val="000000"/>
          <w:sz w:val="16"/>
          <w:szCs w:val="16"/>
          <w:lang w:val="es-CO"/>
        </w:rPr>
      </w:pPr>
    </w:p>
  </w:footnote>
  <w:footnote w:id="10">
    <w:p w14:paraId="6D3F1FBD" w14:textId="77777777" w:rsidR="00CA783F" w:rsidRPr="005C10BE" w:rsidRDefault="00CA783F" w:rsidP="00CA783F">
      <w:pPr>
        <w:pStyle w:val="Textonotapie"/>
        <w:ind w:firstLine="709"/>
        <w:jc w:val="both"/>
        <w:rPr>
          <w:rFonts w:ascii="Verdana" w:hAnsi="Verdana" w:cs="Arial"/>
          <w:color w:val="000000"/>
          <w:sz w:val="16"/>
          <w:szCs w:val="16"/>
        </w:rPr>
      </w:pPr>
      <w:r w:rsidRPr="005C10BE">
        <w:rPr>
          <w:rFonts w:ascii="Verdana" w:eastAsia="Times New Roman" w:hAnsi="Verdana" w:cs="Arial"/>
          <w:color w:val="000000"/>
          <w:sz w:val="16"/>
          <w:szCs w:val="16"/>
          <w:vertAlign w:val="superscript"/>
          <w:lang w:val="es-ES" w:eastAsia="es-ES"/>
        </w:rPr>
        <w:footnoteRef/>
      </w:r>
      <w:r w:rsidRPr="005C10BE">
        <w:rPr>
          <w:rFonts w:ascii="Verdana" w:eastAsia="Times New Roman" w:hAnsi="Verdana" w:cs="Arial"/>
          <w:color w:val="000000"/>
          <w:sz w:val="16"/>
          <w:szCs w:val="16"/>
          <w:vertAlign w:val="superscript"/>
          <w:lang w:val="es-ES" w:eastAsia="es-ES"/>
        </w:rPr>
        <w:t xml:space="preserve"> </w:t>
      </w:r>
      <w:r w:rsidRPr="005C10BE">
        <w:rPr>
          <w:rFonts w:ascii="Verdana" w:eastAsia="Times New Roman" w:hAnsi="Verdana" w:cs="Arial"/>
          <w:color w:val="000000"/>
          <w:sz w:val="16"/>
          <w:szCs w:val="16"/>
          <w:lang w:val="es-ES" w:eastAsia="es-ES"/>
        </w:rPr>
        <w:t>“</w:t>
      </w:r>
      <w:r w:rsidRPr="005C10BE">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29B17738" w14:textId="77777777" w:rsidR="00CA783F" w:rsidRPr="005C10BE" w:rsidRDefault="00CA783F" w:rsidP="00CA783F">
      <w:pPr>
        <w:pStyle w:val="Textonotapie"/>
        <w:ind w:firstLine="709"/>
        <w:jc w:val="both"/>
        <w:rPr>
          <w:rFonts w:ascii="Verdana" w:eastAsia="Times New Roman" w:hAnsi="Verdana" w:cs="Arial"/>
          <w:color w:val="000000"/>
          <w:sz w:val="16"/>
          <w:szCs w:val="16"/>
          <w:lang w:val="es-ES" w:eastAsia="es-ES"/>
        </w:rPr>
      </w:pPr>
      <w:r w:rsidRPr="005C10BE">
        <w:rPr>
          <w:rFonts w:ascii="Verdana" w:hAnsi="Verdana" w:cs="Arial"/>
          <w:color w:val="000000"/>
          <w:sz w:val="16"/>
          <w:szCs w:val="16"/>
        </w:rPr>
        <w:t>[…].</w:t>
      </w:r>
    </w:p>
    <w:p w14:paraId="18376601" w14:textId="77777777" w:rsidR="00CA783F" w:rsidRPr="005C10BE" w:rsidRDefault="00CA783F" w:rsidP="00CA783F">
      <w:pPr>
        <w:pStyle w:val="Textonotapie"/>
        <w:ind w:firstLine="709"/>
        <w:jc w:val="both"/>
        <w:rPr>
          <w:rFonts w:ascii="Verdana" w:eastAsia="Times New Roman" w:hAnsi="Verdana" w:cs="Arial"/>
          <w:color w:val="000000"/>
          <w:sz w:val="16"/>
          <w:szCs w:val="16"/>
          <w:lang w:val="es-ES" w:eastAsia="es-ES"/>
        </w:rPr>
      </w:pPr>
      <w:r w:rsidRPr="005C10BE">
        <w:rPr>
          <w:rFonts w:ascii="Verdana" w:eastAsia="Times New Roman"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2050F2DB" w14:textId="77777777" w:rsidR="00CA783F" w:rsidRPr="005C10BE" w:rsidRDefault="00CA783F" w:rsidP="00CA783F">
      <w:pPr>
        <w:pStyle w:val="Textonotapie"/>
        <w:ind w:firstLine="709"/>
        <w:jc w:val="both"/>
        <w:rPr>
          <w:rFonts w:ascii="Verdana" w:eastAsia="Times New Roman" w:hAnsi="Verdana" w:cs="Arial"/>
          <w:color w:val="000000"/>
          <w:sz w:val="16"/>
          <w:szCs w:val="16"/>
          <w:lang w:val="es-ES" w:eastAsia="es-ES"/>
        </w:rPr>
      </w:pPr>
    </w:p>
  </w:footnote>
  <w:footnote w:id="11">
    <w:p w14:paraId="5C8181C4" w14:textId="77777777" w:rsidR="00CA783F" w:rsidRPr="005F2788" w:rsidRDefault="00CA783F" w:rsidP="00CA783F">
      <w:pPr>
        <w:pStyle w:val="Textonotapie"/>
        <w:ind w:right="49" w:firstLine="708"/>
        <w:contextualSpacing/>
        <w:jc w:val="both"/>
        <w:rPr>
          <w:rFonts w:ascii="Verdana" w:hAnsi="Verdana" w:cs="Arial"/>
          <w:color w:val="000000" w:themeColor="text1"/>
          <w:sz w:val="14"/>
          <w:szCs w:val="14"/>
        </w:rPr>
      </w:pPr>
      <w:r w:rsidRPr="005F2788">
        <w:rPr>
          <w:rStyle w:val="Refdenotaalpie"/>
          <w:rFonts w:ascii="Verdana" w:hAnsi="Verdana" w:cs="Arial"/>
          <w:color w:val="000000" w:themeColor="text1"/>
          <w:sz w:val="14"/>
          <w:szCs w:val="14"/>
        </w:rPr>
        <w:footnoteRef/>
      </w:r>
      <w:r w:rsidRPr="005F2788">
        <w:rPr>
          <w:rFonts w:ascii="Verdana" w:hAnsi="Verdana" w:cs="Arial"/>
          <w:color w:val="000000" w:themeColor="text1"/>
          <w:sz w:val="14"/>
          <w:szCs w:val="14"/>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14:paraId="6F5C1D9B" w14:textId="77777777" w:rsidR="00CA783F" w:rsidRDefault="00CA783F" w:rsidP="00CA783F">
      <w:pPr>
        <w:pStyle w:val="Textonotapie"/>
        <w:ind w:right="49" w:firstLine="708"/>
        <w:contextualSpacing/>
        <w:jc w:val="both"/>
        <w:rPr>
          <w:rFonts w:ascii="Verdana" w:hAnsi="Verdana" w:cs="Arial"/>
          <w:color w:val="000000" w:themeColor="text1"/>
          <w:sz w:val="14"/>
          <w:szCs w:val="14"/>
        </w:rPr>
      </w:pPr>
      <w:r w:rsidRPr="005F2788">
        <w:rPr>
          <w:rFonts w:ascii="Verdana" w:hAnsi="Verdana" w:cs="Arial"/>
          <w:color w:val="000000" w:themeColor="text1"/>
          <w:sz w:val="14"/>
          <w:szCs w:val="14"/>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p w14:paraId="3BE8C89B" w14:textId="77777777" w:rsidR="00CA783F" w:rsidRPr="005F2788" w:rsidRDefault="00CA783F" w:rsidP="00CA783F">
      <w:pPr>
        <w:pStyle w:val="Textonotapie"/>
        <w:ind w:right="49" w:firstLine="708"/>
        <w:contextualSpacing/>
        <w:jc w:val="both"/>
        <w:rPr>
          <w:rFonts w:ascii="Verdana" w:hAnsi="Verdana" w:cs="Arial"/>
          <w:color w:val="000000" w:themeColor="text1"/>
          <w:sz w:val="14"/>
          <w:szCs w:val="14"/>
          <w:lang w:val="es-ES"/>
        </w:rPr>
      </w:pPr>
    </w:p>
  </w:footnote>
  <w:footnote w:id="12">
    <w:p w14:paraId="6C64C18A" w14:textId="77777777" w:rsidR="00CA783F" w:rsidRPr="002A1671" w:rsidRDefault="00CA783F" w:rsidP="00CA783F">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Ley 80 de 1993 “Artículo 24. Del principio de transparencia. En virtud de este principio: […] 4o. Las autoridades expedirán a costa de aquellas personas que demuestren interés legítimo, copias de las actuaciones y propuestas recibidas, respetando la reserva de que gocen legalmente las patentes, procedimientos y privilegios”.</w:t>
      </w:r>
    </w:p>
  </w:footnote>
  <w:footnote w:id="13">
    <w:p w14:paraId="7061C62A" w14:textId="77777777" w:rsidR="00CA783F" w:rsidRPr="002A1671" w:rsidRDefault="00CA783F" w:rsidP="00CA783F">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Ley 1712 de 2014 “Artículo 2°. Principio de máxima publicidad para titular universal. Toda información en posesión, bajo control o custodia de un sujeto obligado es pública y no podrá ser reservada o limitada sino por disposición constitucional o legal, de conformidad con la presente ley”.</w:t>
      </w:r>
    </w:p>
  </w:footnote>
  <w:footnote w:id="14">
    <w:p w14:paraId="71FC1CFC" w14:textId="77777777" w:rsidR="00CA783F" w:rsidRPr="002A1671" w:rsidRDefault="00CA783F" w:rsidP="00CA783F">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 xml:space="preserve">MATALLANA CAMACHO Ernesto. Manual de Contratación de la Administración Pública. Reforma a la Ley 80 de 1993. Universidad Externado de Colombia, Cuarta edición, 2015, </w:t>
      </w:r>
      <w:proofErr w:type="spellStart"/>
      <w:r w:rsidRPr="002A1671">
        <w:rPr>
          <w:rFonts w:ascii="Verdana" w:hAnsi="Verdana"/>
          <w:sz w:val="15"/>
          <w:szCs w:val="15"/>
          <w:lang w:val="es-CO"/>
        </w:rPr>
        <w:t>pp</w:t>
      </w:r>
      <w:proofErr w:type="spellEnd"/>
      <w:r w:rsidRPr="002A1671">
        <w:rPr>
          <w:rFonts w:ascii="Verdana" w:hAnsi="Verdana"/>
          <w:sz w:val="15"/>
          <w:szCs w:val="15"/>
          <w:lang w:val="es-CO"/>
        </w:rPr>
        <w:t xml:space="preserve"> 139.</w:t>
      </w:r>
    </w:p>
  </w:footnote>
  <w:footnote w:id="15">
    <w:p w14:paraId="6FF0E6C1" w14:textId="77777777" w:rsidR="00CA783F" w:rsidRPr="002A1671" w:rsidRDefault="00CA783F" w:rsidP="00CA783F">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Resultan relevantes las consideraciones expuestas en el concepto C- 322 del 16 de junio de 2020 –radicado No. 2202013000005088–, sobre la aplicación del artículo 36 del CPACA en torno al manejo de información reservada en cuadernos separados: “tratándose de información sometida a reserva, considera esta Agencia que el tratamiento que corresponde a esta información es el procedente a partir de lo dispuesto en el artículo 36 del CPACA sobre la formación y examen de expedientes, en el que se establece que los documentos sometidos a reserva deberán insertarse en un cuaderno separado del expediente principal, el cual no podrá ser consultado por la ciudadanía o interesados en general. El manejo de estos documentos conforme lo indica esta norma, permite guardar la reserva a la que están sometidos dichos documentos en el marco de procesos de contratación, sin que se vean lesionados los intereses de los titulares de la información o contrariadas las normas del régimen de protección de datos personales”.</w:t>
      </w:r>
    </w:p>
  </w:footnote>
  <w:footnote w:id="16">
    <w:p w14:paraId="07D17A05" w14:textId="77777777" w:rsidR="00CA783F" w:rsidRPr="005F2788" w:rsidRDefault="00CA783F" w:rsidP="00CA783F">
      <w:pPr>
        <w:pStyle w:val="Textonotapie"/>
        <w:ind w:firstLine="708"/>
        <w:contextualSpacing/>
        <w:jc w:val="both"/>
        <w:rPr>
          <w:rFonts w:ascii="Verdana" w:hAnsi="Verdana" w:cs="Arial"/>
          <w:sz w:val="14"/>
          <w:szCs w:val="14"/>
        </w:rPr>
      </w:pPr>
      <w:r w:rsidRPr="005F2788">
        <w:rPr>
          <w:rStyle w:val="Refdenotaalpie"/>
          <w:rFonts w:ascii="Verdana" w:hAnsi="Verdana" w:cs="Arial"/>
          <w:sz w:val="14"/>
          <w:szCs w:val="14"/>
        </w:rPr>
        <w:footnoteRef/>
      </w:r>
      <w:r w:rsidRPr="005F2788">
        <w:rPr>
          <w:rFonts w:ascii="Verdana" w:hAnsi="Verdana" w:cs="Arial"/>
          <w:sz w:val="14"/>
          <w:szCs w:val="14"/>
        </w:rPr>
        <w:t xml:space="preserve"> “Artículo 21. DIVULGACIÓN PARCIAL Y OTRAS REGLAS. En aquellas circunstancias en que la totalidad de la información contenida en un documento no esté protegida por una excepción contenida en la presente ley, debe hacerse una versión pública que mantenga la reserva únicamente de la parte indispensable. La información pública que no cae en ningún supuesto de excepción deberá ser entregada a la parte solicitante, así como ser de conocimiento público. La reserva de acceso a la información opera respecto del contenido de un documento </w:t>
      </w:r>
      <w:proofErr w:type="gramStart"/>
      <w:r w:rsidRPr="005F2788">
        <w:rPr>
          <w:rFonts w:ascii="Verdana" w:hAnsi="Verdana" w:cs="Arial"/>
          <w:sz w:val="14"/>
          <w:szCs w:val="14"/>
        </w:rPr>
        <w:t>público</w:t>
      </w:r>
      <w:proofErr w:type="gramEnd"/>
      <w:r w:rsidRPr="005F2788">
        <w:rPr>
          <w:rFonts w:ascii="Verdana" w:hAnsi="Verdana" w:cs="Arial"/>
          <w:sz w:val="14"/>
          <w:szCs w:val="14"/>
        </w:rPr>
        <w:t xml:space="preserve"> pero no de su existencia.</w:t>
      </w:r>
    </w:p>
    <w:p w14:paraId="0A42C7B2" w14:textId="77777777" w:rsidR="00CA783F" w:rsidRPr="005F2788" w:rsidRDefault="00CA783F" w:rsidP="00CA783F">
      <w:pPr>
        <w:pStyle w:val="Textonotapie"/>
        <w:ind w:firstLine="708"/>
        <w:contextualSpacing/>
        <w:jc w:val="both"/>
        <w:rPr>
          <w:rFonts w:ascii="Verdana" w:hAnsi="Verdana" w:cs="Arial"/>
          <w:sz w:val="14"/>
          <w:szCs w:val="14"/>
        </w:rPr>
      </w:pPr>
      <w:r w:rsidRPr="005F2788">
        <w:rPr>
          <w:rFonts w:ascii="Verdana" w:hAnsi="Verdana" w:cs="Arial"/>
          <w:sz w:val="14"/>
          <w:szCs w:val="14"/>
        </w:rPr>
        <w:t xml:space="preserve">Ninguna </w:t>
      </w:r>
      <w:proofErr w:type="gramStart"/>
      <w:r w:rsidRPr="005F2788">
        <w:rPr>
          <w:rFonts w:ascii="Verdana" w:hAnsi="Verdana" w:cs="Arial"/>
          <w:sz w:val="14"/>
          <w:szCs w:val="14"/>
        </w:rPr>
        <w:t>autoridad pública</w:t>
      </w:r>
      <w:proofErr w:type="gramEnd"/>
      <w:r w:rsidRPr="005F2788">
        <w:rPr>
          <w:rFonts w:ascii="Verdana" w:hAnsi="Verdana" w:cs="Arial"/>
          <w:sz w:val="14"/>
          <w:szCs w:val="14"/>
        </w:rPr>
        <w:t xml:space="preserve"> puede negarse a indicar si un documento obra o no en su poder o negar la divulgación de un documento, salvo que el daño causado al interés protegido sea mayor al interés público de obtener acceso a la información.</w:t>
      </w:r>
    </w:p>
    <w:p w14:paraId="3EF39BC8" w14:textId="77777777" w:rsidR="00CA783F" w:rsidRDefault="00CA783F" w:rsidP="00CA783F">
      <w:pPr>
        <w:pStyle w:val="Textonotapie"/>
        <w:ind w:firstLine="708"/>
        <w:contextualSpacing/>
        <w:jc w:val="both"/>
        <w:rPr>
          <w:rFonts w:ascii="Verdana" w:hAnsi="Verdana" w:cs="Arial"/>
          <w:sz w:val="14"/>
          <w:szCs w:val="14"/>
        </w:rPr>
      </w:pPr>
      <w:r w:rsidRPr="005F2788">
        <w:rPr>
          <w:rFonts w:ascii="Verdana" w:hAnsi="Verdana" w:cs="Arial"/>
          <w:sz w:val="14"/>
          <w:szCs w:val="14"/>
        </w:rPr>
        <w:t>Las excepciones de acceso a la información contenidas en la presente ley no aplican en casos de violación de derechos humanos o delitos de lesa humanidad, y en todo caso deberán protegerse los derechos de las víctimas de dichas violaciones”.</w:t>
      </w:r>
    </w:p>
    <w:p w14:paraId="22AC1044" w14:textId="77777777" w:rsidR="00CA783F" w:rsidRPr="005F2788" w:rsidRDefault="00CA783F" w:rsidP="00CA783F">
      <w:pPr>
        <w:pStyle w:val="Textonotapie"/>
        <w:ind w:firstLine="708"/>
        <w:contextualSpacing/>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82795987">
    <w:abstractNumId w:val="7"/>
  </w:num>
  <w:num w:numId="2" w16cid:durableId="173303342">
    <w:abstractNumId w:val="2"/>
  </w:num>
  <w:num w:numId="3" w16cid:durableId="1719206263">
    <w:abstractNumId w:val="5"/>
  </w:num>
  <w:num w:numId="4" w16cid:durableId="158259525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12685842">
    <w:abstractNumId w:val="2"/>
  </w:num>
  <w:num w:numId="6" w16cid:durableId="386496232">
    <w:abstractNumId w:val="13"/>
  </w:num>
  <w:num w:numId="7" w16cid:durableId="705373127">
    <w:abstractNumId w:val="6"/>
  </w:num>
  <w:num w:numId="8" w16cid:durableId="1942447382">
    <w:abstractNumId w:val="12"/>
  </w:num>
  <w:num w:numId="9" w16cid:durableId="352651486">
    <w:abstractNumId w:val="8"/>
  </w:num>
  <w:num w:numId="10" w16cid:durableId="382216297">
    <w:abstractNumId w:val="11"/>
  </w:num>
  <w:num w:numId="11" w16cid:durableId="1604342607">
    <w:abstractNumId w:val="9"/>
  </w:num>
  <w:num w:numId="12" w16cid:durableId="327445902">
    <w:abstractNumId w:val="1"/>
  </w:num>
  <w:num w:numId="13" w16cid:durableId="967131492">
    <w:abstractNumId w:val="4"/>
  </w:num>
  <w:num w:numId="14" w16cid:durableId="102847721">
    <w:abstractNumId w:val="14"/>
  </w:num>
  <w:num w:numId="15" w16cid:durableId="146476356">
    <w:abstractNumId w:val="10"/>
  </w:num>
  <w:num w:numId="16" w16cid:durableId="189511739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004236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82770"/>
    <w:rsid w:val="001E4177"/>
    <w:rsid w:val="001E764F"/>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31376"/>
    <w:rsid w:val="0044528D"/>
    <w:rsid w:val="004A1847"/>
    <w:rsid w:val="004A305D"/>
    <w:rsid w:val="004F21C4"/>
    <w:rsid w:val="004F685F"/>
    <w:rsid w:val="005566E8"/>
    <w:rsid w:val="00574867"/>
    <w:rsid w:val="00591460"/>
    <w:rsid w:val="005C3777"/>
    <w:rsid w:val="005C5CDC"/>
    <w:rsid w:val="005D29DD"/>
    <w:rsid w:val="005D476C"/>
    <w:rsid w:val="006219F8"/>
    <w:rsid w:val="006302F7"/>
    <w:rsid w:val="00665D70"/>
    <w:rsid w:val="00667584"/>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83B98"/>
    <w:rsid w:val="009A0DFA"/>
    <w:rsid w:val="009B25A8"/>
    <w:rsid w:val="009B2D26"/>
    <w:rsid w:val="009C71FA"/>
    <w:rsid w:val="009C72E7"/>
    <w:rsid w:val="009D3058"/>
    <w:rsid w:val="009F3A13"/>
    <w:rsid w:val="00A122D3"/>
    <w:rsid w:val="00A17F13"/>
    <w:rsid w:val="00A20739"/>
    <w:rsid w:val="00A33C78"/>
    <w:rsid w:val="00A74005"/>
    <w:rsid w:val="00A80D17"/>
    <w:rsid w:val="00AB0ADB"/>
    <w:rsid w:val="00AC0114"/>
    <w:rsid w:val="00B00C0E"/>
    <w:rsid w:val="00B01B1A"/>
    <w:rsid w:val="00B44A47"/>
    <w:rsid w:val="00B72CD3"/>
    <w:rsid w:val="00B72FFF"/>
    <w:rsid w:val="00BB3D7D"/>
    <w:rsid w:val="00BC3D36"/>
    <w:rsid w:val="00BD7F72"/>
    <w:rsid w:val="00C04FB3"/>
    <w:rsid w:val="00C330EB"/>
    <w:rsid w:val="00C754BE"/>
    <w:rsid w:val="00C76B1C"/>
    <w:rsid w:val="00CA783F"/>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76DD"/>
    <w:rsid w:val="00F31EDC"/>
    <w:rsid w:val="00F462B3"/>
    <w:rsid w:val="00F5664F"/>
    <w:rsid w:val="00F666C4"/>
    <w:rsid w:val="00F76AFC"/>
    <w:rsid w:val="00F8118D"/>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CA783F"/>
    <w:rPr>
      <w:rFonts w:ascii="Geomanist Light" w:hAnsi="Geomanist Light"/>
      <w:lang w:val="es-ES"/>
    </w:rPr>
  </w:style>
  <w:style w:type="paragraph" w:customStyle="1" w:styleId="Appelnotedebasde">
    <w:name w:val="Appel note de bas de..."/>
    <w:basedOn w:val="Normal"/>
    <w:link w:val="Refdenotaalpie"/>
    <w:uiPriority w:val="99"/>
    <w:rsid w:val="00CA783F"/>
    <w:pPr>
      <w:spacing w:line="240" w:lineRule="exact"/>
    </w:pPr>
    <w:rPr>
      <w:vertAlign w:val="superscript"/>
    </w:rPr>
  </w:style>
  <w:style w:type="paragraph" w:styleId="Sinespaciado">
    <w:name w:val="No Spacing"/>
    <w:uiPriority w:val="1"/>
    <w:qFormat/>
    <w:rsid w:val="00CA783F"/>
    <w:pPr>
      <w:spacing w:after="0" w:line="240" w:lineRule="auto"/>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ranciscomunoz7@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02B187E-A350-473E-A3F2-4FBBD8E206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openxmlformats.org/package/2006/metadata/core-properties"/>
    <ds:schemaRef ds:uri="http://www.w3.org/XML/1998/namespace"/>
    <ds:schemaRef ds:uri="http://purl.org/dc/elements/1.1/"/>
    <ds:schemaRef ds:uri="http://schemas.microsoft.com/office/2006/documentManagement/types"/>
    <ds:schemaRef ds:uri="http://schemas.microsoft.com/office/infopath/2007/PartnerControls"/>
    <ds:schemaRef ds:uri="http://purl.org/dc/dcmitype/"/>
    <ds:schemaRef ds:uri="a6cb9e4b-f1d1-4245-83ec-6cad768d538a"/>
    <ds:schemaRef ds:uri="9d85dbaf-23eb-4e57-a637-93dcacc8b1a1"/>
    <ds:schemaRef ds:uri="http://schemas.microsoft.com/office/2006/metadata/properties"/>
    <ds:schemaRef ds:uri="http://purl.org/dc/te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14</Pages>
  <Words>4041</Words>
  <Characters>22228</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2025-10-22T17:23:00Z</dcterms:created>
  <dcterms:modified xsi:type="dcterms:W3CDTF">2025-10-22T17:23:00Z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