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28D92B" w14:textId="77777777" w:rsidR="00F279DD" w:rsidRPr="00F279DD" w:rsidRDefault="00F279DD" w:rsidP="003462AC">
      <w:pPr>
        <w:spacing w:after="0" w:line="240" w:lineRule="auto"/>
        <w:jc w:val="both"/>
        <w:rPr>
          <w:rFonts w:ascii="Verdana" w:eastAsia="Geomanist Light" w:hAnsi="Verdana" w:cs="Arial"/>
          <w:b/>
          <w:bCs/>
          <w:color w:val="000000" w:themeColor="text1"/>
          <w:lang w:val="es-MX"/>
        </w:rPr>
      </w:pPr>
      <w:r w:rsidRPr="00F279DD">
        <w:rPr>
          <w:rFonts w:ascii="Verdana" w:eastAsia="Geomanist Light" w:hAnsi="Verdana" w:cs="Arial"/>
          <w:b/>
          <w:bCs/>
          <w:color w:val="000000" w:themeColor="text1"/>
          <w:lang w:val="es-MX"/>
        </w:rPr>
        <w:t>CONTRATO DE PRESTACIÓN DE SERVICIOS ─ Régimen jurídico – Tipologías</w:t>
      </w:r>
    </w:p>
    <w:p w14:paraId="201FFBD3" w14:textId="77777777" w:rsidR="00F279DD" w:rsidRPr="00F279DD" w:rsidRDefault="00F279DD" w:rsidP="003462AC">
      <w:pPr>
        <w:spacing w:after="0" w:line="240" w:lineRule="auto"/>
        <w:jc w:val="both"/>
        <w:rPr>
          <w:rFonts w:ascii="Verdana" w:eastAsia="Geomanist Light" w:hAnsi="Verdana" w:cs="Arial"/>
          <w:color w:val="000000" w:themeColor="text1"/>
          <w:lang w:val="es-MX"/>
        </w:rPr>
      </w:pPr>
    </w:p>
    <w:p w14:paraId="060C7FC9" w14:textId="77777777" w:rsidR="00F279DD" w:rsidRPr="00F279DD" w:rsidRDefault="00F279DD" w:rsidP="003462AC">
      <w:pPr>
        <w:spacing w:after="0" w:line="240" w:lineRule="auto"/>
        <w:jc w:val="both"/>
        <w:rPr>
          <w:rFonts w:ascii="Verdana" w:eastAsia="Geomanist Light" w:hAnsi="Verdana" w:cs="Arial"/>
          <w:color w:val="000000" w:themeColor="text1"/>
          <w:sz w:val="20"/>
          <w:szCs w:val="20"/>
          <w:lang w:val="es-MX"/>
        </w:rPr>
      </w:pPr>
      <w:r w:rsidRPr="00F279DD">
        <w:rPr>
          <w:rFonts w:ascii="Verdana" w:eastAsia="Geomanist Light" w:hAnsi="Verdana" w:cs="Arial"/>
          <w:color w:val="000000" w:themeColor="text1"/>
          <w:sz w:val="20"/>
          <w:szCs w:val="20"/>
          <w:lang w:val="es-MX"/>
        </w:rPr>
        <w:t>El contrato de prestación de servicios es un contrato estatal típico regulado en el artículo 32.3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 La celebración de dicho contrato debe efectuarse a través de la modalidad de contratación directa.</w:t>
      </w:r>
    </w:p>
    <w:p w14:paraId="288EE2FD" w14:textId="77777777" w:rsidR="00F279DD" w:rsidRPr="00F279DD" w:rsidRDefault="00F279DD" w:rsidP="003462AC">
      <w:pPr>
        <w:spacing w:after="0" w:line="240" w:lineRule="auto"/>
        <w:jc w:val="both"/>
        <w:rPr>
          <w:rFonts w:ascii="Verdana" w:eastAsia="Geomanist Light" w:hAnsi="Verdana" w:cs="Arial"/>
          <w:color w:val="000000" w:themeColor="text1"/>
          <w:sz w:val="20"/>
          <w:szCs w:val="20"/>
          <w:lang w:val="es-MX"/>
        </w:rPr>
      </w:pPr>
    </w:p>
    <w:p w14:paraId="02BEB1C4" w14:textId="30154F76" w:rsidR="00F279DD" w:rsidRDefault="00F279DD" w:rsidP="003462AC">
      <w:pPr>
        <w:spacing w:after="0" w:line="240" w:lineRule="auto"/>
        <w:jc w:val="both"/>
        <w:rPr>
          <w:rFonts w:ascii="Verdana" w:eastAsia="Geomanist Light" w:hAnsi="Verdana" w:cs="Arial"/>
          <w:color w:val="000000" w:themeColor="text1"/>
          <w:sz w:val="20"/>
          <w:szCs w:val="20"/>
          <w:lang w:val="es-MX"/>
        </w:rPr>
      </w:pPr>
      <w:r w:rsidRPr="00F279DD">
        <w:rPr>
          <w:rFonts w:ascii="Verdana" w:eastAsia="Geomanist Light" w:hAnsi="Verdana" w:cs="Arial"/>
          <w:color w:val="000000" w:themeColor="text1"/>
          <w:sz w:val="20"/>
          <w:szCs w:val="20"/>
          <w:lang w:val="es-MX"/>
        </w:rPr>
        <w:t>[…]</w:t>
      </w:r>
    </w:p>
    <w:p w14:paraId="6683CE34" w14:textId="77777777" w:rsidR="008658C5" w:rsidRDefault="008658C5" w:rsidP="003462AC">
      <w:pPr>
        <w:spacing w:after="0" w:line="240" w:lineRule="auto"/>
        <w:jc w:val="both"/>
        <w:rPr>
          <w:rFonts w:ascii="Verdana" w:eastAsia="Geomanist Light" w:hAnsi="Verdana" w:cs="Arial"/>
          <w:color w:val="000000" w:themeColor="text1"/>
          <w:sz w:val="20"/>
          <w:szCs w:val="20"/>
          <w:lang w:val="es-MX"/>
        </w:rPr>
      </w:pPr>
    </w:p>
    <w:p w14:paraId="0669E65C" w14:textId="102F891C" w:rsidR="008658C5" w:rsidRPr="008658C5" w:rsidRDefault="008658C5" w:rsidP="003462AC">
      <w:pPr>
        <w:spacing w:after="0" w:line="240" w:lineRule="auto"/>
        <w:jc w:val="both"/>
        <w:rPr>
          <w:rFonts w:ascii="Verdana" w:eastAsia="Geomanist Light" w:hAnsi="Verdana" w:cs="Arial"/>
          <w:color w:val="000000" w:themeColor="text1"/>
          <w:sz w:val="20"/>
          <w:szCs w:val="20"/>
          <w:lang w:val="es-MX"/>
        </w:rPr>
      </w:pPr>
      <w:r w:rsidRPr="008658C5">
        <w:rPr>
          <w:rFonts w:ascii="Verdana" w:hAnsi="Verdana" w:cs="Arial"/>
          <w:color w:val="000000" w:themeColor="text1"/>
          <w:sz w:val="20"/>
          <w:szCs w:val="20"/>
          <w:lang w:val="es-MX"/>
        </w:rPr>
        <w:t xml:space="preserve">Como especies del género </w:t>
      </w:r>
      <w:r w:rsidRPr="008658C5">
        <w:rPr>
          <w:rFonts w:ascii="Verdana" w:hAnsi="Verdana" w:cs="Arial"/>
          <w:i/>
          <w:iCs/>
          <w:color w:val="000000" w:themeColor="text1"/>
          <w:sz w:val="20"/>
          <w:szCs w:val="20"/>
          <w:lang w:val="es-MX"/>
        </w:rPr>
        <w:t>contrato de prestación de servicios</w:t>
      </w:r>
      <w:r w:rsidRPr="008658C5">
        <w:rPr>
          <w:rFonts w:ascii="Verdana" w:hAnsi="Verdana" w:cs="Arial"/>
          <w:color w:val="000000" w:themeColor="text1"/>
          <w:sz w:val="20"/>
          <w:szCs w:val="20"/>
          <w:lang w:val="es-MX"/>
        </w:rPr>
        <w:t xml:space="preserve"> se incluyen </w:t>
      </w:r>
      <w:r w:rsidRPr="008658C5">
        <w:rPr>
          <w:rFonts w:ascii="Verdana" w:hAnsi="Verdana" w:cs="Arial"/>
          <w:color w:val="000000" w:themeColor="text1"/>
          <w:sz w:val="20"/>
          <w:szCs w:val="20"/>
          <w:lang w:val="es-ES"/>
        </w:rPr>
        <w:t xml:space="preserve">los </w:t>
      </w:r>
      <w:r w:rsidRPr="008658C5">
        <w:rPr>
          <w:rFonts w:ascii="Verdana" w:hAnsi="Verdana" w:cs="Arial"/>
          <w:i/>
          <w:color w:val="000000" w:themeColor="text1"/>
          <w:sz w:val="20"/>
          <w:szCs w:val="20"/>
          <w:lang w:val="es-ES"/>
        </w:rPr>
        <w:t>contratos de prestación de servicios profesionales, los contratos de prestación de servicios de apoyo a la gestión</w:t>
      </w:r>
      <w:r w:rsidRPr="008658C5">
        <w:rPr>
          <w:rFonts w:ascii="Verdana" w:hAnsi="Verdana" w:cs="Arial"/>
          <w:color w:val="000000" w:themeColor="text1"/>
          <w:sz w:val="20"/>
          <w:szCs w:val="20"/>
          <w:lang w:val="es-ES"/>
        </w:rPr>
        <w:t xml:space="preserve"> y los </w:t>
      </w:r>
      <w:r w:rsidRPr="008658C5">
        <w:rPr>
          <w:rFonts w:ascii="Verdana" w:hAnsi="Verdana" w:cs="Arial"/>
          <w:i/>
          <w:color w:val="000000" w:themeColor="text1"/>
          <w:sz w:val="20"/>
          <w:szCs w:val="20"/>
          <w:lang w:val="es-ES"/>
        </w:rPr>
        <w:t>contratos de prestación de servicios artísticos que solo pueden encomendarse a determinadas personas naturales</w:t>
      </w:r>
      <w:r w:rsidRPr="008658C5">
        <w:rPr>
          <w:rFonts w:ascii="Verdana" w:hAnsi="Verdana" w:cs="Arial"/>
          <w:color w:val="000000" w:themeColor="text1"/>
          <w:sz w:val="20"/>
          <w:szCs w:val="20"/>
          <w:lang w:val="es-MX"/>
        </w:rPr>
        <w:t xml:space="preserve">. </w:t>
      </w:r>
      <w:r w:rsidRPr="008658C5">
        <w:rPr>
          <w:rFonts w:ascii="Verdana" w:hAnsi="Verdana" w:cs="Arial"/>
          <w:color w:val="000000" w:themeColor="text1"/>
          <w:sz w:val="20"/>
          <w:szCs w:val="20"/>
          <w:lang w:val="es-ES"/>
        </w:rPr>
        <w:t xml:space="preserve">La diferencia entre el contrato de prestación de servicios </w:t>
      </w:r>
      <w:r w:rsidRPr="008658C5">
        <w:rPr>
          <w:rFonts w:ascii="Verdana" w:hAnsi="Verdana" w:cs="Arial"/>
          <w:i/>
          <w:color w:val="000000" w:themeColor="text1"/>
          <w:sz w:val="20"/>
          <w:szCs w:val="20"/>
          <w:lang w:val="es-ES"/>
        </w:rPr>
        <w:t>profesionales</w:t>
      </w:r>
      <w:r w:rsidRPr="008658C5">
        <w:rPr>
          <w:rFonts w:ascii="Verdana" w:hAnsi="Verdana" w:cs="Arial"/>
          <w:color w:val="000000" w:themeColor="text1"/>
          <w:sz w:val="20"/>
          <w:szCs w:val="20"/>
          <w:lang w:val="es-ES"/>
        </w:rPr>
        <w:t xml:space="preserve"> con las otras dos especies del género en el cual se</w:t>
      </w:r>
      <w:r>
        <w:rPr>
          <w:rFonts w:ascii="Verdana" w:hAnsi="Verdana" w:cs="Arial"/>
          <w:color w:val="000000" w:themeColor="text1"/>
          <w:sz w:val="20"/>
          <w:szCs w:val="20"/>
          <w:lang w:val="es-ES"/>
        </w:rPr>
        <w:t xml:space="preserve"> </w:t>
      </w:r>
      <w:proofErr w:type="gramStart"/>
      <w:r w:rsidRPr="008658C5">
        <w:rPr>
          <w:rFonts w:ascii="Verdana" w:hAnsi="Verdana" w:cs="Arial"/>
          <w:color w:val="000000" w:themeColor="text1"/>
          <w:sz w:val="20"/>
          <w:szCs w:val="20"/>
          <w:lang w:val="es-ES"/>
        </w:rPr>
        <w:t>ubican,</w:t>
      </w:r>
      <w:proofErr w:type="gramEnd"/>
      <w:r w:rsidRPr="008658C5">
        <w:rPr>
          <w:rFonts w:ascii="Verdana" w:hAnsi="Verdana" w:cs="Arial"/>
          <w:color w:val="000000" w:themeColor="text1"/>
          <w:sz w:val="20"/>
          <w:szCs w:val="20"/>
          <w:lang w:val="es-ES"/>
        </w:rPr>
        <w:t xml:space="preserve"> radica en su contenido intelectual intangible y, al mismo tiempo, en la formación profesional que se exige para desempeñar la labor.</w:t>
      </w:r>
    </w:p>
    <w:p w14:paraId="5452F96C" w14:textId="77777777" w:rsidR="00F279DD" w:rsidRDefault="00F279DD" w:rsidP="003462AC">
      <w:pPr>
        <w:spacing w:after="0" w:line="240" w:lineRule="auto"/>
        <w:rPr>
          <w:rFonts w:ascii="Verdana" w:eastAsia="Geomanist Light" w:hAnsi="Verdana" w:cs="Arial"/>
          <w:color w:val="000000" w:themeColor="text1"/>
          <w:lang w:val="es-MX"/>
        </w:rPr>
      </w:pPr>
    </w:p>
    <w:p w14:paraId="77B7CDB2" w14:textId="77777777" w:rsidR="003462AC" w:rsidRDefault="003462AC" w:rsidP="003462AC">
      <w:pPr>
        <w:spacing w:after="0" w:line="240" w:lineRule="auto"/>
        <w:jc w:val="both"/>
        <w:rPr>
          <w:rFonts w:ascii="Verdana" w:eastAsia="Calibri" w:hAnsi="Verdana" w:cs="Arial"/>
          <w:b/>
          <w:bCs/>
          <w:lang w:val="es-ES" w:eastAsia="es-ES"/>
        </w:rPr>
      </w:pPr>
      <w:r w:rsidRPr="003462AC">
        <w:rPr>
          <w:rFonts w:ascii="Verdana" w:eastAsia="Calibri" w:hAnsi="Verdana" w:cs="Arial"/>
          <w:b/>
          <w:bCs/>
          <w:lang w:val="es-ES" w:eastAsia="es-ES"/>
        </w:rPr>
        <w:t xml:space="preserve">REQUISITOS HABILITANTES – Noción </w:t>
      </w:r>
    </w:p>
    <w:p w14:paraId="4280E610" w14:textId="77777777" w:rsidR="003462AC" w:rsidRDefault="003462AC" w:rsidP="003462AC">
      <w:pPr>
        <w:spacing w:after="0" w:line="240" w:lineRule="auto"/>
        <w:jc w:val="both"/>
        <w:rPr>
          <w:rFonts w:ascii="Verdana" w:eastAsia="Calibri" w:hAnsi="Verdana" w:cs="Arial"/>
          <w:color w:val="000000" w:themeColor="text1"/>
          <w:lang w:val="es-ES_tradnl"/>
        </w:rPr>
      </w:pPr>
    </w:p>
    <w:p w14:paraId="18A07BE8" w14:textId="6F205961" w:rsidR="003462AC" w:rsidRPr="003462AC" w:rsidRDefault="003462AC" w:rsidP="003462AC">
      <w:pPr>
        <w:spacing w:after="0" w:line="240" w:lineRule="auto"/>
        <w:jc w:val="both"/>
        <w:rPr>
          <w:rFonts w:ascii="Verdana" w:eastAsia="Calibri" w:hAnsi="Verdana" w:cs="Arial"/>
          <w:color w:val="000000" w:themeColor="text1"/>
          <w:sz w:val="20"/>
          <w:szCs w:val="20"/>
          <w:lang w:val="es-ES_tradnl"/>
        </w:rPr>
      </w:pPr>
      <w:r w:rsidRPr="003462AC">
        <w:rPr>
          <w:rFonts w:ascii="Verdana" w:eastAsia="Calibri" w:hAnsi="Verdana" w:cs="Arial"/>
          <w:color w:val="000000" w:themeColor="text1"/>
          <w:sz w:val="20"/>
          <w:szCs w:val="20"/>
          <w:lang w:val="es-ES_tradnl"/>
        </w:rPr>
        <w:t>Los requisitos habilitantes establecidos en el artículo 5, numeral 1, de la Ley 1150 de 2007 son de carácter enunciativos y no taxativos. Esta interpretación legal se resume en los siguientes argumentos: Esta norma no contiene una expresión como “únicamente” o “solo”, al referirse a los requisitos habilitantes y, además, debido a que la lectura integral de las normas que regulan la contratación estatal permite concluir que existen otras condiciones que deben cumplirse para la contratación con una entidad pública, como pasa, por ejemplo, con la capacidad residual a la que se refiere el artículo 6º, parágrafo 1, de la Ley 1150 de 2007.</w:t>
      </w:r>
    </w:p>
    <w:p w14:paraId="2F6541D2" w14:textId="77777777" w:rsidR="003462AC" w:rsidRPr="003462AC" w:rsidRDefault="003462AC" w:rsidP="003462AC">
      <w:pPr>
        <w:spacing w:after="0" w:line="240" w:lineRule="auto"/>
        <w:jc w:val="both"/>
        <w:rPr>
          <w:rFonts w:ascii="Verdana" w:eastAsia="Calibri" w:hAnsi="Verdana" w:cs="Arial"/>
          <w:color w:val="000000" w:themeColor="text1"/>
          <w:sz w:val="20"/>
          <w:szCs w:val="20"/>
          <w:lang w:val="es-ES_tradnl"/>
        </w:rPr>
      </w:pPr>
    </w:p>
    <w:p w14:paraId="5FBE3105" w14:textId="6606D6A4" w:rsidR="003462AC" w:rsidRPr="003462AC" w:rsidRDefault="003462AC" w:rsidP="003462AC">
      <w:pPr>
        <w:spacing w:after="0" w:line="240" w:lineRule="auto"/>
        <w:jc w:val="both"/>
        <w:rPr>
          <w:rFonts w:ascii="Verdana" w:eastAsia="Calibri" w:hAnsi="Verdana" w:cs="Arial"/>
          <w:color w:val="000000" w:themeColor="text1"/>
          <w:sz w:val="20"/>
          <w:szCs w:val="20"/>
          <w:lang w:val="es-ES_tradnl"/>
        </w:rPr>
      </w:pPr>
      <w:r w:rsidRPr="003462AC">
        <w:rPr>
          <w:rFonts w:ascii="Verdana" w:eastAsia="Calibri" w:hAnsi="Verdana" w:cs="Arial"/>
          <w:color w:val="000000" w:themeColor="text1"/>
          <w:sz w:val="20"/>
          <w:szCs w:val="20"/>
          <w:lang w:val="es-ES_tradnl"/>
        </w:rPr>
        <w:t xml:space="preserve">Además, la intención del legislador, de la cual dan cuenta los antecedentes legislativos de la norma sub examine, también justifica la interpretación propuesta por esta Agencia, ya que fue hasta el cuarto debate legislativo en donde se incluyó parágrafo 2 del mismo artículo 5 de la Ley 1150 de 2007, lo que deja ver la necesidad que tenía el Congreso de aclarar que unos documentos no podrían ser tenidos como requisitos habilitantes, lo que asimismo evidencia el reconocimiento tácito de la existencia de otros requisitos habilitantes, distintos a los cuatro que establece el artículo 5, numeral 1, de la Ley 1150 de 2007. </w:t>
      </w:r>
    </w:p>
    <w:p w14:paraId="0063EBDA" w14:textId="77777777" w:rsidR="003462AC" w:rsidRPr="003462AC" w:rsidRDefault="003462AC" w:rsidP="003462AC">
      <w:pPr>
        <w:spacing w:after="0" w:line="240" w:lineRule="auto"/>
        <w:jc w:val="both"/>
        <w:rPr>
          <w:rFonts w:ascii="Verdana" w:eastAsia="Calibri" w:hAnsi="Verdana" w:cs="Arial"/>
          <w:b/>
          <w:bCs/>
          <w:lang w:val="es-ES" w:eastAsia="es-ES"/>
        </w:rPr>
      </w:pPr>
    </w:p>
    <w:p w14:paraId="5E584124" w14:textId="169BF2A1" w:rsidR="003462AC" w:rsidRPr="003462AC" w:rsidRDefault="003462AC" w:rsidP="003462AC">
      <w:pPr>
        <w:spacing w:after="0" w:line="240" w:lineRule="auto"/>
        <w:jc w:val="both"/>
        <w:rPr>
          <w:rFonts w:ascii="Verdana" w:eastAsia="Calibri" w:hAnsi="Verdana" w:cs="Arial"/>
          <w:b/>
          <w:bCs/>
          <w:lang w:val="es-ES" w:eastAsia="es-ES"/>
        </w:rPr>
      </w:pPr>
      <w:r w:rsidRPr="003462AC">
        <w:rPr>
          <w:rFonts w:ascii="Verdana" w:eastAsia="Calibri" w:hAnsi="Verdana" w:cs="Arial"/>
          <w:b/>
          <w:bCs/>
          <w:lang w:val="es-ES" w:eastAsia="es-ES"/>
        </w:rPr>
        <w:t xml:space="preserve">SIGEP – Formato hoja de vida – Decreto 1083 de 2015 artículo </w:t>
      </w:r>
      <w:r w:rsidRPr="003462AC">
        <w:rPr>
          <w:rFonts w:ascii="Verdana" w:eastAsia="Calibri" w:hAnsi="Verdana" w:cs="Arial"/>
          <w:b/>
          <w:bCs/>
          <w:color w:val="000000" w:themeColor="text1"/>
        </w:rPr>
        <w:t>2.2.17.10</w:t>
      </w:r>
    </w:p>
    <w:p w14:paraId="017975C0" w14:textId="77777777" w:rsidR="00F279DD" w:rsidRDefault="00F279DD" w:rsidP="003462AC">
      <w:pPr>
        <w:spacing w:after="0" w:line="240" w:lineRule="auto"/>
        <w:rPr>
          <w:rFonts w:ascii="Verdana" w:eastAsia="Geomanist Light" w:hAnsi="Verdana" w:cs="Arial"/>
          <w:color w:val="000000" w:themeColor="text1"/>
          <w:lang w:val="es-MX"/>
        </w:rPr>
      </w:pPr>
    </w:p>
    <w:p w14:paraId="3771B39B" w14:textId="33B6B23D" w:rsidR="003462AC" w:rsidRPr="003462AC" w:rsidRDefault="003462AC" w:rsidP="003462AC">
      <w:pPr>
        <w:spacing w:after="0" w:line="240" w:lineRule="auto"/>
        <w:jc w:val="both"/>
        <w:rPr>
          <w:rFonts w:ascii="Verdana" w:eastAsia="Calibri" w:hAnsi="Verdana" w:cs="Arial"/>
          <w:color w:val="000000" w:themeColor="text1"/>
          <w:sz w:val="20"/>
          <w:szCs w:val="20"/>
        </w:rPr>
      </w:pPr>
      <w:r w:rsidRPr="003462AC">
        <w:rPr>
          <w:rFonts w:ascii="Verdana" w:eastAsia="Calibri" w:hAnsi="Verdana" w:cs="Arial"/>
          <w:color w:val="000000" w:themeColor="text1"/>
          <w:sz w:val="20"/>
          <w:szCs w:val="20"/>
        </w:rPr>
        <w:t xml:space="preserve">El Decreto 1083 de 2015 en su artículo 2.2.17.10, </w:t>
      </w:r>
      <w:r w:rsidRPr="003462AC">
        <w:rPr>
          <w:rFonts w:ascii="Verdana" w:eastAsia="Calibri" w:hAnsi="Verdana" w:cs="Arial"/>
          <w:color w:val="000000" w:themeColor="text1"/>
          <w:sz w:val="20"/>
          <w:szCs w:val="20"/>
          <w:lang w:val="es-ES"/>
        </w:rPr>
        <w:t xml:space="preserve">establece que antes de suscribir un contrato de prestación de servicios con una entidad estatal, los contratistas deben diligenciar el Formato Único de Hoja de Vida en el SIGEP (Sistema de Información y </w:t>
      </w:r>
      <w:r w:rsidRPr="003462AC">
        <w:rPr>
          <w:rFonts w:ascii="Verdana" w:eastAsia="Calibri" w:hAnsi="Verdana" w:cs="Arial"/>
          <w:color w:val="000000" w:themeColor="text1"/>
          <w:sz w:val="20"/>
          <w:szCs w:val="20"/>
          <w:lang w:val="es-ES"/>
        </w:rPr>
        <w:lastRenderedPageBreak/>
        <w:t>Gestión del Empleo Público) incluyendo el registro detallado de la formación académica, como el título de bachiller, y la carga de los soportes correspondientes. Esta obligación se encuentra respaldada en la Ley 190 de 1995, que en su artículo 1 establece la obligatoriedad de presentar el Formato Único de Hoja de Vida para quienes aspiren a ocupar un cargo público o suscribir un contrato con la administración, así como en los conceptos 102951 de 2021 y 59331 de 2019 del Departamento Administrativo de la Función Pública, los cuales aclaran que el diligenciamiento de este formato es un requisito previo indispensable para la vinculación contractual o posesión en un cargo público. Asimismo, los instructivos oficiales del SIGEP detallan el procedimiento para la actualización de la hoja de vida y la carga de documentos que soportan la información registrada, lo que garantiza la transparencia y veracidad de los datos suministrados.</w:t>
      </w:r>
    </w:p>
    <w:p w14:paraId="417E01DD" w14:textId="77777777" w:rsidR="00F279DD" w:rsidRPr="003462AC" w:rsidRDefault="00F279DD" w:rsidP="003462AC">
      <w:pPr>
        <w:spacing w:after="0" w:line="240" w:lineRule="auto"/>
        <w:rPr>
          <w:rFonts w:ascii="Verdana" w:eastAsia="Geomanist Light" w:hAnsi="Verdana" w:cs="Arial"/>
          <w:color w:val="000000" w:themeColor="text1"/>
          <w:sz w:val="20"/>
          <w:szCs w:val="20"/>
          <w:lang w:val="es-MX"/>
        </w:rPr>
      </w:pPr>
    </w:p>
    <w:p w14:paraId="7CFA6885" w14:textId="77777777" w:rsidR="00F279DD" w:rsidRPr="003462AC" w:rsidRDefault="00F279DD" w:rsidP="00344034">
      <w:pPr>
        <w:spacing w:after="0" w:line="240" w:lineRule="auto"/>
        <w:rPr>
          <w:rFonts w:ascii="Verdana" w:eastAsia="Geomanist Light" w:hAnsi="Verdana" w:cs="Arial"/>
          <w:color w:val="000000" w:themeColor="text1"/>
          <w:sz w:val="20"/>
          <w:szCs w:val="20"/>
          <w:lang w:val="es-MX"/>
        </w:rPr>
      </w:pPr>
    </w:p>
    <w:p w14:paraId="6FD7A92F" w14:textId="77777777" w:rsidR="00F279DD" w:rsidRPr="003462AC" w:rsidRDefault="00F279DD" w:rsidP="00344034">
      <w:pPr>
        <w:spacing w:after="0" w:line="240" w:lineRule="auto"/>
        <w:rPr>
          <w:rFonts w:ascii="Verdana" w:eastAsia="Geomanist Light" w:hAnsi="Verdana" w:cs="Arial"/>
          <w:color w:val="000000" w:themeColor="text1"/>
          <w:sz w:val="20"/>
          <w:szCs w:val="20"/>
          <w:lang w:val="es-MX"/>
        </w:rPr>
      </w:pPr>
    </w:p>
    <w:p w14:paraId="06B32CA8" w14:textId="77777777" w:rsidR="00F279DD" w:rsidRDefault="00F279DD" w:rsidP="00344034">
      <w:pPr>
        <w:spacing w:after="0" w:line="240" w:lineRule="auto"/>
        <w:rPr>
          <w:rFonts w:ascii="Verdana" w:eastAsia="Geomanist Light" w:hAnsi="Verdana" w:cs="Arial"/>
          <w:color w:val="000000" w:themeColor="text1"/>
          <w:lang w:val="es-MX"/>
        </w:rPr>
      </w:pPr>
    </w:p>
    <w:p w14:paraId="72A2F78C" w14:textId="77777777" w:rsidR="00F279DD" w:rsidRDefault="00F279DD" w:rsidP="00344034">
      <w:pPr>
        <w:spacing w:after="0" w:line="240" w:lineRule="auto"/>
        <w:rPr>
          <w:rFonts w:ascii="Verdana" w:eastAsia="Geomanist Light" w:hAnsi="Verdana" w:cs="Arial"/>
          <w:color w:val="000000" w:themeColor="text1"/>
          <w:lang w:val="es-MX"/>
        </w:rPr>
      </w:pPr>
    </w:p>
    <w:p w14:paraId="19CADA16" w14:textId="77777777" w:rsidR="00F279DD" w:rsidRDefault="00F279DD" w:rsidP="00344034">
      <w:pPr>
        <w:spacing w:after="0" w:line="240" w:lineRule="auto"/>
        <w:rPr>
          <w:rFonts w:ascii="Verdana" w:eastAsia="Geomanist Light" w:hAnsi="Verdana" w:cs="Arial"/>
          <w:color w:val="000000" w:themeColor="text1"/>
          <w:lang w:val="es-MX"/>
        </w:rPr>
      </w:pPr>
    </w:p>
    <w:p w14:paraId="7B3E8066" w14:textId="77777777" w:rsidR="00F279DD" w:rsidRDefault="00F279DD" w:rsidP="00344034">
      <w:pPr>
        <w:spacing w:after="0" w:line="240" w:lineRule="auto"/>
        <w:rPr>
          <w:rFonts w:ascii="Verdana" w:eastAsia="Geomanist Light" w:hAnsi="Verdana" w:cs="Arial"/>
          <w:color w:val="000000" w:themeColor="text1"/>
          <w:lang w:val="es-MX"/>
        </w:rPr>
      </w:pPr>
    </w:p>
    <w:p w14:paraId="0CEB9B93" w14:textId="77777777" w:rsidR="00F279DD" w:rsidRDefault="00F279DD" w:rsidP="00344034">
      <w:pPr>
        <w:spacing w:after="0" w:line="240" w:lineRule="auto"/>
        <w:rPr>
          <w:rFonts w:ascii="Verdana" w:eastAsia="Geomanist Light" w:hAnsi="Verdana" w:cs="Arial"/>
          <w:color w:val="000000" w:themeColor="text1"/>
          <w:lang w:val="es-MX"/>
        </w:rPr>
      </w:pPr>
    </w:p>
    <w:p w14:paraId="5C719047" w14:textId="77777777" w:rsidR="00F279DD" w:rsidRDefault="00F279DD" w:rsidP="00344034">
      <w:pPr>
        <w:spacing w:after="0" w:line="240" w:lineRule="auto"/>
        <w:rPr>
          <w:rFonts w:ascii="Verdana" w:eastAsia="Geomanist Light" w:hAnsi="Verdana" w:cs="Arial"/>
          <w:color w:val="000000" w:themeColor="text1"/>
          <w:lang w:val="es-MX"/>
        </w:rPr>
      </w:pPr>
    </w:p>
    <w:p w14:paraId="4B79343D" w14:textId="77777777" w:rsidR="00F279DD" w:rsidRDefault="00F279DD" w:rsidP="00344034">
      <w:pPr>
        <w:spacing w:after="0" w:line="240" w:lineRule="auto"/>
        <w:rPr>
          <w:rFonts w:ascii="Verdana" w:eastAsia="Geomanist Light" w:hAnsi="Verdana" w:cs="Arial"/>
          <w:color w:val="000000" w:themeColor="text1"/>
          <w:lang w:val="es-MX"/>
        </w:rPr>
      </w:pPr>
    </w:p>
    <w:p w14:paraId="0F1D1D6A" w14:textId="77777777" w:rsidR="00E04410" w:rsidRDefault="00E04410" w:rsidP="007C7375">
      <w:pPr>
        <w:spacing w:after="0" w:line="240" w:lineRule="auto"/>
        <w:rPr>
          <w:rFonts w:ascii="Verdana" w:hAnsi="Verdana"/>
        </w:rPr>
      </w:pPr>
    </w:p>
    <w:p w14:paraId="306ACD11" w14:textId="77777777" w:rsidR="00E04410" w:rsidRDefault="00E04410" w:rsidP="007C7375">
      <w:pPr>
        <w:spacing w:after="0" w:line="240" w:lineRule="auto"/>
        <w:rPr>
          <w:rFonts w:ascii="Verdana" w:hAnsi="Verdana"/>
        </w:rPr>
      </w:pPr>
    </w:p>
    <w:p w14:paraId="07E97A8B" w14:textId="77777777" w:rsidR="00E04410" w:rsidRDefault="00E04410" w:rsidP="007C7375">
      <w:pPr>
        <w:spacing w:after="0" w:line="240" w:lineRule="auto"/>
        <w:rPr>
          <w:rFonts w:ascii="Verdana" w:hAnsi="Verdana"/>
        </w:rPr>
      </w:pPr>
    </w:p>
    <w:p w14:paraId="0D87A337" w14:textId="77777777" w:rsidR="00E04410" w:rsidRDefault="00E04410" w:rsidP="007C7375">
      <w:pPr>
        <w:spacing w:after="0" w:line="240" w:lineRule="auto"/>
        <w:rPr>
          <w:rFonts w:ascii="Verdana" w:hAnsi="Verdana"/>
        </w:rPr>
      </w:pPr>
    </w:p>
    <w:p w14:paraId="6FE544B0" w14:textId="77777777" w:rsidR="00E04410" w:rsidRDefault="00E04410" w:rsidP="007C7375">
      <w:pPr>
        <w:spacing w:after="0" w:line="240" w:lineRule="auto"/>
        <w:rPr>
          <w:rFonts w:ascii="Verdana" w:hAnsi="Verdana"/>
        </w:rPr>
      </w:pPr>
    </w:p>
    <w:p w14:paraId="27F0DC31" w14:textId="77777777" w:rsidR="00E04410" w:rsidRDefault="00E04410" w:rsidP="007C7375">
      <w:pPr>
        <w:spacing w:after="0" w:line="240" w:lineRule="auto"/>
        <w:rPr>
          <w:rFonts w:ascii="Verdana" w:hAnsi="Verdana"/>
        </w:rPr>
      </w:pPr>
    </w:p>
    <w:p w14:paraId="42A055E1" w14:textId="77777777" w:rsidR="00E04410" w:rsidRDefault="00E04410" w:rsidP="007C7375">
      <w:pPr>
        <w:spacing w:after="0" w:line="240" w:lineRule="auto"/>
        <w:rPr>
          <w:rFonts w:ascii="Verdana" w:hAnsi="Verdana"/>
        </w:rPr>
      </w:pPr>
    </w:p>
    <w:p w14:paraId="001773D8" w14:textId="77777777" w:rsidR="00E04410" w:rsidRDefault="00E04410" w:rsidP="007C7375">
      <w:pPr>
        <w:spacing w:after="0" w:line="240" w:lineRule="auto"/>
        <w:rPr>
          <w:rFonts w:ascii="Verdana" w:hAnsi="Verdana"/>
        </w:rPr>
      </w:pPr>
    </w:p>
    <w:p w14:paraId="5AAE6A5A" w14:textId="77777777" w:rsidR="00E04410" w:rsidRDefault="00E04410" w:rsidP="007C7375">
      <w:pPr>
        <w:spacing w:after="0" w:line="240" w:lineRule="auto"/>
        <w:rPr>
          <w:rFonts w:ascii="Verdana" w:hAnsi="Verdana"/>
        </w:rPr>
      </w:pPr>
    </w:p>
    <w:p w14:paraId="6D7285DB" w14:textId="77777777" w:rsidR="00E04410" w:rsidRDefault="00E04410" w:rsidP="007C7375">
      <w:pPr>
        <w:spacing w:after="0" w:line="240" w:lineRule="auto"/>
        <w:rPr>
          <w:rFonts w:ascii="Verdana" w:hAnsi="Verdana"/>
        </w:rPr>
      </w:pPr>
    </w:p>
    <w:p w14:paraId="7CB9F28D" w14:textId="77777777" w:rsidR="00E04410" w:rsidRDefault="00E04410" w:rsidP="007C7375">
      <w:pPr>
        <w:spacing w:after="0" w:line="240" w:lineRule="auto"/>
        <w:rPr>
          <w:rFonts w:ascii="Verdana" w:hAnsi="Verdana"/>
        </w:rPr>
      </w:pPr>
    </w:p>
    <w:p w14:paraId="49C1D58D" w14:textId="77777777" w:rsidR="00E04410" w:rsidRDefault="00E04410" w:rsidP="007C7375">
      <w:pPr>
        <w:spacing w:after="0" w:line="240" w:lineRule="auto"/>
        <w:rPr>
          <w:rFonts w:ascii="Verdana" w:hAnsi="Verdana"/>
        </w:rPr>
      </w:pPr>
    </w:p>
    <w:p w14:paraId="6FA4C8C9" w14:textId="77777777" w:rsidR="00E04410" w:rsidRDefault="00E04410" w:rsidP="007C7375">
      <w:pPr>
        <w:spacing w:after="0" w:line="240" w:lineRule="auto"/>
        <w:rPr>
          <w:rFonts w:ascii="Verdana" w:hAnsi="Verdana"/>
        </w:rPr>
      </w:pPr>
    </w:p>
    <w:p w14:paraId="64E4AF99" w14:textId="77777777" w:rsidR="00E04410" w:rsidRDefault="00E04410" w:rsidP="007C7375">
      <w:pPr>
        <w:spacing w:after="0" w:line="240" w:lineRule="auto"/>
        <w:rPr>
          <w:rFonts w:ascii="Verdana" w:hAnsi="Verdana"/>
        </w:rPr>
      </w:pPr>
    </w:p>
    <w:p w14:paraId="66AE38A7" w14:textId="77777777" w:rsidR="00E04410" w:rsidRDefault="00E04410" w:rsidP="007C7375">
      <w:pPr>
        <w:spacing w:after="0" w:line="240" w:lineRule="auto"/>
        <w:rPr>
          <w:rFonts w:ascii="Verdana" w:hAnsi="Verdana"/>
        </w:rPr>
      </w:pPr>
    </w:p>
    <w:p w14:paraId="1E4FF8E0" w14:textId="77777777" w:rsidR="00E04410" w:rsidRDefault="00E04410" w:rsidP="007C7375">
      <w:pPr>
        <w:spacing w:after="0" w:line="240" w:lineRule="auto"/>
        <w:rPr>
          <w:rFonts w:ascii="Verdana" w:hAnsi="Verdana"/>
        </w:rPr>
      </w:pPr>
    </w:p>
    <w:p w14:paraId="37F308FF" w14:textId="77777777" w:rsidR="00E04410" w:rsidRDefault="00E04410" w:rsidP="007C7375">
      <w:pPr>
        <w:spacing w:after="0" w:line="240" w:lineRule="auto"/>
        <w:rPr>
          <w:rFonts w:ascii="Verdana" w:hAnsi="Verdana"/>
        </w:rPr>
      </w:pPr>
    </w:p>
    <w:p w14:paraId="6454EB86" w14:textId="77777777" w:rsidR="00E04410" w:rsidRDefault="00E04410" w:rsidP="007C7375">
      <w:pPr>
        <w:spacing w:after="0" w:line="240" w:lineRule="auto"/>
        <w:rPr>
          <w:rFonts w:ascii="Verdana" w:hAnsi="Verdana"/>
        </w:rPr>
      </w:pPr>
    </w:p>
    <w:p w14:paraId="2A232720" w14:textId="77777777" w:rsidR="00E04410" w:rsidRDefault="00E04410" w:rsidP="007C7375">
      <w:pPr>
        <w:spacing w:after="0" w:line="240" w:lineRule="auto"/>
        <w:rPr>
          <w:rFonts w:ascii="Verdana" w:hAnsi="Verdana"/>
        </w:rPr>
      </w:pPr>
    </w:p>
    <w:p w14:paraId="304DA3B5" w14:textId="77777777" w:rsidR="00E04410" w:rsidRDefault="00E04410" w:rsidP="007C7375">
      <w:pPr>
        <w:spacing w:after="0" w:line="240" w:lineRule="auto"/>
        <w:rPr>
          <w:rFonts w:ascii="Verdana" w:hAnsi="Verdana"/>
        </w:rPr>
      </w:pPr>
    </w:p>
    <w:p w14:paraId="40C041DA" w14:textId="77777777" w:rsidR="00E04410" w:rsidRDefault="00E04410" w:rsidP="007C7375">
      <w:pPr>
        <w:spacing w:after="0" w:line="240" w:lineRule="auto"/>
        <w:rPr>
          <w:rFonts w:ascii="Verdana" w:hAnsi="Verdana"/>
        </w:rPr>
      </w:pPr>
    </w:p>
    <w:p w14:paraId="00AA7770" w14:textId="77777777" w:rsidR="00E04410" w:rsidRDefault="00E04410" w:rsidP="007C7375">
      <w:pPr>
        <w:spacing w:after="0" w:line="240" w:lineRule="auto"/>
        <w:rPr>
          <w:rFonts w:ascii="Verdana" w:hAnsi="Verdana"/>
        </w:rPr>
      </w:pPr>
    </w:p>
    <w:p w14:paraId="7FE620C7" w14:textId="77777777" w:rsidR="00E04410" w:rsidRDefault="00E04410" w:rsidP="007C7375">
      <w:pPr>
        <w:spacing w:after="0" w:line="240" w:lineRule="auto"/>
        <w:rPr>
          <w:rFonts w:ascii="Verdana" w:hAnsi="Verdana"/>
        </w:rPr>
      </w:pPr>
    </w:p>
    <w:p w14:paraId="0680EFE8" w14:textId="77777777" w:rsidR="00E04410" w:rsidRDefault="00E04410" w:rsidP="007C7375">
      <w:pPr>
        <w:spacing w:after="0" w:line="240" w:lineRule="auto"/>
        <w:rPr>
          <w:rFonts w:ascii="Verdana" w:hAnsi="Verdana"/>
        </w:rPr>
      </w:pPr>
    </w:p>
    <w:p w14:paraId="7C84195D" w14:textId="111722D7" w:rsidR="007C7375" w:rsidRPr="00BB38C0" w:rsidRDefault="007C7375" w:rsidP="007C7375">
      <w:pPr>
        <w:spacing w:after="0" w:line="240" w:lineRule="auto"/>
        <w:rPr>
          <w:rFonts w:ascii="Verdana" w:eastAsia="Geomanist Light" w:hAnsi="Verdana" w:cs="Arial"/>
          <w:color w:val="201F1E"/>
          <w:lang w:val="es-MX"/>
        </w:rPr>
      </w:pPr>
      <w:r w:rsidRPr="00A7080B">
        <w:rPr>
          <w:rFonts w:ascii="Verdana" w:hAnsi="Verdana"/>
        </w:rPr>
        <w:lastRenderedPageBreak/>
        <w:t xml:space="preserve">Bogotá D.C., </w:t>
      </w:r>
      <w:r w:rsidR="00E04410">
        <w:rPr>
          <w:rFonts w:ascii="Verdana" w:eastAsia="Geomanist Light" w:hAnsi="Verdana" w:cs="Arial"/>
          <w:color w:val="201F1E"/>
          <w:lang w:val="es-MX"/>
        </w:rPr>
        <w:t>20 de octubre de 2025</w:t>
      </w:r>
    </w:p>
    <w:p w14:paraId="72CDF686" w14:textId="757B7909" w:rsidR="007C7375" w:rsidRDefault="007C7375" w:rsidP="007C7375">
      <w:pPr>
        <w:spacing w:after="0" w:line="240" w:lineRule="auto"/>
        <w:jc w:val="both"/>
        <w:rPr>
          <w:rFonts w:ascii="Verdana" w:eastAsia="Calibri" w:hAnsi="Verdana" w:cs="Arial"/>
          <w:color w:val="000000" w:themeColor="text1"/>
          <w:lang w:val="es-ES" w:eastAsia="es-ES"/>
        </w:rPr>
      </w:pPr>
    </w:p>
    <w:p w14:paraId="05C7B235" w14:textId="78E0BB6A" w:rsidR="00E04410" w:rsidRDefault="00E04410" w:rsidP="009005EC">
      <w:pPr>
        <w:spacing w:after="0" w:line="240" w:lineRule="auto"/>
        <w:jc w:val="right"/>
        <w:rPr>
          <w:rFonts w:ascii="Verdana" w:eastAsia="Calibri" w:hAnsi="Verdana" w:cs="Arial"/>
          <w:color w:val="000000" w:themeColor="text1"/>
          <w:lang w:val="es-ES" w:eastAsia="es-ES"/>
        </w:rPr>
      </w:pPr>
    </w:p>
    <w:p w14:paraId="19F82B70" w14:textId="1CDF50F3" w:rsidR="007C7375" w:rsidRPr="00115E3D" w:rsidRDefault="00126DDD" w:rsidP="007C7375">
      <w:pPr>
        <w:spacing w:after="0" w:line="240" w:lineRule="auto"/>
        <w:jc w:val="both"/>
        <w:rPr>
          <w:rFonts w:ascii="Verdana" w:eastAsia="Calibri" w:hAnsi="Verdana" w:cs="Arial"/>
          <w:color w:val="000000" w:themeColor="text1"/>
          <w:lang w:val="es-ES" w:eastAsia="es-ES"/>
        </w:rPr>
      </w:pPr>
      <w:r w:rsidRPr="009005EC">
        <w:rPr>
          <w:rFonts w:ascii="Verdana" w:eastAsia="Calibri" w:hAnsi="Verdana" w:cs="Arial"/>
          <w:noProof/>
          <w:color w:val="000000" w:themeColor="text1"/>
          <w:lang w:val="es-ES" w:eastAsia="es-ES"/>
        </w:rPr>
        <w:drawing>
          <wp:anchor distT="0" distB="0" distL="114300" distR="114300" simplePos="0" relativeHeight="251659264" behindDoc="0" locked="0" layoutInCell="1" allowOverlap="1" wp14:anchorId="7F114894" wp14:editId="3E3130E7">
            <wp:simplePos x="0" y="0"/>
            <wp:positionH relativeFrom="margin">
              <wp:align>right</wp:align>
            </wp:positionH>
            <wp:positionV relativeFrom="paragraph">
              <wp:posOffset>6350</wp:posOffset>
            </wp:positionV>
            <wp:extent cx="2752090" cy="883920"/>
            <wp:effectExtent l="0" t="0" r="0" b="0"/>
            <wp:wrapSquare wrapText="bothSides"/>
            <wp:docPr id="39835937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52090" cy="883920"/>
                    </a:xfrm>
                    <a:prstGeom prst="rect">
                      <a:avLst/>
                    </a:prstGeom>
                    <a:noFill/>
                    <a:ln>
                      <a:noFill/>
                    </a:ln>
                  </pic:spPr>
                </pic:pic>
              </a:graphicData>
            </a:graphic>
            <wp14:sizeRelH relativeFrom="margin">
              <wp14:pctWidth>0</wp14:pctWidth>
            </wp14:sizeRelH>
          </wp:anchor>
        </w:drawing>
      </w:r>
      <w:r w:rsidR="007C7375" w:rsidRPr="00115E3D">
        <w:rPr>
          <w:rFonts w:ascii="Verdana" w:eastAsia="Calibri" w:hAnsi="Verdana" w:cs="Arial"/>
          <w:color w:val="000000" w:themeColor="text1"/>
          <w:lang w:val="es-ES" w:eastAsia="es-ES"/>
        </w:rPr>
        <w:t>Señor</w:t>
      </w:r>
      <w:r w:rsidR="007C7375">
        <w:rPr>
          <w:rFonts w:ascii="Verdana" w:eastAsia="Calibri" w:hAnsi="Verdana" w:cs="Arial"/>
          <w:color w:val="000000" w:themeColor="text1"/>
          <w:lang w:val="es-ES" w:eastAsia="es-ES"/>
        </w:rPr>
        <w:t>a</w:t>
      </w:r>
    </w:p>
    <w:p w14:paraId="60A7390F" w14:textId="77777777" w:rsidR="007C7375" w:rsidRDefault="007C7375" w:rsidP="007C7375">
      <w:pPr>
        <w:spacing w:after="0" w:line="240" w:lineRule="auto"/>
        <w:rPr>
          <w:rFonts w:ascii="Verdana" w:eastAsia="Calibri" w:hAnsi="Verdana" w:cs="Arial"/>
          <w:b/>
          <w:color w:val="000000" w:themeColor="text1"/>
          <w:lang w:val="es-ES_tradnl" w:eastAsia="es-ES_tradnl"/>
        </w:rPr>
      </w:pPr>
      <w:r>
        <w:rPr>
          <w:rFonts w:ascii="Verdana" w:eastAsia="Calibri" w:hAnsi="Verdana" w:cs="Arial"/>
          <w:b/>
          <w:color w:val="000000" w:themeColor="text1"/>
          <w:lang w:val="es-ES_tradnl" w:eastAsia="es-ES_tradnl"/>
        </w:rPr>
        <w:t>Diana Milena Salas Leal</w:t>
      </w:r>
    </w:p>
    <w:p w14:paraId="0A44D855" w14:textId="77777777" w:rsidR="007C7375" w:rsidRDefault="007C7375" w:rsidP="007C7375">
      <w:pPr>
        <w:spacing w:after="0" w:line="240" w:lineRule="auto"/>
        <w:rPr>
          <w:rFonts w:ascii="Verdana" w:eastAsia="Calibri" w:hAnsi="Verdana" w:cs="Arial"/>
          <w:b/>
          <w:color w:val="000000" w:themeColor="text1"/>
          <w:lang w:val="es-ES_tradnl" w:eastAsia="es-ES_tradnl"/>
        </w:rPr>
      </w:pPr>
      <w:r>
        <w:rPr>
          <w:rFonts w:ascii="Verdana" w:eastAsia="Calibri" w:hAnsi="Verdana" w:cs="Arial"/>
          <w:b/>
          <w:color w:val="000000" w:themeColor="text1"/>
          <w:lang w:val="es-ES_tradnl" w:eastAsia="es-ES_tradnl"/>
        </w:rPr>
        <w:t xml:space="preserve">Asesora Jurídica </w:t>
      </w:r>
    </w:p>
    <w:p w14:paraId="0E2BED3A" w14:textId="77777777" w:rsidR="007C7375" w:rsidRDefault="007C7375" w:rsidP="007C7375">
      <w:pPr>
        <w:spacing w:after="0" w:line="240" w:lineRule="auto"/>
        <w:rPr>
          <w:rFonts w:ascii="Verdana" w:eastAsia="Calibri" w:hAnsi="Verdana" w:cs="Arial"/>
          <w:b/>
          <w:color w:val="000000" w:themeColor="text1"/>
          <w:lang w:val="es-ES_tradnl" w:eastAsia="es-ES_tradnl"/>
        </w:rPr>
      </w:pPr>
      <w:r>
        <w:rPr>
          <w:rFonts w:ascii="Verdana" w:eastAsia="Calibri" w:hAnsi="Verdana" w:cs="Arial"/>
          <w:b/>
          <w:color w:val="000000" w:themeColor="text1"/>
          <w:lang w:val="es-ES_tradnl" w:eastAsia="es-ES_tradnl"/>
        </w:rPr>
        <w:t xml:space="preserve">Universidad de los Llanos </w:t>
      </w:r>
    </w:p>
    <w:p w14:paraId="46389453" w14:textId="77777777" w:rsidR="007C7375" w:rsidRPr="00CD000A" w:rsidRDefault="007C7375" w:rsidP="007C7375">
      <w:pPr>
        <w:spacing w:after="0" w:line="240" w:lineRule="auto"/>
        <w:rPr>
          <w:rFonts w:ascii="Verdana" w:hAnsi="Verdana"/>
        </w:rPr>
      </w:pPr>
      <w:hyperlink r:id="rId12" w:history="1">
        <w:r w:rsidRPr="00CD000A">
          <w:rPr>
            <w:rStyle w:val="Hipervnculo"/>
            <w:rFonts w:ascii="Verdana" w:hAnsi="Verdana"/>
          </w:rPr>
          <w:t>contratacioncps@unillanos.edu.co</w:t>
        </w:r>
      </w:hyperlink>
      <w:r w:rsidRPr="00CD000A">
        <w:rPr>
          <w:rFonts w:ascii="Verdana" w:hAnsi="Verdana"/>
        </w:rPr>
        <w:t xml:space="preserve"> </w:t>
      </w:r>
    </w:p>
    <w:p w14:paraId="039F0E38" w14:textId="77777777" w:rsidR="007C7375" w:rsidRPr="007C6ACB" w:rsidRDefault="007C7375" w:rsidP="007C7375">
      <w:pPr>
        <w:spacing w:after="0" w:line="240" w:lineRule="auto"/>
        <w:rPr>
          <w:rFonts w:ascii="Verdana" w:eastAsia="Calibri" w:hAnsi="Verdana" w:cs="Arial"/>
          <w:b/>
          <w:bCs/>
          <w:color w:val="000000" w:themeColor="text1"/>
          <w:lang w:val="en-US" w:eastAsia="es-ES"/>
        </w:rPr>
      </w:pPr>
      <w:r>
        <w:rPr>
          <w:rFonts w:ascii="Verdana" w:eastAsia="Calibri" w:hAnsi="Verdana" w:cs="Arial"/>
          <w:color w:val="000000" w:themeColor="text1"/>
          <w:lang w:val="en-US" w:eastAsia="es-ES"/>
        </w:rPr>
        <w:t>Ciudad</w:t>
      </w:r>
    </w:p>
    <w:p w14:paraId="07F13A90" w14:textId="77777777" w:rsidR="007C7375" w:rsidRPr="007C6ACB" w:rsidRDefault="007C7375" w:rsidP="007C7375">
      <w:pPr>
        <w:spacing w:after="0" w:line="240" w:lineRule="auto"/>
        <w:rPr>
          <w:rFonts w:ascii="Verdana" w:eastAsia="Calibri" w:hAnsi="Verdana" w:cs="Arial"/>
          <w:b/>
          <w:bCs/>
          <w:color w:val="000000" w:themeColor="text1"/>
          <w:lang w:val="en-US" w:eastAsia="es-ES_tradnl"/>
        </w:rPr>
      </w:pPr>
    </w:p>
    <w:p w14:paraId="4C604CFA" w14:textId="77777777" w:rsidR="007C7375" w:rsidRPr="007C6ACB" w:rsidRDefault="007C7375" w:rsidP="007C7375">
      <w:pPr>
        <w:spacing w:after="0" w:line="240" w:lineRule="auto"/>
        <w:rPr>
          <w:rFonts w:ascii="Verdana" w:eastAsia="Calibri" w:hAnsi="Verdana" w:cs="Arial"/>
          <w:b/>
          <w:bCs/>
          <w:color w:val="000000" w:themeColor="text1"/>
          <w:lang w:val="en-U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C7375" w:rsidRPr="00115E3D" w14:paraId="5FB939DF" w14:textId="77777777" w:rsidTr="003E1E0D">
        <w:trPr>
          <w:trHeight w:val="884"/>
        </w:trPr>
        <w:tc>
          <w:tcPr>
            <w:tcW w:w="2689" w:type="dxa"/>
          </w:tcPr>
          <w:p w14:paraId="2575E22C" w14:textId="77777777" w:rsidR="007C7375" w:rsidRPr="007C6ACB" w:rsidRDefault="007C7375" w:rsidP="003E1E0D">
            <w:pPr>
              <w:jc w:val="both"/>
              <w:rPr>
                <w:rFonts w:ascii="Verdana" w:eastAsia="Calibri" w:hAnsi="Verdana" w:cs="Arial"/>
                <w:b/>
                <w:bCs/>
                <w:color w:val="000000" w:themeColor="text1"/>
                <w:lang w:val="en-US" w:eastAsia="es-ES_tradnl"/>
              </w:rPr>
            </w:pPr>
          </w:p>
        </w:tc>
        <w:tc>
          <w:tcPr>
            <w:tcW w:w="6100" w:type="dxa"/>
          </w:tcPr>
          <w:p w14:paraId="3672732C" w14:textId="77777777" w:rsidR="007C7375" w:rsidRPr="00115E3D" w:rsidRDefault="007C7375" w:rsidP="003E1E0D">
            <w:pPr>
              <w:jc w:val="both"/>
              <w:rPr>
                <w:rFonts w:ascii="Verdana" w:eastAsia="Calibri" w:hAnsi="Verdana" w:cs="Arial"/>
                <w:b/>
                <w:bCs/>
                <w:color w:val="000000" w:themeColor="text1"/>
                <w:lang w:val="es-ES" w:eastAsia="es-ES"/>
              </w:rPr>
            </w:pPr>
            <w:r w:rsidRPr="00115E3D">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 xml:space="preserve"> 1307</w:t>
            </w:r>
            <w:r w:rsidRPr="00115E3D">
              <w:rPr>
                <w:rFonts w:ascii="Verdana" w:eastAsia="Calibri" w:hAnsi="Verdana" w:cs="Arial"/>
                <w:b/>
                <w:bCs/>
                <w:color w:val="000000" w:themeColor="text1"/>
                <w:lang w:val="es-ES" w:eastAsia="es-ES"/>
              </w:rPr>
              <w:t xml:space="preserve"> de 202</w:t>
            </w:r>
            <w:r>
              <w:rPr>
                <w:rFonts w:ascii="Verdana" w:eastAsia="Calibri" w:hAnsi="Verdana" w:cs="Arial"/>
                <w:b/>
                <w:bCs/>
                <w:color w:val="000000" w:themeColor="text1"/>
                <w:lang w:val="es-ES" w:eastAsia="es-ES"/>
              </w:rPr>
              <w:t>5</w:t>
            </w:r>
          </w:p>
        </w:tc>
      </w:tr>
      <w:tr w:rsidR="007C7375" w:rsidRPr="00115E3D" w14:paraId="75145F1F" w14:textId="77777777" w:rsidTr="003E1E0D">
        <w:trPr>
          <w:trHeight w:val="884"/>
        </w:trPr>
        <w:tc>
          <w:tcPr>
            <w:tcW w:w="2689" w:type="dxa"/>
          </w:tcPr>
          <w:p w14:paraId="5FEE0683" w14:textId="77777777" w:rsidR="007C7375" w:rsidRPr="00115E3D" w:rsidRDefault="007C7375" w:rsidP="003E1E0D">
            <w:pPr>
              <w:jc w:val="both"/>
              <w:rPr>
                <w:rFonts w:ascii="Verdana" w:eastAsia="Calibri" w:hAnsi="Verdana" w:cs="Arial"/>
                <w:color w:val="000000" w:themeColor="text1"/>
                <w:lang w:val="es-ES_tradnl" w:eastAsia="es-ES_tradnl"/>
              </w:rPr>
            </w:pPr>
            <w:r w:rsidRPr="00115E3D">
              <w:rPr>
                <w:rFonts w:ascii="Verdana" w:eastAsia="Calibri" w:hAnsi="Verdana" w:cs="Arial"/>
                <w:b/>
                <w:color w:val="000000" w:themeColor="text1"/>
                <w:lang w:val="es-ES_tradnl" w:eastAsia="es-ES_tradnl"/>
              </w:rPr>
              <w:t>Temas:</w:t>
            </w:r>
            <w:r w:rsidRPr="00115E3D">
              <w:rPr>
                <w:rFonts w:ascii="Verdana" w:eastAsia="Calibri" w:hAnsi="Verdana" w:cs="Arial"/>
                <w:color w:val="000000" w:themeColor="text1"/>
                <w:lang w:val="es-ES_tradnl" w:eastAsia="es-ES_tradnl"/>
              </w:rPr>
              <w:t xml:space="preserve">                   </w:t>
            </w:r>
          </w:p>
        </w:tc>
        <w:tc>
          <w:tcPr>
            <w:tcW w:w="6100" w:type="dxa"/>
          </w:tcPr>
          <w:p w14:paraId="497CBC03" w14:textId="77777777" w:rsidR="007C7375" w:rsidRDefault="007C7375" w:rsidP="003E1E0D">
            <w:pPr>
              <w:spacing w:line="276" w:lineRule="auto"/>
              <w:jc w:val="both"/>
              <w:rPr>
                <w:rFonts w:ascii="Verdana" w:eastAsia="Calibri" w:hAnsi="Verdana" w:cs="Arial"/>
                <w:lang w:val="es-ES" w:eastAsia="es-ES"/>
              </w:rPr>
            </w:pPr>
            <w:r w:rsidRPr="00DA0133">
              <w:rPr>
                <w:rFonts w:ascii="Verdana" w:eastAsia="Calibri" w:hAnsi="Verdana" w:cs="Arial"/>
                <w:bCs/>
                <w:color w:val="000000" w:themeColor="text1"/>
              </w:rPr>
              <w:t>CONTRATO DE PRESTACIÓN DE SERVICIOS ─ Régimen jurídico - Tipologías /</w:t>
            </w:r>
            <w:r>
              <w:rPr>
                <w:rFonts w:ascii="Verdana" w:eastAsia="Calibri" w:hAnsi="Verdana" w:cs="Arial"/>
                <w:bCs/>
                <w:color w:val="000000" w:themeColor="text1"/>
              </w:rPr>
              <w:t xml:space="preserve"> </w:t>
            </w:r>
            <w:r w:rsidRPr="00EB1CF7">
              <w:rPr>
                <w:rFonts w:ascii="Verdana" w:eastAsia="Calibri" w:hAnsi="Verdana" w:cs="Arial"/>
                <w:lang w:val="es-ES" w:eastAsia="es-ES"/>
              </w:rPr>
              <w:t>REQUISITOS HABILITANTES – Noción /</w:t>
            </w:r>
            <w:r>
              <w:rPr>
                <w:rFonts w:ascii="Verdana" w:eastAsia="Calibri" w:hAnsi="Verdana" w:cs="Arial"/>
                <w:lang w:val="es-ES" w:eastAsia="es-ES"/>
              </w:rPr>
              <w:t xml:space="preserve"> SIGEP </w:t>
            </w:r>
            <w:r w:rsidRPr="00EB1CF7">
              <w:rPr>
                <w:rFonts w:ascii="Verdana" w:eastAsia="Calibri" w:hAnsi="Verdana" w:cs="Arial"/>
                <w:lang w:val="es-ES" w:eastAsia="es-ES"/>
              </w:rPr>
              <w:t xml:space="preserve">– </w:t>
            </w:r>
            <w:r>
              <w:rPr>
                <w:rFonts w:ascii="Verdana" w:eastAsia="Calibri" w:hAnsi="Verdana" w:cs="Arial"/>
                <w:lang w:val="es-ES" w:eastAsia="es-ES"/>
              </w:rPr>
              <w:t xml:space="preserve">Formato hoja de vida </w:t>
            </w:r>
            <w:r w:rsidRPr="00EB1CF7">
              <w:rPr>
                <w:rFonts w:ascii="Verdana" w:eastAsia="Calibri" w:hAnsi="Verdana" w:cs="Arial"/>
                <w:lang w:val="es-ES" w:eastAsia="es-ES"/>
              </w:rPr>
              <w:t>–</w:t>
            </w:r>
            <w:r>
              <w:rPr>
                <w:rFonts w:ascii="Verdana" w:eastAsia="Calibri" w:hAnsi="Verdana" w:cs="Arial"/>
                <w:lang w:val="es-ES" w:eastAsia="es-ES"/>
              </w:rPr>
              <w:t xml:space="preserve"> Decreto 1083 de 2015 artículo </w:t>
            </w:r>
            <w:r>
              <w:rPr>
                <w:rFonts w:ascii="Verdana" w:eastAsia="Calibri" w:hAnsi="Verdana" w:cs="Arial"/>
                <w:color w:val="000000" w:themeColor="text1"/>
              </w:rPr>
              <w:t>2.2.17.10</w:t>
            </w:r>
          </w:p>
          <w:p w14:paraId="5145928F" w14:textId="77777777" w:rsidR="007C7375" w:rsidRPr="00D8372B" w:rsidRDefault="007C7375" w:rsidP="003E1E0D">
            <w:pPr>
              <w:spacing w:line="276" w:lineRule="auto"/>
              <w:jc w:val="both"/>
              <w:rPr>
                <w:rFonts w:ascii="Verdana" w:eastAsia="Calibri" w:hAnsi="Verdana" w:cs="Arial"/>
                <w:lang w:val="es-ES_tradnl" w:eastAsia="es-ES"/>
              </w:rPr>
            </w:pPr>
          </w:p>
        </w:tc>
      </w:tr>
      <w:tr w:rsidR="007C7375" w:rsidRPr="00115E3D" w14:paraId="2C0668A4" w14:textId="77777777" w:rsidTr="003E1E0D">
        <w:trPr>
          <w:trHeight w:val="446"/>
        </w:trPr>
        <w:tc>
          <w:tcPr>
            <w:tcW w:w="2689" w:type="dxa"/>
          </w:tcPr>
          <w:p w14:paraId="29922D09" w14:textId="77777777" w:rsidR="007C7375" w:rsidRPr="00115E3D" w:rsidRDefault="007C7375" w:rsidP="003E1E0D">
            <w:pPr>
              <w:jc w:val="both"/>
              <w:rPr>
                <w:rFonts w:ascii="Verdana" w:eastAsia="Calibri" w:hAnsi="Verdana" w:cs="Arial"/>
                <w:b/>
                <w:color w:val="000000" w:themeColor="text1"/>
                <w:lang w:val="es-ES_tradnl" w:eastAsia="es-ES_tradnl"/>
              </w:rPr>
            </w:pPr>
            <w:r w:rsidRPr="00115E3D">
              <w:rPr>
                <w:rFonts w:ascii="Verdana" w:eastAsia="Calibri" w:hAnsi="Verdana" w:cs="Arial"/>
                <w:b/>
                <w:color w:val="000000" w:themeColor="text1"/>
                <w:lang w:val="es-ES_tradnl" w:eastAsia="es-ES_tradnl"/>
              </w:rPr>
              <w:t>Radicación:</w:t>
            </w:r>
            <w:r w:rsidRPr="00115E3D">
              <w:rPr>
                <w:rFonts w:ascii="Verdana" w:eastAsia="Calibri" w:hAnsi="Verdana" w:cs="Arial"/>
                <w:color w:val="000000" w:themeColor="text1"/>
                <w:lang w:val="es-ES_tradnl" w:eastAsia="es-ES_tradnl"/>
              </w:rPr>
              <w:t xml:space="preserve">               </w:t>
            </w:r>
          </w:p>
        </w:tc>
        <w:tc>
          <w:tcPr>
            <w:tcW w:w="6100" w:type="dxa"/>
          </w:tcPr>
          <w:p w14:paraId="67D68703" w14:textId="77777777" w:rsidR="007C7375" w:rsidRPr="00115E3D" w:rsidRDefault="007C7375" w:rsidP="003E1E0D">
            <w:pPr>
              <w:jc w:val="both"/>
              <w:rPr>
                <w:rFonts w:ascii="Verdana" w:eastAsia="Calibri" w:hAnsi="Verdana" w:cs="Arial"/>
                <w:color w:val="000000" w:themeColor="text1"/>
                <w:lang w:val="es-ES_tradnl" w:eastAsia="es-ES_tradnl"/>
              </w:rPr>
            </w:pPr>
            <w:r w:rsidRPr="00115E3D">
              <w:rPr>
                <w:rFonts w:ascii="Verdana" w:eastAsia="Calibri" w:hAnsi="Verdana" w:cs="Arial"/>
                <w:color w:val="000000" w:themeColor="text1"/>
                <w:lang w:val="es-ES_tradnl" w:eastAsia="es-ES_tradnl"/>
              </w:rPr>
              <w:t xml:space="preserve">Respuesta a consulta con radicado No. </w:t>
            </w:r>
            <w:r w:rsidRPr="00BE0B1E">
              <w:rPr>
                <w:rFonts w:ascii="Verdana" w:eastAsia="Calibri" w:hAnsi="Verdana" w:cs="Arial"/>
                <w:color w:val="000000" w:themeColor="text1"/>
                <w:lang w:eastAsia="es-ES_tradnl"/>
              </w:rPr>
              <w:t>1_2025_09_11_009982</w:t>
            </w:r>
          </w:p>
        </w:tc>
      </w:tr>
    </w:tbl>
    <w:p w14:paraId="0CE91A4C" w14:textId="77777777" w:rsidR="007C7375" w:rsidRPr="00115E3D" w:rsidRDefault="007C7375" w:rsidP="007C7375">
      <w:pPr>
        <w:spacing w:after="0" w:line="240" w:lineRule="auto"/>
        <w:jc w:val="both"/>
        <w:rPr>
          <w:rFonts w:ascii="Verdana" w:eastAsia="Calibri" w:hAnsi="Verdana" w:cs="Arial"/>
          <w:color w:val="000000" w:themeColor="text1"/>
          <w:lang w:val="es-ES_tradnl" w:eastAsia="es-ES_tradnl"/>
        </w:rPr>
      </w:pPr>
    </w:p>
    <w:p w14:paraId="65A28A5B" w14:textId="77777777" w:rsidR="007C7375" w:rsidRPr="00115E3D" w:rsidRDefault="007C7375" w:rsidP="007C7375">
      <w:pPr>
        <w:spacing w:after="0" w:line="240" w:lineRule="auto"/>
        <w:jc w:val="both"/>
        <w:rPr>
          <w:rFonts w:ascii="Verdana" w:eastAsia="Calibri" w:hAnsi="Verdana" w:cs="Arial"/>
          <w:color w:val="000000" w:themeColor="text1"/>
          <w:lang w:val="es-ES_tradnl" w:eastAsia="es-ES_tradnl"/>
        </w:rPr>
      </w:pPr>
    </w:p>
    <w:p w14:paraId="27A2C078" w14:textId="77777777" w:rsidR="007C7375" w:rsidRPr="00115E3D" w:rsidRDefault="007C7375" w:rsidP="007C7375">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115E3D">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w:t>
      </w:r>
      <w:r w:rsidRPr="00115E3D">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Salas</w:t>
      </w:r>
      <w:r w:rsidRPr="00115E3D">
        <w:rPr>
          <w:rFonts w:ascii="Verdana" w:eastAsia="Calibri" w:hAnsi="Verdana" w:cs="Arial"/>
          <w:color w:val="000000" w:themeColor="text1"/>
          <w:lang w:val="es-ES" w:eastAsia="es-ES"/>
        </w:rPr>
        <w:t xml:space="preserve">: </w:t>
      </w:r>
    </w:p>
    <w:p w14:paraId="29BE754A" w14:textId="77777777" w:rsidR="007C7375" w:rsidRPr="00115E3D" w:rsidRDefault="007C7375" w:rsidP="007C7375">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0AA66C7B" w14:textId="77777777" w:rsidR="007C7375" w:rsidRPr="00115E3D" w:rsidRDefault="007C7375" w:rsidP="007C7375">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w:t>
      </w:r>
      <w:r>
        <w:rPr>
          <w:rFonts w:ascii="Verdana" w:hAnsi="Verdana" w:cs="Arial"/>
          <w:color w:val="000000" w:themeColor="text1"/>
        </w:rPr>
        <w:t xml:space="preserve">por la </w:t>
      </w:r>
      <w:r w:rsidRPr="00A7080B">
        <w:rPr>
          <w:rFonts w:ascii="Verdana" w:eastAsia="Calibri" w:hAnsi="Verdana" w:cs="Times New Roman"/>
          <w:bCs/>
        </w:rPr>
        <w:t>Resolución 469 de 2025</w:t>
      </w:r>
      <w:r w:rsidRPr="00115E3D">
        <w:rPr>
          <w:rFonts w:ascii="Verdana" w:hAnsi="Verdana" w:cs="Arial"/>
          <w:color w:val="000000" w:themeColor="text1"/>
        </w:rPr>
        <w:t xml:space="preserve"> expedida por esta Entidad, </w:t>
      </w:r>
      <w:r w:rsidRPr="00115E3D">
        <w:rPr>
          <w:rFonts w:ascii="Verdana" w:eastAsia="Calibri" w:hAnsi="Verdana" w:cs="Arial"/>
          <w:color w:val="000000" w:themeColor="text1"/>
          <w:lang w:val="es-ES" w:eastAsia="es-ES"/>
        </w:rPr>
        <w:t xml:space="preserve">la Agencia Nacional de Contratación Pública – Colombia Compra Eficiente– responde su solicitud de consulta </w:t>
      </w:r>
      <w:r>
        <w:rPr>
          <w:rFonts w:ascii="Verdana" w:eastAsia="Calibri" w:hAnsi="Verdana" w:cs="Arial"/>
          <w:color w:val="000000" w:themeColor="text1"/>
          <w:lang w:val="es-ES" w:eastAsia="es-ES"/>
        </w:rPr>
        <w:t>remitida por competencia por el Departamento Administrativo de la Función Pública el</w:t>
      </w:r>
      <w:r w:rsidRPr="00115E3D">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11</w:t>
      </w:r>
      <w:r w:rsidRPr="00115E3D">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septiembre</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25</w:t>
      </w:r>
      <w:r w:rsidRPr="00115E3D">
        <w:rPr>
          <w:rFonts w:ascii="Verdana" w:eastAsia="Calibri" w:hAnsi="Verdana" w:cs="Arial"/>
          <w:color w:val="000000" w:themeColor="text1"/>
          <w:lang w:val="es-ES" w:eastAsia="es-ES"/>
        </w:rPr>
        <w:t xml:space="preserve">, en la cual manifiesta lo siguiente: </w:t>
      </w:r>
    </w:p>
    <w:p w14:paraId="2D9C60EF" w14:textId="77777777" w:rsidR="007C7375" w:rsidRPr="00115E3D" w:rsidRDefault="007C7375" w:rsidP="007C7375">
      <w:pPr>
        <w:pStyle w:val="Prrafodelista"/>
        <w:tabs>
          <w:tab w:val="left" w:pos="142"/>
          <w:tab w:val="left" w:pos="284"/>
        </w:tabs>
        <w:spacing w:line="276" w:lineRule="auto"/>
        <w:ind w:left="0"/>
        <w:jc w:val="both"/>
        <w:rPr>
          <w:rFonts w:ascii="Verdana" w:eastAsia="Century Gothic" w:hAnsi="Verdana" w:cs="Century Gothic"/>
          <w:b/>
          <w:bCs/>
          <w:color w:val="000000" w:themeColor="text1"/>
        </w:rPr>
      </w:pPr>
    </w:p>
    <w:p w14:paraId="633F77C8" w14:textId="77777777" w:rsidR="007C7375" w:rsidRPr="00625BD1" w:rsidRDefault="007C7375" w:rsidP="007C7375">
      <w:pPr>
        <w:spacing w:after="0" w:line="240" w:lineRule="auto"/>
        <w:ind w:left="709" w:right="709"/>
        <w:jc w:val="both"/>
        <w:rPr>
          <w:rFonts w:ascii="Verdana" w:eastAsia="Century Gothic" w:hAnsi="Verdana" w:cs="Century Gothic"/>
          <w:i/>
          <w:iCs/>
          <w:color w:val="000000" w:themeColor="text1"/>
          <w:sz w:val="20"/>
          <w:szCs w:val="20"/>
        </w:rPr>
      </w:pPr>
      <w:r w:rsidRPr="00141269">
        <w:rPr>
          <w:rFonts w:ascii="Verdana" w:eastAsia="Century Gothic" w:hAnsi="Verdana" w:cs="Century Gothic"/>
          <w:i/>
          <w:iCs/>
          <w:color w:val="000000" w:themeColor="text1"/>
          <w:sz w:val="20"/>
          <w:szCs w:val="20"/>
          <w:lang w:val="es-ES"/>
        </w:rPr>
        <w:t>“</w:t>
      </w:r>
      <w:r>
        <w:rPr>
          <w:rFonts w:ascii="Verdana" w:eastAsia="Century Gothic" w:hAnsi="Verdana" w:cs="Century Gothic"/>
          <w:i/>
          <w:iCs/>
          <w:color w:val="000000" w:themeColor="text1"/>
          <w:sz w:val="20"/>
          <w:szCs w:val="20"/>
          <w:lang w:val="es-ES"/>
        </w:rPr>
        <w:t xml:space="preserve">(…) </w:t>
      </w:r>
      <w:r w:rsidRPr="002057DE">
        <w:rPr>
          <w:rFonts w:ascii="Verdana" w:eastAsia="Century Gothic" w:hAnsi="Verdana" w:cs="Century Gothic"/>
          <w:i/>
          <w:iCs/>
          <w:color w:val="000000" w:themeColor="text1"/>
          <w:sz w:val="20"/>
          <w:szCs w:val="20"/>
        </w:rPr>
        <w:t>¿Resulta obligatorio para las entidades públicas exigir como requisito para la vinculación mediante contrato de prestación de servicios la presentación del título de educación básica y media, aun cuando el aspirante haya aportado diplomas de formación profesional en niveles superiores (pregrado y posgrado), en cumplimiento de las directrices del sistema SIGEP II y la normativa aplicable de la Función Pública?</w:t>
      </w:r>
      <w:r>
        <w:rPr>
          <w:rFonts w:ascii="Verdana" w:eastAsia="Century Gothic" w:hAnsi="Verdana" w:cs="Century Gothic"/>
          <w:i/>
          <w:iCs/>
          <w:color w:val="000000" w:themeColor="text1"/>
          <w:sz w:val="20"/>
          <w:szCs w:val="20"/>
        </w:rPr>
        <w:t xml:space="preserve">” </w:t>
      </w:r>
    </w:p>
    <w:p w14:paraId="14E30E06" w14:textId="77777777" w:rsidR="007C7375" w:rsidRPr="00115E3D" w:rsidRDefault="007C7375" w:rsidP="007C7375">
      <w:pPr>
        <w:pStyle w:val="Prrafodelista"/>
        <w:tabs>
          <w:tab w:val="left" w:pos="142"/>
          <w:tab w:val="left" w:pos="284"/>
        </w:tabs>
        <w:spacing w:line="276" w:lineRule="auto"/>
        <w:ind w:left="0"/>
        <w:jc w:val="both"/>
        <w:rPr>
          <w:rFonts w:ascii="Verdana" w:eastAsia="Century Gothic" w:hAnsi="Verdana" w:cs="Century Gothic"/>
          <w:b/>
          <w:bCs/>
          <w:color w:val="000000" w:themeColor="text1"/>
        </w:rPr>
      </w:pPr>
    </w:p>
    <w:p w14:paraId="659DB1E7" w14:textId="77777777" w:rsidR="007C7375" w:rsidRPr="00115E3D" w:rsidRDefault="007C7375" w:rsidP="007C7375">
      <w:pPr>
        <w:spacing w:after="120" w:line="276" w:lineRule="auto"/>
        <w:ind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6DBECDD2" w14:textId="77777777" w:rsidR="007C7375" w:rsidRPr="00115E3D" w:rsidRDefault="007C7375" w:rsidP="007C7375">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4BEAE880" w14:textId="77777777" w:rsidR="007C7375" w:rsidRPr="00115E3D" w:rsidRDefault="007C7375" w:rsidP="007C7375">
      <w:pPr>
        <w:spacing w:after="0" w:line="276" w:lineRule="auto"/>
        <w:ind w:firstLine="709"/>
        <w:jc w:val="both"/>
        <w:rPr>
          <w:rFonts w:ascii="Verdana" w:eastAsia="Calibri" w:hAnsi="Verdana" w:cs="Arial"/>
          <w:color w:val="000000" w:themeColor="text1"/>
          <w:lang w:val="es-ES" w:eastAsia="es-ES"/>
        </w:rPr>
      </w:pPr>
    </w:p>
    <w:p w14:paraId="0DE6500B" w14:textId="77777777" w:rsidR="007C7375" w:rsidRPr="00115E3D" w:rsidRDefault="007C7375" w:rsidP="007C737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57996BCB" w14:textId="77777777" w:rsidR="007C7375" w:rsidRPr="00115E3D" w:rsidRDefault="007C7375" w:rsidP="007C7375">
      <w:pPr>
        <w:tabs>
          <w:tab w:val="left" w:pos="426"/>
        </w:tabs>
        <w:spacing w:after="0" w:line="276" w:lineRule="auto"/>
        <w:jc w:val="both"/>
        <w:rPr>
          <w:rFonts w:ascii="Verdana" w:eastAsia="Century Gothic" w:hAnsi="Verdana" w:cs="Century Gothic"/>
          <w:color w:val="000000" w:themeColor="text1"/>
          <w:lang w:val="es-ES"/>
        </w:rPr>
      </w:pPr>
    </w:p>
    <w:p w14:paraId="33C9349F" w14:textId="77777777" w:rsidR="007C7375" w:rsidRDefault="007C7375" w:rsidP="007C7375">
      <w:pPr>
        <w:spacing w:after="0" w:line="276" w:lineRule="auto"/>
        <w:jc w:val="both"/>
        <w:rPr>
          <w:rFonts w:ascii="Verdana" w:eastAsia="Century Gothic" w:hAnsi="Verdana" w:cs="Century Gothic"/>
          <w:color w:val="000000" w:themeColor="text1"/>
        </w:rPr>
      </w:pPr>
      <w:r w:rsidRPr="31F7AC4D">
        <w:rPr>
          <w:rFonts w:ascii="Verdana" w:eastAsia="Century Gothic" w:hAnsi="Verdana" w:cs="Century Gothic"/>
          <w:color w:val="000000" w:themeColor="text1"/>
        </w:rPr>
        <w:t xml:space="preserve">De acuerdo con el contenido de su solicitud, esta Agencia resolverá el siguiente problema jurídico: ¿Acreditar el título de bachiller es requisito para celebrar contratos de prestación de servicios profesionales y/o de apoyo a la gestión? </w:t>
      </w:r>
    </w:p>
    <w:p w14:paraId="48F4847D" w14:textId="77777777" w:rsidR="007C7375" w:rsidRDefault="007C7375" w:rsidP="007C7375">
      <w:pPr>
        <w:spacing w:after="0" w:line="276" w:lineRule="auto"/>
        <w:jc w:val="both"/>
        <w:rPr>
          <w:rFonts w:ascii="Verdana" w:eastAsia="Century Gothic" w:hAnsi="Verdana" w:cs="Century Gothic"/>
          <w:color w:val="000000" w:themeColor="text1"/>
        </w:rPr>
      </w:pPr>
    </w:p>
    <w:p w14:paraId="678B893F" w14:textId="77777777" w:rsidR="007C7375" w:rsidRPr="00115E3D" w:rsidRDefault="007C7375" w:rsidP="007C7375">
      <w:pPr>
        <w:spacing w:after="0" w:line="276" w:lineRule="auto"/>
        <w:jc w:val="both"/>
        <w:rPr>
          <w:rFonts w:ascii="Verdana" w:eastAsia="Century Gothic" w:hAnsi="Verdana" w:cs="Century Gothic"/>
          <w:b/>
          <w:bCs/>
          <w:color w:val="000000" w:themeColor="text1"/>
          <w:lang w:val="es-ES"/>
        </w:rPr>
      </w:pPr>
      <w:r w:rsidRPr="00115E3D">
        <w:rPr>
          <w:rFonts w:ascii="Verdana" w:eastAsia="Century Gothic" w:hAnsi="Verdana" w:cs="Century Gothic"/>
          <w:b/>
          <w:bCs/>
          <w:color w:val="000000" w:themeColor="text1"/>
          <w:lang w:val="es-ES"/>
        </w:rPr>
        <w:t>Respuesta:</w:t>
      </w:r>
    </w:p>
    <w:p w14:paraId="6F1D2DEB" w14:textId="77777777" w:rsidR="007C7375" w:rsidRPr="00B101B1" w:rsidRDefault="007C7375" w:rsidP="007C7375">
      <w:pPr>
        <w:tabs>
          <w:tab w:val="left" w:pos="142"/>
          <w:tab w:val="left" w:pos="284"/>
        </w:tabs>
        <w:spacing w:after="0" w:line="276" w:lineRule="auto"/>
        <w:jc w:val="both"/>
        <w:rPr>
          <w:rFonts w:ascii="Verdana" w:eastAsia="Century Gothic" w:hAnsi="Verdana" w:cs="Century Gothic"/>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C7375" w:rsidRPr="00B101B1" w14:paraId="7983BFB2" w14:textId="77777777" w:rsidTr="003E1E0D">
        <w:tc>
          <w:tcPr>
            <w:tcW w:w="8828" w:type="dxa"/>
          </w:tcPr>
          <w:p w14:paraId="4D779020" w14:textId="77777777" w:rsidR="007C7375" w:rsidRDefault="007C7375" w:rsidP="003E1E0D">
            <w:pPr>
              <w:spacing w:after="120" w:line="276" w:lineRule="auto"/>
              <w:jc w:val="both"/>
              <w:rPr>
                <w:rFonts w:ascii="Verdana" w:eastAsia="Calibri" w:hAnsi="Verdana" w:cs="Arial"/>
                <w:color w:val="000000" w:themeColor="text1"/>
              </w:rPr>
            </w:pPr>
            <w:r w:rsidRPr="11B1BD54">
              <w:rPr>
                <w:rFonts w:ascii="Verdana" w:eastAsia="Calibri" w:hAnsi="Verdana" w:cs="Arial"/>
                <w:color w:val="000000" w:themeColor="text1"/>
              </w:rPr>
              <w:t xml:space="preserve">El artículo 2.2.1.2.1.4.9 del Decreto 1082 de 2015 establece que las entidades estatales tienen la facultad de definir los requisitos habilitantes para la contratación, de acuerdo con las características y la naturaleza del contrato, para lo cual el futuro contratista debe acreditar los requisitos de idoneidad o experiencia que le permitan cumplir con el objeto y obligaciones contractuales.  En este sentido, las entidades pueden exigir títulos de formación académica, como el de bachiller o incluso un título profesional, cuando sea necesario para garantizar el adecuado cumplimiento del contrato, especialmente en aquellos contratos de prestación de servicios profesionales que demandan actividades especializadas. Así, la exigencia de un título académico debe estar justificada por las necesidades específicas del servicio a contratar, lo que otorga a las </w:t>
            </w:r>
            <w:r w:rsidRPr="11B1BD54">
              <w:rPr>
                <w:rFonts w:ascii="Verdana" w:eastAsia="Calibri" w:hAnsi="Verdana" w:cs="Arial"/>
                <w:color w:val="000000" w:themeColor="text1"/>
              </w:rPr>
              <w:lastRenderedPageBreak/>
              <w:t xml:space="preserve">entidades la discrecionalidad de determinar los requisitos de acuerdo con el tipo de contratación. </w:t>
            </w:r>
          </w:p>
          <w:p w14:paraId="7EE0E9EC" w14:textId="77777777" w:rsidR="007C7375" w:rsidRPr="00682F83" w:rsidRDefault="007C7375" w:rsidP="003E1E0D">
            <w:pPr>
              <w:spacing w:after="120" w:line="276" w:lineRule="auto"/>
              <w:ind w:firstLine="709"/>
              <w:jc w:val="both"/>
              <w:rPr>
                <w:rFonts w:ascii="Verdana" w:eastAsia="Calibri" w:hAnsi="Verdana" w:cs="Arial"/>
                <w:color w:val="000000" w:themeColor="text1"/>
              </w:rPr>
            </w:pPr>
            <w:r w:rsidRPr="11B1BD54">
              <w:rPr>
                <w:rFonts w:ascii="Verdana" w:eastAsia="Calibri" w:hAnsi="Verdana" w:cs="Arial"/>
                <w:color w:val="000000" w:themeColor="text1"/>
                <w:lang w:val="es-ES"/>
              </w:rPr>
              <w:t xml:space="preserve"> </w:t>
            </w:r>
            <w:r>
              <w:rPr>
                <w:rFonts w:ascii="Verdana" w:eastAsia="Calibri" w:hAnsi="Verdana" w:cs="Arial"/>
                <w:color w:val="000000" w:themeColor="text1"/>
              </w:rPr>
              <w:t>Ahora bien</w:t>
            </w:r>
            <w:r w:rsidRPr="00E91A7D">
              <w:rPr>
                <w:rFonts w:ascii="Verdana" w:eastAsia="Calibri" w:hAnsi="Verdana" w:cs="Arial"/>
                <w:color w:val="000000" w:themeColor="text1"/>
              </w:rPr>
              <w:t xml:space="preserve">, </w:t>
            </w:r>
            <w:r>
              <w:rPr>
                <w:rFonts w:ascii="Verdana" w:eastAsia="Calibri" w:hAnsi="Verdana" w:cs="Arial"/>
                <w:color w:val="000000" w:themeColor="text1"/>
              </w:rPr>
              <w:t xml:space="preserve">el Decreto 1083 de 2015 en su artículo 2.2.17.10, </w:t>
            </w:r>
            <w:r>
              <w:rPr>
                <w:rFonts w:ascii="Verdana" w:eastAsia="Calibri" w:hAnsi="Verdana" w:cs="Arial"/>
                <w:color w:val="000000" w:themeColor="text1"/>
                <w:lang w:val="es-ES"/>
              </w:rPr>
              <w:t xml:space="preserve">establece </w:t>
            </w:r>
            <w:r w:rsidRPr="00EB0F7F">
              <w:rPr>
                <w:rFonts w:ascii="Verdana" w:eastAsia="Calibri" w:hAnsi="Verdana" w:cs="Arial"/>
                <w:color w:val="000000" w:themeColor="text1"/>
                <w:lang w:val="es-ES"/>
              </w:rPr>
              <w:t>que antes de suscribir un contrato de prestación de servicios con una entidad estatal, los contratistas deben diligenciar el Formato Único de Hoja de Vida en el SIGEP (Sistema de Información y Gestión del Empleo Público) incluyendo el registro detallado de la formación académica, como el título de bachiller, y la carga de los soportes correspondientes. Esta obligación se encuentra respaldada</w:t>
            </w:r>
            <w:r>
              <w:rPr>
                <w:rFonts w:ascii="Verdana" w:eastAsia="Calibri" w:hAnsi="Verdana" w:cs="Arial"/>
                <w:color w:val="000000" w:themeColor="text1"/>
                <w:lang w:val="es-ES"/>
              </w:rPr>
              <w:t xml:space="preserve"> en la</w:t>
            </w:r>
            <w:r w:rsidRPr="00EB0F7F">
              <w:rPr>
                <w:rFonts w:ascii="Verdana" w:eastAsia="Calibri" w:hAnsi="Verdana" w:cs="Arial"/>
                <w:color w:val="000000" w:themeColor="text1"/>
                <w:lang w:val="es-ES"/>
              </w:rPr>
              <w:t xml:space="preserve"> Ley 190 de 1995, que en su artículo 1 establece la obligatoriedad de presentar el Formato Único de Hoja de Vida para quienes aspiren a ocupar un cargo público o suscribir un contrato con la administración</w:t>
            </w:r>
            <w:r>
              <w:rPr>
                <w:rFonts w:ascii="Verdana" w:eastAsia="Calibri" w:hAnsi="Verdana" w:cs="Arial"/>
                <w:color w:val="000000" w:themeColor="text1"/>
                <w:lang w:val="es-ES"/>
              </w:rPr>
              <w:t xml:space="preserve">, así como en </w:t>
            </w:r>
            <w:r w:rsidRPr="00EB0F7F">
              <w:rPr>
                <w:rFonts w:ascii="Verdana" w:eastAsia="Calibri" w:hAnsi="Verdana" w:cs="Arial"/>
                <w:color w:val="000000" w:themeColor="text1"/>
                <w:lang w:val="es-ES"/>
              </w:rPr>
              <w:t xml:space="preserve">los </w:t>
            </w:r>
            <w:r>
              <w:rPr>
                <w:rFonts w:ascii="Verdana" w:eastAsia="Calibri" w:hAnsi="Verdana" w:cs="Arial"/>
                <w:color w:val="000000" w:themeColor="text1"/>
                <w:lang w:val="es-ES"/>
              </w:rPr>
              <w:t>c</w:t>
            </w:r>
            <w:r w:rsidRPr="00EB0F7F">
              <w:rPr>
                <w:rFonts w:ascii="Verdana" w:eastAsia="Calibri" w:hAnsi="Verdana" w:cs="Arial"/>
                <w:color w:val="000000" w:themeColor="text1"/>
                <w:lang w:val="es-ES"/>
              </w:rPr>
              <w:t>onceptos 102951 de 2021 y 59331 de 2019 del Departamento Administrativo de la Función Pública, los cuales aclaran que el diligenciamiento de este formato es un requisito previo indispensable para la vinculación contractual o posesión en un cargo público</w:t>
            </w:r>
            <w:r>
              <w:rPr>
                <w:rStyle w:val="Refdenotaalpie"/>
                <w:rFonts w:ascii="Verdana" w:eastAsia="Calibri" w:hAnsi="Verdana" w:cs="Arial"/>
                <w:color w:val="000000" w:themeColor="text1"/>
                <w:lang w:val="es-ES"/>
              </w:rPr>
              <w:footnoteReference w:id="2"/>
            </w:r>
            <w:r w:rsidRPr="00EB0F7F">
              <w:rPr>
                <w:rFonts w:ascii="Verdana" w:eastAsia="Calibri" w:hAnsi="Verdana" w:cs="Arial"/>
                <w:color w:val="000000" w:themeColor="text1"/>
                <w:lang w:val="es-ES"/>
              </w:rPr>
              <w:t>. Asimismo, los instructivos oficiales del SIGEP detalla</w:t>
            </w:r>
            <w:r>
              <w:rPr>
                <w:rFonts w:ascii="Verdana" w:eastAsia="Calibri" w:hAnsi="Verdana" w:cs="Arial"/>
                <w:color w:val="000000" w:themeColor="text1"/>
                <w:lang w:val="es-ES"/>
              </w:rPr>
              <w:t>n</w:t>
            </w:r>
            <w:r w:rsidRPr="00EB0F7F">
              <w:rPr>
                <w:rFonts w:ascii="Verdana" w:eastAsia="Calibri" w:hAnsi="Verdana" w:cs="Arial"/>
                <w:color w:val="000000" w:themeColor="text1"/>
                <w:lang w:val="es-ES"/>
              </w:rPr>
              <w:t xml:space="preserve"> el procedimiento para la actualización de la hoja de vida y la carga de documentos que soportan la información registrada, lo que garantiza la transparencia y veracidad de los datos suministrad</w:t>
            </w:r>
            <w:r>
              <w:rPr>
                <w:rFonts w:ascii="Verdana" w:eastAsia="Calibri" w:hAnsi="Verdana" w:cs="Arial"/>
                <w:color w:val="000000" w:themeColor="text1"/>
                <w:lang w:val="es-ES"/>
              </w:rPr>
              <w:t>os.</w:t>
            </w:r>
          </w:p>
          <w:p w14:paraId="157AFBD2" w14:textId="77777777" w:rsidR="007C7375" w:rsidRPr="00B101B1" w:rsidRDefault="007C7375" w:rsidP="003E1E0D">
            <w:pPr>
              <w:spacing w:after="120" w:line="276" w:lineRule="auto"/>
              <w:ind w:firstLine="709"/>
              <w:jc w:val="both"/>
              <w:rPr>
                <w:rFonts w:ascii="Verdana" w:eastAsia="Calibri" w:hAnsi="Verdana" w:cs="Arial"/>
                <w:color w:val="000000" w:themeColor="text1"/>
                <w:lang w:val="es-ES"/>
              </w:rPr>
            </w:pPr>
            <w:r w:rsidRPr="00B101B1">
              <w:rPr>
                <w:rFonts w:ascii="Verdana" w:eastAsia="Calibri" w:hAnsi="Verdana" w:cs="Arial"/>
                <w:color w:val="000000" w:themeColor="text1"/>
              </w:rPr>
              <w:t xml:space="preserve">Por otro lado, en los contratos de apoyo a la gestión, </w:t>
            </w:r>
            <w:r w:rsidRPr="11B1BD54">
              <w:rPr>
                <w:rFonts w:ascii="Verdana" w:eastAsia="Calibri" w:hAnsi="Verdana" w:cs="Arial"/>
                <w:color w:val="000000" w:themeColor="text1"/>
              </w:rPr>
              <w:t xml:space="preserve">las entidades deben verificar la exigencia de los títulos que se requieran acorde con las </w:t>
            </w:r>
            <w:r w:rsidRPr="00B101B1">
              <w:rPr>
                <w:rFonts w:ascii="Verdana" w:eastAsia="Calibri" w:hAnsi="Verdana" w:cs="Arial"/>
                <w:color w:val="000000" w:themeColor="text1"/>
              </w:rPr>
              <w:t xml:space="preserve">actividades </w:t>
            </w:r>
            <w:r w:rsidRPr="11B1BD54">
              <w:rPr>
                <w:rFonts w:ascii="Verdana" w:eastAsia="Calibri" w:hAnsi="Verdana" w:cs="Arial"/>
                <w:color w:val="000000" w:themeColor="text1"/>
              </w:rPr>
              <w:t xml:space="preserve">a desarrollar en el marco del objeto y obligaciones contractuales estableciendo la pertinencia en cuanto a la exigencia o no de </w:t>
            </w:r>
            <w:r w:rsidRPr="00B101B1">
              <w:rPr>
                <w:rFonts w:ascii="Verdana" w:eastAsia="Calibri" w:hAnsi="Verdana" w:cs="Arial"/>
                <w:color w:val="000000" w:themeColor="text1"/>
              </w:rPr>
              <w:t xml:space="preserve">formación académica especializada </w:t>
            </w:r>
            <w:r w:rsidRPr="11B1BD54">
              <w:rPr>
                <w:rFonts w:ascii="Verdana" w:eastAsia="Calibri" w:hAnsi="Verdana" w:cs="Arial"/>
                <w:color w:val="000000" w:themeColor="text1"/>
              </w:rPr>
              <w:t>y la capacidad técnica y experiencia relacionada con el contrato a suscribir.</w:t>
            </w:r>
            <w:r w:rsidRPr="00B101B1">
              <w:rPr>
                <w:rFonts w:ascii="Verdana" w:eastAsia="Calibri" w:hAnsi="Verdana" w:cs="Arial"/>
                <w:color w:val="000000" w:themeColor="text1"/>
              </w:rPr>
              <w:t xml:space="preserve"> En cualquier caso, la exigencia de estos requisitos depende de lo que la entidad estatal</w:t>
            </w:r>
            <w:r>
              <w:rPr>
                <w:rFonts w:ascii="Verdana" w:eastAsia="Calibri" w:hAnsi="Verdana" w:cs="Arial"/>
                <w:color w:val="000000" w:themeColor="text1"/>
              </w:rPr>
              <w:t xml:space="preserve">, en ejercicio de </w:t>
            </w:r>
            <w:r w:rsidRPr="00B101B1">
              <w:rPr>
                <w:rFonts w:ascii="Verdana" w:eastAsia="Calibri" w:hAnsi="Verdana" w:cs="Arial"/>
                <w:color w:val="000000" w:themeColor="text1"/>
              </w:rPr>
              <w:t xml:space="preserve">su autonomía, </w:t>
            </w:r>
            <w:r>
              <w:rPr>
                <w:rFonts w:ascii="Verdana" w:eastAsia="Calibri" w:hAnsi="Verdana" w:cs="Arial"/>
                <w:color w:val="000000" w:themeColor="text1"/>
              </w:rPr>
              <w:t>establezca</w:t>
            </w:r>
            <w:r w:rsidRPr="11B1BD54">
              <w:rPr>
                <w:rFonts w:ascii="Verdana" w:eastAsia="Calibri" w:hAnsi="Verdana" w:cs="Arial"/>
                <w:color w:val="000000" w:themeColor="text1"/>
              </w:rPr>
              <w:t xml:space="preserve"> en el estudio previo,</w:t>
            </w:r>
            <w:r w:rsidRPr="00B101B1">
              <w:rPr>
                <w:rFonts w:ascii="Verdana" w:eastAsia="Calibri" w:hAnsi="Verdana" w:cs="Arial"/>
                <w:color w:val="000000" w:themeColor="text1"/>
              </w:rPr>
              <w:t xml:space="preserve"> en el pliego de condiciones o en el documento equivalente del proceso de contratación, siempre y cuando sean proporcionales a la naturaleza del contrato, el valor, el riesgo y los </w:t>
            </w:r>
            <w:r w:rsidRPr="00B101B1">
              <w:rPr>
                <w:rFonts w:ascii="Verdana" w:eastAsia="Calibri" w:hAnsi="Verdana" w:cs="Arial"/>
                <w:color w:val="000000" w:themeColor="text1"/>
                <w:lang w:val="es-ES"/>
              </w:rPr>
              <w:t>objetivos que se buscan cumplir con la contratación.</w:t>
            </w:r>
          </w:p>
          <w:p w14:paraId="2A1B6F26" w14:textId="77777777" w:rsidR="007C7375" w:rsidRPr="00AD6AC7" w:rsidRDefault="007C7375" w:rsidP="003E1E0D">
            <w:pPr>
              <w:widowControl w:val="0"/>
              <w:autoSpaceDE w:val="0"/>
              <w:autoSpaceDN w:val="0"/>
              <w:spacing w:line="276" w:lineRule="auto"/>
              <w:ind w:firstLine="709"/>
              <w:jc w:val="both"/>
              <w:rPr>
                <w:rFonts w:ascii="Verdana" w:eastAsia="Calibri" w:hAnsi="Verdana" w:cs="Arial"/>
                <w:color w:val="000000" w:themeColor="text1"/>
              </w:rPr>
            </w:pPr>
            <w:r w:rsidRPr="11B1BD54">
              <w:rPr>
                <w:rFonts w:ascii="Verdana" w:eastAsia="Calibri" w:hAnsi="Verdana" w:cs="Arial"/>
                <w:color w:val="000000" w:themeColor="text1"/>
              </w:rPr>
              <w:t>En conclusión, cada entidad debe verificar la exigencia del requisito de título de bachiller, acorde con la idoneidad y experiencia que se requiera para</w:t>
            </w:r>
            <w:r>
              <w:rPr>
                <w:rFonts w:ascii="Verdana" w:eastAsia="Calibri" w:hAnsi="Verdana" w:cs="Arial"/>
                <w:color w:val="000000" w:themeColor="text1"/>
              </w:rPr>
              <w:t xml:space="preserve"> el contrato a celebrar</w:t>
            </w:r>
            <w:r w:rsidRPr="11B1BD54">
              <w:rPr>
                <w:rFonts w:ascii="Verdana" w:eastAsia="Calibri" w:hAnsi="Verdana" w:cs="Arial"/>
                <w:color w:val="000000" w:themeColor="text1"/>
              </w:rPr>
              <w:t xml:space="preserve">, sin perjuicio de lo previsto en el artículo 2.2.17.10 </w:t>
            </w:r>
            <w:r>
              <w:rPr>
                <w:rFonts w:ascii="Verdana" w:eastAsia="Calibri" w:hAnsi="Verdana" w:cs="Arial"/>
                <w:color w:val="000000" w:themeColor="text1"/>
              </w:rPr>
              <w:t xml:space="preserve">del </w:t>
            </w:r>
            <w:r w:rsidRPr="11B1BD54">
              <w:rPr>
                <w:rFonts w:ascii="Verdana" w:eastAsia="Calibri" w:hAnsi="Verdana" w:cs="Arial"/>
                <w:color w:val="000000" w:themeColor="text1"/>
              </w:rPr>
              <w:t xml:space="preserve">Decreto 1083 de 2015 </w:t>
            </w:r>
            <w:r>
              <w:rPr>
                <w:rFonts w:ascii="Verdana" w:eastAsia="Calibri" w:hAnsi="Verdana" w:cs="Arial"/>
                <w:color w:val="000000" w:themeColor="text1"/>
              </w:rPr>
              <w:t>que</w:t>
            </w:r>
            <w:r w:rsidRPr="11B1BD54">
              <w:rPr>
                <w:rFonts w:ascii="Verdana" w:eastAsia="Calibri" w:hAnsi="Verdana" w:cs="Arial"/>
                <w:color w:val="000000" w:themeColor="text1"/>
              </w:rPr>
              <w:t xml:space="preserve"> determina que previamente a suscribir </w:t>
            </w:r>
            <w:r w:rsidRPr="11B1BD54">
              <w:rPr>
                <w:rFonts w:ascii="Verdana" w:eastAsia="Calibri" w:hAnsi="Verdana" w:cs="Arial"/>
                <w:color w:val="000000" w:themeColor="text1"/>
                <w:lang w:val="es-ES"/>
              </w:rPr>
              <w:t>un contrato de prestación de servicios con una entidad estatal, los contratistas deben diligenciar el Formato Único de Hoja de Vida en el SIGEP</w:t>
            </w:r>
            <w:r w:rsidRPr="11B1BD54">
              <w:rPr>
                <w:rFonts w:ascii="Verdana" w:eastAsia="Calibri" w:hAnsi="Verdana" w:cs="Arial"/>
                <w:color w:val="000000" w:themeColor="text1"/>
              </w:rPr>
              <w:t xml:space="preserve"> </w:t>
            </w:r>
            <w:r w:rsidRPr="11B1BD54">
              <w:rPr>
                <w:rFonts w:ascii="Verdana" w:eastAsia="Calibri" w:hAnsi="Verdana" w:cs="Arial"/>
                <w:color w:val="000000" w:themeColor="text1"/>
                <w:lang w:val="es-ES"/>
              </w:rPr>
              <w:t xml:space="preserve">(Sistema de </w:t>
            </w:r>
            <w:r w:rsidRPr="11B1BD54">
              <w:rPr>
                <w:rFonts w:ascii="Verdana" w:eastAsia="Calibri" w:hAnsi="Verdana" w:cs="Arial"/>
                <w:color w:val="000000" w:themeColor="text1"/>
                <w:lang w:val="es-ES"/>
              </w:rPr>
              <w:lastRenderedPageBreak/>
              <w:t>Información y Gestión del Empleo Público) incluyendo el registro detallado de la formación académica, como el título de bachiller, y la carga de los soportes correspondientes.</w:t>
            </w:r>
          </w:p>
        </w:tc>
      </w:tr>
    </w:tbl>
    <w:p w14:paraId="4E5E0706" w14:textId="77777777" w:rsidR="007C7375" w:rsidRPr="00115E3D" w:rsidRDefault="007C7375" w:rsidP="007C7375">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84058A9" w14:textId="77777777" w:rsidR="007C7375" w:rsidRPr="00115E3D" w:rsidRDefault="007C7375" w:rsidP="007C737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2795F8F4" w14:textId="77777777" w:rsidR="007C7375" w:rsidRPr="00115E3D" w:rsidRDefault="007C7375" w:rsidP="007C7375">
      <w:pPr>
        <w:spacing w:after="0" w:line="276" w:lineRule="auto"/>
        <w:jc w:val="both"/>
        <w:rPr>
          <w:rFonts w:ascii="Verdana" w:eastAsia="Calibri" w:hAnsi="Verdana" w:cs="Arial"/>
          <w:color w:val="000000" w:themeColor="text1"/>
          <w:lang w:val="es-ES"/>
        </w:rPr>
      </w:pPr>
    </w:p>
    <w:p w14:paraId="3F7C6CE7" w14:textId="77777777" w:rsidR="007C7375" w:rsidRPr="00115E3D" w:rsidRDefault="007C7375" w:rsidP="007C7375">
      <w:pPr>
        <w:spacing w:after="0" w:line="276" w:lineRule="auto"/>
        <w:jc w:val="both"/>
        <w:rPr>
          <w:rFonts w:ascii="Verdana" w:eastAsia="Calibri" w:hAnsi="Verdana" w:cs="Arial"/>
          <w:color w:val="000000" w:themeColor="text1"/>
          <w:lang w:val="es-ES"/>
        </w:rPr>
      </w:pPr>
      <w:r w:rsidRPr="00115E3D">
        <w:rPr>
          <w:rFonts w:ascii="Verdana" w:eastAsia="Calibri" w:hAnsi="Verdana" w:cs="Arial"/>
          <w:color w:val="000000" w:themeColor="text1"/>
          <w:lang w:val="es-ES"/>
        </w:rPr>
        <w:t xml:space="preserve">Lo anterior se sustenta en las siguientes consideraciones: </w:t>
      </w:r>
    </w:p>
    <w:p w14:paraId="236A9F9A" w14:textId="77777777" w:rsidR="007C7375" w:rsidRPr="00115E3D" w:rsidRDefault="007C7375" w:rsidP="007C7375">
      <w:pPr>
        <w:spacing w:after="0" w:line="276" w:lineRule="auto"/>
        <w:jc w:val="both"/>
        <w:rPr>
          <w:rFonts w:ascii="Verdana" w:eastAsia="Calibri" w:hAnsi="Verdana" w:cs="Arial"/>
          <w:color w:val="000000" w:themeColor="text1"/>
          <w:lang w:val="es-ES"/>
        </w:rPr>
      </w:pPr>
    </w:p>
    <w:p w14:paraId="4C79ADF0" w14:textId="77777777" w:rsidR="007C7375" w:rsidRPr="00A7405A" w:rsidRDefault="007C7375" w:rsidP="007C7375">
      <w:pPr>
        <w:tabs>
          <w:tab w:val="left" w:pos="0"/>
        </w:tabs>
        <w:spacing w:after="0" w:line="276" w:lineRule="auto"/>
        <w:jc w:val="both"/>
        <w:rPr>
          <w:rFonts w:ascii="Verdana" w:eastAsia="Calibri" w:hAnsi="Verdana" w:cs="Arial"/>
          <w:color w:val="000000" w:themeColor="text1"/>
          <w:lang w:val="es-ES_tradnl"/>
        </w:rPr>
      </w:pPr>
      <w:r w:rsidRPr="00A7405A">
        <w:rPr>
          <w:rFonts w:ascii="Verdana" w:hAnsi="Verdana" w:cs="Arial"/>
          <w:color w:val="000000" w:themeColor="text1"/>
          <w:lang w:val="es-MX"/>
        </w:rPr>
        <w:t xml:space="preserve">El contrato de prestación de servicios es un contrato estatal típico, regulado en el numeral 3 del artículo 32 de la Ley 80 de 1993. Es definido como aquel que </w:t>
      </w:r>
      <w:r>
        <w:rPr>
          <w:rFonts w:ascii="Verdana" w:hAnsi="Verdana" w:cs="Arial"/>
          <w:color w:val="000000" w:themeColor="text1"/>
          <w:lang w:val="es-MX"/>
        </w:rPr>
        <w:t>“</w:t>
      </w:r>
      <w:r w:rsidRPr="00A7405A">
        <w:rPr>
          <w:rFonts w:ascii="Verdana" w:hAnsi="Verdana" w:cs="Arial"/>
          <w:color w:val="000000" w:themeColor="text1"/>
          <w:lang w:val="es-MX"/>
        </w:rPr>
        <w:t>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Pr>
          <w:rFonts w:ascii="Verdana" w:hAnsi="Verdana" w:cs="Arial"/>
          <w:color w:val="000000" w:themeColor="text1"/>
          <w:lang w:val="es-MX"/>
        </w:rPr>
        <w:t>”</w:t>
      </w:r>
      <w:r w:rsidRPr="00A7405A">
        <w:rPr>
          <w:rFonts w:ascii="Verdana" w:hAnsi="Verdana" w:cs="Arial"/>
          <w:color w:val="000000" w:themeColor="text1"/>
          <w:lang w:val="es-MX"/>
        </w:rPr>
        <w:t>.</w:t>
      </w:r>
      <w:r w:rsidRPr="00A7405A">
        <w:rPr>
          <w:rFonts w:ascii="Verdana" w:eastAsia="Calibri" w:hAnsi="Verdana" w:cs="Arial"/>
          <w:color w:val="000000" w:themeColor="text1"/>
          <w:lang w:val="es-ES_tradnl"/>
        </w:rPr>
        <w:t xml:space="preserve"> La celebración de dicho contrato debe efectuarse a través de la modalidad de contratación directa. Así lo dispone el artículo 2, numeral 4º, literal h), de la Ley 1150 de 2007:</w:t>
      </w:r>
    </w:p>
    <w:p w14:paraId="7312A59A" w14:textId="77777777" w:rsidR="007C7375" w:rsidRPr="00A7405A" w:rsidRDefault="007C7375" w:rsidP="007C7375">
      <w:pPr>
        <w:spacing w:after="0" w:line="240" w:lineRule="auto"/>
        <w:ind w:right="709"/>
        <w:jc w:val="both"/>
        <w:rPr>
          <w:rFonts w:ascii="Verdana" w:eastAsia="Calibri" w:hAnsi="Verdana" w:cs="Arial"/>
          <w:color w:val="000000" w:themeColor="text1"/>
          <w:sz w:val="21"/>
          <w:szCs w:val="21"/>
          <w:lang w:val="es-ES_tradnl"/>
        </w:rPr>
      </w:pPr>
    </w:p>
    <w:p w14:paraId="2D6807D9" w14:textId="77777777" w:rsidR="007C7375" w:rsidRPr="0035421E" w:rsidRDefault="007C7375" w:rsidP="007C7375">
      <w:pPr>
        <w:spacing w:after="0" w:line="240" w:lineRule="auto"/>
        <w:ind w:left="709" w:right="758"/>
        <w:jc w:val="both"/>
        <w:rPr>
          <w:rFonts w:ascii="Verdana" w:eastAsia="Calibri" w:hAnsi="Verdana" w:cs="Arial"/>
          <w:i/>
          <w:iCs/>
          <w:color w:val="000000" w:themeColor="text1"/>
          <w:sz w:val="20"/>
          <w:szCs w:val="20"/>
          <w:lang w:val="es-MX"/>
        </w:rPr>
      </w:pPr>
      <w:r w:rsidRPr="0035421E">
        <w:rPr>
          <w:rFonts w:ascii="Verdana" w:eastAsia="Calibri" w:hAnsi="Verdana" w:cs="Arial"/>
          <w:i/>
          <w:iCs/>
          <w:color w:val="000000" w:themeColor="text1"/>
          <w:sz w:val="20"/>
          <w:szCs w:val="20"/>
          <w:lang w:val="es-MX"/>
        </w:rPr>
        <w:t>“La escogencia del contratista se efectuará con arreglo a las modalidades de selección de licitación pública, selección abreviada, concurso de méritos y contratación directa, con base en las siguientes reglas:</w:t>
      </w:r>
    </w:p>
    <w:p w14:paraId="0B01CFE6" w14:textId="77777777" w:rsidR="007C7375" w:rsidRPr="0035421E" w:rsidRDefault="007C7375" w:rsidP="007C7375">
      <w:pPr>
        <w:spacing w:after="120" w:line="240" w:lineRule="auto"/>
        <w:ind w:left="709" w:right="760"/>
        <w:jc w:val="both"/>
        <w:rPr>
          <w:rFonts w:ascii="Verdana" w:eastAsia="Calibri" w:hAnsi="Verdana" w:cs="Arial"/>
          <w:i/>
          <w:iCs/>
          <w:color w:val="000000" w:themeColor="text1"/>
          <w:sz w:val="20"/>
          <w:szCs w:val="20"/>
          <w:lang w:val="es-MX"/>
        </w:rPr>
      </w:pPr>
      <w:r w:rsidRPr="0035421E">
        <w:rPr>
          <w:rFonts w:ascii="Verdana" w:eastAsia="Calibri" w:hAnsi="Verdana" w:cs="Arial"/>
          <w:i/>
          <w:iCs/>
          <w:color w:val="000000" w:themeColor="text1"/>
          <w:sz w:val="20"/>
          <w:szCs w:val="20"/>
          <w:lang w:val="es-MX"/>
        </w:rPr>
        <w:t>[…]</w:t>
      </w:r>
    </w:p>
    <w:p w14:paraId="5F9169A5" w14:textId="77777777" w:rsidR="007C7375" w:rsidRPr="0035421E" w:rsidRDefault="007C7375" w:rsidP="007C7375">
      <w:pPr>
        <w:spacing w:after="0" w:line="240" w:lineRule="auto"/>
        <w:ind w:left="709" w:right="758"/>
        <w:jc w:val="both"/>
        <w:rPr>
          <w:rFonts w:ascii="Verdana" w:eastAsia="Calibri" w:hAnsi="Verdana" w:cs="Arial"/>
          <w:i/>
          <w:iCs/>
          <w:color w:val="000000" w:themeColor="text1"/>
          <w:sz w:val="20"/>
          <w:szCs w:val="20"/>
          <w:lang w:val="es-MX"/>
        </w:rPr>
      </w:pPr>
      <w:r w:rsidRPr="0035421E">
        <w:rPr>
          <w:rFonts w:ascii="Verdana" w:eastAsia="Calibri" w:hAnsi="Verdana" w:cs="Arial"/>
          <w:i/>
          <w:iCs/>
          <w:color w:val="000000" w:themeColor="text1"/>
          <w:sz w:val="20"/>
          <w:szCs w:val="20"/>
          <w:lang w:val="es-MX"/>
        </w:rPr>
        <w:t xml:space="preserve">4. Contratación directa. La modalidad de selección de contratación </w:t>
      </w:r>
      <w:proofErr w:type="gramStart"/>
      <w:r w:rsidRPr="0035421E">
        <w:rPr>
          <w:rFonts w:ascii="Verdana" w:eastAsia="Calibri" w:hAnsi="Verdana" w:cs="Arial"/>
          <w:i/>
          <w:iCs/>
          <w:color w:val="000000" w:themeColor="text1"/>
          <w:sz w:val="20"/>
          <w:szCs w:val="20"/>
          <w:lang w:val="es-MX"/>
        </w:rPr>
        <w:t>directa,</w:t>
      </w:r>
      <w:proofErr w:type="gramEnd"/>
      <w:r w:rsidRPr="0035421E">
        <w:rPr>
          <w:rFonts w:ascii="Verdana" w:eastAsia="Calibri" w:hAnsi="Verdana" w:cs="Arial"/>
          <w:i/>
          <w:iCs/>
          <w:color w:val="000000" w:themeColor="text1"/>
          <w:sz w:val="20"/>
          <w:szCs w:val="20"/>
          <w:lang w:val="es-MX"/>
        </w:rPr>
        <w:t xml:space="preserve"> solamente procederá en los siguientes casos:</w:t>
      </w:r>
    </w:p>
    <w:p w14:paraId="688EB688" w14:textId="77777777" w:rsidR="007C7375" w:rsidRPr="0035421E" w:rsidRDefault="007C7375" w:rsidP="007C7375">
      <w:pPr>
        <w:spacing w:after="120" w:line="240" w:lineRule="auto"/>
        <w:ind w:left="709" w:right="760"/>
        <w:jc w:val="both"/>
        <w:rPr>
          <w:rFonts w:ascii="Verdana" w:eastAsia="Calibri" w:hAnsi="Verdana" w:cs="Arial"/>
          <w:i/>
          <w:iCs/>
          <w:color w:val="000000" w:themeColor="text1"/>
          <w:sz w:val="20"/>
          <w:szCs w:val="20"/>
          <w:lang w:val="es-MX"/>
        </w:rPr>
      </w:pPr>
      <w:r w:rsidRPr="0035421E">
        <w:rPr>
          <w:rFonts w:ascii="Verdana" w:eastAsia="Calibri" w:hAnsi="Verdana" w:cs="Arial"/>
          <w:i/>
          <w:iCs/>
          <w:color w:val="000000" w:themeColor="text1"/>
          <w:sz w:val="20"/>
          <w:szCs w:val="20"/>
          <w:lang w:val="es-MX"/>
        </w:rPr>
        <w:t>[…]</w:t>
      </w:r>
    </w:p>
    <w:p w14:paraId="45FD6635" w14:textId="77777777" w:rsidR="007C7375" w:rsidRPr="0035421E" w:rsidRDefault="007C7375" w:rsidP="007C7375">
      <w:pPr>
        <w:spacing w:after="0" w:line="240" w:lineRule="auto"/>
        <w:ind w:left="709" w:right="758"/>
        <w:jc w:val="both"/>
        <w:rPr>
          <w:rFonts w:ascii="Verdana" w:eastAsia="Calibri" w:hAnsi="Verdana" w:cs="Arial"/>
          <w:i/>
          <w:iCs/>
          <w:color w:val="000000" w:themeColor="text1"/>
          <w:sz w:val="20"/>
          <w:szCs w:val="20"/>
          <w:lang w:val="es-MX"/>
        </w:rPr>
      </w:pPr>
      <w:r w:rsidRPr="0035421E">
        <w:rPr>
          <w:rFonts w:ascii="Verdana" w:eastAsia="Calibri" w:hAnsi="Verdana" w:cs="Arial"/>
          <w:i/>
          <w:iCs/>
          <w:color w:val="000000" w:themeColor="text1"/>
          <w:sz w:val="20"/>
          <w:szCs w:val="20"/>
          <w:lang w:val="es-MX"/>
        </w:rPr>
        <w:t>h) Para la prestación de servicios profesionales y de apoyo a la gestión, o para la ejecución de trabajos artísticos que sólo puedan encomendarse a determinadas personas naturales”.</w:t>
      </w:r>
    </w:p>
    <w:p w14:paraId="2546E130" w14:textId="77777777" w:rsidR="007C7375" w:rsidRPr="00A7405A" w:rsidRDefault="007C7375" w:rsidP="007C7375">
      <w:pPr>
        <w:tabs>
          <w:tab w:val="left" w:pos="0"/>
        </w:tabs>
        <w:spacing w:after="0" w:line="276" w:lineRule="auto"/>
        <w:jc w:val="both"/>
        <w:rPr>
          <w:rFonts w:ascii="Verdana" w:hAnsi="Verdana" w:cs="Arial"/>
          <w:noProof/>
          <w:lang w:val="es-ES_tradnl"/>
        </w:rPr>
      </w:pPr>
      <w:r w:rsidRPr="00A7405A">
        <w:rPr>
          <w:rFonts w:ascii="Verdana" w:hAnsi="Verdana" w:cs="Arial"/>
          <w:noProof/>
          <w:lang w:val="es-ES_tradnl"/>
        </w:rPr>
        <w:tab/>
      </w:r>
    </w:p>
    <w:p w14:paraId="2B39B16D" w14:textId="77777777" w:rsidR="007C7375" w:rsidRPr="00A7405A" w:rsidRDefault="007C7375" w:rsidP="007C7375">
      <w:pPr>
        <w:tabs>
          <w:tab w:val="left" w:pos="0"/>
        </w:tabs>
        <w:spacing w:after="0" w:line="276" w:lineRule="auto"/>
        <w:jc w:val="both"/>
        <w:rPr>
          <w:rFonts w:ascii="Verdana" w:hAnsi="Verdana" w:cs="Arial"/>
          <w:noProof/>
          <w:lang w:val="es-ES_tradnl"/>
        </w:rPr>
      </w:pPr>
      <w:r w:rsidRPr="00A7405A">
        <w:rPr>
          <w:rFonts w:ascii="Verdana" w:hAnsi="Verdana" w:cs="Arial"/>
          <w:noProof/>
          <w:lang w:val="es-ES_tradnl"/>
        </w:rPr>
        <w:tab/>
        <w:t xml:space="preserve">En tal sentido, el Decreto 1082 de 2015 en el </w:t>
      </w:r>
      <w:r>
        <w:rPr>
          <w:rFonts w:ascii="Verdana" w:hAnsi="Verdana" w:cs="Arial"/>
          <w:noProof/>
          <w:lang w:val="es-ES_tradnl"/>
        </w:rPr>
        <w:t>a</w:t>
      </w:r>
      <w:r w:rsidRPr="00A7405A">
        <w:rPr>
          <w:rFonts w:ascii="Verdana" w:hAnsi="Verdana" w:cs="Arial"/>
          <w:noProof/>
          <w:lang w:val="es-ES_tradnl"/>
        </w:rPr>
        <w:t>rtículo 2.2.1.2.1.4.9. reglamenta la contratación directa para los contratos de servicios profesionales y de apoyo a la gestión, o para la ejecución de trabajos artísticos que solo puedan encomendarse a determinadas personas naturales, en los siguientes términos:</w:t>
      </w:r>
    </w:p>
    <w:p w14:paraId="5F5864E8" w14:textId="77777777" w:rsidR="007C7375" w:rsidRPr="00A7405A" w:rsidRDefault="007C7375" w:rsidP="007C7375">
      <w:pPr>
        <w:spacing w:after="0" w:line="276" w:lineRule="auto"/>
        <w:jc w:val="both"/>
        <w:rPr>
          <w:rFonts w:ascii="Verdana" w:hAnsi="Verdana" w:cs="Arial"/>
          <w:lang w:val="es-ES"/>
        </w:rPr>
      </w:pPr>
    </w:p>
    <w:p w14:paraId="5D240EF7" w14:textId="77777777" w:rsidR="007C7375" w:rsidRPr="0035421E" w:rsidRDefault="007C7375" w:rsidP="007C7375">
      <w:pPr>
        <w:spacing w:after="0" w:line="240" w:lineRule="auto"/>
        <w:ind w:left="709" w:right="758"/>
        <w:jc w:val="both"/>
        <w:rPr>
          <w:rFonts w:ascii="Verdana" w:hAnsi="Verdana" w:cs="Arial"/>
          <w:i/>
          <w:iCs/>
          <w:sz w:val="20"/>
          <w:szCs w:val="20"/>
          <w:lang w:val="es-MX"/>
        </w:rPr>
      </w:pPr>
      <w:r w:rsidRPr="0035421E">
        <w:rPr>
          <w:rFonts w:ascii="Verdana" w:hAnsi="Verdana" w:cs="Arial"/>
          <w:i/>
          <w:iCs/>
          <w:sz w:val="20"/>
          <w:szCs w:val="20"/>
          <w:lang w:val="es-MX"/>
        </w:rPr>
        <w:t xml:space="preserve">“Las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w:t>
      </w:r>
      <w:r w:rsidRPr="0035421E">
        <w:rPr>
          <w:rFonts w:ascii="Verdana" w:hAnsi="Verdana" w:cs="Arial"/>
          <w:i/>
          <w:iCs/>
          <w:sz w:val="20"/>
          <w:szCs w:val="20"/>
          <w:lang w:val="es-MX"/>
        </w:rPr>
        <w:lastRenderedPageBreak/>
        <w:t>verifique la idoneidad o experiencia requerida y relacionada con el área de que se trate. En este caso, no es necesario que la Entidad Estatal haya obtenido previamente varias ofertas, de lo cual el ordenador del gasto debe dejar constancia escrita.</w:t>
      </w:r>
    </w:p>
    <w:p w14:paraId="4B5F0F25" w14:textId="77777777" w:rsidR="007C7375" w:rsidRPr="0035421E" w:rsidRDefault="007C7375" w:rsidP="007C7375">
      <w:pPr>
        <w:spacing w:after="0" w:line="240" w:lineRule="auto"/>
        <w:ind w:left="709" w:right="758"/>
        <w:jc w:val="both"/>
        <w:rPr>
          <w:rFonts w:ascii="Verdana" w:hAnsi="Verdana" w:cs="Arial"/>
          <w:i/>
          <w:iCs/>
          <w:sz w:val="20"/>
          <w:szCs w:val="20"/>
        </w:rPr>
      </w:pPr>
    </w:p>
    <w:p w14:paraId="18D4CA1F" w14:textId="77777777" w:rsidR="007C7375" w:rsidRPr="0035421E" w:rsidRDefault="007C7375" w:rsidP="007C7375">
      <w:pPr>
        <w:spacing w:after="0" w:line="240" w:lineRule="auto"/>
        <w:ind w:left="709" w:right="758"/>
        <w:jc w:val="both"/>
        <w:rPr>
          <w:rFonts w:ascii="Verdana" w:hAnsi="Verdana" w:cs="Arial"/>
          <w:i/>
          <w:iCs/>
          <w:sz w:val="20"/>
          <w:szCs w:val="20"/>
          <w:lang w:val="es-MX"/>
        </w:rPr>
      </w:pPr>
      <w:r w:rsidRPr="0035421E">
        <w:rPr>
          <w:rFonts w:ascii="Verdana" w:hAnsi="Verdana" w:cs="Arial"/>
          <w:i/>
          <w:iCs/>
          <w:sz w:val="20"/>
          <w:szCs w:val="20"/>
          <w:lang w:val="es-MX"/>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365ACC46" w14:textId="77777777" w:rsidR="007C7375" w:rsidRPr="0035421E" w:rsidRDefault="007C7375" w:rsidP="007C7375">
      <w:pPr>
        <w:spacing w:after="0" w:line="240" w:lineRule="auto"/>
        <w:ind w:left="709" w:right="758"/>
        <w:jc w:val="both"/>
        <w:rPr>
          <w:rFonts w:ascii="Verdana" w:hAnsi="Verdana" w:cs="Arial"/>
          <w:i/>
          <w:iCs/>
          <w:sz w:val="20"/>
          <w:szCs w:val="20"/>
          <w:lang w:val="es-MX"/>
        </w:rPr>
      </w:pPr>
    </w:p>
    <w:p w14:paraId="545B5812" w14:textId="77777777" w:rsidR="007C7375" w:rsidRPr="0035421E" w:rsidRDefault="007C7375" w:rsidP="007C7375">
      <w:pPr>
        <w:spacing w:after="0" w:line="240" w:lineRule="auto"/>
        <w:ind w:left="709" w:right="758"/>
        <w:jc w:val="both"/>
        <w:rPr>
          <w:rFonts w:ascii="Verdana" w:hAnsi="Verdana" w:cs="Arial"/>
          <w:i/>
          <w:iCs/>
          <w:sz w:val="20"/>
          <w:szCs w:val="20"/>
          <w:lang w:val="es-MX"/>
        </w:rPr>
      </w:pPr>
      <w:r w:rsidRPr="0035421E">
        <w:rPr>
          <w:rFonts w:ascii="Verdana" w:hAnsi="Verdana" w:cs="Arial"/>
          <w:i/>
          <w:iCs/>
          <w:sz w:val="20"/>
          <w:szCs w:val="20"/>
          <w:lang w:val="es-MX"/>
        </w:rPr>
        <w:t>La Entidad Estatal, para la contratación de trabajos artísticos que solamente puedan en</w:t>
      </w:r>
      <w:r w:rsidRPr="0035421E">
        <w:rPr>
          <w:rFonts w:ascii="Verdana" w:hAnsi="Verdana" w:cs="Arial"/>
          <w:i/>
          <w:iCs/>
          <w:sz w:val="20"/>
          <w:szCs w:val="20"/>
          <w:lang w:val="es-MX"/>
        </w:rPr>
        <w:softHyphen/>
        <w:t>comendarse a determinadas personas naturales, debe justificar esta situación en los estudios y documentos previos”.</w:t>
      </w:r>
    </w:p>
    <w:p w14:paraId="4F4E7EAF" w14:textId="77777777" w:rsidR="007C7375" w:rsidRPr="00A7405A" w:rsidRDefault="007C7375" w:rsidP="007C7375">
      <w:pPr>
        <w:tabs>
          <w:tab w:val="left" w:pos="0"/>
        </w:tabs>
        <w:spacing w:after="0" w:line="276" w:lineRule="auto"/>
        <w:jc w:val="both"/>
        <w:rPr>
          <w:rFonts w:ascii="Verdana" w:hAnsi="Verdana" w:cs="Arial"/>
          <w:noProof/>
          <w:sz w:val="21"/>
          <w:szCs w:val="21"/>
        </w:rPr>
      </w:pPr>
    </w:p>
    <w:p w14:paraId="115ED8BE" w14:textId="77777777" w:rsidR="007C7375" w:rsidRPr="00A7405A" w:rsidRDefault="007C7375" w:rsidP="007C7375">
      <w:pPr>
        <w:tabs>
          <w:tab w:val="left" w:pos="0"/>
        </w:tabs>
        <w:spacing w:before="120" w:after="0" w:line="276" w:lineRule="auto"/>
        <w:jc w:val="both"/>
        <w:rPr>
          <w:rFonts w:ascii="Verdana" w:hAnsi="Verdana" w:cs="Arial"/>
          <w:color w:val="000000" w:themeColor="text1"/>
          <w:sz w:val="21"/>
          <w:szCs w:val="21"/>
          <w:lang w:val="es-MX"/>
        </w:rPr>
      </w:pPr>
      <w:r>
        <w:rPr>
          <w:rFonts w:ascii="Verdana" w:hAnsi="Verdana" w:cs="Arial"/>
          <w:color w:val="000000" w:themeColor="text1"/>
          <w:lang w:val="es-MX"/>
        </w:rPr>
        <w:tab/>
        <w:t xml:space="preserve">Como especies del género </w:t>
      </w:r>
      <w:r w:rsidRPr="00A7405A">
        <w:rPr>
          <w:rFonts w:ascii="Verdana" w:hAnsi="Verdana" w:cs="Arial"/>
          <w:i/>
          <w:iCs/>
          <w:color w:val="000000" w:themeColor="text1"/>
          <w:lang w:val="es-MX"/>
        </w:rPr>
        <w:t>contrato de prestación de servicios</w:t>
      </w:r>
      <w:r>
        <w:rPr>
          <w:rFonts w:ascii="Verdana" w:hAnsi="Verdana" w:cs="Arial"/>
          <w:color w:val="000000" w:themeColor="text1"/>
          <w:lang w:val="es-MX"/>
        </w:rPr>
        <w:t xml:space="preserve"> </w:t>
      </w:r>
      <w:r w:rsidRPr="00A7405A">
        <w:rPr>
          <w:rFonts w:ascii="Verdana" w:hAnsi="Verdana" w:cs="Arial"/>
          <w:color w:val="000000" w:themeColor="text1"/>
          <w:lang w:val="es-MX"/>
        </w:rPr>
        <w:t xml:space="preserve">se incluyen </w:t>
      </w:r>
      <w:r w:rsidRPr="00A7405A">
        <w:rPr>
          <w:rFonts w:ascii="Verdana" w:hAnsi="Verdana" w:cs="Arial"/>
          <w:color w:val="000000" w:themeColor="text1"/>
          <w:lang w:val="es-ES"/>
        </w:rPr>
        <w:t xml:space="preserve">los </w:t>
      </w:r>
      <w:r w:rsidRPr="00A7405A">
        <w:rPr>
          <w:rFonts w:ascii="Verdana" w:hAnsi="Verdana" w:cs="Arial"/>
          <w:i/>
          <w:color w:val="000000" w:themeColor="text1"/>
          <w:lang w:val="es-ES"/>
        </w:rPr>
        <w:t>contratos de prestación de servicios profesionales, los contratos de prestación de servicios de apoyo a la gestión</w:t>
      </w:r>
      <w:r w:rsidRPr="00A7405A">
        <w:rPr>
          <w:rFonts w:ascii="Verdana" w:hAnsi="Verdana" w:cs="Arial"/>
          <w:color w:val="000000" w:themeColor="text1"/>
          <w:lang w:val="es-ES"/>
        </w:rPr>
        <w:t xml:space="preserve"> y los </w:t>
      </w:r>
      <w:r w:rsidRPr="00A7405A">
        <w:rPr>
          <w:rFonts w:ascii="Verdana" w:hAnsi="Verdana" w:cs="Arial"/>
          <w:i/>
          <w:color w:val="000000" w:themeColor="text1"/>
          <w:lang w:val="es-ES"/>
        </w:rPr>
        <w:t>contratos de prestación de servicios artísticos que solo pueden encomendarse a determinadas personas naturales</w:t>
      </w:r>
      <w:r w:rsidRPr="00A7405A">
        <w:rPr>
          <w:rFonts w:ascii="Verdana" w:hAnsi="Verdana" w:cs="Arial"/>
          <w:color w:val="000000" w:themeColor="text1"/>
          <w:vertAlign w:val="superscript"/>
          <w:lang w:val="es-ES_tradnl"/>
        </w:rPr>
        <w:footnoteReference w:id="3"/>
      </w:r>
      <w:r w:rsidRPr="00A7405A">
        <w:rPr>
          <w:rFonts w:ascii="Verdana" w:hAnsi="Verdana" w:cs="Arial"/>
          <w:color w:val="000000" w:themeColor="text1"/>
          <w:lang w:val="es-MX"/>
        </w:rPr>
        <w:t xml:space="preserve">. </w:t>
      </w:r>
      <w:r w:rsidRPr="00A7405A">
        <w:rPr>
          <w:rFonts w:ascii="Verdana" w:hAnsi="Verdana" w:cs="Arial"/>
          <w:color w:val="000000" w:themeColor="text1"/>
          <w:lang w:val="es-ES"/>
        </w:rPr>
        <w:t xml:space="preserve">La diferencia entre el contrato de prestación de servicios </w:t>
      </w:r>
      <w:r w:rsidRPr="00A7405A">
        <w:rPr>
          <w:rFonts w:ascii="Verdana" w:hAnsi="Verdana" w:cs="Arial"/>
          <w:i/>
          <w:color w:val="000000" w:themeColor="text1"/>
          <w:lang w:val="es-ES"/>
        </w:rPr>
        <w:t>profesionales</w:t>
      </w:r>
      <w:r w:rsidRPr="00A7405A">
        <w:rPr>
          <w:rFonts w:ascii="Verdana" w:hAnsi="Verdana" w:cs="Arial"/>
          <w:color w:val="000000" w:themeColor="text1"/>
          <w:lang w:val="es-ES"/>
        </w:rPr>
        <w:t xml:space="preserve"> con las otras dos especies del género en el cual se </w:t>
      </w:r>
      <w:proofErr w:type="gramStart"/>
      <w:r w:rsidRPr="00A7405A">
        <w:rPr>
          <w:rFonts w:ascii="Verdana" w:hAnsi="Verdana" w:cs="Arial"/>
          <w:color w:val="000000" w:themeColor="text1"/>
          <w:lang w:val="es-ES"/>
        </w:rPr>
        <w:t>ubican,</w:t>
      </w:r>
      <w:proofErr w:type="gramEnd"/>
      <w:r w:rsidRPr="00A7405A">
        <w:rPr>
          <w:rFonts w:ascii="Verdana" w:hAnsi="Verdana" w:cs="Arial"/>
          <w:color w:val="000000" w:themeColor="text1"/>
          <w:lang w:val="es-ES"/>
        </w:rPr>
        <w:t xml:space="preserve"> radica en su contenido intelectual intangible y, al mismo tiempo, en la formación profesional que se exige para desempeñar la labor. Así lo consideró el Consejo de Estado en Sentencia de Unificación jurisprudencial del 2 de diciembre de 2013, al explicar que:</w:t>
      </w:r>
    </w:p>
    <w:p w14:paraId="7EADAA57" w14:textId="77777777" w:rsidR="007C7375" w:rsidRPr="00A7405A" w:rsidRDefault="007C7375" w:rsidP="007C7375">
      <w:pPr>
        <w:spacing w:after="0" w:line="276" w:lineRule="auto"/>
        <w:ind w:firstLine="709"/>
        <w:jc w:val="both"/>
        <w:rPr>
          <w:rFonts w:ascii="Verdana" w:hAnsi="Verdana" w:cs="Arial"/>
          <w:color w:val="000000" w:themeColor="text1"/>
          <w:lang w:val="es-ES_tradnl"/>
        </w:rPr>
      </w:pPr>
    </w:p>
    <w:p w14:paraId="676CCA15" w14:textId="77777777" w:rsidR="007C7375" w:rsidRPr="0035421E" w:rsidRDefault="007C7375" w:rsidP="007C7375">
      <w:pPr>
        <w:spacing w:after="0" w:line="240" w:lineRule="auto"/>
        <w:ind w:left="709" w:right="709"/>
        <w:jc w:val="both"/>
        <w:rPr>
          <w:rFonts w:ascii="Verdana" w:hAnsi="Verdana" w:cs="Arial"/>
          <w:i/>
          <w:iCs/>
          <w:color w:val="000000" w:themeColor="text1"/>
          <w:sz w:val="20"/>
          <w:szCs w:val="20"/>
          <w:lang w:val="es-ES_tradnl"/>
        </w:rPr>
      </w:pPr>
      <w:r w:rsidRPr="0035421E">
        <w:rPr>
          <w:rFonts w:ascii="Verdana" w:hAnsi="Verdana" w:cs="Arial"/>
          <w:i/>
          <w:iCs/>
          <w:color w:val="000000" w:themeColor="text1"/>
          <w:sz w:val="20"/>
          <w:szCs w:val="20"/>
          <w:lang w:val="es-ES_tradnl"/>
        </w:rPr>
        <w:t xml:space="preserve">“Su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w:t>
      </w:r>
      <w:r w:rsidRPr="0035421E">
        <w:rPr>
          <w:rFonts w:ascii="Verdana" w:hAnsi="Verdana" w:cs="Arial"/>
          <w:i/>
          <w:iCs/>
          <w:color w:val="000000" w:themeColor="text1"/>
          <w:sz w:val="20"/>
          <w:szCs w:val="20"/>
          <w:lang w:val="es-ES_tradnl"/>
        </w:rPr>
        <w:lastRenderedPageBreak/>
        <w:t>Se caracteriza por demandar un conocimiento intelectivo cualificado: el saber profesional”</w:t>
      </w:r>
      <w:r w:rsidRPr="0035421E">
        <w:rPr>
          <w:rFonts w:ascii="Verdana" w:hAnsi="Verdana" w:cs="Arial"/>
          <w:i/>
          <w:iCs/>
          <w:color w:val="000000" w:themeColor="text1"/>
          <w:sz w:val="20"/>
          <w:szCs w:val="20"/>
          <w:vertAlign w:val="superscript"/>
          <w:lang w:val="es-ES_tradnl"/>
        </w:rPr>
        <w:footnoteReference w:id="4"/>
      </w:r>
      <w:r w:rsidRPr="0035421E">
        <w:rPr>
          <w:rFonts w:ascii="Verdana" w:hAnsi="Verdana" w:cs="Arial"/>
          <w:i/>
          <w:iCs/>
          <w:color w:val="000000" w:themeColor="text1"/>
          <w:sz w:val="20"/>
          <w:szCs w:val="20"/>
          <w:lang w:val="es-ES_tradnl"/>
        </w:rPr>
        <w:t>.</w:t>
      </w:r>
    </w:p>
    <w:p w14:paraId="539178D8" w14:textId="77777777" w:rsidR="007C7375" w:rsidRPr="00A7405A" w:rsidRDefault="007C7375" w:rsidP="007C7375">
      <w:pPr>
        <w:spacing w:after="0" w:line="276" w:lineRule="auto"/>
        <w:ind w:firstLine="709"/>
        <w:jc w:val="both"/>
        <w:rPr>
          <w:rFonts w:ascii="Verdana" w:hAnsi="Verdana" w:cs="Arial"/>
          <w:color w:val="000000" w:themeColor="text1"/>
          <w:lang w:val="es-ES_tradnl"/>
        </w:rPr>
      </w:pPr>
    </w:p>
    <w:p w14:paraId="0ED5E1EB" w14:textId="77777777" w:rsidR="007C7375" w:rsidRPr="00A7405A" w:rsidRDefault="007C7375" w:rsidP="007C7375">
      <w:pPr>
        <w:spacing w:after="0" w:line="276" w:lineRule="auto"/>
        <w:ind w:firstLine="709"/>
        <w:jc w:val="both"/>
        <w:rPr>
          <w:rFonts w:ascii="Verdana" w:hAnsi="Verdana" w:cs="Arial"/>
          <w:color w:val="000000" w:themeColor="text1"/>
          <w:lang w:val="es-ES_tradnl"/>
        </w:rPr>
      </w:pPr>
      <w:r w:rsidRPr="00A7405A">
        <w:rPr>
          <w:rFonts w:ascii="Verdana" w:hAnsi="Verdana" w:cs="Arial"/>
          <w:color w:val="000000" w:themeColor="text1"/>
          <w:lang w:val="es-ES_tradnl"/>
        </w:rPr>
        <w:t xml:space="preserve">Lo expuesto, según la jurisprudencia citada, se diferencia del objeto del </w:t>
      </w:r>
      <w:r w:rsidRPr="00A7405A">
        <w:rPr>
          <w:rFonts w:ascii="Verdana" w:hAnsi="Verdana" w:cs="Arial"/>
          <w:i/>
          <w:iCs/>
          <w:color w:val="000000" w:themeColor="text1"/>
          <w:lang w:val="es-ES_tradnl"/>
        </w:rPr>
        <w:t>contrato de prestación de servicios de apoyo a la gestión</w:t>
      </w:r>
      <w:r w:rsidRPr="00A7405A">
        <w:rPr>
          <w:rFonts w:ascii="Verdana" w:hAnsi="Verdana" w:cs="Arial"/>
          <w:color w:val="000000" w:themeColor="text1"/>
          <w:lang w:val="es-ES_tradnl"/>
        </w:rPr>
        <w:t>, en los siguientes aspectos:</w:t>
      </w:r>
    </w:p>
    <w:p w14:paraId="3E48B9FB" w14:textId="77777777" w:rsidR="007C7375" w:rsidRPr="00A7405A" w:rsidRDefault="007C7375" w:rsidP="007C7375">
      <w:pPr>
        <w:spacing w:after="0" w:line="276" w:lineRule="auto"/>
        <w:ind w:firstLine="709"/>
        <w:jc w:val="both"/>
        <w:rPr>
          <w:rFonts w:ascii="Verdana" w:hAnsi="Verdana" w:cs="Arial"/>
          <w:color w:val="000000" w:themeColor="text1"/>
          <w:lang w:val="es-ES_tradnl"/>
        </w:rPr>
      </w:pPr>
    </w:p>
    <w:p w14:paraId="0713A236" w14:textId="77777777" w:rsidR="007C7375" w:rsidRPr="0035421E" w:rsidRDefault="007C7375" w:rsidP="007C7375">
      <w:pPr>
        <w:spacing w:after="120" w:line="240" w:lineRule="auto"/>
        <w:ind w:left="709" w:right="709"/>
        <w:jc w:val="both"/>
        <w:rPr>
          <w:rFonts w:ascii="Verdana" w:hAnsi="Verdana" w:cs="Arial"/>
          <w:i/>
          <w:iCs/>
          <w:color w:val="000000" w:themeColor="text1"/>
          <w:sz w:val="20"/>
          <w:szCs w:val="20"/>
          <w:lang w:val="es-ES_tradnl"/>
        </w:rPr>
      </w:pPr>
      <w:r w:rsidRPr="0035421E">
        <w:rPr>
          <w:rFonts w:ascii="Verdana" w:hAnsi="Verdana" w:cs="Arial"/>
          <w:i/>
          <w:iCs/>
          <w:color w:val="000000" w:themeColor="text1"/>
          <w:sz w:val="20"/>
          <w:szCs w:val="20"/>
          <w:lang w:val="es-ES_tradnl"/>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1742A4CC" w14:textId="77777777" w:rsidR="007C7375" w:rsidRPr="0035421E" w:rsidRDefault="007C7375" w:rsidP="007C7375">
      <w:pPr>
        <w:spacing w:after="120" w:line="240" w:lineRule="auto"/>
        <w:ind w:left="709" w:right="709"/>
        <w:jc w:val="both"/>
        <w:rPr>
          <w:rFonts w:ascii="Verdana" w:hAnsi="Verdana" w:cs="Arial"/>
          <w:i/>
          <w:iCs/>
          <w:color w:val="000000" w:themeColor="text1"/>
          <w:sz w:val="20"/>
          <w:szCs w:val="20"/>
          <w:lang w:val="es-ES"/>
        </w:rPr>
      </w:pPr>
      <w:r w:rsidRPr="0035421E">
        <w:rPr>
          <w:rFonts w:ascii="Verdana" w:hAnsi="Verdana" w:cs="Arial"/>
          <w:i/>
          <w:iCs/>
          <w:color w:val="000000" w:themeColor="text1"/>
          <w:sz w:val="20"/>
          <w:szCs w:val="20"/>
          <w:lang w:val="es-ES"/>
        </w:rPr>
        <w:t xml:space="preserve">Aunque también se caracteriza por el desempeño de actividad intelectiva, ésta </w:t>
      </w:r>
      <w:proofErr w:type="gramStart"/>
      <w:r w:rsidRPr="0035421E">
        <w:rPr>
          <w:rFonts w:ascii="Verdana" w:hAnsi="Verdana" w:cs="Arial"/>
          <w:i/>
          <w:iCs/>
          <w:color w:val="000000" w:themeColor="text1"/>
          <w:sz w:val="20"/>
          <w:szCs w:val="20"/>
          <w:lang w:val="es-ES"/>
        </w:rPr>
        <w:t>se enmarca dentro de</w:t>
      </w:r>
      <w:proofErr w:type="gramEnd"/>
      <w:r w:rsidRPr="0035421E">
        <w:rPr>
          <w:rFonts w:ascii="Verdana" w:hAnsi="Verdana" w:cs="Arial"/>
          <w:i/>
          <w:iCs/>
          <w:color w:val="000000" w:themeColor="text1"/>
          <w:sz w:val="20"/>
          <w:szCs w:val="20"/>
          <w:lang w:val="es-ES"/>
        </w:rPr>
        <w:t xml:space="preserve"> un saber propiamente técnico; igualmente involucra actividades en donde prima el esfuerzo físico o mecánico, en donde no se requiere de personal profesional.</w:t>
      </w:r>
    </w:p>
    <w:p w14:paraId="72B8DBE8" w14:textId="77777777" w:rsidR="007C7375" w:rsidRPr="0035421E" w:rsidRDefault="007C7375" w:rsidP="007C7375">
      <w:pPr>
        <w:spacing w:after="0" w:line="240" w:lineRule="auto"/>
        <w:ind w:left="709" w:right="709"/>
        <w:jc w:val="both"/>
        <w:rPr>
          <w:rFonts w:ascii="Verdana" w:hAnsi="Verdana" w:cs="Arial"/>
          <w:i/>
          <w:iCs/>
          <w:color w:val="000000" w:themeColor="text1"/>
          <w:sz w:val="20"/>
          <w:szCs w:val="20"/>
          <w:lang w:val="es-ES_tradnl"/>
        </w:rPr>
      </w:pPr>
      <w:r w:rsidRPr="0035421E">
        <w:rPr>
          <w:rFonts w:ascii="Verdana" w:hAnsi="Verdana" w:cs="Arial"/>
          <w:i/>
          <w:iCs/>
          <w:color w:val="000000" w:themeColor="text1"/>
          <w:sz w:val="20"/>
          <w:szCs w:val="20"/>
          <w:lang w:val="es-ES_tradnl"/>
        </w:rPr>
        <w:t>Dentro de su objeto contractual pueden tener lugar actividades operativas, logísticas o asistenciales, siempre que satisfaga los requisitos antes mencionados y sea acorde con las necesidades de la Administración y el principio de planeación”</w:t>
      </w:r>
      <w:r w:rsidRPr="0035421E">
        <w:rPr>
          <w:rFonts w:ascii="Verdana" w:hAnsi="Verdana" w:cs="Arial"/>
          <w:i/>
          <w:iCs/>
          <w:color w:val="000000" w:themeColor="text1"/>
          <w:sz w:val="20"/>
          <w:szCs w:val="20"/>
          <w:vertAlign w:val="superscript"/>
          <w:lang w:val="es-ES_tradnl"/>
        </w:rPr>
        <w:footnoteReference w:id="5"/>
      </w:r>
      <w:r w:rsidRPr="0035421E">
        <w:rPr>
          <w:rFonts w:ascii="Verdana" w:hAnsi="Verdana" w:cs="Arial"/>
          <w:i/>
          <w:iCs/>
          <w:color w:val="000000" w:themeColor="text1"/>
          <w:sz w:val="20"/>
          <w:szCs w:val="20"/>
          <w:lang w:val="es-ES_tradnl"/>
        </w:rPr>
        <w:t>.</w:t>
      </w:r>
    </w:p>
    <w:p w14:paraId="38D93D28" w14:textId="77777777" w:rsidR="007C7375" w:rsidRPr="00A7405A" w:rsidRDefault="007C7375" w:rsidP="007C7375">
      <w:pPr>
        <w:spacing w:after="0" w:line="276" w:lineRule="auto"/>
        <w:ind w:firstLine="709"/>
        <w:jc w:val="both"/>
        <w:rPr>
          <w:rFonts w:ascii="Verdana" w:hAnsi="Verdana" w:cs="Arial"/>
          <w:color w:val="000000" w:themeColor="text1"/>
          <w:lang w:val="es-ES_tradnl"/>
        </w:rPr>
      </w:pPr>
    </w:p>
    <w:p w14:paraId="010BF456" w14:textId="77777777" w:rsidR="007C7375" w:rsidRPr="00CA4DE6" w:rsidRDefault="007C7375" w:rsidP="007C7375">
      <w:pPr>
        <w:spacing w:after="120" w:line="276" w:lineRule="auto"/>
        <w:ind w:firstLine="709"/>
        <w:jc w:val="both"/>
        <w:rPr>
          <w:rFonts w:ascii="Verdana" w:eastAsia="Calibri" w:hAnsi="Verdana" w:cs="Arial"/>
          <w:color w:val="000000" w:themeColor="text1"/>
          <w:lang w:val="es-ES_tradnl"/>
        </w:rPr>
      </w:pPr>
      <w:r w:rsidRPr="00A7405A">
        <w:rPr>
          <w:rFonts w:ascii="Verdana" w:hAnsi="Verdana" w:cs="Arial"/>
          <w:color w:val="000000" w:themeColor="text1"/>
          <w:lang w:val="es-ES_tradnl"/>
        </w:rPr>
        <w:t xml:space="preserve">En este sentido, el contrato de prestación de servicios </w:t>
      </w:r>
      <w:r w:rsidRPr="00A7405A">
        <w:rPr>
          <w:rFonts w:ascii="Verdana" w:hAnsi="Verdana" w:cs="Arial"/>
          <w:i/>
          <w:iCs/>
          <w:color w:val="000000" w:themeColor="text1"/>
          <w:lang w:val="es-ES_tradnl"/>
        </w:rPr>
        <w:t>profesionales</w:t>
      </w:r>
      <w:r w:rsidRPr="00A7405A">
        <w:rPr>
          <w:rFonts w:ascii="Verdana" w:hAnsi="Verdana" w:cs="Arial"/>
          <w:color w:val="000000" w:themeColor="text1"/>
          <w:lang w:val="es-ES_tradnl"/>
        </w:rPr>
        <w:t xml:space="preserve"> se caracteriza porque su objeto guarda relación con el desarrollo de actividades que demandan competencias y habilidades profesionales o especializadas de la persona natural o jurídica a contratar, de manera que se trata de un </w:t>
      </w:r>
      <w:r w:rsidRPr="00A7405A">
        <w:rPr>
          <w:rFonts w:ascii="Verdana" w:hAnsi="Verdana" w:cs="Arial"/>
          <w:i/>
          <w:iCs/>
          <w:color w:val="000000" w:themeColor="text1"/>
          <w:lang w:val="es-ES_tradnl"/>
        </w:rPr>
        <w:t>saber intelectivo cualificado.</w:t>
      </w:r>
      <w:r w:rsidRPr="00A7405A">
        <w:rPr>
          <w:rFonts w:ascii="Verdana" w:hAnsi="Verdana" w:cs="Arial"/>
          <w:color w:val="000000" w:themeColor="text1"/>
          <w:lang w:val="es-ES_tradnl"/>
        </w:rPr>
        <w:t xml:space="preserve"> En cambio, los contratos de prestación de servicios de </w:t>
      </w:r>
      <w:r w:rsidRPr="00A7405A">
        <w:rPr>
          <w:rFonts w:ascii="Verdana" w:hAnsi="Verdana" w:cs="Arial"/>
          <w:i/>
          <w:iCs/>
          <w:color w:val="000000" w:themeColor="text1"/>
          <w:lang w:val="es-ES_tradnl"/>
        </w:rPr>
        <w:t>apoyo a la gestión</w:t>
      </w:r>
      <w:r w:rsidRPr="00A7405A">
        <w:rPr>
          <w:rFonts w:ascii="Verdana" w:hAnsi="Verdana" w:cs="Arial"/>
          <w:color w:val="000000" w:themeColor="text1"/>
          <w:lang w:val="es-ES_tradnl"/>
        </w:rPr>
        <w:t xml:space="preserve"> y de </w:t>
      </w:r>
      <w:r w:rsidRPr="00A7405A">
        <w:rPr>
          <w:rFonts w:ascii="Verdana" w:hAnsi="Verdana" w:cs="Arial"/>
          <w:i/>
          <w:iCs/>
          <w:color w:val="000000" w:themeColor="text1"/>
          <w:lang w:val="es-ES_tradnl"/>
        </w:rPr>
        <w:t>servicios artísticos</w:t>
      </w:r>
      <w:r w:rsidRPr="00A7405A">
        <w:rPr>
          <w:rFonts w:ascii="Verdana" w:hAnsi="Verdana" w:cs="Arial"/>
          <w:color w:val="000000" w:themeColor="text1"/>
          <w:lang w:val="es-ES_tradnl"/>
        </w:rPr>
        <w:t xml:space="preserve"> no involucran ese conocimiento profesional </w:t>
      </w:r>
      <w:r w:rsidRPr="00A7405A">
        <w:rPr>
          <w:rFonts w:ascii="Verdana" w:hAnsi="Verdana" w:cs="Arial"/>
          <w:color w:val="000000" w:themeColor="text1"/>
          <w:lang w:val="es-MX"/>
        </w:rPr>
        <w:t xml:space="preserve">o especializados para su ejecución. En los contratos de apoyo a la gestión </w:t>
      </w:r>
      <w:r w:rsidRPr="00A7405A">
        <w:rPr>
          <w:rFonts w:ascii="Verdana" w:hAnsi="Verdana" w:cs="Arial"/>
          <w:color w:val="000000" w:themeColor="text1"/>
          <w:lang w:val="es-ES_tradnl"/>
        </w:rPr>
        <w:t xml:space="preserve">el contratista desempeña un esfuerzo o actividad de apoyo, acompañamiento, o soporte, </w:t>
      </w:r>
      <w:r w:rsidRPr="00A7405A">
        <w:rPr>
          <w:rFonts w:ascii="Verdana" w:hAnsi="Verdana" w:cs="Arial"/>
          <w:color w:val="000000" w:themeColor="text1"/>
          <w:lang w:val="es-MX"/>
        </w:rPr>
        <w:t xml:space="preserve">donde </w:t>
      </w:r>
      <w:r w:rsidRPr="00A7405A">
        <w:rPr>
          <w:rFonts w:ascii="Verdana" w:hAnsi="Verdana" w:cs="Arial"/>
          <w:i/>
          <w:iCs/>
          <w:color w:val="000000" w:themeColor="text1"/>
          <w:lang w:val="es-MX"/>
        </w:rPr>
        <w:t>“</w:t>
      </w:r>
      <w:r w:rsidRPr="00A7405A">
        <w:rPr>
          <w:rFonts w:ascii="Verdana" w:hAnsi="Verdana" w:cs="Arial"/>
          <w:i/>
          <w:iCs/>
          <w:color w:val="000000" w:themeColor="text1"/>
          <w:lang w:val="es-ES_tradnl"/>
        </w:rPr>
        <w:t xml:space="preserve">lo predominante es el actuar como ejecutor, con el propósito y finalidad de satisfacer necesidades de las entidades estatales en lo relacionado con la gestión administrativa o funcionamiento de </w:t>
      </w:r>
      <w:proofErr w:type="gramStart"/>
      <w:r w:rsidRPr="00A7405A">
        <w:rPr>
          <w:rFonts w:ascii="Verdana" w:hAnsi="Verdana" w:cs="Arial"/>
          <w:i/>
          <w:iCs/>
          <w:color w:val="000000" w:themeColor="text1"/>
          <w:lang w:val="es-ES_tradnl"/>
        </w:rPr>
        <w:t>la misma</w:t>
      </w:r>
      <w:proofErr w:type="gramEnd"/>
      <w:r w:rsidRPr="00A7405A">
        <w:rPr>
          <w:rFonts w:ascii="Verdana" w:hAnsi="Verdana" w:cs="Arial"/>
          <w:i/>
          <w:iCs/>
          <w:color w:val="000000" w:themeColor="text1"/>
          <w:lang w:val="es-ES_tradnl"/>
        </w:rPr>
        <w:t>, por personas no profesionales y que no implican el ejercicio de funciones públicas administrativas”</w:t>
      </w:r>
      <w:r w:rsidRPr="00A7405A">
        <w:rPr>
          <w:rFonts w:ascii="Verdana" w:hAnsi="Verdana" w:cs="Arial"/>
          <w:color w:val="000000" w:themeColor="text1"/>
          <w:lang w:val="es-ES_tradnl"/>
        </w:rPr>
        <w:t xml:space="preserve">. Igualmente, en el contrato de prestación de servicios artísticos lo prevalente es que la persona que lo ejecute se trate de un artista, es decir, “una persona reconocida como realizador o productor de arte, de obras de arte, </w:t>
      </w:r>
      <w:r w:rsidRPr="00A7405A">
        <w:rPr>
          <w:rFonts w:ascii="Verdana" w:hAnsi="Verdana" w:cs="Arial"/>
          <w:color w:val="000000" w:themeColor="text1"/>
          <w:lang w:val="es-ES_tradnl"/>
        </w:rPr>
        <w:lastRenderedPageBreak/>
        <w:t xml:space="preserve">ejecutor de trabajos artísticos”, para lo cual es indiferente el carácter de </w:t>
      </w:r>
      <w:r w:rsidRPr="00CA4DE6">
        <w:rPr>
          <w:rFonts w:ascii="Verdana" w:eastAsia="Calibri" w:hAnsi="Verdana" w:cs="Arial"/>
          <w:color w:val="000000" w:themeColor="text1"/>
          <w:lang w:val="es-ES_tradnl"/>
        </w:rPr>
        <w:t>profesional.</w:t>
      </w:r>
    </w:p>
    <w:p w14:paraId="42A941B0" w14:textId="77777777" w:rsidR="007C7375" w:rsidRPr="00EB1CF7" w:rsidRDefault="007C7375" w:rsidP="007C7375">
      <w:pPr>
        <w:spacing w:after="120" w:line="276" w:lineRule="auto"/>
        <w:ind w:firstLine="709"/>
        <w:jc w:val="both"/>
        <w:rPr>
          <w:rFonts w:ascii="Verdana" w:eastAsia="Calibri" w:hAnsi="Verdana" w:cs="Arial"/>
          <w:color w:val="000000" w:themeColor="text1"/>
          <w:lang w:val="es-ES"/>
        </w:rPr>
      </w:pPr>
      <w:r w:rsidRPr="31F7AC4D">
        <w:rPr>
          <w:rFonts w:ascii="Verdana" w:eastAsia="Calibri" w:hAnsi="Verdana" w:cs="Arial"/>
          <w:color w:val="000000" w:themeColor="text1"/>
          <w:lang w:val="es-ES"/>
        </w:rPr>
        <w:t>Por otro</w:t>
      </w:r>
      <w:r w:rsidRPr="31F7AC4D">
        <w:rPr>
          <w:rFonts w:ascii="Verdana" w:hAnsi="Verdana" w:cs="Arial"/>
          <w:color w:val="000000" w:themeColor="text1"/>
          <w:lang w:val="es-ES"/>
        </w:rPr>
        <w:t xml:space="preserve"> lado, </w:t>
      </w:r>
      <w:r w:rsidRPr="31F7AC4D">
        <w:rPr>
          <w:rFonts w:ascii="Verdana" w:eastAsia="Calibri" w:hAnsi="Verdana" w:cs="Arial"/>
          <w:color w:val="000000" w:themeColor="text1"/>
          <w:lang w:val="es-ES"/>
        </w:rPr>
        <w:t xml:space="preserve">Los </w:t>
      </w:r>
      <w:r w:rsidRPr="31F7AC4D">
        <w:rPr>
          <w:rFonts w:ascii="Verdana" w:eastAsia="Calibri" w:hAnsi="Verdana" w:cs="Arial"/>
          <w:i/>
          <w:iCs/>
          <w:color w:val="000000" w:themeColor="text1"/>
          <w:lang w:val="es-ES"/>
        </w:rPr>
        <w:t>requisitos habilitantes</w:t>
      </w:r>
      <w:r w:rsidRPr="31F7AC4D">
        <w:rPr>
          <w:rFonts w:ascii="Verdana" w:eastAsia="Calibri" w:hAnsi="Verdana" w:cs="Arial"/>
          <w:color w:val="000000" w:themeColor="text1"/>
          <w:lang w:val="es-ES"/>
        </w:rPr>
        <w:t xml:space="preserve"> se definen como exigencias de participación en los procedimientos de selección, establecidas en disposiciones normativas, de carácter legal o reglamentario, o contenidas en el acto administrativo que regula las reglas de la convocatoria, es decir, en el pliego de condiciones o el documento equivalente a este. Se diferencian de los </w:t>
      </w:r>
      <w:r w:rsidRPr="31F7AC4D">
        <w:rPr>
          <w:rFonts w:ascii="Verdana" w:eastAsia="Calibri" w:hAnsi="Verdana" w:cs="Arial"/>
          <w:i/>
          <w:iCs/>
          <w:color w:val="000000" w:themeColor="text1"/>
          <w:lang w:val="es-ES"/>
        </w:rPr>
        <w:t>criterios de evaluación</w:t>
      </w:r>
      <w:r w:rsidRPr="31F7AC4D">
        <w:rPr>
          <w:rFonts w:ascii="Verdana" w:eastAsia="Calibri" w:hAnsi="Verdana" w:cs="Arial"/>
          <w:color w:val="000000" w:themeColor="text1"/>
          <w:lang w:val="es-ES"/>
        </w:rPr>
        <w:t xml:space="preserve"> –también conocidos como </w:t>
      </w:r>
      <w:r w:rsidRPr="31F7AC4D">
        <w:rPr>
          <w:rFonts w:ascii="Verdana" w:eastAsia="Calibri" w:hAnsi="Verdana" w:cs="Arial"/>
          <w:i/>
          <w:iCs/>
          <w:color w:val="000000" w:themeColor="text1"/>
          <w:lang w:val="es-ES"/>
        </w:rPr>
        <w:t>criterios de calificación</w:t>
      </w:r>
      <w:r w:rsidRPr="31F7AC4D">
        <w:rPr>
          <w:rFonts w:ascii="Verdana" w:eastAsia="Calibri" w:hAnsi="Verdana" w:cs="Arial"/>
          <w:color w:val="000000" w:themeColor="text1"/>
          <w:lang w:val="es-ES"/>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7249CA7D" w14:textId="77777777" w:rsidR="007C7375" w:rsidRPr="00EB1CF7" w:rsidRDefault="007C7375" w:rsidP="007C7375">
      <w:pPr>
        <w:spacing w:after="120" w:line="276" w:lineRule="auto"/>
        <w:ind w:firstLine="708"/>
        <w:jc w:val="both"/>
        <w:rPr>
          <w:rFonts w:ascii="Verdana" w:eastAsia="Calibri" w:hAnsi="Verdana" w:cs="Arial"/>
          <w:color w:val="000000" w:themeColor="text1"/>
          <w:lang w:val="es-ES"/>
        </w:rPr>
      </w:pPr>
      <w:r w:rsidRPr="31F7AC4D">
        <w:rPr>
          <w:rFonts w:ascii="Verdana" w:eastAsia="Calibri" w:hAnsi="Verdana" w:cs="Arial"/>
          <w:color w:val="000000" w:themeColor="text1"/>
          <w:lang w:val="es-ES"/>
        </w:rPr>
        <w:t>A partir de lo dicho se deduce entonces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 de manera que quienes no los reúnan no pueden continuar en el procedimiento de selección, o sea, incurren en causal de rechazo. Esto sin perjuicio del derecho que tienen los oferentes de subsanar los defectos que se presenten en la prueba de tales requisitos, de conformidad con el artículo 5, parágrafos 1º al 4º, de la Ley 1150 de 2007.</w:t>
      </w:r>
    </w:p>
    <w:p w14:paraId="13EA02A4" w14:textId="77777777" w:rsidR="007C7375" w:rsidRPr="00F61C7A" w:rsidRDefault="007C7375" w:rsidP="007C7375">
      <w:pPr>
        <w:spacing w:before="120" w:line="276" w:lineRule="auto"/>
        <w:ind w:firstLine="709"/>
        <w:jc w:val="both"/>
        <w:rPr>
          <w:rFonts w:ascii="Verdana" w:eastAsia="Calibri" w:hAnsi="Verdana" w:cs="Arial"/>
          <w:color w:val="000000" w:themeColor="text1"/>
          <w:lang w:val="es-ES"/>
        </w:rPr>
      </w:pPr>
      <w:r w:rsidRPr="31F7AC4D">
        <w:rPr>
          <w:rFonts w:ascii="Verdana" w:eastAsia="Calibri" w:hAnsi="Verdana" w:cs="Arial"/>
          <w:color w:val="000000" w:themeColor="text1"/>
          <w:lang w:val="es-ES"/>
        </w:rPr>
        <w:t xml:space="preserve">El mencionado artículo dispone que se considera </w:t>
      </w:r>
      <w:r w:rsidRPr="31F7AC4D">
        <w:rPr>
          <w:rFonts w:ascii="Verdana" w:eastAsia="Calibri" w:hAnsi="Verdana" w:cs="Arial"/>
          <w:i/>
          <w:iCs/>
          <w:color w:val="000000" w:themeColor="text1"/>
          <w:lang w:val="es-ES"/>
        </w:rPr>
        <w:t>“</w:t>
      </w:r>
      <w:r w:rsidRPr="31F7AC4D">
        <w:rPr>
          <w:rFonts w:ascii="Verdana" w:eastAsia="Calibri" w:hAnsi="Verdana" w:cs="Arial"/>
          <w:color w:val="000000" w:themeColor="text1"/>
          <w:lang w:val="es-ES"/>
        </w:rPr>
        <w:t>objetiva la selección en la cual la escogencia se haga al ofrecimiento más favorable a la entidad y a los fines que ella busca, sin tener en consideración factores de afecto o de interés y, en general, cualquier clase de motivación subjetiva</w:t>
      </w:r>
      <w:r w:rsidRPr="31F7AC4D">
        <w:rPr>
          <w:rFonts w:ascii="Verdana" w:eastAsia="Calibri" w:hAnsi="Verdana" w:cs="Arial"/>
          <w:i/>
          <w:iCs/>
          <w:color w:val="000000" w:themeColor="text1"/>
          <w:lang w:val="es-ES"/>
        </w:rPr>
        <w:t>”</w:t>
      </w:r>
      <w:r w:rsidRPr="31F7AC4D">
        <w:rPr>
          <w:rFonts w:ascii="Verdana" w:eastAsia="Calibri" w:hAnsi="Verdana" w:cs="Arial"/>
          <w:color w:val="000000" w:themeColor="text1"/>
          <w:lang w:val="es-ES"/>
        </w:rPr>
        <w:t xml:space="preserve">. De este modo, los factores de escogencia y calificación que establezcan las entidades en los pliegos de condiciones o sus documentos equivalentes deberán tener en cuenta, entre otras cuestiones, los criterios establecidos en dicha disposición. Específicamente, el numeral 1º del artículo referido establece que en los procesos de selección de contratistas serán objeto de verificación, como requisitos habilitantes, </w:t>
      </w:r>
      <w:r w:rsidRPr="31F7AC4D">
        <w:rPr>
          <w:rFonts w:ascii="Verdana" w:eastAsia="Calibri" w:hAnsi="Verdana" w:cs="Arial"/>
          <w:i/>
          <w:iCs/>
          <w:color w:val="000000" w:themeColor="text1"/>
          <w:lang w:val="es-ES"/>
        </w:rPr>
        <w:t>entre otros</w:t>
      </w:r>
      <w:r w:rsidRPr="31F7AC4D">
        <w:rPr>
          <w:rFonts w:ascii="Verdana" w:eastAsia="Calibri" w:hAnsi="Verdana" w:cs="Arial"/>
          <w:color w:val="000000" w:themeColor="text1"/>
          <w:lang w:val="es-ES"/>
        </w:rPr>
        <w:t xml:space="preserve">, los siguientes: i) la capacidad jurídica; </w:t>
      </w:r>
      <w:proofErr w:type="spellStart"/>
      <w:r w:rsidRPr="31F7AC4D">
        <w:rPr>
          <w:rFonts w:ascii="Verdana" w:eastAsia="Calibri" w:hAnsi="Verdana" w:cs="Arial"/>
          <w:color w:val="000000" w:themeColor="text1"/>
          <w:lang w:val="es-ES"/>
        </w:rPr>
        <w:t>ii</w:t>
      </w:r>
      <w:proofErr w:type="spellEnd"/>
      <w:r w:rsidRPr="31F7AC4D">
        <w:rPr>
          <w:rFonts w:ascii="Verdana" w:eastAsia="Calibri" w:hAnsi="Verdana" w:cs="Arial"/>
          <w:color w:val="000000" w:themeColor="text1"/>
          <w:lang w:val="es-ES"/>
        </w:rPr>
        <w:t xml:space="preserve">) la experiencia; </w:t>
      </w:r>
      <w:proofErr w:type="spellStart"/>
      <w:r w:rsidRPr="31F7AC4D">
        <w:rPr>
          <w:rFonts w:ascii="Verdana" w:eastAsia="Calibri" w:hAnsi="Verdana" w:cs="Arial"/>
          <w:color w:val="000000" w:themeColor="text1"/>
          <w:lang w:val="es-ES"/>
        </w:rPr>
        <w:t>iii</w:t>
      </w:r>
      <w:proofErr w:type="spellEnd"/>
      <w:r w:rsidRPr="31F7AC4D">
        <w:rPr>
          <w:rFonts w:ascii="Verdana" w:eastAsia="Calibri" w:hAnsi="Verdana" w:cs="Arial"/>
          <w:color w:val="000000" w:themeColor="text1"/>
          <w:lang w:val="es-ES"/>
        </w:rPr>
        <w:t xml:space="preserve">) la capacidad financiera y </w:t>
      </w:r>
      <w:proofErr w:type="spellStart"/>
      <w:r w:rsidRPr="31F7AC4D">
        <w:rPr>
          <w:rFonts w:ascii="Verdana" w:eastAsia="Calibri" w:hAnsi="Verdana" w:cs="Arial"/>
          <w:color w:val="000000" w:themeColor="text1"/>
          <w:lang w:val="es-ES"/>
        </w:rPr>
        <w:t>iv</w:t>
      </w:r>
      <w:proofErr w:type="spellEnd"/>
      <w:r w:rsidRPr="31F7AC4D">
        <w:rPr>
          <w:rFonts w:ascii="Verdana" w:eastAsia="Calibri" w:hAnsi="Verdana" w:cs="Arial"/>
          <w:color w:val="000000" w:themeColor="text1"/>
          <w:lang w:val="es-ES"/>
        </w:rPr>
        <w:t xml:space="preserve">) la capacidad de organización. En efecto, la normativa citada dispone: </w:t>
      </w:r>
    </w:p>
    <w:p w14:paraId="13741058" w14:textId="77777777" w:rsidR="007C7375" w:rsidRPr="0035421E" w:rsidRDefault="007C7375" w:rsidP="007C7375">
      <w:pPr>
        <w:ind w:left="709" w:right="709"/>
        <w:jc w:val="both"/>
        <w:rPr>
          <w:rFonts w:ascii="Verdana" w:eastAsia="Calibri" w:hAnsi="Verdana" w:cs="Arial"/>
          <w:i/>
          <w:iCs/>
          <w:color w:val="000000" w:themeColor="text1"/>
          <w:sz w:val="20"/>
          <w:szCs w:val="20"/>
          <w:lang w:val="es-ES_tradnl"/>
        </w:rPr>
      </w:pPr>
      <w:r w:rsidRPr="0035421E">
        <w:rPr>
          <w:rFonts w:ascii="Verdana" w:eastAsia="Calibri" w:hAnsi="Verdana" w:cs="Arial"/>
          <w:i/>
          <w:iCs/>
          <w:color w:val="000000" w:themeColor="text1"/>
          <w:sz w:val="20"/>
          <w:szCs w:val="20"/>
          <w:lang w:val="es-ES_tradnl"/>
        </w:rPr>
        <w:t xml:space="preserve">“Artículo 5. De la Selección Objetiva. </w:t>
      </w:r>
    </w:p>
    <w:p w14:paraId="66A3AD60" w14:textId="77777777" w:rsidR="007C7375" w:rsidRPr="0035421E" w:rsidRDefault="007C7375" w:rsidP="007C7375">
      <w:pPr>
        <w:spacing w:after="120"/>
        <w:ind w:left="709" w:right="709"/>
        <w:jc w:val="both"/>
        <w:rPr>
          <w:rFonts w:ascii="Verdana" w:eastAsia="Calibri" w:hAnsi="Verdana" w:cs="Arial"/>
          <w:i/>
          <w:iCs/>
          <w:color w:val="000000" w:themeColor="text1"/>
          <w:sz w:val="20"/>
          <w:szCs w:val="20"/>
          <w:lang w:val="es-ES_tradnl"/>
        </w:rPr>
      </w:pPr>
      <w:r w:rsidRPr="0035421E">
        <w:rPr>
          <w:rFonts w:ascii="Verdana" w:eastAsia="Calibri" w:hAnsi="Verdana" w:cs="Arial"/>
          <w:i/>
          <w:iCs/>
          <w:color w:val="000000" w:themeColor="text1"/>
          <w:sz w:val="20"/>
          <w:szCs w:val="20"/>
          <w:lang w:val="es-ES_tradnl"/>
        </w:rPr>
        <w:t>[…]</w:t>
      </w:r>
    </w:p>
    <w:p w14:paraId="303F1890" w14:textId="77777777" w:rsidR="007C7375" w:rsidRDefault="007C7375" w:rsidP="007C7375">
      <w:pPr>
        <w:spacing w:after="120"/>
        <w:ind w:left="709" w:right="709"/>
        <w:jc w:val="both"/>
        <w:rPr>
          <w:rFonts w:ascii="Verdana" w:eastAsia="Calibri" w:hAnsi="Verdana" w:cs="Arial"/>
          <w:i/>
          <w:iCs/>
          <w:color w:val="000000" w:themeColor="text1"/>
          <w:sz w:val="20"/>
          <w:szCs w:val="20"/>
          <w:lang w:val="es-ES"/>
        </w:rPr>
      </w:pPr>
      <w:r w:rsidRPr="31F7AC4D">
        <w:rPr>
          <w:rFonts w:ascii="Verdana" w:eastAsia="Calibri" w:hAnsi="Verdana" w:cs="Arial"/>
          <w:i/>
          <w:iCs/>
          <w:color w:val="000000" w:themeColor="text1"/>
          <w:sz w:val="20"/>
          <w:szCs w:val="20"/>
          <w:lang w:val="es-ES"/>
        </w:rPr>
        <w:t xml:space="preserve">1. La capacidad jurídica y las condiciones de experiencia, capacidad financiera y de organización de los proponentes serán objeto de </w:t>
      </w:r>
      <w:r w:rsidRPr="31F7AC4D">
        <w:rPr>
          <w:rFonts w:ascii="Verdana" w:eastAsia="Calibri" w:hAnsi="Verdana" w:cs="Arial"/>
          <w:i/>
          <w:iCs/>
          <w:color w:val="000000" w:themeColor="text1"/>
          <w:sz w:val="20"/>
          <w:szCs w:val="20"/>
          <w:lang w:val="es-ES"/>
        </w:rPr>
        <w:lastRenderedPageBreak/>
        <w:t>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 […]”.</w:t>
      </w:r>
    </w:p>
    <w:p w14:paraId="7F9E1A3C" w14:textId="77777777" w:rsidR="007C7375" w:rsidRPr="0035421E" w:rsidRDefault="007C7375" w:rsidP="007C7375">
      <w:pPr>
        <w:spacing w:after="0"/>
        <w:ind w:left="709" w:right="709"/>
        <w:jc w:val="both"/>
        <w:rPr>
          <w:rFonts w:ascii="Verdana" w:eastAsia="Calibri" w:hAnsi="Verdana" w:cs="Arial"/>
          <w:i/>
          <w:iCs/>
          <w:color w:val="000000" w:themeColor="text1"/>
          <w:sz w:val="20"/>
          <w:szCs w:val="20"/>
          <w:lang w:val="es-ES"/>
        </w:rPr>
      </w:pPr>
    </w:p>
    <w:p w14:paraId="6F616C66" w14:textId="77777777" w:rsidR="007C7375" w:rsidRDefault="007C7375" w:rsidP="007C7375">
      <w:pPr>
        <w:spacing w:line="276" w:lineRule="auto"/>
        <w:ind w:firstLine="708"/>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 xml:space="preserve">Conforme lo ha sostenido esta Agencia en distintos conceptos, </w:t>
      </w:r>
      <w:r w:rsidRPr="006D2F09">
        <w:rPr>
          <w:rFonts w:ascii="Verdana" w:eastAsia="Calibri" w:hAnsi="Verdana" w:cs="Arial"/>
          <w:color w:val="000000" w:themeColor="text1"/>
          <w:lang w:val="es-ES_tradnl"/>
        </w:rPr>
        <w:t>los requisitos habilitantes establecidos en el artículo 5, numeral 1, de la Ley 1150 de 2007</w:t>
      </w:r>
      <w:r>
        <w:rPr>
          <w:rFonts w:ascii="Verdana" w:eastAsia="Calibri" w:hAnsi="Verdana" w:cs="Arial"/>
          <w:color w:val="000000" w:themeColor="text1"/>
          <w:lang w:val="es-ES_tradnl"/>
        </w:rPr>
        <w:t xml:space="preserve"> son de carácter enunciativos y no taxativos. Esta interpretación legal se resume en los siguientes argumentos: E</w:t>
      </w:r>
      <w:r w:rsidRPr="007577B1">
        <w:rPr>
          <w:rFonts w:ascii="Verdana" w:eastAsia="Calibri" w:hAnsi="Verdana" w:cs="Arial"/>
          <w:color w:val="000000" w:themeColor="text1"/>
          <w:lang w:val="es-ES_tradnl"/>
        </w:rPr>
        <w:t>sta</w:t>
      </w:r>
      <w:r>
        <w:rPr>
          <w:rFonts w:ascii="Verdana" w:eastAsia="Calibri" w:hAnsi="Verdana" w:cs="Arial"/>
          <w:color w:val="000000" w:themeColor="text1"/>
          <w:lang w:val="es-ES_tradnl"/>
        </w:rPr>
        <w:t xml:space="preserve"> norma</w:t>
      </w:r>
      <w:r w:rsidRPr="007577B1">
        <w:rPr>
          <w:rFonts w:ascii="Verdana" w:eastAsia="Calibri" w:hAnsi="Verdana" w:cs="Arial"/>
          <w:color w:val="000000" w:themeColor="text1"/>
          <w:lang w:val="es-ES_tradnl"/>
        </w:rPr>
        <w:t xml:space="preserve"> no contiene una expresión como “únicamente” o “solo”, al referirse a los requisitos habilitantes y, además, debido a que la lectura integral de las normas que regulan la contratación estatal permite concluir que existen otras condiciones que deben cumplirse para la contratación con una entidad pública, como pasa, por ejemplo, con la capacidad residual a la que se refiere el artículo 6º, parágrafo 1, de la Ley 1150 de 2007</w:t>
      </w:r>
      <w:r>
        <w:rPr>
          <w:rStyle w:val="Refdenotaalpie"/>
          <w:rFonts w:ascii="Verdana" w:eastAsia="Calibri" w:hAnsi="Verdana" w:cs="Arial"/>
          <w:color w:val="000000" w:themeColor="text1"/>
          <w:lang w:val="es-ES_tradnl"/>
        </w:rPr>
        <w:footnoteReference w:id="6"/>
      </w:r>
      <w:r w:rsidRPr="007577B1">
        <w:rPr>
          <w:rFonts w:ascii="Verdana" w:eastAsia="Calibri" w:hAnsi="Verdana" w:cs="Arial"/>
          <w:color w:val="000000" w:themeColor="text1"/>
          <w:lang w:val="es-ES_tradnl"/>
        </w:rPr>
        <w:t>.</w:t>
      </w:r>
    </w:p>
    <w:p w14:paraId="078887F5" w14:textId="77777777" w:rsidR="007C7375" w:rsidRDefault="007C7375" w:rsidP="007C7375">
      <w:pPr>
        <w:spacing w:line="276" w:lineRule="auto"/>
        <w:ind w:firstLine="708"/>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Además, l</w:t>
      </w:r>
      <w:r w:rsidRPr="008F51FF">
        <w:rPr>
          <w:rFonts w:ascii="Verdana" w:eastAsia="Calibri" w:hAnsi="Verdana" w:cs="Arial"/>
          <w:color w:val="000000" w:themeColor="text1"/>
          <w:lang w:val="es-ES_tradnl"/>
        </w:rPr>
        <w:t>a intención del legislador, de la cual dan cuenta los antecedentes legislativos de la norma sub examine</w:t>
      </w:r>
      <w:r>
        <w:rPr>
          <w:rStyle w:val="Refdenotaalpie"/>
          <w:rFonts w:ascii="Verdana" w:eastAsia="Calibri" w:hAnsi="Verdana" w:cs="Arial"/>
          <w:color w:val="000000" w:themeColor="text1"/>
          <w:lang w:val="es-ES_tradnl"/>
        </w:rPr>
        <w:footnoteReference w:id="7"/>
      </w:r>
      <w:r w:rsidRPr="008F51FF">
        <w:rPr>
          <w:rFonts w:ascii="Verdana" w:eastAsia="Calibri" w:hAnsi="Verdana" w:cs="Arial"/>
          <w:color w:val="000000" w:themeColor="text1"/>
          <w:lang w:val="es-ES_tradnl"/>
        </w:rPr>
        <w:t>, también justifica la interpretación propuesta por esta Agencia, ya que fue hasta el cuarto debate legislativo en donde se incluyó</w:t>
      </w:r>
      <w:r>
        <w:rPr>
          <w:rFonts w:ascii="Verdana" w:eastAsia="Calibri" w:hAnsi="Verdana" w:cs="Arial"/>
          <w:color w:val="000000" w:themeColor="text1"/>
          <w:lang w:val="es-ES_tradnl"/>
        </w:rPr>
        <w:t xml:space="preserve"> </w:t>
      </w:r>
      <w:r w:rsidRPr="009B2760">
        <w:rPr>
          <w:rFonts w:ascii="Verdana" w:eastAsia="Calibri" w:hAnsi="Verdana" w:cs="Arial"/>
          <w:color w:val="000000" w:themeColor="text1"/>
          <w:lang w:val="es-ES_tradnl"/>
        </w:rPr>
        <w:t>parágrafo 2 del mismo artículo 5 de la Ley 1150 de 2007</w:t>
      </w:r>
      <w:r>
        <w:rPr>
          <w:rStyle w:val="Refdenotaalpie"/>
          <w:rFonts w:ascii="Verdana" w:eastAsia="Calibri" w:hAnsi="Verdana" w:cs="Arial"/>
          <w:color w:val="000000" w:themeColor="text1"/>
          <w:lang w:val="es-ES_tradnl"/>
        </w:rPr>
        <w:footnoteReference w:id="8"/>
      </w:r>
      <w:r>
        <w:rPr>
          <w:rFonts w:ascii="Verdana" w:eastAsia="Calibri" w:hAnsi="Verdana" w:cs="Arial"/>
          <w:color w:val="000000" w:themeColor="text1"/>
          <w:lang w:val="es-ES_tradnl"/>
        </w:rPr>
        <w:t xml:space="preserve">, </w:t>
      </w:r>
      <w:r w:rsidRPr="008F51FF">
        <w:rPr>
          <w:rFonts w:ascii="Verdana" w:eastAsia="Calibri" w:hAnsi="Verdana" w:cs="Arial"/>
          <w:color w:val="000000" w:themeColor="text1"/>
          <w:lang w:val="es-ES_tradnl"/>
        </w:rPr>
        <w:t xml:space="preserve">lo que deja ver la necesidad que tenía el Congreso de aclarar que unos documentos no podrían ser tenidos como requisitos habilitantes, lo que </w:t>
      </w:r>
      <w:r>
        <w:rPr>
          <w:rFonts w:ascii="Verdana" w:eastAsia="Calibri" w:hAnsi="Verdana" w:cs="Arial"/>
          <w:color w:val="000000" w:themeColor="text1"/>
          <w:lang w:val="es-ES_tradnl"/>
        </w:rPr>
        <w:t xml:space="preserve">asimismo evidencia </w:t>
      </w:r>
      <w:r w:rsidRPr="008F51FF">
        <w:rPr>
          <w:rFonts w:ascii="Verdana" w:eastAsia="Calibri" w:hAnsi="Verdana" w:cs="Arial"/>
          <w:color w:val="000000" w:themeColor="text1"/>
          <w:lang w:val="es-ES_tradnl"/>
        </w:rPr>
        <w:t xml:space="preserve">el reconocimiento tácito de la existencia de otros requisitos habilitantes, distintos a los cuatro que establece el artículo 5, </w:t>
      </w:r>
      <w:r>
        <w:rPr>
          <w:rFonts w:ascii="Verdana" w:eastAsia="Calibri" w:hAnsi="Verdana" w:cs="Arial"/>
          <w:color w:val="000000" w:themeColor="text1"/>
          <w:lang w:val="es-ES_tradnl"/>
        </w:rPr>
        <w:t xml:space="preserve">numeral </w:t>
      </w:r>
      <w:r w:rsidRPr="008F51FF">
        <w:rPr>
          <w:rFonts w:ascii="Verdana" w:eastAsia="Calibri" w:hAnsi="Verdana" w:cs="Arial"/>
          <w:color w:val="000000" w:themeColor="text1"/>
          <w:lang w:val="es-ES_tradnl"/>
        </w:rPr>
        <w:t>1, de la Ley 1150 de 2007</w:t>
      </w:r>
      <w:r>
        <w:rPr>
          <w:rFonts w:ascii="Verdana" w:eastAsia="Calibri" w:hAnsi="Verdana" w:cs="Arial"/>
          <w:color w:val="000000" w:themeColor="text1"/>
          <w:lang w:val="es-ES_tradnl"/>
        </w:rPr>
        <w:t xml:space="preserve">. </w:t>
      </w:r>
    </w:p>
    <w:p w14:paraId="1BD48212" w14:textId="77777777" w:rsidR="007C7375" w:rsidRPr="009616D4" w:rsidRDefault="007C7375" w:rsidP="007C7375">
      <w:pPr>
        <w:spacing w:line="276" w:lineRule="auto"/>
        <w:ind w:firstLine="708"/>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Por último, e</w:t>
      </w:r>
      <w:r w:rsidRPr="00FF0CF5">
        <w:rPr>
          <w:rFonts w:ascii="Verdana" w:eastAsia="Calibri" w:hAnsi="Verdana" w:cs="Arial"/>
          <w:color w:val="000000" w:themeColor="text1"/>
          <w:lang w:val="es-ES_tradnl"/>
        </w:rPr>
        <w:t xml:space="preserve">n el “Manual para determinar y verificar los requisitos habilitantes en los Procesos de Contratación” expedido por esta Agencia, </w:t>
      </w:r>
      <w:r>
        <w:rPr>
          <w:rFonts w:ascii="Verdana" w:eastAsia="Calibri" w:hAnsi="Verdana" w:cs="Arial"/>
          <w:color w:val="000000" w:themeColor="text1"/>
          <w:lang w:val="es-ES_tradnl"/>
        </w:rPr>
        <w:t xml:space="preserve">en el cual </w:t>
      </w:r>
      <w:r w:rsidRPr="00FF0CF5">
        <w:rPr>
          <w:rFonts w:ascii="Verdana" w:eastAsia="Calibri" w:hAnsi="Verdana" w:cs="Arial"/>
          <w:color w:val="000000" w:themeColor="text1"/>
          <w:lang w:val="es-ES_tradnl"/>
        </w:rPr>
        <w:t>se determinaron los parámetros para establecer, acreditar y subsanar los requisitos habilitantes estudiados en los párrafos precedentes</w:t>
      </w:r>
      <w:r>
        <w:rPr>
          <w:rFonts w:ascii="Verdana" w:eastAsia="Calibri" w:hAnsi="Verdana" w:cs="Arial"/>
          <w:color w:val="000000" w:themeColor="text1"/>
          <w:lang w:val="es-ES_tradnl"/>
        </w:rPr>
        <w:t xml:space="preserve">, se indica que su </w:t>
      </w:r>
      <w:r w:rsidRPr="00FF0CF5">
        <w:rPr>
          <w:rFonts w:ascii="Verdana" w:eastAsia="Calibri" w:hAnsi="Verdana" w:cs="Arial"/>
          <w:color w:val="000000" w:themeColor="text1"/>
          <w:lang w:val="es-ES_tradnl"/>
        </w:rPr>
        <w:lastRenderedPageBreak/>
        <w:t>propósito consiste en “establecer unas condiciones mínimas para los proponentes de tal manera que la Entidad Estatal sólo evalúe las ofertas de aquellos que están en condiciones de cumplir con el objeto del Proceso de Contratación”. En otras palabras, al tratarse de condiciones mínimas, significa que las entidades podrían establecer otras, según su autonomía de la voluntad, y teniendo en cuenta el objeto del contrato, los riesgos detectados en los estudios previos, el presupuesto oficial, entre otros factores.</w:t>
      </w:r>
    </w:p>
    <w:p w14:paraId="428EABA1" w14:textId="77777777" w:rsidR="007C7375" w:rsidRDefault="007C7375" w:rsidP="007C7375">
      <w:pPr>
        <w:widowControl w:val="0"/>
        <w:autoSpaceDE w:val="0"/>
        <w:autoSpaceDN w:val="0"/>
        <w:spacing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En consecuencia, </w:t>
      </w:r>
      <w:r w:rsidRPr="009616D4">
        <w:rPr>
          <w:rFonts w:ascii="Verdana" w:eastAsia="Calibri" w:hAnsi="Verdana" w:cs="Arial"/>
          <w:color w:val="000000" w:themeColor="text1"/>
        </w:rPr>
        <w:t xml:space="preserve">corresponde a las entidades estatales, durante la etapa de planeación del contrato estatal, estudiar y determinar los requisitos habilitantes que establecerán en los pliegos de condiciones, los cuales deben fijarse de forma adecuada y proporcional. Esto último, según se deriva de la lectura del artículo 2.2.1.1.1.6.2 del Decreto 1082 de 2015, debe hacerse de acuerdo </w:t>
      </w:r>
      <w:bookmarkStart w:id="0" w:name="_Hlk182863897"/>
      <w:r w:rsidRPr="009616D4">
        <w:rPr>
          <w:rFonts w:ascii="Verdana" w:eastAsia="Calibri" w:hAnsi="Verdana" w:cs="Arial"/>
          <w:color w:val="000000" w:themeColor="text1"/>
        </w:rPr>
        <w:t>con la naturaleza, el valor del contrato, la forma de pago, los riesgos asociados al contrato, el plazo y la complejidad de ejecución del objeto</w:t>
      </w:r>
      <w:r>
        <w:rPr>
          <w:rStyle w:val="Refdenotaalpie"/>
          <w:rFonts w:ascii="Verdana" w:eastAsia="Calibri" w:hAnsi="Verdana" w:cs="Arial"/>
          <w:color w:val="000000" w:themeColor="text1"/>
        </w:rPr>
        <w:footnoteReference w:id="9"/>
      </w:r>
      <w:r w:rsidRPr="009616D4">
        <w:rPr>
          <w:rFonts w:ascii="Verdana" w:eastAsia="Calibri" w:hAnsi="Verdana" w:cs="Arial"/>
          <w:color w:val="000000" w:themeColor="text1"/>
        </w:rPr>
        <w:t>.</w:t>
      </w:r>
      <w:bookmarkEnd w:id="0"/>
    </w:p>
    <w:p w14:paraId="765B1714" w14:textId="77777777" w:rsidR="007C7375" w:rsidRDefault="007C7375" w:rsidP="007C7375">
      <w:pPr>
        <w:widowControl w:val="0"/>
        <w:autoSpaceDE w:val="0"/>
        <w:autoSpaceDN w:val="0"/>
        <w:spacing w:line="276" w:lineRule="auto"/>
        <w:ind w:firstLine="709"/>
        <w:jc w:val="both"/>
        <w:rPr>
          <w:rFonts w:ascii="Verdana" w:eastAsia="Calibri" w:hAnsi="Verdana" w:cs="Arial"/>
          <w:color w:val="000000" w:themeColor="text1"/>
        </w:rPr>
      </w:pPr>
      <w:r w:rsidRPr="009616D4">
        <w:rPr>
          <w:rFonts w:ascii="Verdana" w:eastAsia="Calibri" w:hAnsi="Verdana" w:cs="Arial"/>
          <w:color w:val="000000" w:themeColor="text1"/>
        </w:rPr>
        <w:t>Considerando la discrecionalidad para establecer requisitos habilitantes, es necesario tener en cuenta que el artículo 44 de la Ley 1437 de 2011 –aplicable en los procedimientos contractuales en virtud del artículo 77 de la Ley 80 de 1993– dispone que “En la medida en que el contenido de una decisión de carácter general o particular sea discrecional, debe ser adecuada a los fines de la norma que la autoriza, y proporcional a los hechos que le sirven de causa”. Dado lo anterior, para efectos de configurar requisitos habilitantes la Entidad Estatal tiene la carga de justificar en los estudios previos y análisis del sector del proceso de selección su procedencia, de conformidad con el artículo 2.2.1.1.1.6.2 del Decreto 1082 de 2015.</w:t>
      </w:r>
    </w:p>
    <w:p w14:paraId="1F914112" w14:textId="77777777" w:rsidR="007C7375" w:rsidRDefault="007C7375" w:rsidP="007C7375">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Bajo estas consideraciones, en atención a la consulta planteada, se precisa que</w:t>
      </w:r>
      <w:r w:rsidRPr="11B1BD54">
        <w:rPr>
          <w:rFonts w:ascii="Verdana" w:eastAsia="Calibri" w:hAnsi="Verdana" w:cs="Arial"/>
          <w:color w:val="000000" w:themeColor="text1"/>
        </w:rPr>
        <w:t xml:space="preserve"> las entidades pueden exigir títulos de formación académica, como el de bachiller o incluso un título profesional, cuando sea necesario para garantizar el adecuado cumplimiento del contrato, especialmente en aquellos contratos de prestación de servicios profesionales que demandan actividades especializadas. Así, la exigencia de un título académico debe estar justificada por las necesidades específicas del servicio a contratar, lo que otorga a las entidades la discrecionalidad de determinar los requisitos de acuerdo con el tipo de contratación. </w:t>
      </w:r>
    </w:p>
    <w:p w14:paraId="227A0B1C" w14:textId="77777777" w:rsidR="007C7375" w:rsidRPr="00682F83" w:rsidRDefault="007C7375" w:rsidP="007C7375">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lastRenderedPageBreak/>
        <w:t>Ahora bien</w:t>
      </w:r>
      <w:r w:rsidRPr="00E91A7D">
        <w:rPr>
          <w:rFonts w:ascii="Verdana" w:eastAsia="Calibri" w:hAnsi="Verdana" w:cs="Arial"/>
          <w:color w:val="000000" w:themeColor="text1"/>
        </w:rPr>
        <w:t xml:space="preserve">, </w:t>
      </w:r>
      <w:r>
        <w:rPr>
          <w:rFonts w:ascii="Verdana" w:eastAsia="Calibri" w:hAnsi="Verdana" w:cs="Arial"/>
          <w:color w:val="000000" w:themeColor="text1"/>
        </w:rPr>
        <w:t xml:space="preserve">el Decreto 1083 de 2015 en su artículo 2.2.17.10, </w:t>
      </w:r>
      <w:r>
        <w:rPr>
          <w:rFonts w:ascii="Verdana" w:eastAsia="Calibri" w:hAnsi="Verdana" w:cs="Arial"/>
          <w:color w:val="000000" w:themeColor="text1"/>
          <w:lang w:val="es-ES"/>
        </w:rPr>
        <w:t xml:space="preserve">establece </w:t>
      </w:r>
      <w:r w:rsidRPr="00EB0F7F">
        <w:rPr>
          <w:rFonts w:ascii="Verdana" w:eastAsia="Calibri" w:hAnsi="Verdana" w:cs="Arial"/>
          <w:color w:val="000000" w:themeColor="text1"/>
          <w:lang w:val="es-ES"/>
        </w:rPr>
        <w:t>que antes de suscribir un contrato de prestación de servicios con una entidad estatal, los contratistas deben diligenciar el Formato Único de Hoja de Vida en el SIGEP (Sistema de Información y Gestión del Empleo Público) incluyendo el registro detallado de la formación académica, como el título de bachiller, y la carga de los soportes correspondientes. Esta obligación se encuentra respaldada</w:t>
      </w:r>
      <w:r>
        <w:rPr>
          <w:rFonts w:ascii="Verdana" w:eastAsia="Calibri" w:hAnsi="Verdana" w:cs="Arial"/>
          <w:color w:val="000000" w:themeColor="text1"/>
          <w:lang w:val="es-ES"/>
        </w:rPr>
        <w:t xml:space="preserve"> en la</w:t>
      </w:r>
      <w:r w:rsidRPr="00EB0F7F">
        <w:rPr>
          <w:rFonts w:ascii="Verdana" w:eastAsia="Calibri" w:hAnsi="Verdana" w:cs="Arial"/>
          <w:color w:val="000000" w:themeColor="text1"/>
          <w:lang w:val="es-ES"/>
        </w:rPr>
        <w:t xml:space="preserve"> Ley 190 de 1995, que en su artículo 1 establece la obligatoriedad de presentar el Formato Único de Hoja de Vida para quienes aspiren a ocupar un cargo público o suscribir un contrato con la administración</w:t>
      </w:r>
      <w:r>
        <w:rPr>
          <w:rFonts w:ascii="Verdana" w:eastAsia="Calibri" w:hAnsi="Verdana" w:cs="Arial"/>
          <w:color w:val="000000" w:themeColor="text1"/>
          <w:lang w:val="es-ES"/>
        </w:rPr>
        <w:t xml:space="preserve">, así como en </w:t>
      </w:r>
      <w:r w:rsidRPr="00EB0F7F">
        <w:rPr>
          <w:rFonts w:ascii="Verdana" w:eastAsia="Calibri" w:hAnsi="Verdana" w:cs="Arial"/>
          <w:color w:val="000000" w:themeColor="text1"/>
          <w:lang w:val="es-ES"/>
        </w:rPr>
        <w:t xml:space="preserve">los </w:t>
      </w:r>
      <w:r>
        <w:rPr>
          <w:rFonts w:ascii="Verdana" w:eastAsia="Calibri" w:hAnsi="Verdana" w:cs="Arial"/>
          <w:color w:val="000000" w:themeColor="text1"/>
          <w:lang w:val="es-ES"/>
        </w:rPr>
        <w:t>c</w:t>
      </w:r>
      <w:r w:rsidRPr="00EB0F7F">
        <w:rPr>
          <w:rFonts w:ascii="Verdana" w:eastAsia="Calibri" w:hAnsi="Verdana" w:cs="Arial"/>
          <w:color w:val="000000" w:themeColor="text1"/>
          <w:lang w:val="es-ES"/>
        </w:rPr>
        <w:t>onceptos 102951 de 2021 y 59331 de 2019 del Departamento Administrativo de la Función Pública, los cuales aclaran que el diligenciamiento de este formato es un requisito previo indispensable para la vinculación contractual o posesión en un cargo público</w:t>
      </w:r>
      <w:r>
        <w:rPr>
          <w:rStyle w:val="Refdenotaalpie"/>
          <w:rFonts w:ascii="Verdana" w:eastAsia="Calibri" w:hAnsi="Verdana" w:cs="Arial"/>
          <w:color w:val="000000" w:themeColor="text1"/>
          <w:lang w:val="es-ES"/>
        </w:rPr>
        <w:footnoteReference w:id="10"/>
      </w:r>
      <w:r w:rsidRPr="00EB0F7F">
        <w:rPr>
          <w:rFonts w:ascii="Verdana" w:eastAsia="Calibri" w:hAnsi="Verdana" w:cs="Arial"/>
          <w:color w:val="000000" w:themeColor="text1"/>
          <w:lang w:val="es-ES"/>
        </w:rPr>
        <w:t>. Asimismo, los instructivos oficiales del SIGEP detalla</w:t>
      </w:r>
      <w:r>
        <w:rPr>
          <w:rFonts w:ascii="Verdana" w:eastAsia="Calibri" w:hAnsi="Verdana" w:cs="Arial"/>
          <w:color w:val="000000" w:themeColor="text1"/>
          <w:lang w:val="es-ES"/>
        </w:rPr>
        <w:t>n</w:t>
      </w:r>
      <w:r w:rsidRPr="00EB0F7F">
        <w:rPr>
          <w:rFonts w:ascii="Verdana" w:eastAsia="Calibri" w:hAnsi="Verdana" w:cs="Arial"/>
          <w:color w:val="000000" w:themeColor="text1"/>
          <w:lang w:val="es-ES"/>
        </w:rPr>
        <w:t xml:space="preserve"> el procedimiento para la actualización de la hoja de vida y la carga de documentos que soportan la información registrada, lo que garantiza la transparencia y veracidad de los datos suministrad</w:t>
      </w:r>
      <w:r>
        <w:rPr>
          <w:rFonts w:ascii="Verdana" w:eastAsia="Calibri" w:hAnsi="Verdana" w:cs="Arial"/>
          <w:color w:val="000000" w:themeColor="text1"/>
          <w:lang w:val="es-ES"/>
        </w:rPr>
        <w:t>os.</w:t>
      </w:r>
    </w:p>
    <w:p w14:paraId="3F08F428" w14:textId="77777777" w:rsidR="007C7375" w:rsidRPr="00B101B1" w:rsidRDefault="007C7375" w:rsidP="007C7375">
      <w:pPr>
        <w:spacing w:after="120" w:line="276" w:lineRule="auto"/>
        <w:ind w:firstLine="709"/>
        <w:jc w:val="both"/>
        <w:rPr>
          <w:rFonts w:ascii="Verdana" w:eastAsia="Calibri" w:hAnsi="Verdana" w:cs="Arial"/>
          <w:color w:val="000000" w:themeColor="text1"/>
          <w:lang w:val="es-ES"/>
        </w:rPr>
      </w:pPr>
      <w:r w:rsidRPr="00B101B1">
        <w:rPr>
          <w:rFonts w:ascii="Verdana" w:eastAsia="Calibri" w:hAnsi="Verdana" w:cs="Arial"/>
          <w:color w:val="000000" w:themeColor="text1"/>
        </w:rPr>
        <w:t xml:space="preserve">Por otro lado, en los contratos de apoyo a la gestión, </w:t>
      </w:r>
      <w:r w:rsidRPr="11B1BD54">
        <w:rPr>
          <w:rFonts w:ascii="Verdana" w:eastAsia="Calibri" w:hAnsi="Verdana" w:cs="Arial"/>
          <w:color w:val="000000" w:themeColor="text1"/>
        </w:rPr>
        <w:t xml:space="preserve">las entidades deben verificar la exigencia de los títulos que se requieran acorde con las </w:t>
      </w:r>
      <w:r w:rsidRPr="00B101B1">
        <w:rPr>
          <w:rFonts w:ascii="Verdana" w:eastAsia="Calibri" w:hAnsi="Verdana" w:cs="Arial"/>
          <w:color w:val="000000" w:themeColor="text1"/>
        </w:rPr>
        <w:t xml:space="preserve">actividades </w:t>
      </w:r>
      <w:r w:rsidRPr="11B1BD54">
        <w:rPr>
          <w:rFonts w:ascii="Verdana" w:eastAsia="Calibri" w:hAnsi="Verdana" w:cs="Arial"/>
          <w:color w:val="000000" w:themeColor="text1"/>
        </w:rPr>
        <w:t xml:space="preserve">a desarrollar en el marco del objeto y obligaciones contractuales estableciendo la pertinencia en cuanto a la exigencia o no de </w:t>
      </w:r>
      <w:r w:rsidRPr="00B101B1">
        <w:rPr>
          <w:rFonts w:ascii="Verdana" w:eastAsia="Calibri" w:hAnsi="Verdana" w:cs="Arial"/>
          <w:color w:val="000000" w:themeColor="text1"/>
        </w:rPr>
        <w:t xml:space="preserve">formación académica especializada </w:t>
      </w:r>
      <w:r w:rsidRPr="11B1BD54">
        <w:rPr>
          <w:rFonts w:ascii="Verdana" w:eastAsia="Calibri" w:hAnsi="Verdana" w:cs="Arial"/>
          <w:color w:val="000000" w:themeColor="text1"/>
        </w:rPr>
        <w:t>y la capacidad técnica y experiencia relacionada con el contrato a suscribir.</w:t>
      </w:r>
      <w:r w:rsidRPr="00B101B1">
        <w:rPr>
          <w:rFonts w:ascii="Verdana" w:eastAsia="Calibri" w:hAnsi="Verdana" w:cs="Arial"/>
          <w:color w:val="000000" w:themeColor="text1"/>
        </w:rPr>
        <w:t xml:space="preserve"> En cualquier caso, la exigencia de estos requisitos depende de lo que la entidad estatal</w:t>
      </w:r>
      <w:r>
        <w:rPr>
          <w:rFonts w:ascii="Verdana" w:eastAsia="Calibri" w:hAnsi="Verdana" w:cs="Arial"/>
          <w:color w:val="000000" w:themeColor="text1"/>
        </w:rPr>
        <w:t xml:space="preserve">, en ejercicio de </w:t>
      </w:r>
      <w:r w:rsidRPr="00B101B1">
        <w:rPr>
          <w:rFonts w:ascii="Verdana" w:eastAsia="Calibri" w:hAnsi="Verdana" w:cs="Arial"/>
          <w:color w:val="000000" w:themeColor="text1"/>
        </w:rPr>
        <w:t xml:space="preserve">su autonomía, </w:t>
      </w:r>
      <w:r>
        <w:rPr>
          <w:rFonts w:ascii="Verdana" w:eastAsia="Calibri" w:hAnsi="Verdana" w:cs="Arial"/>
          <w:color w:val="000000" w:themeColor="text1"/>
        </w:rPr>
        <w:t>establezca</w:t>
      </w:r>
      <w:r w:rsidRPr="11B1BD54">
        <w:rPr>
          <w:rFonts w:ascii="Verdana" w:eastAsia="Calibri" w:hAnsi="Verdana" w:cs="Arial"/>
          <w:color w:val="000000" w:themeColor="text1"/>
        </w:rPr>
        <w:t xml:space="preserve"> en el estudio previo,</w:t>
      </w:r>
      <w:r w:rsidRPr="00B101B1">
        <w:rPr>
          <w:rFonts w:ascii="Verdana" w:eastAsia="Calibri" w:hAnsi="Verdana" w:cs="Arial"/>
          <w:color w:val="000000" w:themeColor="text1"/>
        </w:rPr>
        <w:t xml:space="preserve"> en el pliego de condiciones o en el documento equivalente del proceso de contratación, siempre y cuando sean proporcionales a la naturaleza del contrato, el valor, el riesgo y los </w:t>
      </w:r>
      <w:r w:rsidRPr="00B101B1">
        <w:rPr>
          <w:rFonts w:ascii="Verdana" w:eastAsia="Calibri" w:hAnsi="Verdana" w:cs="Arial"/>
          <w:color w:val="000000" w:themeColor="text1"/>
          <w:lang w:val="es-ES"/>
        </w:rPr>
        <w:t>objetivos que se buscan cumplir con la contratación.</w:t>
      </w:r>
    </w:p>
    <w:p w14:paraId="558B8B35" w14:textId="77777777" w:rsidR="007C7375" w:rsidRPr="00CA4DE6" w:rsidRDefault="007C7375" w:rsidP="007C7375">
      <w:pPr>
        <w:widowControl w:val="0"/>
        <w:autoSpaceDE w:val="0"/>
        <w:autoSpaceDN w:val="0"/>
        <w:spacing w:line="276" w:lineRule="auto"/>
        <w:ind w:firstLine="709"/>
        <w:jc w:val="both"/>
        <w:rPr>
          <w:rFonts w:ascii="Verdana" w:eastAsia="Calibri" w:hAnsi="Verdana" w:cs="Arial"/>
          <w:color w:val="000000" w:themeColor="text1"/>
        </w:rPr>
      </w:pPr>
      <w:r w:rsidRPr="11B1BD54">
        <w:rPr>
          <w:rFonts w:ascii="Verdana" w:eastAsia="Calibri" w:hAnsi="Verdana" w:cs="Arial"/>
          <w:color w:val="000000" w:themeColor="text1"/>
        </w:rPr>
        <w:t>En conclusión, cada entidad debe verificar la exigencia del requisito de título de bachiller, acorde con la idoneidad y experiencia que se requiera para para</w:t>
      </w:r>
      <w:r>
        <w:rPr>
          <w:rFonts w:ascii="Verdana" w:eastAsia="Calibri" w:hAnsi="Verdana" w:cs="Arial"/>
          <w:color w:val="000000" w:themeColor="text1"/>
        </w:rPr>
        <w:t xml:space="preserve"> el contrato a celebrar</w:t>
      </w:r>
      <w:r w:rsidRPr="11B1BD54">
        <w:rPr>
          <w:rFonts w:ascii="Verdana" w:eastAsia="Calibri" w:hAnsi="Verdana" w:cs="Arial"/>
          <w:color w:val="000000" w:themeColor="text1"/>
        </w:rPr>
        <w:t xml:space="preserve">, sin perjuicio de lo previsto en el artículo 2.2.17.10 </w:t>
      </w:r>
      <w:r>
        <w:rPr>
          <w:rFonts w:ascii="Verdana" w:eastAsia="Calibri" w:hAnsi="Verdana" w:cs="Arial"/>
          <w:color w:val="000000" w:themeColor="text1"/>
        </w:rPr>
        <w:t xml:space="preserve">del </w:t>
      </w:r>
      <w:r w:rsidRPr="11B1BD54">
        <w:rPr>
          <w:rFonts w:ascii="Verdana" w:eastAsia="Calibri" w:hAnsi="Verdana" w:cs="Arial"/>
          <w:color w:val="000000" w:themeColor="text1"/>
        </w:rPr>
        <w:t xml:space="preserve">Decreto 1083 de 2015 </w:t>
      </w:r>
      <w:r>
        <w:rPr>
          <w:rFonts w:ascii="Verdana" w:eastAsia="Calibri" w:hAnsi="Verdana" w:cs="Arial"/>
          <w:color w:val="000000" w:themeColor="text1"/>
        </w:rPr>
        <w:t>que</w:t>
      </w:r>
      <w:r w:rsidRPr="11B1BD54">
        <w:rPr>
          <w:rFonts w:ascii="Verdana" w:eastAsia="Calibri" w:hAnsi="Verdana" w:cs="Arial"/>
          <w:color w:val="000000" w:themeColor="text1"/>
        </w:rPr>
        <w:t xml:space="preserve"> determina que previamente a suscribir </w:t>
      </w:r>
      <w:r w:rsidRPr="11B1BD54">
        <w:rPr>
          <w:rFonts w:ascii="Verdana" w:eastAsia="Calibri" w:hAnsi="Verdana" w:cs="Arial"/>
          <w:color w:val="000000" w:themeColor="text1"/>
          <w:lang w:val="es-ES"/>
        </w:rPr>
        <w:t>un contrato de prestación de servicios con una entidad estatal, los contratistas deben diligenciar el Formato Único de Hoja de Vida en el SIGEP</w:t>
      </w:r>
      <w:r w:rsidRPr="11B1BD54">
        <w:rPr>
          <w:rFonts w:ascii="Verdana" w:eastAsia="Calibri" w:hAnsi="Verdana" w:cs="Arial"/>
          <w:color w:val="000000" w:themeColor="text1"/>
        </w:rPr>
        <w:t xml:space="preserve"> </w:t>
      </w:r>
      <w:r w:rsidRPr="11B1BD54">
        <w:rPr>
          <w:rFonts w:ascii="Verdana" w:eastAsia="Calibri" w:hAnsi="Verdana" w:cs="Arial"/>
          <w:color w:val="000000" w:themeColor="text1"/>
          <w:lang w:val="es-ES"/>
        </w:rPr>
        <w:t>(Sistema de Información y Gestión del Empleo Público) incluyendo el registro detallado de la formación académica, como el título de bachiller, y la carga de los soportes correspondientes.</w:t>
      </w:r>
    </w:p>
    <w:p w14:paraId="65684093" w14:textId="77777777" w:rsidR="007C7375" w:rsidRPr="008A69B1" w:rsidRDefault="007C7375" w:rsidP="007C7375">
      <w:pPr>
        <w:widowControl w:val="0"/>
        <w:autoSpaceDE w:val="0"/>
        <w:autoSpaceDN w:val="0"/>
        <w:spacing w:after="0" w:line="276" w:lineRule="auto"/>
        <w:jc w:val="both"/>
        <w:rPr>
          <w:rFonts w:ascii="Verdana" w:hAnsi="Verdana" w:cs="Arial"/>
          <w:color w:val="000000" w:themeColor="text1"/>
          <w:lang w:val="es-MX"/>
        </w:rPr>
      </w:pPr>
    </w:p>
    <w:p w14:paraId="6B823CD0" w14:textId="77777777" w:rsidR="007C7375" w:rsidRPr="00115E3D" w:rsidRDefault="007C7375" w:rsidP="007C737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7E63E99A" w14:textId="77777777" w:rsidR="007C7375" w:rsidRPr="00115E3D" w:rsidRDefault="007C7375" w:rsidP="007C7375">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C7375" w:rsidRPr="00115E3D" w14:paraId="5ED4FA60" w14:textId="77777777" w:rsidTr="003E1E0D">
        <w:trPr>
          <w:trHeight w:val="870"/>
        </w:trPr>
        <w:tc>
          <w:tcPr>
            <w:tcW w:w="8647" w:type="dxa"/>
          </w:tcPr>
          <w:p w14:paraId="5A05A477" w14:textId="77777777" w:rsidR="007C7375" w:rsidRPr="007F4CB0" w:rsidRDefault="007C7375" w:rsidP="003E1E0D">
            <w:pPr>
              <w:pStyle w:val="Prrafodelista"/>
              <w:numPr>
                <w:ilvl w:val="0"/>
                <w:numId w:val="17"/>
              </w:numPr>
              <w:spacing w:after="120"/>
              <w:contextualSpacing w:val="0"/>
              <w:rPr>
                <w:rFonts w:ascii="Verdana" w:hAnsi="Verdana" w:cs="Arial"/>
              </w:rPr>
            </w:pPr>
            <w:r w:rsidRPr="007F4CB0">
              <w:rPr>
                <w:rFonts w:ascii="Verdana" w:hAnsi="Verdana" w:cs="Arial"/>
              </w:rPr>
              <w:t xml:space="preserve">Ley 80 de 1993. Artículos 25 y 32, numeral 3°. </w:t>
            </w:r>
          </w:p>
          <w:p w14:paraId="25835C3F" w14:textId="77777777" w:rsidR="007C7375" w:rsidRPr="007F4CB0" w:rsidRDefault="007C7375" w:rsidP="003E1E0D">
            <w:pPr>
              <w:pStyle w:val="Prrafodelista"/>
              <w:numPr>
                <w:ilvl w:val="0"/>
                <w:numId w:val="17"/>
              </w:numPr>
              <w:spacing w:after="120"/>
              <w:contextualSpacing w:val="0"/>
              <w:rPr>
                <w:rFonts w:ascii="Verdana" w:hAnsi="Verdana" w:cs="Arial"/>
              </w:rPr>
            </w:pPr>
            <w:r w:rsidRPr="007F4CB0">
              <w:rPr>
                <w:rFonts w:ascii="Verdana" w:hAnsi="Verdana" w:cs="Arial"/>
              </w:rPr>
              <w:t>Ley 190 de 1995. Artículo 1</w:t>
            </w:r>
          </w:p>
          <w:p w14:paraId="3B76AFC2" w14:textId="77777777" w:rsidR="007C7375" w:rsidRDefault="007C7375" w:rsidP="003E1E0D">
            <w:pPr>
              <w:pStyle w:val="Prrafodelista"/>
              <w:numPr>
                <w:ilvl w:val="0"/>
                <w:numId w:val="17"/>
              </w:numPr>
              <w:spacing w:after="120"/>
              <w:contextualSpacing w:val="0"/>
              <w:rPr>
                <w:rFonts w:ascii="Verdana" w:hAnsi="Verdana" w:cs="Arial"/>
              </w:rPr>
            </w:pPr>
            <w:r w:rsidRPr="007F4CB0">
              <w:rPr>
                <w:rFonts w:ascii="Verdana" w:hAnsi="Verdana" w:cs="Arial"/>
              </w:rPr>
              <w:t>Ley 1150 de 2007. Artículo 2, numeral 4°, literal h)</w:t>
            </w:r>
            <w:r>
              <w:rPr>
                <w:rFonts w:ascii="Verdana" w:hAnsi="Verdana" w:cs="Arial"/>
              </w:rPr>
              <w:t>, artículo 5</w:t>
            </w:r>
          </w:p>
          <w:p w14:paraId="53417B45" w14:textId="77777777" w:rsidR="007C7375" w:rsidRDefault="007C7375" w:rsidP="003E1E0D">
            <w:pPr>
              <w:pStyle w:val="Prrafodelista"/>
              <w:numPr>
                <w:ilvl w:val="0"/>
                <w:numId w:val="17"/>
              </w:numPr>
              <w:spacing w:after="120"/>
              <w:contextualSpacing w:val="0"/>
              <w:rPr>
                <w:rFonts w:ascii="Verdana" w:hAnsi="Verdana" w:cs="Arial"/>
              </w:rPr>
            </w:pPr>
            <w:r>
              <w:rPr>
                <w:rFonts w:ascii="Verdana" w:hAnsi="Verdana" w:cs="Arial"/>
              </w:rPr>
              <w:t xml:space="preserve">Decreto </w:t>
            </w:r>
            <w:r>
              <w:rPr>
                <w:rFonts w:ascii="Verdana" w:eastAsia="Calibri" w:hAnsi="Verdana" w:cs="Arial"/>
                <w:color w:val="000000" w:themeColor="text1"/>
              </w:rPr>
              <w:t>1083 de 2015. Artículo 2.2.17.10</w:t>
            </w:r>
          </w:p>
          <w:p w14:paraId="1222DF16" w14:textId="77777777" w:rsidR="007C7375" w:rsidRPr="00D81159" w:rsidRDefault="007C7375" w:rsidP="003E1E0D">
            <w:pPr>
              <w:pStyle w:val="Prrafodelista"/>
              <w:numPr>
                <w:ilvl w:val="0"/>
                <w:numId w:val="17"/>
              </w:numPr>
              <w:spacing w:after="120"/>
              <w:contextualSpacing w:val="0"/>
              <w:jc w:val="both"/>
              <w:rPr>
                <w:rFonts w:ascii="Verdana" w:hAnsi="Verdana" w:cs="Arial"/>
              </w:rPr>
            </w:pPr>
            <w:r w:rsidRPr="00FF0CF5">
              <w:rPr>
                <w:rFonts w:ascii="Verdana" w:eastAsia="Calibri" w:hAnsi="Verdana" w:cs="Arial"/>
                <w:color w:val="000000" w:themeColor="text1"/>
                <w:lang w:val="es-ES_tradnl"/>
              </w:rPr>
              <w:t>Manual para determinar y verificar los requisitos habilitantes en los Procesos de Contratación</w:t>
            </w:r>
            <w:r>
              <w:rPr>
                <w:rFonts w:ascii="Verdana" w:eastAsia="Calibri" w:hAnsi="Verdana" w:cs="Arial"/>
                <w:color w:val="000000" w:themeColor="text1"/>
                <w:lang w:val="es-ES_tradnl"/>
              </w:rPr>
              <w:t xml:space="preserve">: </w:t>
            </w:r>
            <w:hyperlink r:id="rId13" w:history="1">
              <w:r w:rsidRPr="0059389C">
                <w:rPr>
                  <w:rStyle w:val="Hipervnculo"/>
                  <w:rFonts w:ascii="Verdana" w:eastAsia="Calibri" w:hAnsi="Verdana" w:cs="Arial"/>
                  <w:lang w:val="es-CO"/>
                </w:rPr>
                <w:t>cce-eicp-ma-04._manual_requisitos_habilitantes_v3_29-09-2023.pdf</w:t>
              </w:r>
            </w:hyperlink>
            <w:r>
              <w:rPr>
                <w:rFonts w:ascii="Verdana" w:eastAsia="Calibri" w:hAnsi="Verdana" w:cs="Arial"/>
                <w:color w:val="000000" w:themeColor="text1"/>
                <w:lang w:val="es-ES_tradnl"/>
              </w:rPr>
              <w:t xml:space="preserve"> </w:t>
            </w:r>
          </w:p>
        </w:tc>
      </w:tr>
    </w:tbl>
    <w:p w14:paraId="2B96153C" w14:textId="77777777" w:rsidR="007C7375" w:rsidRPr="00115E3D" w:rsidRDefault="007C7375" w:rsidP="007C7375">
      <w:pPr>
        <w:widowControl w:val="0"/>
        <w:autoSpaceDE w:val="0"/>
        <w:autoSpaceDN w:val="0"/>
        <w:spacing w:after="0" w:line="276" w:lineRule="auto"/>
        <w:jc w:val="both"/>
        <w:rPr>
          <w:rFonts w:ascii="Verdana" w:hAnsi="Verdana" w:cs="Arial"/>
          <w:color w:val="000000" w:themeColor="text1"/>
        </w:rPr>
      </w:pPr>
    </w:p>
    <w:p w14:paraId="37B968E7" w14:textId="77777777" w:rsidR="007C7375" w:rsidRPr="00115E3D" w:rsidRDefault="007C7375" w:rsidP="007C737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Doctrina de la Agencia Nacional de Contratación Pública:</w:t>
      </w:r>
    </w:p>
    <w:p w14:paraId="5EFA320B" w14:textId="77777777" w:rsidR="007C7375" w:rsidRPr="00115E3D" w:rsidRDefault="007C7375" w:rsidP="007C7375">
      <w:pPr>
        <w:widowControl w:val="0"/>
        <w:autoSpaceDE w:val="0"/>
        <w:autoSpaceDN w:val="0"/>
        <w:spacing w:after="0" w:line="276" w:lineRule="auto"/>
        <w:jc w:val="both"/>
        <w:rPr>
          <w:rFonts w:ascii="Verdana" w:hAnsi="Verdana" w:cs="Arial"/>
          <w:color w:val="000000" w:themeColor="text1"/>
        </w:rPr>
      </w:pPr>
    </w:p>
    <w:p w14:paraId="3F5EBED1" w14:textId="77777777" w:rsidR="007C7375" w:rsidRPr="007F36F0" w:rsidRDefault="007C7375" w:rsidP="007C7375">
      <w:pPr>
        <w:widowControl w:val="0"/>
        <w:autoSpaceDE w:val="0"/>
        <w:autoSpaceDN w:val="0"/>
        <w:spacing w:after="0" w:line="276" w:lineRule="auto"/>
        <w:jc w:val="both"/>
        <w:rPr>
          <w:rStyle w:val="normaltextrun"/>
          <w:rFonts w:ascii="Verdana" w:hAnsi="Verdana"/>
          <w:lang w:val="es-ES"/>
        </w:rPr>
      </w:pPr>
      <w:r w:rsidRPr="003A0462">
        <w:rPr>
          <w:rFonts w:ascii="Verdana" w:hAnsi="Verdana"/>
          <w:lang w:val="es-ES"/>
        </w:rPr>
        <w:t>Sobre los contratos de prestación de servicios, así como los requisitos para su celebración, entre otros, esta Subdirección se ha pronunciado en los conceptos Nro. C–608 del 1 de octubre de 2020, C-145 del 8 de abril del 2021, C-491 del 14 de septiembre de 2021, C-517 del 30 de septiembre de 2021, C – 654 de 22 de noviembre de, C-181 del 7 de abril de 2022, C-773 del 17 de noviembre de 2022, C- 953 del 25 de enero de 2023 y C-966 del 1 de febrero de 2023, C-135 del 25 de mayo de 2023, C-414 del 11 de septiembre de 2024, C-920 del 30 de diciembre del 2024</w:t>
      </w:r>
      <w:r>
        <w:rPr>
          <w:rFonts w:ascii="Verdana" w:hAnsi="Verdana"/>
          <w:lang w:val="es-ES"/>
        </w:rPr>
        <w:t xml:space="preserve"> y C-176 del 19 de marzo de 2025</w:t>
      </w:r>
      <w:r w:rsidRPr="003A0462">
        <w:rPr>
          <w:rFonts w:ascii="Verdana" w:hAnsi="Verdana"/>
          <w:lang w:val="es-ES"/>
        </w:rPr>
        <w:t xml:space="preserve">. </w:t>
      </w:r>
      <w:r>
        <w:rPr>
          <w:rFonts w:ascii="Verdana" w:hAnsi="Verdana"/>
          <w:lang w:val="es-ES"/>
        </w:rPr>
        <w:t xml:space="preserve">Igualmente, </w:t>
      </w:r>
      <w:r>
        <w:rPr>
          <w:rFonts w:ascii="Verdana" w:eastAsia="Calibri" w:hAnsi="Verdana" w:cs="Arial"/>
          <w:lang w:val="es-ES" w:eastAsia="es-ES"/>
        </w:rPr>
        <w:t>L</w:t>
      </w:r>
      <w:r w:rsidRPr="00957EE7">
        <w:rPr>
          <w:rFonts w:ascii="Verdana" w:eastAsia="Calibri" w:hAnsi="Verdana" w:cs="Arial"/>
          <w:lang w:val="es-ES" w:eastAsia="es-ES"/>
        </w:rPr>
        <w:t>a Agencia Nacional de Contratación Pública – Colombia Compra Eficiente, en los conceptos del 15 de noviembre, del 28 de noviembre, 16 de diciembre de 2019 –radicados No. 2201913000008520, 4201912000007329 y 2201913000009295–, así como en los conceptos C-120 del 3 de marzo de 2020, C-204 del 31 de marzo de 2020, C-099 del 6 de abril  de 2020, C-195 del 13 de abril de 2020, C-013 del 17 de abril de 2020, C-330 del 27 de mayo de 2020, C-396 de 16 de julio de 2020, C-387 de 3 de agosto de 2021, C-669 de 3 de diciembre de 2021, C-573 de 13 de septiembre de 2022, C- 831 de 28 de noviembre de 2022 y C-868 del 19 de diciembre de 2022, C-124 de 25 de mayo de 2023, C-165 de 2 de junio de 2023, C-167 de 5 de junio de 2023, C-215 de 10 de agosto de 2023, C-277 de 14 de julio de 2023, C-337 de 18 de agosto de 2023,</w:t>
      </w:r>
      <w:r>
        <w:rPr>
          <w:rFonts w:ascii="Verdana" w:eastAsia="Calibri" w:hAnsi="Verdana" w:cs="Arial"/>
          <w:lang w:val="es-ES" w:eastAsia="es-ES"/>
        </w:rPr>
        <w:t xml:space="preserve"> </w:t>
      </w:r>
      <w:r w:rsidRPr="00957EE7">
        <w:rPr>
          <w:rFonts w:ascii="Verdana" w:eastAsia="Calibri" w:hAnsi="Verdana" w:cs="Arial"/>
          <w:lang w:val="es-ES" w:eastAsia="es-ES"/>
        </w:rPr>
        <w:t>entre otros, analizó la naturaleza de los requisitos habilitantes y su carácter enunciativo en el artículo 5, numeral 1, de la Ley 1150 de 2007</w:t>
      </w:r>
      <w:r>
        <w:rPr>
          <w:rFonts w:ascii="Verdana" w:eastAsia="Aptos" w:hAnsi="Verdana" w:cs="Arial"/>
          <w:shd w:val="clear" w:color="auto" w:fill="FFFFFF"/>
          <w:lang w:val="es-ES"/>
        </w:rPr>
        <w:t xml:space="preserve">. </w:t>
      </w:r>
      <w:r w:rsidRPr="003E2CCE">
        <w:rPr>
          <w:rStyle w:val="normaltextrun"/>
          <w:rFonts w:ascii="Verdana" w:hAnsi="Verdana" w:cs="Arial"/>
          <w:shd w:val="clear" w:color="auto" w:fill="FFFFFF"/>
          <w:lang w:val="es-ES"/>
        </w:rPr>
        <w:t>Es</w:t>
      </w:r>
      <w:r w:rsidRPr="003E2CCE">
        <w:rPr>
          <w:rFonts w:ascii="Verdana" w:hAnsi="Verdana"/>
        </w:rPr>
        <w:t>t</w:t>
      </w:r>
      <w:r>
        <w:rPr>
          <w:rFonts w:ascii="Verdana" w:hAnsi="Verdana"/>
        </w:rPr>
        <w:t>os</w:t>
      </w:r>
      <w:r w:rsidRPr="003E2CCE">
        <w:rPr>
          <w:rFonts w:ascii="Verdana" w:hAnsi="Verdana"/>
        </w:rPr>
        <w:t xml:space="preserve"> y otros conceptos se encuentran disponibles para consulta en el Sistema de relatoría de la Agencia, al cual se puede acceder a través del siguiente enlace:</w:t>
      </w:r>
      <w:r w:rsidRPr="003E2CCE">
        <w:rPr>
          <w:rStyle w:val="normaltextrun"/>
          <w:rFonts w:ascii="Verdana" w:hAnsi="Verdana" w:cs="Arial"/>
          <w:shd w:val="clear" w:color="auto" w:fill="FFFFFF"/>
          <w:lang w:val="es-ES"/>
        </w:rPr>
        <w:t xml:space="preserve"> </w:t>
      </w:r>
      <w:hyperlink r:id="rId14" w:history="1">
        <w:r w:rsidRPr="003E2CCE">
          <w:rPr>
            <w:rStyle w:val="Hipervnculo"/>
            <w:rFonts w:ascii="Verdana" w:hAnsi="Verdana" w:cs="Arial"/>
            <w:shd w:val="clear" w:color="auto" w:fill="FFFFFF"/>
            <w:lang w:val="es-ES"/>
          </w:rPr>
          <w:t>https://relatoria.colombiacompra.gov.co/busqueda/conceptos</w:t>
        </w:r>
      </w:hyperlink>
      <w:r w:rsidRPr="003E2CCE">
        <w:rPr>
          <w:rStyle w:val="normaltextrun"/>
          <w:rFonts w:ascii="Verdana" w:hAnsi="Verdana" w:cs="Arial"/>
          <w:shd w:val="clear" w:color="auto" w:fill="FFFFFF"/>
          <w:lang w:val="es-ES"/>
        </w:rPr>
        <w:t>.</w:t>
      </w:r>
      <w:r w:rsidRPr="003E2CCE">
        <w:rPr>
          <w:rStyle w:val="normaltextrun"/>
          <w:rFonts w:ascii="Verdana" w:hAnsi="Verdana" w:cs="Arial"/>
          <w:color w:val="FF0000"/>
          <w:shd w:val="clear" w:color="auto" w:fill="FFFFFF"/>
          <w:lang w:val="es-ES"/>
        </w:rPr>
        <w:t xml:space="preserve"> </w:t>
      </w:r>
      <w:r w:rsidRPr="003E2CCE">
        <w:rPr>
          <w:rFonts w:ascii="Verdana" w:hAnsi="Verdana" w:cs="Arial"/>
          <w:color w:val="000000" w:themeColor="text1"/>
          <w:shd w:val="clear" w:color="auto" w:fill="FFFFFF"/>
        </w:rPr>
        <w:t>  </w:t>
      </w:r>
    </w:p>
    <w:p w14:paraId="30CB2434" w14:textId="77777777" w:rsidR="007C7375" w:rsidRPr="00115E3D" w:rsidRDefault="007C7375" w:rsidP="007C7375">
      <w:pPr>
        <w:widowControl w:val="0"/>
        <w:autoSpaceDE w:val="0"/>
        <w:autoSpaceDN w:val="0"/>
        <w:spacing w:after="0" w:line="276" w:lineRule="auto"/>
        <w:jc w:val="both"/>
        <w:rPr>
          <w:rFonts w:ascii="Verdana" w:hAnsi="Verdana" w:cs="Arial"/>
          <w:color w:val="000000" w:themeColor="text1"/>
        </w:rPr>
      </w:pPr>
    </w:p>
    <w:p w14:paraId="7C38B548" w14:textId="77777777" w:rsidR="007C7375" w:rsidRPr="00115E3D" w:rsidRDefault="007C7375" w:rsidP="007C7375">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268F758E" w14:textId="77777777" w:rsidR="007C7375" w:rsidRPr="00115E3D" w:rsidRDefault="007C7375" w:rsidP="007C7375">
      <w:pPr>
        <w:widowControl w:val="0"/>
        <w:autoSpaceDE w:val="0"/>
        <w:autoSpaceDN w:val="0"/>
        <w:spacing w:after="0" w:line="276" w:lineRule="auto"/>
        <w:jc w:val="both"/>
        <w:rPr>
          <w:rFonts w:ascii="Verdana" w:hAnsi="Verdana" w:cs="Arial"/>
          <w:color w:val="000000" w:themeColor="text1"/>
        </w:rPr>
      </w:pPr>
    </w:p>
    <w:p w14:paraId="689D9FBA" w14:textId="77777777" w:rsidR="007C7375" w:rsidRPr="00115E3D" w:rsidRDefault="007C7375" w:rsidP="007C7375">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020585EE" w14:textId="44951F2C" w:rsidR="007C7375" w:rsidRPr="00545857" w:rsidRDefault="00EF636B" w:rsidP="007C7375">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27D9A9A9" wp14:editId="644E8798">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C7375" w:rsidRPr="00545857" w14:paraId="62BA6F94" w14:textId="77777777" w:rsidTr="003E1E0D">
        <w:trPr>
          <w:trHeight w:val="315"/>
        </w:trPr>
        <w:tc>
          <w:tcPr>
            <w:tcW w:w="893" w:type="dxa"/>
            <w:vAlign w:val="center"/>
            <w:hideMark/>
          </w:tcPr>
          <w:p w14:paraId="28EFA965" w14:textId="77777777" w:rsidR="007C7375" w:rsidRPr="00545857" w:rsidRDefault="007C7375" w:rsidP="003E1E0D">
            <w:pPr>
              <w:contextualSpacing/>
              <w:rPr>
                <w:rFonts w:ascii="Verdana" w:hAnsi="Verdana" w:cs="Arial"/>
                <w:sz w:val="16"/>
                <w:szCs w:val="16"/>
                <w:lang w:val="es-ES" w:eastAsia="es-ES"/>
              </w:rPr>
            </w:pPr>
            <w:r w:rsidRPr="0054585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D42486F" w14:textId="77777777" w:rsidR="007C7375" w:rsidRPr="00545857" w:rsidRDefault="007C7375" w:rsidP="003E1E0D">
            <w:pPr>
              <w:contextualSpacing/>
              <w:rPr>
                <w:rStyle w:val="normaltextrun"/>
                <w:rFonts w:ascii="Verdana" w:hAnsi="Verdana"/>
                <w:sz w:val="16"/>
                <w:szCs w:val="16"/>
              </w:rPr>
            </w:pPr>
            <w:r w:rsidRPr="00545857">
              <w:rPr>
                <w:rStyle w:val="normaltextrun"/>
                <w:rFonts w:ascii="Verdana" w:hAnsi="Verdana"/>
                <w:sz w:val="16"/>
                <w:szCs w:val="16"/>
              </w:rPr>
              <w:t>Tatiana Baquero Iguarán</w:t>
            </w:r>
          </w:p>
          <w:p w14:paraId="42E19268" w14:textId="77777777" w:rsidR="007C7375" w:rsidRPr="00545857" w:rsidRDefault="007C7375" w:rsidP="003E1E0D">
            <w:pPr>
              <w:contextualSpacing/>
              <w:rPr>
                <w:rFonts w:ascii="Verdana" w:eastAsia="Arial" w:hAnsi="Verdana" w:cs="Arial"/>
                <w:sz w:val="16"/>
                <w:szCs w:val="16"/>
              </w:rPr>
            </w:pPr>
            <w:r w:rsidRPr="00545857">
              <w:rPr>
                <w:rStyle w:val="normaltextrun"/>
                <w:rFonts w:ascii="Verdana" w:hAnsi="Verdana"/>
                <w:sz w:val="16"/>
                <w:szCs w:val="16"/>
              </w:rPr>
              <w:t>Contratista de la Subdirección de Gestión Contractual</w:t>
            </w:r>
          </w:p>
        </w:tc>
      </w:tr>
      <w:tr w:rsidR="007C7375" w:rsidRPr="00545857" w14:paraId="34AFD710" w14:textId="77777777" w:rsidTr="003E1E0D">
        <w:trPr>
          <w:trHeight w:val="330"/>
        </w:trPr>
        <w:tc>
          <w:tcPr>
            <w:tcW w:w="893" w:type="dxa"/>
            <w:vAlign w:val="center"/>
            <w:hideMark/>
          </w:tcPr>
          <w:p w14:paraId="25576BC4" w14:textId="77777777" w:rsidR="007C7375" w:rsidRPr="00545857" w:rsidRDefault="007C7375" w:rsidP="003E1E0D">
            <w:pPr>
              <w:contextualSpacing/>
              <w:rPr>
                <w:rFonts w:ascii="Verdana" w:hAnsi="Verdana" w:cs="Arial"/>
                <w:sz w:val="16"/>
                <w:szCs w:val="16"/>
                <w:lang w:val="es-ES" w:eastAsia="es-ES"/>
              </w:rPr>
            </w:pPr>
            <w:r w:rsidRPr="0054585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5CE005E" w14:textId="77777777" w:rsidR="007C7375" w:rsidRPr="00545857" w:rsidRDefault="007C7375" w:rsidP="003E1E0D">
            <w:pPr>
              <w:pStyle w:val="paragraph"/>
              <w:spacing w:after="0"/>
              <w:contextualSpacing/>
              <w:textAlignment w:val="baseline"/>
              <w:rPr>
                <w:rStyle w:val="normaltextrun"/>
                <w:rFonts w:ascii="Verdana" w:hAnsi="Verdana" w:cs="Arial"/>
                <w:sz w:val="16"/>
                <w:szCs w:val="16"/>
                <w:lang w:val="es-ES"/>
              </w:rPr>
            </w:pPr>
            <w:r w:rsidRPr="00545857">
              <w:rPr>
                <w:rStyle w:val="normaltextrun"/>
                <w:rFonts w:ascii="Verdana" w:hAnsi="Verdana" w:cs="Arial"/>
                <w:sz w:val="16"/>
                <w:szCs w:val="16"/>
                <w:lang w:val="es-ES"/>
              </w:rPr>
              <w:t>Alejandro Sarmiento Cantillo</w:t>
            </w:r>
          </w:p>
          <w:p w14:paraId="6AF0D888" w14:textId="77777777" w:rsidR="007C7375" w:rsidRPr="00545857" w:rsidRDefault="007C7375" w:rsidP="003E1E0D">
            <w:pPr>
              <w:pStyle w:val="paragraph"/>
              <w:spacing w:before="0" w:beforeAutospacing="0" w:after="0" w:afterAutospacing="0"/>
              <w:contextualSpacing/>
              <w:textAlignment w:val="baseline"/>
              <w:rPr>
                <w:rFonts w:ascii="Verdana" w:hAnsi="Verdana" w:cs="Segoe UI"/>
                <w:sz w:val="16"/>
                <w:szCs w:val="16"/>
              </w:rPr>
            </w:pPr>
            <w:r w:rsidRPr="00545857">
              <w:rPr>
                <w:rStyle w:val="normaltextrun"/>
                <w:rFonts w:ascii="Verdana" w:hAnsi="Verdana" w:cs="Arial"/>
                <w:sz w:val="16"/>
                <w:szCs w:val="16"/>
                <w:lang w:val="es-ES"/>
              </w:rPr>
              <w:t>Gestor T1 ‒ 15 de la Subdirección de Gestión Contractual</w:t>
            </w:r>
            <w:r w:rsidRPr="00545857">
              <w:rPr>
                <w:rStyle w:val="eop"/>
                <w:rFonts w:ascii="Verdana" w:hAnsi="Verdana" w:cs="Arial"/>
                <w:sz w:val="16"/>
                <w:szCs w:val="16"/>
              </w:rPr>
              <w:t> </w:t>
            </w:r>
          </w:p>
        </w:tc>
      </w:tr>
      <w:tr w:rsidR="007C7375" w:rsidRPr="00545857" w14:paraId="27E270B7" w14:textId="77777777" w:rsidTr="003E1E0D">
        <w:trPr>
          <w:trHeight w:val="300"/>
        </w:trPr>
        <w:tc>
          <w:tcPr>
            <w:tcW w:w="893" w:type="dxa"/>
            <w:vAlign w:val="center"/>
          </w:tcPr>
          <w:p w14:paraId="58DA4BD1" w14:textId="77777777" w:rsidR="007C7375" w:rsidRPr="00545857" w:rsidRDefault="007C7375" w:rsidP="003E1E0D">
            <w:pPr>
              <w:contextualSpacing/>
              <w:rPr>
                <w:rFonts w:ascii="Verdana" w:hAnsi="Verdana" w:cs="Arial"/>
                <w:sz w:val="16"/>
                <w:szCs w:val="16"/>
                <w:lang w:val="es-ES" w:eastAsia="es-ES"/>
              </w:rPr>
            </w:pPr>
            <w:r w:rsidRPr="0054585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99B63F2" w14:textId="77777777" w:rsidR="007C7375" w:rsidRPr="00545857" w:rsidRDefault="007C7375" w:rsidP="003E1E0D">
            <w:pPr>
              <w:contextualSpacing/>
              <w:rPr>
                <w:rFonts w:ascii="Verdana" w:eastAsia="Calibri" w:hAnsi="Verdana" w:cs="Arial"/>
                <w:sz w:val="16"/>
                <w:szCs w:val="16"/>
                <w:lang w:val="pt-BR" w:eastAsia="es-ES"/>
              </w:rPr>
            </w:pPr>
            <w:r w:rsidRPr="00545857">
              <w:rPr>
                <w:rFonts w:ascii="Verdana" w:eastAsia="Calibri" w:hAnsi="Verdana" w:cs="Arial"/>
                <w:sz w:val="16"/>
                <w:szCs w:val="16"/>
                <w:lang w:val="pt-BR" w:eastAsia="es-ES"/>
              </w:rPr>
              <w:t xml:space="preserve">Carolina Quintero </w:t>
            </w:r>
            <w:proofErr w:type="spellStart"/>
            <w:r w:rsidRPr="00545857">
              <w:rPr>
                <w:rFonts w:ascii="Verdana" w:eastAsia="Calibri" w:hAnsi="Verdana" w:cs="Arial"/>
                <w:sz w:val="16"/>
                <w:szCs w:val="16"/>
                <w:lang w:val="pt-BR" w:eastAsia="es-ES"/>
              </w:rPr>
              <w:t>Gacharná</w:t>
            </w:r>
            <w:proofErr w:type="spellEnd"/>
          </w:p>
          <w:p w14:paraId="69561EA4" w14:textId="77777777" w:rsidR="007C7375" w:rsidRPr="00545857" w:rsidRDefault="007C7375" w:rsidP="003E1E0D">
            <w:pPr>
              <w:contextualSpacing/>
              <w:rPr>
                <w:rFonts w:ascii="Verdana" w:eastAsia="Calibri" w:hAnsi="Verdana" w:cs="Arial"/>
                <w:sz w:val="16"/>
                <w:szCs w:val="16"/>
                <w:lang w:val="pt-BR" w:eastAsia="es-ES"/>
              </w:rPr>
            </w:pPr>
            <w:r w:rsidRPr="00545857">
              <w:rPr>
                <w:rFonts w:ascii="Verdana" w:eastAsia="Calibri" w:hAnsi="Verdana" w:cs="Arial"/>
                <w:sz w:val="16"/>
                <w:szCs w:val="16"/>
                <w:lang w:eastAsia="es-ES"/>
              </w:rPr>
              <w:t>Subdirectora</w:t>
            </w:r>
            <w:r w:rsidRPr="00545857">
              <w:rPr>
                <w:rFonts w:ascii="Verdana" w:eastAsia="Calibri" w:hAnsi="Verdana" w:cs="Arial"/>
                <w:sz w:val="16"/>
                <w:szCs w:val="16"/>
                <w:lang w:val="pt-BR" w:eastAsia="es-ES"/>
              </w:rPr>
              <w:t xml:space="preserve"> de Gestión </w:t>
            </w:r>
            <w:proofErr w:type="spellStart"/>
            <w:r w:rsidRPr="00545857">
              <w:rPr>
                <w:rFonts w:ascii="Verdana" w:eastAsia="Calibri" w:hAnsi="Verdana" w:cs="Arial"/>
                <w:sz w:val="16"/>
                <w:szCs w:val="16"/>
                <w:lang w:val="pt-BR" w:eastAsia="es-ES"/>
              </w:rPr>
              <w:t>Contractual</w:t>
            </w:r>
            <w:proofErr w:type="spellEnd"/>
            <w:r w:rsidRPr="00545857">
              <w:rPr>
                <w:rFonts w:ascii="Verdana" w:eastAsia="Calibri" w:hAnsi="Verdana" w:cs="Arial"/>
                <w:sz w:val="16"/>
                <w:szCs w:val="16"/>
                <w:lang w:val="pt-BR" w:eastAsia="es-ES"/>
              </w:rPr>
              <w:t xml:space="preserve"> ANCP – CCE</w:t>
            </w:r>
          </w:p>
        </w:tc>
      </w:tr>
    </w:tbl>
    <w:p w14:paraId="350AEEFA" w14:textId="77777777" w:rsidR="007C7375" w:rsidRPr="00A7080B" w:rsidRDefault="007C7375" w:rsidP="007C7375"/>
    <w:p w14:paraId="7F7EC622" w14:textId="77777777" w:rsidR="007C7375" w:rsidRPr="00363BC0" w:rsidRDefault="007C7375" w:rsidP="007C7375"/>
    <w:p w14:paraId="3D83F3F9" w14:textId="77777777" w:rsidR="007C7375" w:rsidRPr="005A2ACC" w:rsidRDefault="007C7375" w:rsidP="007C7375"/>
    <w:p w14:paraId="40B33B82" w14:textId="77777777" w:rsidR="00F279DD" w:rsidRDefault="00F279DD" w:rsidP="00344034">
      <w:pPr>
        <w:spacing w:after="0" w:line="240" w:lineRule="auto"/>
        <w:rPr>
          <w:rFonts w:ascii="Verdana" w:eastAsia="Geomanist Light" w:hAnsi="Verdana" w:cs="Arial"/>
          <w:color w:val="000000" w:themeColor="text1"/>
          <w:lang w:val="es-MX"/>
        </w:rPr>
      </w:pPr>
    </w:p>
    <w:sectPr w:rsidR="00F279DD"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5742CA" w14:textId="77777777" w:rsidR="00C34324" w:rsidRDefault="00C34324" w:rsidP="004A1847">
      <w:pPr>
        <w:spacing w:after="0" w:line="240" w:lineRule="auto"/>
      </w:pPr>
      <w:r>
        <w:separator/>
      </w:r>
    </w:p>
  </w:endnote>
  <w:endnote w:type="continuationSeparator" w:id="0">
    <w:p w14:paraId="58290AC8" w14:textId="77777777" w:rsidR="00C34324" w:rsidRDefault="00C34324" w:rsidP="004A1847">
      <w:pPr>
        <w:spacing w:after="0" w:line="240" w:lineRule="auto"/>
      </w:pPr>
      <w:r>
        <w:continuationSeparator/>
      </w:r>
    </w:p>
  </w:endnote>
  <w:endnote w:type="continuationNotice" w:id="1">
    <w:p w14:paraId="52633C0E" w14:textId="77777777" w:rsidR="00C34324" w:rsidRDefault="00C3432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55B4DF" w14:textId="77777777" w:rsidR="00C34324" w:rsidRDefault="00C34324" w:rsidP="004A1847">
      <w:pPr>
        <w:spacing w:after="0" w:line="240" w:lineRule="auto"/>
      </w:pPr>
      <w:r>
        <w:separator/>
      </w:r>
    </w:p>
  </w:footnote>
  <w:footnote w:type="continuationSeparator" w:id="0">
    <w:p w14:paraId="3A8886D4" w14:textId="77777777" w:rsidR="00C34324" w:rsidRDefault="00C34324" w:rsidP="004A1847">
      <w:pPr>
        <w:spacing w:after="0" w:line="240" w:lineRule="auto"/>
      </w:pPr>
      <w:r>
        <w:continuationSeparator/>
      </w:r>
    </w:p>
  </w:footnote>
  <w:footnote w:type="continuationNotice" w:id="1">
    <w:p w14:paraId="505B88BE" w14:textId="77777777" w:rsidR="00C34324" w:rsidRDefault="00C34324">
      <w:pPr>
        <w:spacing w:after="0" w:line="240" w:lineRule="auto"/>
      </w:pPr>
    </w:p>
  </w:footnote>
  <w:footnote w:id="2">
    <w:p w14:paraId="7A4303FA" w14:textId="77777777" w:rsidR="007C7375" w:rsidRPr="002B63D9" w:rsidRDefault="007C7375" w:rsidP="007C7375">
      <w:pPr>
        <w:pStyle w:val="Textonotapie"/>
        <w:ind w:firstLine="709"/>
        <w:rPr>
          <w:lang w:val="es-CO"/>
        </w:rPr>
      </w:pPr>
      <w:r>
        <w:rPr>
          <w:rStyle w:val="Refdenotaalpie"/>
        </w:rPr>
        <w:footnoteRef/>
      </w:r>
      <w:r>
        <w:t xml:space="preserve"> Disponible en: </w:t>
      </w:r>
      <w:hyperlink r:id="rId1" w:history="1">
        <w:r w:rsidRPr="00C70EB5">
          <w:rPr>
            <w:rStyle w:val="Hipervnculo"/>
          </w:rPr>
          <w:t>https://www.funcionpublica.gov.co/eva/gestornormativo/norma.php?i=90917</w:t>
        </w:r>
      </w:hyperlink>
      <w:r>
        <w:t xml:space="preserve"> </w:t>
      </w:r>
    </w:p>
  </w:footnote>
  <w:footnote w:id="3">
    <w:p w14:paraId="77FC7764" w14:textId="77777777" w:rsidR="007C7375" w:rsidRPr="00A7405A" w:rsidRDefault="007C7375" w:rsidP="007C7375">
      <w:pPr>
        <w:pStyle w:val="Textonotapie"/>
        <w:ind w:firstLine="709"/>
        <w:jc w:val="both"/>
        <w:rPr>
          <w:rFonts w:ascii="Verdana" w:hAnsi="Verdana" w:cs="Arial"/>
          <w:color w:val="000000" w:themeColor="text1"/>
          <w:sz w:val="16"/>
          <w:szCs w:val="16"/>
          <w:lang w:val="es-ES"/>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r w:rsidRPr="00A7405A">
        <w:rPr>
          <w:rFonts w:ascii="Verdana" w:hAnsi="Verdana" w:cs="Arial"/>
          <w:color w:val="000000" w:themeColor="text1"/>
          <w:sz w:val="16"/>
          <w:szCs w:val="16"/>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2B7D34FC" w14:textId="77777777" w:rsidR="007C7375" w:rsidRPr="00A7405A" w:rsidRDefault="007C7375" w:rsidP="007C7375">
      <w:pPr>
        <w:pStyle w:val="Textonotapie"/>
        <w:ind w:firstLine="709"/>
        <w:jc w:val="both"/>
        <w:rPr>
          <w:rFonts w:ascii="Verdana" w:hAnsi="Verdana" w:cs="Arial"/>
          <w:color w:val="000000" w:themeColor="text1"/>
          <w:sz w:val="16"/>
          <w:szCs w:val="16"/>
          <w:lang w:val="es-ES"/>
        </w:rPr>
      </w:pPr>
      <w:r>
        <w:rPr>
          <w:rFonts w:ascii="Verdana" w:hAnsi="Verdana" w:cs="Arial"/>
          <w:color w:val="000000" w:themeColor="text1"/>
          <w:sz w:val="16"/>
          <w:szCs w:val="16"/>
          <w:lang w:val="es-ES"/>
        </w:rPr>
        <w:t>“</w:t>
      </w:r>
      <w:r w:rsidRPr="00A7405A">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7D66728C" w14:textId="77777777" w:rsidR="007C7375" w:rsidRPr="00A7405A" w:rsidRDefault="007C7375" w:rsidP="007C7375">
      <w:pPr>
        <w:pStyle w:val="Textonotapie"/>
        <w:ind w:firstLine="709"/>
        <w:jc w:val="both"/>
        <w:rPr>
          <w:rFonts w:ascii="Verdana" w:hAnsi="Verdana" w:cs="Arial"/>
          <w:color w:val="000000" w:themeColor="text1"/>
          <w:sz w:val="16"/>
          <w:szCs w:val="16"/>
          <w:lang w:val="es-ES"/>
        </w:rPr>
      </w:pPr>
      <w:r>
        <w:rPr>
          <w:rFonts w:ascii="Verdana" w:hAnsi="Verdana" w:cs="Arial"/>
          <w:color w:val="000000" w:themeColor="text1"/>
          <w:sz w:val="16"/>
          <w:szCs w:val="16"/>
          <w:lang w:val="es-ES"/>
        </w:rPr>
        <w:t>“</w:t>
      </w:r>
      <w:r w:rsidRPr="00A7405A">
        <w:rPr>
          <w:rFonts w:ascii="Verdana" w:hAnsi="Verdana" w:cs="Arial"/>
          <w:color w:val="000000" w:themeColor="text1"/>
          <w:sz w:val="16"/>
          <w:szCs w:val="16"/>
          <w:lang w:val="es-ES"/>
        </w:rPr>
        <w:t>La Entidad Estatal, para la contratación de trabajos artísticos que solamente puedan encomendarse a determinadas personas naturales, debe justificar esta situación en los estudios y documentos previos</w:t>
      </w:r>
      <w:r>
        <w:rPr>
          <w:rFonts w:ascii="Verdana" w:hAnsi="Verdana" w:cs="Arial"/>
          <w:color w:val="000000" w:themeColor="text1"/>
          <w:sz w:val="16"/>
          <w:szCs w:val="16"/>
          <w:lang w:val="es-ES"/>
        </w:rPr>
        <w:t>”</w:t>
      </w:r>
      <w:r w:rsidRPr="00A7405A">
        <w:rPr>
          <w:rFonts w:ascii="Verdana" w:hAnsi="Verdana" w:cs="Arial"/>
          <w:color w:val="000000" w:themeColor="text1"/>
          <w:sz w:val="16"/>
          <w:szCs w:val="16"/>
          <w:lang w:val="es-ES"/>
        </w:rPr>
        <w:t>.</w:t>
      </w:r>
    </w:p>
    <w:p w14:paraId="5E455E3E" w14:textId="77777777" w:rsidR="007C7375" w:rsidRPr="00A7405A" w:rsidRDefault="007C7375" w:rsidP="007C7375">
      <w:pPr>
        <w:pStyle w:val="Textonotapie"/>
        <w:ind w:firstLine="709"/>
        <w:jc w:val="both"/>
        <w:rPr>
          <w:rFonts w:ascii="Verdana" w:hAnsi="Verdana" w:cs="Arial"/>
          <w:color w:val="000000" w:themeColor="text1"/>
          <w:sz w:val="16"/>
          <w:szCs w:val="16"/>
          <w:lang w:val="es-ES"/>
        </w:rPr>
      </w:pPr>
    </w:p>
  </w:footnote>
  <w:footnote w:id="4">
    <w:p w14:paraId="263D5441" w14:textId="77777777" w:rsidR="007C7375" w:rsidRPr="00A7405A" w:rsidRDefault="007C7375" w:rsidP="007C7375">
      <w:pPr>
        <w:pStyle w:val="Textonotapie"/>
        <w:ind w:firstLine="709"/>
        <w:jc w:val="both"/>
        <w:rPr>
          <w:rFonts w:ascii="Verdana" w:hAnsi="Verdana" w:cs="Arial"/>
          <w:color w:val="000000" w:themeColor="text1"/>
          <w:sz w:val="16"/>
          <w:szCs w:val="16"/>
          <w:lang w:val="es-ES"/>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r w:rsidRPr="00A7405A">
        <w:rPr>
          <w:rFonts w:ascii="Verdana" w:hAnsi="Verdana" w:cs="Arial"/>
          <w:color w:val="000000" w:themeColor="text1"/>
          <w:sz w:val="16"/>
          <w:szCs w:val="16"/>
          <w:lang w:val="es-ES"/>
        </w:rPr>
        <w:t xml:space="preserve">CONSEJO DE ESTADO. Sección Tercera. Subsección C. Sentencia de Unificación del 2 de diciembre de 2013. </w:t>
      </w:r>
      <w:r w:rsidRPr="00A7405A">
        <w:rPr>
          <w:rFonts w:ascii="Verdana" w:hAnsi="Verdana" w:cs="Arial"/>
          <w:color w:val="000000" w:themeColor="text1"/>
          <w:sz w:val="16"/>
          <w:szCs w:val="16"/>
          <w:lang w:val="es-ES"/>
        </w:rPr>
        <w:t>Exp. 41.719. C.P. Jaime Orlando Santofimio Gamboa.</w:t>
      </w:r>
    </w:p>
    <w:p w14:paraId="19D61263" w14:textId="77777777" w:rsidR="007C7375" w:rsidRPr="00A7405A" w:rsidRDefault="007C7375" w:rsidP="007C7375">
      <w:pPr>
        <w:pStyle w:val="Textonotapie"/>
        <w:ind w:firstLine="709"/>
        <w:jc w:val="both"/>
        <w:rPr>
          <w:rFonts w:ascii="Verdana" w:hAnsi="Verdana" w:cs="Arial"/>
          <w:color w:val="000000" w:themeColor="text1"/>
          <w:sz w:val="16"/>
          <w:szCs w:val="16"/>
          <w:lang w:val="es-ES"/>
        </w:rPr>
      </w:pPr>
    </w:p>
  </w:footnote>
  <w:footnote w:id="5">
    <w:p w14:paraId="448C3276" w14:textId="77777777" w:rsidR="007C7375" w:rsidRPr="00A7405A" w:rsidRDefault="007C7375" w:rsidP="007C7375">
      <w:pPr>
        <w:pStyle w:val="Textonotapie"/>
        <w:ind w:firstLine="709"/>
        <w:jc w:val="both"/>
        <w:rPr>
          <w:rFonts w:ascii="Verdana" w:hAnsi="Verdana" w:cs="Arial"/>
          <w:color w:val="000000" w:themeColor="text1"/>
          <w:sz w:val="16"/>
          <w:szCs w:val="16"/>
          <w:lang w:val="es-ES"/>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r w:rsidRPr="00A7405A">
        <w:rPr>
          <w:rFonts w:ascii="Verdana" w:hAnsi="Verdana" w:cs="Arial"/>
          <w:i/>
          <w:iCs/>
          <w:color w:val="000000" w:themeColor="text1"/>
          <w:sz w:val="16"/>
          <w:szCs w:val="16"/>
          <w:lang w:val="es-ES"/>
        </w:rPr>
        <w:t>Ibíd</w:t>
      </w:r>
      <w:r w:rsidRPr="00A7405A">
        <w:rPr>
          <w:rFonts w:ascii="Verdana" w:hAnsi="Verdana" w:cs="Arial"/>
          <w:color w:val="000000" w:themeColor="text1"/>
          <w:sz w:val="16"/>
          <w:szCs w:val="16"/>
          <w:lang w:val="es-ES"/>
        </w:rPr>
        <w:t>.</w:t>
      </w:r>
    </w:p>
    <w:p w14:paraId="5178B22E" w14:textId="77777777" w:rsidR="007C7375" w:rsidRPr="00A7405A" w:rsidRDefault="007C7375" w:rsidP="007C7375">
      <w:pPr>
        <w:pStyle w:val="Textonotapie"/>
        <w:ind w:firstLine="709"/>
        <w:jc w:val="both"/>
        <w:rPr>
          <w:rFonts w:ascii="Verdana" w:hAnsi="Verdana" w:cs="Arial"/>
          <w:color w:val="000000" w:themeColor="text1"/>
          <w:sz w:val="16"/>
          <w:szCs w:val="16"/>
          <w:lang w:val="es-ES"/>
        </w:rPr>
      </w:pPr>
    </w:p>
  </w:footnote>
  <w:footnote w:id="6">
    <w:p w14:paraId="1E587C55" w14:textId="77777777" w:rsidR="007C7375" w:rsidRPr="00DA0592" w:rsidRDefault="007C7375" w:rsidP="007C7375">
      <w:pPr>
        <w:pStyle w:val="Textonotapie"/>
        <w:ind w:firstLine="426"/>
        <w:jc w:val="both"/>
        <w:rPr>
          <w:rFonts w:ascii="Verdana" w:hAnsi="Verdana"/>
          <w:sz w:val="13"/>
          <w:szCs w:val="13"/>
          <w:lang w:val="es-CO"/>
        </w:rPr>
      </w:pPr>
      <w:r w:rsidRPr="00DA0592">
        <w:rPr>
          <w:rStyle w:val="Refdenotaalpie"/>
          <w:rFonts w:ascii="Verdana" w:hAnsi="Verdana"/>
          <w:sz w:val="13"/>
          <w:szCs w:val="13"/>
        </w:rPr>
        <w:footnoteRef/>
      </w:r>
      <w:r w:rsidRPr="00DA0592">
        <w:rPr>
          <w:rFonts w:ascii="Verdana" w:hAnsi="Verdana"/>
          <w:sz w:val="13"/>
          <w:szCs w:val="13"/>
        </w:rPr>
        <w:t xml:space="preserve"> </w:t>
      </w:r>
      <w:r w:rsidRPr="00DA0592">
        <w:rPr>
          <w:rFonts w:ascii="Verdana" w:hAnsi="Verdana"/>
          <w:sz w:val="13"/>
          <w:szCs w:val="13"/>
          <w:lang w:val="es-ES"/>
        </w:rPr>
        <w:t>“</w:t>
      </w:r>
      <w:r w:rsidRPr="00DA0592">
        <w:rPr>
          <w:rFonts w:ascii="Verdana" w:hAnsi="Verdana"/>
          <w:sz w:val="13"/>
          <w:szCs w:val="13"/>
          <w:lang w:val="es-CO"/>
        </w:rPr>
        <w:t>Para poder participar en los procesos de selección de los contratos de obra, la capacidad residual del proponente o K de contratación deberá ser igual o superior al que la entidad haya establecido para el efecto en los pliegos de condiciones</w:t>
      </w:r>
    </w:p>
    <w:p w14:paraId="43A698C1" w14:textId="77777777" w:rsidR="007C7375" w:rsidRPr="00DA0592" w:rsidRDefault="007C7375" w:rsidP="007C7375">
      <w:pPr>
        <w:pStyle w:val="Textonotapie"/>
        <w:jc w:val="both"/>
        <w:rPr>
          <w:rFonts w:ascii="Verdana" w:hAnsi="Verdana"/>
          <w:sz w:val="13"/>
          <w:szCs w:val="13"/>
          <w:lang w:val="es-CO"/>
        </w:rPr>
      </w:pPr>
      <w:r w:rsidRPr="00DA0592">
        <w:rPr>
          <w:rFonts w:ascii="Verdana" w:hAnsi="Verdana"/>
          <w:sz w:val="13"/>
          <w:szCs w:val="13"/>
          <w:lang w:val="es-CO"/>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7">
    <w:p w14:paraId="693EEFB7" w14:textId="77777777" w:rsidR="007C7375" w:rsidRPr="00DA0592" w:rsidRDefault="007C7375" w:rsidP="007C7375">
      <w:pPr>
        <w:ind w:firstLine="567"/>
        <w:jc w:val="both"/>
        <w:rPr>
          <w:rFonts w:ascii="Verdana" w:hAnsi="Verdana"/>
          <w:sz w:val="13"/>
          <w:szCs w:val="13"/>
          <w:lang w:val="es-MX"/>
        </w:rPr>
      </w:pPr>
      <w:r w:rsidRPr="00DA0592">
        <w:rPr>
          <w:rStyle w:val="Refdenotaalpie"/>
          <w:rFonts w:ascii="Verdana" w:hAnsi="Verdana"/>
          <w:sz w:val="13"/>
          <w:szCs w:val="13"/>
        </w:rPr>
        <w:footnoteRef/>
      </w:r>
      <w:r w:rsidRPr="00DA0592">
        <w:rPr>
          <w:rFonts w:ascii="Verdana" w:hAnsi="Verdana"/>
          <w:sz w:val="13"/>
          <w:szCs w:val="13"/>
        </w:rPr>
        <w:t xml:space="preserve"> </w:t>
      </w:r>
      <w:r w:rsidRPr="00DA0592">
        <w:rPr>
          <w:rFonts w:ascii="Verdana" w:hAnsi="Verdana"/>
          <w:sz w:val="13"/>
          <w:szCs w:val="13"/>
          <w:lang w:val="es-MX"/>
        </w:rPr>
        <w:t xml:space="preserve">Gaceta 096 de 2007. Pág. 9. Allí se lee: “Parágrafo 2°. Nuevo. Se adiciona un parágrafo nuevo para establecer de manera concreta que las certificaciones de sistemas de gestión de calidad no serán objeto de calificación, ni podrán establecerse como documento habilitante para participar en licitaciones o concursos, con el fin de evitar la exclusión de aquellas personas o empresas principalmente en regiones apartadas que carecen de tal requisito. Dejando sin embargo a la administración la posibilidad de fijar la implementación de planes de calidad” (Cursivas propias). </w:t>
      </w:r>
    </w:p>
  </w:footnote>
  <w:footnote w:id="8">
    <w:p w14:paraId="2E7F23E3" w14:textId="77777777" w:rsidR="007C7375" w:rsidRPr="00DA0592" w:rsidRDefault="007C7375" w:rsidP="007C7375">
      <w:pPr>
        <w:pStyle w:val="Textonotapie"/>
        <w:ind w:firstLine="567"/>
        <w:jc w:val="both"/>
        <w:rPr>
          <w:rFonts w:ascii="Verdana" w:hAnsi="Verdana"/>
          <w:sz w:val="13"/>
          <w:szCs w:val="13"/>
          <w:lang w:val="es-CO"/>
        </w:rPr>
      </w:pPr>
      <w:r w:rsidRPr="00DA0592">
        <w:rPr>
          <w:rStyle w:val="Refdenotaalpie"/>
          <w:rFonts w:ascii="Verdana" w:hAnsi="Verdana"/>
          <w:sz w:val="13"/>
          <w:szCs w:val="13"/>
        </w:rPr>
        <w:footnoteRef/>
      </w:r>
      <w:r w:rsidRPr="00DA0592">
        <w:rPr>
          <w:rFonts w:ascii="Verdana" w:hAnsi="Verdana"/>
          <w:sz w:val="13"/>
          <w:szCs w:val="13"/>
        </w:rPr>
        <w:t xml:space="preserve"> Según este parágrafo</w:t>
      </w:r>
      <w:r w:rsidRPr="00DA0592">
        <w:rPr>
          <w:rFonts w:ascii="Verdana" w:hAnsi="Verdana" w:cs="Arial"/>
          <w:color w:val="000000" w:themeColor="text1"/>
          <w:sz w:val="13"/>
          <w:szCs w:val="13"/>
          <w:lang w:val="es-ES_tradnl"/>
        </w:rPr>
        <w:t xml:space="preserve"> </w:t>
      </w:r>
      <w:r w:rsidRPr="00DA0592">
        <w:rPr>
          <w:rFonts w:ascii="Verdana" w:hAnsi="Verdana"/>
          <w:sz w:val="13"/>
          <w:szCs w:val="13"/>
          <w:lang w:val="es-ES_tradnl"/>
        </w:rPr>
        <w:t>las certificaciones de sistemas de gestión de calidad no serán objeto de calificación, ni podrán establecerse como documento habilitante para participar en licitaciones o concursos.</w:t>
      </w:r>
      <w:r w:rsidRPr="00DA0592">
        <w:rPr>
          <w:rFonts w:ascii="Verdana" w:hAnsi="Verdana"/>
          <w:sz w:val="13"/>
          <w:szCs w:val="13"/>
        </w:rPr>
        <w:t xml:space="preserve"> </w:t>
      </w:r>
    </w:p>
  </w:footnote>
  <w:footnote w:id="9">
    <w:p w14:paraId="5E907E39" w14:textId="77777777" w:rsidR="007C7375" w:rsidRPr="00DA0592" w:rsidRDefault="007C7375" w:rsidP="007C7375">
      <w:pPr>
        <w:pStyle w:val="Textonotapie"/>
        <w:ind w:firstLine="567"/>
        <w:jc w:val="both"/>
        <w:rPr>
          <w:rFonts w:ascii="Verdana" w:hAnsi="Verdana"/>
          <w:sz w:val="13"/>
          <w:szCs w:val="13"/>
          <w:lang w:val="es-CO"/>
        </w:rPr>
      </w:pPr>
      <w:r w:rsidRPr="00DA0592">
        <w:rPr>
          <w:rStyle w:val="Refdenotaalpie"/>
          <w:rFonts w:ascii="Verdana" w:hAnsi="Verdana"/>
          <w:sz w:val="13"/>
          <w:szCs w:val="13"/>
        </w:rPr>
        <w:footnoteRef/>
      </w:r>
      <w:r w:rsidRPr="00DA0592">
        <w:rPr>
          <w:rFonts w:ascii="Verdana" w:hAnsi="Verdana"/>
          <w:sz w:val="13"/>
          <w:szCs w:val="13"/>
        </w:rPr>
        <w:t xml:space="preserve">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 w:id="10">
    <w:p w14:paraId="68474AD7" w14:textId="77777777" w:rsidR="007C7375" w:rsidRPr="002B63D9" w:rsidRDefault="007C7375" w:rsidP="007C7375">
      <w:pPr>
        <w:pStyle w:val="Textonotapie"/>
        <w:ind w:firstLine="709"/>
        <w:rPr>
          <w:lang w:val="es-CO"/>
        </w:rPr>
      </w:pPr>
      <w:r>
        <w:rPr>
          <w:rStyle w:val="Refdenotaalpie"/>
        </w:rPr>
        <w:footnoteRef/>
      </w:r>
      <w:r>
        <w:t xml:space="preserve"> Disponible en: </w:t>
      </w:r>
      <w:hyperlink r:id="rId2" w:history="1">
        <w:r w:rsidRPr="00C70EB5">
          <w:rPr>
            <w:rStyle w:val="Hipervnculo"/>
          </w:rPr>
          <w:t>https://www.funcionpublica.gov.co/eva/gestornormativo/norma.php?i=90917</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512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6FA"/>
    <w:rsid w:val="00016F78"/>
    <w:rsid w:val="0002569A"/>
    <w:rsid w:val="00041D36"/>
    <w:rsid w:val="00046945"/>
    <w:rsid w:val="00061B2A"/>
    <w:rsid w:val="00080AED"/>
    <w:rsid w:val="00082362"/>
    <w:rsid w:val="00095903"/>
    <w:rsid w:val="000965F0"/>
    <w:rsid w:val="000A683E"/>
    <w:rsid w:val="000B19B9"/>
    <w:rsid w:val="000C529E"/>
    <w:rsid w:val="000D0334"/>
    <w:rsid w:val="000F6486"/>
    <w:rsid w:val="001075A3"/>
    <w:rsid w:val="00125105"/>
    <w:rsid w:val="00126DDD"/>
    <w:rsid w:val="00127233"/>
    <w:rsid w:val="0014395D"/>
    <w:rsid w:val="001511A0"/>
    <w:rsid w:val="0016513F"/>
    <w:rsid w:val="00177F05"/>
    <w:rsid w:val="001838E4"/>
    <w:rsid w:val="00196D87"/>
    <w:rsid w:val="001A1D4D"/>
    <w:rsid w:val="001B1F13"/>
    <w:rsid w:val="001B6373"/>
    <w:rsid w:val="001C0B0B"/>
    <w:rsid w:val="001D1F87"/>
    <w:rsid w:val="001D6CF8"/>
    <w:rsid w:val="001E4177"/>
    <w:rsid w:val="001F05B5"/>
    <w:rsid w:val="001F7DC6"/>
    <w:rsid w:val="002057DE"/>
    <w:rsid w:val="00205CAA"/>
    <w:rsid w:val="002065B2"/>
    <w:rsid w:val="0023624C"/>
    <w:rsid w:val="002421BB"/>
    <w:rsid w:val="002479C1"/>
    <w:rsid w:val="0025796E"/>
    <w:rsid w:val="002707A2"/>
    <w:rsid w:val="00282197"/>
    <w:rsid w:val="002951A0"/>
    <w:rsid w:val="002962BC"/>
    <w:rsid w:val="002A093D"/>
    <w:rsid w:val="002A0D2F"/>
    <w:rsid w:val="002A0DD0"/>
    <w:rsid w:val="002A49AC"/>
    <w:rsid w:val="002A64FD"/>
    <w:rsid w:val="002B271F"/>
    <w:rsid w:val="002B63D9"/>
    <w:rsid w:val="002C7A84"/>
    <w:rsid w:val="002E4FD9"/>
    <w:rsid w:val="00322A85"/>
    <w:rsid w:val="00324168"/>
    <w:rsid w:val="00334186"/>
    <w:rsid w:val="00344034"/>
    <w:rsid w:val="003448F4"/>
    <w:rsid w:val="003462AC"/>
    <w:rsid w:val="00352365"/>
    <w:rsid w:val="00363BC0"/>
    <w:rsid w:val="00374F5E"/>
    <w:rsid w:val="00376339"/>
    <w:rsid w:val="00377E3E"/>
    <w:rsid w:val="003A779E"/>
    <w:rsid w:val="003D0F4D"/>
    <w:rsid w:val="003D5B0D"/>
    <w:rsid w:val="003E0499"/>
    <w:rsid w:val="003F3941"/>
    <w:rsid w:val="00406575"/>
    <w:rsid w:val="00411732"/>
    <w:rsid w:val="00414C74"/>
    <w:rsid w:val="0042722E"/>
    <w:rsid w:val="00433F8C"/>
    <w:rsid w:val="00435753"/>
    <w:rsid w:val="0043649B"/>
    <w:rsid w:val="00443FD4"/>
    <w:rsid w:val="0044528D"/>
    <w:rsid w:val="00473855"/>
    <w:rsid w:val="004A1847"/>
    <w:rsid w:val="004A1AC5"/>
    <w:rsid w:val="004A305D"/>
    <w:rsid w:val="004B58EB"/>
    <w:rsid w:val="004C455F"/>
    <w:rsid w:val="004F21C4"/>
    <w:rsid w:val="004F685F"/>
    <w:rsid w:val="00504FE6"/>
    <w:rsid w:val="0055630B"/>
    <w:rsid w:val="005566E8"/>
    <w:rsid w:val="00562A8F"/>
    <w:rsid w:val="00563DDC"/>
    <w:rsid w:val="00574867"/>
    <w:rsid w:val="00591460"/>
    <w:rsid w:val="005B3816"/>
    <w:rsid w:val="005C3777"/>
    <w:rsid w:val="005C5CDC"/>
    <w:rsid w:val="005D476C"/>
    <w:rsid w:val="005F5E2D"/>
    <w:rsid w:val="006219F8"/>
    <w:rsid w:val="00662CEC"/>
    <w:rsid w:val="00665D70"/>
    <w:rsid w:val="00682F83"/>
    <w:rsid w:val="006900D9"/>
    <w:rsid w:val="00690BF2"/>
    <w:rsid w:val="006F0E4E"/>
    <w:rsid w:val="00706C16"/>
    <w:rsid w:val="00752914"/>
    <w:rsid w:val="00756841"/>
    <w:rsid w:val="007602EB"/>
    <w:rsid w:val="007649AB"/>
    <w:rsid w:val="00771D0C"/>
    <w:rsid w:val="00777E50"/>
    <w:rsid w:val="007811E9"/>
    <w:rsid w:val="007833AC"/>
    <w:rsid w:val="007A40DE"/>
    <w:rsid w:val="007B252A"/>
    <w:rsid w:val="007B268C"/>
    <w:rsid w:val="007B7171"/>
    <w:rsid w:val="007C0C0F"/>
    <w:rsid w:val="007C3DC2"/>
    <w:rsid w:val="007C7375"/>
    <w:rsid w:val="007E5497"/>
    <w:rsid w:val="008004AF"/>
    <w:rsid w:val="00806F5F"/>
    <w:rsid w:val="008160B3"/>
    <w:rsid w:val="00820278"/>
    <w:rsid w:val="008658C5"/>
    <w:rsid w:val="00867F95"/>
    <w:rsid w:val="00873A1C"/>
    <w:rsid w:val="008843B6"/>
    <w:rsid w:val="00891928"/>
    <w:rsid w:val="00895736"/>
    <w:rsid w:val="008A446D"/>
    <w:rsid w:val="008D180B"/>
    <w:rsid w:val="008F0EA7"/>
    <w:rsid w:val="009005EC"/>
    <w:rsid w:val="00923EEF"/>
    <w:rsid w:val="00937D5E"/>
    <w:rsid w:val="009419F9"/>
    <w:rsid w:val="0095685E"/>
    <w:rsid w:val="00961B09"/>
    <w:rsid w:val="00965334"/>
    <w:rsid w:val="0097093E"/>
    <w:rsid w:val="009720B7"/>
    <w:rsid w:val="00984A7A"/>
    <w:rsid w:val="00986AC5"/>
    <w:rsid w:val="00994736"/>
    <w:rsid w:val="009A0DFA"/>
    <w:rsid w:val="009A33E4"/>
    <w:rsid w:val="009B1267"/>
    <w:rsid w:val="009B2D26"/>
    <w:rsid w:val="009C71FA"/>
    <w:rsid w:val="009C72E7"/>
    <w:rsid w:val="009D3058"/>
    <w:rsid w:val="009E4BFA"/>
    <w:rsid w:val="009F3A13"/>
    <w:rsid w:val="009F52FC"/>
    <w:rsid w:val="00A122D3"/>
    <w:rsid w:val="00A12B2A"/>
    <w:rsid w:val="00A17F13"/>
    <w:rsid w:val="00A20739"/>
    <w:rsid w:val="00A33C78"/>
    <w:rsid w:val="00A61770"/>
    <w:rsid w:val="00A8233B"/>
    <w:rsid w:val="00A86E04"/>
    <w:rsid w:val="00AA6AFE"/>
    <w:rsid w:val="00AB0ADB"/>
    <w:rsid w:val="00AB2E73"/>
    <w:rsid w:val="00AD6AC7"/>
    <w:rsid w:val="00B01B1A"/>
    <w:rsid w:val="00B03B27"/>
    <w:rsid w:val="00B101B1"/>
    <w:rsid w:val="00B11259"/>
    <w:rsid w:val="00B352DF"/>
    <w:rsid w:val="00B63336"/>
    <w:rsid w:val="00B66319"/>
    <w:rsid w:val="00B72CD3"/>
    <w:rsid w:val="00B72FFF"/>
    <w:rsid w:val="00B750CF"/>
    <w:rsid w:val="00B8718E"/>
    <w:rsid w:val="00BA5B35"/>
    <w:rsid w:val="00BC3D36"/>
    <w:rsid w:val="00BD1FBD"/>
    <w:rsid w:val="00BD7F72"/>
    <w:rsid w:val="00BE0B1E"/>
    <w:rsid w:val="00BE400B"/>
    <w:rsid w:val="00C04FB3"/>
    <w:rsid w:val="00C330EB"/>
    <w:rsid w:val="00C34324"/>
    <w:rsid w:val="00C41061"/>
    <w:rsid w:val="00C42996"/>
    <w:rsid w:val="00C61169"/>
    <w:rsid w:val="00C73ECC"/>
    <w:rsid w:val="00C754BE"/>
    <w:rsid w:val="00C76B1C"/>
    <w:rsid w:val="00C83CBF"/>
    <w:rsid w:val="00C87FB7"/>
    <w:rsid w:val="00CB6357"/>
    <w:rsid w:val="00CC1B26"/>
    <w:rsid w:val="00CD000A"/>
    <w:rsid w:val="00CF5558"/>
    <w:rsid w:val="00D423A2"/>
    <w:rsid w:val="00D520D8"/>
    <w:rsid w:val="00D63AC2"/>
    <w:rsid w:val="00D7383B"/>
    <w:rsid w:val="00D8372B"/>
    <w:rsid w:val="00D91091"/>
    <w:rsid w:val="00DA231B"/>
    <w:rsid w:val="00DC39FC"/>
    <w:rsid w:val="00DC537B"/>
    <w:rsid w:val="00DC68B8"/>
    <w:rsid w:val="00DD6EF5"/>
    <w:rsid w:val="00DF5254"/>
    <w:rsid w:val="00E04410"/>
    <w:rsid w:val="00E16408"/>
    <w:rsid w:val="00E20894"/>
    <w:rsid w:val="00E2215A"/>
    <w:rsid w:val="00E245AB"/>
    <w:rsid w:val="00E2764C"/>
    <w:rsid w:val="00E27F2E"/>
    <w:rsid w:val="00E406B3"/>
    <w:rsid w:val="00E50AFE"/>
    <w:rsid w:val="00E75C92"/>
    <w:rsid w:val="00E771DC"/>
    <w:rsid w:val="00E817EF"/>
    <w:rsid w:val="00E82879"/>
    <w:rsid w:val="00E8772A"/>
    <w:rsid w:val="00E90C16"/>
    <w:rsid w:val="00E90F6B"/>
    <w:rsid w:val="00E91A7D"/>
    <w:rsid w:val="00E92C27"/>
    <w:rsid w:val="00EA0E3D"/>
    <w:rsid w:val="00EB0F7F"/>
    <w:rsid w:val="00EB7277"/>
    <w:rsid w:val="00EC38A7"/>
    <w:rsid w:val="00ED7384"/>
    <w:rsid w:val="00EE1AA8"/>
    <w:rsid w:val="00EF636B"/>
    <w:rsid w:val="00F000A4"/>
    <w:rsid w:val="00F042B0"/>
    <w:rsid w:val="00F103DC"/>
    <w:rsid w:val="00F26EB0"/>
    <w:rsid w:val="00F279DD"/>
    <w:rsid w:val="00F31EDC"/>
    <w:rsid w:val="00F33B23"/>
    <w:rsid w:val="00F456E0"/>
    <w:rsid w:val="00F462B3"/>
    <w:rsid w:val="00F5664F"/>
    <w:rsid w:val="00F5742D"/>
    <w:rsid w:val="00F666C4"/>
    <w:rsid w:val="00F76AFC"/>
    <w:rsid w:val="00FA47C0"/>
    <w:rsid w:val="00FB5DD1"/>
    <w:rsid w:val="00FC2B5D"/>
    <w:rsid w:val="00FF1449"/>
    <w:rsid w:val="02E90BB9"/>
    <w:rsid w:val="03BF00B4"/>
    <w:rsid w:val="08370C88"/>
    <w:rsid w:val="086746AD"/>
    <w:rsid w:val="09061FDF"/>
    <w:rsid w:val="0EACD718"/>
    <w:rsid w:val="104F5A3C"/>
    <w:rsid w:val="11B1BD54"/>
    <w:rsid w:val="178F4413"/>
    <w:rsid w:val="1A63C2F0"/>
    <w:rsid w:val="1F5E38F1"/>
    <w:rsid w:val="2034E5B9"/>
    <w:rsid w:val="20D5B957"/>
    <w:rsid w:val="21B755CA"/>
    <w:rsid w:val="22F3E8D5"/>
    <w:rsid w:val="2B157F00"/>
    <w:rsid w:val="3097ED43"/>
    <w:rsid w:val="31F7AC4D"/>
    <w:rsid w:val="349F3BB4"/>
    <w:rsid w:val="34ECD32D"/>
    <w:rsid w:val="3731C85B"/>
    <w:rsid w:val="3B20F00B"/>
    <w:rsid w:val="3B9F1C44"/>
    <w:rsid w:val="4056B29B"/>
    <w:rsid w:val="41298261"/>
    <w:rsid w:val="48CF4CA9"/>
    <w:rsid w:val="4C623846"/>
    <w:rsid w:val="4D272967"/>
    <w:rsid w:val="4F2B3FC2"/>
    <w:rsid w:val="4F75DA6F"/>
    <w:rsid w:val="55471BBC"/>
    <w:rsid w:val="597850BC"/>
    <w:rsid w:val="6060FAC2"/>
    <w:rsid w:val="64599499"/>
    <w:rsid w:val="687B53F4"/>
    <w:rsid w:val="6E022930"/>
    <w:rsid w:val="6E135196"/>
    <w:rsid w:val="70433217"/>
    <w:rsid w:val="7433C8EF"/>
    <w:rsid w:val="773BA367"/>
    <w:rsid w:val="77FF624B"/>
    <w:rsid w:val="79CB674A"/>
    <w:rsid w:val="7F9B068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96D87"/>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96D87"/>
    <w:rPr>
      <w:rFonts w:ascii="Geomanist Light" w:hAnsi="Geomanist Light"/>
      <w:lang w:val="es-ES"/>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34680435">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015576877">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769110619">
      <w:bodyDiv w:val="1"/>
      <w:marLeft w:val="0"/>
      <w:marRight w:val="0"/>
      <w:marTop w:val="0"/>
      <w:marBottom w:val="0"/>
      <w:divBdr>
        <w:top w:val="none" w:sz="0" w:space="0" w:color="auto"/>
        <w:left w:val="none" w:sz="0" w:space="0" w:color="auto"/>
        <w:bottom w:val="none" w:sz="0" w:space="0" w:color="auto"/>
        <w:right w:val="none" w:sz="0" w:space="0" w:color="auto"/>
      </w:divBdr>
    </w:div>
    <w:div w:id="1798141863">
      <w:bodyDiv w:val="1"/>
      <w:marLeft w:val="0"/>
      <w:marRight w:val="0"/>
      <w:marTop w:val="0"/>
      <w:marBottom w:val="0"/>
      <w:divBdr>
        <w:top w:val="none" w:sz="0" w:space="0" w:color="auto"/>
        <w:left w:val="none" w:sz="0" w:space="0" w:color="auto"/>
        <w:bottom w:val="none" w:sz="0" w:space="0" w:color="auto"/>
        <w:right w:val="none" w:sz="0" w:space="0" w:color="auto"/>
      </w:divBdr>
    </w:div>
    <w:div w:id="1801609490">
      <w:bodyDiv w:val="1"/>
      <w:marLeft w:val="0"/>
      <w:marRight w:val="0"/>
      <w:marTop w:val="0"/>
      <w:marBottom w:val="0"/>
      <w:divBdr>
        <w:top w:val="none" w:sz="0" w:space="0" w:color="auto"/>
        <w:left w:val="none" w:sz="0" w:space="0" w:color="auto"/>
        <w:bottom w:val="none" w:sz="0" w:space="0" w:color="auto"/>
        <w:right w:val="none" w:sz="0" w:space="0" w:color="auto"/>
      </w:divBdr>
    </w:div>
    <w:div w:id="1838576993">
      <w:bodyDiv w:val="1"/>
      <w:marLeft w:val="0"/>
      <w:marRight w:val="0"/>
      <w:marTop w:val="0"/>
      <w:marBottom w:val="0"/>
      <w:divBdr>
        <w:top w:val="none" w:sz="0" w:space="0" w:color="auto"/>
        <w:left w:val="none" w:sz="0" w:space="0" w:color="auto"/>
        <w:bottom w:val="none" w:sz="0" w:space="0" w:color="auto"/>
        <w:right w:val="none" w:sz="0" w:space="0" w:color="auto"/>
      </w:divBdr>
    </w:div>
    <w:div w:id="2031569809">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documents/cce-eicp-ma-04._manual_requisitos_habilitantes_v3_29-09-2023.pdf"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ontratacioncps@unillanos.edu.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funcionpublica.gov.co/eva/gestornormativo/norma.php?i=90917" TargetMode="External"/><Relationship Id="rId1" Type="http://schemas.openxmlformats.org/officeDocument/2006/relationships/hyperlink" Target="https://www.funcionpublica.gov.co/eva/gestornormativo/norma.php?i=90917"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a6cb9e4b-f1d1-4245-83ec-6cad768d538a"/>
    <ds:schemaRef ds:uri="9d85dbaf-23eb-4e57-a637-93dcacc8b1a1"/>
    <ds:schemaRef ds:uri="http://www.w3.org/XML/1998/namespace"/>
  </ds:schemaRefs>
</ds:datastoreItem>
</file>

<file path=customXml/itemProps2.xml><?xml version="1.0" encoding="utf-8"?>
<ds:datastoreItem xmlns:ds="http://schemas.openxmlformats.org/officeDocument/2006/customXml" ds:itemID="{211D8E5E-7E5A-4DF6-8B6A-839AB7B3576E}">
  <ds:schemaRefs>
    <ds:schemaRef ds:uri="http://schemas.openxmlformats.org/officeDocument/2006/bibliography"/>
  </ds:schemaRefs>
</ds:datastoreItem>
</file>

<file path=customXml/itemProps3.xml><?xml version="1.0" encoding="utf-8"?>
<ds:datastoreItem xmlns:ds="http://schemas.openxmlformats.org/officeDocument/2006/customXml" ds:itemID="{9DC93985-D66E-497B-AEAE-35CF5BB53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14</Pages>
  <Words>4595</Words>
  <Characters>24955</Characters>
  <Application>Microsoft Office Word</Application>
  <DocSecurity>0</DocSecurity>
  <Lines>519</Lines>
  <Paragraphs>102</Paragraphs>
  <ScaleCrop>false</ScaleCrop>
  <Company/>
  <LinksUpToDate>false</LinksUpToDate>
  <CharactersWithSpaces>29448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2025-10-20T17:30:00Z</dcterms:created>
  <dcterms:modified xsi:type="dcterms:W3CDTF">2025-10-20T17:30:00Z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