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73B75E" w14:textId="77777777" w:rsidR="008664D2" w:rsidRPr="00943F1F" w:rsidRDefault="008664D2" w:rsidP="008664D2">
      <w:pPr>
        <w:jc w:val="both"/>
        <w:rPr>
          <w:rFonts w:ascii="Verdana" w:hAnsi="Verdana" w:cs="Arial"/>
          <w:b/>
          <w:bCs/>
          <w:color w:val="000000" w:themeColor="text1"/>
          <w:lang w:val="es-ES_tradnl"/>
        </w:rPr>
      </w:pPr>
      <w:bookmarkStart w:id="0" w:name="_Hlk181166130"/>
      <w:bookmarkStart w:id="1" w:name="_Hlk209714638"/>
      <w:r w:rsidRPr="00943F1F">
        <w:rPr>
          <w:rFonts w:ascii="Verdana" w:hAnsi="Verdana" w:cs="Arial"/>
          <w:b/>
          <w:bCs/>
          <w:color w:val="000000" w:themeColor="text1"/>
          <w:lang w:val="es-ES_tradnl"/>
        </w:rPr>
        <w:t xml:space="preserve">CONTRATO DE PRESTACIÓN DE SERVICIOS </w:t>
      </w:r>
      <w:bookmarkStart w:id="2" w:name="_Hlk39666823"/>
      <w:r w:rsidRPr="00943F1F">
        <w:rPr>
          <w:rFonts w:ascii="Verdana" w:eastAsia="Calibri" w:hAnsi="Verdana" w:cs="Arial"/>
          <w:b/>
          <w:color w:val="000000" w:themeColor="text1"/>
        </w:rPr>
        <w:t>–</w:t>
      </w:r>
      <w:bookmarkEnd w:id="2"/>
      <w:r w:rsidRPr="00943F1F">
        <w:rPr>
          <w:rFonts w:ascii="Verdana" w:hAnsi="Verdana" w:cs="Arial"/>
          <w:b/>
          <w:bCs/>
          <w:color w:val="000000" w:themeColor="text1"/>
          <w:lang w:val="es-ES_tradnl"/>
        </w:rPr>
        <w:t xml:space="preserve"> Concepto − Características generales</w:t>
      </w:r>
    </w:p>
    <w:p w14:paraId="2D4E82BE" w14:textId="77777777" w:rsidR="008664D2" w:rsidRPr="00943F1F" w:rsidRDefault="008664D2" w:rsidP="008664D2">
      <w:pPr>
        <w:spacing w:after="0" w:line="240" w:lineRule="auto"/>
        <w:jc w:val="both"/>
        <w:rPr>
          <w:rFonts w:ascii="Verdana" w:hAnsi="Verdana" w:cs="Arial"/>
          <w:color w:val="000000" w:themeColor="text1"/>
          <w:lang w:val="es-ES"/>
        </w:rPr>
      </w:pPr>
      <w:r w:rsidRPr="00943F1F">
        <w:rPr>
          <w:rFonts w:ascii="Verdana" w:hAnsi="Verdana" w:cs="Arial"/>
          <w:color w:val="000000" w:themeColor="text1"/>
          <w:lang w:val="es-ES"/>
        </w:rPr>
        <w:t xml:space="preserve">El contrato de prestación de servicios es un contrato estatal típico regulado en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 es posible señalar las siguientes características del contrato de prestación de servicios: i) Solo puede celebrarse para realizar “actividades relacionadas con la administración o funcionamiento de la entidad”, es decir, que hagan parte de su giro ordinario o quehacer cotidiano. </w:t>
      </w:r>
      <w:proofErr w:type="spellStart"/>
      <w:r w:rsidRPr="00943F1F">
        <w:rPr>
          <w:rFonts w:ascii="Verdana" w:hAnsi="Verdana" w:cs="Arial"/>
          <w:color w:val="000000" w:themeColor="text1"/>
          <w:lang w:val="es-ES"/>
        </w:rPr>
        <w:t>ii</w:t>
      </w:r>
      <w:proofErr w:type="spellEnd"/>
      <w:r w:rsidRPr="00943F1F">
        <w:rPr>
          <w:rFonts w:ascii="Verdana" w:hAnsi="Verdana" w:cs="Arial"/>
          <w:color w:val="000000" w:themeColor="text1"/>
          <w:lang w:val="es-ES"/>
        </w:rPr>
        <w:t xml:space="preserve">) Respecto del tipo de personas que pueden ser contratadas, admite que se suscriba con personas naturales o jurídicas. […] </w:t>
      </w:r>
      <w:proofErr w:type="spellStart"/>
      <w:r w:rsidRPr="00943F1F">
        <w:rPr>
          <w:rFonts w:ascii="Verdana" w:hAnsi="Verdana" w:cs="Arial"/>
          <w:color w:val="000000" w:themeColor="text1"/>
          <w:lang w:val="es-ES"/>
        </w:rPr>
        <w:t>iii</w:t>
      </w:r>
      <w:proofErr w:type="spellEnd"/>
      <w:r w:rsidRPr="00943F1F">
        <w:rPr>
          <w:rFonts w:ascii="Verdana" w:hAnsi="Verdana" w:cs="Arial"/>
          <w:color w:val="000000" w:themeColor="text1"/>
          <w:lang w:val="es-ES"/>
        </w:rPr>
        <w:t xml:space="preserve">) Si bien se celebran para obtener la prestación personal de un servicio, se diferencian del contrato de trabajo en que quien celebra el contrato de prestación de servicios debe mantener autonomía e independencia en la ejecución de la labor, lo que significa que no debe existir subordinación ni dependencia, que es uno de los elementos constitutivos del vínculo laboral […] </w:t>
      </w:r>
      <w:proofErr w:type="spellStart"/>
      <w:r w:rsidRPr="00943F1F">
        <w:rPr>
          <w:rFonts w:ascii="Verdana" w:hAnsi="Verdana" w:cs="Arial"/>
          <w:color w:val="000000" w:themeColor="text1"/>
          <w:lang w:val="es-ES"/>
        </w:rPr>
        <w:t>iv</w:t>
      </w:r>
      <w:proofErr w:type="spellEnd"/>
      <w:r w:rsidRPr="00943F1F">
        <w:rPr>
          <w:rFonts w:ascii="Verdana" w:hAnsi="Verdana" w:cs="Arial"/>
          <w:color w:val="000000" w:themeColor="text1"/>
          <w:lang w:val="es-ES"/>
        </w:rPr>
        <w:t xml:space="preserve">) Deben ser temporales. […] v) Se celebran a través de la modalidad de contratación directa, independientemente de la cuantía y del tipo de servicio profesional, siempre que su objeto no sea la consultoría. […]. vi) Para su celebración no se requiere expedir un acto administrativo de justificación de la contratación directa. </w:t>
      </w:r>
      <w:proofErr w:type="spellStart"/>
      <w:r w:rsidRPr="00943F1F">
        <w:rPr>
          <w:rFonts w:ascii="Verdana" w:hAnsi="Verdana" w:cs="Arial"/>
          <w:color w:val="000000" w:themeColor="text1"/>
          <w:lang w:val="es-ES"/>
        </w:rPr>
        <w:t>vii</w:t>
      </w:r>
      <w:proofErr w:type="spellEnd"/>
      <w:r w:rsidRPr="00943F1F">
        <w:rPr>
          <w:rFonts w:ascii="Verdana" w:hAnsi="Verdana" w:cs="Arial"/>
          <w:color w:val="000000" w:themeColor="text1"/>
          <w:lang w:val="es-ES"/>
        </w:rPr>
        <w:t xml:space="preserve">) El contrato admite la inclusión de cláusulas excepcionales. </w:t>
      </w:r>
      <w:proofErr w:type="spellStart"/>
      <w:r w:rsidRPr="00943F1F">
        <w:rPr>
          <w:rFonts w:ascii="Verdana" w:hAnsi="Verdana" w:cs="Arial"/>
          <w:color w:val="000000" w:themeColor="text1"/>
          <w:lang w:val="es-ES"/>
        </w:rPr>
        <w:t>viii</w:t>
      </w:r>
      <w:proofErr w:type="spellEnd"/>
      <w:r w:rsidRPr="00943F1F">
        <w:rPr>
          <w:rFonts w:ascii="Verdana" w:hAnsi="Verdana" w:cs="Arial"/>
          <w:color w:val="000000" w:themeColor="text1"/>
          <w:lang w:val="es-ES"/>
        </w:rPr>
        <w:t xml:space="preserve">) No es obligatorio liquidar estos contratos […]. </w:t>
      </w:r>
      <w:proofErr w:type="spellStart"/>
      <w:r w:rsidRPr="00943F1F">
        <w:rPr>
          <w:rFonts w:ascii="Verdana" w:hAnsi="Verdana" w:cs="Arial"/>
          <w:color w:val="000000" w:themeColor="text1"/>
          <w:lang w:val="es-ES"/>
        </w:rPr>
        <w:t>ix</w:t>
      </w:r>
      <w:proofErr w:type="spellEnd"/>
      <w:r w:rsidRPr="00943F1F">
        <w:rPr>
          <w:rFonts w:ascii="Verdana" w:hAnsi="Verdana" w:cs="Arial"/>
          <w:color w:val="000000" w:themeColor="text1"/>
          <w:lang w:val="es-ES"/>
        </w:rPr>
        <w:t xml:space="preserve">) Para su celebración el contratista no requiere estar inscrito en el Registro Único de Proponentes –RUP– […]. x) No es obligatoria la exigencia de garantías; xi) Como los demás contratos estatales, se trata de un contrato solemne que debe constar por escrito y debe ser publicado en el SECOP; </w:t>
      </w:r>
      <w:proofErr w:type="spellStart"/>
      <w:r w:rsidRPr="00943F1F">
        <w:rPr>
          <w:rFonts w:ascii="Verdana" w:hAnsi="Verdana" w:cs="Arial"/>
          <w:color w:val="000000" w:themeColor="text1"/>
          <w:lang w:val="es-ES"/>
        </w:rPr>
        <w:t>xii</w:t>
      </w:r>
      <w:proofErr w:type="spellEnd"/>
      <w:r w:rsidRPr="00943F1F">
        <w:rPr>
          <w:rFonts w:ascii="Verdana" w:hAnsi="Verdana" w:cs="Arial"/>
          <w:color w:val="000000" w:themeColor="text1"/>
          <w:lang w:val="es-ES"/>
        </w:rPr>
        <w:t>) Como especies del género prestación de servicios, se incluyen los contratos de prestación de servicios profesionales, los contratos de prestación de servicios apoyo a la gestión y los contratos de prestación de servicios artísticos que solo pueden encomendarse a determinadas personas naturales.</w:t>
      </w:r>
    </w:p>
    <w:p w14:paraId="37FA7496" w14:textId="77777777" w:rsidR="008664D2" w:rsidRPr="00943F1F" w:rsidRDefault="008664D2" w:rsidP="008664D2">
      <w:pPr>
        <w:spacing w:after="0" w:line="240" w:lineRule="auto"/>
        <w:jc w:val="both"/>
        <w:rPr>
          <w:rFonts w:ascii="Verdana" w:eastAsia="Times New Roman" w:hAnsi="Verdana" w:cs="Arial"/>
          <w:noProof/>
          <w:lang w:val="es-ES" w:eastAsia="es-ES_tradnl"/>
        </w:rPr>
      </w:pPr>
    </w:p>
    <w:p w14:paraId="1E5775DC" w14:textId="77777777" w:rsidR="008664D2" w:rsidRPr="00943F1F" w:rsidRDefault="008664D2" w:rsidP="008664D2">
      <w:pPr>
        <w:jc w:val="both"/>
        <w:rPr>
          <w:rFonts w:ascii="Verdana" w:hAnsi="Verdana" w:cs="Arial"/>
          <w:b/>
          <w:bCs/>
          <w:color w:val="000000" w:themeColor="text1"/>
          <w:lang w:val="es-ES_tradnl"/>
        </w:rPr>
      </w:pPr>
      <w:r w:rsidRPr="00943F1F">
        <w:rPr>
          <w:rFonts w:ascii="Verdana" w:hAnsi="Verdana" w:cs="Arial"/>
          <w:b/>
          <w:bCs/>
          <w:color w:val="000000" w:themeColor="text1"/>
          <w:lang w:val="es-ES_tradnl"/>
        </w:rPr>
        <w:t xml:space="preserve">CONTRATO DE PRESTACIÓN DE SERVICIOS PROFESIONALES </w:t>
      </w:r>
      <w:r w:rsidRPr="00943F1F">
        <w:rPr>
          <w:rFonts w:ascii="Verdana" w:eastAsia="Calibri" w:hAnsi="Verdana" w:cs="Arial"/>
          <w:b/>
          <w:color w:val="000000" w:themeColor="text1"/>
        </w:rPr>
        <w:t xml:space="preserve">– </w:t>
      </w:r>
      <w:r w:rsidRPr="00943F1F">
        <w:rPr>
          <w:rFonts w:ascii="Verdana" w:hAnsi="Verdana" w:cs="Arial"/>
          <w:b/>
          <w:bCs/>
          <w:color w:val="000000" w:themeColor="text1"/>
          <w:lang w:val="es-ES_tradnl"/>
        </w:rPr>
        <w:t>Horario</w:t>
      </w:r>
      <w:r w:rsidRPr="00943F1F">
        <w:rPr>
          <w:rFonts w:ascii="Verdana" w:eastAsia="Calibri" w:hAnsi="Verdana" w:cs="Arial"/>
          <w:b/>
          <w:bCs/>
          <w:color w:val="000000" w:themeColor="text1"/>
        </w:rPr>
        <w:t xml:space="preserve"> </w:t>
      </w:r>
    </w:p>
    <w:p w14:paraId="1C514AD2" w14:textId="77777777" w:rsidR="008664D2" w:rsidRPr="00943F1F" w:rsidRDefault="008664D2" w:rsidP="008664D2">
      <w:pPr>
        <w:spacing w:after="0" w:line="240" w:lineRule="auto"/>
        <w:jc w:val="both"/>
        <w:rPr>
          <w:rFonts w:ascii="Verdana" w:hAnsi="Verdana" w:cs="Arial"/>
          <w:bCs/>
          <w:color w:val="000000" w:themeColor="text1"/>
        </w:rPr>
      </w:pPr>
      <w:r w:rsidRPr="00943F1F">
        <w:rPr>
          <w:rFonts w:ascii="Verdana" w:hAnsi="Verdana" w:cs="Arial"/>
          <w:bCs/>
          <w:color w:val="000000" w:themeColor="text1"/>
        </w:rPr>
        <w:t xml:space="preserve">El contrato de prestación de servicios es una tipología contractual regulada por el numeral 3 del artículo 32 de la Ley 80 de 1993. Si bien se celebran para obtener la prestación personal de un servicio, se diferencian del contrato de trabajo en que quien celebra el contrato de prestación de servicios debe mantener autonomía e independencia en la ejecución de la labor, lo que significa que no debe existir subordinación ni dependencia, que es uno de los elementos constitutivos del vínculo laboral. </w:t>
      </w:r>
    </w:p>
    <w:p w14:paraId="75B02238" w14:textId="77777777" w:rsidR="008664D2" w:rsidRPr="00943F1F" w:rsidRDefault="008664D2" w:rsidP="008664D2">
      <w:pPr>
        <w:spacing w:after="0" w:line="240" w:lineRule="auto"/>
        <w:jc w:val="both"/>
        <w:rPr>
          <w:rFonts w:ascii="Verdana" w:hAnsi="Verdana" w:cs="Arial"/>
          <w:bCs/>
          <w:color w:val="000000" w:themeColor="text1"/>
        </w:rPr>
      </w:pPr>
    </w:p>
    <w:p w14:paraId="011DA693" w14:textId="77777777" w:rsidR="008664D2" w:rsidRPr="00943F1F" w:rsidRDefault="008664D2" w:rsidP="008664D2">
      <w:pPr>
        <w:spacing w:after="0" w:line="240" w:lineRule="auto"/>
        <w:jc w:val="both"/>
        <w:rPr>
          <w:rFonts w:ascii="Verdana" w:hAnsi="Verdana" w:cs="Arial"/>
          <w:bCs/>
          <w:color w:val="000000" w:themeColor="text1"/>
        </w:rPr>
      </w:pPr>
      <w:r w:rsidRPr="00943F1F">
        <w:rPr>
          <w:rFonts w:ascii="Verdana" w:hAnsi="Verdana" w:cs="Arial"/>
          <w:bCs/>
          <w:color w:val="000000" w:themeColor="text1"/>
        </w:rPr>
        <w:t xml:space="preserve">En relación con el problema jurídico planteado, es preciso señalar que, tal como lo han establecido la Corte Constitucional y el Consejo de Estado, el principal elemento diferenciador entre el contrato de prestación de servicios y el contrato laboral es la existencia de subordinación o dependencia en la ejecución de la labor contratada. </w:t>
      </w:r>
    </w:p>
    <w:p w14:paraId="698BFBFD" w14:textId="77777777" w:rsidR="008664D2" w:rsidRPr="00943F1F" w:rsidRDefault="008664D2" w:rsidP="008664D2">
      <w:pPr>
        <w:spacing w:after="0" w:line="240" w:lineRule="auto"/>
        <w:jc w:val="both"/>
        <w:rPr>
          <w:rFonts w:ascii="Verdana" w:hAnsi="Verdana" w:cs="Arial"/>
          <w:bCs/>
          <w:color w:val="000000" w:themeColor="text1"/>
        </w:rPr>
      </w:pPr>
    </w:p>
    <w:p w14:paraId="3A4F07A8" w14:textId="77777777" w:rsidR="008664D2" w:rsidRPr="00943F1F" w:rsidRDefault="008664D2" w:rsidP="008664D2">
      <w:pPr>
        <w:spacing w:after="0" w:line="240" w:lineRule="auto"/>
        <w:jc w:val="both"/>
        <w:rPr>
          <w:rFonts w:ascii="Verdana" w:hAnsi="Verdana" w:cs="Arial"/>
          <w:bCs/>
          <w:color w:val="000000" w:themeColor="text1"/>
        </w:rPr>
      </w:pPr>
      <w:r w:rsidRPr="00943F1F">
        <w:rPr>
          <w:rFonts w:ascii="Verdana" w:hAnsi="Verdana" w:cs="Arial"/>
          <w:bCs/>
          <w:color w:val="000000" w:themeColor="text1"/>
        </w:rPr>
        <w:t>En ese sentido, la fijación de un horario, aunque puede ser indicativa de una relación laboral, no constituye por sí sola una prueba concluyente. El Consejo de Estado ha reiterado en múltiples sentencias que la existencia de una jornada u horario puede ser necesaria para garantizar el cumplimiento eficiente del objeto contractual. Por lo tanto, la exigencia de un horario no desnaturaliza el contrato de prestación de servicios, siempre que este sea indispensable para la adecuada ejecución de las actividades encomendadas.</w:t>
      </w:r>
    </w:p>
    <w:p w14:paraId="04E588CF" w14:textId="77777777" w:rsidR="008664D2" w:rsidRPr="00943F1F" w:rsidRDefault="008664D2" w:rsidP="008664D2">
      <w:pPr>
        <w:spacing w:after="0" w:line="240" w:lineRule="auto"/>
        <w:jc w:val="both"/>
        <w:rPr>
          <w:rFonts w:ascii="Verdana" w:hAnsi="Verdana" w:cs="Arial"/>
          <w:bCs/>
          <w:color w:val="000000" w:themeColor="text1"/>
        </w:rPr>
      </w:pPr>
    </w:p>
    <w:p w14:paraId="74BE1954" w14:textId="77777777" w:rsidR="008664D2" w:rsidRPr="00943F1F" w:rsidRDefault="008664D2" w:rsidP="008664D2">
      <w:pPr>
        <w:spacing w:after="0" w:line="240" w:lineRule="auto"/>
        <w:jc w:val="both"/>
        <w:rPr>
          <w:rFonts w:ascii="Verdana" w:hAnsi="Verdana" w:cs="Arial"/>
          <w:bCs/>
          <w:color w:val="000000" w:themeColor="text1"/>
        </w:rPr>
      </w:pPr>
      <w:r w:rsidRPr="00943F1F">
        <w:rPr>
          <w:rFonts w:ascii="Verdana" w:hAnsi="Verdana" w:cs="Arial"/>
          <w:bCs/>
          <w:color w:val="000000" w:themeColor="text1"/>
        </w:rPr>
        <w:t>En consecuencia, los contratistas por prestación de servicios deben ajustarse, en el desarrollo de sus obligaciones contractuales, a las directrices establecidas por la entidad estatal contratante, así como a la forma en que se coordinan las distintas actividades. Si se requiere la presencia del contratista en una jornada específica dentro de la entidad, dicha exigencia debe estar claramente estipulada en el contrato. En todo caso, más que imponer un horario, se trata de asegurar el cumplimiento de las tareas propias del objeto contractual, conforme a las necesidades y funciones de la entidad.</w:t>
      </w:r>
    </w:p>
    <w:p w14:paraId="3BDEAB32" w14:textId="77777777" w:rsidR="008664D2" w:rsidRPr="00943F1F" w:rsidRDefault="008664D2" w:rsidP="008664D2">
      <w:pPr>
        <w:spacing w:after="0" w:line="240" w:lineRule="auto"/>
        <w:jc w:val="both"/>
        <w:rPr>
          <w:rFonts w:ascii="Verdana" w:hAnsi="Verdana" w:cs="Arial"/>
          <w:bCs/>
          <w:color w:val="000000" w:themeColor="text1"/>
        </w:rPr>
      </w:pPr>
    </w:p>
    <w:p w14:paraId="685A646B" w14:textId="77777777" w:rsidR="008664D2" w:rsidRPr="00943F1F" w:rsidRDefault="008664D2" w:rsidP="008664D2">
      <w:pPr>
        <w:spacing w:after="0" w:line="240" w:lineRule="auto"/>
        <w:jc w:val="both"/>
        <w:rPr>
          <w:rFonts w:ascii="Verdana" w:eastAsia="Times New Roman" w:hAnsi="Verdana" w:cs="Arial"/>
          <w:noProof/>
          <w:lang w:val="es-ES_tradnl" w:eastAsia="es-ES_tradnl"/>
        </w:rPr>
      </w:pPr>
      <w:r w:rsidRPr="00943F1F">
        <w:rPr>
          <w:rFonts w:ascii="Verdana" w:hAnsi="Verdana" w:cs="Arial"/>
          <w:bCs/>
          <w:color w:val="000000" w:themeColor="text1"/>
        </w:rPr>
        <w:t>Se concluye que, la naturaleza del contrato de prestación de servicios no impide que exista una coordinación entre la entidad contratante y el contratista de acuerdo con el servicio que prestará, en temas de horas en las que se requiere la presencialidad del contratista, siempre y cuando no exista subordinación y dependencia, ya que se configuraría un contrato realidad.</w:t>
      </w:r>
    </w:p>
    <w:p w14:paraId="6ECB531B" w14:textId="77777777" w:rsidR="008664D2" w:rsidRPr="00943F1F" w:rsidRDefault="008664D2" w:rsidP="008664D2">
      <w:pPr>
        <w:spacing w:after="0" w:line="240" w:lineRule="auto"/>
        <w:jc w:val="both"/>
        <w:rPr>
          <w:rFonts w:ascii="Verdana" w:eastAsia="Times New Roman" w:hAnsi="Verdana" w:cs="Arial"/>
          <w:noProof/>
          <w:lang w:val="es-ES_tradnl" w:eastAsia="es-ES_tradnl"/>
        </w:rPr>
      </w:pPr>
    </w:p>
    <w:p w14:paraId="094024C7" w14:textId="77777777" w:rsidR="008664D2" w:rsidRDefault="008664D2" w:rsidP="008664D2">
      <w:pPr>
        <w:spacing w:after="0" w:line="240" w:lineRule="auto"/>
        <w:jc w:val="both"/>
        <w:rPr>
          <w:rFonts w:ascii="Verdana" w:eastAsia="Times New Roman" w:hAnsi="Verdana" w:cs="Arial"/>
          <w:noProof/>
          <w:lang w:val="es-ES_tradnl" w:eastAsia="es-ES_tradnl"/>
        </w:rPr>
      </w:pPr>
    </w:p>
    <w:p w14:paraId="7CCFA468" w14:textId="77777777" w:rsidR="008664D2" w:rsidRDefault="008664D2" w:rsidP="008664D2">
      <w:pPr>
        <w:spacing w:after="0" w:line="240" w:lineRule="auto"/>
        <w:jc w:val="both"/>
        <w:rPr>
          <w:rFonts w:ascii="Verdana" w:eastAsia="Times New Roman" w:hAnsi="Verdana" w:cs="Arial"/>
          <w:noProof/>
          <w:lang w:val="es-ES_tradnl" w:eastAsia="es-ES_tradnl"/>
        </w:rPr>
      </w:pPr>
    </w:p>
    <w:p w14:paraId="44E319E0" w14:textId="77777777" w:rsidR="008664D2" w:rsidRDefault="008664D2" w:rsidP="008664D2">
      <w:pPr>
        <w:spacing w:after="0" w:line="240" w:lineRule="auto"/>
        <w:rPr>
          <w:rFonts w:ascii="Verdana" w:hAnsi="Verdana"/>
        </w:rPr>
      </w:pPr>
    </w:p>
    <w:p w14:paraId="57647606" w14:textId="77777777" w:rsidR="008664D2" w:rsidRDefault="008664D2" w:rsidP="008664D2">
      <w:pPr>
        <w:spacing w:after="0" w:line="240" w:lineRule="auto"/>
        <w:rPr>
          <w:rFonts w:ascii="Verdana" w:hAnsi="Verdana"/>
        </w:rPr>
      </w:pPr>
    </w:p>
    <w:p w14:paraId="4410A13E" w14:textId="77777777" w:rsidR="008664D2" w:rsidRDefault="008664D2" w:rsidP="008664D2">
      <w:pPr>
        <w:spacing w:after="0" w:line="240" w:lineRule="auto"/>
        <w:rPr>
          <w:rFonts w:ascii="Verdana" w:hAnsi="Verdana"/>
        </w:rPr>
      </w:pPr>
    </w:p>
    <w:p w14:paraId="4D0691ED" w14:textId="77777777" w:rsidR="008664D2" w:rsidRDefault="008664D2" w:rsidP="008664D2">
      <w:pPr>
        <w:spacing w:after="0" w:line="240" w:lineRule="auto"/>
        <w:rPr>
          <w:rFonts w:ascii="Verdana" w:hAnsi="Verdana"/>
        </w:rPr>
      </w:pPr>
    </w:p>
    <w:p w14:paraId="1019191A" w14:textId="77777777" w:rsidR="008664D2" w:rsidRDefault="008664D2" w:rsidP="008664D2">
      <w:pPr>
        <w:spacing w:after="0" w:line="240" w:lineRule="auto"/>
        <w:rPr>
          <w:rFonts w:ascii="Verdana" w:hAnsi="Verdana"/>
        </w:rPr>
      </w:pPr>
    </w:p>
    <w:p w14:paraId="2DE4B26B" w14:textId="77777777" w:rsidR="008664D2" w:rsidRDefault="008664D2" w:rsidP="008664D2">
      <w:pPr>
        <w:spacing w:after="0" w:line="240" w:lineRule="auto"/>
        <w:rPr>
          <w:rFonts w:ascii="Verdana" w:hAnsi="Verdana"/>
        </w:rPr>
      </w:pPr>
    </w:p>
    <w:p w14:paraId="399D80A6" w14:textId="77777777" w:rsidR="008664D2" w:rsidRDefault="008664D2" w:rsidP="008664D2">
      <w:pPr>
        <w:spacing w:after="0" w:line="240" w:lineRule="auto"/>
        <w:rPr>
          <w:rFonts w:ascii="Verdana" w:hAnsi="Verdana"/>
        </w:rPr>
      </w:pPr>
    </w:p>
    <w:p w14:paraId="6A5D289C" w14:textId="77777777" w:rsidR="008664D2" w:rsidRDefault="008664D2" w:rsidP="008664D2">
      <w:pPr>
        <w:spacing w:after="0" w:line="240" w:lineRule="auto"/>
        <w:rPr>
          <w:rFonts w:ascii="Verdana" w:hAnsi="Verdana"/>
        </w:rPr>
      </w:pPr>
    </w:p>
    <w:p w14:paraId="12EBCD61" w14:textId="77777777" w:rsidR="008664D2" w:rsidRDefault="008664D2" w:rsidP="008664D2">
      <w:pPr>
        <w:spacing w:after="0" w:line="240" w:lineRule="auto"/>
        <w:rPr>
          <w:rFonts w:ascii="Verdana" w:hAnsi="Verdana"/>
        </w:rPr>
      </w:pPr>
    </w:p>
    <w:p w14:paraId="7B32BA82" w14:textId="77777777" w:rsidR="008664D2" w:rsidRDefault="008664D2" w:rsidP="008664D2">
      <w:pPr>
        <w:spacing w:after="0" w:line="240" w:lineRule="auto"/>
        <w:rPr>
          <w:rFonts w:ascii="Verdana" w:hAnsi="Verdana"/>
        </w:rPr>
      </w:pPr>
    </w:p>
    <w:p w14:paraId="08D932F7" w14:textId="77777777" w:rsidR="008664D2" w:rsidRDefault="008664D2" w:rsidP="008664D2">
      <w:pPr>
        <w:spacing w:after="0" w:line="240" w:lineRule="auto"/>
        <w:rPr>
          <w:rFonts w:ascii="Verdana" w:hAnsi="Verdana"/>
        </w:rPr>
      </w:pPr>
    </w:p>
    <w:p w14:paraId="3028AA16" w14:textId="715FD86A" w:rsidR="008664D2" w:rsidRDefault="008664D2" w:rsidP="008664D2">
      <w:pPr>
        <w:spacing w:after="0" w:line="240" w:lineRule="auto"/>
        <w:rPr>
          <w:rFonts w:ascii="Verdana" w:hAnsi="Verdana"/>
        </w:rPr>
      </w:pPr>
      <w:r>
        <w:rPr>
          <w:rFonts w:ascii="Verdana" w:hAnsi="Verdana"/>
        </w:rPr>
        <w:lastRenderedPageBreak/>
        <w:t>B</w:t>
      </w:r>
      <w:r w:rsidRPr="0044528D">
        <w:rPr>
          <w:rFonts w:ascii="Verdana" w:hAnsi="Verdana"/>
        </w:rPr>
        <w:t xml:space="preserve">ogotá D.C., </w:t>
      </w:r>
      <w:r w:rsidR="002B103D">
        <w:rPr>
          <w:rFonts w:ascii="Verdana" w:hAnsi="Verdana"/>
        </w:rPr>
        <w:t xml:space="preserve">21 de octubre de </w:t>
      </w:r>
      <w:proofErr w:type="gramStart"/>
      <w:r w:rsidR="002B103D">
        <w:rPr>
          <w:rFonts w:ascii="Verdana" w:hAnsi="Verdana"/>
        </w:rPr>
        <w:t xml:space="preserve">2025 </w:t>
      </w:r>
      <w:r>
        <w:rPr>
          <w:rFonts w:ascii="Verdana" w:hAnsi="Verdana"/>
        </w:rPr>
        <w:t xml:space="preserve"> .</w:t>
      </w:r>
      <w:proofErr w:type="gramEnd"/>
    </w:p>
    <w:bookmarkEnd w:id="0"/>
    <w:p w14:paraId="2311CB96" w14:textId="77777777" w:rsidR="008664D2" w:rsidRDefault="008664D2" w:rsidP="008664D2">
      <w:pPr>
        <w:spacing w:after="0" w:line="240" w:lineRule="auto"/>
        <w:rPr>
          <w:rFonts w:ascii="Verdana" w:hAnsi="Verdana"/>
        </w:rPr>
      </w:pPr>
    </w:p>
    <w:p w14:paraId="7CBBF8CE" w14:textId="6FB67BE0" w:rsidR="008664D2" w:rsidRDefault="002B103D" w:rsidP="002B103D">
      <w:pPr>
        <w:spacing w:after="0" w:line="240" w:lineRule="auto"/>
        <w:jc w:val="right"/>
        <w:rPr>
          <w:rFonts w:ascii="Verdana" w:hAnsi="Verdana"/>
        </w:rPr>
      </w:pPr>
      <w:r>
        <w:rPr>
          <w:rFonts w:ascii="Verdana" w:hAnsi="Verdana"/>
          <w:noProof/>
        </w:rPr>
        <w:drawing>
          <wp:inline distT="0" distB="0" distL="0" distR="0" wp14:anchorId="57B2EA9A" wp14:editId="37E1E261">
            <wp:extent cx="2038350" cy="542925"/>
            <wp:effectExtent l="0" t="0" r="0" b="9525"/>
            <wp:docPr id="87349892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38350" cy="542925"/>
                    </a:xfrm>
                    <a:prstGeom prst="rect">
                      <a:avLst/>
                    </a:prstGeom>
                    <a:noFill/>
                    <a:ln>
                      <a:noFill/>
                    </a:ln>
                  </pic:spPr>
                </pic:pic>
              </a:graphicData>
            </a:graphic>
          </wp:inline>
        </w:drawing>
      </w:r>
    </w:p>
    <w:p w14:paraId="46255692" w14:textId="77777777" w:rsidR="002B103D" w:rsidRDefault="002B103D" w:rsidP="008664D2">
      <w:pPr>
        <w:spacing w:after="0" w:line="240" w:lineRule="auto"/>
        <w:rPr>
          <w:rFonts w:ascii="Verdana" w:hAnsi="Verdana"/>
        </w:rPr>
      </w:pPr>
    </w:p>
    <w:p w14:paraId="5244E355" w14:textId="77777777" w:rsidR="008664D2" w:rsidRPr="003575D1" w:rsidRDefault="008664D2" w:rsidP="008664D2">
      <w:pPr>
        <w:spacing w:after="0" w:line="240" w:lineRule="auto"/>
        <w:jc w:val="both"/>
        <w:rPr>
          <w:rFonts w:ascii="Verdana" w:eastAsia="Calibri" w:hAnsi="Verdana" w:cs="Arial"/>
          <w:lang w:eastAsia="es-ES"/>
        </w:rPr>
      </w:pPr>
      <w:r w:rsidRPr="003575D1">
        <w:rPr>
          <w:rFonts w:ascii="Verdana" w:eastAsia="Calibri" w:hAnsi="Verdana" w:cs="Arial"/>
          <w:lang w:eastAsia="es-ES"/>
        </w:rPr>
        <w:t>Señor</w:t>
      </w:r>
      <w:r w:rsidRPr="003575D1">
        <w:rPr>
          <w:rFonts w:ascii="Verdana" w:eastAsia="Calibri" w:hAnsi="Verdana" w:cs="Arial"/>
          <w:lang w:eastAsia="es-ES"/>
        </w:rPr>
        <w:tab/>
      </w:r>
    </w:p>
    <w:p w14:paraId="37D20E51" w14:textId="77777777" w:rsidR="008664D2" w:rsidRPr="003575D1" w:rsidRDefault="008664D2" w:rsidP="008664D2">
      <w:pPr>
        <w:spacing w:after="0" w:line="240" w:lineRule="auto"/>
        <w:rPr>
          <w:rFonts w:ascii="Verdana" w:eastAsia="Calibri" w:hAnsi="Verdana" w:cs="Arial"/>
          <w:b/>
          <w:bCs/>
          <w:highlight w:val="yellow"/>
          <w:lang w:eastAsia="es-ES"/>
        </w:rPr>
      </w:pPr>
      <w:r w:rsidRPr="003575D1">
        <w:rPr>
          <w:rFonts w:ascii="Verdana" w:eastAsia="Calibri" w:hAnsi="Verdana" w:cs="Arial"/>
          <w:b/>
          <w:bCs/>
          <w:lang w:eastAsia="es-ES"/>
        </w:rPr>
        <w:t>MARTIN NICOLAS</w:t>
      </w:r>
      <w:r>
        <w:rPr>
          <w:rFonts w:ascii="Verdana" w:eastAsia="Calibri" w:hAnsi="Verdana" w:cs="Arial"/>
          <w:b/>
          <w:bCs/>
          <w:lang w:eastAsia="es-ES"/>
        </w:rPr>
        <w:t xml:space="preserve"> </w:t>
      </w:r>
      <w:r w:rsidRPr="003575D1">
        <w:rPr>
          <w:rFonts w:ascii="Verdana" w:eastAsia="Calibri" w:hAnsi="Verdana" w:cs="Arial"/>
          <w:b/>
          <w:bCs/>
          <w:lang w:eastAsia="es-ES"/>
        </w:rPr>
        <w:t>CHAMUCERO SANCHEZ</w:t>
      </w:r>
    </w:p>
    <w:p w14:paraId="107C1C7C" w14:textId="77777777" w:rsidR="008664D2" w:rsidRPr="003575D1" w:rsidRDefault="008664D2" w:rsidP="008664D2">
      <w:pPr>
        <w:spacing w:after="0" w:line="240" w:lineRule="auto"/>
        <w:rPr>
          <w:rFonts w:ascii="Verdana" w:hAnsi="Verdana"/>
          <w:highlight w:val="yellow"/>
        </w:rPr>
      </w:pPr>
      <w:hyperlink r:id="rId11" w:history="1">
        <w:r w:rsidRPr="00EC7055">
          <w:rPr>
            <w:rStyle w:val="Hipervnculo"/>
            <w:rFonts w:ascii="Verdana" w:hAnsi="Verdana"/>
          </w:rPr>
          <w:t>mnchamuceros2@gmail.com</w:t>
        </w:r>
      </w:hyperlink>
      <w:r>
        <w:rPr>
          <w:rFonts w:ascii="Verdana" w:hAnsi="Verdana"/>
        </w:rPr>
        <w:t xml:space="preserve"> </w:t>
      </w:r>
    </w:p>
    <w:p w14:paraId="045D7979" w14:textId="77777777" w:rsidR="008664D2" w:rsidRDefault="008664D2" w:rsidP="008664D2">
      <w:pPr>
        <w:spacing w:after="0" w:line="240" w:lineRule="auto"/>
        <w:rPr>
          <w:rFonts w:ascii="Verdana" w:hAnsi="Verdana"/>
        </w:rPr>
      </w:pPr>
      <w:r>
        <w:rPr>
          <w:rFonts w:ascii="Verdana" w:hAnsi="Verdana"/>
        </w:rPr>
        <w:t>Mosquera (Cundinamarca)</w:t>
      </w:r>
    </w:p>
    <w:p w14:paraId="1109C1D2" w14:textId="77777777" w:rsidR="008664D2" w:rsidRPr="00FE3DEC" w:rsidRDefault="008664D2" w:rsidP="008664D2">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8664D2" w:rsidRPr="00593A5F" w14:paraId="6CE47CE2" w14:textId="77777777" w:rsidTr="00F60007">
        <w:trPr>
          <w:trHeight w:val="273"/>
        </w:trPr>
        <w:tc>
          <w:tcPr>
            <w:tcW w:w="2295" w:type="dxa"/>
          </w:tcPr>
          <w:p w14:paraId="3E5D44DE" w14:textId="77777777" w:rsidR="008664D2" w:rsidRPr="00E5644F" w:rsidRDefault="008664D2" w:rsidP="00F60007">
            <w:pPr>
              <w:jc w:val="both"/>
              <w:rPr>
                <w:rFonts w:ascii="Verdana" w:eastAsia="Calibri" w:hAnsi="Verdana" w:cs="Arial"/>
                <w:b/>
                <w:bCs/>
                <w:color w:val="7030A0"/>
                <w:lang w:val="es-ES_tradnl" w:eastAsia="es-ES_tradnl"/>
              </w:rPr>
            </w:pPr>
          </w:p>
        </w:tc>
        <w:tc>
          <w:tcPr>
            <w:tcW w:w="6481" w:type="dxa"/>
            <w:gridSpan w:val="2"/>
          </w:tcPr>
          <w:p w14:paraId="1B27DF9A" w14:textId="77777777" w:rsidR="008664D2" w:rsidRDefault="008664D2" w:rsidP="00F60007">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1312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63B9E073" w14:textId="77777777" w:rsidR="008664D2" w:rsidRPr="00E5644F" w:rsidRDefault="008664D2" w:rsidP="00F60007">
            <w:pPr>
              <w:jc w:val="both"/>
              <w:rPr>
                <w:rFonts w:ascii="Verdana" w:eastAsia="Calibri" w:hAnsi="Verdana" w:cs="Arial"/>
                <w:b/>
                <w:bCs/>
                <w:color w:val="7030A0"/>
                <w:lang w:val="es-ES" w:eastAsia="es-ES"/>
              </w:rPr>
            </w:pPr>
          </w:p>
        </w:tc>
      </w:tr>
      <w:tr w:rsidR="008664D2" w:rsidRPr="00280D79" w14:paraId="0BAE3B3B" w14:textId="77777777" w:rsidTr="00F60007">
        <w:trPr>
          <w:trHeight w:val="1228"/>
        </w:trPr>
        <w:tc>
          <w:tcPr>
            <w:tcW w:w="2295" w:type="dxa"/>
          </w:tcPr>
          <w:p w14:paraId="1497D387" w14:textId="77777777" w:rsidR="008664D2" w:rsidRPr="00593A5F" w:rsidRDefault="008664D2" w:rsidP="00F6000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1F9AAB66" w14:textId="77777777" w:rsidR="008664D2" w:rsidRPr="00280D79" w:rsidRDefault="008664D2" w:rsidP="00F60007">
            <w:pPr>
              <w:jc w:val="both"/>
              <w:rPr>
                <w:rFonts w:ascii="Verdana" w:eastAsia="Calibri" w:hAnsi="Verdana" w:cs="Arial"/>
                <w:b/>
                <w:highlight w:val="yellow"/>
                <w:lang w:val="es-ES" w:eastAsia="es-ES"/>
              </w:rPr>
            </w:pPr>
            <w:r w:rsidRPr="009E17FE">
              <w:rPr>
                <w:rFonts w:ascii="Verdana" w:eastAsia="Times New Roman" w:hAnsi="Verdana" w:cs="Arial"/>
                <w:lang w:eastAsia="es-ES_tradnl"/>
              </w:rPr>
              <w:t>CONTRATO DE PRESTACIÓN DE SERVICIOS – Concepto − Características generales / CONTRATO DE PRESTACIÓN DE SERVICIOS PROFESIONALES</w:t>
            </w:r>
            <w:r>
              <w:rPr>
                <w:rFonts w:ascii="Verdana" w:eastAsia="Times New Roman" w:hAnsi="Verdana" w:cs="Arial"/>
                <w:lang w:eastAsia="es-ES_tradnl"/>
              </w:rPr>
              <w:t xml:space="preserve"> </w:t>
            </w:r>
            <w:r w:rsidRPr="009E17FE">
              <w:rPr>
                <w:rFonts w:ascii="Verdana" w:eastAsia="Times New Roman" w:hAnsi="Verdana" w:cs="Arial"/>
                <w:lang w:eastAsia="es-ES_tradnl"/>
              </w:rPr>
              <w:t>– Horario</w:t>
            </w:r>
          </w:p>
        </w:tc>
      </w:tr>
      <w:tr w:rsidR="008664D2" w:rsidRPr="00593A5F" w14:paraId="1A468B07" w14:textId="77777777" w:rsidTr="00F60007">
        <w:trPr>
          <w:trHeight w:val="545"/>
        </w:trPr>
        <w:tc>
          <w:tcPr>
            <w:tcW w:w="2295" w:type="dxa"/>
          </w:tcPr>
          <w:p w14:paraId="3622EB60" w14:textId="77777777" w:rsidR="008664D2" w:rsidRPr="006730E9" w:rsidRDefault="008664D2" w:rsidP="00F60007">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4AC8A67" w14:textId="77777777" w:rsidR="008664D2" w:rsidRPr="006730E9" w:rsidRDefault="008664D2" w:rsidP="00F60007">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3575D1">
              <w:rPr>
                <w:rFonts w:ascii="Verdana" w:eastAsia="Calibri" w:hAnsi="Verdana" w:cs="Arial"/>
                <w:lang w:val="es-ES_tradnl" w:eastAsia="es-ES_tradnl"/>
              </w:rPr>
              <w:t>1_2025_09_15_010023</w:t>
            </w:r>
          </w:p>
        </w:tc>
      </w:tr>
      <w:tr w:rsidR="008664D2" w:rsidRPr="00DB23D2" w14:paraId="692EBF34" w14:textId="77777777" w:rsidTr="00F60007">
        <w:trPr>
          <w:gridAfter w:val="1"/>
          <w:wAfter w:w="319" w:type="dxa"/>
          <w:trHeight w:val="242"/>
        </w:trPr>
        <w:tc>
          <w:tcPr>
            <w:tcW w:w="8457" w:type="dxa"/>
            <w:gridSpan w:val="2"/>
          </w:tcPr>
          <w:p w14:paraId="1F505DE4" w14:textId="77777777" w:rsidR="008664D2" w:rsidRPr="00DB23D2" w:rsidRDefault="008664D2" w:rsidP="00F60007">
            <w:pPr>
              <w:spacing w:line="276" w:lineRule="auto"/>
              <w:jc w:val="both"/>
              <w:rPr>
                <w:rFonts w:ascii="Verdana" w:eastAsia="Calibri" w:hAnsi="Verdana" w:cs="Arial"/>
                <w:lang w:val="es-ES_tradnl" w:eastAsia="es-ES"/>
              </w:rPr>
            </w:pPr>
          </w:p>
        </w:tc>
      </w:tr>
    </w:tbl>
    <w:p w14:paraId="416A23C1" w14:textId="77777777" w:rsidR="008664D2" w:rsidRPr="006730E9" w:rsidRDefault="008664D2" w:rsidP="008664D2">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w:t>
      </w:r>
      <w:proofErr w:type="spellStart"/>
      <w:r>
        <w:rPr>
          <w:rFonts w:ascii="Verdana" w:eastAsia="Calibri" w:hAnsi="Verdana" w:cs="Arial"/>
          <w:lang w:val="es-ES" w:eastAsia="es-ES"/>
        </w:rPr>
        <w:t>Chamucero</w:t>
      </w:r>
      <w:proofErr w:type="spellEnd"/>
      <w:r>
        <w:rPr>
          <w:rFonts w:ascii="Verdana" w:eastAsia="Calibri" w:hAnsi="Verdana" w:cs="Arial"/>
          <w:lang w:val="es-ES" w:eastAsia="es-ES"/>
        </w:rPr>
        <w:t>;</w:t>
      </w:r>
    </w:p>
    <w:p w14:paraId="1FEA723D" w14:textId="77777777" w:rsidR="008664D2" w:rsidRDefault="008664D2" w:rsidP="008664D2">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002D60CF" w14:textId="77777777" w:rsidR="008664D2" w:rsidRPr="006730E9" w:rsidRDefault="008664D2" w:rsidP="008664D2">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trasladada por competencia por el Departamento Administrativo de la Función Pública y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15</w:t>
      </w:r>
      <w:r w:rsidRPr="00656A22">
        <w:rPr>
          <w:rFonts w:ascii="Verdana" w:eastAsia="Calibri" w:hAnsi="Verdana" w:cs="Arial"/>
          <w:lang w:val="es-ES" w:eastAsia="es-ES"/>
        </w:rPr>
        <w:t xml:space="preserve"> de </w:t>
      </w:r>
      <w:r>
        <w:rPr>
          <w:rFonts w:ascii="Verdana" w:eastAsia="Calibri" w:hAnsi="Verdana" w:cs="Arial"/>
          <w:lang w:val="es-ES" w:eastAsia="es-ES"/>
        </w:rPr>
        <w:t>septiembre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67E7A616" w14:textId="77777777" w:rsidR="008664D2" w:rsidRPr="00326382" w:rsidRDefault="008664D2" w:rsidP="008664D2">
      <w:pPr>
        <w:spacing w:after="0" w:line="276" w:lineRule="auto"/>
        <w:ind w:left="709" w:right="474"/>
        <w:jc w:val="both"/>
        <w:rPr>
          <w:rFonts w:ascii="Verdana" w:hAnsi="Verdana" w:cs="Arial"/>
          <w:sz w:val="20"/>
          <w:szCs w:val="20"/>
          <w:shd w:val="clear" w:color="auto" w:fill="FFFFFF"/>
        </w:rPr>
      </w:pPr>
      <w:bookmarkStart w:id="3" w:name="_Hlk95313578"/>
    </w:p>
    <w:bookmarkEnd w:id="3"/>
    <w:p w14:paraId="3CDB7F5F" w14:textId="77777777" w:rsidR="008664D2" w:rsidRPr="003575D1" w:rsidRDefault="008664D2" w:rsidP="008664D2">
      <w:pPr>
        <w:tabs>
          <w:tab w:val="left" w:pos="142"/>
          <w:tab w:val="left" w:pos="567"/>
        </w:tabs>
        <w:spacing w:after="0" w:line="240" w:lineRule="auto"/>
        <w:ind w:right="709"/>
        <w:jc w:val="both"/>
        <w:rPr>
          <w:rFonts w:ascii="Verdana" w:eastAsia="Century Gothic" w:hAnsi="Verdana" w:cs="Century Gothic"/>
          <w:i/>
          <w:iCs/>
          <w:sz w:val="20"/>
          <w:szCs w:val="20"/>
        </w:rPr>
      </w:pPr>
      <w:r w:rsidRPr="003575D1">
        <w:rPr>
          <w:rFonts w:ascii="Verdana" w:eastAsia="Century Gothic" w:hAnsi="Verdana" w:cs="Century Gothic"/>
          <w:i/>
          <w:iCs/>
          <w:sz w:val="20"/>
          <w:szCs w:val="20"/>
        </w:rPr>
        <w:t xml:space="preserve">          “(…) </w:t>
      </w:r>
    </w:p>
    <w:p w14:paraId="4BB23E85" w14:textId="77777777" w:rsidR="008664D2" w:rsidRDefault="008664D2" w:rsidP="008664D2">
      <w:pPr>
        <w:tabs>
          <w:tab w:val="left" w:pos="142"/>
          <w:tab w:val="left" w:pos="567"/>
        </w:tabs>
        <w:spacing w:after="0" w:line="240" w:lineRule="auto"/>
        <w:ind w:left="709" w:right="709"/>
        <w:jc w:val="both"/>
        <w:rPr>
          <w:rFonts w:ascii="Verdana" w:eastAsia="Century Gothic" w:hAnsi="Verdana" w:cs="Century Gothic"/>
          <w:i/>
          <w:iCs/>
          <w:sz w:val="20"/>
          <w:szCs w:val="20"/>
        </w:rPr>
      </w:pPr>
    </w:p>
    <w:p w14:paraId="10155A72" w14:textId="77777777" w:rsidR="008664D2" w:rsidRDefault="008664D2" w:rsidP="008664D2">
      <w:pPr>
        <w:tabs>
          <w:tab w:val="left" w:pos="142"/>
          <w:tab w:val="left" w:pos="567"/>
        </w:tabs>
        <w:spacing w:after="0" w:line="240" w:lineRule="auto"/>
        <w:ind w:left="709" w:right="709"/>
        <w:jc w:val="both"/>
        <w:rPr>
          <w:rFonts w:ascii="Verdana" w:eastAsia="Century Gothic" w:hAnsi="Verdana" w:cs="Century Gothic"/>
          <w:i/>
          <w:iCs/>
          <w:sz w:val="20"/>
          <w:szCs w:val="20"/>
        </w:rPr>
      </w:pPr>
      <w:r w:rsidRPr="003575D1">
        <w:rPr>
          <w:rFonts w:ascii="Verdana" w:eastAsia="Century Gothic" w:hAnsi="Verdana" w:cs="Century Gothic"/>
          <w:i/>
          <w:iCs/>
          <w:sz w:val="20"/>
          <w:szCs w:val="20"/>
        </w:rPr>
        <w:t>Primero: ¿Un contrato de prestación de servicios, tiene por obligación cumplir con jornadas laborales? turnos laborales? o alguna obligación de estar en el lugar de la entidad?</w:t>
      </w:r>
    </w:p>
    <w:p w14:paraId="1E3B90FF" w14:textId="77777777" w:rsidR="008664D2" w:rsidRPr="003575D1" w:rsidRDefault="008664D2" w:rsidP="008664D2">
      <w:pPr>
        <w:tabs>
          <w:tab w:val="left" w:pos="142"/>
          <w:tab w:val="left" w:pos="567"/>
        </w:tabs>
        <w:spacing w:after="0" w:line="240" w:lineRule="auto"/>
        <w:ind w:left="709" w:right="709"/>
        <w:jc w:val="both"/>
        <w:rPr>
          <w:rFonts w:ascii="Verdana" w:eastAsia="Century Gothic" w:hAnsi="Verdana" w:cs="Century Gothic"/>
          <w:i/>
          <w:iCs/>
          <w:sz w:val="20"/>
          <w:szCs w:val="20"/>
        </w:rPr>
      </w:pPr>
    </w:p>
    <w:p w14:paraId="6E364859" w14:textId="77777777" w:rsidR="008664D2" w:rsidRDefault="008664D2" w:rsidP="008664D2">
      <w:pPr>
        <w:tabs>
          <w:tab w:val="left" w:pos="142"/>
          <w:tab w:val="left" w:pos="567"/>
        </w:tabs>
        <w:spacing w:after="0" w:line="240" w:lineRule="auto"/>
        <w:ind w:left="709" w:right="709"/>
        <w:jc w:val="both"/>
        <w:rPr>
          <w:rFonts w:ascii="Verdana" w:eastAsia="Century Gothic" w:hAnsi="Verdana" w:cs="Century Gothic"/>
          <w:i/>
          <w:iCs/>
          <w:sz w:val="20"/>
          <w:szCs w:val="20"/>
        </w:rPr>
      </w:pPr>
      <w:r w:rsidRPr="003575D1">
        <w:rPr>
          <w:rFonts w:ascii="Verdana" w:eastAsia="Century Gothic" w:hAnsi="Verdana" w:cs="Century Gothic"/>
          <w:i/>
          <w:iCs/>
          <w:sz w:val="20"/>
          <w:szCs w:val="20"/>
        </w:rPr>
        <w:t xml:space="preserve">Segundo: </w:t>
      </w:r>
      <w:proofErr w:type="gramStart"/>
      <w:r w:rsidRPr="003575D1">
        <w:rPr>
          <w:rFonts w:ascii="Verdana" w:eastAsia="Century Gothic" w:hAnsi="Verdana" w:cs="Century Gothic"/>
          <w:i/>
          <w:iCs/>
          <w:sz w:val="20"/>
          <w:szCs w:val="20"/>
        </w:rPr>
        <w:t xml:space="preserve">Si el objeto del contrato tiene como fin Notificar Entregar Redactar Proyectar o </w:t>
      </w:r>
      <w:proofErr w:type="spellStart"/>
      <w:r w:rsidRPr="003575D1">
        <w:rPr>
          <w:rFonts w:ascii="Verdana" w:eastAsia="Century Gothic" w:hAnsi="Verdana" w:cs="Century Gothic"/>
          <w:i/>
          <w:iCs/>
          <w:sz w:val="20"/>
          <w:szCs w:val="20"/>
        </w:rPr>
        <w:t>algun</w:t>
      </w:r>
      <w:proofErr w:type="spellEnd"/>
      <w:r w:rsidRPr="003575D1">
        <w:rPr>
          <w:rFonts w:ascii="Verdana" w:eastAsia="Century Gothic" w:hAnsi="Verdana" w:cs="Century Gothic"/>
          <w:i/>
          <w:iCs/>
          <w:sz w:val="20"/>
          <w:szCs w:val="20"/>
        </w:rPr>
        <w:t xml:space="preserve"> verbo rector similar, sin que se especifique la cantidad de productos entregados por mes, se debe ser subordinado a cumplir una presunta meta mensual cuando no se encuentra en el contrato?</w:t>
      </w:r>
      <w:proofErr w:type="gramEnd"/>
      <w:r w:rsidRPr="003575D1">
        <w:rPr>
          <w:rFonts w:ascii="Verdana" w:eastAsia="Century Gothic" w:hAnsi="Verdana" w:cs="Century Gothic"/>
          <w:i/>
          <w:iCs/>
          <w:sz w:val="20"/>
          <w:szCs w:val="20"/>
        </w:rPr>
        <w:t xml:space="preserve"> en ese sentido, se </w:t>
      </w:r>
      <w:proofErr w:type="spellStart"/>
      <w:r w:rsidRPr="003575D1">
        <w:rPr>
          <w:rFonts w:ascii="Verdana" w:eastAsia="Century Gothic" w:hAnsi="Verdana" w:cs="Century Gothic"/>
          <w:i/>
          <w:iCs/>
          <w:sz w:val="20"/>
          <w:szCs w:val="20"/>
        </w:rPr>
        <w:t>entendera</w:t>
      </w:r>
      <w:proofErr w:type="spellEnd"/>
      <w:r w:rsidRPr="003575D1">
        <w:rPr>
          <w:rFonts w:ascii="Verdana" w:eastAsia="Century Gothic" w:hAnsi="Verdana" w:cs="Century Gothic"/>
          <w:i/>
          <w:iCs/>
          <w:sz w:val="20"/>
          <w:szCs w:val="20"/>
        </w:rPr>
        <w:t xml:space="preserve"> como cumplida el objeto del </w:t>
      </w:r>
      <w:r w:rsidRPr="003575D1">
        <w:rPr>
          <w:rFonts w:ascii="Verdana" w:eastAsia="Century Gothic" w:hAnsi="Verdana" w:cs="Century Gothic"/>
          <w:i/>
          <w:iCs/>
          <w:sz w:val="20"/>
          <w:szCs w:val="20"/>
        </w:rPr>
        <w:lastRenderedPageBreak/>
        <w:t xml:space="preserve">contrato con un producto? </w:t>
      </w:r>
      <w:proofErr w:type="gramStart"/>
      <w:r w:rsidRPr="003575D1">
        <w:rPr>
          <w:rFonts w:ascii="Verdana" w:eastAsia="Century Gothic" w:hAnsi="Verdana" w:cs="Century Gothic"/>
          <w:i/>
          <w:iCs/>
          <w:sz w:val="20"/>
          <w:szCs w:val="20"/>
        </w:rPr>
        <w:t>es decir un producto tiene el mismo valor de 100 productos?</w:t>
      </w:r>
      <w:proofErr w:type="gramEnd"/>
      <w:r w:rsidRPr="003575D1">
        <w:rPr>
          <w:rFonts w:ascii="Verdana" w:eastAsia="Century Gothic" w:hAnsi="Verdana" w:cs="Century Gothic"/>
          <w:i/>
          <w:iCs/>
          <w:sz w:val="20"/>
          <w:szCs w:val="20"/>
        </w:rPr>
        <w:t xml:space="preserve"> siempre y cuando se cumpla la meta encomendada en el contrato.</w:t>
      </w:r>
    </w:p>
    <w:p w14:paraId="338263A3" w14:textId="77777777" w:rsidR="008664D2" w:rsidRPr="003575D1" w:rsidRDefault="008664D2" w:rsidP="008664D2">
      <w:pPr>
        <w:tabs>
          <w:tab w:val="left" w:pos="142"/>
          <w:tab w:val="left" w:pos="567"/>
        </w:tabs>
        <w:spacing w:after="0" w:line="240" w:lineRule="auto"/>
        <w:ind w:left="709" w:right="709"/>
        <w:jc w:val="both"/>
        <w:rPr>
          <w:rFonts w:ascii="Verdana" w:eastAsia="Century Gothic" w:hAnsi="Verdana" w:cs="Century Gothic"/>
          <w:i/>
          <w:iCs/>
          <w:sz w:val="20"/>
          <w:szCs w:val="20"/>
        </w:rPr>
      </w:pPr>
    </w:p>
    <w:p w14:paraId="2C352DDF" w14:textId="77777777" w:rsidR="008664D2" w:rsidRDefault="008664D2" w:rsidP="008664D2">
      <w:pPr>
        <w:tabs>
          <w:tab w:val="left" w:pos="142"/>
          <w:tab w:val="left" w:pos="567"/>
        </w:tabs>
        <w:spacing w:after="0" w:line="240" w:lineRule="auto"/>
        <w:ind w:left="709" w:right="709"/>
        <w:jc w:val="both"/>
        <w:rPr>
          <w:rFonts w:ascii="Verdana" w:eastAsia="Century Gothic" w:hAnsi="Verdana" w:cs="Century Gothic"/>
          <w:i/>
          <w:iCs/>
          <w:sz w:val="20"/>
          <w:szCs w:val="20"/>
        </w:rPr>
      </w:pPr>
      <w:r w:rsidRPr="003575D1">
        <w:rPr>
          <w:rFonts w:ascii="Verdana" w:eastAsia="Century Gothic" w:hAnsi="Verdana" w:cs="Century Gothic"/>
          <w:i/>
          <w:iCs/>
          <w:sz w:val="20"/>
          <w:szCs w:val="20"/>
        </w:rPr>
        <w:t xml:space="preserve">Tercero: Si la </w:t>
      </w:r>
      <w:proofErr w:type="spellStart"/>
      <w:r w:rsidRPr="003575D1">
        <w:rPr>
          <w:rFonts w:ascii="Verdana" w:eastAsia="Century Gothic" w:hAnsi="Verdana" w:cs="Century Gothic"/>
          <w:i/>
          <w:iCs/>
          <w:sz w:val="20"/>
          <w:szCs w:val="20"/>
        </w:rPr>
        <w:t>cordinadora</w:t>
      </w:r>
      <w:proofErr w:type="spellEnd"/>
      <w:r w:rsidRPr="003575D1">
        <w:rPr>
          <w:rFonts w:ascii="Verdana" w:eastAsia="Century Gothic" w:hAnsi="Verdana" w:cs="Century Gothic"/>
          <w:i/>
          <w:iCs/>
          <w:sz w:val="20"/>
          <w:szCs w:val="20"/>
        </w:rPr>
        <w:t xml:space="preserve">, el jefe directo o </w:t>
      </w:r>
      <w:proofErr w:type="spellStart"/>
      <w:r w:rsidRPr="003575D1">
        <w:rPr>
          <w:rFonts w:ascii="Verdana" w:eastAsia="Century Gothic" w:hAnsi="Verdana" w:cs="Century Gothic"/>
          <w:i/>
          <w:iCs/>
          <w:sz w:val="20"/>
          <w:szCs w:val="20"/>
        </w:rPr>
        <w:t>algun</w:t>
      </w:r>
      <w:proofErr w:type="spellEnd"/>
      <w:r w:rsidRPr="003575D1">
        <w:rPr>
          <w:rFonts w:ascii="Verdana" w:eastAsia="Century Gothic" w:hAnsi="Verdana" w:cs="Century Gothic"/>
          <w:i/>
          <w:iCs/>
          <w:sz w:val="20"/>
          <w:szCs w:val="20"/>
        </w:rPr>
        <w:t xml:space="preserve"> personal de planta que tenga cargo de jefe, puede ordenar que se cumpla una jornada turnos y/</w:t>
      </w:r>
      <w:proofErr w:type="spellStart"/>
      <w:r w:rsidRPr="003575D1">
        <w:rPr>
          <w:rFonts w:ascii="Verdana" w:eastAsia="Century Gothic" w:hAnsi="Verdana" w:cs="Century Gothic"/>
          <w:i/>
          <w:iCs/>
          <w:sz w:val="20"/>
          <w:szCs w:val="20"/>
        </w:rPr>
        <w:t>o</w:t>
      </w:r>
      <w:proofErr w:type="spellEnd"/>
      <w:r w:rsidRPr="003575D1">
        <w:rPr>
          <w:rFonts w:ascii="Verdana" w:eastAsia="Century Gothic" w:hAnsi="Verdana" w:cs="Century Gothic"/>
          <w:i/>
          <w:iCs/>
          <w:sz w:val="20"/>
          <w:szCs w:val="20"/>
        </w:rPr>
        <w:t xml:space="preserve"> ordenar que el contratista tenga que ir cierta cantidad de </w:t>
      </w:r>
      <w:proofErr w:type="spellStart"/>
      <w:r w:rsidRPr="003575D1">
        <w:rPr>
          <w:rFonts w:ascii="Verdana" w:eastAsia="Century Gothic" w:hAnsi="Verdana" w:cs="Century Gothic"/>
          <w:i/>
          <w:iCs/>
          <w:sz w:val="20"/>
          <w:szCs w:val="20"/>
        </w:rPr>
        <w:t>dias</w:t>
      </w:r>
      <w:proofErr w:type="spellEnd"/>
      <w:r w:rsidRPr="003575D1">
        <w:rPr>
          <w:rFonts w:ascii="Verdana" w:eastAsia="Century Gothic" w:hAnsi="Verdana" w:cs="Century Gothic"/>
          <w:i/>
          <w:iCs/>
          <w:sz w:val="20"/>
          <w:szCs w:val="20"/>
        </w:rPr>
        <w:t xml:space="preserve"> a la entidad, con jornadas de 8 am a 5 pm? en caso de no ser correcto y </w:t>
      </w:r>
      <w:proofErr w:type="spellStart"/>
      <w:r w:rsidRPr="003575D1">
        <w:rPr>
          <w:rFonts w:ascii="Verdana" w:eastAsia="Century Gothic" w:hAnsi="Verdana" w:cs="Century Gothic"/>
          <w:i/>
          <w:iCs/>
          <w:sz w:val="20"/>
          <w:szCs w:val="20"/>
        </w:rPr>
        <w:t>juridicamente</w:t>
      </w:r>
      <w:proofErr w:type="spellEnd"/>
      <w:r w:rsidRPr="003575D1">
        <w:rPr>
          <w:rFonts w:ascii="Verdana" w:eastAsia="Century Gothic" w:hAnsi="Verdana" w:cs="Century Gothic"/>
          <w:i/>
          <w:iCs/>
          <w:sz w:val="20"/>
          <w:szCs w:val="20"/>
        </w:rPr>
        <w:t xml:space="preserve"> viable, se solicita se anexe el argumento correspondiente.</w:t>
      </w:r>
    </w:p>
    <w:p w14:paraId="0F2D8CB2" w14:textId="77777777" w:rsidR="008664D2" w:rsidRPr="003575D1" w:rsidRDefault="008664D2" w:rsidP="008664D2">
      <w:pPr>
        <w:tabs>
          <w:tab w:val="left" w:pos="142"/>
          <w:tab w:val="left" w:pos="567"/>
        </w:tabs>
        <w:spacing w:after="0" w:line="240" w:lineRule="auto"/>
        <w:ind w:left="709" w:right="709"/>
        <w:jc w:val="both"/>
        <w:rPr>
          <w:rFonts w:ascii="Verdana" w:eastAsia="Century Gothic" w:hAnsi="Verdana" w:cs="Century Gothic"/>
          <w:i/>
          <w:iCs/>
          <w:sz w:val="20"/>
          <w:szCs w:val="20"/>
        </w:rPr>
      </w:pPr>
    </w:p>
    <w:p w14:paraId="617B437B" w14:textId="77777777" w:rsidR="008664D2" w:rsidRDefault="008664D2" w:rsidP="008664D2">
      <w:pPr>
        <w:tabs>
          <w:tab w:val="left" w:pos="142"/>
          <w:tab w:val="left" w:pos="567"/>
        </w:tabs>
        <w:spacing w:after="0" w:line="240" w:lineRule="auto"/>
        <w:ind w:left="709" w:right="709"/>
        <w:jc w:val="both"/>
        <w:rPr>
          <w:rFonts w:ascii="Verdana" w:eastAsia="Century Gothic" w:hAnsi="Verdana" w:cs="Century Gothic"/>
          <w:i/>
          <w:iCs/>
          <w:sz w:val="20"/>
          <w:szCs w:val="20"/>
        </w:rPr>
      </w:pPr>
      <w:r w:rsidRPr="003575D1">
        <w:rPr>
          <w:rFonts w:ascii="Verdana" w:eastAsia="Century Gothic" w:hAnsi="Verdana" w:cs="Century Gothic"/>
          <w:i/>
          <w:iCs/>
          <w:sz w:val="20"/>
          <w:szCs w:val="20"/>
        </w:rPr>
        <w:t xml:space="preserve">Cuarto: Si la entidad tiene una actividad fuera de sus instalaciones, ¿el Contratista </w:t>
      </w:r>
      <w:proofErr w:type="spellStart"/>
      <w:r w:rsidRPr="003575D1">
        <w:rPr>
          <w:rFonts w:ascii="Verdana" w:eastAsia="Century Gothic" w:hAnsi="Verdana" w:cs="Century Gothic"/>
          <w:i/>
          <w:iCs/>
          <w:sz w:val="20"/>
          <w:szCs w:val="20"/>
        </w:rPr>
        <w:t>tendra</w:t>
      </w:r>
      <w:proofErr w:type="spellEnd"/>
      <w:r w:rsidRPr="003575D1">
        <w:rPr>
          <w:rFonts w:ascii="Verdana" w:eastAsia="Century Gothic" w:hAnsi="Verdana" w:cs="Century Gothic"/>
          <w:i/>
          <w:iCs/>
          <w:sz w:val="20"/>
          <w:szCs w:val="20"/>
        </w:rPr>
        <w:t xml:space="preserve"> la obligación de ir y acompañar esas actividades? </w:t>
      </w:r>
      <w:proofErr w:type="gramStart"/>
      <w:r w:rsidRPr="003575D1">
        <w:rPr>
          <w:rFonts w:ascii="Verdana" w:eastAsia="Century Gothic" w:hAnsi="Verdana" w:cs="Century Gothic"/>
          <w:i/>
          <w:iCs/>
          <w:sz w:val="20"/>
          <w:szCs w:val="20"/>
        </w:rPr>
        <w:t xml:space="preserve">en caso de tener </w:t>
      </w:r>
      <w:proofErr w:type="spellStart"/>
      <w:r w:rsidRPr="003575D1">
        <w:rPr>
          <w:rFonts w:ascii="Verdana" w:eastAsia="Century Gothic" w:hAnsi="Verdana" w:cs="Century Gothic"/>
          <w:i/>
          <w:iCs/>
          <w:sz w:val="20"/>
          <w:szCs w:val="20"/>
        </w:rPr>
        <w:t>algun</w:t>
      </w:r>
      <w:proofErr w:type="spellEnd"/>
      <w:r w:rsidRPr="003575D1">
        <w:rPr>
          <w:rFonts w:ascii="Verdana" w:eastAsia="Century Gothic" w:hAnsi="Verdana" w:cs="Century Gothic"/>
          <w:i/>
          <w:iCs/>
          <w:sz w:val="20"/>
          <w:szCs w:val="20"/>
        </w:rPr>
        <w:t xml:space="preserve"> accidente fuera de la entidad, quien responde por ese accidente si la </w:t>
      </w:r>
      <w:proofErr w:type="spellStart"/>
      <w:r w:rsidRPr="003575D1">
        <w:rPr>
          <w:rFonts w:ascii="Verdana" w:eastAsia="Century Gothic" w:hAnsi="Verdana" w:cs="Century Gothic"/>
          <w:i/>
          <w:iCs/>
          <w:sz w:val="20"/>
          <w:szCs w:val="20"/>
        </w:rPr>
        <w:t>poliza</w:t>
      </w:r>
      <w:proofErr w:type="spellEnd"/>
      <w:r w:rsidRPr="003575D1">
        <w:rPr>
          <w:rFonts w:ascii="Verdana" w:eastAsia="Century Gothic" w:hAnsi="Verdana" w:cs="Century Gothic"/>
          <w:i/>
          <w:iCs/>
          <w:sz w:val="20"/>
          <w:szCs w:val="20"/>
        </w:rPr>
        <w:t xml:space="preserve"> se niega?</w:t>
      </w:r>
      <w:proofErr w:type="gramEnd"/>
      <w:r w:rsidRPr="003575D1">
        <w:rPr>
          <w:rFonts w:ascii="Verdana" w:eastAsia="Century Gothic" w:hAnsi="Verdana" w:cs="Century Gothic"/>
          <w:i/>
          <w:iCs/>
          <w:sz w:val="20"/>
          <w:szCs w:val="20"/>
        </w:rPr>
        <w:t xml:space="preserve"> la entidad </w:t>
      </w:r>
      <w:proofErr w:type="spellStart"/>
      <w:r w:rsidRPr="003575D1">
        <w:rPr>
          <w:rFonts w:ascii="Verdana" w:eastAsia="Century Gothic" w:hAnsi="Verdana" w:cs="Century Gothic"/>
          <w:i/>
          <w:iCs/>
          <w:sz w:val="20"/>
          <w:szCs w:val="20"/>
        </w:rPr>
        <w:t>debera</w:t>
      </w:r>
      <w:proofErr w:type="spellEnd"/>
      <w:r w:rsidRPr="003575D1">
        <w:rPr>
          <w:rFonts w:ascii="Verdana" w:eastAsia="Century Gothic" w:hAnsi="Verdana" w:cs="Century Gothic"/>
          <w:i/>
          <w:iCs/>
          <w:sz w:val="20"/>
          <w:szCs w:val="20"/>
        </w:rPr>
        <w:t xml:space="preserve"> pagar los gastos de desplazamiento? </w:t>
      </w:r>
    </w:p>
    <w:p w14:paraId="50D8B613" w14:textId="77777777" w:rsidR="008664D2" w:rsidRDefault="008664D2" w:rsidP="008664D2">
      <w:pPr>
        <w:tabs>
          <w:tab w:val="left" w:pos="142"/>
          <w:tab w:val="left" w:pos="567"/>
        </w:tabs>
        <w:spacing w:after="0" w:line="240" w:lineRule="auto"/>
        <w:ind w:left="709" w:right="709"/>
        <w:jc w:val="both"/>
        <w:rPr>
          <w:rFonts w:ascii="Verdana" w:eastAsia="Century Gothic" w:hAnsi="Verdana" w:cs="Century Gothic"/>
          <w:i/>
          <w:iCs/>
          <w:sz w:val="20"/>
          <w:szCs w:val="20"/>
        </w:rPr>
      </w:pPr>
    </w:p>
    <w:p w14:paraId="24CDE26D" w14:textId="77777777" w:rsidR="008664D2" w:rsidRDefault="008664D2" w:rsidP="008664D2">
      <w:pPr>
        <w:tabs>
          <w:tab w:val="left" w:pos="142"/>
          <w:tab w:val="left" w:pos="567"/>
        </w:tabs>
        <w:spacing w:after="0" w:line="240" w:lineRule="auto"/>
        <w:ind w:left="709" w:right="709"/>
        <w:jc w:val="both"/>
        <w:rPr>
          <w:rFonts w:ascii="Verdana" w:eastAsia="Century Gothic" w:hAnsi="Verdana" w:cs="Century Gothic"/>
          <w:i/>
          <w:iCs/>
          <w:sz w:val="20"/>
          <w:szCs w:val="20"/>
        </w:rPr>
      </w:pPr>
      <w:r w:rsidRPr="003575D1">
        <w:rPr>
          <w:rFonts w:ascii="Verdana" w:eastAsia="Century Gothic" w:hAnsi="Verdana" w:cs="Century Gothic"/>
          <w:i/>
          <w:iCs/>
          <w:sz w:val="20"/>
          <w:szCs w:val="20"/>
        </w:rPr>
        <w:t xml:space="preserve">Quinto: ¿Si el contratante no le agenda </w:t>
      </w:r>
      <w:proofErr w:type="spellStart"/>
      <w:r w:rsidRPr="003575D1">
        <w:rPr>
          <w:rFonts w:ascii="Verdana" w:eastAsia="Century Gothic" w:hAnsi="Verdana" w:cs="Century Gothic"/>
          <w:i/>
          <w:iCs/>
          <w:sz w:val="20"/>
          <w:szCs w:val="20"/>
        </w:rPr>
        <w:t>activadadades</w:t>
      </w:r>
      <w:proofErr w:type="spellEnd"/>
      <w:r>
        <w:rPr>
          <w:rFonts w:ascii="Verdana" w:eastAsia="Century Gothic" w:hAnsi="Verdana" w:cs="Century Gothic"/>
          <w:i/>
          <w:iCs/>
          <w:sz w:val="20"/>
          <w:szCs w:val="20"/>
        </w:rPr>
        <w:t xml:space="preserve"> </w:t>
      </w:r>
      <w:r w:rsidRPr="00B2552F">
        <w:rPr>
          <w:rFonts w:ascii="Verdana" w:eastAsia="Century Gothic" w:hAnsi="Verdana" w:cs="Century Gothic"/>
          <w:sz w:val="20"/>
          <w:szCs w:val="20"/>
        </w:rPr>
        <w:t>(SIC)</w:t>
      </w:r>
      <w:r w:rsidRPr="003575D1">
        <w:rPr>
          <w:rFonts w:ascii="Verdana" w:eastAsia="Century Gothic" w:hAnsi="Verdana" w:cs="Century Gothic"/>
          <w:i/>
          <w:iCs/>
          <w:sz w:val="20"/>
          <w:szCs w:val="20"/>
        </w:rPr>
        <w:t xml:space="preserve"> o tareas para ejecutar en </w:t>
      </w:r>
      <w:proofErr w:type="spellStart"/>
      <w:r w:rsidRPr="003575D1">
        <w:rPr>
          <w:rFonts w:ascii="Verdana" w:eastAsia="Century Gothic" w:hAnsi="Verdana" w:cs="Century Gothic"/>
          <w:i/>
          <w:iCs/>
          <w:sz w:val="20"/>
          <w:szCs w:val="20"/>
        </w:rPr>
        <w:t>cumplmiento</w:t>
      </w:r>
      <w:proofErr w:type="spellEnd"/>
      <w:r w:rsidRPr="003575D1">
        <w:rPr>
          <w:rFonts w:ascii="Verdana" w:eastAsia="Century Gothic" w:hAnsi="Verdana" w:cs="Century Gothic"/>
          <w:i/>
          <w:iCs/>
          <w:sz w:val="20"/>
          <w:szCs w:val="20"/>
        </w:rPr>
        <w:t xml:space="preserve"> del contrato, se entiende como </w:t>
      </w:r>
      <w:proofErr w:type="spellStart"/>
      <w:r w:rsidRPr="003575D1">
        <w:rPr>
          <w:rFonts w:ascii="Verdana" w:eastAsia="Century Gothic" w:hAnsi="Verdana" w:cs="Century Gothic"/>
          <w:i/>
          <w:iCs/>
          <w:sz w:val="20"/>
          <w:szCs w:val="20"/>
        </w:rPr>
        <w:t>incumplmiento</w:t>
      </w:r>
      <w:proofErr w:type="spellEnd"/>
      <w:r w:rsidRPr="003575D1">
        <w:rPr>
          <w:rFonts w:ascii="Verdana" w:eastAsia="Century Gothic" w:hAnsi="Verdana" w:cs="Century Gothic"/>
          <w:i/>
          <w:iCs/>
          <w:sz w:val="20"/>
          <w:szCs w:val="20"/>
        </w:rPr>
        <w:t xml:space="preserve"> contractual por parte del contratante? </w:t>
      </w:r>
    </w:p>
    <w:p w14:paraId="09743C2E" w14:textId="77777777" w:rsidR="008664D2" w:rsidRPr="003575D1" w:rsidRDefault="008664D2" w:rsidP="008664D2">
      <w:pPr>
        <w:tabs>
          <w:tab w:val="left" w:pos="142"/>
          <w:tab w:val="left" w:pos="567"/>
        </w:tabs>
        <w:spacing w:after="0" w:line="240" w:lineRule="auto"/>
        <w:ind w:left="709" w:right="709"/>
        <w:jc w:val="both"/>
        <w:rPr>
          <w:rFonts w:ascii="Verdana" w:eastAsia="Century Gothic" w:hAnsi="Verdana" w:cs="Century Gothic"/>
          <w:i/>
          <w:iCs/>
          <w:sz w:val="20"/>
          <w:szCs w:val="20"/>
        </w:rPr>
      </w:pPr>
    </w:p>
    <w:p w14:paraId="4B355640" w14:textId="77777777" w:rsidR="008664D2" w:rsidRPr="003575D1" w:rsidRDefault="008664D2" w:rsidP="008664D2">
      <w:pPr>
        <w:tabs>
          <w:tab w:val="left" w:pos="142"/>
          <w:tab w:val="left" w:pos="567"/>
        </w:tabs>
        <w:spacing w:after="0" w:line="240" w:lineRule="auto"/>
        <w:ind w:left="709" w:right="709"/>
        <w:jc w:val="both"/>
        <w:rPr>
          <w:rFonts w:ascii="Verdana" w:eastAsia="Century Gothic" w:hAnsi="Verdana" w:cs="Century Gothic"/>
          <w:i/>
          <w:iCs/>
          <w:sz w:val="20"/>
          <w:szCs w:val="20"/>
        </w:rPr>
      </w:pPr>
      <w:r w:rsidRPr="003575D1">
        <w:rPr>
          <w:rFonts w:ascii="Verdana" w:eastAsia="Century Gothic" w:hAnsi="Verdana" w:cs="Century Gothic"/>
          <w:i/>
          <w:iCs/>
          <w:sz w:val="20"/>
          <w:szCs w:val="20"/>
        </w:rPr>
        <w:t xml:space="preserve">Sexto: </w:t>
      </w:r>
      <w:proofErr w:type="gramStart"/>
      <w:r w:rsidRPr="003575D1">
        <w:rPr>
          <w:rFonts w:ascii="Verdana" w:eastAsia="Century Gothic" w:hAnsi="Verdana" w:cs="Century Gothic"/>
          <w:i/>
          <w:iCs/>
          <w:sz w:val="20"/>
          <w:szCs w:val="20"/>
        </w:rPr>
        <w:t xml:space="preserve">De acuerdo a los tres primeros puntos, las entidades por medio de sus directivos, </w:t>
      </w:r>
      <w:proofErr w:type="spellStart"/>
      <w:r w:rsidRPr="003575D1">
        <w:rPr>
          <w:rFonts w:ascii="Verdana" w:eastAsia="Century Gothic" w:hAnsi="Verdana" w:cs="Century Gothic"/>
          <w:i/>
          <w:iCs/>
          <w:sz w:val="20"/>
          <w:szCs w:val="20"/>
        </w:rPr>
        <w:t>podran</w:t>
      </w:r>
      <w:proofErr w:type="spellEnd"/>
      <w:r w:rsidRPr="003575D1">
        <w:rPr>
          <w:rFonts w:ascii="Verdana" w:eastAsia="Century Gothic" w:hAnsi="Verdana" w:cs="Century Gothic"/>
          <w:i/>
          <w:iCs/>
          <w:sz w:val="20"/>
          <w:szCs w:val="20"/>
        </w:rPr>
        <w:t xml:space="preserve"> ser investigados y sancionados, y </w:t>
      </w:r>
      <w:proofErr w:type="spellStart"/>
      <w:r w:rsidRPr="003575D1">
        <w:rPr>
          <w:rFonts w:ascii="Verdana" w:eastAsia="Century Gothic" w:hAnsi="Verdana" w:cs="Century Gothic"/>
          <w:i/>
          <w:iCs/>
          <w:sz w:val="20"/>
          <w:szCs w:val="20"/>
        </w:rPr>
        <w:t>por que</w:t>
      </w:r>
      <w:proofErr w:type="spellEnd"/>
      <w:r w:rsidRPr="003575D1">
        <w:rPr>
          <w:rFonts w:ascii="Verdana" w:eastAsia="Century Gothic" w:hAnsi="Verdana" w:cs="Century Gothic"/>
          <w:i/>
          <w:iCs/>
          <w:sz w:val="20"/>
          <w:szCs w:val="20"/>
        </w:rPr>
        <w:t>?</w:t>
      </w:r>
      <w:proofErr w:type="gramEnd"/>
    </w:p>
    <w:p w14:paraId="583AAF2A" w14:textId="77777777" w:rsidR="008664D2" w:rsidRDefault="008664D2" w:rsidP="008664D2">
      <w:pPr>
        <w:tabs>
          <w:tab w:val="left" w:pos="142"/>
          <w:tab w:val="left" w:pos="567"/>
        </w:tabs>
        <w:spacing w:after="0" w:line="240" w:lineRule="auto"/>
        <w:ind w:left="709" w:right="709"/>
        <w:jc w:val="both"/>
        <w:rPr>
          <w:rFonts w:ascii="Verdana" w:eastAsia="Century Gothic" w:hAnsi="Verdana" w:cs="Century Gothic"/>
          <w:i/>
          <w:iCs/>
          <w:sz w:val="20"/>
          <w:szCs w:val="20"/>
        </w:rPr>
      </w:pPr>
    </w:p>
    <w:p w14:paraId="5E5EB6E5" w14:textId="77777777" w:rsidR="008664D2" w:rsidRPr="00EA70F7" w:rsidRDefault="008664D2" w:rsidP="008664D2">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729B6AD2" w14:textId="77777777" w:rsidR="008664D2" w:rsidRDefault="008664D2" w:rsidP="008664D2">
      <w:pPr>
        <w:spacing w:after="0" w:line="276" w:lineRule="auto"/>
        <w:ind w:firstLine="709"/>
        <w:jc w:val="both"/>
        <w:rPr>
          <w:rFonts w:ascii="Verdana" w:eastAsia="Calibri" w:hAnsi="Verdana" w:cs="Arial"/>
          <w:lang w:val="es-ES" w:eastAsia="es-ES"/>
        </w:rPr>
      </w:pPr>
    </w:p>
    <w:p w14:paraId="4F5DEF40" w14:textId="77777777" w:rsidR="008664D2" w:rsidRPr="00AA3B9F" w:rsidRDefault="008664D2" w:rsidP="008664D2">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61B058EB" w14:textId="77777777" w:rsidR="008664D2" w:rsidRDefault="008664D2" w:rsidP="008664D2">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 xml:space="preserve">ndo unas consideraciones </w:t>
      </w:r>
      <w:r w:rsidRPr="00AA3B9F">
        <w:rPr>
          <w:rFonts w:ascii="Verdana" w:eastAsia="Calibri" w:hAnsi="Verdana" w:cs="Arial"/>
          <w:lang w:val="es-ES" w:eastAsia="es-ES"/>
        </w:rPr>
        <w:lastRenderedPageBreak/>
        <w:t>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45501413" w14:textId="77777777" w:rsidR="008664D2" w:rsidRPr="00AA3B9F" w:rsidRDefault="008664D2" w:rsidP="008664D2">
      <w:pPr>
        <w:spacing w:after="0" w:line="276" w:lineRule="auto"/>
        <w:ind w:firstLine="709"/>
        <w:jc w:val="both"/>
        <w:rPr>
          <w:rFonts w:ascii="Verdana" w:eastAsia="Calibri" w:hAnsi="Verdana" w:cs="Arial"/>
          <w:lang w:val="es-ES" w:eastAsia="es-ES"/>
        </w:rPr>
      </w:pPr>
    </w:p>
    <w:p w14:paraId="2C1EFB8A" w14:textId="77777777" w:rsidR="008664D2" w:rsidRDefault="008664D2" w:rsidP="008664D2">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3BA4A06B" w14:textId="77777777" w:rsidR="008664D2" w:rsidRDefault="008664D2" w:rsidP="008664D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s jurídicos </w:t>
      </w:r>
      <w:r w:rsidRPr="00593A5F">
        <w:rPr>
          <w:rFonts w:ascii="Verdana" w:eastAsia="Century Gothic" w:hAnsi="Verdana" w:cs="Century Gothic"/>
          <w:b/>
          <w:bCs/>
        </w:rPr>
        <w:t>planteado</w:t>
      </w:r>
      <w:r>
        <w:rPr>
          <w:rFonts w:ascii="Verdana" w:eastAsia="Century Gothic" w:hAnsi="Verdana" w:cs="Century Gothic"/>
          <w:b/>
          <w:bCs/>
        </w:rPr>
        <w:t>s</w:t>
      </w:r>
      <w:r w:rsidRPr="00593A5F">
        <w:rPr>
          <w:rFonts w:ascii="Verdana" w:eastAsia="Century Gothic" w:hAnsi="Verdana" w:cs="Century Gothic"/>
          <w:b/>
          <w:bCs/>
        </w:rPr>
        <w:t>:</w:t>
      </w:r>
    </w:p>
    <w:p w14:paraId="35AB070F" w14:textId="77777777" w:rsidR="008664D2" w:rsidRDefault="008664D2" w:rsidP="008664D2">
      <w:pPr>
        <w:pStyle w:val="Prrafodelista"/>
        <w:tabs>
          <w:tab w:val="left" w:pos="142"/>
          <w:tab w:val="left" w:pos="284"/>
        </w:tabs>
        <w:spacing w:after="0" w:line="276" w:lineRule="auto"/>
        <w:ind w:left="0"/>
        <w:jc w:val="both"/>
        <w:rPr>
          <w:rFonts w:ascii="Verdana" w:eastAsia="Century Gothic" w:hAnsi="Verdana" w:cs="Century Gothic"/>
          <w:b/>
          <w:bCs/>
        </w:rPr>
      </w:pPr>
    </w:p>
    <w:p w14:paraId="7D3A8A49" w14:textId="77777777" w:rsidR="008664D2" w:rsidRDefault="008664D2" w:rsidP="008664D2">
      <w:pPr>
        <w:spacing w:after="0" w:line="276" w:lineRule="auto"/>
        <w:jc w:val="both"/>
        <w:rPr>
          <w:rFonts w:ascii="Verdana" w:eastAsia="Calibri" w:hAnsi="Verdana" w:cs="Arial"/>
          <w:lang w:eastAsia="es-ES"/>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bookmarkStart w:id="4" w:name="_Hlk196737317"/>
      <w:r>
        <w:rPr>
          <w:rFonts w:ascii="Verdana" w:eastAsia="Calibri" w:hAnsi="Verdana" w:cs="Arial"/>
          <w:lang w:eastAsia="es-ES"/>
        </w:rPr>
        <w:t xml:space="preserve"> </w:t>
      </w:r>
    </w:p>
    <w:p w14:paraId="49D8096E" w14:textId="77777777" w:rsidR="008664D2" w:rsidRDefault="008664D2" w:rsidP="008664D2">
      <w:pPr>
        <w:spacing w:after="0" w:line="276" w:lineRule="auto"/>
        <w:jc w:val="both"/>
        <w:rPr>
          <w:rFonts w:ascii="Verdana" w:eastAsia="Calibri" w:hAnsi="Verdana" w:cs="Arial"/>
          <w:lang w:eastAsia="es-ES"/>
        </w:rPr>
      </w:pPr>
    </w:p>
    <w:p w14:paraId="7FEEA4FD" w14:textId="7D3BB0CA" w:rsidR="008664D2" w:rsidRDefault="008664D2" w:rsidP="008664D2">
      <w:pPr>
        <w:spacing w:after="0" w:line="276" w:lineRule="auto"/>
        <w:jc w:val="both"/>
        <w:rPr>
          <w:rFonts w:ascii="Verdana" w:eastAsia="Calibri" w:hAnsi="Verdana" w:cs="Arial"/>
          <w:lang w:eastAsia="es-ES"/>
        </w:rPr>
      </w:pPr>
      <w:r>
        <w:rPr>
          <w:rFonts w:ascii="Verdana" w:eastAsia="Calibri" w:hAnsi="Verdana" w:cs="Arial"/>
          <w:lang w:eastAsia="es-ES"/>
        </w:rPr>
        <w:t xml:space="preserve">En el marco de un contrato de prestación de servicios </w:t>
      </w:r>
      <w:r w:rsidRPr="001B319A">
        <w:rPr>
          <w:rFonts w:ascii="Verdana" w:eastAsia="Calibri" w:hAnsi="Verdana" w:cs="Arial"/>
          <w:lang w:eastAsia="es-ES"/>
        </w:rPr>
        <w:t>¿</w:t>
      </w:r>
      <w:r w:rsidRPr="003B27A3">
        <w:rPr>
          <w:rFonts w:ascii="Verdana" w:eastAsia="Calibri" w:hAnsi="Verdana" w:cs="Arial"/>
          <w:lang w:eastAsia="es-ES"/>
        </w:rPr>
        <w:t xml:space="preserve">puede </w:t>
      </w:r>
      <w:proofErr w:type="gramStart"/>
      <w:r w:rsidRPr="003B27A3">
        <w:rPr>
          <w:rFonts w:ascii="Verdana" w:eastAsia="Calibri" w:hAnsi="Verdana" w:cs="Arial"/>
          <w:lang w:eastAsia="es-ES"/>
        </w:rPr>
        <w:t>imponerse  al</w:t>
      </w:r>
      <w:proofErr w:type="gramEnd"/>
      <w:r w:rsidRPr="003B27A3">
        <w:rPr>
          <w:rFonts w:ascii="Verdana" w:eastAsia="Calibri" w:hAnsi="Verdana" w:cs="Arial"/>
          <w:lang w:eastAsia="es-ES"/>
        </w:rPr>
        <w:t xml:space="preserve"> contratista el cumplimiento de horarios, turnos </w:t>
      </w:r>
      <w:r>
        <w:rPr>
          <w:rFonts w:ascii="Verdana" w:eastAsia="Calibri" w:hAnsi="Verdana" w:cs="Arial"/>
          <w:lang w:eastAsia="es-ES"/>
        </w:rPr>
        <w:t>o</w:t>
      </w:r>
      <w:r w:rsidRPr="003B27A3">
        <w:rPr>
          <w:rFonts w:ascii="Verdana" w:eastAsia="Calibri" w:hAnsi="Verdana" w:cs="Arial"/>
          <w:lang w:eastAsia="es-ES"/>
        </w:rPr>
        <w:t xml:space="preserve"> presencia obligatoria en sede de la entidad</w:t>
      </w:r>
      <w:r w:rsidRPr="004E44D9">
        <w:rPr>
          <w:rFonts w:ascii="Verdana" w:eastAsia="Calibri" w:hAnsi="Verdana" w:cs="Arial"/>
          <w:lang w:eastAsia="es-ES"/>
        </w:rPr>
        <w:t>?</w:t>
      </w:r>
    </w:p>
    <w:p w14:paraId="013C6A8F" w14:textId="77777777" w:rsidR="008664D2" w:rsidRDefault="008664D2" w:rsidP="008664D2">
      <w:pPr>
        <w:spacing w:after="0" w:line="276" w:lineRule="auto"/>
        <w:jc w:val="both"/>
        <w:rPr>
          <w:rFonts w:ascii="Verdana" w:eastAsia="Calibri" w:hAnsi="Verdana" w:cs="Arial"/>
          <w:lang w:eastAsia="es-ES"/>
        </w:rPr>
      </w:pPr>
    </w:p>
    <w:p w14:paraId="05D0B21D" w14:textId="77777777" w:rsidR="008664D2" w:rsidRDefault="008664D2" w:rsidP="008664D2">
      <w:pPr>
        <w:spacing w:after="0" w:line="276" w:lineRule="auto"/>
        <w:jc w:val="both"/>
        <w:rPr>
          <w:rFonts w:ascii="Verdana" w:eastAsia="Calibri" w:hAnsi="Verdana" w:cs="Arial"/>
          <w:lang w:eastAsia="es-ES"/>
        </w:rPr>
      </w:pPr>
      <w:r w:rsidRPr="00AA758F">
        <w:rPr>
          <w:rFonts w:ascii="Verdana" w:eastAsia="Calibri" w:hAnsi="Verdana" w:cs="Arial"/>
          <w:lang w:eastAsia="es-ES"/>
        </w:rPr>
        <w:t>¿Puede exigirse a un contratista de prestación de servicios exigir metas mensuales o un número específico de entregables,</w:t>
      </w:r>
      <w:r>
        <w:rPr>
          <w:rFonts w:ascii="Verdana" w:eastAsia="Calibri" w:hAnsi="Verdana" w:cs="Arial"/>
          <w:lang w:eastAsia="es-ES"/>
        </w:rPr>
        <w:t xml:space="preserve"> así como</w:t>
      </w:r>
      <w:r w:rsidRPr="00AA758F">
        <w:rPr>
          <w:rFonts w:ascii="Verdana" w:eastAsia="Calibri" w:hAnsi="Verdana" w:cs="Arial"/>
          <w:lang w:eastAsia="es-ES"/>
        </w:rPr>
        <w:t xml:space="preserve"> asistir a actividades fuera de la entidad</w:t>
      </w:r>
      <w:r>
        <w:rPr>
          <w:rFonts w:ascii="Verdana" w:eastAsia="Calibri" w:hAnsi="Verdana" w:cs="Arial"/>
          <w:lang w:eastAsia="es-ES"/>
        </w:rPr>
        <w:t>?</w:t>
      </w:r>
      <w:r w:rsidRPr="00AA758F">
        <w:rPr>
          <w:rFonts w:ascii="Verdana" w:eastAsia="Calibri" w:hAnsi="Verdana" w:cs="Arial"/>
          <w:lang w:eastAsia="es-ES"/>
        </w:rPr>
        <w:t xml:space="preserve"> </w:t>
      </w:r>
      <w:r>
        <w:rPr>
          <w:rFonts w:ascii="Verdana" w:eastAsia="Calibri" w:hAnsi="Verdana" w:cs="Arial"/>
          <w:lang w:eastAsia="es-ES"/>
        </w:rPr>
        <w:t xml:space="preserve">¿Que establece la normatividad en caso de </w:t>
      </w:r>
      <w:r w:rsidRPr="00AA758F">
        <w:rPr>
          <w:rFonts w:ascii="Verdana" w:eastAsia="Calibri" w:hAnsi="Verdana" w:cs="Arial"/>
          <w:lang w:eastAsia="es-ES"/>
        </w:rPr>
        <w:t>un accidente ocurrido durante dichas actividades?</w:t>
      </w:r>
      <w:r>
        <w:rPr>
          <w:rFonts w:ascii="Verdana" w:eastAsia="Calibri" w:hAnsi="Verdana" w:cs="Arial"/>
          <w:lang w:eastAsia="es-ES"/>
        </w:rPr>
        <w:t xml:space="preserve"> </w:t>
      </w:r>
    </w:p>
    <w:p w14:paraId="324DC4ED" w14:textId="77777777" w:rsidR="008664D2" w:rsidRDefault="008664D2" w:rsidP="008664D2">
      <w:pPr>
        <w:spacing w:after="0" w:line="276" w:lineRule="auto"/>
        <w:jc w:val="both"/>
        <w:rPr>
          <w:rFonts w:ascii="Verdana" w:eastAsia="Calibri" w:hAnsi="Verdana" w:cs="Arial"/>
          <w:lang w:eastAsia="es-ES"/>
        </w:rPr>
      </w:pPr>
    </w:p>
    <w:bookmarkEnd w:id="4"/>
    <w:p w14:paraId="6C887485" w14:textId="77777777" w:rsidR="008664D2" w:rsidRDefault="008664D2" w:rsidP="008664D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9EB0A9D" w14:textId="77777777" w:rsidR="008664D2" w:rsidRPr="00593A5F" w:rsidRDefault="008664D2" w:rsidP="008664D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664D2" w:rsidRPr="00593A5F" w14:paraId="6DE3B7D7" w14:textId="77777777" w:rsidTr="00F60007">
        <w:tc>
          <w:tcPr>
            <w:tcW w:w="8828" w:type="dxa"/>
          </w:tcPr>
          <w:p w14:paraId="590307AB" w14:textId="77777777" w:rsidR="008664D2" w:rsidRDefault="008664D2" w:rsidP="00F60007">
            <w:pPr>
              <w:spacing w:after="120" w:line="276" w:lineRule="auto"/>
              <w:jc w:val="both"/>
              <w:rPr>
                <w:rFonts w:ascii="Verdana" w:hAnsi="Verdana" w:cs="Arial"/>
                <w:noProof/>
                <w:lang w:val="es-ES_tradnl"/>
              </w:rPr>
            </w:pPr>
            <w:r>
              <w:rPr>
                <w:rFonts w:ascii="Verdana" w:eastAsia="Arial" w:hAnsi="Verdana" w:cs="Arial"/>
                <w:color w:val="000000"/>
              </w:rPr>
              <w:t xml:space="preserve">          De manera preliminar es pertinente indicar que e</w:t>
            </w:r>
            <w:r w:rsidRPr="00580292">
              <w:rPr>
                <w:rFonts w:ascii="Verdana" w:eastAsia="Times New Roman" w:hAnsi="Verdana" w:cs="Arial"/>
                <w:lang w:eastAsia="es-ES_tradnl"/>
              </w:rPr>
              <w:t>l contrato de prestación de servicios es una tipología contractual regulada por el numeral 3 del artículo 32 de la Ley 80 de 1993</w:t>
            </w:r>
            <w:r>
              <w:rPr>
                <w:rFonts w:ascii="Verdana" w:hAnsi="Verdana" w:cs="Arial"/>
                <w:noProof/>
                <w:lang w:val="es-ES_tradnl"/>
              </w:rPr>
              <w:t>. S</w:t>
            </w:r>
            <w:r w:rsidRPr="008677DE">
              <w:rPr>
                <w:rFonts w:ascii="Verdana" w:hAnsi="Verdana" w:cs="Arial"/>
                <w:noProof/>
                <w:lang w:val="es-ES_tradnl"/>
              </w:rPr>
              <w:t xml:space="preserve">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8677DE">
              <w:rPr>
                <w:rFonts w:ascii="Verdana" w:hAnsi="Verdana" w:cs="Arial"/>
                <w:i/>
                <w:noProof/>
                <w:lang w:val="es-ES_tradnl"/>
              </w:rPr>
              <w:t xml:space="preserve">subordinación </w:t>
            </w:r>
            <w:r w:rsidRPr="008677DE">
              <w:rPr>
                <w:rFonts w:ascii="Verdana" w:hAnsi="Verdana" w:cs="Arial"/>
                <w:iCs/>
                <w:noProof/>
                <w:lang w:val="es-ES_tradnl"/>
              </w:rPr>
              <w:t>ni</w:t>
            </w:r>
            <w:r w:rsidRPr="008677DE">
              <w:rPr>
                <w:rFonts w:ascii="Verdana" w:hAnsi="Verdana" w:cs="Arial"/>
                <w:i/>
                <w:noProof/>
                <w:lang w:val="es-ES_tradnl"/>
              </w:rPr>
              <w:t xml:space="preserve"> dependencia</w:t>
            </w:r>
            <w:r w:rsidRPr="008677DE">
              <w:rPr>
                <w:rFonts w:ascii="Verdana" w:hAnsi="Verdana" w:cs="Arial"/>
                <w:iCs/>
                <w:noProof/>
                <w:lang w:val="es-ES_tradnl"/>
              </w:rPr>
              <w:t>,</w:t>
            </w:r>
            <w:r w:rsidRPr="008677DE">
              <w:rPr>
                <w:rFonts w:ascii="Verdana" w:hAnsi="Verdana" w:cs="Arial"/>
                <w:noProof/>
                <w:lang w:val="es-ES_tradnl"/>
              </w:rPr>
              <w:t xml:space="preserve"> que es uno de los elementos constitutivos del vínculo laboral</w:t>
            </w:r>
            <w:r w:rsidRPr="008677DE">
              <w:rPr>
                <w:rStyle w:val="Refdenotaalpie"/>
                <w:rFonts w:ascii="Verdana" w:hAnsi="Verdana" w:cs="Arial"/>
                <w:noProof/>
                <w:lang w:val="es-ES_tradnl"/>
              </w:rPr>
              <w:footnoteReference w:id="2"/>
            </w:r>
            <w:r w:rsidRPr="008677DE">
              <w:rPr>
                <w:rFonts w:ascii="Verdana" w:hAnsi="Verdana" w:cs="Arial"/>
                <w:noProof/>
                <w:lang w:val="es-ES_tradnl"/>
              </w:rPr>
              <w:t xml:space="preserve">. </w:t>
            </w:r>
          </w:p>
          <w:p w14:paraId="644A14C5" w14:textId="77777777" w:rsidR="008664D2" w:rsidRPr="005B28F3" w:rsidRDefault="008664D2" w:rsidP="00F60007">
            <w:pPr>
              <w:spacing w:after="120" w:line="276" w:lineRule="auto"/>
              <w:ind w:firstLine="709"/>
              <w:jc w:val="both"/>
              <w:rPr>
                <w:rFonts w:ascii="Verdana" w:hAnsi="Verdana" w:cs="Arial"/>
                <w:noProof/>
              </w:rPr>
            </w:pPr>
            <w:r w:rsidRPr="005B28F3">
              <w:rPr>
                <w:rFonts w:ascii="Verdana" w:hAnsi="Verdana" w:cs="Arial"/>
                <w:noProof/>
              </w:rPr>
              <w:t xml:space="preserve">En relación con el </w:t>
            </w:r>
            <w:r>
              <w:rPr>
                <w:rFonts w:ascii="Verdana" w:hAnsi="Verdana" w:cs="Arial"/>
                <w:noProof/>
              </w:rPr>
              <w:t xml:space="preserve">primer </w:t>
            </w:r>
            <w:r w:rsidRPr="005B28F3">
              <w:rPr>
                <w:rFonts w:ascii="Verdana" w:hAnsi="Verdana" w:cs="Arial"/>
                <w:noProof/>
              </w:rPr>
              <w:t>problema jurídico planteado, es preciso señalar que, tal como lo han establecido la Corte Constitucional y el Consejo de Estado</w:t>
            </w:r>
            <w:r>
              <w:rPr>
                <w:rFonts w:ascii="Verdana" w:hAnsi="Verdana" w:cs="Arial"/>
                <w:noProof/>
              </w:rPr>
              <w:t xml:space="preserve"> y en linea con lo previsto en el concepto C-749 del 14 de agoto de 2025 expedido por esta Subdireccion Contractual </w:t>
            </w:r>
            <w:r w:rsidRPr="005B28F3">
              <w:rPr>
                <w:rFonts w:ascii="Verdana" w:hAnsi="Verdana" w:cs="Arial"/>
                <w:noProof/>
              </w:rPr>
              <w:t xml:space="preserve">el principal elemento diferenciador </w:t>
            </w:r>
            <w:r w:rsidRPr="005B28F3">
              <w:rPr>
                <w:rFonts w:ascii="Verdana" w:hAnsi="Verdana" w:cs="Arial"/>
                <w:noProof/>
              </w:rPr>
              <w:lastRenderedPageBreak/>
              <w:t>entre el contrato de prestación de servicios y el contrato laboral es la existencia de subordinación o dependencia en la ejecución de la labor contratada.</w:t>
            </w:r>
          </w:p>
          <w:p w14:paraId="090BA7C1" w14:textId="77777777" w:rsidR="008664D2" w:rsidRPr="005B28F3" w:rsidRDefault="008664D2" w:rsidP="00F60007">
            <w:pPr>
              <w:spacing w:after="120" w:line="276" w:lineRule="auto"/>
              <w:ind w:firstLine="709"/>
              <w:jc w:val="both"/>
              <w:rPr>
                <w:rFonts w:ascii="Verdana" w:hAnsi="Verdana" w:cs="Arial"/>
                <w:noProof/>
              </w:rPr>
            </w:pPr>
            <w:r w:rsidRPr="005B28F3">
              <w:rPr>
                <w:rFonts w:ascii="Verdana" w:hAnsi="Verdana" w:cs="Arial"/>
                <w:noProof/>
              </w:rPr>
              <w:t>En ese sentido, la fijación de un horario, aunque puede ser indicativa de una relación laboral, no constituye por sí sola una prueba concluyente. El Consejo de Estado ha reiterado en múltiples sentencias que la existencia de una jornada u horario puede ser necesaria para garantizar el cumplimiento eficiente del objeto contractual. Por lo tanto, la exigencia de un horario no desnaturaliza el contrato de prestación de servicios, siempre que este sea indispensable para la adecuada ejecución de las actividades encomendadas.</w:t>
            </w:r>
          </w:p>
          <w:p w14:paraId="1F2F56F4" w14:textId="77777777" w:rsidR="008664D2" w:rsidRDefault="008664D2" w:rsidP="00F60007">
            <w:pPr>
              <w:spacing w:after="120" w:line="276" w:lineRule="auto"/>
              <w:ind w:firstLine="709"/>
              <w:jc w:val="both"/>
              <w:rPr>
                <w:rFonts w:ascii="Verdana" w:hAnsi="Verdana" w:cs="Arial"/>
                <w:noProof/>
              </w:rPr>
            </w:pPr>
            <w:r w:rsidRPr="005B28F3">
              <w:rPr>
                <w:rFonts w:ascii="Verdana" w:hAnsi="Verdana" w:cs="Arial"/>
                <w:noProof/>
              </w:rPr>
              <w:t>En consecuencia, los contratistas por prestación de servicios deben ajustarse, en el desarrollo de sus obligaciones contractuales, a las directrices establecidas por la entidad estatal contratante, así como a la forma en que se coordinan las distintas actividades. Si se requiere la presencia del contratista en una jornada específica dentro de la entidad, dicha exigencia debe estar claramente estipulada en el contrato. En todo caso, más que imponer un horario, se trata de asegurar el cumplimiento de las tareas propias del objeto contractual, conforme a las necesidades y funciones de la entidad.</w:t>
            </w:r>
          </w:p>
          <w:p w14:paraId="76279F30" w14:textId="77777777" w:rsidR="008664D2" w:rsidRPr="00AA758F" w:rsidRDefault="008664D2" w:rsidP="00F60007">
            <w:pPr>
              <w:spacing w:after="120" w:line="276" w:lineRule="auto"/>
              <w:ind w:firstLine="709"/>
              <w:jc w:val="both"/>
              <w:rPr>
                <w:rFonts w:ascii="Verdana" w:hAnsi="Verdana" w:cs="Arial"/>
                <w:noProof/>
              </w:rPr>
            </w:pPr>
            <w:r>
              <w:rPr>
                <w:rFonts w:ascii="Verdana" w:hAnsi="Verdana" w:cs="Arial"/>
                <w:noProof/>
              </w:rPr>
              <w:t>En linea con lo anterior</w:t>
            </w:r>
            <w:r w:rsidRPr="00AA758F">
              <w:rPr>
                <w:rFonts w:ascii="Verdana" w:hAnsi="Verdana" w:cs="Arial"/>
                <w:noProof/>
              </w:rPr>
              <w:t xml:space="preserve">, </w:t>
            </w:r>
            <w:r>
              <w:rPr>
                <w:rFonts w:ascii="Verdana" w:hAnsi="Verdana" w:cs="Arial"/>
                <w:noProof/>
              </w:rPr>
              <w:t xml:space="preserve">y en relaciòn con el segundo problema jurìdico planteado </w:t>
            </w:r>
            <w:r w:rsidRPr="00AA758F">
              <w:rPr>
                <w:rFonts w:ascii="Verdana" w:hAnsi="Verdana" w:cs="Arial"/>
                <w:noProof/>
              </w:rPr>
              <w:t>la exigencia de que un contratista</w:t>
            </w:r>
            <w:r>
              <w:rPr>
                <w:rFonts w:ascii="Verdana" w:hAnsi="Verdana" w:cs="Arial"/>
                <w:noProof/>
              </w:rPr>
              <w:t xml:space="preserve"> cumpla</w:t>
            </w:r>
            <w:r w:rsidRPr="00AA758F">
              <w:rPr>
                <w:rFonts w:ascii="Verdana" w:hAnsi="Verdana" w:cs="Arial"/>
                <w:noProof/>
              </w:rPr>
              <w:t xml:space="preserve"> </w:t>
            </w:r>
            <w:r w:rsidRPr="00AA758F">
              <w:rPr>
                <w:rFonts w:ascii="Verdana" w:eastAsia="Calibri" w:hAnsi="Verdana" w:cs="Arial"/>
                <w:lang w:eastAsia="es-ES"/>
              </w:rPr>
              <w:t>metas mensuales o un número específico de entregables</w:t>
            </w:r>
            <w:r w:rsidRPr="00AA758F">
              <w:rPr>
                <w:rFonts w:ascii="Verdana" w:hAnsi="Verdana" w:cs="Arial"/>
                <w:noProof/>
              </w:rPr>
              <w:t xml:space="preserve"> </w:t>
            </w:r>
            <w:r>
              <w:rPr>
                <w:rFonts w:ascii="Verdana" w:hAnsi="Verdana" w:cs="Arial"/>
                <w:noProof/>
              </w:rPr>
              <w:t xml:space="preserve">y </w:t>
            </w:r>
            <w:r w:rsidRPr="00AA758F">
              <w:rPr>
                <w:rFonts w:ascii="Verdana" w:hAnsi="Verdana" w:cs="Arial"/>
                <w:noProof/>
              </w:rPr>
              <w:t>asista a actividades fuera de la sede solo es válida si esta obligación está expresamente definida en el contrato o sus documentos anexos (estudios previos o términos de referencia).</w:t>
            </w:r>
            <w:r>
              <w:rPr>
                <w:rFonts w:ascii="Verdana" w:hAnsi="Verdana" w:cs="Arial"/>
                <w:noProof/>
              </w:rPr>
              <w:t xml:space="preserve"> </w:t>
            </w:r>
            <w:r w:rsidRPr="00AA758F">
              <w:rPr>
                <w:rFonts w:ascii="Verdana" w:hAnsi="Verdana" w:cs="Arial"/>
                <w:noProof/>
              </w:rPr>
              <w:t>En cuanto a los riesgos, el contratista debe estar obligatoriamente afiliado al Sistema de Seguridad Social (ARL), conforme a</w:t>
            </w:r>
            <w:r>
              <w:rPr>
                <w:rFonts w:ascii="Verdana" w:hAnsi="Verdana" w:cs="Arial"/>
                <w:noProof/>
              </w:rPr>
              <w:t xml:space="preserve"> las reglas establecidas en el</w:t>
            </w:r>
            <w:r w:rsidRPr="00AA758F">
              <w:rPr>
                <w:rFonts w:ascii="Verdana" w:hAnsi="Verdana" w:cs="Arial"/>
                <w:noProof/>
              </w:rPr>
              <w:t xml:space="preserve"> Decreto 1072 de 2015</w:t>
            </w:r>
            <w:r>
              <w:rPr>
                <w:rFonts w:ascii="Verdana" w:hAnsi="Verdana" w:cs="Arial"/>
                <w:noProof/>
              </w:rPr>
              <w:t>.</w:t>
            </w:r>
          </w:p>
          <w:p w14:paraId="6912D864" w14:textId="77777777" w:rsidR="008664D2" w:rsidRDefault="008664D2" w:rsidP="00F60007">
            <w:pPr>
              <w:spacing w:after="120" w:line="276" w:lineRule="auto"/>
              <w:ind w:firstLine="709"/>
              <w:jc w:val="both"/>
              <w:rPr>
                <w:rFonts w:ascii="Verdana" w:hAnsi="Verdana" w:cs="Arial"/>
                <w:noProof/>
                <w:lang w:val="es-ES_tradnl"/>
              </w:rPr>
            </w:pPr>
            <w:r>
              <w:rPr>
                <w:rFonts w:ascii="Verdana" w:hAnsi="Verdana" w:cs="Arial"/>
                <w:noProof/>
                <w:lang w:val="es-ES_tradnl"/>
              </w:rPr>
              <w:t>Se concluye que, la naturaleza del contrato de prestación de servicios no impide que exista una coordinación entre la entidad contratante y el contratista de acuerdo con el servicio que prestará, en temas de horas en las que se requiere la presencialidad del contratista, siempre y cuando no exista subordinación y dependencia, ya que se configuraría un contrato realidad.</w:t>
            </w:r>
          </w:p>
          <w:p w14:paraId="13045A29" w14:textId="77777777" w:rsidR="008664D2" w:rsidRPr="007372DD" w:rsidRDefault="008664D2" w:rsidP="00F60007">
            <w:pPr>
              <w:spacing w:line="276" w:lineRule="auto"/>
              <w:ind w:right="-58"/>
              <w:jc w:val="both"/>
              <w:rPr>
                <w:rFonts w:ascii="Verdana" w:eastAsia="Arial" w:hAnsi="Verdana" w:cs="Arial"/>
                <w:color w:val="000000"/>
              </w:rPr>
            </w:pPr>
            <w:r>
              <w:rPr>
                <w:rFonts w:ascii="Verdana" w:eastAsia="Times New Roman" w:hAnsi="Verdana" w:cs="Arial"/>
                <w:lang w:eastAsia="es-ES_tradnl"/>
              </w:rPr>
              <w:t xml:space="preserve">        </w:t>
            </w:r>
            <w:r w:rsidRPr="00CC5C68">
              <w:rPr>
                <w:rFonts w:ascii="Verdana" w:eastAsia="Times New Roman" w:hAnsi="Verdana" w:cs="Arial"/>
                <w:lang w:eastAsia="es-ES_tradnl"/>
              </w:rPr>
              <w:t xml:space="preserve">Sin perjuicio de las aclaraciones anteriores, debe advertirse que es la entidad contratante, al momento de adelantar su actividad contractual, quien debe determinar lo correspondiente </w:t>
            </w:r>
            <w:r>
              <w:rPr>
                <w:rFonts w:ascii="Verdana" w:eastAsia="Times New Roman" w:hAnsi="Verdana" w:cs="Arial"/>
                <w:lang w:eastAsia="es-ES_tradnl"/>
              </w:rPr>
              <w:t>a los contratos de prestación de servicios</w:t>
            </w:r>
            <w:r w:rsidRPr="00CC5C68">
              <w:rPr>
                <w:rFonts w:ascii="Verdana" w:eastAsia="Times New Roman" w:hAnsi="Verdana" w:cs="Arial"/>
                <w:lang w:eastAsia="es-ES_tradnl"/>
              </w:rPr>
              <w:t xml:space="preserve">. Dado esto, y en atención al alcance la función consultiva atribuida a esta </w:t>
            </w:r>
            <w:r w:rsidRPr="00CC5C68">
              <w:rPr>
                <w:rFonts w:ascii="Verdana" w:eastAsia="Times New Roman" w:hAnsi="Verdana" w:cs="Arial"/>
                <w:lang w:eastAsia="es-ES_tradnl"/>
              </w:rPr>
              <w:lastRenderedPageBreak/>
              <w:t>Agencia, lo aquí mencionado no constituye un juicio de valor sobre un proceso contractual particular.</w:t>
            </w:r>
            <w:r w:rsidRPr="007372DD">
              <w:rPr>
                <w:rFonts w:ascii="Verdana" w:eastAsia="Arial" w:hAnsi="Verdana" w:cs="Arial"/>
                <w:color w:val="000000"/>
              </w:rPr>
              <w:t xml:space="preserve"> </w:t>
            </w:r>
          </w:p>
          <w:p w14:paraId="0702DA25" w14:textId="649D3315" w:rsidR="008664D2" w:rsidRDefault="008664D2" w:rsidP="00CF13F3">
            <w:pPr>
              <w:pStyle w:val="Prrafodelista"/>
              <w:spacing w:before="120" w:after="120" w:line="276" w:lineRule="auto"/>
              <w:ind w:left="-120" w:right="-58"/>
              <w:jc w:val="both"/>
              <w:rPr>
                <w:rFonts w:ascii="Verdana" w:eastAsia="Calibri" w:hAnsi="Verdana" w:cs="Times New Roman"/>
              </w:rPr>
            </w:pPr>
            <w:r>
              <w:rPr>
                <w:rFonts w:ascii="Verdana" w:eastAsia="Calibri" w:hAnsi="Verdana" w:cs="Arial"/>
                <w:lang w:eastAsia="es-ES"/>
              </w:rPr>
              <w:t xml:space="preserve">          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w:t>
            </w:r>
            <w:r>
              <w:rPr>
                <w:rFonts w:ascii="Verdana" w:eastAsia="Calibri" w:hAnsi="Verdana" w:cs="Times New Roman"/>
              </w:rPr>
              <w:t xml:space="preserve">                 </w:t>
            </w:r>
          </w:p>
          <w:p w14:paraId="13777AE3" w14:textId="77777777" w:rsidR="008664D2" w:rsidRPr="00C71956" w:rsidRDefault="008664D2" w:rsidP="00F60007">
            <w:pPr>
              <w:pStyle w:val="Prrafodelista"/>
              <w:spacing w:before="120" w:after="120" w:line="276" w:lineRule="auto"/>
              <w:ind w:left="-120" w:right="-58" w:firstLine="120"/>
              <w:jc w:val="both"/>
              <w:rPr>
                <w:rFonts w:ascii="Verdana" w:eastAsia="Aptos" w:hAnsi="Verdana" w:cs="Arial"/>
                <w:shd w:val="clear" w:color="auto" w:fill="FFFFFF"/>
              </w:rPr>
            </w:pPr>
            <w:r>
              <w:rPr>
                <w:rFonts w:ascii="Verdana" w:eastAsia="Calibri" w:hAnsi="Verdana" w:cs="Times New Roman"/>
              </w:rPr>
              <w:t xml:space="preserve">        </w:t>
            </w:r>
            <w:r w:rsidRPr="00DB4737">
              <w:rPr>
                <w:rFonts w:ascii="Verdana" w:eastAsia="Calibri" w:hAnsi="Verdana" w:cs="Times New Roman"/>
              </w:rPr>
              <w:t>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69B207D7" w14:textId="77777777" w:rsidR="008664D2" w:rsidRPr="00E529C2" w:rsidRDefault="008664D2" w:rsidP="00F60007">
            <w:pPr>
              <w:spacing w:line="276" w:lineRule="auto"/>
              <w:ind w:right="-58"/>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r w:rsidR="008664D2" w:rsidRPr="00593A5F" w14:paraId="1FB5EFB5" w14:textId="77777777" w:rsidTr="00F60007">
        <w:tc>
          <w:tcPr>
            <w:tcW w:w="8828" w:type="dxa"/>
          </w:tcPr>
          <w:p w14:paraId="5410B328" w14:textId="77777777" w:rsidR="008664D2" w:rsidRDefault="008664D2" w:rsidP="00F60007">
            <w:pPr>
              <w:spacing w:after="120" w:line="276" w:lineRule="auto"/>
              <w:jc w:val="both"/>
              <w:rPr>
                <w:rFonts w:ascii="Verdana" w:eastAsia="Calibri" w:hAnsi="Verdana" w:cs="Arial"/>
                <w:bCs/>
                <w:lang w:eastAsia="es-ES_tradnl"/>
              </w:rPr>
            </w:pPr>
          </w:p>
        </w:tc>
      </w:tr>
    </w:tbl>
    <w:p w14:paraId="21B9B4FE" w14:textId="77777777" w:rsidR="008664D2" w:rsidRDefault="008664D2" w:rsidP="008664D2">
      <w:pPr>
        <w:tabs>
          <w:tab w:val="left" w:pos="142"/>
          <w:tab w:val="left" w:pos="284"/>
        </w:tabs>
        <w:spacing w:after="0" w:line="276" w:lineRule="auto"/>
        <w:jc w:val="both"/>
        <w:rPr>
          <w:rFonts w:ascii="Verdana" w:eastAsia="Century Gothic" w:hAnsi="Verdana" w:cs="Century Gothic"/>
          <w:b/>
          <w:bCs/>
          <w:lang w:val="es-ES"/>
        </w:rPr>
      </w:pPr>
    </w:p>
    <w:p w14:paraId="6C613DA0" w14:textId="77777777" w:rsidR="008664D2" w:rsidRDefault="008664D2" w:rsidP="008664D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69861CA8" w14:textId="77777777" w:rsidR="008664D2" w:rsidRDefault="008664D2" w:rsidP="008664D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9064AD9" w14:textId="77777777" w:rsidR="008664D2" w:rsidRDefault="008664D2" w:rsidP="008664D2">
      <w:pPr>
        <w:tabs>
          <w:tab w:val="left" w:pos="0"/>
        </w:tabs>
        <w:spacing w:line="276" w:lineRule="auto"/>
        <w:jc w:val="both"/>
        <w:rPr>
          <w:rFonts w:ascii="Verdana" w:eastAsia="Calibri" w:hAnsi="Verdana" w:cs="Arial"/>
          <w:color w:val="000000" w:themeColor="text1"/>
          <w:lang w:val="es-ES_tradnl"/>
        </w:rPr>
      </w:pPr>
      <w:bookmarkStart w:id="5" w:name="_Hlk99546562"/>
      <w:r>
        <w:rPr>
          <w:rFonts w:ascii="Verdana" w:hAnsi="Verdana" w:cs="Arial"/>
          <w:color w:val="000000" w:themeColor="text1"/>
        </w:rPr>
        <w:t>E</w:t>
      </w:r>
      <w:r w:rsidRPr="00376CD8">
        <w:rPr>
          <w:rFonts w:ascii="Verdana" w:hAnsi="Verdana" w:cs="Arial"/>
          <w:color w:val="000000" w:themeColor="text1"/>
        </w:rPr>
        <w:t xml:space="preserve">l contrato de prestación de servicios es un contrato estatal típico, regulado en el numeral 3 del artículo 32 de la Ley 80 de 1993. Es definido como aquel que </w:t>
      </w:r>
      <w:r>
        <w:rPr>
          <w:rFonts w:ascii="Verdana" w:hAnsi="Verdana" w:cs="Arial"/>
          <w:color w:val="000000" w:themeColor="text1"/>
        </w:rPr>
        <w:t>“</w:t>
      </w:r>
      <w:r w:rsidRPr="00376CD8">
        <w:rPr>
          <w:rFonts w:ascii="Verdana" w:hAnsi="Verdana" w:cs="Arial"/>
          <w:color w:val="000000" w:themeColor="text1"/>
        </w:rPr>
        <w:t>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Pr>
          <w:rFonts w:ascii="Verdana" w:hAnsi="Verdana" w:cs="Arial"/>
          <w:color w:val="000000" w:themeColor="text1"/>
        </w:rPr>
        <w:t>”</w:t>
      </w:r>
      <w:r w:rsidRPr="00376CD8">
        <w:rPr>
          <w:rFonts w:ascii="Verdana" w:hAnsi="Verdana" w:cs="Arial"/>
          <w:color w:val="000000" w:themeColor="text1"/>
        </w:rPr>
        <w:t>.</w:t>
      </w:r>
      <w:r w:rsidRPr="00376CD8">
        <w:rPr>
          <w:rFonts w:ascii="Verdana" w:eastAsia="Calibri" w:hAnsi="Verdana" w:cs="Arial"/>
          <w:color w:val="000000" w:themeColor="text1"/>
          <w:lang w:val="es-ES_tradnl"/>
        </w:rPr>
        <w:t xml:space="preserve"> </w:t>
      </w:r>
    </w:p>
    <w:p w14:paraId="61723D4C" w14:textId="77777777" w:rsidR="008664D2" w:rsidRDefault="008664D2" w:rsidP="008664D2">
      <w:pPr>
        <w:spacing w:after="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_tradnl"/>
        </w:rPr>
        <w:tab/>
      </w:r>
      <w:r w:rsidRPr="4FF69C76">
        <w:rPr>
          <w:rFonts w:ascii="Verdana" w:eastAsia="Calibri" w:hAnsi="Verdana" w:cs="Arial"/>
          <w:color w:val="000000" w:themeColor="text1"/>
          <w:lang w:val="es-ES"/>
        </w:rPr>
        <w:t>La celebración de dicho contrato debe efectuarse a través de la modalidad de contratación directa. Así lo dispone el artículo 2, numeral 4º, literal h), de la Ley 1150 de 2007:</w:t>
      </w:r>
    </w:p>
    <w:p w14:paraId="76A67DF9" w14:textId="77777777" w:rsidR="008664D2" w:rsidRPr="00376CD8" w:rsidRDefault="008664D2" w:rsidP="008664D2">
      <w:pPr>
        <w:tabs>
          <w:tab w:val="left" w:pos="0"/>
        </w:tabs>
        <w:spacing w:after="0" w:line="276" w:lineRule="auto"/>
        <w:jc w:val="both"/>
        <w:rPr>
          <w:rFonts w:ascii="Verdana" w:eastAsia="Calibri" w:hAnsi="Verdana" w:cs="Arial"/>
          <w:color w:val="000000" w:themeColor="text1"/>
          <w:lang w:val="es-ES_tradnl"/>
        </w:rPr>
      </w:pPr>
    </w:p>
    <w:p w14:paraId="6C3BB2D7" w14:textId="77777777" w:rsidR="008664D2" w:rsidRPr="00EB30BA" w:rsidRDefault="008664D2" w:rsidP="008664D2">
      <w:pPr>
        <w:spacing w:after="0" w:line="240" w:lineRule="auto"/>
        <w:ind w:left="709" w:right="709"/>
        <w:jc w:val="both"/>
        <w:rPr>
          <w:rFonts w:ascii="Verdana" w:eastAsia="Calibri" w:hAnsi="Verdana" w:cs="Arial"/>
          <w:color w:val="000000" w:themeColor="text1"/>
          <w:sz w:val="20"/>
          <w:szCs w:val="20"/>
        </w:rPr>
      </w:pPr>
      <w:r w:rsidRPr="00EB30BA">
        <w:rPr>
          <w:rFonts w:ascii="Verdana" w:eastAsia="Calibri" w:hAnsi="Verdana" w:cs="Arial"/>
          <w:color w:val="000000" w:themeColor="text1"/>
          <w:sz w:val="20"/>
          <w:szCs w:val="20"/>
        </w:rPr>
        <w:lastRenderedPageBreak/>
        <w:t>“La escogencia del contratista se efectuará con arreglo a las modalidades de selección de licitación pública, selección abreviada, concurso de méritos y contratación directa, con base en las siguientes reglas:</w:t>
      </w:r>
    </w:p>
    <w:p w14:paraId="4948C5D6" w14:textId="77777777" w:rsidR="008664D2" w:rsidRPr="00EB30BA" w:rsidRDefault="008664D2" w:rsidP="008664D2">
      <w:pPr>
        <w:spacing w:after="0" w:line="240" w:lineRule="auto"/>
        <w:ind w:left="709" w:right="709"/>
        <w:jc w:val="both"/>
        <w:rPr>
          <w:rFonts w:ascii="Verdana" w:eastAsia="Calibri" w:hAnsi="Verdana" w:cs="Arial"/>
          <w:color w:val="000000" w:themeColor="text1"/>
          <w:sz w:val="20"/>
          <w:szCs w:val="20"/>
        </w:rPr>
      </w:pPr>
      <w:r w:rsidRPr="00EB30BA">
        <w:rPr>
          <w:rFonts w:ascii="Verdana" w:eastAsia="Calibri" w:hAnsi="Verdana" w:cs="Arial"/>
          <w:color w:val="000000" w:themeColor="text1"/>
          <w:sz w:val="20"/>
          <w:szCs w:val="20"/>
        </w:rPr>
        <w:t>[…]</w:t>
      </w:r>
    </w:p>
    <w:p w14:paraId="07DA7398" w14:textId="77777777" w:rsidR="008664D2" w:rsidRPr="00EB30BA" w:rsidRDefault="008664D2" w:rsidP="008664D2">
      <w:pPr>
        <w:spacing w:after="0" w:line="240" w:lineRule="auto"/>
        <w:ind w:left="709" w:right="709"/>
        <w:jc w:val="both"/>
        <w:rPr>
          <w:rFonts w:ascii="Verdana" w:eastAsia="Calibri" w:hAnsi="Verdana" w:cs="Arial"/>
          <w:color w:val="000000" w:themeColor="text1"/>
          <w:sz w:val="20"/>
          <w:szCs w:val="20"/>
        </w:rPr>
      </w:pPr>
      <w:r w:rsidRPr="00EB30BA">
        <w:rPr>
          <w:rFonts w:ascii="Verdana" w:eastAsia="Calibri" w:hAnsi="Verdana" w:cs="Arial"/>
          <w:color w:val="000000" w:themeColor="text1"/>
          <w:sz w:val="20"/>
          <w:szCs w:val="20"/>
        </w:rPr>
        <w:t xml:space="preserve">4. Contratación directa. La modalidad de selección de contratación </w:t>
      </w:r>
      <w:proofErr w:type="gramStart"/>
      <w:r w:rsidRPr="00EB30BA">
        <w:rPr>
          <w:rFonts w:ascii="Verdana" w:eastAsia="Calibri" w:hAnsi="Verdana" w:cs="Arial"/>
          <w:color w:val="000000" w:themeColor="text1"/>
          <w:sz w:val="20"/>
          <w:szCs w:val="20"/>
        </w:rPr>
        <w:t>directa,</w:t>
      </w:r>
      <w:proofErr w:type="gramEnd"/>
      <w:r w:rsidRPr="00EB30BA">
        <w:rPr>
          <w:rFonts w:ascii="Verdana" w:eastAsia="Calibri" w:hAnsi="Verdana" w:cs="Arial"/>
          <w:color w:val="000000" w:themeColor="text1"/>
          <w:sz w:val="20"/>
          <w:szCs w:val="20"/>
        </w:rPr>
        <w:t xml:space="preserve"> solamente procederá en los siguientes casos:</w:t>
      </w:r>
    </w:p>
    <w:p w14:paraId="62914151" w14:textId="77777777" w:rsidR="008664D2" w:rsidRPr="00EB30BA" w:rsidRDefault="008664D2" w:rsidP="008664D2">
      <w:pPr>
        <w:spacing w:after="0" w:line="240" w:lineRule="auto"/>
        <w:ind w:left="709" w:right="709"/>
        <w:jc w:val="both"/>
        <w:rPr>
          <w:rFonts w:ascii="Verdana" w:eastAsia="Calibri" w:hAnsi="Verdana" w:cs="Arial"/>
          <w:color w:val="000000" w:themeColor="text1"/>
          <w:sz w:val="20"/>
          <w:szCs w:val="20"/>
        </w:rPr>
      </w:pPr>
      <w:r w:rsidRPr="00EB30BA">
        <w:rPr>
          <w:rFonts w:ascii="Verdana" w:eastAsia="Calibri" w:hAnsi="Verdana" w:cs="Arial"/>
          <w:color w:val="000000" w:themeColor="text1"/>
          <w:sz w:val="20"/>
          <w:szCs w:val="20"/>
        </w:rPr>
        <w:t>[…]</w:t>
      </w:r>
    </w:p>
    <w:p w14:paraId="7983BBFB" w14:textId="77777777" w:rsidR="008664D2" w:rsidRPr="00EB30BA" w:rsidRDefault="008664D2" w:rsidP="008664D2">
      <w:pPr>
        <w:spacing w:after="0" w:line="240" w:lineRule="auto"/>
        <w:ind w:left="709" w:right="709"/>
        <w:jc w:val="both"/>
        <w:rPr>
          <w:rFonts w:ascii="Verdana" w:eastAsia="Calibri" w:hAnsi="Verdana" w:cs="Arial"/>
          <w:color w:val="000000" w:themeColor="text1"/>
          <w:sz w:val="20"/>
          <w:szCs w:val="20"/>
        </w:rPr>
      </w:pPr>
      <w:r w:rsidRPr="00EB30BA">
        <w:rPr>
          <w:rFonts w:ascii="Verdana" w:eastAsia="Calibri" w:hAnsi="Verdana" w:cs="Arial"/>
          <w:color w:val="000000" w:themeColor="text1"/>
          <w:sz w:val="20"/>
          <w:szCs w:val="20"/>
        </w:rPr>
        <w:t>h) Para la prestación de servicios profesionales y de apoyo a la gestión, o para la ejecución de trabajos artísticos que sólo puedan encomendarse a determinadas personas naturales”.</w:t>
      </w:r>
    </w:p>
    <w:p w14:paraId="4DCF7A2E" w14:textId="77777777" w:rsidR="008664D2" w:rsidRDefault="008664D2" w:rsidP="008664D2">
      <w:pPr>
        <w:tabs>
          <w:tab w:val="left" w:pos="0"/>
        </w:tabs>
        <w:spacing w:after="0" w:line="276" w:lineRule="auto"/>
        <w:jc w:val="both"/>
        <w:rPr>
          <w:rFonts w:ascii="Verdana" w:hAnsi="Verdana" w:cs="Arial"/>
          <w:noProof/>
          <w:lang w:val="es-ES_tradnl"/>
        </w:rPr>
      </w:pPr>
      <w:r w:rsidRPr="00376CD8">
        <w:rPr>
          <w:rFonts w:ascii="Verdana" w:hAnsi="Verdana" w:cs="Arial"/>
          <w:noProof/>
          <w:lang w:val="es-ES_tradnl"/>
        </w:rPr>
        <w:tab/>
      </w:r>
    </w:p>
    <w:p w14:paraId="2B8F0310" w14:textId="77777777" w:rsidR="008664D2" w:rsidRDefault="008664D2" w:rsidP="008664D2">
      <w:pPr>
        <w:tabs>
          <w:tab w:val="left" w:pos="0"/>
        </w:tabs>
        <w:spacing w:after="0" w:line="276" w:lineRule="auto"/>
        <w:ind w:firstLine="709"/>
        <w:jc w:val="both"/>
        <w:rPr>
          <w:rFonts w:ascii="Verdana" w:hAnsi="Verdana" w:cs="Arial"/>
          <w:noProof/>
          <w:lang w:val="es-ES_tradnl"/>
        </w:rPr>
      </w:pPr>
      <w:r w:rsidRPr="008677DE">
        <w:rPr>
          <w:rFonts w:ascii="Verdana" w:hAnsi="Verdana" w:cs="Arial"/>
          <w:noProof/>
          <w:lang w:val="es-ES_tradnl"/>
        </w:rPr>
        <w:t xml:space="preserve">En tal sentido, el Decreto 1082 de 2015 en el </w:t>
      </w:r>
      <w:r>
        <w:rPr>
          <w:rFonts w:ascii="Verdana" w:hAnsi="Verdana" w:cs="Arial"/>
          <w:noProof/>
          <w:lang w:val="es-ES_tradnl"/>
        </w:rPr>
        <w:t>a</w:t>
      </w:r>
      <w:r w:rsidRPr="008677DE">
        <w:rPr>
          <w:rFonts w:ascii="Verdana" w:hAnsi="Verdana" w:cs="Arial"/>
          <w:noProof/>
          <w:lang w:val="es-ES_tradnl"/>
        </w:rPr>
        <w:t>rtículo 2.2.1.2.1.4.9. reglamenta la contratación directa para los contratos de servicios profesionales y de apoyo a la gestión, o para la ejecución de trabajos artísticos que solo puedan encomendarse a determinadas personas naturales, en los siguientes términos:</w:t>
      </w:r>
    </w:p>
    <w:p w14:paraId="28755A2D" w14:textId="77777777" w:rsidR="008664D2" w:rsidRPr="008677DE" w:rsidRDefault="008664D2" w:rsidP="008664D2">
      <w:pPr>
        <w:tabs>
          <w:tab w:val="left" w:pos="0"/>
        </w:tabs>
        <w:spacing w:after="0" w:line="276" w:lineRule="auto"/>
        <w:ind w:firstLine="709"/>
        <w:jc w:val="both"/>
        <w:rPr>
          <w:rFonts w:ascii="Verdana" w:hAnsi="Verdana" w:cs="Arial"/>
          <w:noProof/>
          <w:lang w:val="es-ES_tradnl"/>
        </w:rPr>
      </w:pPr>
    </w:p>
    <w:p w14:paraId="39113043" w14:textId="77777777" w:rsidR="008664D2" w:rsidRDefault="008664D2" w:rsidP="008664D2">
      <w:pPr>
        <w:spacing w:after="0" w:line="240" w:lineRule="auto"/>
        <w:ind w:left="709" w:right="709"/>
        <w:jc w:val="both"/>
        <w:rPr>
          <w:rFonts w:ascii="Verdana" w:hAnsi="Verdana" w:cs="Arial"/>
          <w:sz w:val="20"/>
          <w:szCs w:val="20"/>
        </w:rPr>
      </w:pPr>
      <w:r w:rsidRPr="00EB30BA">
        <w:rPr>
          <w:rFonts w:ascii="Verdana" w:hAnsi="Verdana" w:cs="Arial"/>
          <w:sz w:val="20"/>
          <w:szCs w:val="20"/>
        </w:rPr>
        <w:t xml:space="preserve">“Las Entidades Estatales pueden contratar bajo la modalidad de contratación directa </w:t>
      </w:r>
      <w:r>
        <w:rPr>
          <w:rFonts w:ascii="Verdana" w:hAnsi="Verdana" w:cs="Arial"/>
          <w:sz w:val="20"/>
          <w:szCs w:val="20"/>
        </w:rPr>
        <w:t xml:space="preserve">f </w:t>
      </w:r>
      <w:r w:rsidRPr="00EB30BA">
        <w:rPr>
          <w:rFonts w:ascii="Verdana" w:hAnsi="Verdana" w:cs="Arial"/>
          <w:sz w:val="20"/>
          <w:szCs w:val="20"/>
        </w:rPr>
        <w:t>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637551DB" w14:textId="77777777" w:rsidR="008664D2" w:rsidRPr="00EB30BA" w:rsidRDefault="008664D2" w:rsidP="008664D2">
      <w:pPr>
        <w:spacing w:after="0" w:line="240" w:lineRule="auto"/>
        <w:ind w:left="709" w:right="709"/>
        <w:jc w:val="both"/>
        <w:rPr>
          <w:rFonts w:ascii="Verdana" w:hAnsi="Verdana" w:cs="Arial"/>
          <w:sz w:val="20"/>
          <w:szCs w:val="20"/>
        </w:rPr>
      </w:pPr>
    </w:p>
    <w:p w14:paraId="26D21E65" w14:textId="77777777" w:rsidR="008664D2" w:rsidRPr="00EB30BA" w:rsidRDefault="008664D2" w:rsidP="008664D2">
      <w:pPr>
        <w:spacing w:after="0" w:line="240" w:lineRule="auto"/>
        <w:ind w:left="709" w:right="709"/>
        <w:jc w:val="both"/>
        <w:rPr>
          <w:rFonts w:ascii="Verdana" w:hAnsi="Verdana" w:cs="Arial"/>
          <w:sz w:val="20"/>
          <w:szCs w:val="20"/>
        </w:rPr>
      </w:pPr>
      <w:r w:rsidRPr="00EB30BA">
        <w:rPr>
          <w:rFonts w:ascii="Verdana" w:hAnsi="Verdana" w:cs="Arial"/>
          <w:sz w:val="20"/>
          <w:szCs w:val="20"/>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65E4C861" w14:textId="77777777" w:rsidR="008664D2" w:rsidRDefault="008664D2" w:rsidP="008664D2">
      <w:pPr>
        <w:spacing w:after="0" w:line="240" w:lineRule="auto"/>
        <w:ind w:left="709" w:right="709"/>
        <w:jc w:val="both"/>
        <w:rPr>
          <w:rFonts w:ascii="Verdana" w:hAnsi="Verdana" w:cs="Arial"/>
          <w:sz w:val="20"/>
          <w:szCs w:val="20"/>
        </w:rPr>
      </w:pPr>
    </w:p>
    <w:p w14:paraId="14E81A37" w14:textId="77777777" w:rsidR="008664D2" w:rsidRPr="00EB30BA" w:rsidRDefault="008664D2" w:rsidP="008664D2">
      <w:pPr>
        <w:spacing w:after="0" w:line="240" w:lineRule="auto"/>
        <w:ind w:left="709" w:right="709"/>
        <w:jc w:val="both"/>
        <w:rPr>
          <w:rFonts w:ascii="Verdana" w:hAnsi="Verdana" w:cs="Arial"/>
          <w:sz w:val="20"/>
          <w:szCs w:val="20"/>
        </w:rPr>
      </w:pPr>
      <w:r w:rsidRPr="00EB30BA">
        <w:rPr>
          <w:rFonts w:ascii="Verdana" w:hAnsi="Verdana" w:cs="Arial"/>
          <w:sz w:val="20"/>
          <w:szCs w:val="20"/>
        </w:rPr>
        <w:t>La Entidad Estatal, para la contratación de trabajos artísticos que solamente puedan en</w:t>
      </w:r>
      <w:r w:rsidRPr="00EB30BA">
        <w:rPr>
          <w:rFonts w:ascii="Verdana" w:hAnsi="Verdana" w:cs="Arial"/>
          <w:sz w:val="20"/>
          <w:szCs w:val="20"/>
        </w:rPr>
        <w:softHyphen/>
        <w:t>comendarse a determinadas personas naturales, debe justificar esta situación en los estudios y documentos previos”.</w:t>
      </w:r>
    </w:p>
    <w:p w14:paraId="274275D1" w14:textId="77777777" w:rsidR="008664D2" w:rsidRDefault="008664D2" w:rsidP="008664D2">
      <w:pPr>
        <w:tabs>
          <w:tab w:val="left" w:pos="0"/>
        </w:tabs>
        <w:spacing w:after="0" w:line="276" w:lineRule="auto"/>
        <w:jc w:val="both"/>
        <w:rPr>
          <w:rFonts w:ascii="Verdana" w:hAnsi="Verdana" w:cs="Arial"/>
          <w:color w:val="000000" w:themeColor="text1"/>
          <w:lang w:val="es-ES_tradnl"/>
        </w:rPr>
      </w:pPr>
      <w:r w:rsidRPr="008677DE">
        <w:rPr>
          <w:rFonts w:ascii="Verdana" w:hAnsi="Verdana" w:cs="Arial"/>
          <w:color w:val="000000" w:themeColor="text1"/>
          <w:lang w:val="es-ES_tradnl"/>
        </w:rPr>
        <w:tab/>
      </w:r>
    </w:p>
    <w:p w14:paraId="3BAE917E" w14:textId="77777777" w:rsidR="008664D2" w:rsidRPr="008677DE" w:rsidRDefault="008664D2" w:rsidP="008664D2">
      <w:pPr>
        <w:tabs>
          <w:tab w:val="left" w:pos="0"/>
        </w:tabs>
        <w:spacing w:after="120" w:line="276" w:lineRule="auto"/>
        <w:jc w:val="both"/>
        <w:rPr>
          <w:rFonts w:ascii="Verdana" w:hAnsi="Verdana" w:cs="Arial"/>
          <w:color w:val="000000" w:themeColor="text1"/>
          <w:lang w:val="es-ES_tradnl"/>
        </w:rPr>
      </w:pPr>
      <w:r>
        <w:rPr>
          <w:rFonts w:ascii="Verdana" w:hAnsi="Verdana" w:cs="Arial"/>
          <w:color w:val="000000" w:themeColor="text1"/>
          <w:lang w:val="es-ES_tradnl"/>
        </w:rPr>
        <w:tab/>
      </w:r>
      <w:r w:rsidRPr="008677DE">
        <w:rPr>
          <w:rFonts w:ascii="Verdana" w:hAnsi="Verdana" w:cs="Arial"/>
          <w:color w:val="000000" w:themeColor="text1"/>
          <w:lang w:val="es-ES_tradnl"/>
        </w:rPr>
        <w:t>A partir de las disposiciones citadas, así como de la Sentencia de Unificación de Jurisprudencial del 9 de septiembre de 2021, proferida por el Consejo de Estado</w:t>
      </w:r>
      <w:r w:rsidRPr="008677DE">
        <w:rPr>
          <w:rStyle w:val="Refdenotaalpie"/>
          <w:rFonts w:ascii="Verdana" w:hAnsi="Verdana" w:cs="Arial"/>
          <w:bCs/>
          <w:lang w:val="es-ES"/>
        </w:rPr>
        <w:footnoteReference w:id="3"/>
      </w:r>
      <w:r w:rsidRPr="008677DE">
        <w:rPr>
          <w:rFonts w:ascii="Verdana" w:hAnsi="Verdana" w:cs="Arial"/>
          <w:color w:val="000000" w:themeColor="text1"/>
          <w:lang w:val="es-ES_tradnl"/>
        </w:rPr>
        <w:t>, es posible señalar las siguientes características del contrato de prestación de servicios</w:t>
      </w:r>
      <w:r w:rsidRPr="008677DE">
        <w:rPr>
          <w:rFonts w:ascii="Verdana" w:hAnsi="Verdana" w:cs="Arial"/>
          <w:noProof/>
          <w:lang w:val="es-ES_tradnl"/>
        </w:rPr>
        <w:t>:</w:t>
      </w:r>
    </w:p>
    <w:p w14:paraId="33105BF3" w14:textId="77777777" w:rsidR="008664D2" w:rsidRPr="008677DE" w:rsidRDefault="008664D2" w:rsidP="008664D2">
      <w:pPr>
        <w:spacing w:after="120" w:line="276" w:lineRule="auto"/>
        <w:ind w:firstLine="709"/>
        <w:jc w:val="both"/>
        <w:rPr>
          <w:rFonts w:ascii="Verdana" w:hAnsi="Verdana" w:cs="Arial"/>
          <w:noProof/>
          <w:lang w:val="es-ES_tradnl"/>
        </w:rPr>
      </w:pPr>
      <w:r w:rsidRPr="008677DE">
        <w:rPr>
          <w:rFonts w:ascii="Verdana" w:hAnsi="Verdana" w:cs="Arial"/>
          <w:noProof/>
          <w:lang w:val="es-ES_tradnl"/>
        </w:rPr>
        <w:lastRenderedPageBreak/>
        <w:t xml:space="preserve">i) Solo puede celebrarse para realizar </w:t>
      </w:r>
      <w:r>
        <w:rPr>
          <w:rFonts w:ascii="Verdana" w:hAnsi="Verdana" w:cs="Arial"/>
          <w:noProof/>
          <w:lang w:val="es-ES_tradnl"/>
        </w:rPr>
        <w:t>“</w:t>
      </w:r>
      <w:r w:rsidRPr="008677DE">
        <w:rPr>
          <w:rFonts w:ascii="Verdana" w:hAnsi="Verdana" w:cs="Arial"/>
          <w:noProof/>
          <w:lang w:val="es-ES_tradnl"/>
        </w:rPr>
        <w:t>actividades relacionadas con la administración o funcionamiento de la entidad</w:t>
      </w:r>
      <w:r>
        <w:rPr>
          <w:rFonts w:ascii="Verdana" w:hAnsi="Verdana" w:cs="Arial"/>
          <w:noProof/>
          <w:lang w:val="es-ES_tradnl"/>
        </w:rPr>
        <w:t>”</w:t>
      </w:r>
      <w:r w:rsidRPr="008677DE">
        <w:rPr>
          <w:rFonts w:ascii="Verdana" w:hAnsi="Verdana" w:cs="Arial"/>
          <w:noProof/>
          <w:lang w:val="es-ES_tradnl"/>
        </w:rPr>
        <w:t>, es decir, que hagan parte de su giro ordinario o quehacer cotidiano</w:t>
      </w:r>
      <w:r w:rsidRPr="008677DE">
        <w:rPr>
          <w:rStyle w:val="Refdenotaalpie"/>
          <w:rFonts w:ascii="Verdana" w:hAnsi="Verdana" w:cs="Arial"/>
          <w:noProof/>
          <w:lang w:val="es-ES_tradnl"/>
        </w:rPr>
        <w:footnoteReference w:id="4"/>
      </w:r>
      <w:r w:rsidRPr="008677DE">
        <w:rPr>
          <w:rFonts w:ascii="Verdana" w:hAnsi="Verdana" w:cs="Arial"/>
          <w:noProof/>
          <w:lang w:val="es-ES_tradnl"/>
        </w:rPr>
        <w:t>.</w:t>
      </w:r>
    </w:p>
    <w:p w14:paraId="15A45691" w14:textId="77777777" w:rsidR="008664D2" w:rsidRPr="008677DE" w:rsidRDefault="008664D2" w:rsidP="008664D2">
      <w:pPr>
        <w:spacing w:after="120" w:line="276" w:lineRule="auto"/>
        <w:ind w:firstLine="709"/>
        <w:jc w:val="both"/>
        <w:rPr>
          <w:rFonts w:ascii="Verdana" w:hAnsi="Verdana" w:cs="Arial"/>
          <w:noProof/>
          <w:lang w:val="es-ES_tradnl"/>
        </w:rPr>
      </w:pPr>
      <w:r w:rsidRPr="008677DE">
        <w:rPr>
          <w:rFonts w:ascii="Verdana" w:hAnsi="Verdana" w:cs="Arial"/>
          <w:noProof/>
          <w:lang w:val="es-ES_tradnl"/>
        </w:rPr>
        <w:t xml:space="preserve">ii) Respecto del tipo de personas que pueden ser contratadas, admite que se suscriba con personas naturales o jurídicas. Sin embargo, cuando se celebre con aquellas, la Entidad Estatal debe justificar, en los estudios previos, que las actividades </w:t>
      </w:r>
      <w:r>
        <w:rPr>
          <w:rFonts w:ascii="Verdana" w:hAnsi="Verdana" w:cs="Arial"/>
          <w:noProof/>
          <w:lang w:val="es-ES_tradnl"/>
        </w:rPr>
        <w:t>“</w:t>
      </w:r>
      <w:r w:rsidRPr="008677DE">
        <w:rPr>
          <w:rFonts w:ascii="Verdana" w:hAnsi="Verdana" w:cs="Arial"/>
          <w:noProof/>
          <w:lang w:val="es-ES_tradnl"/>
        </w:rPr>
        <w:t>no puedan realizarse con personal de planta o requieran conocimientos especializados</w:t>
      </w:r>
      <w:r>
        <w:rPr>
          <w:rFonts w:ascii="Verdana" w:hAnsi="Verdana" w:cs="Arial"/>
          <w:noProof/>
          <w:lang w:val="es-ES_tradnl"/>
        </w:rPr>
        <w:t>”</w:t>
      </w:r>
      <w:r w:rsidRPr="008677DE">
        <w:rPr>
          <w:rFonts w:ascii="Verdana" w:hAnsi="Verdana" w:cs="Arial"/>
          <w:noProof/>
          <w:lang w:val="es-ES_tradnl"/>
        </w:rPr>
        <w:t>. Esto sucede en varios eventos, por ejemplo, cuando no exista personal de planta para ejecutar las labores; o existiendo, está sobrecargado de trabajo, necesitando apoyo externo; o habiendo personal de planta, carece de la experticia o conocimiento especializado, razón por la cual es necesario contratar los servicios de una persona natural que tenga el conocimiento y la experiencia en el tema.</w:t>
      </w:r>
    </w:p>
    <w:p w14:paraId="5C99B19F" w14:textId="77777777" w:rsidR="008664D2" w:rsidRDefault="008664D2" w:rsidP="008664D2">
      <w:pPr>
        <w:spacing w:after="120" w:line="276" w:lineRule="auto"/>
        <w:ind w:firstLine="709"/>
        <w:jc w:val="both"/>
        <w:rPr>
          <w:rFonts w:ascii="Verdana" w:hAnsi="Verdana" w:cs="Arial"/>
          <w:noProof/>
          <w:lang w:val="es-ES_tradnl"/>
        </w:rPr>
      </w:pPr>
      <w:r w:rsidRPr="008677DE">
        <w:rPr>
          <w:rFonts w:ascii="Verdana" w:hAnsi="Verdana" w:cs="Arial"/>
          <w:noProof/>
          <w:lang w:val="es-ES_tradnl"/>
        </w:rPr>
        <w:t xml:space="preserve">iii) 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8677DE">
        <w:rPr>
          <w:rFonts w:ascii="Verdana" w:hAnsi="Verdana" w:cs="Arial"/>
          <w:i/>
          <w:noProof/>
          <w:lang w:val="es-ES_tradnl"/>
        </w:rPr>
        <w:t xml:space="preserve">subordinación </w:t>
      </w:r>
      <w:r w:rsidRPr="008677DE">
        <w:rPr>
          <w:rFonts w:ascii="Verdana" w:hAnsi="Verdana" w:cs="Arial"/>
          <w:iCs/>
          <w:noProof/>
          <w:lang w:val="es-ES_tradnl"/>
        </w:rPr>
        <w:t>ni</w:t>
      </w:r>
      <w:r w:rsidRPr="008677DE">
        <w:rPr>
          <w:rFonts w:ascii="Verdana" w:hAnsi="Verdana" w:cs="Arial"/>
          <w:i/>
          <w:noProof/>
          <w:lang w:val="es-ES_tradnl"/>
        </w:rPr>
        <w:t xml:space="preserve"> dependencia</w:t>
      </w:r>
      <w:r w:rsidRPr="008677DE">
        <w:rPr>
          <w:rFonts w:ascii="Verdana" w:hAnsi="Verdana" w:cs="Arial"/>
          <w:iCs/>
          <w:noProof/>
          <w:lang w:val="es-ES_tradnl"/>
        </w:rPr>
        <w:t>,</w:t>
      </w:r>
      <w:r w:rsidRPr="008677DE">
        <w:rPr>
          <w:rFonts w:ascii="Verdana" w:hAnsi="Verdana" w:cs="Arial"/>
          <w:noProof/>
          <w:lang w:val="es-ES_tradnl"/>
        </w:rPr>
        <w:t xml:space="preserve"> que es uno de los elementos constitutivos del vínculo laboral</w:t>
      </w:r>
      <w:r w:rsidRPr="008677DE">
        <w:rPr>
          <w:rStyle w:val="Refdenotaalpie"/>
          <w:rFonts w:ascii="Verdana" w:hAnsi="Verdana" w:cs="Arial"/>
          <w:noProof/>
          <w:lang w:val="es-ES_tradnl"/>
        </w:rPr>
        <w:footnoteReference w:id="5"/>
      </w:r>
      <w:r w:rsidRPr="008677DE">
        <w:rPr>
          <w:rFonts w:ascii="Verdana" w:hAnsi="Verdana" w:cs="Arial"/>
          <w:noProof/>
          <w:lang w:val="es-ES_tradnl"/>
        </w:rPr>
        <w:t xml:space="preserve">. Por eso, el artículo 32, numeral 3º, de la Ley 80 de 1993 establece que </w:t>
      </w:r>
      <w:r>
        <w:rPr>
          <w:rFonts w:ascii="Verdana" w:hAnsi="Verdana" w:cs="Arial"/>
          <w:noProof/>
          <w:lang w:val="es-ES_tradnl"/>
        </w:rPr>
        <w:t>“</w:t>
      </w:r>
      <w:r w:rsidRPr="008677DE">
        <w:rPr>
          <w:rFonts w:ascii="Verdana" w:hAnsi="Verdana" w:cs="Arial"/>
          <w:noProof/>
          <w:lang w:val="es-ES_tradnl"/>
        </w:rPr>
        <w:t>En ningún caso estos contratos generan relación laboral ni prestaciones sociales</w:t>
      </w:r>
      <w:r>
        <w:rPr>
          <w:rFonts w:ascii="Verdana" w:hAnsi="Verdana" w:cs="Arial"/>
          <w:noProof/>
          <w:lang w:val="es-ES_tradnl"/>
        </w:rPr>
        <w:t>”</w:t>
      </w:r>
      <w:r w:rsidRPr="008677DE">
        <w:rPr>
          <w:rFonts w:ascii="Verdana" w:hAnsi="Verdana" w:cs="Arial"/>
          <w:noProof/>
          <w:lang w:val="es-ES_tradnl"/>
        </w:rPr>
        <w:t xml:space="preserve">. Este inciso, más que un enunciado que aluda al </w:t>
      </w:r>
      <w:r>
        <w:rPr>
          <w:rFonts w:ascii="Verdana" w:hAnsi="Verdana" w:cs="Arial"/>
          <w:noProof/>
          <w:lang w:val="es-ES_tradnl"/>
        </w:rPr>
        <w:t>“</w:t>
      </w:r>
      <w:r w:rsidRPr="008677DE">
        <w:rPr>
          <w:rFonts w:ascii="Verdana" w:hAnsi="Verdana" w:cs="Arial"/>
          <w:noProof/>
          <w:lang w:val="es-ES_tradnl"/>
        </w:rPr>
        <w:t>ser</w:t>
      </w:r>
      <w:r>
        <w:rPr>
          <w:rFonts w:ascii="Verdana" w:hAnsi="Verdana" w:cs="Arial"/>
          <w:noProof/>
          <w:lang w:val="es-ES_tradnl"/>
        </w:rPr>
        <w:t>”</w:t>
      </w:r>
      <w:r w:rsidRPr="008677DE">
        <w:rPr>
          <w:rFonts w:ascii="Verdana" w:hAnsi="Verdana" w:cs="Arial"/>
          <w:noProof/>
          <w:lang w:val="es-ES_tradnl"/>
        </w:rPr>
        <w:t xml:space="preserve">, se refiere al </w:t>
      </w:r>
      <w:r>
        <w:rPr>
          <w:rFonts w:ascii="Verdana" w:hAnsi="Verdana" w:cs="Arial"/>
          <w:noProof/>
          <w:lang w:val="es-ES_tradnl"/>
        </w:rPr>
        <w:t>“</w:t>
      </w:r>
      <w:r w:rsidRPr="008677DE">
        <w:rPr>
          <w:rFonts w:ascii="Verdana" w:hAnsi="Verdana" w:cs="Arial"/>
          <w:noProof/>
          <w:lang w:val="es-ES_tradnl"/>
        </w:rPr>
        <w:t>deber ser</w:t>
      </w:r>
      <w:r>
        <w:rPr>
          <w:rFonts w:ascii="Verdana" w:hAnsi="Verdana" w:cs="Arial"/>
          <w:noProof/>
          <w:lang w:val="es-ES_tradnl"/>
        </w:rPr>
        <w:t>”</w:t>
      </w:r>
      <w:r w:rsidRPr="008677DE">
        <w:rPr>
          <w:rFonts w:ascii="Verdana" w:hAnsi="Verdana" w:cs="Arial"/>
          <w:noProof/>
          <w:lang w:val="es-ES_tradnl"/>
        </w:rPr>
        <w:t xml:space="preserve">, pues debe interpretarse en el sentido de que los contratos de prestación de servicios profesionales </w:t>
      </w:r>
      <w:r w:rsidRPr="008677DE">
        <w:rPr>
          <w:rFonts w:ascii="Verdana" w:hAnsi="Verdana" w:cs="Arial"/>
          <w:i/>
          <w:noProof/>
          <w:lang w:val="es-ES_tradnl"/>
        </w:rPr>
        <w:t>no pueden</w:t>
      </w:r>
      <w:r w:rsidRPr="008677DE">
        <w:rPr>
          <w:rFonts w:ascii="Verdana" w:hAnsi="Verdana" w:cs="Arial"/>
          <w:noProof/>
          <w:lang w:val="es-ES_tradnl"/>
        </w:rPr>
        <w:t xml:space="preserve"> generar relación laboral, ni dar lugar a que las entidades estatales paguen por su cuenta los aportes al Sistema de Seguridad Social Integral del contratista. </w:t>
      </w:r>
    </w:p>
    <w:p w14:paraId="0F3FFC67" w14:textId="77777777" w:rsidR="008664D2" w:rsidRDefault="008664D2" w:rsidP="008664D2">
      <w:pPr>
        <w:spacing w:after="120" w:line="276" w:lineRule="auto"/>
        <w:ind w:firstLine="709"/>
        <w:jc w:val="both"/>
        <w:rPr>
          <w:rFonts w:ascii="Verdana" w:hAnsi="Verdana" w:cs="Arial"/>
          <w:noProof/>
          <w:lang w:val="es-ES_tradnl"/>
        </w:rPr>
      </w:pPr>
      <w:r w:rsidRPr="008677DE">
        <w:rPr>
          <w:rFonts w:ascii="Verdana" w:hAnsi="Verdana" w:cs="Arial"/>
          <w:noProof/>
          <w:lang w:val="es-ES_tradnl"/>
        </w:rPr>
        <w:t xml:space="preserve">Tal como se indicó, no puede existir subordinación y dependencia; entonces, la relación laboral está proscrita y el contratista es quien, como </w:t>
      </w:r>
      <w:r>
        <w:rPr>
          <w:rFonts w:ascii="Verdana" w:hAnsi="Verdana" w:cs="Arial"/>
          <w:noProof/>
          <w:lang w:val="es-ES_tradnl"/>
        </w:rPr>
        <w:t>“</w:t>
      </w:r>
      <w:r w:rsidRPr="008677DE">
        <w:rPr>
          <w:rFonts w:ascii="Verdana" w:hAnsi="Verdana" w:cs="Arial"/>
          <w:noProof/>
          <w:lang w:val="es-ES_tradnl"/>
        </w:rPr>
        <w:t>trabajador independiente</w:t>
      </w:r>
      <w:r>
        <w:rPr>
          <w:rFonts w:ascii="Verdana" w:hAnsi="Verdana" w:cs="Arial"/>
          <w:noProof/>
          <w:lang w:val="es-ES_tradnl"/>
        </w:rPr>
        <w:t>”</w:t>
      </w:r>
      <w:r w:rsidRPr="008677DE">
        <w:rPr>
          <w:rFonts w:ascii="Verdana" w:hAnsi="Verdana" w:cs="Arial"/>
          <w:noProof/>
          <w:lang w:val="es-ES_tradnl"/>
        </w:rPr>
        <w:t xml:space="preserve"> –como lo califican las normas de la seguridad social– </w:t>
      </w:r>
      <w:r w:rsidRPr="008677DE">
        <w:rPr>
          <w:rFonts w:ascii="Verdana" w:hAnsi="Verdana" w:cs="Arial"/>
          <w:noProof/>
          <w:lang w:val="es-ES_tradnl"/>
        </w:rPr>
        <w:lastRenderedPageBreak/>
        <w:t>debe cotizar por su cuenta y riesgo al Sistema de Seguridad Social Integral</w:t>
      </w:r>
      <w:r w:rsidRPr="008677DE">
        <w:rPr>
          <w:rStyle w:val="Refdenotaalpie"/>
          <w:rFonts w:ascii="Verdana" w:hAnsi="Verdana" w:cs="Arial"/>
          <w:noProof/>
          <w:lang w:val="es-ES_tradnl"/>
        </w:rPr>
        <w:footnoteReference w:id="6"/>
      </w:r>
      <w:r w:rsidRPr="008677DE">
        <w:rPr>
          <w:rFonts w:ascii="Verdana" w:hAnsi="Verdana" w:cs="Arial"/>
          <w:noProof/>
          <w:lang w:val="es-ES_tradnl"/>
        </w:rPr>
        <w:t xml:space="preserve">. A pesar de este mandato deontológico, es posible que en la práctica se configure una relación laboral, pues el contrato de trabajo es </w:t>
      </w:r>
      <w:r w:rsidRPr="008677DE">
        <w:rPr>
          <w:rFonts w:ascii="Verdana" w:hAnsi="Verdana" w:cs="Arial"/>
          <w:i/>
          <w:iCs/>
          <w:noProof/>
          <w:lang w:val="es-ES_tradnl"/>
        </w:rPr>
        <w:t xml:space="preserve">de </w:t>
      </w:r>
      <w:r w:rsidRPr="008677DE">
        <w:rPr>
          <w:rFonts w:ascii="Verdana" w:hAnsi="Verdana" w:cs="Arial"/>
          <w:i/>
          <w:noProof/>
          <w:lang w:val="es-ES_tradnl"/>
        </w:rPr>
        <w:t>realidad</w:t>
      </w:r>
      <w:r w:rsidRPr="008677DE">
        <w:rPr>
          <w:rFonts w:ascii="Verdana" w:hAnsi="Verdana" w:cs="Arial"/>
          <w:noProof/>
          <w:lang w:val="es-ES_tradnl"/>
        </w:rPr>
        <w:t xml:space="preserve">, y para perfeccionarlo rige el principio de prevalencia de la realidad sobre las formalidades. </w:t>
      </w:r>
    </w:p>
    <w:p w14:paraId="24C2B484" w14:textId="77777777" w:rsidR="008664D2" w:rsidRDefault="008664D2" w:rsidP="008664D2">
      <w:pPr>
        <w:spacing w:after="120" w:line="276" w:lineRule="auto"/>
        <w:ind w:firstLine="709"/>
        <w:jc w:val="both"/>
        <w:rPr>
          <w:rFonts w:ascii="Verdana" w:hAnsi="Verdana" w:cs="Arial"/>
          <w:noProof/>
          <w:lang w:val="es-ES_tradnl"/>
        </w:rPr>
      </w:pPr>
      <w:r w:rsidRPr="008677DE">
        <w:rPr>
          <w:rFonts w:ascii="Verdana" w:hAnsi="Verdana" w:cs="Arial"/>
          <w:noProof/>
          <w:lang w:val="es-ES_tradnl"/>
        </w:rPr>
        <w:t xml:space="preserve">En el sentido anterior, la Corte Constitucional declaró la exequibilidad condicionada del segundo inciso del numeral 3º del artículo 32, indicando que </w:t>
      </w:r>
      <w:r>
        <w:rPr>
          <w:rFonts w:ascii="Verdana" w:hAnsi="Verdana" w:cs="Arial"/>
          <w:noProof/>
          <w:lang w:val="es-ES_tradnl"/>
        </w:rPr>
        <w:t>“</w:t>
      </w:r>
      <w:r w:rsidRPr="008677DE">
        <w:rPr>
          <w:rFonts w:ascii="Verdana" w:hAnsi="Verdana" w:cs="Arial"/>
          <w:noProof/>
          <w:lang w:val="es-ES_tradnl"/>
        </w:rPr>
        <w:t>las expresiones acusadas del numeral 3º del artículo 32 de la Ley 80 de 1993, no vulneran los preceptos constitucionales, razón por la cual deberán ser declaradas exequibles, salvo que se acredite por parte del contratista la existencia de una relación laboral subordinada</w:t>
      </w:r>
      <w:r>
        <w:rPr>
          <w:rFonts w:ascii="Verdana" w:hAnsi="Verdana" w:cs="Arial"/>
          <w:noProof/>
          <w:lang w:val="es-ES_tradnl"/>
        </w:rPr>
        <w:t>”</w:t>
      </w:r>
      <w:r w:rsidRPr="008677DE">
        <w:rPr>
          <w:rStyle w:val="Refdenotaalpie"/>
          <w:rFonts w:ascii="Verdana" w:hAnsi="Verdana" w:cs="Arial"/>
          <w:noProof/>
          <w:lang w:val="es-ES_tradnl"/>
        </w:rPr>
        <w:footnoteReference w:id="7"/>
      </w:r>
      <w:r w:rsidRPr="008677DE">
        <w:rPr>
          <w:rFonts w:ascii="Verdana" w:hAnsi="Verdana" w:cs="Arial"/>
          <w:noProof/>
          <w:lang w:val="es-ES_tradnl"/>
        </w:rPr>
        <w:t xml:space="preserve">. </w:t>
      </w:r>
    </w:p>
    <w:p w14:paraId="5C93EF2A" w14:textId="77777777" w:rsidR="008664D2" w:rsidRPr="008677DE" w:rsidRDefault="008664D2" w:rsidP="008664D2">
      <w:pPr>
        <w:spacing w:after="120" w:line="276" w:lineRule="auto"/>
        <w:ind w:firstLine="709"/>
        <w:jc w:val="both"/>
        <w:rPr>
          <w:rFonts w:ascii="Verdana" w:hAnsi="Verdana" w:cs="Arial"/>
          <w:noProof/>
          <w:lang w:val="es-ES_tradnl"/>
        </w:rPr>
      </w:pPr>
      <w:r w:rsidRPr="008677DE">
        <w:rPr>
          <w:rFonts w:ascii="Verdana" w:hAnsi="Verdana" w:cs="Arial"/>
          <w:noProof/>
          <w:lang w:val="es-ES_tradnl"/>
        </w:rPr>
        <w:t>Por su parte, el Consejo de Estado</w:t>
      </w:r>
      <w:r>
        <w:rPr>
          <w:rFonts w:ascii="Verdana" w:hAnsi="Verdana" w:cs="Arial"/>
          <w:noProof/>
          <w:lang w:val="es-ES_tradnl"/>
        </w:rPr>
        <w:t>,</w:t>
      </w:r>
      <w:r w:rsidRPr="008677DE">
        <w:rPr>
          <w:rFonts w:ascii="Verdana" w:hAnsi="Verdana" w:cs="Arial"/>
          <w:noProof/>
          <w:lang w:val="es-ES_tradnl"/>
        </w:rPr>
        <w:t xml:space="preserve"> en sentencia de unificación jurisprudencial del 9 de septiembre de 2021</w:t>
      </w:r>
      <w:r>
        <w:rPr>
          <w:rFonts w:ascii="Verdana" w:hAnsi="Verdana" w:cs="Arial"/>
          <w:noProof/>
          <w:lang w:val="es-ES_tradnl"/>
        </w:rPr>
        <w:t>,</w:t>
      </w:r>
      <w:r w:rsidRPr="008677DE">
        <w:rPr>
          <w:rFonts w:ascii="Verdana" w:hAnsi="Verdana" w:cs="Arial"/>
          <w:noProof/>
          <w:lang w:val="es-ES_tradnl"/>
        </w:rPr>
        <w:t xml:space="preserve"> se pronunció respecto de los criterios para identificar la existencia de una relación laboral encubierta o subyacente por contratos de </w:t>
      </w:r>
      <w:r>
        <w:rPr>
          <w:rFonts w:ascii="Verdana" w:hAnsi="Verdana" w:cs="Arial"/>
          <w:noProof/>
          <w:lang w:val="es-ES_tradnl"/>
        </w:rPr>
        <w:t>p</w:t>
      </w:r>
      <w:r w:rsidRPr="008677DE">
        <w:rPr>
          <w:rFonts w:ascii="Verdana" w:hAnsi="Verdana" w:cs="Arial"/>
          <w:noProof/>
          <w:lang w:val="es-ES_tradnl"/>
        </w:rPr>
        <w:t>restación de servicios y definó tres reglas para el</w:t>
      </w:r>
      <w:r>
        <w:rPr>
          <w:rFonts w:ascii="Verdana" w:hAnsi="Verdana" w:cs="Arial"/>
          <w:noProof/>
          <w:lang w:val="es-ES_tradnl"/>
        </w:rPr>
        <w:t xml:space="preserve"> </w:t>
      </w:r>
      <w:r w:rsidRPr="008677DE">
        <w:rPr>
          <w:rFonts w:ascii="Verdana" w:hAnsi="Verdana" w:cs="Arial"/>
          <w:noProof/>
          <w:lang w:val="es-ES_tradnl"/>
        </w:rPr>
        <w:lastRenderedPageBreak/>
        <w:t>efecto</w:t>
      </w:r>
      <w:r w:rsidRPr="008677DE">
        <w:rPr>
          <w:rFonts w:ascii="Verdana" w:hAnsi="Verdana"/>
          <w:vertAlign w:val="superscript"/>
          <w:lang w:val="es-ES_tradnl"/>
        </w:rPr>
        <w:footnoteReference w:id="8"/>
      </w:r>
      <w:r w:rsidRPr="008677DE">
        <w:rPr>
          <w:rFonts w:ascii="Verdana" w:hAnsi="Verdana" w:cs="Arial"/>
          <w:noProof/>
          <w:lang w:val="es-ES_tradnl"/>
        </w:rPr>
        <w:t>, aspectos que fueron aclarados posteriormente por Auto del 11 de noviembre de 2021</w:t>
      </w:r>
      <w:r w:rsidRPr="008677DE">
        <w:rPr>
          <w:rStyle w:val="Refdenotaalpie"/>
          <w:rFonts w:ascii="Verdana" w:hAnsi="Verdana" w:cs="Arial"/>
          <w:noProof/>
          <w:lang w:val="es-ES_tradnl"/>
        </w:rPr>
        <w:footnoteReference w:id="9"/>
      </w:r>
      <w:r w:rsidRPr="008677DE">
        <w:rPr>
          <w:rFonts w:ascii="Verdana" w:hAnsi="Verdana" w:cs="Arial"/>
          <w:noProof/>
          <w:lang w:val="es-ES_tradnl"/>
        </w:rPr>
        <w:t>.</w:t>
      </w:r>
    </w:p>
    <w:p w14:paraId="324AF57A" w14:textId="77777777" w:rsidR="008664D2" w:rsidRDefault="008664D2" w:rsidP="008664D2">
      <w:pPr>
        <w:spacing w:after="120" w:line="276" w:lineRule="auto"/>
        <w:ind w:firstLine="709"/>
        <w:jc w:val="both"/>
        <w:rPr>
          <w:rFonts w:ascii="Verdana" w:hAnsi="Verdana" w:cs="Arial"/>
        </w:rPr>
      </w:pPr>
      <w:r w:rsidRPr="008677DE">
        <w:rPr>
          <w:rFonts w:ascii="Verdana" w:hAnsi="Verdana" w:cs="Arial"/>
          <w:noProof/>
          <w:lang w:val="es-ES_tradnl"/>
        </w:rPr>
        <w:t xml:space="preserve">iv) Deben ser temporales. La sentencia de unificacion jurisprudencial del Consejo de Estado mencionada, frente a la duración del contrato de prestación de servicios señaló que solo puede celebrarse por un </w:t>
      </w:r>
      <w:r>
        <w:rPr>
          <w:rFonts w:ascii="Verdana" w:hAnsi="Verdana" w:cs="Arial"/>
          <w:noProof/>
          <w:lang w:val="es-ES_tradnl"/>
        </w:rPr>
        <w:t>“</w:t>
      </w:r>
      <w:r w:rsidRPr="008677DE">
        <w:rPr>
          <w:rFonts w:ascii="Verdana" w:hAnsi="Verdana" w:cs="Arial"/>
          <w:noProof/>
          <w:lang w:val="es-ES_tradnl"/>
        </w:rPr>
        <w:t>término estrictamente indispensable</w:t>
      </w:r>
      <w:r>
        <w:rPr>
          <w:rFonts w:ascii="Verdana" w:hAnsi="Verdana" w:cs="Arial"/>
          <w:noProof/>
          <w:lang w:val="es-ES_tradnl"/>
        </w:rPr>
        <w:t>”</w:t>
      </w:r>
      <w:r w:rsidRPr="008677DE">
        <w:rPr>
          <w:rFonts w:ascii="Verdana" w:hAnsi="Verdana" w:cs="Arial"/>
          <w:noProof/>
          <w:lang w:val="es-ES_tradnl"/>
        </w:rPr>
        <w:t xml:space="preserve">. En ese entendido, unificó el sentido y alcance del término estrictamente indispensable como </w:t>
      </w:r>
      <w:r>
        <w:rPr>
          <w:rFonts w:ascii="Verdana" w:hAnsi="Verdana" w:cs="Arial"/>
          <w:noProof/>
          <w:lang w:val="es-ES_tradnl"/>
        </w:rPr>
        <w:t>“</w:t>
      </w:r>
      <w:r w:rsidRPr="008677DE">
        <w:rPr>
          <w:rFonts w:ascii="Verdana" w:hAnsi="Verdana" w:cs="Arial"/>
          <w:noProof/>
          <w:lang w:val="es-ES_tradnl"/>
        </w:rPr>
        <w:t>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r>
        <w:rPr>
          <w:rFonts w:ascii="Verdana" w:hAnsi="Verdana" w:cs="Arial"/>
          <w:noProof/>
          <w:lang w:val="es-ES_tradnl"/>
        </w:rPr>
        <w:t>”</w:t>
      </w:r>
      <w:r w:rsidRPr="008677DE">
        <w:rPr>
          <w:rFonts w:ascii="Verdana" w:hAnsi="Verdana" w:cs="Arial"/>
          <w:noProof/>
          <w:lang w:val="es-ES_tradnl"/>
        </w:rPr>
        <w:t>.</w:t>
      </w:r>
      <w:r w:rsidRPr="008677DE">
        <w:rPr>
          <w:rFonts w:ascii="Verdana" w:hAnsi="Verdana" w:cs="Arial"/>
        </w:rPr>
        <w:t xml:space="preserve"> </w:t>
      </w:r>
    </w:p>
    <w:p w14:paraId="00B80D49" w14:textId="77777777" w:rsidR="008664D2" w:rsidRDefault="008664D2" w:rsidP="008664D2">
      <w:pPr>
        <w:spacing w:before="120" w:after="0" w:line="276" w:lineRule="auto"/>
        <w:ind w:firstLine="709"/>
        <w:jc w:val="both"/>
        <w:rPr>
          <w:rFonts w:ascii="Verdana" w:hAnsi="Verdana" w:cs="Arial"/>
          <w:noProof/>
          <w:lang w:val="es-ES_tradnl"/>
        </w:rPr>
      </w:pPr>
      <w:r w:rsidRPr="008677DE">
        <w:rPr>
          <w:rFonts w:ascii="Verdana" w:hAnsi="Verdana" w:cs="Arial"/>
        </w:rPr>
        <w:t xml:space="preserve">De igual manera, señaló que </w:t>
      </w:r>
      <w:r>
        <w:rPr>
          <w:rFonts w:ascii="Verdana" w:hAnsi="Verdana" w:cs="Arial"/>
        </w:rPr>
        <w:t>“</w:t>
      </w:r>
      <w:r w:rsidRPr="008677DE">
        <w:rPr>
          <w:rFonts w:ascii="Verdana" w:hAnsi="Verdana" w:cs="Arial"/>
        </w:rPr>
        <w:t>no cabe su empleo para la cobertura indefinida de necesidades permanentes o recurrentes</w:t>
      </w:r>
      <w:r>
        <w:rPr>
          <w:rFonts w:ascii="Verdana" w:hAnsi="Verdana" w:cs="Arial"/>
        </w:rPr>
        <w:t>”</w:t>
      </w:r>
      <w:r w:rsidRPr="008677DE">
        <w:rPr>
          <w:rFonts w:ascii="Verdana" w:hAnsi="Verdana" w:cs="Arial"/>
        </w:rPr>
        <w:t xml:space="preserve">. </w:t>
      </w:r>
      <w:r w:rsidRPr="008677DE">
        <w:rPr>
          <w:rFonts w:ascii="Verdana" w:hAnsi="Verdana" w:cs="Arial"/>
          <w:noProof/>
          <w:lang w:val="es-ES_tradnl"/>
        </w:rPr>
        <w:t xml:space="preserve">En sentido similar se manifestó la Corte </w:t>
      </w:r>
      <w:r w:rsidRPr="00AB49CF">
        <w:rPr>
          <w:rFonts w:ascii="Verdana" w:hAnsi="Verdana" w:cs="Arial"/>
          <w:noProof/>
          <w:lang w:val="es-ES_tradnl"/>
        </w:rPr>
        <w:t>Constitucional en la Sentencia C-154 de 1997, expresando que:</w:t>
      </w:r>
    </w:p>
    <w:p w14:paraId="2FE25355" w14:textId="77777777" w:rsidR="008664D2" w:rsidRPr="00AB49CF" w:rsidRDefault="008664D2" w:rsidP="008664D2">
      <w:pPr>
        <w:spacing w:after="0" w:line="276" w:lineRule="auto"/>
        <w:ind w:firstLine="709"/>
        <w:jc w:val="both"/>
        <w:rPr>
          <w:rFonts w:ascii="Verdana" w:hAnsi="Verdana" w:cs="Arial"/>
          <w:noProof/>
          <w:lang w:val="es-ES_tradnl"/>
        </w:rPr>
      </w:pPr>
    </w:p>
    <w:p w14:paraId="18A3A4FF" w14:textId="77777777" w:rsidR="008664D2" w:rsidRPr="00EB30BA" w:rsidRDefault="008664D2" w:rsidP="008664D2">
      <w:pPr>
        <w:spacing w:after="0"/>
        <w:ind w:left="709" w:right="709"/>
        <w:jc w:val="both"/>
        <w:rPr>
          <w:rFonts w:ascii="Verdana" w:hAnsi="Verdana" w:cs="Arial"/>
          <w:noProof/>
          <w:sz w:val="20"/>
          <w:szCs w:val="20"/>
          <w:lang w:val="es-ES_tradnl"/>
        </w:rPr>
      </w:pPr>
      <w:r w:rsidRPr="00EB30BA">
        <w:rPr>
          <w:rFonts w:ascii="Verdana" w:hAnsi="Verdana" w:cs="Arial"/>
          <w:noProof/>
          <w:sz w:val="20"/>
          <w:szCs w:val="20"/>
          <w:lang w:val="es-ES_tradnl"/>
        </w:rPr>
        <w:t xml:space="preserve">“La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w:t>
      </w:r>
      <w:r w:rsidRPr="00EB30BA">
        <w:rPr>
          <w:rFonts w:ascii="Verdana" w:hAnsi="Verdana" w:cs="Arial"/>
          <w:noProof/>
          <w:sz w:val="20"/>
          <w:szCs w:val="20"/>
          <w:lang w:val="es-ES_tradnl"/>
        </w:rPr>
        <w:lastRenderedPageBreak/>
        <w:t>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EB30BA">
        <w:rPr>
          <w:rStyle w:val="Refdenotaalpie"/>
          <w:rFonts w:ascii="Verdana" w:hAnsi="Verdana" w:cs="Arial"/>
          <w:noProof/>
          <w:sz w:val="20"/>
          <w:szCs w:val="20"/>
          <w:lang w:val="es-ES_tradnl"/>
        </w:rPr>
        <w:footnoteReference w:id="10"/>
      </w:r>
      <w:r w:rsidRPr="00EB30BA">
        <w:rPr>
          <w:rFonts w:ascii="Verdana" w:hAnsi="Verdana" w:cs="Arial"/>
          <w:noProof/>
          <w:sz w:val="20"/>
          <w:szCs w:val="20"/>
          <w:lang w:val="es-ES_tradnl"/>
        </w:rPr>
        <w:t>.</w:t>
      </w:r>
    </w:p>
    <w:p w14:paraId="58FD83B2" w14:textId="77777777" w:rsidR="008664D2" w:rsidRDefault="008664D2" w:rsidP="008664D2">
      <w:pPr>
        <w:spacing w:after="0" w:line="276" w:lineRule="auto"/>
        <w:ind w:firstLine="709"/>
        <w:jc w:val="both"/>
        <w:rPr>
          <w:rFonts w:ascii="Verdana" w:hAnsi="Verdana" w:cs="Arial"/>
          <w:noProof/>
          <w:lang w:val="es-ES_tradnl"/>
        </w:rPr>
      </w:pPr>
    </w:p>
    <w:p w14:paraId="10B21693" w14:textId="77777777" w:rsidR="008664D2" w:rsidRPr="008677DE" w:rsidRDefault="008664D2" w:rsidP="008664D2">
      <w:pPr>
        <w:spacing w:after="120" w:line="276" w:lineRule="auto"/>
        <w:ind w:firstLine="709"/>
        <w:jc w:val="both"/>
        <w:rPr>
          <w:rFonts w:ascii="Verdana" w:hAnsi="Verdana" w:cs="Arial"/>
          <w:noProof/>
          <w:lang w:val="es-ES_tradnl"/>
        </w:rPr>
      </w:pPr>
      <w:r w:rsidRPr="008677DE">
        <w:rPr>
          <w:rFonts w:ascii="Verdana" w:hAnsi="Verdana" w:cs="Arial"/>
          <w:noProof/>
          <w:lang w:val="es-ES_tradnl"/>
        </w:rPr>
        <w:t>v) Se celebran a través de la modalidad de contratación directa, independientemente de la cuantía y del tipo de servicio profesional, siempre que su objeto no sea la consultoría. Esto por cuanto, como lo indicó el Consejo de Estado en otra sentencia de unificación jurisprudencial del año 2013, si bien en ambos existe un componente intelectual y profesional, el objeto del contrato de consultoría es especial y debe celebrarse, por regla general, mediante un concurso de méritos</w:t>
      </w:r>
      <w:r w:rsidRPr="008677DE">
        <w:rPr>
          <w:rStyle w:val="Refdenotaalpie"/>
          <w:rFonts w:ascii="Verdana" w:hAnsi="Verdana" w:cs="Arial"/>
          <w:noProof/>
          <w:lang w:val="es-ES_tradnl"/>
        </w:rPr>
        <w:footnoteReference w:id="11"/>
      </w:r>
      <w:r w:rsidRPr="008677DE">
        <w:rPr>
          <w:rFonts w:ascii="Verdana" w:hAnsi="Verdana" w:cs="Arial"/>
          <w:noProof/>
          <w:lang w:val="es-ES_tradnl"/>
        </w:rPr>
        <w:t>. Esto también se deriva d</w:t>
      </w:r>
      <w:r w:rsidRPr="008677DE">
        <w:rPr>
          <w:rFonts w:ascii="Verdana" w:eastAsia="Calibri" w:hAnsi="Verdana" w:cs="Arial"/>
          <w:color w:val="000000" w:themeColor="text1"/>
          <w:lang w:val="es-ES_tradnl"/>
        </w:rPr>
        <w:t xml:space="preserve">el artículo 2, numeral 4º, literal h) de la Ley 1150 de 2007, al señalar que procede la contratación directa para la prestación de servicios profesionales y de apoyo a la gestión, o para la ejecución de trabajos artísticos que solo pueden encomendarse a determinadas personas. </w:t>
      </w:r>
      <w:r w:rsidRPr="008677DE">
        <w:rPr>
          <w:rFonts w:ascii="Verdana" w:hAnsi="Verdana" w:cs="Arial"/>
          <w:noProof/>
          <w:lang w:val="es-ES_tradnl"/>
        </w:rPr>
        <w:t>Debe aclararse que no debe suscribirse un contrato de prestación de servicios profesionales para ejecutar actividades que se enmarcan en los otros contratos tipificados en el artículo 32 de la Ley 80 de 1993, como, por ejemplo, la construcción de una obra.</w:t>
      </w:r>
    </w:p>
    <w:p w14:paraId="1B18CB8A" w14:textId="77777777" w:rsidR="008664D2" w:rsidRPr="008677DE" w:rsidRDefault="008664D2" w:rsidP="008664D2">
      <w:pPr>
        <w:spacing w:after="120" w:line="276" w:lineRule="auto"/>
        <w:ind w:firstLine="709"/>
        <w:jc w:val="both"/>
        <w:rPr>
          <w:rFonts w:ascii="Verdana" w:hAnsi="Verdana" w:cs="Arial"/>
          <w:noProof/>
          <w:lang w:val="es-ES_tradnl"/>
        </w:rPr>
      </w:pPr>
      <w:r w:rsidRPr="008677DE">
        <w:rPr>
          <w:rFonts w:ascii="Verdana" w:hAnsi="Verdana" w:cs="Arial"/>
          <w:noProof/>
          <w:lang w:val="es-ES_tradnl"/>
        </w:rPr>
        <w:t>vi) Para su celebración no se requiere expedir un acto administrativo de justificación de la contratación directa</w:t>
      </w:r>
      <w:r w:rsidRPr="008677DE">
        <w:rPr>
          <w:rStyle w:val="Refdenotaalpie"/>
          <w:rFonts w:ascii="Verdana" w:hAnsi="Verdana" w:cs="Arial"/>
          <w:noProof/>
          <w:lang w:val="es-ES_tradnl"/>
        </w:rPr>
        <w:footnoteReference w:id="12"/>
      </w:r>
      <w:r w:rsidRPr="008677DE">
        <w:rPr>
          <w:rFonts w:ascii="Verdana" w:hAnsi="Verdana" w:cs="Arial"/>
          <w:noProof/>
          <w:lang w:val="es-ES_tradnl"/>
        </w:rPr>
        <w:t>.</w:t>
      </w:r>
    </w:p>
    <w:p w14:paraId="21452136" w14:textId="77777777" w:rsidR="008664D2" w:rsidRPr="008677DE" w:rsidRDefault="008664D2" w:rsidP="008664D2">
      <w:pPr>
        <w:spacing w:before="120" w:line="276" w:lineRule="auto"/>
        <w:ind w:firstLine="709"/>
        <w:jc w:val="both"/>
        <w:rPr>
          <w:rFonts w:ascii="Verdana" w:hAnsi="Verdana" w:cs="Arial"/>
          <w:noProof/>
          <w:lang w:val="es-ES_tradnl"/>
        </w:rPr>
      </w:pPr>
      <w:r w:rsidRPr="008677DE">
        <w:rPr>
          <w:rFonts w:ascii="Verdana" w:hAnsi="Verdana" w:cs="Arial"/>
          <w:noProof/>
          <w:lang w:val="es-ES_tradnl"/>
        </w:rPr>
        <w:lastRenderedPageBreak/>
        <w:t>vii) 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8677DE">
        <w:rPr>
          <w:rStyle w:val="Refdenotaalpie"/>
          <w:rFonts w:ascii="Verdana" w:hAnsi="Verdana" w:cs="Arial"/>
          <w:noProof/>
          <w:lang w:val="es-ES_tradnl"/>
        </w:rPr>
        <w:footnoteReference w:id="13"/>
      </w:r>
      <w:r w:rsidRPr="008677DE">
        <w:rPr>
          <w:rFonts w:ascii="Verdana" w:hAnsi="Verdana" w:cs="Arial"/>
          <w:noProof/>
          <w:lang w:val="es-ES_tradnl"/>
        </w:rPr>
        <w:t>.</w:t>
      </w:r>
    </w:p>
    <w:p w14:paraId="7417D14E" w14:textId="77777777" w:rsidR="008664D2" w:rsidRPr="008677DE" w:rsidRDefault="008664D2" w:rsidP="008664D2">
      <w:pPr>
        <w:spacing w:before="120" w:line="276" w:lineRule="auto"/>
        <w:ind w:firstLine="709"/>
        <w:jc w:val="both"/>
        <w:rPr>
          <w:rFonts w:ascii="Verdana" w:hAnsi="Verdana" w:cs="Arial"/>
          <w:noProof/>
          <w:lang w:val="es-ES_tradnl"/>
        </w:rPr>
      </w:pPr>
      <w:r w:rsidRPr="008677DE">
        <w:rPr>
          <w:rFonts w:ascii="Verdana" w:hAnsi="Verdana" w:cs="Arial"/>
          <w:noProof/>
          <w:lang w:val="es-ES_tradnl"/>
        </w:rPr>
        <w:t>viii) No es obligatoria la liquidación de estos contratos, como lo establece el artículo 217 del Decreto 019 de 2012, que modificó el artículo 60 de la Ley 80 de 1993</w:t>
      </w:r>
      <w:r w:rsidRPr="008677DE">
        <w:rPr>
          <w:rStyle w:val="Refdenotaalpie"/>
          <w:rFonts w:ascii="Verdana" w:hAnsi="Verdana" w:cs="Arial"/>
          <w:noProof/>
          <w:lang w:val="es-ES_tradnl"/>
        </w:rPr>
        <w:footnoteReference w:id="14"/>
      </w:r>
      <w:r w:rsidRPr="008677DE">
        <w:rPr>
          <w:rFonts w:ascii="Verdana" w:hAnsi="Verdana" w:cs="Arial"/>
          <w:noProof/>
          <w:lang w:val="es-ES_tradnl"/>
        </w:rPr>
        <w:t>.</w:t>
      </w:r>
    </w:p>
    <w:p w14:paraId="50C5A27C" w14:textId="77777777" w:rsidR="008664D2" w:rsidRPr="008677DE" w:rsidRDefault="008664D2" w:rsidP="008664D2">
      <w:pPr>
        <w:spacing w:before="120" w:line="276" w:lineRule="auto"/>
        <w:ind w:firstLine="709"/>
        <w:jc w:val="both"/>
        <w:rPr>
          <w:rFonts w:ascii="Verdana" w:hAnsi="Verdana" w:cs="Arial"/>
          <w:noProof/>
          <w:lang w:val="es-ES_tradnl"/>
        </w:rPr>
      </w:pPr>
      <w:r w:rsidRPr="008677DE">
        <w:rPr>
          <w:rFonts w:ascii="Verdana" w:hAnsi="Verdana" w:cs="Arial"/>
          <w:noProof/>
          <w:lang w:val="es-ES_tradnl"/>
        </w:rPr>
        <w:t>ix) Para su celebración el contratista no requiere estar inscrito en el Registro Único de Proponentes –RUP–, como lo señala el artículo 6 de la Ley 1150 de 2007</w:t>
      </w:r>
      <w:r w:rsidRPr="008677DE">
        <w:rPr>
          <w:rStyle w:val="Refdenotaalpie"/>
          <w:rFonts w:ascii="Verdana" w:hAnsi="Verdana" w:cs="Arial"/>
          <w:noProof/>
          <w:lang w:val="es-ES_tradnl"/>
        </w:rPr>
        <w:footnoteReference w:id="15"/>
      </w:r>
      <w:r w:rsidRPr="008677DE">
        <w:rPr>
          <w:rFonts w:ascii="Verdana" w:hAnsi="Verdana" w:cs="Arial"/>
          <w:noProof/>
          <w:lang w:val="es-ES_tradnl"/>
        </w:rPr>
        <w:t>.</w:t>
      </w:r>
    </w:p>
    <w:p w14:paraId="48F74058" w14:textId="77777777" w:rsidR="008664D2" w:rsidRPr="008677DE" w:rsidRDefault="008664D2" w:rsidP="008664D2">
      <w:pPr>
        <w:spacing w:before="120" w:line="276" w:lineRule="auto"/>
        <w:ind w:firstLine="708"/>
        <w:jc w:val="both"/>
        <w:rPr>
          <w:rFonts w:ascii="Verdana" w:hAnsi="Verdana" w:cs="Arial"/>
          <w:noProof/>
          <w:lang w:val="es-ES_tradnl"/>
        </w:rPr>
      </w:pPr>
      <w:r w:rsidRPr="008677DE">
        <w:rPr>
          <w:rFonts w:ascii="Verdana" w:hAnsi="Verdana" w:cs="Arial"/>
          <w:noProof/>
          <w:lang w:val="es-ES_tradnl"/>
        </w:rPr>
        <w:lastRenderedPageBreak/>
        <w:t>x) No es obligatoria la exigencia de garantías</w:t>
      </w:r>
      <w:r w:rsidRPr="008677DE">
        <w:rPr>
          <w:rStyle w:val="Refdenotaalpie"/>
          <w:rFonts w:ascii="Verdana" w:hAnsi="Verdana" w:cs="Arial"/>
          <w:noProof/>
          <w:lang w:val="es-ES_tradnl"/>
        </w:rPr>
        <w:footnoteReference w:id="16"/>
      </w:r>
      <w:r w:rsidRPr="008677DE">
        <w:rPr>
          <w:rFonts w:ascii="Verdana" w:hAnsi="Verdana" w:cs="Arial"/>
          <w:noProof/>
          <w:lang w:val="es-ES_tradnl"/>
        </w:rPr>
        <w:t>.</w:t>
      </w:r>
    </w:p>
    <w:p w14:paraId="506C4CE1" w14:textId="77777777" w:rsidR="008664D2" w:rsidRPr="008677DE" w:rsidRDefault="008664D2" w:rsidP="008664D2">
      <w:pPr>
        <w:spacing w:before="120" w:line="276" w:lineRule="auto"/>
        <w:ind w:firstLine="708"/>
        <w:jc w:val="both"/>
        <w:rPr>
          <w:rFonts w:ascii="Verdana" w:hAnsi="Verdana" w:cs="Arial"/>
          <w:noProof/>
          <w:lang w:val="es-ES"/>
        </w:rPr>
      </w:pPr>
      <w:r w:rsidRPr="008677DE">
        <w:rPr>
          <w:rFonts w:ascii="Verdana" w:hAnsi="Verdana" w:cs="Arial"/>
          <w:noProof/>
          <w:lang w:val="es-ES_tradnl"/>
        </w:rPr>
        <w:t>xi) Como los demás contratos estatales, se trata de un contrato solemne que debe constar por escrito y debe ser publicado en el SECOP.</w:t>
      </w:r>
    </w:p>
    <w:p w14:paraId="65CE3691" w14:textId="77777777" w:rsidR="008664D2" w:rsidRPr="008677DE" w:rsidRDefault="008664D2" w:rsidP="008664D2">
      <w:pPr>
        <w:tabs>
          <w:tab w:val="left" w:pos="0"/>
        </w:tabs>
        <w:spacing w:before="120" w:after="0" w:line="276" w:lineRule="auto"/>
        <w:ind w:firstLine="709"/>
        <w:jc w:val="both"/>
        <w:rPr>
          <w:rFonts w:ascii="Verdana" w:hAnsi="Verdana" w:cs="Arial"/>
          <w:color w:val="000000" w:themeColor="text1"/>
        </w:rPr>
      </w:pPr>
      <w:proofErr w:type="spellStart"/>
      <w:r w:rsidRPr="008677DE">
        <w:rPr>
          <w:rFonts w:ascii="Verdana" w:hAnsi="Verdana" w:cs="Arial"/>
          <w:color w:val="000000" w:themeColor="text1"/>
          <w:lang w:val="es-ES"/>
        </w:rPr>
        <w:t>xii</w:t>
      </w:r>
      <w:proofErr w:type="spellEnd"/>
      <w:r w:rsidRPr="008677DE">
        <w:rPr>
          <w:rFonts w:ascii="Verdana" w:hAnsi="Verdana" w:cs="Arial"/>
          <w:color w:val="000000" w:themeColor="text1"/>
          <w:lang w:val="es-ES"/>
        </w:rPr>
        <w:t>) C</w:t>
      </w:r>
      <w:proofErr w:type="spellStart"/>
      <w:r w:rsidRPr="008677DE">
        <w:rPr>
          <w:rFonts w:ascii="Verdana" w:hAnsi="Verdana" w:cs="Arial"/>
          <w:color w:val="000000" w:themeColor="text1"/>
        </w:rPr>
        <w:t>omo</w:t>
      </w:r>
      <w:proofErr w:type="spellEnd"/>
      <w:r w:rsidRPr="008677DE">
        <w:rPr>
          <w:rFonts w:ascii="Verdana" w:hAnsi="Verdana" w:cs="Arial"/>
          <w:color w:val="000000" w:themeColor="text1"/>
        </w:rPr>
        <w:t xml:space="preserve"> especies del género </w:t>
      </w:r>
      <w:r w:rsidRPr="008677DE">
        <w:rPr>
          <w:rFonts w:ascii="Verdana" w:hAnsi="Verdana" w:cs="Arial"/>
          <w:i/>
          <w:color w:val="000000" w:themeColor="text1"/>
        </w:rPr>
        <w:t>prestación de servicios,</w:t>
      </w:r>
      <w:r w:rsidRPr="008677DE">
        <w:rPr>
          <w:rFonts w:ascii="Verdana" w:hAnsi="Verdana" w:cs="Arial"/>
          <w:color w:val="000000" w:themeColor="text1"/>
        </w:rPr>
        <w:t xml:space="preserve"> se incluyen </w:t>
      </w:r>
      <w:r w:rsidRPr="008677DE">
        <w:rPr>
          <w:rFonts w:ascii="Verdana" w:hAnsi="Verdana" w:cs="Arial"/>
          <w:color w:val="000000" w:themeColor="text1"/>
          <w:lang w:val="es-ES_tradnl"/>
        </w:rPr>
        <w:t xml:space="preserve">los </w:t>
      </w:r>
      <w:r w:rsidRPr="008677DE">
        <w:rPr>
          <w:rFonts w:ascii="Verdana" w:hAnsi="Verdana" w:cs="Arial"/>
          <w:i/>
          <w:iCs/>
          <w:color w:val="000000" w:themeColor="text1"/>
          <w:lang w:val="es-ES_tradnl"/>
        </w:rPr>
        <w:t>contratos de prestación de servicios profesionales, los contratos de prestación de servicios de apoyo a la gestión</w:t>
      </w:r>
      <w:r w:rsidRPr="008677DE">
        <w:rPr>
          <w:rFonts w:ascii="Verdana" w:hAnsi="Verdana" w:cs="Arial"/>
          <w:color w:val="000000" w:themeColor="text1"/>
          <w:lang w:val="es-ES_tradnl"/>
        </w:rPr>
        <w:t xml:space="preserve"> y los </w:t>
      </w:r>
      <w:r w:rsidRPr="008677DE">
        <w:rPr>
          <w:rFonts w:ascii="Verdana" w:hAnsi="Verdana" w:cs="Arial"/>
          <w:i/>
          <w:iCs/>
          <w:color w:val="000000" w:themeColor="text1"/>
          <w:lang w:val="es-ES_tradnl"/>
        </w:rPr>
        <w:t>contratos de prestación de servicios artísticos que solo pueden encomendarse a determinadas personas naturales</w:t>
      </w:r>
      <w:r w:rsidRPr="008677DE">
        <w:rPr>
          <w:rFonts w:ascii="Verdana" w:hAnsi="Verdana" w:cs="Arial"/>
          <w:color w:val="000000" w:themeColor="text1"/>
          <w:vertAlign w:val="superscript"/>
          <w:lang w:val="es-ES_tradnl"/>
        </w:rPr>
        <w:footnoteReference w:id="17"/>
      </w:r>
      <w:r w:rsidRPr="008677DE">
        <w:rPr>
          <w:rFonts w:ascii="Verdana" w:hAnsi="Verdana" w:cs="Arial"/>
          <w:color w:val="000000" w:themeColor="text1"/>
        </w:rPr>
        <w:t xml:space="preserve">. </w:t>
      </w:r>
      <w:r w:rsidRPr="008677DE">
        <w:rPr>
          <w:rFonts w:ascii="Verdana" w:hAnsi="Verdana" w:cs="Arial"/>
          <w:color w:val="000000" w:themeColor="text1"/>
          <w:lang w:val="es-ES_tradnl"/>
        </w:rPr>
        <w:t xml:space="preserve">La diferencia entre el contrato de prestación de servicios </w:t>
      </w:r>
      <w:r w:rsidRPr="008677DE">
        <w:rPr>
          <w:rFonts w:ascii="Verdana" w:hAnsi="Verdana" w:cs="Arial"/>
          <w:i/>
          <w:color w:val="000000" w:themeColor="text1"/>
          <w:lang w:val="es-ES_tradnl"/>
        </w:rPr>
        <w:t>profesionales</w:t>
      </w:r>
      <w:r w:rsidRPr="008677DE">
        <w:rPr>
          <w:rFonts w:ascii="Verdana" w:hAnsi="Verdana" w:cs="Arial"/>
          <w:color w:val="000000" w:themeColor="text1"/>
          <w:lang w:val="es-ES_tradnl"/>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explicar que:</w:t>
      </w:r>
    </w:p>
    <w:p w14:paraId="331048EB" w14:textId="77777777" w:rsidR="008664D2" w:rsidRPr="00EB30BA" w:rsidRDefault="008664D2" w:rsidP="008664D2">
      <w:pPr>
        <w:spacing w:after="0" w:line="240" w:lineRule="auto"/>
        <w:ind w:left="709" w:right="709"/>
        <w:jc w:val="both"/>
        <w:rPr>
          <w:rFonts w:ascii="Verdana" w:hAnsi="Verdana" w:cs="Arial"/>
          <w:color w:val="000000" w:themeColor="text1"/>
          <w:sz w:val="20"/>
          <w:szCs w:val="20"/>
          <w:lang w:val="es-ES_tradnl"/>
        </w:rPr>
      </w:pPr>
      <w:r w:rsidRPr="00EB30BA">
        <w:rPr>
          <w:rFonts w:ascii="Verdana" w:hAnsi="Verdana" w:cs="Arial"/>
          <w:color w:val="000000" w:themeColor="text1"/>
          <w:sz w:val="20"/>
          <w:szCs w:val="20"/>
          <w:lang w:val="es-ES_tradnl"/>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EB30BA">
        <w:rPr>
          <w:rStyle w:val="Refdenotaalpie"/>
          <w:rFonts w:ascii="Verdana" w:hAnsi="Verdana" w:cs="Arial"/>
          <w:color w:val="000000" w:themeColor="text1"/>
          <w:sz w:val="20"/>
          <w:szCs w:val="20"/>
          <w:lang w:val="es-ES_tradnl"/>
        </w:rPr>
        <w:footnoteReference w:id="18"/>
      </w:r>
      <w:r w:rsidRPr="00EB30BA">
        <w:rPr>
          <w:rFonts w:ascii="Verdana" w:hAnsi="Verdana" w:cs="Arial"/>
          <w:color w:val="000000" w:themeColor="text1"/>
          <w:sz w:val="20"/>
          <w:szCs w:val="20"/>
          <w:lang w:val="es-ES_tradnl"/>
        </w:rPr>
        <w:t>.</w:t>
      </w:r>
    </w:p>
    <w:p w14:paraId="12CA3CF6" w14:textId="77777777" w:rsidR="008664D2" w:rsidRDefault="008664D2" w:rsidP="008664D2">
      <w:pPr>
        <w:spacing w:after="0" w:line="276" w:lineRule="auto"/>
        <w:ind w:firstLine="709"/>
        <w:jc w:val="both"/>
        <w:rPr>
          <w:rFonts w:ascii="Verdana" w:hAnsi="Verdana" w:cs="Arial"/>
          <w:color w:val="000000" w:themeColor="text1"/>
          <w:lang w:val="es-ES_tradnl"/>
        </w:rPr>
      </w:pPr>
    </w:p>
    <w:p w14:paraId="739157D2" w14:textId="77777777" w:rsidR="008664D2" w:rsidRDefault="008664D2" w:rsidP="008664D2">
      <w:pPr>
        <w:spacing w:after="0" w:line="276" w:lineRule="auto"/>
        <w:ind w:firstLine="709"/>
        <w:jc w:val="both"/>
        <w:rPr>
          <w:rFonts w:ascii="Verdana" w:hAnsi="Verdana" w:cs="Arial"/>
          <w:color w:val="000000" w:themeColor="text1"/>
          <w:lang w:val="es-ES_tradnl"/>
        </w:rPr>
      </w:pPr>
      <w:r w:rsidRPr="008677DE">
        <w:rPr>
          <w:rFonts w:ascii="Verdana" w:hAnsi="Verdana" w:cs="Arial"/>
          <w:color w:val="000000" w:themeColor="text1"/>
          <w:lang w:val="es-ES_tradnl"/>
        </w:rPr>
        <w:lastRenderedPageBreak/>
        <w:t xml:space="preserve">Lo expuesto, según la jurisprudencia citada, se diferencia del objeto del </w:t>
      </w:r>
      <w:r w:rsidRPr="008677DE">
        <w:rPr>
          <w:rFonts w:ascii="Verdana" w:hAnsi="Verdana" w:cs="Arial"/>
          <w:i/>
          <w:iCs/>
          <w:color w:val="000000" w:themeColor="text1"/>
          <w:lang w:val="es-ES_tradnl"/>
        </w:rPr>
        <w:t>contrato de prestación de servicios de apoyo a la gestión</w:t>
      </w:r>
      <w:r w:rsidRPr="008677DE">
        <w:rPr>
          <w:rFonts w:ascii="Verdana" w:hAnsi="Verdana" w:cs="Arial"/>
          <w:color w:val="000000" w:themeColor="text1"/>
          <w:lang w:val="es-ES_tradnl"/>
        </w:rPr>
        <w:t>, en los siguientes aspectos:</w:t>
      </w:r>
    </w:p>
    <w:p w14:paraId="29E304CF" w14:textId="77777777" w:rsidR="008664D2" w:rsidRPr="008677DE" w:rsidRDefault="008664D2" w:rsidP="008664D2">
      <w:pPr>
        <w:spacing w:after="0" w:line="276" w:lineRule="auto"/>
        <w:ind w:firstLine="709"/>
        <w:jc w:val="both"/>
        <w:rPr>
          <w:rFonts w:ascii="Verdana" w:hAnsi="Verdana" w:cs="Arial"/>
          <w:color w:val="000000" w:themeColor="text1"/>
          <w:lang w:val="es-ES_tradnl"/>
        </w:rPr>
      </w:pPr>
    </w:p>
    <w:p w14:paraId="053C33DF" w14:textId="77777777" w:rsidR="008664D2" w:rsidRDefault="008664D2" w:rsidP="008664D2">
      <w:pPr>
        <w:spacing w:after="0" w:line="240" w:lineRule="auto"/>
        <w:ind w:left="709" w:right="709"/>
        <w:jc w:val="both"/>
        <w:rPr>
          <w:rFonts w:ascii="Verdana" w:hAnsi="Verdana" w:cs="Arial"/>
          <w:color w:val="000000" w:themeColor="text1"/>
          <w:sz w:val="20"/>
          <w:szCs w:val="20"/>
          <w:lang w:val="es-ES_tradnl"/>
        </w:rPr>
      </w:pPr>
      <w:r w:rsidRPr="00EB30BA">
        <w:rPr>
          <w:rFonts w:ascii="Verdana" w:hAnsi="Verdana" w:cs="Arial"/>
          <w:color w:val="000000" w:themeColor="text1"/>
          <w:sz w:val="20"/>
          <w:szCs w:val="20"/>
          <w:lang w:val="es-ES_tradnl"/>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719EAE1A" w14:textId="77777777" w:rsidR="008664D2" w:rsidRPr="00EB30BA" w:rsidRDefault="008664D2" w:rsidP="008664D2">
      <w:pPr>
        <w:spacing w:after="0" w:line="240" w:lineRule="auto"/>
        <w:ind w:left="709" w:right="709"/>
        <w:jc w:val="both"/>
        <w:rPr>
          <w:rFonts w:ascii="Verdana" w:hAnsi="Verdana" w:cs="Arial"/>
          <w:color w:val="000000" w:themeColor="text1"/>
          <w:sz w:val="20"/>
          <w:szCs w:val="20"/>
          <w:lang w:val="es-ES_tradnl"/>
        </w:rPr>
      </w:pPr>
    </w:p>
    <w:p w14:paraId="6F8A0F35" w14:textId="77777777" w:rsidR="008664D2" w:rsidRPr="00EB30BA" w:rsidRDefault="008664D2" w:rsidP="008664D2">
      <w:pPr>
        <w:spacing w:after="0" w:line="240" w:lineRule="auto"/>
        <w:ind w:left="709" w:right="709"/>
        <w:jc w:val="both"/>
        <w:rPr>
          <w:rFonts w:ascii="Verdana" w:hAnsi="Verdana" w:cs="Arial"/>
          <w:color w:val="000000" w:themeColor="text1"/>
          <w:sz w:val="20"/>
          <w:szCs w:val="20"/>
          <w:lang w:val="es-ES"/>
        </w:rPr>
      </w:pPr>
      <w:r w:rsidRPr="00EB30BA">
        <w:rPr>
          <w:rFonts w:ascii="Verdana" w:hAnsi="Verdana" w:cs="Arial"/>
          <w:color w:val="000000" w:themeColor="text1"/>
          <w:sz w:val="20"/>
          <w:szCs w:val="20"/>
          <w:lang w:val="es-ES"/>
        </w:rPr>
        <w:t xml:space="preserve">Aunque también se caracteriza por el desempeño de actividad intelectiva, ésta </w:t>
      </w:r>
      <w:proofErr w:type="gramStart"/>
      <w:r w:rsidRPr="00EB30BA">
        <w:rPr>
          <w:rFonts w:ascii="Verdana" w:hAnsi="Verdana" w:cs="Arial"/>
          <w:color w:val="000000" w:themeColor="text1"/>
          <w:sz w:val="20"/>
          <w:szCs w:val="20"/>
          <w:lang w:val="es-ES"/>
        </w:rPr>
        <w:t>se enmarca dentro de</w:t>
      </w:r>
      <w:proofErr w:type="gramEnd"/>
      <w:r w:rsidRPr="00EB30BA">
        <w:rPr>
          <w:rFonts w:ascii="Verdana" w:hAnsi="Verdana" w:cs="Arial"/>
          <w:color w:val="000000" w:themeColor="text1"/>
          <w:sz w:val="20"/>
          <w:szCs w:val="20"/>
          <w:lang w:val="es-ES"/>
        </w:rPr>
        <w:t xml:space="preserve"> un saber propiamente técnico; igualmente involucra actividades en donde prima el esfuerzo físico o mecánico, en donde no se requiere de personal profesional.</w:t>
      </w:r>
    </w:p>
    <w:p w14:paraId="1E765686" w14:textId="77777777" w:rsidR="008664D2" w:rsidRDefault="008664D2" w:rsidP="008664D2">
      <w:pPr>
        <w:spacing w:after="0" w:line="240" w:lineRule="auto"/>
        <w:ind w:left="709" w:right="709"/>
        <w:jc w:val="both"/>
        <w:rPr>
          <w:rFonts w:ascii="Verdana" w:hAnsi="Verdana" w:cs="Arial"/>
          <w:color w:val="000000" w:themeColor="text1"/>
          <w:sz w:val="20"/>
          <w:szCs w:val="20"/>
          <w:lang w:val="es-ES_tradnl"/>
        </w:rPr>
      </w:pPr>
    </w:p>
    <w:p w14:paraId="3CE2064E" w14:textId="77777777" w:rsidR="008664D2" w:rsidRPr="00EB30BA" w:rsidRDefault="008664D2" w:rsidP="008664D2">
      <w:pPr>
        <w:spacing w:after="0" w:line="240" w:lineRule="auto"/>
        <w:ind w:left="709" w:right="709"/>
        <w:jc w:val="both"/>
        <w:rPr>
          <w:rFonts w:ascii="Verdana" w:hAnsi="Verdana" w:cs="Arial"/>
          <w:color w:val="000000" w:themeColor="text1"/>
          <w:sz w:val="20"/>
          <w:szCs w:val="20"/>
          <w:lang w:val="es-ES_tradnl"/>
        </w:rPr>
      </w:pPr>
      <w:r w:rsidRPr="00EB30BA">
        <w:rPr>
          <w:rFonts w:ascii="Verdana" w:hAnsi="Verdana" w:cs="Arial"/>
          <w:color w:val="000000" w:themeColor="text1"/>
          <w:sz w:val="20"/>
          <w:szCs w:val="20"/>
          <w:lang w:val="es-ES_tradnl"/>
        </w:rPr>
        <w:t>Dentro de su objeto contractual pueden tener lugar actividades operativas, logísticas o asistenciales, siempre que satisfaga los requisitos antes mencionados y sea acorde con las necesidades de la Administración y el principio de planeación”</w:t>
      </w:r>
      <w:r w:rsidRPr="00EB30BA">
        <w:rPr>
          <w:rStyle w:val="Refdenotaalpie"/>
          <w:rFonts w:ascii="Verdana" w:hAnsi="Verdana" w:cs="Arial"/>
          <w:color w:val="000000" w:themeColor="text1"/>
          <w:sz w:val="20"/>
          <w:szCs w:val="20"/>
          <w:lang w:val="es-ES_tradnl"/>
        </w:rPr>
        <w:footnoteReference w:id="19"/>
      </w:r>
      <w:r w:rsidRPr="00EB30BA">
        <w:rPr>
          <w:rFonts w:ascii="Verdana" w:hAnsi="Verdana" w:cs="Arial"/>
          <w:color w:val="000000" w:themeColor="text1"/>
          <w:sz w:val="20"/>
          <w:szCs w:val="20"/>
          <w:lang w:val="es-ES_tradnl"/>
        </w:rPr>
        <w:t>.</w:t>
      </w:r>
    </w:p>
    <w:p w14:paraId="4618BDF2" w14:textId="77777777" w:rsidR="008664D2" w:rsidRDefault="008664D2" w:rsidP="008664D2">
      <w:pPr>
        <w:spacing w:after="0" w:line="276" w:lineRule="auto"/>
        <w:ind w:firstLine="709"/>
        <w:jc w:val="both"/>
        <w:rPr>
          <w:rFonts w:ascii="Verdana" w:hAnsi="Verdana" w:cs="Arial"/>
          <w:color w:val="000000" w:themeColor="text1"/>
          <w:lang w:val="es-ES_tradnl"/>
        </w:rPr>
      </w:pPr>
    </w:p>
    <w:p w14:paraId="3E3BBE10" w14:textId="77777777" w:rsidR="008664D2" w:rsidRDefault="008664D2" w:rsidP="008664D2">
      <w:pPr>
        <w:spacing w:after="0" w:line="276" w:lineRule="auto"/>
        <w:ind w:firstLine="709"/>
        <w:jc w:val="both"/>
        <w:rPr>
          <w:rFonts w:ascii="Verdana" w:hAnsi="Verdana" w:cs="Arial"/>
          <w:color w:val="000000" w:themeColor="text1"/>
          <w:lang w:val="es-ES_tradnl"/>
        </w:rPr>
      </w:pPr>
      <w:r w:rsidRPr="008677DE">
        <w:rPr>
          <w:rFonts w:ascii="Verdana" w:hAnsi="Verdana" w:cs="Arial"/>
          <w:color w:val="000000" w:themeColor="text1"/>
          <w:lang w:val="es-ES_tradnl"/>
        </w:rPr>
        <w:t xml:space="preserve">En relación con el </w:t>
      </w:r>
      <w:r w:rsidRPr="008677DE">
        <w:rPr>
          <w:rFonts w:ascii="Verdana" w:hAnsi="Verdana" w:cs="Arial"/>
          <w:i/>
          <w:iCs/>
          <w:color w:val="000000" w:themeColor="text1"/>
          <w:lang w:val="es-ES_tradnl"/>
        </w:rPr>
        <w:t>contrato de prestación de servicios artísticos que solo pueden encomendarse a determinadas personas naturales</w:t>
      </w:r>
      <w:r w:rsidRPr="008677DE">
        <w:rPr>
          <w:rFonts w:ascii="Verdana" w:hAnsi="Verdana" w:cs="Arial"/>
          <w:color w:val="000000" w:themeColor="text1"/>
          <w:lang w:val="es-ES_tradnl"/>
        </w:rPr>
        <w:t>, señala la mencionada decisión judicial lo siguiente:</w:t>
      </w:r>
    </w:p>
    <w:p w14:paraId="14F73ACA" w14:textId="77777777" w:rsidR="008664D2" w:rsidRPr="008677DE" w:rsidRDefault="008664D2" w:rsidP="008664D2">
      <w:pPr>
        <w:spacing w:after="0" w:line="276" w:lineRule="auto"/>
        <w:ind w:firstLine="709"/>
        <w:jc w:val="both"/>
        <w:rPr>
          <w:rFonts w:ascii="Verdana" w:hAnsi="Verdana" w:cs="Arial"/>
          <w:color w:val="000000" w:themeColor="text1"/>
          <w:lang w:val="es-ES_tradnl"/>
        </w:rPr>
      </w:pPr>
    </w:p>
    <w:p w14:paraId="6B971C17" w14:textId="77777777" w:rsidR="008664D2" w:rsidRPr="00EB30BA" w:rsidRDefault="008664D2" w:rsidP="008664D2">
      <w:pPr>
        <w:spacing w:after="0" w:line="240" w:lineRule="auto"/>
        <w:ind w:left="709" w:right="709"/>
        <w:jc w:val="both"/>
        <w:rPr>
          <w:rFonts w:ascii="Verdana" w:hAnsi="Verdana" w:cs="Arial"/>
          <w:color w:val="000000" w:themeColor="text1"/>
          <w:sz w:val="20"/>
          <w:szCs w:val="20"/>
          <w:lang w:val="es-ES_tradnl"/>
        </w:rPr>
      </w:pPr>
      <w:r>
        <w:rPr>
          <w:rFonts w:ascii="Verdana" w:hAnsi="Verdana" w:cs="Arial"/>
          <w:color w:val="000000" w:themeColor="text1"/>
          <w:sz w:val="20"/>
          <w:szCs w:val="20"/>
          <w:lang w:val="es-ES_tradnl"/>
        </w:rPr>
        <w:t>“</w:t>
      </w:r>
      <w:r w:rsidRPr="00EB30BA">
        <w:rPr>
          <w:rFonts w:ascii="Verdana" w:hAnsi="Verdana" w:cs="Arial"/>
          <w:color w:val="000000" w:themeColor="text1"/>
          <w:sz w:val="20"/>
          <w:szCs w:val="20"/>
          <w:lang w:val="es-ES_tradnl"/>
        </w:rPr>
        <w:t>Tienen lugar dentro de esta categoría los contratos de prestación de 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Pr>
          <w:rFonts w:ascii="Verdana" w:hAnsi="Verdana" w:cs="Arial"/>
          <w:color w:val="000000" w:themeColor="text1"/>
          <w:sz w:val="20"/>
          <w:szCs w:val="20"/>
          <w:lang w:val="es-ES_tradnl"/>
        </w:rPr>
        <w:t>”</w:t>
      </w:r>
      <w:r w:rsidRPr="00EB30BA">
        <w:rPr>
          <w:rStyle w:val="Refdenotaalpie"/>
          <w:rFonts w:ascii="Verdana" w:hAnsi="Verdana" w:cs="Arial"/>
          <w:color w:val="000000" w:themeColor="text1"/>
          <w:sz w:val="20"/>
          <w:szCs w:val="20"/>
          <w:lang w:val="es-ES_tradnl"/>
        </w:rPr>
        <w:footnoteReference w:id="20"/>
      </w:r>
      <w:r w:rsidRPr="00EB30BA">
        <w:rPr>
          <w:rFonts w:ascii="Verdana" w:hAnsi="Verdana" w:cs="Arial"/>
          <w:color w:val="000000" w:themeColor="text1"/>
          <w:sz w:val="20"/>
          <w:szCs w:val="20"/>
          <w:lang w:val="es-ES_tradnl"/>
        </w:rPr>
        <w:t>.</w:t>
      </w:r>
    </w:p>
    <w:p w14:paraId="1F1D8DDA" w14:textId="77777777" w:rsidR="008664D2" w:rsidRDefault="008664D2" w:rsidP="008664D2">
      <w:pPr>
        <w:spacing w:after="0" w:line="276" w:lineRule="auto"/>
        <w:ind w:firstLine="709"/>
        <w:jc w:val="both"/>
        <w:rPr>
          <w:rFonts w:ascii="Verdana" w:hAnsi="Verdana" w:cs="Arial"/>
          <w:color w:val="000000" w:themeColor="text1"/>
          <w:lang w:val="es-ES_tradnl"/>
        </w:rPr>
      </w:pPr>
    </w:p>
    <w:p w14:paraId="4BD7A276" w14:textId="77777777" w:rsidR="008664D2" w:rsidRPr="008677DE" w:rsidRDefault="008664D2" w:rsidP="008664D2">
      <w:pPr>
        <w:spacing w:after="120" w:line="276" w:lineRule="auto"/>
        <w:ind w:firstLine="709"/>
        <w:jc w:val="both"/>
        <w:rPr>
          <w:rFonts w:ascii="Verdana" w:hAnsi="Verdana" w:cs="Arial"/>
          <w:color w:val="000000" w:themeColor="text1"/>
        </w:rPr>
      </w:pPr>
      <w:r w:rsidRPr="008677DE">
        <w:rPr>
          <w:rFonts w:ascii="Verdana" w:hAnsi="Verdana" w:cs="Arial"/>
          <w:color w:val="000000" w:themeColor="text1"/>
          <w:lang w:val="es-ES_tradnl"/>
        </w:rPr>
        <w:t xml:space="preserve">En este sentido, el contrato de prestación de servicios </w:t>
      </w:r>
      <w:r w:rsidRPr="008677DE">
        <w:rPr>
          <w:rFonts w:ascii="Verdana" w:hAnsi="Verdana" w:cs="Arial"/>
          <w:i/>
          <w:iCs/>
          <w:color w:val="000000" w:themeColor="text1"/>
          <w:lang w:val="es-ES_tradnl"/>
        </w:rPr>
        <w:t>profesionales</w:t>
      </w:r>
      <w:r w:rsidRPr="008677DE">
        <w:rPr>
          <w:rFonts w:ascii="Verdana" w:hAnsi="Verdana" w:cs="Arial"/>
          <w:color w:val="000000" w:themeColor="text1"/>
          <w:lang w:val="es-ES_tradnl"/>
        </w:rPr>
        <w:t xml:space="preserve"> se caracteriza porque su objeto guarda relación con el desarrollo de actividades que demandan competencias y habilidades profesionales o especializadas de la persona natural o jurídica a contratar, de manera que se trata de un </w:t>
      </w:r>
      <w:r w:rsidRPr="008677DE">
        <w:rPr>
          <w:rFonts w:ascii="Verdana" w:hAnsi="Verdana" w:cs="Arial"/>
          <w:i/>
          <w:iCs/>
          <w:color w:val="000000" w:themeColor="text1"/>
          <w:lang w:val="es-ES_tradnl"/>
        </w:rPr>
        <w:t>saber intelectivo cualificado.</w:t>
      </w:r>
      <w:r w:rsidRPr="008677DE">
        <w:rPr>
          <w:rFonts w:ascii="Verdana" w:hAnsi="Verdana" w:cs="Arial"/>
          <w:color w:val="000000" w:themeColor="text1"/>
          <w:lang w:val="es-ES_tradnl"/>
        </w:rPr>
        <w:t xml:space="preserve"> En cambio, los contratos de prestación de servicios de </w:t>
      </w:r>
      <w:r w:rsidRPr="008677DE">
        <w:rPr>
          <w:rFonts w:ascii="Verdana" w:hAnsi="Verdana" w:cs="Arial"/>
          <w:i/>
          <w:iCs/>
          <w:color w:val="000000" w:themeColor="text1"/>
          <w:lang w:val="es-ES_tradnl"/>
        </w:rPr>
        <w:t>apoyo a la gestión</w:t>
      </w:r>
      <w:r w:rsidRPr="008677DE">
        <w:rPr>
          <w:rFonts w:ascii="Verdana" w:hAnsi="Verdana" w:cs="Arial"/>
          <w:color w:val="000000" w:themeColor="text1"/>
          <w:lang w:val="es-ES_tradnl"/>
        </w:rPr>
        <w:t xml:space="preserve"> y de </w:t>
      </w:r>
      <w:r w:rsidRPr="008677DE">
        <w:rPr>
          <w:rFonts w:ascii="Verdana" w:hAnsi="Verdana" w:cs="Arial"/>
          <w:i/>
          <w:iCs/>
          <w:color w:val="000000" w:themeColor="text1"/>
          <w:lang w:val="es-ES_tradnl"/>
        </w:rPr>
        <w:t>servicios artísticos</w:t>
      </w:r>
      <w:r w:rsidRPr="008677DE">
        <w:rPr>
          <w:rFonts w:ascii="Verdana" w:hAnsi="Verdana" w:cs="Arial"/>
          <w:color w:val="000000" w:themeColor="text1"/>
          <w:lang w:val="es-ES_tradnl"/>
        </w:rPr>
        <w:t xml:space="preserve"> no involucran ese conocimiento profesional </w:t>
      </w:r>
      <w:r w:rsidRPr="008677DE">
        <w:rPr>
          <w:rFonts w:ascii="Verdana" w:hAnsi="Verdana" w:cs="Arial"/>
          <w:color w:val="000000" w:themeColor="text1"/>
        </w:rPr>
        <w:t xml:space="preserve">o especializados para su ejecución. En los contratos de apoyo a la </w:t>
      </w:r>
      <w:r w:rsidRPr="008677DE">
        <w:rPr>
          <w:rFonts w:ascii="Verdana" w:hAnsi="Verdana" w:cs="Arial"/>
          <w:color w:val="000000" w:themeColor="text1"/>
        </w:rPr>
        <w:lastRenderedPageBreak/>
        <w:t xml:space="preserve">gestión </w:t>
      </w:r>
      <w:r w:rsidRPr="008677DE">
        <w:rPr>
          <w:rFonts w:ascii="Verdana" w:hAnsi="Verdana" w:cs="Arial"/>
          <w:color w:val="000000" w:themeColor="text1"/>
          <w:lang w:val="es-ES_tradnl"/>
        </w:rPr>
        <w:t xml:space="preserve">el contratista desempeña un esfuerzo o actividad de apoyo, acompañamiento, o soporte, </w:t>
      </w:r>
      <w:r w:rsidRPr="008677DE">
        <w:rPr>
          <w:rFonts w:ascii="Verdana" w:hAnsi="Verdana" w:cs="Arial"/>
          <w:color w:val="000000" w:themeColor="text1"/>
        </w:rPr>
        <w:t xml:space="preserve">donde </w:t>
      </w:r>
      <w:r>
        <w:rPr>
          <w:rFonts w:ascii="Verdana" w:hAnsi="Verdana" w:cs="Arial"/>
          <w:color w:val="000000" w:themeColor="text1"/>
          <w:lang w:val="es-ES_tradnl"/>
        </w:rPr>
        <w:t>“</w:t>
      </w:r>
      <w:r w:rsidRPr="008677DE">
        <w:rPr>
          <w:rFonts w:ascii="Verdana" w:hAnsi="Verdana" w:cs="Arial"/>
          <w:color w:val="000000" w:themeColor="text1"/>
          <w:lang w:val="es-ES_tradnl"/>
        </w:rPr>
        <w:t xml:space="preserve">lo predominante es el actuar como ejecutor, con el propósito y finalidad de satisfacer necesidades de las entidades estatales en lo relacionado con la gestión administrativa o funcionamiento de </w:t>
      </w:r>
      <w:proofErr w:type="gramStart"/>
      <w:r w:rsidRPr="008677DE">
        <w:rPr>
          <w:rFonts w:ascii="Verdana" w:hAnsi="Verdana" w:cs="Arial"/>
          <w:color w:val="000000" w:themeColor="text1"/>
          <w:lang w:val="es-ES_tradnl"/>
        </w:rPr>
        <w:t>la misma</w:t>
      </w:r>
      <w:proofErr w:type="gramEnd"/>
      <w:r w:rsidRPr="008677DE">
        <w:rPr>
          <w:rFonts w:ascii="Verdana" w:hAnsi="Verdana" w:cs="Arial"/>
          <w:color w:val="000000" w:themeColor="text1"/>
          <w:lang w:val="es-ES_tradnl"/>
        </w:rPr>
        <w:t>, por personas no profesionales y que no implican el ejercicio de funciones públicas administrativas</w:t>
      </w:r>
      <w:r>
        <w:rPr>
          <w:rFonts w:ascii="Verdana" w:hAnsi="Verdana" w:cs="Arial"/>
          <w:color w:val="000000" w:themeColor="text1"/>
          <w:lang w:val="es-ES_tradnl"/>
        </w:rPr>
        <w:t>”</w:t>
      </w:r>
      <w:r w:rsidRPr="008677DE">
        <w:rPr>
          <w:rFonts w:ascii="Verdana" w:hAnsi="Verdana" w:cs="Arial"/>
          <w:color w:val="000000" w:themeColor="text1"/>
          <w:lang w:val="es-ES_tradnl"/>
        </w:rPr>
        <w:t xml:space="preserve">. Igualmente, en el contrato de prestación de servicios artísticos lo prevalente es que la persona que lo ejecute se trate de un artista, es decir, </w:t>
      </w:r>
      <w:r>
        <w:rPr>
          <w:rFonts w:ascii="Verdana" w:hAnsi="Verdana" w:cs="Arial"/>
          <w:color w:val="000000" w:themeColor="text1"/>
          <w:lang w:val="es-ES_tradnl"/>
        </w:rPr>
        <w:t>“</w:t>
      </w:r>
      <w:r w:rsidRPr="008677DE">
        <w:rPr>
          <w:rFonts w:ascii="Verdana" w:hAnsi="Verdana" w:cs="Arial"/>
          <w:color w:val="000000" w:themeColor="text1"/>
          <w:lang w:val="es-ES_tradnl"/>
        </w:rPr>
        <w:t>una persona reconocida como realizador o productor de arte, de obras de arte, ejecutor de trabajos artísticos</w:t>
      </w:r>
      <w:r>
        <w:rPr>
          <w:rFonts w:ascii="Verdana" w:hAnsi="Verdana" w:cs="Arial"/>
          <w:color w:val="000000" w:themeColor="text1"/>
          <w:lang w:val="es-ES_tradnl"/>
        </w:rPr>
        <w:t>”</w:t>
      </w:r>
      <w:r w:rsidRPr="008677DE">
        <w:rPr>
          <w:rFonts w:ascii="Verdana" w:hAnsi="Verdana" w:cs="Arial"/>
          <w:color w:val="000000" w:themeColor="text1"/>
          <w:lang w:val="es-ES_tradnl"/>
        </w:rPr>
        <w:t>, para lo cual es indiferente el carácter de profesional.</w:t>
      </w:r>
    </w:p>
    <w:p w14:paraId="2A806089" w14:textId="77777777" w:rsidR="008664D2" w:rsidRDefault="008664D2" w:rsidP="008664D2">
      <w:pPr>
        <w:autoSpaceDE w:val="0"/>
        <w:autoSpaceDN w:val="0"/>
        <w:adjustRightInd w:val="0"/>
        <w:spacing w:after="120" w:line="276" w:lineRule="auto"/>
        <w:ind w:firstLine="709"/>
        <w:jc w:val="both"/>
        <w:rPr>
          <w:rFonts w:ascii="Verdana" w:hAnsi="Verdana" w:cs="Arial"/>
        </w:rPr>
      </w:pPr>
      <w:r w:rsidRPr="004676D1">
        <w:rPr>
          <w:rFonts w:ascii="Verdana" w:hAnsi="Verdana" w:cs="Arial"/>
        </w:rPr>
        <w:t xml:space="preserve">En lo relativo al </w:t>
      </w:r>
      <w:r>
        <w:rPr>
          <w:rFonts w:ascii="Verdana" w:hAnsi="Verdana" w:cs="Arial"/>
        </w:rPr>
        <w:t>primer problema jurídico planteado, es preciso señalar que, tal como lo ha expuesto la Corte Constitucional y el Consejo de Estado, el principal elemento que distingue el contrato de prestación de servicios del contrato laboral es la existencia de subordinación o dependencia en</w:t>
      </w:r>
      <w:r w:rsidRPr="00B86819">
        <w:rPr>
          <w:rFonts w:ascii="Verdana" w:hAnsi="Verdana" w:cs="Arial"/>
        </w:rPr>
        <w:t xml:space="preserve"> la ejecución de la labor contratada. E</w:t>
      </w:r>
      <w:r>
        <w:rPr>
          <w:rFonts w:ascii="Verdana" w:hAnsi="Verdana" w:cs="Arial"/>
        </w:rPr>
        <w:t xml:space="preserve">n ese sentido, la fijación de un horario, aunque puede constituir un indicio de la existencia de una relación </w:t>
      </w:r>
      <w:r w:rsidRPr="00AB1C1E">
        <w:rPr>
          <w:rFonts w:ascii="Verdana" w:hAnsi="Verdana" w:cs="Arial"/>
        </w:rPr>
        <w:t xml:space="preserve">laboral, no </w:t>
      </w:r>
      <w:r>
        <w:rPr>
          <w:rFonts w:ascii="Verdana" w:hAnsi="Verdana" w:cs="Arial"/>
        </w:rPr>
        <w:t>es suficiente para concluir la existencia de un contrato realidad. E</w:t>
      </w:r>
      <w:r w:rsidRPr="00AB1C1E">
        <w:rPr>
          <w:rFonts w:ascii="Verdana" w:hAnsi="Verdana" w:cs="Arial"/>
        </w:rPr>
        <w:t>l máximo tribunal de lo contencioso administrativo</w:t>
      </w:r>
      <w:r>
        <w:rPr>
          <w:rFonts w:ascii="Verdana" w:hAnsi="Verdana" w:cs="Arial"/>
        </w:rPr>
        <w:t xml:space="preserve"> ha reiterado</w:t>
      </w:r>
      <w:r w:rsidRPr="00AB1C1E">
        <w:rPr>
          <w:rFonts w:ascii="Verdana" w:hAnsi="Verdana" w:cs="Arial"/>
        </w:rPr>
        <w:t>, en múltiples sentencias</w:t>
      </w:r>
      <w:r>
        <w:rPr>
          <w:rStyle w:val="Refdenotaalpie"/>
          <w:rFonts w:ascii="Verdana" w:hAnsi="Verdana" w:cs="Arial"/>
        </w:rPr>
        <w:footnoteReference w:id="21"/>
      </w:r>
      <w:r>
        <w:rPr>
          <w:rFonts w:ascii="Verdana" w:hAnsi="Verdana" w:cs="Arial"/>
        </w:rPr>
        <w:t xml:space="preserve">, </w:t>
      </w:r>
      <w:r w:rsidRPr="002E7EC1">
        <w:rPr>
          <w:rFonts w:ascii="Verdana" w:hAnsi="Verdana" w:cs="Arial"/>
        </w:rPr>
        <w:t>que la existencia de un horario o de una jornada puede ser</w:t>
      </w:r>
      <w:r>
        <w:rPr>
          <w:rFonts w:ascii="Verdana" w:hAnsi="Verdana" w:cs="Arial"/>
        </w:rPr>
        <w:t xml:space="preserve"> </w:t>
      </w:r>
      <w:r w:rsidRPr="002E7EC1">
        <w:rPr>
          <w:rFonts w:ascii="Verdana" w:hAnsi="Verdana" w:cs="Arial"/>
        </w:rPr>
        <w:t xml:space="preserve">indispensable para que el objeto contractual pueda ser cumplido y ejecutado eficientemente. </w:t>
      </w:r>
      <w:r>
        <w:rPr>
          <w:rFonts w:ascii="Verdana" w:hAnsi="Verdana" w:cs="Arial"/>
        </w:rPr>
        <w:t>Por lo tanto</w:t>
      </w:r>
      <w:r w:rsidRPr="002E7EC1">
        <w:rPr>
          <w:rFonts w:ascii="Verdana" w:hAnsi="Verdana" w:cs="Arial"/>
        </w:rPr>
        <w:t xml:space="preserve">, la existencia de un horario no desnaturaliza al contrato de prestación de servicios, </w:t>
      </w:r>
      <w:r w:rsidRPr="008C6C3D">
        <w:rPr>
          <w:rFonts w:ascii="Verdana" w:hAnsi="Verdana" w:cs="Arial"/>
        </w:rPr>
        <w:t>siempre que este sea indispensable para la adecuada ejecución de las actividades encomendadas.</w:t>
      </w:r>
    </w:p>
    <w:p w14:paraId="1A042F2E" w14:textId="77777777" w:rsidR="008664D2" w:rsidRDefault="008664D2" w:rsidP="008664D2">
      <w:pPr>
        <w:autoSpaceDE w:val="0"/>
        <w:autoSpaceDN w:val="0"/>
        <w:adjustRightInd w:val="0"/>
        <w:spacing w:after="0" w:line="276" w:lineRule="auto"/>
        <w:ind w:firstLine="709"/>
        <w:jc w:val="both"/>
        <w:rPr>
          <w:rFonts w:ascii="Verdana" w:hAnsi="Verdana" w:cs="Arial"/>
        </w:rPr>
      </w:pPr>
      <w:r>
        <w:rPr>
          <w:rFonts w:ascii="Verdana" w:hAnsi="Verdana" w:cs="Arial"/>
        </w:rPr>
        <w:t>En consecuencia, l</w:t>
      </w:r>
      <w:r w:rsidRPr="00C177FE">
        <w:rPr>
          <w:rFonts w:ascii="Verdana" w:hAnsi="Verdana" w:cs="Arial"/>
        </w:rPr>
        <w:t>os contratistas de prestación de servicios deben someterse</w:t>
      </w:r>
      <w:r>
        <w:rPr>
          <w:rFonts w:ascii="Verdana" w:hAnsi="Verdana" w:cs="Arial"/>
        </w:rPr>
        <w:t>,</w:t>
      </w:r>
      <w:r w:rsidRPr="00C177FE">
        <w:rPr>
          <w:rFonts w:ascii="Verdana" w:hAnsi="Verdana" w:cs="Arial"/>
        </w:rPr>
        <w:t xml:space="preserve"> en el ejercicio de sus obligaciones contractuales</w:t>
      </w:r>
      <w:r>
        <w:rPr>
          <w:rFonts w:ascii="Verdana" w:hAnsi="Verdana" w:cs="Arial"/>
        </w:rPr>
        <w:t>,</w:t>
      </w:r>
      <w:r w:rsidRPr="00C177FE">
        <w:rPr>
          <w:rFonts w:ascii="Verdana" w:hAnsi="Verdana" w:cs="Arial"/>
        </w:rPr>
        <w:t xml:space="preserve"> a las </w:t>
      </w:r>
      <w:r>
        <w:rPr>
          <w:rFonts w:ascii="Verdana" w:hAnsi="Verdana" w:cs="Arial"/>
        </w:rPr>
        <w:t xml:space="preserve">directrices que establezca la entidad contratante, a efectos de cumplir con el objeto contractual, así como </w:t>
      </w:r>
      <w:r w:rsidRPr="00C177FE">
        <w:rPr>
          <w:rFonts w:ascii="Verdana" w:hAnsi="Verdana" w:cs="Arial"/>
        </w:rPr>
        <w:t>a la forma en que se coordina</w:t>
      </w:r>
      <w:r>
        <w:rPr>
          <w:rFonts w:ascii="Verdana" w:hAnsi="Verdana" w:cs="Arial"/>
        </w:rPr>
        <w:t>n</w:t>
      </w:r>
      <w:r w:rsidRPr="00C177FE">
        <w:rPr>
          <w:rFonts w:ascii="Verdana" w:hAnsi="Verdana" w:cs="Arial"/>
        </w:rPr>
        <w:t xml:space="preserve"> las distintas actividades</w:t>
      </w:r>
      <w:r>
        <w:rPr>
          <w:rFonts w:ascii="Verdana" w:hAnsi="Verdana" w:cs="Arial"/>
        </w:rPr>
        <w:t xml:space="preserve">. Si se requiere </w:t>
      </w:r>
      <w:r w:rsidRPr="00C177FE">
        <w:rPr>
          <w:rFonts w:ascii="Verdana" w:hAnsi="Verdana" w:cs="Arial"/>
        </w:rPr>
        <w:t>la presencia del contratista en la Entidad Estatal en determinada jornada, esa exigencia debe quedar contemplada en el contrato</w:t>
      </w:r>
      <w:r>
        <w:rPr>
          <w:rFonts w:ascii="Verdana" w:hAnsi="Verdana" w:cs="Arial"/>
        </w:rPr>
        <w:t xml:space="preserve"> o en los documentos </w:t>
      </w:r>
      <w:r>
        <w:rPr>
          <w:rFonts w:ascii="Verdana" w:hAnsi="Verdana" w:cs="Arial"/>
        </w:rPr>
        <w:lastRenderedPageBreak/>
        <w:t>contractuales y debe estar justificada</w:t>
      </w:r>
      <w:r w:rsidRPr="00C177FE">
        <w:rPr>
          <w:rFonts w:ascii="Verdana" w:hAnsi="Verdana" w:cs="Arial"/>
        </w:rPr>
        <w:t>.</w:t>
      </w:r>
      <w:r>
        <w:rPr>
          <w:rFonts w:ascii="Verdana" w:hAnsi="Verdana" w:cs="Arial"/>
        </w:rPr>
        <w:t xml:space="preserve"> </w:t>
      </w:r>
      <w:r w:rsidRPr="00C00E3B">
        <w:rPr>
          <w:rFonts w:ascii="Verdana" w:hAnsi="Verdana" w:cs="Arial"/>
        </w:rPr>
        <w:t xml:space="preserve">En todo caso, </w:t>
      </w:r>
      <w:r w:rsidRPr="00841187">
        <w:rPr>
          <w:rFonts w:ascii="Verdana" w:hAnsi="Verdana" w:cs="Arial"/>
        </w:rPr>
        <w:t>más que imponer un horario, se trata de asegurar el cumplimiento de las tareas propias del objeto contractual, conforme a las necesidades y funciones de la entidad.</w:t>
      </w:r>
      <w:r>
        <w:rPr>
          <w:rStyle w:val="Refdenotaalpie"/>
          <w:rFonts w:ascii="Verdana" w:hAnsi="Verdana" w:cs="Arial"/>
        </w:rPr>
        <w:footnoteReference w:id="22"/>
      </w:r>
      <w:r w:rsidRPr="00C00E3B">
        <w:rPr>
          <w:rFonts w:ascii="Verdana" w:hAnsi="Verdana" w:cs="Arial"/>
        </w:rPr>
        <w:t>.</w:t>
      </w:r>
      <w:bookmarkEnd w:id="5"/>
    </w:p>
    <w:p w14:paraId="2D92AF29" w14:textId="77777777" w:rsidR="008664D2" w:rsidRDefault="008664D2" w:rsidP="008664D2">
      <w:pPr>
        <w:autoSpaceDE w:val="0"/>
        <w:autoSpaceDN w:val="0"/>
        <w:adjustRightInd w:val="0"/>
        <w:spacing w:after="0" w:line="276" w:lineRule="auto"/>
        <w:ind w:firstLine="709"/>
        <w:jc w:val="both"/>
        <w:rPr>
          <w:rFonts w:ascii="Verdana" w:hAnsi="Verdana" w:cs="Arial"/>
        </w:rPr>
      </w:pPr>
    </w:p>
    <w:p w14:paraId="6F567B41" w14:textId="77777777" w:rsidR="008664D2" w:rsidRPr="00AA758F" w:rsidRDefault="008664D2" w:rsidP="008664D2">
      <w:pPr>
        <w:spacing w:after="120" w:line="276" w:lineRule="auto"/>
        <w:ind w:firstLine="709"/>
        <w:jc w:val="both"/>
        <w:rPr>
          <w:rFonts w:ascii="Verdana" w:hAnsi="Verdana" w:cs="Arial"/>
          <w:noProof/>
        </w:rPr>
      </w:pPr>
      <w:r>
        <w:rPr>
          <w:rFonts w:ascii="Verdana" w:hAnsi="Verdana" w:cs="Arial"/>
          <w:noProof/>
        </w:rPr>
        <w:t>En linea con lo anterior</w:t>
      </w:r>
      <w:r w:rsidRPr="00AA758F">
        <w:rPr>
          <w:rFonts w:ascii="Verdana" w:hAnsi="Verdana" w:cs="Arial"/>
          <w:noProof/>
        </w:rPr>
        <w:t xml:space="preserve">, </w:t>
      </w:r>
      <w:r>
        <w:rPr>
          <w:rFonts w:ascii="Verdana" w:hAnsi="Verdana" w:cs="Arial"/>
          <w:noProof/>
        </w:rPr>
        <w:t xml:space="preserve">y en relaciòn con el segundo problema jurìdico planteado </w:t>
      </w:r>
      <w:r w:rsidRPr="00AA758F">
        <w:rPr>
          <w:rFonts w:ascii="Verdana" w:hAnsi="Verdana" w:cs="Arial"/>
          <w:noProof/>
        </w:rPr>
        <w:t>la exigencia de que un contratista</w:t>
      </w:r>
      <w:r>
        <w:rPr>
          <w:rFonts w:ascii="Verdana" w:hAnsi="Verdana" w:cs="Arial"/>
          <w:noProof/>
        </w:rPr>
        <w:t xml:space="preserve"> cumpla</w:t>
      </w:r>
      <w:r w:rsidRPr="00AA758F">
        <w:rPr>
          <w:rFonts w:ascii="Verdana" w:hAnsi="Verdana" w:cs="Arial"/>
          <w:noProof/>
        </w:rPr>
        <w:t xml:space="preserve"> </w:t>
      </w:r>
      <w:r w:rsidRPr="00AA758F">
        <w:rPr>
          <w:rFonts w:ascii="Verdana" w:eastAsia="Calibri" w:hAnsi="Verdana" w:cs="Arial"/>
          <w:lang w:eastAsia="es-ES"/>
        </w:rPr>
        <w:t>metas mensuales o un número específico de entregables</w:t>
      </w:r>
      <w:r w:rsidRPr="00AA758F">
        <w:rPr>
          <w:rFonts w:ascii="Verdana" w:hAnsi="Verdana" w:cs="Arial"/>
          <w:noProof/>
        </w:rPr>
        <w:t xml:space="preserve"> </w:t>
      </w:r>
      <w:r>
        <w:rPr>
          <w:rFonts w:ascii="Verdana" w:hAnsi="Verdana" w:cs="Arial"/>
          <w:noProof/>
        </w:rPr>
        <w:t xml:space="preserve">y </w:t>
      </w:r>
      <w:r w:rsidRPr="00AA758F">
        <w:rPr>
          <w:rFonts w:ascii="Verdana" w:hAnsi="Verdana" w:cs="Arial"/>
          <w:noProof/>
        </w:rPr>
        <w:t>asista a actividades fuera de la sede solo es válida si esta obligación está expresamente definida en el contrato o sus documentos anexos (estudios previos o términos de referencia).</w:t>
      </w:r>
      <w:r>
        <w:rPr>
          <w:rFonts w:ascii="Verdana" w:hAnsi="Verdana" w:cs="Arial"/>
          <w:noProof/>
        </w:rPr>
        <w:t xml:space="preserve"> </w:t>
      </w:r>
      <w:r w:rsidRPr="00AA758F">
        <w:rPr>
          <w:rFonts w:ascii="Verdana" w:hAnsi="Verdana" w:cs="Arial"/>
          <w:noProof/>
        </w:rPr>
        <w:t>En cuanto a los riesgos, el contratista debe estar obligatoriamente afiliado al Sistema de Seguridad Social (ARL), conforme a</w:t>
      </w:r>
      <w:r>
        <w:rPr>
          <w:rFonts w:ascii="Verdana" w:hAnsi="Verdana" w:cs="Arial"/>
          <w:noProof/>
        </w:rPr>
        <w:t xml:space="preserve"> las reglas establecidas en el</w:t>
      </w:r>
      <w:r w:rsidRPr="00AA758F">
        <w:rPr>
          <w:rFonts w:ascii="Verdana" w:hAnsi="Verdana" w:cs="Arial"/>
          <w:noProof/>
        </w:rPr>
        <w:t xml:space="preserve"> Decreto 1072 de 2015</w:t>
      </w:r>
      <w:r>
        <w:rPr>
          <w:rFonts w:ascii="Verdana" w:hAnsi="Verdana" w:cs="Arial"/>
          <w:noProof/>
        </w:rPr>
        <w:t>.</w:t>
      </w:r>
    </w:p>
    <w:p w14:paraId="63C351C4" w14:textId="77777777" w:rsidR="008664D2" w:rsidRDefault="008664D2" w:rsidP="008664D2">
      <w:pPr>
        <w:autoSpaceDE w:val="0"/>
        <w:autoSpaceDN w:val="0"/>
        <w:adjustRightInd w:val="0"/>
        <w:spacing w:after="0" w:line="276" w:lineRule="auto"/>
        <w:ind w:firstLine="709"/>
        <w:jc w:val="both"/>
        <w:rPr>
          <w:rFonts w:ascii="Verdana" w:hAnsi="Verdana" w:cs="Arial"/>
        </w:rPr>
      </w:pPr>
    </w:p>
    <w:p w14:paraId="5724AE6F" w14:textId="77777777" w:rsidR="008664D2" w:rsidRPr="00B2552F" w:rsidRDefault="008664D2" w:rsidP="008664D2">
      <w:pPr>
        <w:autoSpaceDE w:val="0"/>
        <w:autoSpaceDN w:val="0"/>
        <w:adjustRightInd w:val="0"/>
        <w:spacing w:after="0" w:line="276" w:lineRule="auto"/>
        <w:ind w:firstLine="709"/>
        <w:jc w:val="both"/>
        <w:rPr>
          <w:rFonts w:ascii="Verdana" w:hAnsi="Verdana" w:cs="Arial"/>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3544B72F" w14:textId="77777777" w:rsidR="008664D2" w:rsidRDefault="008664D2" w:rsidP="008664D2">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28345E44" w14:textId="77777777" w:rsidR="008664D2" w:rsidRPr="0060676F" w:rsidRDefault="008664D2" w:rsidP="008664D2">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C112885" w14:textId="77777777" w:rsidR="008664D2" w:rsidRPr="00593A5F" w:rsidRDefault="008664D2" w:rsidP="008664D2">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664D2" w:rsidRPr="00593A5F" w14:paraId="5CD14296" w14:textId="77777777" w:rsidTr="00F60007">
        <w:trPr>
          <w:trHeight w:val="870"/>
        </w:trPr>
        <w:tc>
          <w:tcPr>
            <w:tcW w:w="8647" w:type="dxa"/>
          </w:tcPr>
          <w:p w14:paraId="394C8402" w14:textId="77777777" w:rsidR="008664D2" w:rsidRDefault="008664D2" w:rsidP="00F60007">
            <w:pPr>
              <w:pStyle w:val="Prrafodelista"/>
              <w:widowControl w:val="0"/>
              <w:numPr>
                <w:ilvl w:val="0"/>
                <w:numId w:val="17"/>
              </w:numPr>
              <w:autoSpaceDE w:val="0"/>
              <w:autoSpaceDN w:val="0"/>
              <w:spacing w:after="120" w:line="276" w:lineRule="auto"/>
              <w:jc w:val="both"/>
              <w:rPr>
                <w:rFonts w:ascii="Verdana" w:hAnsi="Verdana" w:cs="Arial"/>
              </w:rPr>
            </w:pPr>
            <w:r>
              <w:rPr>
                <w:rFonts w:ascii="Verdana" w:hAnsi="Verdana" w:cs="Arial"/>
              </w:rPr>
              <w:lastRenderedPageBreak/>
              <w:t>Ley 80 de 1993, artículo 32 y 40.</w:t>
            </w:r>
          </w:p>
          <w:p w14:paraId="477106C9" w14:textId="77777777" w:rsidR="008664D2" w:rsidRDefault="008664D2" w:rsidP="00F60007">
            <w:pPr>
              <w:pStyle w:val="Prrafodelista"/>
              <w:widowControl w:val="0"/>
              <w:numPr>
                <w:ilvl w:val="0"/>
                <w:numId w:val="17"/>
              </w:numPr>
              <w:autoSpaceDE w:val="0"/>
              <w:autoSpaceDN w:val="0"/>
              <w:spacing w:after="120" w:line="276" w:lineRule="auto"/>
              <w:jc w:val="both"/>
              <w:rPr>
                <w:rFonts w:ascii="Verdana" w:hAnsi="Verdana" w:cs="Arial"/>
              </w:rPr>
            </w:pPr>
            <w:r>
              <w:rPr>
                <w:rFonts w:ascii="Verdana" w:hAnsi="Verdana" w:cs="Arial"/>
              </w:rPr>
              <w:t>Ley 1150 de 2007, artículo 2, numeral 4.</w:t>
            </w:r>
          </w:p>
          <w:p w14:paraId="561E207D" w14:textId="77777777" w:rsidR="008664D2" w:rsidRPr="006F31E0" w:rsidRDefault="008664D2" w:rsidP="00F60007">
            <w:pPr>
              <w:numPr>
                <w:ilvl w:val="0"/>
                <w:numId w:val="17"/>
              </w:numPr>
              <w:spacing w:before="120" w:after="120" w:line="276" w:lineRule="auto"/>
              <w:jc w:val="both"/>
              <w:rPr>
                <w:rFonts w:ascii="Verdana" w:hAnsi="Verdana" w:cs="Arial"/>
                <w:noProof/>
                <w:color w:val="000000" w:themeColor="text1"/>
                <w:lang w:val="es-ES_tradnl"/>
              </w:rPr>
            </w:pPr>
            <w:r w:rsidRPr="00B2552F">
              <w:rPr>
                <w:rFonts w:ascii="Verdana" w:hAnsi="Verdana" w:cs="Arial"/>
              </w:rPr>
              <w:t>Consejo de Estado. Sección Segunda. Sentencia de Unificación Jurisprudencial SUJ-025-CE-S2-2021. Radicado (1317-2016)</w:t>
            </w:r>
          </w:p>
        </w:tc>
      </w:tr>
    </w:tbl>
    <w:p w14:paraId="62F452E6" w14:textId="77777777" w:rsidR="008664D2" w:rsidRDefault="008664D2" w:rsidP="008664D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21D3CA9" w14:textId="77777777" w:rsidR="008664D2" w:rsidRDefault="008664D2" w:rsidP="008664D2">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46AD09F1" w14:textId="77777777" w:rsidR="008664D2" w:rsidRPr="00593A5F" w:rsidRDefault="008664D2" w:rsidP="008664D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76347A0" w14:textId="77777777" w:rsidR="008664D2" w:rsidRPr="003D40FB" w:rsidRDefault="008664D2" w:rsidP="008664D2">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3D40FB">
        <w:rPr>
          <w:rFonts w:ascii="Verdana" w:eastAsia="Calibri" w:hAnsi="Verdana" w:cs="Arial"/>
          <w:lang w:val="es-ES_tradnl" w:eastAsia="es-ES_tradnl"/>
        </w:rPr>
        <w:t xml:space="preserve">Sobre </w:t>
      </w:r>
      <w:r w:rsidRPr="003D40FB">
        <w:rPr>
          <w:rFonts w:ascii="Verdana" w:hAnsi="Verdana" w:cs="Arial"/>
          <w:shd w:val="clear" w:color="auto" w:fill="FFFFFF"/>
        </w:rPr>
        <w:t>el concepto y límites del contrato de prestación de servicios profesionales y de apoyo a la gestión</w:t>
      </w:r>
      <w:r w:rsidRPr="003D40FB">
        <w:rPr>
          <w:rFonts w:ascii="Verdana" w:eastAsia="Calibri" w:hAnsi="Verdana" w:cs="Arial"/>
          <w:lang w:val="es-ES_tradnl" w:eastAsia="es-ES_tradnl"/>
        </w:rPr>
        <w:t>, se pronunció esta Subdirección en los conceptos C-090 del 24 de febrero de 2020, C-105 del 12 de marzo 03 de 2020, C-156 del 3 de abril de 2020, C-188 del 13 de abril de 2020, C-208 del 24 de abril de 2020; C-138, C-005, C-006 y C-018 del 11 de mayo de 2020; C-175, C-320, C-053, C-255, C-282 y C-293 del 12 de mayo de 2020, C-288 del 27 de mayo de 2020, C-345 del 13 de mayo de 2020, C-414 del 30 de junio de 2020, C-484 del 6 de agosto de 2020, C-608 del 1 de octubre de 2020, C-739 del 16 de diciembre de 2020, C-106 de 07 de abril de 2021, C-145 de 8 de abril de 2021, C-491 del 14 de septiembre de 2021 y C- 517 del 30 de septiembre de 2021, C-707 de 17 de enero de 2022, C-019 de 21 de febrero de 2022, C-376 de 14 de junio de 2022, C-091 del 5 de junio de 2023</w:t>
      </w:r>
      <w:r>
        <w:rPr>
          <w:rFonts w:ascii="Verdana" w:eastAsia="Calibri" w:hAnsi="Verdana" w:cs="Arial"/>
          <w:lang w:val="es-ES_tradnl" w:eastAsia="es-ES_tradnl"/>
        </w:rPr>
        <w:t xml:space="preserve"> y C-749 del 14 de agosto de 2025</w:t>
      </w:r>
      <w:r w:rsidRPr="003D40FB">
        <w:rPr>
          <w:rFonts w:ascii="Verdana" w:eastAsia="Calibri" w:hAnsi="Verdana" w:cs="Arial"/>
          <w:lang w:val="es-ES" w:eastAsia="es-ES_tradnl"/>
        </w:rPr>
        <w:t>. Estos</w:t>
      </w:r>
      <w:r w:rsidRPr="003D40FB">
        <w:rPr>
          <w:rFonts w:ascii="Verdana" w:hAnsi="Verdana"/>
        </w:rPr>
        <w:t xml:space="preserve"> y otros conceptos se encuentran disponibles para consulta en el Sistema de relatoría de la Agencia, al cual se puede acceder a través del siguiente enlace:</w:t>
      </w:r>
      <w:r w:rsidRPr="003D40FB">
        <w:rPr>
          <w:rStyle w:val="normaltextrun"/>
          <w:rFonts w:ascii="Verdana" w:hAnsi="Verdana" w:cs="Arial"/>
          <w:shd w:val="clear" w:color="auto" w:fill="FFFFFF"/>
          <w:lang w:val="es-ES"/>
        </w:rPr>
        <w:t xml:space="preserve"> </w:t>
      </w:r>
      <w:hyperlink r:id="rId12" w:history="1">
        <w:r w:rsidRPr="003D40FB">
          <w:rPr>
            <w:rStyle w:val="Hipervnculo"/>
            <w:rFonts w:ascii="Verdana" w:hAnsi="Verdana" w:cs="Arial"/>
            <w:shd w:val="clear" w:color="auto" w:fill="FFFFFF"/>
            <w:lang w:val="es-ES"/>
          </w:rPr>
          <w:t>https://relatoria.colombiacompra.gov.co/busqueda/conceptos</w:t>
        </w:r>
      </w:hyperlink>
    </w:p>
    <w:p w14:paraId="36BFC69A" w14:textId="77777777" w:rsidR="008664D2" w:rsidRDefault="008664D2" w:rsidP="008664D2">
      <w:pPr>
        <w:widowControl w:val="0"/>
        <w:autoSpaceDE w:val="0"/>
        <w:autoSpaceDN w:val="0"/>
        <w:spacing w:after="0" w:line="276" w:lineRule="auto"/>
        <w:jc w:val="both"/>
        <w:rPr>
          <w:rFonts w:ascii="Verdana" w:hAnsi="Verdana" w:cs="Arial"/>
          <w:color w:val="000000" w:themeColor="text1"/>
          <w:shd w:val="clear" w:color="auto" w:fill="FFFFFF"/>
        </w:rPr>
      </w:pPr>
    </w:p>
    <w:p w14:paraId="7632D6FC" w14:textId="77777777" w:rsidR="008664D2" w:rsidRPr="00103B90" w:rsidRDefault="008664D2" w:rsidP="008664D2">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3"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176E87F9" w14:textId="77777777" w:rsidR="008664D2" w:rsidRPr="00103B90" w:rsidRDefault="008664D2" w:rsidP="008664D2">
      <w:pPr>
        <w:widowControl w:val="0"/>
        <w:autoSpaceDE w:val="0"/>
        <w:autoSpaceDN w:val="0"/>
        <w:spacing w:after="0" w:line="276" w:lineRule="auto"/>
        <w:jc w:val="both"/>
        <w:rPr>
          <w:rFonts w:ascii="Verdana" w:hAnsi="Verdana"/>
        </w:rPr>
      </w:pPr>
    </w:p>
    <w:p w14:paraId="066309D7" w14:textId="77777777" w:rsidR="008664D2" w:rsidRPr="00505CD6" w:rsidRDefault="008664D2" w:rsidP="008664D2">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207D414B" w14:textId="77777777" w:rsidR="008664D2" w:rsidRPr="00505CD6" w:rsidRDefault="008664D2" w:rsidP="008664D2">
      <w:pPr>
        <w:widowControl w:val="0"/>
        <w:autoSpaceDE w:val="0"/>
        <w:autoSpaceDN w:val="0"/>
        <w:spacing w:after="0" w:line="276" w:lineRule="auto"/>
        <w:jc w:val="both"/>
        <w:rPr>
          <w:rFonts w:ascii="Verdana" w:hAnsi="Verdana" w:cs="Arial"/>
        </w:rPr>
      </w:pPr>
    </w:p>
    <w:p w14:paraId="003E98F7" w14:textId="77777777" w:rsidR="008664D2" w:rsidRDefault="008664D2" w:rsidP="008664D2">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C7EF07A" w14:textId="04FE44D6" w:rsidR="008664D2" w:rsidRDefault="008664D2" w:rsidP="008664D2">
      <w:pPr>
        <w:spacing w:line="276" w:lineRule="auto"/>
        <w:jc w:val="center"/>
        <w:rPr>
          <w:noProof/>
        </w:rPr>
      </w:pPr>
    </w:p>
    <w:p w14:paraId="7DFE3B91" w14:textId="319562D5" w:rsidR="002B103D" w:rsidRDefault="002B103D" w:rsidP="008664D2">
      <w:pPr>
        <w:spacing w:line="276" w:lineRule="auto"/>
        <w:jc w:val="center"/>
        <w:rPr>
          <w:noProof/>
        </w:rPr>
      </w:pPr>
      <w:r>
        <w:rPr>
          <w:noProof/>
        </w:rPr>
        <w:drawing>
          <wp:inline distT="0" distB="0" distL="0" distR="0" wp14:anchorId="49DA924A" wp14:editId="59BE0DB5">
            <wp:extent cx="3211830" cy="1378783"/>
            <wp:effectExtent l="0" t="0" r="7620" b="0"/>
            <wp:docPr id="109316250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17743" cy="1381321"/>
                    </a:xfrm>
                    <a:prstGeom prst="rect">
                      <a:avLst/>
                    </a:prstGeom>
                    <a:noFill/>
                    <a:ln>
                      <a:noFill/>
                    </a:ln>
                  </pic:spPr>
                </pic:pic>
              </a:graphicData>
            </a:graphic>
          </wp:inline>
        </w:drawing>
      </w:r>
    </w:p>
    <w:p w14:paraId="4F6356F1" w14:textId="77777777" w:rsidR="002B103D" w:rsidRDefault="002B103D" w:rsidP="008664D2">
      <w:pPr>
        <w:spacing w:line="276" w:lineRule="auto"/>
        <w:jc w:val="center"/>
        <w:rPr>
          <w:noProof/>
        </w:rPr>
      </w:pPr>
    </w:p>
    <w:p w14:paraId="174840C7" w14:textId="77777777" w:rsidR="002B103D" w:rsidRDefault="002B103D" w:rsidP="008664D2">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664D2" w:rsidRPr="00593A5F" w14:paraId="63180E23" w14:textId="77777777" w:rsidTr="00F60007">
        <w:trPr>
          <w:trHeight w:val="315"/>
        </w:trPr>
        <w:tc>
          <w:tcPr>
            <w:tcW w:w="893" w:type="dxa"/>
            <w:vAlign w:val="center"/>
            <w:hideMark/>
          </w:tcPr>
          <w:p w14:paraId="2CDC73BB" w14:textId="77777777" w:rsidR="008664D2" w:rsidRPr="003751C7" w:rsidRDefault="008664D2" w:rsidP="00F60007">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0509518" w14:textId="77777777" w:rsidR="008664D2" w:rsidRPr="007911EE" w:rsidRDefault="008664D2" w:rsidP="00F60007">
            <w:pPr>
              <w:contextualSpacing/>
              <w:rPr>
                <w:rFonts w:ascii="Verdana" w:hAnsi="Verdana"/>
                <w:sz w:val="16"/>
                <w:szCs w:val="16"/>
              </w:rPr>
            </w:pPr>
            <w:r>
              <w:rPr>
                <w:rFonts w:ascii="Verdana" w:hAnsi="Verdana"/>
                <w:sz w:val="16"/>
                <w:szCs w:val="16"/>
              </w:rPr>
              <w:t>Daniel Eduardo Rojas Poveda</w:t>
            </w:r>
          </w:p>
          <w:p w14:paraId="4E746A1F" w14:textId="77777777" w:rsidR="008664D2" w:rsidRPr="007911EE" w:rsidRDefault="008664D2" w:rsidP="00F60007">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8664D2" w:rsidRPr="00593A5F" w14:paraId="50F10D21" w14:textId="77777777" w:rsidTr="00F60007">
        <w:trPr>
          <w:trHeight w:val="330"/>
        </w:trPr>
        <w:tc>
          <w:tcPr>
            <w:tcW w:w="893" w:type="dxa"/>
            <w:vAlign w:val="center"/>
            <w:hideMark/>
          </w:tcPr>
          <w:p w14:paraId="2CE33D9E" w14:textId="77777777" w:rsidR="008664D2" w:rsidRPr="003751C7" w:rsidRDefault="008664D2" w:rsidP="00F60007">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4BF9544" w14:textId="77777777" w:rsidR="008664D2" w:rsidRDefault="008664D2" w:rsidP="00F60007">
            <w:pPr>
              <w:spacing w:line="276" w:lineRule="auto"/>
              <w:contextualSpacing/>
              <w:jc w:val="both"/>
              <w:rPr>
                <w:rFonts w:ascii="Verdana" w:hAnsi="Verdana"/>
                <w:sz w:val="16"/>
                <w:szCs w:val="16"/>
              </w:rPr>
            </w:pPr>
            <w:r w:rsidRPr="003575D1">
              <w:rPr>
                <w:rFonts w:ascii="Verdana" w:hAnsi="Verdana"/>
                <w:sz w:val="16"/>
                <w:szCs w:val="16"/>
              </w:rPr>
              <w:t>Juan Carlos González</w:t>
            </w:r>
            <w:r>
              <w:rPr>
                <w:rFonts w:ascii="Verdana" w:hAnsi="Verdana"/>
                <w:sz w:val="16"/>
                <w:szCs w:val="16"/>
              </w:rPr>
              <w:t xml:space="preserve"> Vásquez</w:t>
            </w:r>
          </w:p>
          <w:p w14:paraId="64CE1463" w14:textId="77777777" w:rsidR="008664D2" w:rsidRPr="007911EE" w:rsidRDefault="008664D2" w:rsidP="00F60007">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8664D2" w:rsidRPr="00593A5F" w14:paraId="183F969A" w14:textId="77777777" w:rsidTr="00F60007">
        <w:trPr>
          <w:trHeight w:val="330"/>
        </w:trPr>
        <w:tc>
          <w:tcPr>
            <w:tcW w:w="893" w:type="dxa"/>
            <w:vAlign w:val="center"/>
          </w:tcPr>
          <w:p w14:paraId="4A918BCC" w14:textId="77777777" w:rsidR="008664D2" w:rsidRPr="003751C7" w:rsidRDefault="008664D2" w:rsidP="00F60007">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CACDEA9" w14:textId="77777777" w:rsidR="008664D2" w:rsidRDefault="008664D2" w:rsidP="00F60007">
            <w:pPr>
              <w:spacing w:line="276" w:lineRule="auto"/>
              <w:contextualSpacing/>
              <w:jc w:val="both"/>
              <w:rPr>
                <w:rFonts w:ascii="Verdana" w:hAnsi="Verdana"/>
                <w:sz w:val="16"/>
                <w:szCs w:val="16"/>
              </w:rPr>
            </w:pPr>
            <w:r>
              <w:rPr>
                <w:rFonts w:ascii="Verdana" w:hAnsi="Verdana"/>
                <w:sz w:val="16"/>
                <w:szCs w:val="16"/>
              </w:rPr>
              <w:t xml:space="preserve">Carolina Quintero </w:t>
            </w:r>
            <w:proofErr w:type="spellStart"/>
            <w:r>
              <w:rPr>
                <w:rFonts w:ascii="Verdana" w:hAnsi="Verdana"/>
                <w:sz w:val="16"/>
                <w:szCs w:val="16"/>
              </w:rPr>
              <w:t>Gacharná</w:t>
            </w:r>
            <w:proofErr w:type="spellEnd"/>
          </w:p>
          <w:p w14:paraId="1EE6D329" w14:textId="77777777" w:rsidR="008664D2" w:rsidRDefault="008664D2" w:rsidP="00F60007">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5A814917" w14:textId="77777777" w:rsidR="008664D2" w:rsidRPr="00F30C63" w:rsidRDefault="008664D2" w:rsidP="008664D2"/>
    <w:p w14:paraId="0F293BF4" w14:textId="335A0900" w:rsidR="00127233" w:rsidRPr="001936FE" w:rsidRDefault="00127233" w:rsidP="001936FE"/>
    <w:sectPr w:rsidR="00127233" w:rsidRPr="001936FE"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AF1A85" w14:textId="77777777" w:rsidR="004E71AA" w:rsidRDefault="004E71AA" w:rsidP="004A1847">
      <w:pPr>
        <w:spacing w:after="0" w:line="240" w:lineRule="auto"/>
      </w:pPr>
      <w:r>
        <w:separator/>
      </w:r>
    </w:p>
  </w:endnote>
  <w:endnote w:type="continuationSeparator" w:id="0">
    <w:p w14:paraId="7D244B21" w14:textId="77777777" w:rsidR="004E71AA" w:rsidRDefault="004E71AA" w:rsidP="004A1847">
      <w:pPr>
        <w:spacing w:after="0" w:line="240" w:lineRule="auto"/>
      </w:pPr>
      <w:r>
        <w:continuationSeparator/>
      </w:r>
    </w:p>
  </w:endnote>
  <w:endnote w:type="continuationNotice" w:id="1">
    <w:p w14:paraId="196938E6" w14:textId="77777777" w:rsidR="004E71AA" w:rsidRDefault="004E71A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52D3B9" w14:textId="77777777" w:rsidR="004E71AA" w:rsidRDefault="004E71AA" w:rsidP="004A1847">
      <w:pPr>
        <w:spacing w:after="0" w:line="240" w:lineRule="auto"/>
      </w:pPr>
      <w:r>
        <w:separator/>
      </w:r>
    </w:p>
  </w:footnote>
  <w:footnote w:type="continuationSeparator" w:id="0">
    <w:p w14:paraId="5CD5306F" w14:textId="77777777" w:rsidR="004E71AA" w:rsidRDefault="004E71AA" w:rsidP="004A1847">
      <w:pPr>
        <w:spacing w:after="0" w:line="240" w:lineRule="auto"/>
      </w:pPr>
      <w:r>
        <w:continuationSeparator/>
      </w:r>
    </w:p>
  </w:footnote>
  <w:footnote w:type="continuationNotice" w:id="1">
    <w:p w14:paraId="6FCCB8DB" w14:textId="77777777" w:rsidR="004E71AA" w:rsidRDefault="004E71AA">
      <w:pPr>
        <w:spacing w:after="0" w:line="240" w:lineRule="auto"/>
      </w:pPr>
    </w:p>
  </w:footnote>
  <w:footnote w:id="2">
    <w:p w14:paraId="028F50A6" w14:textId="77777777" w:rsidR="008664D2" w:rsidRPr="0042661A" w:rsidRDefault="008664D2" w:rsidP="008664D2">
      <w:pPr>
        <w:pStyle w:val="Textonotapie"/>
        <w:ind w:firstLine="709"/>
        <w:jc w:val="both"/>
        <w:rPr>
          <w:rFonts w:ascii="Verdana" w:hAnsi="Verdana" w:cs="Arial"/>
          <w:sz w:val="16"/>
          <w:szCs w:val="16"/>
          <w:lang w:val="es-ES"/>
        </w:rPr>
      </w:pPr>
      <w:r w:rsidRPr="0042661A">
        <w:rPr>
          <w:rStyle w:val="Refdenotaalpie"/>
          <w:rFonts w:ascii="Verdana" w:hAnsi="Verdana" w:cs="Arial"/>
          <w:sz w:val="16"/>
          <w:szCs w:val="16"/>
        </w:rPr>
        <w:footnoteRef/>
      </w:r>
      <w:r w:rsidRPr="0042661A">
        <w:rPr>
          <w:rFonts w:ascii="Verdana" w:hAnsi="Verdana" w:cs="Arial"/>
          <w:sz w:val="16"/>
          <w:szCs w:val="16"/>
        </w:rPr>
        <w:t xml:space="preserve"> </w:t>
      </w:r>
      <w:r w:rsidRPr="0042661A">
        <w:rPr>
          <w:rFonts w:ascii="Verdana" w:hAnsi="Verdana" w:cs="Arial"/>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14:paraId="4F15A8F3" w14:textId="77777777" w:rsidR="008664D2" w:rsidRPr="0042661A" w:rsidRDefault="008664D2" w:rsidP="008664D2">
      <w:pPr>
        <w:pStyle w:val="Textonotapie"/>
        <w:ind w:firstLine="709"/>
        <w:jc w:val="both"/>
        <w:rPr>
          <w:rFonts w:ascii="Verdana" w:hAnsi="Verdana" w:cs="Arial"/>
          <w:sz w:val="16"/>
          <w:szCs w:val="16"/>
          <w:lang w:val="es-ES"/>
        </w:rPr>
      </w:pPr>
    </w:p>
  </w:footnote>
  <w:footnote w:id="3">
    <w:p w14:paraId="0CFF5869" w14:textId="77777777" w:rsidR="008664D2" w:rsidRPr="0042661A" w:rsidRDefault="008664D2" w:rsidP="008664D2">
      <w:pPr>
        <w:pStyle w:val="Textonotapie"/>
        <w:ind w:firstLine="709"/>
        <w:jc w:val="both"/>
        <w:rPr>
          <w:rFonts w:ascii="Verdana" w:hAnsi="Verdana" w:cs="Arial"/>
          <w:sz w:val="16"/>
          <w:szCs w:val="16"/>
        </w:rPr>
      </w:pPr>
      <w:r w:rsidRPr="0042661A">
        <w:rPr>
          <w:rStyle w:val="Refdenotaalpie"/>
          <w:rFonts w:ascii="Verdana" w:hAnsi="Verdana" w:cs="Arial"/>
          <w:sz w:val="16"/>
          <w:szCs w:val="16"/>
        </w:rPr>
        <w:footnoteRef/>
      </w:r>
      <w:r w:rsidRPr="0042661A">
        <w:rPr>
          <w:rFonts w:ascii="Verdana" w:hAnsi="Verdana" w:cs="Arial"/>
          <w:sz w:val="16"/>
          <w:szCs w:val="16"/>
        </w:rPr>
        <w:t xml:space="preserve"> Consejo de Estado. Sección Segunda. Sentencia del 9 de septiembre de 2021. Expediente No. 05001-23-33-000-2013-01143-01(1317-16). M.P. Dra. Sandra Lisset Ibarra Vélez.</w:t>
      </w:r>
    </w:p>
    <w:p w14:paraId="3AEF6E5D" w14:textId="77777777" w:rsidR="008664D2" w:rsidRPr="0042661A" w:rsidRDefault="008664D2" w:rsidP="008664D2">
      <w:pPr>
        <w:pStyle w:val="Textonotapie"/>
        <w:ind w:firstLine="709"/>
        <w:jc w:val="both"/>
        <w:rPr>
          <w:rFonts w:ascii="Verdana" w:hAnsi="Verdana" w:cs="Arial"/>
          <w:sz w:val="16"/>
          <w:szCs w:val="16"/>
        </w:rPr>
      </w:pPr>
    </w:p>
  </w:footnote>
  <w:footnote w:id="4">
    <w:p w14:paraId="0E69C4CC" w14:textId="77777777" w:rsidR="008664D2" w:rsidRDefault="008664D2" w:rsidP="008664D2">
      <w:pPr>
        <w:pStyle w:val="Textonotapie"/>
        <w:ind w:firstLine="709"/>
        <w:jc w:val="both"/>
        <w:rPr>
          <w:rFonts w:ascii="Verdana" w:hAnsi="Verdana" w:cs="Arial"/>
          <w:sz w:val="16"/>
          <w:szCs w:val="16"/>
        </w:rPr>
      </w:pPr>
      <w:r w:rsidRPr="0042661A">
        <w:rPr>
          <w:rStyle w:val="Refdenotaalpie"/>
          <w:rFonts w:ascii="Verdana" w:hAnsi="Verdana" w:cs="Arial"/>
          <w:sz w:val="16"/>
          <w:szCs w:val="16"/>
        </w:rPr>
        <w:footnoteRef/>
      </w:r>
      <w:r w:rsidRPr="0042661A">
        <w:rPr>
          <w:rFonts w:ascii="Verdana" w:hAnsi="Verdana" w:cs="Arial"/>
          <w:sz w:val="16"/>
          <w:szCs w:val="16"/>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p w14:paraId="0AAF85E0" w14:textId="77777777" w:rsidR="008664D2" w:rsidRPr="0042661A" w:rsidRDefault="008664D2" w:rsidP="008664D2">
      <w:pPr>
        <w:pStyle w:val="Textonotapie"/>
        <w:ind w:firstLine="709"/>
        <w:jc w:val="both"/>
        <w:rPr>
          <w:rFonts w:ascii="Verdana" w:hAnsi="Verdana" w:cs="Arial"/>
          <w:sz w:val="16"/>
          <w:szCs w:val="16"/>
          <w:lang w:val="es-ES_tradnl"/>
        </w:rPr>
      </w:pPr>
    </w:p>
  </w:footnote>
  <w:footnote w:id="5">
    <w:p w14:paraId="0AAFABF5" w14:textId="77777777" w:rsidR="008664D2" w:rsidRPr="0042661A" w:rsidRDefault="008664D2" w:rsidP="008664D2">
      <w:pPr>
        <w:pStyle w:val="Textonotapie"/>
        <w:ind w:firstLine="709"/>
        <w:jc w:val="both"/>
        <w:rPr>
          <w:rFonts w:ascii="Verdana" w:hAnsi="Verdana" w:cs="Arial"/>
          <w:sz w:val="16"/>
          <w:szCs w:val="16"/>
          <w:lang w:val="es-ES"/>
        </w:rPr>
      </w:pPr>
      <w:r w:rsidRPr="0042661A">
        <w:rPr>
          <w:rStyle w:val="Refdenotaalpie"/>
          <w:rFonts w:ascii="Verdana" w:hAnsi="Verdana" w:cs="Arial"/>
          <w:sz w:val="16"/>
          <w:szCs w:val="16"/>
        </w:rPr>
        <w:footnoteRef/>
      </w:r>
      <w:r w:rsidRPr="0042661A">
        <w:rPr>
          <w:rFonts w:ascii="Verdana" w:hAnsi="Verdana" w:cs="Arial"/>
          <w:sz w:val="16"/>
          <w:szCs w:val="16"/>
        </w:rPr>
        <w:t xml:space="preserve"> </w:t>
      </w:r>
      <w:r w:rsidRPr="0042661A">
        <w:rPr>
          <w:rFonts w:ascii="Verdana" w:hAnsi="Verdana" w:cs="Arial"/>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14:paraId="106497B8" w14:textId="77777777" w:rsidR="008664D2" w:rsidRPr="0042661A" w:rsidRDefault="008664D2" w:rsidP="008664D2">
      <w:pPr>
        <w:pStyle w:val="Textonotapie"/>
        <w:ind w:firstLine="709"/>
        <w:jc w:val="both"/>
        <w:rPr>
          <w:rFonts w:ascii="Verdana" w:hAnsi="Verdana" w:cs="Arial"/>
          <w:sz w:val="16"/>
          <w:szCs w:val="16"/>
          <w:lang w:val="es-ES"/>
        </w:rPr>
      </w:pPr>
    </w:p>
  </w:footnote>
  <w:footnote w:id="6">
    <w:p w14:paraId="7E1D2CC8" w14:textId="77777777" w:rsidR="008664D2" w:rsidRDefault="008664D2" w:rsidP="008664D2">
      <w:pPr>
        <w:pStyle w:val="Textonotapie"/>
        <w:ind w:firstLine="709"/>
        <w:jc w:val="both"/>
        <w:rPr>
          <w:rFonts w:ascii="Verdana" w:hAnsi="Verdana" w:cs="Arial"/>
          <w:sz w:val="16"/>
          <w:szCs w:val="16"/>
          <w:lang w:val="es-ES"/>
        </w:rPr>
      </w:pPr>
      <w:r w:rsidRPr="0042661A">
        <w:rPr>
          <w:rStyle w:val="Refdenotaalpie"/>
          <w:rFonts w:ascii="Verdana" w:hAnsi="Verdana" w:cs="Arial"/>
          <w:sz w:val="16"/>
          <w:szCs w:val="16"/>
        </w:rPr>
        <w:footnoteRef/>
      </w:r>
      <w:r w:rsidRPr="0042661A">
        <w:rPr>
          <w:rFonts w:ascii="Verdana" w:hAnsi="Verdana" w:cs="Arial"/>
          <w:sz w:val="16"/>
          <w:szCs w:val="16"/>
        </w:rPr>
        <w:t xml:space="preserve"> </w:t>
      </w:r>
      <w:r w:rsidRPr="0042661A">
        <w:rPr>
          <w:rFonts w:ascii="Verdana" w:hAnsi="Verdana" w:cs="Arial"/>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404BE4AD" w14:textId="77777777" w:rsidR="008664D2" w:rsidRDefault="008664D2" w:rsidP="008664D2">
      <w:pPr>
        <w:pStyle w:val="Textonotapie"/>
        <w:ind w:firstLine="709"/>
        <w:jc w:val="both"/>
        <w:rPr>
          <w:rFonts w:ascii="Verdana" w:hAnsi="Verdana" w:cs="Arial"/>
          <w:sz w:val="16"/>
          <w:szCs w:val="16"/>
          <w:lang w:val="es-ES"/>
        </w:rPr>
      </w:pPr>
      <w:r w:rsidRPr="0042661A">
        <w:rPr>
          <w:rFonts w:ascii="Verdana" w:hAnsi="Verdana" w:cs="Arial"/>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3A90899B" w14:textId="77777777" w:rsidR="008664D2" w:rsidRPr="0042661A" w:rsidRDefault="008664D2" w:rsidP="008664D2">
      <w:pPr>
        <w:pStyle w:val="Textonotapie"/>
        <w:ind w:firstLine="709"/>
        <w:jc w:val="both"/>
        <w:rPr>
          <w:rFonts w:ascii="Verdana" w:hAnsi="Verdana" w:cs="Arial"/>
          <w:sz w:val="16"/>
          <w:szCs w:val="16"/>
          <w:lang w:val="es-ES"/>
        </w:rPr>
      </w:pPr>
      <w:r w:rsidRPr="0042661A">
        <w:rPr>
          <w:rFonts w:ascii="Verdana" w:hAnsi="Verdana" w:cs="Arial"/>
          <w:sz w:val="16"/>
          <w:szCs w:val="16"/>
          <w:lang w:val="es-ES"/>
        </w:rPr>
        <w:t>El Gobierno nacional reglamentará el mecanismo para realizar la mensualización de que trata el presente artículo.</w:t>
      </w:r>
    </w:p>
    <w:p w14:paraId="55FBC118" w14:textId="77777777" w:rsidR="008664D2" w:rsidRDefault="008664D2" w:rsidP="008664D2">
      <w:pPr>
        <w:pStyle w:val="Textonotapie"/>
        <w:ind w:firstLine="709"/>
        <w:jc w:val="both"/>
        <w:rPr>
          <w:rFonts w:ascii="Verdana" w:hAnsi="Verdana" w:cs="Arial"/>
          <w:sz w:val="16"/>
          <w:szCs w:val="16"/>
          <w:lang w:val="pt-BR"/>
        </w:rPr>
      </w:pPr>
      <w:r w:rsidRPr="0042661A">
        <w:rPr>
          <w:rFonts w:ascii="Verdana" w:hAnsi="Verdana" w:cs="Arial"/>
          <w:sz w:val="16"/>
          <w:szCs w:val="16"/>
          <w:lang w:val="pt-BR"/>
        </w:rPr>
        <w:t>[…]”.</w:t>
      </w:r>
    </w:p>
    <w:p w14:paraId="362BA1FE" w14:textId="77777777" w:rsidR="008664D2" w:rsidRPr="0042661A" w:rsidRDefault="008664D2" w:rsidP="008664D2">
      <w:pPr>
        <w:pStyle w:val="Textonotapie"/>
        <w:ind w:firstLine="709"/>
        <w:jc w:val="both"/>
        <w:rPr>
          <w:rFonts w:ascii="Verdana" w:hAnsi="Verdana" w:cs="Arial"/>
          <w:sz w:val="16"/>
          <w:szCs w:val="16"/>
          <w:lang w:val="pt-BR"/>
        </w:rPr>
      </w:pPr>
    </w:p>
  </w:footnote>
  <w:footnote w:id="7">
    <w:p w14:paraId="42F252CF" w14:textId="77777777" w:rsidR="008664D2" w:rsidRPr="0042661A" w:rsidRDefault="008664D2" w:rsidP="008664D2">
      <w:pPr>
        <w:pStyle w:val="Textonotapie"/>
        <w:ind w:firstLine="709"/>
        <w:jc w:val="both"/>
        <w:rPr>
          <w:rFonts w:ascii="Verdana" w:hAnsi="Verdana" w:cs="Arial"/>
          <w:sz w:val="16"/>
          <w:szCs w:val="16"/>
          <w:lang w:val="es-ES"/>
        </w:rPr>
      </w:pPr>
      <w:r w:rsidRPr="0042661A">
        <w:rPr>
          <w:rStyle w:val="Refdenotaalpie"/>
          <w:rFonts w:ascii="Verdana" w:hAnsi="Verdana" w:cs="Arial"/>
          <w:sz w:val="16"/>
          <w:szCs w:val="16"/>
        </w:rPr>
        <w:footnoteRef/>
      </w:r>
      <w:r w:rsidRPr="0042661A">
        <w:rPr>
          <w:rFonts w:ascii="Verdana" w:hAnsi="Verdana" w:cs="Arial"/>
          <w:sz w:val="16"/>
          <w:szCs w:val="16"/>
          <w:lang w:val="pt-BR"/>
        </w:rPr>
        <w:t xml:space="preserve"> Corte Constitucional. Sentencia C-154 de 1997. </w:t>
      </w:r>
      <w:r w:rsidRPr="0042661A">
        <w:rPr>
          <w:rFonts w:ascii="Verdana" w:hAnsi="Verdana" w:cs="Arial"/>
          <w:sz w:val="16"/>
          <w:szCs w:val="16"/>
          <w:lang w:val="es-ES"/>
        </w:rPr>
        <w:t>MP: Hernando Herrera Vergara.</w:t>
      </w:r>
    </w:p>
    <w:p w14:paraId="655F9841" w14:textId="77777777" w:rsidR="008664D2" w:rsidRPr="0042661A" w:rsidRDefault="008664D2" w:rsidP="008664D2">
      <w:pPr>
        <w:pStyle w:val="Textonotapie"/>
        <w:ind w:firstLine="709"/>
        <w:jc w:val="both"/>
        <w:rPr>
          <w:rFonts w:ascii="Verdana" w:hAnsi="Verdana" w:cs="Arial"/>
          <w:sz w:val="16"/>
          <w:szCs w:val="16"/>
          <w:lang w:val="es-ES"/>
        </w:rPr>
      </w:pPr>
    </w:p>
  </w:footnote>
  <w:footnote w:id="8">
    <w:p w14:paraId="1F60D347" w14:textId="77777777" w:rsidR="008664D2" w:rsidRPr="0042661A" w:rsidRDefault="008664D2" w:rsidP="008664D2">
      <w:pPr>
        <w:pStyle w:val="Textonotapie"/>
        <w:ind w:firstLine="709"/>
        <w:jc w:val="both"/>
        <w:rPr>
          <w:rFonts w:ascii="Verdana" w:hAnsi="Verdana" w:cs="Arial"/>
          <w:color w:val="000000" w:themeColor="text1"/>
          <w:sz w:val="16"/>
          <w:szCs w:val="16"/>
          <w:lang w:val="es-CO"/>
        </w:rPr>
      </w:pPr>
      <w:r w:rsidRPr="0042661A">
        <w:rPr>
          <w:rStyle w:val="Refdenotaalpie"/>
          <w:rFonts w:ascii="Verdana" w:hAnsi="Verdana"/>
          <w:sz w:val="16"/>
          <w:szCs w:val="16"/>
        </w:rPr>
        <w:footnoteRef/>
      </w:r>
      <w:r w:rsidRPr="0042661A">
        <w:rPr>
          <w:rFonts w:ascii="Verdana" w:hAnsi="Verdana"/>
          <w:sz w:val="16"/>
          <w:szCs w:val="16"/>
        </w:rPr>
        <w:t xml:space="preserve"> </w:t>
      </w:r>
      <w:r w:rsidRPr="0042661A">
        <w:rPr>
          <w:rFonts w:ascii="Verdana" w:hAnsi="Verdana" w:cs="Arial"/>
          <w:color w:val="000000" w:themeColor="text1"/>
          <w:sz w:val="16"/>
          <w:szCs w:val="16"/>
          <w:lang w:val="es-ES"/>
        </w:rPr>
        <w:t xml:space="preserve">Consejo de Estado. Sección Segunda. Sentencia de Unificación Jurisprudencial </w:t>
      </w:r>
      <w:r w:rsidRPr="0042661A">
        <w:rPr>
          <w:rFonts w:ascii="Verdana" w:hAnsi="Verdana" w:cs="Arial"/>
          <w:color w:val="000000" w:themeColor="text1"/>
          <w:sz w:val="16"/>
          <w:szCs w:val="16"/>
          <w:lang w:val="es-CO"/>
        </w:rPr>
        <w:t>SUJ-025-CE-S2-2021.</w:t>
      </w:r>
      <w:r w:rsidRPr="0042661A">
        <w:rPr>
          <w:rFonts w:ascii="Verdana" w:hAnsi="Verdana" w:cs="Arial"/>
          <w:color w:val="000000" w:themeColor="text1"/>
          <w:sz w:val="16"/>
          <w:szCs w:val="16"/>
          <w:lang w:val="es-ES"/>
        </w:rPr>
        <w:t xml:space="preserve"> Radicado (1317-2016). El numeral primero de la parte resolutiva de la sentencia señala lo siguiente:</w:t>
      </w:r>
      <w:r w:rsidRPr="0042661A">
        <w:rPr>
          <w:rFonts w:ascii="Verdana" w:eastAsia="Times New Roman" w:hAnsi="Verdana" w:cs="Times New Roman"/>
          <w:sz w:val="16"/>
          <w:szCs w:val="16"/>
          <w:lang w:val="es-CO" w:eastAsia="es-ES_tradnl"/>
        </w:rPr>
        <w:t xml:space="preserve"> </w:t>
      </w:r>
      <w:r w:rsidRPr="0042661A">
        <w:rPr>
          <w:rFonts w:ascii="Verdana" w:hAnsi="Verdana" w:cs="Arial"/>
          <w:noProof/>
          <w:sz w:val="16"/>
          <w:szCs w:val="16"/>
          <w:lang w:val="es-ES_tradnl"/>
        </w:rPr>
        <w:t>“</w:t>
      </w:r>
      <w:r w:rsidRPr="0042661A">
        <w:rPr>
          <w:rFonts w:ascii="Verdana" w:hAnsi="Verdana" w:cs="Arial"/>
          <w:color w:val="000000" w:themeColor="text1"/>
          <w:sz w:val="16"/>
          <w:szCs w:val="16"/>
          <w:lang w:val="es-CO"/>
        </w:rPr>
        <w:t xml:space="preserve">Unificar la jurisprudencia de la Sección Segunda del Consejo de Estado, en el sentido de precisar las siguientes reglas en las relaciones laborales encubiertas o subyacentes: </w:t>
      </w:r>
    </w:p>
    <w:p w14:paraId="60960037" w14:textId="77777777" w:rsidR="008664D2" w:rsidRPr="0042661A" w:rsidRDefault="008664D2" w:rsidP="008664D2">
      <w:pPr>
        <w:pStyle w:val="Textonotapie"/>
        <w:ind w:firstLine="709"/>
        <w:jc w:val="both"/>
        <w:rPr>
          <w:rFonts w:ascii="Verdana" w:hAnsi="Verdana" w:cs="Arial"/>
          <w:color w:val="000000" w:themeColor="text1"/>
          <w:sz w:val="16"/>
          <w:szCs w:val="16"/>
          <w:lang w:val="es-CO"/>
        </w:rPr>
      </w:pPr>
      <w:r w:rsidRPr="0042661A">
        <w:rPr>
          <w:rFonts w:ascii="Verdana" w:hAnsi="Verdana" w:cs="Arial"/>
          <w:color w:val="000000" w:themeColor="text1"/>
          <w:sz w:val="16"/>
          <w:szCs w:val="16"/>
          <w:lang w:val="es-CO"/>
        </w:rPr>
        <w:t xml:space="preserve">(i) La primera regla define que el concepto de “término estrictamente indispensable”, al que alude el numeral 3.º del artículo 32 de la Ley 80 de 1993, es el señalado en los estudios previos y en el objeto del contrato, el cual, de acuerdo con el principio de planeación, tiene que estar justificado en la necesidad de la prestación del servicio a favor de la Administración, de forma esencialmente temporal y, de ninguna manera, con ánimo de permanencia. </w:t>
      </w:r>
    </w:p>
    <w:p w14:paraId="75932B5F" w14:textId="77777777" w:rsidR="008664D2" w:rsidRPr="0042661A" w:rsidRDefault="008664D2" w:rsidP="008664D2">
      <w:pPr>
        <w:pStyle w:val="Textonotapie"/>
        <w:ind w:firstLine="709"/>
        <w:jc w:val="both"/>
        <w:rPr>
          <w:rFonts w:ascii="Verdana" w:hAnsi="Verdana" w:cs="Arial"/>
          <w:color w:val="000000" w:themeColor="text1"/>
          <w:sz w:val="16"/>
          <w:szCs w:val="16"/>
          <w:lang w:val="es-CO"/>
        </w:rPr>
      </w:pPr>
      <w:r w:rsidRPr="0042661A">
        <w:rPr>
          <w:rFonts w:ascii="Verdana" w:hAnsi="Verdana" w:cs="Arial"/>
          <w:color w:val="000000" w:themeColor="text1"/>
          <w:sz w:val="16"/>
          <w:szCs w:val="16"/>
          <w:lang w:val="es-CO"/>
        </w:rPr>
        <w:t xml:space="preserve">(ii) La segunda regla establece un periodo de treinta (30) días hábiles, entre la finalización de un contrato y la ejecución del siguiente, como término de la no solución de continuidad, el cual, en los casos que se exceda, podrá flexibilizarse en atención a las especiales circunstancias que el juez encuentre probadas dentro del expediente. </w:t>
      </w:r>
    </w:p>
    <w:p w14:paraId="29F3E335" w14:textId="77777777" w:rsidR="008664D2" w:rsidRPr="0042661A" w:rsidRDefault="008664D2" w:rsidP="008664D2">
      <w:pPr>
        <w:pStyle w:val="Textonotapie"/>
        <w:ind w:firstLine="709"/>
        <w:jc w:val="both"/>
        <w:rPr>
          <w:rFonts w:ascii="Verdana" w:hAnsi="Verdana" w:cs="Arial"/>
          <w:sz w:val="16"/>
          <w:szCs w:val="16"/>
          <w:lang w:val="pt-BR"/>
        </w:rPr>
      </w:pPr>
      <w:r w:rsidRPr="0042661A">
        <w:rPr>
          <w:rFonts w:ascii="Verdana" w:hAnsi="Verdana" w:cs="Arial"/>
          <w:color w:val="000000" w:themeColor="text1"/>
          <w:sz w:val="16"/>
          <w:szCs w:val="16"/>
          <w:lang w:val="es-CO"/>
        </w:rPr>
        <w:t>(iii) La tercera regla determina que frente a la no afiliación al sistema de la Seguridad Social en salud, por parte de la Administración, es improcedente la devolución de los valores que el contratista hubiese asumido de más, en tanto se recaudaron como recursos de naturaleza parafiscal</w:t>
      </w:r>
      <w:r w:rsidRPr="0042661A">
        <w:rPr>
          <w:rFonts w:ascii="Verdana" w:hAnsi="Verdana" w:cs="Arial"/>
          <w:sz w:val="16"/>
          <w:szCs w:val="16"/>
          <w:lang w:val="pt-BR"/>
        </w:rPr>
        <w:t>”.</w:t>
      </w:r>
    </w:p>
    <w:p w14:paraId="0C60404C" w14:textId="77777777" w:rsidR="008664D2" w:rsidRPr="0042661A" w:rsidRDefault="008664D2" w:rsidP="008664D2">
      <w:pPr>
        <w:pStyle w:val="Textonotapie"/>
        <w:ind w:firstLine="709"/>
        <w:jc w:val="both"/>
        <w:rPr>
          <w:rFonts w:ascii="Verdana" w:hAnsi="Verdana"/>
          <w:sz w:val="16"/>
          <w:szCs w:val="16"/>
          <w:lang w:val="es-CO"/>
        </w:rPr>
      </w:pPr>
    </w:p>
  </w:footnote>
  <w:footnote w:id="9">
    <w:p w14:paraId="638F677E" w14:textId="77777777" w:rsidR="008664D2" w:rsidRPr="0042661A" w:rsidRDefault="008664D2" w:rsidP="008664D2">
      <w:pPr>
        <w:pStyle w:val="Textonotapie"/>
        <w:ind w:firstLine="709"/>
        <w:jc w:val="both"/>
        <w:rPr>
          <w:rFonts w:ascii="Verdana" w:hAnsi="Verdana" w:cs="Arial"/>
          <w:sz w:val="16"/>
          <w:szCs w:val="16"/>
        </w:rPr>
      </w:pPr>
      <w:r w:rsidRPr="0042661A">
        <w:rPr>
          <w:rStyle w:val="Refdenotaalpie"/>
          <w:rFonts w:ascii="Verdana" w:hAnsi="Verdana" w:cs="Arial"/>
          <w:sz w:val="16"/>
          <w:szCs w:val="16"/>
        </w:rPr>
        <w:footnoteRef/>
      </w:r>
      <w:r w:rsidRPr="0042661A">
        <w:rPr>
          <w:rFonts w:ascii="Verdana" w:hAnsi="Verdana" w:cs="Arial"/>
          <w:sz w:val="16"/>
          <w:szCs w:val="16"/>
        </w:rPr>
        <w:t xml:space="preserve"> Particularmente, sobre la regla de unificación número 2, el Consejo de Estado explica que “[…] si no están dados los presupuestos establecidos en el artículo 23 del Código Sustantivo del Trabajo, no puede hablarse de una relación laboral encubierta. Por lo tanto, el término de treinta (30) días hábiles, a que alude la segunda regla de unificación, tal como se dijo en la sentencia del 9 de septiembre de 2021, debe entenderse como un indicador temporal para inferir que no hay solución de continuidad entre un contrato y otro sucedáneo, y </w:t>
      </w:r>
      <w:r w:rsidRPr="0042661A">
        <w:rPr>
          <w:rFonts w:ascii="Verdana" w:hAnsi="Verdana" w:cs="Arial"/>
          <w:b/>
          <w:bCs/>
          <w:sz w:val="16"/>
          <w:szCs w:val="16"/>
        </w:rPr>
        <w:t>solo para efectos de la prescripción de derechos laborales</w:t>
      </w:r>
      <w:r w:rsidRPr="0042661A">
        <w:rPr>
          <w:rFonts w:ascii="Verdana" w:hAnsi="Verdana" w:cs="Arial"/>
          <w:sz w:val="16"/>
          <w:szCs w:val="16"/>
        </w:rPr>
        <w:t>” (Énfasis dentro del texto).</w:t>
      </w:r>
    </w:p>
    <w:p w14:paraId="0F823C58" w14:textId="77777777" w:rsidR="008664D2" w:rsidRPr="0042661A" w:rsidRDefault="008664D2" w:rsidP="008664D2">
      <w:pPr>
        <w:pStyle w:val="Textonotapie"/>
        <w:ind w:firstLine="709"/>
        <w:jc w:val="both"/>
        <w:rPr>
          <w:rFonts w:ascii="Verdana" w:hAnsi="Verdana"/>
          <w:sz w:val="16"/>
          <w:szCs w:val="16"/>
        </w:rPr>
      </w:pPr>
    </w:p>
  </w:footnote>
  <w:footnote w:id="10">
    <w:p w14:paraId="1251C135" w14:textId="77777777" w:rsidR="008664D2" w:rsidRPr="0042661A" w:rsidRDefault="008664D2" w:rsidP="008664D2">
      <w:pPr>
        <w:pStyle w:val="Textonotapie"/>
        <w:ind w:firstLine="709"/>
        <w:jc w:val="both"/>
        <w:rPr>
          <w:rFonts w:ascii="Verdana" w:hAnsi="Verdana" w:cs="Arial"/>
          <w:sz w:val="16"/>
          <w:szCs w:val="16"/>
          <w:lang w:val="es-ES"/>
        </w:rPr>
      </w:pPr>
      <w:r w:rsidRPr="0042661A">
        <w:rPr>
          <w:rStyle w:val="Refdenotaalpie"/>
          <w:rFonts w:ascii="Verdana" w:hAnsi="Verdana" w:cs="Arial"/>
          <w:sz w:val="16"/>
          <w:szCs w:val="16"/>
        </w:rPr>
        <w:footnoteRef/>
      </w:r>
      <w:r w:rsidRPr="0042661A">
        <w:rPr>
          <w:rFonts w:ascii="Verdana" w:hAnsi="Verdana" w:cs="Arial"/>
          <w:sz w:val="16"/>
          <w:szCs w:val="16"/>
        </w:rPr>
        <w:t xml:space="preserve"> </w:t>
      </w:r>
      <w:r w:rsidRPr="0042661A">
        <w:rPr>
          <w:rFonts w:ascii="Verdana" w:hAnsi="Verdana" w:cs="Arial"/>
          <w:sz w:val="16"/>
          <w:szCs w:val="16"/>
          <w:lang w:val="es-ES"/>
        </w:rPr>
        <w:t>Ibíd.</w:t>
      </w:r>
    </w:p>
    <w:p w14:paraId="656DBB6F" w14:textId="77777777" w:rsidR="008664D2" w:rsidRPr="0042661A" w:rsidRDefault="008664D2" w:rsidP="008664D2">
      <w:pPr>
        <w:pStyle w:val="Textonotapie"/>
        <w:ind w:firstLine="709"/>
        <w:jc w:val="both"/>
        <w:rPr>
          <w:rFonts w:ascii="Verdana" w:hAnsi="Verdana" w:cs="Arial"/>
          <w:sz w:val="16"/>
          <w:szCs w:val="16"/>
          <w:lang w:val="es-ES"/>
        </w:rPr>
      </w:pPr>
    </w:p>
  </w:footnote>
  <w:footnote w:id="11">
    <w:p w14:paraId="3DBC7F78" w14:textId="77777777" w:rsidR="008664D2" w:rsidRPr="0042661A" w:rsidRDefault="008664D2" w:rsidP="008664D2">
      <w:pPr>
        <w:pStyle w:val="Textonotapie"/>
        <w:ind w:firstLine="709"/>
        <w:jc w:val="both"/>
        <w:rPr>
          <w:rFonts w:ascii="Verdana" w:hAnsi="Verdana" w:cs="Arial"/>
          <w:sz w:val="16"/>
          <w:szCs w:val="16"/>
        </w:rPr>
      </w:pPr>
      <w:r w:rsidRPr="0042661A">
        <w:rPr>
          <w:rStyle w:val="Refdenotaalpie"/>
          <w:rFonts w:ascii="Verdana" w:hAnsi="Verdana" w:cs="Arial"/>
          <w:sz w:val="16"/>
          <w:szCs w:val="16"/>
        </w:rPr>
        <w:footnoteRef/>
      </w:r>
      <w:r w:rsidRPr="0042661A">
        <w:rPr>
          <w:rFonts w:ascii="Verdana" w:hAnsi="Verdana" w:cs="Arial"/>
          <w:sz w:val="16"/>
          <w:szCs w:val="16"/>
        </w:rPr>
        <w:t xml:space="preserve"> </w:t>
      </w:r>
      <w:r w:rsidRPr="0042661A">
        <w:rPr>
          <w:rFonts w:ascii="Verdana" w:hAnsi="Verdana" w:cs="Arial"/>
          <w:color w:val="000000" w:themeColor="text1"/>
          <w:sz w:val="16"/>
          <w:szCs w:val="16"/>
          <w:lang w:val="es-ES"/>
        </w:rPr>
        <w:t>CONSEJO DE ESTADO. Sección Tercera. Subsección C. Sentencia de Unificación del 2 de diciembre de 2013. Exp. 41.719. C.P. Jaime Orlando Santofimio Gamboa.</w:t>
      </w:r>
      <w:r w:rsidRPr="0042661A">
        <w:rPr>
          <w:rFonts w:ascii="Verdana" w:hAnsi="Verdana" w:cs="Arial"/>
          <w:sz w:val="16"/>
          <w:szCs w:val="16"/>
        </w:rPr>
        <w:t xml:space="preserve"> </w:t>
      </w:r>
    </w:p>
    <w:p w14:paraId="0372F8E3" w14:textId="77777777" w:rsidR="008664D2" w:rsidRPr="0042661A" w:rsidRDefault="008664D2" w:rsidP="008664D2">
      <w:pPr>
        <w:pStyle w:val="Textonotapie"/>
        <w:ind w:firstLine="709"/>
        <w:jc w:val="both"/>
        <w:rPr>
          <w:rFonts w:ascii="Verdana" w:hAnsi="Verdana" w:cs="Arial"/>
          <w:sz w:val="16"/>
          <w:szCs w:val="16"/>
          <w:lang w:val="es-ES"/>
        </w:rPr>
      </w:pPr>
      <w:r w:rsidRPr="0042661A">
        <w:rPr>
          <w:rFonts w:ascii="Verdana" w:hAnsi="Verdana" w:cs="Arial"/>
          <w:sz w:val="16"/>
          <w:szCs w:val="16"/>
          <w:lang w:val="es-ES"/>
        </w:rPr>
        <w:t>Además,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6CC2CB38" w14:textId="77777777" w:rsidR="008664D2" w:rsidRPr="0042661A" w:rsidRDefault="008664D2" w:rsidP="008664D2">
      <w:pPr>
        <w:pStyle w:val="Textonotapie"/>
        <w:ind w:firstLine="709"/>
        <w:jc w:val="both"/>
        <w:rPr>
          <w:rFonts w:ascii="Verdana" w:hAnsi="Verdana" w:cs="Arial"/>
          <w:sz w:val="16"/>
          <w:szCs w:val="16"/>
          <w:lang w:val="es-ES"/>
        </w:rPr>
      </w:pPr>
      <w:r w:rsidRPr="0042661A">
        <w:rPr>
          <w:rFonts w:ascii="Verdana" w:hAnsi="Verdana" w:cs="Arial"/>
          <w:sz w:val="16"/>
          <w:szCs w:val="16"/>
          <w:lang w:val="es-ES"/>
        </w:rPr>
        <w:t>Son también contratos de consultoría los que tienen por objeto la interventoría, asesoría, gerencia de obra o de proyectos, dirección, programación y la ejecución de diseños, planos, anteproyectos y proyectos.</w:t>
      </w:r>
    </w:p>
    <w:p w14:paraId="07FB0A60" w14:textId="77777777" w:rsidR="008664D2" w:rsidRPr="0042661A" w:rsidRDefault="008664D2" w:rsidP="008664D2">
      <w:pPr>
        <w:pStyle w:val="Textonotapie"/>
        <w:ind w:firstLine="709"/>
        <w:jc w:val="both"/>
        <w:rPr>
          <w:rFonts w:ascii="Verdana" w:hAnsi="Verdana" w:cs="Arial"/>
          <w:sz w:val="16"/>
          <w:szCs w:val="16"/>
          <w:lang w:val="es-ES"/>
        </w:rPr>
      </w:pPr>
      <w:r w:rsidRPr="0042661A">
        <w:rPr>
          <w:rFonts w:ascii="Verdana" w:hAnsi="Verdana" w:cs="Arial"/>
          <w:sz w:val="16"/>
          <w:szCs w:val="16"/>
          <w:lang w:val="es-ES"/>
        </w:rPr>
        <w:t>Ninguna orden del interventor de una obra podrá darse verbalmente. Es obligatorio para el interventor entregar por escrito sus órdenes o sugerencias y ellas deben enmarcarse dentro de los términos del respectivo contrato”.</w:t>
      </w:r>
    </w:p>
    <w:p w14:paraId="44C9AF0F" w14:textId="77777777" w:rsidR="008664D2" w:rsidRPr="0042661A" w:rsidRDefault="008664D2" w:rsidP="008664D2">
      <w:pPr>
        <w:pStyle w:val="Textonotapie"/>
        <w:ind w:firstLine="709"/>
        <w:jc w:val="both"/>
        <w:rPr>
          <w:rFonts w:ascii="Verdana" w:hAnsi="Verdana" w:cs="Arial"/>
          <w:sz w:val="16"/>
          <w:szCs w:val="16"/>
          <w:lang w:val="es-ES"/>
        </w:rPr>
      </w:pPr>
    </w:p>
  </w:footnote>
  <w:footnote w:id="12">
    <w:p w14:paraId="084DB668" w14:textId="77777777" w:rsidR="008664D2" w:rsidRPr="0042661A" w:rsidRDefault="008664D2" w:rsidP="008664D2">
      <w:pPr>
        <w:pStyle w:val="Textonotapie"/>
        <w:ind w:firstLine="709"/>
        <w:jc w:val="both"/>
        <w:rPr>
          <w:rFonts w:ascii="Verdana" w:hAnsi="Verdana" w:cs="Arial"/>
          <w:sz w:val="16"/>
          <w:szCs w:val="16"/>
          <w:lang w:val="es-ES"/>
        </w:rPr>
      </w:pPr>
      <w:r w:rsidRPr="0042661A">
        <w:rPr>
          <w:rStyle w:val="Refdenotaalpie"/>
          <w:rFonts w:ascii="Verdana" w:hAnsi="Verdana" w:cs="Arial"/>
          <w:sz w:val="16"/>
          <w:szCs w:val="16"/>
        </w:rPr>
        <w:footnoteRef/>
      </w:r>
      <w:r w:rsidRPr="0042661A">
        <w:rPr>
          <w:rFonts w:ascii="Verdana" w:hAnsi="Verdana" w:cs="Arial"/>
          <w:sz w:val="16"/>
          <w:szCs w:val="16"/>
        </w:rPr>
        <w:t xml:space="preserve"> </w:t>
      </w:r>
      <w:r w:rsidRPr="0042661A">
        <w:rPr>
          <w:rFonts w:ascii="Verdana" w:hAnsi="Verdana" w:cs="Arial"/>
          <w:sz w:val="16"/>
          <w:szCs w:val="16"/>
          <w:lang w:val="es-ES"/>
        </w:rPr>
        <w:t>Así lo dispone el artículo 2.2.1.2.1.4.1. del Decreto 1082 de 2015: “La Entidad Estatal debe señalar en un acto administrativo la justificación para contratar bajo la modalidad de contratación directa, el cual debe contener:</w:t>
      </w:r>
    </w:p>
    <w:p w14:paraId="285B7319" w14:textId="77777777" w:rsidR="008664D2" w:rsidRPr="0042661A" w:rsidRDefault="008664D2" w:rsidP="008664D2">
      <w:pPr>
        <w:pStyle w:val="Textonotapie"/>
        <w:ind w:firstLine="709"/>
        <w:jc w:val="both"/>
        <w:rPr>
          <w:rFonts w:ascii="Verdana" w:hAnsi="Verdana" w:cs="Arial"/>
          <w:sz w:val="16"/>
          <w:szCs w:val="16"/>
          <w:lang w:val="es-ES"/>
        </w:rPr>
      </w:pPr>
      <w:r w:rsidRPr="0042661A">
        <w:rPr>
          <w:rFonts w:ascii="Verdana" w:hAnsi="Verdana" w:cs="Arial"/>
          <w:sz w:val="16"/>
          <w:szCs w:val="16"/>
          <w:lang w:val="es-ES"/>
        </w:rPr>
        <w:t>1. La causal que invoca para contratar directamente.</w:t>
      </w:r>
    </w:p>
    <w:p w14:paraId="575B4C37" w14:textId="77777777" w:rsidR="008664D2" w:rsidRPr="0042661A" w:rsidRDefault="008664D2" w:rsidP="008664D2">
      <w:pPr>
        <w:pStyle w:val="Textonotapie"/>
        <w:ind w:firstLine="709"/>
        <w:jc w:val="both"/>
        <w:rPr>
          <w:rFonts w:ascii="Verdana" w:hAnsi="Verdana" w:cs="Arial"/>
          <w:sz w:val="16"/>
          <w:szCs w:val="16"/>
          <w:lang w:val="es-ES"/>
        </w:rPr>
      </w:pPr>
      <w:r w:rsidRPr="0042661A">
        <w:rPr>
          <w:rFonts w:ascii="Verdana" w:hAnsi="Verdana" w:cs="Arial"/>
          <w:sz w:val="16"/>
          <w:szCs w:val="16"/>
          <w:lang w:val="es-ES"/>
        </w:rPr>
        <w:t>2. El objeto del contrato.</w:t>
      </w:r>
    </w:p>
    <w:p w14:paraId="6487B46B" w14:textId="77777777" w:rsidR="008664D2" w:rsidRPr="0042661A" w:rsidRDefault="008664D2" w:rsidP="008664D2">
      <w:pPr>
        <w:pStyle w:val="Textonotapie"/>
        <w:ind w:firstLine="709"/>
        <w:jc w:val="both"/>
        <w:rPr>
          <w:rFonts w:ascii="Verdana" w:hAnsi="Verdana" w:cs="Arial"/>
          <w:sz w:val="16"/>
          <w:szCs w:val="16"/>
          <w:lang w:val="es-ES"/>
        </w:rPr>
      </w:pPr>
      <w:r w:rsidRPr="0042661A">
        <w:rPr>
          <w:rFonts w:ascii="Verdana" w:hAnsi="Verdana" w:cs="Arial"/>
          <w:sz w:val="16"/>
          <w:szCs w:val="16"/>
          <w:lang w:val="es-ES"/>
        </w:rPr>
        <w:t>3. El presupuesto para la contratación y las condiciones que exigirá al contratista.</w:t>
      </w:r>
    </w:p>
    <w:p w14:paraId="45214FED" w14:textId="77777777" w:rsidR="008664D2" w:rsidRPr="0042661A" w:rsidRDefault="008664D2" w:rsidP="008664D2">
      <w:pPr>
        <w:pStyle w:val="Textonotapie"/>
        <w:ind w:firstLine="709"/>
        <w:jc w:val="both"/>
        <w:rPr>
          <w:rFonts w:ascii="Verdana" w:hAnsi="Verdana" w:cs="Arial"/>
          <w:sz w:val="16"/>
          <w:szCs w:val="16"/>
          <w:lang w:val="es-ES"/>
        </w:rPr>
      </w:pPr>
      <w:r w:rsidRPr="0042661A">
        <w:rPr>
          <w:rFonts w:ascii="Verdana" w:hAnsi="Verdana" w:cs="Arial"/>
          <w:sz w:val="16"/>
          <w:szCs w:val="16"/>
          <w:lang w:val="es-ES"/>
        </w:rPr>
        <w:t>4. El lugar en el cual los interesados pueden consultar los estudios y documentos previos.</w:t>
      </w:r>
    </w:p>
    <w:p w14:paraId="2A0415E2" w14:textId="77777777" w:rsidR="008664D2" w:rsidRPr="0042661A" w:rsidRDefault="008664D2" w:rsidP="008664D2">
      <w:pPr>
        <w:pStyle w:val="Textonotapie"/>
        <w:ind w:firstLine="709"/>
        <w:jc w:val="both"/>
        <w:rPr>
          <w:rFonts w:ascii="Verdana" w:hAnsi="Verdana" w:cs="Arial"/>
          <w:sz w:val="16"/>
          <w:szCs w:val="16"/>
          <w:lang w:val="es-ES"/>
        </w:rPr>
      </w:pPr>
      <w:r w:rsidRPr="0042661A">
        <w:rPr>
          <w:rFonts w:ascii="Verdana" w:hAnsi="Verdana" w:cs="Arial"/>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3">
    <w:p w14:paraId="79C85052" w14:textId="77777777" w:rsidR="008664D2" w:rsidRPr="0042661A" w:rsidRDefault="008664D2" w:rsidP="008664D2">
      <w:pPr>
        <w:pStyle w:val="Textonotapie"/>
        <w:ind w:firstLine="709"/>
        <w:jc w:val="both"/>
        <w:rPr>
          <w:rFonts w:ascii="Verdana" w:hAnsi="Verdana" w:cs="Arial"/>
          <w:sz w:val="16"/>
          <w:szCs w:val="16"/>
        </w:rPr>
      </w:pPr>
    </w:p>
    <w:p w14:paraId="14BE5619" w14:textId="77777777" w:rsidR="008664D2" w:rsidRPr="0042661A" w:rsidRDefault="008664D2" w:rsidP="008664D2">
      <w:pPr>
        <w:pStyle w:val="Textonotapie"/>
        <w:ind w:firstLine="709"/>
        <w:jc w:val="both"/>
        <w:rPr>
          <w:rFonts w:ascii="Verdana" w:hAnsi="Verdana" w:cs="Arial"/>
          <w:sz w:val="16"/>
          <w:szCs w:val="16"/>
          <w:lang w:val="es-ES"/>
        </w:rPr>
      </w:pPr>
      <w:r w:rsidRPr="0042661A">
        <w:rPr>
          <w:rStyle w:val="Refdenotaalpie"/>
          <w:rFonts w:ascii="Verdana" w:hAnsi="Verdana" w:cs="Arial"/>
          <w:sz w:val="16"/>
          <w:szCs w:val="16"/>
        </w:rPr>
        <w:footnoteRef/>
      </w:r>
      <w:r w:rsidRPr="0042661A">
        <w:rPr>
          <w:rFonts w:ascii="Verdana" w:hAnsi="Verdana" w:cs="Arial"/>
          <w:sz w:val="16"/>
          <w:szCs w:val="16"/>
        </w:rPr>
        <w:t xml:space="preserve"> </w:t>
      </w:r>
      <w:r w:rsidRPr="0042661A">
        <w:rPr>
          <w:rFonts w:ascii="Verdana" w:hAnsi="Verdana" w:cs="Arial"/>
          <w:sz w:val="16"/>
          <w:szCs w:val="16"/>
          <w:lang w:val="es-ES"/>
        </w:rPr>
        <w:t xml:space="preserve">La norma expresa: “Art. 14. </w:t>
      </w:r>
      <w:r w:rsidRPr="0042661A">
        <w:rPr>
          <w:rFonts w:ascii="Verdana" w:hAnsi="Verdana" w:cs="Arial"/>
          <w:sz w:val="16"/>
          <w:szCs w:val="16"/>
        </w:rPr>
        <w:t>P</w:t>
      </w:r>
      <w:r w:rsidRPr="0042661A">
        <w:rPr>
          <w:rFonts w:ascii="Verdana" w:hAnsi="Verdana" w:cs="Arial"/>
          <w:sz w:val="16"/>
          <w:szCs w:val="16"/>
          <w:lang w:val="es-ES"/>
        </w:rPr>
        <w:t>ara el cumplimiento de los fines de la contratación, las entidades estatales al celebrar un contrato:</w:t>
      </w:r>
    </w:p>
    <w:p w14:paraId="64F9BDBE" w14:textId="77777777" w:rsidR="008664D2" w:rsidRPr="0042661A" w:rsidRDefault="008664D2" w:rsidP="008664D2">
      <w:pPr>
        <w:pStyle w:val="Textonotapie"/>
        <w:ind w:firstLine="709"/>
        <w:jc w:val="both"/>
        <w:rPr>
          <w:rFonts w:ascii="Verdana" w:hAnsi="Verdana" w:cs="Arial"/>
          <w:sz w:val="16"/>
          <w:szCs w:val="16"/>
          <w:lang w:val="es-ES"/>
        </w:rPr>
      </w:pPr>
      <w:r w:rsidRPr="0042661A">
        <w:rPr>
          <w:rFonts w:ascii="Verdana" w:hAnsi="Verdana" w:cs="Arial"/>
          <w:sz w:val="16"/>
          <w:szCs w:val="16"/>
          <w:lang w:val="es-ES"/>
        </w:rPr>
        <w:t>[…]</w:t>
      </w:r>
    </w:p>
    <w:p w14:paraId="5BF118DC" w14:textId="77777777" w:rsidR="008664D2" w:rsidRPr="0042661A" w:rsidRDefault="008664D2" w:rsidP="008664D2">
      <w:pPr>
        <w:pStyle w:val="Textonotapie"/>
        <w:ind w:firstLine="709"/>
        <w:jc w:val="both"/>
        <w:rPr>
          <w:rFonts w:ascii="Verdana" w:hAnsi="Verdana" w:cs="Arial"/>
          <w:sz w:val="16"/>
          <w:szCs w:val="16"/>
          <w:lang w:val="es-ES"/>
        </w:rPr>
      </w:pPr>
      <w:r w:rsidRPr="0042661A">
        <w:rPr>
          <w:rFonts w:ascii="Verdana" w:hAnsi="Verdana" w:cs="Arial"/>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los contratos relacionados con el programa de alimentación escolar o la explotación y concesión de bienes del Estado, así como en los contratos de obra. En los contratos de explotación y concesión de bienes del Estado se incluirá la cláusula de reversión.</w:t>
      </w:r>
    </w:p>
    <w:p w14:paraId="4B538CE8" w14:textId="77777777" w:rsidR="008664D2" w:rsidRPr="0042661A" w:rsidRDefault="008664D2" w:rsidP="008664D2">
      <w:pPr>
        <w:pStyle w:val="Textonotapie"/>
        <w:ind w:firstLine="709"/>
        <w:jc w:val="both"/>
        <w:rPr>
          <w:rFonts w:ascii="Verdana" w:hAnsi="Verdana" w:cs="Arial"/>
          <w:sz w:val="16"/>
          <w:szCs w:val="16"/>
          <w:lang w:val="es-ES"/>
        </w:rPr>
      </w:pPr>
      <w:r w:rsidRPr="0042661A">
        <w:rPr>
          <w:rFonts w:ascii="Verdana" w:hAnsi="Verdana" w:cs="Arial"/>
          <w:sz w:val="16"/>
          <w:szCs w:val="16"/>
          <w:lang w:val="es-ES"/>
        </w:rPr>
        <w:t>Las entidades estatales podrán pactar estas cláusulas en los contratos de suministro y de prestación de servicios.</w:t>
      </w:r>
    </w:p>
    <w:p w14:paraId="5F518A14" w14:textId="77777777" w:rsidR="008664D2" w:rsidRPr="0042661A" w:rsidRDefault="008664D2" w:rsidP="008664D2">
      <w:pPr>
        <w:pStyle w:val="Textonotapie"/>
        <w:ind w:firstLine="709"/>
        <w:jc w:val="both"/>
        <w:rPr>
          <w:rFonts w:ascii="Verdana" w:hAnsi="Verdana" w:cs="Arial"/>
          <w:sz w:val="16"/>
          <w:szCs w:val="16"/>
          <w:lang w:val="es-ES"/>
        </w:rPr>
      </w:pPr>
      <w:r w:rsidRPr="0042661A">
        <w:rPr>
          <w:rFonts w:ascii="Verdana" w:hAnsi="Verdana" w:cs="Arial"/>
          <w:sz w:val="16"/>
          <w:szCs w:val="16"/>
          <w:lang w:val="es-ES"/>
        </w:rPr>
        <w:t>[…]”.</w:t>
      </w:r>
    </w:p>
    <w:p w14:paraId="562B0D63" w14:textId="77777777" w:rsidR="008664D2" w:rsidRPr="0042661A" w:rsidRDefault="008664D2" w:rsidP="008664D2">
      <w:pPr>
        <w:pStyle w:val="Textonotapie"/>
        <w:ind w:firstLine="709"/>
        <w:jc w:val="both"/>
        <w:rPr>
          <w:rFonts w:ascii="Verdana" w:hAnsi="Verdana" w:cs="Arial"/>
          <w:sz w:val="16"/>
          <w:szCs w:val="16"/>
          <w:lang w:val="es-ES"/>
        </w:rPr>
      </w:pPr>
    </w:p>
  </w:footnote>
  <w:footnote w:id="14">
    <w:p w14:paraId="4CAD6CED" w14:textId="77777777" w:rsidR="008664D2" w:rsidRPr="0042661A" w:rsidRDefault="008664D2" w:rsidP="008664D2">
      <w:pPr>
        <w:pStyle w:val="Textonotapie"/>
        <w:ind w:firstLine="709"/>
        <w:jc w:val="both"/>
        <w:rPr>
          <w:rFonts w:ascii="Verdana" w:hAnsi="Verdana" w:cs="Arial"/>
          <w:sz w:val="16"/>
          <w:szCs w:val="16"/>
          <w:lang w:val="es-ES"/>
        </w:rPr>
      </w:pPr>
      <w:r w:rsidRPr="0042661A">
        <w:rPr>
          <w:rStyle w:val="Refdenotaalpie"/>
          <w:rFonts w:ascii="Verdana" w:hAnsi="Verdana" w:cs="Arial"/>
          <w:sz w:val="16"/>
          <w:szCs w:val="16"/>
        </w:rPr>
        <w:footnoteRef/>
      </w:r>
      <w:r w:rsidRPr="0042661A">
        <w:rPr>
          <w:rFonts w:ascii="Verdana" w:hAnsi="Verdana" w:cs="Arial"/>
          <w:sz w:val="16"/>
          <w:szCs w:val="16"/>
        </w:rPr>
        <w:t xml:space="preserve"> </w:t>
      </w:r>
      <w:r w:rsidRPr="0042661A">
        <w:rPr>
          <w:rFonts w:ascii="Verdana" w:hAnsi="Verdana" w:cs="Arial"/>
          <w:sz w:val="16"/>
          <w:szCs w:val="16"/>
          <w:lang w:val="es-ES"/>
        </w:rPr>
        <w:t>La norma dispone: “La liquidación a que se refiere el presente artículo no será obligatoria en los contratos de prestación de servicios profesionales y de apoyo a la gestión”.</w:t>
      </w:r>
    </w:p>
    <w:p w14:paraId="34389165" w14:textId="77777777" w:rsidR="008664D2" w:rsidRPr="0042661A" w:rsidRDefault="008664D2" w:rsidP="008664D2">
      <w:pPr>
        <w:pStyle w:val="Textonotapie"/>
        <w:ind w:firstLine="709"/>
        <w:jc w:val="both"/>
        <w:rPr>
          <w:rFonts w:ascii="Verdana" w:hAnsi="Verdana" w:cs="Arial"/>
          <w:sz w:val="16"/>
          <w:szCs w:val="16"/>
          <w:lang w:val="es-ES"/>
        </w:rPr>
      </w:pPr>
    </w:p>
  </w:footnote>
  <w:footnote w:id="15">
    <w:p w14:paraId="792EAC99" w14:textId="77777777" w:rsidR="008664D2" w:rsidRPr="0042661A" w:rsidRDefault="008664D2" w:rsidP="008664D2">
      <w:pPr>
        <w:pStyle w:val="Textonotapie"/>
        <w:ind w:firstLine="709"/>
        <w:jc w:val="both"/>
        <w:rPr>
          <w:rFonts w:ascii="Verdana" w:hAnsi="Verdana" w:cs="Arial"/>
          <w:sz w:val="16"/>
          <w:szCs w:val="16"/>
        </w:rPr>
      </w:pPr>
      <w:r w:rsidRPr="0042661A">
        <w:rPr>
          <w:rStyle w:val="Refdenotaalpie"/>
          <w:rFonts w:ascii="Verdana" w:hAnsi="Verdana" w:cs="Arial"/>
          <w:sz w:val="16"/>
          <w:szCs w:val="16"/>
        </w:rPr>
        <w:footnoteRef/>
      </w:r>
      <w:r w:rsidRPr="0042661A">
        <w:rPr>
          <w:rFonts w:ascii="Verdana" w:hAnsi="Verdana" w:cs="Arial"/>
          <w:sz w:val="16"/>
          <w:szCs w:val="16"/>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0EA072C7" w14:textId="77777777" w:rsidR="008664D2" w:rsidRPr="0042661A" w:rsidRDefault="008664D2" w:rsidP="008664D2">
      <w:pPr>
        <w:pStyle w:val="Textonotapie"/>
        <w:ind w:firstLine="709"/>
        <w:jc w:val="both"/>
        <w:rPr>
          <w:rFonts w:ascii="Verdana" w:hAnsi="Verdana" w:cs="Arial"/>
          <w:sz w:val="16"/>
          <w:szCs w:val="16"/>
        </w:rPr>
      </w:pPr>
      <w:r w:rsidRPr="0042661A">
        <w:rPr>
          <w:rFonts w:ascii="Verdana" w:hAnsi="Verdana" w:cs="Arial"/>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3C60063F" w14:textId="77777777" w:rsidR="008664D2" w:rsidRDefault="008664D2" w:rsidP="008664D2">
      <w:pPr>
        <w:pStyle w:val="Textonotapie"/>
        <w:ind w:firstLine="709"/>
        <w:jc w:val="both"/>
        <w:rPr>
          <w:rFonts w:ascii="Verdana" w:hAnsi="Verdana" w:cs="Arial"/>
          <w:sz w:val="16"/>
          <w:szCs w:val="16"/>
        </w:rPr>
      </w:pPr>
      <w:r w:rsidRPr="0042661A">
        <w:rPr>
          <w:rFonts w:ascii="Verdana" w:hAnsi="Verdana" w:cs="Arial"/>
          <w:sz w:val="16"/>
          <w:szCs w:val="16"/>
        </w:rPr>
        <w:t>[…]”.</w:t>
      </w:r>
    </w:p>
    <w:p w14:paraId="4ADC8371" w14:textId="77777777" w:rsidR="008664D2" w:rsidRPr="0042661A" w:rsidRDefault="008664D2" w:rsidP="008664D2">
      <w:pPr>
        <w:pStyle w:val="Textonotapie"/>
        <w:ind w:firstLine="709"/>
        <w:jc w:val="both"/>
        <w:rPr>
          <w:rFonts w:ascii="Verdana" w:hAnsi="Verdana" w:cs="Arial"/>
          <w:sz w:val="16"/>
          <w:szCs w:val="16"/>
          <w:lang w:val="es-ES"/>
        </w:rPr>
      </w:pPr>
    </w:p>
  </w:footnote>
  <w:footnote w:id="16">
    <w:p w14:paraId="08AB56C1" w14:textId="77777777" w:rsidR="008664D2" w:rsidRPr="0042661A" w:rsidRDefault="008664D2" w:rsidP="008664D2">
      <w:pPr>
        <w:pStyle w:val="Textonotapie"/>
        <w:ind w:firstLine="709"/>
        <w:jc w:val="both"/>
        <w:rPr>
          <w:rFonts w:ascii="Verdana" w:hAnsi="Verdana" w:cs="Arial"/>
          <w:sz w:val="16"/>
          <w:szCs w:val="16"/>
          <w:lang w:val="es-ES"/>
        </w:rPr>
      </w:pPr>
      <w:r w:rsidRPr="0042661A">
        <w:rPr>
          <w:rStyle w:val="Refdenotaalpie"/>
          <w:rFonts w:ascii="Verdana" w:hAnsi="Verdana" w:cs="Arial"/>
          <w:sz w:val="16"/>
          <w:szCs w:val="16"/>
        </w:rPr>
        <w:footnoteRef/>
      </w:r>
      <w:r w:rsidRPr="0042661A">
        <w:rPr>
          <w:rFonts w:ascii="Verdana" w:hAnsi="Verdana" w:cs="Arial"/>
          <w:sz w:val="16"/>
          <w:szCs w:val="16"/>
        </w:rPr>
        <w:t xml:space="preserve"> </w:t>
      </w:r>
      <w:r w:rsidRPr="0042661A">
        <w:rPr>
          <w:rFonts w:ascii="Verdana" w:hAnsi="Verdana" w:cs="Arial"/>
          <w:sz w:val="16"/>
          <w:szCs w:val="16"/>
          <w:lang w:val="es-ES"/>
        </w:rPr>
        <w:t>Así lo establece el Decreto 1082 de 2015: “Artículo 2.2.1.2.1.4.5. No obligatoriedad de garantías. En la contratación directa la exigencia de garantías establecidas en la Sección 3, que comprende los artículos 2.2.1.2.3.1.1 al 2.2.1.2.3.5.1. del presente decreto no es obligatoria y la justificación para exigirlas o no debe estar en los estudios y documentos previos”.</w:t>
      </w:r>
    </w:p>
    <w:p w14:paraId="302BCF47" w14:textId="77777777" w:rsidR="008664D2" w:rsidRPr="0042661A" w:rsidRDefault="008664D2" w:rsidP="008664D2">
      <w:pPr>
        <w:pStyle w:val="Textonotapie"/>
        <w:ind w:firstLine="709"/>
        <w:jc w:val="both"/>
        <w:rPr>
          <w:rFonts w:ascii="Verdana" w:hAnsi="Verdana" w:cs="Arial"/>
          <w:sz w:val="16"/>
          <w:szCs w:val="16"/>
          <w:lang w:val="es-ES"/>
        </w:rPr>
      </w:pPr>
    </w:p>
  </w:footnote>
  <w:footnote w:id="17">
    <w:p w14:paraId="1BBBB43B" w14:textId="77777777" w:rsidR="008664D2" w:rsidRPr="0042661A" w:rsidRDefault="008664D2" w:rsidP="008664D2">
      <w:pPr>
        <w:pStyle w:val="Textonotapie"/>
        <w:ind w:firstLine="709"/>
        <w:jc w:val="both"/>
        <w:rPr>
          <w:rFonts w:ascii="Verdana" w:hAnsi="Verdana" w:cs="Arial"/>
          <w:color w:val="000000" w:themeColor="text1"/>
          <w:sz w:val="16"/>
          <w:szCs w:val="16"/>
          <w:lang w:val="es-ES"/>
        </w:rPr>
      </w:pPr>
      <w:r w:rsidRPr="0042661A">
        <w:rPr>
          <w:rStyle w:val="Refdenotaalpie"/>
          <w:rFonts w:ascii="Verdana" w:hAnsi="Verdana" w:cs="Arial"/>
          <w:color w:val="000000" w:themeColor="text1"/>
          <w:sz w:val="16"/>
          <w:szCs w:val="16"/>
        </w:rPr>
        <w:footnoteRef/>
      </w:r>
      <w:r w:rsidRPr="0042661A">
        <w:rPr>
          <w:rFonts w:ascii="Verdana" w:hAnsi="Verdana" w:cs="Arial"/>
          <w:color w:val="000000" w:themeColor="text1"/>
          <w:sz w:val="16"/>
          <w:szCs w:val="16"/>
        </w:rPr>
        <w:t xml:space="preserve"> </w:t>
      </w:r>
      <w:r w:rsidRPr="0042661A">
        <w:rPr>
          <w:rFonts w:ascii="Verdana" w:hAnsi="Verdana" w:cs="Arial"/>
          <w:color w:val="000000" w:themeColor="text1"/>
          <w:sz w:val="16"/>
          <w:szCs w:val="16"/>
          <w:lang w:val="es-ES"/>
        </w:rPr>
        <w:t>El Decreto 1082 de 2015 lo establece de la siguiente manera: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0AFE0252" w14:textId="77777777" w:rsidR="008664D2" w:rsidRPr="0042661A" w:rsidRDefault="008664D2" w:rsidP="008664D2">
      <w:pPr>
        <w:pStyle w:val="Textonotapie"/>
        <w:ind w:firstLine="709"/>
        <w:jc w:val="both"/>
        <w:rPr>
          <w:rFonts w:ascii="Verdana" w:hAnsi="Verdana" w:cs="Arial"/>
          <w:color w:val="000000" w:themeColor="text1"/>
          <w:sz w:val="16"/>
          <w:szCs w:val="16"/>
          <w:lang w:val="es-ES"/>
        </w:rPr>
      </w:pPr>
      <w:r w:rsidRPr="0042661A">
        <w:rPr>
          <w:rFonts w:ascii="Verdana" w:hAnsi="Verdana" w:cs="Arial"/>
          <w:color w:val="000000" w:themeColor="text1"/>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4DABB0D2" w14:textId="77777777" w:rsidR="008664D2" w:rsidRPr="0042661A" w:rsidRDefault="008664D2" w:rsidP="008664D2">
      <w:pPr>
        <w:pStyle w:val="Textonotapie"/>
        <w:ind w:firstLine="709"/>
        <w:jc w:val="both"/>
        <w:rPr>
          <w:rFonts w:ascii="Verdana" w:hAnsi="Verdana" w:cs="Arial"/>
          <w:color w:val="000000" w:themeColor="text1"/>
          <w:sz w:val="16"/>
          <w:szCs w:val="16"/>
          <w:lang w:val="es-ES"/>
        </w:rPr>
      </w:pPr>
      <w:r w:rsidRPr="0042661A">
        <w:rPr>
          <w:rFonts w:ascii="Verdana" w:hAnsi="Verdana" w:cs="Arial"/>
          <w:color w:val="000000" w:themeColor="text1"/>
          <w:sz w:val="16"/>
          <w:szCs w:val="16"/>
          <w:lang w:val="es-ES"/>
        </w:rPr>
        <w:t>La Entidad Estatal, para la contratación de trabajos artísticos que solamente puedan en</w:t>
      </w:r>
      <w:r w:rsidRPr="0042661A">
        <w:rPr>
          <w:rFonts w:ascii="Verdana" w:hAnsi="Verdana" w:cs="Arial"/>
          <w:color w:val="000000" w:themeColor="text1"/>
          <w:sz w:val="16"/>
          <w:szCs w:val="16"/>
          <w:lang w:val="es-ES"/>
        </w:rPr>
        <w:softHyphen/>
        <w:t>comendarse a determinadas personas naturales, debe justificar esta situación en los estudios y documentos previos”.</w:t>
      </w:r>
    </w:p>
    <w:p w14:paraId="4EAB487F" w14:textId="77777777" w:rsidR="008664D2" w:rsidRPr="0042661A" w:rsidRDefault="008664D2" w:rsidP="008664D2">
      <w:pPr>
        <w:pStyle w:val="Textonotapie"/>
        <w:ind w:firstLine="709"/>
        <w:jc w:val="both"/>
        <w:rPr>
          <w:rFonts w:ascii="Verdana" w:hAnsi="Verdana" w:cs="Arial"/>
          <w:color w:val="000000" w:themeColor="text1"/>
          <w:sz w:val="16"/>
          <w:szCs w:val="16"/>
          <w:lang w:val="es-ES"/>
        </w:rPr>
      </w:pPr>
    </w:p>
  </w:footnote>
  <w:footnote w:id="18">
    <w:p w14:paraId="1C0912AC" w14:textId="77777777" w:rsidR="008664D2" w:rsidRDefault="008664D2" w:rsidP="008664D2">
      <w:pPr>
        <w:pStyle w:val="Textonotapie"/>
        <w:ind w:firstLine="709"/>
        <w:jc w:val="both"/>
        <w:rPr>
          <w:rFonts w:ascii="Verdana" w:hAnsi="Verdana" w:cs="Arial"/>
          <w:color w:val="000000" w:themeColor="text1"/>
          <w:sz w:val="16"/>
          <w:szCs w:val="16"/>
          <w:lang w:val="es-ES"/>
        </w:rPr>
      </w:pPr>
      <w:r w:rsidRPr="0042661A">
        <w:rPr>
          <w:rStyle w:val="Refdenotaalpie"/>
          <w:rFonts w:ascii="Verdana" w:hAnsi="Verdana" w:cs="Arial"/>
          <w:color w:val="000000" w:themeColor="text1"/>
          <w:sz w:val="16"/>
          <w:szCs w:val="16"/>
        </w:rPr>
        <w:footnoteRef/>
      </w:r>
      <w:r w:rsidRPr="0042661A">
        <w:rPr>
          <w:rFonts w:ascii="Verdana" w:hAnsi="Verdana" w:cs="Arial"/>
          <w:color w:val="000000" w:themeColor="text1"/>
          <w:sz w:val="16"/>
          <w:szCs w:val="16"/>
        </w:rPr>
        <w:t xml:space="preserve"> </w:t>
      </w:r>
      <w:r w:rsidRPr="0042661A">
        <w:rPr>
          <w:rFonts w:ascii="Verdana" w:hAnsi="Verdana" w:cs="Arial"/>
          <w:color w:val="000000" w:themeColor="text1"/>
          <w:sz w:val="16"/>
          <w:szCs w:val="16"/>
          <w:lang w:val="es-ES"/>
        </w:rPr>
        <w:t>CONSEJO DE ESTADO. Sección Tercera. Subsección C. Sentencia de Unificación del 2 de diciembre de 2013. Exp. 41.719. C.P. Jaime Orlando Santofimio Gamboa.</w:t>
      </w:r>
    </w:p>
    <w:p w14:paraId="231DFE7E" w14:textId="77777777" w:rsidR="008664D2" w:rsidRPr="0042661A" w:rsidRDefault="008664D2" w:rsidP="008664D2">
      <w:pPr>
        <w:pStyle w:val="Textonotapie"/>
        <w:ind w:firstLine="709"/>
        <w:jc w:val="both"/>
        <w:rPr>
          <w:rFonts w:ascii="Verdana" w:hAnsi="Verdana" w:cs="Arial"/>
          <w:color w:val="000000" w:themeColor="text1"/>
          <w:sz w:val="16"/>
          <w:szCs w:val="16"/>
          <w:lang w:val="es-ES"/>
        </w:rPr>
      </w:pPr>
    </w:p>
  </w:footnote>
  <w:footnote w:id="19">
    <w:p w14:paraId="50B8EF7B" w14:textId="77777777" w:rsidR="008664D2" w:rsidRPr="0042661A" w:rsidRDefault="008664D2" w:rsidP="008664D2">
      <w:pPr>
        <w:pStyle w:val="Textonotapie"/>
        <w:ind w:firstLine="709"/>
        <w:jc w:val="both"/>
        <w:rPr>
          <w:rFonts w:ascii="Verdana" w:hAnsi="Verdana" w:cs="Arial"/>
          <w:color w:val="000000" w:themeColor="text1"/>
          <w:sz w:val="16"/>
          <w:szCs w:val="16"/>
          <w:lang w:val="es-ES"/>
        </w:rPr>
      </w:pPr>
      <w:r w:rsidRPr="0042661A">
        <w:rPr>
          <w:rStyle w:val="Refdenotaalpie"/>
          <w:rFonts w:ascii="Verdana" w:hAnsi="Verdana" w:cs="Arial"/>
          <w:color w:val="000000" w:themeColor="text1"/>
          <w:sz w:val="16"/>
          <w:szCs w:val="16"/>
        </w:rPr>
        <w:footnoteRef/>
      </w:r>
      <w:r w:rsidRPr="0042661A">
        <w:rPr>
          <w:rFonts w:ascii="Verdana" w:hAnsi="Verdana" w:cs="Arial"/>
          <w:color w:val="000000" w:themeColor="text1"/>
          <w:sz w:val="16"/>
          <w:szCs w:val="16"/>
        </w:rPr>
        <w:t xml:space="preserve"> </w:t>
      </w:r>
      <w:r w:rsidRPr="0042661A">
        <w:rPr>
          <w:rFonts w:ascii="Verdana" w:hAnsi="Verdana" w:cs="Arial"/>
          <w:i/>
          <w:iCs/>
          <w:color w:val="000000" w:themeColor="text1"/>
          <w:sz w:val="16"/>
          <w:szCs w:val="16"/>
          <w:lang w:val="es-ES"/>
        </w:rPr>
        <w:t>Ibíd</w:t>
      </w:r>
      <w:r w:rsidRPr="0042661A">
        <w:rPr>
          <w:rFonts w:ascii="Verdana" w:hAnsi="Verdana" w:cs="Arial"/>
          <w:color w:val="000000" w:themeColor="text1"/>
          <w:sz w:val="16"/>
          <w:szCs w:val="16"/>
          <w:lang w:val="es-ES"/>
        </w:rPr>
        <w:t>.</w:t>
      </w:r>
    </w:p>
    <w:p w14:paraId="61C81501" w14:textId="77777777" w:rsidR="008664D2" w:rsidRPr="0042661A" w:rsidRDefault="008664D2" w:rsidP="008664D2">
      <w:pPr>
        <w:pStyle w:val="Textonotapie"/>
        <w:ind w:firstLine="709"/>
        <w:jc w:val="both"/>
        <w:rPr>
          <w:rFonts w:ascii="Verdana" w:hAnsi="Verdana" w:cs="Arial"/>
          <w:color w:val="000000" w:themeColor="text1"/>
          <w:sz w:val="16"/>
          <w:szCs w:val="16"/>
          <w:lang w:val="es-ES"/>
        </w:rPr>
      </w:pPr>
    </w:p>
  </w:footnote>
  <w:footnote w:id="20">
    <w:p w14:paraId="53DAA09A" w14:textId="77777777" w:rsidR="008664D2" w:rsidRPr="0042661A" w:rsidRDefault="008664D2" w:rsidP="008664D2">
      <w:pPr>
        <w:pStyle w:val="Textonotapie"/>
        <w:ind w:firstLine="709"/>
        <w:jc w:val="both"/>
        <w:rPr>
          <w:rFonts w:ascii="Verdana" w:hAnsi="Verdana" w:cs="Arial"/>
          <w:color w:val="000000" w:themeColor="text1"/>
          <w:sz w:val="16"/>
          <w:szCs w:val="16"/>
          <w:lang w:val="es-ES"/>
        </w:rPr>
      </w:pPr>
      <w:r w:rsidRPr="0042661A">
        <w:rPr>
          <w:rStyle w:val="Refdenotaalpie"/>
          <w:rFonts w:ascii="Verdana" w:hAnsi="Verdana" w:cs="Arial"/>
          <w:color w:val="000000" w:themeColor="text1"/>
          <w:sz w:val="16"/>
          <w:szCs w:val="16"/>
        </w:rPr>
        <w:footnoteRef/>
      </w:r>
      <w:r w:rsidRPr="0042661A">
        <w:rPr>
          <w:rFonts w:ascii="Verdana" w:hAnsi="Verdana" w:cs="Arial"/>
          <w:color w:val="000000" w:themeColor="text1"/>
          <w:sz w:val="16"/>
          <w:szCs w:val="16"/>
        </w:rPr>
        <w:t xml:space="preserve"> </w:t>
      </w:r>
      <w:r w:rsidRPr="0042661A">
        <w:rPr>
          <w:rFonts w:ascii="Verdana" w:hAnsi="Verdana" w:cs="Arial"/>
          <w:i/>
          <w:iCs/>
          <w:color w:val="000000" w:themeColor="text1"/>
          <w:sz w:val="16"/>
          <w:szCs w:val="16"/>
          <w:lang w:val="es-ES"/>
        </w:rPr>
        <w:t>Ibíd</w:t>
      </w:r>
      <w:r w:rsidRPr="0042661A">
        <w:rPr>
          <w:rFonts w:ascii="Verdana" w:hAnsi="Verdana" w:cs="Arial"/>
          <w:color w:val="000000" w:themeColor="text1"/>
          <w:sz w:val="16"/>
          <w:szCs w:val="16"/>
          <w:lang w:val="es-ES"/>
        </w:rPr>
        <w:t>.</w:t>
      </w:r>
    </w:p>
    <w:p w14:paraId="05501A9A" w14:textId="77777777" w:rsidR="008664D2" w:rsidRPr="0042661A" w:rsidRDefault="008664D2" w:rsidP="008664D2">
      <w:pPr>
        <w:pStyle w:val="Textonotapie"/>
        <w:ind w:firstLine="709"/>
        <w:jc w:val="both"/>
        <w:rPr>
          <w:rFonts w:ascii="Verdana" w:hAnsi="Verdana" w:cs="Arial"/>
          <w:color w:val="000000" w:themeColor="text1"/>
          <w:sz w:val="16"/>
          <w:szCs w:val="16"/>
          <w:lang w:val="es-ES"/>
        </w:rPr>
      </w:pPr>
    </w:p>
  </w:footnote>
  <w:footnote w:id="21">
    <w:p w14:paraId="6D193393" w14:textId="77777777" w:rsidR="008664D2" w:rsidRDefault="008664D2" w:rsidP="008664D2">
      <w:pPr>
        <w:pStyle w:val="Textonotapie"/>
        <w:ind w:firstLine="709"/>
        <w:jc w:val="both"/>
        <w:rPr>
          <w:rFonts w:ascii="Verdana" w:hAnsi="Verdana"/>
          <w:sz w:val="16"/>
          <w:szCs w:val="16"/>
          <w:lang w:val="es-CO"/>
        </w:rPr>
      </w:pPr>
      <w:r w:rsidRPr="0042661A">
        <w:rPr>
          <w:rStyle w:val="Refdenotaalpie"/>
          <w:rFonts w:ascii="Verdana" w:hAnsi="Verdana"/>
          <w:sz w:val="16"/>
          <w:szCs w:val="16"/>
        </w:rPr>
        <w:footnoteRef/>
      </w:r>
      <w:r w:rsidRPr="0042661A">
        <w:rPr>
          <w:rFonts w:ascii="Verdana" w:hAnsi="Verdana"/>
          <w:sz w:val="16"/>
          <w:szCs w:val="16"/>
        </w:rPr>
        <w:t xml:space="preserve"> Dentro de ellas se pueden referenciar: </w:t>
      </w:r>
      <w:r w:rsidRPr="0042661A">
        <w:rPr>
          <w:rFonts w:ascii="Verdana" w:hAnsi="Verdana"/>
          <w:sz w:val="16"/>
          <w:szCs w:val="16"/>
          <w:lang w:val="es-CO"/>
        </w:rPr>
        <w:t>Consejo de Estado. Sección Segunda. Subsección A. Rad. 19001-23-33-0002016-00182-01 (3990-2018). Sentencia de 9 de junio de 2022. C.P. Rafael Francisco Suarez Vargas. Consejo de Estado. Sección Segunda. Subsección B. Rad. 50001-23-33-000-2014-0089-01. Sentencia de 9 de junio de 2022. C.P. César Palomino Cortés. Consejo de Estado. Sección Segunda. Subsección A. Rad. 27001-23-33-000-2017-00037-01 (3671-2019). Sentencia de 2 de junio de 2022. C.P. Gabriel Valbuena Hernández. Consejo de Estado. Sección Segunda. Subsección A. Rad. 25000-23-42-000-2013-05488 01 (2381-2018). Sentencia de 28 de abril de 2022. C.P. Gabriel Valbuena Hernández. Consejo de Estado. Sección Segunda. Subsección A. Rad. 05001 23 33 000 2012 00418 02 (0248-2017). Sentencia de 10 de febrero de 2022. C.P. Rafael Francisco Suarez Vargas.</w:t>
      </w:r>
    </w:p>
    <w:p w14:paraId="7ADC7FFE" w14:textId="77777777" w:rsidR="008664D2" w:rsidRPr="0042661A" w:rsidRDefault="008664D2" w:rsidP="008664D2">
      <w:pPr>
        <w:pStyle w:val="Textonotapie"/>
        <w:ind w:firstLine="709"/>
        <w:jc w:val="both"/>
        <w:rPr>
          <w:rFonts w:ascii="Verdana" w:hAnsi="Verdana"/>
          <w:sz w:val="16"/>
          <w:szCs w:val="16"/>
        </w:rPr>
      </w:pPr>
    </w:p>
  </w:footnote>
  <w:footnote w:id="22">
    <w:p w14:paraId="78271B32" w14:textId="77777777" w:rsidR="008664D2" w:rsidRDefault="008664D2" w:rsidP="008664D2">
      <w:pPr>
        <w:pStyle w:val="Textonotapie"/>
        <w:ind w:firstLine="709"/>
        <w:jc w:val="both"/>
        <w:rPr>
          <w:rFonts w:ascii="Verdana" w:hAnsi="Verdana"/>
          <w:sz w:val="16"/>
          <w:szCs w:val="16"/>
          <w:lang w:val="es-CO"/>
        </w:rPr>
      </w:pPr>
      <w:r w:rsidRPr="0042661A">
        <w:rPr>
          <w:rStyle w:val="Refdenotaalpie"/>
          <w:rFonts w:ascii="Verdana" w:hAnsi="Verdana"/>
          <w:sz w:val="16"/>
          <w:szCs w:val="16"/>
        </w:rPr>
        <w:footnoteRef/>
      </w:r>
      <w:r w:rsidRPr="0042661A">
        <w:rPr>
          <w:rFonts w:ascii="Verdana" w:hAnsi="Verdana"/>
          <w:sz w:val="16"/>
          <w:szCs w:val="16"/>
        </w:rPr>
        <w:t xml:space="preserve"> </w:t>
      </w:r>
      <w:r w:rsidRPr="0042661A">
        <w:rPr>
          <w:rFonts w:ascii="Verdana" w:hAnsi="Verdana"/>
          <w:sz w:val="16"/>
          <w:szCs w:val="16"/>
          <w:lang w:val="es-CO"/>
        </w:rPr>
        <w:t>Consejo de Estado, Sala Plena de lo Contencioso Administrativo, sentencia del 09 de febrero de 2012, expediente 1707-08, C.P Luis Rafael Vergara Quintero.</w:t>
      </w:r>
    </w:p>
    <w:p w14:paraId="0F4B4AF9" w14:textId="77777777" w:rsidR="008664D2" w:rsidRPr="0042661A" w:rsidRDefault="008664D2" w:rsidP="008664D2">
      <w:pPr>
        <w:pStyle w:val="Textonotapie"/>
        <w:ind w:firstLine="709"/>
        <w:jc w:val="both"/>
        <w:rPr>
          <w:rFonts w:ascii="Verdana" w:hAnsi="Verdana"/>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7" type="#_x0000_t75" style="width:12.1pt;height:12.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90692244">
    <w:abstractNumId w:val="0"/>
  </w:num>
  <w:num w:numId="17" w16cid:durableId="151233198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1FAF"/>
    <w:rsid w:val="00125105"/>
    <w:rsid w:val="00127233"/>
    <w:rsid w:val="00185D53"/>
    <w:rsid w:val="001908D2"/>
    <w:rsid w:val="001936FE"/>
    <w:rsid w:val="001B1484"/>
    <w:rsid w:val="001E4177"/>
    <w:rsid w:val="001F7DC6"/>
    <w:rsid w:val="00237361"/>
    <w:rsid w:val="002421BB"/>
    <w:rsid w:val="0025796E"/>
    <w:rsid w:val="002638F8"/>
    <w:rsid w:val="002707A2"/>
    <w:rsid w:val="002951A0"/>
    <w:rsid w:val="002962BC"/>
    <w:rsid w:val="002A093D"/>
    <w:rsid w:val="002A0DD0"/>
    <w:rsid w:val="002A49AC"/>
    <w:rsid w:val="002A64FD"/>
    <w:rsid w:val="002B103D"/>
    <w:rsid w:val="002C7A84"/>
    <w:rsid w:val="002E4FD9"/>
    <w:rsid w:val="00322A85"/>
    <w:rsid w:val="00324168"/>
    <w:rsid w:val="003448F4"/>
    <w:rsid w:val="00374F5E"/>
    <w:rsid w:val="00377E3E"/>
    <w:rsid w:val="003A779E"/>
    <w:rsid w:val="003D0F4D"/>
    <w:rsid w:val="003D5738"/>
    <w:rsid w:val="003D5B0D"/>
    <w:rsid w:val="003E0499"/>
    <w:rsid w:val="003F3941"/>
    <w:rsid w:val="00406575"/>
    <w:rsid w:val="00414C74"/>
    <w:rsid w:val="0042722E"/>
    <w:rsid w:val="0043786C"/>
    <w:rsid w:val="0044528D"/>
    <w:rsid w:val="00452471"/>
    <w:rsid w:val="004A1847"/>
    <w:rsid w:val="004A305D"/>
    <w:rsid w:val="004E71AA"/>
    <w:rsid w:val="004F21C4"/>
    <w:rsid w:val="004F685F"/>
    <w:rsid w:val="005566E8"/>
    <w:rsid w:val="00574867"/>
    <w:rsid w:val="00591460"/>
    <w:rsid w:val="005C3777"/>
    <w:rsid w:val="005C5CDC"/>
    <w:rsid w:val="005D476C"/>
    <w:rsid w:val="006219F8"/>
    <w:rsid w:val="006302F7"/>
    <w:rsid w:val="00665D70"/>
    <w:rsid w:val="0067348A"/>
    <w:rsid w:val="006900D9"/>
    <w:rsid w:val="006A760C"/>
    <w:rsid w:val="006B008B"/>
    <w:rsid w:val="00706C16"/>
    <w:rsid w:val="00756841"/>
    <w:rsid w:val="007649AB"/>
    <w:rsid w:val="00771D0C"/>
    <w:rsid w:val="007833AC"/>
    <w:rsid w:val="007B268C"/>
    <w:rsid w:val="007B7171"/>
    <w:rsid w:val="007C0C0F"/>
    <w:rsid w:val="007C3DC2"/>
    <w:rsid w:val="007C608D"/>
    <w:rsid w:val="007E5497"/>
    <w:rsid w:val="007F5A92"/>
    <w:rsid w:val="00806F5F"/>
    <w:rsid w:val="00820278"/>
    <w:rsid w:val="008664D2"/>
    <w:rsid w:val="00867F95"/>
    <w:rsid w:val="008843B6"/>
    <w:rsid w:val="00891928"/>
    <w:rsid w:val="00897A3A"/>
    <w:rsid w:val="008A446D"/>
    <w:rsid w:val="008D180B"/>
    <w:rsid w:val="008D6DC9"/>
    <w:rsid w:val="008F0EA7"/>
    <w:rsid w:val="00907631"/>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B0ADB"/>
    <w:rsid w:val="00B00C0E"/>
    <w:rsid w:val="00B01B1A"/>
    <w:rsid w:val="00B44A47"/>
    <w:rsid w:val="00B72CD3"/>
    <w:rsid w:val="00B72FFF"/>
    <w:rsid w:val="00BC3D36"/>
    <w:rsid w:val="00BD7F72"/>
    <w:rsid w:val="00C04FB3"/>
    <w:rsid w:val="00C330EB"/>
    <w:rsid w:val="00C754BE"/>
    <w:rsid w:val="00C76B1C"/>
    <w:rsid w:val="00CB6357"/>
    <w:rsid w:val="00CC1B26"/>
    <w:rsid w:val="00CF13F3"/>
    <w:rsid w:val="00D423A2"/>
    <w:rsid w:val="00D520D8"/>
    <w:rsid w:val="00D63AC2"/>
    <w:rsid w:val="00D7383B"/>
    <w:rsid w:val="00DA231B"/>
    <w:rsid w:val="00DC39FC"/>
    <w:rsid w:val="00DF5254"/>
    <w:rsid w:val="00E10093"/>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5664F"/>
    <w:rsid w:val="00F666C4"/>
    <w:rsid w:val="00F76AFC"/>
    <w:rsid w:val="00F8118D"/>
    <w:rsid w:val="00FA47C0"/>
    <w:rsid w:val="00FB5DD1"/>
    <w:rsid w:val="00FC2B5D"/>
    <w:rsid w:val="00FD27D9"/>
    <w:rsid w:val="00FF1449"/>
    <w:rsid w:val="4F28929B"/>
    <w:rsid w:val="77ABF42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664D2"/>
    <w:rPr>
      <w:rFonts w:ascii="Geomanist Light" w:hAnsi="Geomanist Light"/>
      <w:lang w:val="es-ES"/>
    </w:rPr>
  </w:style>
  <w:style w:type="paragraph" w:customStyle="1" w:styleId="Appelnotedebasde">
    <w:name w:val="Appel note de bas de..."/>
    <w:basedOn w:val="Normal"/>
    <w:link w:val="Refdenotaalpie"/>
    <w:uiPriority w:val="99"/>
    <w:rsid w:val="008664D2"/>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nchamuceros2@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126368F-3778-402E-98DD-267D08F412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www.w3.org/XML/1998/namespace"/>
    <ds:schemaRef ds:uri="http://purl.org/dc/dcmitype/"/>
    <ds:schemaRef ds:uri="http://schemas.microsoft.com/office/infopath/2007/PartnerControls"/>
    <ds:schemaRef ds:uri="http://purl.org/dc/terms/"/>
    <ds:schemaRef ds:uri="http://schemas.microsoft.com/office/2006/documentManagement/types"/>
    <ds:schemaRef ds:uri="http://schemas.openxmlformats.org/package/2006/metadata/core-properties"/>
    <ds:schemaRef ds:uri="a6cb9e4b-f1d1-4245-83ec-6cad768d538a"/>
    <ds:schemaRef ds:uri="9d85dbaf-23eb-4e57-a637-93dcacc8b1a1"/>
    <ds:schemaRef ds:uri="http://schemas.microsoft.com/office/2006/metadata/properties"/>
    <ds:schemaRef ds:uri="http://purl.org/dc/elements/1.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19</Pages>
  <Words>5371</Words>
  <Characters>29546</Characters>
  <Application>Microsoft Office Word</Application>
  <DocSecurity>0</DocSecurity>
  <Lines>246</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helena Diaz</cp:lastModifiedBy>
  <cp:revision>2</cp:revision>
  <cp:lastPrinted>2023-01-10T21:18:00Z</cp:lastPrinted>
  <dcterms:created xsi:type="dcterms:W3CDTF">2025-10-22T17:26:00Z</dcterms:created>
  <dcterms:modified xsi:type="dcterms:W3CDTF">2025-10-22T17:26:00Z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